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1AFC" w14:paraId="3B2A396B" w14:textId="77777777" w:rsidTr="0010095E">
        <w:trPr>
          <w:trHeight w:hRule="exact" w:val="1418"/>
        </w:trPr>
        <w:tc>
          <w:tcPr>
            <w:tcW w:w="6804" w:type="dxa"/>
            <w:shd w:val="clear" w:color="auto" w:fill="auto"/>
            <w:vAlign w:val="center"/>
          </w:tcPr>
          <w:p w14:paraId="0A498D36" w14:textId="77777777" w:rsidR="00751A4A" w:rsidRPr="005B1AFC" w:rsidRDefault="00486E2B" w:rsidP="0010095E">
            <w:pPr>
              <w:pStyle w:val="EPName"/>
            </w:pPr>
            <w:r w:rsidRPr="005B1AFC">
              <w:t>Európai Parlament</w:t>
            </w:r>
          </w:p>
          <w:p w14:paraId="42BAFC13" w14:textId="77777777" w:rsidR="00751A4A" w:rsidRPr="005B1AFC" w:rsidRDefault="00817416" w:rsidP="00756632">
            <w:pPr>
              <w:pStyle w:val="EPTerm"/>
              <w:rPr>
                <w:rStyle w:val="HideTWBExt"/>
                <w:noProof w:val="0"/>
                <w:vanish w:val="0"/>
                <w:color w:val="auto"/>
              </w:rPr>
            </w:pPr>
            <w:r w:rsidRPr="005B1AFC">
              <w:t>2019-2024</w:t>
            </w:r>
          </w:p>
        </w:tc>
        <w:tc>
          <w:tcPr>
            <w:tcW w:w="2268" w:type="dxa"/>
            <w:shd w:val="clear" w:color="auto" w:fill="auto"/>
          </w:tcPr>
          <w:p w14:paraId="1A654C3B" w14:textId="77777777" w:rsidR="00751A4A" w:rsidRPr="005B1AFC" w:rsidRDefault="00187494" w:rsidP="0010095E">
            <w:pPr>
              <w:pStyle w:val="EPLogo"/>
            </w:pPr>
            <w:r w:rsidRPr="005B1AFC">
              <w:rPr>
                <w:noProof/>
                <w:lang w:val="en-GB"/>
              </w:rPr>
              <w:drawing>
                <wp:inline distT="0" distB="0" distL="0" distR="0" wp14:anchorId="1B016140" wp14:editId="1EFC85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E98A5F" w14:textId="77777777" w:rsidR="00D058B8" w:rsidRPr="005B1AFC" w:rsidRDefault="00D058B8" w:rsidP="004C5D52">
      <w:pPr>
        <w:pStyle w:val="LineTop"/>
      </w:pPr>
    </w:p>
    <w:p w14:paraId="636E49CF" w14:textId="77777777" w:rsidR="00680577" w:rsidRPr="005B1AFC" w:rsidRDefault="00486E2B" w:rsidP="00680577">
      <w:pPr>
        <w:pStyle w:val="EPBodyTA1"/>
      </w:pPr>
      <w:r w:rsidRPr="005B1AFC">
        <w:t>ELFOGADOTT SZÖVEGEK</w:t>
      </w:r>
    </w:p>
    <w:p w14:paraId="1912683D" w14:textId="77777777" w:rsidR="00D058B8" w:rsidRPr="005B1AFC" w:rsidRDefault="00D058B8" w:rsidP="00D058B8">
      <w:pPr>
        <w:pStyle w:val="LineBottom"/>
      </w:pPr>
    </w:p>
    <w:p w14:paraId="72359E0F" w14:textId="77777777" w:rsidR="00486E2B" w:rsidRPr="005B1AFC" w:rsidRDefault="00486E2B" w:rsidP="00486E2B">
      <w:pPr>
        <w:pStyle w:val="ATHeading1"/>
      </w:pPr>
      <w:bookmarkStart w:id="0" w:name="TANumber"/>
      <w:r w:rsidRPr="005B1AFC">
        <w:t>P9_TA(2024)</w:t>
      </w:r>
      <w:bookmarkEnd w:id="0"/>
      <w:r w:rsidR="005407BA" w:rsidRPr="005B1AFC">
        <w:t>0</w:t>
      </w:r>
      <w:r w:rsidR="005407BA">
        <w:t>358</w:t>
      </w:r>
    </w:p>
    <w:p w14:paraId="0DFDA49B" w14:textId="77777777" w:rsidR="00486E2B" w:rsidRPr="005B1AFC" w:rsidRDefault="004D75C2" w:rsidP="00486E2B">
      <w:pPr>
        <w:pStyle w:val="ATHeading2"/>
      </w:pPr>
      <w:bookmarkStart w:id="1" w:name="title"/>
      <w:r w:rsidRPr="004D75C2">
        <w:rPr>
          <w:bCs/>
        </w:rPr>
        <w:t>A felszíni és felszín alatti vizek szennyezése</w:t>
      </w:r>
      <w:bookmarkEnd w:id="1"/>
    </w:p>
    <w:p w14:paraId="56A08B39" w14:textId="77777777" w:rsidR="00486E2B" w:rsidRPr="005B1AFC" w:rsidRDefault="00486E2B" w:rsidP="00486E2B">
      <w:pPr>
        <w:rPr>
          <w:i/>
          <w:vanish/>
        </w:rPr>
      </w:pPr>
      <w:r w:rsidRPr="005B1AFC">
        <w:rPr>
          <w:i/>
        </w:rPr>
        <w:fldChar w:fldCharType="begin"/>
      </w:r>
      <w:r w:rsidRPr="005B1AFC">
        <w:rPr>
          <w:i/>
        </w:rPr>
        <w:instrText xml:space="preserve"> TC"(</w:instrText>
      </w:r>
      <w:bookmarkStart w:id="2" w:name="DocNumber"/>
      <w:r w:rsidRPr="005B1AFC">
        <w:rPr>
          <w:i/>
        </w:rPr>
        <w:instrText>A9-0238/2023</w:instrText>
      </w:r>
      <w:bookmarkEnd w:id="2"/>
      <w:r w:rsidRPr="005B1AFC">
        <w:rPr>
          <w:i/>
        </w:rPr>
        <w:instrText xml:space="preserve"> - Előadó: Milan Brglez)"\l3 \n&gt; \* MERGEFORMAT </w:instrText>
      </w:r>
      <w:r w:rsidRPr="005B1AFC">
        <w:rPr>
          <w:i/>
        </w:rPr>
        <w:fldChar w:fldCharType="end"/>
      </w:r>
    </w:p>
    <w:p w14:paraId="6809FD65" w14:textId="77777777" w:rsidR="00486E2B" w:rsidRPr="005B1AFC" w:rsidRDefault="00486E2B" w:rsidP="00486E2B">
      <w:pPr>
        <w:rPr>
          <w:vanish/>
        </w:rPr>
      </w:pPr>
      <w:bookmarkStart w:id="3" w:name="Commission"/>
      <w:r w:rsidRPr="005B1AFC">
        <w:rPr>
          <w:vanish/>
        </w:rPr>
        <w:t>Környezetvédelmi, Közegészségügyi és Élelmiszer-biztonsági Bizottság</w:t>
      </w:r>
      <w:bookmarkEnd w:id="3"/>
    </w:p>
    <w:p w14:paraId="624AF6E9" w14:textId="77777777" w:rsidR="00486E2B" w:rsidRPr="005B1AFC" w:rsidRDefault="00486E2B" w:rsidP="00486E2B">
      <w:pPr>
        <w:rPr>
          <w:vanish/>
        </w:rPr>
      </w:pPr>
      <w:bookmarkStart w:id="4" w:name="PE"/>
      <w:r w:rsidRPr="005B1AFC">
        <w:rPr>
          <w:vanish/>
        </w:rPr>
        <w:t>PE740.884</w:t>
      </w:r>
      <w:bookmarkEnd w:id="4"/>
    </w:p>
    <w:p w14:paraId="70EF4612" w14:textId="77777777" w:rsidR="00486E2B" w:rsidRPr="005B1AFC" w:rsidRDefault="00486E2B" w:rsidP="00486E2B">
      <w:pPr>
        <w:pStyle w:val="ATHeading3"/>
      </w:pPr>
      <w:bookmarkStart w:id="5" w:name="Sujet"/>
      <w:r w:rsidRPr="005B1AFC">
        <w:t>Az Európai Parlament 2024</w:t>
      </w:r>
      <w:r w:rsidRPr="005407BA">
        <w:t xml:space="preserve">. </w:t>
      </w:r>
      <w:r w:rsidR="004D75C2" w:rsidRPr="005407BA">
        <w:t>április 2</w:t>
      </w:r>
      <w:r w:rsidR="00E177EB" w:rsidRPr="005407BA">
        <w:t>4</w:t>
      </w:r>
      <w:r w:rsidRPr="005B1AFC">
        <w:t>-i jogalkotási állásfoglalása a vízpolitika terén a közösségi fellépés kereteinek meghatározásáról szóló 2000/60/EK irányelv, a felszín alatti vizek szennyezés és állapotromlás elleni védelméről szóló 2006/118/EK irányelv és a vízpolitika területén a környezetminőségi előírásokról szóló 2008/105/EK irányelv módosításáról szóló európai parlamenti és tanácsi irányelvre irányuló javaslatról</w:t>
      </w:r>
      <w:bookmarkEnd w:id="5"/>
      <w:r w:rsidRPr="005B1AFC">
        <w:t xml:space="preserve"> </w:t>
      </w:r>
      <w:bookmarkStart w:id="6" w:name="References"/>
      <w:r w:rsidRPr="005B1AFC">
        <w:t>(COM(2022)0540 – C9-0361/2022 – 2022/0344(COD))</w:t>
      </w:r>
      <w:bookmarkEnd w:id="6"/>
    </w:p>
    <w:p w14:paraId="2660234A" w14:textId="77777777" w:rsidR="00124C0D" w:rsidRPr="005B1AFC" w:rsidRDefault="00124C0D" w:rsidP="00124C0D">
      <w:pPr>
        <w:pStyle w:val="NormalBold"/>
      </w:pPr>
      <w:bookmarkStart w:id="7" w:name="TextBodyBegin"/>
      <w:bookmarkEnd w:id="7"/>
      <w:r w:rsidRPr="005B1AFC">
        <w:t>(Rendes jogalkotási eljárás: első olvasat)</w:t>
      </w:r>
    </w:p>
    <w:p w14:paraId="5136A65F" w14:textId="77777777" w:rsidR="00124C0D" w:rsidRPr="00DC67EB" w:rsidRDefault="00124C0D" w:rsidP="00124C0D">
      <w:pPr>
        <w:pStyle w:val="EPComma"/>
      </w:pPr>
      <w:r w:rsidRPr="00DC67EB">
        <w:rPr>
          <w:i/>
          <w:iCs/>
        </w:rPr>
        <w:t>Az Európai Parlament</w:t>
      </w:r>
      <w:r w:rsidRPr="00DC67EB">
        <w:t>,</w:t>
      </w:r>
    </w:p>
    <w:p w14:paraId="38997835" w14:textId="77777777" w:rsidR="00124C0D" w:rsidRPr="00DC67EB" w:rsidRDefault="00124C0D" w:rsidP="006D6AD5">
      <w:pPr>
        <w:pStyle w:val="NormalHanging12a"/>
        <w:widowControl/>
      </w:pPr>
      <w:r w:rsidRPr="00DC67EB">
        <w:t>–</w:t>
      </w:r>
      <w:r w:rsidRPr="00DC67EB">
        <w:tab/>
        <w:t>tekintettel a Bizottság Parlamenthez és Tanácshoz intézett javaslatára (COM(2022)0540),</w:t>
      </w:r>
    </w:p>
    <w:p w14:paraId="72A56018" w14:textId="77777777" w:rsidR="00124C0D" w:rsidRPr="00DC67EB" w:rsidRDefault="00124C0D" w:rsidP="006D6AD5">
      <w:pPr>
        <w:pStyle w:val="NormalHanging12a"/>
        <w:widowControl/>
      </w:pPr>
      <w:r w:rsidRPr="00DC67EB">
        <w:t>–</w:t>
      </w:r>
      <w:r w:rsidRPr="00DC67EB">
        <w:tab/>
        <w:t>tekintettel az Európai Unió működéséről szóló szerződés 294. cikkének (2) bekezdésére és 192. cikkének (1) bekezdésére, amelyek alapján a Bizottság javaslatát benyújtotta a Parlamenthez (C9</w:t>
      </w:r>
      <w:r w:rsidRPr="00DC67EB">
        <w:noBreakHyphen/>
        <w:t>0361/2022),</w:t>
      </w:r>
    </w:p>
    <w:p w14:paraId="4D646690" w14:textId="77777777" w:rsidR="00124C0D" w:rsidRPr="00DC67EB" w:rsidRDefault="00124C0D" w:rsidP="006D6AD5">
      <w:pPr>
        <w:pStyle w:val="NormalHanging12a"/>
        <w:widowControl/>
      </w:pPr>
      <w:r w:rsidRPr="00DC67EB">
        <w:t>–</w:t>
      </w:r>
      <w:r w:rsidRPr="00DC67EB">
        <w:tab/>
        <w:t>tekintettel az Európai Unió működéséről szóló szerződés 294. cikkének (3) bekezdésére,</w:t>
      </w:r>
    </w:p>
    <w:p w14:paraId="1FBF873E" w14:textId="77777777" w:rsidR="00124C0D" w:rsidRPr="00DC67EB" w:rsidRDefault="00124C0D" w:rsidP="006D6AD5">
      <w:pPr>
        <w:pStyle w:val="NormalHanging12a"/>
        <w:widowControl/>
      </w:pPr>
      <w:r w:rsidRPr="00DC67EB">
        <w:t>–</w:t>
      </w:r>
      <w:r w:rsidRPr="00DC67EB">
        <w:tab/>
        <w:t>tekintettel a</w:t>
      </w:r>
      <w:r w:rsidR="00E177EB" w:rsidRPr="00DC67EB">
        <w:t>z Európai</w:t>
      </w:r>
      <w:r w:rsidRPr="00DC67EB">
        <w:t xml:space="preserve"> Gazdasági és Szociális Bizottság 2023. február 22-i véleményére</w:t>
      </w:r>
      <w:r w:rsidRPr="00DC67EB">
        <w:rPr>
          <w:rStyle w:val="FootnoteReference"/>
        </w:rPr>
        <w:footnoteReference w:id="1"/>
      </w:r>
      <w:r w:rsidRPr="00DC67EB">
        <w:t>,</w:t>
      </w:r>
    </w:p>
    <w:p w14:paraId="11B422B4" w14:textId="77777777" w:rsidR="00124C0D" w:rsidRPr="00DC67EB" w:rsidRDefault="00124C0D" w:rsidP="006D6AD5">
      <w:pPr>
        <w:pStyle w:val="NormalHanging12a"/>
        <w:widowControl/>
      </w:pPr>
      <w:r w:rsidRPr="00DC67EB">
        <w:t>–</w:t>
      </w:r>
      <w:r w:rsidRPr="00DC67EB">
        <w:tab/>
        <w:t>a Régiók Bizottságával folytatott konzultációt követően,</w:t>
      </w:r>
    </w:p>
    <w:p w14:paraId="46A40A50" w14:textId="77777777" w:rsidR="00124C0D" w:rsidRPr="00DC67EB" w:rsidRDefault="00124C0D" w:rsidP="006D6AD5">
      <w:pPr>
        <w:pStyle w:val="NormalHanging12a"/>
        <w:widowControl/>
      </w:pPr>
      <w:r w:rsidRPr="00DC67EB">
        <w:t>–</w:t>
      </w:r>
      <w:r w:rsidRPr="00DC67EB">
        <w:tab/>
        <w:t>tekintettel eljárási szabályzata 59. cikkére,</w:t>
      </w:r>
    </w:p>
    <w:p w14:paraId="1E2C7E60" w14:textId="77777777" w:rsidR="00124C0D" w:rsidRPr="00DC67EB" w:rsidRDefault="00124C0D" w:rsidP="006D6AD5">
      <w:pPr>
        <w:pStyle w:val="NormalHanging12a"/>
        <w:widowControl/>
      </w:pPr>
      <w:r w:rsidRPr="00DC67EB">
        <w:t>–</w:t>
      </w:r>
      <w:r w:rsidRPr="00DC67EB">
        <w:tab/>
        <w:t>tekintettel az Ipari, Kutatási és Energiaügyi Bizottság és a Mezőgazdasági és Vidékfejlesztési Bizottság véleményére,</w:t>
      </w:r>
    </w:p>
    <w:p w14:paraId="2BF8DE27" w14:textId="77777777" w:rsidR="00124C0D" w:rsidRPr="00DC67EB" w:rsidRDefault="00124C0D" w:rsidP="006D6AD5">
      <w:pPr>
        <w:pStyle w:val="NormalHanging12a"/>
        <w:widowControl/>
      </w:pPr>
      <w:r w:rsidRPr="00DC67EB">
        <w:t>–</w:t>
      </w:r>
      <w:r w:rsidRPr="00DC67EB">
        <w:tab/>
        <w:t>tekintettel a Környezetvédelmi, Közegészségügyi és Élelmiszer-biztonsági Bizottság jelentésére (A9-0238/2023),</w:t>
      </w:r>
    </w:p>
    <w:p w14:paraId="056F3744" w14:textId="77777777" w:rsidR="00124C0D" w:rsidRPr="00DC67EB" w:rsidRDefault="00124C0D" w:rsidP="006D6AD5">
      <w:pPr>
        <w:pStyle w:val="NormalHanging12a"/>
        <w:widowControl/>
      </w:pPr>
      <w:r w:rsidRPr="00DC67EB">
        <w:lastRenderedPageBreak/>
        <w:t>1.</w:t>
      </w:r>
      <w:r w:rsidRPr="00DC67EB">
        <w:tab/>
        <w:t>elfogadja első olvasatban az alábbi álláspontot</w:t>
      </w:r>
      <w:r w:rsidR="004D75C2" w:rsidRPr="00DC67EB">
        <w:rPr>
          <w:rStyle w:val="FootnoteReference"/>
        </w:rPr>
        <w:footnoteReference w:id="2"/>
      </w:r>
      <w:r w:rsidRPr="00DC67EB">
        <w:t>;</w:t>
      </w:r>
    </w:p>
    <w:p w14:paraId="16A7EEEB" w14:textId="77777777" w:rsidR="00124C0D" w:rsidRPr="00DC67EB" w:rsidRDefault="00124C0D" w:rsidP="006D6AD5">
      <w:pPr>
        <w:pStyle w:val="NormalHanging12a"/>
        <w:widowControl/>
      </w:pPr>
      <w:r w:rsidRPr="00DC67EB">
        <w:t>2.</w:t>
      </w:r>
      <w:r w:rsidRPr="00DC67EB">
        <w:tab/>
        <w:t>felkéri a Bizottságot, hogy utalja az ügyet újból a Parlamenthez, ha javaslatát másik szöveggel váltja fel, lényegesen módosítja vagy lényegesen módosítani kívánja;</w:t>
      </w:r>
    </w:p>
    <w:p w14:paraId="43855E39" w14:textId="77777777" w:rsidR="001D30D4" w:rsidRPr="00DC67EB" w:rsidRDefault="00124C0D" w:rsidP="006D6AD5">
      <w:pPr>
        <w:pStyle w:val="NormalHanging12a"/>
        <w:widowControl/>
      </w:pPr>
      <w:r w:rsidRPr="00DC67EB">
        <w:t>3.</w:t>
      </w:r>
      <w:r w:rsidRPr="00DC67EB">
        <w:tab/>
        <w:t>utasítja elnökét, hogy továbbítsa a Parlament álláspontját a Tanácsnak és a Bizottságnak, valamint a nemzeti parlamenteknek.</w:t>
      </w:r>
    </w:p>
    <w:p w14:paraId="6E7C9B07" w14:textId="77777777" w:rsidR="00E441EF" w:rsidRDefault="00E441EF">
      <w:pPr>
        <w:widowControl/>
        <w:sectPr w:rsidR="00E441EF">
          <w:footerReference w:type="even" r:id="rId9"/>
          <w:footerReference w:type="first" r:id="rId10"/>
          <w:footnotePr>
            <w:numRestart w:val="eachSect"/>
          </w:footnotePr>
          <w:pgSz w:w="11909" w:h="16834"/>
          <w:pgMar w:top="1134" w:right="1417" w:bottom="1417" w:left="1417" w:header="1134" w:footer="567" w:gutter="0"/>
          <w:cols w:space="720"/>
        </w:sectPr>
      </w:pPr>
    </w:p>
    <w:p w14:paraId="3D545214" w14:textId="77777777" w:rsidR="001D30D4" w:rsidRPr="00DC67EB" w:rsidRDefault="001D30D4" w:rsidP="001D30D4">
      <w:pPr>
        <w:autoSpaceDE w:val="0"/>
        <w:autoSpaceDN w:val="0"/>
        <w:adjustRightInd w:val="0"/>
        <w:spacing w:after="240" w:line="260" w:lineRule="exact"/>
        <w:ind w:left="567" w:hanging="567"/>
        <w:rPr>
          <w:rFonts w:eastAsia="Calibri"/>
          <w:b/>
          <w:bCs/>
        </w:rPr>
      </w:pPr>
      <w:r w:rsidRPr="00DC67EB">
        <w:rPr>
          <w:rFonts w:eastAsia="Calibri"/>
          <w:b/>
          <w:bCs/>
        </w:rPr>
        <w:lastRenderedPageBreak/>
        <w:t>P9_TC1-COD(2022)0344</w:t>
      </w:r>
    </w:p>
    <w:p w14:paraId="66DDB0E4" w14:textId="77777777" w:rsidR="00124C0D" w:rsidRPr="00DC67EB" w:rsidRDefault="001D30D4" w:rsidP="001D30D4">
      <w:pPr>
        <w:pStyle w:val="NormalHanging12a"/>
        <w:widowControl/>
        <w:ind w:left="0" w:firstLine="0"/>
        <w:rPr>
          <w:b/>
        </w:rPr>
      </w:pPr>
      <w:r w:rsidRPr="00DC67EB">
        <w:rPr>
          <w:b/>
        </w:rPr>
        <w:t>Az Európai Parlament álláspontja, amely első olvasatban 20</w:t>
      </w:r>
      <w:r w:rsidR="00DC56FD">
        <w:rPr>
          <w:b/>
        </w:rPr>
        <w:t>24</w:t>
      </w:r>
      <w:r w:rsidRPr="00DC67EB">
        <w:rPr>
          <w:b/>
        </w:rPr>
        <w:t xml:space="preserve">. </w:t>
      </w:r>
      <w:r w:rsidR="00DC56FD">
        <w:rPr>
          <w:b/>
        </w:rPr>
        <w:t>április 24</w:t>
      </w:r>
      <w:r w:rsidRPr="00DC67EB">
        <w:rPr>
          <w:b/>
        </w:rPr>
        <w:t>-én került elfogadásra a vízpolitika terén a közösségi fellépés kereteinek meghatározásáról szóló 2000/60/EK irányelv, a felszín alatti vizek szennyezés és állapotromlás elleni védelméről szóló 2006/118/EK irányelv és a vízpolitika területén a környezetminőségi előírásokról szóló 2008/105/EK irányelv módosításáról szóló (EU) 2024/... európai parlamenti és tanácsi irányelv elfogadására tekintettel</w:t>
      </w:r>
    </w:p>
    <w:p w14:paraId="61D7FCAF" w14:textId="77777777" w:rsidR="001D30D4" w:rsidRPr="00DC67EB" w:rsidRDefault="001D30D4" w:rsidP="001D30D4">
      <w:pPr>
        <w:widowControl/>
        <w:spacing w:before="360" w:after="240" w:line="360" w:lineRule="auto"/>
        <w:jc w:val="center"/>
        <w:rPr>
          <w:szCs w:val="24"/>
          <w:lang w:eastAsia="en-US"/>
        </w:rPr>
      </w:pPr>
      <w:r w:rsidRPr="00DC67EB">
        <w:rPr>
          <w:szCs w:val="24"/>
          <w:lang w:eastAsia="en-US"/>
        </w:rPr>
        <w:t>(EGT-vonatkozású szöveg)</w:t>
      </w:r>
    </w:p>
    <w:p w14:paraId="3605A7F5" w14:textId="77777777" w:rsidR="001D30D4" w:rsidRPr="00DC67EB" w:rsidRDefault="001D30D4" w:rsidP="001D30D4">
      <w:pPr>
        <w:keepNext/>
        <w:spacing w:before="600" w:after="120" w:line="360" w:lineRule="auto"/>
        <w:rPr>
          <w:szCs w:val="24"/>
          <w:lang w:eastAsia="en-US"/>
        </w:rPr>
      </w:pPr>
      <w:r w:rsidRPr="00DC67EB">
        <w:rPr>
          <w:szCs w:val="24"/>
          <w:lang w:eastAsia="en-US"/>
        </w:rPr>
        <w:t>AZ EURÓPAI PARLAMENT ÉS AZ EURÓPAI UNIÓ TANÁCSA,</w:t>
      </w:r>
    </w:p>
    <w:p w14:paraId="12092871" w14:textId="77777777" w:rsidR="001D30D4" w:rsidRPr="00DC67EB" w:rsidRDefault="001D30D4" w:rsidP="001D30D4">
      <w:pPr>
        <w:spacing w:before="120" w:after="120" w:line="360" w:lineRule="auto"/>
        <w:rPr>
          <w:lang w:eastAsia="en-US"/>
        </w:rPr>
      </w:pPr>
      <w:r w:rsidRPr="00DC67EB">
        <w:rPr>
          <w:lang w:eastAsia="en-US"/>
        </w:rPr>
        <w:t>tekintettel az Európai Unió működéséről szóló szerződésre és különösen annak 192. cikke (1) bekezdésére,</w:t>
      </w:r>
    </w:p>
    <w:p w14:paraId="046120A4" w14:textId="77777777" w:rsidR="001D30D4" w:rsidRPr="00DC67EB" w:rsidRDefault="001D30D4" w:rsidP="001D30D4">
      <w:pPr>
        <w:spacing w:before="120" w:after="120" w:line="360" w:lineRule="auto"/>
        <w:rPr>
          <w:lang w:eastAsia="en-US"/>
        </w:rPr>
      </w:pPr>
      <w:r w:rsidRPr="00DC67EB">
        <w:rPr>
          <w:lang w:eastAsia="en-US"/>
        </w:rPr>
        <w:t>tekintettel az Európai Bizottság javaslatára,</w:t>
      </w:r>
    </w:p>
    <w:p w14:paraId="1D2DDFCA" w14:textId="77777777" w:rsidR="001D30D4" w:rsidRPr="00DC67EB" w:rsidRDefault="001D30D4" w:rsidP="001D30D4">
      <w:pPr>
        <w:spacing w:before="120" w:after="120" w:line="360" w:lineRule="auto"/>
        <w:rPr>
          <w:lang w:eastAsia="en-US"/>
        </w:rPr>
      </w:pPr>
      <w:r w:rsidRPr="00DC67EB">
        <w:rPr>
          <w:lang w:eastAsia="en-US"/>
        </w:rPr>
        <w:t>a jogalkotási aktus tervezete nemzeti parlamenteknek való megküldését követően,</w:t>
      </w:r>
    </w:p>
    <w:p w14:paraId="03EF024E" w14:textId="77777777" w:rsidR="001D30D4" w:rsidRPr="00DC67EB" w:rsidRDefault="001D30D4" w:rsidP="001D30D4">
      <w:pPr>
        <w:spacing w:before="120" w:after="120" w:line="360" w:lineRule="auto"/>
        <w:rPr>
          <w:lang w:eastAsia="en-US"/>
        </w:rPr>
      </w:pPr>
      <w:r w:rsidRPr="00DC67EB">
        <w:rPr>
          <w:lang w:eastAsia="en-US"/>
        </w:rPr>
        <w:t>tekintettel az Európai Gazdasági és Szociális Bizottság véleményére</w:t>
      </w:r>
      <w:r w:rsidRPr="00DC67EB">
        <w:rPr>
          <w:vertAlign w:val="superscript"/>
          <w:lang w:val="en-GB" w:eastAsia="en-US"/>
        </w:rPr>
        <w:footnoteReference w:id="3"/>
      </w:r>
      <w:r w:rsidRPr="00DC67EB">
        <w:rPr>
          <w:lang w:eastAsia="en-US"/>
        </w:rPr>
        <w:t>,</w:t>
      </w:r>
    </w:p>
    <w:p w14:paraId="03382D7A" w14:textId="77777777" w:rsidR="001D30D4" w:rsidRPr="00DC67EB" w:rsidRDefault="001D30D4" w:rsidP="001D30D4">
      <w:pPr>
        <w:spacing w:before="120" w:after="120" w:line="360" w:lineRule="auto"/>
        <w:rPr>
          <w:lang w:eastAsia="en-US"/>
        </w:rPr>
      </w:pPr>
      <w:r w:rsidRPr="00DC67EB">
        <w:rPr>
          <w:lang w:eastAsia="en-US"/>
        </w:rPr>
        <w:t>tekintettel a Régiók Bizottságának véleményére</w:t>
      </w:r>
      <w:r w:rsidRPr="00DC67EB">
        <w:rPr>
          <w:vertAlign w:val="superscript"/>
          <w:lang w:val="en-GB" w:eastAsia="en-US"/>
        </w:rPr>
        <w:footnoteReference w:id="4"/>
      </w:r>
      <w:r w:rsidRPr="00DC67EB">
        <w:rPr>
          <w:lang w:eastAsia="en-US"/>
        </w:rPr>
        <w:t>,</w:t>
      </w:r>
    </w:p>
    <w:p w14:paraId="1D354B35" w14:textId="77777777" w:rsidR="001D30D4" w:rsidRPr="00DC67EB" w:rsidRDefault="001D30D4" w:rsidP="001D30D4">
      <w:pPr>
        <w:spacing w:before="120" w:after="120" w:line="360" w:lineRule="auto"/>
        <w:rPr>
          <w:lang w:eastAsia="en-US"/>
        </w:rPr>
      </w:pPr>
      <w:r w:rsidRPr="00DC67EB">
        <w:rPr>
          <w:lang w:eastAsia="en-US"/>
        </w:rPr>
        <w:t>rendes jogalkotási eljárás keretében,</w:t>
      </w:r>
    </w:p>
    <w:p w14:paraId="2092F857" w14:textId="77777777" w:rsidR="001D30D4" w:rsidRPr="00DC67EB" w:rsidRDefault="001D30D4" w:rsidP="001D30D4">
      <w:pPr>
        <w:spacing w:before="120" w:after="120" w:line="360" w:lineRule="auto"/>
        <w:rPr>
          <w:lang w:eastAsia="en-US"/>
        </w:rPr>
      </w:pPr>
      <w:r w:rsidRPr="00DC67EB">
        <w:rPr>
          <w:lang w:eastAsia="en-US"/>
        </w:rPr>
        <w:br w:type="page"/>
      </w:r>
      <w:r w:rsidRPr="00DC67EB">
        <w:rPr>
          <w:lang w:eastAsia="en-US"/>
        </w:rPr>
        <w:lastRenderedPageBreak/>
        <w:t>mivel:</w:t>
      </w:r>
    </w:p>
    <w:p w14:paraId="414DE20B"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t>(</w:t>
      </w:r>
      <w:r w:rsidR="00F103D0">
        <w:rPr>
          <w:b/>
          <w:i/>
          <w:szCs w:val="24"/>
          <w:lang w:eastAsia="en-US"/>
        </w:rPr>
        <w:t>-</w:t>
      </w:r>
      <w:r w:rsidRPr="00DC67EB">
        <w:rPr>
          <w:b/>
          <w:i/>
          <w:szCs w:val="24"/>
          <w:lang w:eastAsia="en-US"/>
        </w:rPr>
        <w:t>1)</w:t>
      </w:r>
      <w:r w:rsidRPr="00DC67EB">
        <w:rPr>
          <w:szCs w:val="24"/>
          <w:lang w:eastAsia="en-US"/>
        </w:rPr>
        <w:tab/>
      </w:r>
      <w:r w:rsidRPr="00DC67EB">
        <w:rPr>
          <w:b/>
          <w:i/>
          <w:szCs w:val="24"/>
          <w:lang w:eastAsia="en-US"/>
        </w:rPr>
        <w:t>A víz nem szokásos kereskedelmi termék, hanem közös jószág és örökség, amit annak megfelelően óvni és kezelni kell az ökoszisztémák megőrzése és a tiszta vízhez való egyetemes hozzáférés biztosítása érdekében.</w:t>
      </w:r>
      <w:r w:rsidRPr="00DC67EB">
        <w:rPr>
          <w:b/>
          <w:szCs w:val="24"/>
          <w:lang w:eastAsia="en-US"/>
        </w:rPr>
        <w:t xml:space="preserve"> [</w:t>
      </w:r>
      <w:r w:rsidR="000536D5" w:rsidRPr="00DC67EB">
        <w:rPr>
          <w:b/>
          <w:szCs w:val="24"/>
          <w:lang w:eastAsia="en-US"/>
        </w:rPr>
        <w:t>Mód</w:t>
      </w:r>
      <w:r w:rsidRPr="00DC67EB">
        <w:rPr>
          <w:b/>
          <w:szCs w:val="24"/>
          <w:lang w:eastAsia="en-US"/>
        </w:rPr>
        <w:t>. 1]</w:t>
      </w:r>
    </w:p>
    <w:p w14:paraId="63E5A1ED"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t>(</w:t>
      </w:r>
      <w:r w:rsidR="00F103D0">
        <w:rPr>
          <w:b/>
          <w:i/>
          <w:szCs w:val="24"/>
          <w:lang w:eastAsia="en-US"/>
        </w:rPr>
        <w:t>-1</w:t>
      </w:r>
      <w:r w:rsidR="00E54390">
        <w:rPr>
          <w:b/>
          <w:i/>
          <w:szCs w:val="24"/>
          <w:lang w:eastAsia="en-US"/>
        </w:rPr>
        <w:t>a</w:t>
      </w:r>
      <w:r w:rsidRPr="00DC67EB">
        <w:rPr>
          <w:b/>
          <w:i/>
          <w:szCs w:val="24"/>
          <w:lang w:eastAsia="en-US"/>
        </w:rPr>
        <w:t>)</w:t>
      </w:r>
      <w:r w:rsidRPr="00DC67EB">
        <w:rPr>
          <w:szCs w:val="24"/>
          <w:lang w:eastAsia="en-US"/>
        </w:rPr>
        <w:tab/>
      </w:r>
      <w:r w:rsidRPr="00DC67EB">
        <w:rPr>
          <w:b/>
          <w:i/>
          <w:szCs w:val="24"/>
          <w:lang w:eastAsia="en-US"/>
        </w:rPr>
        <w:t>Az ENSZ Közgyűlése 2010. július 28-án elismerte, hogy a biztonságos és tiszta ivóvízhez és a megfelelő higiéniás létesítményekhez való jog a teljes értékű élethez és az összes emberi jog teljes körű gyakorlásához nélkülözhetetlen emberi jog”. A „Right2Water” elnevezésű 2014. évi európai polgári kezdeményezés sikerét követően a Bizottság 2018-ban elfogadta az ivóvízről szóló irányelv felülvizsgálatára irányuló javaslatot, és az ehhez kapcsolódó módosított irányelv 2021. január 12-én hatályba lépett. Az említett irányelv arra kötelezi a tagállamokat, hogy javítsák az emberi fogyasztásra szánt vízhez való hozzáférést, többek között a 2000/60/EK irányelv alapján szerzett ismeretekre és végrehajtott intézkedésekre támaszkodva. A tagállamoknak továbbá biztosítaniuk kell a tiszta vízhez és a megfelelő higiéniás létesítményekhez való jog érvényesülését mind a felszíni, mind a felszín alatti vizek minőségének javítása révén.</w:t>
      </w:r>
      <w:r w:rsidRPr="00DC67EB">
        <w:rPr>
          <w:b/>
          <w:szCs w:val="24"/>
          <w:lang w:eastAsia="en-US"/>
        </w:rPr>
        <w:t xml:space="preserve"> [</w:t>
      </w:r>
      <w:r w:rsidR="000536D5" w:rsidRPr="00DC67EB">
        <w:rPr>
          <w:b/>
          <w:szCs w:val="24"/>
          <w:lang w:eastAsia="en-US"/>
        </w:rPr>
        <w:t>Mód</w:t>
      </w:r>
      <w:r w:rsidRPr="00DC67EB">
        <w:rPr>
          <w:b/>
          <w:szCs w:val="24"/>
          <w:lang w:eastAsia="en-US"/>
        </w:rPr>
        <w:t>. 2]</w:t>
      </w:r>
    </w:p>
    <w:p w14:paraId="7B81EA72" w14:textId="77777777" w:rsidR="001D30D4" w:rsidRPr="00DC67EB" w:rsidRDefault="001D30D4" w:rsidP="001D30D4">
      <w:pPr>
        <w:spacing w:before="120" w:after="120" w:line="360" w:lineRule="auto"/>
        <w:ind w:left="850" w:hanging="850"/>
        <w:rPr>
          <w:b/>
          <w:szCs w:val="24"/>
          <w:lang w:eastAsia="en-US"/>
        </w:rPr>
      </w:pPr>
      <w:r w:rsidRPr="00DC67EB">
        <w:rPr>
          <w:szCs w:val="24"/>
          <w:lang w:eastAsia="en-US"/>
        </w:rPr>
        <w:br w:type="page"/>
      </w:r>
      <w:r w:rsidRPr="00DC67EB">
        <w:rPr>
          <w:szCs w:val="24"/>
          <w:lang w:eastAsia="en-US"/>
        </w:rPr>
        <w:lastRenderedPageBreak/>
        <w:t>(1)</w:t>
      </w:r>
      <w:r w:rsidRPr="00DC67EB">
        <w:rPr>
          <w:szCs w:val="24"/>
          <w:lang w:eastAsia="en-US"/>
        </w:rPr>
        <w:tab/>
        <w:t xml:space="preserve">A felszíni és felszín alatti vizek kémiai anyagokkal történő szennyezése olyan hatásokkal fenyegeti a vízi környezetet, mint a vízi szervezetekre jelentett akut és krónikus toxicitás, a szennyező anyagok ökoszisztémában való felhalmozódása, valamint az élőhelyek pusztulása és a biológiai sokféleség csökkenése; mindemellett veszélyt jelent az emberi egészségre is. Környezetminőségi előírások meghatározásával elő lehet segíteni a toxikus anyagoktól mentes </w:t>
      </w:r>
      <w:r w:rsidRPr="00DC67EB">
        <w:rPr>
          <w:strike/>
          <w:szCs w:val="24"/>
          <w:lang w:eastAsia="en-US"/>
        </w:rPr>
        <w:t>környezet megteremteni kívánó</w:t>
      </w:r>
      <w:r w:rsidRPr="00DC67EB">
        <w:rPr>
          <w:b/>
          <w:i/>
          <w:szCs w:val="24"/>
          <w:lang w:eastAsia="en-US"/>
        </w:rPr>
        <w:t>környezetre vonatkozó</w:t>
      </w:r>
      <w:r w:rsidRPr="00DC67EB">
        <w:rPr>
          <w:szCs w:val="24"/>
          <w:lang w:eastAsia="en-US"/>
        </w:rPr>
        <w:t xml:space="preserve"> szennyezőanyag-mentességi célkitűzés teljesítését</w:t>
      </w:r>
      <w:r w:rsidRPr="00DC67EB">
        <w:rPr>
          <w:b/>
          <w:i/>
          <w:szCs w:val="24"/>
          <w:lang w:eastAsia="en-US"/>
        </w:rPr>
        <w:t>, amely a 8</w:t>
      </w:r>
      <w:r w:rsidRPr="00DC67EB">
        <w:rPr>
          <w:szCs w:val="24"/>
          <w:lang w:eastAsia="en-US"/>
        </w:rPr>
        <w:t>.</w:t>
      </w:r>
      <w:r w:rsidRPr="00DC67EB">
        <w:rPr>
          <w:b/>
          <w:i/>
          <w:szCs w:val="24"/>
          <w:lang w:eastAsia="en-US"/>
        </w:rPr>
        <w:t xml:space="preserve"> környezetvédelmi cselekvési program</w:t>
      </w:r>
      <w:r w:rsidRPr="00DC67EB">
        <w:rPr>
          <w:szCs w:val="24"/>
          <w:vertAlign w:val="superscript"/>
          <w:lang w:val="en-GB" w:eastAsia="en-US"/>
        </w:rPr>
        <w:footnoteReference w:id="5"/>
      </w:r>
      <w:r w:rsidRPr="00DC67EB">
        <w:rPr>
          <w:b/>
          <w:i/>
          <w:szCs w:val="24"/>
          <w:lang w:eastAsia="en-US"/>
        </w:rPr>
        <w:t xml:space="preserve"> egyik kiemelt célja.</w:t>
      </w:r>
      <w:r w:rsidRPr="00DC67EB">
        <w:rPr>
          <w:b/>
          <w:szCs w:val="24"/>
          <w:lang w:eastAsia="en-US"/>
        </w:rPr>
        <w:t xml:space="preserve"> [</w:t>
      </w:r>
      <w:r w:rsidR="000536D5" w:rsidRPr="00DC67EB">
        <w:rPr>
          <w:b/>
          <w:szCs w:val="24"/>
          <w:lang w:eastAsia="en-US"/>
        </w:rPr>
        <w:t>Mód</w:t>
      </w:r>
      <w:r w:rsidRPr="00DC67EB">
        <w:rPr>
          <w:b/>
          <w:szCs w:val="24"/>
          <w:lang w:eastAsia="en-US"/>
        </w:rPr>
        <w:t>. 3]</w:t>
      </w:r>
    </w:p>
    <w:p w14:paraId="420C0017"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t>(1a)</w:t>
      </w:r>
      <w:r w:rsidRPr="00DC67EB">
        <w:rPr>
          <w:szCs w:val="24"/>
          <w:lang w:eastAsia="en-US"/>
        </w:rPr>
        <w:tab/>
      </w:r>
      <w:r w:rsidRPr="00DC67EB">
        <w:rPr>
          <w:b/>
          <w:i/>
          <w:szCs w:val="24"/>
          <w:lang w:eastAsia="en-US"/>
        </w:rPr>
        <w:t>Az Európai Környezetvédelmi Ügynökség szerint a jelentések azt mutatják, hogy a felszín alatti víztestek területének mintegy 90%-a jó mennyiségi, körülbelül 75%-a pedig jó kémiai állapotban van, a felszíni víztestek 40%-a jó vagy kiváló ökológiai, 38%-a pedig jó kémiai állapotban van, ugyanakkor az Európai Környezetvédelmi Ügynökség „The European environment – state and outlook 2020: Knowledge for transition to a sustainable Europe” (Európai környezet – helyzetkép és kilátások 2020-ban: tudás a fenntartható Európába való átmenetért) című, 2019. december 4-i közleményében megállapította, hogy a szennyezés csökkentése javította a vízminőséget, de az Unió messze nem érte el 2020-ra az összes víztest jó ökológiai állapotát.</w:t>
      </w:r>
      <w:r w:rsidR="00DC67EB" w:rsidRPr="00DC67EB">
        <w:rPr>
          <w:b/>
          <w:szCs w:val="24"/>
          <w:lang w:eastAsia="en-US"/>
        </w:rPr>
        <w:t xml:space="preserve"> [</w:t>
      </w:r>
      <w:r w:rsidR="000536D5" w:rsidRPr="00DC67EB">
        <w:rPr>
          <w:b/>
          <w:szCs w:val="24"/>
          <w:lang w:eastAsia="en-US"/>
        </w:rPr>
        <w:t>Mód</w:t>
      </w:r>
      <w:r w:rsidRPr="00DC67EB">
        <w:rPr>
          <w:b/>
          <w:szCs w:val="24"/>
          <w:lang w:eastAsia="en-US"/>
        </w:rPr>
        <w:t>. 4]</w:t>
      </w:r>
    </w:p>
    <w:p w14:paraId="616C42C0"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br w:type="page"/>
      </w:r>
      <w:r w:rsidRPr="00DC67EB">
        <w:rPr>
          <w:b/>
          <w:i/>
          <w:szCs w:val="24"/>
          <w:lang w:eastAsia="en-US"/>
        </w:rPr>
        <w:lastRenderedPageBreak/>
        <w:t>(1b)</w:t>
      </w:r>
      <w:r w:rsidRPr="00DC67EB">
        <w:rPr>
          <w:szCs w:val="24"/>
          <w:lang w:eastAsia="en-US"/>
        </w:rPr>
        <w:tab/>
      </w:r>
      <w:r w:rsidRPr="00DC67EB">
        <w:rPr>
          <w:b/>
          <w:i/>
          <w:szCs w:val="24"/>
          <w:lang w:eastAsia="en-US"/>
        </w:rPr>
        <w:t>A víz-keretirányelv 2019. évi célravezetőségi vizsgálata („a célravezetőségi vizsgálat”) arra a következtetésre jutott az értékelésében, hogy az intézkedési programok következő köre kulcsszerepet fog játszani a 2000/60/EK irányelv környezetvédelmi célkitűzéseinek 2027-ig történő eléréséhez szükséges előrehaladás biztosításában, és megállapította, hogy jelenleg az összes európai víztest több mint fele a 2000/60/EK irányelv alapján mentességet élvez, ami több mint jelentős kihívást jelent a tagállamok számára az elsőbbségi veszélyes anyagokra vonatkozó környezetminőségi előírásoknak a megfelelő határidőn belüli teljesítése tekintetében. A célravezetőségi vizsgálat emellett arra a következtetésre jutott, hogy a környezetvédelmi célkitűzéseket nem a jogszabályok hiányosságai miatt nem valósították meg teljesen, hanem főleg az elégtelen finanszírozás, a végrehajtás lassú üteme, valamint amiatt, hogy a környezetvédelmi célkitűzéseket nem sikerült megfelelő mértékben beépíteni az ágazati politikákba. [</w:t>
      </w:r>
      <w:r w:rsidR="000536D5" w:rsidRPr="00DC67EB">
        <w:rPr>
          <w:b/>
          <w:i/>
          <w:szCs w:val="24"/>
          <w:lang w:eastAsia="en-US"/>
        </w:rPr>
        <w:t>Mód</w:t>
      </w:r>
      <w:r w:rsidRPr="00DC67EB">
        <w:rPr>
          <w:b/>
          <w:i/>
          <w:szCs w:val="24"/>
          <w:lang w:eastAsia="en-US"/>
        </w:rPr>
        <w:t>. 5]</w:t>
      </w:r>
    </w:p>
    <w:p w14:paraId="1149BC22"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br w:type="page"/>
      </w:r>
      <w:r w:rsidRPr="00DC67EB">
        <w:rPr>
          <w:b/>
          <w:i/>
          <w:szCs w:val="24"/>
          <w:lang w:eastAsia="en-US"/>
        </w:rPr>
        <w:lastRenderedPageBreak/>
        <w:t>(1c)</w:t>
      </w:r>
      <w:r w:rsidRPr="00DC67EB">
        <w:rPr>
          <w:szCs w:val="24"/>
          <w:lang w:eastAsia="en-US"/>
        </w:rPr>
        <w:tab/>
      </w:r>
      <w:r w:rsidRPr="00DC67EB">
        <w:rPr>
          <w:b/>
          <w:i/>
          <w:szCs w:val="24"/>
          <w:lang w:eastAsia="en-US"/>
        </w:rPr>
        <w:t>Földrajzi és társadalmi-gazdasági tényezők miatt egyes népességcsoportok, többek között az őslakos népek jobban ki vannak téve a vízszennyezésnek. Az Európai Unióban várhatóan növekedni fog a bányászati ágazat, hogy biztosítani lehessen a nulla nettó kibocsátási célt szolgáló ipar fejlesztését. Ahogy az az Európai Környezetvédelmi Ügynökség (EEA) 09/2021. sz. jelentésében</w:t>
      </w:r>
      <w:r w:rsidRPr="00DC67EB">
        <w:rPr>
          <w:szCs w:val="24"/>
          <w:vertAlign w:val="superscript"/>
          <w:lang w:val="en-GB" w:eastAsia="en-US"/>
        </w:rPr>
        <w:footnoteReference w:id="6"/>
      </w:r>
      <w:r w:rsidRPr="00DC67EB">
        <w:rPr>
          <w:b/>
          <w:i/>
          <w:szCs w:val="24"/>
          <w:lang w:eastAsia="en-US"/>
        </w:rPr>
        <w:t xml:space="preserve"> szerepel, a bányászati ágazat közvetlen hatással van a víz minőségére és mennyiségére. Ezért jobban végre kell hajtani a meglévő jogszabályi kereteket, valamint a bányászati műveletek során is meg kell tervezni és ellenőrizni kell a vízhasználatot és a szennyvízkibocsátást.</w:t>
      </w:r>
      <w:r w:rsidR="000536D5" w:rsidRPr="00DC67EB">
        <w:rPr>
          <w:b/>
          <w:szCs w:val="24"/>
          <w:lang w:eastAsia="en-US"/>
        </w:rPr>
        <w:t xml:space="preserve"> [Mód</w:t>
      </w:r>
      <w:r w:rsidR="00DC67EB" w:rsidRPr="00DC67EB">
        <w:rPr>
          <w:b/>
          <w:szCs w:val="24"/>
          <w:lang w:eastAsia="en-US"/>
        </w:rPr>
        <w:t xml:space="preserve">. </w:t>
      </w:r>
      <w:r w:rsidRPr="00DC67EB">
        <w:rPr>
          <w:b/>
          <w:szCs w:val="24"/>
          <w:lang w:eastAsia="en-US"/>
        </w:rPr>
        <w:t>6]</w:t>
      </w:r>
    </w:p>
    <w:p w14:paraId="54C32BE8"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t>(1d)</w:t>
      </w:r>
      <w:r w:rsidRPr="00DC67EB">
        <w:rPr>
          <w:szCs w:val="24"/>
          <w:lang w:eastAsia="en-US"/>
        </w:rPr>
        <w:tab/>
      </w:r>
      <w:r w:rsidRPr="00DC67EB">
        <w:rPr>
          <w:b/>
          <w:i/>
          <w:szCs w:val="24"/>
          <w:lang w:eastAsia="en-US"/>
        </w:rPr>
        <w:t>Az Unió számos területén a víz rendelkezésre állását nagy és egyre fokozódó akadályok nehezítik. Az utóbbi években különösen a mediterrán régiókban tapasztalt jelentős és tartós aszályok veszélybe sodorják a mezőgazdasági termelést, és súlyosan csökkentik a felszíni és felszín alatti vízkészleteket</w:t>
      </w:r>
      <w:r w:rsidRPr="00DC67EB">
        <w:rPr>
          <w:szCs w:val="24"/>
          <w:vertAlign w:val="superscript"/>
          <w:lang w:val="en-GB" w:eastAsia="en-US"/>
        </w:rPr>
        <w:footnoteReference w:id="7"/>
      </w:r>
      <w:r w:rsidRPr="00DC67EB">
        <w:rPr>
          <w:b/>
          <w:i/>
          <w:szCs w:val="24"/>
          <w:lang w:eastAsia="en-US"/>
        </w:rPr>
        <w:t>.</w:t>
      </w:r>
      <w:r w:rsidRPr="00DC67EB">
        <w:rPr>
          <w:b/>
          <w:szCs w:val="24"/>
          <w:lang w:eastAsia="en-US"/>
        </w:rPr>
        <w:t xml:space="preserve"> [</w:t>
      </w:r>
      <w:r w:rsidR="000536D5" w:rsidRPr="00DC67EB">
        <w:rPr>
          <w:b/>
          <w:szCs w:val="24"/>
          <w:lang w:eastAsia="en-US"/>
        </w:rPr>
        <w:t>Mód</w:t>
      </w:r>
      <w:r w:rsidRPr="00DC67EB">
        <w:rPr>
          <w:b/>
          <w:szCs w:val="24"/>
          <w:lang w:eastAsia="en-US"/>
        </w:rPr>
        <w:t>. 7]</w:t>
      </w:r>
    </w:p>
    <w:p w14:paraId="5E784F07"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t>(1e)</w:t>
      </w:r>
      <w:r w:rsidRPr="00DC67EB">
        <w:rPr>
          <w:szCs w:val="24"/>
          <w:lang w:eastAsia="en-US"/>
        </w:rPr>
        <w:tab/>
      </w:r>
      <w:r w:rsidRPr="00DC67EB">
        <w:rPr>
          <w:b/>
          <w:i/>
          <w:szCs w:val="24"/>
          <w:lang w:eastAsia="en-US"/>
        </w:rPr>
        <w:t>A víz mindenki javát szolgáló közjószág, amelyet mint alapvető természeti erőforrást, amely pótolhatatlan és az élethez nélkülözhetetlen erőforrás, gondosan figyelembe kell venni társadalmi, gazdasági és környezeti dimenzióiban. Az éghajlatváltozás, beleértve a természeti katasztrófák és szélsőséges időjárási események gyakoribb előfordulását is, valamint a biológiai sokféleség csökkenése negatívan befolyásolja a víz minőségét és mennyiségét, ez pedig nyomást gyakorol a víz rendelkezésre állásától függő ágazatokra, különösen a mezőgazdaságra.</w:t>
      </w:r>
      <w:r w:rsidRPr="00DC67EB">
        <w:rPr>
          <w:b/>
          <w:szCs w:val="24"/>
          <w:lang w:eastAsia="en-US"/>
        </w:rPr>
        <w:t xml:space="preserve"> [</w:t>
      </w:r>
      <w:r w:rsidR="000536D5" w:rsidRPr="00DC67EB">
        <w:rPr>
          <w:b/>
          <w:szCs w:val="24"/>
          <w:lang w:eastAsia="en-US"/>
        </w:rPr>
        <w:t>Mód</w:t>
      </w:r>
      <w:r w:rsidRPr="00DC67EB">
        <w:rPr>
          <w:b/>
          <w:szCs w:val="24"/>
          <w:lang w:eastAsia="en-US"/>
        </w:rPr>
        <w:t>. 8]</w:t>
      </w:r>
    </w:p>
    <w:p w14:paraId="487CA106"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br w:type="page"/>
      </w:r>
      <w:r w:rsidRPr="00DC67EB">
        <w:rPr>
          <w:b/>
          <w:i/>
          <w:szCs w:val="24"/>
          <w:lang w:eastAsia="en-US"/>
        </w:rPr>
        <w:lastRenderedPageBreak/>
        <w:t>(1f)</w:t>
      </w:r>
      <w:r w:rsidRPr="00DC67EB">
        <w:rPr>
          <w:szCs w:val="24"/>
          <w:lang w:eastAsia="en-US"/>
        </w:rPr>
        <w:tab/>
      </w:r>
      <w:r w:rsidRPr="00DC67EB">
        <w:rPr>
          <w:b/>
          <w:i/>
          <w:szCs w:val="24"/>
          <w:lang w:eastAsia="en-US"/>
        </w:rPr>
        <w:t>Míg az Európai Környezetvédelmi Ügynökség (EEA) az „European waters – assessment of status and pressures” (Európai vizek – az állapot és a terhelések értékelése) című, 2018. évi jelentésében megállapította, hogy az Unióban a felszín alatti vizek jó kémiai állapotának elérését bizonyos mezőgazdasági gyakorlatok akadályozzák, amelyek nitrát- és növényvédőszer-szennyezést eredményeznek, az elmúlt évtizedekben az EU-ban az ásványi műtrágyák használatának és a tápanyagfeleslegeknek a folyamatos csökkenése figyelhető meg</w:t>
      </w:r>
      <w:r w:rsidRPr="00DC67EB">
        <w:rPr>
          <w:szCs w:val="24"/>
          <w:vertAlign w:val="superscript"/>
          <w:lang w:val="en-GB" w:eastAsia="en-US"/>
        </w:rPr>
        <w:footnoteReference w:id="8"/>
      </w:r>
      <w:r w:rsidRPr="00DC67EB">
        <w:rPr>
          <w:b/>
          <w:i/>
          <w:szCs w:val="24"/>
          <w:lang w:eastAsia="en-US"/>
        </w:rPr>
        <w:t>. A csatornahálózaton kívüli kibocsátások, a szennyezett területek vagy az elhagyott ipari területek is jelentős szennyező források.</w:t>
      </w:r>
      <w:r w:rsidRPr="00DC67EB">
        <w:rPr>
          <w:b/>
          <w:szCs w:val="24"/>
          <w:lang w:eastAsia="en-US"/>
        </w:rPr>
        <w:t xml:space="preserve"> [</w:t>
      </w:r>
      <w:r w:rsidR="000536D5" w:rsidRPr="00DC67EB">
        <w:rPr>
          <w:b/>
          <w:szCs w:val="24"/>
          <w:lang w:eastAsia="en-US"/>
        </w:rPr>
        <w:t>Mód</w:t>
      </w:r>
      <w:r w:rsidRPr="00DC67EB">
        <w:rPr>
          <w:b/>
          <w:szCs w:val="24"/>
          <w:lang w:eastAsia="en-US"/>
        </w:rPr>
        <w:t>. 9]</w:t>
      </w:r>
    </w:p>
    <w:p w14:paraId="703A4914"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t>(1g)</w:t>
      </w:r>
      <w:r w:rsidRPr="00DC67EB">
        <w:rPr>
          <w:szCs w:val="24"/>
          <w:lang w:eastAsia="en-US"/>
        </w:rPr>
        <w:tab/>
      </w:r>
      <w:r w:rsidRPr="00DC67EB">
        <w:rPr>
          <w:b/>
          <w:i/>
          <w:szCs w:val="24"/>
          <w:lang w:eastAsia="en-US"/>
        </w:rPr>
        <w:t>A víztestek jó állapota és a vízkészletekkel való hatékony gazdálkodás a mezőgazdaság számára kiemelt kérdést jelent, mivel a gazdálkodók tevékenységei során nélkülözhetetlen a víz, és ilyen módon alapvető érdekük fűződik ennek az erőforrásnak a fenntartható felhasználásához.</w:t>
      </w:r>
      <w:r w:rsidRPr="00DC67EB">
        <w:rPr>
          <w:b/>
          <w:szCs w:val="24"/>
          <w:lang w:eastAsia="en-US"/>
        </w:rPr>
        <w:t xml:space="preserve"> [</w:t>
      </w:r>
      <w:r w:rsidR="000536D5" w:rsidRPr="00DC67EB">
        <w:rPr>
          <w:b/>
          <w:szCs w:val="24"/>
          <w:lang w:eastAsia="en-US"/>
        </w:rPr>
        <w:t>Mód</w:t>
      </w:r>
      <w:r w:rsidRPr="00DC67EB">
        <w:rPr>
          <w:b/>
          <w:szCs w:val="24"/>
          <w:lang w:eastAsia="en-US"/>
        </w:rPr>
        <w:t>. 10]</w:t>
      </w:r>
    </w:p>
    <w:p w14:paraId="071285AC"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t>(1h)</w:t>
      </w:r>
      <w:r w:rsidRPr="00DC67EB">
        <w:rPr>
          <w:szCs w:val="24"/>
          <w:lang w:eastAsia="en-US"/>
        </w:rPr>
        <w:tab/>
      </w:r>
      <w:r w:rsidRPr="00DC67EB">
        <w:rPr>
          <w:b/>
          <w:i/>
          <w:szCs w:val="24"/>
          <w:lang w:eastAsia="en-US"/>
        </w:rPr>
        <w:t>Ahhoz, hogy megkönnyíthessük a fenntarthatóbb és termelékenyebb, a víz korlátozott rendelkezésre állása tekintetében reziliens mezőgazdasági ágazatra való átmenetet, ösztönzőket kell bevezetni a gazdálkodók számára a vízgazdálkodás javítása, valamint az öntözési rendszerek és technikák korszerűsítése érdekében.</w:t>
      </w:r>
      <w:r w:rsidRPr="00DC67EB">
        <w:rPr>
          <w:b/>
          <w:szCs w:val="24"/>
          <w:lang w:eastAsia="en-US"/>
        </w:rPr>
        <w:t xml:space="preserve"> [</w:t>
      </w:r>
      <w:r w:rsidR="000536D5" w:rsidRPr="00DC67EB">
        <w:rPr>
          <w:b/>
          <w:szCs w:val="24"/>
          <w:lang w:eastAsia="en-US"/>
        </w:rPr>
        <w:t>Mód</w:t>
      </w:r>
      <w:r w:rsidRPr="00DC67EB">
        <w:rPr>
          <w:b/>
          <w:szCs w:val="24"/>
          <w:lang w:eastAsia="en-US"/>
        </w:rPr>
        <w:t>. 11]</w:t>
      </w:r>
    </w:p>
    <w:p w14:paraId="6C9EBF45"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br w:type="page"/>
      </w:r>
      <w:r w:rsidRPr="00DC67EB">
        <w:rPr>
          <w:b/>
          <w:i/>
          <w:szCs w:val="24"/>
          <w:lang w:eastAsia="en-US"/>
        </w:rPr>
        <w:lastRenderedPageBreak/>
        <w:t>(1i)</w:t>
      </w:r>
      <w:r w:rsidRPr="00DC67EB">
        <w:rPr>
          <w:szCs w:val="24"/>
          <w:lang w:eastAsia="en-US"/>
        </w:rPr>
        <w:tab/>
      </w:r>
      <w:r w:rsidRPr="00DC67EB">
        <w:rPr>
          <w:b/>
          <w:i/>
          <w:szCs w:val="24"/>
          <w:lang w:eastAsia="en-US"/>
        </w:rPr>
        <w:t>A növényvédő szerek használata súlyosan tudja befolyásolni a mezőgazdasági felhasználásra rendelkezésre álló vízminőséget és -mennyiséget, ez pedig kedvezőtlenül hathat a vízi és szárazföldi biológiai sokféleségre. Ezért érdemes figyelemmel kísérni a növényvédő szerek és metabolitjaik víztestekre gyakorolt hatását és ökotoxicitását.</w:t>
      </w:r>
      <w:r w:rsidRPr="00DC67EB">
        <w:rPr>
          <w:b/>
          <w:szCs w:val="24"/>
          <w:lang w:eastAsia="en-US"/>
        </w:rPr>
        <w:t xml:space="preserve"> [</w:t>
      </w:r>
      <w:r w:rsidR="000536D5" w:rsidRPr="00DC67EB">
        <w:rPr>
          <w:b/>
          <w:szCs w:val="24"/>
          <w:lang w:eastAsia="en-US"/>
        </w:rPr>
        <w:t>Mód</w:t>
      </w:r>
      <w:r w:rsidRPr="00DC67EB">
        <w:rPr>
          <w:b/>
          <w:szCs w:val="24"/>
          <w:lang w:eastAsia="en-US"/>
        </w:rPr>
        <w:t>. 12]</w:t>
      </w:r>
    </w:p>
    <w:p w14:paraId="211CA537"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t>(1j)</w:t>
      </w:r>
      <w:r w:rsidRPr="00DC67EB">
        <w:rPr>
          <w:szCs w:val="24"/>
          <w:lang w:eastAsia="en-US"/>
        </w:rPr>
        <w:tab/>
      </w:r>
      <w:r w:rsidRPr="00DC67EB">
        <w:rPr>
          <w:b/>
          <w:i/>
          <w:szCs w:val="24"/>
          <w:lang w:eastAsia="en-US"/>
        </w:rPr>
        <w:t>Mindenképpen figyelembe kell venni az eddigi erőfeszítéseket olyan ágazatokban, mint amilyen a mezőgazdaság, ahol a 2015 és 2017 közötti időszakhoz képest már 14%-kal sikerült csökkenteni a növény-egészségügyi szennyezettséget, és 26%-kal, ha az ártalmas szennyező anyagokat is figyelembe vesszük. A számadatok szerint tehát folyamatosan mérséklődik a vegyszerek használata és kockázata, 2020 már a második olyan év egymást követően, amikor jelentősen csökkent a növényvédő szerek, különösen a legveszélyesebbek felhasználása</w:t>
      </w:r>
      <w:r w:rsidRPr="00DC67EB">
        <w:rPr>
          <w:szCs w:val="24"/>
          <w:vertAlign w:val="superscript"/>
          <w:lang w:val="en-GB" w:eastAsia="en-US"/>
        </w:rPr>
        <w:footnoteReference w:id="9"/>
      </w:r>
      <w:r w:rsidRPr="00DC67EB">
        <w:rPr>
          <w:b/>
          <w:i/>
          <w:szCs w:val="24"/>
          <w:lang w:eastAsia="en-US"/>
        </w:rPr>
        <w:t>.</w:t>
      </w:r>
      <w:r w:rsidRPr="00DC67EB">
        <w:rPr>
          <w:b/>
          <w:szCs w:val="24"/>
          <w:lang w:eastAsia="en-US"/>
        </w:rPr>
        <w:t xml:space="preserve"> [</w:t>
      </w:r>
      <w:r w:rsidR="000536D5" w:rsidRPr="00DC67EB">
        <w:rPr>
          <w:b/>
          <w:szCs w:val="24"/>
          <w:lang w:eastAsia="en-US"/>
        </w:rPr>
        <w:t>Mód</w:t>
      </w:r>
      <w:r w:rsidRPr="00DC67EB">
        <w:rPr>
          <w:b/>
          <w:szCs w:val="24"/>
          <w:lang w:eastAsia="en-US"/>
        </w:rPr>
        <w:t>. 13]</w:t>
      </w:r>
    </w:p>
    <w:p w14:paraId="62FAFF3A"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br w:type="page"/>
      </w:r>
      <w:r w:rsidRPr="00DC67EB">
        <w:rPr>
          <w:b/>
          <w:i/>
          <w:szCs w:val="24"/>
          <w:lang w:eastAsia="en-US"/>
        </w:rPr>
        <w:lastRenderedPageBreak/>
        <w:t>(1k)</w:t>
      </w:r>
      <w:r w:rsidRPr="00DC67EB">
        <w:rPr>
          <w:szCs w:val="24"/>
          <w:lang w:eastAsia="en-US"/>
        </w:rPr>
        <w:tab/>
      </w:r>
      <w:r w:rsidRPr="00DC67EB">
        <w:rPr>
          <w:b/>
          <w:i/>
          <w:szCs w:val="24"/>
          <w:lang w:eastAsia="en-US"/>
        </w:rPr>
        <w:t>A felszíni és felszín alatti vizek vegyi szennyezése szintén veszélyt jelent a mezőgazdaságra, mivel korlátozza a növénytermesztésben az öntözésre alkalmas víz rendelkezésre állását, és tovább súlyosbítja a vízhiányt. Az Uniónak és a tagállamoknak növelniük kell a kutatás és az innováció támogatását annak érdekében, hogy mihamarabb innovatív megoldásokat tudjanak alkalmazni a felszíni és felszín alatti vizek hiányának és szennyezésének kezelésére, ideértve a digitalizációt, a precíziós mezőgazdaságot, az optimalizált öntözést és az öntözés korszerűsítését, az erőforrások körforgásos felhasználását, az éghajlati szempontból ellenállóbb vízgazdálkodást, a növények esetében a növényvédő szerek és a műtrágyák célzottabb alkalmazását, a mezőgazdasági inputok kevésbé szennyező és biztonságosabb alternatíváit, az ellenállóbb és tápanyaghatékonyabb növényfajtákat, valamint a tisztított szennyvíz fokozottabb felhasználását mezőgazdasági öntözés céljára. Ennek hozzá kell járulnia a fenntartható és reziliens uniós élelmiszerrendszer megvalósításához, miközben csökkentenie kell a mezőgazdaságból származó diffúz szennyezést és a mezőgazdasági célú vízkivétel szükségességét.</w:t>
      </w:r>
      <w:r w:rsidRPr="00DC67EB">
        <w:rPr>
          <w:b/>
          <w:szCs w:val="24"/>
          <w:lang w:eastAsia="en-US"/>
        </w:rPr>
        <w:t xml:space="preserve"> [</w:t>
      </w:r>
      <w:r w:rsidR="000536D5" w:rsidRPr="00DC67EB">
        <w:rPr>
          <w:b/>
          <w:szCs w:val="24"/>
          <w:lang w:eastAsia="en-US"/>
        </w:rPr>
        <w:t>Mód</w:t>
      </w:r>
      <w:r w:rsidRPr="00DC67EB">
        <w:rPr>
          <w:b/>
          <w:szCs w:val="24"/>
          <w:lang w:eastAsia="en-US"/>
        </w:rPr>
        <w:t>. 14]</w:t>
      </w:r>
    </w:p>
    <w:p w14:paraId="521E4284" w14:textId="77777777" w:rsidR="001D30D4" w:rsidRPr="00DC67EB" w:rsidRDefault="001D30D4" w:rsidP="001D30D4">
      <w:pPr>
        <w:spacing w:before="120" w:after="120" w:line="360" w:lineRule="auto"/>
        <w:ind w:left="850" w:hanging="850"/>
        <w:rPr>
          <w:szCs w:val="24"/>
          <w:lang w:eastAsia="en-US"/>
        </w:rPr>
      </w:pPr>
      <w:r w:rsidRPr="00DC67EB">
        <w:rPr>
          <w:szCs w:val="24"/>
          <w:lang w:eastAsia="en-US"/>
        </w:rPr>
        <w:br w:type="page"/>
      </w:r>
      <w:r w:rsidRPr="00DC67EB">
        <w:rPr>
          <w:szCs w:val="24"/>
          <w:lang w:eastAsia="en-US"/>
        </w:rPr>
        <w:lastRenderedPageBreak/>
        <w:t>(2)</w:t>
      </w:r>
      <w:r w:rsidRPr="00DC67EB">
        <w:rPr>
          <w:szCs w:val="24"/>
          <w:lang w:eastAsia="en-US"/>
        </w:rPr>
        <w:tab/>
        <w:t>Az Európai Unió működéséről szóló szerződés (EUMSZ) 191. cikke (2) bekezdésének második mondata alapján az Unió környezetvédelmi politikájának az elővigyázatosság és a megelőzés elvein, a környezeti károk elsődlegesen a forrásuknál történő elhárításának elvén, valamint a „szennyező fizet” elvén kell alapulnia.</w:t>
      </w:r>
    </w:p>
    <w:p w14:paraId="6DEA91C0"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t>(2a)</w:t>
      </w:r>
      <w:r w:rsidRPr="00DC67EB">
        <w:rPr>
          <w:szCs w:val="24"/>
          <w:lang w:eastAsia="en-US"/>
        </w:rPr>
        <w:tab/>
      </w:r>
      <w:r w:rsidRPr="00DC67EB">
        <w:rPr>
          <w:b/>
          <w:i/>
          <w:szCs w:val="24"/>
          <w:lang w:eastAsia="en-US"/>
        </w:rPr>
        <w:t>A magas szintű környezetvédelem elérése és a szennyezőanyag-mentességi cselekvési terv végrehajtása során az Uniónak figyelembe kell vennie az EU különböző régióinak eltérő helyzetét, az élelmezésbiztonságra, az élelmiszer-termelésre és az élelmiszerek megfizethetőségére gyakorolt hatást, valamint az egészséges és fenntartható étrendeket.</w:t>
      </w:r>
      <w:r w:rsidRPr="00DC67EB">
        <w:rPr>
          <w:b/>
          <w:szCs w:val="24"/>
          <w:lang w:eastAsia="en-US"/>
        </w:rPr>
        <w:t xml:space="preserve"> [</w:t>
      </w:r>
      <w:r w:rsidR="000536D5" w:rsidRPr="00DC67EB">
        <w:rPr>
          <w:b/>
          <w:szCs w:val="24"/>
          <w:lang w:eastAsia="en-US"/>
        </w:rPr>
        <w:t>Mód</w:t>
      </w:r>
      <w:r w:rsidRPr="00DC67EB">
        <w:rPr>
          <w:b/>
          <w:szCs w:val="24"/>
          <w:lang w:eastAsia="en-US"/>
        </w:rPr>
        <w:t>. 15]</w:t>
      </w:r>
    </w:p>
    <w:p w14:paraId="5AE65DBF" w14:textId="77777777" w:rsidR="001D30D4" w:rsidRPr="00DC67EB" w:rsidRDefault="001D30D4" w:rsidP="001D30D4">
      <w:pPr>
        <w:spacing w:before="120" w:after="120" w:line="360" w:lineRule="auto"/>
        <w:ind w:left="850" w:hanging="850"/>
        <w:rPr>
          <w:szCs w:val="24"/>
          <w:lang w:eastAsia="en-US"/>
        </w:rPr>
      </w:pPr>
      <w:r w:rsidRPr="00DC67EB">
        <w:rPr>
          <w:szCs w:val="24"/>
          <w:lang w:eastAsia="en-US"/>
        </w:rPr>
        <w:br w:type="page"/>
      </w:r>
      <w:r w:rsidRPr="00DC67EB">
        <w:rPr>
          <w:szCs w:val="24"/>
          <w:lang w:eastAsia="en-US"/>
        </w:rPr>
        <w:lastRenderedPageBreak/>
        <w:t>(3)</w:t>
      </w:r>
      <w:r w:rsidRPr="00DC67EB">
        <w:rPr>
          <w:szCs w:val="24"/>
          <w:lang w:eastAsia="en-US"/>
        </w:rPr>
        <w:tab/>
        <w:t>Az európai zöld megállapodás</w:t>
      </w:r>
      <w:r w:rsidRPr="00DC67EB">
        <w:rPr>
          <w:szCs w:val="24"/>
          <w:vertAlign w:val="superscript"/>
          <w:lang w:val="en-GB" w:eastAsia="en-US"/>
        </w:rPr>
        <w:footnoteReference w:id="10"/>
      </w:r>
      <w:r w:rsidRPr="00DC67EB">
        <w:rPr>
          <w:szCs w:val="24"/>
          <w:lang w:eastAsia="en-US"/>
        </w:rPr>
        <w:t xml:space="preserve"> az Unió arra irányuló stratégiája, hogy 2050-re klímasemleges, tiszta és körforgásos gazdaságot biztosítson, optimalizálva az erőforrás-gazdálkodást, ugyanakkor minimálisra csökkentve a szennyezést. A vegyi anyagokra vonatkozó fenntarthatósági stratégia</w:t>
      </w:r>
      <w:r w:rsidRPr="00DC67EB">
        <w:rPr>
          <w:szCs w:val="24"/>
          <w:vertAlign w:val="superscript"/>
          <w:lang w:val="en-GB" w:eastAsia="en-US"/>
        </w:rPr>
        <w:footnoteReference w:id="11"/>
      </w:r>
      <w:r w:rsidRPr="00DC67EB">
        <w:rPr>
          <w:szCs w:val="24"/>
          <w:lang w:eastAsia="en-US"/>
        </w:rPr>
        <w:t xml:space="preserve"> és a szennyezőanyag-mentességi cselekvési terv</w:t>
      </w:r>
      <w:r w:rsidRPr="00DC67EB">
        <w:rPr>
          <w:szCs w:val="24"/>
          <w:vertAlign w:val="superscript"/>
          <w:lang w:val="en-GB" w:eastAsia="en-US"/>
        </w:rPr>
        <w:footnoteReference w:id="12"/>
      </w:r>
      <w:r w:rsidRPr="00DC67EB">
        <w:rPr>
          <w:szCs w:val="24"/>
          <w:lang w:eastAsia="en-US"/>
        </w:rPr>
        <w:t xml:space="preserve"> kifejezetten az európai zöld megállapodás környezetszennyezési aspektusaival foglalkozik. A különleges jelentőséggel bíró és kapcsoló egyéb szakpolitikák közé tartozik a 2018. évi, műanyagokkal kapcsolatos uniós stratégia</w:t>
      </w:r>
      <w:r w:rsidRPr="00DC67EB">
        <w:rPr>
          <w:szCs w:val="24"/>
          <w:vertAlign w:val="superscript"/>
          <w:lang w:val="en-GB" w:eastAsia="en-US"/>
        </w:rPr>
        <w:footnoteReference w:id="13"/>
      </w:r>
      <w:r w:rsidRPr="00DC67EB">
        <w:rPr>
          <w:szCs w:val="24"/>
          <w:lang w:eastAsia="en-US"/>
        </w:rPr>
        <w:t>, a 2021. évi európai gyógyszerstratégia</w:t>
      </w:r>
      <w:r w:rsidRPr="00DC67EB">
        <w:rPr>
          <w:szCs w:val="24"/>
          <w:vertAlign w:val="superscript"/>
          <w:lang w:val="en-GB" w:eastAsia="en-US"/>
        </w:rPr>
        <w:footnoteReference w:id="14"/>
      </w:r>
      <w:r w:rsidRPr="00DC67EB">
        <w:rPr>
          <w:szCs w:val="24"/>
          <w:lang w:eastAsia="en-US"/>
        </w:rPr>
        <w:t>, a biodiverzitási stratégia</w:t>
      </w:r>
      <w:r w:rsidRPr="00DC67EB">
        <w:rPr>
          <w:szCs w:val="24"/>
          <w:vertAlign w:val="superscript"/>
          <w:lang w:val="en-GB" w:eastAsia="en-US"/>
        </w:rPr>
        <w:footnoteReference w:id="15"/>
      </w:r>
      <w:r w:rsidRPr="00DC67EB">
        <w:rPr>
          <w:szCs w:val="24"/>
          <w:lang w:eastAsia="en-US"/>
        </w:rPr>
        <w:t>, a „termelőtől a fogyasztóig” stratégia</w:t>
      </w:r>
      <w:r w:rsidRPr="00DC67EB">
        <w:rPr>
          <w:szCs w:val="24"/>
          <w:vertAlign w:val="superscript"/>
          <w:lang w:val="en-GB" w:eastAsia="en-US"/>
        </w:rPr>
        <w:footnoteReference w:id="16"/>
      </w:r>
      <w:r w:rsidRPr="00DC67EB">
        <w:rPr>
          <w:szCs w:val="24"/>
          <w:lang w:eastAsia="en-US"/>
        </w:rPr>
        <w:t xml:space="preserve">, a 2030-ig tartó időszakra vonatkozó uniós talajvédelmi </w:t>
      </w:r>
      <w:r w:rsidRPr="00DC67EB">
        <w:rPr>
          <w:szCs w:val="24"/>
          <w:lang w:eastAsia="en-US"/>
        </w:rPr>
        <w:lastRenderedPageBreak/>
        <w:t>stratégia</w:t>
      </w:r>
      <w:r w:rsidRPr="00DC67EB">
        <w:rPr>
          <w:szCs w:val="24"/>
          <w:vertAlign w:val="superscript"/>
          <w:lang w:val="en-GB" w:eastAsia="en-US"/>
        </w:rPr>
        <w:footnoteReference w:id="17"/>
      </w:r>
      <w:r w:rsidRPr="00DC67EB">
        <w:rPr>
          <w:szCs w:val="24"/>
          <w:lang w:eastAsia="en-US"/>
        </w:rPr>
        <w:t>, az EU digitális stratégiája</w:t>
      </w:r>
      <w:r w:rsidRPr="00DC67EB">
        <w:rPr>
          <w:szCs w:val="24"/>
          <w:vertAlign w:val="superscript"/>
          <w:lang w:val="en-GB" w:eastAsia="en-US"/>
        </w:rPr>
        <w:footnoteReference w:id="18"/>
      </w:r>
      <w:r w:rsidRPr="00DC67EB">
        <w:rPr>
          <w:szCs w:val="24"/>
          <w:lang w:eastAsia="en-US"/>
        </w:rPr>
        <w:t xml:space="preserve"> és az EU adatstratégiája</w:t>
      </w:r>
      <w:r w:rsidRPr="00DC67EB">
        <w:rPr>
          <w:szCs w:val="24"/>
          <w:vertAlign w:val="superscript"/>
          <w:lang w:val="en-GB" w:eastAsia="en-US"/>
        </w:rPr>
        <w:footnoteReference w:id="19"/>
      </w:r>
      <w:r w:rsidRPr="00DC67EB">
        <w:rPr>
          <w:szCs w:val="24"/>
          <w:lang w:eastAsia="en-US"/>
        </w:rPr>
        <w:t>.</w:t>
      </w:r>
    </w:p>
    <w:p w14:paraId="52A750E9"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t>(3a)</w:t>
      </w:r>
      <w:r w:rsidRPr="00DC67EB">
        <w:rPr>
          <w:szCs w:val="24"/>
          <w:lang w:eastAsia="en-US"/>
        </w:rPr>
        <w:tab/>
      </w:r>
      <w:r w:rsidRPr="00DC67EB">
        <w:rPr>
          <w:b/>
          <w:i/>
          <w:szCs w:val="24"/>
          <w:lang w:eastAsia="en-US"/>
        </w:rPr>
        <w:t>A „víztestek jó állapotának” elérésére és a vízkészletek rendelkezésre állásának biztosítására irányuló célkitűzések több területet érintenek, és gyakran nem kellően koherens módon valósulnak meg. A helyes vízgazdálkodást a vízfelhasználó ágazatokat érintő valamennyi uniós szakpolitikában érvényesíteni kell.</w:t>
      </w:r>
      <w:r w:rsidRPr="00DC67EB">
        <w:rPr>
          <w:b/>
          <w:szCs w:val="24"/>
          <w:lang w:eastAsia="en-US"/>
        </w:rPr>
        <w:t xml:space="preserve"> [</w:t>
      </w:r>
      <w:r w:rsidR="000536D5" w:rsidRPr="00DC67EB">
        <w:rPr>
          <w:b/>
          <w:szCs w:val="24"/>
          <w:lang w:eastAsia="en-US"/>
        </w:rPr>
        <w:t>Mód</w:t>
      </w:r>
      <w:r w:rsidRPr="00DC67EB">
        <w:rPr>
          <w:b/>
          <w:szCs w:val="24"/>
          <w:lang w:eastAsia="en-US"/>
        </w:rPr>
        <w:t>. 16]</w:t>
      </w:r>
    </w:p>
    <w:p w14:paraId="77D7E364"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t>(3b)</w:t>
      </w:r>
      <w:r w:rsidRPr="00DC67EB">
        <w:rPr>
          <w:szCs w:val="24"/>
          <w:lang w:eastAsia="en-US"/>
        </w:rPr>
        <w:tab/>
      </w:r>
      <w:r w:rsidRPr="00DC67EB">
        <w:rPr>
          <w:b/>
          <w:i/>
          <w:szCs w:val="24"/>
          <w:lang w:eastAsia="en-US"/>
        </w:rPr>
        <w:t>A célravezetőségi vizsgálat rámutatott arra, hogy a vízügyi célkitűzéseket jobban be kell építeni az agrárpolitikába. Az új KAP olyan intézkedéseket vezetett be, amelyek fenntarthatóbbá teszik a vízgazdálkodást. A mezőgazdasági és vízügyi politika közötti fokozott koherencia érdekében a tagállamoknak teljes mértékben ki kell használniuk az új KAP-ban rejlő lehetőségeket, és a vízzel kapcsolatos kérdéseket teljes mértékben be kell építeniük stratégiai terveikbe, beleértve az agrár-tudásátadási és -innovációs rendszer (ATIR) használatát is, és elő kell segíteniük a tanácsadó szolgáltatások fejlesztését a vízgazdálkodással kapcsolatos bevált gyakorlatok előmozdítása érdekében.</w:t>
      </w:r>
      <w:r w:rsidRPr="00DC67EB">
        <w:rPr>
          <w:b/>
          <w:szCs w:val="24"/>
          <w:lang w:eastAsia="en-US"/>
        </w:rPr>
        <w:t xml:space="preserve"> [</w:t>
      </w:r>
      <w:r w:rsidR="000536D5" w:rsidRPr="00DC67EB">
        <w:rPr>
          <w:b/>
          <w:szCs w:val="24"/>
          <w:lang w:eastAsia="en-US"/>
        </w:rPr>
        <w:t>Mód</w:t>
      </w:r>
      <w:r w:rsidRPr="00DC67EB">
        <w:rPr>
          <w:b/>
          <w:szCs w:val="24"/>
          <w:lang w:eastAsia="en-US"/>
        </w:rPr>
        <w:t>. 17]</w:t>
      </w:r>
    </w:p>
    <w:p w14:paraId="303B70FC" w14:textId="77777777" w:rsidR="001D30D4" w:rsidRPr="00DC67EB" w:rsidRDefault="001D30D4" w:rsidP="001D30D4">
      <w:pPr>
        <w:spacing w:before="120" w:after="120" w:line="360" w:lineRule="auto"/>
        <w:ind w:left="850" w:hanging="850"/>
        <w:rPr>
          <w:b/>
          <w:szCs w:val="24"/>
          <w:lang w:eastAsia="en-US"/>
        </w:rPr>
      </w:pPr>
      <w:r w:rsidRPr="00DC67EB">
        <w:rPr>
          <w:szCs w:val="24"/>
          <w:lang w:eastAsia="en-US"/>
        </w:rPr>
        <w:br w:type="page"/>
      </w:r>
      <w:r w:rsidRPr="00DC67EB">
        <w:rPr>
          <w:szCs w:val="24"/>
          <w:lang w:eastAsia="en-US"/>
        </w:rPr>
        <w:lastRenderedPageBreak/>
        <w:t>(4)</w:t>
      </w:r>
      <w:r w:rsidRPr="00DC67EB">
        <w:rPr>
          <w:szCs w:val="24"/>
          <w:lang w:eastAsia="en-US"/>
        </w:rPr>
        <w:tab/>
        <w:t>A 2000/60/EK európai parlamenti és tanácsi irányelv</w:t>
      </w:r>
      <w:r w:rsidRPr="00DC67EB">
        <w:rPr>
          <w:szCs w:val="24"/>
          <w:vertAlign w:val="superscript"/>
          <w:lang w:val="en-GB" w:eastAsia="en-US"/>
        </w:rPr>
        <w:footnoteReference w:id="20"/>
      </w:r>
      <w:r w:rsidRPr="00DC67EB">
        <w:rPr>
          <w:szCs w:val="24"/>
          <w:lang w:eastAsia="en-US"/>
        </w:rPr>
        <w:t xml:space="preserve"> keretet hoz létre a szárazföldi felszíni vizek, az átmeneti vizek, a parti tengervizek és felszín alatti vizek védelmére. E keret részét képezi azoknak az elsőbbségi anyagoknak a meghatározása, amelyek a vízi környezetre vagy azon keresztül uniós szinten jelentős kockázatot jelentenek. A 2008/105/EK európai parlamenti és tanácsi irányelv</w:t>
      </w:r>
      <w:r w:rsidRPr="00DC67EB">
        <w:rPr>
          <w:szCs w:val="24"/>
          <w:vertAlign w:val="superscript"/>
          <w:lang w:val="en-GB" w:eastAsia="en-US"/>
        </w:rPr>
        <w:footnoteReference w:id="21"/>
      </w:r>
      <w:r w:rsidRPr="00DC67EB">
        <w:rPr>
          <w:szCs w:val="24"/>
          <w:lang w:eastAsia="en-US"/>
        </w:rPr>
        <w:t xml:space="preserve"> uniós szintű környezetminőségi előírásokat állapít meg a 2000/60/EK irányelv X. mellékletében felsorolt 45 elsőbbségi anyagra és további nyolc olyan szennyező anyagra vonatkozóan, amelyeket a 2455/2001/EK európai parlamenti és tanácsi határozat</w:t>
      </w:r>
      <w:r w:rsidRPr="00DC67EB">
        <w:rPr>
          <w:szCs w:val="24"/>
          <w:vertAlign w:val="superscript"/>
          <w:lang w:val="en-GB" w:eastAsia="en-US"/>
        </w:rPr>
        <w:footnoteReference w:id="22"/>
      </w:r>
      <w:r w:rsidRPr="00DC67EB">
        <w:rPr>
          <w:szCs w:val="24"/>
          <w:lang w:eastAsia="en-US"/>
        </w:rPr>
        <w:t xml:space="preserve"> már az említett X. melléklet alkalmazása előtt uniós szinten szabályozott. A 2006/118/EK európai parlamenti és tanácsi irányelv</w:t>
      </w:r>
      <w:r w:rsidRPr="00DC67EB">
        <w:rPr>
          <w:szCs w:val="24"/>
          <w:vertAlign w:val="superscript"/>
          <w:lang w:val="en-GB" w:eastAsia="en-US"/>
        </w:rPr>
        <w:footnoteReference w:id="23"/>
      </w:r>
      <w:r w:rsidRPr="00DC67EB">
        <w:rPr>
          <w:szCs w:val="24"/>
          <w:lang w:eastAsia="en-US"/>
        </w:rPr>
        <w:t xml:space="preserve"> meghatározza a felszín alatti vizekre vonatkozó uniós szintű minőségi előírásokat a nitrátokra és a növényvédő szerek hatóanyagaira vonatkozóan, valamint azokat a kritériumokat, amelyek alapján a felszín alatti vizek egyéb szennyező anyagaira vonatkozó nemzeti szintű küszöbértékeket kell megállapítani. Meghatározza továbbá annak a 12 szennyező anyagnak a minimumlistáját – a hozzájuk tartozó indikátorokkal együtt –, amelyek tekintetében a tagállamoknak </w:t>
      </w:r>
      <w:r w:rsidRPr="00DC67EB">
        <w:rPr>
          <w:strike/>
          <w:szCs w:val="24"/>
          <w:lang w:eastAsia="en-US"/>
        </w:rPr>
        <w:t xml:space="preserve">mérlegelniük kell </w:t>
      </w:r>
      <w:r w:rsidRPr="00DC67EB">
        <w:rPr>
          <w:szCs w:val="24"/>
          <w:lang w:eastAsia="en-US"/>
        </w:rPr>
        <w:t xml:space="preserve">nemzeti szintű </w:t>
      </w:r>
      <w:r w:rsidRPr="00DC67EB">
        <w:rPr>
          <w:strike/>
          <w:szCs w:val="24"/>
          <w:lang w:eastAsia="en-US"/>
        </w:rPr>
        <w:t>küszöbértékek megállapítását</w:t>
      </w:r>
      <w:r w:rsidRPr="00DC67EB">
        <w:rPr>
          <w:b/>
          <w:i/>
          <w:szCs w:val="24"/>
          <w:lang w:eastAsia="en-US"/>
        </w:rPr>
        <w:t>küszöbértékeket kell megállapítaniuk</w:t>
      </w:r>
      <w:r w:rsidRPr="00DC67EB">
        <w:rPr>
          <w:szCs w:val="24"/>
          <w:lang w:eastAsia="en-US"/>
        </w:rPr>
        <w:t>. A felszín alatti vizekre vonatkozó minőségi előírásokat a 2006/118/EK irányelv I. melléklete tartalmazza.</w:t>
      </w:r>
      <w:r w:rsidRPr="00DC67EB">
        <w:rPr>
          <w:b/>
          <w:szCs w:val="24"/>
          <w:lang w:eastAsia="en-US"/>
        </w:rPr>
        <w:t xml:space="preserve"> [</w:t>
      </w:r>
      <w:r w:rsidR="000536D5" w:rsidRPr="00DC67EB">
        <w:rPr>
          <w:b/>
          <w:szCs w:val="24"/>
          <w:lang w:eastAsia="en-US"/>
        </w:rPr>
        <w:t>Mód</w:t>
      </w:r>
      <w:r w:rsidRPr="00DC67EB">
        <w:rPr>
          <w:b/>
          <w:szCs w:val="24"/>
          <w:lang w:eastAsia="en-US"/>
        </w:rPr>
        <w:t>. 18]</w:t>
      </w:r>
    </w:p>
    <w:p w14:paraId="736A3E8C"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br w:type="page"/>
      </w:r>
      <w:r w:rsidRPr="00DC67EB">
        <w:rPr>
          <w:b/>
          <w:i/>
          <w:szCs w:val="24"/>
          <w:lang w:eastAsia="en-US"/>
        </w:rPr>
        <w:lastRenderedPageBreak/>
        <w:t>(4a)</w:t>
      </w:r>
      <w:r w:rsidRPr="00DC67EB">
        <w:rPr>
          <w:szCs w:val="24"/>
          <w:lang w:eastAsia="en-US"/>
        </w:rPr>
        <w:tab/>
      </w:r>
      <w:r w:rsidRPr="00DC67EB">
        <w:rPr>
          <w:b/>
          <w:i/>
          <w:szCs w:val="24"/>
          <w:lang w:eastAsia="en-US"/>
        </w:rPr>
        <w:t xml:space="preserve">A tagállamoknak biztosítaniuk kell, hogy az elsőbbségi veszélyes anyagok bevezetésével, kibocsátásával vagy veszteségével okozott szennyezést megfelelő határidőn belül – de legkésőbb 20 évvel azt követően, hogy egy adott elsőbbségi anyagot a 2008/105/EK irányelv I. mellékletének A. részében veszélyes anyagként feltüntetnek – megszüntessék vagy fokozatosan kiküszöböljék. Ezt az ütemtervet az egyéb alkalmazandó uniós jogszabályokban foglalt szigorúbb határidők alkalmazásának sérelme nélkül kell alkalmazni. </w:t>
      </w:r>
      <w:r w:rsidRPr="00DC67EB">
        <w:rPr>
          <w:b/>
          <w:szCs w:val="24"/>
          <w:lang w:eastAsia="en-US"/>
        </w:rPr>
        <w:t xml:space="preserve"> [</w:t>
      </w:r>
      <w:r w:rsidR="000536D5" w:rsidRPr="00DC67EB">
        <w:rPr>
          <w:b/>
          <w:szCs w:val="24"/>
          <w:lang w:eastAsia="en-US"/>
        </w:rPr>
        <w:t>Mód</w:t>
      </w:r>
      <w:r w:rsidRPr="00DC67EB">
        <w:rPr>
          <w:b/>
          <w:szCs w:val="24"/>
          <w:lang w:eastAsia="en-US"/>
        </w:rPr>
        <w:t>. 19]</w:t>
      </w:r>
    </w:p>
    <w:p w14:paraId="4DEE7A3E" w14:textId="77777777" w:rsidR="001D30D4" w:rsidRPr="00DC67EB" w:rsidRDefault="001D30D4" w:rsidP="001D30D4">
      <w:pPr>
        <w:spacing w:before="120" w:after="120" w:line="360" w:lineRule="auto"/>
        <w:ind w:left="850" w:hanging="850"/>
        <w:rPr>
          <w:b/>
          <w:szCs w:val="24"/>
          <w:lang w:eastAsia="en-US"/>
        </w:rPr>
      </w:pPr>
      <w:r w:rsidRPr="00DC67EB">
        <w:rPr>
          <w:szCs w:val="24"/>
          <w:lang w:eastAsia="en-US"/>
        </w:rPr>
        <w:t>(5)</w:t>
      </w:r>
      <w:r w:rsidRPr="00DC67EB">
        <w:rPr>
          <w:szCs w:val="24"/>
          <w:lang w:eastAsia="en-US"/>
        </w:rPr>
        <w:tab/>
        <w:t xml:space="preserve">Az egyes anyagok az általuk az emberekre és a vízi környezetre jelentett kockázat értékelése alapján vagy a 2000/60/EK irányelv X. mellékletébe vagy a 2006/118/EK irányelv I., illetve II. mellékletébe kerülnek felvételre. Az értékelés kulcsfontosságú szempontjai a következők: az anyagok környezeti koncentrációjának ismerete, többek között a megfigyelési listán alapuló monitoring során szerzett információk, valamint az anyagok (öko)toxikológiájára, perzisztens és bioakkumulatív jellegére, </w:t>
      </w:r>
      <w:r w:rsidRPr="00DC67EB">
        <w:rPr>
          <w:b/>
          <w:i/>
          <w:szCs w:val="24"/>
          <w:lang w:eastAsia="en-US"/>
        </w:rPr>
        <w:t xml:space="preserve">toxicitására, mobilitására, </w:t>
      </w:r>
      <w:r w:rsidRPr="00DC67EB">
        <w:rPr>
          <w:szCs w:val="24"/>
          <w:lang w:eastAsia="en-US"/>
        </w:rPr>
        <w:t>rákkeltő, mutagén vagy reprodukciót károsító hatására és endokrin károsító képességére vonatkozó ismeretek.</w:t>
      </w:r>
      <w:r w:rsidRPr="00DC67EB">
        <w:rPr>
          <w:b/>
          <w:szCs w:val="24"/>
          <w:lang w:eastAsia="en-US"/>
        </w:rPr>
        <w:t xml:space="preserve"> [</w:t>
      </w:r>
      <w:r w:rsidR="000536D5" w:rsidRPr="00DC67EB">
        <w:rPr>
          <w:b/>
          <w:szCs w:val="24"/>
          <w:lang w:eastAsia="en-US"/>
        </w:rPr>
        <w:t>Mód</w:t>
      </w:r>
      <w:r w:rsidRPr="00DC67EB">
        <w:rPr>
          <w:b/>
          <w:szCs w:val="24"/>
          <w:lang w:eastAsia="en-US"/>
        </w:rPr>
        <w:t>. 20]</w:t>
      </w:r>
    </w:p>
    <w:p w14:paraId="50D48041" w14:textId="77777777" w:rsidR="001D30D4" w:rsidRPr="00DC67EB" w:rsidRDefault="001D30D4" w:rsidP="001D30D4">
      <w:pPr>
        <w:spacing w:before="120" w:after="120" w:line="360" w:lineRule="auto"/>
        <w:ind w:left="850" w:hanging="850"/>
        <w:rPr>
          <w:szCs w:val="24"/>
          <w:lang w:eastAsia="en-US"/>
        </w:rPr>
      </w:pPr>
      <w:r w:rsidRPr="00DC67EB">
        <w:rPr>
          <w:szCs w:val="24"/>
          <w:lang w:eastAsia="en-US"/>
        </w:rPr>
        <w:br w:type="page"/>
      </w:r>
      <w:r w:rsidRPr="00DC67EB">
        <w:rPr>
          <w:szCs w:val="24"/>
          <w:lang w:eastAsia="en-US"/>
        </w:rPr>
        <w:lastRenderedPageBreak/>
        <w:t>(6)</w:t>
      </w:r>
      <w:r w:rsidRPr="00DC67EB">
        <w:rPr>
          <w:szCs w:val="24"/>
          <w:lang w:eastAsia="en-US"/>
        </w:rPr>
        <w:tab/>
        <w:t>A Bizottság a 2000/60/EK irányelv 16. cikkének (4) bekezdésével és a 2008/105/EK irányelv 8. cikkével összhangban elvégezte a 2000/60/EK irányelv X. mellékletében szereplő elsőbbségi anyagok jegyzékének felülvizsgálatát, valamint a 2006/118/EK irányelv 10. cikkével összhangban az ugyanezen irányelv I. és II. mellékletében felsorolt anyagok felülvizsgálatát, és az újabb tudományos ismeretek fényében arra a következtetésre jutott, hogy helyénvaló módosítani ezeket a jegyzékeket új anyagok hozzáadásával, az újonnan hozzáadott anyagokra alkalmazandó környezetminőségi előírások vagy a felszín alatti vizekre vonatkozó minőségi előírások meghatározásával, az egyes meglévő anyagokra vonatkozó környezetminőségi előírások tudományos fejlődéssel összhangban történő felülvizsgálatával, valamint egyes meglévő és újonnan hozzáadott anyagok esetében a biótára vonatkozó környezetminőségi előírások meghatározásával. A felülvizsgálat feltárta, hogy mely további anyagok kapcsán valószínűsíthető az üledékben, illetve a biótában való felhalmozódás, és a Bizottság egyértelművé tette, hogy az ilyen anyagok tendenciaelemzését az üledékben vagy a biótában kell végezni. A kérdéses anyagok jegyzékeinek felülvizsgálatát a bizottsági szolgálatok, a tagállamok, az érdekelt felek csoportjainak, valamint az Egészségügyi, Környezeti és Újonnan Felmerülő Kockázatok Tudományos Bizottságának szakértőivel folytatott, széles körű konzultáció segítette.</w:t>
      </w:r>
    </w:p>
    <w:p w14:paraId="03490E64" w14:textId="77777777" w:rsidR="001D30D4" w:rsidRPr="00DC67EB" w:rsidRDefault="001D30D4" w:rsidP="001D30D4">
      <w:pPr>
        <w:spacing w:before="120" w:after="120" w:line="360" w:lineRule="auto"/>
        <w:ind w:left="850" w:hanging="850"/>
        <w:rPr>
          <w:b/>
          <w:szCs w:val="24"/>
          <w:lang w:eastAsia="en-US"/>
        </w:rPr>
      </w:pPr>
      <w:r w:rsidRPr="00DC67EB">
        <w:rPr>
          <w:szCs w:val="24"/>
          <w:lang w:eastAsia="en-US"/>
        </w:rPr>
        <w:br w:type="page"/>
      </w:r>
      <w:r w:rsidRPr="00DC67EB">
        <w:rPr>
          <w:szCs w:val="24"/>
          <w:lang w:eastAsia="en-US"/>
        </w:rPr>
        <w:lastRenderedPageBreak/>
        <w:t>(7)</w:t>
      </w:r>
      <w:r w:rsidRPr="00DC67EB">
        <w:rPr>
          <w:szCs w:val="24"/>
          <w:lang w:eastAsia="en-US"/>
        </w:rPr>
        <w:tab/>
        <w:t xml:space="preserve">A legtöbb szennyező anyag hatékony kezelése forráskorlátozási és folyamatvégi intézkedések együttes alkalmazását teszi szükségessé a teljes életciklus során, ideértve adott esetben a kémiai tervezést, az engedélyezést vagy jóváhagyást, a gyártás és a használat vagy más folyamatok során történő kibocsátások ellenőrzését, valamint a hulladékkezelést. A víztestekre vonatkozó új vagy szigorúbb minőségi előírások megállapítása ezért kiegészít más olyan uniós jogszabályokat – és összhangban van velük –, amelyek egy vagy több szakaszban kezelik, illetve </w:t>
      </w:r>
      <w:r w:rsidRPr="00DC67EB">
        <w:rPr>
          <w:strike/>
          <w:szCs w:val="24"/>
          <w:lang w:eastAsia="en-US"/>
        </w:rPr>
        <w:t>kezelni képesek</w:t>
      </w:r>
      <w:r w:rsidRPr="00DC67EB">
        <w:rPr>
          <w:b/>
          <w:i/>
          <w:szCs w:val="24"/>
          <w:lang w:eastAsia="en-US"/>
        </w:rPr>
        <w:t>amelyeknek kezelniük kellene</w:t>
      </w:r>
      <w:r w:rsidRPr="00DC67EB">
        <w:rPr>
          <w:szCs w:val="24"/>
          <w:lang w:eastAsia="en-US"/>
        </w:rPr>
        <w:t xml:space="preserve"> a szennyezés problémáját</w:t>
      </w:r>
      <w:r w:rsidRPr="00DC67EB">
        <w:rPr>
          <w:b/>
          <w:i/>
          <w:szCs w:val="24"/>
          <w:lang w:eastAsia="en-US"/>
        </w:rPr>
        <w:t>,</w:t>
      </w:r>
      <w:r w:rsidRPr="00DC67EB">
        <w:rPr>
          <w:szCs w:val="24"/>
          <w:lang w:eastAsia="en-US"/>
        </w:rPr>
        <w:t>, úgy mint az 1907/2006/EK európai parlamenti és tanácsi rendelet</w:t>
      </w:r>
      <w:r w:rsidRPr="00DC67EB">
        <w:rPr>
          <w:szCs w:val="24"/>
          <w:vertAlign w:val="superscript"/>
          <w:lang w:val="en-GB" w:eastAsia="en-US"/>
        </w:rPr>
        <w:footnoteReference w:id="24"/>
      </w:r>
      <w:r w:rsidRPr="00DC67EB">
        <w:rPr>
          <w:szCs w:val="24"/>
          <w:lang w:eastAsia="en-US"/>
        </w:rPr>
        <w:t>, az 1107/2009/EK európai parlamenti és tanácsi rendelet</w:t>
      </w:r>
      <w:r w:rsidRPr="00DC67EB">
        <w:rPr>
          <w:szCs w:val="24"/>
          <w:vertAlign w:val="superscript"/>
          <w:lang w:val="en-GB" w:eastAsia="en-US"/>
        </w:rPr>
        <w:footnoteReference w:id="25"/>
      </w:r>
      <w:r w:rsidRPr="00DC67EB">
        <w:rPr>
          <w:szCs w:val="24"/>
          <w:lang w:eastAsia="en-US"/>
        </w:rPr>
        <w:t>, az 528/2012/EU európai parlamenti és tanácsi rendelet</w:t>
      </w:r>
      <w:r w:rsidRPr="00DC67EB">
        <w:rPr>
          <w:szCs w:val="24"/>
          <w:vertAlign w:val="superscript"/>
          <w:lang w:val="en-GB" w:eastAsia="en-US"/>
        </w:rPr>
        <w:footnoteReference w:id="26"/>
      </w:r>
      <w:r w:rsidRPr="00DC67EB">
        <w:rPr>
          <w:szCs w:val="24"/>
          <w:lang w:eastAsia="en-US"/>
        </w:rPr>
        <w:t>, az (EU) 2019/6 európai parlamenti és tanácsi rendelet</w:t>
      </w:r>
      <w:r w:rsidRPr="00DC67EB">
        <w:rPr>
          <w:szCs w:val="24"/>
          <w:vertAlign w:val="superscript"/>
          <w:lang w:val="en-GB" w:eastAsia="en-US"/>
        </w:rPr>
        <w:footnoteReference w:id="27"/>
      </w:r>
      <w:r w:rsidRPr="00DC67EB">
        <w:rPr>
          <w:szCs w:val="24"/>
          <w:lang w:eastAsia="en-US"/>
        </w:rPr>
        <w:t>, a 2001/83/EK európai parlamenti és tanácsi irányelv</w:t>
      </w:r>
      <w:r w:rsidRPr="00DC67EB">
        <w:rPr>
          <w:szCs w:val="24"/>
          <w:vertAlign w:val="superscript"/>
          <w:lang w:val="en-GB" w:eastAsia="en-US"/>
        </w:rPr>
        <w:footnoteReference w:id="28"/>
      </w:r>
      <w:r w:rsidRPr="00DC67EB">
        <w:rPr>
          <w:szCs w:val="24"/>
          <w:lang w:eastAsia="en-US"/>
        </w:rPr>
        <w:t>, a 2009/128/EK európai parlamenti és tanácsi irányelv</w:t>
      </w:r>
      <w:r w:rsidRPr="00DC67EB">
        <w:rPr>
          <w:szCs w:val="24"/>
          <w:vertAlign w:val="superscript"/>
          <w:lang w:val="en-GB" w:eastAsia="en-US"/>
        </w:rPr>
        <w:footnoteReference w:id="29"/>
      </w:r>
      <w:r w:rsidRPr="00DC67EB">
        <w:rPr>
          <w:szCs w:val="24"/>
          <w:lang w:eastAsia="en-US"/>
        </w:rPr>
        <w:t>, a 2010/75/EU európai parlamenti és tanácsi irányelv</w:t>
      </w:r>
      <w:r w:rsidRPr="00DC67EB">
        <w:rPr>
          <w:szCs w:val="24"/>
          <w:vertAlign w:val="superscript"/>
          <w:lang w:val="en-GB" w:eastAsia="en-US"/>
        </w:rPr>
        <w:footnoteReference w:id="30"/>
      </w:r>
      <w:r w:rsidRPr="00DC67EB">
        <w:rPr>
          <w:szCs w:val="24"/>
          <w:lang w:eastAsia="en-US"/>
        </w:rPr>
        <w:t xml:space="preserve"> és a 91/271/EGK tanácsi irányelv</w:t>
      </w:r>
      <w:r w:rsidRPr="00DC67EB">
        <w:rPr>
          <w:szCs w:val="24"/>
          <w:vertAlign w:val="superscript"/>
          <w:lang w:val="en-GB" w:eastAsia="en-US"/>
        </w:rPr>
        <w:footnoteReference w:id="31"/>
      </w:r>
      <w:r w:rsidRPr="00DC67EB">
        <w:rPr>
          <w:szCs w:val="24"/>
          <w:lang w:eastAsia="en-US"/>
        </w:rPr>
        <w:t>.</w:t>
      </w:r>
      <w:r w:rsidRPr="00DC67EB">
        <w:rPr>
          <w:b/>
          <w:i/>
          <w:szCs w:val="24"/>
          <w:lang w:eastAsia="en-US"/>
        </w:rPr>
        <w:t xml:space="preserve">  A tagállamoknak annak érdekében, hogy a 2000/60/EK irányelv 4. cikkében meghatározott környezetvédelmi célkitűzéseket a lehető legjobb és legköltséghatékonyabb módon érjék el, intézkedési programjaik kidolgozása során biztosítaniuk kell, hogy a forráskorlátozási intézkedések </w:t>
      </w:r>
      <w:r w:rsidRPr="00DC67EB">
        <w:rPr>
          <w:b/>
          <w:i/>
          <w:szCs w:val="24"/>
          <w:lang w:eastAsia="en-US"/>
        </w:rPr>
        <w:lastRenderedPageBreak/>
        <w:t>elsőbbséget élvezzenek a folyamatvégi intézkedésekkel szemben, és ezen intézkedések összhangban legyenek a szennyezésre vonatkozó uniós ágazati jogszabályokkal. Ha fennáll annak a kockázata, hogy forráskorlátozási intézkedésekkel nem sikerül elérni a víztestek jó állapotát, folyamatvégi intézkedéseket kell alkalmazni. A Bizottságnak iránymutatást kell kidolgoznia a forráskorlátozási intézkedésekre és a kiegészítő folyamatvégi intézkedésekre vonatkozó bevált gyakorlatokról.</w:t>
      </w:r>
      <w:r w:rsidRPr="00DC67EB">
        <w:rPr>
          <w:b/>
          <w:szCs w:val="24"/>
          <w:lang w:eastAsia="en-US"/>
        </w:rPr>
        <w:t xml:space="preserve"> [</w:t>
      </w:r>
      <w:r w:rsidR="000536D5" w:rsidRPr="00DC67EB">
        <w:rPr>
          <w:b/>
          <w:szCs w:val="24"/>
          <w:lang w:eastAsia="en-US"/>
        </w:rPr>
        <w:t>Mód</w:t>
      </w:r>
      <w:r w:rsidRPr="00DC67EB">
        <w:rPr>
          <w:b/>
          <w:szCs w:val="24"/>
          <w:lang w:eastAsia="en-US"/>
        </w:rPr>
        <w:t>. 21]</w:t>
      </w:r>
    </w:p>
    <w:p w14:paraId="24B9BE76"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br w:type="page"/>
      </w:r>
      <w:r w:rsidRPr="00DC67EB">
        <w:rPr>
          <w:b/>
          <w:i/>
          <w:szCs w:val="24"/>
          <w:lang w:eastAsia="en-US"/>
        </w:rPr>
        <w:lastRenderedPageBreak/>
        <w:t>(7a)</w:t>
      </w:r>
      <w:r w:rsidRPr="00DC67EB">
        <w:rPr>
          <w:szCs w:val="24"/>
          <w:lang w:eastAsia="en-US"/>
        </w:rPr>
        <w:tab/>
      </w:r>
      <w:r w:rsidRPr="00DC67EB">
        <w:rPr>
          <w:b/>
          <w:i/>
          <w:szCs w:val="24"/>
          <w:lang w:eastAsia="en-US"/>
        </w:rPr>
        <w:t>A vízszennyezést elsősorban az ipari és mezőgazdasági tevékenységek, a szennyvízkibocsátások és a városi lefolyások, többek között a záporvíz okozzák. A Bizottságnak és a tagállamoknak fellépéseik során prioritásként kell kezelniük a szennyezésnek a szennyezőforrásnál történő csökkentését célzó intézkedéseket, valamint azok végrehajtását. Ennek érdekében biztosítani kell a szennyezésnek a szennyezőforrásnál történő kezelésére irányuló valamennyi uniós és nemzeti jogszabály közötti összhangot annak érdekében, hogy a szennyezés olyan szintre csökkenjen, amely már nem tekinthető károsnak az egészségre és a természetes ökoszisztémákra nézve.</w:t>
      </w:r>
      <w:r w:rsidRPr="00DC67EB">
        <w:rPr>
          <w:b/>
          <w:szCs w:val="24"/>
          <w:lang w:eastAsia="en-US"/>
        </w:rPr>
        <w:t xml:space="preserve"> [</w:t>
      </w:r>
      <w:r w:rsidR="000536D5" w:rsidRPr="00DC67EB">
        <w:rPr>
          <w:b/>
          <w:szCs w:val="24"/>
          <w:lang w:eastAsia="en-US"/>
        </w:rPr>
        <w:t>Mód</w:t>
      </w:r>
      <w:r w:rsidRPr="00DC67EB">
        <w:rPr>
          <w:b/>
          <w:szCs w:val="24"/>
          <w:lang w:eastAsia="en-US"/>
        </w:rPr>
        <w:t>. 22]</w:t>
      </w:r>
    </w:p>
    <w:p w14:paraId="04CC8E30"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br w:type="page"/>
      </w:r>
      <w:r w:rsidRPr="00DC67EB">
        <w:rPr>
          <w:b/>
          <w:i/>
          <w:szCs w:val="24"/>
          <w:lang w:eastAsia="en-US"/>
        </w:rPr>
        <w:lastRenderedPageBreak/>
        <w:t>(7b)</w:t>
      </w:r>
      <w:r w:rsidRPr="00DC67EB">
        <w:rPr>
          <w:szCs w:val="24"/>
          <w:lang w:eastAsia="en-US"/>
        </w:rPr>
        <w:tab/>
      </w:r>
      <w:r w:rsidRPr="00DC67EB">
        <w:rPr>
          <w:b/>
          <w:i/>
          <w:szCs w:val="24"/>
          <w:lang w:eastAsia="en-US"/>
        </w:rPr>
        <w:t>Annak biztosítása érdekében, hogy a felszíni és felszín alatti vizek szennyezésének megelőzésére irányuló jogszabályok lépést tudjanak tartani az olyan új vegyi anyagok gyors ütemű megjelenésével, amelyek szennyezőként jelentős kockázatot jelenthetnek az emberi egészségre és a vízi környezetre, meg kell erősíteni az ilyen újonnan megjelenő, aggodalomra okot adó szennyező anyagok kimutatására és értékelésére szolgáló szakpolitikai mechanizmusokat. E tekintetben olyan megközelítést kell kidolgozni, amely lehetővé teszi a felszíni vizekre és a felszín alatti vizekre vonatkozó megfigyelési listákon szereplő ilyen anyagok vagy anyagcsoportok további számának nyomon követését és elemzését. A megfigyelési listán szereplő anyagokat vagy anyagcsoportokat azok közül kell kiválasztani, amelyekkel kapcsolatban a rendelkezésre álló információk arra utalnak, hogy a vízi környezetre vagy azon keresztül uniós szinten jelentős kockázatot jelenthetnek, és amelyek tekintetében nem áll rendelkezésre elegendő megfigyelési adat. Az ilyen anyagok vagy anyagcsoportok számát, amelyeket a felszíni vizekre és a felszín alatti vizekre vonatkozó megfigyelési listák alapján ellenőrizni és elemezni kell, nem szabad korlátozni.</w:t>
      </w:r>
      <w:r w:rsidRPr="00DC67EB">
        <w:rPr>
          <w:b/>
          <w:szCs w:val="24"/>
          <w:lang w:eastAsia="en-US"/>
        </w:rPr>
        <w:t xml:space="preserve"> [</w:t>
      </w:r>
      <w:r w:rsidR="000536D5" w:rsidRPr="00DC67EB">
        <w:rPr>
          <w:b/>
          <w:szCs w:val="24"/>
          <w:lang w:eastAsia="en-US"/>
        </w:rPr>
        <w:t>Mód</w:t>
      </w:r>
      <w:r w:rsidRPr="00DC67EB">
        <w:rPr>
          <w:b/>
          <w:szCs w:val="24"/>
          <w:lang w:eastAsia="en-US"/>
        </w:rPr>
        <w:t>. 23]</w:t>
      </w:r>
    </w:p>
    <w:p w14:paraId="36777F56" w14:textId="77777777" w:rsidR="001D30D4" w:rsidRPr="00DC67EB" w:rsidRDefault="001D30D4" w:rsidP="001D30D4">
      <w:pPr>
        <w:spacing w:before="120" w:after="120" w:line="360" w:lineRule="auto"/>
        <w:ind w:left="850" w:hanging="850"/>
        <w:rPr>
          <w:b/>
          <w:szCs w:val="24"/>
          <w:lang w:eastAsia="en-US"/>
        </w:rPr>
      </w:pPr>
      <w:r w:rsidRPr="00DC67EB">
        <w:rPr>
          <w:szCs w:val="24"/>
          <w:lang w:eastAsia="en-US"/>
        </w:rPr>
        <w:br w:type="column"/>
      </w:r>
      <w:r w:rsidRPr="00DC67EB">
        <w:rPr>
          <w:szCs w:val="24"/>
          <w:lang w:eastAsia="en-US"/>
        </w:rPr>
        <w:lastRenderedPageBreak/>
        <w:t>(8)</w:t>
      </w:r>
      <w:r w:rsidRPr="00DC67EB">
        <w:rPr>
          <w:szCs w:val="24"/>
          <w:lang w:eastAsia="en-US"/>
        </w:rPr>
        <w:tab/>
        <w:t>Az újabb tudományos ismeretek rámutatnak, hogy a már szabályozás alatt álló anyagokon kívül számos más szennyező anyag is jelentős kockázatot jelent a víztestekre nézve.  A felszín alatti vizekben a per- és polifluor-alkil anyagok (</w:t>
      </w:r>
      <w:r w:rsidRPr="00DC67EB">
        <w:rPr>
          <w:strike/>
          <w:szCs w:val="24"/>
          <w:lang w:eastAsia="en-US"/>
        </w:rPr>
        <w:t>PFAS</w:t>
      </w:r>
      <w:r w:rsidRPr="00DC67EB">
        <w:rPr>
          <w:b/>
          <w:i/>
          <w:szCs w:val="24"/>
          <w:lang w:eastAsia="en-US"/>
        </w:rPr>
        <w:t>PFA-anyagok</w:t>
      </w:r>
      <w:r w:rsidRPr="00DC67EB">
        <w:rPr>
          <w:szCs w:val="24"/>
          <w:lang w:eastAsia="en-US"/>
        </w:rPr>
        <w:t xml:space="preserve">) és a gyógyszerek önkéntes monitoringja különleges problémát tárt fel. Az Unió területén található mérési pontok több mint 70 %-ánál ki lehetett mutatni PFAS anyagok jelenlétét a felszín alatti vizekben, és a mért érték sok helyen egyértelműen túllépte a meglévő nemzeti szintű küszöbértékeket; a gyógyszeripari anyagok szintén gyakran előfordulnak a vízben. </w:t>
      </w:r>
      <w:r w:rsidRPr="00DC67EB">
        <w:rPr>
          <w:b/>
          <w:i/>
          <w:szCs w:val="24"/>
          <w:lang w:eastAsia="en-US"/>
        </w:rPr>
        <w:t xml:space="preserve">Ezért a felszín alatti vizek szennyező anyagainak jegyzékébe fel kell venni bizonyos PFA-anyagok, valamint az összes PFA-anyag alcsoportját. </w:t>
      </w:r>
      <w:r w:rsidRPr="00DC67EB">
        <w:rPr>
          <w:szCs w:val="24"/>
          <w:lang w:eastAsia="en-US"/>
        </w:rPr>
        <w:t xml:space="preserve">A felszíni vizek esetében a perfluoroktán-szulfonsav és származékai már szerepelnek az elsőbbségi anyagok között, de más </w:t>
      </w:r>
      <w:r w:rsidRPr="00DC67EB">
        <w:rPr>
          <w:strike/>
          <w:szCs w:val="24"/>
          <w:lang w:eastAsia="en-US"/>
        </w:rPr>
        <w:t>PFAS anyagok</w:t>
      </w:r>
      <w:r w:rsidRPr="00DC67EB">
        <w:rPr>
          <w:b/>
          <w:i/>
          <w:szCs w:val="24"/>
          <w:lang w:eastAsia="en-US"/>
        </w:rPr>
        <w:t>PFA-anyagok</w:t>
      </w:r>
      <w:r w:rsidRPr="00DC67EB">
        <w:rPr>
          <w:szCs w:val="24"/>
          <w:lang w:eastAsia="en-US"/>
        </w:rPr>
        <w:t xml:space="preserve"> is kockázatosnak minősültek</w:t>
      </w:r>
      <w:r w:rsidRPr="00DC67EB">
        <w:rPr>
          <w:b/>
          <w:i/>
          <w:szCs w:val="24"/>
          <w:lang w:eastAsia="en-US"/>
        </w:rPr>
        <w:t>. Ezért az elsőbbségi anyagok jegyzékébe fel kell venni bizonyos PFA-anyagok alcsoportját, valamint a PFA-anyagok összességét. A harmonizált megközelítés és az Unión belüli egyenlő versenyfeltételek biztosítása érdekében a Bizottságot fel kell hatalmazni arra, hogy az EUMSZ 290. cikkének megfelelően jogi aktusokat fogadjon el abból a célból, hogy módosítsa a 2006/118/EK irányelv I. mellékletét, megállapítva a PFA-anyag összességére vonatkozó minőségi előírást</w:t>
      </w:r>
      <w:r w:rsidRPr="00DC67EB">
        <w:rPr>
          <w:szCs w:val="24"/>
          <w:lang w:eastAsia="en-US"/>
        </w:rPr>
        <w:t>. A 2008/105/EK irányelv 8b. cikke szerinti, megfigyelési listán alapuló monitoring</w:t>
      </w:r>
      <w:r w:rsidRPr="00DC67EB">
        <w:rPr>
          <w:b/>
          <w:i/>
          <w:szCs w:val="24"/>
          <w:lang w:eastAsia="en-US"/>
        </w:rPr>
        <w:t xml:space="preserve"> azt is</w:t>
      </w:r>
      <w:r w:rsidRPr="00DC67EB">
        <w:rPr>
          <w:szCs w:val="24"/>
          <w:lang w:eastAsia="en-US"/>
        </w:rPr>
        <w:t xml:space="preserve"> megerősítette, hogy számos gyógyszeripari anyag kockázatot jelent a felszíni vizekben, amelyeket ezért fel kell venni az elsőbbségi anyagok jegyzékébe.</w:t>
      </w:r>
      <w:r w:rsidRPr="00DC67EB">
        <w:rPr>
          <w:b/>
          <w:szCs w:val="24"/>
          <w:lang w:eastAsia="en-US"/>
        </w:rPr>
        <w:t xml:space="preserve"> [</w:t>
      </w:r>
      <w:r w:rsidR="000536D5" w:rsidRPr="00DC67EB">
        <w:rPr>
          <w:b/>
          <w:szCs w:val="24"/>
          <w:lang w:eastAsia="en-US"/>
        </w:rPr>
        <w:t>Mód</w:t>
      </w:r>
      <w:r w:rsidRPr="00DC67EB">
        <w:rPr>
          <w:b/>
          <w:szCs w:val="24"/>
          <w:lang w:eastAsia="en-US"/>
        </w:rPr>
        <w:t>. 24]</w:t>
      </w:r>
    </w:p>
    <w:p w14:paraId="215CCD0D"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br w:type="page"/>
      </w:r>
      <w:r w:rsidRPr="00DC67EB">
        <w:rPr>
          <w:b/>
          <w:i/>
          <w:szCs w:val="24"/>
          <w:lang w:eastAsia="en-US"/>
        </w:rPr>
        <w:lastRenderedPageBreak/>
        <w:t>(8a)</w:t>
      </w:r>
      <w:r w:rsidRPr="00DC67EB">
        <w:rPr>
          <w:szCs w:val="24"/>
          <w:lang w:eastAsia="en-US"/>
        </w:rPr>
        <w:tab/>
      </w:r>
      <w:r w:rsidRPr="00DC67EB">
        <w:rPr>
          <w:b/>
          <w:i/>
          <w:szCs w:val="24"/>
          <w:lang w:eastAsia="en-US"/>
        </w:rPr>
        <w:t>A glifozát az Unióban leggyakrabban használt, mezőgazdasági felhasználásra szánt gyomirtó szer. Hatóanyagként az emberi egészségre gyakorolt hatása és a vízi szervezetekre gyakorolt mérgező hatása miatt komoly aggályokat vetett fel. 2022 decemberében a Bizottság úgy határozott, hogy további egy évvel ideiglenesen meghosszabbítja a glifozát forgalombahozatali engedélyét, amíg az Európai Élelmiszerbiztonsági Hatóság 2023 júliusában újraértékeli a hatóanyagot. Számos közelmúltbeli tudományos tanulmány</w:t>
      </w:r>
      <w:r w:rsidRPr="00DC67EB">
        <w:rPr>
          <w:szCs w:val="24"/>
          <w:vertAlign w:val="superscript"/>
          <w:lang w:val="en-GB" w:eastAsia="en-US"/>
        </w:rPr>
        <w:footnoteReference w:id="32"/>
      </w:r>
      <w:r w:rsidRPr="00DC67EB">
        <w:rPr>
          <w:b/>
          <w:i/>
          <w:szCs w:val="24"/>
          <w:lang w:eastAsia="en-US"/>
        </w:rPr>
        <w:t xml:space="preserve"> azonban a glifozát, az AMPA és a glifozátalapú gyomirtó szerek vízi szervezetekre gyakorolt mérgező hatása alapján azt javasolja, hogy minden felszíni víztestre vonatkozóan 0,1 </w:t>
      </w:r>
      <w:r w:rsidRPr="00DC67EB">
        <w:rPr>
          <w:b/>
          <w:i/>
          <w:szCs w:val="24"/>
          <w:lang w:val="en-GB" w:eastAsia="en-US"/>
        </w:rPr>
        <w:t>μ</w:t>
      </w:r>
      <w:r w:rsidRPr="00DC67EB">
        <w:rPr>
          <w:b/>
          <w:i/>
          <w:szCs w:val="24"/>
          <w:lang w:eastAsia="en-US"/>
        </w:rPr>
        <w:t>g/l-nél alacsonyabb környezetminőségi szabványt (EQS) kell fontolóra venni. Figyelembe véve az illetékes uniós szabályozó hatóságok által jelenleg végzett értékeléseket és a glifozát vízi élővilágra gyakorolt hatásaira vonatkozó tanulmányok tudományos megállapításait, valamint az uniós vizek többsége jó kémiai állapotának biztosítása céljából az elővigyázatosság elve alapján közös és egységes AA-EQS-t kell elfogadni a glifozáttal kapcsolatban a szárazföldi felszíni vizekre, és külön az egyéb szárazföldi vizekre vonatkozóan.</w:t>
      </w:r>
      <w:r w:rsidRPr="00DC67EB">
        <w:rPr>
          <w:b/>
          <w:szCs w:val="24"/>
          <w:lang w:eastAsia="en-US"/>
        </w:rPr>
        <w:t xml:space="preserve"> [</w:t>
      </w:r>
      <w:r w:rsidR="000536D5" w:rsidRPr="00DC67EB">
        <w:rPr>
          <w:b/>
          <w:szCs w:val="24"/>
          <w:lang w:eastAsia="en-US"/>
        </w:rPr>
        <w:t>Mód</w:t>
      </w:r>
      <w:r w:rsidRPr="00DC67EB">
        <w:rPr>
          <w:b/>
          <w:szCs w:val="24"/>
          <w:lang w:eastAsia="en-US"/>
        </w:rPr>
        <w:t>. 25]</w:t>
      </w:r>
    </w:p>
    <w:p w14:paraId="00333827"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br w:type="page"/>
      </w:r>
      <w:r w:rsidRPr="00DC67EB">
        <w:rPr>
          <w:b/>
          <w:i/>
          <w:szCs w:val="24"/>
          <w:lang w:eastAsia="en-US"/>
        </w:rPr>
        <w:lastRenderedPageBreak/>
        <w:t>(8b)</w:t>
      </w:r>
      <w:r w:rsidRPr="00DC67EB">
        <w:rPr>
          <w:szCs w:val="24"/>
          <w:lang w:eastAsia="en-US"/>
        </w:rPr>
        <w:tab/>
      </w:r>
      <w:r w:rsidRPr="00DC67EB">
        <w:rPr>
          <w:b/>
          <w:i/>
          <w:szCs w:val="24"/>
          <w:lang w:eastAsia="en-US"/>
        </w:rPr>
        <w:t>Az atrazin gabonafélék esetében egynyári kétszikű gyomok és egynyári fűfélék ellen használt gyomirtó szer. A 2004/248/EK bizottsági határozat</w:t>
      </w:r>
      <w:r w:rsidRPr="00DC67EB">
        <w:rPr>
          <w:szCs w:val="24"/>
          <w:vertAlign w:val="superscript"/>
          <w:lang w:val="en-GB" w:eastAsia="en-US"/>
        </w:rPr>
        <w:footnoteReference w:id="33"/>
      </w:r>
      <w:r w:rsidRPr="00DC67EB">
        <w:rPr>
          <w:b/>
          <w:i/>
          <w:szCs w:val="24"/>
          <w:lang w:eastAsia="en-US"/>
        </w:rPr>
        <w:t xml:space="preserve"> értelmében az Unióban már nem engedélyezett az atrazin növényvédő szerekben való használata. Az atrazin bizonyítottan endokrin károsító anyag, és bizonyítékok támasztják alá, hogy megzavarja a reprodukciót és a fejlődést, továbbá rákot okozhat. Az Európai Környezetvédelmi Ügynökség a 2013 és 2020 közötti időszakban a növényvédő szereknek a hatásokra vonatkozó vagy minőségi küszöbértékek tekintetében történő értékelése során megállapította, hogy a felszín alatti vizek megfigyelési pontjainak 4–11%-ánál egy vagy több növényvédő szer – főként az atrazin és metabolitjai – esetében észlelték a küszöbértékek túllépését. Az atrazinnak az Unió felszíni és felszín alatti vizein belüli tartós jelenlétére tekintettel, valamint annak biztosítása érdekében, hogy az atrazinra vonatkozó küszöbértékek ne lépjék túl az összes növényvédő szerre és metabolitra vonatkozó környezetminőségi előírást, a 2008/105/EK irányelv I. mellékletében foglalt, atrazinra vonatkozó küszöbértéket – egyúttal az (EU) 2020/2184 irányelvben</w:t>
      </w:r>
      <w:r w:rsidRPr="00DC67EB">
        <w:rPr>
          <w:szCs w:val="24"/>
          <w:vertAlign w:val="superscript"/>
          <w:lang w:val="en-GB" w:eastAsia="en-US"/>
        </w:rPr>
        <w:footnoteReference w:id="34"/>
      </w:r>
      <w:r w:rsidRPr="00DC67EB">
        <w:rPr>
          <w:b/>
          <w:i/>
          <w:szCs w:val="24"/>
          <w:lang w:eastAsia="en-US"/>
        </w:rPr>
        <w:t xml:space="preserve"> ugyanezen anyagra meghatározott küszöbértékkel összhangban is – ki kell igazítani.</w:t>
      </w:r>
      <w:r w:rsidRPr="00DC67EB">
        <w:rPr>
          <w:b/>
          <w:szCs w:val="24"/>
          <w:lang w:eastAsia="en-US"/>
        </w:rPr>
        <w:t xml:space="preserve"> [</w:t>
      </w:r>
      <w:r w:rsidR="000536D5" w:rsidRPr="00DC67EB">
        <w:rPr>
          <w:b/>
          <w:szCs w:val="24"/>
          <w:lang w:eastAsia="en-US"/>
        </w:rPr>
        <w:t>Mód</w:t>
      </w:r>
      <w:r w:rsidRPr="00DC67EB">
        <w:rPr>
          <w:b/>
          <w:szCs w:val="24"/>
          <w:lang w:eastAsia="en-US"/>
        </w:rPr>
        <w:t>. 26]</w:t>
      </w:r>
    </w:p>
    <w:p w14:paraId="47FDEE22"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br w:type="page"/>
      </w:r>
      <w:r w:rsidRPr="00DC67EB">
        <w:rPr>
          <w:b/>
          <w:i/>
          <w:szCs w:val="24"/>
          <w:lang w:eastAsia="en-US"/>
        </w:rPr>
        <w:lastRenderedPageBreak/>
        <w:t>(8c)</w:t>
      </w:r>
      <w:r w:rsidRPr="00DC67EB">
        <w:rPr>
          <w:szCs w:val="24"/>
          <w:lang w:eastAsia="en-US"/>
        </w:rPr>
        <w:tab/>
      </w:r>
      <w:r w:rsidRPr="00DC67EB">
        <w:rPr>
          <w:b/>
          <w:i/>
          <w:szCs w:val="24"/>
          <w:lang w:eastAsia="en-US"/>
        </w:rPr>
        <w:t>A SCHEER</w:t>
      </w:r>
      <w:r w:rsidRPr="00DC67EB">
        <w:rPr>
          <w:szCs w:val="24"/>
          <w:vertAlign w:val="superscript"/>
          <w:lang w:val="en-GB" w:eastAsia="en-US"/>
        </w:rPr>
        <w:footnoteReference w:id="35"/>
      </w:r>
      <w:r w:rsidRPr="00DC67EB">
        <w:rPr>
          <w:b/>
          <w:i/>
          <w:szCs w:val="24"/>
          <w:lang w:eastAsia="en-US"/>
        </w:rPr>
        <w:t xml:space="preserve"> és az EMA</w:t>
      </w:r>
      <w:r w:rsidRPr="00DC67EB">
        <w:rPr>
          <w:szCs w:val="24"/>
          <w:vertAlign w:val="superscript"/>
          <w:lang w:val="en-GB" w:eastAsia="en-US"/>
        </w:rPr>
        <w:footnoteReference w:id="36"/>
      </w:r>
      <w:r w:rsidRPr="00DC67EB">
        <w:rPr>
          <w:b/>
          <w:i/>
          <w:szCs w:val="24"/>
          <w:lang w:eastAsia="en-US"/>
        </w:rPr>
        <w:t xml:space="preserve"> szerint a felszín alatti vizekre vonatkozó, a 2006/118/EK irányelvben meghatározott, az egyes növényvédő szereket, illetve minden egyes növényvédő szer összegét illetően javasolt 0,1 µg/l, illetve 0,5 µg/l általános minőségi előírást az 1980-as években állapították meg az akkor rendelkezésre álló kémiai analitikai érzékenység alapján. Az egyes növényvédő szerek esetében az alapértelmezett 0,1 µg/l érték nem bizonyult elégségesnek ahhoz, hogy védelmet nyújtson az emberi egészség és a felszín alatti vizek ökoszisztémája tekintetében, és néha jóval meghaladja az elsőbbségi anyagok 2008/105/EK irányelv I. mellékletében foglalt jegyzékében szereplő számos növényvédő szerre és gombaölő szerre vonatkozó küszöbértékeket. Figyelembe véve a SCHEER azon véleményét is, hogy a felszín alatti vizekre vonatkozó küszöbértékek nem haladhatják meg a felszíni vizekre vonatkozó környezetminőségi előírásokat, a Bizottságnak korszerű analitikai módszerek alkalmazásával és a rendelkezésre álló legjobb toxikológiai ismeretek fényében felül kell vizsgálnia a 2006/118/EK irányelv I. mellékletében szereplő, egyes növényvédő szerekre és minden egyes növényvédő szer összegére – beleértve anyagcseretermékeiket – vonatkozó küszöbértékeket. E felülvizsgálatig a vízműszolgáltatók által a felszín alatti vizekről szóló európai memorandumban</w:t>
      </w:r>
      <w:r w:rsidRPr="00DC67EB">
        <w:rPr>
          <w:szCs w:val="24"/>
          <w:vertAlign w:val="superscript"/>
          <w:lang w:val="en-GB" w:eastAsia="en-US"/>
        </w:rPr>
        <w:footnoteReference w:id="37"/>
      </w:r>
      <w:r w:rsidRPr="00DC67EB">
        <w:rPr>
          <w:b/>
          <w:i/>
          <w:szCs w:val="24"/>
          <w:lang w:eastAsia="en-US"/>
        </w:rPr>
        <w:t xml:space="preserve"> kifejtett elővigyázatossági megközelítéssel összhangban ideiglenes küszöbértékeket kell megállapítani a rendelkezésre álló legjobb tudományos ismereteknek megfelelően.</w:t>
      </w:r>
      <w:r w:rsidRPr="00DC67EB">
        <w:rPr>
          <w:b/>
          <w:szCs w:val="24"/>
          <w:lang w:eastAsia="en-US"/>
        </w:rPr>
        <w:t xml:space="preserve"> [</w:t>
      </w:r>
      <w:r w:rsidR="000536D5" w:rsidRPr="00DC67EB">
        <w:rPr>
          <w:b/>
          <w:szCs w:val="24"/>
          <w:lang w:eastAsia="en-US"/>
        </w:rPr>
        <w:t>Mód</w:t>
      </w:r>
      <w:r w:rsidRPr="00DC67EB">
        <w:rPr>
          <w:b/>
          <w:szCs w:val="24"/>
          <w:lang w:eastAsia="en-US"/>
        </w:rPr>
        <w:t>. 27]</w:t>
      </w:r>
    </w:p>
    <w:p w14:paraId="73A57082"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br w:type="page"/>
      </w:r>
      <w:r w:rsidRPr="00DC67EB">
        <w:rPr>
          <w:b/>
          <w:i/>
          <w:szCs w:val="24"/>
          <w:lang w:eastAsia="en-US"/>
        </w:rPr>
        <w:lastRenderedPageBreak/>
        <w:t>(8d)</w:t>
      </w:r>
      <w:r w:rsidRPr="00DC67EB">
        <w:rPr>
          <w:szCs w:val="24"/>
          <w:lang w:eastAsia="en-US"/>
        </w:rPr>
        <w:tab/>
      </w:r>
      <w:r w:rsidRPr="00DC67EB">
        <w:rPr>
          <w:b/>
          <w:i/>
          <w:szCs w:val="24"/>
          <w:lang w:eastAsia="en-US"/>
        </w:rPr>
        <w:t>A biszfenol-A-t elsőbbségi veszélyes anyagként kell kezelni, és fel kell venni a 2008/105/EK irányelv I. mellékletében foglalt jegyzékbe. A tudományos jelentések szerint a biszfenol-A-n kívül más biszfenolok is bizonyítottan endokrin károsító tulajdonságokkal bírnak, és e biszfenolok keverékei ökotoxikológiai kockázatot jelentenek. Mivel e tudományos megállapítások aggodalomra adnak okot a biszfenolok alternatíváinak biztonságos használatával kapcsolatban – amelyek káros hatással lehetnek az emberi egészségre és a környezetre –, a Bizottságnak meg kell határoznia az „a biszfenolok összessége” paramétert és megfelelő környezetminőségi előírást kell megállapítania a biszfenolok összességére vonatkozóan.</w:t>
      </w:r>
      <w:r w:rsidRPr="00DC67EB">
        <w:rPr>
          <w:b/>
          <w:szCs w:val="24"/>
          <w:lang w:eastAsia="en-US"/>
        </w:rPr>
        <w:t xml:space="preserve"> [</w:t>
      </w:r>
      <w:r w:rsidR="000536D5" w:rsidRPr="00DC67EB">
        <w:rPr>
          <w:b/>
          <w:szCs w:val="24"/>
          <w:lang w:eastAsia="en-US"/>
        </w:rPr>
        <w:t>Mód</w:t>
      </w:r>
      <w:r w:rsidRPr="00DC67EB">
        <w:rPr>
          <w:b/>
          <w:szCs w:val="24"/>
          <w:lang w:eastAsia="en-US"/>
        </w:rPr>
        <w:t>. 28]</w:t>
      </w:r>
    </w:p>
    <w:p w14:paraId="2CDA1181"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t>(8e)</w:t>
      </w:r>
      <w:r w:rsidRPr="00DC67EB">
        <w:rPr>
          <w:szCs w:val="24"/>
          <w:lang w:eastAsia="en-US"/>
        </w:rPr>
        <w:tab/>
      </w:r>
      <w:r w:rsidRPr="00DC67EB">
        <w:rPr>
          <w:b/>
          <w:i/>
          <w:szCs w:val="24"/>
          <w:lang w:eastAsia="en-US"/>
        </w:rPr>
        <w:t>Az Európai Gyógyszerügynökség</w:t>
      </w:r>
      <w:r w:rsidRPr="00DC67EB">
        <w:rPr>
          <w:szCs w:val="24"/>
          <w:vertAlign w:val="superscript"/>
          <w:lang w:val="en-GB" w:eastAsia="en-US"/>
        </w:rPr>
        <w:footnoteReference w:id="38"/>
      </w:r>
      <w:r w:rsidRPr="00DC67EB">
        <w:rPr>
          <w:b/>
          <w:i/>
          <w:szCs w:val="24"/>
          <w:lang w:eastAsia="en-US"/>
        </w:rPr>
        <w:t xml:space="preserve"> (EMA) szerint a felszín alatti vizek ökoszisztémái alapvetően eltérőek, és ezért a felszíni vizek ökoszisztémáihoz képest sérülékenyebbek lehetnek a stressztényezőkkel szemben, mivel nem képesek helyreállni a zavarok után. Ezért az emberi egészség, a felszín alatti vizek ökoszisztémái és a felszín alatti vizektől függő ökoszisztémák védelme érdekében a felszín alatti vizekre vonatkozó küszöbértékek meghatározásakor az elővigyázatosság elvét kell alkalmazni. Az EMA tanácsaival összhangban, e sérülékenység miatt a felszín alatti vizekre alkalmazandó küszöbértékeknek általában tizedakkoráknak kell lenniük, mint a felszíni vizek esetében. Ha azonban megállapítható a felszín alatti vizek ökoszisztémáira jelentett tényleges kockázat, helyénvaló lehet a felszín alatti vizekre vonatkozó küszöbértékeket más szinten meghatározni.</w:t>
      </w:r>
      <w:r w:rsidRPr="00DC67EB">
        <w:rPr>
          <w:b/>
          <w:szCs w:val="24"/>
          <w:lang w:eastAsia="en-US"/>
        </w:rPr>
        <w:t xml:space="preserve"> [</w:t>
      </w:r>
      <w:r w:rsidR="000536D5" w:rsidRPr="00DC67EB">
        <w:rPr>
          <w:b/>
          <w:szCs w:val="24"/>
          <w:lang w:eastAsia="en-US"/>
        </w:rPr>
        <w:t>Mód</w:t>
      </w:r>
      <w:r w:rsidRPr="00DC67EB">
        <w:rPr>
          <w:b/>
          <w:szCs w:val="24"/>
          <w:lang w:eastAsia="en-US"/>
        </w:rPr>
        <w:t>. 29]</w:t>
      </w:r>
    </w:p>
    <w:p w14:paraId="44DE5974" w14:textId="77777777" w:rsidR="001D30D4" w:rsidRPr="00DC67EB" w:rsidRDefault="001D30D4" w:rsidP="001D30D4">
      <w:pPr>
        <w:spacing w:before="120" w:after="120" w:line="360" w:lineRule="auto"/>
        <w:ind w:left="850" w:hanging="850"/>
        <w:rPr>
          <w:szCs w:val="24"/>
          <w:lang w:eastAsia="en-US"/>
        </w:rPr>
      </w:pPr>
      <w:r w:rsidRPr="00DC67EB">
        <w:rPr>
          <w:szCs w:val="24"/>
          <w:lang w:eastAsia="en-US"/>
        </w:rPr>
        <w:br w:type="page"/>
      </w:r>
      <w:r w:rsidRPr="00DC67EB">
        <w:rPr>
          <w:szCs w:val="24"/>
          <w:lang w:eastAsia="en-US"/>
        </w:rPr>
        <w:lastRenderedPageBreak/>
        <w:t>(9)</w:t>
      </w:r>
      <w:r w:rsidRPr="00DC67EB">
        <w:rPr>
          <w:szCs w:val="24"/>
          <w:lang w:eastAsia="en-US"/>
        </w:rPr>
        <w:tab/>
        <w:t>A 2000/60/EK irányelv előírja a tagállamok számára, hogy kijelöljék és megfigyeljék az emberi fogyasztásra szánt víz kivételére használt víztesteket, valamint hogy megtegyék a szükséges intézkedéseket annak érdekében, hogy elkerülhető legyen az említett víztestek minőségének romlása és csökkenjen az emberi fogyasztásra alkalmas víz kitermelése során szükséges vízkezelés mértéke. Ebben az összefüggésben a mikroműanyagok potenciális kockázatot jelentenek az emberi egészségre, de több monitoringadatra van szükség annak megerősítéséhez, hogy környezetminőségi előírásokat kell megállapítani a felszíni és felszín alatti vizekben található mikroműanyagokra vonatkozóan. A mikroműanyagokat ezért fel kell venni a felszíni és felszín alatti vizek megfigyelési listáira, és nyomon kell követni őket, amint a Bizottság meghatározta a megfelelő monitoringmódszereket. Figyelembe kell venni e tekintetben az ivóvízben található mikroműanyagokból eredő kockázatok monitoringjára és értékelésére szolgáló, az (EU) 2020/2184 európai parlamenti és tanácsi irányelv alapján kidolgozott módszereket</w:t>
      </w:r>
      <w:r w:rsidRPr="00DC67EB">
        <w:rPr>
          <w:szCs w:val="24"/>
          <w:vertAlign w:val="superscript"/>
          <w:lang w:val="en-GB" w:eastAsia="en-US"/>
        </w:rPr>
        <w:footnoteReference w:id="39"/>
      </w:r>
      <w:r w:rsidRPr="00DC67EB">
        <w:rPr>
          <w:szCs w:val="24"/>
          <w:lang w:eastAsia="en-US"/>
        </w:rPr>
        <w:t>.</w:t>
      </w:r>
    </w:p>
    <w:p w14:paraId="211A9DF2"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br w:type="page"/>
      </w:r>
      <w:r w:rsidRPr="00DC67EB">
        <w:rPr>
          <w:b/>
          <w:i/>
          <w:szCs w:val="24"/>
          <w:lang w:eastAsia="en-US"/>
        </w:rPr>
        <w:lastRenderedPageBreak/>
        <w:t>(9a)</w:t>
      </w:r>
      <w:r w:rsidRPr="00DC67EB">
        <w:rPr>
          <w:szCs w:val="24"/>
          <w:lang w:eastAsia="en-US"/>
        </w:rPr>
        <w:tab/>
      </w:r>
      <w:r w:rsidRPr="00DC67EB">
        <w:rPr>
          <w:b/>
          <w:i/>
          <w:szCs w:val="24"/>
          <w:lang w:eastAsia="en-US"/>
        </w:rPr>
        <w:t>A vonatkozó uniós jogszabályi rendelkezések szerint a tagállamok kötelesek azonosítani az érintett és veszélyeztetett vizeket, kijelölni a nitrátérzékeny övezeteket, cselekvési programokat kidolgozni, és megfelelő intézkedéseket végrehajtani. E tekintetben még mindig javítani kell az ellenőrző intézkedések és a vízminőségmérő rendszerek tagállamok közötti harmonizációját, hogy az egész Unióban lehetővé váljon olyan harmonizált szabványok alkalmazása, amelyek lehetővé teszik a tagállamok közötti összehasonlíthatóságot, elkerülve ezzel az európai mezőgazdasági ágazatban a versenyproblémákat, amelyek zavarokat okoznak a belső piacon.</w:t>
      </w:r>
      <w:r w:rsidRPr="00DC67EB">
        <w:rPr>
          <w:b/>
          <w:szCs w:val="24"/>
          <w:lang w:eastAsia="en-US"/>
        </w:rPr>
        <w:t xml:space="preserve"> [</w:t>
      </w:r>
      <w:r w:rsidR="000536D5" w:rsidRPr="00DC67EB">
        <w:rPr>
          <w:b/>
          <w:szCs w:val="24"/>
          <w:lang w:eastAsia="en-US"/>
        </w:rPr>
        <w:t>Mód</w:t>
      </w:r>
      <w:r w:rsidRPr="00DC67EB">
        <w:rPr>
          <w:b/>
          <w:szCs w:val="24"/>
          <w:lang w:eastAsia="en-US"/>
        </w:rPr>
        <w:t>. 30]</w:t>
      </w:r>
    </w:p>
    <w:p w14:paraId="152A087C" w14:textId="77777777" w:rsidR="001D30D4" w:rsidRPr="00DC67EB" w:rsidRDefault="001D30D4" w:rsidP="001D30D4">
      <w:pPr>
        <w:spacing w:before="120" w:after="120" w:line="360" w:lineRule="auto"/>
        <w:ind w:left="850" w:hanging="850"/>
        <w:rPr>
          <w:b/>
          <w:szCs w:val="24"/>
          <w:lang w:eastAsia="en-US"/>
        </w:rPr>
      </w:pPr>
      <w:r w:rsidRPr="00DC67EB">
        <w:rPr>
          <w:szCs w:val="24"/>
          <w:lang w:eastAsia="en-US"/>
        </w:rPr>
        <w:t>(10)</w:t>
      </w:r>
      <w:r w:rsidRPr="00DC67EB">
        <w:rPr>
          <w:szCs w:val="24"/>
          <w:lang w:eastAsia="en-US"/>
        </w:rPr>
        <w:tab/>
      </w:r>
      <w:r w:rsidRPr="00DC67EB">
        <w:rPr>
          <w:b/>
          <w:i/>
          <w:szCs w:val="24"/>
          <w:lang w:eastAsia="en-US"/>
        </w:rPr>
        <w:t>Becslések szerint 2019-ben világszerte mintegy 900 000–1,7 millió halálesetet okoztak az antimikrobiális rezisztenciával összefüggő fertőzések</w:t>
      </w:r>
      <w:r w:rsidRPr="00DC67EB">
        <w:rPr>
          <w:szCs w:val="24"/>
          <w:vertAlign w:val="superscript"/>
          <w:lang w:val="en-GB" w:eastAsia="en-US"/>
        </w:rPr>
        <w:footnoteReference w:id="40"/>
      </w:r>
      <w:r w:rsidRPr="00DC67EB">
        <w:rPr>
          <w:b/>
          <w:i/>
          <w:szCs w:val="24"/>
          <w:lang w:eastAsia="en-US"/>
        </w:rPr>
        <w:t xml:space="preserve">. Ugyanakkor </w:t>
      </w:r>
      <w:r w:rsidRPr="00DC67EB">
        <w:rPr>
          <w:szCs w:val="24"/>
          <w:lang w:eastAsia="en-US"/>
        </w:rPr>
        <w:t>aggályok merültek fel az antimikrobiális szerekkel szemben rezisztens mikroorganizmusok és az antimikrobiális rezisztenciagének vízi környezetben való jelenlétéből eredő antimikrobiális rezisztencia kialakulásának kockázatával kapcsolatban, az eddig elvégzett monitoring pedig nem elegendő. A releváns antimikrobiális rezisztenciagéneket szintén fel kell venni a felszíni és a felszín alatti vizek megfigyelési listáira, és a megfelelő monitoringmódszerek kifejlesztését követően nyomon kell követni őket. Ez összhangban van az antimikrobiális rezisztencia leküzdésére irányuló, a Bizottság által 2017 júniusában elfogadott cselekvési tervvel, valamint az európai gyógyszerstratégiával, amely szintén foglalkozik ezzel a problémával.</w:t>
      </w:r>
      <w:r w:rsidRPr="00DC67EB">
        <w:rPr>
          <w:b/>
          <w:szCs w:val="24"/>
          <w:lang w:eastAsia="en-US"/>
        </w:rPr>
        <w:t xml:space="preserve"> [</w:t>
      </w:r>
      <w:r w:rsidR="000536D5" w:rsidRPr="00DC67EB">
        <w:rPr>
          <w:b/>
          <w:szCs w:val="24"/>
          <w:lang w:eastAsia="en-US"/>
        </w:rPr>
        <w:t>Mód</w:t>
      </w:r>
      <w:r w:rsidRPr="00DC67EB">
        <w:rPr>
          <w:b/>
          <w:szCs w:val="24"/>
          <w:lang w:eastAsia="en-US"/>
        </w:rPr>
        <w:t>. 31]</w:t>
      </w:r>
    </w:p>
    <w:p w14:paraId="08944009"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br w:type="page"/>
      </w:r>
      <w:r w:rsidRPr="00DC67EB">
        <w:rPr>
          <w:b/>
          <w:i/>
          <w:szCs w:val="24"/>
          <w:lang w:eastAsia="en-US"/>
        </w:rPr>
        <w:lastRenderedPageBreak/>
        <w:t>(10a)</w:t>
      </w:r>
      <w:r w:rsidRPr="00DC67EB">
        <w:rPr>
          <w:szCs w:val="24"/>
          <w:lang w:eastAsia="en-US"/>
        </w:rPr>
        <w:tab/>
      </w:r>
      <w:r w:rsidRPr="00DC67EB">
        <w:rPr>
          <w:b/>
          <w:i/>
          <w:szCs w:val="24"/>
          <w:lang w:eastAsia="en-US"/>
        </w:rPr>
        <w:t>A 2013/652/EU végrehajtási határozat hatályon kívül helyezéséről szóló (EU) 2020/1729 bizottsági végrehajtási határozat1a határozza meg a keretet az Európai Unióban az antimikrobiális rezisztenciára vonatkozó, összehasonlítható és megbízható adatok beszerzéséhez, amely többek között a vágóhídi szennyvíz mint az antibiotikum-rezisztens baktériumok potenciális hordozója és így egy lehetséges környezetszennyezési útvonal megfigyelésével valósulhat meg. A vágóhidak által bevezetett vízben antibiotikum-rezisztens baktériumokat találtak.</w:t>
      </w:r>
      <w:r w:rsidRPr="00DC67EB">
        <w:rPr>
          <w:b/>
          <w:szCs w:val="24"/>
          <w:lang w:eastAsia="en-US"/>
        </w:rPr>
        <w:t xml:space="preserve"> [</w:t>
      </w:r>
      <w:r w:rsidR="000536D5" w:rsidRPr="00DC67EB">
        <w:rPr>
          <w:b/>
          <w:szCs w:val="24"/>
          <w:lang w:eastAsia="en-US"/>
        </w:rPr>
        <w:t>Mód</w:t>
      </w:r>
      <w:r w:rsidRPr="00DC67EB">
        <w:rPr>
          <w:b/>
          <w:szCs w:val="24"/>
          <w:lang w:eastAsia="en-US"/>
        </w:rPr>
        <w:t>. 32]</w:t>
      </w:r>
    </w:p>
    <w:p w14:paraId="3A695B95"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t>(10b)</w:t>
      </w:r>
      <w:r w:rsidRPr="00DC67EB">
        <w:rPr>
          <w:szCs w:val="24"/>
          <w:lang w:eastAsia="en-US"/>
        </w:rPr>
        <w:tab/>
      </w:r>
      <w:r w:rsidRPr="00DC67EB">
        <w:rPr>
          <w:b/>
          <w:i/>
          <w:szCs w:val="24"/>
          <w:lang w:eastAsia="en-US"/>
        </w:rPr>
        <w:t>A szulfátok és xantátok vízi környezetbe kerülésének veszélyével kapcsolatban aggodalmak merültek fel. A szulfátok nemcsak az ivóvíz minőségét rontják, hanem a szén, a nitrogén és a foszfor anyagciklusát is befolyásolják. Ez többek között növeli a víztestek tápanyagterhelését, ezáltal a növények és az algák növekedését, valamint növeli a vízi szervezetek tápanyagellátását, és a víz oxigéntartalmának csökkenéséhez vezet. A szulfátok és bomlástermékeik, különösen a szulfid bizonyos körülmények között mérgező hatással lehetnek a vízi élővilágra. A standard vizsgálati eredmények azt mutatják, hogy egyes xantátok és bomlástermékeik mérgezőek a vízi gerinctelenekre és a halfajokra, és biológiailag felhalmozódhatnak. A szulfátok már szerepelnek a felszín alatti vizeket szennyező anyagok jegyzékében, de az eddig végzett monitoring nem volt elegendő. A szulfátokat ezért fel kell venni a felszíni és felszín alatti vizek megfigyelési listájára. A xantátokat pedig fel kell venni a felszíni vizek megfigyelési listájára.</w:t>
      </w:r>
      <w:r w:rsidRPr="00DC67EB">
        <w:rPr>
          <w:b/>
          <w:szCs w:val="24"/>
          <w:lang w:eastAsia="en-US"/>
        </w:rPr>
        <w:t xml:space="preserve"> [</w:t>
      </w:r>
      <w:r w:rsidR="000536D5" w:rsidRPr="00DC67EB">
        <w:rPr>
          <w:b/>
          <w:szCs w:val="24"/>
          <w:lang w:eastAsia="en-US"/>
        </w:rPr>
        <w:t>Mód</w:t>
      </w:r>
      <w:r w:rsidRPr="00DC67EB">
        <w:rPr>
          <w:b/>
          <w:szCs w:val="24"/>
          <w:lang w:eastAsia="en-US"/>
        </w:rPr>
        <w:t>. 33]</w:t>
      </w:r>
    </w:p>
    <w:p w14:paraId="76EB3373"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br w:type="page"/>
      </w:r>
      <w:r w:rsidRPr="00DC67EB">
        <w:rPr>
          <w:b/>
          <w:i/>
          <w:szCs w:val="24"/>
          <w:lang w:eastAsia="en-US"/>
        </w:rPr>
        <w:lastRenderedPageBreak/>
        <w:t>(10c)</w:t>
      </w:r>
      <w:r w:rsidRPr="00DC67EB">
        <w:rPr>
          <w:szCs w:val="24"/>
          <w:lang w:eastAsia="en-US"/>
        </w:rPr>
        <w:tab/>
      </w:r>
      <w:r w:rsidRPr="00DC67EB">
        <w:rPr>
          <w:b/>
          <w:i/>
          <w:szCs w:val="24"/>
          <w:lang w:eastAsia="en-US"/>
        </w:rPr>
        <w:t>Az olyan anyagok, mint a mikroműanyagok, egyértelműen kockázatot jelentenek a népegészségügyre és a környezetre, de olyan alapvető tevékenységekre is, mint amilyen a mezőgazdaság fejlesztése. Ezeknek és más anyagoknak a jelenléte nemcsak az állatállomány és a növények által befogadott vízre, hanem a talaj termékenységére is hatással lehet, ezáltal veszélyeztetve a mostani és a jövőbeli növények egészségét és megfelelő fejlődését</w:t>
      </w:r>
      <w:r w:rsidRPr="00DC67EB">
        <w:rPr>
          <w:szCs w:val="24"/>
          <w:vertAlign w:val="superscript"/>
          <w:lang w:val="en-GB" w:eastAsia="en-US"/>
        </w:rPr>
        <w:footnoteReference w:id="41"/>
      </w:r>
      <w:r w:rsidRPr="00DC67EB">
        <w:rPr>
          <w:b/>
          <w:i/>
          <w:szCs w:val="24"/>
          <w:lang w:eastAsia="en-US"/>
        </w:rPr>
        <w:t>.</w:t>
      </w:r>
      <w:r w:rsidRPr="00DC67EB">
        <w:rPr>
          <w:b/>
          <w:szCs w:val="24"/>
          <w:lang w:eastAsia="en-US"/>
        </w:rPr>
        <w:t xml:space="preserve"> [</w:t>
      </w:r>
      <w:r w:rsidR="000536D5" w:rsidRPr="00DC67EB">
        <w:rPr>
          <w:b/>
          <w:szCs w:val="24"/>
          <w:lang w:eastAsia="en-US"/>
        </w:rPr>
        <w:t>Mód</w:t>
      </w:r>
      <w:r w:rsidRPr="00DC67EB">
        <w:rPr>
          <w:b/>
          <w:szCs w:val="24"/>
          <w:lang w:eastAsia="en-US"/>
        </w:rPr>
        <w:t>. 34]</w:t>
      </w:r>
    </w:p>
    <w:p w14:paraId="3821B831" w14:textId="77777777" w:rsidR="001D30D4" w:rsidRPr="00DC67EB" w:rsidRDefault="001D30D4" w:rsidP="001D30D4">
      <w:pPr>
        <w:spacing w:before="120" w:after="120" w:line="360" w:lineRule="auto"/>
        <w:ind w:left="850" w:hanging="850"/>
        <w:rPr>
          <w:b/>
          <w:szCs w:val="24"/>
          <w:lang w:eastAsia="en-US"/>
        </w:rPr>
      </w:pPr>
      <w:r w:rsidRPr="00DC67EB">
        <w:rPr>
          <w:szCs w:val="24"/>
          <w:lang w:eastAsia="en-US"/>
        </w:rPr>
        <w:br w:type="page"/>
      </w:r>
      <w:r w:rsidRPr="00DC67EB">
        <w:rPr>
          <w:szCs w:val="24"/>
          <w:lang w:eastAsia="en-US"/>
        </w:rPr>
        <w:lastRenderedPageBreak/>
        <w:t>(11)</w:t>
      </w:r>
      <w:r w:rsidRPr="00DC67EB">
        <w:rPr>
          <w:szCs w:val="24"/>
          <w:lang w:eastAsia="en-US"/>
        </w:rPr>
        <w:tab/>
      </w:r>
      <w:r w:rsidRPr="00DC67EB">
        <w:rPr>
          <w:b/>
          <w:i/>
          <w:szCs w:val="24"/>
          <w:lang w:eastAsia="en-US"/>
        </w:rPr>
        <w:t xml:space="preserve">A víztestek kémiai állapotának jelenlegi és hagyományos monitoringmódszerei általában nem tudják megállapítani a vegyi anyagok összetett keverékeinek a vízminőségre gyakorolt hatását. </w:t>
      </w:r>
      <w:r w:rsidRPr="00DC67EB">
        <w:rPr>
          <w:szCs w:val="24"/>
          <w:lang w:eastAsia="en-US"/>
        </w:rPr>
        <w:t xml:space="preserve">Tekintettel a keverékek relevanciájának növekvő felismerésére, és ennek megfelelően a hatásalapú monitoring fontosságára a kémiai állapot meghatározása szempontjából, valamint figyelembe véve, hogy az ösztrogénhatású anyagok esetében már léteznek kellően megbízható, hatásalapú monitoringmódszerek, a tagállamoknak legalább két éven keresztül ezeket a módszereket alkalmazva kell értékelniük a felszíni vizekben található ösztrogénhatású anyagok kumulatív hatásait. Ez lehetővé teszi a hatásalapú eredmények és a 2008/105/EK irányelv I. mellékletében felsorolt három ösztrogénhatású anyag monitoringját szolgáló hagyományos módszerek alkalmazásával kapott eredmények összehasonlítását. </w:t>
      </w:r>
      <w:r w:rsidRPr="00DC67EB">
        <w:rPr>
          <w:strike/>
          <w:szCs w:val="24"/>
          <w:lang w:eastAsia="en-US"/>
        </w:rPr>
        <w:t>Ez az összehasonlítás pedig annak értékelésére szolgál majd</w:t>
      </w:r>
      <w:r w:rsidRPr="00DC67EB">
        <w:rPr>
          <w:b/>
          <w:i/>
          <w:szCs w:val="24"/>
          <w:lang w:eastAsia="en-US"/>
        </w:rPr>
        <w:t>Ezt az összehasonlítást bele kell foglalni a Bizottság által közzétett értékelő jelentésbe, melyben a Bizottság azt értékeli</w:t>
      </w:r>
      <w:r w:rsidRPr="00DC67EB">
        <w:rPr>
          <w:szCs w:val="24"/>
          <w:lang w:eastAsia="en-US"/>
        </w:rPr>
        <w:t>, hogy a hatásalapú monitoringmódszerek</w:t>
      </w:r>
      <w:r w:rsidRPr="00DC67EB">
        <w:rPr>
          <w:b/>
          <w:i/>
          <w:szCs w:val="24"/>
          <w:lang w:eastAsia="en-US"/>
        </w:rPr>
        <w:t xml:space="preserve"> megbízható és pontos adatokat szolgáltatnak-e, és</w:t>
      </w:r>
      <w:r w:rsidRPr="00DC67EB">
        <w:rPr>
          <w:szCs w:val="24"/>
          <w:lang w:eastAsia="en-US"/>
        </w:rPr>
        <w:t xml:space="preserve"> megbízható szűrőmódszerekként alkalmazhatók-e. E szűrőmódszerek alkalmazásának előnye az lenne, hogy le lehetne fedni valamennyi, hasonló ösztrogénhatású anyagot, így a monitoring nem kizárólag a 2008/105/EK irányelv I. mellékletében felsorolt anyagokra terjedne ki</w:t>
      </w:r>
      <w:r w:rsidRPr="00DC67EB">
        <w:rPr>
          <w:b/>
          <w:i/>
          <w:szCs w:val="24"/>
          <w:lang w:eastAsia="en-US"/>
        </w:rPr>
        <w:t>. A Bizottságot fel kell hatalmazni arra, hogy felhatalmazáson alapuló jogi aktusokat fogadjon el a 2008/105/EK irányelv kiegészítése céljából annak érdekében, hogy meghatározza annak módozatait a tagállamok számára, hogy a hatásalapú küszöbértékek jövőbeli meghatározására való felkészülés céljából a hatásalapú módszereket az egyéb anyagok víztestekben való jelenlétének felmérésére is alkalmazzák</w:t>
      </w:r>
      <w:r w:rsidRPr="00DC67EB">
        <w:rPr>
          <w:szCs w:val="24"/>
          <w:lang w:eastAsia="en-US"/>
        </w:rPr>
        <w:t>. A környezetminőségi előírás 2000/60/EK irányelvben szereplő fogalommeghatározását módosítani kell annak érdekében, hogy az a jövőben a hatásalapú monitoring során kapott eredmények értékelése céljából esetlegesen meghatározott cselekvési küszöbértékekre is kiterjedhessen.</w:t>
      </w:r>
      <w:r w:rsidRPr="00DC67EB">
        <w:rPr>
          <w:b/>
          <w:szCs w:val="24"/>
          <w:lang w:eastAsia="en-US"/>
        </w:rPr>
        <w:t xml:space="preserve"> [</w:t>
      </w:r>
      <w:r w:rsidR="000536D5" w:rsidRPr="00DC67EB">
        <w:rPr>
          <w:b/>
          <w:szCs w:val="24"/>
          <w:lang w:eastAsia="en-US"/>
        </w:rPr>
        <w:t>Mód</w:t>
      </w:r>
      <w:r w:rsidRPr="00DC67EB">
        <w:rPr>
          <w:b/>
          <w:szCs w:val="24"/>
          <w:lang w:eastAsia="en-US"/>
        </w:rPr>
        <w:t>. 35]</w:t>
      </w:r>
    </w:p>
    <w:p w14:paraId="00A3FB8F"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br w:type="page"/>
      </w:r>
      <w:r w:rsidRPr="00DC67EB">
        <w:rPr>
          <w:b/>
          <w:i/>
          <w:szCs w:val="24"/>
          <w:lang w:eastAsia="en-US"/>
        </w:rPr>
        <w:lastRenderedPageBreak/>
        <w:t>(11a)</w:t>
      </w:r>
      <w:r w:rsidRPr="00DC67EB">
        <w:rPr>
          <w:szCs w:val="24"/>
          <w:lang w:eastAsia="en-US"/>
        </w:rPr>
        <w:tab/>
      </w:r>
      <w:r w:rsidRPr="00DC67EB">
        <w:rPr>
          <w:b/>
          <w:i/>
          <w:szCs w:val="24"/>
          <w:lang w:eastAsia="en-US"/>
        </w:rPr>
        <w:t>Amint azt a 2006/118/EK irányelv előírja, szigorúbb küszöbértékeket kell megállapítani, amennyiben a felszín alatti vizekre vonatkozó minőségi előírások a 2000/60/EK irányelvben a kapcsolódó víztestekre vonatkozóan meghatározott környezeti célkitűzések teljesítésének elmulasztását eredményezhetik. Ezt a 2006/118/EK irányelvben foglalt követelményt a veszélyeztetett területek szennyezéssel szembeni jobb védelme érdekében tovább kell bővíteni.</w:t>
      </w:r>
      <w:r w:rsidRPr="00DC67EB">
        <w:rPr>
          <w:b/>
          <w:szCs w:val="24"/>
          <w:lang w:eastAsia="en-US"/>
        </w:rPr>
        <w:t xml:space="preserve"> [</w:t>
      </w:r>
      <w:r w:rsidR="000536D5" w:rsidRPr="00DC67EB">
        <w:rPr>
          <w:b/>
          <w:szCs w:val="24"/>
          <w:lang w:eastAsia="en-US"/>
        </w:rPr>
        <w:t>Mód</w:t>
      </w:r>
      <w:r w:rsidRPr="00DC67EB">
        <w:rPr>
          <w:b/>
          <w:szCs w:val="24"/>
          <w:lang w:eastAsia="en-US"/>
        </w:rPr>
        <w:t>. 36]</w:t>
      </w:r>
    </w:p>
    <w:p w14:paraId="2DF64291" w14:textId="77777777" w:rsidR="001D30D4" w:rsidRPr="00DC67EB" w:rsidRDefault="001D30D4" w:rsidP="001D30D4">
      <w:pPr>
        <w:spacing w:before="120" w:after="120" w:line="360" w:lineRule="auto"/>
        <w:ind w:left="850" w:hanging="850"/>
        <w:rPr>
          <w:b/>
          <w:szCs w:val="24"/>
          <w:lang w:eastAsia="en-US"/>
        </w:rPr>
      </w:pPr>
      <w:r w:rsidRPr="00DC67EB">
        <w:rPr>
          <w:szCs w:val="24"/>
          <w:lang w:eastAsia="en-US"/>
        </w:rPr>
        <w:br w:type="page"/>
      </w:r>
      <w:r w:rsidRPr="00DC67EB">
        <w:rPr>
          <w:szCs w:val="24"/>
          <w:lang w:eastAsia="en-US"/>
        </w:rPr>
        <w:lastRenderedPageBreak/>
        <w:t>(12)</w:t>
      </w:r>
      <w:r w:rsidRPr="00DC67EB">
        <w:rPr>
          <w:szCs w:val="24"/>
          <w:lang w:eastAsia="en-US"/>
        </w:rPr>
        <w:tab/>
        <w:t>Az uniós vízügyi jogszabályok értékelése</w:t>
      </w:r>
      <w:r w:rsidRPr="00DC67EB">
        <w:rPr>
          <w:szCs w:val="24"/>
          <w:vertAlign w:val="superscript"/>
          <w:lang w:val="en-GB" w:eastAsia="en-US"/>
        </w:rPr>
        <w:footnoteReference w:id="42"/>
      </w:r>
      <w:r w:rsidRPr="00DC67EB">
        <w:rPr>
          <w:szCs w:val="24"/>
          <w:lang w:eastAsia="en-US"/>
        </w:rPr>
        <w:t xml:space="preserve"> (a továbbiakban: az értékelés) arra a következtetésre jutott, hogy fel lehetne gyorsítani a felszíni és a felszín alatti vizeket szennyező anyagok azonosításának és jegyzékbe vételének, valamint a vonatkozó minőségi előírások új tudományos ismeretek fényében történő meghatározásának, illetve felülvizsgálatának folyamatát. </w:t>
      </w:r>
      <w:r w:rsidRPr="00DC67EB">
        <w:rPr>
          <w:strike/>
          <w:szCs w:val="24"/>
          <w:lang w:eastAsia="en-US"/>
        </w:rPr>
        <w:t>Ha a 2000/60/EK</w:t>
      </w:r>
      <w:r w:rsidRPr="00DC67EB">
        <w:rPr>
          <w:b/>
          <w:i/>
          <w:szCs w:val="24"/>
          <w:lang w:eastAsia="en-US"/>
        </w:rPr>
        <w:t>Ezért a 2008/105/EK</w:t>
      </w:r>
      <w:r w:rsidRPr="00DC67EB">
        <w:rPr>
          <w:szCs w:val="24"/>
          <w:lang w:eastAsia="en-US"/>
        </w:rPr>
        <w:t xml:space="preserve"> irányelv </w:t>
      </w:r>
      <w:r w:rsidRPr="00DC67EB">
        <w:rPr>
          <w:strike/>
          <w:szCs w:val="24"/>
          <w:lang w:eastAsia="en-US"/>
        </w:rPr>
        <w:t>16</w:t>
      </w:r>
      <w:r w:rsidRPr="00DC67EB">
        <w:rPr>
          <w:b/>
          <w:i/>
          <w:szCs w:val="24"/>
          <w:lang w:eastAsia="en-US"/>
        </w:rPr>
        <w:t>I</w:t>
      </w:r>
      <w:r w:rsidRPr="00DC67EB">
        <w:rPr>
          <w:szCs w:val="24"/>
          <w:lang w:eastAsia="en-US"/>
        </w:rPr>
        <w:t>.</w:t>
      </w:r>
      <w:r w:rsidRPr="00DC67EB">
        <w:rPr>
          <w:b/>
          <w:i/>
          <w:szCs w:val="24"/>
          <w:lang w:eastAsia="en-US"/>
        </w:rPr>
        <w:t xml:space="preserve"> mellékletének az elsőbbségi anyagok jegyzéke és az említett melléklet A. részében és</w:t>
      </w:r>
      <w:r w:rsidRPr="00DC67EB">
        <w:rPr>
          <w:strike/>
          <w:szCs w:val="24"/>
          <w:lang w:eastAsia="en-US"/>
        </w:rPr>
        <w:t xml:space="preserve"> és 17. cikkében, valamint</w:t>
      </w:r>
      <w:r w:rsidRPr="00DC67EB">
        <w:rPr>
          <w:szCs w:val="24"/>
          <w:lang w:eastAsia="en-US"/>
        </w:rPr>
        <w:t xml:space="preserve"> a 2006/118/EK irányelv </w:t>
      </w:r>
      <w:r w:rsidRPr="00DC67EB">
        <w:rPr>
          <w:strike/>
          <w:szCs w:val="24"/>
          <w:lang w:eastAsia="en-US"/>
        </w:rPr>
        <w:t>10. cikkében jelenleg előírt rendes jogalkotási eljárás követése helyett ezeket a feladatokat a Bizottság látná el,</w:t>
      </w:r>
      <w:r w:rsidRPr="00DC67EB">
        <w:rPr>
          <w:b/>
          <w:i/>
          <w:szCs w:val="24"/>
          <w:lang w:eastAsia="en-US"/>
        </w:rPr>
        <w:t>I. mellékletében meghatározott kapcsolódó környezetminőségi előírások tekintetében történő esetleges jövőbeli felülvizsgálata keretében</w:t>
      </w:r>
      <w:r w:rsidRPr="00DC67EB">
        <w:rPr>
          <w:szCs w:val="24"/>
          <w:lang w:eastAsia="en-US"/>
        </w:rPr>
        <w:t xml:space="preserve"> javítani </w:t>
      </w:r>
      <w:r w:rsidRPr="00DC67EB">
        <w:rPr>
          <w:strike/>
          <w:szCs w:val="24"/>
          <w:lang w:eastAsia="en-US"/>
        </w:rPr>
        <w:t>lehetne</w:t>
      </w:r>
      <w:r w:rsidRPr="00DC67EB">
        <w:rPr>
          <w:b/>
          <w:i/>
          <w:szCs w:val="24"/>
          <w:lang w:eastAsia="en-US"/>
        </w:rPr>
        <w:t>kell</w:t>
      </w:r>
      <w:r w:rsidRPr="00DC67EB">
        <w:rPr>
          <w:szCs w:val="24"/>
          <w:lang w:eastAsia="en-US"/>
        </w:rPr>
        <w:t xml:space="preserve"> a felszíni és a felszín alatti vizek megfigyelési listáján alapuló mechanizmusok működését – különösen ami a jegyzékbe vétel, a monitoring és az eredmények értékelésének időzítését és sorrendjét illeti –, meg </w:t>
      </w:r>
      <w:r w:rsidRPr="00DC67EB">
        <w:rPr>
          <w:strike/>
          <w:szCs w:val="24"/>
          <w:lang w:eastAsia="en-US"/>
        </w:rPr>
        <w:t>lehetne</w:t>
      </w:r>
      <w:r w:rsidRPr="00DC67EB">
        <w:rPr>
          <w:b/>
          <w:i/>
          <w:szCs w:val="24"/>
          <w:lang w:eastAsia="en-US"/>
        </w:rPr>
        <w:t>kell</w:t>
      </w:r>
      <w:r w:rsidRPr="00DC67EB">
        <w:rPr>
          <w:szCs w:val="24"/>
          <w:lang w:eastAsia="en-US"/>
        </w:rPr>
        <w:t xml:space="preserve"> erősíteni a megfigyelésilista-mechanizmus és a szennyező anyagok jegyzékének </w:t>
      </w:r>
      <w:r w:rsidRPr="00DC67EB">
        <w:rPr>
          <w:strike/>
          <w:szCs w:val="24"/>
          <w:lang w:eastAsia="en-US"/>
        </w:rPr>
        <w:t>felülvizsgálata</w:t>
      </w:r>
      <w:r w:rsidRPr="00DC67EB">
        <w:rPr>
          <w:b/>
          <w:i/>
          <w:szCs w:val="24"/>
          <w:lang w:eastAsia="en-US"/>
        </w:rPr>
        <w:t>felülvizsgálati időszaka</w:t>
      </w:r>
      <w:r w:rsidRPr="00DC67EB">
        <w:rPr>
          <w:szCs w:val="24"/>
          <w:lang w:eastAsia="en-US"/>
        </w:rPr>
        <w:t xml:space="preserve"> közötti kapcsolatokat, a szennyező anyagok jegyzékeit pedig </w:t>
      </w:r>
      <w:r w:rsidRPr="00DC67EB">
        <w:rPr>
          <w:b/>
          <w:i/>
          <w:szCs w:val="24"/>
          <w:lang w:eastAsia="en-US"/>
        </w:rPr>
        <w:t xml:space="preserve">ki kell igazítani, hogy az </w:t>
      </w:r>
      <w:r w:rsidRPr="00DC67EB">
        <w:rPr>
          <w:szCs w:val="24"/>
          <w:lang w:eastAsia="en-US"/>
        </w:rPr>
        <w:t xml:space="preserve">gyorsabban </w:t>
      </w:r>
      <w:r w:rsidRPr="00DC67EB">
        <w:rPr>
          <w:strike/>
          <w:szCs w:val="24"/>
          <w:lang w:eastAsia="en-US"/>
        </w:rPr>
        <w:t>hozzá lehetne igazítani</w:t>
      </w:r>
      <w:r w:rsidRPr="00DC67EB">
        <w:rPr>
          <w:b/>
          <w:i/>
          <w:szCs w:val="24"/>
          <w:lang w:eastAsia="en-US"/>
        </w:rPr>
        <w:t>figyelembe vegye</w:t>
      </w:r>
      <w:r w:rsidRPr="00DC67EB">
        <w:rPr>
          <w:szCs w:val="24"/>
          <w:lang w:eastAsia="en-US"/>
        </w:rPr>
        <w:t xml:space="preserve"> a tudományos </w:t>
      </w:r>
      <w:r w:rsidRPr="00DC67EB">
        <w:rPr>
          <w:strike/>
          <w:szCs w:val="24"/>
          <w:lang w:eastAsia="en-US"/>
        </w:rPr>
        <w:t>fejlődéshez. Ezért, valamint tekintettel arra, hogy az új tudományos és műszaki ismeretek fényében haladéktalanul módosítani kell a szennyező anyagok jegyzékeit és a hozzájuk tartozó környezetminőségi előírásokat, a Bizottságot fel kell hatalmazni arra, hogy az EUMSZ 290. cikkének megfelelően jogi aktusokat fogadjon el abból a célból, hogy módosítsa a 2008/105/EK irányelv I. mellékletét az említett melléklet A. részében meghatározott elsőbbségi anyagok jegyzéke és a hozzájuk tartozó környezetminőségi előírások tekintetében, valamint hogy módosítsa a 2006/118/EK irányelv I. mellékletét a felszín alatti vizek szennyező anyagainak jegyzéke és az említett mellékletben foglalt minőségi előírások tekintetében</w:t>
      </w:r>
      <w:r w:rsidRPr="00DC67EB">
        <w:rPr>
          <w:b/>
          <w:i/>
          <w:szCs w:val="24"/>
          <w:lang w:eastAsia="en-US"/>
        </w:rPr>
        <w:t>fejlődést</w:t>
      </w:r>
      <w:r w:rsidRPr="00DC67EB">
        <w:rPr>
          <w:szCs w:val="24"/>
          <w:lang w:eastAsia="en-US"/>
        </w:rPr>
        <w:t>. Ebben az összefüggésben a Bizottságnak figyelembe kell vennie a felszíni és a felszín alatti vizek megfigyelési listáin szereplő anyagok monitoringjának eredményeit. Következésképpen a 2000/60/EK irányelv 16. és 17. cikkét, X. mellékletét, valamint a 2006/118/EK irányelv 10. cikkét el kell hagyni</w:t>
      </w:r>
      <w:r w:rsidRPr="00DC67EB">
        <w:rPr>
          <w:b/>
          <w:i/>
          <w:szCs w:val="24"/>
          <w:lang w:eastAsia="en-US"/>
        </w:rPr>
        <w:t xml:space="preserve">, fenntartva ugyanakkor az elsőbbségi veszélyes anyagok bevezetéseinek, kibocsátásainak és veszteségeinek megszüntetésére vagy fokozatos kiküszöbölésére </w:t>
      </w:r>
      <w:r w:rsidRPr="00DC67EB">
        <w:rPr>
          <w:b/>
          <w:i/>
          <w:szCs w:val="24"/>
          <w:lang w:eastAsia="en-US"/>
        </w:rPr>
        <w:lastRenderedPageBreak/>
        <w:t>irányuló intézkedések meghozatalának kötelezettségét</w:t>
      </w:r>
      <w:r w:rsidRPr="00DC67EB">
        <w:rPr>
          <w:szCs w:val="24"/>
          <w:lang w:eastAsia="en-US"/>
        </w:rPr>
        <w:t>.</w:t>
      </w:r>
      <w:r w:rsidRPr="00DC67EB">
        <w:rPr>
          <w:b/>
          <w:szCs w:val="24"/>
          <w:lang w:eastAsia="en-US"/>
        </w:rPr>
        <w:t xml:space="preserve"> [</w:t>
      </w:r>
      <w:r w:rsidR="000536D5" w:rsidRPr="00DC67EB">
        <w:rPr>
          <w:b/>
          <w:szCs w:val="24"/>
          <w:lang w:eastAsia="en-US"/>
        </w:rPr>
        <w:t>Mód</w:t>
      </w:r>
      <w:r w:rsidRPr="00DC67EB">
        <w:rPr>
          <w:b/>
          <w:szCs w:val="24"/>
          <w:lang w:eastAsia="en-US"/>
        </w:rPr>
        <w:t>. 37]</w:t>
      </w:r>
    </w:p>
    <w:p w14:paraId="5B646F32" w14:textId="77777777" w:rsidR="001D30D4" w:rsidRPr="00DC67EB" w:rsidRDefault="001D30D4" w:rsidP="001D30D4">
      <w:pPr>
        <w:spacing w:before="120" w:after="120" w:line="360" w:lineRule="auto"/>
        <w:rPr>
          <w:szCs w:val="24"/>
          <w:lang w:eastAsia="en-US"/>
        </w:rPr>
      </w:pPr>
      <w:r w:rsidRPr="00DC67EB">
        <w:rPr>
          <w:szCs w:val="24"/>
          <w:lang w:eastAsia="en-US"/>
        </w:rPr>
        <w:br w:type="page"/>
      </w:r>
    </w:p>
    <w:p w14:paraId="370AB12F"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lastRenderedPageBreak/>
        <w:t>(12a)</w:t>
      </w:r>
      <w:r w:rsidRPr="00DC67EB">
        <w:rPr>
          <w:szCs w:val="24"/>
          <w:lang w:eastAsia="en-US"/>
        </w:rPr>
        <w:tab/>
      </w:r>
      <w:r w:rsidRPr="00DC67EB">
        <w:rPr>
          <w:b/>
          <w:i/>
          <w:szCs w:val="24"/>
          <w:lang w:eastAsia="en-US"/>
        </w:rPr>
        <w:t>Összességében a célravezetőségi vizsgálat következtetései azt mutatják, hogy az irányelvek nagyjából megfelelnek a célnak, de van lehetőség a javulásra – többek között a célkitűzések megfelelő végrehajtásának felgyorsítására –, ami az uniós finanszírozás növelése révén érhető el. Az értékelések azt mutatják, hogy az irányelvek eddig általában a víztestek magasabb szintű védelméhez és az árvízkockázat jobb kezeléséhez vezettek.</w:t>
      </w:r>
      <w:r w:rsidRPr="00DC67EB">
        <w:rPr>
          <w:b/>
          <w:szCs w:val="24"/>
          <w:lang w:eastAsia="en-US"/>
        </w:rPr>
        <w:t xml:space="preserve"> [</w:t>
      </w:r>
      <w:r w:rsidR="000536D5" w:rsidRPr="00DC67EB">
        <w:rPr>
          <w:b/>
          <w:szCs w:val="24"/>
          <w:lang w:eastAsia="en-US"/>
        </w:rPr>
        <w:t>Mód</w:t>
      </w:r>
      <w:r w:rsidRPr="00DC67EB">
        <w:rPr>
          <w:b/>
          <w:szCs w:val="24"/>
          <w:lang w:eastAsia="en-US"/>
        </w:rPr>
        <w:t>. 38]</w:t>
      </w:r>
    </w:p>
    <w:p w14:paraId="303C3C54" w14:textId="77777777" w:rsidR="001D30D4" w:rsidRPr="00DC67EB" w:rsidRDefault="001D30D4" w:rsidP="001D30D4">
      <w:pPr>
        <w:spacing w:before="120" w:after="120" w:line="360" w:lineRule="auto"/>
        <w:ind w:left="850" w:hanging="850"/>
        <w:rPr>
          <w:szCs w:val="24"/>
          <w:lang w:eastAsia="en-US"/>
        </w:rPr>
      </w:pPr>
      <w:r w:rsidRPr="00DC67EB">
        <w:rPr>
          <w:szCs w:val="24"/>
          <w:lang w:eastAsia="en-US"/>
        </w:rPr>
        <w:br w:type="page"/>
      </w:r>
      <w:r w:rsidRPr="00DC67EB">
        <w:rPr>
          <w:szCs w:val="24"/>
          <w:lang w:eastAsia="en-US"/>
        </w:rPr>
        <w:lastRenderedPageBreak/>
        <w:t>(13)</w:t>
      </w:r>
      <w:r w:rsidRPr="00DC67EB">
        <w:rPr>
          <w:szCs w:val="24"/>
          <w:lang w:eastAsia="en-US"/>
        </w:rPr>
        <w:tab/>
        <w:t>Az értékelés azt is megállapította, hogy túl nagy eltérések vannak a tagállamok között a vízgyűjtő-specifikus szennyező anyagokra, illetve a felszín alatti vizekre vonatkozóan nemzeti szinten meghatározott minőségi előírások és küszöbértékek tekintetében. Eddig a 2000/60/EK irányelv alapján elsőbbségi anyagként nem azonosított vízgyűjtő-specifikus szennyező anyagok nemzeti környezetminőségi előírások hatálya alá tartoztak, és azokat a felszíni vizek ökológiai állapotának értékelését alátámasztó fizikai-kémiai minőségi elemként vették figyelembe. A felszín alatti vizeket illetően a tagállamok egyedi küszöbértékeket állapíthattak meg még a szintetikus anyagokra vonatkozóan is. Ez a rugalmasság azonban ahhoz vezetett, hogy nem sikerült optimális eredményeket elérni sem a víztestek állapotának tagállamok közötti összehasonlíthatósága, sem a környezetvédelem tekintetében. Ezért rendelkezni kell egy olyan eljárásról, amely lehetővé teszi, hogy uniós szintű megállapodás szülessen a nemzeti szinten aggodalomra okot adó anyagokra alkalmazandó környezetminőségi előírásokról és küszöbértékekről, továbbá létre kell hozni az alkalmazandó környezetminőségi előírások és küszöbértékek adattárát.</w:t>
      </w:r>
    </w:p>
    <w:p w14:paraId="11E33DB5"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br w:type="page"/>
      </w:r>
      <w:r w:rsidRPr="00DC67EB">
        <w:rPr>
          <w:b/>
          <w:i/>
          <w:szCs w:val="24"/>
          <w:lang w:eastAsia="en-US"/>
        </w:rPr>
        <w:lastRenderedPageBreak/>
        <w:t>(13a)</w:t>
      </w:r>
      <w:r w:rsidRPr="00DC67EB">
        <w:rPr>
          <w:szCs w:val="24"/>
          <w:lang w:eastAsia="en-US"/>
        </w:rPr>
        <w:tab/>
      </w:r>
      <w:r w:rsidRPr="00DC67EB">
        <w:rPr>
          <w:b/>
          <w:i/>
          <w:szCs w:val="24"/>
          <w:lang w:eastAsia="en-US"/>
        </w:rPr>
        <w:t>Az anyagok kiválasztásával, felülvizsgálatával és a környezetminőségi előírások meghatározásával kapcsolatos valamennyi döntésnek kockázatértékelésen kell alapulnia, és arányos, átlátható és tudományosan megalapozott megközelítést kell követnie, valamint figyelembe kell vennie az Európai Parlament, a tagállamok és az érintett érdekelt felek ajánlásait.</w:t>
      </w:r>
      <w:r w:rsidRPr="00DC67EB">
        <w:rPr>
          <w:b/>
          <w:szCs w:val="24"/>
          <w:lang w:eastAsia="en-US"/>
        </w:rPr>
        <w:t xml:space="preserve"> [</w:t>
      </w:r>
      <w:r w:rsidR="000536D5" w:rsidRPr="00DC67EB">
        <w:rPr>
          <w:b/>
          <w:szCs w:val="24"/>
          <w:lang w:eastAsia="en-US"/>
        </w:rPr>
        <w:t>Mód</w:t>
      </w:r>
      <w:r w:rsidRPr="00DC67EB">
        <w:rPr>
          <w:b/>
          <w:szCs w:val="24"/>
          <w:lang w:eastAsia="en-US"/>
        </w:rPr>
        <w:t>. 39]</w:t>
      </w:r>
    </w:p>
    <w:p w14:paraId="55C2FE67"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t>(13b)</w:t>
      </w:r>
      <w:r w:rsidRPr="00DC67EB">
        <w:rPr>
          <w:szCs w:val="24"/>
          <w:lang w:eastAsia="en-US"/>
        </w:rPr>
        <w:tab/>
      </w:r>
      <w:r w:rsidRPr="00DC67EB">
        <w:rPr>
          <w:b/>
          <w:i/>
          <w:szCs w:val="24"/>
          <w:lang w:eastAsia="en-US"/>
        </w:rPr>
        <w:t>Bár a 2000/60/EK irányelv meghatározza a víz mennyiségével és minőségével kapcsolatos előrehaladáshoz szükséges szabályokat, a célravezetőségi vizsgálat kimutatta, hogy az irányelv célkitűzéseinek elérése tekintetében lassú az előrehaladás, ami többek között a megfelelő pénzügyi források hiányának, valamint a szabályozási és ökológiai komplexitásnak tudható be, beleértve a felszín alatti vizekre vonatkozó intézkedések hatásainak esetleges késedelmét és a jelentéstételi határidőket. A víztestek állapotát a folyók helyreállítása és az ökoszisztéma-szolgáltatások révén javító intézkedések olyan pénzügyi előnyökkel járnak, amelyek meghaladják a költségeket, és csökkenthetik a tagállamok részéről a szükségtelen kiadásokat. Az értékelés továbbá rámutat a végrehajtás hiányára, a nem megfelelő alkalmazási körre, valamint a hidrológiai és ökológiai összeköttetést biztosító, elégtelen vagy nem megfelelő helyreállítási intézkedésekre</w:t>
      </w:r>
      <w:r w:rsidRPr="00DC67EB">
        <w:rPr>
          <w:szCs w:val="24"/>
          <w:vertAlign w:val="superscript"/>
          <w:lang w:val="en-GB" w:eastAsia="en-US"/>
        </w:rPr>
        <w:footnoteReference w:id="43"/>
      </w:r>
      <w:r w:rsidRPr="00DC67EB">
        <w:rPr>
          <w:b/>
          <w:i/>
          <w:szCs w:val="24"/>
          <w:lang w:eastAsia="en-US"/>
        </w:rPr>
        <w:t>.</w:t>
      </w:r>
      <w:r w:rsidR="000536D5" w:rsidRPr="00DC67EB">
        <w:rPr>
          <w:b/>
          <w:szCs w:val="24"/>
          <w:lang w:eastAsia="en-US"/>
        </w:rPr>
        <w:t xml:space="preserve"> [Mód</w:t>
      </w:r>
      <w:r w:rsidRPr="00DC67EB">
        <w:rPr>
          <w:b/>
          <w:szCs w:val="24"/>
          <w:lang w:eastAsia="en-US"/>
        </w:rPr>
        <w:t>. 40]</w:t>
      </w:r>
    </w:p>
    <w:p w14:paraId="34A6915B" w14:textId="77777777" w:rsidR="001D30D4" w:rsidRPr="00DC67EB" w:rsidRDefault="001D30D4" w:rsidP="001D30D4">
      <w:pPr>
        <w:spacing w:before="120" w:after="120" w:line="360" w:lineRule="auto"/>
        <w:ind w:left="850" w:hanging="850"/>
        <w:rPr>
          <w:szCs w:val="24"/>
          <w:lang w:eastAsia="en-US"/>
        </w:rPr>
      </w:pPr>
      <w:r w:rsidRPr="00DC67EB">
        <w:rPr>
          <w:szCs w:val="24"/>
          <w:lang w:eastAsia="en-US"/>
        </w:rPr>
        <w:br w:type="page"/>
      </w:r>
      <w:r w:rsidRPr="00DC67EB">
        <w:rPr>
          <w:szCs w:val="24"/>
          <w:lang w:eastAsia="en-US"/>
        </w:rPr>
        <w:lastRenderedPageBreak/>
        <w:t>(14)</w:t>
      </w:r>
      <w:r w:rsidRPr="00DC67EB">
        <w:rPr>
          <w:szCs w:val="24"/>
          <w:lang w:eastAsia="en-US"/>
        </w:rPr>
        <w:tab/>
        <w:t>Ezenkívül a vízgyűjtő-specifikus szennyező anyagoknak a felszíni vizek kémiai állapotának fogalommeghatározásába történő integrálása összehangoltabb, koherensebb és átláthatóbb megközelítést biztosít a felszíni víztestek kémiai állapotának monitorozása és értékelése, valamint a nyilvánosság ezzel kapcsolatos tájékoztatása tekintetében. Emellett célzottabb megközelítést tesz lehetővé a „vegyi anyagokkal összefüggő” kérdések holisztikusabb, eredményesebb és hatékonyabb kezelését célzó intézkedések meghatározásához és végrehajtásához. Ezért az „ökológiai állapot” és a „kémiai állapot” fogalommeghatározását módosítani kell, és a „kémiai állapot” hatályát ki kell terjeszteni a vízgyűjtő-specifikus szennyező anyagokra is, amelyek eddig a 2000/60/EK irányelv V. mellékletében az „ökológiai állapot” fogalommeghatározásának részeként szerepeltek. Következésképpen a vízgyűjtő-specifikus szennyező anyagokra vonatkozóan meghatározandó környezetminőségi előírásokat és a kapcsolódó eljárásokat bele kell foglalni a 2008/105/EK irányelvbe.</w:t>
      </w:r>
    </w:p>
    <w:p w14:paraId="75232506" w14:textId="77777777" w:rsidR="001D30D4" w:rsidRPr="00DC67EB" w:rsidRDefault="001D30D4" w:rsidP="001D30D4">
      <w:pPr>
        <w:spacing w:before="120" w:after="120" w:line="360" w:lineRule="auto"/>
        <w:ind w:left="850" w:hanging="850"/>
        <w:rPr>
          <w:b/>
          <w:szCs w:val="24"/>
          <w:lang w:eastAsia="en-US"/>
        </w:rPr>
      </w:pPr>
      <w:r w:rsidRPr="00DC67EB">
        <w:rPr>
          <w:szCs w:val="24"/>
          <w:lang w:eastAsia="en-US"/>
        </w:rPr>
        <w:t>(15)</w:t>
      </w:r>
      <w:r w:rsidRPr="00DC67EB">
        <w:rPr>
          <w:szCs w:val="24"/>
          <w:lang w:eastAsia="en-US"/>
        </w:rPr>
        <w:tab/>
        <w:t xml:space="preserve">A harmonizált megközelítés és az Unión belüli egyenlő versenyfeltételek biztosítása érdekében a Bizottságot fel kell hatalmazni arra, hogy az EUMSZ 290. cikkének megfelelően jogi aktusokat fogadjon el abból a célból, hogy módosítsa a 2006/118/EK irányelv II. mellékletének B. részét azon szennyező anyagok jegyzékének kiigazítása révén, amelyek tekintetében a tagállamoknak </w:t>
      </w:r>
      <w:r w:rsidRPr="00DC67EB">
        <w:rPr>
          <w:strike/>
          <w:szCs w:val="24"/>
          <w:lang w:eastAsia="en-US"/>
        </w:rPr>
        <w:t>mérlegelniük kell</w:t>
      </w:r>
      <w:r w:rsidRPr="00DC67EB">
        <w:rPr>
          <w:b/>
          <w:i/>
          <w:szCs w:val="24"/>
          <w:lang w:eastAsia="en-US"/>
        </w:rPr>
        <w:t>a</w:t>
      </w:r>
      <w:r w:rsidRPr="00DC67EB">
        <w:rPr>
          <w:szCs w:val="24"/>
          <w:lang w:eastAsia="en-US"/>
        </w:rPr>
        <w:t xml:space="preserve"> nemzeti szintű </w:t>
      </w:r>
      <w:r w:rsidRPr="00DC67EB">
        <w:rPr>
          <w:strike/>
          <w:szCs w:val="24"/>
          <w:lang w:eastAsia="en-US"/>
        </w:rPr>
        <w:t>küszöbértékek megállapítását</w:t>
      </w:r>
      <w:r w:rsidRPr="00DC67EB">
        <w:rPr>
          <w:b/>
          <w:i/>
          <w:szCs w:val="24"/>
          <w:lang w:eastAsia="en-US"/>
        </w:rPr>
        <w:t>küszöbértékeket kell megállapítaniuk</w:t>
      </w:r>
      <w:r w:rsidRPr="00DC67EB">
        <w:rPr>
          <w:szCs w:val="24"/>
          <w:lang w:eastAsia="en-US"/>
        </w:rPr>
        <w:t>.</w:t>
      </w:r>
      <w:r w:rsidRPr="00DC67EB">
        <w:rPr>
          <w:b/>
          <w:szCs w:val="24"/>
          <w:lang w:eastAsia="en-US"/>
        </w:rPr>
        <w:t xml:space="preserve"> [</w:t>
      </w:r>
      <w:r w:rsidR="000536D5" w:rsidRPr="00DC67EB">
        <w:rPr>
          <w:b/>
          <w:szCs w:val="24"/>
          <w:lang w:eastAsia="en-US"/>
        </w:rPr>
        <w:t>Mód</w:t>
      </w:r>
      <w:r w:rsidRPr="00DC67EB">
        <w:rPr>
          <w:b/>
          <w:szCs w:val="24"/>
          <w:lang w:eastAsia="en-US"/>
        </w:rPr>
        <w:t>. 41]</w:t>
      </w:r>
    </w:p>
    <w:p w14:paraId="605056A2" w14:textId="77777777" w:rsidR="001D30D4" w:rsidRPr="00DC67EB" w:rsidRDefault="001D30D4" w:rsidP="001D30D4">
      <w:pPr>
        <w:spacing w:before="120" w:after="120" w:line="360" w:lineRule="auto"/>
        <w:ind w:left="850" w:hanging="850"/>
        <w:rPr>
          <w:szCs w:val="24"/>
          <w:lang w:eastAsia="en-US"/>
        </w:rPr>
      </w:pPr>
      <w:r w:rsidRPr="00DC67EB">
        <w:rPr>
          <w:szCs w:val="24"/>
          <w:lang w:eastAsia="en-US"/>
        </w:rPr>
        <w:br w:type="page"/>
      </w:r>
      <w:r w:rsidRPr="00DC67EB">
        <w:rPr>
          <w:szCs w:val="24"/>
          <w:lang w:eastAsia="en-US"/>
        </w:rPr>
        <w:lastRenderedPageBreak/>
        <w:t>(16)</w:t>
      </w:r>
      <w:r w:rsidRPr="00DC67EB">
        <w:rPr>
          <w:szCs w:val="24"/>
          <w:lang w:eastAsia="en-US"/>
        </w:rPr>
        <w:tab/>
        <w:t>Tekintettel arra, hogy mielőbb alkalmazkodni kell a tudományos és műszaki ismeretekhez, valamint hogy harmonizált megközelítést és egyenlő versenyfeltételeket kell biztosítani az Unión belül a vízgyűjtő-specifikus szennyező anyagok tekintetében, a Bizottságot fel kell hatalmazni arra, hogy az EUMSZ 290. cikkének megfelelően jogi aktusokat fogadjon el abból a célból, hogy kiigazítsa a 2008/105/EK irányelv II. mellékletét az említett melléklet A. részében meghatározott szennyezőanyag-kategóriák jegyzéke tekintetében, valamint hogy kiigazítsa a II. melléklet C. részét a vízgyűjtő-specifikus szennyező anyagokra vagy azok csoportjaira vonatkozó harmonizált környezetminőségi előírások tekintetében. A tagállamoknak ezeket a harmonizált környezetminőségi előírásokat kell alkalmazniuk a felszíni víztestek állapotának értékelésekor, amennyiben arra a megállapításra jutnak, hogy az adott szennyező anyag kockázatot jelent.</w:t>
      </w:r>
    </w:p>
    <w:p w14:paraId="05185DA5" w14:textId="77777777" w:rsidR="001D30D4" w:rsidRPr="00DC67EB" w:rsidRDefault="001D30D4" w:rsidP="001D30D4">
      <w:pPr>
        <w:spacing w:before="120" w:after="120" w:line="360" w:lineRule="auto"/>
        <w:ind w:left="850" w:hanging="850"/>
        <w:rPr>
          <w:szCs w:val="24"/>
          <w:lang w:eastAsia="en-US"/>
        </w:rPr>
      </w:pPr>
      <w:r w:rsidRPr="00DC67EB">
        <w:rPr>
          <w:szCs w:val="24"/>
          <w:lang w:eastAsia="en-US"/>
        </w:rPr>
        <w:t>(17)</w:t>
      </w:r>
      <w:r w:rsidRPr="00DC67EB">
        <w:rPr>
          <w:szCs w:val="24"/>
          <w:lang w:eastAsia="en-US"/>
        </w:rPr>
        <w:tab/>
        <w:t>A 2008/105/EK irányelv I. mellékletének A. részében szereplő elsőbbségi anyagok jegyzékének felülvizsgálata alapján több elsőbbségi anyag már nem ad okot aggodalomra az EU egészére nézve, ezért azokat a továbbiakban nem indokolt az említett irányelv I. mellékletének A. részében szerepeltetni. E szóban forgó anyagokat vízgyűjtő-specifikus szennyező anyagoknak kell tekinteni, és fel kell venni őket a 2008/105/EK irányelv II. mellékletének C. részébe a hozzájuk tartozó környezetminőségi előírásokkal együtt. Tekintettel arra, hogy ezek a szennyező anyagok már nem tekintendők az EU egészére nézve aggodalomra okot adó anyagnak, a környezetminőségi előírásokat csak akkor kell alkalmazni, ha e tekintetben nemzeti, regionális vagy helyi jelentőséggel bírnak.</w:t>
      </w:r>
    </w:p>
    <w:p w14:paraId="12CD3FC9" w14:textId="77777777" w:rsidR="001D30D4" w:rsidRPr="00DC67EB" w:rsidRDefault="001D30D4" w:rsidP="001D30D4">
      <w:pPr>
        <w:spacing w:before="120" w:after="120" w:line="360" w:lineRule="auto"/>
        <w:ind w:left="850" w:hanging="850"/>
        <w:rPr>
          <w:szCs w:val="24"/>
          <w:lang w:eastAsia="en-US"/>
        </w:rPr>
      </w:pPr>
      <w:r w:rsidRPr="00DC67EB">
        <w:rPr>
          <w:szCs w:val="24"/>
          <w:lang w:eastAsia="en-US"/>
        </w:rPr>
        <w:br w:type="page"/>
      </w:r>
      <w:r w:rsidRPr="00DC67EB">
        <w:rPr>
          <w:szCs w:val="24"/>
          <w:lang w:eastAsia="en-US"/>
        </w:rPr>
        <w:lastRenderedPageBreak/>
        <w:t>(18)</w:t>
      </w:r>
      <w:r w:rsidRPr="00DC67EB">
        <w:rPr>
          <w:szCs w:val="24"/>
          <w:lang w:eastAsia="en-US"/>
        </w:rPr>
        <w:tab/>
        <w:t>Az egyenlő versenyfeltételek biztosítása és a víztestek állapotának tagállamok közötti összehasonlíthatósága érdekében harmonizálni kell a felszín alatti vizek egyes szennyező anyagaira vonatkozó nemzeti szintű küszöbértékeket. Ezért a 2006/118/EK irányelv II. mellékletének újonnan beillesztendő D. része révén létre kell hozni a felszín alatti vizek nemzeti, regionális vagy helyi jelentőségű szennyező anyagaira vonatkozó harmonizált küszöbértékek adattárát. Az adattárban meghatározott harmonizált küszöbértékeket csak azokban a tagállamokban kell alkalmazni, amelyekben az e küszöbértékekhez kötött szennyező anyagok befolyásolják a felszín alatti vizek állapotát. A triklór-etilén és a tetraklór-etilén két szintetikus szennyező anyag összege tekintetében harmonizálni kell a nemzeti szintű küszöbértékeket, mivel nem minden olyan tagállam alkalmaz küszöbértéket e szennyező anyagok összegére, ahol a szennyező anyagok relevánsak, és a nemzeti szintű küszöbértékek sem azonosak. A harmonizált küszöbértéknek összhangban kell lennie az (EU) 2020/2184 irányelv értelmében az ivóvízben található szennyező anyagok összegére vonatkozóan meghatározott parametrikus értékkel.</w:t>
      </w:r>
    </w:p>
    <w:p w14:paraId="6714C860" w14:textId="77777777" w:rsidR="001D30D4" w:rsidRPr="00DC67EB" w:rsidRDefault="001D30D4" w:rsidP="001D30D4">
      <w:pPr>
        <w:spacing w:before="120" w:after="120" w:line="360" w:lineRule="auto"/>
        <w:ind w:left="850" w:hanging="850"/>
        <w:rPr>
          <w:szCs w:val="24"/>
          <w:lang w:eastAsia="en-US"/>
        </w:rPr>
      </w:pPr>
      <w:r w:rsidRPr="00DC67EB">
        <w:rPr>
          <w:szCs w:val="24"/>
          <w:lang w:eastAsia="en-US"/>
        </w:rPr>
        <w:t>(19)</w:t>
      </w:r>
      <w:r w:rsidRPr="00DC67EB">
        <w:rPr>
          <w:szCs w:val="24"/>
          <w:lang w:eastAsia="en-US"/>
        </w:rPr>
        <w:tab/>
        <w:t>A harmonizált megközelítés és az Unión belüli egyenlő versenyfeltételek biztosítása érdekében a Bizottságot fel kell hatalmazni arra, hogy az EUMSZ 290. cikkének megfelelően jogi aktusokat fogadjon el a 2006/118/EK irányelv II. melléklete D. részének módosítására abból a célból, hogy a harmonizált küszöbértékek adattárát az abban szereplő szennyező anyagok tekintetében, valamint a harmonizált küszöbértékeket hozzáigazítsa a műszaki és tudományos fejlődéshez.</w:t>
      </w:r>
    </w:p>
    <w:p w14:paraId="2357FA38" w14:textId="77777777" w:rsidR="001D30D4" w:rsidRPr="00DC67EB" w:rsidRDefault="001D30D4" w:rsidP="001D30D4">
      <w:pPr>
        <w:spacing w:before="120" w:after="120" w:line="360" w:lineRule="auto"/>
        <w:ind w:left="850" w:hanging="850"/>
        <w:rPr>
          <w:szCs w:val="24"/>
          <w:lang w:eastAsia="en-US"/>
        </w:rPr>
      </w:pPr>
      <w:r w:rsidRPr="00DC67EB">
        <w:rPr>
          <w:szCs w:val="24"/>
          <w:lang w:eastAsia="en-US"/>
        </w:rPr>
        <w:br w:type="page"/>
      </w:r>
      <w:r w:rsidRPr="00DC67EB">
        <w:rPr>
          <w:szCs w:val="24"/>
          <w:lang w:eastAsia="en-US"/>
        </w:rPr>
        <w:lastRenderedPageBreak/>
        <w:t>(20)</w:t>
      </w:r>
      <w:r w:rsidRPr="00DC67EB">
        <w:rPr>
          <w:szCs w:val="24"/>
          <w:lang w:eastAsia="en-US"/>
        </w:rPr>
        <w:tab/>
        <w:t>A 2006/118/EK irányelv felszín alatti vizek kémiai állapotának értékelésére vonatkozó valamennyi rendelkezését módosítani kell tekintettel arra, hogy az említett irányelv II. mellékletének D. része – az említett irányelv I. mellékletében meghatározott minőségi előírásokon és az említett irányelv II. mellékletének A. részében meghatározott módszertannal összhangban meghatározott nemzeti szintű küszöbértékeken felül – a harmonizált küszöbértékek harmadik kategóriájával egészül ki.</w:t>
      </w:r>
    </w:p>
    <w:p w14:paraId="01270D0A"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t>(20a)</w:t>
      </w:r>
      <w:r w:rsidRPr="00DC67EB">
        <w:rPr>
          <w:szCs w:val="24"/>
          <w:lang w:eastAsia="en-US"/>
        </w:rPr>
        <w:tab/>
      </w:r>
      <w:r w:rsidRPr="00DC67EB">
        <w:rPr>
          <w:b/>
          <w:i/>
          <w:szCs w:val="24"/>
          <w:lang w:eastAsia="en-US"/>
        </w:rPr>
        <w:t>Annak érdekében, hogy megfelelő védelmi előírások vonatkozzanak a nagy ökológiai értékű, sérülékeny vagy szennyezett területekre, például a barlangokra és a karsztterületekre – amelyek a szennyezéssel szemben a legnagyobb mértkében sérülékeny és fontos ivóvízkészletet jelentő ökoszisztémákat tartalmaznak –, valamint a korábbi ipari telephelyekre és más, ismert történelmi szennyezettséggel rendelkező területekre vonatkozóan a Bizottságnak közzé kell tennie az ilyen területek kémiai állapotának értékelését, és adott esetben jogalkotási javaslatot kell benyújtania a 2006/118/EK irányelv ennek megfelelő felülvizsgálatára.</w:t>
      </w:r>
      <w:r w:rsidRPr="00DC67EB">
        <w:rPr>
          <w:b/>
          <w:szCs w:val="24"/>
          <w:lang w:eastAsia="en-US"/>
        </w:rPr>
        <w:t xml:space="preserve"> [</w:t>
      </w:r>
      <w:r w:rsidR="000536D5" w:rsidRPr="00DC67EB">
        <w:rPr>
          <w:b/>
          <w:szCs w:val="24"/>
          <w:lang w:eastAsia="en-US"/>
        </w:rPr>
        <w:t>Mód</w:t>
      </w:r>
      <w:r w:rsidRPr="00DC67EB">
        <w:rPr>
          <w:b/>
          <w:szCs w:val="24"/>
          <w:lang w:eastAsia="en-US"/>
        </w:rPr>
        <w:t>. 42]</w:t>
      </w:r>
    </w:p>
    <w:p w14:paraId="522BF22D" w14:textId="77777777" w:rsidR="001D30D4" w:rsidRPr="00DC67EB" w:rsidRDefault="001D30D4" w:rsidP="001D30D4">
      <w:pPr>
        <w:spacing w:before="120" w:after="120" w:line="360" w:lineRule="auto"/>
        <w:ind w:left="850" w:hanging="850"/>
        <w:rPr>
          <w:b/>
          <w:szCs w:val="24"/>
          <w:lang w:eastAsia="en-US"/>
        </w:rPr>
      </w:pPr>
      <w:r w:rsidRPr="00DC67EB">
        <w:rPr>
          <w:szCs w:val="24"/>
          <w:lang w:eastAsia="en-US"/>
        </w:rPr>
        <w:br w:type="page"/>
      </w:r>
      <w:r w:rsidRPr="00DC67EB">
        <w:rPr>
          <w:szCs w:val="24"/>
          <w:lang w:eastAsia="en-US"/>
        </w:rPr>
        <w:lastRenderedPageBreak/>
        <w:t>(21)</w:t>
      </w:r>
      <w:r w:rsidRPr="00DC67EB">
        <w:rPr>
          <w:szCs w:val="24"/>
          <w:lang w:eastAsia="en-US"/>
        </w:rPr>
        <w:tab/>
        <w:t>A hatékony és koherens döntéshozatal biztosítása, valamint a vegyi anyagokra vonatkozó egyéb uniós jogszabályok keretében végzett munkával való szinergiák kialakítása érdekében az Európai Vegyianyag-ügynökségnek (a továbbiakban: ECHA) állandó és egyértelműen körülhatárolt szerepet kell kapnia a megfigyelési listákra és a 2008/105/EK irányelv I. és II. mellékletében, továbbá a 2006/118/EK irányelv I. és II. mellékletében szereplő jegyzékekbe felveendő anyagok rangsorolásában, valamint a megfelelő, tudományosan megalapozott minőségi előírások meghatározásában. Az ECHA kockázatértékelési bizottságának (RAC) és társadalmi-gazdasági elemzéssel foglalkozó bizottságának (SEAC) véleményformálással kell segítenie az ECHA-ra ruházott egyes feladatok végrehajtását. A vonatkozó tudományos jelentések nyilvánosságra hozatala révén emellett az ECHA-nak biztosítania a különböző környezetvédelmi jogszabályok jobb összehangolását azáltal, hogy javítja a megfigyelési listán szereplő szennyező anyagok átláthatóságát, illetve uniós vagy nemzeti környezetminőségi előírásokat vagy küszöbértékeket dolgoz ki.</w:t>
      </w:r>
      <w:r w:rsidRPr="00DC67EB">
        <w:rPr>
          <w:b/>
          <w:i/>
          <w:szCs w:val="24"/>
          <w:lang w:eastAsia="en-US"/>
        </w:rPr>
        <w:t xml:space="preserve"> A gyógyszerészeti anyagokra vonatkozó küszöbértékek értékelése esetében az ECHA-nak együtt kell működnie az Európai Gyógyszerügynökséggel (a továbbiakban: EMA).</w:t>
      </w:r>
      <w:r w:rsidRPr="00DC67EB">
        <w:rPr>
          <w:b/>
          <w:szCs w:val="24"/>
          <w:lang w:eastAsia="en-US"/>
        </w:rPr>
        <w:t xml:space="preserve"> [</w:t>
      </w:r>
      <w:r w:rsidR="000536D5" w:rsidRPr="00DC67EB">
        <w:rPr>
          <w:b/>
          <w:szCs w:val="24"/>
          <w:lang w:eastAsia="en-US"/>
        </w:rPr>
        <w:t>Mód</w:t>
      </w:r>
      <w:r w:rsidRPr="00DC67EB">
        <w:rPr>
          <w:b/>
          <w:szCs w:val="24"/>
          <w:lang w:eastAsia="en-US"/>
        </w:rPr>
        <w:t>. 43]</w:t>
      </w:r>
    </w:p>
    <w:p w14:paraId="7AF6955E" w14:textId="77777777" w:rsidR="001D30D4" w:rsidRPr="00DC67EB" w:rsidRDefault="001D30D4" w:rsidP="001D30D4">
      <w:pPr>
        <w:spacing w:before="120" w:after="120" w:line="360" w:lineRule="auto"/>
        <w:ind w:left="850" w:hanging="850"/>
        <w:rPr>
          <w:szCs w:val="24"/>
          <w:lang w:eastAsia="en-US"/>
        </w:rPr>
      </w:pPr>
      <w:r w:rsidRPr="00DC67EB">
        <w:rPr>
          <w:szCs w:val="24"/>
          <w:lang w:eastAsia="en-US"/>
        </w:rPr>
        <w:br w:type="page"/>
      </w:r>
      <w:r w:rsidRPr="00DC67EB">
        <w:rPr>
          <w:szCs w:val="24"/>
          <w:lang w:eastAsia="en-US"/>
        </w:rPr>
        <w:lastRenderedPageBreak/>
        <w:t>(22)</w:t>
      </w:r>
      <w:r w:rsidRPr="00DC67EB">
        <w:rPr>
          <w:szCs w:val="24"/>
          <w:lang w:eastAsia="en-US"/>
        </w:rPr>
        <w:tab/>
        <w:t>Az értékelés arra a következtetésre jutott, hogy gyakoribb és egyszerűbb elektronikus jelentéstételre van szükség az uniós vízügyi jogszabályok jobb végrehajtása és érvényesítése érdekében. Tekintettel az Európai Környezetvédelmi Ügynökségre (EEA) a szennyezőanyag-mentességi cselekvési terv értelmében háruló azon szerepre, miszerint rendszeresebben figyelemmel kell kísérnie a szennyezés állapotát, az EEA feladata, hogy elősegítse a gyakoribb és egyszerűbb tagállami jelentéstételt. Fontos, hogy az Unió felszíni és felszín alatti vizeinek állapotára vonatkozó környezeti információk kellő időben a nyilvánosság és a Bizottság rendelkezésére álljanak. A tagállamok számára ezért elő kell írni, hogy a 2000/60/EK irányelv keretében gyűjtött monitoringadatokat a Bizottság és az EEA rendelkezésére bocsássák, amihez alkalmazásprogramozási felület vagy azzal egyenértékű mechanizmusok használatával működő automatizált jelentéstételi és adatszolgáltatási mechanizmusokat kell igénybe venniük. Az adminisztratív terhek várhatóan korlátozottak lesznek, mivel a tagállamok már most is kötelesek nyilvánosan hozzáférhetővé tenni a 2007/2/EK európai parlamenti és tanácsi irányelv</w:t>
      </w:r>
      <w:r w:rsidRPr="00DC67EB">
        <w:rPr>
          <w:szCs w:val="24"/>
          <w:vertAlign w:val="superscript"/>
          <w:lang w:val="en-GB" w:eastAsia="en-US"/>
        </w:rPr>
        <w:footnoteReference w:id="44"/>
      </w:r>
      <w:r w:rsidRPr="00DC67EB">
        <w:rPr>
          <w:szCs w:val="24"/>
          <w:lang w:eastAsia="en-US"/>
        </w:rPr>
        <w:t>, valamint az (EU) 2019/1024 európai parlamenti és tanácsi irányelv</w:t>
      </w:r>
      <w:r w:rsidRPr="00DC67EB">
        <w:rPr>
          <w:szCs w:val="24"/>
          <w:vertAlign w:val="superscript"/>
          <w:lang w:val="en-GB" w:eastAsia="en-US"/>
        </w:rPr>
        <w:footnoteReference w:id="45"/>
      </w:r>
      <w:r w:rsidRPr="00DC67EB">
        <w:rPr>
          <w:szCs w:val="24"/>
          <w:lang w:eastAsia="en-US"/>
        </w:rPr>
        <w:t xml:space="preserve"> hatálya alá tartozó téradattémákat. E téradattémák közé tartozik a környezeti monitoringlétesítmények elhelyezkedése és működése, ehhez kapcsolódóan a kibocsátások mérése és a környezeti elemek állapota.</w:t>
      </w:r>
    </w:p>
    <w:p w14:paraId="60CD2777" w14:textId="77777777" w:rsidR="001D30D4" w:rsidRPr="00DC67EB" w:rsidRDefault="001D30D4" w:rsidP="001D30D4">
      <w:pPr>
        <w:spacing w:before="120" w:after="120" w:line="360" w:lineRule="auto"/>
        <w:ind w:left="850" w:hanging="850"/>
        <w:rPr>
          <w:b/>
          <w:szCs w:val="24"/>
          <w:lang w:eastAsia="en-US"/>
        </w:rPr>
      </w:pPr>
      <w:r w:rsidRPr="00DC67EB">
        <w:rPr>
          <w:strike/>
          <w:szCs w:val="24"/>
          <w:lang w:eastAsia="en-US"/>
        </w:rPr>
        <w:br w:type="page"/>
      </w:r>
      <w:r w:rsidRPr="00DC67EB">
        <w:rPr>
          <w:strike/>
          <w:szCs w:val="24"/>
          <w:lang w:eastAsia="en-US"/>
        </w:rPr>
        <w:lastRenderedPageBreak/>
        <w:t>(23)</w:t>
      </w:r>
      <w:r w:rsidRPr="00DC67EB">
        <w:rPr>
          <w:szCs w:val="24"/>
          <w:lang w:eastAsia="en-US"/>
        </w:rPr>
        <w:tab/>
      </w:r>
      <w:r w:rsidRPr="00DC67EB">
        <w:rPr>
          <w:strike/>
          <w:szCs w:val="24"/>
          <w:lang w:eastAsia="en-US"/>
        </w:rPr>
        <w:t>Ha az uniós vízügyi jogszabályokkal összhangban az EEA felé irányuló adatáramlásokat – és különösen a 2008/105/EK irányelvben előírt, kibocsátásokra vonatkozó nyilvántartásokat – szorosabban integrálják a 2010/75/EU irányelv és a 166/2006/EK európai parlamenti és tanácsi rendelet</w:t>
      </w:r>
      <w:r w:rsidRPr="00DC67EB">
        <w:rPr>
          <w:szCs w:val="24"/>
          <w:vertAlign w:val="superscript"/>
          <w:lang w:val="en-GB" w:eastAsia="en-US"/>
        </w:rPr>
        <w:footnoteReference w:id="46"/>
      </w:r>
      <w:r w:rsidRPr="00DC67EB">
        <w:rPr>
          <w:strike/>
          <w:szCs w:val="24"/>
          <w:lang w:eastAsia="en-US"/>
        </w:rPr>
        <w:t xml:space="preserve"> alapján az ipari kibocsátási portálra bejelentett adatáramlásokkal, az egyszerűbbé és hatékonyabbá teszi a 2008/105/EK irányelv 5. cikkének megfelelő, nyilvántartásokra vonatkozó jelentéstételt. Ezzel együtt csökkenteni fogja az adminisztratív terheket és a vízgyűjtő-gazdálkodási tervek előkészítési szakaszára jellemző kiemelkedően magas munkaterhet. Az intézkedési programok végrehajtása terén elért eredményekről szóló – hatékonynak nem bizonyuló – közbenső jelentéstétel eltörlésével együtt az új egyszerűsített jelentéstétel lehetővé teszi a tagállamok számára, hogy nagyobb figyelmet fordítsanak azon kibocsátások jelentésére, amelyek nem tartoznak az ipari kibocsátásokra vonatkozó jogszabályok hatálya alá, ugyanakkor szerepelniük kell a 2008/105/EK irányelv 5. cikke szerinti kibocsátási jelentésekben.</w:t>
      </w:r>
      <w:r w:rsidRPr="00DC67EB">
        <w:rPr>
          <w:b/>
          <w:strike/>
          <w:szCs w:val="24"/>
          <w:lang w:eastAsia="en-US"/>
        </w:rPr>
        <w:t xml:space="preserve"> </w:t>
      </w:r>
      <w:r w:rsidRPr="00DC67EB">
        <w:rPr>
          <w:b/>
          <w:szCs w:val="24"/>
          <w:lang w:eastAsia="en-US"/>
        </w:rPr>
        <w:t>[</w:t>
      </w:r>
      <w:r w:rsidR="000536D5" w:rsidRPr="00DC67EB">
        <w:rPr>
          <w:b/>
          <w:szCs w:val="24"/>
          <w:lang w:eastAsia="en-US"/>
        </w:rPr>
        <w:t>Mód</w:t>
      </w:r>
      <w:r w:rsidRPr="00DC67EB">
        <w:rPr>
          <w:b/>
          <w:szCs w:val="24"/>
          <w:lang w:eastAsia="en-US"/>
        </w:rPr>
        <w:t>. 44]</w:t>
      </w:r>
    </w:p>
    <w:p w14:paraId="396FE4DC" w14:textId="77777777" w:rsidR="001D30D4" w:rsidRPr="00DC67EB" w:rsidRDefault="001D30D4" w:rsidP="001D30D4">
      <w:pPr>
        <w:spacing w:before="120" w:after="120" w:line="360" w:lineRule="auto"/>
        <w:ind w:left="850" w:hanging="850"/>
        <w:rPr>
          <w:szCs w:val="24"/>
          <w:lang w:eastAsia="en-US"/>
        </w:rPr>
      </w:pPr>
      <w:r w:rsidRPr="00DC67EB">
        <w:rPr>
          <w:szCs w:val="24"/>
          <w:lang w:eastAsia="en-US"/>
        </w:rPr>
        <w:br w:type="page"/>
      </w:r>
      <w:r w:rsidRPr="00DC67EB">
        <w:rPr>
          <w:szCs w:val="24"/>
          <w:lang w:eastAsia="en-US"/>
        </w:rPr>
        <w:lastRenderedPageBreak/>
        <w:t>(24)</w:t>
      </w:r>
      <w:r w:rsidRPr="00DC67EB">
        <w:rPr>
          <w:szCs w:val="24"/>
          <w:lang w:eastAsia="en-US"/>
        </w:rPr>
        <w:tab/>
        <w:t>A Lisszaboni Szerződés bevezette a Bizottságra ruházott hatáskörök közötti különbségtételt aszerint, hogy a jogalkotási aktusok egyes nem alapvető rendelkezéseit kiegészítő, illetve módosító általános hatályú nem jogalkotási aktusok (felhatalmazáson alapuló jogi aktusok), vagy a kötelező erejű uniós jogi aktusok végrehajtásának egységes feltételeit biztosító aktusok (végrehajtási jogi aktusok) elfogadására vonatkoznak-e. A 2000/60/EK és a 2006/118/EK irányelvet hozzá kell igazítani a Lisszaboni Szerződéssel bevezetett jogi kerethez.</w:t>
      </w:r>
    </w:p>
    <w:p w14:paraId="14ABA397" w14:textId="77777777" w:rsidR="001D30D4" w:rsidRPr="00DC67EB" w:rsidRDefault="001D30D4" w:rsidP="001D30D4">
      <w:pPr>
        <w:spacing w:before="120" w:after="120" w:line="360" w:lineRule="auto"/>
        <w:ind w:left="850" w:hanging="850"/>
        <w:rPr>
          <w:szCs w:val="24"/>
          <w:lang w:eastAsia="en-US"/>
        </w:rPr>
      </w:pPr>
      <w:r w:rsidRPr="00DC67EB">
        <w:rPr>
          <w:szCs w:val="24"/>
          <w:lang w:eastAsia="en-US"/>
        </w:rPr>
        <w:t>(25)</w:t>
      </w:r>
      <w:r w:rsidRPr="00DC67EB">
        <w:rPr>
          <w:szCs w:val="24"/>
          <w:lang w:eastAsia="en-US"/>
        </w:rPr>
        <w:tab/>
        <w:t>A 2000/60/EK irányelv 20. cikke (1) bekezdésének első albekezdése és V. melléklete 1.4.1. pontjának ix. alpontja szerinti, az ellenőrzéssel történő szabályozási bizottsági eljárás alkalmazását előíró felhatalmazások megfelelnek az EUMSZ 290. cikkének (1) bekezdésében foglalt kritériumoknak, mivel az említett irányelv mellékleteinek kiigazítására és az azt kiegészítő szabályok elfogadására vonatkoznak. Ezért ezeket a felhatalmazásokat felhatalmazáson alapuló jogi aktusok elfogadására vonatkozó bizottsági felhatalmazássá kell átalakítani.</w:t>
      </w:r>
    </w:p>
    <w:p w14:paraId="17AF9F44" w14:textId="77777777" w:rsidR="001D30D4" w:rsidRPr="00DC67EB" w:rsidRDefault="001D30D4" w:rsidP="001D30D4">
      <w:pPr>
        <w:spacing w:before="120" w:after="120" w:line="360" w:lineRule="auto"/>
        <w:ind w:left="850" w:hanging="850"/>
        <w:rPr>
          <w:szCs w:val="24"/>
          <w:lang w:eastAsia="en-US"/>
        </w:rPr>
      </w:pPr>
      <w:r w:rsidRPr="00DC67EB">
        <w:rPr>
          <w:szCs w:val="24"/>
          <w:lang w:eastAsia="en-US"/>
        </w:rPr>
        <w:br w:type="page"/>
      </w:r>
      <w:r w:rsidRPr="00DC67EB">
        <w:rPr>
          <w:szCs w:val="24"/>
          <w:lang w:eastAsia="en-US"/>
        </w:rPr>
        <w:lastRenderedPageBreak/>
        <w:t>(26)</w:t>
      </w:r>
      <w:r w:rsidRPr="00DC67EB">
        <w:rPr>
          <w:szCs w:val="24"/>
          <w:lang w:eastAsia="en-US"/>
        </w:rPr>
        <w:tab/>
        <w:t>A 2006/118/EK irányelv 8. cikke szerinti, az ellenőrzéssel történő szabályozási bizottsági eljárás alkalmazását előíró felhatalmazás megfelel az EUMSZ 290. cikkének (1) bekezdésében foglalt kritériumoknak, mivel az említett irányelv mellékleteinek kiigazítására vonatkozik. Ezért ezt a felhatalmazást felhatalmazáson alapuló jogi aktusok elfogadására vonatkozó bizottsági felhatalmazássá kell átalakítani.</w:t>
      </w:r>
    </w:p>
    <w:p w14:paraId="477DAB26" w14:textId="77777777" w:rsidR="001D30D4" w:rsidRPr="00DC67EB" w:rsidRDefault="001D30D4" w:rsidP="001D30D4">
      <w:pPr>
        <w:spacing w:before="120" w:after="120" w:line="360" w:lineRule="auto"/>
        <w:ind w:left="850" w:hanging="850"/>
        <w:rPr>
          <w:szCs w:val="24"/>
          <w:lang w:eastAsia="en-US"/>
        </w:rPr>
      </w:pPr>
      <w:r w:rsidRPr="00DC67EB">
        <w:rPr>
          <w:szCs w:val="24"/>
          <w:lang w:eastAsia="en-US"/>
        </w:rPr>
        <w:t>(27)</w:t>
      </w:r>
      <w:r w:rsidRPr="00DC67EB">
        <w:rPr>
          <w:szCs w:val="24"/>
          <w:lang w:eastAsia="en-US"/>
        </w:rPr>
        <w:tab/>
        <w:t>Különösen fontos, hogy a Bizottság a felhatalmazáson alapuló jogi aktusok kidolgozása és előkészítése során megfelelő konzultációkat folytasson, többek között szakértői szinten, és hogy e konzultációkra a jogalkotás minőségének javításáról szóló, 2016. április 13-i intézményközi megállapodásnak megfelelően kerüljön sor. Így különösen a felhatalmazáson alapuló jogi aktusok előkészítésében való egyenlő részvétel biztosítása érdekében az Európai Parlament és a Tanács a tagállamok szakértőivel egyidejűleg kap kézhez minden dokumentumot, és szakértőik rendszeresen részt vehetnek a Bizottság felhatalmazáson alapuló jogi aktusok előkészítésével foglalkozó szakértői csoportjainak ülésein.</w:t>
      </w:r>
    </w:p>
    <w:p w14:paraId="3B1BBA87" w14:textId="77777777" w:rsidR="001D30D4" w:rsidRPr="00DC67EB" w:rsidRDefault="001D30D4" w:rsidP="001D30D4">
      <w:pPr>
        <w:spacing w:before="120" w:after="120" w:line="360" w:lineRule="auto"/>
        <w:ind w:left="850" w:hanging="850"/>
        <w:rPr>
          <w:szCs w:val="24"/>
          <w:lang w:eastAsia="en-US"/>
        </w:rPr>
      </w:pPr>
      <w:r w:rsidRPr="00DC67EB">
        <w:rPr>
          <w:szCs w:val="24"/>
          <w:lang w:eastAsia="en-US"/>
        </w:rPr>
        <w:br w:type="page"/>
      </w:r>
      <w:r w:rsidRPr="00DC67EB">
        <w:rPr>
          <w:szCs w:val="24"/>
          <w:lang w:eastAsia="en-US"/>
        </w:rPr>
        <w:lastRenderedPageBreak/>
        <w:t>(28)</w:t>
      </w:r>
      <w:r w:rsidRPr="00DC67EB">
        <w:rPr>
          <w:szCs w:val="24"/>
          <w:lang w:eastAsia="en-US"/>
        </w:rPr>
        <w:tab/>
        <w:t>A 2000/60/EK irányelv 8. cikkének (3) bekezdése szerinti, az ellenőrzéssel történő szabályozási bizottsági eljárás alkalmazását előíró felhatalmazás megfelel az EUMSZ 290. cikkének (2) bekezdésében foglalt kritériumoknak, mivel a vizek állapotának elemzésére és figyelemmel kísérésére vonatkozó műszaki előírások és szabványosított módszerek elfogadására vonatkozik, és ezért célja az említett irányelv harmonizált végrehajtásához szükséges egységes feltételek biztosítása. Ezért ezt a felhatalmazást végrehajtási jogi aktusok elfogadására vonatkozó bizottsági felhatalmazássá kell átalakítani.  Az adatok összehasonlíthatóságának biztosítása érdekében a felhatalmazást ki kell terjeszteni a monitoring- és állapotadatok bejelentésére szolgáló formátumok 8. cikk (4) bekezdésével összhangban történő létrehozására is. A Bizottságra ruházott hatásköröket a 182/2011/EU európai parlamenti és tanácsi rendeletnek</w:t>
      </w:r>
      <w:r w:rsidRPr="00DC67EB">
        <w:rPr>
          <w:szCs w:val="24"/>
          <w:vertAlign w:val="superscript"/>
          <w:lang w:val="en-GB" w:eastAsia="en-US"/>
        </w:rPr>
        <w:footnoteReference w:id="47"/>
      </w:r>
      <w:r w:rsidRPr="00DC67EB">
        <w:rPr>
          <w:szCs w:val="24"/>
          <w:lang w:eastAsia="en-US"/>
        </w:rPr>
        <w:t xml:space="preserve"> megfelelően kell gyakorolni.</w:t>
      </w:r>
    </w:p>
    <w:p w14:paraId="31CFB233" w14:textId="77777777" w:rsidR="001D30D4" w:rsidRPr="00DC67EB" w:rsidRDefault="001D30D4" w:rsidP="001D30D4">
      <w:pPr>
        <w:spacing w:before="120" w:after="120" w:line="360" w:lineRule="auto"/>
        <w:ind w:left="850" w:hanging="850"/>
        <w:rPr>
          <w:szCs w:val="24"/>
          <w:lang w:eastAsia="en-US"/>
        </w:rPr>
      </w:pPr>
      <w:r w:rsidRPr="00DC67EB">
        <w:rPr>
          <w:szCs w:val="24"/>
          <w:lang w:eastAsia="en-US"/>
        </w:rPr>
        <w:t>(29)</w:t>
      </w:r>
      <w:r w:rsidRPr="00DC67EB">
        <w:rPr>
          <w:szCs w:val="24"/>
          <w:lang w:eastAsia="en-US"/>
        </w:rPr>
        <w:tab/>
        <w:t>A 2000/60/EK irányelv végrehajtása egységes feltételeinek biztosítása érdekében a Bizottságot végrehajtási hatáskörökkel kell felruházni, hogy a 2000/60/EK irányelv 8. cikkének (3) bekezdésével összhangban technikai formátumokat fogadjon el a monitoringra és a vizek állapotára vonatkozó adatok jelentéstételhez. Ezeket a hatásköröket a 182/2011/EU rendeletnek megfelelően kell gyakorolni.</w:t>
      </w:r>
    </w:p>
    <w:p w14:paraId="07F40A40" w14:textId="77777777" w:rsidR="001D30D4" w:rsidRPr="00DC67EB" w:rsidRDefault="001D30D4" w:rsidP="001D30D4">
      <w:pPr>
        <w:spacing w:before="120" w:after="120" w:line="360" w:lineRule="auto"/>
        <w:ind w:left="850" w:hanging="850"/>
        <w:rPr>
          <w:szCs w:val="24"/>
          <w:lang w:eastAsia="en-US"/>
        </w:rPr>
      </w:pPr>
      <w:r w:rsidRPr="00DC67EB">
        <w:rPr>
          <w:szCs w:val="24"/>
          <w:lang w:eastAsia="en-US"/>
        </w:rPr>
        <w:br w:type="page"/>
      </w:r>
      <w:r w:rsidRPr="00DC67EB">
        <w:rPr>
          <w:szCs w:val="24"/>
          <w:lang w:eastAsia="en-US"/>
        </w:rPr>
        <w:lastRenderedPageBreak/>
        <w:t>(30)</w:t>
      </w:r>
      <w:r w:rsidRPr="00DC67EB">
        <w:rPr>
          <w:szCs w:val="24"/>
          <w:lang w:eastAsia="en-US"/>
        </w:rPr>
        <w:tab/>
        <w:t>A 2008/105/EK irányelv végrehajtása egységes feltételeinek biztosítása érdekében a Bizottságot végrehajtási hatáskörökkel kell felruházni, hogy egységes formátumokat fogadjon el az (EU) .../... európai parlamenti és tanácsi rendelet</w:t>
      </w:r>
      <w:r w:rsidRPr="00DC67EB">
        <w:rPr>
          <w:szCs w:val="24"/>
          <w:vertAlign w:val="superscript"/>
          <w:lang w:val="en-GB" w:eastAsia="en-US"/>
        </w:rPr>
        <w:footnoteReference w:id="48"/>
      </w:r>
      <w:r w:rsidRPr="00DC67EB">
        <w:rPr>
          <w:szCs w:val="24"/>
          <w:lang w:eastAsia="en-US"/>
        </w:rPr>
        <w:t xml:space="preserve"> hatálya alá nem tartozó pontszerű kibocsátások EEA felé történő jelentésére vonatkozóan. Ezeket a hatásköröket a 182/2011/EU rendeletnek megfelelően kell gyakorolni.</w:t>
      </w:r>
    </w:p>
    <w:p w14:paraId="3839E3CF" w14:textId="77777777" w:rsidR="001D30D4" w:rsidRPr="00DC67EB" w:rsidRDefault="001D30D4" w:rsidP="001D30D4">
      <w:pPr>
        <w:spacing w:before="120" w:after="120" w:line="360" w:lineRule="auto"/>
        <w:ind w:left="850" w:hanging="850"/>
        <w:rPr>
          <w:b/>
          <w:szCs w:val="24"/>
          <w:lang w:eastAsia="en-US"/>
        </w:rPr>
      </w:pPr>
      <w:r w:rsidRPr="00DC67EB">
        <w:rPr>
          <w:szCs w:val="24"/>
          <w:lang w:eastAsia="en-US"/>
        </w:rPr>
        <w:t>(31)</w:t>
      </w:r>
      <w:r w:rsidRPr="00DC67EB">
        <w:rPr>
          <w:szCs w:val="24"/>
          <w:lang w:eastAsia="en-US"/>
        </w:rPr>
        <w:tab/>
        <w:t xml:space="preserve">A 2000/60/EK irányelv V. mellékletében meghatározott monitoringkövetelményekkel összhangban figyelembe kell venni a tudományos és műszaki </w:t>
      </w:r>
      <w:r w:rsidRPr="00DC67EB">
        <w:rPr>
          <w:strike/>
          <w:szCs w:val="24"/>
          <w:lang w:eastAsia="en-US"/>
        </w:rPr>
        <w:t>fejlődést</w:t>
      </w:r>
      <w:r w:rsidRPr="00DC67EB">
        <w:rPr>
          <w:b/>
          <w:i/>
          <w:szCs w:val="24"/>
          <w:lang w:eastAsia="en-US"/>
        </w:rPr>
        <w:t>fejlődését és a rendelkezésre álló legjobb módszereket</w:t>
      </w:r>
      <w:r w:rsidRPr="00DC67EB">
        <w:rPr>
          <w:szCs w:val="24"/>
          <w:lang w:eastAsia="en-US"/>
        </w:rPr>
        <w:t xml:space="preserve"> a víztestek állapotának megfigyelése területén. Ezért a tagállamok számára lehetővé kell tenni a távérzékelési technológiák, a Föld-megfigyelés (Kopernikusz-szolgáltatások), a helyszíni érzékelők és eszközök, illetve a civil tudomány révén nyert adatok és szolgáltatások használatát, kiaknázva a mesterséges intelligencia, valamint a fejlett adatelemzés és -feldolgozás kínálta lehetőségeket.</w:t>
      </w:r>
      <w:r w:rsidRPr="00DC67EB">
        <w:rPr>
          <w:b/>
          <w:szCs w:val="24"/>
          <w:lang w:eastAsia="en-US"/>
        </w:rPr>
        <w:t xml:space="preserve"> [</w:t>
      </w:r>
      <w:r w:rsidR="000536D5" w:rsidRPr="00DC67EB">
        <w:rPr>
          <w:b/>
          <w:szCs w:val="24"/>
          <w:lang w:eastAsia="en-US"/>
        </w:rPr>
        <w:t>Mód</w:t>
      </w:r>
      <w:r w:rsidRPr="00DC67EB">
        <w:rPr>
          <w:b/>
          <w:szCs w:val="24"/>
          <w:lang w:eastAsia="en-US"/>
        </w:rPr>
        <w:t>. 45]</w:t>
      </w:r>
    </w:p>
    <w:p w14:paraId="1FE55CA2"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br w:type="page"/>
      </w:r>
      <w:r w:rsidRPr="00DC67EB">
        <w:rPr>
          <w:b/>
          <w:i/>
          <w:szCs w:val="24"/>
          <w:lang w:eastAsia="en-US"/>
        </w:rPr>
        <w:lastRenderedPageBreak/>
        <w:t>(31a)</w:t>
      </w:r>
      <w:r w:rsidRPr="00DC67EB">
        <w:rPr>
          <w:szCs w:val="24"/>
          <w:lang w:eastAsia="en-US"/>
        </w:rPr>
        <w:tab/>
      </w:r>
      <w:r w:rsidRPr="00DC67EB">
        <w:rPr>
          <w:b/>
          <w:i/>
          <w:szCs w:val="24"/>
          <w:lang w:eastAsia="en-US"/>
        </w:rPr>
        <w:t>Az energetikai átálláshoz kapcsolódó ipari tevékenységek növelhetik a vízminőségre gyakorolt káros hatásokat. Az ilyen jövőbeli hatásoknak, például a természetes áramlási minták és a hőmérséklet változásainak, valamint a vízszennyezésnek a mérséklése szükségessé teszi a lehetséges tényezők teljes körének, valamint a jó vízminőség elérése és fenntartása érdekében meghozandó intézkedéseknek az értékelését. Ezért a tagállamoknak rendszeresen értékelniük kell az energetikai átálláshoz kapcsolódó ipari tevékenységek vízminőségre gyakorolt hatását, és a megfigyelési lista megfelelő frissítése céljából tájékoztatniuk kell a Bizottságot az újonnan azonosított veszélyekről. Az értékelésnek könnyen hozzáférhetőnek kell lennie a nyilvánosság számára, és a vízminőség-értékelés folyamatos javítása érdekében lehetővé kell tenni, hogy a frissítésre az általános frissítési ciklusokon kívül kerüljön sor.</w:t>
      </w:r>
      <w:r w:rsidRPr="00DC67EB">
        <w:rPr>
          <w:b/>
          <w:szCs w:val="24"/>
          <w:lang w:eastAsia="en-US"/>
        </w:rPr>
        <w:t xml:space="preserve"> [</w:t>
      </w:r>
      <w:r w:rsidR="000536D5" w:rsidRPr="00DC67EB">
        <w:rPr>
          <w:b/>
          <w:szCs w:val="24"/>
          <w:lang w:eastAsia="en-US"/>
        </w:rPr>
        <w:t>Mód</w:t>
      </w:r>
      <w:r w:rsidRPr="00DC67EB">
        <w:rPr>
          <w:b/>
          <w:szCs w:val="24"/>
          <w:lang w:eastAsia="en-US"/>
        </w:rPr>
        <w:t>. 46]</w:t>
      </w:r>
    </w:p>
    <w:p w14:paraId="3D1F83ED"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br w:type="page"/>
      </w:r>
      <w:r w:rsidRPr="00DC67EB">
        <w:rPr>
          <w:b/>
          <w:i/>
          <w:szCs w:val="24"/>
          <w:lang w:eastAsia="en-US"/>
        </w:rPr>
        <w:lastRenderedPageBreak/>
        <w:t>(31b)</w:t>
      </w:r>
      <w:r w:rsidRPr="00DC67EB">
        <w:rPr>
          <w:szCs w:val="24"/>
          <w:lang w:eastAsia="en-US"/>
        </w:rPr>
        <w:tab/>
      </w:r>
      <w:r w:rsidRPr="00DC67EB">
        <w:rPr>
          <w:b/>
          <w:i/>
          <w:szCs w:val="24"/>
          <w:lang w:eastAsia="en-US"/>
        </w:rPr>
        <w:t>A Bizottság az európai zöld megállapodásról szóló, 2019. december 11-i közleményében és a környezeti ügyekben az igazságszolgáltatáshoz való hozzáférés javításáról szóló, 2020. október 14-i közleményében kötelezettséget vállalt arra, hogy azon polgárok és környezetvédelmi nem kormányzati szervezetek esetében, akiknek konkrét aggályaik vannak a környezetre hatást gyakorló közigazgatási aktusok környezetvédelmi joggal való összeegyeztethetőségét illetően, lépéseket fog tenni annak érdekében, hogy valamennyi tagállamban javuljanak a nemzeti bíróságok előtti igazságszolgáltatáshoz való joguk érvényesítésének lehetőségei. Ez utóbbi közleményben a Bizottság megerősíti, hogy „az igazságszolgáltatáshoz való jog környezeti ügyekben történő biztosítása az Európai Unió Bírósága és az uniós bíróságként eljáró nemzeti bíróságok előtt fontos támogató intézkedés az európai zöld megállapodás szerinti átállás megvalósításához, valamint hozzájárul ahhoz, hogy a civil társadalom fokozottabb ellenőrző szerepet kapjon a demokratikus térben”. E kötelezettségvállalásokat a 2000/60/EK irányelv alapján is végre kell hajtani.</w:t>
      </w:r>
      <w:r w:rsidRPr="00DC67EB">
        <w:rPr>
          <w:b/>
          <w:szCs w:val="24"/>
          <w:lang w:eastAsia="en-US"/>
        </w:rPr>
        <w:t xml:space="preserve"> [</w:t>
      </w:r>
      <w:r w:rsidR="000536D5" w:rsidRPr="00DC67EB">
        <w:rPr>
          <w:b/>
          <w:szCs w:val="24"/>
          <w:lang w:eastAsia="en-US"/>
        </w:rPr>
        <w:t>Mód</w:t>
      </w:r>
      <w:r w:rsidRPr="00DC67EB">
        <w:rPr>
          <w:b/>
          <w:szCs w:val="24"/>
          <w:lang w:eastAsia="en-US"/>
        </w:rPr>
        <w:t>. 47]</w:t>
      </w:r>
    </w:p>
    <w:p w14:paraId="7D14E31A"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br w:type="page"/>
      </w:r>
      <w:r w:rsidRPr="00DC67EB">
        <w:rPr>
          <w:b/>
          <w:i/>
          <w:szCs w:val="24"/>
          <w:lang w:eastAsia="en-US"/>
        </w:rPr>
        <w:lastRenderedPageBreak/>
        <w:t>(31c)</w:t>
      </w:r>
      <w:r w:rsidRPr="00DC67EB">
        <w:rPr>
          <w:szCs w:val="24"/>
          <w:lang w:eastAsia="en-US"/>
        </w:rPr>
        <w:tab/>
      </w:r>
      <w:r w:rsidRPr="00DC67EB">
        <w:rPr>
          <w:b/>
          <w:i/>
          <w:szCs w:val="24"/>
          <w:lang w:eastAsia="en-US"/>
        </w:rPr>
        <w:t>Amint azt az EUB ítélkezési gyakorlata</w:t>
      </w:r>
      <w:r w:rsidRPr="00DC67EB">
        <w:rPr>
          <w:szCs w:val="24"/>
          <w:vertAlign w:val="superscript"/>
          <w:lang w:val="en-GB" w:eastAsia="en-US"/>
        </w:rPr>
        <w:footnoteReference w:id="49"/>
      </w:r>
      <w:r w:rsidRPr="00DC67EB">
        <w:rPr>
          <w:b/>
          <w:i/>
          <w:szCs w:val="24"/>
          <w:lang w:eastAsia="en-US"/>
        </w:rPr>
        <w:t xml:space="preserve"> megerősítette, a környezetvédelemmel foglalkozó nem kormányzati szervezeteket és a közvetlenül érintett magánszemélyeket kereshetőségi joggal kell felruházni annak érdekében, hogy megtámadhassák a valamely hatóság által hozott olyan határozatokat, amelyek sértik a 2000/60/EK irányelv 4. cikkében említett környezetvédelmi célkitűzéseket. Annak érdekében, hogy Unió-szerte javuljon az érintett ügyekben a nemzeti bíróságok előtti igazságszolgáltatáshoz való jog, és hogy a környezetvédelmi nemkormányzati szervezetek és a közvetlenül érintett személyek a 2000/60/EK irányelvet sértő határozatok megtámadásakor a nemzeti jogszabályokra hivatkozhassanak, a 2000/60/EK irányelvben az igazságszolgáltatáshoz való hozzáférést biztosító rendelkezéseket kell megállapítani.</w:t>
      </w:r>
      <w:r w:rsidRPr="00DC67EB">
        <w:rPr>
          <w:b/>
          <w:szCs w:val="24"/>
          <w:lang w:eastAsia="en-US"/>
        </w:rPr>
        <w:t xml:space="preserve"> [</w:t>
      </w:r>
      <w:r w:rsidR="000536D5" w:rsidRPr="00DC67EB">
        <w:rPr>
          <w:b/>
          <w:szCs w:val="24"/>
          <w:lang w:eastAsia="en-US"/>
        </w:rPr>
        <w:t>Mód</w:t>
      </w:r>
      <w:r w:rsidRPr="00DC67EB">
        <w:rPr>
          <w:b/>
          <w:szCs w:val="24"/>
          <w:lang w:eastAsia="en-US"/>
        </w:rPr>
        <w:t>. 48]</w:t>
      </w:r>
    </w:p>
    <w:p w14:paraId="25594BA4" w14:textId="77777777" w:rsidR="001D30D4" w:rsidRPr="00DC67EB" w:rsidRDefault="001D30D4" w:rsidP="001D30D4">
      <w:pPr>
        <w:spacing w:before="120" w:after="120" w:line="360" w:lineRule="auto"/>
        <w:ind w:left="850" w:hanging="850"/>
        <w:rPr>
          <w:b/>
          <w:szCs w:val="24"/>
          <w:lang w:eastAsia="en-US"/>
        </w:rPr>
      </w:pPr>
      <w:r w:rsidRPr="00DC67EB">
        <w:rPr>
          <w:szCs w:val="24"/>
          <w:lang w:eastAsia="en-US"/>
        </w:rPr>
        <w:br w:type="page"/>
      </w:r>
      <w:r w:rsidRPr="00DC67EB">
        <w:rPr>
          <w:szCs w:val="24"/>
          <w:lang w:eastAsia="en-US"/>
        </w:rPr>
        <w:lastRenderedPageBreak/>
        <w:t>(32)</w:t>
      </w:r>
      <w:r w:rsidRPr="00DC67EB">
        <w:rPr>
          <w:szCs w:val="24"/>
          <w:lang w:eastAsia="en-US"/>
        </w:rPr>
        <w:tab/>
        <w:t>Tekintettel az előre nem látható időjárási események – különösen a szélsőséges árvizek és az elhúzódó aszályok –, valamint az országhatárokon átterjedő</w:t>
      </w:r>
      <w:r w:rsidRPr="00DC67EB">
        <w:rPr>
          <w:strike/>
          <w:szCs w:val="24"/>
          <w:lang w:eastAsia="en-US"/>
        </w:rPr>
        <w:t xml:space="preserve"> véletlenszerű</w:t>
      </w:r>
      <w:r w:rsidRPr="00DC67EB">
        <w:rPr>
          <w:szCs w:val="24"/>
          <w:lang w:eastAsia="en-US"/>
        </w:rPr>
        <w:t xml:space="preserve"> szennyezést okozó vagy azt súlyosbító jelentős szennyezési események növekedő számára, a tagállamokat kötelezni kell arra, hogy haladéktalanul értesítsék a potenciálisan érintett többi tagállamot az ilyen eseményekről és hatékonyan működjenek együtt velük az esemény hatásainak enyhítése érdekében. A 2000/60/EK irányelv 12. cikkével összhangban meg kell erősíteni a tagállamok közötti együttműködést, és egyszerűsíteni kell a határokon átnyúló együttműködésre vonatkozó eljárásokat olyan strukturálisabb, azaz nem véletlenszerű és hosszabb távon fennálló, nemzetközi kérdések esetében, amelyek tagállami szinten nem oldhatók meg. Amennyiben európai segítségnyújtásra van szükség, az illetékes nemzeti hatóságok segítségnyújtás iránti kérelmet intézhetnek a Bizottság Veszélyhelyzet-reagálási Koordinációs Központjához, amely az 1313/2013/EU európai parlamenti és tanácsi határozat</w:t>
      </w:r>
      <w:r w:rsidRPr="00DC67EB">
        <w:rPr>
          <w:szCs w:val="24"/>
          <w:vertAlign w:val="superscript"/>
          <w:lang w:val="en-GB" w:eastAsia="en-US"/>
        </w:rPr>
        <w:footnoteReference w:id="50"/>
      </w:r>
      <w:r w:rsidRPr="00DC67EB">
        <w:rPr>
          <w:szCs w:val="24"/>
          <w:lang w:eastAsia="en-US"/>
        </w:rPr>
        <w:t xml:space="preserve"> 15. cikkével összhangban koordinálja a segítségnyújtási felajánlásokat és azok uniós polgári védelmi mechanizmuson keresztül történő operatív telepítését.</w:t>
      </w:r>
      <w:r w:rsidRPr="00DC67EB">
        <w:rPr>
          <w:b/>
          <w:i/>
          <w:szCs w:val="24"/>
          <w:lang w:eastAsia="en-US"/>
        </w:rPr>
        <w:t xml:space="preserve"> Figyelembe véve, hogy a vízgyűjtő kerületek az Unió területén is túlterjedhetnek, a 2000/60/EK irányelv szerinti vízvédelmi rendelkezések hatékony végrehajtásának biztosítása, valamint az érintett harmadik országokkal való megfelelő koordináció szintén hozzájárulna a 2000/60/EK irányelv 3. cikkének (5) bekezdésében említett vízgyűjtő kerületekre vonatkozóan a 2000/60/EK irányelvben meghatározott célkitűzésekhez. Emellett az Unió közvetlen földrajzi közelségében zajló fegyveres konfliktusokat is rendkívüli eseménynek kell tekinteni az országhatárokon átterjedő kiterjedt negatív környezeti hatásuk miatt, ideértve a levegő-, talaj- és vízszennyezést is. Mivel az ilyen konfliktusok által érintett vízgyűjtők az Unió határain belülre is kiterjedhetnek, a Bizottságnak és a tagállamoknak fokozniuk kell arra irányuló erőfeszítéseiket, hogy a 2000/60/EK irányelv 3. cikkének (5) bekezdésében említetteknek megfelelő koordinációt alakítsanak ki érintett harmadik országokkal.</w:t>
      </w:r>
      <w:r w:rsidRPr="00DC67EB">
        <w:rPr>
          <w:b/>
          <w:szCs w:val="24"/>
          <w:lang w:eastAsia="en-US"/>
        </w:rPr>
        <w:t xml:space="preserve"> [</w:t>
      </w:r>
      <w:r w:rsidR="000536D5" w:rsidRPr="00DC67EB">
        <w:rPr>
          <w:b/>
          <w:szCs w:val="24"/>
          <w:lang w:eastAsia="en-US"/>
        </w:rPr>
        <w:t>Mód</w:t>
      </w:r>
      <w:r w:rsidRPr="00DC67EB">
        <w:rPr>
          <w:b/>
          <w:szCs w:val="24"/>
          <w:lang w:eastAsia="en-US"/>
        </w:rPr>
        <w:t>. 49]</w:t>
      </w:r>
    </w:p>
    <w:p w14:paraId="6DB79B55"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br w:type="page"/>
      </w:r>
      <w:r w:rsidRPr="00DC67EB">
        <w:rPr>
          <w:b/>
          <w:i/>
          <w:szCs w:val="24"/>
          <w:lang w:eastAsia="en-US"/>
        </w:rPr>
        <w:lastRenderedPageBreak/>
        <w:t>(32a)</w:t>
      </w:r>
      <w:r w:rsidRPr="00DC67EB">
        <w:rPr>
          <w:szCs w:val="24"/>
          <w:lang w:eastAsia="en-US"/>
        </w:rPr>
        <w:tab/>
      </w:r>
      <w:r w:rsidRPr="00DC67EB">
        <w:rPr>
          <w:b/>
          <w:i/>
          <w:szCs w:val="24"/>
          <w:lang w:eastAsia="en-US"/>
        </w:rPr>
        <w:t xml:space="preserve">Az Európai Számvevőszék 2021. május 19-i, „A »szennyező fizet« elv alkalmazása következetlen az Unió környezetvédelmi politikáiban és fellépésében” című különjelentésében megállapítja, hogy a tagállamok évente eleve körülbelül 100 milliárd eurót költenek vízellátásra és szennyvízelvezetésre, és a szennyvízkezelésre és az ivóvízellátásra vonatkozó uniós jogszabályok céljainak teljesítéséhez több mint 25%-kal kell növelniük ezt az összeget, ugyanakkor ez nem tartalmazza a meglévő infrastruktúra megújításához vagy a víz-keretirányelv és az árvízvédelmi irányelv célkitűzéseinek teljesítéséhez szükséges beruházásokat. Ezenkívül az Unióban a vízdíjak révén a felhasználók átlagosan a vízszolgáltatás költségeinek mintegy 70%-át fizetik meg, a fennmaradó 30%-ot pedig az államháztartás finanszírozza, bár régiónként és tagállamonként jelentős különbségek vannak. Az Unióban a vízellátás és a szennyvízelvezetési szolgáltatások költségeinek nagy részét általában a háztartások fizetik meg, annak ellenére, hogy a víznek csak 10%-át fogyasztják el, míg a megújuló édesvízkészletekre a legnagyobb nyomást gyakorló gazdasági ágazatok járulnak hozzá legkevésbé e költségek fedezéséhez. </w:t>
      </w:r>
      <w:r w:rsidRPr="00DC67EB">
        <w:rPr>
          <w:b/>
          <w:szCs w:val="24"/>
          <w:lang w:eastAsia="en-US"/>
        </w:rPr>
        <w:t xml:space="preserve"> [</w:t>
      </w:r>
      <w:r w:rsidR="000536D5" w:rsidRPr="00DC67EB">
        <w:rPr>
          <w:b/>
          <w:szCs w:val="24"/>
          <w:lang w:eastAsia="en-US"/>
        </w:rPr>
        <w:t>Mód</w:t>
      </w:r>
      <w:r w:rsidRPr="00DC67EB">
        <w:rPr>
          <w:b/>
          <w:szCs w:val="24"/>
          <w:lang w:eastAsia="en-US"/>
        </w:rPr>
        <w:t>. 50]</w:t>
      </w:r>
    </w:p>
    <w:p w14:paraId="37CEF408"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br w:type="page"/>
      </w:r>
      <w:r w:rsidRPr="00DC67EB">
        <w:rPr>
          <w:b/>
          <w:i/>
          <w:szCs w:val="24"/>
          <w:lang w:eastAsia="en-US"/>
        </w:rPr>
        <w:lastRenderedPageBreak/>
        <w:t>(32b)</w:t>
      </w:r>
      <w:r w:rsidRPr="00DC67EB">
        <w:rPr>
          <w:szCs w:val="24"/>
          <w:lang w:eastAsia="en-US"/>
        </w:rPr>
        <w:tab/>
      </w:r>
      <w:r w:rsidRPr="00DC67EB">
        <w:rPr>
          <w:b/>
          <w:i/>
          <w:szCs w:val="24"/>
          <w:lang w:eastAsia="en-US"/>
        </w:rPr>
        <w:t>A felszíni és a felszín alatti vizek állapotának meghatározására irányuló megfigyelési programok költségeit kizárólag a tagállamok költségvetéséből finanszírozzák. Tekintettel arra, hogy a vízi környezetben kimutatott vegyi anyagok száma folyamatosan változik, hogy egyre több az olyan új szennyező anyag, amely a közelmúltban jelent meg a vízi környezetben, hogy ezen újonnan megjelenő és új szennyező anyagok kimutatása és ökológiai hatásának helyes értékelése érdekében a kémiai elemzési módszerek folyamatos javítására van szükség, valamint hogy a kémiai elegyek hatásainak jobb értékelése érdekében új monitoringmódszereket is ki kell dolgozni, a monitoringköltségek várhatóan tovább fognak emelkedni. E költségek fedezése érdekében, valamint az Európai Unió működéséről szóló szerződés (EUMSZ) 191. cikkének (2) bekezdésében rögzített, a „szennyező fizet” elvvel összhangban alapvető fontosságú, hogy azok a gyártók, amelyek az emberi egészségre és a vízi környezetre bizonyítottan vagy potenciálisan negatív hatást gyakorló anyagokat tartalmazó termékeket hoznak forgalomba az Unióban, pénzügyi felelősséget vállaljanak a kereskedelmi tevékenységük során keletkező és a felszíni és felszín alatti vizekben megtalálható anyagok ellenőrzéséhez szükséges intézkedésekért. Ennek elérésére valószínűleg a kiterjesztett gyártói felelősség rendszere a legmegfelelőbb eszköz, mivel az korlátozná az adófizetőkre háruló pénzügyi terheket, ugyanakkor ösztönözné a környezetbarátabb termékek kifejlesztését. A Bizottságnak ezért hatásvizsgálatot kell készítenie, amelyben megvizsgálja a 2006/118/EK irányelvben és a 2008/105/EK irányelvben meghatározott elsőbbségi anyagokra, valamint a 2006/118/EK irányelv és a 2008/105/EK irányelv szerinti megfigyelési listákban meghatározott új és új szennyező anyagokra alkalmazandó kiterjesztett gyártói felelősségi mechanizmusnak a 2006/118/EK irányelvbe és a 2008/105/EK irányelvbe történő beépítését. A hatásvizsgálatot adott esetben a 2006/118/EK és a 2008/105/EK irányelv felülvizsgálatára irányuló jogalkotási javaslatnak kell kísérnie.</w:t>
      </w:r>
      <w:r w:rsidRPr="00DC67EB">
        <w:rPr>
          <w:b/>
          <w:szCs w:val="24"/>
          <w:lang w:eastAsia="en-US"/>
        </w:rPr>
        <w:t xml:space="preserve"> [</w:t>
      </w:r>
      <w:r w:rsidR="000536D5" w:rsidRPr="00DC67EB">
        <w:rPr>
          <w:b/>
          <w:szCs w:val="24"/>
          <w:lang w:eastAsia="en-US"/>
        </w:rPr>
        <w:t>Mód</w:t>
      </w:r>
      <w:r w:rsidRPr="00DC67EB">
        <w:rPr>
          <w:b/>
          <w:szCs w:val="24"/>
          <w:lang w:eastAsia="en-US"/>
        </w:rPr>
        <w:t>. 51]</w:t>
      </w:r>
    </w:p>
    <w:p w14:paraId="19749CF8"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br w:type="page"/>
      </w:r>
      <w:r w:rsidRPr="00DC67EB">
        <w:rPr>
          <w:b/>
          <w:i/>
          <w:szCs w:val="24"/>
          <w:lang w:eastAsia="en-US"/>
        </w:rPr>
        <w:lastRenderedPageBreak/>
        <w:t>(32c)</w:t>
      </w:r>
      <w:r w:rsidRPr="00DC67EB">
        <w:rPr>
          <w:szCs w:val="24"/>
          <w:lang w:eastAsia="en-US"/>
        </w:rPr>
        <w:tab/>
      </w:r>
      <w:r w:rsidRPr="00DC67EB">
        <w:rPr>
          <w:b/>
          <w:i/>
          <w:szCs w:val="24"/>
          <w:lang w:eastAsia="en-US"/>
        </w:rPr>
        <w:t>A megnövekedett számú anyag vagy anyagcsoport monitorozása növeli a költségeket, de még inkább szükségessé teszi a tagállamok adminisztratív kapacitásainak megerősítését is, különösen a szűkös erőforrásokkal rendelkező tagállamokban. A fentiek fényében a Bizottságnak a tagállamok erre irányuló kérése esetén közös európai monitoringeszközt kell létrehoznia a monitoringkövetelmények kezelésére, csökkentve ezáltal a tagállamok pénzügyi és adminisztratív terheit. A Bizottságnak meg kell határoznia a monitoringlétesítmény működési módjait. E létesítmény igénybevételének önkéntesnek kell lennie, és nem érintheti a tagállamok által már bevezetett intézkedéseket.</w:t>
      </w:r>
      <w:r w:rsidRPr="00DC67EB">
        <w:rPr>
          <w:b/>
          <w:szCs w:val="24"/>
          <w:lang w:eastAsia="en-US"/>
        </w:rPr>
        <w:t xml:space="preserve"> [</w:t>
      </w:r>
      <w:r w:rsidR="000536D5" w:rsidRPr="00DC67EB">
        <w:rPr>
          <w:b/>
          <w:szCs w:val="24"/>
          <w:lang w:eastAsia="en-US"/>
        </w:rPr>
        <w:t>Mód</w:t>
      </w:r>
      <w:r w:rsidRPr="00DC67EB">
        <w:rPr>
          <w:b/>
          <w:szCs w:val="24"/>
          <w:lang w:eastAsia="en-US"/>
        </w:rPr>
        <w:t>. 52]</w:t>
      </w:r>
    </w:p>
    <w:p w14:paraId="29B68334"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br w:type="page"/>
      </w:r>
      <w:r w:rsidRPr="00DC67EB">
        <w:rPr>
          <w:b/>
          <w:i/>
          <w:szCs w:val="24"/>
          <w:lang w:eastAsia="en-US"/>
        </w:rPr>
        <w:lastRenderedPageBreak/>
        <w:t>(32d)</w:t>
      </w:r>
      <w:r w:rsidRPr="00DC67EB">
        <w:rPr>
          <w:szCs w:val="24"/>
          <w:lang w:eastAsia="en-US"/>
        </w:rPr>
        <w:tab/>
      </w:r>
      <w:r w:rsidRPr="00DC67EB">
        <w:rPr>
          <w:b/>
          <w:i/>
          <w:szCs w:val="24"/>
          <w:lang w:eastAsia="en-US"/>
        </w:rPr>
        <w:t>A bizonyítékok alátámasztják, hogy a vízügyi ágazatban beruházásokra van szükség, és egyes tagállamok számára létfontosságú az uniós finanszírozás ahhoz, hogy megfeleljenek a 2000/60/EK irányelvben, a 2008/105/EK irányelvben és a 2006/118/EK irányelvben meghatározott jogi kötelezettségeiknek. Minden tagállamnak legalább 20%-kal kell növelnie kiadásait ahhoz, hogy eleget tudjon tenni az uniós vízügyi előírásoknak, és 2030-ig összességében 289 milliárd EUR összegű finanszírozási hiány mutatkozik</w:t>
      </w:r>
      <w:r w:rsidRPr="00DC67EB">
        <w:rPr>
          <w:szCs w:val="24"/>
          <w:vertAlign w:val="superscript"/>
          <w:lang w:val="en-GB" w:eastAsia="en-US"/>
        </w:rPr>
        <w:footnoteReference w:id="51"/>
      </w:r>
      <w:r w:rsidRPr="00DC67EB">
        <w:rPr>
          <w:b/>
          <w:i/>
          <w:szCs w:val="24"/>
          <w:lang w:eastAsia="en-US"/>
        </w:rPr>
        <w:t>. Ezért biztosítani kell, hogy valamennyi tagállamban elegendő pénzügyi és emberi erőforrás álljon rendelkezésre a víztestek monitorozásához és vizsgálatához, többek között a vonatkozó uniós strukturális alapok és programok révén, valamint a magánszektor – többek között a kiterjesztett gyártói felelősségi mechanizmus keretében történő – hozzájárulásán keresztül.</w:t>
      </w:r>
      <w:r w:rsidRPr="00DC67EB">
        <w:rPr>
          <w:b/>
          <w:szCs w:val="24"/>
          <w:lang w:eastAsia="en-US"/>
        </w:rPr>
        <w:t xml:space="preserve"> [</w:t>
      </w:r>
      <w:r w:rsidR="000536D5" w:rsidRPr="00DC67EB">
        <w:rPr>
          <w:b/>
          <w:szCs w:val="24"/>
          <w:lang w:eastAsia="en-US"/>
        </w:rPr>
        <w:t>Mód</w:t>
      </w:r>
      <w:r w:rsidRPr="00DC67EB">
        <w:rPr>
          <w:b/>
          <w:szCs w:val="24"/>
          <w:lang w:eastAsia="en-US"/>
        </w:rPr>
        <w:t>. 53]</w:t>
      </w:r>
    </w:p>
    <w:p w14:paraId="59D422B4" w14:textId="77777777" w:rsidR="001D30D4" w:rsidRPr="00DC67EB" w:rsidRDefault="001D30D4" w:rsidP="001D30D4">
      <w:pPr>
        <w:spacing w:before="120" w:after="120" w:line="360" w:lineRule="auto"/>
        <w:ind w:left="850" w:hanging="850"/>
        <w:rPr>
          <w:szCs w:val="24"/>
          <w:lang w:eastAsia="en-US"/>
        </w:rPr>
      </w:pPr>
      <w:r w:rsidRPr="00DC67EB">
        <w:rPr>
          <w:szCs w:val="24"/>
          <w:lang w:eastAsia="en-US"/>
        </w:rPr>
        <w:t>(33)</w:t>
      </w:r>
      <w:r w:rsidRPr="00DC67EB">
        <w:rPr>
          <w:szCs w:val="24"/>
          <w:lang w:eastAsia="en-US"/>
        </w:rPr>
        <w:tab/>
        <w:t>A 2000/60/EK, a 2006/118/EK és a 2008/105/EK irányelvet ezért ennek megfelelően módosítani kell.</w:t>
      </w:r>
    </w:p>
    <w:p w14:paraId="3A4431CD" w14:textId="77777777" w:rsidR="001D30D4" w:rsidRPr="00DC67EB" w:rsidRDefault="001D30D4" w:rsidP="001D30D4">
      <w:pPr>
        <w:spacing w:before="120" w:after="120" w:line="360" w:lineRule="auto"/>
        <w:ind w:left="850" w:hanging="850"/>
        <w:rPr>
          <w:szCs w:val="24"/>
          <w:lang w:eastAsia="en-US"/>
        </w:rPr>
      </w:pPr>
      <w:r w:rsidRPr="00DC67EB">
        <w:rPr>
          <w:szCs w:val="24"/>
          <w:lang w:eastAsia="en-US"/>
        </w:rPr>
        <w:br w:type="page"/>
      </w:r>
      <w:r w:rsidRPr="00DC67EB">
        <w:rPr>
          <w:szCs w:val="24"/>
          <w:lang w:eastAsia="en-US"/>
        </w:rPr>
        <w:lastRenderedPageBreak/>
        <w:t>(34)</w:t>
      </w:r>
      <w:r w:rsidRPr="00DC67EB">
        <w:rPr>
          <w:szCs w:val="24"/>
          <w:lang w:eastAsia="en-US"/>
        </w:rPr>
        <w:tab/>
        <w:t>Mivel ezen irányelv célkitűzéseit, nevezetesen a környezet magas szintű védelmét és az európai édesvizek környezetminőségének javítását a tagállamok önállóan nem tudják kielégítően megvalósítani, ezzel szemben a vízszennyezés országhatárokon átterjedő természetéből fakadóan azok uniós szinten jobban megvalósíthatók, az Unió intézkedéseket fogadhat el az Európai Unióról szóló szerződés 5. cikkében foglalt szubszidiaritás elvével összhangban. Az említett cikkben foglalt arányosság elvének megfelelően ez az irányelv nem lépi túl az e célok eléréséhez szükséges mértéket,</w:t>
      </w:r>
    </w:p>
    <w:p w14:paraId="65375A37"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t>(34a)</w:t>
      </w:r>
      <w:r w:rsidRPr="00DC67EB">
        <w:rPr>
          <w:szCs w:val="24"/>
          <w:lang w:eastAsia="en-US"/>
        </w:rPr>
        <w:tab/>
      </w:r>
      <w:r w:rsidRPr="00DC67EB">
        <w:rPr>
          <w:b/>
          <w:i/>
          <w:szCs w:val="24"/>
          <w:lang w:eastAsia="en-US"/>
        </w:rPr>
        <w:t>A tagállamoknak ösztönözniük kell a szinergiákat az irányelvek vonatkozó követelményei között mind az adatgyűjtés, mind pedig a digitális eszközök, például a távérzékelési technológiák vagy a Föld-megfigyelés (Kopernikusz-szolgáltatások) bevezetése tekintetében.</w:t>
      </w:r>
      <w:r w:rsidRPr="00DC67EB">
        <w:rPr>
          <w:b/>
          <w:szCs w:val="24"/>
          <w:lang w:eastAsia="en-US"/>
        </w:rPr>
        <w:t xml:space="preserve"> [</w:t>
      </w:r>
      <w:r w:rsidR="000536D5" w:rsidRPr="00DC67EB">
        <w:rPr>
          <w:b/>
          <w:szCs w:val="24"/>
          <w:lang w:eastAsia="en-US"/>
        </w:rPr>
        <w:t>Mód</w:t>
      </w:r>
      <w:r w:rsidRPr="00DC67EB">
        <w:rPr>
          <w:b/>
          <w:szCs w:val="24"/>
          <w:lang w:eastAsia="en-US"/>
        </w:rPr>
        <w:t>. 54]</w:t>
      </w:r>
    </w:p>
    <w:p w14:paraId="178CDA88" w14:textId="77777777" w:rsidR="001D30D4" w:rsidRPr="00DC67EB" w:rsidRDefault="001D30D4" w:rsidP="001D30D4">
      <w:pPr>
        <w:spacing w:before="120" w:after="120" w:line="360" w:lineRule="auto"/>
        <w:ind w:left="850" w:hanging="850"/>
        <w:rPr>
          <w:b/>
          <w:szCs w:val="24"/>
          <w:lang w:eastAsia="en-US"/>
        </w:rPr>
      </w:pPr>
      <w:r w:rsidRPr="00DC67EB">
        <w:rPr>
          <w:b/>
          <w:i/>
          <w:szCs w:val="24"/>
          <w:lang w:eastAsia="en-US"/>
        </w:rPr>
        <w:br w:type="page"/>
      </w:r>
      <w:r w:rsidRPr="00DC67EB">
        <w:rPr>
          <w:b/>
          <w:i/>
          <w:szCs w:val="24"/>
          <w:lang w:eastAsia="en-US"/>
        </w:rPr>
        <w:lastRenderedPageBreak/>
        <w:t>(34b)</w:t>
      </w:r>
      <w:r w:rsidRPr="00DC67EB">
        <w:rPr>
          <w:szCs w:val="24"/>
          <w:lang w:eastAsia="en-US"/>
        </w:rPr>
        <w:tab/>
      </w:r>
      <w:r w:rsidRPr="00DC67EB">
        <w:rPr>
          <w:b/>
          <w:i/>
          <w:szCs w:val="24"/>
          <w:lang w:eastAsia="en-US"/>
        </w:rPr>
        <w:t>Az illetékes hatóságoknak támogatniuk kell a képzést, a készségfejlesztő programokat és a humán tőkébe való befektetést, hogy az irányelvek adta kereteken belül elősegítsék a legjobb technológiák és az innovatív megoldások hatékony alkalmazását. Az információknak elérhetőknek kell lenniük a különféle nemzeti nyelveken annak érdekében, hogy a vonatkozó adatok Európa-szerte hozzáférhetőbbek legyenek az érintett helyi szereplők és a polgárok számára.</w:t>
      </w:r>
      <w:r w:rsidRPr="00DC67EB">
        <w:rPr>
          <w:b/>
          <w:szCs w:val="24"/>
          <w:lang w:eastAsia="en-US"/>
        </w:rPr>
        <w:t xml:space="preserve"> [</w:t>
      </w:r>
      <w:r w:rsidR="000536D5" w:rsidRPr="00DC67EB">
        <w:rPr>
          <w:b/>
          <w:szCs w:val="24"/>
          <w:lang w:eastAsia="en-US"/>
        </w:rPr>
        <w:t>Mód</w:t>
      </w:r>
      <w:r w:rsidRPr="00DC67EB">
        <w:rPr>
          <w:b/>
          <w:szCs w:val="24"/>
          <w:lang w:eastAsia="en-US"/>
        </w:rPr>
        <w:t>. 55]</w:t>
      </w:r>
    </w:p>
    <w:p w14:paraId="11A85220" w14:textId="77777777" w:rsidR="001D30D4" w:rsidRPr="00DC67EB" w:rsidRDefault="001D30D4" w:rsidP="001D30D4">
      <w:pPr>
        <w:keepNext/>
        <w:widowControl/>
        <w:spacing w:before="120" w:after="120" w:line="360" w:lineRule="auto"/>
        <w:rPr>
          <w:szCs w:val="24"/>
          <w:lang w:eastAsia="en-US"/>
        </w:rPr>
      </w:pPr>
      <w:r w:rsidRPr="00DC67EB">
        <w:rPr>
          <w:szCs w:val="24"/>
          <w:lang w:eastAsia="en-US"/>
        </w:rPr>
        <w:t>ELFOGADTA EZT AZ IRÁNYELVET:</w:t>
      </w:r>
    </w:p>
    <w:p w14:paraId="01634A61" w14:textId="77777777" w:rsidR="001D30D4" w:rsidRPr="00DC67EB" w:rsidRDefault="001D30D4" w:rsidP="001D30D4">
      <w:pPr>
        <w:spacing w:before="120" w:after="120" w:line="360" w:lineRule="auto"/>
        <w:jc w:val="center"/>
        <w:rPr>
          <w:szCs w:val="24"/>
          <w:lang w:eastAsia="en-US"/>
        </w:rPr>
      </w:pPr>
      <w:r w:rsidRPr="00DC67EB">
        <w:rPr>
          <w:szCs w:val="24"/>
          <w:lang w:eastAsia="en-US"/>
        </w:rPr>
        <w:br w:type="page"/>
      </w:r>
      <w:r w:rsidRPr="00DC67EB">
        <w:rPr>
          <w:szCs w:val="24"/>
          <w:lang w:eastAsia="en-US"/>
        </w:rPr>
        <w:lastRenderedPageBreak/>
        <w:t>1. cikk</w:t>
      </w:r>
      <w:r w:rsidRPr="00DC67EB">
        <w:rPr>
          <w:szCs w:val="24"/>
          <w:lang w:eastAsia="en-US"/>
        </w:rPr>
        <w:br/>
        <w:t>A 2000/60/EK irányelv módosításai</w:t>
      </w:r>
    </w:p>
    <w:p w14:paraId="592919EB" w14:textId="77777777" w:rsidR="001D30D4" w:rsidRPr="00DC67EB" w:rsidRDefault="001D30D4" w:rsidP="001D30D4">
      <w:pPr>
        <w:spacing w:before="120" w:after="120" w:line="360" w:lineRule="auto"/>
        <w:rPr>
          <w:szCs w:val="24"/>
          <w:lang w:eastAsia="en-US"/>
        </w:rPr>
      </w:pPr>
      <w:r w:rsidRPr="00DC67EB">
        <w:rPr>
          <w:szCs w:val="24"/>
          <w:lang w:eastAsia="en-US"/>
        </w:rPr>
        <w:t>A 2000/60/EK irányelv a következőképpen módosul:</w:t>
      </w:r>
    </w:p>
    <w:p w14:paraId="18D42C6F" w14:textId="77777777" w:rsidR="001D30D4" w:rsidRPr="00DC67EB" w:rsidRDefault="001D30D4" w:rsidP="001D30D4">
      <w:pPr>
        <w:spacing w:before="120" w:after="120" w:line="360" w:lineRule="auto"/>
        <w:ind w:left="850" w:hanging="850"/>
        <w:rPr>
          <w:b/>
          <w:szCs w:val="24"/>
          <w:lang w:eastAsia="en-US"/>
        </w:rPr>
      </w:pPr>
      <w:r w:rsidRPr="00DC67EB">
        <w:rPr>
          <w:szCs w:val="24"/>
          <w:lang w:eastAsia="en-US"/>
        </w:rPr>
        <w:t>1.</w:t>
      </w:r>
      <w:r w:rsidRPr="00DC67EB">
        <w:rPr>
          <w:szCs w:val="24"/>
          <w:lang w:eastAsia="en-US"/>
        </w:rPr>
        <w:tab/>
        <w:t xml:space="preserve">Az 1. cikk </w:t>
      </w:r>
      <w:r w:rsidRPr="00DC67EB">
        <w:rPr>
          <w:b/>
          <w:i/>
          <w:szCs w:val="24"/>
          <w:lang w:eastAsia="en-US"/>
        </w:rPr>
        <w:t xml:space="preserve">e) pontjának </w:t>
      </w:r>
      <w:r w:rsidRPr="00DC67EB">
        <w:rPr>
          <w:szCs w:val="24"/>
          <w:lang w:eastAsia="en-US"/>
        </w:rPr>
        <w:t xml:space="preserve">a negyedik franciabekezdés helyébe a következő szöveg lép: </w:t>
      </w:r>
      <w:r w:rsidRPr="00DC67EB">
        <w:rPr>
          <w:b/>
          <w:szCs w:val="24"/>
          <w:lang w:eastAsia="en-US"/>
        </w:rPr>
        <w:t xml:space="preserve"> [</w:t>
      </w:r>
      <w:r w:rsidR="000536D5" w:rsidRPr="00DC67EB">
        <w:rPr>
          <w:b/>
          <w:szCs w:val="24"/>
          <w:lang w:eastAsia="en-US"/>
        </w:rPr>
        <w:t>Mód</w:t>
      </w:r>
      <w:r w:rsidRPr="00DC67EB">
        <w:rPr>
          <w:b/>
          <w:szCs w:val="24"/>
          <w:lang w:eastAsia="en-US"/>
        </w:rPr>
        <w:t>. 56]</w:t>
      </w:r>
    </w:p>
    <w:p w14:paraId="1EB95805" w14:textId="77777777" w:rsidR="001D30D4" w:rsidRPr="00DC67EB" w:rsidRDefault="001D30D4" w:rsidP="001D30D4">
      <w:pPr>
        <w:spacing w:before="120" w:after="120" w:line="360" w:lineRule="auto"/>
        <w:ind w:left="850"/>
        <w:rPr>
          <w:szCs w:val="24"/>
          <w:lang w:eastAsia="en-US"/>
        </w:rPr>
      </w:pPr>
      <w:r w:rsidRPr="00DC67EB">
        <w:rPr>
          <w:szCs w:val="24"/>
          <w:lang w:eastAsia="en-US"/>
        </w:rPr>
        <w:t>„— a vonatkozó nemzetközi egyezmények célkitűzéseinek eléréséhez, beleértve azokat is, amelyek célja a tengeri környezet szennyezésének megelőzése és kiküszöbölése, olyan uniós intézkedéseken keresztül, amelyek az elsőbbségi veszélyes anyagok bevezetéseinek, kibocsátásának és veszteségeinek megszüntetésére vagy fokozatos csökkentésére irányulnak azzal a végső céllal, hogy a tengeri környezetben elérjék a természetben előforduló anyagok koncentrációja a háttér értékhez közeli értéket és a mesterséges szintetikus anyagoknál a nullához közeli koncentrációt.”</w:t>
      </w:r>
    </w:p>
    <w:p w14:paraId="47728C69" w14:textId="77777777" w:rsidR="001D30D4" w:rsidRPr="00DC67EB" w:rsidRDefault="001D30D4" w:rsidP="001D30D4">
      <w:pPr>
        <w:spacing w:before="120" w:after="120" w:line="360" w:lineRule="auto"/>
        <w:ind w:left="850" w:hanging="850"/>
        <w:rPr>
          <w:szCs w:val="24"/>
          <w:lang w:eastAsia="en-US"/>
        </w:rPr>
      </w:pPr>
      <w:r w:rsidRPr="00DC67EB">
        <w:rPr>
          <w:szCs w:val="24"/>
          <w:lang w:eastAsia="en-US"/>
        </w:rPr>
        <w:br w:type="page"/>
      </w:r>
      <w:r w:rsidRPr="00DC67EB">
        <w:rPr>
          <w:szCs w:val="24"/>
          <w:lang w:eastAsia="en-US"/>
        </w:rPr>
        <w:lastRenderedPageBreak/>
        <w:t>2.</w:t>
      </w:r>
      <w:r w:rsidRPr="00DC67EB">
        <w:rPr>
          <w:szCs w:val="24"/>
          <w:lang w:eastAsia="en-US"/>
        </w:rPr>
        <w:tab/>
        <w:t>A 2. cikk a következőképpen módosul:</w:t>
      </w:r>
    </w:p>
    <w:p w14:paraId="108174C2" w14:textId="77777777" w:rsidR="001D30D4" w:rsidRPr="00DC67EB" w:rsidRDefault="001D30D4" w:rsidP="001D30D4">
      <w:pPr>
        <w:spacing w:before="120" w:after="120" w:line="360" w:lineRule="auto"/>
        <w:ind w:left="1416" w:hanging="566"/>
        <w:rPr>
          <w:szCs w:val="24"/>
          <w:lang w:eastAsia="en-US"/>
        </w:rPr>
      </w:pPr>
      <w:r w:rsidRPr="00DC67EB">
        <w:rPr>
          <w:szCs w:val="24"/>
          <w:lang w:eastAsia="en-US"/>
        </w:rPr>
        <w:t>a)</w:t>
      </w:r>
      <w:r w:rsidRPr="00DC67EB">
        <w:rPr>
          <w:szCs w:val="24"/>
          <w:lang w:eastAsia="en-US"/>
        </w:rPr>
        <w:tab/>
        <w:t>a 24. pont helyébe a következő szöveg lép:</w:t>
      </w:r>
    </w:p>
    <w:p w14:paraId="5168FD6F" w14:textId="77777777" w:rsidR="001D30D4" w:rsidRPr="00DC67EB" w:rsidRDefault="001D30D4" w:rsidP="001D30D4">
      <w:pPr>
        <w:spacing w:before="120" w:after="120" w:line="360" w:lineRule="auto"/>
        <w:ind w:left="1982" w:hanging="566"/>
        <w:rPr>
          <w:szCs w:val="24"/>
          <w:lang w:eastAsia="en-US"/>
        </w:rPr>
      </w:pPr>
      <w:r w:rsidRPr="00DC67EB">
        <w:rPr>
          <w:szCs w:val="24"/>
          <w:lang w:eastAsia="en-US"/>
        </w:rPr>
        <w:t>„24.</w:t>
      </w:r>
      <w:r w:rsidRPr="00DC67EB">
        <w:rPr>
          <w:szCs w:val="24"/>
          <w:lang w:eastAsia="en-US"/>
        </w:rPr>
        <w:tab/>
        <w:t>»A felszíni víz jó kémiai állapota«: az ezen irányelv 4. cikke (1) bekezdésének a) pontjában a felszíni vizekre meghatározott környezeti célkitűzéseket elérő kémiai állapot, azaz egy olyan, a felszíni víztest által elért kémiai állapot, ahol a szennyező anyagok koncentrációja nem haladja meg a 2008/105/EK európai parlamenti és tanácsi irányelv* I. mellékletének A. részében az elsőbbségi anyagokra vonatkozóan felsorolt környezetminőségi előírásokat, valamint ugyanazon irányelv 8. cikke (2) bekezdésének c) pontjával és 8d. cikkének (1) bekezdésével összhangban a vízgyűjtő-specifikus szennyező anyagokra vonatkozóan meghatározott környezetminőségi előírásokat.;”</w:t>
      </w:r>
    </w:p>
    <w:p w14:paraId="43CF65B0" w14:textId="77777777" w:rsidR="001D30D4" w:rsidRPr="00DC67EB" w:rsidRDefault="001D30D4" w:rsidP="001D30D4">
      <w:pPr>
        <w:spacing w:before="120" w:after="120" w:line="360" w:lineRule="auto"/>
        <w:ind w:left="1416" w:hanging="566"/>
        <w:rPr>
          <w:szCs w:val="24"/>
          <w:lang w:eastAsia="en-US"/>
        </w:rPr>
      </w:pPr>
      <w:r w:rsidRPr="00DC67EB">
        <w:rPr>
          <w:szCs w:val="24"/>
          <w:lang w:eastAsia="en-US"/>
        </w:rPr>
        <w:t>b)</w:t>
      </w:r>
      <w:r w:rsidRPr="00DC67EB">
        <w:rPr>
          <w:szCs w:val="24"/>
          <w:lang w:eastAsia="en-US"/>
        </w:rPr>
        <w:tab/>
        <w:t>a 30. pont helyébe a következő szöveg lép:</w:t>
      </w:r>
    </w:p>
    <w:p w14:paraId="067CED07" w14:textId="77777777" w:rsidR="001D30D4" w:rsidRPr="00DC67EB" w:rsidRDefault="001D30D4" w:rsidP="001D30D4">
      <w:pPr>
        <w:spacing w:before="120" w:after="120" w:line="360" w:lineRule="auto"/>
        <w:ind w:left="1982" w:hanging="566"/>
        <w:rPr>
          <w:szCs w:val="24"/>
          <w:lang w:eastAsia="en-US"/>
        </w:rPr>
      </w:pPr>
      <w:r w:rsidRPr="00DC67EB">
        <w:rPr>
          <w:szCs w:val="24"/>
          <w:lang w:eastAsia="en-US"/>
        </w:rPr>
        <w:t>„30.</w:t>
      </w:r>
      <w:r w:rsidRPr="00DC67EB">
        <w:rPr>
          <w:szCs w:val="24"/>
          <w:lang w:eastAsia="en-US"/>
        </w:rPr>
        <w:tab/>
        <w:t>»Elsőbbségi anyagok«: a 2008/105/EK irányelv I. mellékletének A. részében felsorolt anyagok, azaz olyan anyagok, amelyek a vízi környezetre vagy azon keresztül a tagállamok nagy részében jelentős kockázatot jelentenek.;”</w:t>
      </w:r>
    </w:p>
    <w:p w14:paraId="019DE217" w14:textId="77777777" w:rsidR="001D30D4" w:rsidRPr="00DC67EB" w:rsidRDefault="001D30D4" w:rsidP="001D30D4">
      <w:pPr>
        <w:spacing w:before="120" w:after="120" w:line="360" w:lineRule="auto"/>
        <w:ind w:left="1416" w:hanging="566"/>
        <w:rPr>
          <w:szCs w:val="24"/>
          <w:lang w:eastAsia="en-US"/>
        </w:rPr>
      </w:pPr>
      <w:r w:rsidRPr="00DC67EB">
        <w:rPr>
          <w:szCs w:val="24"/>
          <w:lang w:eastAsia="en-US"/>
        </w:rPr>
        <w:br w:type="page"/>
      </w:r>
      <w:r w:rsidRPr="00DC67EB">
        <w:rPr>
          <w:szCs w:val="24"/>
          <w:lang w:eastAsia="en-US"/>
        </w:rPr>
        <w:lastRenderedPageBreak/>
        <w:t>c)</w:t>
      </w:r>
      <w:r w:rsidRPr="00DC67EB">
        <w:rPr>
          <w:szCs w:val="24"/>
          <w:lang w:eastAsia="en-US"/>
        </w:rPr>
        <w:tab/>
        <w:t>a szöveg a következő 30a. és 30b. ponttal egészül ki:</w:t>
      </w:r>
    </w:p>
    <w:p w14:paraId="20F736D8" w14:textId="77777777" w:rsidR="001D30D4" w:rsidRPr="00DC67EB" w:rsidRDefault="001D30D4" w:rsidP="001D30D4">
      <w:pPr>
        <w:spacing w:before="120" w:after="120" w:line="360" w:lineRule="auto"/>
        <w:ind w:left="1982" w:hanging="566"/>
        <w:rPr>
          <w:b/>
          <w:szCs w:val="24"/>
          <w:lang w:eastAsia="en-US"/>
        </w:rPr>
      </w:pPr>
      <w:r w:rsidRPr="00DC67EB">
        <w:rPr>
          <w:szCs w:val="24"/>
          <w:lang w:eastAsia="en-US"/>
        </w:rPr>
        <w:t>„30a.</w:t>
      </w:r>
      <w:r w:rsidRPr="00DC67EB">
        <w:rPr>
          <w:szCs w:val="24"/>
          <w:lang w:eastAsia="en-US"/>
        </w:rPr>
        <w:tab/>
        <w:t xml:space="preserve">»Elsőbbségi veszélyes anyagok«: olyan elsőbbségi anyagok, amelyek megjelölése »veszélyes« azon az alapon, hogy a tudományos jelentések, a vonatkozó uniós jogszabályok vagy a vonatkozó nemzetközi megállapodások alapján elismerten </w:t>
      </w:r>
      <w:r w:rsidRPr="00DC67EB">
        <w:rPr>
          <w:strike/>
          <w:szCs w:val="24"/>
          <w:lang w:eastAsia="en-US"/>
        </w:rPr>
        <w:t>mérgező</w:t>
      </w:r>
      <w:r w:rsidRPr="00DC67EB">
        <w:rPr>
          <w:b/>
          <w:i/>
          <w:szCs w:val="24"/>
          <w:lang w:eastAsia="en-US"/>
        </w:rPr>
        <w:t>toxikus</w:t>
      </w:r>
      <w:r w:rsidRPr="00DC67EB">
        <w:rPr>
          <w:szCs w:val="24"/>
          <w:lang w:eastAsia="en-US"/>
        </w:rPr>
        <w:t>, perzisztens</w:t>
      </w:r>
      <w:r w:rsidRPr="00DC67EB">
        <w:rPr>
          <w:b/>
          <w:i/>
          <w:szCs w:val="24"/>
          <w:lang w:eastAsia="en-US"/>
        </w:rPr>
        <w:t>(biológiailag nem bontható)</w:t>
      </w:r>
      <w:r w:rsidRPr="00DC67EB">
        <w:rPr>
          <w:szCs w:val="24"/>
          <w:lang w:eastAsia="en-US"/>
        </w:rPr>
        <w:t xml:space="preserve"> és bioakkumulációra hajlamos</w:t>
      </w:r>
      <w:r w:rsidRPr="00DC67EB">
        <w:rPr>
          <w:b/>
          <w:i/>
          <w:szCs w:val="24"/>
          <w:lang w:eastAsia="en-US"/>
        </w:rPr>
        <w:t xml:space="preserve"> (PBT) anyagok, vagy nagyon perzisztens és nagyon bioakkumulatív (vPvB) anyagok, vagy perzisztens, mobilis és toxikus (PMT) anyagok, vagy nagyon perzisztens és nagyon mobilis (vPvM) anyagok,</w:t>
      </w:r>
      <w:r w:rsidRPr="00DC67EB">
        <w:rPr>
          <w:szCs w:val="24"/>
          <w:lang w:eastAsia="en-US"/>
        </w:rPr>
        <w:t xml:space="preserve"> vagy ezzel egyenértékű mértékű aggodalomra okot adó anyagok, amennyiben ez az aggodalom releváns a vízi környezet szempontjából</w:t>
      </w:r>
      <w:r w:rsidRPr="00DC67EB">
        <w:rPr>
          <w:b/>
          <w:i/>
          <w:szCs w:val="24"/>
          <w:lang w:eastAsia="en-US"/>
        </w:rPr>
        <w:t>, és amelyek tekintetében a 4</w:t>
      </w:r>
      <w:r w:rsidRPr="00DC67EB">
        <w:rPr>
          <w:szCs w:val="24"/>
          <w:lang w:eastAsia="en-US"/>
        </w:rPr>
        <w:t>.</w:t>
      </w:r>
      <w:r w:rsidRPr="00DC67EB">
        <w:rPr>
          <w:b/>
          <w:i/>
          <w:szCs w:val="24"/>
          <w:lang w:eastAsia="en-US"/>
        </w:rPr>
        <w:t xml:space="preserve"> cikk (1) bekezdése a) pontjának iv. alpontja szerint intézkedéseket szükséges hozni.</w:t>
      </w:r>
      <w:r w:rsidRPr="00DC67EB">
        <w:rPr>
          <w:b/>
          <w:szCs w:val="24"/>
          <w:lang w:eastAsia="en-US"/>
        </w:rPr>
        <w:t xml:space="preserve"> [</w:t>
      </w:r>
      <w:r w:rsidR="000536D5" w:rsidRPr="00DC67EB">
        <w:rPr>
          <w:b/>
          <w:szCs w:val="24"/>
          <w:lang w:eastAsia="en-US"/>
        </w:rPr>
        <w:t>Mód</w:t>
      </w:r>
      <w:r w:rsidRPr="00DC67EB">
        <w:rPr>
          <w:b/>
          <w:szCs w:val="24"/>
          <w:lang w:eastAsia="en-US"/>
        </w:rPr>
        <w:t>. 57]</w:t>
      </w:r>
    </w:p>
    <w:p w14:paraId="46FFAF92" w14:textId="77777777" w:rsidR="001D30D4" w:rsidRPr="00DC67EB" w:rsidRDefault="001D30D4" w:rsidP="001D30D4">
      <w:pPr>
        <w:spacing w:before="120" w:after="120" w:line="360" w:lineRule="auto"/>
        <w:ind w:left="1982" w:hanging="566"/>
        <w:rPr>
          <w:szCs w:val="24"/>
          <w:lang w:eastAsia="en-US"/>
        </w:rPr>
      </w:pPr>
      <w:r w:rsidRPr="00DC67EB">
        <w:rPr>
          <w:szCs w:val="24"/>
          <w:lang w:eastAsia="en-US"/>
        </w:rPr>
        <w:t>30b.</w:t>
      </w:r>
      <w:r w:rsidRPr="00DC67EB">
        <w:rPr>
          <w:szCs w:val="24"/>
          <w:lang w:eastAsia="en-US"/>
        </w:rPr>
        <w:tab/>
        <w:t>»Vízgyűjtő-specifikus szennyező anyagok«: olyan szennyező anyagok, amelyek nem vagy már nem minősülnek elsőbbségi anyagnak, de amelyeket a tagállamok a felszíni víztesteket érintő terheléseknek és hatásoknak az ezen irányelv II. mellékletével összhangban elvégzett értékelése alapján az adott tagállam területén a vízi környezetre vagy azon keresztül jelentős kockázatot jelentő anyagként azonosítottak.;”</w:t>
      </w:r>
    </w:p>
    <w:p w14:paraId="59FF54BC" w14:textId="77777777" w:rsidR="001D30D4" w:rsidRPr="00DC67EB" w:rsidRDefault="001D30D4" w:rsidP="001D30D4">
      <w:pPr>
        <w:spacing w:before="120" w:after="120" w:line="360" w:lineRule="auto"/>
        <w:ind w:left="1416" w:hanging="566"/>
        <w:rPr>
          <w:szCs w:val="24"/>
          <w:lang w:eastAsia="en-US"/>
        </w:rPr>
      </w:pPr>
      <w:r w:rsidRPr="00DC67EB">
        <w:rPr>
          <w:szCs w:val="24"/>
          <w:lang w:eastAsia="en-US"/>
        </w:rPr>
        <w:br w:type="page"/>
      </w:r>
      <w:r w:rsidRPr="00DC67EB">
        <w:rPr>
          <w:szCs w:val="24"/>
          <w:lang w:eastAsia="en-US"/>
        </w:rPr>
        <w:lastRenderedPageBreak/>
        <w:t>d)</w:t>
      </w:r>
      <w:r w:rsidRPr="00DC67EB">
        <w:rPr>
          <w:szCs w:val="24"/>
          <w:lang w:eastAsia="en-US"/>
        </w:rPr>
        <w:tab/>
        <w:t>a 35. pont helyébe a következő szöveg lép:</w:t>
      </w:r>
    </w:p>
    <w:p w14:paraId="3362869E" w14:textId="77777777" w:rsidR="001D30D4" w:rsidRPr="00DC67EB" w:rsidRDefault="001D30D4" w:rsidP="001D30D4">
      <w:pPr>
        <w:spacing w:before="120" w:after="120" w:line="360" w:lineRule="auto"/>
        <w:ind w:left="1982" w:hanging="566"/>
        <w:rPr>
          <w:b/>
          <w:szCs w:val="24"/>
          <w:lang w:eastAsia="en-US"/>
        </w:rPr>
      </w:pPr>
      <w:r w:rsidRPr="00DC67EB">
        <w:rPr>
          <w:szCs w:val="24"/>
          <w:lang w:eastAsia="en-US"/>
        </w:rPr>
        <w:t>„35.</w:t>
      </w:r>
      <w:r w:rsidRPr="00DC67EB">
        <w:rPr>
          <w:szCs w:val="24"/>
          <w:lang w:eastAsia="en-US"/>
        </w:rPr>
        <w:tab/>
        <w:t xml:space="preserve">»Környezetminőségi előírás«: egy bizonyos szennyező anyag vagy a szennyező anyagok egy csoportjának koncentrációja a vízben, üledékben vagy biótában, amelyet az emberi egészség és a környezet védelme érdekében nem szabad meghaladni, vagy az ilyen szennyező anyagnak vagy a szennyező anyagok egy csoportjának az emberi egészségre vagy a környezetre gyakorolt káros hatásának cselekvési küszöbértéke, megfelelő </w:t>
      </w:r>
      <w:r w:rsidRPr="00DC67EB">
        <w:rPr>
          <w:b/>
          <w:i/>
          <w:szCs w:val="24"/>
          <w:lang w:eastAsia="en-US"/>
        </w:rPr>
        <w:t xml:space="preserve">és tudományosan megalapozott, </w:t>
      </w:r>
      <w:r w:rsidRPr="00DC67EB">
        <w:rPr>
          <w:szCs w:val="24"/>
          <w:lang w:eastAsia="en-US"/>
        </w:rPr>
        <w:t>hatásalapú módszerrel mérve.”;</w:t>
      </w:r>
      <w:r w:rsidRPr="00DC67EB">
        <w:rPr>
          <w:b/>
          <w:szCs w:val="24"/>
          <w:lang w:eastAsia="en-US"/>
        </w:rPr>
        <w:t xml:space="preserve"> [Am. 58]</w:t>
      </w:r>
    </w:p>
    <w:p w14:paraId="65D31877" w14:textId="77777777" w:rsidR="001D30D4" w:rsidRPr="00DC67EB" w:rsidRDefault="001D30D4" w:rsidP="001D30D4">
      <w:pPr>
        <w:spacing w:before="120" w:after="120" w:line="360" w:lineRule="auto"/>
        <w:ind w:left="1982"/>
        <w:rPr>
          <w:szCs w:val="24"/>
          <w:lang w:eastAsia="en-US"/>
        </w:rPr>
      </w:pPr>
      <w:r w:rsidRPr="00DC67EB">
        <w:rPr>
          <w:szCs w:val="24"/>
          <w:lang w:eastAsia="en-US"/>
        </w:rPr>
        <w:t>* Az Európai Parlament és a Tanács 2008/105/EK irányelve a felszíni vizek szennyezésének megelőzéséről és csökkentéséről, a 82/176/EGK, a 83/513/EGK, a 84/156/EGK, a 84/491/EGK és a 86/280/EGK tanácsi irányelv módosításáról és azt követő hatályon kívül helyezéséről, valamint a 2000/60/EK európai parlamenti és tanácsi irányelv módosításáról (HL L 348., 2008.12.24., 84. o.).”</w:t>
      </w:r>
    </w:p>
    <w:p w14:paraId="6E5E687E" w14:textId="77777777" w:rsidR="001D30D4" w:rsidRPr="00DC67EB" w:rsidRDefault="001D30D4" w:rsidP="001D30D4">
      <w:pPr>
        <w:spacing w:before="120" w:after="120" w:line="360" w:lineRule="auto"/>
        <w:ind w:left="1416" w:hanging="566"/>
        <w:rPr>
          <w:szCs w:val="24"/>
          <w:lang w:eastAsia="en-US"/>
        </w:rPr>
      </w:pPr>
      <w:r w:rsidRPr="00DC67EB">
        <w:rPr>
          <w:b/>
          <w:i/>
          <w:szCs w:val="24"/>
          <w:lang w:eastAsia="en-US"/>
        </w:rPr>
        <w:t>da)</w:t>
      </w:r>
      <w:r w:rsidRPr="00DC67EB">
        <w:rPr>
          <w:szCs w:val="24"/>
          <w:lang w:eastAsia="en-US"/>
        </w:rPr>
        <w:tab/>
      </w:r>
      <w:r w:rsidRPr="00DC67EB">
        <w:rPr>
          <w:b/>
          <w:i/>
          <w:szCs w:val="24"/>
          <w:lang w:eastAsia="en-US"/>
        </w:rPr>
        <w:t>a 37. pont helyébe a következő szöveg lép:</w:t>
      </w:r>
    </w:p>
    <w:p w14:paraId="36DB8CC1" w14:textId="77777777" w:rsidR="001D30D4" w:rsidRPr="00DC67EB" w:rsidRDefault="001D30D4" w:rsidP="001D30D4">
      <w:pPr>
        <w:spacing w:before="120" w:after="120" w:line="360" w:lineRule="auto"/>
        <w:ind w:left="1982" w:hanging="566"/>
        <w:rPr>
          <w:b/>
          <w:szCs w:val="24"/>
          <w:lang w:eastAsia="en-US"/>
        </w:rPr>
      </w:pPr>
      <w:r w:rsidRPr="00DC67EB">
        <w:rPr>
          <w:szCs w:val="24"/>
          <w:lang w:eastAsia="en-US"/>
        </w:rPr>
        <w:t>„</w:t>
      </w:r>
      <w:r w:rsidRPr="00DC67EB">
        <w:rPr>
          <w:b/>
          <w:i/>
          <w:szCs w:val="24"/>
          <w:lang w:eastAsia="en-US"/>
        </w:rPr>
        <w:t>1.</w:t>
      </w:r>
      <w:r w:rsidRPr="00DC67EB">
        <w:rPr>
          <w:szCs w:val="24"/>
          <w:lang w:eastAsia="en-US"/>
        </w:rPr>
        <w:tab/>
      </w:r>
      <w:r w:rsidRPr="00DC67EB">
        <w:rPr>
          <w:b/>
          <w:i/>
          <w:szCs w:val="24"/>
          <w:lang w:eastAsia="en-US"/>
        </w:rPr>
        <w:t>"37.   »Emberi fogyasztásra szánt víz«: az (EU) 2020/2184 irányelv megfelelő definíciója szerinti víz.”</w:t>
      </w:r>
      <w:r w:rsidRPr="00DC67EB">
        <w:rPr>
          <w:szCs w:val="24"/>
          <w:lang w:eastAsia="en-US"/>
        </w:rPr>
        <w:t>”</w:t>
      </w:r>
      <w:r w:rsidRPr="00DC67EB">
        <w:rPr>
          <w:b/>
          <w:szCs w:val="24"/>
          <w:lang w:eastAsia="en-US"/>
        </w:rPr>
        <w:t xml:space="preserve"> [</w:t>
      </w:r>
      <w:r w:rsidR="000536D5" w:rsidRPr="00DC67EB">
        <w:rPr>
          <w:b/>
          <w:szCs w:val="24"/>
          <w:lang w:eastAsia="en-US"/>
        </w:rPr>
        <w:t>Mód</w:t>
      </w:r>
      <w:r w:rsidRPr="00DC67EB">
        <w:rPr>
          <w:b/>
          <w:szCs w:val="24"/>
          <w:lang w:eastAsia="en-US"/>
        </w:rPr>
        <w:t>. 59]</w:t>
      </w:r>
    </w:p>
    <w:p w14:paraId="1FB3A002" w14:textId="77777777" w:rsidR="001D30D4" w:rsidRPr="00DC67EB" w:rsidRDefault="001D30D4" w:rsidP="001D30D4">
      <w:pPr>
        <w:spacing w:before="120" w:after="120" w:line="360" w:lineRule="auto"/>
        <w:ind w:left="1416" w:hanging="566"/>
        <w:rPr>
          <w:szCs w:val="24"/>
          <w:lang w:eastAsia="en-US"/>
        </w:rPr>
      </w:pPr>
      <w:r w:rsidRPr="00DC67EB">
        <w:rPr>
          <w:b/>
          <w:i/>
          <w:szCs w:val="24"/>
          <w:lang w:eastAsia="en-US"/>
        </w:rPr>
        <w:br w:type="page"/>
      </w:r>
      <w:r w:rsidRPr="00DC67EB">
        <w:rPr>
          <w:b/>
          <w:i/>
          <w:szCs w:val="24"/>
          <w:lang w:eastAsia="en-US"/>
        </w:rPr>
        <w:lastRenderedPageBreak/>
        <w:t>db)</w:t>
      </w:r>
      <w:r w:rsidRPr="00DC67EB">
        <w:rPr>
          <w:szCs w:val="24"/>
          <w:lang w:eastAsia="en-US"/>
        </w:rPr>
        <w:tab/>
      </w:r>
      <w:r w:rsidRPr="00DC67EB">
        <w:rPr>
          <w:b/>
          <w:i/>
          <w:szCs w:val="24"/>
          <w:lang w:eastAsia="en-US"/>
        </w:rPr>
        <w:t xml:space="preserve">A </w:t>
      </w:r>
      <w:r w:rsidR="000536D5" w:rsidRPr="00DC67EB">
        <w:rPr>
          <w:b/>
          <w:i/>
          <w:szCs w:val="24"/>
          <w:lang w:eastAsia="en-US"/>
        </w:rPr>
        <w:t>4</w:t>
      </w:r>
      <w:r w:rsidRPr="00DC67EB">
        <w:rPr>
          <w:b/>
          <w:i/>
          <w:szCs w:val="24"/>
          <w:lang w:eastAsia="en-US"/>
        </w:rPr>
        <w:t>0. pontban az első albekezdés helyébe a következő szöveg lép:</w:t>
      </w:r>
    </w:p>
    <w:p w14:paraId="490E22AD" w14:textId="77777777" w:rsidR="001D30D4" w:rsidRPr="00DC67EB" w:rsidRDefault="001D30D4" w:rsidP="001D30D4">
      <w:pPr>
        <w:spacing w:before="120" w:after="120" w:line="360" w:lineRule="auto"/>
        <w:ind w:left="1982" w:hanging="566"/>
        <w:rPr>
          <w:b/>
          <w:szCs w:val="24"/>
          <w:lang w:eastAsia="en-US"/>
        </w:rPr>
      </w:pPr>
      <w:r w:rsidRPr="00DC67EB">
        <w:rPr>
          <w:szCs w:val="24"/>
          <w:lang w:eastAsia="en-US"/>
        </w:rPr>
        <w:t>„</w:t>
      </w:r>
      <w:r w:rsidRPr="00DC67EB">
        <w:rPr>
          <w:b/>
          <w:i/>
          <w:szCs w:val="24"/>
          <w:lang w:eastAsia="en-US"/>
        </w:rPr>
        <w:t>1.</w:t>
      </w:r>
      <w:r w:rsidRPr="00DC67EB">
        <w:rPr>
          <w:szCs w:val="24"/>
          <w:lang w:eastAsia="en-US"/>
        </w:rPr>
        <w:tab/>
      </w:r>
      <w:r w:rsidRPr="00DC67EB">
        <w:rPr>
          <w:b/>
          <w:i/>
          <w:szCs w:val="24"/>
          <w:lang w:eastAsia="en-US"/>
        </w:rPr>
        <w:t>"40.   „Kibocsátási határérték” : bizonyos paraméterek viszonylatában kifejezett tömege, koncentrációja és/vagy szintje egy kibocsátásnak, amely egyáltalán nem, vagy meghatározott időszakban nem léphető túl. Kibocsátási határértéket meg lehet állapítani bizonyos anyagcsoportokra, családjaira vagy kategóriáira, különösen a 2008/105/EK irányelv I. mellékletében meghatározottakra.</w:t>
      </w:r>
      <w:r w:rsidRPr="00DC67EB">
        <w:rPr>
          <w:szCs w:val="24"/>
          <w:lang w:eastAsia="en-US"/>
        </w:rPr>
        <w:t>”</w:t>
      </w:r>
      <w:r w:rsidRPr="00DC67EB">
        <w:rPr>
          <w:b/>
          <w:szCs w:val="24"/>
          <w:lang w:eastAsia="en-US"/>
        </w:rPr>
        <w:t xml:space="preserve"> [</w:t>
      </w:r>
      <w:r w:rsidR="000536D5" w:rsidRPr="00DC67EB">
        <w:rPr>
          <w:b/>
          <w:szCs w:val="24"/>
          <w:lang w:eastAsia="en-US"/>
        </w:rPr>
        <w:t>Mód</w:t>
      </w:r>
      <w:r w:rsidRPr="00DC67EB">
        <w:rPr>
          <w:b/>
          <w:szCs w:val="24"/>
          <w:lang w:eastAsia="en-US"/>
        </w:rPr>
        <w:t>. 60]</w:t>
      </w:r>
    </w:p>
    <w:p w14:paraId="3E55184C" w14:textId="77777777" w:rsidR="001D30D4" w:rsidRPr="00DC67EB" w:rsidRDefault="001D30D4" w:rsidP="001D30D4">
      <w:pPr>
        <w:spacing w:before="120" w:after="120" w:line="360" w:lineRule="auto"/>
        <w:ind w:left="850" w:hanging="850"/>
        <w:rPr>
          <w:szCs w:val="24"/>
          <w:lang w:eastAsia="en-US"/>
        </w:rPr>
      </w:pPr>
      <w:r w:rsidRPr="00DC67EB">
        <w:rPr>
          <w:szCs w:val="24"/>
          <w:lang w:eastAsia="en-US"/>
        </w:rPr>
        <w:t>3.</w:t>
      </w:r>
      <w:r w:rsidRPr="00DC67EB">
        <w:rPr>
          <w:szCs w:val="24"/>
          <w:lang w:eastAsia="en-US"/>
        </w:rPr>
        <w:tab/>
        <w:t>A 3. cikk a következő (4a) bekezdéssel egészül ki:</w:t>
      </w:r>
    </w:p>
    <w:p w14:paraId="6191E018" w14:textId="77777777" w:rsidR="001D30D4" w:rsidRPr="00DC67EB" w:rsidRDefault="001D30D4" w:rsidP="001D30D4">
      <w:pPr>
        <w:spacing w:before="120" w:after="120" w:line="360" w:lineRule="auto"/>
        <w:ind w:left="1416" w:hanging="566"/>
        <w:rPr>
          <w:szCs w:val="24"/>
          <w:lang w:eastAsia="en-US"/>
        </w:rPr>
      </w:pPr>
      <w:r w:rsidRPr="00DC67EB">
        <w:rPr>
          <w:szCs w:val="24"/>
          <w:lang w:eastAsia="en-US"/>
        </w:rPr>
        <w:t>„4a.</w:t>
      </w:r>
      <w:r w:rsidRPr="00DC67EB">
        <w:rPr>
          <w:szCs w:val="24"/>
          <w:lang w:eastAsia="en-US"/>
        </w:rPr>
        <w:tab/>
        <w:t>Rendkívüli természeti körülmények vagy vis maior, különösen szélsőséges árvizek és hosszan tartó aszályok, vagy olyan jelentős szennyezési események esetén, amelyek érinthetik a más tagállamok területén található víztestek alsó szakaszát, a tagállamok biztosítják, hogy haladéktalanul értesítik az érintett víztestek alsó szakasza tekintetében illetékes tagállami hatóságokat és a Bizottságot, továbbá kialakítják a szükséges együttműködést a rendkívüli körülmények vagy események okainak kivizsgálása és következményeik kezelése érdekében.</w:t>
      </w:r>
    </w:p>
    <w:p w14:paraId="344ED34F" w14:textId="77777777" w:rsidR="001D30D4" w:rsidRPr="00DC67EB" w:rsidRDefault="001D30D4" w:rsidP="001D30D4">
      <w:pPr>
        <w:spacing w:before="120" w:after="120" w:line="360" w:lineRule="auto"/>
        <w:ind w:left="1416"/>
        <w:rPr>
          <w:szCs w:val="24"/>
          <w:lang w:eastAsia="en-US"/>
        </w:rPr>
      </w:pPr>
      <w:r w:rsidRPr="00DC67EB">
        <w:rPr>
          <w:b/>
          <w:i/>
          <w:szCs w:val="24"/>
          <w:lang w:eastAsia="en-US"/>
        </w:rPr>
        <w:br w:type="page"/>
      </w:r>
      <w:r w:rsidRPr="00DC67EB">
        <w:rPr>
          <w:b/>
          <w:i/>
          <w:szCs w:val="24"/>
          <w:lang w:eastAsia="en-US"/>
        </w:rPr>
        <w:lastRenderedPageBreak/>
        <w:t xml:space="preserve">A tagállamok értesítik a többi olyan tagállamot, amelyeket az adott szennyezési esemény hátrányosan érinthet. </w:t>
      </w:r>
    </w:p>
    <w:p w14:paraId="4F0D4854" w14:textId="77777777" w:rsidR="001D30D4" w:rsidRPr="00DC67EB" w:rsidRDefault="001D30D4" w:rsidP="001D30D4">
      <w:pPr>
        <w:spacing w:before="120" w:after="120" w:line="360" w:lineRule="auto"/>
        <w:ind w:left="1416"/>
        <w:rPr>
          <w:b/>
          <w:szCs w:val="24"/>
          <w:lang w:eastAsia="en-US"/>
        </w:rPr>
      </w:pPr>
      <w:r w:rsidRPr="00DC67EB">
        <w:rPr>
          <w:b/>
          <w:i/>
          <w:szCs w:val="24"/>
          <w:lang w:eastAsia="en-US"/>
        </w:rPr>
        <w:t>A nemzetközi vízgyűjtő kerületekben folytatott együttműködés és információcsere további javítása érdekében valamennyi nemzetközi vízgyűjtő kerületre vonatkozóan vészhelyzeti kommunikációra és reagálásra vonatkozó rendelkezéseket kell bevezetni.</w:t>
      </w:r>
      <w:r w:rsidRPr="00DC67EB">
        <w:rPr>
          <w:szCs w:val="24"/>
          <w:lang w:eastAsia="en-US"/>
        </w:rPr>
        <w:t>”</w:t>
      </w:r>
      <w:r w:rsidRPr="00DC67EB">
        <w:rPr>
          <w:b/>
          <w:szCs w:val="24"/>
          <w:lang w:eastAsia="en-US"/>
        </w:rPr>
        <w:t xml:space="preserve"> [</w:t>
      </w:r>
      <w:r w:rsidR="000536D5" w:rsidRPr="00DC67EB">
        <w:rPr>
          <w:b/>
          <w:szCs w:val="24"/>
          <w:lang w:eastAsia="en-US"/>
        </w:rPr>
        <w:t>Mód</w:t>
      </w:r>
      <w:r w:rsidRPr="00DC67EB">
        <w:rPr>
          <w:b/>
          <w:szCs w:val="24"/>
          <w:lang w:eastAsia="en-US"/>
        </w:rPr>
        <w:t>. 61]</w:t>
      </w:r>
    </w:p>
    <w:p w14:paraId="4B9C950F" w14:textId="77777777" w:rsidR="001D30D4" w:rsidRPr="00DC67EB" w:rsidRDefault="001D30D4" w:rsidP="001D30D4">
      <w:pPr>
        <w:spacing w:before="120" w:after="120" w:line="360" w:lineRule="auto"/>
        <w:ind w:left="850" w:hanging="850"/>
        <w:rPr>
          <w:szCs w:val="24"/>
          <w:lang w:eastAsia="en-US"/>
        </w:rPr>
      </w:pPr>
      <w:r w:rsidRPr="00DC67EB">
        <w:rPr>
          <w:szCs w:val="24"/>
          <w:lang w:eastAsia="en-US"/>
        </w:rPr>
        <w:t>4.</w:t>
      </w:r>
      <w:r w:rsidRPr="00DC67EB">
        <w:rPr>
          <w:szCs w:val="24"/>
          <w:lang w:eastAsia="en-US"/>
        </w:rPr>
        <w:tab/>
        <w:t>A 4. cikk (1) bekezdése a következőképpen módosul:</w:t>
      </w:r>
    </w:p>
    <w:p w14:paraId="510F326C" w14:textId="77777777" w:rsidR="001D30D4" w:rsidRPr="00DC67EB" w:rsidRDefault="001D30D4" w:rsidP="001D30D4">
      <w:pPr>
        <w:spacing w:before="120" w:after="120" w:line="360" w:lineRule="auto"/>
        <w:ind w:left="1416" w:hanging="566"/>
        <w:rPr>
          <w:szCs w:val="24"/>
          <w:lang w:eastAsia="en-US"/>
        </w:rPr>
      </w:pPr>
      <w:r w:rsidRPr="00DC67EB">
        <w:rPr>
          <w:szCs w:val="24"/>
          <w:lang w:eastAsia="en-US"/>
        </w:rPr>
        <w:t>a)</w:t>
      </w:r>
      <w:r w:rsidRPr="00DC67EB">
        <w:rPr>
          <w:szCs w:val="24"/>
          <w:lang w:eastAsia="en-US"/>
        </w:rPr>
        <w:tab/>
        <w:t>az a) pont iv. alpontja helyébe a következő szöveg lép:</w:t>
      </w:r>
    </w:p>
    <w:p w14:paraId="4F0E2822" w14:textId="77777777" w:rsidR="001D30D4" w:rsidRPr="00DC67EB" w:rsidRDefault="001D30D4" w:rsidP="001D30D4">
      <w:pPr>
        <w:spacing w:before="120" w:after="120" w:line="360" w:lineRule="auto"/>
        <w:ind w:left="1982" w:hanging="566"/>
        <w:rPr>
          <w:b/>
          <w:szCs w:val="24"/>
          <w:lang w:eastAsia="en-US"/>
        </w:rPr>
      </w:pPr>
      <w:r w:rsidRPr="00DC67EB">
        <w:rPr>
          <w:szCs w:val="24"/>
          <w:lang w:eastAsia="en-US"/>
        </w:rPr>
        <w:t>„iv.</w:t>
      </w:r>
      <w:r w:rsidRPr="00DC67EB">
        <w:rPr>
          <w:szCs w:val="24"/>
          <w:lang w:eastAsia="en-US"/>
        </w:rPr>
        <w:tab/>
        <w:t>a tagállamok</w:t>
      </w:r>
      <w:r w:rsidRPr="00DC67EB">
        <w:rPr>
          <w:b/>
          <w:i/>
          <w:szCs w:val="24"/>
          <w:lang w:eastAsia="en-US"/>
        </w:rPr>
        <w:t xml:space="preserve"> megfelelő ütemterv szerint, de legkésőbb 20 évvel azt követően, hogy egy adott elsőbbségi anyagot a 2008/105/EK irányelv I. mellékletének A. részében veszélyes anyagként feltüntetnek,</w:t>
      </w:r>
      <w:r w:rsidRPr="00DC67EB">
        <w:rPr>
          <w:szCs w:val="24"/>
          <w:lang w:eastAsia="en-US"/>
        </w:rPr>
        <w:t xml:space="preserve"> végrehajtják a szükséges intézkedéseket az elsőbbségi anyagok és a vízgyűjtő-specifikus szennyező anyagok </w:t>
      </w:r>
      <w:r w:rsidRPr="00DC67EB">
        <w:rPr>
          <w:strike/>
          <w:szCs w:val="24"/>
          <w:lang w:eastAsia="en-US"/>
        </w:rPr>
        <w:t>általi szennyezés</w:t>
      </w:r>
      <w:r w:rsidRPr="00DC67EB">
        <w:rPr>
          <w:b/>
          <w:i/>
          <w:szCs w:val="24"/>
          <w:lang w:eastAsia="en-US"/>
        </w:rPr>
        <w:t>bevezetéseinek, kibocsátásának és veszteségeinek</w:t>
      </w:r>
      <w:r w:rsidRPr="00DC67EB">
        <w:rPr>
          <w:szCs w:val="24"/>
          <w:lang w:eastAsia="en-US"/>
        </w:rPr>
        <w:t xml:space="preserve"> fokozatos </w:t>
      </w:r>
      <w:r w:rsidRPr="00DC67EB">
        <w:rPr>
          <w:strike/>
          <w:szCs w:val="24"/>
          <w:lang w:eastAsia="en-US"/>
        </w:rPr>
        <w:t>csökkentésének</w:t>
      </w:r>
      <w:r w:rsidRPr="00DC67EB">
        <w:rPr>
          <w:b/>
          <w:i/>
          <w:szCs w:val="24"/>
          <w:lang w:eastAsia="en-US"/>
        </w:rPr>
        <w:t>csökkentése</w:t>
      </w:r>
      <w:r w:rsidRPr="00DC67EB">
        <w:rPr>
          <w:szCs w:val="24"/>
          <w:lang w:eastAsia="en-US"/>
        </w:rPr>
        <w:t xml:space="preserve"> céljából, valamint az elsőbbségi veszélyes anyagok kibocsátásainak, bevezetéseinek és veszteségeinek megszüntetése vagy fokozatos csökkentése érdekében.</w:t>
      </w:r>
      <w:r w:rsidRPr="00DC67EB">
        <w:rPr>
          <w:strike/>
          <w:szCs w:val="24"/>
          <w:lang w:eastAsia="en-US"/>
        </w:rPr>
        <w:t>;</w:t>
      </w:r>
      <w:r w:rsidRPr="00DC67EB">
        <w:rPr>
          <w:b/>
          <w:i/>
          <w:szCs w:val="24"/>
          <w:lang w:eastAsia="en-US"/>
        </w:rPr>
        <w:t xml:space="preserve"> Az említett ütemtervet az egyéb alkalmazandó uniós jogszabályokban foglalt szigorúbb határidők alkalmazásának sérelme nélkül kell alkalmazni.</w:t>
      </w:r>
      <w:r w:rsidRPr="00DC67EB">
        <w:rPr>
          <w:szCs w:val="24"/>
          <w:lang w:eastAsia="en-US"/>
        </w:rPr>
        <w:t>”</w:t>
      </w:r>
      <w:r w:rsidRPr="00DC67EB">
        <w:rPr>
          <w:b/>
          <w:szCs w:val="24"/>
          <w:lang w:eastAsia="en-US"/>
        </w:rPr>
        <w:t xml:space="preserve"> [</w:t>
      </w:r>
      <w:r w:rsidR="000536D5" w:rsidRPr="00DC67EB">
        <w:rPr>
          <w:b/>
          <w:szCs w:val="24"/>
          <w:lang w:eastAsia="en-US"/>
        </w:rPr>
        <w:t>Mód</w:t>
      </w:r>
      <w:r w:rsidRPr="00DC67EB">
        <w:rPr>
          <w:b/>
          <w:szCs w:val="24"/>
          <w:lang w:eastAsia="en-US"/>
        </w:rPr>
        <w:t>. 62]</w:t>
      </w:r>
    </w:p>
    <w:p w14:paraId="6D268474" w14:textId="77777777" w:rsidR="001D30D4" w:rsidRPr="00DC67EB" w:rsidRDefault="001D30D4" w:rsidP="001D30D4">
      <w:pPr>
        <w:spacing w:before="120" w:after="120" w:line="360" w:lineRule="auto"/>
        <w:ind w:left="1416" w:hanging="566"/>
        <w:rPr>
          <w:szCs w:val="24"/>
          <w:lang w:eastAsia="en-US"/>
        </w:rPr>
      </w:pPr>
      <w:r w:rsidRPr="00DC67EB">
        <w:rPr>
          <w:szCs w:val="24"/>
          <w:lang w:eastAsia="en-US"/>
        </w:rPr>
        <w:br w:type="page"/>
      </w:r>
      <w:r w:rsidRPr="00DC67EB">
        <w:rPr>
          <w:szCs w:val="24"/>
          <w:lang w:eastAsia="en-US"/>
        </w:rPr>
        <w:lastRenderedPageBreak/>
        <w:t>b)</w:t>
      </w:r>
      <w:r w:rsidRPr="00DC67EB">
        <w:rPr>
          <w:szCs w:val="24"/>
          <w:lang w:eastAsia="en-US"/>
        </w:rPr>
        <w:tab/>
        <w:t>a b) pont iii. alpontjának második albekezdése helyébe a következő szöveg lép:</w:t>
      </w:r>
    </w:p>
    <w:p w14:paraId="79B449C0" w14:textId="77777777" w:rsidR="001D30D4" w:rsidRPr="00DC67EB" w:rsidRDefault="001D30D4" w:rsidP="001D30D4">
      <w:pPr>
        <w:spacing w:before="120" w:after="120" w:line="360" w:lineRule="auto"/>
        <w:ind w:left="1416"/>
        <w:rPr>
          <w:szCs w:val="24"/>
          <w:lang w:eastAsia="en-US"/>
        </w:rPr>
      </w:pPr>
      <w:r w:rsidRPr="00DC67EB">
        <w:rPr>
          <w:szCs w:val="24"/>
          <w:lang w:eastAsia="en-US"/>
        </w:rPr>
        <w:t>„A tendencia visszafordításához szükséges intézkedéseket a 2006/118/EK irányelv 5. cikkének és IV. mellékletének megfelelően teszik meg, figyelemmel e cikk (6) és (7) bekezdésének alkalmazására, e cikk (8) bekezdésének sérelme nélkül.”</w:t>
      </w:r>
    </w:p>
    <w:p w14:paraId="147E5572" w14:textId="77777777" w:rsidR="001D30D4" w:rsidRPr="00DC67EB" w:rsidRDefault="001D30D4" w:rsidP="001D30D4">
      <w:pPr>
        <w:spacing w:before="120" w:after="120" w:line="360" w:lineRule="auto"/>
        <w:ind w:left="1416" w:hanging="566"/>
        <w:rPr>
          <w:szCs w:val="24"/>
          <w:lang w:eastAsia="en-US"/>
        </w:rPr>
      </w:pPr>
      <w:r w:rsidRPr="00DC67EB">
        <w:rPr>
          <w:b/>
          <w:i/>
          <w:szCs w:val="24"/>
          <w:lang w:eastAsia="en-US"/>
        </w:rPr>
        <w:t>ba)</w:t>
      </w:r>
      <w:r w:rsidRPr="00DC67EB">
        <w:rPr>
          <w:szCs w:val="24"/>
          <w:lang w:eastAsia="en-US"/>
        </w:rPr>
        <w:tab/>
      </w:r>
      <w:r w:rsidRPr="00DC67EB">
        <w:rPr>
          <w:b/>
          <w:i/>
          <w:szCs w:val="24"/>
          <w:lang w:eastAsia="en-US"/>
        </w:rPr>
        <w:t>a c) pont a következő (1a) albekezdéssel egészül ki:</w:t>
      </w:r>
    </w:p>
    <w:p w14:paraId="4DA0B248" w14:textId="77777777" w:rsidR="001D30D4" w:rsidRPr="00DC67EB" w:rsidRDefault="001D30D4" w:rsidP="001D30D4">
      <w:pPr>
        <w:spacing w:before="120" w:after="120" w:line="360" w:lineRule="auto"/>
        <w:ind w:left="1416"/>
        <w:rPr>
          <w:b/>
          <w:szCs w:val="24"/>
          <w:lang w:eastAsia="en-US"/>
        </w:rPr>
      </w:pPr>
      <w:r w:rsidRPr="00DC67EB">
        <w:rPr>
          <w:szCs w:val="24"/>
          <w:lang w:eastAsia="en-US"/>
        </w:rPr>
        <w:t>„</w:t>
      </w:r>
      <w:r w:rsidRPr="00DC67EB">
        <w:rPr>
          <w:b/>
          <w:i/>
          <w:szCs w:val="24"/>
          <w:lang w:eastAsia="en-US"/>
        </w:rPr>
        <w:t>A tagállamok szigorúbb előírásokat vagy küszöbértékeket állapítanak meg az ezen irányelv IV. mellékletében felsorolt területek megfelelő védelme érdekében, beleértve a 92/43/EGK tanácsi irányelv szerinti különleges természetmegőrzési területeket is. Az ilyen küszöbértékekkel kapcsolatban szükséges programokat és intézkedéseket a 91/676/EGK irányelv hatálya alá tartozó tevékenységekre is alkalmazni kell.</w:t>
      </w:r>
      <w:r w:rsidRPr="00DC67EB">
        <w:rPr>
          <w:szCs w:val="24"/>
          <w:lang w:eastAsia="en-US"/>
        </w:rPr>
        <w:t>”</w:t>
      </w:r>
      <w:r w:rsidRPr="00DC67EB">
        <w:rPr>
          <w:b/>
          <w:szCs w:val="24"/>
          <w:lang w:eastAsia="en-US"/>
        </w:rPr>
        <w:t xml:space="preserve"> [</w:t>
      </w:r>
      <w:r w:rsidR="000536D5" w:rsidRPr="00DC67EB">
        <w:rPr>
          <w:b/>
          <w:szCs w:val="24"/>
          <w:lang w:eastAsia="en-US"/>
        </w:rPr>
        <w:t>Mód</w:t>
      </w:r>
      <w:r w:rsidRPr="00DC67EB">
        <w:rPr>
          <w:b/>
          <w:szCs w:val="24"/>
          <w:lang w:eastAsia="en-US"/>
        </w:rPr>
        <w:t>. 63]</w:t>
      </w:r>
    </w:p>
    <w:p w14:paraId="28E45304" w14:textId="77777777" w:rsidR="001D30D4" w:rsidRPr="00DC67EB" w:rsidRDefault="001D30D4" w:rsidP="001D30D4">
      <w:pPr>
        <w:spacing w:before="120" w:after="120" w:line="360" w:lineRule="auto"/>
        <w:ind w:left="850" w:hanging="850"/>
        <w:rPr>
          <w:szCs w:val="24"/>
          <w:lang w:eastAsia="en-US"/>
        </w:rPr>
      </w:pPr>
      <w:r w:rsidRPr="00DC67EB">
        <w:rPr>
          <w:szCs w:val="24"/>
          <w:lang w:eastAsia="en-US"/>
        </w:rPr>
        <w:br w:type="page"/>
      </w:r>
      <w:r w:rsidRPr="00DC67EB">
        <w:rPr>
          <w:szCs w:val="24"/>
          <w:lang w:eastAsia="en-US"/>
        </w:rPr>
        <w:lastRenderedPageBreak/>
        <w:t>5.</w:t>
      </w:r>
      <w:r w:rsidRPr="00DC67EB">
        <w:rPr>
          <w:szCs w:val="24"/>
          <w:lang w:eastAsia="en-US"/>
        </w:rPr>
        <w:tab/>
        <w:t>A 7. cikk (2) bekezdésének helyébe a következő szöveg lép:</w:t>
      </w:r>
    </w:p>
    <w:p w14:paraId="5A5198A4" w14:textId="77777777" w:rsidR="001D30D4" w:rsidRPr="00DC67EB" w:rsidRDefault="001D30D4" w:rsidP="001D30D4">
      <w:pPr>
        <w:spacing w:before="120" w:after="120" w:line="360" w:lineRule="auto"/>
        <w:ind w:left="1416" w:hanging="566"/>
        <w:rPr>
          <w:szCs w:val="24"/>
          <w:lang w:eastAsia="en-US"/>
        </w:rPr>
      </w:pPr>
      <w:r w:rsidRPr="00DC67EB">
        <w:rPr>
          <w:szCs w:val="24"/>
          <w:lang w:eastAsia="en-US"/>
        </w:rPr>
        <w:t>„(2)</w:t>
      </w:r>
      <w:r w:rsidRPr="00DC67EB">
        <w:rPr>
          <w:szCs w:val="24"/>
          <w:lang w:eastAsia="en-US"/>
        </w:rPr>
        <w:tab/>
        <w:t>A tagállamok biztosítják, hogy az (1) bekezdésben meghatározott víztestek nemcsak a 4. cikk ezen irányelv felszíni vizekre vonatkozó követelményeinek megfelelő célkitűzéseit teljesítik, ide értve az uniós szinten megállapított minőségi követelményeket is, hanem, hogy az alkalmazott vízkezelési módszer figyelembevételével és az uniós joganyagnak megfelelően, a keletkező víz megfelel az (EU) 2020/2184 európai parlamenti és tanácsi irányelv* követelményeinek.</w:t>
      </w:r>
    </w:p>
    <w:p w14:paraId="0759C3C4" w14:textId="77777777" w:rsidR="001D30D4" w:rsidRPr="00DC67EB" w:rsidRDefault="001D30D4" w:rsidP="001D30D4">
      <w:pPr>
        <w:spacing w:before="120" w:after="120" w:line="360" w:lineRule="auto"/>
        <w:ind w:left="1416"/>
        <w:rPr>
          <w:szCs w:val="24"/>
          <w:lang w:eastAsia="en-US"/>
        </w:rPr>
      </w:pPr>
      <w:r w:rsidRPr="00DC67EB">
        <w:rPr>
          <w:szCs w:val="24"/>
          <w:lang w:eastAsia="en-US"/>
        </w:rPr>
        <w:t>* Az Európai Parlament és a Tanács (EU) 2020/2184 irányelve (2020. december 16.) az emberi fogyasztásra szánt víz minőségéről (HL L 435., 2020.12.23., 1. o.).”</w:t>
      </w:r>
    </w:p>
    <w:p w14:paraId="19B7F72B" w14:textId="77777777" w:rsidR="001D30D4" w:rsidRPr="00DC67EB" w:rsidRDefault="001D30D4" w:rsidP="001D30D4">
      <w:pPr>
        <w:spacing w:before="120" w:after="120" w:line="360" w:lineRule="auto"/>
        <w:ind w:left="850" w:hanging="850"/>
        <w:rPr>
          <w:szCs w:val="24"/>
          <w:lang w:eastAsia="en-US"/>
        </w:rPr>
      </w:pPr>
      <w:r w:rsidRPr="00DC67EB">
        <w:rPr>
          <w:szCs w:val="24"/>
          <w:lang w:eastAsia="en-US"/>
        </w:rPr>
        <w:br w:type="page"/>
      </w:r>
      <w:r w:rsidRPr="00DC67EB">
        <w:rPr>
          <w:szCs w:val="24"/>
          <w:lang w:eastAsia="en-US"/>
        </w:rPr>
        <w:lastRenderedPageBreak/>
        <w:t>6.</w:t>
      </w:r>
      <w:r w:rsidRPr="00DC67EB">
        <w:rPr>
          <w:szCs w:val="24"/>
          <w:lang w:eastAsia="en-US"/>
        </w:rPr>
        <w:tab/>
        <w:t>A 8. cikk a következőképpen módosul:</w:t>
      </w:r>
    </w:p>
    <w:p w14:paraId="4191F29B" w14:textId="77777777" w:rsidR="001D30D4" w:rsidRPr="00DC67EB" w:rsidRDefault="001D30D4" w:rsidP="001D30D4">
      <w:pPr>
        <w:spacing w:before="120" w:after="120" w:line="360" w:lineRule="auto"/>
        <w:ind w:left="1416" w:hanging="566"/>
        <w:rPr>
          <w:szCs w:val="24"/>
          <w:lang w:eastAsia="en-US"/>
        </w:rPr>
      </w:pPr>
      <w:r w:rsidRPr="00DC67EB">
        <w:rPr>
          <w:szCs w:val="24"/>
          <w:lang w:eastAsia="en-US"/>
        </w:rPr>
        <w:t>a)</w:t>
      </w:r>
      <w:r w:rsidRPr="00DC67EB">
        <w:rPr>
          <w:szCs w:val="24"/>
          <w:lang w:eastAsia="en-US"/>
        </w:rPr>
        <w:tab/>
        <w:t>a (3) bekezdés helyébe a következő szöveg lép:</w:t>
      </w:r>
    </w:p>
    <w:p w14:paraId="1714F0D0" w14:textId="77777777" w:rsidR="001D30D4" w:rsidRPr="00DC67EB" w:rsidRDefault="001D30D4" w:rsidP="001D30D4">
      <w:pPr>
        <w:spacing w:before="120" w:after="120" w:line="360" w:lineRule="auto"/>
        <w:ind w:left="1982" w:hanging="566"/>
        <w:rPr>
          <w:b/>
          <w:szCs w:val="24"/>
          <w:lang w:eastAsia="en-US"/>
        </w:rPr>
      </w:pPr>
      <w:r w:rsidRPr="00DC67EB">
        <w:rPr>
          <w:szCs w:val="24"/>
          <w:lang w:eastAsia="en-US"/>
        </w:rPr>
        <w:t>„(3)</w:t>
      </w:r>
      <w:r w:rsidRPr="00DC67EB">
        <w:rPr>
          <w:szCs w:val="24"/>
          <w:lang w:eastAsia="en-US"/>
        </w:rPr>
        <w:tab/>
      </w:r>
      <w:r w:rsidRPr="00DC67EB">
        <w:rPr>
          <w:b/>
          <w:i/>
          <w:szCs w:val="24"/>
          <w:lang w:eastAsia="en-US"/>
        </w:rPr>
        <w:t xml:space="preserve">A Bizottság felhatalmazást kap arra, hogy felhatalmazáson alapuló jogi aktusokat fogadjon el a 20a. cikknek megfelelően, amelyekben meghatározza a vizek állapotának az V. mellékletben meghatározott elemzésére és megfigyelésére vonatkozó műszaki előírásokat és szabványosított módszereket. </w:t>
      </w:r>
      <w:r w:rsidRPr="00DC67EB">
        <w:rPr>
          <w:szCs w:val="24"/>
          <w:lang w:eastAsia="en-US"/>
        </w:rPr>
        <w:t>A Bizottság felhatalmazást kap arra, hogy végrehajtási jogi aktusokat fogadjon el, amelyekben meghatározza</w:t>
      </w:r>
      <w:r w:rsidRPr="00DC67EB">
        <w:rPr>
          <w:strike/>
          <w:szCs w:val="24"/>
          <w:lang w:eastAsia="en-US"/>
        </w:rPr>
        <w:t xml:space="preserve"> a vizek állapotának az V. melléklettel összhangban történő elemzésére és megfigyelésére vonatkozó műszaki előírásokat és szabványosított módszereket, valamint</w:t>
      </w:r>
      <w:r w:rsidRPr="00DC67EB">
        <w:rPr>
          <w:szCs w:val="24"/>
          <w:lang w:eastAsia="en-US"/>
        </w:rPr>
        <w:t xml:space="preserve"> a megfigyelési és az állapotra vonatkozó adatok (4) bekezdés szerinti bejelentésére szolgáló formátumokat. Ezeket a végrehajtási jogi aktusokat </w:t>
      </w:r>
      <w:r w:rsidRPr="00DC67EB">
        <w:rPr>
          <w:strike/>
          <w:szCs w:val="24"/>
          <w:lang w:eastAsia="en-US"/>
        </w:rPr>
        <w:t>a</w:t>
      </w:r>
      <w:r w:rsidRPr="00DC67EB">
        <w:rPr>
          <w:b/>
          <w:i/>
          <w:szCs w:val="24"/>
          <w:lang w:eastAsia="en-US"/>
        </w:rPr>
        <w:t>az</w:t>
      </w:r>
      <w:r w:rsidRPr="00DC67EB">
        <w:rPr>
          <w:szCs w:val="24"/>
          <w:lang w:eastAsia="en-US"/>
        </w:rPr>
        <w:t xml:space="preserve"> 21. cikk (2) bekezdésében említett vizsgálóbizottsági eljárás keretében kell elfogadni.;”</w:t>
      </w:r>
      <w:r w:rsidRPr="00DC67EB">
        <w:rPr>
          <w:b/>
          <w:szCs w:val="24"/>
          <w:lang w:eastAsia="en-US"/>
        </w:rPr>
        <w:t xml:space="preserve"> [</w:t>
      </w:r>
      <w:r w:rsidR="000536D5" w:rsidRPr="00DC67EB">
        <w:rPr>
          <w:b/>
          <w:szCs w:val="24"/>
          <w:lang w:eastAsia="en-US"/>
        </w:rPr>
        <w:t>Mód</w:t>
      </w:r>
      <w:r w:rsidRPr="00DC67EB">
        <w:rPr>
          <w:b/>
          <w:szCs w:val="24"/>
          <w:lang w:eastAsia="en-US"/>
        </w:rPr>
        <w:t>. 64]</w:t>
      </w:r>
    </w:p>
    <w:p w14:paraId="19672080" w14:textId="77777777" w:rsidR="001D30D4" w:rsidRPr="00DC67EB" w:rsidRDefault="001D30D4" w:rsidP="001D30D4">
      <w:pPr>
        <w:spacing w:before="120" w:after="120" w:line="360" w:lineRule="auto"/>
        <w:ind w:left="1416" w:hanging="566"/>
        <w:rPr>
          <w:szCs w:val="24"/>
          <w:lang w:eastAsia="en-US"/>
        </w:rPr>
      </w:pPr>
      <w:r w:rsidRPr="00DC67EB">
        <w:rPr>
          <w:b/>
          <w:i/>
          <w:szCs w:val="24"/>
          <w:lang w:eastAsia="en-US"/>
        </w:rPr>
        <w:br w:type="page"/>
      </w:r>
      <w:r w:rsidRPr="00DC67EB">
        <w:rPr>
          <w:b/>
          <w:i/>
          <w:szCs w:val="24"/>
          <w:lang w:eastAsia="en-US"/>
        </w:rPr>
        <w:lastRenderedPageBreak/>
        <w:t>aa)</w:t>
      </w:r>
      <w:r w:rsidRPr="00DC67EB">
        <w:rPr>
          <w:szCs w:val="24"/>
          <w:lang w:eastAsia="en-US"/>
        </w:rPr>
        <w:tab/>
      </w:r>
      <w:r w:rsidRPr="00DC67EB">
        <w:rPr>
          <w:b/>
          <w:i/>
          <w:szCs w:val="24"/>
          <w:lang w:eastAsia="en-US"/>
        </w:rPr>
        <w:t>A cikk a következő bekezdéssel egészül ki:</w:t>
      </w:r>
    </w:p>
    <w:p w14:paraId="2456862C" w14:textId="77777777" w:rsidR="001D30D4" w:rsidRPr="00DC67EB" w:rsidRDefault="001D30D4" w:rsidP="001D30D4">
      <w:pPr>
        <w:spacing w:before="120" w:after="120" w:line="360" w:lineRule="auto"/>
        <w:ind w:left="1982" w:hanging="566"/>
        <w:rPr>
          <w:szCs w:val="24"/>
          <w:lang w:eastAsia="en-US"/>
        </w:rPr>
      </w:pPr>
      <w:r w:rsidRPr="00DC67EB">
        <w:rPr>
          <w:szCs w:val="24"/>
          <w:lang w:eastAsia="en-US"/>
        </w:rPr>
        <w:t>„</w:t>
      </w:r>
      <w:r w:rsidRPr="00DC67EB">
        <w:rPr>
          <w:b/>
          <w:i/>
          <w:szCs w:val="24"/>
          <w:lang w:eastAsia="en-US"/>
        </w:rPr>
        <w:t>1.</w:t>
      </w:r>
      <w:r w:rsidRPr="00DC67EB">
        <w:rPr>
          <w:szCs w:val="24"/>
          <w:lang w:eastAsia="en-US"/>
        </w:rPr>
        <w:tab/>
      </w:r>
      <w:r w:rsidRPr="00DC67EB">
        <w:rPr>
          <w:b/>
          <w:i/>
          <w:szCs w:val="24"/>
          <w:lang w:eastAsia="en-US"/>
        </w:rPr>
        <w:t>„(3a)  A Bizottság [két évvel ezen irányelv hatálybalépését követően]-ig átfogó értékelést tesz közzé a vízminőség mérésére szolgáló folyamatos, pontos és valós idejű (online) szennyezésmonitoring-rendszerek lehetséges alkalmazásáról, beleértve az ilyen rendszerek tagállamok szempontjából releváns gazdasági és műszaki megvalósíthatósági szempontjait, valamint a harmonizált szabványok alkalmazását.</w:t>
      </w:r>
    </w:p>
    <w:p w14:paraId="26661E40" w14:textId="77777777" w:rsidR="001D30D4" w:rsidRPr="00DC67EB" w:rsidRDefault="001D30D4" w:rsidP="001D30D4">
      <w:pPr>
        <w:spacing w:before="120" w:after="120" w:line="360" w:lineRule="auto"/>
        <w:ind w:left="1982"/>
        <w:rPr>
          <w:b/>
          <w:szCs w:val="24"/>
          <w:lang w:eastAsia="en-US"/>
        </w:rPr>
      </w:pPr>
      <w:r w:rsidRPr="00DC67EB">
        <w:rPr>
          <w:b/>
          <w:i/>
          <w:szCs w:val="24"/>
          <w:lang w:eastAsia="en-US"/>
        </w:rPr>
        <w:t>A Bizottság adott esetben a 21. cikk (2) bekezdésében említett vizsgálóbizottsági eljárással összhangban végrehajtási jogi aktust fogad el az online vízmonitoringra vonatkozó harmonizált szabványok meghatározása céljából.”</w:t>
      </w:r>
      <w:r w:rsidRPr="00DC67EB">
        <w:rPr>
          <w:szCs w:val="24"/>
          <w:lang w:eastAsia="en-US"/>
        </w:rPr>
        <w:t>”</w:t>
      </w:r>
      <w:r w:rsidRPr="00DC67EB">
        <w:rPr>
          <w:b/>
          <w:szCs w:val="24"/>
          <w:lang w:eastAsia="en-US"/>
        </w:rPr>
        <w:t xml:space="preserve"> [</w:t>
      </w:r>
      <w:r w:rsidR="000536D5" w:rsidRPr="00DC67EB">
        <w:rPr>
          <w:b/>
          <w:szCs w:val="24"/>
          <w:lang w:eastAsia="en-US"/>
        </w:rPr>
        <w:t>Mód</w:t>
      </w:r>
      <w:r w:rsidRPr="00DC67EB">
        <w:rPr>
          <w:b/>
          <w:szCs w:val="24"/>
          <w:lang w:eastAsia="en-US"/>
        </w:rPr>
        <w:t>. 65]</w:t>
      </w:r>
    </w:p>
    <w:p w14:paraId="36A3560A" w14:textId="77777777" w:rsidR="001D30D4" w:rsidRPr="00DC67EB" w:rsidRDefault="001D30D4" w:rsidP="001D30D4">
      <w:pPr>
        <w:spacing w:before="120" w:after="120" w:line="360" w:lineRule="auto"/>
        <w:ind w:left="1416" w:hanging="566"/>
        <w:rPr>
          <w:szCs w:val="24"/>
          <w:lang w:eastAsia="en-US"/>
        </w:rPr>
      </w:pPr>
      <w:r w:rsidRPr="00DC67EB">
        <w:rPr>
          <w:szCs w:val="24"/>
          <w:lang w:eastAsia="en-US"/>
        </w:rPr>
        <w:br w:type="page"/>
      </w:r>
      <w:r w:rsidRPr="00DC67EB">
        <w:rPr>
          <w:szCs w:val="24"/>
          <w:lang w:eastAsia="en-US"/>
        </w:rPr>
        <w:lastRenderedPageBreak/>
        <w:t>b)</w:t>
      </w:r>
      <w:r w:rsidRPr="00DC67EB">
        <w:rPr>
          <w:szCs w:val="24"/>
          <w:lang w:eastAsia="en-US"/>
        </w:rPr>
        <w:tab/>
        <w:t>a szöveg a következő (4) és (5) bekezdéssel egészül ki:</w:t>
      </w:r>
    </w:p>
    <w:p w14:paraId="3328A0D7" w14:textId="77777777" w:rsidR="001D30D4" w:rsidRPr="00DC67EB" w:rsidRDefault="001D30D4" w:rsidP="001D30D4">
      <w:pPr>
        <w:spacing w:before="120" w:after="120" w:line="360" w:lineRule="auto"/>
        <w:ind w:left="1982" w:hanging="566"/>
        <w:rPr>
          <w:b/>
          <w:szCs w:val="24"/>
          <w:lang w:eastAsia="en-US"/>
        </w:rPr>
      </w:pPr>
      <w:r w:rsidRPr="00DC67EB">
        <w:rPr>
          <w:szCs w:val="24"/>
          <w:lang w:eastAsia="en-US"/>
        </w:rPr>
        <w:t>„(4)</w:t>
      </w:r>
      <w:r w:rsidRPr="00DC67EB">
        <w:rPr>
          <w:szCs w:val="24"/>
          <w:lang w:eastAsia="en-US"/>
        </w:rPr>
        <w:tab/>
        <w:t>A tagállamok biztosítják, hogy az V. melléklet 1.3.4</w:t>
      </w:r>
      <w:r w:rsidRPr="00DC67EB">
        <w:rPr>
          <w:b/>
          <w:i/>
          <w:szCs w:val="24"/>
          <w:lang w:eastAsia="en-US"/>
        </w:rPr>
        <w:t>. és 2.4.3</w:t>
      </w:r>
      <w:r w:rsidRPr="00DC67EB">
        <w:rPr>
          <w:szCs w:val="24"/>
          <w:lang w:eastAsia="en-US"/>
        </w:rPr>
        <w:t xml:space="preserve">. pontjával összhangban gyűjtött, rendelkezésre álló egyedi megfigyelési adatokat és az V. melléklet szerinti állapotot évente legalább egyszer, a 2003/4/EK európai parlamenti és tanácsi irányelvvel*, a 2007/2/EK európai parlamenti és tanácsi irányelvvel** és az (EU) 2019/1024 európai parlamenti és tanácsi irányelvvel*** összhangban géppel olvasható formátumban elektronikusan hozzáférhetővé teszik </w:t>
      </w:r>
      <w:r w:rsidRPr="00DC67EB">
        <w:rPr>
          <w:strike/>
          <w:szCs w:val="24"/>
          <w:lang w:eastAsia="en-US"/>
        </w:rPr>
        <w:t xml:space="preserve">a nyilvánosság és </w:t>
      </w:r>
      <w:r w:rsidRPr="00DC67EB">
        <w:rPr>
          <w:szCs w:val="24"/>
          <w:lang w:eastAsia="en-US"/>
        </w:rPr>
        <w:t>az Európai Környezetvédelmi Ügynökség (EEA)</w:t>
      </w:r>
      <w:r w:rsidRPr="00DC67EB">
        <w:rPr>
          <w:b/>
          <w:i/>
          <w:szCs w:val="24"/>
          <w:lang w:eastAsia="en-US"/>
        </w:rPr>
        <w:t xml:space="preserve"> számára, továbbá indokolatlan késedelem nélkül és könnyen hozzáférhető módon a nyilvánosság</w:t>
      </w:r>
      <w:r w:rsidRPr="00DC67EB">
        <w:rPr>
          <w:szCs w:val="24"/>
          <w:lang w:eastAsia="en-US"/>
        </w:rPr>
        <w:t xml:space="preserve"> számára. E célra a tagállamok az e cikk (3) bekezdésével összhangban meghatározott formátumokat használják.</w:t>
      </w:r>
      <w:r w:rsidRPr="00DC67EB">
        <w:rPr>
          <w:b/>
          <w:szCs w:val="24"/>
          <w:lang w:eastAsia="en-US"/>
        </w:rPr>
        <w:t xml:space="preserve"> [</w:t>
      </w:r>
      <w:r w:rsidR="000536D5" w:rsidRPr="00DC67EB">
        <w:rPr>
          <w:b/>
          <w:szCs w:val="24"/>
          <w:lang w:eastAsia="en-US"/>
        </w:rPr>
        <w:t>Mód</w:t>
      </w:r>
      <w:r w:rsidRPr="00DC67EB">
        <w:rPr>
          <w:b/>
          <w:szCs w:val="24"/>
          <w:lang w:eastAsia="en-US"/>
        </w:rPr>
        <w:t>. 66]</w:t>
      </w:r>
    </w:p>
    <w:p w14:paraId="38AF1E77" w14:textId="77777777" w:rsidR="001D30D4" w:rsidRPr="00DC67EB" w:rsidRDefault="001D30D4" w:rsidP="001D30D4">
      <w:pPr>
        <w:spacing w:before="120" w:after="120" w:line="360" w:lineRule="auto"/>
        <w:ind w:left="1982" w:hanging="566"/>
        <w:rPr>
          <w:szCs w:val="24"/>
          <w:lang w:eastAsia="en-US"/>
        </w:rPr>
      </w:pPr>
      <w:r w:rsidRPr="00DC67EB">
        <w:rPr>
          <w:szCs w:val="24"/>
          <w:lang w:eastAsia="en-US"/>
        </w:rPr>
        <w:br w:type="page"/>
      </w:r>
      <w:r w:rsidRPr="00DC67EB">
        <w:rPr>
          <w:szCs w:val="24"/>
          <w:lang w:eastAsia="en-US"/>
        </w:rPr>
        <w:lastRenderedPageBreak/>
        <w:t>(5)</w:t>
      </w:r>
      <w:r w:rsidRPr="00DC67EB">
        <w:rPr>
          <w:szCs w:val="24"/>
          <w:lang w:eastAsia="en-US"/>
        </w:rPr>
        <w:tab/>
        <w:t>Az EEA biztosítja, hogy a (4) bekezdéssel összhangban rendelkezésére bocsátott információkat rendszeresen feldolgozza és elemezi abból a célból, hogy azokat a megfelelő uniós portálokon keresztül további felhasználás céljából a Bizottság és az érintett uniós ügynökségek rendelkezésére bocsássa, valamint hogy a 401/2009/EK európai parlamenti és tanácsi rendeletnek**** megfelelően naprakész, objektív, megbízható és összehasonlítható információkat nyújtson a Bizottságnak, a tagállamoknak és a nyilvánosságnak, különösen az állapotra vonatkozóan.</w:t>
      </w:r>
    </w:p>
    <w:p w14:paraId="31308436" w14:textId="77777777" w:rsidR="001D30D4" w:rsidRPr="00DC67EB" w:rsidRDefault="001D30D4" w:rsidP="001D30D4">
      <w:pPr>
        <w:spacing w:before="120" w:after="120" w:line="360" w:lineRule="auto"/>
        <w:ind w:left="1416"/>
        <w:rPr>
          <w:szCs w:val="24"/>
          <w:lang w:eastAsia="en-US"/>
        </w:rPr>
      </w:pPr>
      <w:r w:rsidRPr="00DC67EB">
        <w:rPr>
          <w:szCs w:val="24"/>
          <w:lang w:eastAsia="en-US"/>
        </w:rPr>
        <w:t>* Az Európai Parlament és a Tanács 2003/4/EK irányelve (2003. január 28.) a környezeti információkhoz való nyilvános hozzáférésről és a 90/313/EGK irányelv hatályon kívül helyezéséről (HL L 41., 2003.2.14., 26. o.).</w:t>
      </w:r>
    </w:p>
    <w:p w14:paraId="2D4CE250" w14:textId="77777777" w:rsidR="001D30D4" w:rsidRPr="00DC67EB" w:rsidRDefault="001D30D4" w:rsidP="001D30D4">
      <w:pPr>
        <w:spacing w:before="120" w:after="120" w:line="360" w:lineRule="auto"/>
        <w:ind w:left="1416"/>
        <w:rPr>
          <w:szCs w:val="24"/>
          <w:lang w:eastAsia="en-US"/>
        </w:rPr>
      </w:pPr>
      <w:r w:rsidRPr="00DC67EB">
        <w:rPr>
          <w:szCs w:val="24"/>
          <w:lang w:eastAsia="en-US"/>
        </w:rPr>
        <w:t>** Az Európai Parlament és a Tanács 2007/2/EK irányelve (2007. március 14.) az Európai Közösségen belüli térinformációs infrastruktúra (INSPIRE) kialakításáról (HL L 108., 2007.4.25., 1. o.).</w:t>
      </w:r>
    </w:p>
    <w:p w14:paraId="7992D09B" w14:textId="77777777" w:rsidR="001D30D4" w:rsidRPr="00DC67EB" w:rsidRDefault="001D30D4" w:rsidP="001D30D4">
      <w:pPr>
        <w:spacing w:before="120" w:after="120" w:line="360" w:lineRule="auto"/>
        <w:ind w:left="1416"/>
        <w:rPr>
          <w:szCs w:val="24"/>
          <w:lang w:eastAsia="en-US"/>
        </w:rPr>
      </w:pPr>
      <w:r w:rsidRPr="00DC67EB">
        <w:rPr>
          <w:szCs w:val="24"/>
          <w:lang w:eastAsia="en-US"/>
        </w:rPr>
        <w:t>*** Az Európai Parlament és a Tanács (EU) 2019/1024 irányelve (2019. június 20.) a nyílt hozzáférésű adatokról és a közszféra információinak további felhasználásáról (HL L 172., 2019.6.26., 56. o.).</w:t>
      </w:r>
    </w:p>
    <w:p w14:paraId="1059B755" w14:textId="77777777" w:rsidR="001D30D4" w:rsidRPr="00DC67EB" w:rsidRDefault="001D30D4" w:rsidP="001D30D4">
      <w:pPr>
        <w:spacing w:before="120" w:after="120" w:line="360" w:lineRule="auto"/>
        <w:ind w:left="1416"/>
        <w:rPr>
          <w:szCs w:val="24"/>
          <w:lang w:eastAsia="en-US"/>
        </w:rPr>
      </w:pPr>
      <w:r w:rsidRPr="00DC67EB">
        <w:rPr>
          <w:szCs w:val="24"/>
          <w:lang w:eastAsia="en-US"/>
        </w:rPr>
        <w:t>**** Az Európai Parlament és a Tanács 401/2009/EK rendelete (2009. április 23.) az Európai Környezetvédelmi Ügynökségről és az európai környezeti információs és megfigyelőhálózatról (HL L 126., 2009.5.21., 13. o.).”</w:t>
      </w:r>
    </w:p>
    <w:p w14:paraId="5CDAF671" w14:textId="77777777" w:rsidR="000536D5" w:rsidRPr="00DC67EB" w:rsidRDefault="000536D5">
      <w:pPr>
        <w:widowControl/>
        <w:rPr>
          <w:szCs w:val="24"/>
          <w:lang w:eastAsia="en-US"/>
        </w:rPr>
      </w:pPr>
      <w:r w:rsidRPr="00DC67EB">
        <w:rPr>
          <w:szCs w:val="24"/>
          <w:lang w:eastAsia="en-US"/>
        </w:rPr>
        <w:br w:type="page"/>
      </w:r>
    </w:p>
    <w:p w14:paraId="572D4097" w14:textId="77777777" w:rsidR="001D30D4" w:rsidRPr="00DC67EB" w:rsidRDefault="001D30D4" w:rsidP="001D30D4">
      <w:pPr>
        <w:spacing w:before="120" w:after="120" w:line="360" w:lineRule="auto"/>
        <w:ind w:left="850" w:hanging="850"/>
        <w:rPr>
          <w:szCs w:val="24"/>
          <w:lang w:eastAsia="en-US"/>
        </w:rPr>
      </w:pPr>
      <w:r w:rsidRPr="00DC67EB">
        <w:rPr>
          <w:szCs w:val="24"/>
          <w:lang w:eastAsia="en-US"/>
        </w:rPr>
        <w:lastRenderedPageBreak/>
        <w:t>7.</w:t>
      </w:r>
      <w:r w:rsidRPr="00DC67EB">
        <w:rPr>
          <w:szCs w:val="24"/>
          <w:lang w:eastAsia="en-US"/>
        </w:rPr>
        <w:tab/>
        <w:t>A 10. cikk a következőképpen módosul:</w:t>
      </w:r>
    </w:p>
    <w:p w14:paraId="7E13BE23" w14:textId="77777777" w:rsidR="001D30D4" w:rsidRPr="00DC67EB" w:rsidRDefault="001D30D4" w:rsidP="001D30D4">
      <w:pPr>
        <w:spacing w:before="120" w:after="120" w:line="360" w:lineRule="auto"/>
        <w:ind w:left="1416" w:hanging="566"/>
        <w:rPr>
          <w:szCs w:val="24"/>
          <w:lang w:eastAsia="en-US"/>
        </w:rPr>
      </w:pPr>
      <w:r w:rsidRPr="00DC67EB">
        <w:rPr>
          <w:szCs w:val="24"/>
          <w:lang w:eastAsia="en-US"/>
        </w:rPr>
        <w:t>a)</w:t>
      </w:r>
      <w:r w:rsidRPr="00DC67EB">
        <w:rPr>
          <w:szCs w:val="24"/>
          <w:lang w:eastAsia="en-US"/>
        </w:rPr>
        <w:tab/>
        <w:t>a (2) bekezdés helyébe a következő szöveg lép:</w:t>
      </w:r>
    </w:p>
    <w:p w14:paraId="56724A63" w14:textId="77777777" w:rsidR="001D30D4" w:rsidRPr="00DC67EB" w:rsidRDefault="001D30D4" w:rsidP="001D30D4">
      <w:pPr>
        <w:spacing w:before="120" w:after="120" w:line="360" w:lineRule="auto"/>
        <w:ind w:left="1982" w:hanging="566"/>
        <w:rPr>
          <w:szCs w:val="24"/>
          <w:lang w:eastAsia="en-US"/>
        </w:rPr>
      </w:pPr>
      <w:r w:rsidRPr="00DC67EB">
        <w:rPr>
          <w:szCs w:val="24"/>
          <w:lang w:eastAsia="en-US"/>
        </w:rPr>
        <w:t>„(2)</w:t>
      </w:r>
      <w:r w:rsidRPr="00DC67EB">
        <w:rPr>
          <w:szCs w:val="24"/>
          <w:lang w:eastAsia="en-US"/>
        </w:rPr>
        <w:tab/>
        <w:t>Az ezen irányelv alapján megállapított célkitűzéseknek, minőségi előírásoknak és küszöbértékeknek való megfelelés érdekében a tagállamok biztosítják a következők kialakítását és végrehajtását:</w:t>
      </w:r>
    </w:p>
    <w:p w14:paraId="799C9399" w14:textId="77777777" w:rsidR="001D30D4" w:rsidRPr="00DC67EB" w:rsidRDefault="001D30D4" w:rsidP="001D30D4">
      <w:pPr>
        <w:spacing w:before="120" w:after="120" w:line="360" w:lineRule="auto"/>
        <w:ind w:left="2548" w:hanging="566"/>
        <w:rPr>
          <w:szCs w:val="24"/>
          <w:lang w:eastAsia="en-US"/>
        </w:rPr>
      </w:pPr>
      <w:r w:rsidRPr="00DC67EB">
        <w:rPr>
          <w:szCs w:val="24"/>
          <w:lang w:eastAsia="en-US"/>
        </w:rPr>
        <w:t>a)</w:t>
      </w:r>
      <w:r w:rsidRPr="00DC67EB">
        <w:rPr>
          <w:szCs w:val="24"/>
          <w:lang w:eastAsia="en-US"/>
        </w:rPr>
        <w:tab/>
        <w:t>a kibocsátások elérhető legjobb technológiákon alapuló szabályozása;</w:t>
      </w:r>
    </w:p>
    <w:p w14:paraId="06D75A68" w14:textId="77777777" w:rsidR="001D30D4" w:rsidRPr="00DC67EB" w:rsidRDefault="001D30D4" w:rsidP="001D30D4">
      <w:pPr>
        <w:spacing w:before="120" w:after="120" w:line="360" w:lineRule="auto"/>
        <w:ind w:left="2548" w:hanging="566"/>
        <w:rPr>
          <w:szCs w:val="24"/>
          <w:lang w:eastAsia="en-US"/>
        </w:rPr>
      </w:pPr>
      <w:r w:rsidRPr="00DC67EB">
        <w:rPr>
          <w:szCs w:val="24"/>
          <w:lang w:eastAsia="en-US"/>
        </w:rPr>
        <w:t>b)</w:t>
      </w:r>
      <w:r w:rsidRPr="00DC67EB">
        <w:rPr>
          <w:szCs w:val="24"/>
          <w:lang w:eastAsia="en-US"/>
        </w:rPr>
        <w:tab/>
        <w:t>megfelelő kibocsátási határértékek;</w:t>
      </w:r>
    </w:p>
    <w:p w14:paraId="0EB40B25" w14:textId="77777777" w:rsidR="001D30D4" w:rsidRPr="00DC67EB" w:rsidRDefault="001D30D4" w:rsidP="001D30D4">
      <w:pPr>
        <w:spacing w:before="120" w:after="120" w:line="360" w:lineRule="auto"/>
        <w:ind w:left="2548" w:hanging="566"/>
        <w:rPr>
          <w:szCs w:val="24"/>
          <w:lang w:eastAsia="en-US"/>
        </w:rPr>
      </w:pPr>
      <w:r w:rsidRPr="00DC67EB">
        <w:rPr>
          <w:szCs w:val="24"/>
          <w:lang w:eastAsia="en-US"/>
        </w:rPr>
        <w:br w:type="page"/>
      </w:r>
      <w:r w:rsidRPr="00DC67EB">
        <w:rPr>
          <w:szCs w:val="24"/>
          <w:lang w:eastAsia="en-US"/>
        </w:rPr>
        <w:lastRenderedPageBreak/>
        <w:t>c)</w:t>
      </w:r>
      <w:r w:rsidRPr="00DC67EB">
        <w:rPr>
          <w:szCs w:val="24"/>
          <w:lang w:eastAsia="en-US"/>
        </w:rPr>
        <w:tab/>
        <w:t>diffúz hatások esetében korlátozások, amelyek adott esetben a legjobb környezeti gyakorlatot is magukban foglalják, megfelelve:</w:t>
      </w:r>
    </w:p>
    <w:p w14:paraId="2C1C493C" w14:textId="77777777" w:rsidR="001D30D4" w:rsidRPr="00DC67EB" w:rsidRDefault="001D30D4" w:rsidP="001D30D4">
      <w:pPr>
        <w:spacing w:before="120" w:after="120" w:line="360" w:lineRule="auto"/>
        <w:ind w:left="3114" w:hanging="566"/>
        <w:rPr>
          <w:szCs w:val="24"/>
          <w:lang w:eastAsia="en-US"/>
        </w:rPr>
      </w:pPr>
      <w:r w:rsidRPr="00DC67EB">
        <w:rPr>
          <w:szCs w:val="24"/>
          <w:lang w:eastAsia="en-US"/>
        </w:rPr>
        <w:t>-</w:t>
      </w:r>
      <w:r w:rsidRPr="00DC67EB">
        <w:rPr>
          <w:szCs w:val="24"/>
          <w:lang w:eastAsia="en-US"/>
        </w:rPr>
        <w:tab/>
        <w:t>az Európai Parlament és a Tanács 2009/128/EK irányelvének*;</w:t>
      </w:r>
    </w:p>
    <w:p w14:paraId="54323E84" w14:textId="77777777" w:rsidR="001D30D4" w:rsidRPr="00DC67EB" w:rsidRDefault="001D30D4" w:rsidP="001D30D4">
      <w:pPr>
        <w:spacing w:before="120" w:after="120" w:line="360" w:lineRule="auto"/>
        <w:ind w:left="3114" w:hanging="566"/>
        <w:rPr>
          <w:szCs w:val="24"/>
          <w:lang w:val="pt-PT" w:eastAsia="en-US"/>
        </w:rPr>
      </w:pPr>
      <w:r w:rsidRPr="00DC67EB">
        <w:rPr>
          <w:szCs w:val="24"/>
          <w:lang w:val="pt-PT" w:eastAsia="en-US"/>
        </w:rPr>
        <w:t>-</w:t>
      </w:r>
      <w:r w:rsidRPr="00DC67EB">
        <w:rPr>
          <w:szCs w:val="24"/>
          <w:lang w:val="pt-PT" w:eastAsia="en-US"/>
        </w:rPr>
        <w:tab/>
        <w:t>az Európai Parlament és a Tanács 2010/75/EU irányelvének**;</w:t>
      </w:r>
    </w:p>
    <w:p w14:paraId="26951EE1" w14:textId="77777777" w:rsidR="001D30D4" w:rsidRPr="00DC67EB" w:rsidRDefault="001D30D4" w:rsidP="001D30D4">
      <w:pPr>
        <w:spacing w:before="120" w:after="120" w:line="360" w:lineRule="auto"/>
        <w:ind w:left="3114" w:hanging="566"/>
        <w:rPr>
          <w:szCs w:val="24"/>
          <w:lang w:val="pt-PT" w:eastAsia="en-US"/>
        </w:rPr>
      </w:pPr>
      <w:r w:rsidRPr="00DC67EB">
        <w:rPr>
          <w:szCs w:val="24"/>
          <w:lang w:val="pt-PT" w:eastAsia="en-US"/>
        </w:rPr>
        <w:t>-</w:t>
      </w:r>
      <w:r w:rsidRPr="00DC67EB">
        <w:rPr>
          <w:szCs w:val="24"/>
          <w:lang w:val="pt-PT" w:eastAsia="en-US"/>
        </w:rPr>
        <w:tab/>
        <w:t>a Tanács 91/271/EGK irányelvének***;</w:t>
      </w:r>
    </w:p>
    <w:p w14:paraId="41CE57CF" w14:textId="77777777" w:rsidR="001D30D4" w:rsidRPr="00DC67EB" w:rsidRDefault="001D30D4" w:rsidP="001D30D4">
      <w:pPr>
        <w:spacing w:before="120" w:after="120" w:line="360" w:lineRule="auto"/>
        <w:ind w:left="3114" w:hanging="566"/>
        <w:rPr>
          <w:szCs w:val="24"/>
          <w:lang w:val="pt-PT" w:eastAsia="en-US"/>
        </w:rPr>
      </w:pPr>
      <w:r w:rsidRPr="00DC67EB">
        <w:rPr>
          <w:szCs w:val="24"/>
          <w:lang w:val="pt-PT" w:eastAsia="en-US"/>
        </w:rPr>
        <w:t>-</w:t>
      </w:r>
      <w:r w:rsidRPr="00DC67EB">
        <w:rPr>
          <w:szCs w:val="24"/>
          <w:lang w:val="pt-PT" w:eastAsia="en-US"/>
        </w:rPr>
        <w:tab/>
        <w:t>a Tanács 91/676/EGK irányelvének****;</w:t>
      </w:r>
    </w:p>
    <w:p w14:paraId="240B7146" w14:textId="77777777" w:rsidR="001D30D4" w:rsidRPr="00DC67EB" w:rsidRDefault="001D30D4" w:rsidP="001D30D4">
      <w:pPr>
        <w:spacing w:before="120" w:after="120" w:line="360" w:lineRule="auto"/>
        <w:ind w:left="3114" w:hanging="566"/>
        <w:rPr>
          <w:szCs w:val="24"/>
          <w:lang w:val="pt-PT" w:eastAsia="en-US"/>
        </w:rPr>
      </w:pPr>
      <w:r w:rsidRPr="00DC67EB">
        <w:rPr>
          <w:szCs w:val="24"/>
          <w:lang w:val="pt-PT" w:eastAsia="en-US"/>
        </w:rPr>
        <w:t>-</w:t>
      </w:r>
      <w:r w:rsidRPr="00DC67EB">
        <w:rPr>
          <w:szCs w:val="24"/>
          <w:lang w:val="pt-PT" w:eastAsia="en-US"/>
        </w:rPr>
        <w:tab/>
        <w:t>bármely más olyan uniós joganyagnak, amely a pontszerű szennyezőforrás vagy a diffúz szennyezés kezelésére vonatkozik.</w:t>
      </w:r>
    </w:p>
    <w:p w14:paraId="6605526F" w14:textId="77777777" w:rsidR="001D30D4" w:rsidRPr="00DC67EB" w:rsidRDefault="001D30D4" w:rsidP="001D30D4">
      <w:pPr>
        <w:spacing w:before="120" w:after="120" w:line="360" w:lineRule="auto"/>
        <w:ind w:left="2548"/>
        <w:rPr>
          <w:szCs w:val="24"/>
          <w:lang w:val="pt-PT" w:eastAsia="en-US"/>
        </w:rPr>
      </w:pPr>
      <w:r w:rsidRPr="00DC67EB">
        <w:rPr>
          <w:szCs w:val="24"/>
          <w:lang w:val="pt-PT" w:eastAsia="en-US"/>
        </w:rPr>
        <w:t>* Az Európai Parlament és a Tanács 2009/128/EK irányelve (2009. október 21.) a peszticidek fenntartható használatának elérését célzó közösségi fellépés kereteinek meghatározásáról (HL L 309., 2009.11.24., 71. o.).</w:t>
      </w:r>
    </w:p>
    <w:p w14:paraId="75385B84" w14:textId="77777777" w:rsidR="001D30D4" w:rsidRPr="00DC67EB" w:rsidRDefault="001D30D4" w:rsidP="001D30D4">
      <w:pPr>
        <w:spacing w:before="120" w:after="120" w:line="360" w:lineRule="auto"/>
        <w:ind w:left="2548"/>
        <w:rPr>
          <w:szCs w:val="24"/>
          <w:lang w:val="pt-PT" w:eastAsia="en-US"/>
        </w:rPr>
      </w:pPr>
      <w:r w:rsidRPr="00DC67EB">
        <w:rPr>
          <w:szCs w:val="24"/>
          <w:lang w:val="pt-PT" w:eastAsia="en-US"/>
        </w:rPr>
        <w:t>** Az Európai Parlament és a Tanács 2010/75/EU irányelve (2010. november 24.) az ipari kibocsátásokról (HL L 334., 2010.12.17., 17. o.).</w:t>
      </w:r>
    </w:p>
    <w:p w14:paraId="0E1BC613" w14:textId="77777777" w:rsidR="001D30D4" w:rsidRPr="00DC67EB" w:rsidRDefault="001D30D4" w:rsidP="001D30D4">
      <w:pPr>
        <w:spacing w:before="120" w:after="120" w:line="360" w:lineRule="auto"/>
        <w:ind w:left="2548"/>
        <w:rPr>
          <w:szCs w:val="24"/>
          <w:lang w:val="pt-PT" w:eastAsia="en-US"/>
        </w:rPr>
      </w:pPr>
      <w:r w:rsidRPr="00DC67EB">
        <w:rPr>
          <w:szCs w:val="24"/>
          <w:lang w:val="pt-PT" w:eastAsia="en-US"/>
        </w:rPr>
        <w:t>*** A Tanács 91/271/EGK irányelve (1991. május 21.) a települési szennyvíz kezeléséről (HL L 135., 1991.5.30., 40. o.).</w:t>
      </w:r>
    </w:p>
    <w:p w14:paraId="5A8A88C3" w14:textId="77777777" w:rsidR="001D30D4" w:rsidRPr="00DC67EB" w:rsidRDefault="001D30D4" w:rsidP="001D30D4">
      <w:pPr>
        <w:spacing w:before="120" w:after="120" w:line="360" w:lineRule="auto"/>
        <w:ind w:left="2548"/>
        <w:rPr>
          <w:szCs w:val="24"/>
          <w:lang w:val="pt-PT" w:eastAsia="en-US"/>
        </w:rPr>
      </w:pPr>
      <w:r w:rsidRPr="00DC67EB">
        <w:rPr>
          <w:szCs w:val="24"/>
          <w:lang w:val="pt-PT" w:eastAsia="en-US"/>
        </w:rPr>
        <w:t>**** A Tanács 91/676/EGK irányelve (1991. december 12.) a vizek mezőgazdasági eredetű nitrátszennyezéssel szembeni védelméről (HL L 375., 1991.12.31., 1. o.).;”</w:t>
      </w:r>
    </w:p>
    <w:p w14:paraId="0FAD9415" w14:textId="77777777" w:rsidR="000536D5" w:rsidRPr="00DC67EB" w:rsidRDefault="000536D5">
      <w:pPr>
        <w:widowControl/>
        <w:rPr>
          <w:szCs w:val="24"/>
          <w:lang w:val="pt-PT" w:eastAsia="en-US"/>
        </w:rPr>
      </w:pPr>
      <w:r w:rsidRPr="00DC67EB">
        <w:rPr>
          <w:szCs w:val="24"/>
          <w:lang w:val="pt-PT" w:eastAsia="en-US"/>
        </w:rPr>
        <w:br w:type="page"/>
      </w:r>
    </w:p>
    <w:p w14:paraId="1116AB0B" w14:textId="77777777" w:rsidR="001D30D4" w:rsidRPr="00DC67EB" w:rsidRDefault="001D30D4" w:rsidP="001D30D4">
      <w:pPr>
        <w:spacing w:before="120" w:after="120" w:line="360" w:lineRule="auto"/>
        <w:ind w:left="1416" w:hanging="566"/>
        <w:rPr>
          <w:szCs w:val="24"/>
          <w:lang w:val="pt-PT" w:eastAsia="en-US"/>
        </w:rPr>
      </w:pPr>
      <w:r w:rsidRPr="00DC67EB">
        <w:rPr>
          <w:szCs w:val="24"/>
          <w:lang w:val="pt-PT" w:eastAsia="en-US"/>
        </w:rPr>
        <w:lastRenderedPageBreak/>
        <w:t>b)</w:t>
      </w:r>
      <w:r w:rsidRPr="00DC67EB">
        <w:rPr>
          <w:szCs w:val="24"/>
          <w:lang w:val="pt-PT" w:eastAsia="en-US"/>
        </w:rPr>
        <w:tab/>
        <w:t>a (3) bekezdés helyébe a következő szöveg lép:</w:t>
      </w:r>
    </w:p>
    <w:p w14:paraId="2DAC8E6D" w14:textId="77777777" w:rsidR="001D30D4" w:rsidRPr="00DC67EB" w:rsidRDefault="001D30D4" w:rsidP="001D30D4">
      <w:pPr>
        <w:spacing w:before="120" w:after="120" w:line="360" w:lineRule="auto"/>
        <w:ind w:left="1982" w:hanging="566"/>
        <w:rPr>
          <w:szCs w:val="24"/>
          <w:lang w:val="pt-PT" w:eastAsia="en-US"/>
        </w:rPr>
      </w:pPr>
      <w:r w:rsidRPr="00DC67EB">
        <w:rPr>
          <w:szCs w:val="24"/>
          <w:lang w:val="pt-PT" w:eastAsia="en-US"/>
        </w:rPr>
        <w:t>„(3)</w:t>
      </w:r>
      <w:r w:rsidRPr="00DC67EB">
        <w:rPr>
          <w:szCs w:val="24"/>
          <w:lang w:val="pt-PT" w:eastAsia="en-US"/>
        </w:rPr>
        <w:tab/>
        <w:t>Ha ezen irányelvnek, a 2006/118/EK vagy a 2008/105/EK irányelvnek, vagy bármely más uniós joganyagnak megfelelően megállapított vízminőségi célkitűzés, vízminőségi előírás vagy küszöbérték szigorúbb feltételeket követel meg, mint amilyeneket a (2) bekezdés alkalmazása eredményezne, a szigorúbb kibocsátásszabályozást kell alkalmazni.”</w:t>
      </w:r>
    </w:p>
    <w:p w14:paraId="4FE0C5BC" w14:textId="77777777" w:rsidR="001D30D4" w:rsidRPr="00DC67EB" w:rsidRDefault="001D30D4" w:rsidP="001D30D4">
      <w:pPr>
        <w:spacing w:before="120" w:after="120" w:line="360" w:lineRule="auto"/>
        <w:ind w:left="850" w:hanging="850"/>
        <w:rPr>
          <w:szCs w:val="24"/>
          <w:lang w:val="pt-PT" w:eastAsia="en-US"/>
        </w:rPr>
      </w:pPr>
      <w:r w:rsidRPr="00DC67EB">
        <w:rPr>
          <w:b/>
          <w:i/>
          <w:szCs w:val="24"/>
          <w:lang w:val="pt-PT" w:eastAsia="en-US"/>
        </w:rPr>
        <w:br w:type="page"/>
      </w:r>
      <w:r w:rsidRPr="00DC67EB">
        <w:rPr>
          <w:b/>
          <w:i/>
          <w:szCs w:val="24"/>
          <w:lang w:val="pt-PT" w:eastAsia="en-US"/>
        </w:rPr>
        <w:lastRenderedPageBreak/>
        <w:t>7a.</w:t>
      </w:r>
      <w:r w:rsidRPr="00DC67EB">
        <w:rPr>
          <w:szCs w:val="24"/>
          <w:lang w:val="pt-PT" w:eastAsia="en-US"/>
        </w:rPr>
        <w:tab/>
      </w:r>
      <w:r w:rsidRPr="00DC67EB">
        <w:rPr>
          <w:b/>
          <w:i/>
          <w:szCs w:val="24"/>
          <w:lang w:val="pt-PT" w:eastAsia="en-US"/>
        </w:rPr>
        <w:t>A 11. cikk (1) bekezdése helyébe a következő szöveg lép:</w:t>
      </w:r>
    </w:p>
    <w:p w14:paraId="7D0EAAD7" w14:textId="77777777" w:rsidR="001D30D4" w:rsidRPr="00DC67EB" w:rsidRDefault="001D30D4" w:rsidP="001D30D4">
      <w:pPr>
        <w:spacing w:before="120" w:after="120" w:line="360" w:lineRule="auto"/>
        <w:ind w:left="1416" w:hanging="566"/>
        <w:rPr>
          <w:b/>
          <w:szCs w:val="24"/>
          <w:lang w:val="pt-PT" w:eastAsia="en-US"/>
        </w:rPr>
      </w:pPr>
      <w:r w:rsidRPr="00DC67EB">
        <w:rPr>
          <w:szCs w:val="24"/>
          <w:lang w:val="pt-PT" w:eastAsia="en-US"/>
        </w:rPr>
        <w:t>„</w:t>
      </w:r>
      <w:r w:rsidRPr="00DC67EB">
        <w:rPr>
          <w:b/>
          <w:i/>
          <w:szCs w:val="24"/>
          <w:lang w:val="pt-PT" w:eastAsia="en-US"/>
        </w:rPr>
        <w:t>(1)</w:t>
      </w:r>
      <w:r w:rsidRPr="00DC67EB">
        <w:rPr>
          <w:szCs w:val="24"/>
          <w:lang w:val="pt-PT" w:eastAsia="en-US"/>
        </w:rPr>
        <w:tab/>
      </w:r>
      <w:r w:rsidRPr="00DC67EB">
        <w:rPr>
          <w:b/>
          <w:i/>
          <w:szCs w:val="24"/>
          <w:lang w:val="pt-PT" w:eastAsia="en-US"/>
        </w:rPr>
        <w:t>Minden tagállam biztosítja intézkedési program kialakítását valamennyi vízgyűjtő kerületre, vagy a nemzetközi vízgyűjtő kerület országának területére eső részére a 4. cikkben megállapított célkitűzések elérése érdekében, figyelembe véve az 5. cikk által megkívánt elemzések eredményeit. Ezek az intézkedési programok a szennyezésre vonatkozó uniós ágazati jogszabályokkal összhangban prioritásként kezelik a forráskorlátozási intézkedéseket. A forráskorlátozási intézkedések mellett folyamatvégi intézkedéseket kell alkalmazni, amennyiben fennáll a kockázata annak, hogy a forráskorlátozási intézkedésekkel nem érhető el a víztestek jó állapota. Az intézkedési programok hivatkozhatnak olyan nemzeti szinten elfogadott jogszabályokból következő intézkedésekre, amelyek a tagállam egész területére vonatkoznak. Adott esetben a tagállam elfogadhat az összes vízgyűjtő kerületre, illetve a nemzetközi vízgyűjtő kerületek országa területére jutó hányadára alkalmazható intézkedéseket. A Bizottság iránymutatást dolgoz ki a forráskorlátozási intézkedésekre és a kiegészítő folyamatvégi intézkedésekre vonatkozó bevált gyakorlatokról.</w:t>
      </w:r>
      <w:r w:rsidRPr="00DC67EB">
        <w:rPr>
          <w:szCs w:val="24"/>
          <w:lang w:val="pt-PT" w:eastAsia="en-US"/>
        </w:rPr>
        <w:t>”</w:t>
      </w:r>
      <w:r w:rsidRPr="00DC67EB">
        <w:rPr>
          <w:b/>
          <w:szCs w:val="24"/>
          <w:lang w:val="pt-PT" w:eastAsia="en-US"/>
        </w:rPr>
        <w:t xml:space="preserve"> [</w:t>
      </w:r>
      <w:r w:rsidR="000536D5" w:rsidRPr="00DC67EB">
        <w:rPr>
          <w:b/>
          <w:szCs w:val="24"/>
          <w:lang w:eastAsia="en-US"/>
        </w:rPr>
        <w:t>Mód</w:t>
      </w:r>
      <w:r w:rsidRPr="00DC67EB">
        <w:rPr>
          <w:b/>
          <w:szCs w:val="24"/>
          <w:lang w:val="pt-PT" w:eastAsia="en-US"/>
        </w:rPr>
        <w:t>. 67]</w:t>
      </w:r>
    </w:p>
    <w:p w14:paraId="36BCE960" w14:textId="77777777" w:rsidR="001D30D4" w:rsidRPr="00DC67EB" w:rsidRDefault="001D30D4" w:rsidP="001D30D4">
      <w:pPr>
        <w:spacing w:before="120" w:after="120" w:line="360" w:lineRule="auto"/>
        <w:ind w:left="850" w:hanging="850"/>
        <w:rPr>
          <w:szCs w:val="24"/>
          <w:lang w:val="pt-PT" w:eastAsia="en-US"/>
        </w:rPr>
      </w:pPr>
      <w:r w:rsidRPr="00DC67EB">
        <w:rPr>
          <w:b/>
          <w:i/>
          <w:szCs w:val="24"/>
          <w:lang w:val="pt-PT" w:eastAsia="en-US"/>
        </w:rPr>
        <w:br w:type="page"/>
      </w:r>
      <w:r w:rsidRPr="00DC67EB">
        <w:rPr>
          <w:b/>
          <w:i/>
          <w:szCs w:val="24"/>
          <w:lang w:val="pt-PT" w:eastAsia="en-US"/>
        </w:rPr>
        <w:lastRenderedPageBreak/>
        <w:t>7b.</w:t>
      </w:r>
      <w:r w:rsidRPr="00DC67EB">
        <w:rPr>
          <w:szCs w:val="24"/>
          <w:lang w:val="pt-PT" w:eastAsia="en-US"/>
        </w:rPr>
        <w:tab/>
      </w:r>
      <w:r w:rsidRPr="00DC67EB">
        <w:rPr>
          <w:b/>
          <w:i/>
          <w:szCs w:val="24"/>
          <w:lang w:val="pt-PT" w:eastAsia="en-US"/>
        </w:rPr>
        <w:t>A 11. cikk (3) bekezdésének c) pontja helyébe a következő szöveg lép:</w:t>
      </w:r>
    </w:p>
    <w:p w14:paraId="0851D7AD" w14:textId="77777777" w:rsidR="001D30D4" w:rsidRPr="00DC67EB" w:rsidRDefault="001D30D4" w:rsidP="001D30D4">
      <w:pPr>
        <w:spacing w:before="120" w:after="120" w:line="360" w:lineRule="auto"/>
        <w:ind w:left="1416" w:hanging="566"/>
        <w:rPr>
          <w:b/>
          <w:szCs w:val="24"/>
          <w:lang w:val="pt-PT" w:eastAsia="en-US"/>
        </w:rPr>
      </w:pPr>
      <w:r w:rsidRPr="00DC67EB">
        <w:rPr>
          <w:szCs w:val="24"/>
          <w:lang w:val="pt-PT" w:eastAsia="en-US"/>
        </w:rPr>
        <w:t>„</w:t>
      </w:r>
      <w:r w:rsidRPr="00DC67EB">
        <w:rPr>
          <w:b/>
          <w:i/>
          <w:szCs w:val="24"/>
          <w:lang w:val="pt-PT" w:eastAsia="en-US"/>
        </w:rPr>
        <w:t>a)</w:t>
      </w:r>
      <w:r w:rsidRPr="00DC67EB">
        <w:rPr>
          <w:szCs w:val="24"/>
          <w:lang w:val="pt-PT" w:eastAsia="en-US"/>
        </w:rPr>
        <w:tab/>
      </w:r>
      <w:r w:rsidRPr="00DC67EB">
        <w:rPr>
          <w:b/>
          <w:i/>
          <w:szCs w:val="24"/>
          <w:lang w:val="pt-PT" w:eastAsia="en-US"/>
        </w:rPr>
        <w:t xml:space="preserve"> a vizeknek többek között a mezőgazdaságban történő hatékony és fenntartható használatát előmozdító intézkedéseket azzal a céllal, hogy elkerüljék a 4. cikkben meghatározott célkitűzések elérésének veszélyeztetését;</w:t>
      </w:r>
      <w:r w:rsidRPr="00DC67EB">
        <w:rPr>
          <w:szCs w:val="24"/>
          <w:lang w:val="pt-PT" w:eastAsia="en-US"/>
        </w:rPr>
        <w:t>”</w:t>
      </w:r>
      <w:r w:rsidRPr="00DC67EB">
        <w:rPr>
          <w:b/>
          <w:szCs w:val="24"/>
          <w:lang w:val="pt-PT" w:eastAsia="en-US"/>
        </w:rPr>
        <w:t xml:space="preserve"> [</w:t>
      </w:r>
      <w:r w:rsidR="000536D5" w:rsidRPr="00DC67EB">
        <w:rPr>
          <w:b/>
          <w:szCs w:val="24"/>
          <w:lang w:eastAsia="en-US"/>
        </w:rPr>
        <w:t>Mód</w:t>
      </w:r>
      <w:r w:rsidRPr="00DC67EB">
        <w:rPr>
          <w:b/>
          <w:szCs w:val="24"/>
          <w:lang w:val="pt-PT" w:eastAsia="en-US"/>
        </w:rPr>
        <w:t>. 68]</w:t>
      </w:r>
    </w:p>
    <w:p w14:paraId="46CBCC7B" w14:textId="77777777" w:rsidR="001D30D4" w:rsidRPr="00DC67EB" w:rsidRDefault="001D30D4" w:rsidP="001D30D4">
      <w:pPr>
        <w:spacing w:before="120" w:after="120" w:line="360" w:lineRule="auto"/>
        <w:ind w:left="850" w:hanging="850"/>
        <w:rPr>
          <w:szCs w:val="24"/>
          <w:lang w:val="pt-PT" w:eastAsia="en-US"/>
        </w:rPr>
      </w:pPr>
      <w:r w:rsidRPr="00DC67EB">
        <w:rPr>
          <w:szCs w:val="24"/>
          <w:lang w:val="pt-PT" w:eastAsia="en-US"/>
        </w:rPr>
        <w:t>8.</w:t>
      </w:r>
      <w:r w:rsidRPr="00DC67EB">
        <w:rPr>
          <w:szCs w:val="24"/>
          <w:lang w:val="pt-PT" w:eastAsia="en-US"/>
        </w:rPr>
        <w:tab/>
        <w:t>A 11. cikk (3) bekezdésének k) pontja helyébe a következő szöveg lép:</w:t>
      </w:r>
    </w:p>
    <w:p w14:paraId="13707336" w14:textId="77777777" w:rsidR="001D30D4" w:rsidRPr="00DC67EB" w:rsidRDefault="001D30D4" w:rsidP="001D30D4">
      <w:pPr>
        <w:spacing w:before="120" w:after="120" w:line="360" w:lineRule="auto"/>
        <w:ind w:left="1416" w:hanging="566"/>
        <w:rPr>
          <w:szCs w:val="24"/>
          <w:lang w:val="pt-PT" w:eastAsia="en-US"/>
        </w:rPr>
      </w:pPr>
      <w:r w:rsidRPr="00DC67EB">
        <w:rPr>
          <w:szCs w:val="24"/>
          <w:lang w:val="pt-PT" w:eastAsia="en-US"/>
        </w:rPr>
        <w:t>„k)</w:t>
      </w:r>
      <w:r w:rsidRPr="00DC67EB">
        <w:rPr>
          <w:szCs w:val="24"/>
          <w:lang w:val="pt-PT" w:eastAsia="en-US"/>
        </w:rPr>
        <w:tab/>
        <w:t>azokat az intézkedéseket, amelyek a felszíni vizek elsőbbségi veszélyes anyagok általi szennyeződésének kiküszöbölésére szolgálnak, továbbá arra, hogy folyamatosan csökkentsék a más anyagok által okozott olyan szennyeződéseket, amelyek egyébként akadályoznák a tagállamokat a felszíni víztestekre vonatkozó, 4. cikkben foglalt célkitűzések teljesítésében;.”</w:t>
      </w:r>
    </w:p>
    <w:p w14:paraId="5C00A101" w14:textId="77777777" w:rsidR="001D30D4" w:rsidRPr="00DC67EB" w:rsidRDefault="001D30D4" w:rsidP="001D30D4">
      <w:pPr>
        <w:spacing w:before="120" w:after="120" w:line="360" w:lineRule="auto"/>
        <w:ind w:left="850" w:hanging="850"/>
        <w:rPr>
          <w:szCs w:val="24"/>
          <w:lang w:val="pt-PT" w:eastAsia="en-US"/>
        </w:rPr>
      </w:pPr>
      <w:r w:rsidRPr="00DC67EB">
        <w:rPr>
          <w:b/>
          <w:i/>
          <w:szCs w:val="24"/>
          <w:lang w:val="pt-PT" w:eastAsia="en-US"/>
        </w:rPr>
        <w:t>8a.</w:t>
      </w:r>
      <w:r w:rsidRPr="00DC67EB">
        <w:rPr>
          <w:szCs w:val="24"/>
          <w:lang w:val="pt-PT" w:eastAsia="en-US"/>
        </w:rPr>
        <w:tab/>
      </w:r>
      <w:r w:rsidRPr="00DC67EB">
        <w:rPr>
          <w:b/>
          <w:i/>
          <w:szCs w:val="24"/>
          <w:lang w:val="pt-PT" w:eastAsia="en-US"/>
        </w:rPr>
        <w:t>A 11. cikk (5) bekezdésének második francia bekezdése helyébe a következő szöveg lép:</w:t>
      </w:r>
    </w:p>
    <w:p w14:paraId="1F2D7AA8" w14:textId="77777777" w:rsidR="001D30D4" w:rsidRPr="00DC67EB" w:rsidRDefault="001D30D4" w:rsidP="001D30D4">
      <w:pPr>
        <w:spacing w:before="120" w:after="120" w:line="360" w:lineRule="auto"/>
        <w:ind w:left="1416" w:hanging="566"/>
        <w:rPr>
          <w:b/>
          <w:szCs w:val="24"/>
          <w:lang w:val="pt-PT" w:eastAsia="en-US"/>
        </w:rPr>
      </w:pPr>
      <w:r w:rsidRPr="00DC67EB">
        <w:rPr>
          <w:szCs w:val="24"/>
          <w:lang w:val="pt-PT" w:eastAsia="en-US"/>
        </w:rPr>
        <w:t>„</w:t>
      </w:r>
      <w:r w:rsidRPr="00DC67EB">
        <w:rPr>
          <w:b/>
          <w:i/>
          <w:szCs w:val="24"/>
          <w:lang w:val="pt-PT" w:eastAsia="en-US"/>
        </w:rPr>
        <w:t>-</w:t>
      </w:r>
      <w:r w:rsidRPr="00DC67EB">
        <w:rPr>
          <w:szCs w:val="24"/>
          <w:lang w:val="pt-PT" w:eastAsia="en-US"/>
        </w:rPr>
        <w:tab/>
      </w:r>
      <w:r w:rsidRPr="00DC67EB">
        <w:rPr>
          <w:b/>
          <w:i/>
          <w:szCs w:val="24"/>
          <w:lang w:val="pt-PT" w:eastAsia="en-US"/>
        </w:rPr>
        <w:t xml:space="preserve"> megvizsgálja és, ha szükséges, felülvizsgálja és megfelelően indokolt esetben felfüggeszti a vonatkozó engedélyeket és felhatalmazásokat,”</w:t>
      </w:r>
      <w:r w:rsidRPr="00DC67EB">
        <w:rPr>
          <w:b/>
          <w:szCs w:val="24"/>
          <w:lang w:val="pt-PT" w:eastAsia="en-US"/>
        </w:rPr>
        <w:t xml:space="preserve"> [</w:t>
      </w:r>
      <w:r w:rsidR="000536D5" w:rsidRPr="00DC67EB">
        <w:rPr>
          <w:b/>
          <w:szCs w:val="24"/>
          <w:lang w:eastAsia="en-US"/>
        </w:rPr>
        <w:t>Mód</w:t>
      </w:r>
      <w:r w:rsidRPr="00DC67EB">
        <w:rPr>
          <w:b/>
          <w:szCs w:val="24"/>
          <w:lang w:val="pt-PT" w:eastAsia="en-US"/>
        </w:rPr>
        <w:t>. 69]</w:t>
      </w:r>
    </w:p>
    <w:p w14:paraId="2EC749F6" w14:textId="77777777" w:rsidR="001D30D4" w:rsidRPr="00DC67EB" w:rsidRDefault="001D30D4" w:rsidP="001D30D4">
      <w:pPr>
        <w:spacing w:before="120" w:after="120" w:line="360" w:lineRule="auto"/>
        <w:ind w:left="850" w:hanging="850"/>
        <w:rPr>
          <w:szCs w:val="24"/>
          <w:lang w:val="pt-PT" w:eastAsia="en-US"/>
        </w:rPr>
      </w:pPr>
      <w:r w:rsidRPr="00DC67EB">
        <w:rPr>
          <w:szCs w:val="24"/>
          <w:lang w:val="pt-PT" w:eastAsia="en-US"/>
        </w:rPr>
        <w:br w:type="page"/>
      </w:r>
      <w:r w:rsidRPr="00DC67EB">
        <w:rPr>
          <w:szCs w:val="24"/>
          <w:lang w:val="pt-PT" w:eastAsia="en-US"/>
        </w:rPr>
        <w:lastRenderedPageBreak/>
        <w:t>9.</w:t>
      </w:r>
      <w:r w:rsidRPr="00DC67EB">
        <w:rPr>
          <w:szCs w:val="24"/>
          <w:lang w:val="pt-PT" w:eastAsia="en-US"/>
        </w:rPr>
        <w:tab/>
        <w:t>A 12. cikk helyébe a következő szöveg lép:</w:t>
      </w:r>
    </w:p>
    <w:p w14:paraId="2E6D2E6C" w14:textId="77777777" w:rsidR="001D30D4" w:rsidRPr="00DC67EB" w:rsidRDefault="001D30D4" w:rsidP="001D30D4">
      <w:pPr>
        <w:spacing w:before="120" w:after="120" w:line="360" w:lineRule="auto"/>
        <w:ind w:left="850"/>
        <w:rPr>
          <w:szCs w:val="24"/>
          <w:lang w:val="pt-PT" w:eastAsia="en-US"/>
        </w:rPr>
      </w:pPr>
      <w:r w:rsidRPr="00DC67EB">
        <w:rPr>
          <w:szCs w:val="24"/>
          <w:lang w:val="pt-PT" w:eastAsia="en-US"/>
        </w:rPr>
        <w:t>„12. cikk</w:t>
      </w:r>
    </w:p>
    <w:p w14:paraId="2D9AA6B9" w14:textId="77777777" w:rsidR="001D30D4" w:rsidRPr="00DC67EB" w:rsidRDefault="001D30D4" w:rsidP="001D30D4">
      <w:pPr>
        <w:spacing w:before="120" w:after="120" w:line="360" w:lineRule="auto"/>
        <w:ind w:left="850"/>
        <w:rPr>
          <w:szCs w:val="24"/>
          <w:lang w:val="pt-PT" w:eastAsia="en-US"/>
        </w:rPr>
      </w:pPr>
      <w:r w:rsidRPr="00DC67EB">
        <w:rPr>
          <w:szCs w:val="24"/>
          <w:lang w:val="pt-PT" w:eastAsia="en-US"/>
        </w:rPr>
        <w:t xml:space="preserve"> Tagállami szinten megoldhatatlan problémák</w:t>
      </w:r>
    </w:p>
    <w:p w14:paraId="20FAD79B" w14:textId="77777777" w:rsidR="001D30D4" w:rsidRPr="00DC67EB" w:rsidRDefault="00A75B5E" w:rsidP="001D30D4">
      <w:pPr>
        <w:spacing w:before="120" w:after="120" w:line="360" w:lineRule="auto"/>
        <w:ind w:left="1416" w:hanging="566"/>
        <w:rPr>
          <w:szCs w:val="24"/>
          <w:lang w:val="pt-PT" w:eastAsia="en-US"/>
        </w:rPr>
      </w:pPr>
      <w:r>
        <w:rPr>
          <w:szCs w:val="24"/>
          <w:lang w:val="pt-PT" w:eastAsia="en-US"/>
        </w:rPr>
        <w:t>(</w:t>
      </w:r>
      <w:r w:rsidR="001D30D4" w:rsidRPr="00A75B5E">
        <w:rPr>
          <w:szCs w:val="24"/>
          <w:lang w:val="pt-PT" w:eastAsia="en-US"/>
        </w:rPr>
        <w:t>1</w:t>
      </w:r>
      <w:r>
        <w:rPr>
          <w:szCs w:val="24"/>
          <w:lang w:val="pt-PT" w:eastAsia="en-US"/>
        </w:rPr>
        <w:t>)</w:t>
      </w:r>
      <w:r w:rsidR="001D30D4" w:rsidRPr="00DC67EB">
        <w:rPr>
          <w:szCs w:val="24"/>
          <w:lang w:val="pt-PT" w:eastAsia="en-US"/>
        </w:rPr>
        <w:tab/>
        <w:t>Ha egy tagállam olyan problémát azonosít, amely hatással van a vizeivel való gazdálkodásra, de a tagállam által nem oldható meg, értesíti a Bizottságot és az összes érintett tagállamot, és ajánlásokat tesz annak megoldására.</w:t>
      </w:r>
    </w:p>
    <w:p w14:paraId="522E2B53" w14:textId="77777777" w:rsidR="001D30D4" w:rsidRPr="00DC67EB" w:rsidRDefault="001D30D4" w:rsidP="001D30D4">
      <w:pPr>
        <w:spacing w:before="120" w:after="120" w:line="360" w:lineRule="auto"/>
        <w:ind w:left="1416"/>
        <w:rPr>
          <w:b/>
          <w:szCs w:val="24"/>
          <w:lang w:val="pt-PT" w:eastAsia="en-US"/>
        </w:rPr>
      </w:pPr>
      <w:r w:rsidRPr="00DC67EB">
        <w:rPr>
          <w:b/>
          <w:i/>
          <w:szCs w:val="24"/>
          <w:lang w:val="pt-PT" w:eastAsia="en-US"/>
        </w:rPr>
        <w:t>A Bizottság hat hónapon belül válaszol a tagállamoktól kapott bármely értesítésre. Ha a probléma a jó kémiai állapotnak való megfelelés elmulasztásával kapcsolatos, a Bizottság a 2008/105/EK irányelv 7a. cikkével összhangban jár el.</w:t>
      </w:r>
      <w:r w:rsidRPr="00DC67EB">
        <w:rPr>
          <w:b/>
          <w:szCs w:val="24"/>
          <w:lang w:val="pt-PT" w:eastAsia="en-US"/>
        </w:rPr>
        <w:t xml:space="preserve"> [</w:t>
      </w:r>
      <w:r w:rsidR="000536D5" w:rsidRPr="00DC67EB">
        <w:rPr>
          <w:b/>
          <w:szCs w:val="24"/>
          <w:lang w:eastAsia="en-US"/>
        </w:rPr>
        <w:t>Mód</w:t>
      </w:r>
      <w:r w:rsidRPr="00DC67EB">
        <w:rPr>
          <w:b/>
          <w:szCs w:val="24"/>
          <w:lang w:val="pt-PT" w:eastAsia="en-US"/>
        </w:rPr>
        <w:t>. 70]</w:t>
      </w:r>
    </w:p>
    <w:p w14:paraId="5040FD12" w14:textId="77777777" w:rsidR="001D30D4" w:rsidRPr="00DC67EB" w:rsidRDefault="001D30D4" w:rsidP="001D30D4">
      <w:pPr>
        <w:spacing w:before="120" w:after="120" w:line="360" w:lineRule="auto"/>
        <w:ind w:left="1416" w:hanging="566"/>
        <w:rPr>
          <w:szCs w:val="24"/>
          <w:lang w:val="pt-PT" w:eastAsia="en-US"/>
        </w:rPr>
      </w:pPr>
      <w:r w:rsidRPr="00DC67EB">
        <w:rPr>
          <w:szCs w:val="24"/>
          <w:lang w:val="pt-PT" w:eastAsia="en-US"/>
        </w:rPr>
        <w:t>(2)</w:t>
      </w:r>
      <w:r w:rsidRPr="00DC67EB">
        <w:rPr>
          <w:szCs w:val="24"/>
          <w:lang w:val="pt-PT" w:eastAsia="en-US"/>
        </w:rPr>
        <w:tab/>
        <w:t>Az érintett tagállamok együttműködnek annak érdekében, hogy azonosítsák az (1) bekezdésben említett problémák forrását és az azok kezeléséhez szükséges intézkedéseket.</w:t>
      </w:r>
    </w:p>
    <w:p w14:paraId="68398749" w14:textId="77777777" w:rsidR="001D30D4" w:rsidRPr="00DC67EB" w:rsidRDefault="001D30D4" w:rsidP="001D30D4">
      <w:pPr>
        <w:spacing w:before="120" w:after="120" w:line="360" w:lineRule="auto"/>
        <w:ind w:left="1416"/>
        <w:rPr>
          <w:b/>
          <w:szCs w:val="24"/>
          <w:lang w:val="pt-PT" w:eastAsia="en-US"/>
        </w:rPr>
      </w:pPr>
      <w:r w:rsidRPr="00DC67EB">
        <w:rPr>
          <w:szCs w:val="24"/>
          <w:lang w:val="pt-PT" w:eastAsia="en-US"/>
        </w:rPr>
        <w:br w:type="page"/>
      </w:r>
      <w:r w:rsidRPr="00DC67EB">
        <w:rPr>
          <w:szCs w:val="24"/>
          <w:lang w:val="pt-PT" w:eastAsia="en-US"/>
        </w:rPr>
        <w:lastRenderedPageBreak/>
        <w:t xml:space="preserve">A tagállamok időben, legkésőbb a másik tagállamtól az (1) bekezdésnek megfelelően kapott értesítéstől számított </w:t>
      </w:r>
      <w:r w:rsidRPr="00DC67EB">
        <w:rPr>
          <w:strike/>
          <w:szCs w:val="24"/>
          <w:lang w:val="pt-PT" w:eastAsia="en-US"/>
        </w:rPr>
        <w:t>3</w:t>
      </w:r>
      <w:r w:rsidRPr="00DC67EB">
        <w:rPr>
          <w:b/>
          <w:i/>
          <w:szCs w:val="24"/>
          <w:lang w:val="pt-PT" w:eastAsia="en-US"/>
        </w:rPr>
        <w:t>2</w:t>
      </w:r>
      <w:r w:rsidRPr="00DC67EB">
        <w:rPr>
          <w:szCs w:val="24"/>
          <w:lang w:val="pt-PT" w:eastAsia="en-US"/>
        </w:rPr>
        <w:t xml:space="preserve"> hónapon belül válaszolnak egymásnak.</w:t>
      </w:r>
      <w:r w:rsidR="000536D5" w:rsidRPr="00DC67EB">
        <w:rPr>
          <w:szCs w:val="24"/>
          <w:lang w:val="pt-PT" w:eastAsia="en-US"/>
        </w:rPr>
        <w:t xml:space="preserve"> </w:t>
      </w:r>
      <w:r w:rsidR="000536D5" w:rsidRPr="00DC67EB">
        <w:rPr>
          <w:b/>
          <w:szCs w:val="24"/>
          <w:lang w:val="pt-PT" w:eastAsia="en-US"/>
        </w:rPr>
        <w:t xml:space="preserve"> [Mód. 71]</w:t>
      </w:r>
    </w:p>
    <w:p w14:paraId="0207DD01" w14:textId="77777777" w:rsidR="001D30D4" w:rsidRPr="00DC67EB" w:rsidRDefault="001D30D4" w:rsidP="001D30D4">
      <w:pPr>
        <w:spacing w:before="120" w:after="120" w:line="360" w:lineRule="auto"/>
        <w:ind w:left="1416" w:hanging="566"/>
        <w:rPr>
          <w:szCs w:val="24"/>
          <w:lang w:val="pt-PT" w:eastAsia="en-US"/>
        </w:rPr>
      </w:pPr>
      <w:r w:rsidRPr="00DC67EB">
        <w:rPr>
          <w:szCs w:val="24"/>
          <w:lang w:val="pt-PT" w:eastAsia="en-US"/>
        </w:rPr>
        <w:t>(3)</w:t>
      </w:r>
      <w:r w:rsidRPr="00DC67EB">
        <w:rPr>
          <w:szCs w:val="24"/>
          <w:lang w:val="pt-PT" w:eastAsia="en-US"/>
        </w:rPr>
        <w:tab/>
        <w:t>A Bizottság tájékoztatást kap a (2) bekezdésben említett bármilyen együttműködésről, és felkérést kap az abban való részvételre. Adott esetben a Bizottság – figyelembe véve a 13. cikk szerint elkészített jelentéseket – mérlegeli, hogy szükség van-e további uniós szintű intézkedésekre a víztesteket érintő, országhatárokon átterjedő hatások csökkentése érdekében.”</w:t>
      </w:r>
    </w:p>
    <w:p w14:paraId="02B62EE8" w14:textId="77777777" w:rsidR="001D30D4" w:rsidRPr="00DC67EB" w:rsidRDefault="001D30D4" w:rsidP="001D30D4">
      <w:pPr>
        <w:spacing w:before="120" w:after="120" w:line="360" w:lineRule="auto"/>
        <w:ind w:left="850" w:hanging="850"/>
        <w:rPr>
          <w:szCs w:val="24"/>
          <w:lang w:val="pt-PT" w:eastAsia="en-US"/>
        </w:rPr>
      </w:pPr>
      <w:r w:rsidRPr="00DC67EB">
        <w:rPr>
          <w:b/>
          <w:i/>
          <w:szCs w:val="24"/>
          <w:lang w:val="pt-PT" w:eastAsia="en-US"/>
        </w:rPr>
        <w:t>9a.</w:t>
      </w:r>
      <w:r w:rsidRPr="00DC67EB">
        <w:rPr>
          <w:szCs w:val="24"/>
          <w:lang w:val="pt-PT" w:eastAsia="en-US"/>
        </w:rPr>
        <w:tab/>
      </w:r>
      <w:r w:rsidRPr="00DC67EB">
        <w:rPr>
          <w:b/>
          <w:i/>
          <w:szCs w:val="24"/>
          <w:lang w:val="pt-PT" w:eastAsia="en-US"/>
        </w:rPr>
        <w:t>A 13. cikk a következő bekezdéssel egészül ki:</w:t>
      </w:r>
    </w:p>
    <w:p w14:paraId="22322EF6" w14:textId="77777777" w:rsidR="001D30D4" w:rsidRPr="00DC67EB" w:rsidRDefault="001D30D4" w:rsidP="001D30D4">
      <w:pPr>
        <w:spacing w:before="120" w:after="120" w:line="360" w:lineRule="auto"/>
        <w:ind w:left="1416" w:hanging="566"/>
        <w:rPr>
          <w:b/>
          <w:szCs w:val="24"/>
          <w:lang w:val="pt-PT" w:eastAsia="en-US"/>
        </w:rPr>
      </w:pPr>
      <w:r w:rsidRPr="00DC67EB">
        <w:rPr>
          <w:szCs w:val="24"/>
          <w:lang w:val="pt-PT" w:eastAsia="en-US"/>
        </w:rPr>
        <w:t>„</w:t>
      </w:r>
      <w:r w:rsidRPr="00DC67EB">
        <w:rPr>
          <w:b/>
          <w:i/>
          <w:szCs w:val="24"/>
          <w:lang w:val="pt-PT" w:eastAsia="en-US"/>
        </w:rPr>
        <w:t>(4a)   A Bizottság elutasítja a tagállamok által benyújtott vízgyűjtő-gazdálkodási terveket, amennyiben azok nem tartalmazzák az ezen irányelv VII. mellékletében felsorolt elemeket.”</w:t>
      </w:r>
      <w:r w:rsidRPr="00DC67EB">
        <w:rPr>
          <w:b/>
          <w:szCs w:val="24"/>
          <w:lang w:val="pt-PT" w:eastAsia="en-US"/>
        </w:rPr>
        <w:t xml:space="preserve"> [</w:t>
      </w:r>
      <w:r w:rsidR="000536D5" w:rsidRPr="00DC67EB">
        <w:rPr>
          <w:b/>
          <w:szCs w:val="24"/>
          <w:lang w:eastAsia="en-US"/>
        </w:rPr>
        <w:t>Mód</w:t>
      </w:r>
      <w:r w:rsidRPr="00DC67EB">
        <w:rPr>
          <w:b/>
          <w:szCs w:val="24"/>
          <w:lang w:val="pt-PT" w:eastAsia="en-US"/>
        </w:rPr>
        <w:t>. 72]</w:t>
      </w:r>
    </w:p>
    <w:p w14:paraId="7A405213" w14:textId="77777777" w:rsidR="001D30D4" w:rsidRPr="00DC67EB" w:rsidRDefault="001D30D4" w:rsidP="001D30D4">
      <w:pPr>
        <w:spacing w:before="120" w:after="120" w:line="360" w:lineRule="auto"/>
        <w:ind w:left="850" w:hanging="850"/>
        <w:rPr>
          <w:szCs w:val="24"/>
          <w:lang w:val="pt-PT" w:eastAsia="en-US"/>
        </w:rPr>
      </w:pPr>
      <w:r w:rsidRPr="00DC67EB">
        <w:rPr>
          <w:b/>
          <w:i/>
          <w:szCs w:val="24"/>
          <w:lang w:val="pt-PT" w:eastAsia="en-US"/>
        </w:rPr>
        <w:br w:type="page"/>
      </w:r>
      <w:r w:rsidRPr="00DC67EB">
        <w:rPr>
          <w:b/>
          <w:i/>
          <w:szCs w:val="24"/>
          <w:lang w:val="pt-PT" w:eastAsia="en-US"/>
        </w:rPr>
        <w:lastRenderedPageBreak/>
        <w:t>9b.</w:t>
      </w:r>
      <w:r w:rsidRPr="00DC67EB">
        <w:rPr>
          <w:szCs w:val="24"/>
          <w:lang w:val="pt-PT" w:eastAsia="en-US"/>
        </w:rPr>
        <w:tab/>
      </w:r>
      <w:r w:rsidRPr="00DC67EB">
        <w:rPr>
          <w:b/>
          <w:i/>
          <w:szCs w:val="24"/>
          <w:lang w:val="pt-PT" w:eastAsia="en-US"/>
        </w:rPr>
        <w:t>A szöveg a következő cikkel egészül ki:</w:t>
      </w:r>
    </w:p>
    <w:p w14:paraId="10999CBD" w14:textId="77777777" w:rsidR="001D30D4" w:rsidRPr="00DC67EB" w:rsidRDefault="001D30D4" w:rsidP="001D30D4">
      <w:pPr>
        <w:spacing w:before="120" w:after="120" w:line="360" w:lineRule="auto"/>
        <w:ind w:left="850"/>
        <w:rPr>
          <w:szCs w:val="24"/>
          <w:lang w:val="pt-PT" w:eastAsia="en-US"/>
        </w:rPr>
      </w:pPr>
      <w:r w:rsidRPr="00DC67EB">
        <w:rPr>
          <w:szCs w:val="24"/>
          <w:lang w:val="pt-PT" w:eastAsia="en-US"/>
        </w:rPr>
        <w:t>„</w:t>
      </w:r>
      <w:r w:rsidR="00A75B5E" w:rsidRPr="00A75B5E">
        <w:rPr>
          <w:b/>
          <w:i/>
          <w:szCs w:val="24"/>
          <w:lang w:val="pt-PT" w:eastAsia="en-US"/>
        </w:rPr>
        <w:t>14a</w:t>
      </w:r>
      <w:r w:rsidR="00A75B5E">
        <w:rPr>
          <w:szCs w:val="24"/>
          <w:lang w:val="pt-PT" w:eastAsia="en-US"/>
        </w:rPr>
        <w:t xml:space="preserve"> </w:t>
      </w:r>
      <w:r w:rsidR="00A75B5E">
        <w:rPr>
          <w:b/>
          <w:i/>
          <w:szCs w:val="24"/>
          <w:lang w:val="pt-PT" w:eastAsia="en-US"/>
        </w:rPr>
        <w:t>cikk</w:t>
      </w:r>
      <w:r w:rsidRPr="00DC67EB">
        <w:rPr>
          <w:szCs w:val="24"/>
          <w:lang w:val="pt-PT" w:eastAsia="en-US"/>
        </w:rPr>
        <w:br/>
      </w:r>
      <w:r w:rsidRPr="00DC67EB">
        <w:rPr>
          <w:b/>
          <w:i/>
          <w:szCs w:val="24"/>
          <w:lang w:val="pt-PT" w:eastAsia="en-US"/>
        </w:rPr>
        <w:t>Az igazságszolgáltatáshoz való jog</w:t>
      </w:r>
    </w:p>
    <w:p w14:paraId="701EBF9F" w14:textId="77777777" w:rsidR="001D30D4" w:rsidRPr="00DC67EB" w:rsidRDefault="001D30D4" w:rsidP="001D30D4">
      <w:pPr>
        <w:spacing w:before="120" w:after="120" w:line="360" w:lineRule="auto"/>
        <w:ind w:left="1416" w:hanging="566"/>
        <w:rPr>
          <w:szCs w:val="24"/>
          <w:lang w:val="pt-PT" w:eastAsia="en-US"/>
        </w:rPr>
      </w:pPr>
      <w:r w:rsidRPr="00DC67EB">
        <w:rPr>
          <w:b/>
          <w:i/>
          <w:szCs w:val="24"/>
          <w:lang w:val="pt-PT" w:eastAsia="en-US"/>
        </w:rPr>
        <w:t>(1)</w:t>
      </w:r>
      <w:r w:rsidRPr="00DC67EB">
        <w:rPr>
          <w:szCs w:val="24"/>
          <w:lang w:val="pt-PT" w:eastAsia="en-US"/>
        </w:rPr>
        <w:tab/>
      </w:r>
      <w:r w:rsidRPr="00DC67EB">
        <w:rPr>
          <w:b/>
          <w:i/>
          <w:szCs w:val="24"/>
          <w:lang w:val="pt-PT" w:eastAsia="en-US"/>
        </w:rPr>
        <w:t>A tagállamok biztosítják, hogy a nemzeti joggal összhangban a nyilvánosság azon tagjai, akik kellő érdekeltséggel rendelkeznek vagy valamely jogsérelemre hivatkoznak, bíróság vagy valamely jogszabály által létrehozott független és pártatlan testület előtt felülvizsgálati eljárás lefolytatását kérjék az ezen irányelv szerinti, többek között az alábbiakkal kapcsolatos valamennyi határozat, jogi aktus vagy mulasztás anyagi vagy eljárási jogszerűségével kapcsolatos kifogás esetén:</w:t>
      </w:r>
    </w:p>
    <w:p w14:paraId="66AA231B" w14:textId="77777777" w:rsidR="001D30D4" w:rsidRPr="00DC67EB" w:rsidRDefault="001D30D4" w:rsidP="001D30D4">
      <w:pPr>
        <w:spacing w:before="120" w:after="120" w:line="360" w:lineRule="auto"/>
        <w:ind w:left="1982" w:hanging="566"/>
        <w:rPr>
          <w:szCs w:val="24"/>
          <w:lang w:val="pt-PT" w:eastAsia="en-US"/>
        </w:rPr>
      </w:pPr>
      <w:r w:rsidRPr="00DC67EB">
        <w:rPr>
          <w:b/>
          <w:i/>
          <w:szCs w:val="24"/>
          <w:lang w:val="pt-PT" w:eastAsia="en-US"/>
        </w:rPr>
        <w:t>a)</w:t>
      </w:r>
      <w:r w:rsidRPr="00DC67EB">
        <w:rPr>
          <w:szCs w:val="24"/>
          <w:lang w:val="pt-PT" w:eastAsia="en-US"/>
        </w:rPr>
        <w:tab/>
      </w:r>
      <w:r w:rsidRPr="00DC67EB">
        <w:rPr>
          <w:b/>
          <w:i/>
          <w:szCs w:val="24"/>
          <w:lang w:val="pt-PT" w:eastAsia="en-US"/>
        </w:rPr>
        <w:t>olyan tervek és projektek, amelyek ellentétesek lehetnek a 4. cikk követelményeivel, beleértve a víztestek állapotromlásának megelőzését, valamint a víz jó állapotának, jó ökológiai potenciáljának és/vagy jó kémiai állapotának elérését, amennyiben e követelményekről a 2011/92/EU irányelv 11. cikke még nem rendelkezik;</w:t>
      </w:r>
    </w:p>
    <w:p w14:paraId="2811B5D3" w14:textId="77777777" w:rsidR="001D30D4" w:rsidRPr="00DC67EB" w:rsidRDefault="001D30D4" w:rsidP="001D30D4">
      <w:pPr>
        <w:spacing w:before="120" w:after="120" w:line="360" w:lineRule="auto"/>
        <w:ind w:left="1982" w:hanging="566"/>
        <w:rPr>
          <w:szCs w:val="24"/>
          <w:lang w:val="pt-PT" w:eastAsia="en-US"/>
        </w:rPr>
      </w:pPr>
      <w:r w:rsidRPr="00DC67EB">
        <w:rPr>
          <w:b/>
          <w:i/>
          <w:szCs w:val="24"/>
          <w:lang w:val="pt-PT" w:eastAsia="en-US"/>
        </w:rPr>
        <w:br w:type="page"/>
      </w:r>
      <w:r w:rsidRPr="00DC67EB">
        <w:rPr>
          <w:b/>
          <w:i/>
          <w:szCs w:val="24"/>
          <w:lang w:val="pt-PT" w:eastAsia="en-US"/>
        </w:rPr>
        <w:lastRenderedPageBreak/>
        <w:t>b)</w:t>
      </w:r>
      <w:r w:rsidRPr="00DC67EB">
        <w:rPr>
          <w:szCs w:val="24"/>
          <w:lang w:val="pt-PT" w:eastAsia="en-US"/>
        </w:rPr>
        <w:tab/>
      </w:r>
      <w:r w:rsidRPr="00DC67EB">
        <w:rPr>
          <w:b/>
          <w:i/>
          <w:szCs w:val="24"/>
          <w:lang w:val="pt-PT" w:eastAsia="en-US"/>
        </w:rPr>
        <w:t>a 11. cikkben említett intézkedési programok, a 13. cikk (1) bekezdésében említett tagállami vízgyűjtő-gazdálkodási tervek és a 13. cikk (5) bekezdésében említett kiegészítő tagállami programok vagy gazdálkodási tervek.</w:t>
      </w:r>
    </w:p>
    <w:p w14:paraId="4A793286" w14:textId="77777777" w:rsidR="001D30D4" w:rsidRPr="00DC67EB" w:rsidRDefault="001D30D4" w:rsidP="001D30D4">
      <w:pPr>
        <w:spacing w:before="120" w:after="120" w:line="360" w:lineRule="auto"/>
        <w:ind w:left="1416" w:hanging="566"/>
        <w:rPr>
          <w:szCs w:val="24"/>
          <w:lang w:val="pt-PT" w:eastAsia="en-US"/>
        </w:rPr>
      </w:pPr>
      <w:r w:rsidRPr="00DC67EB">
        <w:rPr>
          <w:b/>
          <w:i/>
          <w:szCs w:val="24"/>
          <w:lang w:val="pt-PT" w:eastAsia="en-US"/>
        </w:rPr>
        <w:t>(2)</w:t>
      </w:r>
      <w:r w:rsidRPr="00DC67EB">
        <w:rPr>
          <w:szCs w:val="24"/>
          <w:lang w:val="pt-PT" w:eastAsia="en-US"/>
        </w:rPr>
        <w:tab/>
      </w:r>
      <w:r w:rsidRPr="00DC67EB">
        <w:rPr>
          <w:b/>
          <w:i/>
          <w:szCs w:val="24"/>
          <w:lang w:val="pt-PT" w:eastAsia="en-US"/>
        </w:rPr>
        <w:t>A tagállamok meghatározzák, hogy mi minősül kellő mértékű érdeknek és jogsérelemnek, összhangban azzal a célkitűzéssel, hogy széles körű hozzáférést kell biztosítani a nyilvánosság számára az igazságszolgáltatáshoz. Az (1) bekezdés alkalmazásában bármely, a környezetvédelmet előmozdító és a nemzeti jog szerinti követelményeknek megfelelő nem kormányzati szervezetet olyan jogokkal rendelkezőnek kell tekinteni, amelyek sérülhetnek, és érdekét elegendőnek kell tekinteni.</w:t>
      </w:r>
    </w:p>
    <w:p w14:paraId="26941479" w14:textId="77777777" w:rsidR="001D30D4" w:rsidRPr="00DC67EB" w:rsidRDefault="001D30D4" w:rsidP="001D30D4">
      <w:pPr>
        <w:spacing w:before="120" w:after="120" w:line="360" w:lineRule="auto"/>
        <w:ind w:left="1416" w:hanging="566"/>
        <w:rPr>
          <w:szCs w:val="24"/>
          <w:lang w:val="pt-PT" w:eastAsia="en-US"/>
        </w:rPr>
      </w:pPr>
      <w:r w:rsidRPr="00DC67EB">
        <w:rPr>
          <w:b/>
          <w:i/>
          <w:szCs w:val="24"/>
          <w:lang w:val="pt-PT" w:eastAsia="en-US"/>
        </w:rPr>
        <w:t>(3)</w:t>
      </w:r>
      <w:r w:rsidRPr="00DC67EB">
        <w:rPr>
          <w:szCs w:val="24"/>
          <w:lang w:val="pt-PT" w:eastAsia="en-US"/>
        </w:rPr>
        <w:tab/>
      </w:r>
      <w:r w:rsidRPr="00DC67EB">
        <w:rPr>
          <w:b/>
          <w:i/>
          <w:szCs w:val="24"/>
          <w:lang w:val="pt-PT" w:eastAsia="en-US"/>
        </w:rPr>
        <w:t>Az (1) bekezdésben említett felülvizsgálati eljárásoknak tisztességesnek és méltányosnak kell lenniük, kellő időben le kell őket zárni, és nem lehetnek mértéktelenül drágák. Ezek az eljárások magukban foglalják a megfelelő és hatékony jogorvoslat biztosítását is, beleértve adott esetben a jogsértés megszüntetésére irányuló határozatot is.</w:t>
      </w:r>
    </w:p>
    <w:p w14:paraId="19E23EF9" w14:textId="77777777" w:rsidR="001D30D4" w:rsidRPr="00DC67EB" w:rsidRDefault="001D30D4" w:rsidP="001D30D4">
      <w:pPr>
        <w:spacing w:before="120" w:after="120" w:line="360" w:lineRule="auto"/>
        <w:ind w:left="1416" w:hanging="566"/>
        <w:rPr>
          <w:b/>
          <w:szCs w:val="24"/>
          <w:lang w:val="pt-PT" w:eastAsia="en-US"/>
        </w:rPr>
      </w:pPr>
      <w:r w:rsidRPr="00DC67EB">
        <w:rPr>
          <w:b/>
          <w:i/>
          <w:szCs w:val="24"/>
          <w:lang w:val="pt-PT" w:eastAsia="en-US"/>
        </w:rPr>
        <w:br w:type="page"/>
      </w:r>
      <w:r w:rsidRPr="00DC67EB">
        <w:rPr>
          <w:b/>
          <w:i/>
          <w:szCs w:val="24"/>
          <w:lang w:val="pt-PT" w:eastAsia="en-US"/>
        </w:rPr>
        <w:lastRenderedPageBreak/>
        <w:t>(4)</w:t>
      </w:r>
      <w:r w:rsidRPr="00DC67EB">
        <w:rPr>
          <w:szCs w:val="24"/>
          <w:lang w:val="pt-PT" w:eastAsia="en-US"/>
        </w:rPr>
        <w:tab/>
      </w:r>
      <w:r w:rsidRPr="00DC67EB">
        <w:rPr>
          <w:b/>
          <w:i/>
          <w:szCs w:val="24"/>
          <w:lang w:val="pt-PT" w:eastAsia="en-US"/>
        </w:rPr>
        <w:t>A tagállamok biztosítják, hogy az e cikkben említett közigazgatási és bírósági felülvizsgálati eljárásokhoz való hozzáférésről gyakorlati információk álljanak a nyilvánosság rendelkezésére.”</w:t>
      </w:r>
      <w:r w:rsidRPr="00DC67EB">
        <w:rPr>
          <w:b/>
          <w:szCs w:val="24"/>
          <w:lang w:val="pt-PT" w:eastAsia="en-US"/>
        </w:rPr>
        <w:t xml:space="preserve"> [</w:t>
      </w:r>
      <w:r w:rsidR="000536D5" w:rsidRPr="00DC67EB">
        <w:rPr>
          <w:b/>
          <w:szCs w:val="24"/>
          <w:lang w:eastAsia="en-US"/>
        </w:rPr>
        <w:t>Mód</w:t>
      </w:r>
      <w:r w:rsidRPr="00DC67EB">
        <w:rPr>
          <w:b/>
          <w:szCs w:val="24"/>
          <w:lang w:val="pt-PT" w:eastAsia="en-US"/>
        </w:rPr>
        <w:t>. 73]</w:t>
      </w:r>
    </w:p>
    <w:p w14:paraId="1796A835" w14:textId="77777777" w:rsidR="001D30D4" w:rsidRPr="00DC67EB" w:rsidRDefault="001D30D4" w:rsidP="001D30D4">
      <w:pPr>
        <w:spacing w:before="120" w:after="120" w:line="360" w:lineRule="auto"/>
        <w:ind w:left="850" w:hanging="850"/>
        <w:rPr>
          <w:b/>
          <w:szCs w:val="24"/>
          <w:lang w:val="pt-PT" w:eastAsia="en-US"/>
        </w:rPr>
      </w:pPr>
      <w:r w:rsidRPr="00DC67EB">
        <w:rPr>
          <w:strike/>
          <w:szCs w:val="24"/>
          <w:lang w:val="pt-PT" w:eastAsia="en-US"/>
        </w:rPr>
        <w:t>10.</w:t>
      </w:r>
      <w:r w:rsidRPr="00DC67EB">
        <w:rPr>
          <w:szCs w:val="24"/>
          <w:lang w:val="pt-PT" w:eastAsia="en-US"/>
        </w:rPr>
        <w:tab/>
      </w:r>
      <w:r w:rsidRPr="00DC67EB">
        <w:rPr>
          <w:strike/>
          <w:szCs w:val="24"/>
          <w:lang w:val="pt-PT" w:eastAsia="en-US"/>
        </w:rPr>
        <w:t>A 15. cikkben a (3) bekezdést el kell hagyni.</w:t>
      </w:r>
      <w:r w:rsidRPr="00DC67EB">
        <w:rPr>
          <w:b/>
          <w:strike/>
          <w:szCs w:val="24"/>
          <w:lang w:val="pt-PT" w:eastAsia="en-US"/>
        </w:rPr>
        <w:t xml:space="preserve"> </w:t>
      </w:r>
      <w:r w:rsidRPr="00DC67EB">
        <w:rPr>
          <w:b/>
          <w:szCs w:val="24"/>
          <w:lang w:val="pt-PT" w:eastAsia="en-US"/>
        </w:rPr>
        <w:t>[</w:t>
      </w:r>
      <w:r w:rsidR="000536D5" w:rsidRPr="00DC67EB">
        <w:rPr>
          <w:b/>
          <w:szCs w:val="24"/>
          <w:lang w:eastAsia="en-US"/>
        </w:rPr>
        <w:t>Mód</w:t>
      </w:r>
      <w:r w:rsidRPr="00DC67EB">
        <w:rPr>
          <w:b/>
          <w:szCs w:val="24"/>
          <w:lang w:val="pt-PT" w:eastAsia="en-US"/>
        </w:rPr>
        <w:t>. 74]</w:t>
      </w:r>
    </w:p>
    <w:p w14:paraId="09BFB341" w14:textId="77777777" w:rsidR="001D30D4" w:rsidRPr="00DC67EB" w:rsidRDefault="001D30D4" w:rsidP="001D30D4">
      <w:pPr>
        <w:spacing w:before="120" w:after="120" w:line="360" w:lineRule="auto"/>
        <w:ind w:left="850" w:hanging="850"/>
        <w:rPr>
          <w:szCs w:val="24"/>
          <w:lang w:val="pt-PT" w:eastAsia="en-US"/>
        </w:rPr>
      </w:pPr>
      <w:r w:rsidRPr="00DC67EB">
        <w:rPr>
          <w:b/>
          <w:i/>
          <w:szCs w:val="24"/>
          <w:lang w:val="pt-PT" w:eastAsia="en-US"/>
        </w:rPr>
        <w:t>10a.</w:t>
      </w:r>
      <w:r w:rsidRPr="00DC67EB">
        <w:rPr>
          <w:szCs w:val="24"/>
          <w:lang w:val="pt-PT" w:eastAsia="en-US"/>
        </w:rPr>
        <w:tab/>
      </w:r>
      <w:r w:rsidRPr="00DC67EB">
        <w:rPr>
          <w:b/>
          <w:i/>
          <w:szCs w:val="24"/>
          <w:lang w:val="pt-PT" w:eastAsia="en-US"/>
        </w:rPr>
        <w:t>a 15. cikk (3) bekezdése a következő albekezdéssel egészül ki:</w:t>
      </w:r>
    </w:p>
    <w:p w14:paraId="1A4C685B" w14:textId="77777777" w:rsidR="001D30D4" w:rsidRPr="00DC67EB" w:rsidRDefault="001D30D4" w:rsidP="001D30D4">
      <w:pPr>
        <w:spacing w:before="120" w:after="120" w:line="360" w:lineRule="auto"/>
        <w:ind w:left="850"/>
        <w:rPr>
          <w:b/>
          <w:szCs w:val="24"/>
          <w:lang w:val="pt-PT" w:eastAsia="en-US"/>
        </w:rPr>
      </w:pPr>
      <w:r w:rsidRPr="00DC67EB">
        <w:rPr>
          <w:szCs w:val="24"/>
          <w:lang w:val="pt-PT" w:eastAsia="en-US"/>
        </w:rPr>
        <w:t>„</w:t>
      </w:r>
      <w:r w:rsidRPr="00DC67EB">
        <w:rPr>
          <w:b/>
          <w:i/>
          <w:szCs w:val="24"/>
          <w:lang w:val="pt-PT" w:eastAsia="en-US"/>
        </w:rPr>
        <w:t>A Bizottság legkésőbb [az ezen irányelv hatálybalépésétől számított hat hónap]-ig az első albekezdésben említett időközi jelentések tartalmára, szerkezetére és formátumára vonatkozó iránymutatásokat és sablonokat fogad el.</w:t>
      </w:r>
      <w:r w:rsidRPr="00DC67EB">
        <w:rPr>
          <w:szCs w:val="24"/>
          <w:lang w:val="pt-PT" w:eastAsia="en-US"/>
        </w:rPr>
        <w:t>”</w:t>
      </w:r>
      <w:r w:rsidRPr="00DC67EB">
        <w:rPr>
          <w:b/>
          <w:szCs w:val="24"/>
          <w:lang w:val="pt-PT" w:eastAsia="en-US"/>
        </w:rPr>
        <w:t xml:space="preserve"> [</w:t>
      </w:r>
      <w:r w:rsidR="000536D5" w:rsidRPr="00DC67EB">
        <w:rPr>
          <w:b/>
          <w:szCs w:val="24"/>
          <w:lang w:eastAsia="en-US"/>
        </w:rPr>
        <w:t>Mód</w:t>
      </w:r>
      <w:r w:rsidRPr="00DC67EB">
        <w:rPr>
          <w:b/>
          <w:szCs w:val="24"/>
          <w:lang w:val="pt-PT" w:eastAsia="en-US"/>
        </w:rPr>
        <w:t>. 75]</w:t>
      </w:r>
    </w:p>
    <w:p w14:paraId="004C3731" w14:textId="77777777" w:rsidR="001D30D4" w:rsidRPr="00DC67EB" w:rsidRDefault="001D30D4" w:rsidP="001D30D4">
      <w:pPr>
        <w:spacing w:before="120" w:after="120" w:line="360" w:lineRule="auto"/>
        <w:ind w:left="850" w:hanging="850"/>
        <w:rPr>
          <w:szCs w:val="24"/>
          <w:lang w:val="pt-PT" w:eastAsia="en-US"/>
        </w:rPr>
      </w:pPr>
      <w:r w:rsidRPr="00DC67EB">
        <w:rPr>
          <w:szCs w:val="24"/>
          <w:lang w:val="pt-PT" w:eastAsia="en-US"/>
        </w:rPr>
        <w:t>11.</w:t>
      </w:r>
      <w:r w:rsidRPr="00DC67EB">
        <w:rPr>
          <w:szCs w:val="24"/>
          <w:lang w:val="pt-PT" w:eastAsia="en-US"/>
        </w:rPr>
        <w:tab/>
        <w:t>A 16. és a 17. cikket el kell hagyni.</w:t>
      </w:r>
    </w:p>
    <w:p w14:paraId="06EDF4E6" w14:textId="77777777" w:rsidR="001D30D4" w:rsidRPr="00DC67EB" w:rsidRDefault="001D30D4" w:rsidP="001D30D4">
      <w:pPr>
        <w:spacing w:before="120" w:after="120" w:line="360" w:lineRule="auto"/>
        <w:ind w:left="850" w:hanging="850"/>
        <w:rPr>
          <w:szCs w:val="24"/>
          <w:lang w:val="pt-PT" w:eastAsia="en-US"/>
        </w:rPr>
      </w:pPr>
      <w:r w:rsidRPr="00DC67EB">
        <w:rPr>
          <w:szCs w:val="24"/>
          <w:lang w:val="pt-PT" w:eastAsia="en-US"/>
        </w:rPr>
        <w:t>12.</w:t>
      </w:r>
      <w:r w:rsidRPr="00DC67EB">
        <w:rPr>
          <w:szCs w:val="24"/>
          <w:lang w:val="pt-PT" w:eastAsia="en-US"/>
        </w:rPr>
        <w:tab/>
        <w:t>A 18. cikk a következőképpen módosul:</w:t>
      </w:r>
    </w:p>
    <w:p w14:paraId="71D8C178" w14:textId="77777777" w:rsidR="001D30D4" w:rsidRPr="00DC67EB" w:rsidRDefault="001D30D4" w:rsidP="001D30D4">
      <w:pPr>
        <w:spacing w:before="120" w:after="120" w:line="360" w:lineRule="auto"/>
        <w:ind w:left="1416" w:hanging="566"/>
        <w:rPr>
          <w:szCs w:val="24"/>
          <w:lang w:val="pt-PT" w:eastAsia="en-US"/>
        </w:rPr>
      </w:pPr>
      <w:r w:rsidRPr="00DC67EB">
        <w:rPr>
          <w:szCs w:val="24"/>
          <w:lang w:val="pt-PT" w:eastAsia="en-US"/>
        </w:rPr>
        <w:t>a)</w:t>
      </w:r>
      <w:r w:rsidRPr="00DC67EB">
        <w:rPr>
          <w:szCs w:val="24"/>
          <w:lang w:val="pt-PT" w:eastAsia="en-US"/>
        </w:rPr>
        <w:tab/>
        <w:t>a (2) bekezdés e) pontja helyébe a következő szöveg lép:</w:t>
      </w:r>
    </w:p>
    <w:p w14:paraId="2382FD5D" w14:textId="77777777" w:rsidR="001D30D4" w:rsidRPr="00DC67EB" w:rsidRDefault="001D30D4" w:rsidP="001D30D4">
      <w:pPr>
        <w:spacing w:before="120" w:after="120" w:line="360" w:lineRule="auto"/>
        <w:ind w:left="1982" w:hanging="566"/>
        <w:rPr>
          <w:szCs w:val="24"/>
          <w:lang w:val="pt-PT" w:eastAsia="en-US"/>
        </w:rPr>
      </w:pPr>
      <w:r w:rsidRPr="00DC67EB">
        <w:rPr>
          <w:szCs w:val="24"/>
          <w:lang w:val="pt-PT" w:eastAsia="en-US"/>
        </w:rPr>
        <w:t>„e)</w:t>
      </w:r>
      <w:r w:rsidRPr="00DC67EB">
        <w:rPr>
          <w:szCs w:val="24"/>
          <w:lang w:val="pt-PT" w:eastAsia="en-US"/>
        </w:rPr>
        <w:tab/>
        <w:t>a vegyi szennyezés csökkentésére, illetve a veszélyes anyagok megszüntetésére vagy fokozatos csökkentésére irányuló minden javaslat, szabályozási intézkedés és stratégia összefoglalása;”</w:t>
      </w:r>
    </w:p>
    <w:p w14:paraId="733EAF2D" w14:textId="77777777" w:rsidR="001D30D4" w:rsidRPr="00DC67EB" w:rsidRDefault="001D30D4" w:rsidP="001D30D4">
      <w:pPr>
        <w:spacing w:before="120" w:after="120" w:line="360" w:lineRule="auto"/>
        <w:ind w:left="1416" w:hanging="566"/>
        <w:rPr>
          <w:b/>
          <w:szCs w:val="24"/>
          <w:lang w:val="pt-PT" w:eastAsia="en-US"/>
        </w:rPr>
      </w:pPr>
      <w:r w:rsidRPr="00DC67EB">
        <w:rPr>
          <w:strike/>
          <w:szCs w:val="24"/>
          <w:lang w:val="pt-PT" w:eastAsia="en-US"/>
        </w:rPr>
        <w:t>b)</w:t>
      </w:r>
      <w:r w:rsidRPr="00DC67EB">
        <w:rPr>
          <w:szCs w:val="24"/>
          <w:lang w:val="pt-PT" w:eastAsia="en-US"/>
        </w:rPr>
        <w:tab/>
      </w:r>
      <w:r w:rsidRPr="00DC67EB">
        <w:rPr>
          <w:strike/>
          <w:szCs w:val="24"/>
          <w:lang w:val="pt-PT" w:eastAsia="en-US"/>
        </w:rPr>
        <w:t>a (4) bekezdést el kell hagyni.</w:t>
      </w:r>
      <w:r w:rsidRPr="00DC67EB">
        <w:rPr>
          <w:b/>
          <w:strike/>
          <w:szCs w:val="24"/>
          <w:lang w:val="pt-PT" w:eastAsia="en-US"/>
        </w:rPr>
        <w:t xml:space="preserve"> </w:t>
      </w:r>
      <w:r w:rsidRPr="00DC67EB">
        <w:rPr>
          <w:b/>
          <w:szCs w:val="24"/>
          <w:lang w:val="pt-PT" w:eastAsia="en-US"/>
        </w:rPr>
        <w:t>[</w:t>
      </w:r>
      <w:r w:rsidR="000536D5" w:rsidRPr="00DC67EB">
        <w:rPr>
          <w:b/>
          <w:szCs w:val="24"/>
          <w:lang w:eastAsia="en-US"/>
        </w:rPr>
        <w:t>Mód</w:t>
      </w:r>
      <w:r w:rsidRPr="00DC67EB">
        <w:rPr>
          <w:b/>
          <w:szCs w:val="24"/>
          <w:lang w:val="pt-PT" w:eastAsia="en-US"/>
        </w:rPr>
        <w:t>. 76]</w:t>
      </w:r>
    </w:p>
    <w:p w14:paraId="46D33BBF" w14:textId="77777777" w:rsidR="001D30D4" w:rsidRPr="00DC67EB" w:rsidRDefault="001D30D4" w:rsidP="001D30D4">
      <w:pPr>
        <w:spacing w:before="120" w:after="120" w:line="360" w:lineRule="auto"/>
        <w:ind w:left="850" w:hanging="850"/>
        <w:rPr>
          <w:szCs w:val="24"/>
          <w:lang w:val="pt-PT" w:eastAsia="en-US"/>
        </w:rPr>
      </w:pPr>
      <w:r w:rsidRPr="00DC67EB">
        <w:rPr>
          <w:szCs w:val="24"/>
          <w:lang w:val="pt-PT" w:eastAsia="en-US"/>
        </w:rPr>
        <w:br w:type="page"/>
      </w:r>
      <w:r w:rsidRPr="00DC67EB">
        <w:rPr>
          <w:szCs w:val="24"/>
          <w:lang w:val="pt-PT" w:eastAsia="en-US"/>
        </w:rPr>
        <w:lastRenderedPageBreak/>
        <w:t>13.</w:t>
      </w:r>
      <w:r w:rsidRPr="00DC67EB">
        <w:rPr>
          <w:szCs w:val="24"/>
          <w:lang w:val="pt-PT" w:eastAsia="en-US"/>
        </w:rPr>
        <w:tab/>
        <w:t>A 20. cikk helyébe a következő szöveg lép:</w:t>
      </w:r>
    </w:p>
    <w:p w14:paraId="30A7E588" w14:textId="77777777" w:rsidR="001D30D4" w:rsidRPr="00DC67EB" w:rsidRDefault="001D30D4" w:rsidP="001D30D4">
      <w:pPr>
        <w:spacing w:before="120" w:after="120" w:line="360" w:lineRule="auto"/>
        <w:ind w:left="850"/>
        <w:rPr>
          <w:szCs w:val="24"/>
          <w:lang w:val="pt-PT" w:eastAsia="en-US"/>
        </w:rPr>
      </w:pPr>
      <w:r w:rsidRPr="00DC67EB">
        <w:rPr>
          <w:szCs w:val="24"/>
          <w:lang w:val="pt-PT" w:eastAsia="en-US"/>
        </w:rPr>
        <w:t>„20. cikk</w:t>
      </w:r>
    </w:p>
    <w:p w14:paraId="341D4F66" w14:textId="77777777" w:rsidR="001D30D4" w:rsidRPr="00DC67EB" w:rsidRDefault="001D30D4" w:rsidP="001D30D4">
      <w:pPr>
        <w:spacing w:before="120" w:after="120" w:line="360" w:lineRule="auto"/>
        <w:ind w:left="850"/>
        <w:rPr>
          <w:szCs w:val="24"/>
          <w:lang w:val="pt-PT" w:eastAsia="en-US"/>
        </w:rPr>
      </w:pPr>
      <w:r w:rsidRPr="00DC67EB">
        <w:rPr>
          <w:szCs w:val="24"/>
          <w:lang w:val="pt-PT" w:eastAsia="en-US"/>
        </w:rPr>
        <w:t>Ezen irányelv technikai kiigazításai és végrehajtása</w:t>
      </w:r>
    </w:p>
    <w:p w14:paraId="637BD059" w14:textId="77777777" w:rsidR="001D30D4" w:rsidRPr="00DC67EB" w:rsidRDefault="001D30D4" w:rsidP="001D30D4">
      <w:pPr>
        <w:spacing w:before="120" w:after="120" w:line="360" w:lineRule="auto"/>
        <w:ind w:left="1416" w:hanging="566"/>
        <w:rPr>
          <w:szCs w:val="24"/>
          <w:lang w:val="pt-PT" w:eastAsia="en-US"/>
        </w:rPr>
      </w:pPr>
      <w:r w:rsidRPr="00DC67EB">
        <w:rPr>
          <w:szCs w:val="24"/>
          <w:lang w:val="pt-PT" w:eastAsia="en-US"/>
        </w:rPr>
        <w:t>(1)</w:t>
      </w:r>
      <w:r w:rsidRPr="00DC67EB">
        <w:rPr>
          <w:szCs w:val="24"/>
          <w:lang w:val="pt-PT" w:eastAsia="en-US"/>
        </w:rPr>
        <w:tab/>
        <w:t>A Bizottság felhatalmazást kap arra, hogy a 20a. cikknek megfelelően felhatalmazáson alapuló jogi aktusokat fogadjon el az I. és a III. melléklet, valamint az V. melléklet 1.3.6. szakaszának módosítása céljából annak érdekében, hogy az illetékes hatóságokra vonatkozó tájékoztatási követelmények, a gazdasági elemzés tartalma és a megfigyelés kiválasztott előírásai igazodjanak a tudományos és a műszaki fejlődéshez.</w:t>
      </w:r>
    </w:p>
    <w:p w14:paraId="1FF4CD70" w14:textId="77777777" w:rsidR="001D30D4" w:rsidRPr="00DC67EB" w:rsidRDefault="001D30D4" w:rsidP="001D30D4">
      <w:pPr>
        <w:spacing w:before="120" w:after="120" w:line="360" w:lineRule="auto"/>
        <w:ind w:left="1416" w:hanging="566"/>
        <w:rPr>
          <w:szCs w:val="24"/>
          <w:lang w:val="pt-PT" w:eastAsia="en-US"/>
        </w:rPr>
      </w:pPr>
      <w:r w:rsidRPr="00DC67EB">
        <w:rPr>
          <w:szCs w:val="24"/>
          <w:lang w:val="pt-PT" w:eastAsia="en-US"/>
        </w:rPr>
        <w:t>(2)</w:t>
      </w:r>
      <w:r w:rsidRPr="00DC67EB">
        <w:rPr>
          <w:szCs w:val="24"/>
          <w:lang w:val="pt-PT" w:eastAsia="en-US"/>
        </w:rPr>
        <w:tab/>
        <w:t>A Bizottság felhatalmazást kap arra, hogy a 20a. cikknek megfelelően ezen irányelvet kiegészítő, felhatalmazáson alapuló jogi aktusokat fogadjon el abból a célból, hogy az V. melléklet 1.4.1. pontja szerinti interkalibrációs eljárással összhangban meghatározza a tagállamok megfigyelőrendszereinek osztályozásához megállapított értékeket.</w:t>
      </w:r>
    </w:p>
    <w:p w14:paraId="0D79F2C5" w14:textId="77777777" w:rsidR="001D30D4" w:rsidRPr="00DC67EB" w:rsidRDefault="001D30D4" w:rsidP="001D30D4">
      <w:pPr>
        <w:spacing w:before="120" w:after="120" w:line="360" w:lineRule="auto"/>
        <w:ind w:left="1416" w:hanging="566"/>
        <w:rPr>
          <w:szCs w:val="24"/>
          <w:lang w:val="pt-PT" w:eastAsia="en-US"/>
        </w:rPr>
      </w:pPr>
      <w:r w:rsidRPr="00DC67EB">
        <w:rPr>
          <w:szCs w:val="24"/>
          <w:lang w:val="pt-PT" w:eastAsia="en-US"/>
        </w:rPr>
        <w:t>(3)</w:t>
      </w:r>
      <w:r w:rsidRPr="00DC67EB">
        <w:rPr>
          <w:szCs w:val="24"/>
          <w:lang w:val="pt-PT" w:eastAsia="en-US"/>
        </w:rPr>
        <w:tab/>
        <w:t>A Bizottság felhatalmazást kap arra, hogy végrehajtási jogi aktusokat fogadjon el a 8. cikk (4) bekezdésében említett adattovábbítás technikai formátumainak meghatározása céljából. Ezeket a végrehajtási jogi aktusokat a 21. cikk (2) bekezdésében említett vizsgálóbizottsági eljárás keretében kell elfogadni. E formátumok meghatározásakor a Bizottságot munkájában szükség esetén az Európai Környezetvédelmi Ügynökség segíti.”</w:t>
      </w:r>
    </w:p>
    <w:p w14:paraId="1A632212" w14:textId="77777777" w:rsidR="001D30D4" w:rsidRPr="00DC67EB" w:rsidRDefault="001D30D4" w:rsidP="001D30D4">
      <w:pPr>
        <w:spacing w:before="120" w:after="120" w:line="360" w:lineRule="auto"/>
        <w:ind w:left="850" w:hanging="850"/>
        <w:rPr>
          <w:szCs w:val="24"/>
          <w:lang w:val="pt-PT" w:eastAsia="en-US"/>
        </w:rPr>
      </w:pPr>
      <w:r w:rsidRPr="00DC67EB">
        <w:rPr>
          <w:szCs w:val="24"/>
          <w:lang w:val="pt-PT" w:eastAsia="en-US"/>
        </w:rPr>
        <w:br w:type="page"/>
      </w:r>
      <w:r w:rsidRPr="00DC67EB">
        <w:rPr>
          <w:szCs w:val="24"/>
          <w:lang w:val="pt-PT" w:eastAsia="en-US"/>
        </w:rPr>
        <w:lastRenderedPageBreak/>
        <w:t>14.</w:t>
      </w:r>
      <w:r w:rsidRPr="00DC67EB">
        <w:rPr>
          <w:szCs w:val="24"/>
          <w:lang w:val="pt-PT" w:eastAsia="en-US"/>
        </w:rPr>
        <w:tab/>
        <w:t>A szöveg a következő 20a. cikkel egészül ki:</w:t>
      </w:r>
    </w:p>
    <w:p w14:paraId="681ED059" w14:textId="77777777" w:rsidR="001D30D4" w:rsidRPr="00DC67EB" w:rsidRDefault="001D30D4" w:rsidP="001D30D4">
      <w:pPr>
        <w:spacing w:before="120" w:after="120" w:line="360" w:lineRule="auto"/>
        <w:ind w:left="850"/>
        <w:rPr>
          <w:szCs w:val="24"/>
          <w:lang w:val="pt-PT" w:eastAsia="en-US"/>
        </w:rPr>
      </w:pPr>
      <w:r w:rsidRPr="00DC67EB">
        <w:rPr>
          <w:szCs w:val="24"/>
          <w:lang w:val="pt-PT" w:eastAsia="en-US"/>
        </w:rPr>
        <w:t>„20a. cikk</w:t>
      </w:r>
    </w:p>
    <w:p w14:paraId="012BCEF0" w14:textId="77777777" w:rsidR="001D30D4" w:rsidRPr="00DC67EB" w:rsidRDefault="001D30D4" w:rsidP="001D30D4">
      <w:pPr>
        <w:spacing w:before="120" w:after="120" w:line="360" w:lineRule="auto"/>
        <w:ind w:left="850"/>
        <w:rPr>
          <w:szCs w:val="24"/>
          <w:lang w:val="pt-PT" w:eastAsia="en-US"/>
        </w:rPr>
      </w:pPr>
      <w:r w:rsidRPr="00DC67EB">
        <w:rPr>
          <w:szCs w:val="24"/>
          <w:lang w:val="pt-PT" w:eastAsia="en-US"/>
        </w:rPr>
        <w:t>A felhatalmazás gyakorlása</w:t>
      </w:r>
    </w:p>
    <w:p w14:paraId="08AE702F" w14:textId="77777777" w:rsidR="001D30D4" w:rsidRPr="00DC67EB" w:rsidRDefault="001D30D4" w:rsidP="001D30D4">
      <w:pPr>
        <w:spacing w:before="120" w:after="120" w:line="360" w:lineRule="auto"/>
        <w:ind w:left="1416" w:hanging="566"/>
        <w:rPr>
          <w:szCs w:val="24"/>
          <w:lang w:val="pt-PT" w:eastAsia="en-US"/>
        </w:rPr>
      </w:pPr>
      <w:r w:rsidRPr="00DC67EB">
        <w:rPr>
          <w:szCs w:val="24"/>
          <w:lang w:val="pt-PT" w:eastAsia="en-US"/>
        </w:rPr>
        <w:t>(1)</w:t>
      </w:r>
      <w:r w:rsidRPr="00DC67EB">
        <w:rPr>
          <w:szCs w:val="24"/>
          <w:lang w:val="pt-PT" w:eastAsia="en-US"/>
        </w:rPr>
        <w:tab/>
        <w:t>A felhatalmazáson alapuló jogi aktusok elfogadására vonatkozóan a Bizottság részére adott felhatalmazás feltételeit ez a cikk határozza meg.</w:t>
      </w:r>
    </w:p>
    <w:p w14:paraId="271267E2" w14:textId="77777777" w:rsidR="001D30D4" w:rsidRPr="00DC67EB" w:rsidRDefault="001D30D4" w:rsidP="001D30D4">
      <w:pPr>
        <w:spacing w:before="120" w:after="120" w:line="360" w:lineRule="auto"/>
        <w:ind w:left="1416" w:hanging="566"/>
        <w:rPr>
          <w:szCs w:val="24"/>
          <w:lang w:val="pt-PT" w:eastAsia="en-US"/>
        </w:rPr>
      </w:pPr>
      <w:r w:rsidRPr="00DC67EB">
        <w:rPr>
          <w:szCs w:val="24"/>
          <w:lang w:val="pt-PT" w:eastAsia="en-US"/>
        </w:rPr>
        <w:t>(2)</w:t>
      </w:r>
      <w:r w:rsidRPr="00DC67EB">
        <w:rPr>
          <w:szCs w:val="24"/>
          <w:lang w:val="pt-PT" w:eastAsia="en-US"/>
        </w:rPr>
        <w:tab/>
        <w:t>A Bizottságnak a 20. cikk (1) bekezdésében említett, felhatalmazáson alapuló jogi aktus elfogadására vonatkozó felhatalmazása határozatlan időre szól, [Kiadóhivatal: kérjük, illesszék be ezen irányelv hatálybalépésének időpontját]-tól kezdődő hatállyal.</w:t>
      </w:r>
    </w:p>
    <w:p w14:paraId="08281FE9" w14:textId="77777777" w:rsidR="001D30D4" w:rsidRPr="00DC67EB" w:rsidRDefault="001D30D4" w:rsidP="001D30D4">
      <w:pPr>
        <w:spacing w:before="120" w:after="120" w:line="360" w:lineRule="auto"/>
        <w:ind w:left="1416" w:hanging="566"/>
        <w:rPr>
          <w:szCs w:val="24"/>
          <w:lang w:val="pt-PT" w:eastAsia="en-US"/>
        </w:rPr>
      </w:pPr>
      <w:r w:rsidRPr="00DC67EB">
        <w:rPr>
          <w:szCs w:val="24"/>
          <w:lang w:val="pt-PT" w:eastAsia="en-US"/>
        </w:rPr>
        <w:t>(3)</w:t>
      </w:r>
      <w:r w:rsidRPr="00DC67EB">
        <w:rPr>
          <w:szCs w:val="24"/>
          <w:lang w:val="pt-PT" w:eastAsia="en-US"/>
        </w:rPr>
        <w:tab/>
        <w:t xml:space="preserve">Az Európai Parlament és a Tanács bármikor visszavonhatja a 20. cikk (1) bekezdésében említett felhatalmazást. A visszavonásról szóló határozat megszünteti az abban meghatározott felhatalmazást. A határozat az </w:t>
      </w:r>
      <w:r w:rsidRPr="00DC67EB">
        <w:rPr>
          <w:i/>
          <w:szCs w:val="24"/>
          <w:lang w:val="pt-PT" w:eastAsia="en-US"/>
        </w:rPr>
        <w:t>Európai Unió Hivatalos Lapjában</w:t>
      </w:r>
      <w:r w:rsidRPr="00DC67EB">
        <w:rPr>
          <w:szCs w:val="24"/>
          <w:lang w:val="pt-PT" w:eastAsia="en-US"/>
        </w:rPr>
        <w:t xml:space="preserve"> való kihirdetését követő napon, vagy a benne megjelölt későbbi időpontban lép hatályba. A határozat nem érinti a már hatályban lévő felhatalmazáson alapuló jogi aktusok érvényességét.</w:t>
      </w:r>
    </w:p>
    <w:p w14:paraId="065CDE77" w14:textId="77777777" w:rsidR="001D30D4" w:rsidRPr="00DC67EB" w:rsidRDefault="001D30D4" w:rsidP="001D30D4">
      <w:pPr>
        <w:spacing w:before="120" w:after="120" w:line="360" w:lineRule="auto"/>
        <w:ind w:left="1416" w:hanging="566"/>
        <w:rPr>
          <w:szCs w:val="24"/>
          <w:lang w:val="pt-PT" w:eastAsia="en-US"/>
        </w:rPr>
      </w:pPr>
      <w:r w:rsidRPr="00DC67EB">
        <w:rPr>
          <w:szCs w:val="24"/>
          <w:lang w:val="pt-PT" w:eastAsia="en-US"/>
        </w:rPr>
        <w:br w:type="page"/>
      </w:r>
      <w:r w:rsidRPr="00DC67EB">
        <w:rPr>
          <w:szCs w:val="24"/>
          <w:lang w:val="pt-PT" w:eastAsia="en-US"/>
        </w:rPr>
        <w:lastRenderedPageBreak/>
        <w:t>(4)</w:t>
      </w:r>
      <w:r w:rsidRPr="00DC67EB">
        <w:rPr>
          <w:szCs w:val="24"/>
          <w:lang w:val="pt-PT" w:eastAsia="en-US"/>
        </w:rPr>
        <w:tab/>
        <w:t>A felhatalmazáson alapuló jogi aktus elfogadása előtt a Bizottság a jogalkotás minőségének javításáról szóló, 2016. április 13-i intézményközi megállapodásban foglalt elveknek megfelelően konzultál az egyes tagállamok által kijelölt szakértőkkel.</w:t>
      </w:r>
    </w:p>
    <w:p w14:paraId="33CF2887" w14:textId="77777777" w:rsidR="001D30D4" w:rsidRPr="00DC67EB" w:rsidRDefault="001D30D4" w:rsidP="001D30D4">
      <w:pPr>
        <w:spacing w:before="120" w:after="120" w:line="360" w:lineRule="auto"/>
        <w:ind w:left="1416" w:hanging="566"/>
        <w:rPr>
          <w:szCs w:val="24"/>
          <w:lang w:val="pt-PT" w:eastAsia="en-US"/>
        </w:rPr>
      </w:pPr>
      <w:r w:rsidRPr="00DC67EB">
        <w:rPr>
          <w:szCs w:val="24"/>
          <w:lang w:val="pt-PT" w:eastAsia="en-US"/>
        </w:rPr>
        <w:t>(5)</w:t>
      </w:r>
      <w:r w:rsidRPr="00DC67EB">
        <w:rPr>
          <w:szCs w:val="24"/>
          <w:lang w:val="pt-PT" w:eastAsia="en-US"/>
        </w:rPr>
        <w:tab/>
        <w:t>A Bizottság a felhatalmazáson alapuló jogi aktus elfogadását követően haladéktalanul és egyidejűleg értesíti arról az Európai Parlamentet és a Tanácsot.</w:t>
      </w:r>
    </w:p>
    <w:p w14:paraId="2D528219" w14:textId="77777777" w:rsidR="001D30D4" w:rsidRPr="00DC67EB" w:rsidRDefault="001D30D4" w:rsidP="001D30D4">
      <w:pPr>
        <w:spacing w:before="120" w:after="120" w:line="360" w:lineRule="auto"/>
        <w:ind w:left="1416" w:hanging="566"/>
        <w:rPr>
          <w:szCs w:val="24"/>
          <w:lang w:val="pt-PT" w:eastAsia="en-US"/>
        </w:rPr>
      </w:pPr>
      <w:r w:rsidRPr="00DC67EB">
        <w:rPr>
          <w:szCs w:val="24"/>
          <w:lang w:val="pt-PT" w:eastAsia="en-US"/>
        </w:rPr>
        <w:t>(6)</w:t>
      </w:r>
      <w:r w:rsidRPr="00DC67EB">
        <w:rPr>
          <w:szCs w:val="24"/>
          <w:lang w:val="pt-PT" w:eastAsia="en-US"/>
        </w:rPr>
        <w:tab/>
        <w:t>A 20. cikk (1) bekezdése értelmében elfogadott, felhatalmazáson alapuló jogi aktus csak akkor lép hatályba, ha az Európai Parlamentnek és a Tanácsnak a jogi aktusról való értesítését követő két hónapon belül sem az Európai Parlament, sem a Tanács nem emelt ellene kifogást, illetve ha az említett időtartam lejártát megelőzően mind az Európai Parlament, mind a Tanács arról tájékoztatta a Bizottságot, hogy nem fog kifogást emelni. Az Európai Parlament vagy a Tanács kezdeményezésére ez az időtartam két hónappal meghosszabbodik.”</w:t>
      </w:r>
    </w:p>
    <w:p w14:paraId="5155BA02" w14:textId="77777777" w:rsidR="001D30D4" w:rsidRPr="00DC67EB" w:rsidRDefault="001D30D4" w:rsidP="001D30D4">
      <w:pPr>
        <w:spacing w:before="120" w:after="120" w:line="360" w:lineRule="auto"/>
        <w:ind w:left="850" w:hanging="850"/>
        <w:rPr>
          <w:szCs w:val="24"/>
          <w:lang w:val="pt-PT" w:eastAsia="en-US"/>
        </w:rPr>
      </w:pPr>
      <w:r w:rsidRPr="00DC67EB">
        <w:rPr>
          <w:szCs w:val="24"/>
          <w:lang w:val="pt-PT" w:eastAsia="en-US"/>
        </w:rPr>
        <w:br w:type="page"/>
      </w:r>
      <w:r w:rsidRPr="00DC67EB">
        <w:rPr>
          <w:szCs w:val="24"/>
          <w:lang w:val="pt-PT" w:eastAsia="en-US"/>
        </w:rPr>
        <w:lastRenderedPageBreak/>
        <w:t>15.</w:t>
      </w:r>
      <w:r w:rsidRPr="00DC67EB">
        <w:rPr>
          <w:szCs w:val="24"/>
          <w:lang w:val="pt-PT" w:eastAsia="en-US"/>
        </w:rPr>
        <w:tab/>
        <w:t>A 21. cikk helyébe a következő szöveg lép:</w:t>
      </w:r>
    </w:p>
    <w:p w14:paraId="60CDB468" w14:textId="77777777" w:rsidR="001D30D4" w:rsidRPr="00DC67EB" w:rsidRDefault="001D30D4" w:rsidP="001D30D4">
      <w:pPr>
        <w:spacing w:before="120" w:after="120" w:line="360" w:lineRule="auto"/>
        <w:ind w:left="850"/>
        <w:rPr>
          <w:szCs w:val="24"/>
          <w:lang w:val="pt-PT" w:eastAsia="en-US"/>
        </w:rPr>
      </w:pPr>
      <w:r w:rsidRPr="00DC67EB">
        <w:rPr>
          <w:szCs w:val="24"/>
          <w:lang w:val="pt-PT" w:eastAsia="en-US"/>
        </w:rPr>
        <w:t>„21. cikk</w:t>
      </w:r>
    </w:p>
    <w:p w14:paraId="4E8EDB7D" w14:textId="77777777" w:rsidR="001D30D4" w:rsidRPr="00DC67EB" w:rsidRDefault="001D30D4" w:rsidP="001D30D4">
      <w:pPr>
        <w:spacing w:before="120" w:after="120" w:line="360" w:lineRule="auto"/>
        <w:ind w:left="850"/>
        <w:rPr>
          <w:szCs w:val="24"/>
          <w:lang w:val="pt-PT" w:eastAsia="en-US"/>
        </w:rPr>
      </w:pPr>
      <w:r w:rsidRPr="00DC67EB">
        <w:rPr>
          <w:szCs w:val="24"/>
          <w:lang w:val="pt-PT" w:eastAsia="en-US"/>
        </w:rPr>
        <w:t>Bizottsági eljárás</w:t>
      </w:r>
    </w:p>
    <w:p w14:paraId="59871EDA" w14:textId="77777777" w:rsidR="001D30D4" w:rsidRPr="00DC67EB" w:rsidRDefault="001D30D4" w:rsidP="001D30D4">
      <w:pPr>
        <w:spacing w:before="120" w:after="120" w:line="360" w:lineRule="auto"/>
        <w:ind w:left="1416" w:hanging="566"/>
        <w:rPr>
          <w:szCs w:val="24"/>
          <w:lang w:val="pt-PT" w:eastAsia="en-US"/>
        </w:rPr>
      </w:pPr>
      <w:r w:rsidRPr="00DC67EB">
        <w:rPr>
          <w:szCs w:val="24"/>
          <w:lang w:val="pt-PT" w:eastAsia="en-US"/>
        </w:rPr>
        <w:t>(1)</w:t>
      </w:r>
      <w:r w:rsidRPr="00DC67EB">
        <w:rPr>
          <w:szCs w:val="24"/>
          <w:lang w:val="pt-PT" w:eastAsia="en-US"/>
        </w:rPr>
        <w:tab/>
        <w:t>A Bizottságot munkájában egy bizottság segíti. Ez a bizottság a 182/2011/EU európai parlamenti és tanácsi rendelet* értelmében vett bizottságnak minősül.</w:t>
      </w:r>
    </w:p>
    <w:p w14:paraId="2FB7863C" w14:textId="77777777" w:rsidR="001D30D4" w:rsidRPr="00DC67EB" w:rsidRDefault="001D30D4" w:rsidP="001D30D4">
      <w:pPr>
        <w:spacing w:before="120" w:after="120" w:line="360" w:lineRule="auto"/>
        <w:ind w:left="1416" w:hanging="566"/>
        <w:rPr>
          <w:szCs w:val="24"/>
          <w:lang w:val="pt-PT" w:eastAsia="en-US"/>
        </w:rPr>
      </w:pPr>
      <w:r w:rsidRPr="00DC67EB">
        <w:rPr>
          <w:szCs w:val="24"/>
          <w:lang w:val="pt-PT" w:eastAsia="en-US"/>
        </w:rPr>
        <w:t>(2)</w:t>
      </w:r>
      <w:r w:rsidRPr="00DC67EB">
        <w:rPr>
          <w:szCs w:val="24"/>
          <w:lang w:val="pt-PT" w:eastAsia="en-US"/>
        </w:rPr>
        <w:tab/>
        <w:t>Az e bekezdésre történő hivatkozáskor a 182/2011/EU rendelet 5. cikkét kell alkalmazni.</w:t>
      </w:r>
    </w:p>
    <w:p w14:paraId="2EA57AFF"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Ha a bizottság nem nyilvánít véleményt, a Bizottság nem fogadhatja el a végrehajtási jogi aktus tervezetét, és a 182/2011/EU rendelet 5. cikke (4) bekezdésének harmadik albekezdése alkalmazandó.</w:t>
      </w:r>
    </w:p>
    <w:p w14:paraId="1D6C6241"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 Az Európai Parlament és a Tanács 182/2011/EU rendelete (2011. február 16.) a Bizottság végrehajtási hatásköreinek gyakorlására vonatkozó tagállami ellenőrzési mechanizmusok szabályainak és általános elveinek megállapításáról (HL L 55., 2011.2.28., 13. o.).”</w:t>
      </w:r>
    </w:p>
    <w:p w14:paraId="62021461" w14:textId="77777777" w:rsidR="001D30D4" w:rsidRPr="00DC67EB" w:rsidRDefault="001D30D4" w:rsidP="001D30D4">
      <w:pPr>
        <w:spacing w:before="120" w:after="120" w:line="360" w:lineRule="auto"/>
        <w:ind w:left="850" w:hanging="850"/>
        <w:rPr>
          <w:szCs w:val="24"/>
          <w:lang w:val="pt-PT" w:eastAsia="en-US"/>
        </w:rPr>
      </w:pPr>
      <w:r w:rsidRPr="00DC67EB">
        <w:rPr>
          <w:szCs w:val="24"/>
          <w:lang w:val="pt-PT" w:eastAsia="en-US"/>
        </w:rPr>
        <w:br w:type="page"/>
      </w:r>
      <w:r w:rsidRPr="00DC67EB">
        <w:rPr>
          <w:szCs w:val="24"/>
          <w:lang w:val="pt-PT" w:eastAsia="en-US"/>
        </w:rPr>
        <w:lastRenderedPageBreak/>
        <w:t>16.</w:t>
      </w:r>
      <w:r w:rsidRPr="00DC67EB">
        <w:rPr>
          <w:szCs w:val="24"/>
          <w:lang w:val="pt-PT" w:eastAsia="en-US"/>
        </w:rPr>
        <w:tab/>
        <w:t>A 22. cikk (4) bekezdésének helyébe a következő szöveg lép:</w:t>
      </w:r>
    </w:p>
    <w:p w14:paraId="04D4B2FF" w14:textId="77777777" w:rsidR="001D30D4" w:rsidRPr="00DC67EB" w:rsidRDefault="001D30D4" w:rsidP="001D30D4">
      <w:pPr>
        <w:spacing w:before="120" w:after="120" w:line="360" w:lineRule="auto"/>
        <w:ind w:left="1416" w:hanging="566"/>
        <w:rPr>
          <w:szCs w:val="24"/>
          <w:lang w:val="pt-PT" w:eastAsia="en-US"/>
        </w:rPr>
      </w:pPr>
      <w:r w:rsidRPr="00DC67EB">
        <w:rPr>
          <w:szCs w:val="24"/>
          <w:lang w:val="pt-PT" w:eastAsia="en-US"/>
        </w:rPr>
        <w:t>„(4)</w:t>
      </w:r>
      <w:r w:rsidRPr="00DC67EB">
        <w:rPr>
          <w:szCs w:val="24"/>
          <w:lang w:val="pt-PT" w:eastAsia="en-US"/>
        </w:rPr>
        <w:tab/>
        <w:t>A 4. cikkben foglalt környezeti célkitűzéseket, a 2008/105/EK irányelv I. mellékletének A. részében meghatározott környezetminőségi előírásokat, valamint az említett irányelv 8. és 8d. cikke alapján a vízgyűjtő-specifikus szennyező anyagokra vonatkozóan megállapított küszöbértékeket a 2010/75/EU irányelv alkalmazásában környezetminőségi előírásoknak kell tekinteni.”</w:t>
      </w:r>
    </w:p>
    <w:p w14:paraId="6EE3875F" w14:textId="77777777" w:rsidR="001D30D4" w:rsidRPr="00DC67EB" w:rsidRDefault="001D30D4" w:rsidP="001D30D4">
      <w:pPr>
        <w:spacing w:before="120" w:after="120" w:line="360" w:lineRule="auto"/>
        <w:ind w:left="850" w:hanging="850"/>
        <w:rPr>
          <w:szCs w:val="24"/>
          <w:lang w:val="pt-PT" w:eastAsia="en-US"/>
        </w:rPr>
      </w:pPr>
      <w:r w:rsidRPr="00DC67EB">
        <w:rPr>
          <w:szCs w:val="24"/>
          <w:lang w:val="pt-PT" w:eastAsia="en-US"/>
        </w:rPr>
        <w:t>17.</w:t>
      </w:r>
      <w:r w:rsidRPr="00DC67EB">
        <w:rPr>
          <w:szCs w:val="24"/>
          <w:lang w:val="pt-PT" w:eastAsia="en-US"/>
        </w:rPr>
        <w:tab/>
        <w:t>Az V. melléklet ezen irányelv I. mellékletének megfelelően módosul.</w:t>
      </w:r>
    </w:p>
    <w:p w14:paraId="29CD4432" w14:textId="77777777" w:rsidR="001D30D4" w:rsidRPr="00DC67EB" w:rsidRDefault="001D30D4" w:rsidP="001D30D4">
      <w:pPr>
        <w:spacing w:before="120" w:after="120" w:line="360" w:lineRule="auto"/>
        <w:ind w:left="850" w:hanging="850"/>
        <w:rPr>
          <w:szCs w:val="24"/>
          <w:lang w:val="pt-PT" w:eastAsia="en-US"/>
        </w:rPr>
      </w:pPr>
      <w:r w:rsidRPr="00DC67EB">
        <w:rPr>
          <w:szCs w:val="24"/>
          <w:lang w:val="pt-PT" w:eastAsia="en-US"/>
        </w:rPr>
        <w:t>18.</w:t>
      </w:r>
      <w:r w:rsidRPr="00DC67EB">
        <w:rPr>
          <w:szCs w:val="24"/>
          <w:lang w:val="pt-PT" w:eastAsia="en-US"/>
        </w:rPr>
        <w:tab/>
        <w:t>A VII. melléklet A. részének 7.7. pontja helyébe a következő szöveg lép:</w:t>
      </w:r>
    </w:p>
    <w:p w14:paraId="42BDEF3B" w14:textId="77777777" w:rsidR="001D30D4" w:rsidRPr="00DC67EB" w:rsidRDefault="001D30D4" w:rsidP="001D30D4">
      <w:pPr>
        <w:spacing w:before="120" w:after="120" w:line="360" w:lineRule="auto"/>
        <w:ind w:left="1416" w:hanging="566"/>
        <w:rPr>
          <w:szCs w:val="24"/>
          <w:lang w:val="pt-PT" w:eastAsia="en-US"/>
        </w:rPr>
      </w:pPr>
      <w:r w:rsidRPr="00DC67EB">
        <w:rPr>
          <w:szCs w:val="24"/>
          <w:lang w:val="pt-PT" w:eastAsia="en-US"/>
        </w:rPr>
        <w:t>„7.7.</w:t>
      </w:r>
      <w:r w:rsidRPr="00DC67EB">
        <w:rPr>
          <w:szCs w:val="24"/>
          <w:lang w:val="pt-PT" w:eastAsia="en-US"/>
        </w:rPr>
        <w:tab/>
        <w:t>az elsőbbségi anyagok kibocsátásának csökkentésére és az elsőbbségi veszélyes anyagok kibocsátásának fokozatos csökkentésére tett intézkedések összefoglalása;.”</w:t>
      </w:r>
    </w:p>
    <w:p w14:paraId="0B8F85B3" w14:textId="77777777" w:rsidR="001D30D4" w:rsidRPr="00DC67EB" w:rsidRDefault="001D30D4" w:rsidP="001D30D4">
      <w:pPr>
        <w:spacing w:before="120" w:after="120" w:line="360" w:lineRule="auto"/>
        <w:ind w:left="850" w:hanging="850"/>
        <w:rPr>
          <w:szCs w:val="24"/>
          <w:lang w:val="pt-PT" w:eastAsia="en-US"/>
        </w:rPr>
      </w:pPr>
      <w:r w:rsidRPr="00DC67EB">
        <w:rPr>
          <w:b/>
          <w:i/>
          <w:szCs w:val="24"/>
          <w:lang w:val="pt-PT" w:eastAsia="en-US"/>
        </w:rPr>
        <w:t>18a.</w:t>
      </w:r>
      <w:r w:rsidRPr="00DC67EB">
        <w:rPr>
          <w:szCs w:val="24"/>
          <w:lang w:val="pt-PT" w:eastAsia="en-US"/>
        </w:rPr>
        <w:tab/>
      </w:r>
      <w:r w:rsidRPr="00DC67EB">
        <w:rPr>
          <w:b/>
          <w:i/>
          <w:szCs w:val="24"/>
          <w:lang w:val="pt-PT" w:eastAsia="en-US"/>
        </w:rPr>
        <w:t>A VII. melléklet A. része a következő ponttal egészül ki:</w:t>
      </w:r>
    </w:p>
    <w:p w14:paraId="1C08E0A6" w14:textId="77777777" w:rsidR="001D30D4" w:rsidRPr="00DC67EB" w:rsidRDefault="001D30D4" w:rsidP="001D30D4">
      <w:pPr>
        <w:spacing w:before="120" w:after="120" w:line="360" w:lineRule="auto"/>
        <w:ind w:left="1416" w:hanging="566"/>
        <w:rPr>
          <w:b/>
          <w:szCs w:val="24"/>
          <w:lang w:val="pt-PT" w:eastAsia="en-US"/>
        </w:rPr>
      </w:pPr>
      <w:r w:rsidRPr="00DC67EB">
        <w:rPr>
          <w:szCs w:val="24"/>
          <w:lang w:val="pt-PT" w:eastAsia="en-US"/>
        </w:rPr>
        <w:t>„</w:t>
      </w:r>
      <w:r w:rsidR="00A75B5E">
        <w:rPr>
          <w:b/>
          <w:i/>
          <w:szCs w:val="24"/>
          <w:lang w:val="pt-PT" w:eastAsia="en-US"/>
        </w:rPr>
        <w:t>7.7a</w:t>
      </w:r>
      <w:r w:rsidRPr="00DC67EB">
        <w:rPr>
          <w:b/>
          <w:i/>
          <w:szCs w:val="24"/>
          <w:lang w:val="pt-PT" w:eastAsia="en-US"/>
        </w:rPr>
        <w:t>.</w:t>
      </w:r>
      <w:r w:rsidRPr="00DC67EB">
        <w:rPr>
          <w:szCs w:val="24"/>
          <w:lang w:val="pt-PT" w:eastAsia="en-US"/>
        </w:rPr>
        <w:tab/>
      </w:r>
      <w:r w:rsidRPr="00DC67EB">
        <w:rPr>
          <w:b/>
          <w:i/>
          <w:szCs w:val="24"/>
          <w:lang w:val="pt-PT" w:eastAsia="en-US"/>
        </w:rPr>
        <w:t xml:space="preserve"> a vízügyi ágazat nyomonkövetési szempontjainak digitalizálása érdekében hozott intézkedések összefoglalása;”</w:t>
      </w:r>
      <w:r w:rsidRPr="00DC67EB">
        <w:rPr>
          <w:b/>
          <w:szCs w:val="24"/>
          <w:lang w:val="pt-PT" w:eastAsia="en-US"/>
        </w:rPr>
        <w:t xml:space="preserve"> [</w:t>
      </w:r>
      <w:r w:rsidR="000536D5" w:rsidRPr="00DC67EB">
        <w:rPr>
          <w:b/>
          <w:szCs w:val="24"/>
          <w:lang w:eastAsia="en-US"/>
        </w:rPr>
        <w:t>Mód</w:t>
      </w:r>
      <w:r w:rsidRPr="00DC67EB">
        <w:rPr>
          <w:b/>
          <w:szCs w:val="24"/>
          <w:lang w:val="pt-PT" w:eastAsia="en-US"/>
        </w:rPr>
        <w:t>. 77]</w:t>
      </w:r>
    </w:p>
    <w:p w14:paraId="1B9EF1C3" w14:textId="77777777" w:rsidR="001D30D4" w:rsidRPr="00DC67EB" w:rsidRDefault="001D30D4" w:rsidP="001D30D4">
      <w:pPr>
        <w:spacing w:before="120" w:after="120" w:line="360" w:lineRule="auto"/>
        <w:ind w:left="850" w:hanging="850"/>
        <w:rPr>
          <w:szCs w:val="24"/>
          <w:lang w:val="pt-PT" w:eastAsia="en-US"/>
        </w:rPr>
      </w:pPr>
      <w:r w:rsidRPr="00DC67EB">
        <w:rPr>
          <w:szCs w:val="24"/>
          <w:lang w:val="pt-PT" w:eastAsia="en-US"/>
        </w:rPr>
        <w:t>19.</w:t>
      </w:r>
      <w:r w:rsidRPr="00DC67EB">
        <w:rPr>
          <w:szCs w:val="24"/>
          <w:lang w:val="pt-PT" w:eastAsia="en-US"/>
        </w:rPr>
        <w:tab/>
        <w:t>A VIII. melléklet ezen irányelv II. mellékletének megfelelően módosul.</w:t>
      </w:r>
    </w:p>
    <w:p w14:paraId="3BAD74D2" w14:textId="77777777" w:rsidR="001D30D4" w:rsidRPr="00DC67EB" w:rsidRDefault="001D30D4" w:rsidP="001D30D4">
      <w:pPr>
        <w:spacing w:before="120" w:after="120" w:line="360" w:lineRule="auto"/>
        <w:ind w:left="850" w:hanging="850"/>
        <w:rPr>
          <w:b/>
          <w:szCs w:val="24"/>
          <w:lang w:val="pt-PT" w:eastAsia="en-US"/>
        </w:rPr>
      </w:pPr>
      <w:r w:rsidRPr="00DC67EB">
        <w:rPr>
          <w:szCs w:val="24"/>
          <w:lang w:val="pt-PT" w:eastAsia="en-US"/>
        </w:rPr>
        <w:t>20.</w:t>
      </w:r>
      <w:r w:rsidRPr="00DC67EB">
        <w:rPr>
          <w:szCs w:val="24"/>
          <w:lang w:val="pt-PT" w:eastAsia="en-US"/>
        </w:rPr>
        <w:tab/>
      </w:r>
      <w:r w:rsidRPr="00DC67EB">
        <w:rPr>
          <w:b/>
          <w:i/>
          <w:szCs w:val="24"/>
          <w:lang w:val="pt-PT" w:eastAsia="en-US"/>
        </w:rPr>
        <w:t>A IX. és a X. mellékleteket</w:t>
      </w:r>
      <w:r w:rsidRPr="00DC67EB">
        <w:rPr>
          <w:strike/>
          <w:szCs w:val="24"/>
          <w:lang w:val="pt-PT" w:eastAsia="en-US"/>
        </w:rPr>
        <w:t>A X. mellékletet</w:t>
      </w:r>
      <w:r w:rsidRPr="00DC67EB">
        <w:rPr>
          <w:szCs w:val="24"/>
          <w:lang w:val="pt-PT" w:eastAsia="en-US"/>
        </w:rPr>
        <w:t xml:space="preserve"> el kell hagyni.</w:t>
      </w:r>
      <w:r w:rsidRPr="00DC67EB">
        <w:rPr>
          <w:b/>
          <w:szCs w:val="24"/>
          <w:lang w:val="pt-PT" w:eastAsia="en-US"/>
        </w:rPr>
        <w:t xml:space="preserve"> [</w:t>
      </w:r>
      <w:r w:rsidR="000536D5" w:rsidRPr="00DC67EB">
        <w:rPr>
          <w:b/>
          <w:szCs w:val="24"/>
          <w:lang w:eastAsia="en-US"/>
        </w:rPr>
        <w:t>Mód</w:t>
      </w:r>
      <w:r w:rsidRPr="00DC67EB">
        <w:rPr>
          <w:b/>
          <w:szCs w:val="24"/>
          <w:lang w:val="pt-PT" w:eastAsia="en-US"/>
        </w:rPr>
        <w:t>. 78]</w:t>
      </w:r>
    </w:p>
    <w:p w14:paraId="086771DC" w14:textId="77777777" w:rsidR="001D30D4" w:rsidRPr="00DC67EB" w:rsidRDefault="001D30D4" w:rsidP="001D30D4">
      <w:pPr>
        <w:spacing w:before="120" w:after="120" w:line="360" w:lineRule="auto"/>
        <w:jc w:val="center"/>
        <w:rPr>
          <w:szCs w:val="24"/>
          <w:lang w:val="pt-PT" w:eastAsia="en-US"/>
        </w:rPr>
      </w:pPr>
      <w:r w:rsidRPr="00DC67EB">
        <w:rPr>
          <w:szCs w:val="24"/>
          <w:lang w:val="pt-PT" w:eastAsia="en-US"/>
        </w:rPr>
        <w:br w:type="page"/>
      </w:r>
      <w:r w:rsidRPr="00DC67EB">
        <w:rPr>
          <w:szCs w:val="24"/>
          <w:lang w:val="pt-PT" w:eastAsia="en-US"/>
        </w:rPr>
        <w:lastRenderedPageBreak/>
        <w:t>2. cikk</w:t>
      </w:r>
      <w:r w:rsidRPr="00DC67EB">
        <w:rPr>
          <w:szCs w:val="24"/>
          <w:lang w:val="pt-PT" w:eastAsia="en-US"/>
        </w:rPr>
        <w:br/>
        <w:t>A 2006/118/EK irányelv módosításai</w:t>
      </w:r>
    </w:p>
    <w:p w14:paraId="0387C909" w14:textId="77777777" w:rsidR="001D30D4" w:rsidRPr="00DC67EB" w:rsidRDefault="001D30D4" w:rsidP="001D30D4">
      <w:pPr>
        <w:spacing w:before="120" w:after="120" w:line="360" w:lineRule="auto"/>
        <w:rPr>
          <w:szCs w:val="24"/>
          <w:lang w:val="pt-PT" w:eastAsia="en-US"/>
        </w:rPr>
      </w:pPr>
      <w:r w:rsidRPr="00DC67EB">
        <w:rPr>
          <w:szCs w:val="24"/>
          <w:lang w:val="pt-PT" w:eastAsia="en-US"/>
        </w:rPr>
        <w:t>A 2006/118/EK irányelv a következőképpen módosul:</w:t>
      </w:r>
    </w:p>
    <w:p w14:paraId="0B381605" w14:textId="77777777" w:rsidR="001D30D4" w:rsidRPr="00DC67EB" w:rsidRDefault="001D30D4" w:rsidP="001D30D4">
      <w:pPr>
        <w:spacing w:before="120" w:after="120" w:line="360" w:lineRule="auto"/>
        <w:ind w:left="850" w:hanging="850"/>
        <w:rPr>
          <w:szCs w:val="24"/>
          <w:lang w:val="pt-PT" w:eastAsia="en-US"/>
        </w:rPr>
      </w:pPr>
      <w:r w:rsidRPr="00DC67EB">
        <w:rPr>
          <w:szCs w:val="24"/>
          <w:lang w:val="pt-PT" w:eastAsia="en-US"/>
        </w:rPr>
        <w:t>1.</w:t>
      </w:r>
      <w:r w:rsidRPr="00DC67EB">
        <w:rPr>
          <w:szCs w:val="24"/>
          <w:lang w:val="pt-PT" w:eastAsia="en-US"/>
        </w:rPr>
        <w:tab/>
        <w:t>A cím helyébe a következő szöveg lép:</w:t>
      </w:r>
    </w:p>
    <w:p w14:paraId="01B176B1" w14:textId="77777777" w:rsidR="001D30D4" w:rsidRPr="00DC67EB" w:rsidRDefault="001D30D4" w:rsidP="001D30D4">
      <w:pPr>
        <w:spacing w:before="120" w:after="120" w:line="360" w:lineRule="auto"/>
        <w:ind w:left="850"/>
        <w:rPr>
          <w:szCs w:val="24"/>
          <w:lang w:val="pt-PT" w:eastAsia="en-US"/>
        </w:rPr>
      </w:pPr>
      <w:r w:rsidRPr="00DC67EB">
        <w:rPr>
          <w:szCs w:val="24"/>
          <w:lang w:val="pt-PT" w:eastAsia="en-US"/>
        </w:rPr>
        <w:t>„Az Európai Parlament és a Tanács 2006/118/EK irányelve (2006. december 12.) a felszín alatti vizek szennyezésének megelőzéséről és csökkentéséről”</w:t>
      </w:r>
    </w:p>
    <w:p w14:paraId="1023129C" w14:textId="77777777" w:rsidR="001D30D4" w:rsidRPr="00DC67EB" w:rsidRDefault="001D30D4" w:rsidP="001D30D4">
      <w:pPr>
        <w:spacing w:before="120" w:after="120" w:line="360" w:lineRule="auto"/>
        <w:ind w:left="850" w:hanging="850"/>
        <w:rPr>
          <w:szCs w:val="24"/>
          <w:lang w:val="pt-PT" w:eastAsia="en-US"/>
        </w:rPr>
      </w:pPr>
      <w:r w:rsidRPr="00DC67EB">
        <w:rPr>
          <w:szCs w:val="24"/>
          <w:lang w:val="pt-PT" w:eastAsia="en-US"/>
        </w:rPr>
        <w:t>2.</w:t>
      </w:r>
      <w:r w:rsidRPr="00DC67EB">
        <w:rPr>
          <w:szCs w:val="24"/>
          <w:lang w:val="pt-PT" w:eastAsia="en-US"/>
        </w:rPr>
        <w:tab/>
        <w:t>Az 1. cikk (1) bekezdése helyébe a következő szöveg lép:</w:t>
      </w:r>
    </w:p>
    <w:p w14:paraId="2C8DA7E4" w14:textId="77777777" w:rsidR="001D30D4" w:rsidRPr="00DC67EB" w:rsidRDefault="001D30D4" w:rsidP="001D30D4">
      <w:pPr>
        <w:spacing w:before="120" w:after="120" w:line="360" w:lineRule="auto"/>
        <w:ind w:left="1416" w:hanging="566"/>
        <w:rPr>
          <w:b/>
          <w:szCs w:val="24"/>
          <w:lang w:val="pt-PT" w:eastAsia="en-US"/>
        </w:rPr>
      </w:pPr>
      <w:r w:rsidRPr="00DC67EB">
        <w:rPr>
          <w:szCs w:val="24"/>
          <w:lang w:val="pt-PT" w:eastAsia="en-US"/>
        </w:rPr>
        <w:t>„(1)</w:t>
      </w:r>
      <w:r w:rsidRPr="00DC67EB">
        <w:rPr>
          <w:szCs w:val="24"/>
          <w:lang w:val="pt-PT" w:eastAsia="en-US"/>
        </w:rPr>
        <w:tab/>
        <w:t xml:space="preserve">Ez az irányelv egyedi intézkedéseket állapít meg a felszín alatti vizek szennyezésének megelőzésére és csökkentésére a 2000/60/EK irányelv 4. cikke (1) bekezdésének b) pontjában meghatározott környezetvédelmi célkitűzések teljesítése céljából. </w:t>
      </w:r>
      <w:r w:rsidRPr="00DC67EB">
        <w:rPr>
          <w:b/>
          <w:i/>
          <w:szCs w:val="24"/>
          <w:lang w:val="pt-PT" w:eastAsia="en-US"/>
        </w:rPr>
        <w:t xml:space="preserve">A meghozandó intézkedések hierarchiájában elsőbbséget kell biztosítani a korlátozásoknak és a forrásnál történő ellenőrzésre irányuló egyéb intézkedéseknek, adott esetben a folyamatvégi intézkedések jelentőségének sérelme nélkül. </w:t>
      </w:r>
      <w:r w:rsidRPr="00DC67EB">
        <w:rPr>
          <w:szCs w:val="24"/>
          <w:lang w:val="pt-PT" w:eastAsia="en-US"/>
        </w:rPr>
        <w:t>Ezen intézkedések az alábbiakat foglalják magukban:</w:t>
      </w:r>
      <w:r w:rsidRPr="00DC67EB">
        <w:rPr>
          <w:b/>
          <w:szCs w:val="24"/>
          <w:lang w:val="pt-PT" w:eastAsia="en-US"/>
        </w:rPr>
        <w:t xml:space="preserve"> [</w:t>
      </w:r>
      <w:r w:rsidR="000536D5" w:rsidRPr="00DC67EB">
        <w:rPr>
          <w:b/>
          <w:szCs w:val="24"/>
          <w:lang w:eastAsia="en-US"/>
        </w:rPr>
        <w:t>Mód</w:t>
      </w:r>
      <w:r w:rsidRPr="00DC67EB">
        <w:rPr>
          <w:b/>
          <w:szCs w:val="24"/>
          <w:lang w:val="pt-PT" w:eastAsia="en-US"/>
        </w:rPr>
        <w:t>. 79]</w:t>
      </w:r>
    </w:p>
    <w:p w14:paraId="516EAFAB" w14:textId="77777777" w:rsidR="001D30D4" w:rsidRPr="00DC67EB" w:rsidRDefault="001D30D4" w:rsidP="001D30D4">
      <w:pPr>
        <w:spacing w:before="120" w:after="120" w:line="360" w:lineRule="auto"/>
        <w:ind w:left="1982" w:hanging="566"/>
        <w:rPr>
          <w:szCs w:val="24"/>
          <w:lang w:val="pt-PT" w:eastAsia="en-US"/>
        </w:rPr>
      </w:pPr>
      <w:r w:rsidRPr="00DC67EB">
        <w:rPr>
          <w:szCs w:val="24"/>
          <w:lang w:val="pt-PT" w:eastAsia="en-US"/>
        </w:rPr>
        <w:t>a)</w:t>
      </w:r>
      <w:r w:rsidRPr="00DC67EB">
        <w:rPr>
          <w:szCs w:val="24"/>
          <w:lang w:val="pt-PT" w:eastAsia="en-US"/>
        </w:rPr>
        <w:tab/>
        <w:t>a felszín alatti vizek jó kémiai állapotának megítélésére szolgáló kritériumok;</w:t>
      </w:r>
    </w:p>
    <w:p w14:paraId="1E5604CC" w14:textId="77777777" w:rsidR="001D30D4" w:rsidRPr="00DC67EB" w:rsidRDefault="001D30D4" w:rsidP="001D30D4">
      <w:pPr>
        <w:spacing w:before="120" w:after="120" w:line="360" w:lineRule="auto"/>
        <w:ind w:left="1982" w:hanging="566"/>
        <w:rPr>
          <w:szCs w:val="24"/>
          <w:lang w:val="pt-PT" w:eastAsia="en-US"/>
        </w:rPr>
      </w:pPr>
      <w:r w:rsidRPr="00DC67EB">
        <w:rPr>
          <w:szCs w:val="24"/>
          <w:lang w:val="pt-PT" w:eastAsia="en-US"/>
        </w:rPr>
        <w:br w:type="page"/>
      </w:r>
      <w:r w:rsidRPr="00DC67EB">
        <w:rPr>
          <w:szCs w:val="24"/>
          <w:lang w:val="pt-PT" w:eastAsia="en-US"/>
        </w:rPr>
        <w:lastRenderedPageBreak/>
        <w:t>b)</w:t>
      </w:r>
      <w:r w:rsidRPr="00DC67EB">
        <w:rPr>
          <w:szCs w:val="24"/>
          <w:lang w:val="pt-PT" w:eastAsia="en-US"/>
        </w:rPr>
        <w:tab/>
        <w:t>a jelentős és tartósan emelkedő tendenciák azonosítására és megfordítására, valamint megfordulási pontjuk meghatározására szolgáló kritériumok.</w:t>
      </w:r>
    </w:p>
    <w:p w14:paraId="6502B922" w14:textId="77777777" w:rsidR="001D30D4" w:rsidRPr="00E441EF" w:rsidRDefault="001D30D4" w:rsidP="001D30D4">
      <w:pPr>
        <w:spacing w:before="120" w:after="120" w:line="360" w:lineRule="auto"/>
        <w:ind w:left="1982" w:hanging="566"/>
        <w:rPr>
          <w:b/>
          <w:szCs w:val="24"/>
          <w:lang w:val="pt-PT" w:eastAsia="en-US"/>
        </w:rPr>
      </w:pPr>
      <w:r w:rsidRPr="00DC67EB">
        <w:rPr>
          <w:b/>
          <w:i/>
          <w:szCs w:val="24"/>
          <w:lang w:val="pt-PT" w:eastAsia="en-US"/>
        </w:rPr>
        <w:t>ba)</w:t>
      </w:r>
      <w:r w:rsidRPr="00DC67EB">
        <w:rPr>
          <w:szCs w:val="24"/>
          <w:lang w:val="pt-PT" w:eastAsia="en-US"/>
        </w:rPr>
        <w:tab/>
      </w:r>
      <w:r w:rsidRPr="00DC67EB">
        <w:rPr>
          <w:b/>
          <w:i/>
          <w:szCs w:val="24"/>
          <w:lang w:val="pt-PT" w:eastAsia="en-US"/>
        </w:rPr>
        <w:t>a felszín alatti vizek jó ökológiai állapotának értékelésére szolgáló kritériumok.</w:t>
      </w:r>
      <w:r w:rsidRPr="00DC67EB">
        <w:rPr>
          <w:szCs w:val="24"/>
          <w:lang w:val="pt-PT" w:eastAsia="en-US"/>
        </w:rPr>
        <w:t>”</w:t>
      </w:r>
      <w:r w:rsidRPr="00DC67EB">
        <w:rPr>
          <w:b/>
          <w:szCs w:val="24"/>
          <w:lang w:val="pt-PT" w:eastAsia="en-US"/>
        </w:rPr>
        <w:t xml:space="preserve"> </w:t>
      </w:r>
      <w:r w:rsidRPr="00E441EF">
        <w:rPr>
          <w:b/>
          <w:szCs w:val="24"/>
          <w:lang w:val="pt-PT" w:eastAsia="en-US"/>
        </w:rPr>
        <w:t>[</w:t>
      </w:r>
      <w:r w:rsidR="000536D5" w:rsidRPr="00DC67EB">
        <w:rPr>
          <w:b/>
          <w:szCs w:val="24"/>
          <w:lang w:eastAsia="en-US"/>
        </w:rPr>
        <w:t>Mód</w:t>
      </w:r>
      <w:r w:rsidRPr="00E441EF">
        <w:rPr>
          <w:b/>
          <w:szCs w:val="24"/>
          <w:lang w:val="pt-PT" w:eastAsia="en-US"/>
        </w:rPr>
        <w:t>. 80]</w:t>
      </w:r>
    </w:p>
    <w:p w14:paraId="348541F1" w14:textId="77777777" w:rsidR="001D30D4" w:rsidRPr="00E441EF" w:rsidRDefault="001D30D4" w:rsidP="001D30D4">
      <w:pPr>
        <w:spacing w:before="120" w:after="120" w:line="360" w:lineRule="auto"/>
        <w:ind w:left="850" w:hanging="850"/>
        <w:rPr>
          <w:szCs w:val="24"/>
          <w:lang w:val="pt-PT" w:eastAsia="en-US"/>
        </w:rPr>
      </w:pPr>
      <w:r w:rsidRPr="00E441EF">
        <w:rPr>
          <w:szCs w:val="24"/>
          <w:lang w:val="pt-PT" w:eastAsia="en-US"/>
        </w:rPr>
        <w:t>3.</w:t>
      </w:r>
      <w:r w:rsidRPr="00E441EF">
        <w:rPr>
          <w:szCs w:val="24"/>
          <w:lang w:val="pt-PT" w:eastAsia="en-US"/>
        </w:rPr>
        <w:tab/>
        <w:t>A 2. cikkben a 2. pont helyébe a következő szöveg lép:</w:t>
      </w:r>
    </w:p>
    <w:p w14:paraId="773F864D" w14:textId="77777777" w:rsidR="001D30D4" w:rsidRPr="00E441EF" w:rsidRDefault="001D30D4" w:rsidP="001D30D4">
      <w:pPr>
        <w:spacing w:before="120" w:after="120" w:line="360" w:lineRule="auto"/>
        <w:ind w:left="1416" w:hanging="566"/>
        <w:rPr>
          <w:szCs w:val="24"/>
          <w:lang w:val="pt-PT" w:eastAsia="en-US"/>
        </w:rPr>
      </w:pPr>
      <w:r w:rsidRPr="00E441EF">
        <w:rPr>
          <w:szCs w:val="24"/>
          <w:lang w:val="pt-PT" w:eastAsia="en-US"/>
        </w:rPr>
        <w:t>„2.</w:t>
      </w:r>
      <w:r w:rsidRPr="00E441EF">
        <w:rPr>
          <w:szCs w:val="24"/>
          <w:lang w:val="pt-PT" w:eastAsia="en-US"/>
        </w:rPr>
        <w:tab/>
        <w:t>»küszöbérték«: a felszín alatti vizek minőségére vonatkozó, a tagállamok által a 3. cikk (1) bekezdésének b) pontjával összhangban vagy uniós szinten a 8. cikk (3) bekezdésével összhangban meghatározott előírás;”</w:t>
      </w:r>
    </w:p>
    <w:p w14:paraId="5B102A50" w14:textId="77777777" w:rsidR="001D30D4" w:rsidRPr="00E441EF" w:rsidRDefault="001D30D4" w:rsidP="001D30D4">
      <w:pPr>
        <w:spacing w:before="120" w:after="120" w:line="360" w:lineRule="auto"/>
        <w:ind w:left="850" w:hanging="850"/>
        <w:rPr>
          <w:szCs w:val="24"/>
          <w:lang w:val="pt-PT" w:eastAsia="en-US"/>
        </w:rPr>
      </w:pPr>
      <w:r w:rsidRPr="00E441EF">
        <w:rPr>
          <w:szCs w:val="24"/>
          <w:lang w:val="pt-PT" w:eastAsia="en-US"/>
        </w:rPr>
        <w:t>4.</w:t>
      </w:r>
      <w:r w:rsidRPr="00E441EF">
        <w:rPr>
          <w:szCs w:val="24"/>
          <w:lang w:val="pt-PT" w:eastAsia="en-US"/>
        </w:rPr>
        <w:tab/>
        <w:t>A 3. cikk a következőképpen módosul:</w:t>
      </w:r>
    </w:p>
    <w:p w14:paraId="16342019" w14:textId="77777777" w:rsidR="001D30D4" w:rsidRPr="00E441EF" w:rsidRDefault="001D30D4" w:rsidP="001D30D4">
      <w:pPr>
        <w:spacing w:before="120" w:after="120" w:line="360" w:lineRule="auto"/>
        <w:ind w:left="1416" w:hanging="566"/>
        <w:rPr>
          <w:szCs w:val="24"/>
          <w:lang w:val="pt-PT" w:eastAsia="en-US"/>
        </w:rPr>
      </w:pPr>
      <w:r w:rsidRPr="00E441EF">
        <w:rPr>
          <w:szCs w:val="24"/>
          <w:lang w:val="pt-PT" w:eastAsia="en-US"/>
        </w:rPr>
        <w:t>a)</w:t>
      </w:r>
      <w:r w:rsidRPr="00E441EF">
        <w:rPr>
          <w:szCs w:val="24"/>
          <w:lang w:val="pt-PT" w:eastAsia="en-US"/>
        </w:rPr>
        <w:tab/>
        <w:t>az (1) bekezdés első albekezdése a következő c) ponttal egészül ki:</w:t>
      </w:r>
    </w:p>
    <w:p w14:paraId="68C01B2C" w14:textId="77777777" w:rsidR="001D30D4" w:rsidRPr="00E441EF" w:rsidRDefault="001D30D4" w:rsidP="001D30D4">
      <w:pPr>
        <w:spacing w:before="120" w:after="120" w:line="360" w:lineRule="auto"/>
        <w:ind w:left="1982" w:hanging="566"/>
        <w:rPr>
          <w:szCs w:val="24"/>
          <w:lang w:val="pt-PT" w:eastAsia="en-US"/>
        </w:rPr>
      </w:pPr>
      <w:r w:rsidRPr="00E441EF">
        <w:rPr>
          <w:szCs w:val="24"/>
          <w:lang w:val="pt-PT" w:eastAsia="en-US"/>
        </w:rPr>
        <w:t>„c)</w:t>
      </w:r>
      <w:r w:rsidRPr="00E441EF">
        <w:rPr>
          <w:szCs w:val="24"/>
          <w:lang w:val="pt-PT" w:eastAsia="en-US"/>
        </w:rPr>
        <w:tab/>
        <w:t>az ezen irányelv 8. cikkének (3) bekezdésével összhangban uniós szinten meghatározott és az ezen irányelv II. mellékletének D. részében felsorolt küszöbértékek.;”</w:t>
      </w:r>
    </w:p>
    <w:p w14:paraId="2CDF5AC0" w14:textId="77777777" w:rsidR="001D30D4" w:rsidRPr="00E441EF" w:rsidRDefault="001D30D4" w:rsidP="001D30D4">
      <w:pPr>
        <w:spacing w:before="120" w:after="120" w:line="360" w:lineRule="auto"/>
        <w:ind w:left="1416" w:hanging="566"/>
        <w:rPr>
          <w:szCs w:val="24"/>
          <w:lang w:val="pt-PT" w:eastAsia="en-US"/>
        </w:rPr>
      </w:pPr>
      <w:r w:rsidRPr="00E441EF">
        <w:rPr>
          <w:b/>
          <w:i/>
          <w:szCs w:val="24"/>
          <w:lang w:val="pt-PT" w:eastAsia="en-US"/>
        </w:rPr>
        <w:br w:type="page"/>
      </w:r>
      <w:r w:rsidRPr="00E441EF">
        <w:rPr>
          <w:b/>
          <w:i/>
          <w:szCs w:val="24"/>
          <w:lang w:val="pt-PT" w:eastAsia="en-US"/>
        </w:rPr>
        <w:lastRenderedPageBreak/>
        <w:t>aa)</w:t>
      </w:r>
      <w:r w:rsidRPr="00E441EF">
        <w:rPr>
          <w:szCs w:val="24"/>
          <w:lang w:val="pt-PT" w:eastAsia="en-US"/>
        </w:rPr>
        <w:tab/>
      </w:r>
      <w:r w:rsidRPr="00E441EF">
        <w:rPr>
          <w:b/>
          <w:i/>
          <w:szCs w:val="24"/>
          <w:lang w:val="pt-PT" w:eastAsia="en-US"/>
        </w:rPr>
        <w:t>a (1) bekezdés a következő albekezdéssel egészül ki:</w:t>
      </w:r>
    </w:p>
    <w:p w14:paraId="0FA94395" w14:textId="77777777" w:rsidR="001D30D4" w:rsidRPr="00E441EF" w:rsidRDefault="001D30D4" w:rsidP="001D30D4">
      <w:pPr>
        <w:spacing w:before="120" w:after="120" w:line="360" w:lineRule="auto"/>
        <w:ind w:left="1416"/>
        <w:rPr>
          <w:b/>
          <w:szCs w:val="24"/>
          <w:lang w:val="pt-PT" w:eastAsia="en-US"/>
        </w:rPr>
      </w:pPr>
      <w:r w:rsidRPr="00E441EF">
        <w:rPr>
          <w:szCs w:val="24"/>
          <w:lang w:val="pt-PT" w:eastAsia="en-US"/>
        </w:rPr>
        <w:t>„</w:t>
      </w:r>
      <w:r w:rsidRPr="00E441EF">
        <w:rPr>
          <w:b/>
          <w:i/>
          <w:szCs w:val="24"/>
          <w:lang w:val="pt-PT" w:eastAsia="en-US"/>
        </w:rPr>
        <w:t>A felszín alatti vizekre alkalmazandó küszöbértékeknek tízszer alacsonyabbnak kell lenniük a felszíni vizekre vonatkozó megfelelő környezetminőségi előírásoknál, kivéve azokat az eseteket, amikor megállapítható a felszín alatti vizek ökoszisztémájára jelentett tényleges kockázat, és ilyenkor helyénvaló lehet a felszín alatti vizekre vonatkozó küszöbértékeket eltérő szinten meghatározni.</w:t>
      </w:r>
      <w:r w:rsidRPr="00E441EF">
        <w:rPr>
          <w:szCs w:val="24"/>
          <w:lang w:val="pt-PT" w:eastAsia="en-US"/>
        </w:rPr>
        <w:t>”</w:t>
      </w:r>
      <w:r w:rsidRPr="00E441EF">
        <w:rPr>
          <w:b/>
          <w:szCs w:val="24"/>
          <w:lang w:val="pt-PT" w:eastAsia="en-US"/>
        </w:rPr>
        <w:t xml:space="preserve"> [</w:t>
      </w:r>
      <w:r w:rsidR="000536D5" w:rsidRPr="00DC67EB">
        <w:rPr>
          <w:b/>
          <w:szCs w:val="24"/>
          <w:lang w:eastAsia="en-US"/>
        </w:rPr>
        <w:t>Mód</w:t>
      </w:r>
      <w:r w:rsidRPr="00E441EF">
        <w:rPr>
          <w:b/>
          <w:szCs w:val="24"/>
          <w:lang w:val="pt-PT" w:eastAsia="en-US"/>
        </w:rPr>
        <w:t>. 81]</w:t>
      </w:r>
    </w:p>
    <w:p w14:paraId="6B9257B5" w14:textId="77777777" w:rsidR="001D30D4" w:rsidRPr="00E441EF" w:rsidRDefault="001D30D4" w:rsidP="001D30D4">
      <w:pPr>
        <w:spacing w:before="120" w:after="120" w:line="360" w:lineRule="auto"/>
        <w:ind w:left="1416" w:hanging="566"/>
        <w:rPr>
          <w:szCs w:val="24"/>
          <w:lang w:val="pt-PT" w:eastAsia="en-US"/>
        </w:rPr>
      </w:pPr>
      <w:r w:rsidRPr="00E441EF">
        <w:rPr>
          <w:szCs w:val="24"/>
          <w:lang w:val="pt-PT" w:eastAsia="en-US"/>
        </w:rPr>
        <w:t>b)</w:t>
      </w:r>
      <w:r w:rsidRPr="00E441EF">
        <w:rPr>
          <w:szCs w:val="24"/>
          <w:lang w:val="pt-PT" w:eastAsia="en-US"/>
        </w:rPr>
        <w:tab/>
        <w:t>a (2) bekezdés helyébe a következő szöveg lép:</w:t>
      </w:r>
    </w:p>
    <w:p w14:paraId="683BBDE0" w14:textId="77777777" w:rsidR="001D30D4" w:rsidRPr="00E441EF" w:rsidRDefault="001D30D4" w:rsidP="001D30D4">
      <w:pPr>
        <w:spacing w:before="120" w:after="120" w:line="360" w:lineRule="auto"/>
        <w:ind w:left="1982" w:hanging="566"/>
        <w:rPr>
          <w:szCs w:val="24"/>
          <w:lang w:val="pt-PT" w:eastAsia="en-US"/>
        </w:rPr>
      </w:pPr>
      <w:r w:rsidRPr="00E441EF">
        <w:rPr>
          <w:szCs w:val="24"/>
          <w:lang w:val="pt-PT" w:eastAsia="en-US"/>
        </w:rPr>
        <w:t>„(2)</w:t>
      </w:r>
      <w:r w:rsidRPr="00E441EF">
        <w:rPr>
          <w:szCs w:val="24"/>
          <w:lang w:val="pt-PT" w:eastAsia="en-US"/>
        </w:rPr>
        <w:tab/>
        <w:t>Az (1) bekezdés b) pontjában említett küszöbértékeket meg lehet határozni nemzeti szinten, a vízgyűjtő kerület vagy a nemzetközi vízgyűjtő kerületnek a tagállam területére eső részének szintjén, illetve a felszín alatti víztest vagy felszín alatti víztest-csoport szintjén.;”</w:t>
      </w:r>
    </w:p>
    <w:p w14:paraId="56F035C8" w14:textId="77777777" w:rsidR="001D30D4" w:rsidRPr="00E441EF" w:rsidRDefault="001D30D4" w:rsidP="001D30D4">
      <w:pPr>
        <w:spacing w:before="120" w:after="120" w:line="360" w:lineRule="auto"/>
        <w:ind w:left="1416" w:hanging="566"/>
        <w:rPr>
          <w:szCs w:val="24"/>
          <w:lang w:val="pt-PT" w:eastAsia="en-US"/>
        </w:rPr>
      </w:pPr>
      <w:r w:rsidRPr="00E441EF">
        <w:rPr>
          <w:szCs w:val="24"/>
          <w:lang w:val="pt-PT" w:eastAsia="en-US"/>
        </w:rPr>
        <w:br w:type="page"/>
      </w:r>
      <w:r w:rsidRPr="00E441EF">
        <w:rPr>
          <w:szCs w:val="24"/>
          <w:lang w:val="pt-PT" w:eastAsia="en-US"/>
        </w:rPr>
        <w:lastRenderedPageBreak/>
        <w:t>c)</w:t>
      </w:r>
      <w:r w:rsidRPr="00E441EF">
        <w:rPr>
          <w:szCs w:val="24"/>
          <w:lang w:val="pt-PT" w:eastAsia="en-US"/>
        </w:rPr>
        <w:tab/>
        <w:t>az (5) bekezdés helyébe a következő szöveg lép:</w:t>
      </w:r>
    </w:p>
    <w:p w14:paraId="584C19B7" w14:textId="77777777" w:rsidR="001D30D4" w:rsidRPr="00E441EF" w:rsidRDefault="001D30D4" w:rsidP="001D30D4">
      <w:pPr>
        <w:spacing w:before="120" w:after="120" w:line="360" w:lineRule="auto"/>
        <w:ind w:left="1982" w:hanging="566"/>
        <w:rPr>
          <w:szCs w:val="24"/>
          <w:lang w:val="pt-PT" w:eastAsia="en-US"/>
        </w:rPr>
      </w:pPr>
      <w:r w:rsidRPr="00E441EF">
        <w:rPr>
          <w:szCs w:val="24"/>
          <w:lang w:val="pt-PT" w:eastAsia="en-US"/>
        </w:rPr>
        <w:t>„(5)</w:t>
      </w:r>
      <w:r w:rsidRPr="00E441EF">
        <w:rPr>
          <w:szCs w:val="24"/>
          <w:lang w:val="pt-PT" w:eastAsia="en-US"/>
        </w:rPr>
        <w:tab/>
        <w:t>Az (1) bekezdésben említett valamennyi küszöbértéket – az ezen irányelv II. mellékletének C. részében meghatározott információk összefoglalásával együtt – közzé kell tenni a 2000/60/EK irányelv 13. cikkével összhangban kidolgozandó vízgyűjtő-gazdálkodási tervekben.</w:t>
      </w:r>
    </w:p>
    <w:p w14:paraId="7A835612" w14:textId="77777777" w:rsidR="001D30D4" w:rsidRPr="00E441EF" w:rsidRDefault="001D30D4" w:rsidP="001D30D4">
      <w:pPr>
        <w:spacing w:before="120" w:after="120" w:line="360" w:lineRule="auto"/>
        <w:ind w:left="1982"/>
        <w:rPr>
          <w:szCs w:val="24"/>
          <w:lang w:val="pt-PT" w:eastAsia="en-US"/>
        </w:rPr>
      </w:pPr>
      <w:r w:rsidRPr="00E441EF">
        <w:rPr>
          <w:szCs w:val="24"/>
          <w:lang w:val="pt-PT" w:eastAsia="en-US"/>
        </w:rPr>
        <w:t>A tagállamok [Kiadóhivatal: kérjük, illesszék be az ezen irányelv hatálybalépését 18 hónappal követő hónap első napját]-ig tájékoztatják az Európai Vegyianyag-ügynökséget (ECHA) az (1) bekezdés b) pontjában említett nemzeti szintű küszöbértékekről. Az ECHA ezeket az információkat nyilvánosan hozzáférhetővé teszi.;</w:t>
      </w:r>
    </w:p>
    <w:p w14:paraId="1B89F384" w14:textId="77777777" w:rsidR="000105EC" w:rsidRDefault="000105EC" w:rsidP="000105EC">
      <w:pPr>
        <w:spacing w:before="120" w:after="120" w:line="360" w:lineRule="auto"/>
        <w:ind w:left="1985" w:hanging="992"/>
        <w:rPr>
          <w:b/>
          <w:i/>
          <w:szCs w:val="24"/>
          <w:lang w:val="pt-PT" w:eastAsia="en-US"/>
        </w:rPr>
      </w:pPr>
      <w:r>
        <w:rPr>
          <w:b/>
          <w:i/>
          <w:szCs w:val="24"/>
          <w:lang w:val="pt-PT" w:eastAsia="en-US"/>
        </w:rPr>
        <w:t>c</w:t>
      </w:r>
      <w:r w:rsidRPr="00E441EF">
        <w:rPr>
          <w:b/>
          <w:i/>
          <w:szCs w:val="24"/>
          <w:lang w:val="pt-PT" w:eastAsia="en-US"/>
        </w:rPr>
        <w:t>a)</w:t>
      </w:r>
      <w:r w:rsidRPr="00E441EF">
        <w:rPr>
          <w:b/>
          <w:i/>
          <w:szCs w:val="24"/>
          <w:lang w:val="pt-PT" w:eastAsia="en-US"/>
        </w:rPr>
        <w:tab/>
      </w:r>
      <w:r w:rsidRPr="00631CDB">
        <w:rPr>
          <w:b/>
          <w:i/>
          <w:szCs w:val="24"/>
          <w:lang w:val="pt-PT" w:eastAsia="en-US"/>
        </w:rPr>
        <w:t>a</w:t>
      </w:r>
      <w:r>
        <w:rPr>
          <w:b/>
          <w:i/>
          <w:szCs w:val="24"/>
          <w:lang w:val="pt-PT" w:eastAsia="en-US"/>
        </w:rPr>
        <w:t>z</w:t>
      </w:r>
      <w:r w:rsidRPr="00631CDB">
        <w:rPr>
          <w:b/>
          <w:i/>
          <w:szCs w:val="24"/>
          <w:lang w:val="pt-PT" w:eastAsia="en-US"/>
        </w:rPr>
        <w:t xml:space="preserve"> (</w:t>
      </w:r>
      <w:r>
        <w:rPr>
          <w:b/>
          <w:i/>
          <w:szCs w:val="24"/>
          <w:lang w:val="pt-PT" w:eastAsia="en-US"/>
        </w:rPr>
        <w:t>5</w:t>
      </w:r>
      <w:r w:rsidRPr="00631CDB">
        <w:rPr>
          <w:b/>
          <w:i/>
          <w:szCs w:val="24"/>
          <w:lang w:val="pt-PT" w:eastAsia="en-US"/>
        </w:rPr>
        <w:t>) bekezdés a következő albekezdéssel egészül ki:</w:t>
      </w:r>
    </w:p>
    <w:p w14:paraId="164FD5EA" w14:textId="77777777" w:rsidR="000105EC" w:rsidRPr="00E441EF" w:rsidRDefault="000105EC" w:rsidP="000105EC">
      <w:pPr>
        <w:spacing w:before="120" w:after="120" w:line="360" w:lineRule="auto"/>
        <w:ind w:left="1985" w:hanging="3"/>
        <w:rPr>
          <w:b/>
          <w:szCs w:val="24"/>
          <w:lang w:val="pt-PT" w:eastAsia="en-US"/>
        </w:rPr>
      </w:pPr>
      <w:r>
        <w:rPr>
          <w:b/>
          <w:i/>
          <w:szCs w:val="24"/>
          <w:lang w:val="pt-PT" w:eastAsia="en-US"/>
        </w:rPr>
        <w:t>“</w:t>
      </w:r>
      <w:r w:rsidRPr="00E441EF">
        <w:rPr>
          <w:b/>
          <w:i/>
          <w:szCs w:val="24"/>
          <w:lang w:val="pt-PT" w:eastAsia="en-US"/>
        </w:rPr>
        <w:t>A tagállamok biztosítják, hogy az érintett vízgyűjtő kerületnek vagy a nemzetközi vízgyűjtő kerület valamely tagállam területére eső részének a lakosait megfelelően és időben tájékoztassák.</w:t>
      </w:r>
      <w:r w:rsidRPr="00E441EF">
        <w:rPr>
          <w:szCs w:val="24"/>
          <w:lang w:val="pt-PT" w:eastAsia="en-US"/>
        </w:rPr>
        <w:t>”</w:t>
      </w:r>
      <w:r w:rsidRPr="00E441EF">
        <w:rPr>
          <w:b/>
          <w:szCs w:val="24"/>
          <w:lang w:val="pt-PT" w:eastAsia="en-US"/>
        </w:rPr>
        <w:t xml:space="preserve"> [</w:t>
      </w:r>
      <w:r w:rsidRPr="00DC67EB">
        <w:rPr>
          <w:b/>
          <w:szCs w:val="24"/>
          <w:lang w:eastAsia="en-US"/>
        </w:rPr>
        <w:t>Mód</w:t>
      </w:r>
      <w:r w:rsidRPr="00E441EF">
        <w:rPr>
          <w:b/>
          <w:szCs w:val="24"/>
          <w:lang w:val="pt-PT" w:eastAsia="en-US"/>
        </w:rPr>
        <w:t>. 82]</w:t>
      </w:r>
    </w:p>
    <w:p w14:paraId="0FCE2603" w14:textId="77777777" w:rsidR="001D30D4" w:rsidRPr="00E441EF" w:rsidRDefault="001D30D4" w:rsidP="001D30D4">
      <w:pPr>
        <w:spacing w:before="120" w:after="120" w:line="360" w:lineRule="auto"/>
        <w:ind w:left="1416" w:hanging="566"/>
        <w:rPr>
          <w:szCs w:val="24"/>
          <w:lang w:val="pt-PT" w:eastAsia="en-US"/>
        </w:rPr>
      </w:pPr>
      <w:r w:rsidRPr="00E441EF">
        <w:rPr>
          <w:szCs w:val="24"/>
          <w:lang w:val="pt-PT" w:eastAsia="en-US"/>
        </w:rPr>
        <w:br w:type="page"/>
      </w:r>
      <w:r w:rsidRPr="00E441EF">
        <w:rPr>
          <w:szCs w:val="24"/>
          <w:lang w:val="pt-PT" w:eastAsia="en-US"/>
        </w:rPr>
        <w:lastRenderedPageBreak/>
        <w:t>d)</w:t>
      </w:r>
      <w:r w:rsidRPr="00E441EF">
        <w:rPr>
          <w:szCs w:val="24"/>
          <w:lang w:val="pt-PT" w:eastAsia="en-US"/>
        </w:rPr>
        <w:tab/>
        <w:t>a (6) bekezdés első albekezdésének helyébe a következő szöveg lép:</w:t>
      </w:r>
    </w:p>
    <w:p w14:paraId="7294F6D0" w14:textId="77777777" w:rsidR="001D30D4" w:rsidRPr="00E441EF" w:rsidRDefault="001D30D4" w:rsidP="001D30D4">
      <w:pPr>
        <w:spacing w:before="120" w:after="120" w:line="360" w:lineRule="auto"/>
        <w:ind w:left="1416"/>
        <w:rPr>
          <w:b/>
          <w:szCs w:val="24"/>
          <w:lang w:val="pt-PT" w:eastAsia="en-US"/>
        </w:rPr>
      </w:pPr>
      <w:r w:rsidRPr="00E441EF">
        <w:rPr>
          <w:szCs w:val="24"/>
          <w:lang w:val="pt-PT" w:eastAsia="en-US"/>
        </w:rPr>
        <w:t xml:space="preserve">„A tagállamok minden olyan esetben módosítják a területükön alkalmazott küszöbértékek listáját, amennyiben a szennyező anyagokra, a szennyező anyagok csoportjaira vagy a szennyezési indikátorokra vonatkozó új információk </w:t>
      </w:r>
      <w:r w:rsidRPr="00E441EF">
        <w:rPr>
          <w:b/>
          <w:i/>
          <w:szCs w:val="24"/>
          <w:lang w:val="pt-PT" w:eastAsia="en-US"/>
        </w:rPr>
        <w:t xml:space="preserve">– az elővigyázatosság elvét is figyelembe véve –  </w:t>
      </w:r>
      <w:r w:rsidRPr="00E441EF">
        <w:rPr>
          <w:szCs w:val="24"/>
          <w:lang w:val="pt-PT" w:eastAsia="en-US"/>
        </w:rPr>
        <w:t>azt jelzik, hogy további anyagokra kell küszöbértéket meghatározni, vagy a már létező küszöbértéket módosítani kell, illetve a felsorolásból korábban törölt küszöbértéket vissza kell állítani. Amennyiben a vonatkozó küszöbértékeket uniós szinten állapítják meg vagy módosítják, a tagállamok a területükön alkalmazott küszöbértékek listáját ezekhez az értékekhez igazítják.”</w:t>
      </w:r>
      <w:r w:rsidRPr="00E441EF">
        <w:rPr>
          <w:b/>
          <w:szCs w:val="24"/>
          <w:lang w:val="pt-PT" w:eastAsia="en-US"/>
        </w:rPr>
        <w:t xml:space="preserve"> [</w:t>
      </w:r>
      <w:r w:rsidR="000536D5" w:rsidRPr="00DC67EB">
        <w:rPr>
          <w:b/>
          <w:szCs w:val="24"/>
          <w:lang w:eastAsia="en-US"/>
        </w:rPr>
        <w:t>Mód</w:t>
      </w:r>
      <w:r w:rsidRPr="00E441EF">
        <w:rPr>
          <w:b/>
          <w:szCs w:val="24"/>
          <w:lang w:val="pt-PT" w:eastAsia="en-US"/>
        </w:rPr>
        <w:t>. 83]</w:t>
      </w:r>
    </w:p>
    <w:p w14:paraId="57CD6C77" w14:textId="77777777" w:rsidR="001D30D4" w:rsidRPr="00E441EF" w:rsidRDefault="000536D5" w:rsidP="00A75B5E">
      <w:pPr>
        <w:spacing w:before="120" w:after="120" w:line="360" w:lineRule="auto"/>
        <w:ind w:left="1416" w:hanging="566"/>
        <w:rPr>
          <w:szCs w:val="24"/>
          <w:lang w:val="pt-PT" w:eastAsia="en-US"/>
        </w:rPr>
      </w:pPr>
      <w:r w:rsidRPr="00E441EF">
        <w:rPr>
          <w:b/>
          <w:i/>
          <w:szCs w:val="24"/>
          <w:lang w:val="pt-PT" w:eastAsia="en-US"/>
        </w:rPr>
        <w:t>e)</w:t>
      </w:r>
      <w:r w:rsidR="001D30D4" w:rsidRPr="00E441EF">
        <w:rPr>
          <w:szCs w:val="24"/>
          <w:lang w:val="pt-PT" w:eastAsia="en-US"/>
        </w:rPr>
        <w:tab/>
      </w:r>
      <w:r w:rsidR="001D30D4" w:rsidRPr="00E441EF">
        <w:rPr>
          <w:b/>
          <w:i/>
          <w:szCs w:val="24"/>
          <w:lang w:val="pt-PT" w:eastAsia="en-US"/>
        </w:rPr>
        <w:t>A (7) bekezdés helyébe a következő szöveg lép:</w:t>
      </w:r>
    </w:p>
    <w:p w14:paraId="7EC70870" w14:textId="77777777" w:rsidR="001D30D4" w:rsidRPr="00E441EF" w:rsidRDefault="001D30D4" w:rsidP="000536D5">
      <w:pPr>
        <w:spacing w:before="120" w:after="120" w:line="360" w:lineRule="auto"/>
        <w:ind w:left="1985" w:hanging="569"/>
        <w:rPr>
          <w:b/>
          <w:szCs w:val="24"/>
          <w:lang w:val="pt-PT" w:eastAsia="en-US"/>
        </w:rPr>
      </w:pPr>
      <w:r w:rsidRPr="00E441EF">
        <w:rPr>
          <w:b/>
          <w:i/>
          <w:szCs w:val="24"/>
          <w:lang w:val="pt-PT" w:eastAsia="en-US"/>
        </w:rPr>
        <w:t>„(7)</w:t>
      </w:r>
      <w:r w:rsidR="000536D5" w:rsidRPr="00E441EF">
        <w:rPr>
          <w:b/>
          <w:i/>
          <w:szCs w:val="24"/>
          <w:lang w:val="pt-PT" w:eastAsia="en-US"/>
        </w:rPr>
        <w:tab/>
      </w:r>
      <w:r w:rsidRPr="00E441EF">
        <w:rPr>
          <w:b/>
          <w:i/>
          <w:szCs w:val="24"/>
          <w:lang w:val="pt-PT" w:eastAsia="en-US"/>
        </w:rPr>
        <w:t>A Bizottság az (1) bekezdés b) pontjában említett nemzeti küszöbértékekről szóló jelentést egy évvel azután teszi közzé, hogy a tagállamok az (5) bekezdéssel összhangban az ECHA rendelkezésére bocsátották ezt az információt.”</w:t>
      </w:r>
      <w:r w:rsidRPr="00E441EF">
        <w:rPr>
          <w:b/>
          <w:szCs w:val="24"/>
          <w:lang w:val="pt-PT" w:eastAsia="en-US"/>
        </w:rPr>
        <w:t xml:space="preserve"> [</w:t>
      </w:r>
      <w:r w:rsidR="000536D5" w:rsidRPr="00DC67EB">
        <w:rPr>
          <w:b/>
          <w:szCs w:val="24"/>
          <w:lang w:eastAsia="en-US"/>
        </w:rPr>
        <w:t>Mód</w:t>
      </w:r>
      <w:r w:rsidRPr="00E441EF">
        <w:rPr>
          <w:b/>
          <w:szCs w:val="24"/>
          <w:lang w:val="pt-PT" w:eastAsia="en-US"/>
        </w:rPr>
        <w:t>. 84]</w:t>
      </w:r>
    </w:p>
    <w:p w14:paraId="349BB084" w14:textId="77777777" w:rsidR="001D30D4" w:rsidRPr="00E441EF" w:rsidRDefault="001D30D4" w:rsidP="001D30D4">
      <w:pPr>
        <w:spacing w:before="120" w:after="120" w:line="360" w:lineRule="auto"/>
        <w:ind w:left="850" w:hanging="850"/>
        <w:rPr>
          <w:szCs w:val="24"/>
          <w:lang w:val="pt-PT" w:eastAsia="en-US"/>
        </w:rPr>
      </w:pPr>
      <w:r w:rsidRPr="00E441EF">
        <w:rPr>
          <w:szCs w:val="24"/>
          <w:lang w:val="pt-PT" w:eastAsia="en-US"/>
        </w:rPr>
        <w:br w:type="page"/>
      </w:r>
      <w:r w:rsidRPr="00E441EF">
        <w:rPr>
          <w:szCs w:val="24"/>
          <w:lang w:val="pt-PT" w:eastAsia="en-US"/>
        </w:rPr>
        <w:lastRenderedPageBreak/>
        <w:t>5.</w:t>
      </w:r>
      <w:r w:rsidRPr="00E441EF">
        <w:rPr>
          <w:szCs w:val="24"/>
          <w:lang w:val="pt-PT" w:eastAsia="en-US"/>
        </w:rPr>
        <w:tab/>
        <w:t>A 4. cikk (2) bekezdésének b) pontja helyébe a következő szöveg lép:</w:t>
      </w:r>
    </w:p>
    <w:p w14:paraId="53CF8D4C" w14:textId="77777777" w:rsidR="001D30D4" w:rsidRPr="00E441EF" w:rsidRDefault="001D30D4" w:rsidP="001D30D4">
      <w:pPr>
        <w:spacing w:before="120" w:after="120" w:line="360" w:lineRule="auto"/>
        <w:ind w:left="1416" w:hanging="566"/>
        <w:rPr>
          <w:szCs w:val="24"/>
          <w:lang w:val="pt-PT" w:eastAsia="en-US"/>
        </w:rPr>
      </w:pPr>
      <w:r w:rsidRPr="00E441EF">
        <w:rPr>
          <w:szCs w:val="24"/>
          <w:lang w:val="pt-PT" w:eastAsia="en-US"/>
        </w:rPr>
        <w:t>„b)</w:t>
      </w:r>
      <w:r w:rsidRPr="00E441EF">
        <w:rPr>
          <w:szCs w:val="24"/>
          <w:lang w:val="pt-PT" w:eastAsia="en-US"/>
        </w:rPr>
        <w:tab/>
        <w:t>a felszín alatti vizek minőségi előírásainak I. mellékletben felsorolt értékeit, valamint a 3. cikk (1) bekezdésének b) és c) pontjában említett küszöbértékeket az adott felszín alatti víztest vagy felszín alatti víztest-csoport egyetlen mintavételi ponton sem lépték túl; vagy.”</w:t>
      </w:r>
    </w:p>
    <w:p w14:paraId="5C6C722D" w14:textId="77777777" w:rsidR="001D30D4" w:rsidRPr="00E441EF" w:rsidRDefault="001D30D4" w:rsidP="001D30D4">
      <w:pPr>
        <w:spacing w:before="120" w:after="120" w:line="360" w:lineRule="auto"/>
        <w:ind w:left="850" w:hanging="850"/>
        <w:rPr>
          <w:szCs w:val="24"/>
          <w:lang w:val="pt-PT" w:eastAsia="en-US"/>
        </w:rPr>
      </w:pPr>
      <w:r w:rsidRPr="00E441EF">
        <w:rPr>
          <w:szCs w:val="24"/>
          <w:lang w:val="pt-PT" w:eastAsia="en-US"/>
        </w:rPr>
        <w:t>6.</w:t>
      </w:r>
      <w:r w:rsidRPr="00E441EF">
        <w:rPr>
          <w:szCs w:val="24"/>
          <w:lang w:val="pt-PT" w:eastAsia="en-US"/>
        </w:rPr>
        <w:tab/>
        <w:t>A szöveg a következő 6a. cikkel egészül ki:</w:t>
      </w:r>
    </w:p>
    <w:p w14:paraId="476512D2" w14:textId="77777777" w:rsidR="001D30D4" w:rsidRPr="00E441EF" w:rsidRDefault="001D30D4" w:rsidP="001D30D4">
      <w:pPr>
        <w:spacing w:before="120" w:after="120" w:line="360" w:lineRule="auto"/>
        <w:ind w:left="850"/>
        <w:rPr>
          <w:szCs w:val="24"/>
          <w:lang w:val="pt-PT" w:eastAsia="en-US"/>
        </w:rPr>
      </w:pPr>
      <w:r w:rsidRPr="00E441EF">
        <w:rPr>
          <w:szCs w:val="24"/>
          <w:lang w:val="pt-PT" w:eastAsia="en-US"/>
        </w:rPr>
        <w:t>„6a. cikk</w:t>
      </w:r>
    </w:p>
    <w:p w14:paraId="0B8FE067" w14:textId="77777777" w:rsidR="001D30D4" w:rsidRPr="00E441EF" w:rsidRDefault="001D30D4" w:rsidP="001D30D4">
      <w:pPr>
        <w:spacing w:before="120" w:after="120" w:line="360" w:lineRule="auto"/>
        <w:ind w:left="850"/>
        <w:rPr>
          <w:szCs w:val="24"/>
          <w:lang w:val="pt-PT" w:eastAsia="en-US"/>
        </w:rPr>
      </w:pPr>
      <w:r w:rsidRPr="00E441EF">
        <w:rPr>
          <w:szCs w:val="24"/>
          <w:lang w:val="pt-PT" w:eastAsia="en-US"/>
        </w:rPr>
        <w:t>Megfigyelési lista</w:t>
      </w:r>
    </w:p>
    <w:p w14:paraId="29A0884A" w14:textId="77777777" w:rsidR="001D30D4" w:rsidRPr="00E441EF" w:rsidRDefault="001D30D4" w:rsidP="001D30D4">
      <w:pPr>
        <w:spacing w:before="120" w:after="120" w:line="360" w:lineRule="auto"/>
        <w:ind w:left="1416" w:hanging="566"/>
        <w:rPr>
          <w:szCs w:val="24"/>
          <w:lang w:val="pt-PT" w:eastAsia="en-US"/>
        </w:rPr>
      </w:pPr>
      <w:r w:rsidRPr="00E441EF">
        <w:rPr>
          <w:szCs w:val="24"/>
          <w:lang w:val="pt-PT" w:eastAsia="en-US"/>
        </w:rPr>
        <w:t>(1)</w:t>
      </w:r>
      <w:r w:rsidRPr="00E441EF">
        <w:rPr>
          <w:szCs w:val="24"/>
          <w:lang w:val="pt-PT" w:eastAsia="en-US"/>
        </w:rPr>
        <w:tab/>
        <w:t>A Bizottság felhatalmazást kap arra, hogy végrehajtási jogi aktusokat fogadjon el abból a célból, hogy az ECHA által készített tudományos jelentésekre tekintettel összeállítsa azon anyagok megfigyelési listáját, amelyekre vonatkozóan a tagállamoknak uniós szintű megfigyelési adatokat kell gyűjteniük, valamint hogy meghatározza azokat a formátumokat, amelyeket a tagállamoknak a megfigyelés eredményeiről és a kapcsolódó információkról a Bizottság felé történő jelentéstételhez használniuk kell. Ezeket a végrehajtási jogi aktusokat a 9. cikk (2) bekezdésében említett vizsgálóbizottsági eljárás keretében kell elfogadni.</w:t>
      </w:r>
    </w:p>
    <w:p w14:paraId="0E99538E" w14:textId="77777777" w:rsidR="001D30D4" w:rsidRPr="00E441EF" w:rsidRDefault="001D30D4" w:rsidP="001D30D4">
      <w:pPr>
        <w:spacing w:before="120" w:after="120" w:line="360" w:lineRule="auto"/>
        <w:ind w:left="1416"/>
        <w:rPr>
          <w:szCs w:val="24"/>
          <w:lang w:val="pt-PT" w:eastAsia="en-US"/>
        </w:rPr>
      </w:pPr>
      <w:r w:rsidRPr="00E441EF">
        <w:rPr>
          <w:szCs w:val="24"/>
          <w:lang w:val="pt-PT" w:eastAsia="en-US"/>
        </w:rPr>
        <w:br w:type="page"/>
      </w:r>
      <w:r w:rsidRPr="00E441EF">
        <w:rPr>
          <w:szCs w:val="24"/>
          <w:lang w:val="pt-PT" w:eastAsia="en-US"/>
        </w:rPr>
        <w:lastRenderedPageBreak/>
        <w:t xml:space="preserve">A megfigyelési lista </w:t>
      </w:r>
      <w:r w:rsidRPr="00E441EF">
        <w:rPr>
          <w:strike/>
          <w:szCs w:val="24"/>
          <w:lang w:val="pt-PT" w:eastAsia="en-US"/>
        </w:rPr>
        <w:t>legfeljebb öt anyagot vagy anyagcsoportot tartalmaz</w:t>
      </w:r>
      <w:r w:rsidRPr="00E441EF">
        <w:rPr>
          <w:b/>
          <w:i/>
          <w:szCs w:val="24"/>
          <w:lang w:val="pt-PT" w:eastAsia="en-US"/>
        </w:rPr>
        <w:t>legalább öt olyan</w:t>
      </w:r>
      <w:r w:rsidRPr="00E441EF">
        <w:rPr>
          <w:szCs w:val="24"/>
          <w:lang w:val="pt-PT" w:eastAsia="en-US"/>
        </w:rPr>
        <w:t>,</w:t>
      </w:r>
      <w:r w:rsidRPr="00E441EF">
        <w:rPr>
          <w:strike/>
          <w:szCs w:val="24"/>
          <w:lang w:val="pt-PT" w:eastAsia="en-US"/>
        </w:rPr>
        <w:t xml:space="preserve"> és minden egyes anyag esetében feltünteti a monitoringmátrixokat és a lehetséges elemzési módszereket. Ezek a monitoringmátrixok és -módszerek nem róhatnak aránytalan költségeket az illetékes hatóságokra. A megfigyelési listán feltüntetendő anyagokat azok közül választják ki, amelyekkel kapcsolatban a rendelkezésre álló információk arra utalnak, hogy a vízi környezetre vagy azon keresztül uniós szinten jelentős kockázatot jelenthetnek, és amelyek tekintetében nem áll rendelkezésre elegendő megfigyelési adat. Ez a megfigyelési lista tartalmazza az</w:t>
      </w:r>
      <w:r w:rsidRPr="00E441EF">
        <w:rPr>
          <w:szCs w:val="24"/>
          <w:lang w:val="pt-PT" w:eastAsia="en-US"/>
        </w:rPr>
        <w:t xml:space="preserve"> újonnan megjelenő, aggodalomra okot adó szennyező </w:t>
      </w:r>
      <w:r w:rsidRPr="00E441EF">
        <w:rPr>
          <w:strike/>
          <w:szCs w:val="24"/>
          <w:lang w:val="pt-PT" w:eastAsia="en-US"/>
        </w:rPr>
        <w:t>anyagokat</w:t>
      </w:r>
      <w:r w:rsidRPr="00E441EF">
        <w:rPr>
          <w:b/>
          <w:i/>
          <w:szCs w:val="24"/>
          <w:lang w:val="pt-PT" w:eastAsia="en-US"/>
        </w:rPr>
        <w:t>anyagot vagy anyagcsoportot tartalmaz, amelyeket azon anyagok közül választanak ki, amelyek tekintetében a rendelkezésre álló információk – az alábbi negyedik albekezdéssel összhangban is – azt jelzik, hogy azok uniós szinten jelentős kockázatot jelenthetnek a vízi környezetre vagy azon keresztül, és amelyekre vonatkozóan a monitoringadatok nem elégségesek, kivéve, ha ötnél kevesebb azon anyagok vagy anyagcsoportok száma, amelyekre vonatkozóan a rendelkezésre álló információk azt mutatják, hogy a vízi környezetre vagy azon keresztül jelentős kockázatot jelenthetnek, amely esetben a megfigyelési listának tartalmaznia kell az összes említett anyagot</w:t>
      </w:r>
      <w:r w:rsidRPr="00E441EF">
        <w:rPr>
          <w:szCs w:val="24"/>
          <w:lang w:val="pt-PT" w:eastAsia="en-US"/>
        </w:rPr>
        <w:t>.</w:t>
      </w:r>
    </w:p>
    <w:p w14:paraId="2B272BCE" w14:textId="77777777" w:rsidR="001D30D4" w:rsidRPr="00E441EF" w:rsidRDefault="001D30D4" w:rsidP="001D30D4">
      <w:pPr>
        <w:spacing w:before="120" w:after="120" w:line="360" w:lineRule="auto"/>
        <w:ind w:left="1416"/>
        <w:rPr>
          <w:szCs w:val="24"/>
          <w:lang w:val="pt-PT" w:eastAsia="en-US"/>
        </w:rPr>
      </w:pPr>
      <w:r w:rsidRPr="00E441EF">
        <w:rPr>
          <w:b/>
          <w:i/>
          <w:szCs w:val="24"/>
          <w:lang w:val="pt-PT" w:eastAsia="en-US"/>
        </w:rPr>
        <w:t>Az anyagok vagy anyagcsoportok minimális számán kívül a megfigyelési lista szennyezési indikátorokat is tartalmazhat.</w:t>
      </w:r>
    </w:p>
    <w:p w14:paraId="18C840AD" w14:textId="77777777" w:rsidR="001D30D4" w:rsidRPr="00E441EF" w:rsidRDefault="001D30D4" w:rsidP="001D30D4">
      <w:pPr>
        <w:spacing w:before="120" w:after="120" w:line="360" w:lineRule="auto"/>
        <w:ind w:left="1416"/>
        <w:rPr>
          <w:b/>
          <w:szCs w:val="24"/>
          <w:lang w:val="pt-PT" w:eastAsia="en-US"/>
        </w:rPr>
      </w:pPr>
      <w:r w:rsidRPr="00E441EF">
        <w:rPr>
          <w:b/>
          <w:i/>
          <w:szCs w:val="24"/>
          <w:lang w:val="pt-PT" w:eastAsia="en-US"/>
        </w:rPr>
        <w:br w:type="page"/>
      </w:r>
      <w:r w:rsidRPr="00E441EF">
        <w:rPr>
          <w:b/>
          <w:i/>
          <w:szCs w:val="24"/>
          <w:lang w:val="pt-PT" w:eastAsia="en-US"/>
        </w:rPr>
        <w:lastRenderedPageBreak/>
        <w:t>A megfigyelési lista minden egyes anyag esetében feltünteti a monitoringmátrixokat és a lehetséges elemzési módszereket. Ezek a monitoringmátrixok és -módszerek nem róhatnak aránytalan költségeket az illetékes hatóságokra.</w:t>
      </w:r>
      <w:r w:rsidRPr="00E441EF">
        <w:rPr>
          <w:b/>
          <w:szCs w:val="24"/>
          <w:lang w:val="pt-PT" w:eastAsia="en-US"/>
        </w:rPr>
        <w:t xml:space="preserve"> [</w:t>
      </w:r>
      <w:r w:rsidR="000536D5" w:rsidRPr="00DC67EB">
        <w:rPr>
          <w:b/>
          <w:szCs w:val="24"/>
          <w:lang w:eastAsia="en-US"/>
        </w:rPr>
        <w:t>Mód</w:t>
      </w:r>
      <w:r w:rsidRPr="00E441EF">
        <w:rPr>
          <w:b/>
          <w:szCs w:val="24"/>
          <w:lang w:val="pt-PT" w:eastAsia="en-US"/>
        </w:rPr>
        <w:t>. 85]</w:t>
      </w:r>
    </w:p>
    <w:p w14:paraId="5565E139" w14:textId="77777777" w:rsidR="001D30D4" w:rsidRPr="00E441EF" w:rsidRDefault="001D30D4" w:rsidP="001D30D4">
      <w:pPr>
        <w:spacing w:before="120" w:after="120" w:line="360" w:lineRule="auto"/>
        <w:ind w:left="1416"/>
        <w:rPr>
          <w:b/>
          <w:szCs w:val="24"/>
          <w:lang w:val="pt-PT" w:eastAsia="en-US"/>
        </w:rPr>
      </w:pPr>
      <w:r w:rsidRPr="00E441EF">
        <w:rPr>
          <w:strike/>
          <w:szCs w:val="24"/>
          <w:lang w:val="pt-PT" w:eastAsia="en-US"/>
        </w:rPr>
        <w:t xml:space="preserve">Amint </w:t>
      </w:r>
      <w:r w:rsidRPr="00E441EF">
        <w:rPr>
          <w:szCs w:val="24"/>
          <w:lang w:val="pt-PT" w:eastAsia="en-US"/>
        </w:rPr>
        <w:t xml:space="preserve">A mikroműanyagok és a kiválasztott antimikrobiális rezisztenciagének megfelelő </w:t>
      </w:r>
      <w:r w:rsidRPr="00E441EF">
        <w:rPr>
          <w:strike/>
          <w:szCs w:val="24"/>
          <w:lang w:val="pt-PT" w:eastAsia="en-US"/>
        </w:rPr>
        <w:t>monitoringmódszerei</w:t>
      </w:r>
      <w:r w:rsidRPr="00E441EF">
        <w:rPr>
          <w:b/>
          <w:i/>
          <w:szCs w:val="24"/>
          <w:lang w:val="pt-PT" w:eastAsia="en-US"/>
        </w:rPr>
        <w:t>monitoringmódszereit a lehető leghamarabb, de legkésőbb [az e módosító irányelv hatálybalépését követő 18 hónapot követő hónap első napja]-ig meg kell határozni. Amint e monitoringmódszerek</w:t>
      </w:r>
      <w:r w:rsidRPr="00E441EF">
        <w:rPr>
          <w:szCs w:val="24"/>
          <w:lang w:val="pt-PT" w:eastAsia="en-US"/>
        </w:rPr>
        <w:t xml:space="preserve"> meghatározásra kerültek, </w:t>
      </w:r>
      <w:r w:rsidRPr="00E441EF">
        <w:rPr>
          <w:strike/>
          <w:szCs w:val="24"/>
          <w:lang w:val="pt-PT" w:eastAsia="en-US"/>
        </w:rPr>
        <w:t>ezeket az anyagokat</w:t>
      </w:r>
      <w:r w:rsidRPr="00E441EF">
        <w:rPr>
          <w:b/>
          <w:i/>
          <w:szCs w:val="24"/>
          <w:lang w:val="pt-PT" w:eastAsia="en-US"/>
        </w:rPr>
        <w:t>a mikroműanyagokat és a kiválasztott antimikrobiális rezisztenciagéneket</w:t>
      </w:r>
      <w:r w:rsidRPr="00E441EF">
        <w:rPr>
          <w:szCs w:val="24"/>
          <w:lang w:val="pt-PT" w:eastAsia="en-US"/>
        </w:rPr>
        <w:t xml:space="preserve"> fel kell venni a megfigyelési listára.</w:t>
      </w:r>
      <w:r w:rsidRPr="00E441EF">
        <w:rPr>
          <w:b/>
          <w:i/>
          <w:szCs w:val="24"/>
          <w:lang w:val="pt-PT" w:eastAsia="en-US"/>
        </w:rPr>
        <w:t xml:space="preserve"> A Bizottság mérlegeli, hogy szükség van-e a szulfátoknak az első megfigyelési listára való felvételére a jelenlétükre vonatkozó adatok elérhetőségének javítása érdekében, tekintettel ezen irányelv hatályára.</w:t>
      </w:r>
      <w:r w:rsidRPr="00E441EF">
        <w:rPr>
          <w:b/>
          <w:szCs w:val="24"/>
          <w:lang w:val="pt-PT" w:eastAsia="en-US"/>
        </w:rPr>
        <w:t xml:space="preserve"> [</w:t>
      </w:r>
      <w:r w:rsidR="000536D5" w:rsidRPr="00DC67EB">
        <w:rPr>
          <w:b/>
          <w:szCs w:val="24"/>
          <w:lang w:eastAsia="en-US"/>
        </w:rPr>
        <w:t>Mód</w:t>
      </w:r>
      <w:r w:rsidRPr="00E441EF">
        <w:rPr>
          <w:b/>
          <w:szCs w:val="24"/>
          <w:lang w:val="pt-PT" w:eastAsia="en-US"/>
        </w:rPr>
        <w:t>. 86]</w:t>
      </w:r>
    </w:p>
    <w:p w14:paraId="407E2046" w14:textId="77777777" w:rsidR="001D30D4" w:rsidRPr="00E441EF" w:rsidRDefault="001D30D4" w:rsidP="001D30D4">
      <w:pPr>
        <w:spacing w:before="120" w:after="120" w:line="360" w:lineRule="auto"/>
        <w:rPr>
          <w:szCs w:val="24"/>
          <w:lang w:val="pt-PT" w:eastAsia="en-US"/>
        </w:rPr>
      </w:pPr>
    </w:p>
    <w:p w14:paraId="41A8EBBB" w14:textId="77777777" w:rsidR="001D30D4" w:rsidRPr="00E441EF" w:rsidRDefault="001D30D4" w:rsidP="001D30D4">
      <w:pPr>
        <w:spacing w:before="120" w:after="120" w:line="360" w:lineRule="auto"/>
        <w:ind w:left="1416"/>
        <w:rPr>
          <w:b/>
          <w:szCs w:val="24"/>
          <w:lang w:val="pt-PT" w:eastAsia="en-US"/>
        </w:rPr>
      </w:pPr>
      <w:r w:rsidRPr="00E441EF">
        <w:rPr>
          <w:szCs w:val="24"/>
          <w:lang w:val="pt-PT" w:eastAsia="en-US"/>
        </w:rPr>
        <w:br w:type="page"/>
      </w:r>
      <w:r w:rsidRPr="00E441EF">
        <w:rPr>
          <w:szCs w:val="24"/>
          <w:lang w:val="pt-PT" w:eastAsia="en-US"/>
        </w:rPr>
        <w:lastRenderedPageBreak/>
        <w:t xml:space="preserve">Az ECHA tudományos jelentések készítésével segíti a Bizottságot a megfigyelési listára felveendő anyagok </w:t>
      </w:r>
      <w:r w:rsidRPr="00E441EF">
        <w:rPr>
          <w:b/>
          <w:i/>
          <w:szCs w:val="24"/>
          <w:lang w:val="pt-PT" w:eastAsia="en-US"/>
        </w:rPr>
        <w:t xml:space="preserve">és szennyezési indikátorok </w:t>
      </w:r>
      <w:r w:rsidRPr="00E441EF">
        <w:rPr>
          <w:szCs w:val="24"/>
          <w:lang w:val="pt-PT" w:eastAsia="en-US"/>
        </w:rPr>
        <w:t>kiválasztásában, figyelembe véve a következő információkat:</w:t>
      </w:r>
      <w:r w:rsidRPr="00E441EF">
        <w:rPr>
          <w:b/>
          <w:szCs w:val="24"/>
          <w:lang w:val="pt-PT" w:eastAsia="en-US"/>
        </w:rPr>
        <w:t xml:space="preserve"> [</w:t>
      </w:r>
      <w:r w:rsidR="000536D5" w:rsidRPr="00DC67EB">
        <w:rPr>
          <w:b/>
          <w:szCs w:val="24"/>
          <w:lang w:eastAsia="en-US"/>
        </w:rPr>
        <w:t>Mód</w:t>
      </w:r>
      <w:r w:rsidRPr="00E441EF">
        <w:rPr>
          <w:b/>
          <w:szCs w:val="24"/>
          <w:lang w:val="pt-PT" w:eastAsia="en-US"/>
        </w:rPr>
        <w:t>. 87]</w:t>
      </w:r>
    </w:p>
    <w:p w14:paraId="086837A8" w14:textId="77777777" w:rsidR="001D30D4" w:rsidRPr="00E441EF" w:rsidRDefault="001D30D4" w:rsidP="001D30D4">
      <w:pPr>
        <w:spacing w:before="120" w:after="120" w:line="360" w:lineRule="auto"/>
        <w:ind w:left="1982" w:hanging="566"/>
        <w:rPr>
          <w:szCs w:val="24"/>
          <w:lang w:val="pt-PT" w:eastAsia="en-US"/>
        </w:rPr>
      </w:pPr>
      <w:r w:rsidRPr="00E441EF">
        <w:rPr>
          <w:szCs w:val="24"/>
          <w:lang w:val="pt-PT" w:eastAsia="en-US"/>
        </w:rPr>
        <w:t>a)</w:t>
      </w:r>
      <w:r w:rsidRPr="00E441EF">
        <w:rPr>
          <w:szCs w:val="24"/>
          <w:lang w:val="pt-PT" w:eastAsia="en-US"/>
        </w:rPr>
        <w:tab/>
        <w:t>a 2008/105/EK európai parlamenti és tanácsi irányelv* I. melléklete és az említett melléklet legutóbbi felülvizsgálatának eredményei;</w:t>
      </w:r>
    </w:p>
    <w:p w14:paraId="212BEFE4" w14:textId="77777777" w:rsidR="001D30D4" w:rsidRPr="00E441EF" w:rsidRDefault="001D30D4" w:rsidP="001D30D4">
      <w:pPr>
        <w:spacing w:before="120" w:after="120" w:line="360" w:lineRule="auto"/>
        <w:ind w:left="1982" w:hanging="566"/>
        <w:rPr>
          <w:szCs w:val="24"/>
          <w:lang w:val="pt-PT" w:eastAsia="en-US"/>
        </w:rPr>
      </w:pPr>
      <w:r w:rsidRPr="00E441EF">
        <w:rPr>
          <w:szCs w:val="24"/>
          <w:lang w:val="pt-PT" w:eastAsia="en-US"/>
        </w:rPr>
        <w:t>b)</w:t>
      </w:r>
      <w:r w:rsidRPr="00E441EF">
        <w:rPr>
          <w:szCs w:val="24"/>
          <w:lang w:val="pt-PT" w:eastAsia="en-US"/>
        </w:rPr>
        <w:tab/>
        <w:t>a 2008/105/EK és az (EU) 2020/2184 európai parlamenti és tanácsi irányelvvel** összhangban összeállított megfigyelési listák;</w:t>
      </w:r>
    </w:p>
    <w:p w14:paraId="2D9EB8B9" w14:textId="77777777" w:rsidR="001D30D4" w:rsidRPr="00E441EF" w:rsidRDefault="001D30D4" w:rsidP="001D30D4">
      <w:pPr>
        <w:spacing w:before="120" w:after="120" w:line="360" w:lineRule="auto"/>
        <w:ind w:left="1982" w:hanging="566"/>
        <w:rPr>
          <w:szCs w:val="24"/>
          <w:lang w:val="pt-PT" w:eastAsia="en-US"/>
        </w:rPr>
      </w:pPr>
      <w:r w:rsidRPr="00E441EF">
        <w:rPr>
          <w:szCs w:val="24"/>
          <w:lang w:val="pt-PT" w:eastAsia="en-US"/>
        </w:rPr>
        <w:t>c)</w:t>
      </w:r>
      <w:r w:rsidRPr="00E441EF">
        <w:rPr>
          <w:szCs w:val="24"/>
          <w:lang w:val="pt-PT" w:eastAsia="en-US"/>
        </w:rPr>
        <w:tab/>
        <w:t>a talajszennyezés kezelésére vonatkozó követelmények, beleértve a kapcsolódó megfigyelési adatokat is;</w:t>
      </w:r>
    </w:p>
    <w:p w14:paraId="3D216234" w14:textId="77777777" w:rsidR="001D30D4" w:rsidRPr="00E441EF" w:rsidRDefault="001D30D4" w:rsidP="001D30D4">
      <w:pPr>
        <w:spacing w:before="120" w:after="120" w:line="360" w:lineRule="auto"/>
        <w:ind w:left="1982" w:hanging="566"/>
        <w:rPr>
          <w:szCs w:val="24"/>
          <w:lang w:val="pt-PT" w:eastAsia="en-US"/>
        </w:rPr>
      </w:pPr>
      <w:r w:rsidRPr="00E441EF">
        <w:rPr>
          <w:szCs w:val="24"/>
          <w:lang w:val="pt-PT" w:eastAsia="en-US"/>
        </w:rPr>
        <w:t>d)</w:t>
      </w:r>
      <w:r w:rsidRPr="00E441EF">
        <w:rPr>
          <w:szCs w:val="24"/>
          <w:lang w:val="pt-PT" w:eastAsia="en-US"/>
        </w:rPr>
        <w:tab/>
        <w:t>a vízgyűjtő kerületek tagállamok általi jellemzése a 2000/60/EK irányelv 5. cikkével összhangban, valamint az említett irányelv 8. cikkével összhangban létrehozott megfigyelési programok eredményei;</w:t>
      </w:r>
    </w:p>
    <w:p w14:paraId="44C14C4B" w14:textId="77777777" w:rsidR="001D30D4" w:rsidRPr="00E441EF" w:rsidRDefault="001D30D4" w:rsidP="001D30D4">
      <w:pPr>
        <w:spacing w:before="120" w:after="120" w:line="360" w:lineRule="auto"/>
        <w:ind w:left="1982" w:hanging="566"/>
        <w:rPr>
          <w:szCs w:val="24"/>
          <w:lang w:val="pt-PT" w:eastAsia="en-US"/>
        </w:rPr>
      </w:pPr>
      <w:r w:rsidRPr="00E441EF">
        <w:rPr>
          <w:szCs w:val="24"/>
          <w:lang w:val="pt-PT" w:eastAsia="en-US"/>
        </w:rPr>
        <w:br w:type="page"/>
      </w:r>
      <w:r w:rsidRPr="00E441EF">
        <w:rPr>
          <w:szCs w:val="24"/>
          <w:lang w:val="pt-PT" w:eastAsia="en-US"/>
        </w:rPr>
        <w:lastRenderedPageBreak/>
        <w:t>e)</w:t>
      </w:r>
      <w:r w:rsidRPr="00E441EF">
        <w:rPr>
          <w:szCs w:val="24"/>
          <w:lang w:val="pt-PT" w:eastAsia="en-US"/>
        </w:rPr>
        <w:tab/>
        <w:t>egy adott anyag vagy anyagcsoport tekintetében a termelési mennyiségekre, felhasználási módokra, lényegi tulajdonságokra (beleértve a talajban való mobilitást és adott esetben a részecskeméretet is), környezeti koncentrációkra, valamint az emberi egészségre és a vízi környezetre gyakorolt káros hatásokra vonatkozó információk, az 1907/2006/EK európai parlamenti és tanácsi rendelet***, az 1107/2009/EK európai parlamenti és tanácsi rendelet****, az 528/2012/EU európai parlamenti és tanácsi rendelet*****, az (EU) 2019/6 európai parlamenti és tanácsi rendelet******, a 2001/83/EK európai parlamenti és tanácsi irányelv******* és a 2009/128/EK európai parlamenti és tanácsi irányelv******** szerint gyűjtött információkat is beleértve;</w:t>
      </w:r>
    </w:p>
    <w:p w14:paraId="4698A633" w14:textId="77777777" w:rsidR="001D30D4" w:rsidRPr="00E441EF" w:rsidRDefault="001D30D4" w:rsidP="001D30D4">
      <w:pPr>
        <w:spacing w:before="120" w:after="120" w:line="360" w:lineRule="auto"/>
        <w:ind w:left="1982" w:hanging="566"/>
        <w:rPr>
          <w:b/>
          <w:szCs w:val="24"/>
          <w:lang w:val="pt-PT" w:eastAsia="en-US"/>
        </w:rPr>
      </w:pPr>
      <w:r w:rsidRPr="00E441EF">
        <w:rPr>
          <w:szCs w:val="24"/>
          <w:lang w:val="pt-PT" w:eastAsia="en-US"/>
        </w:rPr>
        <w:br w:type="page"/>
      </w:r>
      <w:r w:rsidRPr="00E441EF">
        <w:rPr>
          <w:szCs w:val="24"/>
          <w:lang w:val="pt-PT" w:eastAsia="en-US"/>
        </w:rPr>
        <w:lastRenderedPageBreak/>
        <w:t>f)</w:t>
      </w:r>
      <w:r w:rsidRPr="00E441EF">
        <w:rPr>
          <w:szCs w:val="24"/>
          <w:lang w:val="pt-PT" w:eastAsia="en-US"/>
        </w:rPr>
        <w:tab/>
        <w:t>kutatási projektek és tudományos publikációk</w:t>
      </w:r>
      <w:r w:rsidRPr="00E441EF">
        <w:rPr>
          <w:b/>
          <w:i/>
          <w:szCs w:val="24"/>
          <w:lang w:val="pt-PT" w:eastAsia="en-US"/>
        </w:rPr>
        <w:t xml:space="preserve"> és bizonyítékok</w:t>
      </w:r>
      <w:r w:rsidRPr="00E441EF">
        <w:rPr>
          <w:szCs w:val="24"/>
          <w:lang w:val="pt-PT" w:eastAsia="en-US"/>
        </w:rPr>
        <w:t>, beleértve</w:t>
      </w:r>
      <w:r w:rsidRPr="00E441EF">
        <w:rPr>
          <w:b/>
          <w:i/>
          <w:szCs w:val="24"/>
          <w:lang w:val="pt-PT" w:eastAsia="en-US"/>
        </w:rPr>
        <w:t xml:space="preserve"> az anyagi és termikus szennyeződések hatására, valamint a földfelszín feletti és a föld alatti kitermelési és infrastrukturális tevékenységeknek a felszín alatti vizek ökoszisztémáira és felszín alatti vizektől függő ökoszisztémákra és azok biológiai sokféleségére gyakorolt hatásaira vonatkozó információkat,</w:t>
      </w:r>
      <w:r w:rsidRPr="00E441EF">
        <w:rPr>
          <w:szCs w:val="24"/>
          <w:lang w:val="pt-PT" w:eastAsia="en-US"/>
        </w:rPr>
        <w:t xml:space="preserve"> a modellezésen vagy más prediktív értékeléseken alapuló tendenciákra és előrejelzésekre vonatkozó információkat, valamint a távérzékelési technológiák, a Föld-megfigyelés (Kopernikusz-szolgáltatások), a helyszíni érzékelők és eszközök</w:t>
      </w:r>
      <w:r w:rsidRPr="00E441EF">
        <w:rPr>
          <w:b/>
          <w:i/>
          <w:szCs w:val="24"/>
          <w:lang w:val="pt-PT" w:eastAsia="en-US"/>
        </w:rPr>
        <w:t xml:space="preserve"> által gyűjtött adatokat és információkat</w:t>
      </w:r>
      <w:r w:rsidRPr="00E441EF">
        <w:rPr>
          <w:szCs w:val="24"/>
          <w:lang w:val="pt-PT" w:eastAsia="en-US"/>
        </w:rPr>
        <w:t xml:space="preserve">, illetve a civil tudomány révén nyert </w:t>
      </w:r>
      <w:r w:rsidRPr="00E441EF">
        <w:rPr>
          <w:strike/>
          <w:szCs w:val="24"/>
          <w:lang w:val="pt-PT" w:eastAsia="en-US"/>
        </w:rPr>
        <w:t>adatok és információk</w:t>
      </w:r>
      <w:r w:rsidRPr="00E441EF">
        <w:rPr>
          <w:b/>
          <w:i/>
          <w:szCs w:val="24"/>
          <w:lang w:val="pt-PT" w:eastAsia="en-US"/>
        </w:rPr>
        <w:t>adatokat</w:t>
      </w:r>
      <w:r w:rsidRPr="00E441EF">
        <w:rPr>
          <w:szCs w:val="24"/>
          <w:lang w:val="pt-PT" w:eastAsia="en-US"/>
        </w:rPr>
        <w:t xml:space="preserve">, kihasználva a mesterséges intelligencia, valamint a fejlett adatelemzés és -feldolgozás </w:t>
      </w:r>
      <w:r w:rsidRPr="00E441EF">
        <w:rPr>
          <w:strike/>
          <w:szCs w:val="24"/>
          <w:lang w:val="pt-PT" w:eastAsia="en-US"/>
        </w:rPr>
        <w:t>kínálta</w:t>
      </w:r>
      <w:r w:rsidRPr="00E441EF">
        <w:rPr>
          <w:b/>
          <w:i/>
          <w:szCs w:val="24"/>
          <w:lang w:val="pt-PT" w:eastAsia="en-US"/>
        </w:rPr>
        <w:t>által teremtett</w:t>
      </w:r>
      <w:r w:rsidRPr="00E441EF">
        <w:rPr>
          <w:szCs w:val="24"/>
          <w:lang w:val="pt-PT" w:eastAsia="en-US"/>
        </w:rPr>
        <w:t xml:space="preserve"> lehetőségeket;</w:t>
      </w:r>
      <w:r w:rsidRPr="00E441EF">
        <w:rPr>
          <w:b/>
          <w:szCs w:val="24"/>
          <w:lang w:val="pt-PT" w:eastAsia="en-US"/>
        </w:rPr>
        <w:t xml:space="preserve"> [</w:t>
      </w:r>
      <w:r w:rsidR="000536D5" w:rsidRPr="00DC67EB">
        <w:rPr>
          <w:b/>
          <w:szCs w:val="24"/>
          <w:lang w:eastAsia="en-US"/>
        </w:rPr>
        <w:t>Mód</w:t>
      </w:r>
      <w:r w:rsidRPr="00E441EF">
        <w:rPr>
          <w:b/>
          <w:szCs w:val="24"/>
          <w:lang w:val="pt-PT" w:eastAsia="en-US"/>
        </w:rPr>
        <w:t>. 88]</w:t>
      </w:r>
    </w:p>
    <w:p w14:paraId="692CBAE8" w14:textId="77777777" w:rsidR="001D30D4" w:rsidRPr="00E441EF" w:rsidRDefault="001D30D4" w:rsidP="001D30D4">
      <w:pPr>
        <w:spacing w:before="120" w:after="120" w:line="360" w:lineRule="auto"/>
        <w:ind w:left="1982" w:hanging="566"/>
        <w:rPr>
          <w:szCs w:val="24"/>
          <w:lang w:val="pt-PT" w:eastAsia="en-US"/>
        </w:rPr>
      </w:pPr>
      <w:r w:rsidRPr="00E441EF">
        <w:rPr>
          <w:szCs w:val="24"/>
          <w:lang w:val="pt-PT" w:eastAsia="en-US"/>
        </w:rPr>
        <w:t>g)</w:t>
      </w:r>
      <w:r w:rsidRPr="00E441EF">
        <w:rPr>
          <w:szCs w:val="24"/>
          <w:lang w:val="pt-PT" w:eastAsia="en-US"/>
        </w:rPr>
        <w:tab/>
        <w:t>az érdekelt felek ajánlásai.</w:t>
      </w:r>
    </w:p>
    <w:p w14:paraId="740B41F3" w14:textId="77777777" w:rsidR="001D30D4" w:rsidRPr="00E441EF" w:rsidRDefault="001D30D4" w:rsidP="001D30D4">
      <w:pPr>
        <w:spacing w:before="120" w:after="120" w:line="360" w:lineRule="auto"/>
        <w:ind w:left="1416"/>
        <w:rPr>
          <w:szCs w:val="24"/>
          <w:lang w:val="pt-PT" w:eastAsia="en-US"/>
        </w:rPr>
      </w:pPr>
      <w:r w:rsidRPr="00E441EF">
        <w:rPr>
          <w:szCs w:val="24"/>
          <w:lang w:val="pt-PT" w:eastAsia="en-US"/>
        </w:rPr>
        <w:t>Az ECHA háromévente jelentést készít, amelyben összefoglalja a negyedik albekezdés alapján elkészített tudományos jelentések megállapításait, és ezt a jelentést nyilvánosan hozzáférhetővé teszi. Az első jelentést [Kiadóhivatal: kérjük, illesszék be az ezen irányelv hatálybalépését követő huszonegyedik hónap első napját]-ig rendelkezésre kell bocsátani.</w:t>
      </w:r>
    </w:p>
    <w:p w14:paraId="6EEE0827" w14:textId="77777777" w:rsidR="001D30D4" w:rsidRPr="00E441EF" w:rsidRDefault="001D30D4" w:rsidP="001D30D4">
      <w:pPr>
        <w:spacing w:before="120" w:after="120" w:line="360" w:lineRule="auto"/>
        <w:ind w:left="1416" w:hanging="566"/>
        <w:rPr>
          <w:b/>
          <w:szCs w:val="24"/>
          <w:lang w:val="pt-PT" w:eastAsia="en-US"/>
        </w:rPr>
      </w:pPr>
      <w:r w:rsidRPr="00E441EF">
        <w:rPr>
          <w:szCs w:val="24"/>
          <w:lang w:val="pt-PT" w:eastAsia="en-US"/>
        </w:rPr>
        <w:br w:type="page"/>
      </w:r>
      <w:r w:rsidRPr="00E441EF">
        <w:rPr>
          <w:szCs w:val="24"/>
          <w:lang w:val="pt-PT" w:eastAsia="en-US"/>
        </w:rPr>
        <w:lastRenderedPageBreak/>
        <w:t>(2)</w:t>
      </w:r>
      <w:r w:rsidRPr="00E441EF">
        <w:rPr>
          <w:szCs w:val="24"/>
          <w:lang w:val="pt-PT" w:eastAsia="en-US"/>
        </w:rPr>
        <w:tab/>
        <w:t xml:space="preserve">Az első megfigyelési listát [Kiadóhivatal: kérjük, illesszék be az ezen irányelv hatálybalépését követő 24 hónapot követő hónap első napját]-ig kell összeállítani. A megfigyelési listát ezt követően </w:t>
      </w:r>
      <w:r w:rsidRPr="00E441EF">
        <w:rPr>
          <w:b/>
          <w:i/>
          <w:szCs w:val="24"/>
          <w:lang w:val="pt-PT" w:eastAsia="en-US"/>
        </w:rPr>
        <w:t xml:space="preserve">legkésőbb </w:t>
      </w:r>
      <w:r w:rsidRPr="00E441EF">
        <w:rPr>
          <w:szCs w:val="24"/>
          <w:lang w:val="pt-PT" w:eastAsia="en-US"/>
        </w:rPr>
        <w:t>36 havonta</w:t>
      </w:r>
      <w:r w:rsidRPr="00E441EF">
        <w:rPr>
          <w:b/>
          <w:i/>
          <w:szCs w:val="24"/>
          <w:lang w:val="pt-PT" w:eastAsia="en-US"/>
        </w:rPr>
        <w:t>, vagy ha olyan új tudományos bizonyítékok merülnek fel, amelyek szükségessé tennék a jegyzéknek az egyes felülvizsgálatok közötti átmeneti időszakban történő naprakésszé tételét, akkor ennél gyakrabban</w:t>
      </w:r>
      <w:r w:rsidRPr="00E441EF">
        <w:rPr>
          <w:szCs w:val="24"/>
          <w:lang w:val="pt-PT" w:eastAsia="en-US"/>
        </w:rPr>
        <w:t xml:space="preserve"> naprakésszé kell tenni.</w:t>
      </w:r>
      <w:r w:rsidRPr="00E441EF">
        <w:rPr>
          <w:b/>
          <w:szCs w:val="24"/>
          <w:lang w:val="pt-PT" w:eastAsia="en-US"/>
        </w:rPr>
        <w:t xml:space="preserve"> [</w:t>
      </w:r>
      <w:r w:rsidR="000536D5" w:rsidRPr="00DC67EB">
        <w:rPr>
          <w:b/>
          <w:szCs w:val="24"/>
          <w:lang w:eastAsia="en-US"/>
        </w:rPr>
        <w:t>Mód</w:t>
      </w:r>
      <w:r w:rsidRPr="00E441EF">
        <w:rPr>
          <w:b/>
          <w:szCs w:val="24"/>
          <w:lang w:val="pt-PT" w:eastAsia="en-US"/>
        </w:rPr>
        <w:t>. 89]</w:t>
      </w:r>
    </w:p>
    <w:p w14:paraId="3CBBAA31" w14:textId="77777777" w:rsidR="001D30D4" w:rsidRPr="00E441EF" w:rsidRDefault="001D30D4" w:rsidP="001D30D4">
      <w:pPr>
        <w:spacing w:before="120" w:after="120" w:line="360" w:lineRule="auto"/>
        <w:ind w:left="1416"/>
        <w:rPr>
          <w:b/>
          <w:szCs w:val="24"/>
          <w:lang w:val="pt-PT" w:eastAsia="en-US"/>
        </w:rPr>
      </w:pPr>
      <w:r w:rsidRPr="00E441EF">
        <w:rPr>
          <w:b/>
          <w:i/>
          <w:szCs w:val="24"/>
          <w:lang w:val="pt-PT" w:eastAsia="en-US"/>
        </w:rPr>
        <w:t>A tagállamok kétévente értékelik az energetikai átállással kapcsolatos ipari tevékenységek vízminőségre gyakorolt hatását, és tájékoztatják a Bizottságot az újonnan azonosított veszélyekről, hogy a megfigyelési listát ennek megfelelően frissíthesse. A nyilvánosság számára könnyű hozzáférést kell biztosítani az értékeléshez.</w:t>
      </w:r>
      <w:r w:rsidRPr="00E441EF">
        <w:rPr>
          <w:b/>
          <w:szCs w:val="24"/>
          <w:lang w:val="pt-PT" w:eastAsia="en-US"/>
        </w:rPr>
        <w:t xml:space="preserve"> [</w:t>
      </w:r>
      <w:r w:rsidR="000536D5" w:rsidRPr="00DC67EB">
        <w:rPr>
          <w:b/>
          <w:szCs w:val="24"/>
          <w:lang w:eastAsia="en-US"/>
        </w:rPr>
        <w:t>Mód</w:t>
      </w:r>
      <w:r w:rsidRPr="00E441EF">
        <w:rPr>
          <w:b/>
          <w:szCs w:val="24"/>
          <w:lang w:val="pt-PT" w:eastAsia="en-US"/>
        </w:rPr>
        <w:t>. 90]</w:t>
      </w:r>
    </w:p>
    <w:p w14:paraId="067CF48B" w14:textId="77777777" w:rsidR="001D30D4" w:rsidRPr="00E441EF" w:rsidRDefault="001D30D4" w:rsidP="001D30D4">
      <w:pPr>
        <w:spacing w:before="120" w:after="120" w:line="360" w:lineRule="auto"/>
        <w:ind w:left="1416"/>
        <w:rPr>
          <w:szCs w:val="24"/>
          <w:lang w:val="pt-PT" w:eastAsia="en-US"/>
        </w:rPr>
      </w:pPr>
      <w:r w:rsidRPr="00E441EF">
        <w:rPr>
          <w:szCs w:val="24"/>
          <w:lang w:val="pt-PT" w:eastAsia="en-US"/>
        </w:rPr>
        <w:br w:type="page"/>
      </w:r>
      <w:r w:rsidRPr="00E441EF">
        <w:rPr>
          <w:szCs w:val="24"/>
          <w:lang w:val="pt-PT" w:eastAsia="en-US"/>
        </w:rPr>
        <w:lastRenderedPageBreak/>
        <w:t>A megfigyelési lista naprakésszé tételekor a Bizottság töröl a meglévő megfigyelési listáról minden olyan anyagot vagy anyagcsoportot, amelyre vonatkozóan a vízi környezetre jelentett kockázat értékelése további megfigyelési adatok nélkül is elvégezhető. A megfigyelési lista naprakésszé tételét követően egy adott anyag vagy anyagcsoport három évig szerepelhet a megfigyelési listán, amennyiben a vízi környezetre jelentett kockázat értékeléséhez további megfigyelési adatokra van szükség. A naprakésszé tett megfigyelési listának tartalmaznia kell egy vagy több olyan további anyagot is, amelyek esetében a Bizottság úgy ítéli meg, hogy az ECHA tudományos jelentéseire tekintettel kockázatot jelenthetnek a vízi környezetre nézve.</w:t>
      </w:r>
    </w:p>
    <w:p w14:paraId="02BE2AB4" w14:textId="77777777" w:rsidR="001D30D4" w:rsidRPr="00E441EF" w:rsidRDefault="001D30D4" w:rsidP="001D30D4">
      <w:pPr>
        <w:spacing w:before="120" w:after="120" w:line="360" w:lineRule="auto"/>
        <w:ind w:left="1416" w:hanging="566"/>
        <w:rPr>
          <w:szCs w:val="24"/>
          <w:lang w:val="pt-PT" w:eastAsia="en-US"/>
        </w:rPr>
      </w:pPr>
      <w:r w:rsidRPr="00E441EF">
        <w:rPr>
          <w:szCs w:val="24"/>
          <w:lang w:val="pt-PT" w:eastAsia="en-US"/>
        </w:rPr>
        <w:t>(3)</w:t>
      </w:r>
      <w:r w:rsidRPr="00E441EF">
        <w:rPr>
          <w:szCs w:val="24"/>
          <w:lang w:val="pt-PT" w:eastAsia="en-US"/>
        </w:rPr>
        <w:tab/>
        <w:t>A tagállamok a megfigyelési listán szereplő minden egyes anyagot vagy anyagcsoportot legalább 24 hónapon át, kijelölt, reprezentatív monitoringállomásokon figyelik meg. A megfigyelési időszak a megfigyelési lista elkészítésétől számított hat hónapon belül kezdődik meg.</w:t>
      </w:r>
    </w:p>
    <w:p w14:paraId="5478E354" w14:textId="77777777" w:rsidR="001D30D4" w:rsidRPr="00E441EF" w:rsidRDefault="001D30D4" w:rsidP="001D30D4">
      <w:pPr>
        <w:spacing w:before="120" w:after="120" w:line="360" w:lineRule="auto"/>
        <w:ind w:left="1416"/>
        <w:rPr>
          <w:b/>
          <w:szCs w:val="24"/>
          <w:lang w:val="pt-PT" w:eastAsia="en-US"/>
        </w:rPr>
      </w:pPr>
      <w:r w:rsidRPr="00E441EF">
        <w:rPr>
          <w:szCs w:val="24"/>
          <w:lang w:val="pt-PT" w:eastAsia="en-US"/>
        </w:rPr>
        <w:t xml:space="preserve">Minden tagállam kijelöl legalább </w:t>
      </w:r>
      <w:r w:rsidRPr="00E441EF">
        <w:rPr>
          <w:strike/>
          <w:szCs w:val="24"/>
          <w:lang w:val="pt-PT" w:eastAsia="en-US"/>
        </w:rPr>
        <w:t>egy</w:t>
      </w:r>
      <w:r w:rsidRPr="00E441EF">
        <w:rPr>
          <w:b/>
          <w:i/>
          <w:szCs w:val="24"/>
          <w:lang w:val="pt-PT" w:eastAsia="en-US"/>
        </w:rPr>
        <w:t>két</w:t>
      </w:r>
      <w:r w:rsidRPr="00E441EF">
        <w:rPr>
          <w:szCs w:val="24"/>
          <w:lang w:val="pt-PT" w:eastAsia="en-US"/>
        </w:rPr>
        <w:t xml:space="preserve"> monitoringállomást, továbbá minden </w:t>
      </w:r>
      <w:r w:rsidRPr="00E441EF">
        <w:rPr>
          <w:strike/>
          <w:szCs w:val="24"/>
          <w:lang w:val="pt-PT" w:eastAsia="en-US"/>
        </w:rPr>
        <w:t>60 000 km2</w:t>
      </w:r>
      <w:r w:rsidRPr="00E441EF">
        <w:rPr>
          <w:b/>
          <w:i/>
          <w:szCs w:val="24"/>
          <w:lang w:val="pt-PT" w:eastAsia="en-US"/>
        </w:rPr>
        <w:t>30 000 km2</w:t>
      </w:r>
      <w:r w:rsidRPr="00E441EF">
        <w:rPr>
          <w:szCs w:val="24"/>
          <w:lang w:val="pt-PT" w:eastAsia="en-US"/>
        </w:rPr>
        <w:t>-nyi felszín alatti víztest után (a legközelebbi egész számra kerekítve) további egy monitoringállomást.</w:t>
      </w:r>
      <w:r w:rsidRPr="00E441EF">
        <w:rPr>
          <w:b/>
          <w:szCs w:val="24"/>
          <w:lang w:val="pt-PT" w:eastAsia="en-US"/>
        </w:rPr>
        <w:t xml:space="preserve"> [</w:t>
      </w:r>
      <w:r w:rsidR="000536D5" w:rsidRPr="00DC67EB">
        <w:rPr>
          <w:b/>
          <w:szCs w:val="24"/>
          <w:lang w:eastAsia="en-US"/>
        </w:rPr>
        <w:t>Mód</w:t>
      </w:r>
      <w:r w:rsidRPr="00E441EF">
        <w:rPr>
          <w:b/>
          <w:szCs w:val="24"/>
          <w:lang w:val="pt-PT" w:eastAsia="en-US"/>
        </w:rPr>
        <w:t>. 91]</w:t>
      </w:r>
    </w:p>
    <w:p w14:paraId="3CB5E03D" w14:textId="77777777" w:rsidR="001D30D4" w:rsidRPr="00E441EF" w:rsidRDefault="001D30D4" w:rsidP="001D30D4">
      <w:pPr>
        <w:spacing w:before="120" w:after="120" w:line="360" w:lineRule="auto"/>
        <w:ind w:left="1416"/>
        <w:rPr>
          <w:szCs w:val="24"/>
          <w:lang w:val="pt-PT" w:eastAsia="en-US"/>
        </w:rPr>
      </w:pPr>
      <w:r w:rsidRPr="00E441EF">
        <w:rPr>
          <w:szCs w:val="24"/>
          <w:lang w:val="pt-PT" w:eastAsia="en-US"/>
        </w:rPr>
        <w:br w:type="page"/>
      </w:r>
      <w:r w:rsidRPr="00E441EF">
        <w:rPr>
          <w:szCs w:val="24"/>
          <w:lang w:val="pt-PT" w:eastAsia="en-US"/>
        </w:rPr>
        <w:lastRenderedPageBreak/>
        <w:t>Az egyes anyagok vagy anyagcsoportok vonatkozásában a reprezentatív monitoringállomások, valamint a megfigyelés gyakoriságának és szezonális ütemezésének kiválasztása során a tagállamok figyelembe veszik az anyag vagy anyagcsoport felhasználási módjait és lehetséges előfordulását. A megfigyelést legalább évente egyszer kell végezni.</w:t>
      </w:r>
    </w:p>
    <w:p w14:paraId="28686305" w14:textId="77777777" w:rsidR="001D30D4" w:rsidRPr="00E441EF" w:rsidRDefault="001D30D4" w:rsidP="001D30D4">
      <w:pPr>
        <w:spacing w:before="120" w:after="120" w:line="360" w:lineRule="auto"/>
        <w:ind w:left="1416"/>
        <w:rPr>
          <w:szCs w:val="24"/>
          <w:lang w:val="pt-PT" w:eastAsia="en-US"/>
        </w:rPr>
      </w:pPr>
      <w:r w:rsidRPr="00E441EF">
        <w:rPr>
          <w:szCs w:val="24"/>
          <w:lang w:val="pt-PT" w:eastAsia="en-US"/>
        </w:rPr>
        <w:t>Amennyiben egy tagállam meglévő megfigyelési programok vagy tanulmányok alapján elegendő, összehasonlítható, reprezentatív és friss megfigyelési adatot tud szolgáltatni egy bizonyos anyagra vagy anyagcsoportra vonatkozóan, dönthet úgy, hogy arra az anyagra vagy anyagcsoportra vonatkozóan nem végez kiegészítő megfigyelést a megfigyelésilista-mechanizmus keretében, feltéve, hogy a szóban forgó anyagot vagy anyagcsoportot a megfigyelési listát létrehozó végrehajtási jogi aktusban említett monitoringmátrixoknak és elemzési módszereknek megfelelő módszerrel figyelték meg.</w:t>
      </w:r>
    </w:p>
    <w:p w14:paraId="47AB8F02" w14:textId="77777777" w:rsidR="001D30D4" w:rsidRPr="00E441EF" w:rsidRDefault="001D30D4" w:rsidP="001D30D4">
      <w:pPr>
        <w:spacing w:before="120" w:after="120" w:line="360" w:lineRule="auto"/>
        <w:ind w:left="1416" w:hanging="566"/>
        <w:rPr>
          <w:szCs w:val="24"/>
          <w:lang w:val="pt-PT" w:eastAsia="en-US"/>
        </w:rPr>
      </w:pPr>
      <w:r w:rsidRPr="00E441EF">
        <w:rPr>
          <w:szCs w:val="24"/>
          <w:lang w:val="pt-PT" w:eastAsia="en-US"/>
        </w:rPr>
        <w:br w:type="page"/>
      </w:r>
      <w:r w:rsidRPr="00E441EF">
        <w:rPr>
          <w:szCs w:val="24"/>
          <w:lang w:val="pt-PT" w:eastAsia="en-US"/>
        </w:rPr>
        <w:lastRenderedPageBreak/>
        <w:t>(4)</w:t>
      </w:r>
      <w:r w:rsidRPr="00E441EF">
        <w:rPr>
          <w:szCs w:val="24"/>
          <w:lang w:val="pt-PT" w:eastAsia="en-US"/>
        </w:rPr>
        <w:tab/>
        <w:t>A tagállamok a 2000/60/EK irányelv 8. cikkének (4) bekezdésével és a megfigyelési listát létrehozó, az (1) bekezdés szerint elfogadott végrehajtási jogi aktussal összhangban rendelkezésre bocsátják az e cikk (3) bekezdésében említett megfigyelés eredményeit. Rendelkezésre bocsátják továbbá a monitoringállomások reprezentativitására és a monitoringstratégiára vonatkozó információkat is.</w:t>
      </w:r>
    </w:p>
    <w:p w14:paraId="1B9A118D" w14:textId="77777777" w:rsidR="001D30D4" w:rsidRPr="00E441EF" w:rsidRDefault="001D30D4" w:rsidP="001D30D4">
      <w:pPr>
        <w:spacing w:before="120" w:after="120" w:line="360" w:lineRule="auto"/>
        <w:ind w:left="1416" w:hanging="566"/>
        <w:rPr>
          <w:szCs w:val="24"/>
          <w:lang w:val="pt-PT" w:eastAsia="en-US"/>
        </w:rPr>
      </w:pPr>
      <w:r w:rsidRPr="00E441EF">
        <w:rPr>
          <w:szCs w:val="24"/>
          <w:lang w:val="pt-PT" w:eastAsia="en-US"/>
        </w:rPr>
        <w:t>(5)</w:t>
      </w:r>
      <w:r w:rsidRPr="00E441EF">
        <w:rPr>
          <w:szCs w:val="24"/>
          <w:lang w:val="pt-PT" w:eastAsia="en-US"/>
        </w:rPr>
        <w:tab/>
        <w:t>Az ECHA a (3) bekezdésben említett 24 hónapos időszak végén felülvizsgálja a megfigyelés eredményeit, és értékeli, hogy mely anyagokat vagy anyagcsoportokat kell további 24 hónapon keresztül megfigyelni, és ennek megfelelően mely anyagokat vagy anyagcsoportokat kell a megfigyelési listán tartani, illetve mely anyagokat vagy anyagcsoportokat lehet törölni a listáról.</w:t>
      </w:r>
    </w:p>
    <w:p w14:paraId="00A00F31" w14:textId="77777777" w:rsidR="001D30D4" w:rsidRPr="00E441EF" w:rsidRDefault="001D30D4" w:rsidP="001D30D4">
      <w:pPr>
        <w:spacing w:before="120" w:after="120" w:line="360" w:lineRule="auto"/>
        <w:ind w:left="1416"/>
        <w:rPr>
          <w:szCs w:val="24"/>
          <w:lang w:val="pt-PT" w:eastAsia="en-US"/>
        </w:rPr>
      </w:pPr>
      <w:r w:rsidRPr="00E441EF">
        <w:rPr>
          <w:szCs w:val="24"/>
          <w:lang w:val="pt-PT" w:eastAsia="en-US"/>
        </w:rPr>
        <w:t>Amennyiben a Bizottság az ECHA első albekezdésben említett értékelésére tekintettel arra a következtetésre jut, hogy a vízi környezetre jelentett kockázat további értékeléséhez már nincs szükség megfigyelésre, az említett értékelést figyelembe kell venni az I. vagy a II. melléklet 8. cikk szerinti felülvizsgálata során.</w:t>
      </w:r>
    </w:p>
    <w:p w14:paraId="17736A6C" w14:textId="77777777" w:rsidR="001D30D4" w:rsidRPr="00E441EF" w:rsidRDefault="001D30D4" w:rsidP="001D30D4">
      <w:pPr>
        <w:spacing w:before="120" w:after="120" w:line="360" w:lineRule="auto"/>
        <w:ind w:left="1416"/>
        <w:rPr>
          <w:szCs w:val="24"/>
          <w:lang w:val="pt-PT" w:eastAsia="en-US"/>
        </w:rPr>
      </w:pPr>
      <w:r w:rsidRPr="00E441EF">
        <w:rPr>
          <w:szCs w:val="24"/>
          <w:lang w:val="pt-PT" w:eastAsia="en-US"/>
        </w:rPr>
        <w:br w:type="page"/>
      </w:r>
      <w:r w:rsidRPr="00E441EF">
        <w:rPr>
          <w:szCs w:val="24"/>
          <w:lang w:val="pt-PT" w:eastAsia="en-US"/>
        </w:rPr>
        <w:lastRenderedPageBreak/>
        <w:t>* Az Európai Parlament és a Tanács 2008/105/EK irányelve a felszíni vizek szennyezésének megelőzéséről és csökkentéséről, a 82/176/EGK, a 83/513/EGK, a 84/156/EGK, a 84/491/EGK és a 86/280/EGK tanácsi irányelv módosításáról és azt követő hatályon kívül helyezéséről, valamint a 2000/60/EK európai parlamenti és tanácsi irányelv módosításáról (HL L 348., 2008.12.24., 84. o.).</w:t>
      </w:r>
    </w:p>
    <w:p w14:paraId="41C67DBD" w14:textId="77777777" w:rsidR="001D30D4" w:rsidRPr="00E441EF" w:rsidRDefault="001D30D4" w:rsidP="001D30D4">
      <w:pPr>
        <w:spacing w:before="120" w:after="120" w:line="360" w:lineRule="auto"/>
        <w:ind w:left="1416"/>
        <w:rPr>
          <w:szCs w:val="24"/>
          <w:lang w:val="pt-PT" w:eastAsia="en-US"/>
        </w:rPr>
      </w:pPr>
      <w:r w:rsidRPr="00E441EF">
        <w:rPr>
          <w:szCs w:val="24"/>
          <w:lang w:val="pt-PT" w:eastAsia="en-US"/>
        </w:rPr>
        <w:t>** Az Európai Parlament és a Tanács (EU) 2020/2184 irányelve (2020. december 16.) az emberi fogyasztásra szánt víz minőségéről (HL L 435., 2020.12.23., 1. o.).</w:t>
      </w:r>
    </w:p>
    <w:p w14:paraId="76D28C18" w14:textId="77777777" w:rsidR="001D30D4" w:rsidRPr="00E441EF" w:rsidRDefault="001D30D4" w:rsidP="001D30D4">
      <w:pPr>
        <w:spacing w:before="120" w:after="120" w:line="360" w:lineRule="auto"/>
        <w:ind w:left="1416"/>
        <w:rPr>
          <w:szCs w:val="24"/>
          <w:lang w:val="pt-PT" w:eastAsia="en-US"/>
        </w:rPr>
      </w:pPr>
      <w:r w:rsidRPr="00E441EF">
        <w:rPr>
          <w:szCs w:val="24"/>
          <w:lang w:val="pt-PT" w:eastAsia="en-US"/>
        </w:rPr>
        <w:t>*** Az Európai Parlament és a Tanács 1907/2006/EK rendelete (2006. december 18.) a vegyi anyagok regisztrálásáról, értékeléséről, engedélyezéséről és korlátozásáról (HL L 396., 2006.12.30., 1. o.).</w:t>
      </w:r>
    </w:p>
    <w:p w14:paraId="0655615E" w14:textId="77777777" w:rsidR="001D30D4" w:rsidRPr="00E441EF" w:rsidRDefault="001D30D4" w:rsidP="001D30D4">
      <w:pPr>
        <w:spacing w:before="120" w:after="120" w:line="360" w:lineRule="auto"/>
        <w:ind w:left="1416"/>
        <w:rPr>
          <w:szCs w:val="24"/>
          <w:lang w:val="pt-PT" w:eastAsia="en-US"/>
        </w:rPr>
      </w:pPr>
      <w:r w:rsidRPr="00E441EF">
        <w:rPr>
          <w:szCs w:val="24"/>
          <w:lang w:val="pt-PT" w:eastAsia="en-US"/>
        </w:rPr>
        <w:t>**** Az Európai Parlament és a Tanács 1107/2009/EK rendelete (2009. október 21.) a növényvédő szerek forgalomba hozataláról (HL L 309., 2009.11.24., 1. o.).</w:t>
      </w:r>
    </w:p>
    <w:p w14:paraId="14851550" w14:textId="77777777" w:rsidR="001D30D4" w:rsidRPr="00E441EF" w:rsidRDefault="001D30D4" w:rsidP="001D30D4">
      <w:pPr>
        <w:spacing w:before="120" w:after="120" w:line="360" w:lineRule="auto"/>
        <w:ind w:left="1416"/>
        <w:rPr>
          <w:szCs w:val="24"/>
          <w:lang w:val="pt-PT" w:eastAsia="en-US"/>
        </w:rPr>
      </w:pPr>
      <w:r w:rsidRPr="00E441EF">
        <w:rPr>
          <w:szCs w:val="24"/>
          <w:lang w:val="pt-PT" w:eastAsia="en-US"/>
        </w:rPr>
        <w:br w:type="page"/>
      </w:r>
      <w:r w:rsidRPr="00E441EF">
        <w:rPr>
          <w:szCs w:val="24"/>
          <w:lang w:val="pt-PT" w:eastAsia="en-US"/>
        </w:rPr>
        <w:lastRenderedPageBreak/>
        <w:t>***** Az Európai Parlament és a Tanács 528/2012/EU rendelete (2012. május 22.) a biocid termékek forgalmazásáról és felhasználásáról (HL L 167., 2012.6.27., 1. o.).</w:t>
      </w:r>
    </w:p>
    <w:p w14:paraId="508F6073" w14:textId="77777777" w:rsidR="001D30D4" w:rsidRPr="00E441EF" w:rsidRDefault="001D30D4" w:rsidP="001D30D4">
      <w:pPr>
        <w:spacing w:before="120" w:after="120" w:line="360" w:lineRule="auto"/>
        <w:ind w:left="1416"/>
        <w:rPr>
          <w:szCs w:val="24"/>
          <w:lang w:val="pt-PT" w:eastAsia="en-US"/>
        </w:rPr>
      </w:pPr>
      <w:r w:rsidRPr="00E441EF">
        <w:rPr>
          <w:szCs w:val="24"/>
          <w:lang w:val="pt-PT" w:eastAsia="en-US"/>
        </w:rPr>
        <w:t>****** Az Európai Parlament és a Tanács (EU) 2019/6 rendelete (2018. december 11.) az állatgyógyászati készítményekről (HL L 4., 2019.1.7., 43. o.).</w:t>
      </w:r>
    </w:p>
    <w:p w14:paraId="2773F312" w14:textId="77777777" w:rsidR="001D30D4" w:rsidRPr="00E441EF" w:rsidRDefault="001D30D4" w:rsidP="001D30D4">
      <w:pPr>
        <w:spacing w:before="120" w:after="120" w:line="360" w:lineRule="auto"/>
        <w:ind w:left="1416"/>
        <w:rPr>
          <w:szCs w:val="24"/>
          <w:lang w:val="pt-PT" w:eastAsia="en-US"/>
        </w:rPr>
      </w:pPr>
      <w:r w:rsidRPr="00E441EF">
        <w:rPr>
          <w:szCs w:val="24"/>
          <w:lang w:val="pt-PT" w:eastAsia="en-US"/>
        </w:rPr>
        <w:t>******* Az Európai Parlament és a Tanács 2001/83/EK irányelve (2001. november 6.) az emberi felhasználásra szánt gyógyszerek közösségi kódexéről (HL L 311., 2001.11.28., 67. o.).</w:t>
      </w:r>
    </w:p>
    <w:p w14:paraId="2640C478" w14:textId="77777777" w:rsidR="001D30D4" w:rsidRPr="00E441EF" w:rsidRDefault="001D30D4" w:rsidP="001D30D4">
      <w:pPr>
        <w:spacing w:before="120" w:after="120" w:line="360" w:lineRule="auto"/>
        <w:ind w:left="1416"/>
        <w:rPr>
          <w:szCs w:val="24"/>
          <w:lang w:val="pt-PT" w:eastAsia="en-US"/>
        </w:rPr>
      </w:pPr>
      <w:r w:rsidRPr="00E441EF">
        <w:rPr>
          <w:szCs w:val="24"/>
          <w:lang w:val="pt-PT" w:eastAsia="en-US"/>
        </w:rPr>
        <w:t>******** Az Európai Parlament és a Tanács 2009/128/EK irányelve (2009. október 21.) a peszticidek fenntartható használatának elérését célzó közösségi fellépés kereteinek meghatározásáról (HL L 309., 2009.11.24., 71. o.). ”</w:t>
      </w:r>
    </w:p>
    <w:p w14:paraId="1DBDFBA6" w14:textId="77777777" w:rsidR="001D30D4" w:rsidRPr="00E441EF" w:rsidRDefault="001D30D4" w:rsidP="001D30D4">
      <w:pPr>
        <w:spacing w:before="120" w:after="120" w:line="360" w:lineRule="auto"/>
        <w:ind w:left="850" w:hanging="850"/>
        <w:rPr>
          <w:szCs w:val="24"/>
          <w:lang w:val="pt-PT" w:eastAsia="en-US"/>
        </w:rPr>
      </w:pPr>
      <w:r w:rsidRPr="00E441EF">
        <w:rPr>
          <w:b/>
          <w:i/>
          <w:szCs w:val="24"/>
          <w:lang w:val="pt-PT" w:eastAsia="en-US"/>
        </w:rPr>
        <w:br w:type="page"/>
      </w:r>
      <w:r w:rsidRPr="00E441EF">
        <w:rPr>
          <w:b/>
          <w:i/>
          <w:szCs w:val="24"/>
          <w:lang w:val="pt-PT" w:eastAsia="en-US"/>
        </w:rPr>
        <w:lastRenderedPageBreak/>
        <w:t>6a.</w:t>
      </w:r>
      <w:r w:rsidRPr="00E441EF">
        <w:rPr>
          <w:szCs w:val="24"/>
          <w:lang w:val="pt-PT" w:eastAsia="en-US"/>
        </w:rPr>
        <w:tab/>
      </w:r>
      <w:r w:rsidRPr="00E441EF">
        <w:rPr>
          <w:b/>
          <w:i/>
          <w:szCs w:val="24"/>
          <w:lang w:val="pt-PT" w:eastAsia="en-US"/>
        </w:rPr>
        <w:t>A határozat a következő cikkel egészül ki:</w:t>
      </w:r>
    </w:p>
    <w:p w14:paraId="1C6BD0CB" w14:textId="77777777" w:rsidR="001D30D4" w:rsidRPr="00E441EF" w:rsidRDefault="001D30D4" w:rsidP="001D30D4">
      <w:pPr>
        <w:spacing w:before="120" w:after="120" w:line="360" w:lineRule="auto"/>
        <w:ind w:left="850"/>
        <w:rPr>
          <w:szCs w:val="24"/>
          <w:lang w:val="pt-PT" w:eastAsia="en-US"/>
        </w:rPr>
      </w:pPr>
      <w:r w:rsidRPr="00E441EF">
        <w:rPr>
          <w:szCs w:val="24"/>
          <w:lang w:val="pt-PT" w:eastAsia="en-US"/>
        </w:rPr>
        <w:t>„</w:t>
      </w:r>
      <w:r w:rsidRPr="00E441EF">
        <w:rPr>
          <w:b/>
          <w:i/>
          <w:szCs w:val="24"/>
          <w:lang w:val="pt-PT" w:eastAsia="en-US"/>
        </w:rPr>
        <w:t xml:space="preserve">6aa. cikk </w:t>
      </w:r>
      <w:r w:rsidRPr="00E441EF">
        <w:rPr>
          <w:b/>
          <w:i/>
          <w:szCs w:val="24"/>
          <w:lang w:val="pt-PT" w:eastAsia="en-US"/>
        </w:rPr>
        <w:br/>
        <w:t>A felszín alatti vizek ökoszisztémáinak jobb védelme</w:t>
      </w:r>
    </w:p>
    <w:p w14:paraId="6F35CC24" w14:textId="77777777" w:rsidR="001D30D4" w:rsidRPr="00E441EF" w:rsidRDefault="001D30D4" w:rsidP="001D30D4">
      <w:pPr>
        <w:spacing w:before="120" w:after="120" w:line="360" w:lineRule="auto"/>
        <w:ind w:left="850" w:firstLine="1"/>
        <w:rPr>
          <w:b/>
          <w:szCs w:val="24"/>
          <w:lang w:val="pt-PT" w:eastAsia="en-US"/>
        </w:rPr>
      </w:pPr>
      <w:r w:rsidRPr="00E441EF">
        <w:rPr>
          <w:b/>
          <w:i/>
          <w:szCs w:val="24"/>
          <w:lang w:val="pt-PT" w:eastAsia="en-US"/>
        </w:rPr>
        <w:t>A Bizottság legkésőbb [Kiadóhivatal: kérjük, illessze be a dátumot: négy évvel ezen irányelv hatálybalépését követően]-ig értékelést tesz közzé a fizikai-kémiai elemeknek, például a pH-értéknek, az oxigenizáció és a hőmérsékletnek a felszín alatti vizek ökoszisztémáinak egészségére gyakorolt hatásairól, amelyet adott esetben ezen irányelv megfelelő felülvizsgálatára irányuló jogalkotási javaslat kísér annak érdekében, hogy meghatározzák a megfelelő paramétereket, harmonizált monitoringmódszereket írjanak elő, és meghatározzák, hogy mi minősül a felszín alatti vizek »jó ökológiai állapotának«.”</w:t>
      </w:r>
      <w:r w:rsidRPr="00E441EF">
        <w:rPr>
          <w:b/>
          <w:szCs w:val="24"/>
          <w:lang w:val="pt-PT" w:eastAsia="en-US"/>
        </w:rPr>
        <w:t xml:space="preserve"> [</w:t>
      </w:r>
      <w:r w:rsidR="000536D5" w:rsidRPr="00DC67EB">
        <w:rPr>
          <w:b/>
          <w:szCs w:val="24"/>
          <w:lang w:eastAsia="en-US"/>
        </w:rPr>
        <w:t>Mód</w:t>
      </w:r>
      <w:r w:rsidRPr="00E441EF">
        <w:rPr>
          <w:b/>
          <w:szCs w:val="24"/>
          <w:lang w:val="pt-PT" w:eastAsia="en-US"/>
        </w:rPr>
        <w:t>. 92]</w:t>
      </w:r>
    </w:p>
    <w:p w14:paraId="7DE57D75" w14:textId="77777777" w:rsidR="001D30D4" w:rsidRPr="00E441EF" w:rsidRDefault="001D30D4" w:rsidP="001D30D4">
      <w:pPr>
        <w:spacing w:before="120" w:after="120" w:line="360" w:lineRule="auto"/>
        <w:ind w:left="850" w:hanging="850"/>
        <w:rPr>
          <w:szCs w:val="24"/>
          <w:lang w:val="pt-PT" w:eastAsia="en-US"/>
        </w:rPr>
      </w:pPr>
      <w:r w:rsidRPr="00E441EF">
        <w:rPr>
          <w:szCs w:val="24"/>
          <w:lang w:val="pt-PT" w:eastAsia="en-US"/>
        </w:rPr>
        <w:br w:type="page"/>
      </w:r>
      <w:r w:rsidRPr="00E441EF">
        <w:rPr>
          <w:b/>
          <w:i/>
          <w:szCs w:val="24"/>
          <w:lang w:val="pt-PT" w:eastAsia="en-US"/>
        </w:rPr>
        <w:lastRenderedPageBreak/>
        <w:t>6b.</w:t>
      </w:r>
      <w:r w:rsidRPr="00E441EF">
        <w:rPr>
          <w:b/>
          <w:i/>
          <w:szCs w:val="24"/>
          <w:lang w:val="pt-PT" w:eastAsia="en-US"/>
        </w:rPr>
        <w:tab/>
        <w:t>A határozat a következő cikkel egészül ki:</w:t>
      </w:r>
    </w:p>
    <w:p w14:paraId="680ADF6C" w14:textId="77777777" w:rsidR="001D30D4" w:rsidRPr="00E441EF" w:rsidRDefault="001D30D4" w:rsidP="001D30D4">
      <w:pPr>
        <w:spacing w:before="120" w:after="120" w:line="360" w:lineRule="auto"/>
        <w:ind w:left="850"/>
        <w:rPr>
          <w:szCs w:val="24"/>
          <w:lang w:val="pt-PT" w:eastAsia="en-US"/>
        </w:rPr>
      </w:pPr>
      <w:r w:rsidRPr="00E441EF">
        <w:rPr>
          <w:b/>
          <w:i/>
          <w:szCs w:val="24"/>
          <w:lang w:val="pt-PT" w:eastAsia="en-US"/>
        </w:rPr>
        <w:t>„6ab. cikk</w:t>
      </w:r>
      <w:r w:rsidRPr="00E441EF">
        <w:rPr>
          <w:b/>
          <w:i/>
          <w:szCs w:val="24"/>
          <w:lang w:val="pt-PT" w:eastAsia="en-US"/>
        </w:rPr>
        <w:br/>
        <w:t>A nagy ökológiai értékű, sérülékeny vagy szennyezett területek különleges kezelése</w:t>
      </w:r>
      <w:r w:rsidRPr="00E441EF">
        <w:rPr>
          <w:szCs w:val="24"/>
          <w:lang w:val="pt-PT" w:eastAsia="en-US"/>
        </w:rPr>
        <w:t>”</w:t>
      </w:r>
    </w:p>
    <w:p w14:paraId="042A1E0F" w14:textId="77777777" w:rsidR="001D30D4" w:rsidRPr="00E441EF" w:rsidRDefault="001D30D4" w:rsidP="001D30D4">
      <w:pPr>
        <w:spacing w:before="120" w:after="120" w:line="360" w:lineRule="auto"/>
        <w:ind w:left="850" w:firstLine="1"/>
        <w:rPr>
          <w:b/>
          <w:szCs w:val="24"/>
          <w:lang w:val="pt-PT" w:eastAsia="en-US"/>
        </w:rPr>
      </w:pPr>
      <w:r w:rsidRPr="00E441EF">
        <w:rPr>
          <w:b/>
          <w:i/>
          <w:szCs w:val="24"/>
          <w:lang w:val="pt-PT" w:eastAsia="en-US"/>
        </w:rPr>
        <w:t>A Bizottság [legkésőbb négy évvel ezen irányelv hatálybalépését követően] kémiai állapotról szóló értékelést tesz közzé a magas ökológiai értékkel, sérülékenységgel vagy szennyezéssel jellemezhető területekre, például a barlangokra és karsztterületekre, volt ipari területekre és más ismert korábbi szennyeződés által érintett területekre vonatkozóan, adott esetben az irányelv felülvizsgálatára irányuló jogalkotási javaslat kíséretében.</w:t>
      </w:r>
      <w:r w:rsidRPr="00E441EF">
        <w:rPr>
          <w:b/>
          <w:szCs w:val="24"/>
          <w:lang w:val="pt-PT" w:eastAsia="en-US"/>
        </w:rPr>
        <w:t xml:space="preserve"> [</w:t>
      </w:r>
      <w:r w:rsidR="000536D5" w:rsidRPr="00DC67EB">
        <w:rPr>
          <w:b/>
          <w:szCs w:val="24"/>
          <w:lang w:eastAsia="en-US"/>
        </w:rPr>
        <w:t>Mód</w:t>
      </w:r>
      <w:r w:rsidRPr="00E441EF">
        <w:rPr>
          <w:b/>
          <w:szCs w:val="24"/>
          <w:lang w:val="pt-PT" w:eastAsia="en-US"/>
        </w:rPr>
        <w:t>. 93]</w:t>
      </w:r>
    </w:p>
    <w:p w14:paraId="5ECFE789" w14:textId="77777777" w:rsidR="001D30D4" w:rsidRPr="00E441EF" w:rsidRDefault="001D30D4" w:rsidP="001D30D4">
      <w:pPr>
        <w:spacing w:before="120" w:after="120" w:line="360" w:lineRule="auto"/>
        <w:ind w:left="850" w:hanging="850"/>
        <w:rPr>
          <w:szCs w:val="24"/>
          <w:lang w:val="pt-PT" w:eastAsia="en-US"/>
        </w:rPr>
      </w:pPr>
      <w:r w:rsidRPr="00E441EF">
        <w:rPr>
          <w:szCs w:val="24"/>
          <w:lang w:val="pt-PT" w:eastAsia="en-US"/>
        </w:rPr>
        <w:br w:type="page"/>
      </w:r>
      <w:r w:rsidRPr="00E441EF">
        <w:rPr>
          <w:b/>
          <w:i/>
          <w:szCs w:val="24"/>
          <w:lang w:val="pt-PT" w:eastAsia="en-US"/>
        </w:rPr>
        <w:lastRenderedPageBreak/>
        <w:t>6c.</w:t>
      </w:r>
      <w:r w:rsidRPr="00E441EF">
        <w:rPr>
          <w:b/>
          <w:i/>
          <w:szCs w:val="24"/>
          <w:lang w:val="pt-PT" w:eastAsia="en-US"/>
        </w:rPr>
        <w:tab/>
        <w:t>A határozat a következő cikkel egészül ki:</w:t>
      </w:r>
    </w:p>
    <w:p w14:paraId="68F2548C" w14:textId="77777777" w:rsidR="001D30D4" w:rsidRPr="00E441EF" w:rsidRDefault="001D30D4" w:rsidP="001D30D4">
      <w:pPr>
        <w:spacing w:before="120" w:after="120" w:line="360" w:lineRule="auto"/>
        <w:ind w:left="850"/>
        <w:rPr>
          <w:szCs w:val="24"/>
          <w:lang w:val="pt-PT" w:eastAsia="en-US"/>
        </w:rPr>
      </w:pPr>
      <w:r w:rsidRPr="00E441EF">
        <w:rPr>
          <w:b/>
          <w:i/>
          <w:szCs w:val="24"/>
          <w:lang w:val="pt-PT" w:eastAsia="en-US"/>
        </w:rPr>
        <w:t>„6ac. cikk</w:t>
      </w:r>
    </w:p>
    <w:p w14:paraId="33A280A3" w14:textId="77777777" w:rsidR="001D30D4" w:rsidRPr="00E441EF" w:rsidRDefault="001D30D4" w:rsidP="001D30D4">
      <w:pPr>
        <w:spacing w:before="120" w:after="120" w:line="360" w:lineRule="auto"/>
        <w:ind w:left="850" w:firstLine="1"/>
        <w:rPr>
          <w:b/>
          <w:szCs w:val="24"/>
          <w:lang w:val="pt-PT" w:eastAsia="en-US"/>
        </w:rPr>
      </w:pPr>
      <w:r w:rsidRPr="00E441EF">
        <w:rPr>
          <w:b/>
          <w:i/>
          <w:szCs w:val="24"/>
          <w:lang w:val="pt-PT" w:eastAsia="en-US"/>
        </w:rPr>
        <w:t>A Bizottság legkésőbb [egy évvel ezen irányelv hatálybalépését követően]-ig hatásvizsgálatot nyújt be, amelyben megvizsgálja a kiterjesztett gyártói felelősségi mechanizmus ezen irányelvbe való felvételét, biztosítva, hogy azok a gyártók, amelyek az I. mellékletben felsorolt anyagok vagy vegyületek bármelyikét, valamint az ezen irányelv szerinti megfigyelési listán szereplő, újonnan megjelenő, aggodalomra okot adó szennyező anyagokat tartalmazó termékeket hoznak forgalomba, hozzájáruljanak a 2000/60/EK irányelv 8. cikke alapján kidolgozott monitoringprogramok költségeihez. A hatásvizsgálatot adott esetben az irányelv felülvizsgálatára irányuló jogalkotási javaslatnak kell kísérnie.</w:t>
      </w:r>
      <w:r w:rsidRPr="00E441EF">
        <w:rPr>
          <w:b/>
          <w:szCs w:val="24"/>
          <w:lang w:val="pt-PT" w:eastAsia="en-US"/>
        </w:rPr>
        <w:t xml:space="preserve"> [</w:t>
      </w:r>
      <w:r w:rsidR="000536D5" w:rsidRPr="00DC67EB">
        <w:rPr>
          <w:b/>
          <w:szCs w:val="24"/>
          <w:lang w:eastAsia="en-US"/>
        </w:rPr>
        <w:t>Mód</w:t>
      </w:r>
      <w:r w:rsidRPr="00E441EF">
        <w:rPr>
          <w:b/>
          <w:szCs w:val="24"/>
          <w:lang w:val="pt-PT" w:eastAsia="en-US"/>
        </w:rPr>
        <w:t>. 94]</w:t>
      </w:r>
    </w:p>
    <w:p w14:paraId="7C2DB7C4" w14:textId="77777777" w:rsidR="001D30D4" w:rsidRPr="00E441EF" w:rsidRDefault="001D30D4" w:rsidP="001D30D4">
      <w:pPr>
        <w:spacing w:before="120" w:after="120" w:line="360" w:lineRule="auto"/>
        <w:ind w:left="850" w:hanging="850"/>
        <w:rPr>
          <w:szCs w:val="24"/>
          <w:lang w:val="pt-PT" w:eastAsia="en-US"/>
        </w:rPr>
      </w:pPr>
      <w:r w:rsidRPr="00E441EF">
        <w:rPr>
          <w:b/>
          <w:i/>
          <w:szCs w:val="24"/>
          <w:lang w:val="pt-PT" w:eastAsia="en-US"/>
        </w:rPr>
        <w:br w:type="page"/>
      </w:r>
      <w:r w:rsidRPr="00E441EF">
        <w:rPr>
          <w:b/>
          <w:i/>
          <w:szCs w:val="24"/>
          <w:lang w:val="pt-PT" w:eastAsia="en-US"/>
        </w:rPr>
        <w:lastRenderedPageBreak/>
        <w:t>6d.</w:t>
      </w:r>
      <w:r w:rsidRPr="00E441EF">
        <w:rPr>
          <w:szCs w:val="24"/>
          <w:lang w:val="pt-PT" w:eastAsia="en-US"/>
        </w:rPr>
        <w:tab/>
      </w:r>
      <w:r w:rsidRPr="00E441EF">
        <w:rPr>
          <w:b/>
          <w:i/>
          <w:szCs w:val="24"/>
          <w:lang w:val="pt-PT" w:eastAsia="en-US"/>
        </w:rPr>
        <w:t>A szöveg a következő cikkel egészül ki:</w:t>
      </w:r>
    </w:p>
    <w:p w14:paraId="00EFD025" w14:textId="77777777" w:rsidR="001D30D4" w:rsidRPr="00E441EF" w:rsidRDefault="001D30D4" w:rsidP="001D30D4">
      <w:pPr>
        <w:spacing w:before="120" w:after="120" w:line="360" w:lineRule="auto"/>
        <w:ind w:left="850"/>
        <w:rPr>
          <w:szCs w:val="24"/>
          <w:lang w:val="pt-PT" w:eastAsia="en-US"/>
        </w:rPr>
      </w:pPr>
      <w:r w:rsidRPr="00E441EF">
        <w:rPr>
          <w:b/>
          <w:i/>
          <w:szCs w:val="24"/>
          <w:lang w:val="pt-PT" w:eastAsia="en-US"/>
        </w:rPr>
        <w:t>„6ad. cikk</w:t>
      </w:r>
      <w:r w:rsidRPr="00E441EF">
        <w:rPr>
          <w:b/>
          <w:i/>
          <w:szCs w:val="24"/>
          <w:lang w:val="pt-PT" w:eastAsia="en-US"/>
        </w:rPr>
        <w:br/>
        <w:t>Európai monitoringlétesítmény</w:t>
      </w:r>
    </w:p>
    <w:p w14:paraId="0B10CB53" w14:textId="77777777" w:rsidR="001D30D4" w:rsidRDefault="001D30D4" w:rsidP="001D30D4">
      <w:pPr>
        <w:spacing w:before="120" w:after="120" w:line="360" w:lineRule="auto"/>
        <w:ind w:left="850"/>
        <w:rPr>
          <w:b/>
          <w:i/>
          <w:szCs w:val="24"/>
          <w:lang w:val="pt-PT" w:eastAsia="en-US"/>
        </w:rPr>
      </w:pPr>
      <w:r w:rsidRPr="00E441EF">
        <w:rPr>
          <w:b/>
          <w:i/>
          <w:szCs w:val="24"/>
          <w:lang w:val="pt-PT" w:eastAsia="en-US"/>
        </w:rPr>
        <w:t xml:space="preserve">A Bizottság [egy évvel ezen irányelv hatálybalépését követően] a tagállamok kérésére közös monitoringlétesítményt hoz létre a monitoringkövetelmények kezelésére. </w:t>
      </w:r>
    </w:p>
    <w:p w14:paraId="1E54E541" w14:textId="77777777" w:rsidR="006D0C20" w:rsidRPr="006D0C20" w:rsidRDefault="006D0C20" w:rsidP="006D0C20">
      <w:pPr>
        <w:spacing w:before="120" w:after="120" w:line="360" w:lineRule="auto"/>
        <w:ind w:left="850"/>
        <w:rPr>
          <w:b/>
          <w:i/>
          <w:szCs w:val="24"/>
          <w:lang w:val="pt-PT" w:eastAsia="en-US"/>
        </w:rPr>
      </w:pPr>
      <w:r w:rsidRPr="006D0C20">
        <w:rPr>
          <w:b/>
          <w:i/>
          <w:szCs w:val="24"/>
          <w:lang w:eastAsia="en-US"/>
        </w:rPr>
        <w:t>A Bizottság meghatározza a monitoringlétesítmény működését, amely többek között a következőkre terjed ki:</w:t>
      </w:r>
    </w:p>
    <w:p w14:paraId="39EBB323" w14:textId="77777777" w:rsidR="001D30D4" w:rsidRPr="00E441EF" w:rsidRDefault="001D30D4" w:rsidP="001D30D4">
      <w:pPr>
        <w:spacing w:before="120" w:after="120" w:line="360" w:lineRule="auto"/>
        <w:ind w:left="1416" w:hanging="566"/>
        <w:rPr>
          <w:szCs w:val="24"/>
          <w:lang w:val="pt-PT" w:eastAsia="en-US"/>
        </w:rPr>
      </w:pPr>
      <w:r w:rsidRPr="00E441EF">
        <w:rPr>
          <w:b/>
          <w:i/>
          <w:szCs w:val="24"/>
          <w:lang w:val="pt-PT" w:eastAsia="en-US"/>
        </w:rPr>
        <w:t>a)</w:t>
      </w:r>
      <w:r w:rsidRPr="00E441EF">
        <w:rPr>
          <w:szCs w:val="24"/>
          <w:lang w:val="pt-PT" w:eastAsia="en-US"/>
        </w:rPr>
        <w:tab/>
      </w:r>
      <w:r w:rsidRPr="00E441EF">
        <w:rPr>
          <w:b/>
          <w:i/>
          <w:szCs w:val="24"/>
          <w:lang w:val="pt-PT" w:eastAsia="en-US"/>
        </w:rPr>
        <w:t>A Bizottság meghatározza a monitoringlétesítmény működését, amely többek között a következőkre terjed ki:</w:t>
      </w:r>
    </w:p>
    <w:p w14:paraId="2244109C" w14:textId="77777777" w:rsidR="001D30D4" w:rsidRPr="00E441EF" w:rsidRDefault="001D30D4" w:rsidP="001D30D4">
      <w:pPr>
        <w:spacing w:before="120" w:after="120" w:line="360" w:lineRule="auto"/>
        <w:ind w:left="1416" w:hanging="566"/>
        <w:rPr>
          <w:szCs w:val="24"/>
          <w:lang w:val="pt-PT" w:eastAsia="en-US"/>
        </w:rPr>
      </w:pPr>
      <w:r w:rsidRPr="00E441EF">
        <w:rPr>
          <w:b/>
          <w:i/>
          <w:szCs w:val="24"/>
          <w:lang w:val="pt-PT" w:eastAsia="en-US"/>
        </w:rPr>
        <w:t>b)</w:t>
      </w:r>
      <w:r w:rsidRPr="00E441EF">
        <w:rPr>
          <w:szCs w:val="24"/>
          <w:lang w:val="pt-PT" w:eastAsia="en-US"/>
        </w:rPr>
        <w:tab/>
      </w:r>
      <w:r w:rsidRPr="00E441EF">
        <w:rPr>
          <w:b/>
          <w:i/>
          <w:szCs w:val="24"/>
          <w:lang w:val="pt-PT" w:eastAsia="en-US"/>
        </w:rPr>
        <w:t>a monitoringlétesítményt igénybe venni kívánó tagállamokra vonatkozó operatív eljárások, amelyek többek között magukban foglalják a Bizottság számára előírt értesítést a monitoringigényeikről vagy képességeikről, a minták kezelésére vonatkozó pontos protokollokról, valamint arról, hogy mennyi ideig kívánnak a mechanizmusban részt venni;</w:t>
      </w:r>
    </w:p>
    <w:p w14:paraId="283DE606" w14:textId="77777777" w:rsidR="001D30D4" w:rsidRPr="00E441EF" w:rsidRDefault="001D30D4" w:rsidP="001D30D4">
      <w:pPr>
        <w:spacing w:before="120" w:after="120" w:line="360" w:lineRule="auto"/>
        <w:ind w:left="1416" w:hanging="566"/>
        <w:rPr>
          <w:b/>
          <w:szCs w:val="24"/>
          <w:lang w:val="pt-PT" w:eastAsia="en-US"/>
        </w:rPr>
      </w:pPr>
      <w:r w:rsidRPr="00E441EF">
        <w:rPr>
          <w:b/>
          <w:i/>
          <w:szCs w:val="24"/>
          <w:lang w:val="pt-PT" w:eastAsia="en-US"/>
        </w:rPr>
        <w:br w:type="page"/>
      </w:r>
      <w:r w:rsidRPr="00E441EF">
        <w:rPr>
          <w:b/>
          <w:i/>
          <w:szCs w:val="24"/>
          <w:lang w:val="pt-PT" w:eastAsia="en-US"/>
        </w:rPr>
        <w:lastRenderedPageBreak/>
        <w:t>c)</w:t>
      </w:r>
      <w:r w:rsidRPr="00E441EF">
        <w:rPr>
          <w:szCs w:val="24"/>
          <w:lang w:val="pt-PT" w:eastAsia="en-US"/>
        </w:rPr>
        <w:tab/>
      </w:r>
      <w:r w:rsidRPr="00E441EF">
        <w:rPr>
          <w:b/>
          <w:i/>
          <w:szCs w:val="24"/>
          <w:lang w:val="pt-PT" w:eastAsia="en-US"/>
        </w:rPr>
        <w:t>a finanszírozási források, amelyek magukban foglalhatják a vonatkozó uniós strukturális alapokat és programokat, valamint a magánszektor hozzájárulásai, többek között a kiterjesztett gyártói felelősségi mechanizmus keretében, a 6ac. cikkel összhangban való bevezetését követően.</w:t>
      </w:r>
      <w:r w:rsidRPr="00E441EF">
        <w:rPr>
          <w:szCs w:val="24"/>
          <w:lang w:val="pt-PT" w:eastAsia="en-US"/>
        </w:rPr>
        <w:t>”</w:t>
      </w:r>
      <w:r w:rsidRPr="00E441EF">
        <w:rPr>
          <w:b/>
          <w:szCs w:val="24"/>
          <w:lang w:val="pt-PT" w:eastAsia="en-US"/>
        </w:rPr>
        <w:t xml:space="preserve"> [</w:t>
      </w:r>
      <w:r w:rsidR="000536D5" w:rsidRPr="00DC67EB">
        <w:rPr>
          <w:b/>
          <w:szCs w:val="24"/>
          <w:lang w:eastAsia="en-US"/>
        </w:rPr>
        <w:t>Mód</w:t>
      </w:r>
      <w:r w:rsidRPr="00E441EF">
        <w:rPr>
          <w:b/>
          <w:szCs w:val="24"/>
          <w:lang w:val="pt-PT" w:eastAsia="en-US"/>
        </w:rPr>
        <w:t>. 95]</w:t>
      </w:r>
    </w:p>
    <w:p w14:paraId="69AE343E" w14:textId="77777777" w:rsidR="001D30D4" w:rsidRPr="00E441EF" w:rsidRDefault="001D30D4" w:rsidP="001D30D4">
      <w:pPr>
        <w:spacing w:before="120" w:after="120" w:line="360" w:lineRule="auto"/>
        <w:ind w:left="850" w:hanging="850"/>
        <w:rPr>
          <w:szCs w:val="24"/>
          <w:lang w:val="pt-PT" w:eastAsia="en-US"/>
        </w:rPr>
      </w:pPr>
      <w:r w:rsidRPr="00E441EF">
        <w:rPr>
          <w:szCs w:val="24"/>
          <w:lang w:val="pt-PT" w:eastAsia="en-US"/>
        </w:rPr>
        <w:t>7.</w:t>
      </w:r>
      <w:r w:rsidRPr="00E441EF">
        <w:rPr>
          <w:szCs w:val="24"/>
          <w:lang w:val="pt-PT" w:eastAsia="en-US"/>
        </w:rPr>
        <w:tab/>
        <w:t>A 8. cikk helyébe a következő szöveg lép:</w:t>
      </w:r>
    </w:p>
    <w:p w14:paraId="5B1713FA" w14:textId="77777777" w:rsidR="001D30D4" w:rsidRPr="00E441EF" w:rsidRDefault="001D30D4" w:rsidP="001D30D4">
      <w:pPr>
        <w:spacing w:before="120" w:after="120" w:line="360" w:lineRule="auto"/>
        <w:ind w:left="850"/>
        <w:rPr>
          <w:szCs w:val="24"/>
          <w:lang w:val="pt-PT" w:eastAsia="en-US"/>
        </w:rPr>
      </w:pPr>
      <w:r w:rsidRPr="00E441EF">
        <w:rPr>
          <w:szCs w:val="24"/>
          <w:lang w:val="pt-PT" w:eastAsia="en-US"/>
        </w:rPr>
        <w:t>„8. cikk</w:t>
      </w:r>
    </w:p>
    <w:p w14:paraId="1F66356A" w14:textId="77777777" w:rsidR="001D30D4" w:rsidRPr="00E441EF" w:rsidRDefault="001D30D4" w:rsidP="001D30D4">
      <w:pPr>
        <w:spacing w:before="120" w:after="120" w:line="360" w:lineRule="auto"/>
        <w:ind w:left="850"/>
        <w:rPr>
          <w:szCs w:val="24"/>
          <w:lang w:val="pt-PT" w:eastAsia="en-US"/>
        </w:rPr>
      </w:pPr>
      <w:r w:rsidRPr="00E441EF">
        <w:rPr>
          <w:szCs w:val="24"/>
          <w:lang w:val="pt-PT" w:eastAsia="en-US"/>
        </w:rPr>
        <w:t xml:space="preserve">Az I–IV. melléklet felülvizsgálata </w:t>
      </w:r>
    </w:p>
    <w:p w14:paraId="2F1BE3F3" w14:textId="77777777" w:rsidR="001D30D4" w:rsidRPr="00E441EF" w:rsidRDefault="001D30D4" w:rsidP="001D30D4">
      <w:pPr>
        <w:spacing w:before="120" w:after="120" w:line="360" w:lineRule="auto"/>
        <w:ind w:left="1416" w:hanging="566"/>
        <w:rPr>
          <w:b/>
          <w:szCs w:val="24"/>
          <w:lang w:val="pt-PT" w:eastAsia="en-US"/>
        </w:rPr>
      </w:pPr>
      <w:r w:rsidRPr="00E441EF">
        <w:rPr>
          <w:szCs w:val="24"/>
          <w:lang w:val="pt-PT" w:eastAsia="en-US"/>
        </w:rPr>
        <w:t>(1)</w:t>
      </w:r>
      <w:r w:rsidRPr="00E441EF">
        <w:rPr>
          <w:szCs w:val="24"/>
          <w:lang w:val="pt-PT" w:eastAsia="en-US"/>
        </w:rPr>
        <w:tab/>
        <w:t xml:space="preserve">A Bizottság első alkalommal [Kiadóhivatal: kérjük, illesszék be az ezen irányelv hatálybalépését </w:t>
      </w:r>
      <w:r w:rsidRPr="00E441EF">
        <w:rPr>
          <w:strike/>
          <w:szCs w:val="24"/>
          <w:lang w:val="pt-PT" w:eastAsia="en-US"/>
        </w:rPr>
        <w:t>hat</w:t>
      </w:r>
      <w:r w:rsidRPr="00E441EF">
        <w:rPr>
          <w:b/>
          <w:i/>
          <w:szCs w:val="24"/>
          <w:lang w:val="pt-PT" w:eastAsia="en-US"/>
        </w:rPr>
        <w:t>négy</w:t>
      </w:r>
      <w:r w:rsidRPr="00E441EF">
        <w:rPr>
          <w:szCs w:val="24"/>
          <w:lang w:val="pt-PT" w:eastAsia="en-US"/>
        </w:rPr>
        <w:t xml:space="preserve"> évvel követő dátumot]-ig és azt követően </w:t>
      </w:r>
      <w:r w:rsidRPr="00E441EF">
        <w:rPr>
          <w:strike/>
          <w:szCs w:val="24"/>
          <w:lang w:val="pt-PT" w:eastAsia="en-US"/>
        </w:rPr>
        <w:t>hatévente</w:t>
      </w:r>
      <w:r w:rsidRPr="00E441EF">
        <w:rPr>
          <w:b/>
          <w:i/>
          <w:szCs w:val="24"/>
          <w:lang w:val="pt-PT" w:eastAsia="en-US"/>
        </w:rPr>
        <w:t>négyévente</w:t>
      </w:r>
      <w:r w:rsidRPr="00E441EF">
        <w:rPr>
          <w:szCs w:val="24"/>
          <w:lang w:val="pt-PT" w:eastAsia="en-US"/>
        </w:rPr>
        <w:t xml:space="preserve"> felülvizsgálja az I. mellékletben meghatározott szennyező anyagok jegyzékét és az e szennyező anyagokra vonatkozóan az említett mellékletben meghatározott minőségi előírásokat, valamint a II. melléklet B. részében meghatározott szennyező anyagok és mutatók jegyzékét.</w:t>
      </w:r>
      <w:r w:rsidRPr="00E441EF">
        <w:rPr>
          <w:b/>
          <w:szCs w:val="24"/>
          <w:lang w:val="pt-PT" w:eastAsia="en-US"/>
        </w:rPr>
        <w:t xml:space="preserve"> [</w:t>
      </w:r>
      <w:r w:rsidR="000536D5" w:rsidRPr="00DC67EB">
        <w:rPr>
          <w:b/>
          <w:szCs w:val="24"/>
          <w:lang w:eastAsia="en-US"/>
        </w:rPr>
        <w:t>Mód</w:t>
      </w:r>
      <w:r w:rsidRPr="00E441EF">
        <w:rPr>
          <w:b/>
          <w:szCs w:val="24"/>
          <w:lang w:val="pt-PT" w:eastAsia="en-US"/>
        </w:rPr>
        <w:t>. 96]</w:t>
      </w:r>
    </w:p>
    <w:p w14:paraId="5C049CD8" w14:textId="77777777" w:rsidR="001D30D4" w:rsidRPr="00E441EF" w:rsidRDefault="001D30D4" w:rsidP="001D30D4">
      <w:pPr>
        <w:spacing w:before="120" w:after="120" w:line="360" w:lineRule="auto"/>
        <w:ind w:left="1416" w:hanging="566"/>
        <w:rPr>
          <w:b/>
          <w:szCs w:val="24"/>
          <w:lang w:val="pt-PT" w:eastAsia="en-US"/>
        </w:rPr>
      </w:pPr>
      <w:r w:rsidRPr="00E441EF">
        <w:rPr>
          <w:szCs w:val="24"/>
          <w:lang w:val="pt-PT" w:eastAsia="en-US"/>
        </w:rPr>
        <w:br w:type="page"/>
      </w:r>
      <w:r w:rsidRPr="00E441EF">
        <w:rPr>
          <w:szCs w:val="24"/>
          <w:lang w:val="pt-PT" w:eastAsia="en-US"/>
        </w:rPr>
        <w:lastRenderedPageBreak/>
        <w:t>(2)</w:t>
      </w:r>
      <w:r w:rsidRPr="00E441EF">
        <w:rPr>
          <w:szCs w:val="24"/>
          <w:lang w:val="pt-PT" w:eastAsia="en-US"/>
        </w:rPr>
        <w:tab/>
      </w:r>
      <w:r w:rsidRPr="00E441EF">
        <w:rPr>
          <w:b/>
          <w:i/>
          <w:szCs w:val="24"/>
          <w:lang w:val="pt-PT" w:eastAsia="en-US"/>
        </w:rPr>
        <w:t xml:space="preserve">A felülvizsgálat alapján </w:t>
      </w:r>
      <w:r w:rsidRPr="00E441EF">
        <w:rPr>
          <w:szCs w:val="24"/>
          <w:lang w:val="pt-PT" w:eastAsia="en-US"/>
        </w:rPr>
        <w:t xml:space="preserve">a Bizottság </w:t>
      </w:r>
      <w:r w:rsidRPr="00E441EF">
        <w:rPr>
          <w:strike/>
          <w:szCs w:val="24"/>
          <w:lang w:val="pt-PT" w:eastAsia="en-US"/>
        </w:rPr>
        <w:t>felhatalmazást kap arra, hogy a 8a. cikknek megfelelően felhatalmazáson alapuló jogi aktusok elfogadásával</w:t>
      </w:r>
      <w:r w:rsidRPr="00E441EF">
        <w:rPr>
          <w:b/>
          <w:i/>
          <w:szCs w:val="24"/>
          <w:lang w:val="pt-PT" w:eastAsia="en-US"/>
        </w:rPr>
        <w:t>adott esetben jogalkotási javaslatokat terjeszt elő, hogy</w:t>
      </w:r>
      <w:r w:rsidRPr="00E441EF">
        <w:rPr>
          <w:szCs w:val="24"/>
          <w:lang w:val="pt-PT" w:eastAsia="en-US"/>
        </w:rPr>
        <w:t xml:space="preserve"> módosítsa az I. mellékletet a műszaki és tudományos fejlődéshez való hozzáigazítás céljából, a felszín alatti vizekben található szennyező anyagok és az említett mellékletben a szennyező anyagokra vonatkozóan meghatározott minőségi előírások hozzáadásával vagy törlésével</w:t>
      </w:r>
      <w:r w:rsidRPr="00E441EF">
        <w:rPr>
          <w:strike/>
          <w:szCs w:val="24"/>
          <w:lang w:val="pt-PT" w:eastAsia="en-US"/>
        </w:rPr>
        <w:t>, valamint a B. részt</w:t>
      </w:r>
      <w:r w:rsidRPr="00E441EF">
        <w:rPr>
          <w:b/>
          <w:i/>
          <w:szCs w:val="24"/>
          <w:lang w:val="pt-PT" w:eastAsia="en-US"/>
        </w:rPr>
        <w:t>. A Bizottság felhatalmazást kap arra, hogy a 8a. cikknek megfelelően felhatalmazáson alapuló jogi aktusok elfogadásával módosítsa a II. melléklet B. részét annak</w:t>
      </w:r>
      <w:r w:rsidRPr="00E441EF">
        <w:rPr>
          <w:szCs w:val="24"/>
          <w:lang w:val="pt-PT" w:eastAsia="en-US"/>
        </w:rPr>
        <w:t xml:space="preserve"> a műszaki és tudományos fejlődéshez való </w:t>
      </w:r>
      <w:r w:rsidRPr="00E441EF">
        <w:rPr>
          <w:strike/>
          <w:szCs w:val="24"/>
          <w:lang w:val="pt-PT" w:eastAsia="en-US"/>
        </w:rPr>
        <w:t>hozzáigazítás</w:t>
      </w:r>
      <w:r w:rsidRPr="00E441EF">
        <w:rPr>
          <w:b/>
          <w:i/>
          <w:szCs w:val="24"/>
          <w:lang w:val="pt-PT" w:eastAsia="en-US"/>
        </w:rPr>
        <w:t>hozzáigazítása</w:t>
      </w:r>
      <w:r w:rsidRPr="00E441EF">
        <w:rPr>
          <w:szCs w:val="24"/>
          <w:lang w:val="pt-PT" w:eastAsia="en-US"/>
        </w:rPr>
        <w:t xml:space="preserve"> céljából, olyan szennyező anyagok vagy mutatók hozzáadásával, illetve törlésével, amelyekre vonatkozóan a tagállamoknak mérlegelniük kell nemzeti szintű küszöbértékek megállapítását.</w:t>
      </w:r>
      <w:r w:rsidRPr="00E441EF">
        <w:rPr>
          <w:b/>
          <w:szCs w:val="24"/>
          <w:lang w:val="pt-PT" w:eastAsia="en-US"/>
        </w:rPr>
        <w:t xml:space="preserve"> [</w:t>
      </w:r>
      <w:r w:rsidR="000536D5" w:rsidRPr="00DC67EB">
        <w:rPr>
          <w:b/>
          <w:szCs w:val="24"/>
          <w:lang w:eastAsia="en-US"/>
        </w:rPr>
        <w:t>Mód</w:t>
      </w:r>
      <w:r w:rsidRPr="00E441EF">
        <w:rPr>
          <w:b/>
          <w:szCs w:val="24"/>
          <w:lang w:val="pt-PT" w:eastAsia="en-US"/>
        </w:rPr>
        <w:t>. 97]</w:t>
      </w:r>
    </w:p>
    <w:p w14:paraId="3801F3D2" w14:textId="77777777" w:rsidR="001D30D4" w:rsidRPr="00E441EF" w:rsidRDefault="001D30D4" w:rsidP="001D30D4">
      <w:pPr>
        <w:spacing w:before="120" w:after="120" w:line="360" w:lineRule="auto"/>
        <w:ind w:left="1416" w:hanging="566"/>
        <w:rPr>
          <w:szCs w:val="24"/>
          <w:lang w:val="pt-PT" w:eastAsia="en-US"/>
        </w:rPr>
      </w:pPr>
      <w:r w:rsidRPr="00E441EF">
        <w:rPr>
          <w:szCs w:val="24"/>
          <w:lang w:val="pt-PT" w:eastAsia="en-US"/>
        </w:rPr>
        <w:t>(3)</w:t>
      </w:r>
      <w:r w:rsidRPr="00E441EF">
        <w:rPr>
          <w:szCs w:val="24"/>
          <w:lang w:val="pt-PT" w:eastAsia="en-US"/>
        </w:rPr>
        <w:tab/>
        <w:t>A Bizottság felhatalmazást kap arra, hogy a 8a. cikknek megfelelően felhatalmazáson alapuló jogi aktusok elfogadásával módosítsa a II. melléklet D. részét a tudományos és műszaki fejlődéshez való hozzáigazítás céljából, az említett melléklet B. részében felsorolt egy vagy több szennyező anyagra vonatkozó harmonizált küszöbértékek hozzáadásával vagy módosításával.</w:t>
      </w:r>
    </w:p>
    <w:p w14:paraId="3DF3819A" w14:textId="77777777" w:rsidR="001D30D4" w:rsidRPr="00E441EF" w:rsidRDefault="001D30D4" w:rsidP="001D30D4">
      <w:pPr>
        <w:spacing w:before="120" w:after="120" w:line="360" w:lineRule="auto"/>
        <w:ind w:left="1416" w:hanging="566"/>
        <w:rPr>
          <w:b/>
          <w:szCs w:val="24"/>
          <w:lang w:val="pt-PT" w:eastAsia="en-US"/>
        </w:rPr>
      </w:pPr>
      <w:r w:rsidRPr="00E441EF">
        <w:rPr>
          <w:szCs w:val="24"/>
          <w:lang w:val="pt-PT" w:eastAsia="en-US"/>
        </w:rPr>
        <w:t>(4)</w:t>
      </w:r>
      <w:r w:rsidRPr="00E441EF">
        <w:rPr>
          <w:szCs w:val="24"/>
          <w:lang w:val="pt-PT" w:eastAsia="en-US"/>
        </w:rPr>
        <w:tab/>
        <w:t>A (2) és (3) bekezdésben említett</w:t>
      </w:r>
      <w:r w:rsidRPr="00E441EF">
        <w:rPr>
          <w:b/>
          <w:i/>
          <w:szCs w:val="24"/>
          <w:lang w:val="pt-PT" w:eastAsia="en-US"/>
        </w:rPr>
        <w:t xml:space="preserve"> jogalkotási javaslatok és</w:t>
      </w:r>
      <w:r w:rsidRPr="00E441EF">
        <w:rPr>
          <w:szCs w:val="24"/>
          <w:lang w:val="pt-PT" w:eastAsia="en-US"/>
        </w:rPr>
        <w:t xml:space="preserve"> felhatalmazáson alapuló jogi aktusok elfogadásakor a Bizottság figyelembe veszi az ECHA e cikk (6) bekezdése alapján elkészített tudományos jelentéseit.</w:t>
      </w:r>
      <w:r w:rsidRPr="00E441EF">
        <w:rPr>
          <w:b/>
          <w:szCs w:val="24"/>
          <w:lang w:val="pt-PT" w:eastAsia="en-US"/>
        </w:rPr>
        <w:t xml:space="preserve"> [</w:t>
      </w:r>
      <w:r w:rsidR="000536D5" w:rsidRPr="00DC67EB">
        <w:rPr>
          <w:b/>
          <w:szCs w:val="24"/>
          <w:lang w:eastAsia="en-US"/>
        </w:rPr>
        <w:t>Mód</w:t>
      </w:r>
      <w:r w:rsidRPr="00E441EF">
        <w:rPr>
          <w:b/>
          <w:szCs w:val="24"/>
          <w:lang w:val="pt-PT" w:eastAsia="en-US"/>
        </w:rPr>
        <w:t>. 98]</w:t>
      </w:r>
    </w:p>
    <w:p w14:paraId="41BFC145" w14:textId="77777777" w:rsidR="001D30D4" w:rsidRPr="00E441EF" w:rsidRDefault="001D30D4" w:rsidP="001D30D4">
      <w:pPr>
        <w:spacing w:before="120" w:after="120" w:line="360" w:lineRule="auto"/>
        <w:ind w:left="1416" w:hanging="566"/>
        <w:rPr>
          <w:szCs w:val="24"/>
          <w:lang w:val="pt-PT" w:eastAsia="en-US"/>
        </w:rPr>
      </w:pPr>
      <w:r w:rsidRPr="00E441EF">
        <w:rPr>
          <w:szCs w:val="24"/>
          <w:lang w:val="pt-PT" w:eastAsia="en-US"/>
        </w:rPr>
        <w:br w:type="page"/>
      </w:r>
      <w:r w:rsidRPr="00E441EF">
        <w:rPr>
          <w:szCs w:val="24"/>
          <w:lang w:val="pt-PT" w:eastAsia="en-US"/>
        </w:rPr>
        <w:lastRenderedPageBreak/>
        <w:t>(5)</w:t>
      </w:r>
      <w:r w:rsidRPr="00E441EF">
        <w:rPr>
          <w:szCs w:val="24"/>
          <w:lang w:val="pt-PT" w:eastAsia="en-US"/>
        </w:rPr>
        <w:tab/>
        <w:t>A Bizottság felhatalmazást kap arra, hogy a 8a. cikknek megfelelően felhatalmazáson alapuló jogi aktusok elfogadásával módosítsa a II. melléklet A. és C. részét, valamint a III. és a IV. mellékletet a tudományos és műszaki fejlődéshez való hozzáigazítás céljából.</w:t>
      </w:r>
    </w:p>
    <w:p w14:paraId="7466431D" w14:textId="77777777" w:rsidR="001D30D4" w:rsidRPr="00E441EF" w:rsidRDefault="001D30D4" w:rsidP="001D30D4">
      <w:pPr>
        <w:spacing w:before="120" w:after="120" w:line="360" w:lineRule="auto"/>
        <w:ind w:left="1416" w:hanging="566"/>
        <w:rPr>
          <w:szCs w:val="24"/>
          <w:lang w:val="pt-PT" w:eastAsia="en-US"/>
        </w:rPr>
      </w:pPr>
      <w:r w:rsidRPr="00E441EF">
        <w:rPr>
          <w:szCs w:val="24"/>
          <w:lang w:val="pt-PT" w:eastAsia="en-US"/>
        </w:rPr>
        <w:t>(6)</w:t>
      </w:r>
      <w:r w:rsidRPr="00E441EF">
        <w:rPr>
          <w:szCs w:val="24"/>
          <w:lang w:val="pt-PT" w:eastAsia="en-US"/>
        </w:rPr>
        <w:tab/>
        <w:t>Az ECHA tudományos jelentéseket készít, ezzel segítve a Bizottságot az I. és a II. melléklet felülvizsgálatában. Ezeknek a jelentéseknek a következőket kell figyelembe venniük:</w:t>
      </w:r>
    </w:p>
    <w:p w14:paraId="1229A194" w14:textId="77777777" w:rsidR="001D30D4" w:rsidRPr="00E441EF" w:rsidRDefault="001D30D4" w:rsidP="001D30D4">
      <w:pPr>
        <w:spacing w:before="120" w:after="120" w:line="360" w:lineRule="auto"/>
        <w:ind w:left="1982" w:hanging="566"/>
        <w:rPr>
          <w:szCs w:val="24"/>
          <w:lang w:val="pt-PT" w:eastAsia="en-US"/>
        </w:rPr>
      </w:pPr>
      <w:r w:rsidRPr="00E441EF">
        <w:rPr>
          <w:szCs w:val="24"/>
          <w:lang w:val="pt-PT" w:eastAsia="en-US"/>
        </w:rPr>
        <w:t>a)</w:t>
      </w:r>
      <w:r w:rsidRPr="00E441EF">
        <w:rPr>
          <w:szCs w:val="24"/>
          <w:lang w:val="pt-PT" w:eastAsia="en-US"/>
        </w:rPr>
        <w:tab/>
        <w:t>az ECHA kockázatértékelési bizottságának és társadalmi-gazdasági elemzéssel foglalkozó bizottságának véleménye;</w:t>
      </w:r>
    </w:p>
    <w:p w14:paraId="62286FEC" w14:textId="77777777" w:rsidR="001D30D4" w:rsidRPr="00E441EF" w:rsidRDefault="001D30D4" w:rsidP="001D30D4">
      <w:pPr>
        <w:spacing w:before="120" w:after="120" w:line="360" w:lineRule="auto"/>
        <w:ind w:left="1982" w:hanging="566"/>
        <w:rPr>
          <w:szCs w:val="24"/>
          <w:lang w:val="pt-PT" w:eastAsia="en-US"/>
        </w:rPr>
      </w:pPr>
      <w:r w:rsidRPr="00E441EF">
        <w:rPr>
          <w:szCs w:val="24"/>
          <w:lang w:val="pt-PT" w:eastAsia="en-US"/>
        </w:rPr>
        <w:t>b)</w:t>
      </w:r>
      <w:r w:rsidRPr="00E441EF">
        <w:rPr>
          <w:szCs w:val="24"/>
          <w:lang w:val="pt-PT" w:eastAsia="en-US"/>
        </w:rPr>
        <w:tab/>
        <w:t>a 2000/60/EK irányelv 8. cikkével összhangban kidolgozott megfigyelési programok eredményei;</w:t>
      </w:r>
    </w:p>
    <w:p w14:paraId="445AA3AD" w14:textId="77777777" w:rsidR="001D30D4" w:rsidRPr="00E441EF" w:rsidRDefault="001D30D4" w:rsidP="001D30D4">
      <w:pPr>
        <w:spacing w:before="120" w:after="120" w:line="360" w:lineRule="auto"/>
        <w:ind w:left="1982" w:hanging="566"/>
        <w:rPr>
          <w:szCs w:val="24"/>
          <w:lang w:val="pt-PT" w:eastAsia="en-US"/>
        </w:rPr>
      </w:pPr>
      <w:r w:rsidRPr="00E441EF">
        <w:rPr>
          <w:szCs w:val="24"/>
          <w:lang w:val="pt-PT" w:eastAsia="en-US"/>
        </w:rPr>
        <w:t>c)</w:t>
      </w:r>
      <w:r w:rsidRPr="00E441EF">
        <w:rPr>
          <w:szCs w:val="24"/>
          <w:lang w:val="pt-PT" w:eastAsia="en-US"/>
        </w:rPr>
        <w:tab/>
        <w:t>az ezen irányelv 6a. cikkének (4) bekezdésével összhangban gyűjtött megfigyelési adatok;</w:t>
      </w:r>
    </w:p>
    <w:p w14:paraId="6445EFC0" w14:textId="77777777" w:rsidR="001D30D4" w:rsidRPr="00E441EF" w:rsidRDefault="001D30D4" w:rsidP="001D30D4">
      <w:pPr>
        <w:spacing w:before="120" w:after="120" w:line="360" w:lineRule="auto"/>
        <w:ind w:left="1982" w:hanging="566"/>
        <w:rPr>
          <w:szCs w:val="24"/>
          <w:lang w:val="pt-PT" w:eastAsia="en-US"/>
        </w:rPr>
      </w:pPr>
      <w:r w:rsidRPr="00E441EF">
        <w:rPr>
          <w:szCs w:val="24"/>
          <w:lang w:val="pt-PT" w:eastAsia="en-US"/>
        </w:rPr>
        <w:t>d)</w:t>
      </w:r>
      <w:r w:rsidRPr="00E441EF">
        <w:rPr>
          <w:szCs w:val="24"/>
          <w:lang w:val="pt-PT" w:eastAsia="en-US"/>
        </w:rPr>
        <w:tab/>
        <w:t>a 2008/105/EK irányelv és az (EU) 2020/2184 irányelv mellékleteit érintő felülvizsgálatok eredményei;</w:t>
      </w:r>
    </w:p>
    <w:p w14:paraId="6A0B72A9" w14:textId="77777777" w:rsidR="001D30D4" w:rsidRPr="00E441EF" w:rsidRDefault="001D30D4" w:rsidP="001D30D4">
      <w:pPr>
        <w:spacing w:before="120" w:after="120" w:line="360" w:lineRule="auto"/>
        <w:ind w:left="1982" w:hanging="566"/>
        <w:rPr>
          <w:szCs w:val="24"/>
          <w:lang w:val="pt-PT" w:eastAsia="en-US"/>
        </w:rPr>
      </w:pPr>
      <w:r w:rsidRPr="00E441EF">
        <w:rPr>
          <w:szCs w:val="24"/>
          <w:lang w:val="pt-PT" w:eastAsia="en-US"/>
        </w:rPr>
        <w:br w:type="page"/>
      </w:r>
      <w:r w:rsidRPr="00E441EF">
        <w:rPr>
          <w:szCs w:val="24"/>
          <w:lang w:val="pt-PT" w:eastAsia="en-US"/>
        </w:rPr>
        <w:lastRenderedPageBreak/>
        <w:t>e)</w:t>
      </w:r>
      <w:r w:rsidRPr="00E441EF">
        <w:rPr>
          <w:szCs w:val="24"/>
          <w:lang w:val="pt-PT" w:eastAsia="en-US"/>
        </w:rPr>
        <w:tab/>
        <w:t>a talajszennyezés kezelésére vonatkozó információk és követelmények;</w:t>
      </w:r>
    </w:p>
    <w:p w14:paraId="543ABC66" w14:textId="77777777" w:rsidR="001D30D4" w:rsidRPr="00E441EF" w:rsidRDefault="001D30D4" w:rsidP="001D30D4">
      <w:pPr>
        <w:spacing w:before="120" w:after="120" w:line="360" w:lineRule="auto"/>
        <w:ind w:left="1982" w:hanging="566"/>
        <w:rPr>
          <w:b/>
          <w:szCs w:val="24"/>
          <w:lang w:val="pt-PT" w:eastAsia="en-US"/>
        </w:rPr>
      </w:pPr>
      <w:r w:rsidRPr="00E441EF">
        <w:rPr>
          <w:szCs w:val="24"/>
          <w:lang w:val="pt-PT" w:eastAsia="en-US"/>
        </w:rPr>
        <w:t>f)</w:t>
      </w:r>
      <w:r w:rsidRPr="00E441EF">
        <w:rPr>
          <w:szCs w:val="24"/>
          <w:lang w:val="pt-PT" w:eastAsia="en-US"/>
        </w:rPr>
        <w:tab/>
        <w:t xml:space="preserve">uniós kutatási programok és tudományos publikációk, beleértve a távérzékelési technológiák, a Föld-megfigyelés (Kopernikusz-szolgáltatások), a helyszíni érzékelők és eszközök és/vagy a civil tudomány révén nyert </w:t>
      </w:r>
      <w:r w:rsidRPr="00E441EF">
        <w:rPr>
          <w:b/>
          <w:i/>
          <w:szCs w:val="24"/>
          <w:lang w:val="pt-PT" w:eastAsia="en-US"/>
        </w:rPr>
        <w:t xml:space="preserve">naprakész </w:t>
      </w:r>
      <w:r w:rsidRPr="00E441EF">
        <w:rPr>
          <w:szCs w:val="24"/>
          <w:lang w:val="pt-PT" w:eastAsia="en-US"/>
        </w:rPr>
        <w:t>információkat, kihasználva</w:t>
      </w:r>
      <w:r w:rsidRPr="00E441EF">
        <w:rPr>
          <w:b/>
          <w:i/>
          <w:szCs w:val="24"/>
          <w:lang w:val="pt-PT" w:eastAsia="en-US"/>
        </w:rPr>
        <w:t xml:space="preserve"> a rendelkezésre álló legjobb technológiák, így például</w:t>
      </w:r>
      <w:r w:rsidRPr="00E441EF">
        <w:rPr>
          <w:szCs w:val="24"/>
          <w:lang w:val="pt-PT" w:eastAsia="en-US"/>
        </w:rPr>
        <w:t xml:space="preserve"> a mesterséges intelligencia, a fejlett adatelemzés és -feldolgozás kínálta lehetőségeket;</w:t>
      </w:r>
      <w:r w:rsidRPr="00E441EF">
        <w:rPr>
          <w:b/>
          <w:szCs w:val="24"/>
          <w:lang w:val="pt-PT" w:eastAsia="en-US"/>
        </w:rPr>
        <w:t xml:space="preserve"> [</w:t>
      </w:r>
      <w:r w:rsidR="000536D5" w:rsidRPr="00DC67EB">
        <w:rPr>
          <w:b/>
          <w:szCs w:val="24"/>
          <w:lang w:eastAsia="en-US"/>
        </w:rPr>
        <w:t>Mód</w:t>
      </w:r>
      <w:r w:rsidRPr="00E441EF">
        <w:rPr>
          <w:b/>
          <w:szCs w:val="24"/>
          <w:lang w:val="pt-PT" w:eastAsia="en-US"/>
        </w:rPr>
        <w:t>. 99]</w:t>
      </w:r>
    </w:p>
    <w:p w14:paraId="6C5A6A52" w14:textId="77777777" w:rsidR="001D30D4" w:rsidRPr="00E441EF" w:rsidRDefault="001D30D4" w:rsidP="001D30D4">
      <w:pPr>
        <w:spacing w:before="120" w:after="120" w:line="360" w:lineRule="auto"/>
        <w:ind w:left="1982" w:hanging="566"/>
        <w:rPr>
          <w:b/>
          <w:szCs w:val="24"/>
          <w:lang w:val="pt-PT" w:eastAsia="en-US"/>
        </w:rPr>
      </w:pPr>
      <w:r w:rsidRPr="00E441EF">
        <w:rPr>
          <w:szCs w:val="24"/>
          <w:lang w:val="pt-PT" w:eastAsia="en-US"/>
        </w:rPr>
        <w:t>g)</w:t>
      </w:r>
      <w:r w:rsidRPr="00E441EF">
        <w:rPr>
          <w:szCs w:val="24"/>
          <w:lang w:val="pt-PT" w:eastAsia="en-US"/>
        </w:rPr>
        <w:tab/>
        <w:t>az érdekelt felektől</w:t>
      </w:r>
      <w:r w:rsidRPr="00E441EF">
        <w:rPr>
          <w:b/>
          <w:i/>
          <w:szCs w:val="24"/>
          <w:lang w:val="pt-PT" w:eastAsia="en-US"/>
        </w:rPr>
        <w:t>, köztük a nemzeti szabályozó hatóságoktól és más érintett szervektől</w:t>
      </w:r>
      <w:r w:rsidRPr="00E441EF">
        <w:rPr>
          <w:szCs w:val="24"/>
          <w:lang w:val="pt-PT" w:eastAsia="en-US"/>
        </w:rPr>
        <w:t xml:space="preserve"> érkező észrevételek és információk.</w:t>
      </w:r>
      <w:r w:rsidRPr="00E441EF">
        <w:rPr>
          <w:b/>
          <w:szCs w:val="24"/>
          <w:lang w:val="pt-PT" w:eastAsia="en-US"/>
        </w:rPr>
        <w:t xml:space="preserve"> [</w:t>
      </w:r>
      <w:r w:rsidR="000536D5" w:rsidRPr="00DC67EB">
        <w:rPr>
          <w:b/>
          <w:szCs w:val="24"/>
          <w:lang w:eastAsia="en-US"/>
        </w:rPr>
        <w:t>Mód</w:t>
      </w:r>
      <w:r w:rsidRPr="00E441EF">
        <w:rPr>
          <w:b/>
          <w:szCs w:val="24"/>
          <w:lang w:val="pt-PT" w:eastAsia="en-US"/>
        </w:rPr>
        <w:t>. 100]</w:t>
      </w:r>
    </w:p>
    <w:p w14:paraId="63ADC0C0" w14:textId="77777777" w:rsidR="001D30D4" w:rsidRPr="00E441EF" w:rsidRDefault="001D30D4" w:rsidP="001D30D4">
      <w:pPr>
        <w:spacing w:before="120" w:after="120" w:line="360" w:lineRule="auto"/>
        <w:ind w:left="1416" w:hanging="566"/>
        <w:rPr>
          <w:b/>
          <w:szCs w:val="24"/>
          <w:lang w:val="pt-PT" w:eastAsia="en-US"/>
        </w:rPr>
      </w:pPr>
      <w:r w:rsidRPr="00E441EF">
        <w:rPr>
          <w:b/>
          <w:i/>
          <w:szCs w:val="24"/>
          <w:lang w:val="pt-PT" w:eastAsia="en-US"/>
        </w:rPr>
        <w:t>(6a)</w:t>
      </w:r>
      <w:r w:rsidRPr="00E441EF">
        <w:rPr>
          <w:szCs w:val="24"/>
          <w:lang w:val="pt-PT" w:eastAsia="en-US"/>
        </w:rPr>
        <w:tab/>
      </w:r>
      <w:r w:rsidRPr="00E441EF">
        <w:rPr>
          <w:b/>
          <w:i/>
          <w:szCs w:val="24"/>
          <w:lang w:val="pt-PT" w:eastAsia="en-US"/>
        </w:rPr>
        <w:t>A Bizottság 2025. január 12-ig technikai iránymutatásokat dolgoz ki az „összes PFA-anyag” paraméteren belüli per- és polifluoralkil-anyagok monitoringjára szolgáló elemzési módszerekre vonatkozóan. A Bizottság felhatalmazást kap arra, hogy a 8a. cikknek megfelelően felhatalmazáson alapuló jogi aktusokat fogadjon el abból a célból, hogy az „az összes PFA-anyagra” vonatkozó minőségi előírás megállapítása révén módosítsa ezt az irányelvet, és ennek megfelelően módosítsa az I. mellékletet. A Bizottság ezeket a felhatalmazáson alapuló jogi aktusokat 2026. január 12-ig fogadja el.</w:t>
      </w:r>
      <w:r w:rsidRPr="00E441EF">
        <w:rPr>
          <w:b/>
          <w:szCs w:val="24"/>
          <w:lang w:val="pt-PT" w:eastAsia="en-US"/>
        </w:rPr>
        <w:t xml:space="preserve"> [</w:t>
      </w:r>
      <w:r w:rsidR="000536D5" w:rsidRPr="00DC67EB">
        <w:rPr>
          <w:b/>
          <w:szCs w:val="24"/>
          <w:lang w:eastAsia="en-US"/>
        </w:rPr>
        <w:t>Mód</w:t>
      </w:r>
      <w:r w:rsidRPr="00E441EF">
        <w:rPr>
          <w:b/>
          <w:szCs w:val="24"/>
          <w:lang w:val="pt-PT" w:eastAsia="en-US"/>
        </w:rPr>
        <w:t>. 101]</w:t>
      </w:r>
    </w:p>
    <w:p w14:paraId="1BC8746C" w14:textId="77777777" w:rsidR="001D30D4" w:rsidRPr="00E441EF" w:rsidRDefault="001D30D4" w:rsidP="001D30D4">
      <w:pPr>
        <w:spacing w:before="120" w:after="120" w:line="360" w:lineRule="auto"/>
        <w:ind w:left="1416" w:hanging="566"/>
        <w:rPr>
          <w:b/>
          <w:szCs w:val="24"/>
          <w:lang w:val="pt-PT" w:eastAsia="en-US"/>
        </w:rPr>
      </w:pPr>
      <w:r w:rsidRPr="00E441EF">
        <w:rPr>
          <w:szCs w:val="24"/>
          <w:lang w:val="pt-PT" w:eastAsia="en-US"/>
        </w:rPr>
        <w:br w:type="page"/>
      </w:r>
      <w:r w:rsidRPr="00E441EF">
        <w:rPr>
          <w:szCs w:val="24"/>
          <w:lang w:val="pt-PT" w:eastAsia="en-US"/>
        </w:rPr>
        <w:lastRenderedPageBreak/>
        <w:t>(7)</w:t>
      </w:r>
      <w:r w:rsidRPr="00E441EF">
        <w:rPr>
          <w:szCs w:val="24"/>
          <w:lang w:val="pt-PT" w:eastAsia="en-US"/>
        </w:rPr>
        <w:tab/>
        <w:t xml:space="preserve">Az ECHA </w:t>
      </w:r>
      <w:r w:rsidRPr="00E441EF">
        <w:rPr>
          <w:strike/>
          <w:szCs w:val="24"/>
          <w:lang w:val="pt-PT" w:eastAsia="en-US"/>
        </w:rPr>
        <w:t>hatévente</w:t>
      </w:r>
      <w:r w:rsidRPr="00E441EF">
        <w:rPr>
          <w:b/>
          <w:i/>
          <w:szCs w:val="24"/>
          <w:lang w:val="pt-PT" w:eastAsia="en-US"/>
        </w:rPr>
        <w:t>négyévente</w:t>
      </w:r>
      <w:r w:rsidRPr="00E441EF">
        <w:rPr>
          <w:szCs w:val="24"/>
          <w:lang w:val="pt-PT" w:eastAsia="en-US"/>
        </w:rPr>
        <w:t xml:space="preserve"> jelentést készít és tesz nyilvánosan hozzáférhetővé, amely összefoglalja a (2) és (3) bekezdésben említett felülvizsgálat megállapításait. Az első jelentést [Kiadóhivatal: kérjük, illesszék be az ezen irányelv hatálybalépését </w:t>
      </w:r>
      <w:r w:rsidRPr="00E441EF">
        <w:rPr>
          <w:strike/>
          <w:szCs w:val="24"/>
          <w:lang w:val="pt-PT" w:eastAsia="en-US"/>
        </w:rPr>
        <w:t>öt</w:t>
      </w:r>
      <w:r w:rsidRPr="00E441EF">
        <w:rPr>
          <w:b/>
          <w:i/>
          <w:szCs w:val="24"/>
          <w:lang w:val="pt-PT" w:eastAsia="en-US"/>
        </w:rPr>
        <w:t>három</w:t>
      </w:r>
      <w:r w:rsidRPr="00E441EF">
        <w:rPr>
          <w:szCs w:val="24"/>
          <w:lang w:val="pt-PT" w:eastAsia="en-US"/>
        </w:rPr>
        <w:t xml:space="preserve"> évvel követő dátumot]-án/-én kell benyújtani a Bizottságnak.”</w:t>
      </w:r>
      <w:r w:rsidR="000536D5" w:rsidRPr="00E441EF">
        <w:rPr>
          <w:b/>
          <w:szCs w:val="24"/>
          <w:lang w:val="pt-PT" w:eastAsia="en-US"/>
        </w:rPr>
        <w:t xml:space="preserve"> [</w:t>
      </w:r>
      <w:r w:rsidR="000536D5" w:rsidRPr="00DC67EB">
        <w:rPr>
          <w:b/>
          <w:szCs w:val="24"/>
          <w:lang w:eastAsia="en-US"/>
        </w:rPr>
        <w:t>Mód</w:t>
      </w:r>
      <w:r w:rsidRPr="00E441EF">
        <w:rPr>
          <w:b/>
          <w:szCs w:val="24"/>
          <w:lang w:val="pt-PT" w:eastAsia="en-US"/>
        </w:rPr>
        <w:t>. 102]</w:t>
      </w:r>
    </w:p>
    <w:p w14:paraId="74271192" w14:textId="77777777" w:rsidR="001D30D4" w:rsidRPr="00E441EF" w:rsidRDefault="001D30D4" w:rsidP="001D30D4">
      <w:pPr>
        <w:spacing w:before="120" w:after="120" w:line="360" w:lineRule="auto"/>
        <w:ind w:left="850" w:hanging="850"/>
        <w:rPr>
          <w:szCs w:val="24"/>
          <w:lang w:val="pt-PT" w:eastAsia="en-US"/>
        </w:rPr>
      </w:pPr>
      <w:r w:rsidRPr="00E441EF">
        <w:rPr>
          <w:szCs w:val="24"/>
          <w:lang w:val="pt-PT" w:eastAsia="en-US"/>
        </w:rPr>
        <w:t>8.</w:t>
      </w:r>
      <w:r w:rsidRPr="00E441EF">
        <w:rPr>
          <w:szCs w:val="24"/>
          <w:lang w:val="pt-PT" w:eastAsia="en-US"/>
        </w:rPr>
        <w:tab/>
        <w:t>A szöveg a következő 8a. cikkel egészül ki:</w:t>
      </w:r>
    </w:p>
    <w:p w14:paraId="19DA130A" w14:textId="77777777" w:rsidR="001D30D4" w:rsidRPr="00E441EF" w:rsidRDefault="001D30D4" w:rsidP="001D30D4">
      <w:pPr>
        <w:spacing w:before="120" w:after="120" w:line="360" w:lineRule="auto"/>
        <w:ind w:left="850"/>
        <w:rPr>
          <w:szCs w:val="24"/>
          <w:lang w:val="pt-PT" w:eastAsia="en-US"/>
        </w:rPr>
      </w:pPr>
      <w:r w:rsidRPr="00E441EF">
        <w:rPr>
          <w:szCs w:val="24"/>
          <w:lang w:val="pt-PT" w:eastAsia="en-US"/>
        </w:rPr>
        <w:t>„8a. cikk</w:t>
      </w:r>
    </w:p>
    <w:p w14:paraId="5E1929FE" w14:textId="77777777" w:rsidR="001D30D4" w:rsidRPr="00E441EF" w:rsidRDefault="001D30D4" w:rsidP="001D30D4">
      <w:pPr>
        <w:spacing w:before="120" w:after="120" w:line="360" w:lineRule="auto"/>
        <w:ind w:left="850"/>
        <w:rPr>
          <w:szCs w:val="24"/>
          <w:lang w:val="pt-PT" w:eastAsia="en-US"/>
        </w:rPr>
      </w:pPr>
      <w:r w:rsidRPr="00E441EF">
        <w:rPr>
          <w:szCs w:val="24"/>
          <w:lang w:val="pt-PT" w:eastAsia="en-US"/>
        </w:rPr>
        <w:t>A felhatalmazás gyakorlása</w:t>
      </w:r>
    </w:p>
    <w:p w14:paraId="066CDA6E" w14:textId="77777777" w:rsidR="001D30D4" w:rsidRPr="00E441EF" w:rsidRDefault="001D30D4" w:rsidP="001D30D4">
      <w:pPr>
        <w:spacing w:before="120" w:after="120" w:line="360" w:lineRule="auto"/>
        <w:ind w:left="1416" w:hanging="566"/>
        <w:rPr>
          <w:szCs w:val="24"/>
          <w:lang w:val="pt-PT" w:eastAsia="en-US"/>
        </w:rPr>
      </w:pPr>
      <w:r w:rsidRPr="00E441EF">
        <w:rPr>
          <w:szCs w:val="24"/>
          <w:lang w:val="pt-PT" w:eastAsia="en-US"/>
        </w:rPr>
        <w:t>(1)</w:t>
      </w:r>
      <w:r w:rsidRPr="00E441EF">
        <w:rPr>
          <w:szCs w:val="24"/>
          <w:lang w:val="pt-PT" w:eastAsia="en-US"/>
        </w:rPr>
        <w:tab/>
        <w:t>A felhatalmazáson alapuló jogi aktusok elfogadására vonatkozóan a Bizottság részére adott felhatalmazás feltételeit ez a cikk határozza meg.</w:t>
      </w:r>
    </w:p>
    <w:p w14:paraId="190469AE" w14:textId="77777777" w:rsidR="001D30D4" w:rsidRPr="00E441EF" w:rsidRDefault="001D30D4" w:rsidP="001D30D4">
      <w:pPr>
        <w:spacing w:before="120" w:after="120" w:line="360" w:lineRule="auto"/>
        <w:ind w:left="1416" w:hanging="566"/>
        <w:rPr>
          <w:b/>
          <w:szCs w:val="24"/>
          <w:lang w:val="pt-PT" w:eastAsia="en-US"/>
        </w:rPr>
      </w:pPr>
      <w:r w:rsidRPr="00E441EF">
        <w:rPr>
          <w:szCs w:val="24"/>
          <w:lang w:val="pt-PT" w:eastAsia="en-US"/>
        </w:rPr>
        <w:t>(2)</w:t>
      </w:r>
      <w:r w:rsidRPr="00E441EF">
        <w:rPr>
          <w:szCs w:val="24"/>
          <w:lang w:val="pt-PT" w:eastAsia="en-US"/>
        </w:rPr>
        <w:tab/>
        <w:t xml:space="preserve">A Bizottságnak a 8. cikk </w:t>
      </w:r>
      <w:r w:rsidRPr="00E441EF">
        <w:rPr>
          <w:strike/>
          <w:szCs w:val="24"/>
          <w:lang w:val="pt-PT" w:eastAsia="en-US"/>
        </w:rPr>
        <w:t>(1) és (2)</w:t>
      </w:r>
      <w:r w:rsidRPr="00E441EF">
        <w:rPr>
          <w:b/>
          <w:i/>
          <w:szCs w:val="24"/>
          <w:lang w:val="pt-PT" w:eastAsia="en-US"/>
        </w:rPr>
        <w:t>(2), (3) és (6a)</w:t>
      </w:r>
      <w:r w:rsidRPr="00E441EF">
        <w:rPr>
          <w:szCs w:val="24"/>
          <w:lang w:val="pt-PT" w:eastAsia="en-US"/>
        </w:rPr>
        <w:t xml:space="preserve"> bekezdésében említett, felhatalmazáson alapuló jogi </w:t>
      </w:r>
      <w:r w:rsidRPr="00E441EF">
        <w:rPr>
          <w:strike/>
          <w:szCs w:val="24"/>
          <w:lang w:val="pt-PT" w:eastAsia="en-US"/>
        </w:rPr>
        <w:t>aktus</w:t>
      </w:r>
      <w:r w:rsidRPr="00E441EF">
        <w:rPr>
          <w:b/>
          <w:i/>
          <w:szCs w:val="24"/>
          <w:lang w:val="pt-PT" w:eastAsia="en-US"/>
        </w:rPr>
        <w:t>aktusok</w:t>
      </w:r>
      <w:r w:rsidRPr="00E441EF">
        <w:rPr>
          <w:szCs w:val="24"/>
          <w:lang w:val="pt-PT" w:eastAsia="en-US"/>
        </w:rPr>
        <w:t xml:space="preserve"> elfogadására vonatkozó felhatalmazása </w:t>
      </w:r>
      <w:r w:rsidRPr="00E441EF">
        <w:rPr>
          <w:strike/>
          <w:szCs w:val="24"/>
          <w:lang w:val="pt-PT" w:eastAsia="en-US"/>
        </w:rPr>
        <w:t xml:space="preserve">határozatlan időre szól, [Kiadóhivatal: kérjük, illesszék be </w:t>
      </w:r>
      <w:r w:rsidRPr="00E441EF">
        <w:rPr>
          <w:b/>
          <w:i/>
          <w:szCs w:val="24"/>
          <w:lang w:val="pt-PT" w:eastAsia="en-US"/>
        </w:rPr>
        <w:t>ötéves időtartamra szól [</w:t>
      </w:r>
      <w:r w:rsidRPr="00E441EF">
        <w:rPr>
          <w:szCs w:val="24"/>
          <w:lang w:val="pt-PT" w:eastAsia="en-US"/>
        </w:rPr>
        <w:t xml:space="preserve">ezen irányelv </w:t>
      </w:r>
      <w:r w:rsidRPr="00E441EF">
        <w:rPr>
          <w:strike/>
          <w:szCs w:val="24"/>
          <w:lang w:val="pt-PT" w:eastAsia="en-US"/>
        </w:rPr>
        <w:t>hatálybalépésének időpontját</w:t>
      </w:r>
      <w:r w:rsidRPr="00E441EF">
        <w:rPr>
          <w:b/>
          <w:i/>
          <w:szCs w:val="24"/>
          <w:lang w:val="pt-PT" w:eastAsia="en-US"/>
        </w:rPr>
        <w:t>hatálybelépésének dátuma</w:t>
      </w:r>
      <w:r w:rsidRPr="00E441EF">
        <w:rPr>
          <w:szCs w:val="24"/>
          <w:lang w:val="pt-PT" w:eastAsia="en-US"/>
        </w:rPr>
        <w:t>]-tól</w:t>
      </w:r>
      <w:r w:rsidRPr="00E441EF">
        <w:rPr>
          <w:b/>
          <w:i/>
          <w:szCs w:val="24"/>
          <w:lang w:val="pt-PT" w:eastAsia="en-US"/>
        </w:rPr>
        <w:t>/-től</w:t>
      </w:r>
      <w:r w:rsidRPr="00E441EF">
        <w:rPr>
          <w:szCs w:val="24"/>
          <w:lang w:val="pt-PT" w:eastAsia="en-US"/>
        </w:rPr>
        <w:t xml:space="preserve"> kezdődő hatállyal.</w:t>
      </w:r>
      <w:r w:rsidRPr="00E441EF">
        <w:rPr>
          <w:b/>
          <w:i/>
          <w:szCs w:val="24"/>
          <w:lang w:val="pt-PT" w:eastAsia="en-US"/>
        </w:rPr>
        <w:t xml:space="preserve"> A Bizottság legkésőbb kilenc hónappal a hatéves időtartam vége előtt jelentést készít a felhatalmazásról. Amennyiben az Európai Parlament vagy a Tanács nem ellenzi a meghosszabbítást legkésőbb három hónappal az egyes időtartamok vége előtt, akkor a felhatalmazás hallgatólagosan meghosszabbodik a korábbival megegyező időtartamra.</w:t>
      </w:r>
      <w:r w:rsidR="000536D5" w:rsidRPr="00E441EF">
        <w:rPr>
          <w:b/>
          <w:szCs w:val="24"/>
          <w:lang w:val="pt-PT" w:eastAsia="en-US"/>
        </w:rPr>
        <w:t xml:space="preserve"> [</w:t>
      </w:r>
      <w:r w:rsidR="000536D5" w:rsidRPr="00DC67EB">
        <w:rPr>
          <w:b/>
          <w:szCs w:val="24"/>
          <w:lang w:eastAsia="en-US"/>
        </w:rPr>
        <w:t>Mód</w:t>
      </w:r>
      <w:r w:rsidRPr="00E441EF">
        <w:rPr>
          <w:b/>
          <w:szCs w:val="24"/>
          <w:lang w:val="pt-PT" w:eastAsia="en-US"/>
        </w:rPr>
        <w:t>. 103]</w:t>
      </w:r>
    </w:p>
    <w:p w14:paraId="59570922" w14:textId="77777777" w:rsidR="001D30D4" w:rsidRPr="00E441EF" w:rsidRDefault="001D30D4" w:rsidP="001D30D4">
      <w:pPr>
        <w:spacing w:before="120" w:after="120" w:line="360" w:lineRule="auto"/>
        <w:ind w:left="1416" w:hanging="566"/>
        <w:rPr>
          <w:b/>
          <w:szCs w:val="24"/>
          <w:lang w:val="pt-PT" w:eastAsia="en-US"/>
        </w:rPr>
      </w:pPr>
      <w:r w:rsidRPr="00E441EF">
        <w:rPr>
          <w:szCs w:val="24"/>
          <w:lang w:val="pt-PT" w:eastAsia="en-US"/>
        </w:rPr>
        <w:br w:type="page"/>
      </w:r>
      <w:r w:rsidRPr="00E441EF">
        <w:rPr>
          <w:szCs w:val="24"/>
          <w:lang w:val="pt-PT" w:eastAsia="en-US"/>
        </w:rPr>
        <w:lastRenderedPageBreak/>
        <w:t>(3)</w:t>
      </w:r>
      <w:r w:rsidRPr="00E441EF">
        <w:rPr>
          <w:szCs w:val="24"/>
          <w:lang w:val="pt-PT" w:eastAsia="en-US"/>
        </w:rPr>
        <w:tab/>
        <w:t xml:space="preserve">A 8. cikk </w:t>
      </w:r>
      <w:r w:rsidRPr="00E441EF">
        <w:rPr>
          <w:strike/>
          <w:szCs w:val="24"/>
          <w:lang w:val="pt-PT" w:eastAsia="en-US"/>
        </w:rPr>
        <w:t>(1) és (2)</w:t>
      </w:r>
      <w:r w:rsidRPr="00E441EF">
        <w:rPr>
          <w:b/>
          <w:i/>
          <w:szCs w:val="24"/>
          <w:lang w:val="pt-PT" w:eastAsia="en-US"/>
        </w:rPr>
        <w:t>(2), (3) és (6a)</w:t>
      </w:r>
      <w:r w:rsidRPr="00E441EF">
        <w:rPr>
          <w:szCs w:val="24"/>
          <w:lang w:val="pt-PT" w:eastAsia="en-US"/>
        </w:rPr>
        <w:t xml:space="preserve"> bekezdésében említett felhatalmazást az Európai Parlament és a Tanács bármikor visszavonhatja. A visszavonásról szóló határozat megszünteti az abban meghatározott felhatalmazást. A határozat az </w:t>
      </w:r>
      <w:r w:rsidRPr="00E441EF">
        <w:rPr>
          <w:i/>
          <w:szCs w:val="24"/>
          <w:lang w:val="pt-PT" w:eastAsia="en-US"/>
        </w:rPr>
        <w:t>Európai Unió Hivatalos Lapjában</w:t>
      </w:r>
      <w:r w:rsidRPr="00E441EF">
        <w:rPr>
          <w:szCs w:val="24"/>
          <w:lang w:val="pt-PT" w:eastAsia="en-US"/>
        </w:rPr>
        <w:t xml:space="preserve"> való kihirdetését követő napon, vagy a benne megjelölt későbbi időpontban lép hatályba. A határozat nem érinti a már hatályban lévő felhatalmazáson alapuló jogi aktusok érvényességét.</w:t>
      </w:r>
      <w:r w:rsidRPr="00E441EF">
        <w:rPr>
          <w:b/>
          <w:szCs w:val="24"/>
          <w:lang w:val="pt-PT" w:eastAsia="en-US"/>
        </w:rPr>
        <w:t xml:space="preserve"> [</w:t>
      </w:r>
      <w:r w:rsidR="000536D5" w:rsidRPr="00DC67EB">
        <w:rPr>
          <w:b/>
          <w:szCs w:val="24"/>
          <w:lang w:eastAsia="en-US"/>
        </w:rPr>
        <w:t>Mód</w:t>
      </w:r>
      <w:r w:rsidRPr="00E441EF">
        <w:rPr>
          <w:b/>
          <w:szCs w:val="24"/>
          <w:lang w:val="pt-PT" w:eastAsia="en-US"/>
        </w:rPr>
        <w:t>. 104]</w:t>
      </w:r>
    </w:p>
    <w:p w14:paraId="7B063DC8" w14:textId="77777777" w:rsidR="001D30D4" w:rsidRPr="00E441EF" w:rsidRDefault="001D30D4" w:rsidP="001D30D4">
      <w:pPr>
        <w:spacing w:before="120" w:after="120" w:line="360" w:lineRule="auto"/>
        <w:ind w:left="1416" w:hanging="566"/>
        <w:rPr>
          <w:b/>
          <w:szCs w:val="24"/>
          <w:lang w:val="pt-PT" w:eastAsia="en-US"/>
        </w:rPr>
      </w:pPr>
      <w:r w:rsidRPr="00E441EF">
        <w:rPr>
          <w:szCs w:val="24"/>
          <w:lang w:val="pt-PT" w:eastAsia="en-US"/>
        </w:rPr>
        <w:t>(4)</w:t>
      </w:r>
      <w:r w:rsidRPr="00E441EF">
        <w:rPr>
          <w:szCs w:val="24"/>
          <w:lang w:val="pt-PT" w:eastAsia="en-US"/>
        </w:rPr>
        <w:tab/>
        <w:t>A felhatalmazáson alapuló jogi aktus elfogadása előtt a Bizottság a jogalkotás minőségének javításáról szóló, 2016. április 13-i intézményközi megállapodásban foglalt elveknek megfelelően konzultál az egyes tagállamok által kijelölt szakértőkkel.</w:t>
      </w:r>
      <w:r w:rsidRPr="00E441EF">
        <w:rPr>
          <w:b/>
          <w:szCs w:val="24"/>
          <w:lang w:val="pt-PT" w:eastAsia="en-US"/>
        </w:rPr>
        <w:t xml:space="preserve"> [</w:t>
      </w:r>
      <w:r w:rsidR="000536D5" w:rsidRPr="00DC67EB">
        <w:rPr>
          <w:b/>
          <w:szCs w:val="24"/>
          <w:lang w:eastAsia="en-US"/>
        </w:rPr>
        <w:t>Mód</w:t>
      </w:r>
      <w:r w:rsidRPr="00E441EF">
        <w:rPr>
          <w:b/>
          <w:szCs w:val="24"/>
          <w:lang w:val="pt-PT" w:eastAsia="en-US"/>
        </w:rPr>
        <w:t>. 105]</w:t>
      </w:r>
    </w:p>
    <w:p w14:paraId="397D1918" w14:textId="77777777" w:rsidR="001D30D4" w:rsidRPr="00E441EF" w:rsidRDefault="001D30D4" w:rsidP="001D30D4">
      <w:pPr>
        <w:spacing w:before="120" w:after="120" w:line="360" w:lineRule="auto"/>
        <w:ind w:left="1416" w:hanging="566"/>
        <w:rPr>
          <w:szCs w:val="24"/>
          <w:lang w:val="pt-PT" w:eastAsia="en-US"/>
        </w:rPr>
      </w:pPr>
      <w:r w:rsidRPr="00E441EF">
        <w:rPr>
          <w:szCs w:val="24"/>
          <w:lang w:val="pt-PT" w:eastAsia="en-US"/>
        </w:rPr>
        <w:t>(5)</w:t>
      </w:r>
      <w:r w:rsidRPr="00E441EF">
        <w:rPr>
          <w:szCs w:val="24"/>
          <w:lang w:val="pt-PT" w:eastAsia="en-US"/>
        </w:rPr>
        <w:tab/>
        <w:t>A Bizottság a felhatalmazáson alapuló jogi aktus elfogadását követően haladéktalanul és egyidejűleg értesíti arról az Európai Parlamentet és a Tanácsot.</w:t>
      </w:r>
    </w:p>
    <w:p w14:paraId="0F3875E1" w14:textId="77777777" w:rsidR="001D30D4" w:rsidRPr="00E441EF" w:rsidRDefault="001D30D4" w:rsidP="001D30D4">
      <w:pPr>
        <w:spacing w:before="120" w:after="120" w:line="360" w:lineRule="auto"/>
        <w:ind w:left="1416" w:hanging="566"/>
        <w:rPr>
          <w:b/>
          <w:szCs w:val="24"/>
          <w:lang w:val="pt-PT" w:eastAsia="en-US"/>
        </w:rPr>
      </w:pPr>
      <w:r w:rsidRPr="00E441EF">
        <w:rPr>
          <w:szCs w:val="24"/>
          <w:lang w:val="pt-PT" w:eastAsia="en-US"/>
        </w:rPr>
        <w:br w:type="page"/>
      </w:r>
      <w:r w:rsidRPr="00E441EF">
        <w:rPr>
          <w:szCs w:val="24"/>
          <w:lang w:val="pt-PT" w:eastAsia="en-US"/>
        </w:rPr>
        <w:lastRenderedPageBreak/>
        <w:t>(6)</w:t>
      </w:r>
      <w:r w:rsidRPr="00E441EF">
        <w:rPr>
          <w:szCs w:val="24"/>
          <w:lang w:val="pt-PT" w:eastAsia="en-US"/>
        </w:rPr>
        <w:tab/>
        <w:t xml:space="preserve">A 8. cikk </w:t>
      </w:r>
      <w:r w:rsidRPr="00E441EF">
        <w:rPr>
          <w:strike/>
          <w:szCs w:val="24"/>
          <w:lang w:val="pt-PT" w:eastAsia="en-US"/>
        </w:rPr>
        <w:t>(1) vagy (2)</w:t>
      </w:r>
      <w:r w:rsidRPr="00E441EF">
        <w:rPr>
          <w:b/>
          <w:i/>
          <w:szCs w:val="24"/>
          <w:lang w:val="pt-PT" w:eastAsia="en-US"/>
        </w:rPr>
        <w:t>(2), (3) vagy (6a)</w:t>
      </w:r>
      <w:r w:rsidRPr="00E441EF">
        <w:rPr>
          <w:szCs w:val="24"/>
          <w:lang w:val="pt-PT" w:eastAsia="en-US"/>
        </w:rPr>
        <w:t xml:space="preserve"> bekezdése értelmében elfogadott, felhatalmazáson alapuló jogi aktus csak akkor lép hatályba, ha az Európai Parlamentnek és a Tanácsnak a jogi aktusról való értesítését követő két hónapon belül sem az Európai Parlament, sem a Tanács nem emelt ellene kifogást, illetve ha az említett időtartam lejártát megelőzően mind az Európai Parlament, mind a Tanács arról tájékoztatta a Bizottságot, hogy nem fog kifogást emelni.Az Európai Parlament vagy a Tanács kezdeményezésére ez az időtartam két hónappal meghosszabbodik.”</w:t>
      </w:r>
      <w:r w:rsidRPr="00E441EF">
        <w:rPr>
          <w:b/>
          <w:szCs w:val="24"/>
          <w:lang w:val="pt-PT" w:eastAsia="en-US"/>
        </w:rPr>
        <w:t xml:space="preserve"> [</w:t>
      </w:r>
      <w:r w:rsidR="000536D5" w:rsidRPr="00DC67EB">
        <w:rPr>
          <w:b/>
          <w:szCs w:val="24"/>
          <w:lang w:eastAsia="en-US"/>
        </w:rPr>
        <w:t>Mód</w:t>
      </w:r>
      <w:r w:rsidRPr="00E441EF">
        <w:rPr>
          <w:b/>
          <w:szCs w:val="24"/>
          <w:lang w:val="pt-PT" w:eastAsia="en-US"/>
        </w:rPr>
        <w:t>. 106]</w:t>
      </w:r>
    </w:p>
    <w:p w14:paraId="040EE925" w14:textId="77777777" w:rsidR="001D30D4" w:rsidRPr="00E441EF" w:rsidRDefault="001D30D4" w:rsidP="001D30D4">
      <w:pPr>
        <w:spacing w:before="120" w:after="120" w:line="360" w:lineRule="auto"/>
        <w:ind w:left="850" w:hanging="850"/>
        <w:rPr>
          <w:szCs w:val="24"/>
          <w:lang w:val="pt-PT" w:eastAsia="en-US"/>
        </w:rPr>
      </w:pPr>
      <w:r w:rsidRPr="00E441EF">
        <w:rPr>
          <w:szCs w:val="24"/>
          <w:lang w:val="pt-PT" w:eastAsia="en-US"/>
        </w:rPr>
        <w:t>9.</w:t>
      </w:r>
      <w:r w:rsidRPr="00E441EF">
        <w:rPr>
          <w:szCs w:val="24"/>
          <w:lang w:val="pt-PT" w:eastAsia="en-US"/>
        </w:rPr>
        <w:tab/>
        <w:t>A 9. cikk helyébe a következő szöveg lép:</w:t>
      </w:r>
    </w:p>
    <w:p w14:paraId="4B12F0F4" w14:textId="77777777" w:rsidR="001D30D4" w:rsidRPr="00E441EF" w:rsidRDefault="001D30D4" w:rsidP="001D30D4">
      <w:pPr>
        <w:spacing w:before="120" w:after="120" w:line="360" w:lineRule="auto"/>
        <w:ind w:left="850"/>
        <w:rPr>
          <w:szCs w:val="24"/>
          <w:lang w:val="pt-PT" w:eastAsia="en-US"/>
        </w:rPr>
      </w:pPr>
      <w:r w:rsidRPr="00E441EF">
        <w:rPr>
          <w:szCs w:val="24"/>
          <w:lang w:val="pt-PT" w:eastAsia="en-US"/>
        </w:rPr>
        <w:t>„9. cikk</w:t>
      </w:r>
    </w:p>
    <w:p w14:paraId="30B2A98B" w14:textId="77777777" w:rsidR="001D30D4" w:rsidRPr="00E441EF" w:rsidRDefault="001D30D4" w:rsidP="001D30D4">
      <w:pPr>
        <w:spacing w:before="120" w:after="120" w:line="360" w:lineRule="auto"/>
        <w:ind w:left="850"/>
        <w:rPr>
          <w:szCs w:val="24"/>
          <w:lang w:val="pt-PT" w:eastAsia="en-US"/>
        </w:rPr>
      </w:pPr>
      <w:r w:rsidRPr="00E441EF">
        <w:rPr>
          <w:szCs w:val="24"/>
          <w:lang w:val="pt-PT" w:eastAsia="en-US"/>
        </w:rPr>
        <w:t>Bizottsági eljárás</w:t>
      </w:r>
    </w:p>
    <w:p w14:paraId="511EF85C" w14:textId="77777777" w:rsidR="001D30D4" w:rsidRPr="00E441EF" w:rsidRDefault="001D30D4" w:rsidP="001D30D4">
      <w:pPr>
        <w:spacing w:before="120" w:after="120" w:line="360" w:lineRule="auto"/>
        <w:ind w:left="1416" w:hanging="566"/>
        <w:rPr>
          <w:szCs w:val="24"/>
          <w:lang w:val="pt-PT" w:eastAsia="en-US"/>
        </w:rPr>
      </w:pPr>
      <w:r w:rsidRPr="00E441EF">
        <w:rPr>
          <w:szCs w:val="24"/>
          <w:lang w:val="pt-PT" w:eastAsia="en-US"/>
        </w:rPr>
        <w:t>(1)</w:t>
      </w:r>
      <w:r w:rsidRPr="00E441EF">
        <w:rPr>
          <w:szCs w:val="24"/>
          <w:lang w:val="pt-PT" w:eastAsia="en-US"/>
        </w:rPr>
        <w:tab/>
        <w:t>A Bizottságot munkájában egy bizottság segíti. Ez a bizottság a 182/2011/EU európai parlamenti és tanácsi rendelet* értelmében vett bizottságnak minősül.</w:t>
      </w:r>
    </w:p>
    <w:p w14:paraId="2C2ACA79" w14:textId="77777777" w:rsidR="001D30D4" w:rsidRPr="00E441EF" w:rsidRDefault="001D30D4" w:rsidP="001D30D4">
      <w:pPr>
        <w:spacing w:before="120" w:after="120" w:line="360" w:lineRule="auto"/>
        <w:ind w:left="1416" w:hanging="566"/>
        <w:rPr>
          <w:szCs w:val="24"/>
          <w:lang w:val="pt-PT" w:eastAsia="en-US"/>
        </w:rPr>
      </w:pPr>
      <w:r w:rsidRPr="00E441EF">
        <w:rPr>
          <w:szCs w:val="24"/>
          <w:lang w:val="pt-PT" w:eastAsia="en-US"/>
        </w:rPr>
        <w:br w:type="page"/>
      </w:r>
      <w:r w:rsidRPr="00E441EF">
        <w:rPr>
          <w:szCs w:val="24"/>
          <w:lang w:val="pt-PT" w:eastAsia="en-US"/>
        </w:rPr>
        <w:lastRenderedPageBreak/>
        <w:t>(2)</w:t>
      </w:r>
      <w:r w:rsidRPr="00E441EF">
        <w:rPr>
          <w:szCs w:val="24"/>
          <w:lang w:val="pt-PT" w:eastAsia="en-US"/>
        </w:rPr>
        <w:tab/>
        <w:t>Az e bekezdésre történő hivatkozáskor a 182/2011/EU rendelet 5. cikkét kell alkalmazni.</w:t>
      </w:r>
    </w:p>
    <w:p w14:paraId="00A650C3" w14:textId="77777777" w:rsidR="001D30D4" w:rsidRPr="00E441EF" w:rsidRDefault="001D30D4" w:rsidP="001D30D4">
      <w:pPr>
        <w:spacing w:before="120" w:after="120" w:line="360" w:lineRule="auto"/>
        <w:ind w:left="850"/>
        <w:rPr>
          <w:szCs w:val="24"/>
          <w:lang w:val="pt-PT" w:eastAsia="en-US"/>
        </w:rPr>
      </w:pPr>
      <w:r w:rsidRPr="00E441EF">
        <w:rPr>
          <w:szCs w:val="24"/>
          <w:lang w:val="pt-PT" w:eastAsia="en-US"/>
        </w:rPr>
        <w:t>Ha a bizottság nem nyilvánít véleményt, a Bizottság nem fogadhatja el a végrehajtási jogi aktus tervezetét, és a 182/2011/EU rendelet 5. cikke (4) bekezdésének harmadik albekezdése alkalmazandó.</w:t>
      </w:r>
    </w:p>
    <w:p w14:paraId="0775034A" w14:textId="77777777" w:rsidR="001D30D4" w:rsidRPr="00E441EF" w:rsidRDefault="001D30D4" w:rsidP="001D30D4">
      <w:pPr>
        <w:spacing w:before="120" w:after="120" w:line="360" w:lineRule="auto"/>
        <w:ind w:left="850"/>
        <w:rPr>
          <w:szCs w:val="24"/>
          <w:lang w:val="pt-PT" w:eastAsia="en-US"/>
        </w:rPr>
      </w:pPr>
      <w:r w:rsidRPr="00E441EF">
        <w:rPr>
          <w:szCs w:val="24"/>
          <w:lang w:val="pt-PT" w:eastAsia="en-US"/>
        </w:rPr>
        <w:tab/>
        <w:t>* Az Európai Parlament és a Tanács 182/2011/EU rendelete (2011. február 16.) a Bizottság végrehajtási hatásköreinek gyakorlására vonatkozó tagállami ellenőrzési mechanizmusok szabályainak és általános elveinek megállapításáról (HL L 55., 2011.2.28., 13. o.).”</w:t>
      </w:r>
    </w:p>
    <w:p w14:paraId="2F0BD513" w14:textId="77777777" w:rsidR="001D30D4" w:rsidRPr="00E441EF" w:rsidRDefault="001D30D4" w:rsidP="001D30D4">
      <w:pPr>
        <w:spacing w:before="120" w:after="120" w:line="360" w:lineRule="auto"/>
        <w:ind w:left="850" w:hanging="850"/>
        <w:rPr>
          <w:szCs w:val="24"/>
          <w:lang w:val="pt-PT" w:eastAsia="en-US"/>
        </w:rPr>
      </w:pPr>
      <w:r w:rsidRPr="00E441EF">
        <w:rPr>
          <w:szCs w:val="24"/>
          <w:lang w:val="pt-PT" w:eastAsia="en-US"/>
        </w:rPr>
        <w:t>10.</w:t>
      </w:r>
      <w:r w:rsidRPr="00E441EF">
        <w:rPr>
          <w:szCs w:val="24"/>
          <w:lang w:val="pt-PT" w:eastAsia="en-US"/>
        </w:rPr>
        <w:tab/>
        <w:t>A 10. cikket el kell hagyni.</w:t>
      </w:r>
    </w:p>
    <w:p w14:paraId="73F9F8CD" w14:textId="77777777" w:rsidR="001D30D4" w:rsidRPr="00E441EF" w:rsidRDefault="001D30D4" w:rsidP="001D30D4">
      <w:pPr>
        <w:spacing w:before="120" w:after="120" w:line="360" w:lineRule="auto"/>
        <w:ind w:left="850" w:hanging="850"/>
        <w:rPr>
          <w:szCs w:val="24"/>
          <w:lang w:val="pt-PT" w:eastAsia="en-US"/>
        </w:rPr>
      </w:pPr>
      <w:r w:rsidRPr="00E441EF">
        <w:rPr>
          <w:szCs w:val="24"/>
          <w:lang w:val="pt-PT" w:eastAsia="en-US"/>
        </w:rPr>
        <w:t>11.</w:t>
      </w:r>
      <w:r w:rsidRPr="00E441EF">
        <w:rPr>
          <w:szCs w:val="24"/>
          <w:lang w:val="pt-PT" w:eastAsia="en-US"/>
        </w:rPr>
        <w:tab/>
        <w:t>Az I. melléklet helyébe ezen irányelv III. mellékletének a szövege lép.</w:t>
      </w:r>
    </w:p>
    <w:p w14:paraId="57CAD030" w14:textId="77777777" w:rsidR="001D30D4" w:rsidRPr="00E441EF" w:rsidRDefault="001D30D4" w:rsidP="001D30D4">
      <w:pPr>
        <w:spacing w:before="120" w:after="120" w:line="360" w:lineRule="auto"/>
        <w:ind w:left="850" w:hanging="850"/>
        <w:rPr>
          <w:szCs w:val="24"/>
          <w:lang w:val="pt-PT" w:eastAsia="en-US"/>
        </w:rPr>
      </w:pPr>
      <w:r w:rsidRPr="00E441EF">
        <w:rPr>
          <w:szCs w:val="24"/>
          <w:lang w:val="pt-PT" w:eastAsia="en-US"/>
        </w:rPr>
        <w:t>12.</w:t>
      </w:r>
      <w:r w:rsidRPr="00E441EF">
        <w:rPr>
          <w:szCs w:val="24"/>
          <w:lang w:val="pt-PT" w:eastAsia="en-US"/>
        </w:rPr>
        <w:tab/>
        <w:t>A II. melléklet ezen irányelv IV. mellékletének megfelelően módosul.</w:t>
      </w:r>
    </w:p>
    <w:p w14:paraId="1AA19F7A" w14:textId="77777777" w:rsidR="001D30D4" w:rsidRPr="00E441EF" w:rsidRDefault="001D30D4" w:rsidP="001D30D4">
      <w:pPr>
        <w:spacing w:before="120" w:after="120" w:line="360" w:lineRule="auto"/>
        <w:ind w:left="850" w:hanging="850"/>
        <w:rPr>
          <w:szCs w:val="24"/>
          <w:lang w:val="pt-PT" w:eastAsia="en-US"/>
        </w:rPr>
      </w:pPr>
      <w:r w:rsidRPr="00E441EF">
        <w:rPr>
          <w:szCs w:val="24"/>
          <w:lang w:val="pt-PT" w:eastAsia="en-US"/>
        </w:rPr>
        <w:br w:type="page"/>
      </w:r>
      <w:r w:rsidRPr="00E441EF">
        <w:rPr>
          <w:szCs w:val="24"/>
          <w:lang w:val="pt-PT" w:eastAsia="en-US"/>
        </w:rPr>
        <w:lastRenderedPageBreak/>
        <w:t>13.</w:t>
      </w:r>
      <w:r w:rsidRPr="00E441EF">
        <w:rPr>
          <w:szCs w:val="24"/>
          <w:lang w:val="pt-PT" w:eastAsia="en-US"/>
        </w:rPr>
        <w:tab/>
        <w:t>A III. melléklet 2. pontjának c) alpontja helyébe a következő szöveg lép:</w:t>
      </w:r>
    </w:p>
    <w:p w14:paraId="456FBD39" w14:textId="77777777" w:rsidR="001D30D4" w:rsidRPr="00E441EF" w:rsidRDefault="001D30D4" w:rsidP="001D30D4">
      <w:pPr>
        <w:spacing w:before="120" w:after="120" w:line="360" w:lineRule="auto"/>
        <w:ind w:left="1416" w:hanging="566"/>
        <w:rPr>
          <w:szCs w:val="24"/>
          <w:lang w:val="pt-PT" w:eastAsia="en-US"/>
        </w:rPr>
      </w:pPr>
      <w:r w:rsidRPr="00E441EF">
        <w:rPr>
          <w:szCs w:val="24"/>
          <w:lang w:val="pt-PT" w:eastAsia="en-US"/>
        </w:rPr>
        <w:t>„c)</w:t>
      </w:r>
      <w:r w:rsidRPr="00E441EF">
        <w:rPr>
          <w:szCs w:val="24"/>
          <w:lang w:val="pt-PT" w:eastAsia="en-US"/>
        </w:rPr>
        <w:tab/>
        <w:t>bármely egyéb vonatkozó információt, beleértve valamely mintavételi pontnál a vonatkozó szennyező anyagok éves átlagkoncentrációjának a felszín alatti vizek I. mellékletben meghatározott minőségi előírásaival és a 3. cikk (1) bekezdésének b) és c) pontjában említett küszöbértékekkel való összehasonlítását.”</w:t>
      </w:r>
    </w:p>
    <w:p w14:paraId="6ABB0C7F" w14:textId="77777777" w:rsidR="001D30D4" w:rsidRPr="00E441EF" w:rsidRDefault="001D30D4" w:rsidP="001D30D4">
      <w:pPr>
        <w:spacing w:before="120" w:after="120" w:line="360" w:lineRule="auto"/>
        <w:ind w:left="850" w:hanging="850"/>
        <w:rPr>
          <w:szCs w:val="24"/>
          <w:lang w:val="pt-PT" w:eastAsia="en-US"/>
        </w:rPr>
      </w:pPr>
      <w:r w:rsidRPr="00E441EF">
        <w:rPr>
          <w:szCs w:val="24"/>
          <w:lang w:val="pt-PT" w:eastAsia="en-US"/>
        </w:rPr>
        <w:t>14.</w:t>
      </w:r>
      <w:r w:rsidRPr="00E441EF">
        <w:rPr>
          <w:szCs w:val="24"/>
          <w:lang w:val="pt-PT" w:eastAsia="en-US"/>
        </w:rPr>
        <w:tab/>
        <w:t>A IV. melléklet B. része 1. pontjának bevezető mondata helyébe a következő szöveg lép:</w:t>
      </w:r>
    </w:p>
    <w:p w14:paraId="24DB4758" w14:textId="77777777" w:rsidR="001D30D4" w:rsidRPr="00E441EF" w:rsidRDefault="001D30D4" w:rsidP="001D30D4">
      <w:pPr>
        <w:spacing w:before="120" w:after="120" w:line="360" w:lineRule="auto"/>
        <w:ind w:left="850"/>
        <w:rPr>
          <w:b/>
          <w:szCs w:val="24"/>
          <w:lang w:val="pt-PT" w:eastAsia="en-US"/>
        </w:rPr>
      </w:pPr>
      <w:r w:rsidRPr="00E441EF">
        <w:rPr>
          <w:szCs w:val="24"/>
          <w:lang w:val="pt-PT" w:eastAsia="en-US"/>
        </w:rPr>
        <w:t>„a jelentős és tartósan emelkedő tendenciák</w:t>
      </w:r>
      <w:r w:rsidRPr="00E441EF">
        <w:rPr>
          <w:b/>
          <w:i/>
          <w:szCs w:val="24"/>
          <w:lang w:val="pt-PT" w:eastAsia="en-US"/>
        </w:rPr>
        <w:t xml:space="preserve"> – beleértve a többek között egy víztest alacsony vízhozamának betudható szezonális emelkedő tendenciákat is –</w:t>
      </w:r>
      <w:r w:rsidRPr="00E441EF">
        <w:rPr>
          <w:szCs w:val="24"/>
          <w:lang w:val="pt-PT" w:eastAsia="en-US"/>
        </w:rPr>
        <w:t xml:space="preserve"> megfordítására irányuló intézkedések végrehajtásának kezdőpontja az a pont, amikor a szennyező anyag koncentrációja eléri az I. mellékletben a felszín alatti vizek vonatkozásában meghatározott minőségi előírások és a 3. cikk (1) bekezdésének b) és c) pontjában említett küszöbértékek parametrikus értékének 75 %-át, az alábbiak kivételével:</w:t>
      </w:r>
      <w:r w:rsidRPr="00E441EF">
        <w:rPr>
          <w:strike/>
          <w:szCs w:val="24"/>
          <w:lang w:val="pt-PT" w:eastAsia="en-US"/>
        </w:rPr>
        <w:t>.</w:t>
      </w:r>
      <w:r w:rsidRPr="00E441EF">
        <w:rPr>
          <w:szCs w:val="24"/>
          <w:lang w:val="pt-PT" w:eastAsia="en-US"/>
        </w:rPr>
        <w:t>”</w:t>
      </w:r>
      <w:r w:rsidRPr="00E441EF">
        <w:rPr>
          <w:b/>
          <w:szCs w:val="24"/>
          <w:lang w:val="pt-PT" w:eastAsia="en-US"/>
        </w:rPr>
        <w:t xml:space="preserve"> [</w:t>
      </w:r>
      <w:r w:rsidR="00EA1FAD" w:rsidRPr="00DC67EB">
        <w:rPr>
          <w:b/>
          <w:szCs w:val="24"/>
          <w:lang w:eastAsia="en-US"/>
        </w:rPr>
        <w:t>Mód</w:t>
      </w:r>
      <w:r w:rsidRPr="00E441EF">
        <w:rPr>
          <w:b/>
          <w:szCs w:val="24"/>
          <w:lang w:val="pt-PT" w:eastAsia="en-US"/>
        </w:rPr>
        <w:t>. 107]</w:t>
      </w:r>
    </w:p>
    <w:p w14:paraId="0B4CC154" w14:textId="77777777" w:rsidR="001D30D4" w:rsidRPr="00E441EF" w:rsidRDefault="001D30D4" w:rsidP="001D30D4">
      <w:pPr>
        <w:spacing w:before="120" w:after="120" w:line="360" w:lineRule="auto"/>
        <w:jc w:val="center"/>
        <w:rPr>
          <w:szCs w:val="24"/>
          <w:lang w:val="pt-PT" w:eastAsia="en-US"/>
        </w:rPr>
      </w:pPr>
      <w:r w:rsidRPr="00E441EF">
        <w:rPr>
          <w:szCs w:val="24"/>
          <w:lang w:val="pt-PT" w:eastAsia="en-US"/>
        </w:rPr>
        <w:br w:type="page"/>
      </w:r>
      <w:r w:rsidRPr="00E441EF">
        <w:rPr>
          <w:szCs w:val="24"/>
          <w:lang w:val="pt-PT" w:eastAsia="en-US"/>
        </w:rPr>
        <w:lastRenderedPageBreak/>
        <w:t>3. cikk</w:t>
      </w:r>
      <w:r w:rsidRPr="00E441EF">
        <w:rPr>
          <w:szCs w:val="24"/>
          <w:lang w:val="pt-PT" w:eastAsia="en-US"/>
        </w:rPr>
        <w:br/>
        <w:t>A 2008/105/EK irányelv módosításai</w:t>
      </w:r>
    </w:p>
    <w:p w14:paraId="1AA17C80" w14:textId="77777777" w:rsidR="001D30D4" w:rsidRPr="00E441EF" w:rsidRDefault="001D30D4" w:rsidP="001D30D4">
      <w:pPr>
        <w:spacing w:before="120" w:after="120" w:line="360" w:lineRule="auto"/>
        <w:rPr>
          <w:szCs w:val="24"/>
          <w:lang w:val="pt-PT" w:eastAsia="en-US"/>
        </w:rPr>
      </w:pPr>
      <w:r w:rsidRPr="00E441EF">
        <w:rPr>
          <w:szCs w:val="24"/>
          <w:lang w:val="pt-PT" w:eastAsia="en-US"/>
        </w:rPr>
        <w:t>A 2008/105/EK irányelv a következőképpen módosul:</w:t>
      </w:r>
    </w:p>
    <w:p w14:paraId="4031EAD4" w14:textId="77777777" w:rsidR="001D30D4" w:rsidRPr="00E441EF" w:rsidRDefault="001D30D4" w:rsidP="001D30D4">
      <w:pPr>
        <w:spacing w:before="120" w:after="120" w:line="360" w:lineRule="auto"/>
        <w:ind w:left="850" w:hanging="850"/>
        <w:rPr>
          <w:szCs w:val="24"/>
          <w:lang w:val="pt-PT" w:eastAsia="en-US"/>
        </w:rPr>
      </w:pPr>
      <w:r w:rsidRPr="00E441EF">
        <w:rPr>
          <w:szCs w:val="24"/>
          <w:lang w:val="pt-PT" w:eastAsia="en-US"/>
        </w:rPr>
        <w:t>1.</w:t>
      </w:r>
      <w:r w:rsidRPr="00E441EF">
        <w:rPr>
          <w:szCs w:val="24"/>
          <w:lang w:val="pt-PT" w:eastAsia="en-US"/>
        </w:rPr>
        <w:tab/>
        <w:t>A cím helyébe a következő szöveg lép:</w:t>
      </w:r>
    </w:p>
    <w:p w14:paraId="560AA6EC" w14:textId="77777777" w:rsidR="001D30D4" w:rsidRPr="00E441EF" w:rsidRDefault="001D30D4" w:rsidP="001D30D4">
      <w:pPr>
        <w:spacing w:before="120" w:after="120" w:line="360" w:lineRule="auto"/>
        <w:ind w:left="850"/>
        <w:rPr>
          <w:szCs w:val="24"/>
          <w:lang w:val="pt-PT" w:eastAsia="en-US"/>
        </w:rPr>
      </w:pPr>
      <w:r w:rsidRPr="00E441EF">
        <w:rPr>
          <w:szCs w:val="24"/>
          <w:lang w:val="pt-PT" w:eastAsia="en-US"/>
        </w:rPr>
        <w:t>„Az Európai Parlament és a Tanács 2008/105/EK irányelve (2008. december 16.) a felszíni vizek szennyezésének megelőzéséről és csökkentéséről, a 82/176/EGK, a 83/513/EGK, a 84/156/EGK, a 84/491/EGK és a 86/280/EGK tanácsi irányelv módosításáról és azt követő hatályon kívül helyezéséről, valamint a 2000/60/EK európai parlamenti és tanácsi irányelv módosításáról.”</w:t>
      </w:r>
    </w:p>
    <w:p w14:paraId="71B298C1" w14:textId="77777777" w:rsidR="001D30D4" w:rsidRPr="00E441EF" w:rsidRDefault="001D30D4" w:rsidP="001D30D4">
      <w:pPr>
        <w:spacing w:before="120" w:after="120" w:line="360" w:lineRule="auto"/>
        <w:ind w:left="850" w:hanging="850"/>
        <w:rPr>
          <w:szCs w:val="24"/>
          <w:lang w:val="pt-PT" w:eastAsia="en-US"/>
        </w:rPr>
      </w:pPr>
      <w:r w:rsidRPr="00E441EF">
        <w:rPr>
          <w:b/>
          <w:i/>
          <w:szCs w:val="24"/>
          <w:lang w:val="pt-PT" w:eastAsia="en-US"/>
        </w:rPr>
        <w:t>1a.</w:t>
      </w:r>
      <w:r w:rsidRPr="00E441EF">
        <w:rPr>
          <w:szCs w:val="24"/>
          <w:lang w:val="pt-PT" w:eastAsia="en-US"/>
        </w:rPr>
        <w:tab/>
      </w:r>
      <w:r w:rsidRPr="00E441EF">
        <w:rPr>
          <w:b/>
          <w:i/>
          <w:szCs w:val="24"/>
          <w:lang w:val="pt-PT" w:eastAsia="en-US"/>
        </w:rPr>
        <w:t>Az 1. cikk a következőképpen módosul:</w:t>
      </w:r>
    </w:p>
    <w:p w14:paraId="6B9B08F7" w14:textId="77777777" w:rsidR="001D30D4" w:rsidRPr="00E441EF" w:rsidRDefault="001D30D4" w:rsidP="001D30D4">
      <w:pPr>
        <w:spacing w:before="120" w:after="120" w:line="360" w:lineRule="auto"/>
        <w:ind w:left="850"/>
        <w:rPr>
          <w:szCs w:val="24"/>
          <w:lang w:val="pt-PT" w:eastAsia="en-US"/>
        </w:rPr>
      </w:pPr>
      <w:r w:rsidRPr="00E441EF">
        <w:rPr>
          <w:szCs w:val="24"/>
          <w:lang w:val="pt-PT" w:eastAsia="en-US"/>
        </w:rPr>
        <w:t>„</w:t>
      </w:r>
      <w:r w:rsidR="00A75B5E">
        <w:rPr>
          <w:b/>
          <w:i/>
          <w:szCs w:val="24"/>
          <w:lang w:val="pt-PT" w:eastAsia="en-US"/>
        </w:rPr>
        <w:t>Cikk</w:t>
      </w:r>
      <w:r w:rsidRPr="00E441EF">
        <w:rPr>
          <w:szCs w:val="24"/>
          <w:lang w:val="pt-PT" w:eastAsia="en-US"/>
        </w:rPr>
        <w:br/>
      </w:r>
      <w:r w:rsidRPr="00E441EF">
        <w:rPr>
          <w:b/>
          <w:i/>
          <w:szCs w:val="24"/>
          <w:lang w:val="pt-PT" w:eastAsia="en-US"/>
        </w:rPr>
        <w:t>Tárgy</w:t>
      </w:r>
    </w:p>
    <w:p w14:paraId="35B3D874" w14:textId="77777777" w:rsidR="001D30D4" w:rsidRPr="00E441EF" w:rsidRDefault="001D30D4" w:rsidP="001D30D4">
      <w:pPr>
        <w:spacing w:before="120" w:after="120" w:line="360" w:lineRule="auto"/>
        <w:ind w:left="850"/>
        <w:rPr>
          <w:b/>
          <w:szCs w:val="24"/>
          <w:lang w:val="pt-PT" w:eastAsia="en-US"/>
        </w:rPr>
      </w:pPr>
      <w:r w:rsidRPr="00E441EF">
        <w:rPr>
          <w:b/>
          <w:i/>
          <w:szCs w:val="24"/>
          <w:lang w:val="pt-PT" w:eastAsia="en-US"/>
        </w:rPr>
        <w:t>A felszíni víz jó kémiai állapotának elérése céljából, valamint a 2000/60/EK irányelv 4. cikkének rendelkezéseivel és célkitűzéseivel összhangban ez az irányelv környezetminőségi előírásokat (EQS) állapít meg az elsőbbségi anyagok és az elsőbbségi veszélyes anyagok vonatkozásában.</w:t>
      </w:r>
      <w:r w:rsidRPr="00E441EF">
        <w:rPr>
          <w:szCs w:val="24"/>
          <w:lang w:val="pt-PT" w:eastAsia="en-US"/>
        </w:rPr>
        <w:t>”</w:t>
      </w:r>
      <w:r w:rsidRPr="00E441EF">
        <w:rPr>
          <w:b/>
          <w:szCs w:val="24"/>
          <w:lang w:val="pt-PT" w:eastAsia="en-US"/>
        </w:rPr>
        <w:t xml:space="preserve"> [</w:t>
      </w:r>
      <w:r w:rsidR="00EA1FAD" w:rsidRPr="00DC67EB">
        <w:rPr>
          <w:b/>
          <w:szCs w:val="24"/>
          <w:lang w:eastAsia="en-US"/>
        </w:rPr>
        <w:t>Mód</w:t>
      </w:r>
      <w:r w:rsidRPr="00E441EF">
        <w:rPr>
          <w:b/>
          <w:szCs w:val="24"/>
          <w:lang w:val="pt-PT" w:eastAsia="en-US"/>
        </w:rPr>
        <w:t>. 108]</w:t>
      </w:r>
    </w:p>
    <w:p w14:paraId="4F83A332" w14:textId="77777777" w:rsidR="001D30D4" w:rsidRPr="00E441EF" w:rsidRDefault="001D30D4" w:rsidP="001D30D4">
      <w:pPr>
        <w:spacing w:before="120" w:after="120" w:line="360" w:lineRule="auto"/>
        <w:ind w:left="850" w:hanging="850"/>
        <w:rPr>
          <w:szCs w:val="24"/>
          <w:lang w:val="pt-PT" w:eastAsia="en-US"/>
        </w:rPr>
      </w:pPr>
      <w:r w:rsidRPr="00E441EF">
        <w:rPr>
          <w:szCs w:val="24"/>
          <w:lang w:val="pt-PT" w:eastAsia="en-US"/>
        </w:rPr>
        <w:br w:type="page"/>
      </w:r>
      <w:r w:rsidRPr="00E441EF">
        <w:rPr>
          <w:szCs w:val="24"/>
          <w:lang w:val="pt-PT" w:eastAsia="en-US"/>
        </w:rPr>
        <w:lastRenderedPageBreak/>
        <w:t>2.</w:t>
      </w:r>
      <w:r w:rsidRPr="00E441EF">
        <w:rPr>
          <w:szCs w:val="24"/>
          <w:lang w:val="pt-PT" w:eastAsia="en-US"/>
        </w:rPr>
        <w:tab/>
        <w:t>A 3. cikk a következőképpen módosul:</w:t>
      </w:r>
    </w:p>
    <w:p w14:paraId="081892D4" w14:textId="77777777" w:rsidR="001D30D4" w:rsidRPr="00E441EF" w:rsidRDefault="001D30D4" w:rsidP="001D30D4">
      <w:pPr>
        <w:spacing w:before="120" w:after="120" w:line="360" w:lineRule="auto"/>
        <w:ind w:left="1416" w:hanging="566"/>
        <w:rPr>
          <w:szCs w:val="24"/>
          <w:lang w:val="pt-PT" w:eastAsia="en-US"/>
        </w:rPr>
      </w:pPr>
      <w:r w:rsidRPr="00E441EF">
        <w:rPr>
          <w:szCs w:val="24"/>
          <w:lang w:val="pt-PT" w:eastAsia="en-US"/>
        </w:rPr>
        <w:t>a)</w:t>
      </w:r>
      <w:r w:rsidRPr="00E441EF">
        <w:rPr>
          <w:szCs w:val="24"/>
          <w:lang w:val="pt-PT" w:eastAsia="en-US"/>
        </w:rPr>
        <w:tab/>
        <w:t>az (1a) bekezdés első albekezdése a következő iii. alponttal egészül ki:</w:t>
      </w:r>
    </w:p>
    <w:p w14:paraId="31C58471" w14:textId="77777777" w:rsidR="001D30D4" w:rsidRPr="00E441EF" w:rsidRDefault="001D30D4" w:rsidP="001D30D4">
      <w:pPr>
        <w:spacing w:before="120" w:after="120" w:line="360" w:lineRule="auto"/>
        <w:ind w:left="1982" w:hanging="566"/>
        <w:rPr>
          <w:szCs w:val="24"/>
          <w:lang w:val="pt-PT" w:eastAsia="en-US"/>
        </w:rPr>
      </w:pPr>
      <w:r w:rsidRPr="00E441EF">
        <w:rPr>
          <w:szCs w:val="24"/>
          <w:lang w:val="pt-PT" w:eastAsia="en-US"/>
        </w:rPr>
        <w:t>„iii.</w:t>
      </w:r>
      <w:r w:rsidRPr="00E441EF">
        <w:rPr>
          <w:szCs w:val="24"/>
          <w:lang w:val="pt-PT" w:eastAsia="en-US"/>
        </w:rPr>
        <w:tab/>
        <w:t>az I. melléklet A. részének 5., 9., 13., 15., 17., 21., 23., 24., 28., 30., 34., 37., 41. és 44. sorszámú anyagai, valamint az I. melléklet A. részének 46–70. sorszámú, újonnan azonosított anyagai, amelyek tekintetében [Kiadóhivatal: kérjük, illesszék be az ezen irányelv hatálybalépését 18 hónappal követő hónap első napját]-i hatállyal felülvizsgált környezetminőségi előírások lesznek érvényesek azzal a céllal, hogy megelőzzék a felszíni víztestek kémiai állapotának romlását, és ezen anyagok tekintetében elérjék a felszíni vizek jó kémiai állapotát.;”</w:t>
      </w:r>
    </w:p>
    <w:p w14:paraId="0176AA16" w14:textId="77777777" w:rsidR="001D30D4" w:rsidRPr="00E441EF" w:rsidRDefault="001D30D4" w:rsidP="001D30D4">
      <w:pPr>
        <w:spacing w:before="120" w:after="120" w:line="360" w:lineRule="auto"/>
        <w:ind w:left="1416" w:hanging="566"/>
        <w:rPr>
          <w:szCs w:val="24"/>
          <w:lang w:val="pt-PT" w:eastAsia="en-US"/>
        </w:rPr>
      </w:pPr>
      <w:r w:rsidRPr="00E441EF">
        <w:rPr>
          <w:szCs w:val="24"/>
          <w:lang w:val="pt-PT" w:eastAsia="en-US"/>
        </w:rPr>
        <w:t>b)</w:t>
      </w:r>
      <w:r w:rsidRPr="00E441EF">
        <w:rPr>
          <w:szCs w:val="24"/>
          <w:lang w:val="pt-PT" w:eastAsia="en-US"/>
        </w:rPr>
        <w:tab/>
        <w:t>a (2) bekezdés helyébe a következő szöveg lép:</w:t>
      </w:r>
    </w:p>
    <w:p w14:paraId="4067C8F6" w14:textId="77777777" w:rsidR="001D30D4" w:rsidRPr="00E441EF" w:rsidRDefault="001D30D4" w:rsidP="001D30D4">
      <w:pPr>
        <w:spacing w:before="120" w:after="120" w:line="360" w:lineRule="auto"/>
        <w:ind w:left="1982" w:hanging="566"/>
        <w:rPr>
          <w:szCs w:val="24"/>
          <w:lang w:val="pt-PT" w:eastAsia="en-US"/>
        </w:rPr>
      </w:pPr>
      <w:r w:rsidRPr="00E441EF">
        <w:rPr>
          <w:szCs w:val="24"/>
          <w:lang w:val="pt-PT" w:eastAsia="en-US"/>
        </w:rPr>
        <w:t>„(2)</w:t>
      </w:r>
      <w:r w:rsidRPr="00E441EF">
        <w:rPr>
          <w:szCs w:val="24"/>
          <w:lang w:val="pt-PT" w:eastAsia="en-US"/>
        </w:rPr>
        <w:tab/>
        <w:t>Azon anyagok tekintetében, amelyekre az I. melléklet A. része biótára vonatkozó környezetminőségi előírásokat vagy üledékre vonatkozó környezetminőségi előírásokat állapít meg, a tagállamok ezeket a biótára vonatkozó környezetminőségi előírásokat vagy üledékre vonatkozó környezetminőségi előírásokat alkalmazzák.</w:t>
      </w:r>
    </w:p>
    <w:p w14:paraId="68955D55" w14:textId="77777777" w:rsidR="001D30D4" w:rsidRPr="00E441EF" w:rsidRDefault="001D30D4" w:rsidP="001D30D4">
      <w:pPr>
        <w:spacing w:before="120" w:after="120" w:line="360" w:lineRule="auto"/>
        <w:ind w:left="1982"/>
        <w:rPr>
          <w:szCs w:val="24"/>
          <w:lang w:val="pt-PT" w:eastAsia="en-US"/>
        </w:rPr>
      </w:pPr>
      <w:r w:rsidRPr="00E441EF">
        <w:rPr>
          <w:szCs w:val="24"/>
          <w:lang w:val="pt-PT" w:eastAsia="en-US"/>
        </w:rPr>
        <w:t>Az első albekezdésben hivatkozott anyagoktól eltérő anyagok tekintetében a tagállamok az I. melléklet A. részében meghatározott vizekre vonatkozó környezetminőségi előírásokat alkalmazzák.;”</w:t>
      </w:r>
    </w:p>
    <w:p w14:paraId="452A749F" w14:textId="77777777" w:rsidR="001D30D4" w:rsidRPr="00E441EF" w:rsidRDefault="001D30D4" w:rsidP="001D30D4">
      <w:pPr>
        <w:spacing w:before="120" w:after="120" w:line="360" w:lineRule="auto"/>
        <w:ind w:left="1416" w:hanging="566"/>
        <w:rPr>
          <w:szCs w:val="24"/>
          <w:lang w:val="pt-PT" w:eastAsia="en-US"/>
        </w:rPr>
      </w:pPr>
      <w:r w:rsidRPr="00E441EF">
        <w:rPr>
          <w:szCs w:val="24"/>
          <w:lang w:val="pt-PT" w:eastAsia="en-US"/>
        </w:rPr>
        <w:br w:type="page"/>
      </w:r>
      <w:r w:rsidRPr="00E441EF">
        <w:rPr>
          <w:szCs w:val="24"/>
          <w:lang w:val="pt-PT" w:eastAsia="en-US"/>
        </w:rPr>
        <w:lastRenderedPageBreak/>
        <w:t>c)</w:t>
      </w:r>
      <w:r w:rsidRPr="00E441EF">
        <w:rPr>
          <w:szCs w:val="24"/>
          <w:lang w:val="pt-PT" w:eastAsia="en-US"/>
        </w:rPr>
        <w:tab/>
        <w:t>a (6) bekezdés első albekezdésének első mondata helyébe a következő szöveg lép:</w:t>
      </w:r>
    </w:p>
    <w:p w14:paraId="08C8E370" w14:textId="77777777" w:rsidR="001D30D4" w:rsidRPr="00E441EF" w:rsidRDefault="001D30D4" w:rsidP="001D30D4">
      <w:pPr>
        <w:spacing w:before="120" w:after="120" w:line="360" w:lineRule="auto"/>
        <w:ind w:left="1416"/>
        <w:rPr>
          <w:szCs w:val="24"/>
          <w:lang w:val="pt-PT" w:eastAsia="en-US"/>
        </w:rPr>
      </w:pPr>
      <w:r w:rsidRPr="00E441EF">
        <w:rPr>
          <w:szCs w:val="24"/>
          <w:lang w:val="pt-PT" w:eastAsia="en-US"/>
        </w:rPr>
        <w:t>„A tagállamok a felszíni víz állapotának a 2000/60/EK irányelv 8. cikke szerint elvégzett monitoringja részeként az üledék vagy a bióta monitoringja alapján gondoskodnak az üledékben és/vagy a biótában jellemzően felhalmozódó, az I. melléklet A. részében meghatározott elsőbbségi anyagok koncentrációinak hosszú távú tendenciaelemzéséről.;”</w:t>
      </w:r>
    </w:p>
    <w:p w14:paraId="1DC9F3D7" w14:textId="77777777" w:rsidR="001D30D4" w:rsidRPr="00E441EF" w:rsidRDefault="001D30D4" w:rsidP="001D30D4">
      <w:pPr>
        <w:spacing w:before="120" w:after="120" w:line="360" w:lineRule="auto"/>
        <w:ind w:left="1416" w:hanging="566"/>
        <w:rPr>
          <w:szCs w:val="24"/>
          <w:lang w:val="pt-PT" w:eastAsia="en-US"/>
        </w:rPr>
      </w:pPr>
      <w:r w:rsidRPr="00E441EF">
        <w:rPr>
          <w:szCs w:val="24"/>
          <w:lang w:val="pt-PT" w:eastAsia="en-US"/>
        </w:rPr>
        <w:t>d)</w:t>
      </w:r>
      <w:r w:rsidRPr="00E441EF">
        <w:rPr>
          <w:szCs w:val="24"/>
          <w:lang w:val="pt-PT" w:eastAsia="en-US"/>
        </w:rPr>
        <w:tab/>
        <w:t>a (7) bekezdést el kell hagyni;</w:t>
      </w:r>
    </w:p>
    <w:p w14:paraId="679C42C3" w14:textId="77777777" w:rsidR="001D30D4" w:rsidRPr="00E441EF" w:rsidRDefault="001D30D4" w:rsidP="001D30D4">
      <w:pPr>
        <w:spacing w:before="120" w:after="120" w:line="360" w:lineRule="auto"/>
        <w:ind w:left="1416" w:hanging="566"/>
        <w:rPr>
          <w:szCs w:val="24"/>
          <w:lang w:val="pt-PT" w:eastAsia="en-US"/>
        </w:rPr>
      </w:pPr>
      <w:r w:rsidRPr="00E441EF">
        <w:rPr>
          <w:szCs w:val="24"/>
          <w:lang w:val="pt-PT" w:eastAsia="en-US"/>
        </w:rPr>
        <w:t>e)</w:t>
      </w:r>
      <w:r w:rsidRPr="00E441EF">
        <w:rPr>
          <w:szCs w:val="24"/>
          <w:lang w:val="pt-PT" w:eastAsia="en-US"/>
        </w:rPr>
        <w:tab/>
        <w:t>a (8) bekezdés helyébe a következő szöveg lép:</w:t>
      </w:r>
    </w:p>
    <w:p w14:paraId="70BA33DD" w14:textId="77777777" w:rsidR="001D30D4" w:rsidRPr="00E441EF" w:rsidRDefault="001D30D4" w:rsidP="001D30D4">
      <w:pPr>
        <w:spacing w:before="120" w:after="120" w:line="360" w:lineRule="auto"/>
        <w:ind w:left="1982" w:hanging="566"/>
        <w:rPr>
          <w:szCs w:val="24"/>
          <w:lang w:val="pt-PT" w:eastAsia="en-US"/>
        </w:rPr>
      </w:pPr>
      <w:r w:rsidRPr="00E441EF">
        <w:rPr>
          <w:szCs w:val="24"/>
          <w:lang w:val="pt-PT" w:eastAsia="en-US"/>
        </w:rPr>
        <w:t>„(8)</w:t>
      </w:r>
      <w:r w:rsidRPr="00E441EF">
        <w:rPr>
          <w:szCs w:val="24"/>
          <w:lang w:val="pt-PT" w:eastAsia="en-US"/>
        </w:rPr>
        <w:tab/>
        <w:t>A Bizottság felhatalmazást kap arra, hogy a 9a. cikknek megfelelően az I. melléklet B. részének 3. pontját módosító, felhatalmazáson alapuló jogi aktusokat fogadjon el abból a célból, hogy azt a tudományos, illetve műszaki fejlődés szerint kiigazítsa.”</w:t>
      </w:r>
    </w:p>
    <w:p w14:paraId="32649D3F" w14:textId="77777777" w:rsidR="001D30D4" w:rsidRPr="00E441EF" w:rsidRDefault="001D30D4" w:rsidP="001D30D4">
      <w:pPr>
        <w:spacing w:before="120" w:after="120" w:line="360" w:lineRule="auto"/>
        <w:ind w:left="850" w:hanging="850"/>
        <w:rPr>
          <w:szCs w:val="24"/>
          <w:lang w:val="pt-PT" w:eastAsia="en-US"/>
        </w:rPr>
      </w:pPr>
      <w:r w:rsidRPr="00E441EF">
        <w:rPr>
          <w:szCs w:val="24"/>
          <w:lang w:val="pt-PT" w:eastAsia="en-US"/>
        </w:rPr>
        <w:br w:type="page"/>
      </w:r>
      <w:r w:rsidRPr="00E441EF">
        <w:rPr>
          <w:szCs w:val="24"/>
          <w:lang w:val="pt-PT" w:eastAsia="en-US"/>
        </w:rPr>
        <w:lastRenderedPageBreak/>
        <w:t>3.</w:t>
      </w:r>
      <w:r w:rsidRPr="00E441EF">
        <w:rPr>
          <w:szCs w:val="24"/>
          <w:lang w:val="pt-PT" w:eastAsia="en-US"/>
        </w:rPr>
        <w:tab/>
        <w:t>Az 5. cikk a következőképpen módosul:</w:t>
      </w:r>
    </w:p>
    <w:p w14:paraId="58F14C62" w14:textId="77777777" w:rsidR="001D30D4" w:rsidRPr="00E441EF" w:rsidRDefault="001D30D4" w:rsidP="001D30D4">
      <w:pPr>
        <w:spacing w:before="120" w:after="120" w:line="360" w:lineRule="auto"/>
        <w:ind w:left="1416" w:hanging="566"/>
        <w:rPr>
          <w:szCs w:val="24"/>
          <w:lang w:val="pt-PT" w:eastAsia="en-US"/>
        </w:rPr>
      </w:pPr>
      <w:r w:rsidRPr="00E441EF">
        <w:rPr>
          <w:szCs w:val="24"/>
          <w:lang w:val="pt-PT" w:eastAsia="en-US"/>
        </w:rPr>
        <w:t>a)</w:t>
      </w:r>
      <w:r w:rsidRPr="00E441EF">
        <w:rPr>
          <w:szCs w:val="24"/>
          <w:lang w:val="pt-PT" w:eastAsia="en-US"/>
        </w:rPr>
        <w:tab/>
        <w:t>az (1) bekezdés helyébe a következő szöveg lép:</w:t>
      </w:r>
    </w:p>
    <w:p w14:paraId="3C0C24EB" w14:textId="77777777" w:rsidR="001D30D4" w:rsidRPr="00E441EF" w:rsidRDefault="001D30D4" w:rsidP="001D30D4">
      <w:pPr>
        <w:spacing w:before="120" w:after="120" w:line="360" w:lineRule="auto"/>
        <w:ind w:left="1982" w:hanging="566"/>
        <w:rPr>
          <w:b/>
          <w:szCs w:val="24"/>
          <w:lang w:val="pt-PT" w:eastAsia="en-US"/>
        </w:rPr>
      </w:pPr>
      <w:r w:rsidRPr="00E441EF">
        <w:rPr>
          <w:szCs w:val="24"/>
          <w:lang w:val="pt-PT" w:eastAsia="en-US"/>
        </w:rPr>
        <w:t>„(1)</w:t>
      </w:r>
      <w:r w:rsidRPr="00E441EF">
        <w:rPr>
          <w:szCs w:val="24"/>
          <w:lang w:val="pt-PT" w:eastAsia="en-US"/>
        </w:rPr>
        <w:tab/>
        <w:t>A 2000/60/EK irányelv 5. és 8. cikkével</w:t>
      </w:r>
      <w:r w:rsidRPr="00E441EF">
        <w:rPr>
          <w:b/>
          <w:i/>
          <w:szCs w:val="24"/>
          <w:lang w:val="pt-PT" w:eastAsia="en-US"/>
        </w:rPr>
        <w:t>, valamint az(EU).../... európai parlamenti és tanácsi rendelettel</w:t>
      </w:r>
      <w:r w:rsidRPr="00E441EF">
        <w:rPr>
          <w:szCs w:val="24"/>
          <w:lang w:val="pt-PT" w:eastAsia="en-US"/>
        </w:rPr>
        <w:t xml:space="preserve"> </w:t>
      </w:r>
      <w:r w:rsidR="00EA1FAD" w:rsidRPr="00E441EF">
        <w:rPr>
          <w:szCs w:val="24"/>
          <w:vertAlign w:val="superscript"/>
          <w:lang w:val="pt-PT" w:eastAsia="en-US"/>
        </w:rPr>
        <w:t>a</w:t>
      </w:r>
      <w:r w:rsidR="00EA1FAD" w:rsidRPr="00E441EF">
        <w:rPr>
          <w:szCs w:val="24"/>
          <w:lang w:val="pt-PT" w:eastAsia="en-US"/>
        </w:rPr>
        <w:t xml:space="preserve"> </w:t>
      </w:r>
      <w:r w:rsidRPr="00E441EF">
        <w:rPr>
          <w:szCs w:val="24"/>
          <w:lang w:val="pt-PT" w:eastAsia="en-US"/>
        </w:rPr>
        <w:t>összhangban összegyűjtött információk, valamint más rendelkezésre álló adatok alapján a tagállamok a területükön levő minden vízgyűjtőkerület vagy vízgyűjtőkerület-rész tekintetében nyilvántartást készítenek, ha rendelkezésre állnak térképek, akkor ezekkel együtt, az ezen irányelv I. mellékletének A. részében felsorolt minden elsőbbségi anyag és az ezen irányelv II. mellékletének A. részében felsorolt minden szennyező anyag kibocsátásáról, bevezetéséről és veszteségéről, beleértve adott esetben az üledékben és biótában meglévő koncentrációjukat.</w:t>
      </w:r>
      <w:r w:rsidRPr="00E441EF">
        <w:rPr>
          <w:b/>
          <w:szCs w:val="24"/>
          <w:lang w:val="pt-PT" w:eastAsia="en-US"/>
        </w:rPr>
        <w:t xml:space="preserve"> [</w:t>
      </w:r>
      <w:r w:rsidR="00EA1FAD" w:rsidRPr="00DC67EB">
        <w:rPr>
          <w:b/>
          <w:szCs w:val="24"/>
          <w:lang w:eastAsia="en-US"/>
        </w:rPr>
        <w:t>Mód</w:t>
      </w:r>
      <w:r w:rsidRPr="00E441EF">
        <w:rPr>
          <w:b/>
          <w:szCs w:val="24"/>
          <w:lang w:val="pt-PT" w:eastAsia="en-US"/>
        </w:rPr>
        <w:t>. 109]</w:t>
      </w:r>
    </w:p>
    <w:p w14:paraId="38F112A1" w14:textId="77777777" w:rsidR="00EA1FAD" w:rsidRPr="00E441EF" w:rsidRDefault="00EA1FAD" w:rsidP="001D30D4">
      <w:pPr>
        <w:spacing w:before="120" w:after="120" w:line="360" w:lineRule="auto"/>
        <w:ind w:left="1982"/>
        <w:rPr>
          <w:b/>
          <w:i/>
          <w:szCs w:val="24"/>
          <w:lang w:val="pt-PT" w:eastAsia="en-US"/>
        </w:rPr>
      </w:pPr>
      <w:r w:rsidRPr="00E441EF">
        <w:rPr>
          <w:b/>
          <w:i/>
          <w:szCs w:val="24"/>
          <w:lang w:val="pt-PT" w:eastAsia="en-US"/>
        </w:rPr>
        <w:t>_________________</w:t>
      </w:r>
    </w:p>
    <w:p w14:paraId="13647A5D" w14:textId="77777777" w:rsidR="00EA1FAD" w:rsidRPr="00E441EF" w:rsidRDefault="00EA1FAD" w:rsidP="001D30D4">
      <w:pPr>
        <w:spacing w:before="120" w:after="120" w:line="360" w:lineRule="auto"/>
        <w:ind w:left="1982"/>
        <w:rPr>
          <w:b/>
          <w:i/>
          <w:szCs w:val="24"/>
          <w:lang w:val="pt-PT" w:eastAsia="en-US"/>
        </w:rPr>
      </w:pPr>
      <w:r w:rsidRPr="00E441EF">
        <w:rPr>
          <w:b/>
          <w:i/>
          <w:szCs w:val="24"/>
          <w:vertAlign w:val="superscript"/>
          <w:lang w:val="pt-PT" w:eastAsia="en-US"/>
        </w:rPr>
        <w:t>1a</w:t>
      </w:r>
      <w:r w:rsidRPr="00E441EF">
        <w:rPr>
          <w:b/>
          <w:i/>
          <w:szCs w:val="24"/>
          <w:lang w:val="pt-PT" w:eastAsia="en-US"/>
        </w:rPr>
        <w:tab/>
        <w:t>HL:Kérjük illesszék be a szövegbe a COM(2002)0157 dokumentumban található rendelet számát.</w:t>
      </w:r>
    </w:p>
    <w:p w14:paraId="10B70D64" w14:textId="77777777" w:rsidR="001D30D4" w:rsidRPr="00E441EF" w:rsidRDefault="001D30D4" w:rsidP="001D30D4">
      <w:pPr>
        <w:spacing w:before="120" w:after="120" w:line="360" w:lineRule="auto"/>
        <w:ind w:left="1982"/>
        <w:rPr>
          <w:b/>
          <w:szCs w:val="24"/>
          <w:lang w:val="pt-PT" w:eastAsia="en-US"/>
        </w:rPr>
      </w:pPr>
      <w:r w:rsidRPr="00E441EF">
        <w:rPr>
          <w:b/>
          <w:i/>
          <w:szCs w:val="24"/>
          <w:lang w:val="pt-PT" w:eastAsia="en-US"/>
        </w:rPr>
        <w:t>A kibocsátások nyilvántartását rendszeresen frissített és a nyilvánosság számára könnyen hozzáférhető elektronikus adatbázisban kell elérhetővé tenni.</w:t>
      </w:r>
      <w:r w:rsidRPr="00E441EF">
        <w:rPr>
          <w:b/>
          <w:szCs w:val="24"/>
          <w:lang w:val="pt-PT" w:eastAsia="en-US"/>
        </w:rPr>
        <w:t xml:space="preserve"> [</w:t>
      </w:r>
      <w:r w:rsidR="00EA1FAD" w:rsidRPr="00DC67EB">
        <w:rPr>
          <w:b/>
          <w:szCs w:val="24"/>
          <w:lang w:eastAsia="en-US"/>
        </w:rPr>
        <w:t>Mód</w:t>
      </w:r>
      <w:r w:rsidRPr="00E441EF">
        <w:rPr>
          <w:b/>
          <w:szCs w:val="24"/>
          <w:lang w:val="pt-PT" w:eastAsia="en-US"/>
        </w:rPr>
        <w:t>. 110]</w:t>
      </w:r>
    </w:p>
    <w:p w14:paraId="5989735E" w14:textId="77777777" w:rsidR="001D30D4" w:rsidRPr="00E441EF" w:rsidRDefault="001D30D4" w:rsidP="001D30D4">
      <w:pPr>
        <w:spacing w:before="120" w:after="120" w:line="360" w:lineRule="auto"/>
        <w:ind w:left="1982"/>
        <w:rPr>
          <w:b/>
          <w:szCs w:val="24"/>
          <w:lang w:val="pt-PT" w:eastAsia="en-US"/>
        </w:rPr>
      </w:pPr>
      <w:r w:rsidRPr="00E441EF">
        <w:rPr>
          <w:strike/>
          <w:szCs w:val="24"/>
          <w:lang w:val="pt-PT" w:eastAsia="en-US"/>
        </w:rPr>
        <w:br w:type="page"/>
      </w:r>
      <w:r w:rsidRPr="00E441EF">
        <w:rPr>
          <w:strike/>
          <w:szCs w:val="24"/>
          <w:lang w:val="pt-PT" w:eastAsia="en-US"/>
        </w:rPr>
        <w:lastRenderedPageBreak/>
        <w:t>Az első albekezdés nem alkalmazandó a Bizottságnak az (EU) .../... európai parlamenti és tanácsi rendelettel összhangban elektronikus úton bejelentett kibocsátásokra, bevezetésekre és veszteségekre. ;</w:t>
      </w:r>
      <w:r w:rsidRPr="00E441EF">
        <w:rPr>
          <w:szCs w:val="24"/>
          <w:lang w:val="pt-PT" w:eastAsia="en-US"/>
        </w:rPr>
        <w:t>”</w:t>
      </w:r>
      <w:r w:rsidRPr="00E441EF">
        <w:rPr>
          <w:b/>
          <w:szCs w:val="24"/>
          <w:lang w:val="pt-PT" w:eastAsia="en-US"/>
        </w:rPr>
        <w:t xml:space="preserve"> [</w:t>
      </w:r>
      <w:r w:rsidR="00EA1FAD" w:rsidRPr="00DC67EB">
        <w:rPr>
          <w:b/>
          <w:szCs w:val="24"/>
          <w:lang w:eastAsia="en-US"/>
        </w:rPr>
        <w:t>Mód</w:t>
      </w:r>
      <w:r w:rsidRPr="00E441EF">
        <w:rPr>
          <w:b/>
          <w:szCs w:val="24"/>
          <w:lang w:val="pt-PT" w:eastAsia="en-US"/>
        </w:rPr>
        <w:t>. 111]</w:t>
      </w:r>
    </w:p>
    <w:p w14:paraId="091BC647" w14:textId="77777777" w:rsidR="001D30D4" w:rsidRPr="00DC67EB" w:rsidRDefault="001D30D4" w:rsidP="001D30D4">
      <w:pPr>
        <w:spacing w:before="120" w:after="120" w:line="360" w:lineRule="auto"/>
        <w:ind w:left="1416" w:hanging="566"/>
        <w:rPr>
          <w:szCs w:val="24"/>
          <w:lang w:val="es-ES" w:eastAsia="en-US"/>
        </w:rPr>
      </w:pPr>
      <w:r w:rsidRPr="00DC67EB">
        <w:rPr>
          <w:szCs w:val="24"/>
          <w:lang w:val="es-ES" w:eastAsia="en-US"/>
        </w:rPr>
        <w:t>b)</w:t>
      </w:r>
      <w:r w:rsidRPr="00DC67EB">
        <w:rPr>
          <w:szCs w:val="24"/>
          <w:lang w:val="es-ES" w:eastAsia="en-US"/>
        </w:rPr>
        <w:tab/>
        <w:t>a (2) és a (3) bekezdést el kell hagyni;</w:t>
      </w:r>
    </w:p>
    <w:p w14:paraId="09923F34" w14:textId="77777777" w:rsidR="001D30D4" w:rsidRPr="00DC67EB" w:rsidRDefault="001D30D4" w:rsidP="001D30D4">
      <w:pPr>
        <w:spacing w:before="120" w:after="120" w:line="360" w:lineRule="auto"/>
        <w:ind w:left="1416" w:hanging="566"/>
        <w:rPr>
          <w:szCs w:val="24"/>
          <w:lang w:val="es-ES" w:eastAsia="en-US"/>
        </w:rPr>
      </w:pPr>
      <w:r w:rsidRPr="00DC67EB">
        <w:rPr>
          <w:szCs w:val="24"/>
          <w:lang w:val="es-ES" w:eastAsia="en-US"/>
        </w:rPr>
        <w:t>c)</w:t>
      </w:r>
      <w:r w:rsidRPr="00DC67EB">
        <w:rPr>
          <w:szCs w:val="24"/>
          <w:lang w:val="es-ES" w:eastAsia="en-US"/>
        </w:rPr>
        <w:tab/>
        <w:t>a (4) bekezdés helyébe a következő szöveg lép:</w:t>
      </w:r>
    </w:p>
    <w:p w14:paraId="4A8F6437" w14:textId="77777777" w:rsidR="001D30D4" w:rsidRPr="00DC67EB" w:rsidRDefault="001D30D4" w:rsidP="001D30D4">
      <w:pPr>
        <w:spacing w:before="120" w:after="120" w:line="360" w:lineRule="auto"/>
        <w:ind w:left="1982" w:hanging="566"/>
        <w:rPr>
          <w:b/>
          <w:szCs w:val="24"/>
          <w:lang w:val="es-ES" w:eastAsia="en-US"/>
        </w:rPr>
      </w:pPr>
      <w:r w:rsidRPr="00DC67EB">
        <w:rPr>
          <w:szCs w:val="24"/>
          <w:lang w:val="es-ES" w:eastAsia="en-US"/>
        </w:rPr>
        <w:t>„(4)</w:t>
      </w:r>
      <w:r w:rsidRPr="00DC67EB">
        <w:rPr>
          <w:szCs w:val="24"/>
          <w:lang w:val="es-ES" w:eastAsia="en-US"/>
        </w:rPr>
        <w:tab/>
        <w:t xml:space="preserve">A tagállamok a 2000/60/EK irányelv 5. cikkének (2) bekezdésében meghatározott elemzések felülvizsgálata során frissítik nyilvántartásaikat, és biztosítják, hogy az említett irányelv 13. cikkének (7) bekezdésével összhangban naprakésszé tett vízgyűjtő-gazdálkodási terveikben közzéteszik </w:t>
      </w:r>
      <w:r w:rsidRPr="00DC67EB">
        <w:rPr>
          <w:b/>
          <w:i/>
          <w:szCs w:val="24"/>
          <w:lang w:val="es-ES" w:eastAsia="en-US"/>
        </w:rPr>
        <w:t xml:space="preserve">a kibocsátásokat, köztük </w:t>
      </w:r>
      <w:r w:rsidRPr="00DC67EB">
        <w:rPr>
          <w:szCs w:val="24"/>
          <w:lang w:val="es-ES" w:eastAsia="en-US"/>
        </w:rPr>
        <w:t xml:space="preserve">az (EU) .../... rendelettel++ létrehozott ipari kibocsátási portálra </w:t>
      </w:r>
      <w:r w:rsidRPr="00DC67EB">
        <w:rPr>
          <w:strike/>
          <w:szCs w:val="24"/>
          <w:lang w:val="es-ES" w:eastAsia="en-US"/>
        </w:rPr>
        <w:t>be nem jelentett</w:t>
      </w:r>
      <w:r w:rsidRPr="00DC67EB">
        <w:rPr>
          <w:b/>
          <w:i/>
          <w:szCs w:val="24"/>
          <w:lang w:val="es-ES" w:eastAsia="en-US"/>
        </w:rPr>
        <w:t>bejelentett</w:t>
      </w:r>
      <w:r w:rsidRPr="00DC67EB">
        <w:rPr>
          <w:szCs w:val="24"/>
          <w:lang w:val="es-ES" w:eastAsia="en-US"/>
        </w:rPr>
        <w:t xml:space="preserve"> kibocsátásokat</w:t>
      </w:r>
      <w:r w:rsidRPr="00DC67EB">
        <w:rPr>
          <w:b/>
          <w:i/>
          <w:szCs w:val="24"/>
          <w:lang w:val="es-ES" w:eastAsia="en-US"/>
        </w:rPr>
        <w:t xml:space="preserve"> is</w:t>
      </w:r>
      <w:r w:rsidRPr="00DC67EB">
        <w:rPr>
          <w:szCs w:val="24"/>
          <w:lang w:val="es-ES" w:eastAsia="en-US"/>
        </w:rPr>
        <w:t>.</w:t>
      </w:r>
      <w:r w:rsidRPr="00DC67EB">
        <w:rPr>
          <w:b/>
          <w:szCs w:val="24"/>
          <w:lang w:val="es-ES" w:eastAsia="en-US"/>
        </w:rPr>
        <w:t xml:space="preserve"> [</w:t>
      </w:r>
      <w:r w:rsidR="00EA1FAD" w:rsidRPr="00DC67EB">
        <w:rPr>
          <w:b/>
          <w:szCs w:val="24"/>
          <w:lang w:eastAsia="en-US"/>
        </w:rPr>
        <w:t>Mód</w:t>
      </w:r>
      <w:r w:rsidRPr="00DC67EB">
        <w:rPr>
          <w:b/>
          <w:szCs w:val="24"/>
          <w:lang w:val="es-ES" w:eastAsia="en-US"/>
        </w:rPr>
        <w:t>. 112]</w:t>
      </w:r>
    </w:p>
    <w:p w14:paraId="7A045FE7" w14:textId="77777777" w:rsidR="001D30D4" w:rsidRPr="00DC67EB" w:rsidRDefault="001D30D4" w:rsidP="001D30D4">
      <w:pPr>
        <w:spacing w:before="120" w:after="120" w:line="360" w:lineRule="auto"/>
        <w:ind w:left="1982"/>
        <w:rPr>
          <w:szCs w:val="24"/>
          <w:lang w:val="es-ES" w:eastAsia="en-US"/>
        </w:rPr>
      </w:pPr>
      <w:r w:rsidRPr="00DC67EB">
        <w:rPr>
          <w:szCs w:val="24"/>
          <w:lang w:val="es-ES" w:eastAsia="en-US"/>
        </w:rPr>
        <w:t>A frissített nyilvántartásokban szereplő értékek megállapítására vonatkozó referencia-időszak az első albekezdésben említett elemzések elkészítésére kitűzött évet megelőző év.</w:t>
      </w:r>
    </w:p>
    <w:p w14:paraId="14E01D87" w14:textId="77777777" w:rsidR="001D30D4" w:rsidRPr="00DC67EB" w:rsidRDefault="001D30D4" w:rsidP="001D30D4">
      <w:pPr>
        <w:spacing w:before="120" w:after="120" w:line="360" w:lineRule="auto"/>
        <w:ind w:left="1982"/>
        <w:rPr>
          <w:b/>
          <w:szCs w:val="24"/>
          <w:lang w:val="es-ES" w:eastAsia="en-US"/>
        </w:rPr>
      </w:pPr>
      <w:r w:rsidRPr="00DC67EB">
        <w:rPr>
          <w:strike/>
          <w:szCs w:val="24"/>
          <w:lang w:val="es-ES" w:eastAsia="en-US"/>
        </w:rPr>
        <w:br w:type="page"/>
      </w:r>
      <w:r w:rsidRPr="00DC67EB">
        <w:rPr>
          <w:strike/>
          <w:szCs w:val="24"/>
          <w:lang w:val="es-ES" w:eastAsia="en-US"/>
        </w:rPr>
        <w:lastRenderedPageBreak/>
        <w:t>Az 1107/2009/EK rendelet által szabályozott elsőbbségi anyagok vagy szennyező anyagok tekintetében az adatokat az első albekezdésben említett elemzés elkészítését megelőző három év átlagában is lehet számolni.</w:t>
      </w:r>
      <w:r w:rsidR="00EA1FAD" w:rsidRPr="00DC67EB">
        <w:rPr>
          <w:b/>
          <w:strike/>
          <w:szCs w:val="24"/>
          <w:lang w:val="es-ES" w:eastAsia="en-US"/>
        </w:rPr>
        <w:t xml:space="preserve"> </w:t>
      </w:r>
      <w:r w:rsidR="00EA1FAD" w:rsidRPr="00DC67EB">
        <w:rPr>
          <w:b/>
          <w:szCs w:val="24"/>
          <w:lang w:val="es-ES" w:eastAsia="en-US"/>
        </w:rPr>
        <w:t>[Mód. 113]</w:t>
      </w:r>
    </w:p>
    <w:p w14:paraId="74D97A37" w14:textId="77777777" w:rsidR="001D30D4" w:rsidRPr="00DC67EB" w:rsidRDefault="001D30D4" w:rsidP="001D30D4">
      <w:pPr>
        <w:spacing w:before="120" w:after="120" w:line="360" w:lineRule="auto"/>
        <w:ind w:left="1982"/>
        <w:rPr>
          <w:szCs w:val="24"/>
          <w:lang w:val="es-ES" w:eastAsia="en-US"/>
        </w:rPr>
      </w:pPr>
      <w:r w:rsidRPr="00DC67EB">
        <w:rPr>
          <w:szCs w:val="24"/>
          <w:lang w:val="es-ES" w:eastAsia="en-US"/>
        </w:rPr>
        <w:t>Az (EU) .../... rendeletnek+++ megfelelően amiatt be nem jelentett pontszerű kibocsátások esetében, mert azok vagy nem tartoznak az említett rendelet hatálya alá, vagy mert nem érik el az említett rendeletben meghatározott éves jelentéstételi küszöbértékeket, az e cikk első albekezdésében meghatározott jelentéstételi kötelezettséget az említett rendelet alapján létrehozott ipari kibocsátási portálra történő elektronikus jelentéstétellel kell teljesíteni.</w:t>
      </w:r>
    </w:p>
    <w:p w14:paraId="56327655" w14:textId="77777777" w:rsidR="001D30D4" w:rsidRPr="00DC67EB" w:rsidRDefault="001D30D4" w:rsidP="001D30D4">
      <w:pPr>
        <w:spacing w:before="120" w:after="120" w:line="360" w:lineRule="auto"/>
        <w:ind w:left="1982"/>
        <w:rPr>
          <w:szCs w:val="24"/>
          <w:lang w:val="es-ES" w:eastAsia="en-US"/>
        </w:rPr>
      </w:pPr>
      <w:r w:rsidRPr="00DC67EB">
        <w:rPr>
          <w:szCs w:val="24"/>
          <w:lang w:val="es-ES" w:eastAsia="en-US"/>
        </w:rPr>
        <w:t>A Bizottság az Európai Környezetvédelmi Ügynökség segítségével végrehajtási jogi aktust fogad el, amelyben meghatározza a negyedik albekezdésben említett jelentéstétel formátumát, részletességét és gyakoriságát. Ezt a végrehajtási jogi aktust a 9. cikk (2) bekezdésében említett vizsgálóbizottsági eljárás keretében kell elfogadni.;”</w:t>
      </w:r>
    </w:p>
    <w:p w14:paraId="68F27983" w14:textId="77777777" w:rsidR="001D30D4" w:rsidRPr="00DC67EB" w:rsidRDefault="001D30D4" w:rsidP="001D30D4">
      <w:pPr>
        <w:spacing w:before="120" w:after="120" w:line="360" w:lineRule="auto"/>
        <w:ind w:left="1416" w:hanging="566"/>
        <w:rPr>
          <w:szCs w:val="24"/>
          <w:lang w:val="sv-SE" w:eastAsia="en-US"/>
        </w:rPr>
      </w:pPr>
      <w:r w:rsidRPr="00DC67EB">
        <w:rPr>
          <w:szCs w:val="24"/>
          <w:lang w:val="sv-SE" w:eastAsia="en-US"/>
        </w:rPr>
        <w:t>d)</w:t>
      </w:r>
      <w:r w:rsidRPr="00DC67EB">
        <w:rPr>
          <w:szCs w:val="24"/>
          <w:lang w:val="sv-SE" w:eastAsia="en-US"/>
        </w:rPr>
        <w:tab/>
        <w:t>az (5) bekezdést el kell hagyni.</w:t>
      </w:r>
    </w:p>
    <w:p w14:paraId="392C803D" w14:textId="77777777" w:rsidR="001D30D4" w:rsidRPr="00DC67EB" w:rsidRDefault="001D30D4" w:rsidP="001D30D4">
      <w:pPr>
        <w:spacing w:before="120" w:after="120" w:line="360" w:lineRule="auto"/>
        <w:ind w:left="850" w:hanging="850"/>
        <w:rPr>
          <w:szCs w:val="24"/>
          <w:lang w:val="sv-SE" w:eastAsia="en-US"/>
        </w:rPr>
      </w:pPr>
      <w:r w:rsidRPr="00DC67EB">
        <w:rPr>
          <w:szCs w:val="24"/>
          <w:lang w:val="sv-SE" w:eastAsia="en-US"/>
        </w:rPr>
        <w:br w:type="page"/>
      </w:r>
      <w:r w:rsidRPr="00DC67EB">
        <w:rPr>
          <w:szCs w:val="24"/>
          <w:lang w:val="sv-SE" w:eastAsia="en-US"/>
        </w:rPr>
        <w:lastRenderedPageBreak/>
        <w:t>4.</w:t>
      </w:r>
      <w:r w:rsidRPr="00DC67EB">
        <w:rPr>
          <w:szCs w:val="24"/>
          <w:lang w:val="sv-SE" w:eastAsia="en-US"/>
        </w:rPr>
        <w:tab/>
        <w:t>A 7a. cikk (1) bekezdésének első albekezdése helyébe a következő szöveg lép:</w:t>
      </w:r>
    </w:p>
    <w:p w14:paraId="7B408257" w14:textId="77777777" w:rsidR="001D30D4" w:rsidRPr="00DC67EB" w:rsidRDefault="001D30D4" w:rsidP="001D30D4">
      <w:pPr>
        <w:spacing w:before="120" w:after="120" w:line="360" w:lineRule="auto"/>
        <w:ind w:left="1416" w:hanging="566"/>
        <w:rPr>
          <w:b/>
          <w:szCs w:val="24"/>
          <w:lang w:val="sv-SE" w:eastAsia="en-US"/>
        </w:rPr>
      </w:pPr>
      <w:r w:rsidRPr="00DC67EB">
        <w:rPr>
          <w:szCs w:val="24"/>
          <w:lang w:val="sv-SE" w:eastAsia="en-US"/>
        </w:rPr>
        <w:t>„</w:t>
      </w:r>
      <w:r w:rsidRPr="00DC67EB">
        <w:rPr>
          <w:strike/>
          <w:szCs w:val="24"/>
          <w:lang w:val="sv-SE" w:eastAsia="en-US"/>
        </w:rPr>
        <w:t>(1)</w:t>
      </w:r>
      <w:r w:rsidRPr="00DC67EB">
        <w:rPr>
          <w:b/>
          <w:i/>
          <w:szCs w:val="24"/>
          <w:lang w:val="sv-SE" w:eastAsia="en-US"/>
        </w:rPr>
        <w:t>1.</w:t>
      </w:r>
      <w:r w:rsidRPr="00DC67EB">
        <w:rPr>
          <w:szCs w:val="24"/>
          <w:lang w:val="sv-SE" w:eastAsia="en-US"/>
        </w:rPr>
        <w:tab/>
        <w:t>Az 1907/2006/EK rendelet, az 1107/2009/EK rendelet, az 528/2012/EU rendelet, az (EU) 2019/6 európai parlamenti és tanácsi rendelet* vagy a 2001/83/EK európai parlamenti és tanácsi irányelv**, a 2009/128/EK európai parlamenti és tanácsi irányelv*** vagy a 2010/75/EU irányelv hatálya alá tartozó elsőbbségi anyagok tekintetében a Bizottság – a 2000/60/EK irányelv 18. cikkének (1) bekezdésében említett jelentés keretében – értékeli, hogy az uniós és a tagállami szinten meglévő intézkedések elegendőek-e ahhoz, hogy az elsőbbségi anyagok vonatkozásában el lehessen érni a környezetminőségi előírásokat, illetve az egyes elsőbbségi veszélyes anyagok bevezetésére, kibocsátására és veszteségére vonatkozó megszüntetési vagy fokozatos kivezetési célkitűzést a 2000/60/EK irányelv 4. cikke (1) bekezdése a) pontjának megfelelően.</w:t>
      </w:r>
      <w:r w:rsidRPr="00DC67EB">
        <w:rPr>
          <w:b/>
          <w:szCs w:val="24"/>
          <w:lang w:val="sv-SE" w:eastAsia="en-US"/>
        </w:rPr>
        <w:t xml:space="preserve"> [</w:t>
      </w:r>
      <w:r w:rsidR="00EA1FAD" w:rsidRPr="00DC67EB">
        <w:rPr>
          <w:b/>
          <w:szCs w:val="24"/>
          <w:lang w:eastAsia="en-US"/>
        </w:rPr>
        <w:t>Mód</w:t>
      </w:r>
      <w:r w:rsidRPr="00DC67EB">
        <w:rPr>
          <w:b/>
          <w:szCs w:val="24"/>
          <w:lang w:val="sv-SE" w:eastAsia="en-US"/>
        </w:rPr>
        <w:t>. 114]</w:t>
      </w:r>
    </w:p>
    <w:p w14:paraId="74D5502B" w14:textId="77777777" w:rsidR="001D30D4" w:rsidRPr="00DC67EB" w:rsidRDefault="001D30D4" w:rsidP="001D30D4">
      <w:pPr>
        <w:spacing w:before="120" w:after="120" w:line="360" w:lineRule="auto"/>
        <w:ind w:left="1416"/>
        <w:rPr>
          <w:b/>
          <w:szCs w:val="24"/>
          <w:lang w:val="sv-SE" w:eastAsia="en-US"/>
        </w:rPr>
      </w:pPr>
      <w:r w:rsidRPr="00DC67EB">
        <w:rPr>
          <w:b/>
          <w:i/>
          <w:szCs w:val="24"/>
          <w:lang w:val="sv-SE" w:eastAsia="en-US"/>
        </w:rPr>
        <w:t>A meghozandó intézkedések fontossági sorrendjében prioritásként kell kezelni a korlátozásokat és más, a forrásnál történő ellenőrzésre irányuló intézkedéseket. E tekintetben a Bizottság adott esetben az uniós jogi aktusok módosítására irányuló javaslatokat terjeszt elő annak biztosítása érdekében, hogy már a forrásnál megszüntessék az elsőbbségi anyagok bevezetéseit, kibocsátásait és veszteségeit.</w:t>
      </w:r>
      <w:r w:rsidRPr="00DC67EB">
        <w:rPr>
          <w:b/>
          <w:szCs w:val="24"/>
          <w:lang w:val="sv-SE" w:eastAsia="en-US"/>
        </w:rPr>
        <w:t xml:space="preserve"> [</w:t>
      </w:r>
      <w:r w:rsidR="00EA1FAD" w:rsidRPr="00DC67EB">
        <w:rPr>
          <w:b/>
          <w:szCs w:val="24"/>
          <w:lang w:eastAsia="en-US"/>
        </w:rPr>
        <w:t>Mód</w:t>
      </w:r>
      <w:r w:rsidRPr="00DC67EB">
        <w:rPr>
          <w:b/>
          <w:szCs w:val="24"/>
          <w:lang w:val="sv-SE" w:eastAsia="en-US"/>
        </w:rPr>
        <w:t>. 115]</w:t>
      </w:r>
    </w:p>
    <w:p w14:paraId="36717889" w14:textId="77777777" w:rsidR="001D30D4" w:rsidRPr="00DC67EB" w:rsidRDefault="001D30D4" w:rsidP="001D30D4">
      <w:pPr>
        <w:spacing w:before="120" w:after="120" w:line="360" w:lineRule="auto"/>
        <w:ind w:left="850"/>
        <w:rPr>
          <w:szCs w:val="24"/>
          <w:lang w:val="sv-SE" w:eastAsia="en-US"/>
        </w:rPr>
      </w:pPr>
      <w:r w:rsidRPr="00DC67EB">
        <w:rPr>
          <w:szCs w:val="24"/>
          <w:lang w:val="sv-SE" w:eastAsia="en-US"/>
        </w:rPr>
        <w:br w:type="page"/>
      </w:r>
      <w:r w:rsidRPr="00DC67EB">
        <w:rPr>
          <w:szCs w:val="24"/>
          <w:lang w:val="sv-SE" w:eastAsia="en-US"/>
        </w:rPr>
        <w:lastRenderedPageBreak/>
        <w:t>* Az Európai Parlament és a Tanács (EU) 2019/6 rendelete (2018. december 11.) az állatgyógyászati készítményekről és a 2001/82/EK irányelv hatályon kívül helyezéséről (HL L 4., 2019.1.7., 43. o.).</w:t>
      </w:r>
    </w:p>
    <w:p w14:paraId="3A29DD70" w14:textId="77777777" w:rsidR="001D30D4" w:rsidRPr="00DC67EB" w:rsidRDefault="001D30D4" w:rsidP="001D30D4">
      <w:pPr>
        <w:spacing w:before="120" w:after="120" w:line="360" w:lineRule="auto"/>
        <w:ind w:left="850"/>
        <w:rPr>
          <w:szCs w:val="24"/>
          <w:lang w:val="sv-SE" w:eastAsia="en-US"/>
        </w:rPr>
      </w:pPr>
      <w:r w:rsidRPr="00DC67EB">
        <w:rPr>
          <w:szCs w:val="24"/>
          <w:lang w:val="sv-SE" w:eastAsia="en-US"/>
        </w:rPr>
        <w:t>** Az Európai Parlament és a Tanács 2001/83/EK irányelve (2001. november 6.) az emberi felhasználásra szánt gyógyszerek közösségi kódexéről (HL L 311., 2001.11.28., 67. o.).</w:t>
      </w:r>
    </w:p>
    <w:p w14:paraId="7320D7F8" w14:textId="77777777" w:rsidR="001D30D4" w:rsidRPr="00DC67EB" w:rsidRDefault="001D30D4" w:rsidP="001D30D4">
      <w:pPr>
        <w:spacing w:before="120" w:after="120" w:line="360" w:lineRule="auto"/>
        <w:ind w:left="850"/>
        <w:rPr>
          <w:szCs w:val="24"/>
          <w:lang w:val="sv-SE" w:eastAsia="en-US"/>
        </w:rPr>
      </w:pPr>
      <w:r w:rsidRPr="00DC67EB">
        <w:rPr>
          <w:szCs w:val="24"/>
          <w:lang w:val="sv-SE" w:eastAsia="en-US"/>
        </w:rPr>
        <w:t>*** Az Európai Parlament és a Tanács 2009/128/EK irányelve (2009. október 21.) a peszticidek fenntartható használatának elérését célzó közösségi fellépés kereteinek meghatározásáról (HL L 309., 2009.11.24., 71. o.).”</w:t>
      </w:r>
    </w:p>
    <w:p w14:paraId="4E0A2D78" w14:textId="77777777" w:rsidR="001D30D4" w:rsidRPr="00DC67EB" w:rsidRDefault="001D30D4" w:rsidP="001D30D4">
      <w:pPr>
        <w:spacing w:before="120" w:after="120" w:line="360" w:lineRule="auto"/>
        <w:ind w:left="850" w:hanging="850"/>
        <w:rPr>
          <w:szCs w:val="24"/>
          <w:lang w:val="sv-SE" w:eastAsia="en-US"/>
        </w:rPr>
      </w:pPr>
      <w:r w:rsidRPr="00DC67EB">
        <w:rPr>
          <w:b/>
          <w:i/>
          <w:szCs w:val="24"/>
          <w:lang w:val="sv-SE" w:eastAsia="en-US"/>
        </w:rPr>
        <w:t>4a.</w:t>
      </w:r>
      <w:r w:rsidRPr="00DC67EB">
        <w:rPr>
          <w:szCs w:val="24"/>
          <w:lang w:val="sv-SE" w:eastAsia="en-US"/>
        </w:rPr>
        <w:tab/>
      </w:r>
      <w:r w:rsidRPr="00DC67EB">
        <w:rPr>
          <w:b/>
          <w:i/>
          <w:szCs w:val="24"/>
          <w:lang w:val="sv-SE" w:eastAsia="en-US"/>
        </w:rPr>
        <w:t>A 7a. cikk (2) bekezdésének helyébe a következő szöveg lép:</w:t>
      </w:r>
    </w:p>
    <w:p w14:paraId="777F2F7B" w14:textId="77777777" w:rsidR="001D30D4" w:rsidRPr="00DC67EB" w:rsidRDefault="001D30D4" w:rsidP="001D30D4">
      <w:pPr>
        <w:spacing w:before="120" w:after="120" w:line="360" w:lineRule="auto"/>
        <w:ind w:left="1416" w:hanging="566"/>
        <w:rPr>
          <w:b/>
          <w:szCs w:val="24"/>
          <w:lang w:val="sv-SE" w:eastAsia="en-US"/>
        </w:rPr>
      </w:pPr>
      <w:r w:rsidRPr="00DC67EB">
        <w:rPr>
          <w:b/>
          <w:i/>
          <w:szCs w:val="24"/>
          <w:lang w:val="sv-SE" w:eastAsia="en-US"/>
        </w:rPr>
        <w:t>„(2)</w:t>
      </w:r>
      <w:r w:rsidRPr="00DC67EB">
        <w:rPr>
          <w:b/>
          <w:i/>
          <w:szCs w:val="24"/>
          <w:lang w:val="sv-SE" w:eastAsia="en-US"/>
        </w:rPr>
        <w:tab/>
        <w:t>A Bizottság legkésőbb az értékeléstől számított hat hónapon belül jelentést tesz az Európai Parlamentnek és a Tanácsnak az e cikk (1) bekezdésében említett értékelés eredményéről, és e jelentéshez csatolja a szükséges javaslatokat, az ellenőrzési intézkedésekre irányuló javaslatokat is beleértve.“</w:t>
      </w:r>
      <w:r w:rsidRPr="00DC67EB">
        <w:rPr>
          <w:b/>
          <w:szCs w:val="24"/>
          <w:lang w:val="sv-SE" w:eastAsia="en-US"/>
        </w:rPr>
        <w:t xml:space="preserve"> [</w:t>
      </w:r>
      <w:r w:rsidR="00EA1FAD" w:rsidRPr="00DC67EB">
        <w:rPr>
          <w:b/>
          <w:szCs w:val="24"/>
          <w:lang w:eastAsia="en-US"/>
        </w:rPr>
        <w:t>Mód</w:t>
      </w:r>
      <w:r w:rsidRPr="00DC67EB">
        <w:rPr>
          <w:b/>
          <w:szCs w:val="24"/>
          <w:lang w:val="sv-SE" w:eastAsia="en-US"/>
        </w:rPr>
        <w:t>. 116]</w:t>
      </w:r>
    </w:p>
    <w:p w14:paraId="654D682F" w14:textId="77777777" w:rsidR="001D30D4" w:rsidRPr="00DC67EB" w:rsidRDefault="001D30D4" w:rsidP="001D30D4">
      <w:pPr>
        <w:spacing w:before="120" w:after="120" w:line="360" w:lineRule="auto"/>
        <w:ind w:left="850" w:hanging="850"/>
        <w:rPr>
          <w:szCs w:val="24"/>
          <w:lang w:val="sv-SE" w:eastAsia="en-US"/>
        </w:rPr>
      </w:pPr>
      <w:r w:rsidRPr="00DC67EB">
        <w:rPr>
          <w:szCs w:val="24"/>
          <w:lang w:val="sv-SE" w:eastAsia="en-US"/>
        </w:rPr>
        <w:br w:type="page"/>
      </w:r>
      <w:r w:rsidRPr="00DC67EB">
        <w:rPr>
          <w:szCs w:val="24"/>
          <w:lang w:val="sv-SE" w:eastAsia="en-US"/>
        </w:rPr>
        <w:lastRenderedPageBreak/>
        <w:t>5.</w:t>
      </w:r>
      <w:r w:rsidRPr="00DC67EB">
        <w:rPr>
          <w:szCs w:val="24"/>
          <w:lang w:val="sv-SE" w:eastAsia="en-US"/>
        </w:rPr>
        <w:tab/>
        <w:t>A 8. cikk helyébe a következő szöveg lép:</w:t>
      </w:r>
    </w:p>
    <w:p w14:paraId="65A2BF7E" w14:textId="77777777" w:rsidR="001D30D4" w:rsidRPr="00DC67EB" w:rsidRDefault="001D30D4" w:rsidP="001D30D4">
      <w:pPr>
        <w:spacing w:before="120" w:after="120" w:line="360" w:lineRule="auto"/>
        <w:ind w:left="850"/>
        <w:rPr>
          <w:szCs w:val="24"/>
          <w:lang w:val="sv-SE" w:eastAsia="en-US"/>
        </w:rPr>
      </w:pPr>
      <w:r w:rsidRPr="00DC67EB">
        <w:rPr>
          <w:szCs w:val="24"/>
          <w:lang w:val="sv-SE" w:eastAsia="en-US"/>
        </w:rPr>
        <w:t>„8. cikk</w:t>
      </w:r>
    </w:p>
    <w:p w14:paraId="2F993E9C" w14:textId="77777777" w:rsidR="001D30D4" w:rsidRPr="00DC67EB" w:rsidRDefault="001D30D4" w:rsidP="001D30D4">
      <w:pPr>
        <w:spacing w:before="120" w:after="120" w:line="360" w:lineRule="auto"/>
        <w:ind w:left="850"/>
        <w:rPr>
          <w:szCs w:val="24"/>
          <w:lang w:val="sv-SE" w:eastAsia="en-US"/>
        </w:rPr>
      </w:pPr>
      <w:r w:rsidRPr="00DC67EB">
        <w:rPr>
          <w:szCs w:val="24"/>
          <w:lang w:val="sv-SE" w:eastAsia="en-US"/>
        </w:rPr>
        <w:t>Az I–II. melléklet felülvizsgálata</w:t>
      </w:r>
    </w:p>
    <w:p w14:paraId="2503A77D" w14:textId="77777777" w:rsidR="001D30D4" w:rsidRPr="00DC67EB" w:rsidRDefault="001D30D4" w:rsidP="001D30D4">
      <w:pPr>
        <w:spacing w:before="120" w:after="120" w:line="360" w:lineRule="auto"/>
        <w:ind w:left="1416" w:hanging="566"/>
        <w:rPr>
          <w:b/>
          <w:szCs w:val="24"/>
          <w:lang w:val="sv-SE" w:eastAsia="en-US"/>
        </w:rPr>
      </w:pPr>
      <w:r w:rsidRPr="00DC67EB">
        <w:rPr>
          <w:szCs w:val="24"/>
          <w:lang w:val="sv-SE" w:eastAsia="en-US"/>
        </w:rPr>
        <w:t>(1)</w:t>
      </w:r>
      <w:r w:rsidRPr="00DC67EB">
        <w:rPr>
          <w:szCs w:val="24"/>
          <w:lang w:val="sv-SE" w:eastAsia="en-US"/>
        </w:rPr>
        <w:tab/>
        <w:t xml:space="preserve">A Bizottság első alkalommal [Kiadóhivatal: kérjük, illesszék be az ezen irányelv hatálybalépését </w:t>
      </w:r>
      <w:r w:rsidRPr="00DC67EB">
        <w:rPr>
          <w:strike/>
          <w:szCs w:val="24"/>
          <w:lang w:val="sv-SE" w:eastAsia="en-US"/>
        </w:rPr>
        <w:t>hat</w:t>
      </w:r>
      <w:r w:rsidRPr="00DC67EB">
        <w:rPr>
          <w:b/>
          <w:i/>
          <w:szCs w:val="24"/>
          <w:lang w:val="sv-SE" w:eastAsia="en-US"/>
        </w:rPr>
        <w:t>négy</w:t>
      </w:r>
      <w:r w:rsidRPr="00DC67EB">
        <w:rPr>
          <w:szCs w:val="24"/>
          <w:lang w:val="sv-SE" w:eastAsia="en-US"/>
        </w:rPr>
        <w:t xml:space="preserve"> évvel követő dátumot]-ig és azt követően </w:t>
      </w:r>
      <w:r w:rsidRPr="00DC67EB">
        <w:rPr>
          <w:strike/>
          <w:szCs w:val="24"/>
          <w:lang w:val="sv-SE" w:eastAsia="en-US"/>
        </w:rPr>
        <w:t>hatévente</w:t>
      </w:r>
      <w:r w:rsidRPr="00DC67EB">
        <w:rPr>
          <w:b/>
          <w:i/>
          <w:szCs w:val="24"/>
          <w:lang w:val="sv-SE" w:eastAsia="en-US"/>
        </w:rPr>
        <w:t>négyévente</w:t>
      </w:r>
      <w:r w:rsidRPr="00DC67EB">
        <w:rPr>
          <w:szCs w:val="24"/>
          <w:lang w:val="sv-SE" w:eastAsia="en-US"/>
        </w:rPr>
        <w:t xml:space="preserve"> felülvizsgálja az I. melléklet A. részében meghatározott elsőbbségi anyagok jegyzékét és a hozzájuk tartozó környezetminőségi előírásokat, valamint a II. melléklet A. részében meghatározott szennyező anyagok jegyzékét.</w:t>
      </w:r>
      <w:r w:rsidRPr="00DC67EB">
        <w:rPr>
          <w:b/>
          <w:szCs w:val="24"/>
          <w:lang w:val="sv-SE" w:eastAsia="en-US"/>
        </w:rPr>
        <w:t xml:space="preserve"> [</w:t>
      </w:r>
      <w:r w:rsidR="00EA1FAD" w:rsidRPr="00DC67EB">
        <w:rPr>
          <w:b/>
          <w:szCs w:val="24"/>
          <w:lang w:eastAsia="en-US"/>
        </w:rPr>
        <w:t>Mód</w:t>
      </w:r>
      <w:r w:rsidRPr="00DC67EB">
        <w:rPr>
          <w:b/>
          <w:szCs w:val="24"/>
          <w:lang w:val="sv-SE" w:eastAsia="en-US"/>
        </w:rPr>
        <w:t>. 117]</w:t>
      </w:r>
    </w:p>
    <w:p w14:paraId="183D1E76" w14:textId="77777777" w:rsidR="001D30D4" w:rsidRPr="00DC67EB" w:rsidRDefault="001D30D4" w:rsidP="001D30D4">
      <w:pPr>
        <w:spacing w:before="120" w:after="120" w:line="360" w:lineRule="auto"/>
        <w:ind w:left="1416" w:hanging="566"/>
        <w:rPr>
          <w:b/>
          <w:szCs w:val="24"/>
          <w:lang w:val="sv-SE" w:eastAsia="en-US"/>
        </w:rPr>
      </w:pPr>
      <w:r w:rsidRPr="00DC67EB">
        <w:rPr>
          <w:szCs w:val="24"/>
          <w:lang w:val="sv-SE" w:eastAsia="en-US"/>
        </w:rPr>
        <w:t>(2)</w:t>
      </w:r>
      <w:r w:rsidRPr="00DC67EB">
        <w:rPr>
          <w:szCs w:val="24"/>
          <w:lang w:val="sv-SE" w:eastAsia="en-US"/>
        </w:rPr>
        <w:tab/>
      </w:r>
      <w:r w:rsidRPr="00DC67EB">
        <w:rPr>
          <w:b/>
          <w:i/>
          <w:szCs w:val="24"/>
          <w:lang w:val="sv-SE" w:eastAsia="en-US"/>
        </w:rPr>
        <w:t xml:space="preserve">A felülvizsgálat alapján </w:t>
      </w:r>
      <w:r w:rsidRPr="00DC67EB">
        <w:rPr>
          <w:szCs w:val="24"/>
          <w:lang w:val="sv-SE" w:eastAsia="en-US"/>
        </w:rPr>
        <w:t>a Bizottság</w:t>
      </w:r>
      <w:r w:rsidRPr="00DC67EB">
        <w:rPr>
          <w:strike/>
          <w:szCs w:val="24"/>
          <w:lang w:val="sv-SE" w:eastAsia="en-US"/>
        </w:rPr>
        <w:t xml:space="preserve"> felhatalmazást kap arra, hogy</w:t>
      </w:r>
      <w:r w:rsidRPr="00DC67EB">
        <w:rPr>
          <w:szCs w:val="24"/>
          <w:lang w:val="sv-SE" w:eastAsia="en-US"/>
        </w:rPr>
        <w:t xml:space="preserve"> az Európai Vegyianyag-ügynökség (ECHA) által az e cikk (6) bekezdésének megfelelően készített tudományos jelentésekre tekintettel </w:t>
      </w:r>
      <w:r w:rsidRPr="00DC67EB">
        <w:rPr>
          <w:strike/>
          <w:szCs w:val="24"/>
          <w:lang w:val="sv-SE" w:eastAsia="en-US"/>
        </w:rPr>
        <w:t>a 9a. cikknek megfelelően felhatalmazáson alapuló jogi aktusok elfogadásával</w:t>
      </w:r>
      <w:r w:rsidRPr="00DC67EB">
        <w:rPr>
          <w:b/>
          <w:i/>
          <w:szCs w:val="24"/>
          <w:lang w:val="sv-SE" w:eastAsia="en-US"/>
        </w:rPr>
        <w:t>adott esetben jogalkotási javaslatokat terjeszt elő, hogy</w:t>
      </w:r>
      <w:r w:rsidRPr="00DC67EB">
        <w:rPr>
          <w:szCs w:val="24"/>
          <w:lang w:val="sv-SE" w:eastAsia="en-US"/>
        </w:rPr>
        <w:t xml:space="preserve"> módosítsa az I. mellékletet a tudományos és technológiai fejlődéshez való hozzáigazítás céljából, az alábbiak révén:</w:t>
      </w:r>
      <w:r w:rsidRPr="00DC67EB">
        <w:rPr>
          <w:b/>
          <w:szCs w:val="24"/>
          <w:lang w:val="sv-SE" w:eastAsia="en-US"/>
        </w:rPr>
        <w:t xml:space="preserve"> [</w:t>
      </w:r>
      <w:r w:rsidR="00EA1FAD" w:rsidRPr="00DC67EB">
        <w:rPr>
          <w:b/>
          <w:szCs w:val="24"/>
          <w:lang w:eastAsia="en-US"/>
        </w:rPr>
        <w:t>Mód</w:t>
      </w:r>
      <w:r w:rsidRPr="00DC67EB">
        <w:rPr>
          <w:b/>
          <w:szCs w:val="24"/>
          <w:lang w:val="sv-SE" w:eastAsia="en-US"/>
        </w:rPr>
        <w:t>. 118]</w:t>
      </w:r>
    </w:p>
    <w:p w14:paraId="7BC6433F" w14:textId="77777777" w:rsidR="001D30D4" w:rsidRPr="00DC67EB" w:rsidRDefault="001D30D4" w:rsidP="001D30D4">
      <w:pPr>
        <w:spacing w:before="120" w:after="120" w:line="360" w:lineRule="auto"/>
        <w:ind w:left="1982" w:hanging="566"/>
        <w:rPr>
          <w:szCs w:val="24"/>
          <w:lang w:val="sv-SE" w:eastAsia="en-US"/>
        </w:rPr>
      </w:pPr>
      <w:r w:rsidRPr="00DC67EB">
        <w:rPr>
          <w:szCs w:val="24"/>
          <w:lang w:val="sv-SE" w:eastAsia="en-US"/>
        </w:rPr>
        <w:br w:type="page"/>
      </w:r>
      <w:r w:rsidRPr="00DC67EB">
        <w:rPr>
          <w:szCs w:val="24"/>
          <w:lang w:val="sv-SE" w:eastAsia="en-US"/>
        </w:rPr>
        <w:lastRenderedPageBreak/>
        <w:t>a)</w:t>
      </w:r>
      <w:r w:rsidRPr="00DC67EB">
        <w:rPr>
          <w:szCs w:val="24"/>
          <w:lang w:val="sv-SE" w:eastAsia="en-US"/>
        </w:rPr>
        <w:tab/>
        <w:t>anyagok felvétele az elsőbbségi anyagok jegyzékébe, illetve onnan való törlése;</w:t>
      </w:r>
    </w:p>
    <w:p w14:paraId="000EB270" w14:textId="77777777" w:rsidR="001D30D4" w:rsidRPr="00DC67EB" w:rsidRDefault="001D30D4" w:rsidP="001D30D4">
      <w:pPr>
        <w:spacing w:before="120" w:after="120" w:line="360" w:lineRule="auto"/>
        <w:ind w:left="1982" w:hanging="566"/>
        <w:rPr>
          <w:szCs w:val="24"/>
          <w:lang w:val="sv-SE" w:eastAsia="en-US"/>
        </w:rPr>
      </w:pPr>
      <w:r w:rsidRPr="00DC67EB">
        <w:rPr>
          <w:szCs w:val="24"/>
          <w:lang w:val="sv-SE" w:eastAsia="en-US"/>
        </w:rPr>
        <w:t>b)</w:t>
      </w:r>
      <w:r w:rsidRPr="00DC67EB">
        <w:rPr>
          <w:szCs w:val="24"/>
          <w:lang w:val="sv-SE" w:eastAsia="en-US"/>
        </w:rPr>
        <w:tab/>
        <w:t>a kiválasztott anyagok elsőbbségi veszélyes anyagként és/vagy mindenütt előforduló perzisztens, bioakkumulatív és toxikus anyagént (PBT) és/vagy az üledékben és/vagy a biótában jellemzően felhalmozódó anyagként való megjelölése az említett jegyzékben, illetve a megjelölés visszavonása;</w:t>
      </w:r>
    </w:p>
    <w:p w14:paraId="4EE0318D" w14:textId="77777777" w:rsidR="001D30D4" w:rsidRPr="00DC67EB" w:rsidRDefault="001D30D4" w:rsidP="001D30D4">
      <w:pPr>
        <w:spacing w:before="120" w:after="120" w:line="360" w:lineRule="auto"/>
        <w:ind w:left="1982" w:hanging="566"/>
        <w:rPr>
          <w:szCs w:val="24"/>
          <w:lang w:val="sv-SE" w:eastAsia="en-US"/>
        </w:rPr>
      </w:pPr>
      <w:r w:rsidRPr="00DC67EB">
        <w:rPr>
          <w:szCs w:val="24"/>
          <w:lang w:val="sv-SE" w:eastAsia="en-US"/>
        </w:rPr>
        <w:t>c)</w:t>
      </w:r>
      <w:r w:rsidRPr="00DC67EB">
        <w:rPr>
          <w:szCs w:val="24"/>
          <w:lang w:val="sv-SE" w:eastAsia="en-US"/>
        </w:rPr>
        <w:tab/>
        <w:t>adott esetben a felszíni vizekre, az üledékre vagy a biótára vonatkozó kapcsolódó környezetminőségi előírások meghatározása.</w:t>
      </w:r>
    </w:p>
    <w:p w14:paraId="09D9D747" w14:textId="77777777" w:rsidR="001D30D4" w:rsidRPr="00DC67EB" w:rsidRDefault="001D30D4" w:rsidP="001D30D4">
      <w:pPr>
        <w:spacing w:before="120" w:after="120" w:line="360" w:lineRule="auto"/>
        <w:ind w:left="1416" w:hanging="566"/>
        <w:rPr>
          <w:szCs w:val="24"/>
          <w:lang w:val="sv-SE" w:eastAsia="en-US"/>
        </w:rPr>
      </w:pPr>
      <w:r w:rsidRPr="00DC67EB">
        <w:rPr>
          <w:szCs w:val="24"/>
          <w:lang w:val="sv-SE" w:eastAsia="en-US"/>
        </w:rPr>
        <w:t>(3)</w:t>
      </w:r>
      <w:r w:rsidRPr="00DC67EB">
        <w:rPr>
          <w:szCs w:val="24"/>
          <w:lang w:val="sv-SE" w:eastAsia="en-US"/>
        </w:rPr>
        <w:tab/>
        <w:t>A Bizottság felhatalmazást kap arra, hogy az Európai Vegyianyag-ügynökség (ECHA) e cikk (6) bekezdésének megfelelően készített tudományos jelentéseire tekintettel a 9a. cikknek megfelelően felhatalmazáson alapuló jogi aktusok elfogadásával módosítsa a II. mellékletet a tudományos és technológiai fejlődéshez való hozzáigazítás céljából, az alábbiak révén:</w:t>
      </w:r>
    </w:p>
    <w:p w14:paraId="052472DF" w14:textId="77777777" w:rsidR="001D30D4" w:rsidRPr="00DC67EB" w:rsidRDefault="001D30D4" w:rsidP="001D30D4">
      <w:pPr>
        <w:spacing w:before="120" w:after="120" w:line="360" w:lineRule="auto"/>
        <w:ind w:left="1982" w:hanging="566"/>
        <w:rPr>
          <w:szCs w:val="24"/>
          <w:lang w:val="sv-SE" w:eastAsia="en-US"/>
        </w:rPr>
      </w:pPr>
      <w:r w:rsidRPr="00DC67EB">
        <w:rPr>
          <w:szCs w:val="24"/>
          <w:lang w:val="sv-SE" w:eastAsia="en-US"/>
        </w:rPr>
        <w:t>a)</w:t>
      </w:r>
      <w:r w:rsidRPr="00DC67EB">
        <w:rPr>
          <w:szCs w:val="24"/>
          <w:lang w:val="sv-SE" w:eastAsia="en-US"/>
        </w:rPr>
        <w:tab/>
        <w:t>szennyező anyagok felvétele a II. melléklet A. részében meghatározott szennyezőanyag-kategóriák jegyzékébe, illetve onnan való törlése;</w:t>
      </w:r>
    </w:p>
    <w:p w14:paraId="625791B4" w14:textId="77777777" w:rsidR="001D30D4" w:rsidRPr="00DC67EB" w:rsidRDefault="001D30D4" w:rsidP="001D30D4">
      <w:pPr>
        <w:spacing w:before="120" w:after="120" w:line="360" w:lineRule="auto"/>
        <w:ind w:left="1982" w:hanging="566"/>
        <w:rPr>
          <w:szCs w:val="24"/>
          <w:lang w:val="sv-SE" w:eastAsia="en-US"/>
        </w:rPr>
      </w:pPr>
      <w:r w:rsidRPr="00DC67EB">
        <w:rPr>
          <w:szCs w:val="24"/>
          <w:lang w:val="sv-SE" w:eastAsia="en-US"/>
        </w:rPr>
        <w:t>b)</w:t>
      </w:r>
      <w:r w:rsidRPr="00DC67EB">
        <w:rPr>
          <w:szCs w:val="24"/>
          <w:lang w:val="sv-SE" w:eastAsia="en-US"/>
        </w:rPr>
        <w:tab/>
        <w:t>a II. melléklet B. részében meghatározott módszertan naprakésszé tétele;</w:t>
      </w:r>
    </w:p>
    <w:p w14:paraId="547D852D" w14:textId="77777777" w:rsidR="001D30D4" w:rsidRPr="00DC67EB" w:rsidRDefault="001D30D4" w:rsidP="001D30D4">
      <w:pPr>
        <w:spacing w:before="120" w:after="120" w:line="360" w:lineRule="auto"/>
        <w:ind w:left="1982" w:hanging="566"/>
        <w:rPr>
          <w:szCs w:val="24"/>
          <w:lang w:val="sv-SE" w:eastAsia="en-US"/>
        </w:rPr>
      </w:pPr>
      <w:r w:rsidRPr="00DC67EB">
        <w:rPr>
          <w:szCs w:val="24"/>
          <w:lang w:val="sv-SE" w:eastAsia="en-US"/>
        </w:rPr>
        <w:br w:type="page"/>
      </w:r>
      <w:r w:rsidRPr="00DC67EB">
        <w:rPr>
          <w:szCs w:val="24"/>
          <w:lang w:val="sv-SE" w:eastAsia="en-US"/>
        </w:rPr>
        <w:lastRenderedPageBreak/>
        <w:t>c)</w:t>
      </w:r>
      <w:r w:rsidRPr="00DC67EB">
        <w:rPr>
          <w:szCs w:val="24"/>
          <w:lang w:val="sv-SE" w:eastAsia="en-US"/>
        </w:rPr>
        <w:tab/>
        <w:t>azon vízgyűjtő-specifikus szennyező anyagok felvétele ezen irányelv II. mellékletének C. részébe, amelyek tekintetében a Bizottság megállapította, hogy a 2000/60/EK irányelv 4. cikkében meghatározott célkitűzések összehangolt és tudományosan megalapozott végrehajtásának biztosítása érdekében adott esetben uniós szinten meghatározott környezetminőségi előírásokat kell alkalmazni, valamint a szóban forgó szennyező anyagokhoz tartozó környezetminőségi előírások felvétele ezen irányelv II. mellékletének C. részébe.</w:t>
      </w:r>
    </w:p>
    <w:p w14:paraId="6E6AE091" w14:textId="77777777" w:rsidR="001D30D4" w:rsidRPr="00DC67EB" w:rsidRDefault="001D30D4" w:rsidP="001D30D4">
      <w:pPr>
        <w:spacing w:before="120" w:after="120" w:line="360" w:lineRule="auto"/>
        <w:ind w:left="1416" w:hanging="566"/>
        <w:rPr>
          <w:szCs w:val="24"/>
          <w:lang w:val="sv-SE" w:eastAsia="en-US"/>
        </w:rPr>
      </w:pPr>
      <w:r w:rsidRPr="00DC67EB">
        <w:rPr>
          <w:szCs w:val="24"/>
          <w:lang w:val="sv-SE" w:eastAsia="en-US"/>
        </w:rPr>
        <w:t>(4)</w:t>
      </w:r>
      <w:r w:rsidRPr="00DC67EB">
        <w:rPr>
          <w:szCs w:val="24"/>
          <w:lang w:val="sv-SE" w:eastAsia="en-US"/>
        </w:rPr>
        <w:tab/>
        <w:t>Azon vízgyűjtő-specifikus szennyező anyagok meghatározása során, amelyekre vonatkozóan uniós szintű környezetminőségi előírások megállapítására lehet szükség, a Bizottság a következő kritériumokat veszi figyelembe:</w:t>
      </w:r>
    </w:p>
    <w:p w14:paraId="153616FC" w14:textId="77777777" w:rsidR="001D30D4" w:rsidRPr="00DC67EB" w:rsidRDefault="001D30D4" w:rsidP="001D30D4">
      <w:pPr>
        <w:spacing w:before="120" w:after="120" w:line="360" w:lineRule="auto"/>
        <w:ind w:left="1982" w:hanging="566"/>
        <w:rPr>
          <w:b/>
          <w:szCs w:val="24"/>
          <w:lang w:val="sv-SE" w:eastAsia="en-US"/>
        </w:rPr>
      </w:pPr>
      <w:r w:rsidRPr="00DC67EB">
        <w:rPr>
          <w:szCs w:val="24"/>
          <w:lang w:val="sv-SE" w:eastAsia="en-US"/>
        </w:rPr>
        <w:t>a)</w:t>
      </w:r>
      <w:r w:rsidRPr="00DC67EB">
        <w:rPr>
          <w:szCs w:val="24"/>
          <w:lang w:val="sv-SE" w:eastAsia="en-US"/>
        </w:rPr>
        <w:tab/>
        <w:t xml:space="preserve">a szennyező anyagok által jelentett kockázat, beleértve azok veszélyességét, környezeti koncentrációit és azt a koncentrációt, amely felett hatások </w:t>
      </w:r>
      <w:r w:rsidRPr="00DC67EB">
        <w:rPr>
          <w:b/>
          <w:i/>
          <w:szCs w:val="24"/>
          <w:lang w:val="sv-SE" w:eastAsia="en-US"/>
        </w:rPr>
        <w:t xml:space="preserve">– többek között halmozott hatások – </w:t>
      </w:r>
      <w:r w:rsidRPr="00DC67EB">
        <w:rPr>
          <w:szCs w:val="24"/>
          <w:lang w:val="sv-SE" w:eastAsia="en-US"/>
        </w:rPr>
        <w:t>léphetnek fel;</w:t>
      </w:r>
      <w:r w:rsidRPr="00DC67EB">
        <w:rPr>
          <w:b/>
          <w:szCs w:val="24"/>
          <w:lang w:val="sv-SE" w:eastAsia="en-US"/>
        </w:rPr>
        <w:t xml:space="preserve"> [</w:t>
      </w:r>
      <w:r w:rsidR="00EA1FAD" w:rsidRPr="00DC67EB">
        <w:rPr>
          <w:b/>
          <w:szCs w:val="24"/>
          <w:lang w:eastAsia="en-US"/>
        </w:rPr>
        <w:t>Mód</w:t>
      </w:r>
      <w:r w:rsidRPr="00DC67EB">
        <w:rPr>
          <w:b/>
          <w:szCs w:val="24"/>
          <w:lang w:val="sv-SE" w:eastAsia="en-US"/>
        </w:rPr>
        <w:t>. 119]</w:t>
      </w:r>
    </w:p>
    <w:p w14:paraId="571C8235" w14:textId="77777777" w:rsidR="001D30D4" w:rsidRPr="00DC67EB" w:rsidRDefault="001D30D4" w:rsidP="001D30D4">
      <w:pPr>
        <w:spacing w:before="120" w:after="120" w:line="360" w:lineRule="auto"/>
        <w:ind w:left="1982" w:hanging="566"/>
        <w:rPr>
          <w:szCs w:val="24"/>
          <w:lang w:val="sv-SE" w:eastAsia="en-US"/>
        </w:rPr>
      </w:pPr>
      <w:r w:rsidRPr="00DC67EB">
        <w:rPr>
          <w:szCs w:val="24"/>
          <w:lang w:val="sv-SE" w:eastAsia="en-US"/>
        </w:rPr>
        <w:t>b)</w:t>
      </w:r>
      <w:r w:rsidRPr="00DC67EB">
        <w:rPr>
          <w:szCs w:val="24"/>
          <w:lang w:val="sv-SE" w:eastAsia="en-US"/>
        </w:rPr>
        <w:tab/>
        <w:t>a vízgyűjtő-specifikus szennyező anyagokra vonatkozóan az egyes tagállamok által meghatározott nemzeti környezetminőségi előírások közötti eltérések, és hogy mennyire indokoltak a szóban forgó eltérések;</w:t>
      </w:r>
    </w:p>
    <w:p w14:paraId="7BBC2216" w14:textId="77777777" w:rsidR="001D30D4" w:rsidRPr="00DC67EB" w:rsidRDefault="001D30D4" w:rsidP="001D30D4">
      <w:pPr>
        <w:spacing w:before="120" w:after="120" w:line="360" w:lineRule="auto"/>
        <w:ind w:left="1982" w:hanging="566"/>
        <w:rPr>
          <w:szCs w:val="24"/>
          <w:lang w:val="sv-SE" w:eastAsia="en-US"/>
        </w:rPr>
      </w:pPr>
      <w:r w:rsidRPr="00DC67EB">
        <w:rPr>
          <w:szCs w:val="24"/>
          <w:lang w:val="sv-SE" w:eastAsia="en-US"/>
        </w:rPr>
        <w:br w:type="page"/>
      </w:r>
      <w:r w:rsidRPr="00DC67EB">
        <w:rPr>
          <w:szCs w:val="24"/>
          <w:lang w:val="sv-SE" w:eastAsia="en-US"/>
        </w:rPr>
        <w:lastRenderedPageBreak/>
        <w:t>c)</w:t>
      </w:r>
      <w:r w:rsidRPr="00DC67EB">
        <w:rPr>
          <w:szCs w:val="24"/>
          <w:lang w:val="sv-SE" w:eastAsia="en-US"/>
        </w:rPr>
        <w:tab/>
        <w:t>a vizsgált vízgyűjtő-specifikus szennyező anyagokra vonatkozóan környezetminőségi előírást már alkalmazó tagállamok száma.</w:t>
      </w:r>
    </w:p>
    <w:p w14:paraId="7B74A957" w14:textId="77777777" w:rsidR="001D30D4" w:rsidRPr="00DC67EB" w:rsidRDefault="001D30D4" w:rsidP="001D30D4">
      <w:pPr>
        <w:spacing w:before="120" w:after="120" w:line="360" w:lineRule="auto"/>
        <w:ind w:left="1416" w:hanging="566"/>
        <w:rPr>
          <w:szCs w:val="24"/>
          <w:lang w:val="sv-SE" w:eastAsia="en-US"/>
        </w:rPr>
      </w:pPr>
      <w:r w:rsidRPr="00DC67EB">
        <w:rPr>
          <w:szCs w:val="24"/>
          <w:lang w:val="sv-SE" w:eastAsia="en-US"/>
        </w:rPr>
        <w:t>(5)</w:t>
      </w:r>
      <w:r w:rsidRPr="00DC67EB">
        <w:rPr>
          <w:szCs w:val="24"/>
          <w:lang w:val="sv-SE" w:eastAsia="en-US"/>
        </w:rPr>
        <w:tab/>
        <w:t>Azokat az elsőbbségi anyagokat, amelyekről az (1) bekezdésben említett felülvizsgálat eredményeként megállapítást nyert, hogy már nem jelentenek uniós szintű kockázatot, ezért törölték őket az elsőbbségi anyagok jegyzékéből, fel kell venni a II. melléklet C. részébe, amely felsorolja azokat a vízgyűjtő-specifikus szennyező anyagokat és a hozzájuk tartozó harmonizált környezetminőségi előírásokat, amelyeket a 8d. cikkel összhangban abban az esetben kell végrehajtani, ha a szennyező anyagok nemzeti vagy regionális szinten aggodalomra okot adó anyagnak minősülnek.</w:t>
      </w:r>
    </w:p>
    <w:p w14:paraId="4591587B" w14:textId="77777777" w:rsidR="001D30D4" w:rsidRPr="00DC67EB" w:rsidRDefault="001D30D4" w:rsidP="001D30D4">
      <w:pPr>
        <w:spacing w:before="120" w:after="120" w:line="360" w:lineRule="auto"/>
        <w:ind w:left="1416" w:hanging="566"/>
        <w:rPr>
          <w:szCs w:val="24"/>
          <w:lang w:val="sv-SE" w:eastAsia="en-US"/>
        </w:rPr>
      </w:pPr>
      <w:r w:rsidRPr="00DC67EB">
        <w:rPr>
          <w:szCs w:val="24"/>
          <w:lang w:val="sv-SE" w:eastAsia="en-US"/>
        </w:rPr>
        <w:t>(6)</w:t>
      </w:r>
      <w:r w:rsidRPr="00DC67EB">
        <w:rPr>
          <w:szCs w:val="24"/>
          <w:lang w:val="sv-SE" w:eastAsia="en-US"/>
        </w:rPr>
        <w:tab/>
        <w:t>Az ECHA tudományos jelentéseket készít, ezzel segítve a Bizottságot az I. és a II. melléklet felülvizsgálatában. Ezeknek a tudományos jelentéseknek a következőket kell figyelembe venniük:</w:t>
      </w:r>
    </w:p>
    <w:p w14:paraId="73FC337B" w14:textId="77777777" w:rsidR="001D30D4" w:rsidRPr="00DC67EB" w:rsidRDefault="001D30D4" w:rsidP="001D30D4">
      <w:pPr>
        <w:spacing w:before="120" w:after="120" w:line="360" w:lineRule="auto"/>
        <w:ind w:left="1982" w:hanging="566"/>
        <w:rPr>
          <w:szCs w:val="24"/>
          <w:lang w:val="sv-SE" w:eastAsia="en-US"/>
        </w:rPr>
      </w:pPr>
      <w:r w:rsidRPr="00DC67EB">
        <w:rPr>
          <w:szCs w:val="24"/>
          <w:lang w:val="sv-SE" w:eastAsia="en-US"/>
        </w:rPr>
        <w:t>a)</w:t>
      </w:r>
      <w:r w:rsidRPr="00DC67EB">
        <w:rPr>
          <w:szCs w:val="24"/>
          <w:lang w:val="sv-SE" w:eastAsia="en-US"/>
        </w:rPr>
        <w:tab/>
        <w:t>az ECHA kockázatértékelési bizottságának és társadalmi-gazdasági elemzéssel foglalkozó bizottságának véleményei;</w:t>
      </w:r>
    </w:p>
    <w:p w14:paraId="2D4FFCDB" w14:textId="77777777" w:rsidR="001D30D4" w:rsidRPr="00DC67EB" w:rsidRDefault="001D30D4" w:rsidP="001D30D4">
      <w:pPr>
        <w:spacing w:before="120" w:after="120" w:line="360" w:lineRule="auto"/>
        <w:ind w:left="1982" w:hanging="566"/>
        <w:rPr>
          <w:szCs w:val="24"/>
          <w:lang w:val="sv-SE" w:eastAsia="en-US"/>
        </w:rPr>
      </w:pPr>
      <w:r w:rsidRPr="00DC67EB">
        <w:rPr>
          <w:szCs w:val="24"/>
          <w:lang w:val="sv-SE" w:eastAsia="en-US"/>
        </w:rPr>
        <w:t>b)</w:t>
      </w:r>
      <w:r w:rsidRPr="00DC67EB">
        <w:rPr>
          <w:szCs w:val="24"/>
          <w:lang w:val="sv-SE" w:eastAsia="en-US"/>
        </w:rPr>
        <w:tab/>
        <w:t>a 2000/60/EK irányelv 8. cikkével összhangban kidolgozott megfigyelési programok eredményei;</w:t>
      </w:r>
    </w:p>
    <w:p w14:paraId="70A42B1B" w14:textId="77777777" w:rsidR="001D30D4" w:rsidRPr="00DC67EB" w:rsidRDefault="001D30D4" w:rsidP="001D30D4">
      <w:pPr>
        <w:spacing w:before="120" w:after="120" w:line="360" w:lineRule="auto"/>
        <w:ind w:left="1982" w:hanging="566"/>
        <w:rPr>
          <w:szCs w:val="24"/>
          <w:lang w:val="sv-SE" w:eastAsia="en-US"/>
        </w:rPr>
      </w:pPr>
      <w:r w:rsidRPr="00DC67EB">
        <w:rPr>
          <w:szCs w:val="24"/>
          <w:lang w:val="sv-SE" w:eastAsia="en-US"/>
        </w:rPr>
        <w:br w:type="page"/>
      </w:r>
      <w:r w:rsidRPr="00DC67EB">
        <w:rPr>
          <w:szCs w:val="24"/>
          <w:lang w:val="sv-SE" w:eastAsia="en-US"/>
        </w:rPr>
        <w:lastRenderedPageBreak/>
        <w:t>c)</w:t>
      </w:r>
      <w:r w:rsidRPr="00DC67EB">
        <w:rPr>
          <w:szCs w:val="24"/>
          <w:lang w:val="sv-SE" w:eastAsia="en-US"/>
        </w:rPr>
        <w:tab/>
        <w:t>az ezen irányelv 8b. cikkének (4) bekezdésével összhangban gyűjtött monitoringadatok;</w:t>
      </w:r>
    </w:p>
    <w:p w14:paraId="6516AAEF" w14:textId="77777777" w:rsidR="001D30D4" w:rsidRPr="00DC67EB" w:rsidRDefault="001D30D4" w:rsidP="001D30D4">
      <w:pPr>
        <w:spacing w:before="120" w:after="120" w:line="360" w:lineRule="auto"/>
        <w:ind w:left="1982" w:hanging="566"/>
        <w:rPr>
          <w:szCs w:val="24"/>
          <w:lang w:val="sv-SE" w:eastAsia="en-US"/>
        </w:rPr>
      </w:pPr>
      <w:r w:rsidRPr="00DC67EB">
        <w:rPr>
          <w:szCs w:val="24"/>
          <w:lang w:val="sv-SE" w:eastAsia="en-US"/>
        </w:rPr>
        <w:t>d)</w:t>
      </w:r>
      <w:r w:rsidRPr="00DC67EB">
        <w:rPr>
          <w:szCs w:val="24"/>
          <w:lang w:val="sv-SE" w:eastAsia="en-US"/>
        </w:rPr>
        <w:tab/>
        <w:t>a 2006/118/EK európai parlamenti és tanácsi irányelv* és az (EU) 2020/2184 európai parlamenti és tanácsi irányelv** mellékleteit érintő felülvizsgálatok eredménye;</w:t>
      </w:r>
    </w:p>
    <w:p w14:paraId="31A8840B" w14:textId="77777777" w:rsidR="001D30D4" w:rsidRPr="00DC67EB" w:rsidRDefault="001D30D4" w:rsidP="001D30D4">
      <w:pPr>
        <w:spacing w:before="120" w:after="120" w:line="360" w:lineRule="auto"/>
        <w:ind w:left="1982" w:hanging="566"/>
        <w:rPr>
          <w:szCs w:val="24"/>
          <w:lang w:val="sv-SE" w:eastAsia="en-US"/>
        </w:rPr>
      </w:pPr>
      <w:r w:rsidRPr="00DC67EB">
        <w:rPr>
          <w:szCs w:val="24"/>
          <w:lang w:val="sv-SE" w:eastAsia="en-US"/>
        </w:rPr>
        <w:t>e)</w:t>
      </w:r>
      <w:r w:rsidRPr="00DC67EB">
        <w:rPr>
          <w:szCs w:val="24"/>
          <w:lang w:val="sv-SE" w:eastAsia="en-US"/>
        </w:rPr>
        <w:tab/>
        <w:t>a talajszennyezés kezelésére vonatkozó követelmények, beleértve a kapcsolódó monitoringadatokat is;</w:t>
      </w:r>
    </w:p>
    <w:p w14:paraId="28DE5F15" w14:textId="77777777" w:rsidR="001D30D4" w:rsidRPr="00DC67EB" w:rsidRDefault="001D30D4" w:rsidP="001D30D4">
      <w:pPr>
        <w:spacing w:before="120" w:after="120" w:line="360" w:lineRule="auto"/>
        <w:ind w:left="1982" w:hanging="566"/>
        <w:rPr>
          <w:szCs w:val="24"/>
          <w:lang w:val="sv-SE" w:eastAsia="en-US"/>
        </w:rPr>
      </w:pPr>
      <w:r w:rsidRPr="00DC67EB">
        <w:rPr>
          <w:szCs w:val="24"/>
          <w:lang w:val="sv-SE" w:eastAsia="en-US"/>
        </w:rPr>
        <w:t>f)</w:t>
      </w:r>
      <w:r w:rsidRPr="00DC67EB">
        <w:rPr>
          <w:szCs w:val="24"/>
          <w:lang w:val="sv-SE" w:eastAsia="en-US"/>
        </w:rPr>
        <w:tab/>
        <w:t>uniós kutatási programok és tudományos publikációk, beleértve a távérzékelési technológiák, a Föld-megfigyelés (Kopernikusz-szolgáltatások), a helyszíni érzékelők és eszközök és/vagy a civil tudomány révén nyert adatokat és információkat, kihasználva a mesterséges intelligencia, a fejlett adatelemzés és -feldolgozás kínálta lehetőségeket;</w:t>
      </w:r>
    </w:p>
    <w:p w14:paraId="75F26E3C" w14:textId="77777777" w:rsidR="001D30D4" w:rsidRPr="00DC67EB" w:rsidRDefault="001D30D4" w:rsidP="001D30D4">
      <w:pPr>
        <w:spacing w:before="120" w:after="120" w:line="360" w:lineRule="auto"/>
        <w:ind w:left="1982" w:hanging="566"/>
        <w:rPr>
          <w:szCs w:val="24"/>
          <w:lang w:val="sv-SE" w:eastAsia="en-US"/>
        </w:rPr>
      </w:pPr>
      <w:r w:rsidRPr="00DC67EB">
        <w:rPr>
          <w:szCs w:val="24"/>
          <w:lang w:val="sv-SE" w:eastAsia="en-US"/>
        </w:rPr>
        <w:t>g)</w:t>
      </w:r>
      <w:r w:rsidRPr="00DC67EB">
        <w:rPr>
          <w:szCs w:val="24"/>
          <w:lang w:val="sv-SE" w:eastAsia="en-US"/>
        </w:rPr>
        <w:tab/>
        <w:t>az érdekelt felektől érkező észrevételek és információk.</w:t>
      </w:r>
    </w:p>
    <w:p w14:paraId="707BEA2E" w14:textId="77777777" w:rsidR="001D30D4" w:rsidRPr="00DC67EB" w:rsidRDefault="001D30D4" w:rsidP="001D30D4">
      <w:pPr>
        <w:spacing w:before="120" w:after="120" w:line="360" w:lineRule="auto"/>
        <w:ind w:left="1416" w:hanging="566"/>
        <w:rPr>
          <w:b/>
          <w:szCs w:val="24"/>
          <w:lang w:val="sv-SE" w:eastAsia="en-US"/>
        </w:rPr>
      </w:pPr>
      <w:r w:rsidRPr="00DC67EB">
        <w:rPr>
          <w:b/>
          <w:i/>
          <w:szCs w:val="24"/>
          <w:lang w:val="sv-SE" w:eastAsia="en-US"/>
        </w:rPr>
        <w:br w:type="page"/>
      </w:r>
      <w:r w:rsidRPr="00DC67EB">
        <w:rPr>
          <w:b/>
          <w:i/>
          <w:szCs w:val="24"/>
          <w:lang w:val="sv-SE" w:eastAsia="en-US"/>
        </w:rPr>
        <w:lastRenderedPageBreak/>
        <w:t>(6a)</w:t>
      </w:r>
      <w:r w:rsidRPr="00DC67EB">
        <w:rPr>
          <w:szCs w:val="24"/>
          <w:lang w:val="sv-SE" w:eastAsia="en-US"/>
        </w:rPr>
        <w:tab/>
      </w:r>
      <w:r w:rsidRPr="00DC67EB">
        <w:rPr>
          <w:b/>
          <w:i/>
          <w:szCs w:val="24"/>
          <w:lang w:val="sv-SE" w:eastAsia="en-US"/>
        </w:rPr>
        <w:t xml:space="preserve">A Bizottság 2025. január 12-ig technikai iránymutatást dolgoz ki a per- és polifluoralkil-anyagok „összes PFA-anyag” paraméter szerinti monitorozásának elemzésére vonatkozó módszerek tárgyában. A Bizottság 2026. január 12-ig a 9a. cikknek megfelelően az „összes PFA-anyag” paraméterre vonatkozó minőségi előírás meghatározásával, valamint az I. melléklet ennek megfelelő módosításával felhatalmazáson alapuló jogi aktust fogad el ezen irányelv módosítására. </w:t>
      </w:r>
      <w:r w:rsidRPr="00DC67EB">
        <w:rPr>
          <w:b/>
          <w:szCs w:val="24"/>
          <w:lang w:val="sv-SE" w:eastAsia="en-US"/>
        </w:rPr>
        <w:t xml:space="preserve"> [</w:t>
      </w:r>
      <w:r w:rsidR="00EA1FAD" w:rsidRPr="00DC67EB">
        <w:rPr>
          <w:b/>
          <w:szCs w:val="24"/>
          <w:lang w:eastAsia="en-US"/>
        </w:rPr>
        <w:t>Mód</w:t>
      </w:r>
      <w:r w:rsidRPr="00DC67EB">
        <w:rPr>
          <w:b/>
          <w:szCs w:val="24"/>
          <w:lang w:val="sv-SE" w:eastAsia="en-US"/>
        </w:rPr>
        <w:t>. 120]</w:t>
      </w:r>
    </w:p>
    <w:p w14:paraId="5CD3E69D" w14:textId="77777777" w:rsidR="001D30D4" w:rsidRPr="00DC67EB" w:rsidRDefault="001D30D4" w:rsidP="001D30D4">
      <w:pPr>
        <w:spacing w:before="120" w:after="120" w:line="360" w:lineRule="auto"/>
        <w:ind w:left="1416" w:hanging="566"/>
        <w:rPr>
          <w:b/>
          <w:szCs w:val="24"/>
          <w:lang w:val="sv-SE" w:eastAsia="en-US"/>
        </w:rPr>
      </w:pPr>
      <w:r w:rsidRPr="00DC67EB">
        <w:rPr>
          <w:b/>
          <w:i/>
          <w:szCs w:val="24"/>
          <w:lang w:val="sv-SE" w:eastAsia="en-US"/>
        </w:rPr>
        <w:t>(6b)</w:t>
      </w:r>
      <w:r w:rsidRPr="00DC67EB">
        <w:rPr>
          <w:szCs w:val="24"/>
          <w:lang w:val="sv-SE" w:eastAsia="en-US"/>
        </w:rPr>
        <w:tab/>
      </w:r>
      <w:r w:rsidRPr="00DC67EB">
        <w:rPr>
          <w:b/>
          <w:i/>
          <w:szCs w:val="24"/>
          <w:lang w:val="sv-SE" w:eastAsia="en-US"/>
        </w:rPr>
        <w:t>A Bizottság [ezen irányelv hatálybalépésétől számított két év]-ig technikai iránymutatást dolgoz ki a – legalább biszfenol-A-t, biszfenol-B-t és biszfenol-S-t tartalmazó – biszfenolok „összes biszfenol” paraméter szerinti monitorozásának elemzésére vonatkozó módszerek tárgyában. A Bizottság [ezen irányelv hatálybalépésétől számított három év]-ig a 9a. cikknek megfelelően az „összes biszfenol” paraméterre vonatkozó környezetminőségi előírás relatív valószínűségi tényezőn alapuló meghatározásával, valamint az I. melléklet ennek megfelelő módosításával felhatalmazáson alapuló jogi aktust fogad el ezen irányelv módosítására.</w:t>
      </w:r>
      <w:r w:rsidRPr="00DC67EB">
        <w:rPr>
          <w:b/>
          <w:szCs w:val="24"/>
          <w:lang w:val="sv-SE" w:eastAsia="en-US"/>
        </w:rPr>
        <w:t xml:space="preserve"> [</w:t>
      </w:r>
      <w:r w:rsidR="00EA1FAD" w:rsidRPr="00DC67EB">
        <w:rPr>
          <w:b/>
          <w:szCs w:val="24"/>
          <w:lang w:eastAsia="en-US"/>
        </w:rPr>
        <w:t>Mód</w:t>
      </w:r>
      <w:r w:rsidRPr="00DC67EB">
        <w:rPr>
          <w:b/>
          <w:szCs w:val="24"/>
          <w:lang w:val="sv-SE" w:eastAsia="en-US"/>
        </w:rPr>
        <w:t>. 121]</w:t>
      </w:r>
    </w:p>
    <w:p w14:paraId="4842F146" w14:textId="77777777" w:rsidR="001D30D4" w:rsidRPr="00DC67EB" w:rsidRDefault="001D30D4" w:rsidP="001D30D4">
      <w:pPr>
        <w:spacing w:before="120" w:after="120" w:line="360" w:lineRule="auto"/>
        <w:ind w:left="1416" w:hanging="566"/>
        <w:rPr>
          <w:b/>
          <w:szCs w:val="24"/>
          <w:lang w:val="sv-SE" w:eastAsia="en-US"/>
        </w:rPr>
      </w:pPr>
      <w:r w:rsidRPr="00DC67EB">
        <w:rPr>
          <w:szCs w:val="24"/>
          <w:lang w:val="sv-SE" w:eastAsia="en-US"/>
        </w:rPr>
        <w:br w:type="page"/>
      </w:r>
      <w:r w:rsidRPr="00DC67EB">
        <w:rPr>
          <w:szCs w:val="24"/>
          <w:lang w:val="sv-SE" w:eastAsia="en-US"/>
        </w:rPr>
        <w:lastRenderedPageBreak/>
        <w:t>(7)</w:t>
      </w:r>
      <w:r w:rsidRPr="00DC67EB">
        <w:rPr>
          <w:szCs w:val="24"/>
          <w:lang w:val="sv-SE" w:eastAsia="en-US"/>
        </w:rPr>
        <w:tab/>
        <w:t xml:space="preserve">Az ECHA </w:t>
      </w:r>
      <w:r w:rsidRPr="00DC67EB">
        <w:rPr>
          <w:strike/>
          <w:szCs w:val="24"/>
          <w:lang w:val="sv-SE" w:eastAsia="en-US"/>
        </w:rPr>
        <w:t>hatévente</w:t>
      </w:r>
      <w:r w:rsidRPr="00DC67EB">
        <w:rPr>
          <w:b/>
          <w:i/>
          <w:szCs w:val="24"/>
          <w:lang w:val="sv-SE" w:eastAsia="en-US"/>
        </w:rPr>
        <w:t>négyévente</w:t>
      </w:r>
      <w:r w:rsidRPr="00DC67EB">
        <w:rPr>
          <w:szCs w:val="24"/>
          <w:lang w:val="sv-SE" w:eastAsia="en-US"/>
        </w:rPr>
        <w:t xml:space="preserve"> jelentést készít és tesz nyilvánosan hozzáférhetővé, amely összefoglalja a (6) bekezdés szerinti tudományos jelentések megállapításait. Az első jelentést [Kiadóhivatal: kérjük, illesszék be az ezen irányelv hatálybalépését </w:t>
      </w:r>
      <w:r w:rsidRPr="00DC67EB">
        <w:rPr>
          <w:strike/>
          <w:szCs w:val="24"/>
          <w:lang w:val="sv-SE" w:eastAsia="en-US"/>
        </w:rPr>
        <w:t>öt</w:t>
      </w:r>
      <w:r w:rsidRPr="00DC67EB">
        <w:rPr>
          <w:b/>
          <w:i/>
          <w:szCs w:val="24"/>
          <w:lang w:val="sv-SE" w:eastAsia="en-US"/>
        </w:rPr>
        <w:t>három</w:t>
      </w:r>
      <w:r w:rsidRPr="00DC67EB">
        <w:rPr>
          <w:szCs w:val="24"/>
          <w:lang w:val="sv-SE" w:eastAsia="en-US"/>
        </w:rPr>
        <w:t xml:space="preserve"> évvel követő dátumot]-án/-én kell benyújtani a Bizottságnak.</w:t>
      </w:r>
      <w:r w:rsidRPr="00DC67EB">
        <w:rPr>
          <w:b/>
          <w:szCs w:val="24"/>
          <w:lang w:val="sv-SE" w:eastAsia="en-US"/>
        </w:rPr>
        <w:t xml:space="preserve"> [</w:t>
      </w:r>
      <w:r w:rsidR="00EA1FAD" w:rsidRPr="00DC67EB">
        <w:rPr>
          <w:b/>
          <w:szCs w:val="24"/>
          <w:lang w:eastAsia="en-US"/>
        </w:rPr>
        <w:t>Mód</w:t>
      </w:r>
      <w:r w:rsidRPr="00DC67EB">
        <w:rPr>
          <w:b/>
          <w:szCs w:val="24"/>
          <w:lang w:val="sv-SE" w:eastAsia="en-US"/>
        </w:rPr>
        <w:t>. 122]</w:t>
      </w:r>
    </w:p>
    <w:p w14:paraId="4B2ED4E8" w14:textId="77777777" w:rsidR="001D30D4" w:rsidRPr="00DC67EB" w:rsidRDefault="001D30D4" w:rsidP="001D30D4">
      <w:pPr>
        <w:spacing w:before="120" w:after="120" w:line="360" w:lineRule="auto"/>
        <w:ind w:left="850"/>
        <w:rPr>
          <w:szCs w:val="24"/>
          <w:lang w:val="sv-SE" w:eastAsia="en-US"/>
        </w:rPr>
      </w:pPr>
      <w:r w:rsidRPr="00DC67EB">
        <w:rPr>
          <w:szCs w:val="24"/>
          <w:lang w:val="sv-SE" w:eastAsia="en-US"/>
        </w:rPr>
        <w:t>* Az Európai Parlament és a Tanács 2006/118/EK irányelve (2006. december 12.) a felszín alatti vizek szennyezésének megelőzéséről és csökkentéséről (HL L 372., 2006.12.27., 19. o.).</w:t>
      </w:r>
    </w:p>
    <w:p w14:paraId="5EAAB740" w14:textId="77777777" w:rsidR="001D30D4" w:rsidRPr="00DC67EB" w:rsidRDefault="001D30D4" w:rsidP="001D30D4">
      <w:pPr>
        <w:spacing w:before="120" w:after="120" w:line="360" w:lineRule="auto"/>
        <w:ind w:left="850"/>
        <w:rPr>
          <w:szCs w:val="24"/>
          <w:lang w:val="sv-SE" w:eastAsia="en-US"/>
        </w:rPr>
      </w:pPr>
      <w:r w:rsidRPr="00DC67EB">
        <w:rPr>
          <w:szCs w:val="24"/>
          <w:lang w:val="sv-SE" w:eastAsia="en-US"/>
        </w:rPr>
        <w:t>** Az Európai Parlament és a Tanács (EU) 2020/2184 irányelve (2020. december 16.) az emberi fogyasztásra szánt víz minőségéről (HL L 435., 2020.12.23., 1. o.).”</w:t>
      </w:r>
    </w:p>
    <w:p w14:paraId="5644EC76" w14:textId="77777777" w:rsidR="001D30D4" w:rsidRPr="00DC67EB" w:rsidRDefault="001D30D4" w:rsidP="001D30D4">
      <w:pPr>
        <w:spacing w:before="120" w:after="120" w:line="360" w:lineRule="auto"/>
        <w:ind w:left="850" w:hanging="850"/>
        <w:rPr>
          <w:szCs w:val="24"/>
          <w:lang w:val="sv-SE" w:eastAsia="en-US"/>
        </w:rPr>
      </w:pPr>
      <w:r w:rsidRPr="00DC67EB">
        <w:rPr>
          <w:szCs w:val="24"/>
          <w:lang w:val="sv-SE" w:eastAsia="en-US"/>
        </w:rPr>
        <w:br w:type="page"/>
      </w:r>
      <w:r w:rsidRPr="00DC67EB">
        <w:rPr>
          <w:szCs w:val="24"/>
          <w:lang w:val="sv-SE" w:eastAsia="en-US"/>
        </w:rPr>
        <w:lastRenderedPageBreak/>
        <w:t>6.</w:t>
      </w:r>
      <w:r w:rsidRPr="00DC67EB">
        <w:rPr>
          <w:szCs w:val="24"/>
          <w:lang w:val="sv-SE" w:eastAsia="en-US"/>
        </w:rPr>
        <w:tab/>
        <w:t>A 8a. cikk helyébe a következő szöveg lép:</w:t>
      </w:r>
    </w:p>
    <w:p w14:paraId="2D305F62" w14:textId="77777777" w:rsidR="001D30D4" w:rsidRPr="00DC67EB" w:rsidRDefault="001D30D4" w:rsidP="001D30D4">
      <w:pPr>
        <w:spacing w:before="120" w:after="120" w:line="360" w:lineRule="auto"/>
        <w:ind w:left="850"/>
        <w:rPr>
          <w:szCs w:val="24"/>
          <w:lang w:val="sv-SE" w:eastAsia="en-US"/>
        </w:rPr>
      </w:pPr>
      <w:r w:rsidRPr="00DC67EB">
        <w:rPr>
          <w:szCs w:val="24"/>
          <w:lang w:val="sv-SE" w:eastAsia="en-US"/>
        </w:rPr>
        <w:t>„8a. cikk</w:t>
      </w:r>
    </w:p>
    <w:p w14:paraId="33C7F763" w14:textId="77777777" w:rsidR="001D30D4" w:rsidRPr="00DC67EB" w:rsidRDefault="001D30D4" w:rsidP="001D30D4">
      <w:pPr>
        <w:spacing w:before="120" w:after="120" w:line="360" w:lineRule="auto"/>
        <w:ind w:left="850"/>
        <w:rPr>
          <w:szCs w:val="24"/>
          <w:lang w:val="sv-SE" w:eastAsia="en-US"/>
        </w:rPr>
      </w:pPr>
      <w:r w:rsidRPr="00DC67EB">
        <w:rPr>
          <w:szCs w:val="24"/>
          <w:lang w:val="sv-SE" w:eastAsia="en-US"/>
        </w:rPr>
        <w:t>Bizonyos anyagokra vonatkozó különös rendelkezések</w:t>
      </w:r>
    </w:p>
    <w:p w14:paraId="196A6111" w14:textId="77777777" w:rsidR="001D30D4" w:rsidRPr="00DC67EB" w:rsidRDefault="001D30D4" w:rsidP="001D30D4">
      <w:pPr>
        <w:spacing w:before="120" w:after="120" w:line="360" w:lineRule="auto"/>
        <w:ind w:left="1416" w:hanging="566"/>
        <w:rPr>
          <w:szCs w:val="24"/>
          <w:lang w:val="sv-SE" w:eastAsia="en-US"/>
        </w:rPr>
      </w:pPr>
      <w:r w:rsidRPr="00DC67EB">
        <w:rPr>
          <w:szCs w:val="24"/>
          <w:lang w:val="sv-SE" w:eastAsia="en-US"/>
        </w:rPr>
        <w:t>(1)</w:t>
      </w:r>
      <w:r w:rsidRPr="00DC67EB">
        <w:rPr>
          <w:szCs w:val="24"/>
          <w:lang w:val="sv-SE" w:eastAsia="en-US"/>
        </w:rPr>
        <w:tab/>
        <w:t>A 2000/60/EK irányelv V. mellékletének 1.4.3. szakaszában foglalt, az általános kémiai állapot bemutatására vonatkozó követelmények, valamint az említett irányelv 4. cikke (1) bekezdésének a) pontjában foglalt célkitűzések és kötelezettségek sérelme nélkül, a tagállamok a 2000/60/EK irányelv 13. cikkének megfelelően elkészített vízgyűjtő-gazdálkodási tervekben további térképeket nyújthatnak be, amelyek a következő anyagok közül egy vagy több vonatkozásában az ezen irányelv I. mellékletének A. részében meghatározott többi anyagra vonatkozó információtól elkülönítve tüntetik fel a kémiai állapotra vonatkozó információkat:</w:t>
      </w:r>
    </w:p>
    <w:p w14:paraId="211A8353" w14:textId="77777777" w:rsidR="001D30D4" w:rsidRPr="00DC67EB" w:rsidRDefault="001D30D4" w:rsidP="001D30D4">
      <w:pPr>
        <w:spacing w:before="120" w:after="120" w:line="360" w:lineRule="auto"/>
        <w:ind w:left="1982" w:hanging="566"/>
        <w:rPr>
          <w:szCs w:val="24"/>
          <w:lang w:val="sv-SE" w:eastAsia="en-US"/>
        </w:rPr>
      </w:pPr>
      <w:r w:rsidRPr="00DC67EB">
        <w:rPr>
          <w:szCs w:val="24"/>
          <w:lang w:val="sv-SE" w:eastAsia="en-US"/>
        </w:rPr>
        <w:t>a)</w:t>
      </w:r>
      <w:r w:rsidRPr="00DC67EB">
        <w:rPr>
          <w:szCs w:val="24"/>
          <w:lang w:val="sv-SE" w:eastAsia="en-US"/>
        </w:rPr>
        <w:tab/>
        <w:t>az I. melléklet A. részében mindenütt előforduló PBT-ként viselkedő anyagként azonosított anyagok;</w:t>
      </w:r>
    </w:p>
    <w:p w14:paraId="112CB8D5" w14:textId="77777777" w:rsidR="001D30D4" w:rsidRPr="00DC67EB" w:rsidRDefault="001D30D4" w:rsidP="001D30D4">
      <w:pPr>
        <w:spacing w:before="120" w:after="120" w:line="360" w:lineRule="auto"/>
        <w:ind w:left="1982" w:hanging="566"/>
        <w:rPr>
          <w:szCs w:val="24"/>
          <w:lang w:val="sv-SE" w:eastAsia="en-US"/>
        </w:rPr>
      </w:pPr>
      <w:r w:rsidRPr="00DC67EB">
        <w:rPr>
          <w:szCs w:val="24"/>
          <w:lang w:val="sv-SE" w:eastAsia="en-US"/>
        </w:rPr>
        <w:t>b)</w:t>
      </w:r>
      <w:r w:rsidRPr="00DC67EB">
        <w:rPr>
          <w:szCs w:val="24"/>
          <w:lang w:val="sv-SE" w:eastAsia="en-US"/>
        </w:rPr>
        <w:tab/>
        <w:t>a 8. cikk szerinti legutóbbi felülvizsgálat során újonnan azonosított anyagok;</w:t>
      </w:r>
    </w:p>
    <w:p w14:paraId="7BBB8743" w14:textId="77777777" w:rsidR="001D30D4" w:rsidRPr="00DC67EB" w:rsidRDefault="001D30D4" w:rsidP="001D30D4">
      <w:pPr>
        <w:spacing w:before="120" w:after="120" w:line="360" w:lineRule="auto"/>
        <w:ind w:left="1982" w:hanging="566"/>
        <w:rPr>
          <w:szCs w:val="24"/>
          <w:lang w:val="sv-SE" w:eastAsia="en-US"/>
        </w:rPr>
      </w:pPr>
      <w:r w:rsidRPr="00DC67EB">
        <w:rPr>
          <w:szCs w:val="24"/>
          <w:lang w:val="sv-SE" w:eastAsia="en-US"/>
        </w:rPr>
        <w:br w:type="page"/>
      </w:r>
      <w:r w:rsidRPr="00DC67EB">
        <w:rPr>
          <w:szCs w:val="24"/>
          <w:lang w:val="sv-SE" w:eastAsia="en-US"/>
        </w:rPr>
        <w:lastRenderedPageBreak/>
        <w:t>c)</w:t>
      </w:r>
      <w:r w:rsidRPr="00DC67EB">
        <w:rPr>
          <w:szCs w:val="24"/>
          <w:lang w:val="sv-SE" w:eastAsia="en-US"/>
        </w:rPr>
        <w:tab/>
        <w:t>azok az anyagok, amelyekre vonatkozóan a 8. cikkel összhangban a legutóbbi felülvizsgálatban szigorúbb környezetminőségi előírások kerültek meghatározásra.</w:t>
      </w:r>
    </w:p>
    <w:p w14:paraId="644104E8" w14:textId="77777777" w:rsidR="001D30D4" w:rsidRPr="00DC67EB" w:rsidRDefault="001D30D4" w:rsidP="001D30D4">
      <w:pPr>
        <w:spacing w:before="120" w:after="120" w:line="360" w:lineRule="auto"/>
        <w:ind w:left="1416"/>
        <w:rPr>
          <w:b/>
          <w:szCs w:val="24"/>
          <w:lang w:val="sv-SE" w:eastAsia="en-US"/>
        </w:rPr>
      </w:pPr>
      <w:r w:rsidRPr="00DC67EB">
        <w:rPr>
          <w:szCs w:val="24"/>
          <w:lang w:val="sv-SE" w:eastAsia="en-US"/>
        </w:rPr>
        <w:t xml:space="preserve">A tagállamok a 2000/60/EK irányelv 13. cikkével összhangban elkészített vízgyűjtő-gazdálkodási tervekben az első albekezdés a), b) és c) pontjában említett anyagok tekintetében </w:t>
      </w:r>
      <w:r w:rsidRPr="00DC67EB">
        <w:rPr>
          <w:strike/>
          <w:szCs w:val="24"/>
          <w:lang w:val="sv-SE" w:eastAsia="en-US"/>
        </w:rPr>
        <w:t>ismertethetik</w:t>
      </w:r>
      <w:r w:rsidRPr="00DC67EB">
        <w:rPr>
          <w:b/>
          <w:i/>
          <w:szCs w:val="24"/>
          <w:lang w:val="sv-SE" w:eastAsia="en-US"/>
        </w:rPr>
        <w:t>ismertetik</w:t>
      </w:r>
      <w:r w:rsidRPr="00DC67EB">
        <w:rPr>
          <w:szCs w:val="24"/>
          <w:lang w:val="sv-SE" w:eastAsia="en-US"/>
        </w:rPr>
        <w:t xml:space="preserve"> a környezetminőségi előírásokban meghatározott értéktől való eltérés mértékét. Az első albekezdésben említett további térképeket benyújtó tagállamok törekednek annak biztosítására, hogy azok a vízgyűjtő terület szintjén és uniós szinten összehasonlíthatók legyenek egymással, és az adatokat a 2003/4/EK irányelvvel, a 2007/2/EK európai parlamenti és tanácsi irányelvvel* és az (EU) 2019/1024 európai parlamenti és tanácsi irányelvvel** összhangban bocsátják rendelkezésre.</w:t>
      </w:r>
      <w:r w:rsidRPr="00DC67EB">
        <w:rPr>
          <w:b/>
          <w:szCs w:val="24"/>
          <w:lang w:val="sv-SE" w:eastAsia="en-US"/>
        </w:rPr>
        <w:t xml:space="preserve"> [</w:t>
      </w:r>
      <w:r w:rsidR="00EA1FAD" w:rsidRPr="00DC67EB">
        <w:rPr>
          <w:b/>
          <w:szCs w:val="24"/>
          <w:lang w:eastAsia="en-US"/>
        </w:rPr>
        <w:t>Mód</w:t>
      </w:r>
      <w:r w:rsidRPr="00DC67EB">
        <w:rPr>
          <w:b/>
          <w:szCs w:val="24"/>
          <w:lang w:val="sv-SE" w:eastAsia="en-US"/>
        </w:rPr>
        <w:t>. 123]</w:t>
      </w:r>
    </w:p>
    <w:p w14:paraId="2D6623F4" w14:textId="77777777" w:rsidR="001D30D4" w:rsidRPr="00DC67EB" w:rsidRDefault="001D30D4" w:rsidP="001D30D4">
      <w:pPr>
        <w:spacing w:before="120" w:after="120" w:line="360" w:lineRule="auto"/>
        <w:ind w:left="1416" w:hanging="566"/>
        <w:rPr>
          <w:b/>
          <w:szCs w:val="24"/>
          <w:lang w:val="sv-SE" w:eastAsia="en-US"/>
        </w:rPr>
      </w:pPr>
      <w:r w:rsidRPr="00DC67EB">
        <w:rPr>
          <w:szCs w:val="24"/>
          <w:lang w:val="sv-SE" w:eastAsia="en-US"/>
        </w:rPr>
        <w:br w:type="page"/>
      </w:r>
      <w:r w:rsidRPr="00DC67EB">
        <w:rPr>
          <w:szCs w:val="24"/>
          <w:lang w:val="sv-SE" w:eastAsia="en-US"/>
        </w:rPr>
        <w:lastRenderedPageBreak/>
        <w:t>(2)</w:t>
      </w:r>
      <w:r w:rsidRPr="00DC67EB">
        <w:rPr>
          <w:szCs w:val="24"/>
          <w:lang w:val="sv-SE" w:eastAsia="en-US"/>
        </w:rPr>
        <w:tab/>
        <w:t>A tagállamok</w:t>
      </w:r>
      <w:r w:rsidRPr="00DC67EB">
        <w:rPr>
          <w:strike/>
          <w:szCs w:val="24"/>
          <w:lang w:val="sv-SE" w:eastAsia="en-US"/>
        </w:rPr>
        <w:t xml:space="preserve"> –</w:t>
      </w:r>
      <w:r w:rsidRPr="00DC67EB">
        <w:rPr>
          <w:szCs w:val="24"/>
          <w:lang w:val="sv-SE" w:eastAsia="en-US"/>
        </w:rPr>
        <w:t xml:space="preserve"> az I. melléklet A. részében mindenütt előforduló PBT-ként viselkedő anyagként azonosított </w:t>
      </w:r>
      <w:r w:rsidRPr="00DC67EB">
        <w:rPr>
          <w:b/>
          <w:i/>
          <w:szCs w:val="24"/>
          <w:lang w:val="sv-SE" w:eastAsia="en-US"/>
        </w:rPr>
        <w:t xml:space="preserve">és az Unióban már nem engedélyezett és használt </w:t>
      </w:r>
      <w:r w:rsidRPr="00DC67EB">
        <w:rPr>
          <w:szCs w:val="24"/>
          <w:lang w:val="sv-SE" w:eastAsia="en-US"/>
        </w:rPr>
        <w:t>anyagok tekintetében</w:t>
      </w:r>
      <w:r w:rsidRPr="00DC67EB">
        <w:rPr>
          <w:strike/>
          <w:szCs w:val="24"/>
          <w:lang w:val="sv-SE" w:eastAsia="en-US"/>
        </w:rPr>
        <w:t xml:space="preserve"> –</w:t>
      </w:r>
      <w:r w:rsidRPr="00DC67EB">
        <w:rPr>
          <w:szCs w:val="24"/>
          <w:lang w:val="sv-SE" w:eastAsia="en-US"/>
        </w:rPr>
        <w:t xml:space="preserve"> az ezen irányelv 3. cikkének (4) bekezdésében, valamint a 2000/60/EK irányelv V. mellékletében az elsőbbségi anyagok tekintetében előírtnál kevésbé intenzív monitoringot folytathatnak, feltéve, hogy a monitoring reprezentatív, és statisztikailag megbízható viszonyítási alap áll rendelkezésre az adott anyagok vízi környezetben való jelenlétére vonatkozóan. Az iránymutatás az, hogy az ezen irányelv 3. cikke (6) bekezdésének második albekezdésével összhangban a monitoringot háromévente kell elvégezni, kivéve, ha a műszaki ismeretek és a szakértői vélemények alapján más időközök indokoltak.</w:t>
      </w:r>
      <w:r w:rsidRPr="00DC67EB">
        <w:rPr>
          <w:b/>
          <w:szCs w:val="24"/>
          <w:lang w:val="sv-SE" w:eastAsia="en-US"/>
        </w:rPr>
        <w:t xml:space="preserve"> [</w:t>
      </w:r>
      <w:r w:rsidR="00EA1FAD" w:rsidRPr="00DC67EB">
        <w:rPr>
          <w:b/>
          <w:szCs w:val="24"/>
          <w:lang w:eastAsia="en-US"/>
        </w:rPr>
        <w:t>Mód</w:t>
      </w:r>
      <w:r w:rsidRPr="00DC67EB">
        <w:rPr>
          <w:b/>
          <w:szCs w:val="24"/>
          <w:lang w:val="sv-SE" w:eastAsia="en-US"/>
        </w:rPr>
        <w:t>. 124]</w:t>
      </w:r>
    </w:p>
    <w:p w14:paraId="427E2227" w14:textId="77777777" w:rsidR="001D30D4" w:rsidRPr="00DC67EB" w:rsidRDefault="001D30D4" w:rsidP="001D30D4">
      <w:pPr>
        <w:spacing w:before="120" w:after="120" w:line="360" w:lineRule="auto"/>
        <w:ind w:left="1416" w:hanging="566"/>
        <w:rPr>
          <w:szCs w:val="24"/>
          <w:lang w:val="sv-SE" w:eastAsia="en-US"/>
        </w:rPr>
      </w:pPr>
      <w:r w:rsidRPr="00DC67EB">
        <w:rPr>
          <w:szCs w:val="24"/>
          <w:lang w:val="sv-SE" w:eastAsia="en-US"/>
        </w:rPr>
        <w:br w:type="page"/>
      </w:r>
      <w:r w:rsidRPr="00DC67EB">
        <w:rPr>
          <w:szCs w:val="24"/>
          <w:lang w:val="sv-SE" w:eastAsia="en-US"/>
        </w:rPr>
        <w:lastRenderedPageBreak/>
        <w:t>(3)</w:t>
      </w:r>
      <w:r w:rsidRPr="00DC67EB">
        <w:rPr>
          <w:szCs w:val="24"/>
          <w:lang w:val="sv-SE" w:eastAsia="en-US"/>
        </w:rPr>
        <w:tab/>
        <w:t>A tagállamok [Kiadóhivatal: kérjük, illesszék be az ezen irányelv hatálybalépését 18 hónappal követő hónap első napját]-tól/-től két éven keresztül hatásalapú monitoringmódszereket alkalmazva figyelemmel kísérik az ösztrogénhatású anyagok víztestekben való jelenlétét. A tagállamok minden kétéves időszak során legalább négy alkalommal monitoringot végeznek azokon a helyszíneken, ahol az ezen irányelv I. mellékletének A. részében felsorolt három ösztrogén hormon – a 17-béta-ösztradiol (E2), az ösztron (E1) és az alfa-etinil-ösztradiol (EE2) – megfigyelése a 2000/60/EK irányelv 8. cikkével és V. mellékletével összhangban hagyományos analitikai módszerekkel történik. A tagállamok felhasználhatják a 2000/60/EK irányelv V. mellékletének 1.3.1. pontjával összhangban a reprezentatív felszíni víztestek feltáró megfigyelésére kiválasztott megfigyelési helyszínek hálózatát.</w:t>
      </w:r>
    </w:p>
    <w:p w14:paraId="7BF11C30" w14:textId="77777777" w:rsidR="001D30D4" w:rsidRPr="00DC67EB" w:rsidRDefault="001D30D4" w:rsidP="001D30D4">
      <w:pPr>
        <w:spacing w:before="120" w:after="120" w:line="360" w:lineRule="auto"/>
        <w:ind w:left="1416" w:hanging="566"/>
        <w:rPr>
          <w:b/>
          <w:szCs w:val="24"/>
          <w:lang w:val="sv-SE" w:eastAsia="en-US"/>
        </w:rPr>
      </w:pPr>
      <w:r w:rsidRPr="00DC67EB">
        <w:rPr>
          <w:b/>
          <w:i/>
          <w:szCs w:val="24"/>
          <w:lang w:val="sv-SE" w:eastAsia="en-US"/>
        </w:rPr>
        <w:t>3a.</w:t>
      </w:r>
      <w:r w:rsidRPr="00DC67EB">
        <w:rPr>
          <w:szCs w:val="24"/>
          <w:lang w:val="sv-SE" w:eastAsia="en-US"/>
        </w:rPr>
        <w:tab/>
      </w:r>
      <w:r w:rsidRPr="00DC67EB">
        <w:rPr>
          <w:b/>
          <w:i/>
          <w:szCs w:val="24"/>
          <w:lang w:val="sv-SE" w:eastAsia="en-US"/>
        </w:rPr>
        <w:t>A Bizottság a (3) bekezdésben említett kétéves időszaktól számított 12 hónapon belül jelentést tesz közzé a hatásalapú módszerek megbízhatóságáról oly módon, hogy összehasonlítja a hatásalapú eredményeket a (3) bekezdésben felsorolt három ösztrogénhatású anyag nyomon követésére szolgáló hagyományos módszerekkel kapott eredményekkel, a hatásalapú küszöbértékek jövőbeli meghatározására való felkészülés céljából.</w:t>
      </w:r>
      <w:r w:rsidRPr="00DC67EB">
        <w:rPr>
          <w:b/>
          <w:szCs w:val="24"/>
          <w:lang w:val="sv-SE" w:eastAsia="en-US"/>
        </w:rPr>
        <w:t xml:space="preserve"> </w:t>
      </w:r>
    </w:p>
    <w:p w14:paraId="6BD35E76" w14:textId="77777777" w:rsidR="001D30D4" w:rsidRPr="00DC67EB" w:rsidRDefault="001D30D4" w:rsidP="001D30D4">
      <w:pPr>
        <w:spacing w:before="120" w:after="120" w:line="360" w:lineRule="auto"/>
        <w:ind w:left="1416"/>
        <w:rPr>
          <w:b/>
          <w:szCs w:val="24"/>
          <w:lang w:val="sv-SE" w:eastAsia="en-US"/>
        </w:rPr>
      </w:pPr>
      <w:r w:rsidRPr="00DC67EB">
        <w:rPr>
          <w:b/>
          <w:i/>
          <w:szCs w:val="24"/>
          <w:lang w:val="sv-SE" w:eastAsia="en-US"/>
        </w:rPr>
        <w:br w:type="page"/>
      </w:r>
      <w:r w:rsidRPr="00DC67EB">
        <w:rPr>
          <w:b/>
          <w:i/>
          <w:szCs w:val="24"/>
          <w:lang w:val="sv-SE" w:eastAsia="en-US"/>
        </w:rPr>
        <w:lastRenderedPageBreak/>
        <w:t>Amint a hatásalapú módszerek a többi anyag tekintetében is használatra készen állnak, a Bizottságot fel kell hatalmazni arra, hogy a 9a. cikkel összhangban felhatalmazáson alapuló jogi aktusokat fogadjon el ezen irányelv kiegészítése céljából annak érdekében, hogy előírja a tagállamok számára, hogy ezen anyagok víztestekben való jelenlétének felmérésére a hagyományos monitoringmódszerekkel párhuzamosan a hatásalapú módszereket is alkalmazzák.</w:t>
      </w:r>
      <w:r w:rsidRPr="00DC67EB">
        <w:rPr>
          <w:b/>
          <w:szCs w:val="24"/>
          <w:lang w:val="sv-SE" w:eastAsia="en-US"/>
        </w:rPr>
        <w:t xml:space="preserve"> [</w:t>
      </w:r>
      <w:r w:rsidR="00EA1FAD" w:rsidRPr="00DC67EB">
        <w:rPr>
          <w:b/>
          <w:szCs w:val="24"/>
          <w:lang w:eastAsia="en-US"/>
        </w:rPr>
        <w:t>Mód</w:t>
      </w:r>
      <w:r w:rsidRPr="00DC67EB">
        <w:rPr>
          <w:b/>
          <w:szCs w:val="24"/>
          <w:lang w:val="sv-SE" w:eastAsia="en-US"/>
        </w:rPr>
        <w:t>. 125]</w:t>
      </w:r>
    </w:p>
    <w:p w14:paraId="26DBCCFB" w14:textId="77777777" w:rsidR="001D30D4" w:rsidRPr="00DC67EB" w:rsidRDefault="001D30D4" w:rsidP="001D30D4">
      <w:pPr>
        <w:spacing w:before="120" w:after="120" w:line="360" w:lineRule="auto"/>
        <w:ind w:left="850"/>
        <w:rPr>
          <w:szCs w:val="24"/>
          <w:lang w:val="sv-SE" w:eastAsia="en-US"/>
        </w:rPr>
      </w:pPr>
      <w:r w:rsidRPr="00DC67EB">
        <w:rPr>
          <w:szCs w:val="24"/>
          <w:lang w:val="sv-SE" w:eastAsia="en-US"/>
        </w:rPr>
        <w:t>* Az Európai Parlament és a Tanács 2007/2/EK irányelve (2007. március 14.) az Európai Közösségen belüli térinformációs infrastruktúra (INSPIRE) kialakításáról (HL L 108., 2007.4.25., 1. o.).</w:t>
      </w:r>
    </w:p>
    <w:p w14:paraId="59537340" w14:textId="77777777" w:rsidR="001D30D4" w:rsidRPr="00DC67EB" w:rsidRDefault="001D30D4" w:rsidP="001D30D4">
      <w:pPr>
        <w:spacing w:before="120" w:after="120" w:line="360" w:lineRule="auto"/>
        <w:ind w:left="850"/>
        <w:rPr>
          <w:szCs w:val="24"/>
          <w:lang w:val="sv-SE" w:eastAsia="en-US"/>
        </w:rPr>
      </w:pPr>
      <w:r w:rsidRPr="00DC67EB">
        <w:rPr>
          <w:szCs w:val="24"/>
          <w:lang w:val="sv-SE" w:eastAsia="en-US"/>
        </w:rPr>
        <w:t>** Az Európai Parlament és a Tanács (EU) 2019/1024 irányelve (2019. június 20.) a nyílt hozzáférésű adatokról és a közszféra információinak további felhasználásáról (HL L 172., 2019.6.26., 56. o.).”</w:t>
      </w:r>
    </w:p>
    <w:p w14:paraId="717955AF" w14:textId="77777777" w:rsidR="001D30D4" w:rsidRPr="00DC67EB" w:rsidRDefault="001D30D4" w:rsidP="001D30D4">
      <w:pPr>
        <w:spacing w:before="120" w:after="120" w:line="360" w:lineRule="auto"/>
        <w:ind w:left="850" w:hanging="850"/>
        <w:rPr>
          <w:szCs w:val="24"/>
          <w:lang w:val="sv-SE" w:eastAsia="en-US"/>
        </w:rPr>
      </w:pPr>
      <w:r w:rsidRPr="00DC67EB">
        <w:rPr>
          <w:szCs w:val="24"/>
          <w:lang w:val="sv-SE" w:eastAsia="en-US"/>
        </w:rPr>
        <w:br w:type="page"/>
      </w:r>
      <w:r w:rsidRPr="00DC67EB">
        <w:rPr>
          <w:szCs w:val="24"/>
          <w:lang w:val="sv-SE" w:eastAsia="en-US"/>
        </w:rPr>
        <w:lastRenderedPageBreak/>
        <w:t>7.</w:t>
      </w:r>
      <w:r w:rsidRPr="00DC67EB">
        <w:rPr>
          <w:szCs w:val="24"/>
          <w:lang w:val="sv-SE" w:eastAsia="en-US"/>
        </w:rPr>
        <w:tab/>
        <w:t>A 8b. cikk helyébe a következő szöveg lép:</w:t>
      </w:r>
    </w:p>
    <w:p w14:paraId="56D908F1" w14:textId="77777777" w:rsidR="001D30D4" w:rsidRPr="00DC67EB" w:rsidRDefault="001D30D4" w:rsidP="001D30D4">
      <w:pPr>
        <w:spacing w:before="120" w:after="120" w:line="360" w:lineRule="auto"/>
        <w:ind w:left="850"/>
        <w:rPr>
          <w:szCs w:val="24"/>
          <w:lang w:val="sv-SE" w:eastAsia="en-US"/>
        </w:rPr>
      </w:pPr>
      <w:r w:rsidRPr="00DC67EB">
        <w:rPr>
          <w:szCs w:val="24"/>
          <w:lang w:val="sv-SE" w:eastAsia="en-US"/>
        </w:rPr>
        <w:t>„8b. cikk</w:t>
      </w:r>
    </w:p>
    <w:p w14:paraId="5F38F4D1" w14:textId="77777777" w:rsidR="001D30D4" w:rsidRPr="00DC67EB" w:rsidRDefault="001D30D4" w:rsidP="001D30D4">
      <w:pPr>
        <w:spacing w:before="120" w:after="120" w:line="360" w:lineRule="auto"/>
        <w:ind w:left="850"/>
        <w:rPr>
          <w:szCs w:val="24"/>
          <w:lang w:val="sv-SE" w:eastAsia="en-US"/>
        </w:rPr>
      </w:pPr>
      <w:r w:rsidRPr="00DC67EB">
        <w:rPr>
          <w:szCs w:val="24"/>
          <w:lang w:val="sv-SE" w:eastAsia="en-US"/>
        </w:rPr>
        <w:t>Megfigyelési lista</w:t>
      </w:r>
    </w:p>
    <w:p w14:paraId="2714EC04" w14:textId="77777777" w:rsidR="001D30D4" w:rsidRPr="00DC67EB" w:rsidRDefault="001D30D4" w:rsidP="001D30D4">
      <w:pPr>
        <w:spacing w:before="120" w:after="120" w:line="360" w:lineRule="auto"/>
        <w:ind w:left="1416" w:hanging="566"/>
        <w:rPr>
          <w:szCs w:val="24"/>
          <w:lang w:val="sv-SE" w:eastAsia="en-US"/>
        </w:rPr>
      </w:pPr>
      <w:r w:rsidRPr="00DC67EB">
        <w:rPr>
          <w:szCs w:val="24"/>
          <w:lang w:val="sv-SE" w:eastAsia="en-US"/>
        </w:rPr>
        <w:t>(1)</w:t>
      </w:r>
      <w:r w:rsidRPr="00DC67EB">
        <w:rPr>
          <w:szCs w:val="24"/>
          <w:lang w:val="sv-SE" w:eastAsia="en-US"/>
        </w:rPr>
        <w:tab/>
        <w:t>A Bizottság felhatalmazást kap arra, hogy végrehajtási jogi aktusokat fogadjon el abból a célból, hogy az ECHA által készített tudományos jelentésekre tekintettel összeállítsa azon anyagok megfigyelési listáját, amelyekre vonatkozóan uniós szintű monitoringadatokat kell gyűjteni a tagállamoktól, valamint hogy meghatározza azokat a formátumokat, amelyeket a tagállamoknak a monitoring eredményeiről és a kapcsolódó információkról a Bizottság felé történő jelentéstételhez használniuk kell. Ezeket a végrehajtási jogi aktusokat a 9. cikk (2) bekezdésében említett vizsgálóbizottsági eljárás keretében kell elfogadni.</w:t>
      </w:r>
    </w:p>
    <w:p w14:paraId="68AF131E" w14:textId="77777777" w:rsidR="001D30D4" w:rsidRPr="00DC67EB" w:rsidRDefault="001D30D4" w:rsidP="001D30D4">
      <w:pPr>
        <w:spacing w:before="120" w:after="120" w:line="360" w:lineRule="auto"/>
        <w:ind w:left="1416"/>
        <w:rPr>
          <w:szCs w:val="24"/>
          <w:lang w:val="sv-SE" w:eastAsia="en-US"/>
        </w:rPr>
      </w:pPr>
      <w:r w:rsidRPr="00DC67EB">
        <w:rPr>
          <w:szCs w:val="24"/>
          <w:lang w:val="sv-SE" w:eastAsia="en-US"/>
        </w:rPr>
        <w:br w:type="page"/>
      </w:r>
      <w:r w:rsidRPr="00DC67EB">
        <w:rPr>
          <w:szCs w:val="24"/>
          <w:lang w:val="sv-SE" w:eastAsia="en-US"/>
        </w:rPr>
        <w:lastRenderedPageBreak/>
        <w:t xml:space="preserve">A megfigyelési lista </w:t>
      </w:r>
      <w:r w:rsidRPr="00DC67EB">
        <w:rPr>
          <w:strike/>
          <w:szCs w:val="24"/>
          <w:lang w:val="sv-SE" w:eastAsia="en-US"/>
        </w:rPr>
        <w:t>egyidejűleg legfeljebb tíz</w:t>
      </w:r>
      <w:r w:rsidRPr="00DC67EB">
        <w:rPr>
          <w:b/>
          <w:i/>
          <w:szCs w:val="24"/>
          <w:lang w:val="sv-SE" w:eastAsia="en-US"/>
        </w:rPr>
        <w:t>legalább öt olyan újonnan megjelenő, aggodalomra okot adó szennyező</w:t>
      </w:r>
      <w:r w:rsidRPr="00DC67EB">
        <w:rPr>
          <w:szCs w:val="24"/>
          <w:lang w:val="sv-SE" w:eastAsia="en-US"/>
        </w:rPr>
        <w:t xml:space="preserve"> anyagot vagy anyagcsoportot tartalmaz, </w:t>
      </w:r>
      <w:r w:rsidRPr="00DC67EB">
        <w:rPr>
          <w:strike/>
          <w:szCs w:val="24"/>
          <w:lang w:val="sv-SE" w:eastAsia="en-US"/>
        </w:rPr>
        <w:t>és minden egyes anyag esetében feltünteti a monitoringmátrixokat és a lehetséges elemzési módszereket. Ezek a monitoringmátrixok és -módszerek nem róhatnak aránytalan költségeket az illetékes hatóságokra. A megfigyelési listán feltüntetendő anyagokat</w:t>
      </w:r>
      <w:r w:rsidRPr="00DC67EB">
        <w:rPr>
          <w:b/>
          <w:i/>
          <w:szCs w:val="24"/>
          <w:lang w:val="sv-SE" w:eastAsia="en-US"/>
        </w:rPr>
        <w:t>amelyeket</w:t>
      </w:r>
      <w:r w:rsidRPr="00DC67EB">
        <w:rPr>
          <w:szCs w:val="24"/>
          <w:lang w:val="sv-SE" w:eastAsia="en-US"/>
        </w:rPr>
        <w:t xml:space="preserve"> </w:t>
      </w:r>
      <w:r w:rsidRPr="00DC67EB">
        <w:rPr>
          <w:b/>
          <w:i/>
          <w:szCs w:val="24"/>
          <w:lang w:val="sv-SE" w:eastAsia="en-US"/>
        </w:rPr>
        <w:t xml:space="preserve">azon anyagok közül </w:t>
      </w:r>
      <w:r w:rsidRPr="00DC67EB">
        <w:rPr>
          <w:b/>
          <w:i/>
          <w:strike/>
          <w:szCs w:val="24"/>
          <w:lang w:val="sv-SE" w:eastAsia="en-US"/>
        </w:rPr>
        <w:t>választják</w:t>
      </w:r>
      <w:r w:rsidRPr="00DC67EB">
        <w:rPr>
          <w:b/>
          <w:i/>
          <w:szCs w:val="24"/>
          <w:lang w:val="sv-SE" w:eastAsia="en-US"/>
        </w:rPr>
        <w:t>választanak ki, amelyekkel kapcsolatban a rendelkezésre álló információk – a negyedik albekezdéssel összhangban is – arra utalnak, hogy a vízi környezetre vagy azon keresztül uniós szinten jelentős kockázatot jelenthetnek, és amelyek tekintetében nem áll rendelkezésre elegendő monitoringadat, kivéve, ha azon kiválasztható anyagok vagy anyagcsoportok száma, amelyekkel kapcsolatban a rendelkezésre álló információk arra utalnak, hogy a vízi környezetre vagy azon keresztül uniós szinten jelentős kockázatot jelenthetnek, ötnél kevesebb</w:t>
      </w:r>
      <w:r w:rsidR="00EA1FAD" w:rsidRPr="00DC67EB">
        <w:rPr>
          <w:b/>
          <w:i/>
          <w:szCs w:val="24"/>
          <w:lang w:val="sv-SE" w:eastAsia="en-US"/>
        </w:rPr>
        <w:t>, e</w:t>
      </w:r>
      <w:r w:rsidRPr="00DC67EB">
        <w:rPr>
          <w:b/>
          <w:i/>
          <w:szCs w:val="24"/>
          <w:lang w:val="sv-SE" w:eastAsia="en-US"/>
        </w:rPr>
        <w:t>bben az esetben</w:t>
      </w:r>
      <w:r w:rsidRPr="00DC67EB">
        <w:rPr>
          <w:szCs w:val="24"/>
          <w:lang w:val="sv-SE" w:eastAsia="en-US"/>
        </w:rPr>
        <w:t xml:space="preserve"> a megfigyelési </w:t>
      </w:r>
      <w:r w:rsidRPr="00DC67EB">
        <w:rPr>
          <w:strike/>
          <w:szCs w:val="24"/>
          <w:lang w:val="sv-SE" w:eastAsia="en-US"/>
        </w:rPr>
        <w:t>lista tartalmazza az új szennyező anyagokat</w:t>
      </w:r>
      <w:r w:rsidRPr="00DC67EB">
        <w:rPr>
          <w:b/>
          <w:i/>
          <w:szCs w:val="24"/>
          <w:lang w:val="sv-SE" w:eastAsia="en-US"/>
        </w:rPr>
        <w:t>listának valamennyi ilyen anyagot tartalmaznia kell</w:t>
      </w:r>
      <w:r w:rsidRPr="00DC67EB">
        <w:rPr>
          <w:szCs w:val="24"/>
          <w:lang w:val="sv-SE" w:eastAsia="en-US"/>
        </w:rPr>
        <w:t>.</w:t>
      </w:r>
    </w:p>
    <w:p w14:paraId="1F7D528C" w14:textId="77777777" w:rsidR="001D30D4" w:rsidRPr="00DC67EB" w:rsidRDefault="001D30D4" w:rsidP="001D30D4">
      <w:pPr>
        <w:spacing w:before="120" w:after="120" w:line="360" w:lineRule="auto"/>
        <w:ind w:left="1416"/>
        <w:rPr>
          <w:szCs w:val="24"/>
          <w:lang w:val="sv-SE" w:eastAsia="en-US"/>
        </w:rPr>
      </w:pPr>
      <w:r w:rsidRPr="00DC67EB">
        <w:rPr>
          <w:b/>
          <w:i/>
          <w:szCs w:val="24"/>
          <w:lang w:val="sv-SE" w:eastAsia="en-US"/>
        </w:rPr>
        <w:t xml:space="preserve">Az anyagok vagy anyagcsoportok minimális száma mellett a megfigyelési lista szennyezési indikátorokat is tartalmazhat. </w:t>
      </w:r>
    </w:p>
    <w:p w14:paraId="25D486E0" w14:textId="77777777" w:rsidR="001D30D4" w:rsidRPr="00DC67EB" w:rsidRDefault="001D30D4" w:rsidP="001D30D4">
      <w:pPr>
        <w:spacing w:before="120" w:after="120" w:line="360" w:lineRule="auto"/>
        <w:ind w:left="1416"/>
        <w:rPr>
          <w:b/>
          <w:szCs w:val="24"/>
          <w:lang w:val="sv-SE" w:eastAsia="en-US"/>
        </w:rPr>
      </w:pPr>
      <w:r w:rsidRPr="00DC67EB">
        <w:rPr>
          <w:b/>
          <w:i/>
          <w:szCs w:val="24"/>
          <w:lang w:val="sv-SE" w:eastAsia="en-US"/>
        </w:rPr>
        <w:t>A megfigyelési lista minden egyes anyag esetében meghatározza a monitoringmátrixokat és a lehetséges elemzési módszereket.</w:t>
      </w:r>
      <w:r w:rsidRPr="00DC67EB">
        <w:rPr>
          <w:szCs w:val="24"/>
          <w:lang w:val="sv-SE" w:eastAsia="en-US"/>
        </w:rPr>
        <w:t xml:space="preserve"> Ezek a monitoringmátrixok és -módszerek nem róhatnak aránytalan költségeket az illetékes hatóságokra.</w:t>
      </w:r>
      <w:r w:rsidR="00EA1FAD" w:rsidRPr="00DC67EB">
        <w:rPr>
          <w:szCs w:val="24"/>
          <w:lang w:val="sv-SE" w:eastAsia="en-US"/>
        </w:rPr>
        <w:t xml:space="preserve"> </w:t>
      </w:r>
      <w:r w:rsidR="00EA1FAD" w:rsidRPr="00DC67EB">
        <w:rPr>
          <w:b/>
          <w:szCs w:val="24"/>
          <w:lang w:val="sv-SE" w:eastAsia="en-US"/>
        </w:rPr>
        <w:t xml:space="preserve"> [Mód. 126]</w:t>
      </w:r>
    </w:p>
    <w:p w14:paraId="6546F3D3" w14:textId="77777777" w:rsidR="00EA1FAD" w:rsidRPr="00DC67EB" w:rsidRDefault="00EA1FAD">
      <w:pPr>
        <w:widowControl/>
        <w:rPr>
          <w:strike/>
          <w:szCs w:val="24"/>
          <w:lang w:val="sv-SE" w:eastAsia="en-US"/>
        </w:rPr>
      </w:pPr>
      <w:r w:rsidRPr="00DC67EB">
        <w:rPr>
          <w:strike/>
          <w:szCs w:val="24"/>
          <w:lang w:val="sv-SE" w:eastAsia="en-US"/>
        </w:rPr>
        <w:br w:type="page"/>
      </w:r>
    </w:p>
    <w:p w14:paraId="6E04C52F" w14:textId="77777777" w:rsidR="001D30D4" w:rsidRPr="00DC67EB" w:rsidRDefault="001D30D4" w:rsidP="001D30D4">
      <w:pPr>
        <w:spacing w:before="120" w:after="120" w:line="360" w:lineRule="auto"/>
        <w:ind w:left="1416"/>
        <w:rPr>
          <w:b/>
          <w:szCs w:val="24"/>
          <w:lang w:val="sv-SE" w:eastAsia="en-US"/>
        </w:rPr>
      </w:pPr>
      <w:r w:rsidRPr="00DC67EB">
        <w:rPr>
          <w:strike/>
          <w:szCs w:val="24"/>
          <w:lang w:val="sv-SE" w:eastAsia="en-US"/>
        </w:rPr>
        <w:lastRenderedPageBreak/>
        <w:t xml:space="preserve">Amint </w:t>
      </w:r>
      <w:r w:rsidRPr="00DC67EB">
        <w:rPr>
          <w:szCs w:val="24"/>
          <w:lang w:val="sv-SE" w:eastAsia="en-US"/>
        </w:rPr>
        <w:t xml:space="preserve">A mikroműanyagok és a kiválasztott antimikrobiális rezisztenciagének megfelelő </w:t>
      </w:r>
      <w:r w:rsidRPr="00DC67EB">
        <w:rPr>
          <w:strike/>
          <w:szCs w:val="24"/>
          <w:lang w:val="sv-SE" w:eastAsia="en-US"/>
        </w:rPr>
        <w:t>monitoringmódszerei</w:t>
      </w:r>
      <w:r w:rsidRPr="00DC67EB">
        <w:rPr>
          <w:b/>
          <w:i/>
          <w:szCs w:val="24"/>
          <w:lang w:val="sv-SE" w:eastAsia="en-US"/>
        </w:rPr>
        <w:t>monitoringmódszereit a lehető leghamarabb, de legkésőbb [az e módosító irányelv hatálybalépését követő 18 hónapot követő hónap első napja]-ig meg kell határozni. Amint e monitoringmódszerek</w:t>
      </w:r>
      <w:r w:rsidRPr="00DC67EB">
        <w:rPr>
          <w:szCs w:val="24"/>
          <w:lang w:val="sv-SE" w:eastAsia="en-US"/>
        </w:rPr>
        <w:t xml:space="preserve"> meghatározásra kerültek, </w:t>
      </w:r>
      <w:r w:rsidRPr="00DC67EB">
        <w:rPr>
          <w:strike/>
          <w:szCs w:val="24"/>
          <w:lang w:val="sv-SE" w:eastAsia="en-US"/>
        </w:rPr>
        <w:t>ezeket az anyagokat</w:t>
      </w:r>
      <w:r w:rsidRPr="00DC67EB">
        <w:rPr>
          <w:b/>
          <w:i/>
          <w:szCs w:val="24"/>
          <w:lang w:val="sv-SE" w:eastAsia="en-US"/>
        </w:rPr>
        <w:t>a mikroműanyagokat és a kiválasztott antimikrobiális rezisztenciagéneket a (2) bekezdéssel összhangban</w:t>
      </w:r>
      <w:r w:rsidRPr="00DC67EB">
        <w:rPr>
          <w:szCs w:val="24"/>
          <w:lang w:val="sv-SE" w:eastAsia="en-US"/>
        </w:rPr>
        <w:t xml:space="preserve"> fel kell venni a megfigyelési listára.</w:t>
      </w:r>
      <w:r w:rsidRPr="00DC67EB">
        <w:rPr>
          <w:b/>
          <w:i/>
          <w:szCs w:val="24"/>
          <w:lang w:val="sv-SE" w:eastAsia="en-US"/>
        </w:rPr>
        <w:t xml:space="preserve"> A Bizottság mérlegeli, hogy szükség van-e a szulfátok, a xantátok és a nem releváns növényvédőszer-metabolitok (nrM-ek) megfigyelési listára való felvételére ahhoz, hogy ezen irányelv hatálya tekintetében javuljon a jelenlétükre vonatkozó adatok rendelkezésre állása.</w:t>
      </w:r>
      <w:r w:rsidR="00EA1FAD" w:rsidRPr="00DC67EB">
        <w:rPr>
          <w:b/>
          <w:szCs w:val="24"/>
          <w:lang w:val="sv-SE" w:eastAsia="en-US"/>
        </w:rPr>
        <w:t xml:space="preserve"> [Mód. 127]</w:t>
      </w:r>
    </w:p>
    <w:p w14:paraId="480D8C9E" w14:textId="77777777" w:rsidR="001D30D4" w:rsidRPr="00DC67EB" w:rsidRDefault="001D30D4" w:rsidP="001D30D4">
      <w:pPr>
        <w:spacing w:before="120" w:after="120" w:line="360" w:lineRule="auto"/>
        <w:rPr>
          <w:szCs w:val="24"/>
          <w:lang w:val="sv-SE" w:eastAsia="en-US"/>
        </w:rPr>
      </w:pPr>
    </w:p>
    <w:p w14:paraId="4AD85CA5" w14:textId="77777777" w:rsidR="001D30D4" w:rsidRPr="00DC67EB" w:rsidRDefault="001D30D4" w:rsidP="001D30D4">
      <w:pPr>
        <w:spacing w:before="120" w:after="120" w:line="360" w:lineRule="auto"/>
        <w:ind w:left="1416"/>
        <w:rPr>
          <w:b/>
          <w:szCs w:val="24"/>
          <w:lang w:val="sv-SE" w:eastAsia="en-US"/>
        </w:rPr>
      </w:pPr>
      <w:r w:rsidRPr="00DC67EB">
        <w:rPr>
          <w:szCs w:val="24"/>
          <w:lang w:val="sv-SE" w:eastAsia="en-US"/>
        </w:rPr>
        <w:t xml:space="preserve">Az ECHA tudományos jelentések készítésével segíti a Bizottságot a megfigyelési listára felveendő anyagok </w:t>
      </w:r>
      <w:r w:rsidRPr="00DC67EB">
        <w:rPr>
          <w:b/>
          <w:i/>
          <w:szCs w:val="24"/>
          <w:lang w:val="sv-SE" w:eastAsia="en-US"/>
        </w:rPr>
        <w:t xml:space="preserve">és szennyezési indikátorok </w:t>
      </w:r>
      <w:r w:rsidRPr="00DC67EB">
        <w:rPr>
          <w:szCs w:val="24"/>
          <w:lang w:val="sv-SE" w:eastAsia="en-US"/>
        </w:rPr>
        <w:t>kiválasztásában, figyelembe véve a következő információkat:</w:t>
      </w:r>
      <w:r w:rsidR="00EA1FAD" w:rsidRPr="00DC67EB">
        <w:rPr>
          <w:b/>
          <w:szCs w:val="24"/>
          <w:lang w:val="sv-SE" w:eastAsia="en-US"/>
        </w:rPr>
        <w:t xml:space="preserve"> [Mód. 128]</w:t>
      </w:r>
    </w:p>
    <w:p w14:paraId="6966F836" w14:textId="77777777" w:rsidR="001D30D4" w:rsidRPr="00DC67EB" w:rsidRDefault="001D30D4" w:rsidP="001D30D4">
      <w:pPr>
        <w:spacing w:before="120" w:after="120" w:line="360" w:lineRule="auto"/>
        <w:ind w:left="1982" w:hanging="566"/>
        <w:rPr>
          <w:szCs w:val="24"/>
          <w:lang w:val="sv-SE" w:eastAsia="en-US"/>
        </w:rPr>
      </w:pPr>
      <w:r w:rsidRPr="00DC67EB">
        <w:rPr>
          <w:szCs w:val="24"/>
          <w:lang w:val="sv-SE" w:eastAsia="en-US"/>
        </w:rPr>
        <w:t>a)</w:t>
      </w:r>
      <w:r w:rsidRPr="00DC67EB">
        <w:rPr>
          <w:szCs w:val="24"/>
          <w:lang w:val="sv-SE" w:eastAsia="en-US"/>
        </w:rPr>
        <w:tab/>
        <w:t>az ezen irányelv I. mellékletét érintő legutóbbi rendszeres felülvizsgálat eredményei;</w:t>
      </w:r>
    </w:p>
    <w:p w14:paraId="2E4D1A64" w14:textId="77777777" w:rsidR="001D30D4" w:rsidRPr="00DC67EB" w:rsidRDefault="001D30D4" w:rsidP="001D30D4">
      <w:pPr>
        <w:spacing w:before="120" w:after="120" w:line="360" w:lineRule="auto"/>
        <w:ind w:left="1982" w:hanging="566"/>
        <w:rPr>
          <w:szCs w:val="24"/>
          <w:lang w:val="sv-SE" w:eastAsia="en-US"/>
        </w:rPr>
      </w:pPr>
      <w:r w:rsidRPr="00DC67EB">
        <w:rPr>
          <w:szCs w:val="24"/>
          <w:lang w:val="sv-SE" w:eastAsia="en-US"/>
        </w:rPr>
        <w:t>b)</w:t>
      </w:r>
      <w:r w:rsidRPr="00DC67EB">
        <w:rPr>
          <w:szCs w:val="24"/>
          <w:lang w:val="sv-SE" w:eastAsia="en-US"/>
        </w:rPr>
        <w:tab/>
        <w:t>a 2008/105/EK irányelv 8. cikkében említett érdekelt felek ajánlásai;</w:t>
      </w:r>
    </w:p>
    <w:p w14:paraId="5EFA41F2" w14:textId="77777777" w:rsidR="00EA1FAD" w:rsidRPr="00DC67EB" w:rsidRDefault="00EA1FAD">
      <w:pPr>
        <w:widowControl/>
        <w:rPr>
          <w:szCs w:val="24"/>
          <w:lang w:val="sv-SE" w:eastAsia="en-US"/>
        </w:rPr>
      </w:pPr>
      <w:r w:rsidRPr="00DC67EB">
        <w:rPr>
          <w:szCs w:val="24"/>
          <w:lang w:val="sv-SE" w:eastAsia="en-US"/>
        </w:rPr>
        <w:br w:type="page"/>
      </w:r>
    </w:p>
    <w:p w14:paraId="41C0D607" w14:textId="77777777" w:rsidR="001D30D4" w:rsidRPr="00DC67EB" w:rsidRDefault="001D30D4" w:rsidP="001D30D4">
      <w:pPr>
        <w:spacing w:before="120" w:after="120" w:line="360" w:lineRule="auto"/>
        <w:ind w:left="1982" w:hanging="566"/>
        <w:rPr>
          <w:szCs w:val="24"/>
          <w:lang w:val="sv-SE" w:eastAsia="en-US"/>
        </w:rPr>
      </w:pPr>
      <w:r w:rsidRPr="00DC67EB">
        <w:rPr>
          <w:szCs w:val="24"/>
          <w:lang w:val="sv-SE" w:eastAsia="en-US"/>
        </w:rPr>
        <w:lastRenderedPageBreak/>
        <w:t>c)</w:t>
      </w:r>
      <w:r w:rsidRPr="00DC67EB">
        <w:rPr>
          <w:szCs w:val="24"/>
          <w:lang w:val="sv-SE" w:eastAsia="en-US"/>
        </w:rPr>
        <w:tab/>
        <w:t>a vízgyűjtő kerületek tagállamok általi jellemzése a 2000/60/EK irányelv 5. cikkével összhangban, valamint az említett irányelv 8. cikkével összhangban létrehozott megfigyelési programok eredményei;</w:t>
      </w:r>
    </w:p>
    <w:p w14:paraId="1DDFA0B7" w14:textId="77777777" w:rsidR="001D30D4" w:rsidRPr="00DC67EB" w:rsidRDefault="001D30D4" w:rsidP="001D30D4">
      <w:pPr>
        <w:spacing w:before="120" w:after="120" w:line="360" w:lineRule="auto"/>
        <w:ind w:left="1982" w:hanging="566"/>
        <w:rPr>
          <w:szCs w:val="24"/>
          <w:lang w:val="sv-SE" w:eastAsia="en-US"/>
        </w:rPr>
      </w:pPr>
      <w:r w:rsidRPr="00DC67EB">
        <w:rPr>
          <w:szCs w:val="24"/>
          <w:lang w:val="sv-SE" w:eastAsia="en-US"/>
        </w:rPr>
        <w:t>d)</w:t>
      </w:r>
      <w:r w:rsidRPr="00DC67EB">
        <w:rPr>
          <w:szCs w:val="24"/>
          <w:lang w:val="sv-SE" w:eastAsia="en-US"/>
        </w:rPr>
        <w:tab/>
        <w:t>egy adott anyag tekintetében a termelési mennyiségekre, felhasználási módokra, lényegi tulajdonságokra (beleértve adott esetben a részecskeméretet is), környezeti koncentrációkra, valamint az emberi egészségre és a vízi környezetre gyakorolt káros hatásokra vonatkozó információk, az 1907/2006/EK rendelet, az 1107/2009/EK rendelet, az 528/2012/EU rendelet, az (EU) 2019/6 rendelet, a 2001/83/EK irányelv és a 2009/128/EK irányelv szerint gyűjtött információkat is beleértve;</w:t>
      </w:r>
    </w:p>
    <w:p w14:paraId="27253B9D" w14:textId="77777777" w:rsidR="001D30D4" w:rsidRPr="00DC67EB" w:rsidRDefault="001D30D4" w:rsidP="001D30D4">
      <w:pPr>
        <w:spacing w:before="120" w:after="120" w:line="360" w:lineRule="auto"/>
        <w:ind w:left="1982" w:hanging="566"/>
        <w:rPr>
          <w:b/>
          <w:szCs w:val="24"/>
          <w:lang w:val="sv-SE" w:eastAsia="en-US"/>
        </w:rPr>
      </w:pPr>
      <w:r w:rsidRPr="00DC67EB">
        <w:rPr>
          <w:szCs w:val="24"/>
          <w:lang w:val="sv-SE" w:eastAsia="en-US"/>
        </w:rPr>
        <w:t>e)</w:t>
      </w:r>
      <w:r w:rsidRPr="00DC67EB">
        <w:rPr>
          <w:szCs w:val="24"/>
          <w:lang w:val="sv-SE" w:eastAsia="en-US"/>
        </w:rPr>
        <w:tab/>
        <w:t>kutatási projektek</w:t>
      </w:r>
      <w:r w:rsidRPr="00DC67EB">
        <w:rPr>
          <w:strike/>
          <w:szCs w:val="24"/>
          <w:lang w:val="sv-SE" w:eastAsia="en-US"/>
        </w:rPr>
        <w:t xml:space="preserve"> és</w:t>
      </w:r>
      <w:r w:rsidRPr="00DC67EB">
        <w:rPr>
          <w:b/>
          <w:i/>
          <w:szCs w:val="24"/>
          <w:lang w:val="sv-SE" w:eastAsia="en-US"/>
        </w:rPr>
        <w:t>,</w:t>
      </w:r>
      <w:r w:rsidRPr="00DC67EB">
        <w:rPr>
          <w:szCs w:val="24"/>
          <w:lang w:val="sv-SE" w:eastAsia="en-US"/>
        </w:rPr>
        <w:t xml:space="preserve"> tudományos publikációk</w:t>
      </w:r>
      <w:r w:rsidRPr="00DC67EB">
        <w:rPr>
          <w:b/>
          <w:i/>
          <w:szCs w:val="24"/>
          <w:lang w:val="sv-SE" w:eastAsia="en-US"/>
        </w:rPr>
        <w:t xml:space="preserve"> és bizonyítékok</w:t>
      </w:r>
      <w:r w:rsidRPr="00DC67EB">
        <w:rPr>
          <w:szCs w:val="24"/>
          <w:lang w:val="sv-SE" w:eastAsia="en-US"/>
        </w:rPr>
        <w:t xml:space="preserve">, beleértve a modellezésen vagy más prediktív értékeléseken alapuló tendenciákra és előrejelzésekre vonatkozó információkat, valamint a távérzékelési technológiák, a Föld-megfigyelés (Kopernikusz-szolgáltatások), a helyszíni érzékelők és eszközök, illetve a civil tudomány révén </w:t>
      </w:r>
      <w:r w:rsidRPr="00DC67EB">
        <w:rPr>
          <w:strike/>
          <w:szCs w:val="24"/>
          <w:lang w:val="sv-SE" w:eastAsia="en-US"/>
        </w:rPr>
        <w:t>nyert adatok és</w:t>
      </w:r>
      <w:r w:rsidRPr="00DC67EB">
        <w:rPr>
          <w:b/>
          <w:i/>
          <w:szCs w:val="24"/>
          <w:lang w:val="sv-SE" w:eastAsia="en-US"/>
        </w:rPr>
        <w:t>gyűjtött</w:t>
      </w:r>
      <w:r w:rsidRPr="00DC67EB">
        <w:rPr>
          <w:szCs w:val="24"/>
          <w:lang w:val="sv-SE" w:eastAsia="en-US"/>
        </w:rPr>
        <w:t xml:space="preserve"> információk</w:t>
      </w:r>
      <w:r w:rsidRPr="00DC67EB">
        <w:rPr>
          <w:b/>
          <w:i/>
          <w:szCs w:val="24"/>
          <w:lang w:val="sv-SE" w:eastAsia="en-US"/>
        </w:rPr>
        <w:t xml:space="preserve"> és adatok</w:t>
      </w:r>
      <w:r w:rsidRPr="00DC67EB">
        <w:rPr>
          <w:szCs w:val="24"/>
          <w:lang w:val="sv-SE" w:eastAsia="en-US"/>
        </w:rPr>
        <w:t>, kihasználva a mesterséges intelligencia, valamint a fejlett adatelemzés és -feldolgozás kínálta lehetőségeket.</w:t>
      </w:r>
      <w:r w:rsidR="00EA1FAD" w:rsidRPr="00DC67EB">
        <w:rPr>
          <w:b/>
          <w:szCs w:val="24"/>
          <w:lang w:val="sv-SE" w:eastAsia="en-US"/>
        </w:rPr>
        <w:t xml:space="preserve"> [Mód. 129]</w:t>
      </w:r>
    </w:p>
    <w:p w14:paraId="5A6CB32D" w14:textId="77777777" w:rsidR="00EA1FAD" w:rsidRPr="00DC67EB" w:rsidRDefault="00EA1FAD">
      <w:pPr>
        <w:widowControl/>
        <w:rPr>
          <w:szCs w:val="24"/>
          <w:lang w:val="sv-SE" w:eastAsia="en-US"/>
        </w:rPr>
      </w:pPr>
      <w:r w:rsidRPr="00DC67EB">
        <w:rPr>
          <w:szCs w:val="24"/>
          <w:lang w:val="sv-SE" w:eastAsia="en-US"/>
        </w:rPr>
        <w:br w:type="page"/>
      </w:r>
    </w:p>
    <w:p w14:paraId="1722A795" w14:textId="77777777" w:rsidR="001D30D4" w:rsidRPr="00DC67EB" w:rsidRDefault="001D30D4" w:rsidP="001D30D4">
      <w:pPr>
        <w:spacing w:before="120" w:after="120" w:line="360" w:lineRule="auto"/>
        <w:ind w:left="1416"/>
        <w:rPr>
          <w:szCs w:val="24"/>
          <w:lang w:val="sv-SE" w:eastAsia="en-US"/>
        </w:rPr>
      </w:pPr>
      <w:r w:rsidRPr="00DC67EB">
        <w:rPr>
          <w:szCs w:val="24"/>
          <w:lang w:val="sv-SE" w:eastAsia="en-US"/>
        </w:rPr>
        <w:lastRenderedPageBreak/>
        <w:t>Az ECHA háromévente jelentést készít, amelyben összefoglalja a negyedik albekezdés alapján elkészített tudományos jelentések megállapításait, és ezt a jelentést nyilvánosan hozzáférhetővé teszi. Az ECHA első jelentését [Kiadóhivatal: kérjük, illesszék be az ezen irányelv hatálybalépését követő huszonegyedik hónap első napját]-ig rendelkezésre kell bocsátani.</w:t>
      </w:r>
    </w:p>
    <w:p w14:paraId="2783B7A0" w14:textId="77777777" w:rsidR="001D30D4" w:rsidRPr="00DC67EB" w:rsidRDefault="00EA1FAD" w:rsidP="006773C8">
      <w:pPr>
        <w:spacing w:before="120" w:after="120" w:line="360" w:lineRule="auto"/>
        <w:ind w:left="1416" w:hanging="566"/>
        <w:rPr>
          <w:szCs w:val="24"/>
          <w:lang w:val="sv-SE" w:eastAsia="en-US"/>
        </w:rPr>
      </w:pPr>
      <w:r w:rsidRPr="00DC67EB">
        <w:rPr>
          <w:szCs w:val="24"/>
          <w:lang w:val="sv-SE" w:eastAsia="en-US"/>
        </w:rPr>
        <w:t>(2)</w:t>
      </w:r>
      <w:r w:rsidR="001D30D4" w:rsidRPr="00DC67EB">
        <w:rPr>
          <w:szCs w:val="24"/>
          <w:lang w:val="sv-SE" w:eastAsia="en-US"/>
        </w:rPr>
        <w:tab/>
      </w:r>
      <w:r w:rsidR="001D30D4" w:rsidRPr="00DC67EB">
        <w:rPr>
          <w:strike/>
          <w:szCs w:val="24"/>
          <w:lang w:val="sv-SE" w:eastAsia="en-US"/>
        </w:rPr>
        <w:t xml:space="preserve">A megfigyelési listát [Kiadóhivatal: kérjük, illesszék be az ezen irányelv hatálybalépését követő huszonharmadik hónap utolsó napját]-ig, majd ezt követően 36 havonta naprakésszé kell tenni. </w:t>
      </w:r>
      <w:r w:rsidR="001D30D4" w:rsidRPr="00DC67EB">
        <w:rPr>
          <w:szCs w:val="24"/>
          <w:lang w:val="sv-SE" w:eastAsia="en-US"/>
        </w:rPr>
        <w:t xml:space="preserve">A megfigyelési listát [Kiadóhivatal: kérjük, illesszék be az ezen irányelv hatálybalépését követő </w:t>
      </w:r>
      <w:r w:rsidR="001D30D4" w:rsidRPr="00DC67EB">
        <w:rPr>
          <w:b/>
          <w:i/>
          <w:szCs w:val="24"/>
          <w:lang w:val="sv-SE" w:eastAsia="en-US"/>
        </w:rPr>
        <w:t xml:space="preserve">huszonharmadik hónap utolsó napját]-ig, </w:t>
      </w:r>
      <w:r w:rsidR="001D30D4" w:rsidRPr="00DC67EB">
        <w:rPr>
          <w:szCs w:val="24"/>
          <w:lang w:val="sv-SE" w:eastAsia="en-US"/>
        </w:rPr>
        <w:t>majd ezt követően legkésőbb 36 havonta,</w:t>
      </w:r>
      <w:r w:rsidR="001D30D4" w:rsidRPr="00DC67EB">
        <w:rPr>
          <w:b/>
          <w:i/>
          <w:szCs w:val="24"/>
          <w:lang w:val="sv-SE" w:eastAsia="en-US"/>
        </w:rPr>
        <w:t xml:space="preserve"> illetve abban az esetben gyakrabban naprakésszé kell tenni, ha olyan új tudományos bizonyítékok merülnek fel, amelyek az egyes felülvizsgálatok közötti időszakban szükségessé tennék a lista frissítését.</w:t>
      </w:r>
    </w:p>
    <w:p w14:paraId="03284D52" w14:textId="77777777" w:rsidR="001D30D4" w:rsidRPr="00DC67EB" w:rsidRDefault="001D30D4" w:rsidP="001D30D4">
      <w:pPr>
        <w:spacing w:before="120" w:after="120" w:line="360" w:lineRule="auto"/>
        <w:ind w:left="1416"/>
        <w:rPr>
          <w:szCs w:val="24"/>
          <w:lang w:val="sv-SE" w:eastAsia="en-US"/>
        </w:rPr>
      </w:pPr>
      <w:r w:rsidRPr="00DC67EB">
        <w:rPr>
          <w:b/>
          <w:i/>
          <w:szCs w:val="24"/>
          <w:lang w:val="sv-SE" w:eastAsia="en-US"/>
        </w:rPr>
        <w:t>A tagállamok kétévente értékelik az energetikai átálláshoz kapcsolódó ipari tevékenységek vízminőségre gyakorolt hatását, és tájékoztatják a Bizottságot az újonnan meghatározott veszélyekről, hogy a Bizottság ennek megfelelően frissíthesse a megfigyelési listát. A nyilvánosság számára könnyű hozzáférést kell biztosítani az értékeléshez.</w:t>
      </w:r>
    </w:p>
    <w:p w14:paraId="3C2AEE3F" w14:textId="77777777" w:rsidR="00B23C9C" w:rsidRPr="00DC67EB" w:rsidRDefault="00B23C9C">
      <w:pPr>
        <w:widowControl/>
        <w:rPr>
          <w:szCs w:val="24"/>
          <w:lang w:val="sv-SE" w:eastAsia="en-US"/>
        </w:rPr>
      </w:pPr>
      <w:r w:rsidRPr="00DC67EB">
        <w:rPr>
          <w:szCs w:val="24"/>
          <w:lang w:val="sv-SE" w:eastAsia="en-US"/>
        </w:rPr>
        <w:br w:type="page"/>
      </w:r>
    </w:p>
    <w:p w14:paraId="5602CE37" w14:textId="77777777" w:rsidR="00B23C9C" w:rsidRPr="00DC67EB" w:rsidRDefault="00B23C9C" w:rsidP="006773C8">
      <w:pPr>
        <w:spacing w:before="120" w:after="120" w:line="360" w:lineRule="auto"/>
        <w:ind w:left="1416" w:firstLine="2"/>
        <w:rPr>
          <w:b/>
          <w:szCs w:val="24"/>
          <w:lang w:val="sv-SE" w:eastAsia="en-US"/>
        </w:rPr>
      </w:pPr>
      <w:r w:rsidRPr="00DC67EB">
        <w:rPr>
          <w:szCs w:val="24"/>
          <w:lang w:val="sv-SE" w:eastAsia="en-US"/>
        </w:rPr>
        <w:lastRenderedPageBreak/>
        <w:t xml:space="preserve">A megfigyelési lista naprakésszé tételekor a Bizottság töröl a meglévő megfigyelési listáról minden olyan anyagot, amelyre vonatkozóan a vízi környezetre jelentett kockázat értékelése további monitoringadatok nélkül is elvégezhető. A megfigyelési lista naprakésszé tételét követően egy adott anyag vagy anyagcsoport legfeljebb három évig szerepelhet a megfigyelési listán, amennyiben a vízi környezetre jelentett kockázat értékeléséhez további monitoringadatokra van szükség. Valamennyi naprakésszé tett megfigyelési listának tartalmaznia kell egy vagy több olyan új anyagot is, amelyek esetében az ECHA tudományos jelentései alapján a Bizottság úgy ítéli meg, hogy kockázatot jelentenek a vízi környezetre nézve. </w:t>
      </w:r>
      <w:r w:rsidRPr="00DC67EB">
        <w:rPr>
          <w:b/>
          <w:szCs w:val="24"/>
          <w:lang w:val="sv-SE" w:eastAsia="en-US"/>
        </w:rPr>
        <w:t xml:space="preserve"> [Mód. 130]</w:t>
      </w:r>
    </w:p>
    <w:p w14:paraId="44ADF0F7" w14:textId="77777777" w:rsidR="001D30D4" w:rsidRPr="00DC67EB" w:rsidRDefault="001D30D4" w:rsidP="001D30D4">
      <w:pPr>
        <w:spacing w:before="120" w:after="120" w:line="360" w:lineRule="auto"/>
        <w:ind w:left="1416" w:hanging="566"/>
        <w:rPr>
          <w:szCs w:val="24"/>
          <w:lang w:val="sv-SE" w:eastAsia="en-US"/>
        </w:rPr>
      </w:pPr>
      <w:r w:rsidRPr="00DC67EB">
        <w:rPr>
          <w:szCs w:val="24"/>
          <w:lang w:val="sv-SE" w:eastAsia="en-US"/>
        </w:rPr>
        <w:t>(3)</w:t>
      </w:r>
      <w:r w:rsidRPr="00DC67EB">
        <w:rPr>
          <w:szCs w:val="24"/>
          <w:lang w:val="sv-SE" w:eastAsia="en-US"/>
        </w:rPr>
        <w:tab/>
        <w:t>A tagállamok a megfigyelési listán szereplő minden egyes anyagot vagy anyagcsoportot legalább 24 hónapon át, kijelölt, reprezentatív monitoringállomásokon figyelik meg. A megfigyelési időszak az adott anyag megfigyelési listára való felvételétől számított hat hónapon belül kezdődik meg.</w:t>
      </w:r>
    </w:p>
    <w:p w14:paraId="60021D87" w14:textId="77777777" w:rsidR="001D30D4" w:rsidRPr="00DC67EB" w:rsidRDefault="001D30D4" w:rsidP="001D30D4">
      <w:pPr>
        <w:spacing w:before="120" w:after="120" w:line="360" w:lineRule="auto"/>
        <w:ind w:left="1416"/>
        <w:rPr>
          <w:szCs w:val="24"/>
          <w:lang w:val="sv-SE" w:eastAsia="en-US"/>
        </w:rPr>
      </w:pPr>
      <w:r w:rsidRPr="00DC67EB">
        <w:rPr>
          <w:szCs w:val="24"/>
          <w:lang w:val="sv-SE" w:eastAsia="en-US"/>
        </w:rPr>
        <w:t>Minden tagállam kijelöl legalább egy monitoringállomást, továbbá, amennyiben a tagállam lakosainak száma meghaladja az egymilliót, további egy, továbbá, minden 60 000 km</w:t>
      </w:r>
      <w:r w:rsidRPr="00DC67EB">
        <w:rPr>
          <w:szCs w:val="24"/>
          <w:vertAlign w:val="superscript"/>
          <w:lang w:val="sv-SE" w:eastAsia="en-US"/>
        </w:rPr>
        <w:t>2</w:t>
      </w:r>
      <w:r w:rsidRPr="00DC67EB">
        <w:rPr>
          <w:szCs w:val="24"/>
          <w:lang w:val="sv-SE" w:eastAsia="en-US"/>
        </w:rPr>
        <w:t>-nyi földrajzi terület után (a legközelebbi egész számra kerekítve) további egy, továbbá minden ötmillió lakos után (a legközelebbi egész számra kerekítve) további egy monitoringállomást.</w:t>
      </w:r>
    </w:p>
    <w:p w14:paraId="4C33B02A" w14:textId="77777777" w:rsidR="00B23C9C" w:rsidRPr="00DC67EB" w:rsidRDefault="00B23C9C">
      <w:pPr>
        <w:widowControl/>
        <w:rPr>
          <w:szCs w:val="24"/>
          <w:lang w:val="sv-SE" w:eastAsia="en-US"/>
        </w:rPr>
      </w:pPr>
      <w:r w:rsidRPr="00DC67EB">
        <w:rPr>
          <w:szCs w:val="24"/>
          <w:lang w:val="sv-SE" w:eastAsia="en-US"/>
        </w:rPr>
        <w:br w:type="page"/>
      </w:r>
    </w:p>
    <w:p w14:paraId="75FA1937" w14:textId="77777777" w:rsidR="001D30D4" w:rsidRPr="00DC67EB" w:rsidRDefault="001D30D4" w:rsidP="001D30D4">
      <w:pPr>
        <w:spacing w:before="120" w:after="120" w:line="360" w:lineRule="auto"/>
        <w:ind w:left="1416"/>
        <w:rPr>
          <w:b/>
          <w:szCs w:val="24"/>
          <w:lang w:val="sv-SE" w:eastAsia="en-US"/>
        </w:rPr>
      </w:pPr>
      <w:r w:rsidRPr="00DC67EB">
        <w:rPr>
          <w:szCs w:val="24"/>
          <w:lang w:val="sv-SE" w:eastAsia="en-US"/>
        </w:rPr>
        <w:lastRenderedPageBreak/>
        <w:t xml:space="preserve">Az egyes anyagok vagy anyagcsoportok vonatkozásában a reprezentatív monitoringállomások, valamint a megfigyelés gyakoriságának és szezonális ütemezésének kiválasztása során a tagállamok figyelembe veszik az anyag vagy anyagcsoport felhasználási módjait és lehetséges előfordulását. A monitoringot legalább évente kétszer kell </w:t>
      </w:r>
      <w:r w:rsidRPr="00DC67EB">
        <w:rPr>
          <w:strike/>
          <w:szCs w:val="24"/>
          <w:lang w:val="sv-SE" w:eastAsia="en-US"/>
        </w:rPr>
        <w:t>végezni, kivéve az éghajlati vagy szezonális variabilitást mutató anyagokat, amelyek esetében –</w:t>
      </w:r>
      <w:r w:rsidRPr="00DC67EB">
        <w:rPr>
          <w:b/>
          <w:i/>
          <w:szCs w:val="24"/>
          <w:lang w:val="sv-SE" w:eastAsia="en-US"/>
        </w:rPr>
        <w:t>elvégezni.</w:t>
      </w:r>
      <w:r w:rsidRPr="00DC67EB">
        <w:rPr>
          <w:szCs w:val="24"/>
          <w:lang w:val="sv-SE" w:eastAsia="en-US"/>
        </w:rPr>
        <w:t xml:space="preserve"> Az (1) bekezdés alapján elfogadott, a megfigyelési listát létrehozó végrehajtási jogi aktusban meghatározottak szerint </w:t>
      </w:r>
      <w:r w:rsidRPr="00DC67EB">
        <w:rPr>
          <w:strike/>
          <w:szCs w:val="24"/>
          <w:lang w:val="sv-SE" w:eastAsia="en-US"/>
        </w:rPr>
        <w:t xml:space="preserve">– </w:t>
      </w:r>
      <w:r w:rsidRPr="00DC67EB">
        <w:rPr>
          <w:szCs w:val="24"/>
          <w:lang w:val="sv-SE" w:eastAsia="en-US"/>
        </w:rPr>
        <w:t>gyakoribb monitoringra van szükség</w:t>
      </w:r>
      <w:r w:rsidRPr="00DC67EB">
        <w:rPr>
          <w:b/>
          <w:i/>
          <w:szCs w:val="24"/>
          <w:lang w:val="sv-SE" w:eastAsia="en-US"/>
        </w:rPr>
        <w:t xml:space="preserve"> az éghajlati eltérésekre – többek között a csapadékra – érzékenyen reagáló anyagok és azon anyagok esetében, amelyek koncentrációja az említett anyagok felhasználásának szezonális ingadozása miatt valószínűsíthetően rövid ideig tetőzik</w:t>
      </w:r>
      <w:r w:rsidRPr="00DC67EB">
        <w:rPr>
          <w:szCs w:val="24"/>
          <w:lang w:val="sv-SE" w:eastAsia="en-US"/>
        </w:rPr>
        <w:t>.</w:t>
      </w:r>
      <w:r w:rsidR="00B23C9C" w:rsidRPr="00DC67EB">
        <w:rPr>
          <w:szCs w:val="24"/>
          <w:lang w:val="sv-SE" w:eastAsia="en-US"/>
        </w:rPr>
        <w:t xml:space="preserve"> </w:t>
      </w:r>
      <w:r w:rsidR="00B23C9C" w:rsidRPr="00DC67EB">
        <w:rPr>
          <w:b/>
          <w:szCs w:val="24"/>
          <w:lang w:val="sv-SE" w:eastAsia="en-US"/>
        </w:rPr>
        <w:t xml:space="preserve"> [Mód. 131]</w:t>
      </w:r>
    </w:p>
    <w:p w14:paraId="16A64AA5" w14:textId="77777777" w:rsidR="00B23C9C" w:rsidRPr="00DC67EB" w:rsidRDefault="00B23C9C">
      <w:pPr>
        <w:widowControl/>
        <w:rPr>
          <w:szCs w:val="24"/>
          <w:lang w:val="sv-SE" w:eastAsia="en-US"/>
        </w:rPr>
      </w:pPr>
      <w:r w:rsidRPr="00DC67EB">
        <w:rPr>
          <w:szCs w:val="24"/>
          <w:lang w:val="sv-SE" w:eastAsia="en-US"/>
        </w:rPr>
        <w:br w:type="page"/>
      </w:r>
    </w:p>
    <w:p w14:paraId="048A5291" w14:textId="77777777" w:rsidR="001D30D4" w:rsidRPr="00DC67EB" w:rsidRDefault="001D30D4" w:rsidP="001D30D4">
      <w:pPr>
        <w:spacing w:before="120" w:after="120" w:line="360" w:lineRule="auto"/>
        <w:ind w:left="1416"/>
        <w:rPr>
          <w:szCs w:val="24"/>
          <w:lang w:val="sv-SE" w:eastAsia="en-US"/>
        </w:rPr>
      </w:pPr>
      <w:r w:rsidRPr="00DC67EB">
        <w:rPr>
          <w:szCs w:val="24"/>
          <w:lang w:val="sv-SE" w:eastAsia="en-US"/>
        </w:rPr>
        <w:lastRenderedPageBreak/>
        <w:t>Amennyiben egy tagállam meglévő megfigyelési programok vagy tanulmányok alapján elegendő, összehasonlítható, reprezentatív és friss monitoringadatot tud szolgáltatni és a Bizottság rendelkezésére bocsátani egy bizonyos anyagra vagy anyagcsoportra vonatkozóan, dönthet úgy, hogy arra az anyagra vagy anyagcsoportra vonatkozóan nem végez kiegészítő megfigyelést a megfigyelésilista-mechanizmus keretében, feltéve, hogy a szóban forgó anyagot vagy anyagcsoportot a megfigyelési listát létrehozó végrehajtási jogi aktusban említett monitoringmátrixoknak és elemzési módszereknek, valamint a 2009/90/EK irányelvnek* megfelelő módszerrel figyelték meg.</w:t>
      </w:r>
    </w:p>
    <w:p w14:paraId="498E481C" w14:textId="77777777" w:rsidR="001D30D4" w:rsidRPr="00DC67EB" w:rsidRDefault="001D30D4" w:rsidP="001D30D4">
      <w:pPr>
        <w:spacing w:before="120" w:after="120" w:line="360" w:lineRule="auto"/>
        <w:ind w:left="1416" w:hanging="566"/>
        <w:rPr>
          <w:szCs w:val="24"/>
          <w:lang w:val="sv-SE" w:eastAsia="en-US"/>
        </w:rPr>
      </w:pPr>
      <w:r w:rsidRPr="00DC67EB">
        <w:rPr>
          <w:szCs w:val="24"/>
          <w:lang w:val="sv-SE" w:eastAsia="en-US"/>
        </w:rPr>
        <w:t>(4)</w:t>
      </w:r>
      <w:r w:rsidRPr="00DC67EB">
        <w:rPr>
          <w:szCs w:val="24"/>
          <w:lang w:val="sv-SE" w:eastAsia="en-US"/>
        </w:rPr>
        <w:tab/>
        <w:t>A tagállamok a 2000/60/EK irányelv 8. cikkének (4) bekezdésével és a megfigyelési listát létrehozó, az (1) bekezdés szerint elfogadott végrehajtási jogi aktussal összhangban rendelkezésre bocsátják az e cikk (3) bekezdésében említett megfigyelés eredményeit. Rendelkezésre bocsátják továbbá a monitoringállomások reprezentativitására és a monitoringstratégiára vonatkozó információkat is.</w:t>
      </w:r>
    </w:p>
    <w:p w14:paraId="7271464A" w14:textId="77777777" w:rsidR="00B23C9C" w:rsidRPr="00DC67EB" w:rsidRDefault="00B23C9C">
      <w:pPr>
        <w:widowControl/>
        <w:rPr>
          <w:szCs w:val="24"/>
          <w:lang w:val="sv-SE" w:eastAsia="en-US"/>
        </w:rPr>
      </w:pPr>
      <w:r w:rsidRPr="00DC67EB">
        <w:rPr>
          <w:szCs w:val="24"/>
          <w:lang w:val="sv-SE" w:eastAsia="en-US"/>
        </w:rPr>
        <w:br w:type="page"/>
      </w:r>
    </w:p>
    <w:p w14:paraId="7EA28934" w14:textId="77777777" w:rsidR="001D30D4" w:rsidRPr="00DC67EB" w:rsidRDefault="001D30D4" w:rsidP="001D30D4">
      <w:pPr>
        <w:spacing w:before="120" w:after="120" w:line="360" w:lineRule="auto"/>
        <w:ind w:left="1416" w:hanging="566"/>
        <w:rPr>
          <w:szCs w:val="24"/>
          <w:lang w:val="sv-SE" w:eastAsia="en-US"/>
        </w:rPr>
      </w:pPr>
      <w:r w:rsidRPr="00DC67EB">
        <w:rPr>
          <w:szCs w:val="24"/>
          <w:lang w:val="sv-SE" w:eastAsia="en-US"/>
        </w:rPr>
        <w:lastRenderedPageBreak/>
        <w:t>(5)</w:t>
      </w:r>
      <w:r w:rsidRPr="00DC67EB">
        <w:rPr>
          <w:szCs w:val="24"/>
          <w:lang w:val="sv-SE" w:eastAsia="en-US"/>
        </w:rPr>
        <w:tab/>
        <w:t>Az ECHA a (3) bekezdésben említett 24 hónapos időszak végén felülvizsgálja a megfigyelés eredményeit, és értékeli, hogy mely anyagokat vagy anyagcsoportokat kell további 24 hónapon keresztül megfigyelni, és ennek megfelelően mely anyagokat vagy anyagcsoportokat kell a megfigyelési listán tartani, illetve mely anyagokat vagy anyagcsoportokat lehet törölni a listáról.</w:t>
      </w:r>
    </w:p>
    <w:p w14:paraId="3C7687B4" w14:textId="77777777" w:rsidR="001D30D4" w:rsidRPr="00DC67EB" w:rsidRDefault="001D30D4" w:rsidP="001D30D4">
      <w:pPr>
        <w:spacing w:before="120" w:after="120" w:line="360" w:lineRule="auto"/>
        <w:ind w:left="1416"/>
        <w:rPr>
          <w:szCs w:val="24"/>
          <w:lang w:val="sv-SE" w:eastAsia="en-US"/>
        </w:rPr>
      </w:pPr>
      <w:r w:rsidRPr="00DC67EB">
        <w:rPr>
          <w:szCs w:val="24"/>
          <w:lang w:val="sv-SE" w:eastAsia="en-US"/>
        </w:rPr>
        <w:t>Amennyiben a Bizottság az ECHA első albekezdésben említett értékelésére tekintettel arra a következtetésre jut, hogy a vízi környezetre jelentett kockázat további értékeléséhez már nincs szükség megfigyelésre, a szóban forgó értékelést figyelembe kell venni az I. vagy a II. melléklet 8. cikk szerinti felülvizsgálata során.</w:t>
      </w:r>
    </w:p>
    <w:p w14:paraId="2A40C8F4" w14:textId="77777777" w:rsidR="001D30D4" w:rsidRPr="00DC67EB" w:rsidRDefault="001D30D4" w:rsidP="001D30D4">
      <w:pPr>
        <w:spacing w:before="120" w:after="120" w:line="360" w:lineRule="auto"/>
        <w:ind w:left="1416"/>
        <w:rPr>
          <w:szCs w:val="24"/>
          <w:lang w:val="sv-SE" w:eastAsia="en-US"/>
        </w:rPr>
      </w:pPr>
      <w:r w:rsidRPr="00DC67EB">
        <w:rPr>
          <w:szCs w:val="24"/>
          <w:lang w:val="sv-SE" w:eastAsia="en-US"/>
        </w:rPr>
        <w:t>* A Bizottság 2009/90/EK irányelve (2009. július 31.) a vizek állapotának kémiai elemzésére és figyelemmel kísérésére vonatkozó műszaki előírásoknak a 2000/60/EK európai parlamenti és tanácsi irányelv szerinti megállapításáról (HL L 201., 2009.8.1., 36. o.).”</w:t>
      </w:r>
    </w:p>
    <w:p w14:paraId="1269F3D6" w14:textId="77777777" w:rsidR="00B23C9C" w:rsidRPr="00DC67EB" w:rsidRDefault="00B23C9C">
      <w:pPr>
        <w:widowControl/>
        <w:rPr>
          <w:b/>
          <w:i/>
          <w:szCs w:val="24"/>
          <w:lang w:val="sv-SE" w:eastAsia="en-US"/>
        </w:rPr>
      </w:pPr>
      <w:r w:rsidRPr="00DC67EB">
        <w:rPr>
          <w:b/>
          <w:i/>
          <w:szCs w:val="24"/>
          <w:lang w:val="sv-SE" w:eastAsia="en-US"/>
        </w:rPr>
        <w:br w:type="page"/>
      </w:r>
    </w:p>
    <w:p w14:paraId="05BC1F41" w14:textId="77777777" w:rsidR="001D30D4" w:rsidRPr="00DC67EB" w:rsidRDefault="001D30D4" w:rsidP="001D30D4">
      <w:pPr>
        <w:spacing w:before="120" w:after="120" w:line="360" w:lineRule="auto"/>
        <w:ind w:left="850" w:hanging="850"/>
        <w:rPr>
          <w:szCs w:val="24"/>
          <w:lang w:val="sv-SE" w:eastAsia="en-US"/>
        </w:rPr>
      </w:pPr>
      <w:r w:rsidRPr="00DC67EB">
        <w:rPr>
          <w:b/>
          <w:i/>
          <w:szCs w:val="24"/>
          <w:lang w:val="sv-SE" w:eastAsia="en-US"/>
        </w:rPr>
        <w:lastRenderedPageBreak/>
        <w:t>7a.</w:t>
      </w:r>
      <w:r w:rsidRPr="00DC67EB">
        <w:rPr>
          <w:szCs w:val="24"/>
          <w:lang w:val="sv-SE" w:eastAsia="en-US"/>
        </w:rPr>
        <w:tab/>
      </w:r>
      <w:r w:rsidRPr="00DC67EB">
        <w:rPr>
          <w:b/>
          <w:i/>
          <w:szCs w:val="24"/>
          <w:lang w:val="sv-SE" w:eastAsia="en-US"/>
        </w:rPr>
        <w:t>A szöveg a következő 8ba. cikkel egészül ki:</w:t>
      </w:r>
    </w:p>
    <w:p w14:paraId="1D07B12B" w14:textId="77777777" w:rsidR="001D30D4" w:rsidRPr="00DC67EB" w:rsidRDefault="001D30D4" w:rsidP="001D30D4">
      <w:pPr>
        <w:spacing w:before="120" w:after="120" w:line="360" w:lineRule="auto"/>
        <w:ind w:left="850"/>
        <w:rPr>
          <w:szCs w:val="24"/>
          <w:lang w:val="sv-SE" w:eastAsia="en-US"/>
        </w:rPr>
      </w:pPr>
      <w:r w:rsidRPr="00DC67EB">
        <w:rPr>
          <w:szCs w:val="24"/>
          <w:lang w:val="sv-SE" w:eastAsia="en-US"/>
        </w:rPr>
        <w:t>„</w:t>
      </w:r>
      <w:r w:rsidRPr="00DC67EB">
        <w:rPr>
          <w:b/>
          <w:i/>
          <w:szCs w:val="24"/>
          <w:lang w:val="sv-SE" w:eastAsia="en-US"/>
        </w:rPr>
        <w:t>„8ba. cikk</w:t>
      </w:r>
    </w:p>
    <w:p w14:paraId="4B248D12" w14:textId="77777777" w:rsidR="001D30D4" w:rsidRPr="00DC67EB" w:rsidRDefault="001D30D4" w:rsidP="001D30D4">
      <w:pPr>
        <w:spacing w:before="120" w:after="120" w:line="360" w:lineRule="auto"/>
        <w:ind w:left="850"/>
        <w:rPr>
          <w:b/>
          <w:szCs w:val="24"/>
          <w:lang w:val="sv-SE" w:eastAsia="en-US"/>
        </w:rPr>
      </w:pPr>
      <w:r w:rsidRPr="00DC67EB">
        <w:rPr>
          <w:b/>
          <w:i/>
          <w:szCs w:val="24"/>
          <w:lang w:val="sv-SE" w:eastAsia="en-US"/>
        </w:rPr>
        <w:t>Legkésőbb [ezen irányelv hatálybalépése után egy évvel]-ig a Bizottság hatásvizsgálatot nyújt be, amelyben megvizsgálja egy kiterjesztett gyártói felelősségi mechanizmus ezen irányelvbe való felvételét, amely mechanizmus biztosítja, hogy azok a gyártók, amelyek az I. mellékletben felsorolt anyagokat vagy vegyületeket, valamint az ezen irányelv szerinti megfigyelési listán szereplő, újonnan megjelenő, aggodalomra okot adó anyagokat tartalmazó termékeket hoznak forgalomba, hozzájáruljanak a 2000/60/EK irányelv 8. cikke alapján kidolgozott monitoringprogramok költségeihez. A hatásvizsgálatot adott esetben az ezen irányelv felülvizsgálatára irányuló jogalkotási javaslatnak kell kísérnie.”</w:t>
      </w:r>
      <w:r w:rsidRPr="00DC67EB">
        <w:rPr>
          <w:szCs w:val="24"/>
          <w:lang w:val="sv-SE" w:eastAsia="en-US"/>
        </w:rPr>
        <w:t>”</w:t>
      </w:r>
      <w:r w:rsidR="00B23C9C" w:rsidRPr="00DC67EB">
        <w:rPr>
          <w:szCs w:val="24"/>
          <w:lang w:val="sv-SE" w:eastAsia="en-US"/>
        </w:rPr>
        <w:t xml:space="preserve"> </w:t>
      </w:r>
      <w:r w:rsidR="00B23C9C" w:rsidRPr="00DC67EB">
        <w:rPr>
          <w:b/>
          <w:szCs w:val="24"/>
          <w:lang w:val="sv-SE" w:eastAsia="en-US"/>
        </w:rPr>
        <w:t xml:space="preserve"> [Mód. 132]</w:t>
      </w:r>
    </w:p>
    <w:p w14:paraId="5444CC32" w14:textId="77777777" w:rsidR="00B23C9C" w:rsidRPr="00DC67EB" w:rsidRDefault="00B23C9C">
      <w:pPr>
        <w:widowControl/>
        <w:rPr>
          <w:b/>
          <w:i/>
          <w:szCs w:val="24"/>
          <w:lang w:val="sv-SE" w:eastAsia="en-US"/>
        </w:rPr>
      </w:pPr>
      <w:r w:rsidRPr="00DC67EB">
        <w:rPr>
          <w:b/>
          <w:i/>
          <w:szCs w:val="24"/>
          <w:lang w:val="sv-SE" w:eastAsia="en-US"/>
        </w:rPr>
        <w:br w:type="page"/>
      </w:r>
    </w:p>
    <w:p w14:paraId="6E5A8024" w14:textId="77777777" w:rsidR="001D30D4" w:rsidRPr="00DC67EB" w:rsidRDefault="001D30D4" w:rsidP="001D30D4">
      <w:pPr>
        <w:spacing w:before="120" w:after="120" w:line="360" w:lineRule="auto"/>
        <w:ind w:left="850" w:hanging="850"/>
        <w:rPr>
          <w:szCs w:val="24"/>
          <w:lang w:val="sv-SE" w:eastAsia="en-US"/>
        </w:rPr>
      </w:pPr>
      <w:r w:rsidRPr="00DC67EB">
        <w:rPr>
          <w:b/>
          <w:i/>
          <w:szCs w:val="24"/>
          <w:lang w:val="sv-SE" w:eastAsia="en-US"/>
        </w:rPr>
        <w:lastRenderedPageBreak/>
        <w:t>7b.</w:t>
      </w:r>
      <w:r w:rsidRPr="00DC67EB">
        <w:rPr>
          <w:szCs w:val="24"/>
          <w:lang w:val="sv-SE" w:eastAsia="en-US"/>
        </w:rPr>
        <w:tab/>
      </w:r>
      <w:r w:rsidRPr="00DC67EB">
        <w:rPr>
          <w:b/>
          <w:i/>
          <w:szCs w:val="24"/>
          <w:lang w:val="sv-SE" w:eastAsia="en-US"/>
        </w:rPr>
        <w:t>A szöveg a következő cikkel egészül ki:</w:t>
      </w:r>
    </w:p>
    <w:p w14:paraId="20F2C716" w14:textId="77777777" w:rsidR="001D30D4" w:rsidRPr="00DC67EB" w:rsidRDefault="001D30D4" w:rsidP="001D30D4">
      <w:pPr>
        <w:spacing w:before="120" w:after="120" w:line="360" w:lineRule="auto"/>
        <w:ind w:left="850"/>
        <w:rPr>
          <w:szCs w:val="24"/>
          <w:lang w:val="sv-SE" w:eastAsia="en-US"/>
        </w:rPr>
      </w:pPr>
      <w:r w:rsidRPr="00DC67EB">
        <w:rPr>
          <w:szCs w:val="24"/>
          <w:lang w:val="sv-SE" w:eastAsia="en-US"/>
        </w:rPr>
        <w:t>„</w:t>
      </w:r>
      <w:r w:rsidR="00A75B5E" w:rsidRPr="00A75B5E">
        <w:rPr>
          <w:b/>
          <w:i/>
          <w:szCs w:val="24"/>
          <w:lang w:val="sv-SE" w:eastAsia="en-US"/>
        </w:rPr>
        <w:t>8bb c</w:t>
      </w:r>
      <w:r w:rsidR="00A75B5E">
        <w:rPr>
          <w:b/>
          <w:i/>
          <w:szCs w:val="24"/>
          <w:lang w:val="sv-SE" w:eastAsia="en-US"/>
        </w:rPr>
        <w:t>ikk</w:t>
      </w:r>
      <w:r w:rsidRPr="00DC67EB">
        <w:rPr>
          <w:szCs w:val="24"/>
          <w:lang w:val="sv-SE" w:eastAsia="en-US"/>
        </w:rPr>
        <w:br/>
      </w:r>
      <w:r w:rsidRPr="00DC67EB">
        <w:rPr>
          <w:b/>
          <w:i/>
          <w:szCs w:val="24"/>
          <w:lang w:val="sv-SE" w:eastAsia="en-US"/>
        </w:rPr>
        <w:t>Európai monitoringlétesítmény</w:t>
      </w:r>
    </w:p>
    <w:p w14:paraId="1CCC60F3" w14:textId="77777777" w:rsidR="001D30D4" w:rsidRPr="00DC67EB" w:rsidRDefault="001D30D4" w:rsidP="001D30D4">
      <w:pPr>
        <w:spacing w:before="120" w:after="120" w:line="360" w:lineRule="auto"/>
        <w:ind w:left="850"/>
        <w:rPr>
          <w:szCs w:val="24"/>
          <w:lang w:val="sv-SE" w:eastAsia="en-US"/>
        </w:rPr>
      </w:pPr>
      <w:r w:rsidRPr="00DC67EB">
        <w:rPr>
          <w:b/>
          <w:i/>
          <w:szCs w:val="24"/>
          <w:lang w:val="sv-SE" w:eastAsia="en-US"/>
        </w:rPr>
        <w:t>A Bizottság [ezen irányelv hatálybalépését követő egy év]-ig a tagállamok kérésére közös monitoringlétesítményt hoz létre a monitoringkövetelmények kezelésére.</w:t>
      </w:r>
    </w:p>
    <w:p w14:paraId="67B00877" w14:textId="77777777" w:rsidR="001D30D4" w:rsidRPr="00DC67EB" w:rsidRDefault="001D30D4" w:rsidP="001D30D4">
      <w:pPr>
        <w:spacing w:before="120" w:after="120" w:line="360" w:lineRule="auto"/>
        <w:ind w:left="850"/>
        <w:rPr>
          <w:szCs w:val="24"/>
          <w:lang w:val="sv-SE" w:eastAsia="en-US"/>
        </w:rPr>
      </w:pPr>
      <w:r w:rsidRPr="00DC67EB">
        <w:rPr>
          <w:b/>
          <w:i/>
          <w:szCs w:val="24"/>
          <w:lang w:val="sv-SE" w:eastAsia="en-US"/>
        </w:rPr>
        <w:t>A Bizottság meghatározza a monitoringlétesítmény működését, többek között a következőket:</w:t>
      </w:r>
    </w:p>
    <w:p w14:paraId="6741B44A" w14:textId="77777777" w:rsidR="001D30D4" w:rsidRPr="00DC67EB" w:rsidRDefault="001D30D4" w:rsidP="001D30D4">
      <w:pPr>
        <w:spacing w:before="120" w:after="120" w:line="360" w:lineRule="auto"/>
        <w:ind w:left="1416" w:hanging="566"/>
        <w:rPr>
          <w:szCs w:val="24"/>
          <w:lang w:val="sv-SE" w:eastAsia="en-US"/>
        </w:rPr>
      </w:pPr>
      <w:r w:rsidRPr="00DC67EB">
        <w:rPr>
          <w:b/>
          <w:i/>
          <w:szCs w:val="24"/>
          <w:lang w:val="sv-SE" w:eastAsia="en-US"/>
        </w:rPr>
        <w:t>a)</w:t>
      </w:r>
      <w:r w:rsidRPr="00DC67EB">
        <w:rPr>
          <w:szCs w:val="24"/>
          <w:lang w:val="sv-SE" w:eastAsia="en-US"/>
        </w:rPr>
        <w:tab/>
      </w:r>
      <w:r w:rsidRPr="00DC67EB">
        <w:rPr>
          <w:b/>
          <w:i/>
          <w:szCs w:val="24"/>
          <w:lang w:val="sv-SE" w:eastAsia="en-US"/>
        </w:rPr>
        <w:t>a monitoringlétesítmény igénybevételének önkéntes jellegét, amely nem érinti a tagállamok által már bevezetett intézkedéseket;</w:t>
      </w:r>
    </w:p>
    <w:p w14:paraId="5EAE6CC6" w14:textId="77777777" w:rsidR="001D30D4" w:rsidRPr="00DC67EB" w:rsidRDefault="001D30D4" w:rsidP="001D30D4">
      <w:pPr>
        <w:spacing w:before="120" w:after="120" w:line="360" w:lineRule="auto"/>
        <w:ind w:left="1416" w:hanging="566"/>
        <w:rPr>
          <w:szCs w:val="24"/>
          <w:lang w:val="sv-SE" w:eastAsia="en-US"/>
        </w:rPr>
      </w:pPr>
      <w:r w:rsidRPr="00DC67EB">
        <w:rPr>
          <w:b/>
          <w:i/>
          <w:szCs w:val="24"/>
          <w:lang w:val="sv-SE" w:eastAsia="en-US"/>
        </w:rPr>
        <w:t>b)</w:t>
      </w:r>
      <w:r w:rsidRPr="00DC67EB">
        <w:rPr>
          <w:szCs w:val="24"/>
          <w:lang w:val="sv-SE" w:eastAsia="en-US"/>
        </w:rPr>
        <w:tab/>
      </w:r>
      <w:r w:rsidRPr="00DC67EB">
        <w:rPr>
          <w:b/>
          <w:i/>
          <w:szCs w:val="24"/>
          <w:lang w:val="sv-SE" w:eastAsia="en-US"/>
        </w:rPr>
        <w:t>a monitoringlétesítményt igénybe venni kívánó tagállamokra vonatkozó működési eljárásokat, amelyek többek között magukban foglalják a Bizottság kötelező értesítését, a pontos monitoringszükségleteikre vagy -kapacitásaikra vonatkozó információkat, a pontos mintakezelési protokollokat, valamint a mechanizmusban eltölteni szándékozott időre vonatkozó tájékoztatást;</w:t>
      </w:r>
    </w:p>
    <w:p w14:paraId="648FC55D" w14:textId="77777777" w:rsidR="00B23C9C" w:rsidRPr="00DC67EB" w:rsidRDefault="00B23C9C">
      <w:pPr>
        <w:widowControl/>
        <w:rPr>
          <w:b/>
          <w:i/>
          <w:szCs w:val="24"/>
          <w:lang w:val="sv-SE" w:eastAsia="en-US"/>
        </w:rPr>
      </w:pPr>
      <w:r w:rsidRPr="00DC67EB">
        <w:rPr>
          <w:b/>
          <w:i/>
          <w:szCs w:val="24"/>
          <w:lang w:val="sv-SE" w:eastAsia="en-US"/>
        </w:rPr>
        <w:br w:type="page"/>
      </w:r>
    </w:p>
    <w:p w14:paraId="7A936E07" w14:textId="77777777" w:rsidR="001D30D4" w:rsidRPr="00DC67EB" w:rsidRDefault="001D30D4" w:rsidP="001D30D4">
      <w:pPr>
        <w:spacing w:before="120" w:after="120" w:line="360" w:lineRule="auto"/>
        <w:ind w:left="1416" w:hanging="566"/>
        <w:rPr>
          <w:b/>
          <w:szCs w:val="24"/>
          <w:lang w:val="sv-SE" w:eastAsia="en-US"/>
        </w:rPr>
      </w:pPr>
      <w:r w:rsidRPr="00DC67EB">
        <w:rPr>
          <w:b/>
          <w:i/>
          <w:szCs w:val="24"/>
          <w:lang w:val="sv-SE" w:eastAsia="en-US"/>
        </w:rPr>
        <w:lastRenderedPageBreak/>
        <w:t>c)</w:t>
      </w:r>
      <w:r w:rsidRPr="00DC67EB">
        <w:rPr>
          <w:szCs w:val="24"/>
          <w:lang w:val="sv-SE" w:eastAsia="en-US"/>
        </w:rPr>
        <w:tab/>
      </w:r>
      <w:r w:rsidRPr="00DC67EB">
        <w:rPr>
          <w:b/>
          <w:i/>
          <w:szCs w:val="24"/>
          <w:lang w:val="sv-SE" w:eastAsia="en-US"/>
        </w:rPr>
        <w:t>a finanszírozási forrásokat, amelyek kiterjedhetnek a vonatkozó uniós strukturális alapokra és programokra, valamint a magánszektorból származó hozzájárulásokra is, többek között a kiterjesztett gyártói felelősségi mechanizmus keretében, amint azt a 8ba. cikkel összhangban bevezetik.</w:t>
      </w:r>
      <w:r w:rsidRPr="00DC67EB">
        <w:rPr>
          <w:szCs w:val="24"/>
          <w:lang w:val="sv-SE" w:eastAsia="en-US"/>
        </w:rPr>
        <w:t>”</w:t>
      </w:r>
      <w:r w:rsidR="00B23C9C" w:rsidRPr="00DC67EB">
        <w:rPr>
          <w:b/>
          <w:szCs w:val="24"/>
          <w:lang w:val="sv-SE" w:eastAsia="en-US"/>
        </w:rPr>
        <w:t xml:space="preserve"> [Mód. 133]</w:t>
      </w:r>
    </w:p>
    <w:p w14:paraId="04F0FC4E" w14:textId="77777777" w:rsidR="001D30D4" w:rsidRPr="00DC67EB" w:rsidRDefault="001D30D4" w:rsidP="001D30D4">
      <w:pPr>
        <w:spacing w:before="120" w:after="120" w:line="360" w:lineRule="auto"/>
        <w:ind w:left="850" w:hanging="850"/>
        <w:rPr>
          <w:szCs w:val="24"/>
          <w:lang w:val="sv-SE" w:eastAsia="en-US"/>
        </w:rPr>
      </w:pPr>
      <w:r w:rsidRPr="00DC67EB">
        <w:rPr>
          <w:szCs w:val="24"/>
          <w:lang w:val="sv-SE" w:eastAsia="en-US"/>
        </w:rPr>
        <w:t>8.</w:t>
      </w:r>
      <w:r w:rsidRPr="00DC67EB">
        <w:rPr>
          <w:szCs w:val="24"/>
          <w:lang w:val="sv-SE" w:eastAsia="en-US"/>
        </w:rPr>
        <w:tab/>
        <w:t>A szöveg a következő 8d. cikkel egészül ki:</w:t>
      </w:r>
    </w:p>
    <w:p w14:paraId="2C0BF642" w14:textId="77777777" w:rsidR="001D30D4" w:rsidRPr="00DC67EB" w:rsidRDefault="001D30D4" w:rsidP="001D30D4">
      <w:pPr>
        <w:spacing w:before="120" w:after="120" w:line="360" w:lineRule="auto"/>
        <w:ind w:left="850"/>
        <w:rPr>
          <w:szCs w:val="24"/>
          <w:lang w:val="sv-SE" w:eastAsia="en-US"/>
        </w:rPr>
      </w:pPr>
      <w:r w:rsidRPr="00DC67EB">
        <w:rPr>
          <w:szCs w:val="24"/>
          <w:lang w:val="sv-SE" w:eastAsia="en-US"/>
        </w:rPr>
        <w:t>„8d. cikk</w:t>
      </w:r>
    </w:p>
    <w:p w14:paraId="61F3051C" w14:textId="77777777" w:rsidR="001D30D4" w:rsidRPr="00DC67EB" w:rsidRDefault="001D30D4" w:rsidP="001D30D4">
      <w:pPr>
        <w:spacing w:before="120" w:after="120" w:line="360" w:lineRule="auto"/>
        <w:ind w:left="850"/>
        <w:rPr>
          <w:szCs w:val="24"/>
          <w:lang w:val="sv-SE" w:eastAsia="en-US"/>
        </w:rPr>
      </w:pPr>
      <w:r w:rsidRPr="00DC67EB">
        <w:rPr>
          <w:szCs w:val="24"/>
          <w:lang w:val="sv-SE" w:eastAsia="en-US"/>
        </w:rPr>
        <w:t>Vízgyűjtő-specifikus szennyező anyagok</w:t>
      </w:r>
    </w:p>
    <w:p w14:paraId="4317F9C9" w14:textId="77777777" w:rsidR="001D30D4" w:rsidRPr="00DC67EB" w:rsidRDefault="001D30D4" w:rsidP="001D30D4">
      <w:pPr>
        <w:spacing w:before="120" w:after="120" w:line="360" w:lineRule="auto"/>
        <w:ind w:left="1416" w:hanging="566"/>
        <w:rPr>
          <w:szCs w:val="24"/>
          <w:lang w:val="sv-SE" w:eastAsia="en-US"/>
        </w:rPr>
      </w:pPr>
      <w:r w:rsidRPr="00DC67EB">
        <w:rPr>
          <w:szCs w:val="24"/>
          <w:lang w:val="sv-SE" w:eastAsia="en-US"/>
        </w:rPr>
        <w:t>(1)</w:t>
      </w:r>
      <w:r w:rsidRPr="00DC67EB">
        <w:rPr>
          <w:szCs w:val="24"/>
          <w:lang w:val="sv-SE" w:eastAsia="en-US"/>
        </w:rPr>
        <w:tab/>
        <w:t>A tagállamok az ezen irányelv II. mellékletének A. részében felsorolt kategóriákba tartozó vízgyűjtő-specifikus szennyező anyagokra vonatkozóan, az ezen irányelv II. mellékletének B. részében meghatározott eljárással összhangban, környezetminőségi előírásokat határoznak meg és alkalmaznak, amennyiben ezek a szennyező anyagok – a 2000/60/EU irányelv 5. cikke szerinti elemzések és felülvizsgálatok alapján – kockázatot jelentenek egy vagy több vízgyűjtő kerület víztesteire.</w:t>
      </w:r>
    </w:p>
    <w:p w14:paraId="09D65C1B" w14:textId="77777777" w:rsidR="001D30D4" w:rsidRPr="00DC67EB" w:rsidRDefault="001D30D4" w:rsidP="001D30D4">
      <w:pPr>
        <w:spacing w:before="120" w:after="120" w:line="360" w:lineRule="auto"/>
        <w:ind w:left="1416"/>
        <w:rPr>
          <w:szCs w:val="24"/>
          <w:lang w:val="sv-SE" w:eastAsia="en-US"/>
        </w:rPr>
      </w:pPr>
      <w:r w:rsidRPr="00DC67EB">
        <w:rPr>
          <w:szCs w:val="24"/>
          <w:lang w:val="sv-SE" w:eastAsia="en-US"/>
        </w:rPr>
        <w:t>A tagállamok [Kiadóhivatal: kérjük, illesszék be az ezen irányelv hatálybalépését 18 hónappal követő hónap első napját]-ig tájékoztatják az ECHA-t az első albekezdésben említett környezetminőségi előírásokról. Az ECHA ezeket az információkat nyilvánosan hozzáférhetővé teszi.</w:t>
      </w:r>
    </w:p>
    <w:p w14:paraId="7F98213E" w14:textId="77777777" w:rsidR="00B23C9C" w:rsidRPr="00DC67EB" w:rsidRDefault="00B23C9C">
      <w:pPr>
        <w:widowControl/>
        <w:rPr>
          <w:szCs w:val="24"/>
          <w:lang w:val="sv-SE" w:eastAsia="en-US"/>
        </w:rPr>
      </w:pPr>
      <w:r w:rsidRPr="00DC67EB">
        <w:rPr>
          <w:szCs w:val="24"/>
          <w:lang w:val="sv-SE" w:eastAsia="en-US"/>
        </w:rPr>
        <w:br w:type="page"/>
      </w:r>
    </w:p>
    <w:p w14:paraId="0A403286" w14:textId="77777777" w:rsidR="001D30D4" w:rsidRPr="00DC67EB" w:rsidRDefault="001D30D4" w:rsidP="001D30D4">
      <w:pPr>
        <w:spacing w:before="120" w:after="120" w:line="360" w:lineRule="auto"/>
        <w:ind w:left="1416" w:hanging="566"/>
        <w:rPr>
          <w:szCs w:val="24"/>
          <w:lang w:val="sv-SE" w:eastAsia="en-US"/>
        </w:rPr>
      </w:pPr>
      <w:r w:rsidRPr="00DC67EB">
        <w:rPr>
          <w:szCs w:val="24"/>
          <w:lang w:val="sv-SE" w:eastAsia="en-US"/>
        </w:rPr>
        <w:lastRenderedPageBreak/>
        <w:t>(2)</w:t>
      </w:r>
      <w:r w:rsidRPr="00DC67EB">
        <w:rPr>
          <w:szCs w:val="24"/>
          <w:lang w:val="sv-SE" w:eastAsia="en-US"/>
        </w:rPr>
        <w:tab/>
        <w:t>Amennyiben a vízgyűjtő-specifikus szennyező anyagokra vonatkozó környezetminőségi előírások a 8. cikkel összhangban uniós szinten kerültek meghatározásra és azok szerepelnek a II. melléklet C. részében, ezek a környezetminőségi előírások elsőbbséget élveznek az (1) bekezdéssel összhangban nemzeti szinten meghatározott vízgyűjtő-specifikus szennyező anyagokra vonatkozó környezetminőségi előírásokkal szemben. Az uniós szinten meghatározott környezetminőségi előírásokat a tagállamok annak megállapítására is alkalmazzák, hogy a II. melléklet C. részében felsorolt vízgyűjtő-specifikus szennyező anyagok kockázatot jelentenek-e.</w:t>
      </w:r>
    </w:p>
    <w:p w14:paraId="5BDF00D7" w14:textId="77777777" w:rsidR="001D30D4" w:rsidRPr="00DC67EB" w:rsidRDefault="001D30D4" w:rsidP="001D30D4">
      <w:pPr>
        <w:spacing w:before="120" w:after="120" w:line="360" w:lineRule="auto"/>
        <w:ind w:left="1416" w:hanging="566"/>
        <w:rPr>
          <w:szCs w:val="24"/>
          <w:lang w:val="sv-SE" w:eastAsia="en-US"/>
        </w:rPr>
      </w:pPr>
      <w:r w:rsidRPr="00DC67EB">
        <w:rPr>
          <w:szCs w:val="24"/>
          <w:lang w:val="sv-SE" w:eastAsia="en-US"/>
        </w:rPr>
        <w:t>(3)</w:t>
      </w:r>
      <w:r w:rsidRPr="00DC67EB">
        <w:rPr>
          <w:szCs w:val="24"/>
          <w:lang w:val="sv-SE" w:eastAsia="en-US"/>
        </w:rPr>
        <w:tab/>
        <w:t>Ahhoz, hogy egy víztestet a 2000/60/EK irányelv 2. cikke 24. pontjában szereplő fogalommeghatározással összhangban jó kémiai állapotúnak lehessen tekinteni, kötelező az alkalmazandó nemzeti környezetminőségi előírásoknak, illetve adott esetben az uniós szinten meghatározott környezetminőségi előírásoknak való megfelelés.</w:t>
      </w:r>
    </w:p>
    <w:p w14:paraId="153020DC" w14:textId="77777777" w:rsidR="001D30D4" w:rsidRPr="00DC67EB" w:rsidRDefault="001D30D4" w:rsidP="001D30D4">
      <w:pPr>
        <w:spacing w:before="120" w:after="120" w:line="360" w:lineRule="auto"/>
        <w:ind w:left="1416" w:hanging="566"/>
        <w:rPr>
          <w:b/>
          <w:szCs w:val="24"/>
          <w:lang w:val="sv-SE" w:eastAsia="en-US"/>
        </w:rPr>
      </w:pPr>
      <w:r w:rsidRPr="00DC67EB">
        <w:rPr>
          <w:b/>
          <w:i/>
          <w:szCs w:val="24"/>
          <w:lang w:val="sv-SE" w:eastAsia="en-US"/>
        </w:rPr>
        <w:t>(3a)</w:t>
      </w:r>
      <w:r w:rsidRPr="00DC67EB">
        <w:rPr>
          <w:szCs w:val="24"/>
          <w:lang w:val="sv-SE" w:eastAsia="en-US"/>
        </w:rPr>
        <w:tab/>
      </w:r>
      <w:r w:rsidRPr="00DC67EB">
        <w:rPr>
          <w:b/>
          <w:i/>
          <w:szCs w:val="24"/>
          <w:lang w:val="sv-SE" w:eastAsia="en-US"/>
        </w:rPr>
        <w:t>A vízgyűjtő-specifikus szennyező anyagokra vonatkozó környezetminőségi előírások megállapításakor és alkalmazásakor a tagállamok figyelembe vehetik a fémek biológiai hozzáférhetőségét.</w:t>
      </w:r>
      <w:r w:rsidRPr="00DC67EB">
        <w:rPr>
          <w:szCs w:val="24"/>
          <w:lang w:val="sv-SE" w:eastAsia="en-US"/>
        </w:rPr>
        <w:t>”</w:t>
      </w:r>
      <w:r w:rsidR="00B23C9C" w:rsidRPr="00DC67EB">
        <w:rPr>
          <w:b/>
          <w:szCs w:val="24"/>
          <w:lang w:val="sv-SE" w:eastAsia="en-US"/>
        </w:rPr>
        <w:t xml:space="preserve"> [Mód. 134]</w:t>
      </w:r>
    </w:p>
    <w:p w14:paraId="726948D9" w14:textId="77777777" w:rsidR="00B23C9C" w:rsidRPr="00DC67EB" w:rsidRDefault="00B23C9C">
      <w:pPr>
        <w:widowControl/>
        <w:rPr>
          <w:b/>
          <w:i/>
          <w:szCs w:val="24"/>
          <w:lang w:val="sv-SE" w:eastAsia="en-US"/>
        </w:rPr>
      </w:pPr>
      <w:r w:rsidRPr="00DC67EB">
        <w:rPr>
          <w:b/>
          <w:i/>
          <w:szCs w:val="24"/>
          <w:lang w:val="sv-SE" w:eastAsia="en-US"/>
        </w:rPr>
        <w:br w:type="page"/>
      </w:r>
    </w:p>
    <w:p w14:paraId="4C1C9E20" w14:textId="77777777" w:rsidR="001D30D4" w:rsidRPr="00DC67EB" w:rsidRDefault="001D30D4" w:rsidP="001D30D4">
      <w:pPr>
        <w:spacing w:before="120" w:after="120" w:line="360" w:lineRule="auto"/>
        <w:ind w:left="850" w:hanging="850"/>
        <w:rPr>
          <w:szCs w:val="24"/>
          <w:lang w:val="sv-SE" w:eastAsia="en-US"/>
        </w:rPr>
      </w:pPr>
      <w:r w:rsidRPr="00DC67EB">
        <w:rPr>
          <w:b/>
          <w:i/>
          <w:szCs w:val="24"/>
          <w:lang w:val="sv-SE" w:eastAsia="en-US"/>
        </w:rPr>
        <w:lastRenderedPageBreak/>
        <w:t>8a.</w:t>
      </w:r>
      <w:r w:rsidRPr="00DC67EB">
        <w:rPr>
          <w:szCs w:val="24"/>
          <w:lang w:val="sv-SE" w:eastAsia="en-US"/>
        </w:rPr>
        <w:tab/>
      </w:r>
      <w:r w:rsidRPr="00DC67EB">
        <w:rPr>
          <w:b/>
          <w:i/>
          <w:szCs w:val="24"/>
          <w:lang w:val="sv-SE" w:eastAsia="en-US"/>
        </w:rPr>
        <w:t>A 9a. cikkben a (2) bekezdés a következőképpen módosul:</w:t>
      </w:r>
    </w:p>
    <w:p w14:paraId="00EAFDAE" w14:textId="0E6FBBDD" w:rsidR="001D30D4" w:rsidRPr="00DC67EB" w:rsidRDefault="001D30D4" w:rsidP="00A75B5E">
      <w:pPr>
        <w:spacing w:before="120" w:after="120" w:line="360" w:lineRule="auto"/>
        <w:ind w:left="1418" w:hanging="566"/>
        <w:rPr>
          <w:b/>
          <w:szCs w:val="24"/>
          <w:lang w:val="sv-SE" w:eastAsia="en-US"/>
        </w:rPr>
      </w:pPr>
      <w:r w:rsidRPr="00DC67EB">
        <w:rPr>
          <w:b/>
          <w:i/>
          <w:szCs w:val="24"/>
          <w:lang w:val="sv-SE" w:eastAsia="en-US"/>
        </w:rPr>
        <w:t>„(2)</w:t>
      </w:r>
      <w:r w:rsidR="00A75B5E">
        <w:rPr>
          <w:b/>
          <w:i/>
          <w:szCs w:val="24"/>
          <w:lang w:val="sv-SE" w:eastAsia="en-US"/>
        </w:rPr>
        <w:tab/>
      </w:r>
      <w:r w:rsidRPr="00DC67EB">
        <w:rPr>
          <w:b/>
          <w:i/>
          <w:szCs w:val="24"/>
          <w:lang w:val="sv-SE" w:eastAsia="en-US"/>
        </w:rPr>
        <w:t>A Bizottság [Kiadóhivatal: kérjük, illesszék be ezen irányelv hatálybalépésének időpontját]-tól/-től számítva hatéves időtartamra szóló felhatalmazást kap a 3. cikk (8) bekezdésében, a 8. cikk (3), (6a) és (6b) bekezdésében, valamint a 8a. cikk (3a) bekezdésében említett felhatalmazáson alapuló jogi aktusok elfogadására. A Bizottság legkésőbb kilenc hónappal a hatéves időtartam vége előtt jelentést készít a felhatalmazásról. Amennyiben az Európai Parlament vagy a Tanács nem ellenzi a meghosszabbítást legkésőbb három hónappal az egyes időtartamok vége előtt, akkor a felhatalmazás hallgatólagosan meghosszabbodik a korábbival megegyező időtartamra.”</w:t>
      </w:r>
      <w:r w:rsidR="00B23C9C" w:rsidRPr="00DC67EB">
        <w:rPr>
          <w:b/>
          <w:szCs w:val="24"/>
          <w:lang w:val="sv-SE" w:eastAsia="en-US"/>
        </w:rPr>
        <w:t xml:space="preserve"> [Mód. 135]</w:t>
      </w:r>
    </w:p>
    <w:p w14:paraId="5212BDB3" w14:textId="77777777" w:rsidR="001D30D4" w:rsidRPr="00DC67EB" w:rsidRDefault="001D30D4" w:rsidP="001D30D4">
      <w:pPr>
        <w:spacing w:before="120" w:after="120" w:line="360" w:lineRule="auto"/>
        <w:ind w:left="850" w:hanging="850"/>
        <w:rPr>
          <w:szCs w:val="24"/>
          <w:lang w:val="sv-SE" w:eastAsia="en-US"/>
        </w:rPr>
      </w:pPr>
      <w:r w:rsidRPr="00DC67EB">
        <w:rPr>
          <w:b/>
          <w:i/>
          <w:szCs w:val="24"/>
          <w:lang w:val="sv-SE" w:eastAsia="en-US"/>
        </w:rPr>
        <w:t>8b.</w:t>
      </w:r>
      <w:r w:rsidRPr="00DC67EB">
        <w:rPr>
          <w:szCs w:val="24"/>
          <w:lang w:val="sv-SE" w:eastAsia="en-US"/>
        </w:rPr>
        <w:tab/>
      </w:r>
      <w:r w:rsidRPr="00DC67EB">
        <w:rPr>
          <w:b/>
          <w:i/>
          <w:szCs w:val="24"/>
          <w:lang w:val="sv-SE" w:eastAsia="en-US"/>
        </w:rPr>
        <w:t>A 9a. cikkben a (3) bekezdés a következőképpen módosul:</w:t>
      </w:r>
    </w:p>
    <w:p w14:paraId="34044C6D" w14:textId="6F86B871" w:rsidR="001D30D4" w:rsidRPr="00DC67EB" w:rsidRDefault="001D30D4" w:rsidP="001D30D4">
      <w:pPr>
        <w:spacing w:before="120" w:after="120" w:line="360" w:lineRule="auto"/>
        <w:ind w:left="1416" w:hanging="566"/>
        <w:rPr>
          <w:b/>
          <w:szCs w:val="24"/>
          <w:lang w:val="sv-SE" w:eastAsia="en-US"/>
        </w:rPr>
      </w:pPr>
      <w:r w:rsidRPr="00DC67EB">
        <w:rPr>
          <w:b/>
          <w:i/>
          <w:szCs w:val="24"/>
          <w:lang w:val="sv-SE" w:eastAsia="en-US"/>
        </w:rPr>
        <w:t>„(3)</w:t>
      </w:r>
      <w:r w:rsidR="00A75B5E">
        <w:rPr>
          <w:b/>
          <w:i/>
          <w:szCs w:val="24"/>
          <w:lang w:val="sv-SE" w:eastAsia="en-US"/>
        </w:rPr>
        <w:tab/>
      </w:r>
      <w:r w:rsidRPr="00DC67EB">
        <w:rPr>
          <w:b/>
          <w:i/>
          <w:szCs w:val="24"/>
          <w:lang w:val="sv-SE" w:eastAsia="en-US"/>
        </w:rPr>
        <w:t>Az Európai Parlament vagy a Tanács bármikor visszavonhatja a 3. cikk (8) bekezdésében, a 8. cikk (3), (6a) és (6b) bekezdésében, valamint a 8a. cikk (3a) bekezdésében említett felhatalmazást. A visszavonásról szóló határozat megszünteti az abban meghatározott felhatalmazást. A határozat az Európai Unió Hivatalos Lapjában való kihirdetését követő napon, vagy a benne megjelölt későbbi időpontban lép hatályba. A határozat nem érinti a már hatályban lévő, felhatalmazáson alapuló jogi aktusok érvényességét.”</w:t>
      </w:r>
      <w:r w:rsidR="00B23C9C" w:rsidRPr="00DC67EB">
        <w:rPr>
          <w:b/>
          <w:szCs w:val="24"/>
          <w:lang w:val="sv-SE" w:eastAsia="en-US"/>
        </w:rPr>
        <w:t xml:space="preserve"> [Mód. 136]</w:t>
      </w:r>
    </w:p>
    <w:p w14:paraId="23F4D315" w14:textId="77777777" w:rsidR="00B23C9C" w:rsidRPr="00DC67EB" w:rsidRDefault="00B23C9C">
      <w:pPr>
        <w:widowControl/>
        <w:rPr>
          <w:b/>
          <w:i/>
          <w:szCs w:val="24"/>
          <w:lang w:val="sv-SE" w:eastAsia="en-US"/>
        </w:rPr>
      </w:pPr>
      <w:r w:rsidRPr="00DC67EB">
        <w:rPr>
          <w:b/>
          <w:i/>
          <w:szCs w:val="24"/>
          <w:lang w:val="sv-SE" w:eastAsia="en-US"/>
        </w:rPr>
        <w:br w:type="page"/>
      </w:r>
    </w:p>
    <w:p w14:paraId="02528C2C" w14:textId="77777777" w:rsidR="001D30D4" w:rsidRPr="00DC67EB" w:rsidRDefault="001D30D4" w:rsidP="001D30D4">
      <w:pPr>
        <w:spacing w:before="120" w:after="120" w:line="360" w:lineRule="auto"/>
        <w:ind w:left="850" w:hanging="850"/>
        <w:rPr>
          <w:szCs w:val="24"/>
          <w:lang w:val="sv-SE" w:eastAsia="en-US"/>
        </w:rPr>
      </w:pPr>
      <w:r w:rsidRPr="00DC67EB">
        <w:rPr>
          <w:b/>
          <w:i/>
          <w:szCs w:val="24"/>
          <w:lang w:val="sv-SE" w:eastAsia="en-US"/>
        </w:rPr>
        <w:lastRenderedPageBreak/>
        <w:t>8c.</w:t>
      </w:r>
      <w:r w:rsidRPr="00DC67EB">
        <w:rPr>
          <w:szCs w:val="24"/>
          <w:lang w:val="sv-SE" w:eastAsia="en-US"/>
        </w:rPr>
        <w:tab/>
      </w:r>
      <w:r w:rsidRPr="00DC67EB">
        <w:rPr>
          <w:b/>
          <w:i/>
          <w:szCs w:val="24"/>
          <w:lang w:val="sv-SE" w:eastAsia="en-US"/>
        </w:rPr>
        <w:t>A 9a. cikk a következő (3a) bekezdéssel egészül ki:</w:t>
      </w:r>
    </w:p>
    <w:p w14:paraId="33D828A9" w14:textId="1E5EB8DF" w:rsidR="001D30D4" w:rsidRPr="00DC67EB" w:rsidRDefault="001D30D4" w:rsidP="001D30D4">
      <w:pPr>
        <w:spacing w:before="120" w:after="120" w:line="360" w:lineRule="auto"/>
        <w:ind w:left="1416" w:hanging="566"/>
        <w:rPr>
          <w:b/>
          <w:szCs w:val="24"/>
          <w:lang w:val="sv-SE" w:eastAsia="en-US"/>
        </w:rPr>
      </w:pPr>
      <w:r w:rsidRPr="00DC67EB">
        <w:rPr>
          <w:b/>
          <w:i/>
          <w:szCs w:val="24"/>
          <w:lang w:val="sv-SE" w:eastAsia="en-US"/>
        </w:rPr>
        <w:t>„(3a)</w:t>
      </w:r>
      <w:r w:rsidR="00A75B5E">
        <w:rPr>
          <w:b/>
          <w:i/>
          <w:szCs w:val="24"/>
          <w:lang w:val="sv-SE" w:eastAsia="en-US"/>
        </w:rPr>
        <w:tab/>
      </w:r>
      <w:r w:rsidRPr="00DC67EB">
        <w:rPr>
          <w:b/>
          <w:i/>
          <w:szCs w:val="24"/>
          <w:lang w:val="sv-SE" w:eastAsia="en-US"/>
        </w:rPr>
        <w:t>A felhatalmazáson alapuló jogi aktus elfogadása előtt a Bizottság a jogalkotás minőségének javításáról szóló, 2016. április 13-i intézményközi megállapodásban foglalt elveknek megfelelően konzultál az egyes tagállamok által kijelölt szakértőkkel.”</w:t>
      </w:r>
      <w:r w:rsidR="00B23C9C" w:rsidRPr="00DC67EB">
        <w:rPr>
          <w:b/>
          <w:szCs w:val="24"/>
          <w:lang w:val="sv-SE" w:eastAsia="en-US"/>
        </w:rPr>
        <w:t xml:space="preserve"> [Mód. 137]</w:t>
      </w:r>
    </w:p>
    <w:p w14:paraId="069CA97A" w14:textId="77777777" w:rsidR="001D30D4" w:rsidRPr="00DC67EB" w:rsidRDefault="001D30D4" w:rsidP="001D30D4">
      <w:pPr>
        <w:spacing w:before="120" w:after="120" w:line="360" w:lineRule="auto"/>
        <w:ind w:left="850" w:hanging="850"/>
        <w:rPr>
          <w:szCs w:val="24"/>
          <w:lang w:val="sv-SE" w:eastAsia="en-US"/>
        </w:rPr>
      </w:pPr>
      <w:r w:rsidRPr="00DC67EB">
        <w:rPr>
          <w:b/>
          <w:i/>
          <w:szCs w:val="24"/>
          <w:lang w:val="sv-SE" w:eastAsia="en-US"/>
        </w:rPr>
        <w:t>8d.</w:t>
      </w:r>
      <w:r w:rsidRPr="00DC67EB">
        <w:rPr>
          <w:szCs w:val="24"/>
          <w:lang w:val="sv-SE" w:eastAsia="en-US"/>
        </w:rPr>
        <w:tab/>
      </w:r>
      <w:r w:rsidRPr="00DC67EB">
        <w:rPr>
          <w:b/>
          <w:i/>
          <w:szCs w:val="24"/>
          <w:lang w:val="sv-SE" w:eastAsia="en-US"/>
        </w:rPr>
        <w:t>A 9a. cikkben a (5) bekezdés a következőképpen módosul:</w:t>
      </w:r>
    </w:p>
    <w:p w14:paraId="431E5BC7" w14:textId="32E6F331" w:rsidR="001D30D4" w:rsidRPr="00DC67EB" w:rsidRDefault="001D30D4" w:rsidP="001D30D4">
      <w:pPr>
        <w:spacing w:before="120" w:after="120" w:line="360" w:lineRule="auto"/>
        <w:ind w:left="1416" w:hanging="566"/>
        <w:rPr>
          <w:b/>
          <w:szCs w:val="24"/>
          <w:lang w:val="sv-SE" w:eastAsia="en-US"/>
        </w:rPr>
      </w:pPr>
      <w:r w:rsidRPr="00DC67EB">
        <w:rPr>
          <w:b/>
          <w:i/>
          <w:szCs w:val="24"/>
          <w:lang w:val="sv-SE" w:eastAsia="en-US"/>
        </w:rPr>
        <w:t>„(5)</w:t>
      </w:r>
      <w:r w:rsidR="00A75B5E">
        <w:rPr>
          <w:b/>
          <w:i/>
          <w:szCs w:val="24"/>
          <w:lang w:val="sv-SE" w:eastAsia="en-US"/>
        </w:rPr>
        <w:tab/>
      </w:r>
      <w:r w:rsidRPr="00DC67EB">
        <w:rPr>
          <w:b/>
          <w:i/>
          <w:szCs w:val="24"/>
          <w:lang w:val="sv-SE" w:eastAsia="en-US"/>
        </w:rPr>
        <w:t>A 3. cikk (8) bekezdése, a 8. cikk (3), (6a) és (6b) bekezdése vagy a 8a. cikk (3a) bekezdése szerint elfogadott felhatalmazáson alapuló jogi aktus csak akkor lép hatályba, ha az Európai Parlament és a Tanács értesítését követő két hónapos időtartam leteltéig sem az Európai Parlament, sem a Tanács nem emelt kifogást a felhatalmazáson alapuló jogi aktus ellen, vagy ha az Európai Parlament és a Tanács az időtartam leteltét megelőzően egyaránt arról tájékoztatta a Bizottságot, hogy nem emel kifogást. Az Európai Parlament vagy a Tanács kezdeményezésére ez az időtartam két hónappal meghosszabbodik.”</w:t>
      </w:r>
      <w:r w:rsidR="00B23C9C" w:rsidRPr="00DC67EB">
        <w:rPr>
          <w:b/>
          <w:szCs w:val="24"/>
          <w:lang w:val="sv-SE" w:eastAsia="en-US"/>
        </w:rPr>
        <w:t xml:space="preserve"> [Mód. 138]</w:t>
      </w:r>
    </w:p>
    <w:p w14:paraId="7EB3AC71" w14:textId="77777777" w:rsidR="00B23C9C" w:rsidRPr="00DC67EB" w:rsidRDefault="00B23C9C">
      <w:pPr>
        <w:widowControl/>
        <w:rPr>
          <w:szCs w:val="24"/>
          <w:lang w:val="sv-SE" w:eastAsia="en-US"/>
        </w:rPr>
      </w:pPr>
      <w:r w:rsidRPr="00DC67EB">
        <w:rPr>
          <w:szCs w:val="24"/>
          <w:lang w:val="sv-SE" w:eastAsia="en-US"/>
        </w:rPr>
        <w:br w:type="page"/>
      </w:r>
    </w:p>
    <w:p w14:paraId="4DEB725F" w14:textId="77777777" w:rsidR="001D30D4" w:rsidRPr="00DC67EB" w:rsidRDefault="001D30D4" w:rsidP="001D30D4">
      <w:pPr>
        <w:spacing w:before="120" w:after="120" w:line="360" w:lineRule="auto"/>
        <w:ind w:left="850" w:hanging="850"/>
        <w:rPr>
          <w:szCs w:val="24"/>
          <w:lang w:val="sv-SE" w:eastAsia="en-US"/>
        </w:rPr>
      </w:pPr>
      <w:r w:rsidRPr="00DC67EB">
        <w:rPr>
          <w:szCs w:val="24"/>
          <w:lang w:val="sv-SE" w:eastAsia="en-US"/>
        </w:rPr>
        <w:lastRenderedPageBreak/>
        <w:t>9.</w:t>
      </w:r>
      <w:r w:rsidRPr="00DC67EB">
        <w:rPr>
          <w:szCs w:val="24"/>
          <w:lang w:val="sv-SE" w:eastAsia="en-US"/>
        </w:rPr>
        <w:tab/>
        <w:t>A 10. cikket el kell hagyni.</w:t>
      </w:r>
    </w:p>
    <w:p w14:paraId="5C8F8226" w14:textId="77777777" w:rsidR="001D30D4" w:rsidRPr="00DC67EB" w:rsidRDefault="001D30D4" w:rsidP="001D30D4">
      <w:pPr>
        <w:spacing w:before="120" w:after="120" w:line="360" w:lineRule="auto"/>
        <w:ind w:left="850" w:hanging="850"/>
        <w:rPr>
          <w:szCs w:val="24"/>
          <w:lang w:val="sv-SE" w:eastAsia="en-US"/>
        </w:rPr>
      </w:pPr>
      <w:r w:rsidRPr="00DC67EB">
        <w:rPr>
          <w:szCs w:val="24"/>
          <w:lang w:val="sv-SE" w:eastAsia="en-US"/>
        </w:rPr>
        <w:t>10.</w:t>
      </w:r>
      <w:r w:rsidRPr="00DC67EB">
        <w:rPr>
          <w:szCs w:val="24"/>
          <w:lang w:val="sv-SE" w:eastAsia="en-US"/>
        </w:rPr>
        <w:tab/>
        <w:t>Az I. melléklet ezen irányelv V. mellékletének megfelelően módosul.</w:t>
      </w:r>
    </w:p>
    <w:p w14:paraId="0880CB44" w14:textId="77777777" w:rsidR="001D30D4" w:rsidRPr="00DC67EB" w:rsidRDefault="001D30D4" w:rsidP="001D30D4">
      <w:pPr>
        <w:spacing w:before="120" w:after="120" w:line="360" w:lineRule="auto"/>
        <w:ind w:left="850" w:hanging="850"/>
        <w:rPr>
          <w:szCs w:val="24"/>
          <w:lang w:val="sv-SE" w:eastAsia="en-US"/>
        </w:rPr>
      </w:pPr>
      <w:r w:rsidRPr="00DC67EB">
        <w:rPr>
          <w:szCs w:val="24"/>
          <w:lang w:val="sv-SE" w:eastAsia="en-US"/>
        </w:rPr>
        <w:t>11.</w:t>
      </w:r>
      <w:r w:rsidRPr="00DC67EB">
        <w:rPr>
          <w:szCs w:val="24"/>
          <w:lang w:val="sv-SE" w:eastAsia="en-US"/>
        </w:rPr>
        <w:tab/>
        <w:t>Az irányelv kiegészül a II. melléklettel, amelynek szövegét ezen irányelv VI. melléklete tartalmazza.</w:t>
      </w:r>
    </w:p>
    <w:p w14:paraId="5002B2EA" w14:textId="77777777" w:rsidR="001D30D4" w:rsidRPr="00DC67EB" w:rsidRDefault="001D30D4" w:rsidP="001D30D4">
      <w:pPr>
        <w:spacing w:before="120" w:after="120" w:line="360" w:lineRule="auto"/>
        <w:jc w:val="center"/>
        <w:rPr>
          <w:szCs w:val="24"/>
          <w:lang w:val="sv-SE" w:eastAsia="en-US"/>
        </w:rPr>
      </w:pPr>
      <w:r w:rsidRPr="00DC67EB">
        <w:rPr>
          <w:szCs w:val="24"/>
          <w:lang w:val="sv-SE" w:eastAsia="en-US"/>
        </w:rPr>
        <w:t>4. cikk</w:t>
      </w:r>
    </w:p>
    <w:p w14:paraId="1296923A" w14:textId="77777777" w:rsidR="001D30D4" w:rsidRPr="00DC67EB" w:rsidRDefault="001D30D4" w:rsidP="001D30D4">
      <w:pPr>
        <w:spacing w:before="120" w:after="120" w:line="360" w:lineRule="auto"/>
        <w:ind w:left="850" w:hanging="850"/>
        <w:rPr>
          <w:szCs w:val="24"/>
          <w:lang w:val="sv-SE" w:eastAsia="en-US"/>
        </w:rPr>
      </w:pPr>
      <w:r w:rsidRPr="00DC67EB">
        <w:rPr>
          <w:szCs w:val="24"/>
          <w:lang w:val="sv-SE" w:eastAsia="en-US"/>
        </w:rPr>
        <w:t>(1)</w:t>
      </w:r>
      <w:r w:rsidRPr="00DC67EB">
        <w:rPr>
          <w:szCs w:val="24"/>
          <w:lang w:val="sv-SE" w:eastAsia="en-US"/>
        </w:rPr>
        <w:tab/>
        <w:t>A tagállamok hatályba léptetik azokat a törvényi, rendeleti és közigazgatási rendelkezéseket, amelyek szükségesek ahhoz, hogy ennek az irányelvnek [Kiadóhivatal: kérjük a dátum beillesztését = annak a hónapnak az első napja, amely az ezen irányelv hatálybalépésétől számított 18 hónap eltelte után következik]-ig megfeleljenek.</w:t>
      </w:r>
    </w:p>
    <w:p w14:paraId="35747F08" w14:textId="77777777" w:rsidR="001D30D4" w:rsidRPr="00DC67EB" w:rsidRDefault="001D30D4" w:rsidP="001D30D4">
      <w:pPr>
        <w:spacing w:before="120" w:after="120" w:line="360" w:lineRule="auto"/>
        <w:ind w:left="850" w:hanging="850"/>
        <w:rPr>
          <w:szCs w:val="24"/>
          <w:lang w:val="sv-SE" w:eastAsia="en-US"/>
        </w:rPr>
      </w:pPr>
      <w:r w:rsidRPr="00DC67EB">
        <w:rPr>
          <w:szCs w:val="24"/>
          <w:lang w:val="sv-SE" w:eastAsia="en-US"/>
        </w:rPr>
        <w:t>(2)</w:t>
      </w:r>
      <w:r w:rsidRPr="00DC67EB">
        <w:rPr>
          <w:szCs w:val="24"/>
          <w:lang w:val="sv-SE" w:eastAsia="en-US"/>
        </w:rPr>
        <w:tab/>
        <w:t>E rendelkezések szövegét haladéktalanul közlik a Bizottsággal. Amikor a tagállamok elfogadják ezeket a rendelkezéseket, azokban hivatkozni kell erre az irányelvre, vagy azokhoz hivatalos kihirdetésük alkalmával ilyen hivatkozást kell fűzni. A hivatkozás módját a tagállamok határozzák meg. A tagállamok közlik a Bizottsággal belső joguk azon főbb rendelkezéseinek szövegét, amelyeket az ezen irányelv által szabályozott területen fogadnak el.</w:t>
      </w:r>
    </w:p>
    <w:p w14:paraId="513A2614" w14:textId="77777777" w:rsidR="00B23C9C" w:rsidRPr="00DC67EB" w:rsidRDefault="00B23C9C">
      <w:pPr>
        <w:widowControl/>
        <w:rPr>
          <w:szCs w:val="24"/>
          <w:lang w:val="sv-SE" w:eastAsia="en-US"/>
        </w:rPr>
      </w:pPr>
      <w:r w:rsidRPr="00DC67EB">
        <w:rPr>
          <w:szCs w:val="24"/>
          <w:lang w:val="sv-SE" w:eastAsia="en-US"/>
        </w:rPr>
        <w:br w:type="page"/>
      </w:r>
    </w:p>
    <w:p w14:paraId="3ED3B4BE" w14:textId="77777777" w:rsidR="001D30D4" w:rsidRPr="00DC67EB" w:rsidRDefault="001D30D4" w:rsidP="001D30D4">
      <w:pPr>
        <w:spacing w:before="120" w:after="120" w:line="360" w:lineRule="auto"/>
        <w:jc w:val="center"/>
        <w:rPr>
          <w:szCs w:val="24"/>
          <w:lang w:val="sv-SE" w:eastAsia="en-US"/>
        </w:rPr>
      </w:pPr>
      <w:r w:rsidRPr="00DC67EB">
        <w:rPr>
          <w:szCs w:val="24"/>
          <w:lang w:val="sv-SE" w:eastAsia="en-US"/>
        </w:rPr>
        <w:lastRenderedPageBreak/>
        <w:t>5. cikk</w:t>
      </w:r>
    </w:p>
    <w:p w14:paraId="5AC9B0F1" w14:textId="77777777" w:rsidR="001D30D4" w:rsidRPr="00DC67EB" w:rsidRDefault="001D30D4" w:rsidP="001D30D4">
      <w:pPr>
        <w:spacing w:before="120" w:after="120" w:line="360" w:lineRule="auto"/>
        <w:rPr>
          <w:szCs w:val="24"/>
          <w:lang w:val="sv-SE" w:eastAsia="en-US"/>
        </w:rPr>
      </w:pPr>
      <w:r w:rsidRPr="00DC67EB">
        <w:rPr>
          <w:szCs w:val="24"/>
          <w:lang w:val="sv-SE" w:eastAsia="en-US"/>
        </w:rPr>
        <w:t xml:space="preserve">Ez az irányelv az </w:t>
      </w:r>
      <w:r w:rsidRPr="00E441EF">
        <w:rPr>
          <w:i/>
          <w:szCs w:val="24"/>
          <w:lang w:val="sv-SE" w:eastAsia="en-US"/>
        </w:rPr>
        <w:t>Európai Unió Hivatalos Lapjában</w:t>
      </w:r>
      <w:r w:rsidRPr="00DC67EB">
        <w:rPr>
          <w:szCs w:val="24"/>
          <w:lang w:val="sv-SE" w:eastAsia="en-US"/>
        </w:rPr>
        <w:t xml:space="preserve"> való kihirdetését követő huszadik napon lép hatályba.</w:t>
      </w:r>
    </w:p>
    <w:p w14:paraId="0695F82D" w14:textId="77777777" w:rsidR="001D30D4" w:rsidRPr="00DC67EB" w:rsidRDefault="001D30D4" w:rsidP="001D30D4">
      <w:pPr>
        <w:spacing w:before="120" w:after="120" w:line="360" w:lineRule="auto"/>
        <w:jc w:val="center"/>
        <w:rPr>
          <w:szCs w:val="24"/>
          <w:lang w:val="sv-SE" w:eastAsia="en-US"/>
        </w:rPr>
      </w:pPr>
      <w:r w:rsidRPr="00DC67EB">
        <w:rPr>
          <w:szCs w:val="24"/>
          <w:lang w:val="sv-SE" w:eastAsia="en-US"/>
        </w:rPr>
        <w:t>6. cikk</w:t>
      </w:r>
    </w:p>
    <w:p w14:paraId="425E9C08" w14:textId="77777777" w:rsidR="001D30D4" w:rsidRPr="00DC67EB" w:rsidRDefault="001D30D4" w:rsidP="001D30D4">
      <w:pPr>
        <w:spacing w:before="120" w:after="120" w:line="360" w:lineRule="auto"/>
        <w:rPr>
          <w:szCs w:val="24"/>
          <w:lang w:val="sv-SE" w:eastAsia="en-US"/>
        </w:rPr>
      </w:pPr>
      <w:r w:rsidRPr="00DC67EB">
        <w:rPr>
          <w:szCs w:val="24"/>
          <w:lang w:val="sv-SE" w:eastAsia="en-US"/>
        </w:rPr>
        <w:t>Ennek az irányelvnek a tagállamok a címzettjei.</w:t>
      </w:r>
    </w:p>
    <w:p w14:paraId="4294B5E6" w14:textId="77777777" w:rsidR="001D30D4" w:rsidRPr="00DC67EB" w:rsidRDefault="001D30D4" w:rsidP="001D30D4">
      <w:pPr>
        <w:keepNext/>
        <w:widowControl/>
        <w:spacing w:before="120" w:line="360" w:lineRule="auto"/>
        <w:rPr>
          <w:szCs w:val="24"/>
          <w:lang w:val="sv-SE" w:eastAsia="en-US"/>
        </w:rPr>
      </w:pPr>
      <w:r w:rsidRPr="00DC67EB">
        <w:rPr>
          <w:szCs w:val="24"/>
          <w:lang w:val="sv-SE" w:eastAsia="en-US"/>
        </w:rPr>
        <w:t xml:space="preserve">Kelt </w:t>
      </w:r>
      <w:r w:rsidR="00E441EF">
        <w:rPr>
          <w:szCs w:val="24"/>
          <w:lang w:val="sv-SE" w:eastAsia="en-US"/>
        </w:rPr>
        <w:t>...</w:t>
      </w:r>
      <w:r w:rsidRPr="00DC67EB">
        <w:rPr>
          <w:szCs w:val="24"/>
          <w:lang w:val="sv-SE" w:eastAsia="en-US"/>
        </w:rPr>
        <w:t>, -án/-én.</w:t>
      </w:r>
    </w:p>
    <w:p w14:paraId="5E130DF9" w14:textId="77777777" w:rsidR="001D30D4" w:rsidRPr="00DC67EB" w:rsidRDefault="001D30D4" w:rsidP="001D30D4">
      <w:pPr>
        <w:keepNext/>
        <w:widowControl/>
        <w:tabs>
          <w:tab w:val="left" w:pos="4252"/>
        </w:tabs>
        <w:spacing w:before="720" w:after="100" w:line="360" w:lineRule="auto"/>
        <w:jc w:val="both"/>
        <w:rPr>
          <w:i/>
          <w:szCs w:val="24"/>
          <w:lang w:val="sv-SE" w:eastAsia="en-US"/>
        </w:rPr>
      </w:pPr>
      <w:r w:rsidRPr="00DC67EB">
        <w:rPr>
          <w:i/>
          <w:szCs w:val="24"/>
          <w:lang w:val="sv-SE" w:eastAsia="en-US"/>
        </w:rPr>
        <w:t>az Európai Parlament részéről</w:t>
      </w:r>
      <w:r w:rsidRPr="00DC67EB">
        <w:rPr>
          <w:i/>
          <w:szCs w:val="24"/>
          <w:lang w:val="sv-SE" w:eastAsia="en-US"/>
        </w:rPr>
        <w:tab/>
        <w:t>a Tanács részéről</w:t>
      </w:r>
    </w:p>
    <w:p w14:paraId="1C0BE5FF" w14:textId="77777777" w:rsidR="001D30D4" w:rsidRPr="00DC67EB" w:rsidRDefault="001D30D4" w:rsidP="001D30D4">
      <w:pPr>
        <w:widowControl/>
        <w:tabs>
          <w:tab w:val="left" w:pos="4252"/>
        </w:tabs>
        <w:spacing w:line="360" w:lineRule="auto"/>
        <w:rPr>
          <w:i/>
          <w:szCs w:val="24"/>
          <w:lang w:val="sv-SE" w:eastAsia="en-US"/>
        </w:rPr>
      </w:pPr>
      <w:r w:rsidRPr="00DC67EB">
        <w:rPr>
          <w:i/>
          <w:szCs w:val="24"/>
          <w:lang w:val="sv-SE" w:eastAsia="en-US"/>
        </w:rPr>
        <w:t>az elnök</w:t>
      </w:r>
      <w:r w:rsidRPr="00DC67EB">
        <w:rPr>
          <w:i/>
          <w:szCs w:val="24"/>
          <w:lang w:val="sv-SE" w:eastAsia="en-US"/>
        </w:rPr>
        <w:tab/>
        <w:t>az elnök</w:t>
      </w:r>
    </w:p>
    <w:p w14:paraId="0F8327A1" w14:textId="77777777" w:rsidR="001D30D4" w:rsidRPr="00DC67EB" w:rsidRDefault="001D30D4" w:rsidP="001D30D4">
      <w:pPr>
        <w:spacing w:before="120" w:after="120" w:line="360" w:lineRule="auto"/>
        <w:rPr>
          <w:szCs w:val="24"/>
          <w:lang w:val="sv-SE" w:eastAsia="en-US"/>
        </w:rPr>
        <w:sectPr w:rsidR="001D30D4" w:rsidRPr="00DC67EB">
          <w:footnotePr>
            <w:numRestart w:val="eachSect"/>
          </w:footnotePr>
          <w:pgSz w:w="11909" w:h="16834"/>
          <w:pgMar w:top="1134" w:right="1417" w:bottom="1417" w:left="1417" w:header="1134" w:footer="567" w:gutter="0"/>
          <w:cols w:space="720"/>
        </w:sectPr>
      </w:pPr>
    </w:p>
    <w:p w14:paraId="3594039C" w14:textId="77777777" w:rsidR="001D30D4" w:rsidRPr="00DC67EB" w:rsidRDefault="001D30D4" w:rsidP="001D30D4">
      <w:pPr>
        <w:spacing w:before="120" w:after="120" w:line="360" w:lineRule="auto"/>
        <w:jc w:val="center"/>
        <w:rPr>
          <w:lang w:val="sv-SE" w:eastAsia="en-US"/>
        </w:rPr>
      </w:pPr>
      <w:r w:rsidRPr="00DC67EB">
        <w:rPr>
          <w:lang w:val="sv-SE" w:eastAsia="en-US"/>
        </w:rPr>
        <w:lastRenderedPageBreak/>
        <w:t>I. MELLÉKLET</w:t>
      </w:r>
    </w:p>
    <w:p w14:paraId="0A5B5363" w14:textId="77777777" w:rsidR="001D30D4" w:rsidRPr="00DC67EB" w:rsidRDefault="001D30D4" w:rsidP="001D30D4">
      <w:pPr>
        <w:spacing w:before="120" w:after="120" w:line="360" w:lineRule="auto"/>
        <w:rPr>
          <w:szCs w:val="24"/>
          <w:lang w:val="sv-SE" w:eastAsia="en-US"/>
        </w:rPr>
      </w:pPr>
      <w:r w:rsidRPr="00DC67EB">
        <w:rPr>
          <w:szCs w:val="24"/>
          <w:lang w:val="sv-SE" w:eastAsia="en-US"/>
        </w:rPr>
        <w:t>A 2000/60/EK irányelv V. melléklete a következőképpen módosul:</w:t>
      </w:r>
    </w:p>
    <w:p w14:paraId="6C9ABD07" w14:textId="77777777" w:rsidR="001D30D4" w:rsidRPr="00DC67EB" w:rsidRDefault="001D30D4" w:rsidP="001D30D4">
      <w:pPr>
        <w:spacing w:before="120" w:after="120" w:line="360" w:lineRule="auto"/>
        <w:ind w:left="850" w:hanging="850"/>
        <w:rPr>
          <w:szCs w:val="24"/>
          <w:lang w:val="sv-SE" w:eastAsia="en-US"/>
        </w:rPr>
      </w:pPr>
      <w:r w:rsidRPr="00DC67EB">
        <w:rPr>
          <w:szCs w:val="24"/>
          <w:lang w:val="sv-SE" w:eastAsia="en-US"/>
        </w:rPr>
        <w:t>1.</w:t>
      </w:r>
      <w:r w:rsidRPr="00DC67EB">
        <w:rPr>
          <w:szCs w:val="24"/>
          <w:lang w:val="sv-SE" w:eastAsia="en-US"/>
        </w:rPr>
        <w:tab/>
        <w:t>Az 1.1.1–1.1.4. pont a helyébe a következő szöveg lép:</w:t>
      </w:r>
    </w:p>
    <w:p w14:paraId="07529B00" w14:textId="77777777" w:rsidR="001D30D4" w:rsidRPr="00DC67EB" w:rsidRDefault="001D30D4" w:rsidP="001D30D4">
      <w:pPr>
        <w:spacing w:before="120" w:after="120" w:line="360" w:lineRule="auto"/>
        <w:ind w:left="1416" w:hanging="566"/>
        <w:rPr>
          <w:szCs w:val="24"/>
          <w:lang w:val="sv-SE" w:eastAsia="en-US"/>
        </w:rPr>
      </w:pPr>
      <w:r w:rsidRPr="00DC67EB">
        <w:rPr>
          <w:szCs w:val="24"/>
          <w:lang w:val="sv-SE" w:eastAsia="en-US"/>
        </w:rPr>
        <w:t>„1.1.1.</w:t>
      </w:r>
      <w:r w:rsidRPr="00DC67EB">
        <w:rPr>
          <w:szCs w:val="24"/>
          <w:lang w:val="sv-SE" w:eastAsia="en-US"/>
        </w:rPr>
        <w:tab/>
        <w:t>Vízfolyások</w:t>
      </w:r>
    </w:p>
    <w:p w14:paraId="07110062" w14:textId="77777777" w:rsidR="001D30D4" w:rsidRPr="00DC67EB" w:rsidRDefault="001D30D4" w:rsidP="001D30D4">
      <w:pPr>
        <w:spacing w:before="120" w:after="120" w:line="360" w:lineRule="auto"/>
        <w:ind w:left="1416"/>
        <w:rPr>
          <w:szCs w:val="24"/>
          <w:lang w:val="sv-SE" w:eastAsia="en-US"/>
        </w:rPr>
      </w:pPr>
      <w:r w:rsidRPr="00DC67EB">
        <w:rPr>
          <w:szCs w:val="24"/>
          <w:lang w:val="sv-SE" w:eastAsia="en-US"/>
        </w:rPr>
        <w:t>Biológiai elemek</w:t>
      </w:r>
    </w:p>
    <w:p w14:paraId="3248579D" w14:textId="77777777" w:rsidR="001D30D4" w:rsidRPr="00DC67EB" w:rsidRDefault="001D30D4" w:rsidP="001D30D4">
      <w:pPr>
        <w:spacing w:before="120" w:after="120" w:line="360" w:lineRule="auto"/>
        <w:ind w:left="1416"/>
        <w:rPr>
          <w:szCs w:val="24"/>
          <w:lang w:val="sv-SE" w:eastAsia="en-US"/>
        </w:rPr>
      </w:pPr>
      <w:r w:rsidRPr="00DC67EB">
        <w:rPr>
          <w:szCs w:val="24"/>
          <w:lang w:val="sv-SE" w:eastAsia="en-US"/>
        </w:rPr>
        <w:t>A vízi flóra összetétele és abundanciája</w:t>
      </w:r>
    </w:p>
    <w:p w14:paraId="1C55FBBA" w14:textId="77777777" w:rsidR="001D30D4" w:rsidRPr="00DC67EB" w:rsidRDefault="001D30D4" w:rsidP="001D30D4">
      <w:pPr>
        <w:spacing w:before="120" w:after="120" w:line="360" w:lineRule="auto"/>
        <w:ind w:left="1416"/>
        <w:rPr>
          <w:szCs w:val="24"/>
          <w:lang w:val="sv-SE" w:eastAsia="en-US"/>
        </w:rPr>
      </w:pPr>
      <w:r w:rsidRPr="00DC67EB">
        <w:rPr>
          <w:szCs w:val="24"/>
          <w:lang w:val="sv-SE" w:eastAsia="en-US"/>
        </w:rPr>
        <w:t>A bentikus gerinctelen fauna összetétele és abundanciája</w:t>
      </w:r>
    </w:p>
    <w:p w14:paraId="29A6D24F" w14:textId="77777777" w:rsidR="001D30D4" w:rsidRPr="00DC67EB" w:rsidRDefault="001D30D4" w:rsidP="001D30D4">
      <w:pPr>
        <w:spacing w:before="120" w:after="120" w:line="360" w:lineRule="auto"/>
        <w:ind w:left="1416"/>
        <w:rPr>
          <w:szCs w:val="24"/>
          <w:lang w:val="sv-SE" w:eastAsia="en-US"/>
        </w:rPr>
      </w:pPr>
      <w:r w:rsidRPr="00DC67EB">
        <w:rPr>
          <w:szCs w:val="24"/>
          <w:lang w:val="sv-SE" w:eastAsia="en-US"/>
        </w:rPr>
        <w:t>A halfauna összetétele, abundanciája és korszerkezete</w:t>
      </w:r>
    </w:p>
    <w:p w14:paraId="7FDEDBF7"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 biológiai elemeket támogató hidromorfológiai elemek</w:t>
      </w:r>
    </w:p>
    <w:p w14:paraId="23A98692" w14:textId="77777777" w:rsidR="001D30D4" w:rsidRPr="00DC67EB" w:rsidRDefault="001D30D4" w:rsidP="001D30D4">
      <w:pPr>
        <w:spacing w:before="120" w:after="120" w:line="360" w:lineRule="auto"/>
        <w:ind w:left="850"/>
        <w:rPr>
          <w:szCs w:val="24"/>
          <w:lang w:val="pt-PT" w:eastAsia="en-US"/>
        </w:rPr>
      </w:pPr>
      <w:r w:rsidRPr="00DC67EB">
        <w:rPr>
          <w:szCs w:val="24"/>
          <w:lang w:val="pt-PT" w:eastAsia="en-US"/>
        </w:rPr>
        <w:t>A hidrológiai rendszer</w:t>
      </w:r>
    </w:p>
    <w:p w14:paraId="399C61FC"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az áramlás mértéke és dinamikája</w:t>
      </w:r>
    </w:p>
    <w:p w14:paraId="3F67DD4F"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kapcsolat a felszín alatti víztestekkel</w:t>
      </w:r>
    </w:p>
    <w:p w14:paraId="0EA1F499"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 vízfolyás folytonossága</w:t>
      </w:r>
    </w:p>
    <w:p w14:paraId="76313D56" w14:textId="77777777" w:rsidR="00B23C9C" w:rsidRPr="00DC67EB" w:rsidRDefault="00B23C9C">
      <w:pPr>
        <w:widowControl/>
        <w:rPr>
          <w:szCs w:val="24"/>
          <w:lang w:val="pt-PT" w:eastAsia="en-US"/>
        </w:rPr>
      </w:pPr>
      <w:r w:rsidRPr="00DC67EB">
        <w:rPr>
          <w:szCs w:val="24"/>
          <w:lang w:val="pt-PT" w:eastAsia="en-US"/>
        </w:rPr>
        <w:br w:type="page"/>
      </w:r>
    </w:p>
    <w:p w14:paraId="5A0B0F71" w14:textId="77777777" w:rsidR="001D30D4" w:rsidRPr="00DC67EB" w:rsidRDefault="001D30D4" w:rsidP="001D30D4">
      <w:pPr>
        <w:spacing w:before="120" w:after="120" w:line="360" w:lineRule="auto"/>
        <w:ind w:left="850"/>
        <w:rPr>
          <w:szCs w:val="24"/>
          <w:lang w:val="pt-PT" w:eastAsia="en-US"/>
        </w:rPr>
      </w:pPr>
      <w:r w:rsidRPr="00DC67EB">
        <w:rPr>
          <w:szCs w:val="24"/>
          <w:lang w:val="pt-PT" w:eastAsia="en-US"/>
        </w:rPr>
        <w:t>Morfológiai viszonyok</w:t>
      </w:r>
    </w:p>
    <w:p w14:paraId="755C3DFC"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 folyó mélységének és szélességének változékonysága</w:t>
      </w:r>
    </w:p>
    <w:p w14:paraId="6EC2E7E0"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 mederágy szerkezete és anyaga</w:t>
      </w:r>
    </w:p>
    <w:p w14:paraId="46467BFA"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 parti sáv szerkezete</w:t>
      </w:r>
    </w:p>
    <w:p w14:paraId="190F0C8D"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 biológiai elemeket támogató általános fizikai-kémiai elemek</w:t>
      </w:r>
    </w:p>
    <w:p w14:paraId="716131D2"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Hőmérsékleti viszonyok</w:t>
      </w:r>
    </w:p>
    <w:p w14:paraId="38C132C3"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Oxigénháztartási viszonyok</w:t>
      </w:r>
    </w:p>
    <w:p w14:paraId="66C524DA"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Sótartalom</w:t>
      </w:r>
    </w:p>
    <w:p w14:paraId="34239A02"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Savasodási állapot</w:t>
      </w:r>
    </w:p>
    <w:p w14:paraId="54D81E42"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Tápanyagviszonyok</w:t>
      </w:r>
    </w:p>
    <w:p w14:paraId="020DBA86" w14:textId="77777777" w:rsidR="001D30D4" w:rsidRPr="00DC67EB" w:rsidRDefault="001D30D4" w:rsidP="001D30D4">
      <w:pPr>
        <w:spacing w:before="120" w:after="120" w:line="360" w:lineRule="auto"/>
        <w:ind w:left="1416" w:hanging="566"/>
        <w:rPr>
          <w:szCs w:val="24"/>
          <w:lang w:val="pt-PT" w:eastAsia="en-US"/>
        </w:rPr>
      </w:pPr>
      <w:r w:rsidRPr="00DC67EB">
        <w:rPr>
          <w:szCs w:val="24"/>
          <w:lang w:val="pt-PT" w:eastAsia="en-US"/>
        </w:rPr>
        <w:t>1.1.2.</w:t>
      </w:r>
      <w:r w:rsidRPr="00DC67EB">
        <w:rPr>
          <w:szCs w:val="24"/>
          <w:lang w:val="pt-PT" w:eastAsia="en-US"/>
        </w:rPr>
        <w:tab/>
        <w:t xml:space="preserve">   Tavak</w:t>
      </w:r>
    </w:p>
    <w:p w14:paraId="63B95369"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Biológiai elemek</w:t>
      </w:r>
    </w:p>
    <w:p w14:paraId="57C1CDD8" w14:textId="77777777" w:rsidR="00B23C9C" w:rsidRPr="00DC67EB" w:rsidRDefault="00B23C9C">
      <w:pPr>
        <w:widowControl/>
        <w:rPr>
          <w:szCs w:val="24"/>
          <w:lang w:val="pt-PT" w:eastAsia="en-US"/>
        </w:rPr>
      </w:pPr>
      <w:r w:rsidRPr="00DC67EB">
        <w:rPr>
          <w:szCs w:val="24"/>
          <w:lang w:val="pt-PT" w:eastAsia="en-US"/>
        </w:rPr>
        <w:br w:type="page"/>
      </w:r>
    </w:p>
    <w:p w14:paraId="4102BB20"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 fitoplankton összetétele, abundanciája és biomasszája</w:t>
      </w:r>
    </w:p>
    <w:p w14:paraId="20D1846E"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Az egyéb vízi növényzet összetétele és abundanciája</w:t>
      </w:r>
    </w:p>
    <w:p w14:paraId="20D24695"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 bentikus gerinctelen fauna összetétele és abundanciája</w:t>
      </w:r>
    </w:p>
    <w:p w14:paraId="3DEA74B5"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 halfauna összetétele, abundanciája és korszerkezete</w:t>
      </w:r>
    </w:p>
    <w:p w14:paraId="668C0E88"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 biológiai elemeket támogató hidromorfológiai elemek</w:t>
      </w:r>
    </w:p>
    <w:p w14:paraId="26165BE3" w14:textId="77777777" w:rsidR="001D30D4" w:rsidRPr="00DC67EB" w:rsidRDefault="001D30D4" w:rsidP="001D30D4">
      <w:pPr>
        <w:spacing w:before="120" w:after="120" w:line="360" w:lineRule="auto"/>
        <w:ind w:left="850"/>
        <w:rPr>
          <w:szCs w:val="24"/>
          <w:lang w:val="pt-PT" w:eastAsia="en-US"/>
        </w:rPr>
      </w:pPr>
      <w:r w:rsidRPr="00DC67EB">
        <w:rPr>
          <w:szCs w:val="24"/>
          <w:lang w:val="pt-PT" w:eastAsia="en-US"/>
        </w:rPr>
        <w:t>A hidrológiai rendszer</w:t>
      </w:r>
    </w:p>
    <w:p w14:paraId="42CFDD32"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az áramlás mértéke és dinamikája</w:t>
      </w:r>
    </w:p>
    <w:p w14:paraId="3B6596D0"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tartózkodási idő</w:t>
      </w:r>
    </w:p>
    <w:p w14:paraId="435786A0"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kapcsolat a felszín alatti víztesttel</w:t>
      </w:r>
    </w:p>
    <w:p w14:paraId="0FD47288" w14:textId="77777777" w:rsidR="001D30D4" w:rsidRPr="00DC67EB" w:rsidRDefault="001D30D4" w:rsidP="001D30D4">
      <w:pPr>
        <w:spacing w:before="120" w:after="120" w:line="360" w:lineRule="auto"/>
        <w:ind w:left="850"/>
        <w:rPr>
          <w:szCs w:val="24"/>
          <w:lang w:val="pt-PT" w:eastAsia="en-US"/>
        </w:rPr>
      </w:pPr>
      <w:r w:rsidRPr="00DC67EB">
        <w:rPr>
          <w:szCs w:val="24"/>
          <w:lang w:val="pt-PT" w:eastAsia="en-US"/>
        </w:rPr>
        <w:t>Morfológiai viszonyok</w:t>
      </w:r>
    </w:p>
    <w:p w14:paraId="643A8D0B"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 tómélység változékonysága</w:t>
      </w:r>
    </w:p>
    <w:p w14:paraId="3541BD55"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 tómeder mennyisége, szerkezete és altalaja</w:t>
      </w:r>
    </w:p>
    <w:p w14:paraId="360933A8"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 tópart szerkezete</w:t>
      </w:r>
    </w:p>
    <w:p w14:paraId="1A0F7C57" w14:textId="77777777" w:rsidR="00B23C9C" w:rsidRPr="00DC67EB" w:rsidRDefault="00B23C9C">
      <w:pPr>
        <w:widowControl/>
        <w:rPr>
          <w:szCs w:val="24"/>
          <w:lang w:val="pt-PT" w:eastAsia="en-US"/>
        </w:rPr>
      </w:pPr>
      <w:r w:rsidRPr="00DC67EB">
        <w:rPr>
          <w:szCs w:val="24"/>
          <w:lang w:val="pt-PT" w:eastAsia="en-US"/>
        </w:rPr>
        <w:br w:type="page"/>
      </w:r>
    </w:p>
    <w:p w14:paraId="5F21D3F2"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 biológiai elemeket támogató általános fizikai-kémiai elemek</w:t>
      </w:r>
    </w:p>
    <w:p w14:paraId="2FCCC98D"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Átlátszóság</w:t>
      </w:r>
    </w:p>
    <w:p w14:paraId="5E5CE982"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Hőmérsékleti viszonyok</w:t>
      </w:r>
    </w:p>
    <w:p w14:paraId="2D76FE6A"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Oxigénháztartási viszonyok</w:t>
      </w:r>
    </w:p>
    <w:p w14:paraId="490AE859"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Sótartalom</w:t>
      </w:r>
    </w:p>
    <w:p w14:paraId="42806EE1"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Savasodási állapot</w:t>
      </w:r>
    </w:p>
    <w:p w14:paraId="542A91B1"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Tápanyagviszonyok</w:t>
      </w:r>
    </w:p>
    <w:p w14:paraId="002418FC" w14:textId="77777777" w:rsidR="001D30D4" w:rsidRPr="00DC67EB" w:rsidRDefault="001D30D4" w:rsidP="001D30D4">
      <w:pPr>
        <w:spacing w:before="120" w:after="120" w:line="360" w:lineRule="auto"/>
        <w:ind w:left="1416" w:hanging="566"/>
        <w:rPr>
          <w:szCs w:val="24"/>
          <w:lang w:val="pt-PT" w:eastAsia="en-US"/>
        </w:rPr>
      </w:pPr>
      <w:r w:rsidRPr="00DC67EB">
        <w:rPr>
          <w:szCs w:val="24"/>
          <w:lang w:val="pt-PT" w:eastAsia="en-US"/>
        </w:rPr>
        <w:t>1.1.3.</w:t>
      </w:r>
      <w:r w:rsidRPr="00DC67EB">
        <w:rPr>
          <w:szCs w:val="24"/>
          <w:lang w:val="pt-PT" w:eastAsia="en-US"/>
        </w:rPr>
        <w:tab/>
        <w:t>Átmeneti vizek</w:t>
      </w:r>
    </w:p>
    <w:p w14:paraId="03DF1B52"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Biológiai elemek</w:t>
      </w:r>
    </w:p>
    <w:p w14:paraId="2127CCDE"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 fitoplankton összetétele, abundanciája és biomasszája</w:t>
      </w:r>
    </w:p>
    <w:p w14:paraId="0EEB2BB7"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Az egyéb vízi növényzet összetétele és abundanciája</w:t>
      </w:r>
    </w:p>
    <w:p w14:paraId="6EF8CE94"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 bentikus gerinctelen fauna összetétele és abundanciája</w:t>
      </w:r>
    </w:p>
    <w:p w14:paraId="5A19E3B6"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 halfauna összetétele és abundanciája</w:t>
      </w:r>
    </w:p>
    <w:p w14:paraId="2E419A8E" w14:textId="77777777" w:rsidR="00B23C9C" w:rsidRPr="00DC67EB" w:rsidRDefault="00B23C9C">
      <w:pPr>
        <w:widowControl/>
        <w:rPr>
          <w:szCs w:val="24"/>
          <w:lang w:val="pt-PT" w:eastAsia="en-US"/>
        </w:rPr>
      </w:pPr>
      <w:r w:rsidRPr="00DC67EB">
        <w:rPr>
          <w:szCs w:val="24"/>
          <w:lang w:val="pt-PT" w:eastAsia="en-US"/>
        </w:rPr>
        <w:br w:type="page"/>
      </w:r>
    </w:p>
    <w:p w14:paraId="25D30078"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 biológiai elemeket támogató hidromorfológiai elemek</w:t>
      </w:r>
    </w:p>
    <w:p w14:paraId="2AC5CEFE" w14:textId="77777777" w:rsidR="001D30D4" w:rsidRPr="00DC67EB" w:rsidRDefault="001D30D4" w:rsidP="001D30D4">
      <w:pPr>
        <w:spacing w:before="120" w:after="120" w:line="360" w:lineRule="auto"/>
        <w:ind w:left="850"/>
        <w:rPr>
          <w:szCs w:val="24"/>
          <w:lang w:val="pt-PT" w:eastAsia="en-US"/>
        </w:rPr>
      </w:pPr>
      <w:r w:rsidRPr="00DC67EB">
        <w:rPr>
          <w:szCs w:val="24"/>
          <w:lang w:val="pt-PT" w:eastAsia="en-US"/>
        </w:rPr>
        <w:t>Morfológiai viszonyok</w:t>
      </w:r>
    </w:p>
    <w:p w14:paraId="01A2A01F"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 mélység változékonysága</w:t>
      </w:r>
    </w:p>
    <w:p w14:paraId="56E5816E"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 mederágy mennyisége, szerkezete és altalaja</w:t>
      </w:r>
    </w:p>
    <w:p w14:paraId="3DA32D55"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az árapály közti zóna szerkezete</w:t>
      </w:r>
    </w:p>
    <w:p w14:paraId="380EE90D" w14:textId="77777777" w:rsidR="001D30D4" w:rsidRPr="00DC67EB" w:rsidRDefault="001D30D4" w:rsidP="001D30D4">
      <w:pPr>
        <w:spacing w:before="120" w:after="120" w:line="360" w:lineRule="auto"/>
        <w:ind w:left="850"/>
        <w:rPr>
          <w:szCs w:val="24"/>
          <w:lang w:val="pt-PT" w:eastAsia="en-US"/>
        </w:rPr>
      </w:pPr>
      <w:r w:rsidRPr="00DC67EB">
        <w:rPr>
          <w:szCs w:val="24"/>
          <w:lang w:val="pt-PT" w:eastAsia="en-US"/>
        </w:rPr>
        <w:t>Árapályrezsim</w:t>
      </w:r>
    </w:p>
    <w:p w14:paraId="2F0F6307"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édesvízáramlás</w:t>
      </w:r>
    </w:p>
    <w:p w14:paraId="7C56CC12"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kitettség a hullámzásnak</w:t>
      </w:r>
    </w:p>
    <w:p w14:paraId="28DFC826"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 biológiai elemeket támogató általános fizikai-kémiai elemek</w:t>
      </w:r>
    </w:p>
    <w:p w14:paraId="2C0E2C27"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Átlátszóság</w:t>
      </w:r>
    </w:p>
    <w:p w14:paraId="36C09F8C"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Hőmérsékleti viszonyok</w:t>
      </w:r>
    </w:p>
    <w:p w14:paraId="16B58D5C"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Oxigénháztartási viszonyok</w:t>
      </w:r>
    </w:p>
    <w:p w14:paraId="4DFCD18C" w14:textId="77777777" w:rsidR="00E161F6" w:rsidRPr="00DC67EB" w:rsidRDefault="00E161F6">
      <w:pPr>
        <w:widowControl/>
        <w:rPr>
          <w:szCs w:val="24"/>
          <w:lang w:val="pt-PT" w:eastAsia="en-US"/>
        </w:rPr>
      </w:pPr>
      <w:r w:rsidRPr="00DC67EB">
        <w:rPr>
          <w:szCs w:val="24"/>
          <w:lang w:val="pt-PT" w:eastAsia="en-US"/>
        </w:rPr>
        <w:br w:type="page"/>
      </w:r>
    </w:p>
    <w:p w14:paraId="76FFBA81"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Sótartalom</w:t>
      </w:r>
    </w:p>
    <w:p w14:paraId="4BA2CE1D"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Tápanyagviszonyok</w:t>
      </w:r>
    </w:p>
    <w:p w14:paraId="3FCA1410" w14:textId="77777777" w:rsidR="001D30D4" w:rsidRPr="00DC67EB" w:rsidRDefault="001D30D4" w:rsidP="001D30D4">
      <w:pPr>
        <w:spacing w:before="120" w:after="120" w:line="360" w:lineRule="auto"/>
        <w:ind w:left="1416" w:hanging="566"/>
        <w:rPr>
          <w:szCs w:val="24"/>
          <w:lang w:val="pt-PT" w:eastAsia="en-US"/>
        </w:rPr>
      </w:pPr>
      <w:r w:rsidRPr="00DC67EB">
        <w:rPr>
          <w:szCs w:val="24"/>
          <w:lang w:val="pt-PT" w:eastAsia="en-US"/>
        </w:rPr>
        <w:t>1.1.4.</w:t>
      </w:r>
      <w:r w:rsidRPr="00DC67EB">
        <w:rPr>
          <w:szCs w:val="24"/>
          <w:lang w:val="pt-PT" w:eastAsia="en-US"/>
        </w:rPr>
        <w:tab/>
        <w:t xml:space="preserve">   Parti tengervizek</w:t>
      </w:r>
    </w:p>
    <w:p w14:paraId="4670885F"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Biológiai elemek</w:t>
      </w:r>
    </w:p>
    <w:p w14:paraId="662C8731"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 fitoplankton összetétele, abundanciája és biomasszája</w:t>
      </w:r>
    </w:p>
    <w:p w14:paraId="554B451B"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Az egyéb vízi növényzet összetétele és abundanciája</w:t>
      </w:r>
    </w:p>
    <w:p w14:paraId="43A702A3"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 bentikus gerinctelen fauna összetétele és abundanciája</w:t>
      </w:r>
    </w:p>
    <w:p w14:paraId="791CFB48"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 biológiai elemeket támogató hidromorfológiai elemek</w:t>
      </w:r>
    </w:p>
    <w:p w14:paraId="67E0F1B7" w14:textId="77777777" w:rsidR="001D30D4" w:rsidRPr="00DC67EB" w:rsidRDefault="001D30D4" w:rsidP="001D30D4">
      <w:pPr>
        <w:spacing w:before="120" w:after="120" w:line="360" w:lineRule="auto"/>
        <w:ind w:left="850"/>
        <w:rPr>
          <w:szCs w:val="24"/>
          <w:lang w:val="pt-PT" w:eastAsia="en-US"/>
        </w:rPr>
      </w:pPr>
      <w:r w:rsidRPr="00DC67EB">
        <w:rPr>
          <w:szCs w:val="24"/>
          <w:lang w:val="pt-PT" w:eastAsia="en-US"/>
        </w:rPr>
        <w:t>Morfológiai viszonyok</w:t>
      </w:r>
    </w:p>
    <w:p w14:paraId="3BA5DD5C"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 mélység változékonysága</w:t>
      </w:r>
    </w:p>
    <w:p w14:paraId="6529F121"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 parti fenékanyag szerkezete és altalaja</w:t>
      </w:r>
    </w:p>
    <w:p w14:paraId="15146F9C"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az árapály közti zóna szerkezete</w:t>
      </w:r>
    </w:p>
    <w:p w14:paraId="4C0A675F" w14:textId="77777777" w:rsidR="00E161F6" w:rsidRPr="00DC67EB" w:rsidRDefault="00E161F6">
      <w:pPr>
        <w:widowControl/>
        <w:rPr>
          <w:szCs w:val="24"/>
          <w:lang w:val="pt-PT" w:eastAsia="en-US"/>
        </w:rPr>
      </w:pPr>
      <w:r w:rsidRPr="00DC67EB">
        <w:rPr>
          <w:szCs w:val="24"/>
          <w:lang w:val="pt-PT" w:eastAsia="en-US"/>
        </w:rPr>
        <w:br w:type="page"/>
      </w:r>
    </w:p>
    <w:p w14:paraId="462C8E17" w14:textId="77777777" w:rsidR="001D30D4" w:rsidRPr="00DC67EB" w:rsidRDefault="001D30D4" w:rsidP="001D30D4">
      <w:pPr>
        <w:spacing w:before="120" w:after="120" w:line="360" w:lineRule="auto"/>
        <w:ind w:left="850"/>
        <w:rPr>
          <w:szCs w:val="24"/>
          <w:lang w:val="pt-PT" w:eastAsia="en-US"/>
        </w:rPr>
      </w:pPr>
      <w:r w:rsidRPr="00DC67EB">
        <w:rPr>
          <w:szCs w:val="24"/>
          <w:lang w:val="pt-PT" w:eastAsia="en-US"/>
        </w:rPr>
        <w:t>Árapályrezsim</w:t>
      </w:r>
    </w:p>
    <w:p w14:paraId="3653D562"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 domináns áramlatok iránya</w:t>
      </w:r>
    </w:p>
    <w:p w14:paraId="492DDFF3"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kitettség a hullámzásnak</w:t>
      </w:r>
    </w:p>
    <w:p w14:paraId="7FF554D3"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A biológiai elemeket támogató általános fizikai-kémiai elemek</w:t>
      </w:r>
    </w:p>
    <w:p w14:paraId="01C423E8"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Átlátszóság</w:t>
      </w:r>
    </w:p>
    <w:p w14:paraId="5CA23B7E"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Hőmérsékleti viszonyok</w:t>
      </w:r>
    </w:p>
    <w:p w14:paraId="56D1442A"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Oxigénháztartási viszonyok</w:t>
      </w:r>
    </w:p>
    <w:p w14:paraId="3530E59C"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Sótartalom</w:t>
      </w:r>
    </w:p>
    <w:p w14:paraId="2FE57028" w14:textId="77777777" w:rsidR="001D30D4" w:rsidRPr="00DC67EB" w:rsidRDefault="001D30D4" w:rsidP="001D30D4">
      <w:pPr>
        <w:spacing w:before="120" w:after="120" w:line="360" w:lineRule="auto"/>
        <w:ind w:left="1416"/>
        <w:rPr>
          <w:szCs w:val="24"/>
          <w:lang w:val="pt-PT" w:eastAsia="en-US"/>
        </w:rPr>
      </w:pPr>
      <w:r w:rsidRPr="00DC67EB">
        <w:rPr>
          <w:szCs w:val="24"/>
          <w:lang w:val="pt-PT" w:eastAsia="en-US"/>
        </w:rPr>
        <w:t>Tápanyagviszonyok.”</w:t>
      </w:r>
    </w:p>
    <w:p w14:paraId="100C8A3F" w14:textId="77777777" w:rsidR="001D30D4" w:rsidRPr="00DC67EB" w:rsidRDefault="001D30D4" w:rsidP="001D30D4">
      <w:pPr>
        <w:spacing w:before="120" w:after="120" w:line="360" w:lineRule="auto"/>
        <w:ind w:left="850" w:hanging="850"/>
        <w:rPr>
          <w:szCs w:val="24"/>
          <w:lang w:val="pt-PT" w:eastAsia="en-US"/>
        </w:rPr>
      </w:pPr>
      <w:r w:rsidRPr="00DC67EB">
        <w:rPr>
          <w:szCs w:val="24"/>
          <w:lang w:val="pt-PT" w:eastAsia="en-US"/>
        </w:rPr>
        <w:t>2.</w:t>
      </w:r>
      <w:r w:rsidRPr="00DC67EB">
        <w:rPr>
          <w:szCs w:val="24"/>
          <w:lang w:val="pt-PT" w:eastAsia="en-US"/>
        </w:rPr>
        <w:tab/>
        <w:t>Az 1.2.1. pontban a „Fizikai-kémiai minőségi elemek” táblázat helyébe a következő szöveg lép:</w:t>
      </w:r>
    </w:p>
    <w:p w14:paraId="4C2052F3" w14:textId="77777777" w:rsidR="00E161F6" w:rsidRPr="00DC67EB" w:rsidRDefault="001D30D4" w:rsidP="001D30D4">
      <w:pPr>
        <w:spacing w:before="120" w:after="120" w:line="360" w:lineRule="auto"/>
        <w:ind w:left="850"/>
        <w:rPr>
          <w:szCs w:val="24"/>
          <w:lang w:val="en-GB" w:eastAsia="en-US"/>
        </w:rPr>
      </w:pPr>
      <w:r w:rsidRPr="00DC67EB">
        <w:rPr>
          <w:szCs w:val="24"/>
          <w:lang w:val="en-GB" w:eastAsia="en-US"/>
        </w:rPr>
        <w:t>„Általános fizikai-kémiai minőségi elemek</w:t>
      </w:r>
    </w:p>
    <w:p w14:paraId="0F1B19BC" w14:textId="77777777" w:rsidR="00E161F6" w:rsidRPr="00DC67EB" w:rsidRDefault="00E161F6">
      <w:pPr>
        <w:widowControl/>
        <w:rPr>
          <w:szCs w:val="24"/>
          <w:lang w:val="en-GB" w:eastAsia="en-US"/>
        </w:rPr>
      </w:pPr>
      <w:r w:rsidRPr="00DC67EB">
        <w:rPr>
          <w:szCs w:val="24"/>
          <w:lang w:val="en-GB" w:eastAsia="en-US"/>
        </w:rPr>
        <w:br w:type="page"/>
      </w:r>
    </w:p>
    <w:p w14:paraId="1DB6F287" w14:textId="77777777" w:rsidR="001D30D4" w:rsidRPr="00DC67EB" w:rsidRDefault="001D30D4" w:rsidP="001D30D4">
      <w:pPr>
        <w:spacing w:before="120" w:after="120" w:line="360" w:lineRule="auto"/>
        <w:ind w:left="850"/>
        <w:rPr>
          <w:szCs w:val="24"/>
          <w:lang w:val="en-GB"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671"/>
        <w:gridCol w:w="2517"/>
        <w:gridCol w:w="2517"/>
        <w:gridCol w:w="2360"/>
      </w:tblGrid>
      <w:tr w:rsidR="00DC67EB" w:rsidRPr="00DC67EB" w14:paraId="64162130" w14:textId="77777777" w:rsidTr="000536D5">
        <w:trPr>
          <w:tblHeader/>
        </w:trPr>
        <w:tc>
          <w:tcPr>
            <w:tcW w:w="0" w:type="auto"/>
          </w:tcPr>
          <w:p w14:paraId="0E82E57C" w14:textId="77777777" w:rsidR="001D30D4" w:rsidRPr="00DC67EB" w:rsidRDefault="001D30D4" w:rsidP="006773C8">
            <w:pPr>
              <w:rPr>
                <w:szCs w:val="24"/>
                <w:lang w:val="en-GB" w:eastAsia="en-US"/>
              </w:rPr>
            </w:pPr>
            <w:r w:rsidRPr="00DC67EB">
              <w:rPr>
                <w:szCs w:val="24"/>
                <w:lang w:val="en-GB" w:eastAsia="en-US"/>
              </w:rPr>
              <w:t>Elem</w:t>
            </w:r>
          </w:p>
        </w:tc>
        <w:tc>
          <w:tcPr>
            <w:tcW w:w="0" w:type="auto"/>
          </w:tcPr>
          <w:p w14:paraId="4EAA819D" w14:textId="77777777" w:rsidR="001D30D4" w:rsidRPr="00DC67EB" w:rsidRDefault="001D30D4" w:rsidP="006773C8">
            <w:pPr>
              <w:rPr>
                <w:szCs w:val="24"/>
                <w:lang w:val="en-GB" w:eastAsia="en-US"/>
              </w:rPr>
            </w:pPr>
            <w:r w:rsidRPr="00DC67EB">
              <w:rPr>
                <w:szCs w:val="24"/>
                <w:lang w:val="en-GB" w:eastAsia="en-US"/>
              </w:rPr>
              <w:t>Kiváló állapot</w:t>
            </w:r>
          </w:p>
        </w:tc>
        <w:tc>
          <w:tcPr>
            <w:tcW w:w="0" w:type="auto"/>
          </w:tcPr>
          <w:p w14:paraId="7E3B4D62" w14:textId="77777777" w:rsidR="001D30D4" w:rsidRPr="00DC67EB" w:rsidRDefault="001D30D4" w:rsidP="006773C8">
            <w:pPr>
              <w:rPr>
                <w:szCs w:val="24"/>
                <w:lang w:val="en-GB" w:eastAsia="en-US"/>
              </w:rPr>
            </w:pPr>
            <w:r w:rsidRPr="00DC67EB">
              <w:rPr>
                <w:szCs w:val="24"/>
                <w:lang w:val="en-GB" w:eastAsia="en-US"/>
              </w:rPr>
              <w:t>Jó állapot</w:t>
            </w:r>
          </w:p>
        </w:tc>
        <w:tc>
          <w:tcPr>
            <w:tcW w:w="0" w:type="auto"/>
          </w:tcPr>
          <w:p w14:paraId="44149147" w14:textId="77777777" w:rsidR="001D30D4" w:rsidRPr="00DC67EB" w:rsidRDefault="001D30D4" w:rsidP="006773C8">
            <w:pPr>
              <w:rPr>
                <w:szCs w:val="24"/>
                <w:lang w:val="en-GB" w:eastAsia="en-US"/>
              </w:rPr>
            </w:pPr>
            <w:r w:rsidRPr="00DC67EB">
              <w:rPr>
                <w:szCs w:val="24"/>
                <w:lang w:val="en-GB" w:eastAsia="en-US"/>
              </w:rPr>
              <w:t>Mérsékelt állapot</w:t>
            </w:r>
          </w:p>
        </w:tc>
      </w:tr>
      <w:tr w:rsidR="001D30D4" w:rsidRPr="00DC67EB" w14:paraId="46FD3683" w14:textId="77777777" w:rsidTr="000536D5">
        <w:tc>
          <w:tcPr>
            <w:tcW w:w="0" w:type="auto"/>
          </w:tcPr>
          <w:p w14:paraId="40042AD2" w14:textId="77777777" w:rsidR="001D30D4" w:rsidRPr="00DC67EB" w:rsidRDefault="001D30D4" w:rsidP="006773C8">
            <w:pPr>
              <w:spacing w:before="120" w:line="360" w:lineRule="auto"/>
              <w:rPr>
                <w:szCs w:val="24"/>
                <w:lang w:val="en-GB" w:eastAsia="en-US"/>
              </w:rPr>
            </w:pPr>
            <w:r w:rsidRPr="00DC67EB">
              <w:rPr>
                <w:szCs w:val="24"/>
                <w:lang w:val="en-GB" w:eastAsia="en-US"/>
              </w:rPr>
              <w:t>Általános viszonyok</w:t>
            </w:r>
          </w:p>
        </w:tc>
        <w:tc>
          <w:tcPr>
            <w:tcW w:w="0" w:type="auto"/>
          </w:tcPr>
          <w:p w14:paraId="7AEB81D8" w14:textId="77777777" w:rsidR="001D30D4" w:rsidRPr="00DC67EB" w:rsidRDefault="001D30D4" w:rsidP="006773C8">
            <w:pPr>
              <w:spacing w:line="360" w:lineRule="auto"/>
              <w:rPr>
                <w:szCs w:val="24"/>
                <w:lang w:val="en-GB" w:eastAsia="en-US"/>
              </w:rPr>
            </w:pPr>
            <w:r w:rsidRPr="00DC67EB">
              <w:rPr>
                <w:szCs w:val="24"/>
                <w:lang w:val="en-GB" w:eastAsia="en-US"/>
              </w:rPr>
              <w:t>Az általános fizikai-kémiai elemek értékei teljesen vagy közel teljesen megfelelnek a zavartalan viszonyoknak. A tápanyag-koncentrációk a zavartalan viszonyokkal általában együtt járó tartományon belül maradnak. A sótartalom, a pH-érték, az oxigénegyensúly, a savközömbösítő kapacitás és a hőmérséklet szintjei nem mutatják antropogén eredetű zavartság jeleit, és a zavartalan viszonyokkal általában együtt járó tartományon belül maradnak.</w:t>
            </w:r>
          </w:p>
        </w:tc>
        <w:tc>
          <w:tcPr>
            <w:tcW w:w="0" w:type="auto"/>
          </w:tcPr>
          <w:p w14:paraId="37E12737" w14:textId="77777777" w:rsidR="001D30D4" w:rsidRPr="00DC67EB" w:rsidRDefault="001D30D4" w:rsidP="006773C8">
            <w:pPr>
              <w:spacing w:before="120" w:line="360" w:lineRule="auto"/>
              <w:rPr>
                <w:szCs w:val="24"/>
                <w:lang w:val="en-GB" w:eastAsia="en-US"/>
              </w:rPr>
            </w:pPr>
            <w:r w:rsidRPr="00DC67EB">
              <w:rPr>
                <w:szCs w:val="24"/>
                <w:lang w:val="en-GB" w:eastAsia="en-US"/>
              </w:rPr>
              <w:t>A hőmérséklet, az oxigénegyensúly, a pH-érték, a savközömbösítő kapacitás és a sótartalom nem lépnek túl azon a tartományon, amelyben a típusspecifikus ökoszisztéma működése és a fent előírt biológiai minőségi elemek értékeinek betartása biztosított. A tápanyag-koncentrációk nem haladják meg azon értékeket, amely mellett a típusspecifikus ökoszisztéma működése és a fent előírt biológiai minőségi elemek értékeinek betartása biztosított.</w:t>
            </w:r>
          </w:p>
        </w:tc>
        <w:tc>
          <w:tcPr>
            <w:tcW w:w="0" w:type="auto"/>
          </w:tcPr>
          <w:p w14:paraId="53AA4A9C" w14:textId="77777777" w:rsidR="001D30D4" w:rsidRPr="00DC67EB" w:rsidRDefault="001D30D4" w:rsidP="006773C8">
            <w:pPr>
              <w:spacing w:before="120" w:line="360" w:lineRule="auto"/>
              <w:rPr>
                <w:szCs w:val="24"/>
                <w:lang w:val="en-GB" w:eastAsia="en-US"/>
              </w:rPr>
            </w:pPr>
            <w:r w:rsidRPr="00DC67EB">
              <w:rPr>
                <w:szCs w:val="24"/>
                <w:lang w:val="en-GB" w:eastAsia="en-US"/>
              </w:rPr>
              <w:t>Olyan viszonyok, amelyek között a biológiai minőségi elemek fent előírt értékeinek teljesítése megvalósítható.”</w:t>
            </w:r>
          </w:p>
        </w:tc>
      </w:tr>
    </w:tbl>
    <w:p w14:paraId="7B211262" w14:textId="77777777" w:rsidR="001D30D4" w:rsidRPr="00E441EF" w:rsidRDefault="001D30D4" w:rsidP="001D30D4">
      <w:pPr>
        <w:spacing w:before="120" w:after="120" w:line="360" w:lineRule="auto"/>
        <w:ind w:left="850"/>
        <w:rPr>
          <w:szCs w:val="24"/>
          <w:lang w:eastAsia="en-US"/>
        </w:rPr>
      </w:pPr>
      <w:r w:rsidRPr="00E441EF">
        <w:rPr>
          <w:szCs w:val="24"/>
          <w:lang w:eastAsia="en-US"/>
        </w:rPr>
        <w:t>”</w:t>
      </w:r>
    </w:p>
    <w:p w14:paraId="3ECB2ECA" w14:textId="77777777" w:rsidR="001D30D4" w:rsidRPr="00E441EF" w:rsidRDefault="001D30D4" w:rsidP="001D30D4">
      <w:pPr>
        <w:spacing w:before="120" w:after="120" w:line="360" w:lineRule="auto"/>
        <w:ind w:left="850" w:hanging="850"/>
        <w:rPr>
          <w:szCs w:val="24"/>
          <w:lang w:eastAsia="en-US"/>
        </w:rPr>
      </w:pPr>
      <w:r w:rsidRPr="00E441EF">
        <w:rPr>
          <w:szCs w:val="24"/>
          <w:lang w:eastAsia="en-US"/>
        </w:rPr>
        <w:t>3.</w:t>
      </w:r>
      <w:r w:rsidRPr="00E441EF">
        <w:rPr>
          <w:szCs w:val="24"/>
          <w:lang w:eastAsia="en-US"/>
        </w:rPr>
        <w:tab/>
        <w:t>Az 1.2.2. pontban a „Fizikai-kémiai minőségi elemek” táblázat helyébe a következő szöveg lép:</w:t>
      </w:r>
    </w:p>
    <w:p w14:paraId="13CED886" w14:textId="77777777" w:rsidR="001D30D4" w:rsidRPr="00DC67EB" w:rsidRDefault="001D30D4" w:rsidP="001D30D4">
      <w:pPr>
        <w:spacing w:before="120" w:after="120" w:line="360" w:lineRule="auto"/>
        <w:ind w:left="850"/>
        <w:rPr>
          <w:szCs w:val="24"/>
          <w:lang w:val="en-GB" w:eastAsia="en-US"/>
        </w:rPr>
      </w:pPr>
      <w:r w:rsidRPr="00DC67EB">
        <w:rPr>
          <w:szCs w:val="24"/>
          <w:lang w:val="en-GB" w:eastAsia="en-US"/>
        </w:rPr>
        <w:t>„Általános fizikai-kémiai minőségi elemek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671"/>
        <w:gridCol w:w="2517"/>
        <w:gridCol w:w="2517"/>
        <w:gridCol w:w="2360"/>
      </w:tblGrid>
      <w:tr w:rsidR="001D30D4" w:rsidRPr="00DC67EB" w14:paraId="717682DE" w14:textId="77777777" w:rsidTr="000536D5">
        <w:trPr>
          <w:tblHeader/>
        </w:trPr>
        <w:tc>
          <w:tcPr>
            <w:tcW w:w="0" w:type="auto"/>
          </w:tcPr>
          <w:p w14:paraId="015537B1" w14:textId="77777777" w:rsidR="001D30D4" w:rsidRPr="00DC67EB" w:rsidRDefault="001D30D4" w:rsidP="001D30D4">
            <w:pPr>
              <w:spacing w:before="120" w:after="120" w:line="360" w:lineRule="auto"/>
              <w:rPr>
                <w:szCs w:val="24"/>
                <w:lang w:val="en-GB" w:eastAsia="en-US"/>
              </w:rPr>
            </w:pPr>
            <w:r w:rsidRPr="00DC67EB">
              <w:rPr>
                <w:szCs w:val="24"/>
                <w:lang w:val="en-GB" w:eastAsia="en-US"/>
              </w:rPr>
              <w:t>Elem</w:t>
            </w:r>
          </w:p>
        </w:tc>
        <w:tc>
          <w:tcPr>
            <w:tcW w:w="0" w:type="auto"/>
          </w:tcPr>
          <w:p w14:paraId="3D463ED1" w14:textId="77777777" w:rsidR="001D30D4" w:rsidRPr="00DC67EB" w:rsidRDefault="001D30D4" w:rsidP="001D30D4">
            <w:pPr>
              <w:spacing w:before="120" w:after="120" w:line="360" w:lineRule="auto"/>
              <w:rPr>
                <w:szCs w:val="24"/>
                <w:lang w:val="en-GB" w:eastAsia="en-US"/>
              </w:rPr>
            </w:pPr>
            <w:r w:rsidRPr="00DC67EB">
              <w:rPr>
                <w:szCs w:val="24"/>
                <w:lang w:val="en-GB" w:eastAsia="en-US"/>
              </w:rPr>
              <w:t>Kiváló állapot</w:t>
            </w:r>
          </w:p>
        </w:tc>
        <w:tc>
          <w:tcPr>
            <w:tcW w:w="0" w:type="auto"/>
          </w:tcPr>
          <w:p w14:paraId="4AE4B6A3" w14:textId="77777777" w:rsidR="001D30D4" w:rsidRPr="00DC67EB" w:rsidRDefault="001D30D4" w:rsidP="001D30D4">
            <w:pPr>
              <w:spacing w:before="120" w:after="120" w:line="360" w:lineRule="auto"/>
              <w:rPr>
                <w:szCs w:val="24"/>
                <w:lang w:val="en-GB" w:eastAsia="en-US"/>
              </w:rPr>
            </w:pPr>
            <w:r w:rsidRPr="00DC67EB">
              <w:rPr>
                <w:szCs w:val="24"/>
                <w:lang w:val="en-GB" w:eastAsia="en-US"/>
              </w:rPr>
              <w:t>Jó állapot</w:t>
            </w:r>
          </w:p>
        </w:tc>
        <w:tc>
          <w:tcPr>
            <w:tcW w:w="0" w:type="auto"/>
          </w:tcPr>
          <w:p w14:paraId="433F60EF" w14:textId="77777777" w:rsidR="001D30D4" w:rsidRPr="00DC67EB" w:rsidRDefault="001D30D4" w:rsidP="001D30D4">
            <w:pPr>
              <w:spacing w:before="120" w:after="120" w:line="360" w:lineRule="auto"/>
              <w:rPr>
                <w:szCs w:val="24"/>
                <w:lang w:val="en-GB" w:eastAsia="en-US"/>
              </w:rPr>
            </w:pPr>
            <w:r w:rsidRPr="00DC67EB">
              <w:rPr>
                <w:szCs w:val="24"/>
                <w:lang w:val="en-GB" w:eastAsia="en-US"/>
              </w:rPr>
              <w:t>Mérsékelt állapot</w:t>
            </w:r>
          </w:p>
        </w:tc>
      </w:tr>
      <w:tr w:rsidR="001D30D4" w:rsidRPr="00DC67EB" w14:paraId="7C889E85" w14:textId="77777777" w:rsidTr="000536D5">
        <w:tc>
          <w:tcPr>
            <w:tcW w:w="0" w:type="auto"/>
          </w:tcPr>
          <w:p w14:paraId="6A877AE1" w14:textId="77777777" w:rsidR="001D30D4" w:rsidRPr="00DC67EB" w:rsidRDefault="001D30D4" w:rsidP="001D30D4">
            <w:pPr>
              <w:spacing w:before="120" w:after="120" w:line="360" w:lineRule="auto"/>
              <w:rPr>
                <w:szCs w:val="24"/>
                <w:lang w:val="en-GB" w:eastAsia="en-US"/>
              </w:rPr>
            </w:pPr>
            <w:r w:rsidRPr="00DC67EB">
              <w:rPr>
                <w:szCs w:val="24"/>
                <w:lang w:val="en-GB" w:eastAsia="en-US"/>
              </w:rPr>
              <w:t>Általános viszonyok</w:t>
            </w:r>
          </w:p>
        </w:tc>
        <w:tc>
          <w:tcPr>
            <w:tcW w:w="0" w:type="auto"/>
          </w:tcPr>
          <w:p w14:paraId="6A81E9DE" w14:textId="77777777" w:rsidR="001D30D4" w:rsidRPr="00DC67EB" w:rsidRDefault="001D30D4" w:rsidP="001D30D4">
            <w:pPr>
              <w:spacing w:before="120" w:after="120" w:line="360" w:lineRule="auto"/>
              <w:rPr>
                <w:szCs w:val="24"/>
                <w:lang w:val="en-GB" w:eastAsia="en-US"/>
              </w:rPr>
            </w:pPr>
            <w:r w:rsidRPr="00DC67EB">
              <w:rPr>
                <w:szCs w:val="24"/>
                <w:lang w:val="en-GB" w:eastAsia="en-US"/>
              </w:rPr>
              <w:t>Az általános fizikai-kémiai elemek értékei teljesen vagy közel teljesen megfelelnek a zavartalan viszonyoknak. A tápanyag-koncentrációk a zavartalan viszonyokkal általában együtt járó tartományon belül maradnak. A sótartalom, a pH-érték, az oxigénegyensúly, a savközömbösítő kapacitás, az átlátszóság és a hőmérséklet szintjei nem mutatják antropogén eredetű zavartság jeleit, és a zavartalan viszonyokkal általában együtt járó tartományon belül maradnak.</w:t>
            </w:r>
          </w:p>
        </w:tc>
        <w:tc>
          <w:tcPr>
            <w:tcW w:w="0" w:type="auto"/>
          </w:tcPr>
          <w:p w14:paraId="14F5EB94" w14:textId="77777777" w:rsidR="001D30D4" w:rsidRPr="00DC67EB" w:rsidRDefault="001D30D4" w:rsidP="001D30D4">
            <w:pPr>
              <w:spacing w:before="120" w:after="120" w:line="360" w:lineRule="auto"/>
              <w:rPr>
                <w:szCs w:val="24"/>
                <w:lang w:val="en-GB" w:eastAsia="en-US"/>
              </w:rPr>
            </w:pPr>
            <w:r w:rsidRPr="00DC67EB">
              <w:rPr>
                <w:szCs w:val="24"/>
                <w:lang w:val="en-GB" w:eastAsia="en-US"/>
              </w:rPr>
              <w:t>A hőmérséklet, az oxigénegyensúly, a pH-érték, a savközömbösítő kapacitás, az átlátszóság és a sótartalom nem lépnek túl azon a tartományon, amelyben az ökoszisztéma működése és a fent előírt biológiai minőségi elemek értékeinek betartása biztosított. A tápanyag-koncentrációk nem haladják meg azon értékeket, amely mellett a típusspecifikus ökoszisztéma működése és a fent előírt biológiai minőségi elemek értékeinek betartása biztosított.</w:t>
            </w:r>
          </w:p>
        </w:tc>
        <w:tc>
          <w:tcPr>
            <w:tcW w:w="0" w:type="auto"/>
          </w:tcPr>
          <w:p w14:paraId="395B3EE5" w14:textId="77777777" w:rsidR="001D30D4" w:rsidRPr="00DC67EB" w:rsidRDefault="001D30D4" w:rsidP="001D30D4">
            <w:pPr>
              <w:spacing w:before="120" w:after="120" w:line="360" w:lineRule="auto"/>
              <w:rPr>
                <w:szCs w:val="24"/>
                <w:lang w:val="en-GB" w:eastAsia="en-US"/>
              </w:rPr>
            </w:pPr>
            <w:r w:rsidRPr="00DC67EB">
              <w:rPr>
                <w:szCs w:val="24"/>
                <w:lang w:val="en-GB" w:eastAsia="en-US"/>
              </w:rPr>
              <w:t>Olyan viszonyok, amelyek között a biológiai minőségi elemek fent előírt értékeinek teljesítése megvalósítható.”</w:t>
            </w:r>
          </w:p>
        </w:tc>
      </w:tr>
    </w:tbl>
    <w:p w14:paraId="20365186" w14:textId="77777777" w:rsidR="001D30D4" w:rsidRPr="00E441EF" w:rsidRDefault="001D30D4" w:rsidP="001D30D4">
      <w:pPr>
        <w:spacing w:before="120" w:after="120" w:line="360" w:lineRule="auto"/>
        <w:ind w:left="850"/>
        <w:rPr>
          <w:szCs w:val="24"/>
          <w:lang w:eastAsia="en-US"/>
        </w:rPr>
      </w:pPr>
      <w:r w:rsidRPr="00E441EF">
        <w:rPr>
          <w:szCs w:val="24"/>
          <w:lang w:eastAsia="en-US"/>
        </w:rPr>
        <w:t>”</w:t>
      </w:r>
    </w:p>
    <w:p w14:paraId="5EE2493C" w14:textId="77777777" w:rsidR="00E161F6" w:rsidRPr="00E441EF" w:rsidRDefault="00E161F6">
      <w:pPr>
        <w:widowControl/>
        <w:rPr>
          <w:szCs w:val="24"/>
          <w:lang w:eastAsia="en-US"/>
        </w:rPr>
      </w:pPr>
      <w:r w:rsidRPr="00E441EF">
        <w:rPr>
          <w:szCs w:val="24"/>
          <w:lang w:eastAsia="en-US"/>
        </w:rPr>
        <w:br w:type="page"/>
      </w:r>
    </w:p>
    <w:p w14:paraId="2A206E8C" w14:textId="77777777" w:rsidR="001D30D4" w:rsidRPr="00E441EF" w:rsidRDefault="001D30D4" w:rsidP="001D30D4">
      <w:pPr>
        <w:spacing w:before="120" w:after="120" w:line="360" w:lineRule="auto"/>
        <w:ind w:left="850" w:hanging="850"/>
        <w:rPr>
          <w:szCs w:val="24"/>
          <w:lang w:eastAsia="en-US"/>
        </w:rPr>
      </w:pPr>
      <w:r w:rsidRPr="00E441EF">
        <w:rPr>
          <w:szCs w:val="24"/>
          <w:lang w:eastAsia="en-US"/>
        </w:rPr>
        <w:t>4.</w:t>
      </w:r>
      <w:r w:rsidRPr="00E441EF">
        <w:rPr>
          <w:szCs w:val="24"/>
          <w:lang w:eastAsia="en-US"/>
        </w:rPr>
        <w:tab/>
        <w:t>Az 1.2.3. pontban a „Fizikai-kémiai minőségi elemek” táblázat helyébe a következő szöveg lép:</w:t>
      </w:r>
    </w:p>
    <w:p w14:paraId="393DABFB" w14:textId="77777777" w:rsidR="001D30D4" w:rsidRPr="00DC67EB" w:rsidRDefault="001D30D4" w:rsidP="001D30D4">
      <w:pPr>
        <w:spacing w:before="120" w:after="120" w:line="360" w:lineRule="auto"/>
        <w:ind w:left="850"/>
        <w:rPr>
          <w:szCs w:val="24"/>
          <w:lang w:val="en-GB" w:eastAsia="en-US"/>
        </w:rPr>
      </w:pPr>
      <w:r w:rsidRPr="00DC67EB">
        <w:rPr>
          <w:szCs w:val="24"/>
          <w:lang w:val="en-GB" w:eastAsia="en-US"/>
        </w:rPr>
        <w:t>„Általános fizikai-kémiai minőségi elemek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678"/>
        <w:gridCol w:w="2512"/>
        <w:gridCol w:w="2461"/>
        <w:gridCol w:w="2414"/>
      </w:tblGrid>
      <w:tr w:rsidR="001D30D4" w:rsidRPr="00DC67EB" w14:paraId="014EE915" w14:textId="77777777" w:rsidTr="000536D5">
        <w:trPr>
          <w:tblHeader/>
        </w:trPr>
        <w:tc>
          <w:tcPr>
            <w:tcW w:w="0" w:type="auto"/>
          </w:tcPr>
          <w:p w14:paraId="0DFB7BBA" w14:textId="77777777" w:rsidR="001D30D4" w:rsidRPr="00DC67EB" w:rsidRDefault="001D30D4" w:rsidP="001D30D4">
            <w:pPr>
              <w:spacing w:before="120" w:after="120" w:line="360" w:lineRule="auto"/>
              <w:rPr>
                <w:szCs w:val="24"/>
                <w:lang w:val="en-GB" w:eastAsia="en-US"/>
              </w:rPr>
            </w:pPr>
            <w:r w:rsidRPr="00DC67EB">
              <w:rPr>
                <w:szCs w:val="24"/>
                <w:lang w:val="en-GB" w:eastAsia="en-US"/>
              </w:rPr>
              <w:t>Elem</w:t>
            </w:r>
          </w:p>
        </w:tc>
        <w:tc>
          <w:tcPr>
            <w:tcW w:w="0" w:type="auto"/>
          </w:tcPr>
          <w:p w14:paraId="03C64340" w14:textId="77777777" w:rsidR="001D30D4" w:rsidRPr="00DC67EB" w:rsidRDefault="001D30D4" w:rsidP="001D30D4">
            <w:pPr>
              <w:spacing w:before="120" w:after="120" w:line="360" w:lineRule="auto"/>
              <w:rPr>
                <w:szCs w:val="24"/>
                <w:lang w:val="en-GB" w:eastAsia="en-US"/>
              </w:rPr>
            </w:pPr>
            <w:r w:rsidRPr="00DC67EB">
              <w:rPr>
                <w:szCs w:val="24"/>
                <w:lang w:val="en-GB" w:eastAsia="en-US"/>
              </w:rPr>
              <w:t>Kiváló állapot</w:t>
            </w:r>
          </w:p>
        </w:tc>
        <w:tc>
          <w:tcPr>
            <w:tcW w:w="0" w:type="auto"/>
          </w:tcPr>
          <w:p w14:paraId="680E95F6" w14:textId="77777777" w:rsidR="001D30D4" w:rsidRPr="00DC67EB" w:rsidRDefault="001D30D4" w:rsidP="001D30D4">
            <w:pPr>
              <w:spacing w:before="120" w:after="120" w:line="360" w:lineRule="auto"/>
              <w:rPr>
                <w:szCs w:val="24"/>
                <w:lang w:val="en-GB" w:eastAsia="en-US"/>
              </w:rPr>
            </w:pPr>
            <w:r w:rsidRPr="00DC67EB">
              <w:rPr>
                <w:szCs w:val="24"/>
                <w:lang w:val="en-GB" w:eastAsia="en-US"/>
              </w:rPr>
              <w:t>Jó állapot</w:t>
            </w:r>
          </w:p>
        </w:tc>
        <w:tc>
          <w:tcPr>
            <w:tcW w:w="0" w:type="auto"/>
          </w:tcPr>
          <w:p w14:paraId="129BE28D" w14:textId="77777777" w:rsidR="001D30D4" w:rsidRPr="00DC67EB" w:rsidRDefault="001D30D4" w:rsidP="001D30D4">
            <w:pPr>
              <w:spacing w:before="120" w:after="120" w:line="360" w:lineRule="auto"/>
              <w:rPr>
                <w:szCs w:val="24"/>
                <w:lang w:val="en-GB" w:eastAsia="en-US"/>
              </w:rPr>
            </w:pPr>
            <w:r w:rsidRPr="00DC67EB">
              <w:rPr>
                <w:szCs w:val="24"/>
                <w:lang w:val="en-GB" w:eastAsia="en-US"/>
              </w:rPr>
              <w:t>Mérsékelt állapot</w:t>
            </w:r>
          </w:p>
        </w:tc>
      </w:tr>
      <w:tr w:rsidR="001D30D4" w:rsidRPr="00DC67EB" w14:paraId="6D89D3BF" w14:textId="77777777" w:rsidTr="000536D5">
        <w:tc>
          <w:tcPr>
            <w:tcW w:w="0" w:type="auto"/>
          </w:tcPr>
          <w:p w14:paraId="4B508466" w14:textId="77777777" w:rsidR="001D30D4" w:rsidRPr="00DC67EB" w:rsidRDefault="001D30D4" w:rsidP="001D30D4">
            <w:pPr>
              <w:spacing w:before="120" w:after="120" w:line="360" w:lineRule="auto"/>
              <w:rPr>
                <w:szCs w:val="24"/>
                <w:lang w:val="en-GB" w:eastAsia="en-US"/>
              </w:rPr>
            </w:pPr>
            <w:r w:rsidRPr="00DC67EB">
              <w:rPr>
                <w:szCs w:val="24"/>
                <w:lang w:val="en-GB" w:eastAsia="en-US"/>
              </w:rPr>
              <w:t>Általános viszonyok</w:t>
            </w:r>
          </w:p>
        </w:tc>
        <w:tc>
          <w:tcPr>
            <w:tcW w:w="0" w:type="auto"/>
          </w:tcPr>
          <w:p w14:paraId="6AF4189E" w14:textId="77777777" w:rsidR="001D30D4" w:rsidRPr="00DC67EB" w:rsidRDefault="001D30D4" w:rsidP="001D30D4">
            <w:pPr>
              <w:spacing w:before="120" w:after="120" w:line="360" w:lineRule="auto"/>
              <w:rPr>
                <w:szCs w:val="24"/>
                <w:lang w:val="en-GB" w:eastAsia="en-US"/>
              </w:rPr>
            </w:pPr>
            <w:r w:rsidRPr="00DC67EB">
              <w:rPr>
                <w:szCs w:val="24"/>
                <w:lang w:val="en-GB" w:eastAsia="en-US"/>
              </w:rPr>
              <w:t>Az általános fizikai-kémiai elemek teljesen, vagy közel teljesen megfelelnek a zavartalan viszonyoknak. A tápanyag-koncentrációk a zavartalan viszonyokkal általában együtt járó tartományon belül maradnak. A hőmérséklet, az oxigénháztartás és az átlátszóság nem mutatják emberi eredetű zavarok jeleit, és a zavartalan viszonyokkal általában együtt járó tartományon belül maradnak.</w:t>
            </w:r>
          </w:p>
        </w:tc>
        <w:tc>
          <w:tcPr>
            <w:tcW w:w="0" w:type="auto"/>
          </w:tcPr>
          <w:p w14:paraId="3161495B" w14:textId="77777777" w:rsidR="001D30D4" w:rsidRPr="00DC67EB" w:rsidRDefault="001D30D4" w:rsidP="001D30D4">
            <w:pPr>
              <w:spacing w:before="120" w:after="120" w:line="360" w:lineRule="auto"/>
              <w:rPr>
                <w:szCs w:val="24"/>
                <w:lang w:val="en-GB" w:eastAsia="en-US"/>
              </w:rPr>
            </w:pPr>
            <w:r w:rsidRPr="00DC67EB">
              <w:rPr>
                <w:szCs w:val="24"/>
                <w:lang w:val="en-GB" w:eastAsia="en-US"/>
              </w:rPr>
              <w:t>A hőmérséklet, az oxigénfelvételi viszonyok és az átlátszóság azokon a tartományokon belül maradnak, amelyeken belül az ökoszisztéma működése és a biológiai minőségi elemek fent előírt értékeinek elérése biztosított. A tápanyag-koncentrációk nem haladják meg azon értékeket, amely mellett a típusspecifikus ökoszisztéma működése és a fent előírt biológiai minőségi elemek értékeinek betartása biztosított.</w:t>
            </w:r>
          </w:p>
        </w:tc>
        <w:tc>
          <w:tcPr>
            <w:tcW w:w="0" w:type="auto"/>
          </w:tcPr>
          <w:p w14:paraId="7C47E785" w14:textId="77777777" w:rsidR="001D30D4" w:rsidRPr="00DC67EB" w:rsidRDefault="001D30D4" w:rsidP="001D30D4">
            <w:pPr>
              <w:spacing w:before="120" w:after="120" w:line="360" w:lineRule="auto"/>
              <w:rPr>
                <w:szCs w:val="24"/>
                <w:lang w:val="en-GB" w:eastAsia="en-US"/>
              </w:rPr>
            </w:pPr>
            <w:r w:rsidRPr="00DC67EB">
              <w:rPr>
                <w:szCs w:val="24"/>
                <w:lang w:val="en-GB" w:eastAsia="en-US"/>
              </w:rPr>
              <w:t>Olyan viszonyok, amelyek között a biológiai minőségi elemek fent előírt értékeinek teljesítése megvalósítható.”</w:t>
            </w:r>
          </w:p>
        </w:tc>
      </w:tr>
    </w:tbl>
    <w:p w14:paraId="5B8D3F18" w14:textId="77777777" w:rsidR="001D30D4" w:rsidRPr="00E441EF" w:rsidRDefault="001D30D4" w:rsidP="001D30D4">
      <w:pPr>
        <w:spacing w:before="120" w:after="120" w:line="360" w:lineRule="auto"/>
        <w:ind w:left="850"/>
        <w:rPr>
          <w:szCs w:val="24"/>
          <w:lang w:eastAsia="en-US"/>
        </w:rPr>
      </w:pPr>
      <w:r w:rsidRPr="00E441EF">
        <w:rPr>
          <w:szCs w:val="24"/>
          <w:lang w:eastAsia="en-US"/>
        </w:rPr>
        <w:t>”</w:t>
      </w:r>
    </w:p>
    <w:p w14:paraId="54BA6D89" w14:textId="77777777" w:rsidR="00E161F6" w:rsidRPr="00E441EF" w:rsidRDefault="00E161F6">
      <w:pPr>
        <w:widowControl/>
        <w:rPr>
          <w:szCs w:val="24"/>
          <w:lang w:eastAsia="en-US"/>
        </w:rPr>
      </w:pPr>
      <w:r w:rsidRPr="00E441EF">
        <w:rPr>
          <w:szCs w:val="24"/>
          <w:lang w:eastAsia="en-US"/>
        </w:rPr>
        <w:br w:type="page"/>
      </w:r>
    </w:p>
    <w:p w14:paraId="0F08F73D" w14:textId="77777777" w:rsidR="001D30D4" w:rsidRPr="00E441EF" w:rsidRDefault="001D30D4" w:rsidP="001D30D4">
      <w:pPr>
        <w:spacing w:before="120" w:after="120" w:line="360" w:lineRule="auto"/>
        <w:ind w:left="850" w:hanging="850"/>
        <w:rPr>
          <w:szCs w:val="24"/>
          <w:lang w:eastAsia="en-US"/>
        </w:rPr>
      </w:pPr>
      <w:r w:rsidRPr="00E441EF">
        <w:rPr>
          <w:szCs w:val="24"/>
          <w:lang w:eastAsia="en-US"/>
        </w:rPr>
        <w:t>5.</w:t>
      </w:r>
      <w:r w:rsidRPr="00E441EF">
        <w:rPr>
          <w:szCs w:val="24"/>
          <w:lang w:eastAsia="en-US"/>
        </w:rPr>
        <w:tab/>
        <w:t>Az 1.2.4. pontban a „Fizikai-kémiai minőségi elemek” táblázat helyébe a következő szöveg lép:</w:t>
      </w:r>
    </w:p>
    <w:p w14:paraId="6601AA29" w14:textId="77777777" w:rsidR="001D30D4" w:rsidRPr="00E441EF" w:rsidRDefault="001D30D4" w:rsidP="001D30D4">
      <w:pPr>
        <w:spacing w:before="120" w:after="120" w:line="360" w:lineRule="auto"/>
        <w:ind w:left="850"/>
        <w:rPr>
          <w:szCs w:val="24"/>
          <w:lang w:val="pt-PT" w:eastAsia="en-US"/>
        </w:rPr>
      </w:pPr>
      <w:r w:rsidRPr="00E441EF">
        <w:rPr>
          <w:szCs w:val="24"/>
          <w:lang w:val="pt-PT" w:eastAsia="en-US"/>
        </w:rPr>
        <w:t>„Általános fizikai-kémiai minőségi elemek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678"/>
        <w:gridCol w:w="2512"/>
        <w:gridCol w:w="2461"/>
        <w:gridCol w:w="2414"/>
      </w:tblGrid>
      <w:tr w:rsidR="001D30D4" w:rsidRPr="00DC67EB" w14:paraId="4FBE3A45" w14:textId="77777777" w:rsidTr="000536D5">
        <w:trPr>
          <w:tblHeader/>
        </w:trPr>
        <w:tc>
          <w:tcPr>
            <w:tcW w:w="0" w:type="auto"/>
          </w:tcPr>
          <w:p w14:paraId="68E9E047" w14:textId="77777777" w:rsidR="001D30D4" w:rsidRPr="00DC67EB" w:rsidRDefault="001D30D4" w:rsidP="001D30D4">
            <w:pPr>
              <w:spacing w:before="120" w:after="120" w:line="360" w:lineRule="auto"/>
              <w:rPr>
                <w:szCs w:val="24"/>
                <w:lang w:val="en-GB" w:eastAsia="en-US"/>
              </w:rPr>
            </w:pPr>
            <w:r w:rsidRPr="00DC67EB">
              <w:rPr>
                <w:szCs w:val="24"/>
                <w:lang w:val="en-GB" w:eastAsia="en-US"/>
              </w:rPr>
              <w:t>Elem</w:t>
            </w:r>
          </w:p>
        </w:tc>
        <w:tc>
          <w:tcPr>
            <w:tcW w:w="0" w:type="auto"/>
          </w:tcPr>
          <w:p w14:paraId="6F4DE785" w14:textId="77777777" w:rsidR="001D30D4" w:rsidRPr="00DC67EB" w:rsidRDefault="001D30D4" w:rsidP="001D30D4">
            <w:pPr>
              <w:spacing w:before="120" w:after="120" w:line="360" w:lineRule="auto"/>
              <w:rPr>
                <w:szCs w:val="24"/>
                <w:lang w:val="en-GB" w:eastAsia="en-US"/>
              </w:rPr>
            </w:pPr>
            <w:r w:rsidRPr="00DC67EB">
              <w:rPr>
                <w:szCs w:val="24"/>
                <w:lang w:val="en-GB" w:eastAsia="en-US"/>
              </w:rPr>
              <w:t>Kiváló állapot</w:t>
            </w:r>
          </w:p>
        </w:tc>
        <w:tc>
          <w:tcPr>
            <w:tcW w:w="0" w:type="auto"/>
          </w:tcPr>
          <w:p w14:paraId="1AB7D074" w14:textId="77777777" w:rsidR="001D30D4" w:rsidRPr="00DC67EB" w:rsidRDefault="001D30D4" w:rsidP="001D30D4">
            <w:pPr>
              <w:spacing w:before="120" w:after="120" w:line="360" w:lineRule="auto"/>
              <w:rPr>
                <w:szCs w:val="24"/>
                <w:lang w:val="en-GB" w:eastAsia="en-US"/>
              </w:rPr>
            </w:pPr>
            <w:r w:rsidRPr="00DC67EB">
              <w:rPr>
                <w:szCs w:val="24"/>
                <w:lang w:val="en-GB" w:eastAsia="en-US"/>
              </w:rPr>
              <w:t>Jó állapot</w:t>
            </w:r>
          </w:p>
        </w:tc>
        <w:tc>
          <w:tcPr>
            <w:tcW w:w="0" w:type="auto"/>
          </w:tcPr>
          <w:p w14:paraId="18C4C4CA" w14:textId="77777777" w:rsidR="001D30D4" w:rsidRPr="00DC67EB" w:rsidRDefault="001D30D4" w:rsidP="001D30D4">
            <w:pPr>
              <w:spacing w:before="120" w:after="120" w:line="360" w:lineRule="auto"/>
              <w:rPr>
                <w:szCs w:val="24"/>
                <w:lang w:val="en-GB" w:eastAsia="en-US"/>
              </w:rPr>
            </w:pPr>
            <w:r w:rsidRPr="00DC67EB">
              <w:rPr>
                <w:szCs w:val="24"/>
                <w:lang w:val="en-GB" w:eastAsia="en-US"/>
              </w:rPr>
              <w:t>Mérsékelt állapot</w:t>
            </w:r>
          </w:p>
        </w:tc>
      </w:tr>
      <w:tr w:rsidR="001D30D4" w:rsidRPr="00DC67EB" w14:paraId="5265D4EE" w14:textId="77777777" w:rsidTr="000536D5">
        <w:tc>
          <w:tcPr>
            <w:tcW w:w="0" w:type="auto"/>
          </w:tcPr>
          <w:p w14:paraId="4FCE4E72" w14:textId="77777777" w:rsidR="001D30D4" w:rsidRPr="00DC67EB" w:rsidRDefault="001D30D4" w:rsidP="001D30D4">
            <w:pPr>
              <w:spacing w:before="120" w:after="120" w:line="360" w:lineRule="auto"/>
              <w:rPr>
                <w:szCs w:val="24"/>
                <w:lang w:val="en-GB" w:eastAsia="en-US"/>
              </w:rPr>
            </w:pPr>
            <w:r w:rsidRPr="00DC67EB">
              <w:rPr>
                <w:szCs w:val="24"/>
                <w:lang w:val="en-GB" w:eastAsia="en-US"/>
              </w:rPr>
              <w:t>Általános viszonyok</w:t>
            </w:r>
          </w:p>
        </w:tc>
        <w:tc>
          <w:tcPr>
            <w:tcW w:w="0" w:type="auto"/>
          </w:tcPr>
          <w:p w14:paraId="38A43C0A" w14:textId="77777777" w:rsidR="001D30D4" w:rsidRPr="00DC67EB" w:rsidRDefault="001D30D4" w:rsidP="001D30D4">
            <w:pPr>
              <w:spacing w:before="120" w:after="120" w:line="360" w:lineRule="auto"/>
              <w:rPr>
                <w:szCs w:val="24"/>
                <w:lang w:val="en-GB" w:eastAsia="en-US"/>
              </w:rPr>
            </w:pPr>
            <w:r w:rsidRPr="00DC67EB">
              <w:rPr>
                <w:szCs w:val="24"/>
                <w:lang w:val="en-GB" w:eastAsia="en-US"/>
              </w:rPr>
              <w:t>Az általános fizikai-kémiai elemek teljesen, vagy közel teljesen megfelelnek a zavartalan viszonyoknak. A tápanyag-koncentrációk a zavartalan viszonyokkal általában együtt járó tartományon belül maradnak. A hőmérséklet, az oxigénháztartás és az átlátszóság nem mutatják emberi eredetű zavarok jeleit, és a zavartalan viszonyokkal általában együtt járó tartományon belül maradnak.</w:t>
            </w:r>
          </w:p>
        </w:tc>
        <w:tc>
          <w:tcPr>
            <w:tcW w:w="0" w:type="auto"/>
          </w:tcPr>
          <w:p w14:paraId="0FA01032" w14:textId="77777777" w:rsidR="001D30D4" w:rsidRPr="00DC67EB" w:rsidRDefault="001D30D4" w:rsidP="001D30D4">
            <w:pPr>
              <w:spacing w:before="120" w:after="120" w:line="360" w:lineRule="auto"/>
              <w:rPr>
                <w:szCs w:val="24"/>
                <w:lang w:val="en-GB" w:eastAsia="en-US"/>
              </w:rPr>
            </w:pPr>
            <w:r w:rsidRPr="00DC67EB">
              <w:rPr>
                <w:szCs w:val="24"/>
                <w:lang w:val="en-GB" w:eastAsia="en-US"/>
              </w:rPr>
              <w:t>A hőmérséklet, az oxigénfelvételi viszonyok és az átlátszóság azokon a tartományokon belül maradnak, amelyeken belül az ökoszisztéma működése és a biológiai minőségi elemek fent előírt értékeinek elérése biztosított. A tápanyag-koncentrációk nem haladják meg azon értékeket, amely mellett a típusspecifikus ökoszisztéma működése és a fent előírt biológiai minőségi elemek értékeinek betartása biztosított.</w:t>
            </w:r>
          </w:p>
        </w:tc>
        <w:tc>
          <w:tcPr>
            <w:tcW w:w="0" w:type="auto"/>
          </w:tcPr>
          <w:p w14:paraId="0A9A095C" w14:textId="77777777" w:rsidR="001D30D4" w:rsidRPr="00DC67EB" w:rsidRDefault="001D30D4" w:rsidP="001D30D4">
            <w:pPr>
              <w:spacing w:before="120" w:after="120" w:line="360" w:lineRule="auto"/>
              <w:rPr>
                <w:szCs w:val="24"/>
                <w:lang w:val="en-GB" w:eastAsia="en-US"/>
              </w:rPr>
            </w:pPr>
            <w:r w:rsidRPr="00DC67EB">
              <w:rPr>
                <w:szCs w:val="24"/>
                <w:lang w:val="en-GB" w:eastAsia="en-US"/>
              </w:rPr>
              <w:t>Olyan viszonyok, amelyek között a biológiai minőségi elemek fent előírt értékeinek teljesítése megvalósítható.”</w:t>
            </w:r>
          </w:p>
        </w:tc>
      </w:tr>
    </w:tbl>
    <w:p w14:paraId="27A68561" w14:textId="77777777" w:rsidR="001D30D4" w:rsidRPr="00DC56FD" w:rsidRDefault="001D30D4" w:rsidP="001D30D4">
      <w:pPr>
        <w:spacing w:before="120" w:after="120" w:line="360" w:lineRule="auto"/>
        <w:ind w:left="850"/>
        <w:rPr>
          <w:szCs w:val="24"/>
          <w:lang w:eastAsia="en-US"/>
        </w:rPr>
      </w:pPr>
      <w:r w:rsidRPr="00DC56FD">
        <w:rPr>
          <w:szCs w:val="24"/>
          <w:lang w:eastAsia="en-US"/>
        </w:rPr>
        <w:t>”</w:t>
      </w:r>
    </w:p>
    <w:p w14:paraId="3A57A8B0" w14:textId="77777777" w:rsidR="00E161F6" w:rsidRPr="00DC56FD" w:rsidRDefault="00E161F6">
      <w:pPr>
        <w:widowControl/>
        <w:rPr>
          <w:szCs w:val="24"/>
          <w:lang w:eastAsia="en-US"/>
        </w:rPr>
      </w:pPr>
      <w:r w:rsidRPr="00DC56FD">
        <w:rPr>
          <w:szCs w:val="24"/>
          <w:lang w:eastAsia="en-US"/>
        </w:rPr>
        <w:br w:type="page"/>
      </w:r>
    </w:p>
    <w:p w14:paraId="4FEF4898" w14:textId="77777777" w:rsidR="001D30D4" w:rsidRPr="00DC56FD" w:rsidRDefault="001D30D4" w:rsidP="001D30D4">
      <w:pPr>
        <w:spacing w:before="120" w:after="120" w:line="360" w:lineRule="auto"/>
        <w:ind w:left="850" w:hanging="850"/>
        <w:rPr>
          <w:szCs w:val="24"/>
          <w:lang w:eastAsia="en-US"/>
        </w:rPr>
      </w:pPr>
      <w:r w:rsidRPr="00DC56FD">
        <w:rPr>
          <w:szCs w:val="24"/>
          <w:lang w:eastAsia="en-US"/>
        </w:rPr>
        <w:t>6.</w:t>
      </w:r>
      <w:r w:rsidRPr="00DC56FD">
        <w:rPr>
          <w:szCs w:val="24"/>
          <w:lang w:eastAsia="en-US"/>
        </w:rPr>
        <w:tab/>
        <w:t>Az 1.2.5. pontban található táblázat a következőképpen módosul:</w:t>
      </w:r>
    </w:p>
    <w:p w14:paraId="29C0D533" w14:textId="77777777" w:rsidR="001D30D4" w:rsidRPr="00DC56FD" w:rsidRDefault="001D30D4" w:rsidP="001D30D4">
      <w:pPr>
        <w:spacing w:before="120" w:after="120" w:line="360" w:lineRule="auto"/>
        <w:ind w:left="1416" w:hanging="566"/>
        <w:rPr>
          <w:szCs w:val="24"/>
          <w:lang w:eastAsia="en-US"/>
        </w:rPr>
      </w:pPr>
      <w:r w:rsidRPr="00DC56FD">
        <w:rPr>
          <w:szCs w:val="24"/>
          <w:lang w:eastAsia="en-US"/>
        </w:rPr>
        <w:t>a)</w:t>
      </w:r>
      <w:r w:rsidRPr="00DC56FD">
        <w:rPr>
          <w:szCs w:val="24"/>
          <w:lang w:eastAsia="en-US"/>
        </w:rPr>
        <w:tab/>
        <w:t>a „Specifikus szintetikus szennyező anyagok” bejegyzést tartalmazó ötödik sort el kell hagyni;</w:t>
      </w:r>
    </w:p>
    <w:p w14:paraId="65BFC12B" w14:textId="77777777" w:rsidR="001D30D4" w:rsidRPr="00DC56FD" w:rsidRDefault="001D30D4" w:rsidP="001D30D4">
      <w:pPr>
        <w:spacing w:before="120" w:after="120" w:line="360" w:lineRule="auto"/>
        <w:ind w:left="1416" w:hanging="566"/>
        <w:rPr>
          <w:szCs w:val="24"/>
          <w:lang w:eastAsia="en-US"/>
        </w:rPr>
      </w:pPr>
      <w:r w:rsidRPr="00DC56FD">
        <w:rPr>
          <w:szCs w:val="24"/>
          <w:lang w:eastAsia="en-US"/>
        </w:rPr>
        <w:t>b)</w:t>
      </w:r>
      <w:r w:rsidRPr="00DC56FD">
        <w:rPr>
          <w:szCs w:val="24"/>
          <w:lang w:eastAsia="en-US"/>
        </w:rPr>
        <w:tab/>
        <w:t>a „Specifikus nem szintetikus szennyező anyagok” bejegyzést tartalmazó hatodik sort el kell hagyni;</w:t>
      </w:r>
    </w:p>
    <w:p w14:paraId="08627EF1" w14:textId="77777777" w:rsidR="001D30D4" w:rsidRPr="00DC56FD" w:rsidRDefault="001D30D4" w:rsidP="001D30D4">
      <w:pPr>
        <w:spacing w:before="120" w:after="120" w:line="360" w:lineRule="auto"/>
        <w:ind w:left="1416" w:hanging="566"/>
        <w:rPr>
          <w:szCs w:val="24"/>
          <w:lang w:eastAsia="en-US"/>
        </w:rPr>
      </w:pPr>
      <w:r w:rsidRPr="00DC56FD">
        <w:rPr>
          <w:szCs w:val="24"/>
          <w:lang w:eastAsia="en-US"/>
        </w:rPr>
        <w:t>c)</w:t>
      </w:r>
      <w:r w:rsidRPr="00DC56FD">
        <w:rPr>
          <w:szCs w:val="24"/>
          <w:lang w:eastAsia="en-US"/>
        </w:rPr>
        <w:tab/>
        <w:t>a táblázat hetedik sorában található (1) megjegyzést el kell hagyni.</w:t>
      </w:r>
    </w:p>
    <w:p w14:paraId="45ACA1BE" w14:textId="77777777" w:rsidR="001D30D4" w:rsidRPr="00DC67EB" w:rsidRDefault="001D30D4" w:rsidP="001D30D4">
      <w:pPr>
        <w:spacing w:before="120" w:after="120" w:line="360" w:lineRule="auto"/>
        <w:ind w:left="850" w:hanging="850"/>
        <w:rPr>
          <w:szCs w:val="24"/>
          <w:lang w:val="sv-SE" w:eastAsia="en-US"/>
        </w:rPr>
      </w:pPr>
      <w:r w:rsidRPr="00DC67EB">
        <w:rPr>
          <w:szCs w:val="24"/>
          <w:lang w:val="sv-SE" w:eastAsia="en-US"/>
        </w:rPr>
        <w:t>7.</w:t>
      </w:r>
      <w:r w:rsidRPr="00DC67EB">
        <w:rPr>
          <w:szCs w:val="24"/>
          <w:lang w:val="sv-SE" w:eastAsia="en-US"/>
        </w:rPr>
        <w:tab/>
        <w:t>Az 1.2.6. pontot el kell hagyni.</w:t>
      </w:r>
    </w:p>
    <w:p w14:paraId="0AC5C6BA" w14:textId="77777777" w:rsidR="001D30D4" w:rsidRPr="00DC67EB" w:rsidRDefault="001D30D4" w:rsidP="001D30D4">
      <w:pPr>
        <w:spacing w:before="120" w:after="120" w:line="360" w:lineRule="auto"/>
        <w:ind w:left="850" w:hanging="850"/>
        <w:rPr>
          <w:szCs w:val="24"/>
          <w:lang w:val="sv-SE" w:eastAsia="en-US"/>
        </w:rPr>
      </w:pPr>
      <w:r w:rsidRPr="00DC67EB">
        <w:rPr>
          <w:szCs w:val="24"/>
          <w:lang w:val="sv-SE" w:eastAsia="en-US"/>
        </w:rPr>
        <w:t>8.</w:t>
      </w:r>
      <w:r w:rsidRPr="00DC67EB">
        <w:rPr>
          <w:szCs w:val="24"/>
          <w:lang w:val="sv-SE" w:eastAsia="en-US"/>
        </w:rPr>
        <w:tab/>
        <w:t>Az 1.3. pont a következő negyedik és ötödik bekezdéssel egészül ki:</w:t>
      </w:r>
    </w:p>
    <w:p w14:paraId="606572BC" w14:textId="77777777" w:rsidR="001D30D4" w:rsidRPr="00DC67EB" w:rsidRDefault="001D30D4" w:rsidP="001D30D4">
      <w:pPr>
        <w:spacing w:before="120" w:after="120" w:line="360" w:lineRule="auto"/>
        <w:ind w:left="850"/>
        <w:rPr>
          <w:szCs w:val="24"/>
          <w:lang w:val="sv-SE" w:eastAsia="en-US"/>
        </w:rPr>
      </w:pPr>
      <w:r w:rsidRPr="00DC67EB">
        <w:rPr>
          <w:szCs w:val="24"/>
          <w:lang w:val="sv-SE" w:eastAsia="en-US"/>
        </w:rPr>
        <w:t>„Amennyiben a megfigyelő hálózat helyi mintavételi pontok helyett Föld-megfigyelésre és távérzékelésre, illetve más innovatív technikára támaszkodik, a megfigyelő hálózat térképén fel kell tüntetni az ilyen típusú módszerekkel megfigyelt minőségi elemekre és a víztestekre vagy víztestcsoportokra vonatkozó információkat. Hivatkozni kell a CEN-, az ISO- vagy más olyan nemzetközi, illetve nemzeti szabványokra, amelyek alkalmazására annak biztosítása érdekében került sor, hogy a kapott időbeli és térbeli adatok ugyanolyan megbízhatóak legyenek, mint a helyi mintavételi pontokon a hagyományos megfigyelési módszerek alkalmazásával nyert adatok.</w:t>
      </w:r>
    </w:p>
    <w:p w14:paraId="2EEF73BC" w14:textId="77777777" w:rsidR="00E161F6" w:rsidRPr="00DC67EB" w:rsidRDefault="00E161F6">
      <w:pPr>
        <w:widowControl/>
        <w:rPr>
          <w:szCs w:val="24"/>
          <w:lang w:val="sv-SE" w:eastAsia="en-US"/>
        </w:rPr>
      </w:pPr>
      <w:r w:rsidRPr="00DC67EB">
        <w:rPr>
          <w:szCs w:val="24"/>
          <w:lang w:val="sv-SE" w:eastAsia="en-US"/>
        </w:rPr>
        <w:br w:type="page"/>
      </w:r>
    </w:p>
    <w:p w14:paraId="3337BA2E" w14:textId="77777777" w:rsidR="001D30D4" w:rsidRPr="00DC67EB" w:rsidRDefault="001D30D4" w:rsidP="001D30D4">
      <w:pPr>
        <w:spacing w:before="120" w:after="120" w:line="360" w:lineRule="auto"/>
        <w:ind w:left="850"/>
        <w:rPr>
          <w:szCs w:val="24"/>
          <w:lang w:val="sv-SE" w:eastAsia="en-US"/>
        </w:rPr>
      </w:pPr>
      <w:r w:rsidRPr="00DC67EB">
        <w:rPr>
          <w:szCs w:val="24"/>
          <w:lang w:val="sv-SE" w:eastAsia="en-US"/>
        </w:rPr>
        <w:t>A tagállamok – adott esetben, elsősorban szűrővizsgálat céljából – passzív mintavételi módszereket is alkalmazhatnak a vegyi szennyező anyagok megfigyelésére, azzal a feltétellel, hogy ezek a mintavételi módszerek nem becsülik alá a környezetminőségi előírások hatálya alá tartozó szennyező anyagok koncentrációját, így megbízhatóan képesek azonosítani a »jó állapot elérésének hiányát«, továbbá hogy az alkalmazott környezetminőségi előírásoknak megfelelően elvégzik a víz-, bióta- vagy üledékminták kémiai elemzését, amennyiben ilyen hiányosságot észlelnek. A tagállamok azonos feltételek mellett alkalmazhatnak hatásalapú mintavételi módszereket is.”</w:t>
      </w:r>
    </w:p>
    <w:p w14:paraId="7BEE4A1A" w14:textId="77777777" w:rsidR="001D30D4" w:rsidRPr="00DC67EB" w:rsidRDefault="001D30D4" w:rsidP="001D30D4">
      <w:pPr>
        <w:spacing w:before="120" w:after="120" w:line="360" w:lineRule="auto"/>
        <w:ind w:left="850" w:hanging="850"/>
        <w:rPr>
          <w:szCs w:val="24"/>
          <w:lang w:val="sv-SE" w:eastAsia="en-US"/>
        </w:rPr>
      </w:pPr>
      <w:r w:rsidRPr="00DC67EB">
        <w:rPr>
          <w:szCs w:val="24"/>
          <w:lang w:val="sv-SE" w:eastAsia="en-US"/>
        </w:rPr>
        <w:t>9.</w:t>
      </w:r>
      <w:r w:rsidRPr="00DC67EB">
        <w:rPr>
          <w:szCs w:val="24"/>
          <w:lang w:val="sv-SE" w:eastAsia="en-US"/>
        </w:rPr>
        <w:tab/>
        <w:t>Az 1.3.1. pontban „A minőségi elemek megválasztása” című utolsó bekezdés helyébe a következő szöveg lép:</w:t>
      </w:r>
    </w:p>
    <w:p w14:paraId="7F9DCE03" w14:textId="77777777" w:rsidR="001D30D4" w:rsidRPr="00DC67EB" w:rsidRDefault="001D30D4" w:rsidP="001D30D4">
      <w:pPr>
        <w:spacing w:before="120" w:after="120" w:line="360" w:lineRule="auto"/>
        <w:ind w:left="850"/>
        <w:rPr>
          <w:szCs w:val="24"/>
          <w:lang w:val="sv-SE" w:eastAsia="en-US"/>
        </w:rPr>
      </w:pPr>
      <w:r w:rsidRPr="00DC67EB">
        <w:rPr>
          <w:szCs w:val="24"/>
          <w:lang w:val="sv-SE" w:eastAsia="en-US"/>
        </w:rPr>
        <w:t>„A minőségi elemek megválasztása</w:t>
      </w:r>
    </w:p>
    <w:p w14:paraId="63F551FB" w14:textId="77777777" w:rsidR="001D30D4" w:rsidRPr="00DC67EB" w:rsidRDefault="001D30D4" w:rsidP="001D30D4">
      <w:pPr>
        <w:spacing w:before="120" w:after="120" w:line="360" w:lineRule="auto"/>
        <w:ind w:left="850"/>
        <w:rPr>
          <w:szCs w:val="24"/>
          <w:lang w:val="sv-SE" w:eastAsia="en-US"/>
        </w:rPr>
      </w:pPr>
      <w:r w:rsidRPr="00DC67EB">
        <w:rPr>
          <w:szCs w:val="24"/>
          <w:lang w:val="sv-SE" w:eastAsia="en-US"/>
        </w:rPr>
        <w:t>A feltáró megfigyelést (monitoring) minden megfigyelési ponton egyéves időszakon át végzik a vízgyűjtő-gazdálkodási terv által lefedett időtartamon belül. A feltáró megfigyelés a következőkre terjed ki:</w:t>
      </w:r>
    </w:p>
    <w:p w14:paraId="555704FD" w14:textId="77777777" w:rsidR="001D30D4" w:rsidRPr="00DC67EB" w:rsidRDefault="001D30D4" w:rsidP="001D30D4">
      <w:pPr>
        <w:spacing w:before="120" w:after="120" w:line="360" w:lineRule="auto"/>
        <w:ind w:left="1416" w:hanging="566"/>
        <w:rPr>
          <w:szCs w:val="24"/>
          <w:lang w:val="sv-SE" w:eastAsia="en-US"/>
        </w:rPr>
      </w:pPr>
      <w:r w:rsidRPr="00DC67EB">
        <w:rPr>
          <w:szCs w:val="24"/>
          <w:lang w:val="sv-SE" w:eastAsia="en-US"/>
        </w:rPr>
        <w:t>a)</w:t>
      </w:r>
      <w:r w:rsidRPr="00DC67EB">
        <w:rPr>
          <w:szCs w:val="24"/>
          <w:lang w:val="sv-SE" w:eastAsia="en-US"/>
        </w:rPr>
        <w:tab/>
        <w:t>az összes biológiai minőségi elemre nézve meghatározó/jellemző paraméter;</w:t>
      </w:r>
    </w:p>
    <w:p w14:paraId="066752F4" w14:textId="77777777" w:rsidR="00E161F6" w:rsidRPr="00DC67EB" w:rsidRDefault="00E161F6">
      <w:pPr>
        <w:widowControl/>
        <w:rPr>
          <w:szCs w:val="24"/>
          <w:lang w:val="sv-SE" w:eastAsia="en-US"/>
        </w:rPr>
      </w:pPr>
      <w:r w:rsidRPr="00DC67EB">
        <w:rPr>
          <w:szCs w:val="24"/>
          <w:lang w:val="sv-SE" w:eastAsia="en-US"/>
        </w:rPr>
        <w:br w:type="page"/>
      </w:r>
    </w:p>
    <w:p w14:paraId="44E6037A" w14:textId="77777777" w:rsidR="001D30D4" w:rsidRPr="00DC67EB" w:rsidRDefault="001D30D4" w:rsidP="001D30D4">
      <w:pPr>
        <w:spacing w:before="120" w:after="120" w:line="360" w:lineRule="auto"/>
        <w:ind w:left="1416" w:hanging="566"/>
        <w:rPr>
          <w:szCs w:val="24"/>
          <w:lang w:val="sv-SE" w:eastAsia="en-US"/>
        </w:rPr>
      </w:pPr>
      <w:r w:rsidRPr="00DC67EB">
        <w:rPr>
          <w:szCs w:val="24"/>
          <w:lang w:val="sv-SE" w:eastAsia="en-US"/>
        </w:rPr>
        <w:t>b)</w:t>
      </w:r>
      <w:r w:rsidRPr="00DC67EB">
        <w:rPr>
          <w:szCs w:val="24"/>
          <w:lang w:val="sv-SE" w:eastAsia="en-US"/>
        </w:rPr>
        <w:tab/>
        <w:t>az összes hidromorfológiai minőségi elemre nézve meghatározó/jellemző paraméter;</w:t>
      </w:r>
    </w:p>
    <w:p w14:paraId="472038EF" w14:textId="77777777" w:rsidR="001D30D4" w:rsidRPr="00DC67EB" w:rsidRDefault="001D30D4" w:rsidP="001D30D4">
      <w:pPr>
        <w:spacing w:before="120" w:after="120" w:line="360" w:lineRule="auto"/>
        <w:ind w:left="1416" w:hanging="566"/>
        <w:rPr>
          <w:szCs w:val="24"/>
          <w:lang w:val="sv-SE" w:eastAsia="en-US"/>
        </w:rPr>
      </w:pPr>
      <w:r w:rsidRPr="00DC67EB">
        <w:rPr>
          <w:szCs w:val="24"/>
          <w:lang w:val="sv-SE" w:eastAsia="en-US"/>
        </w:rPr>
        <w:t>c)</w:t>
      </w:r>
      <w:r w:rsidRPr="00DC67EB">
        <w:rPr>
          <w:szCs w:val="24"/>
          <w:lang w:val="sv-SE" w:eastAsia="en-US"/>
        </w:rPr>
        <w:tab/>
        <w:t>az összes általános fizikai-kémiai minőségi elemre nézve meghatározó/jellemző paraméter;</w:t>
      </w:r>
    </w:p>
    <w:p w14:paraId="3A350BF4" w14:textId="77777777" w:rsidR="001D30D4" w:rsidRPr="00DC67EB" w:rsidRDefault="001D30D4" w:rsidP="001D30D4">
      <w:pPr>
        <w:spacing w:before="120" w:after="120" w:line="360" w:lineRule="auto"/>
        <w:ind w:left="1416" w:hanging="566"/>
        <w:rPr>
          <w:szCs w:val="24"/>
          <w:lang w:val="sv-SE" w:eastAsia="en-US"/>
        </w:rPr>
      </w:pPr>
      <w:r w:rsidRPr="00DC67EB">
        <w:rPr>
          <w:szCs w:val="24"/>
          <w:lang w:val="sv-SE" w:eastAsia="en-US"/>
        </w:rPr>
        <w:t>d)</w:t>
      </w:r>
      <w:r w:rsidRPr="00DC67EB">
        <w:rPr>
          <w:szCs w:val="24"/>
          <w:lang w:val="sv-SE" w:eastAsia="en-US"/>
        </w:rPr>
        <w:tab/>
        <w:t>az elsőbbségi anyagok listáján szereplő, a vízgyűjtőbe vagy a részvízgyűjtőbe bevezetett, illetve más módon lerakott szennyező anyagok;</w:t>
      </w:r>
    </w:p>
    <w:p w14:paraId="20187565" w14:textId="77777777" w:rsidR="001D30D4" w:rsidRPr="00DC67EB" w:rsidRDefault="001D30D4" w:rsidP="001D30D4">
      <w:pPr>
        <w:spacing w:before="120" w:after="120" w:line="360" w:lineRule="auto"/>
        <w:ind w:left="1416" w:hanging="566"/>
        <w:rPr>
          <w:szCs w:val="24"/>
          <w:lang w:val="sv-SE" w:eastAsia="en-US"/>
        </w:rPr>
      </w:pPr>
      <w:r w:rsidRPr="00DC67EB">
        <w:rPr>
          <w:szCs w:val="24"/>
          <w:lang w:val="sv-SE" w:eastAsia="en-US"/>
        </w:rPr>
        <w:t>e)</w:t>
      </w:r>
      <w:r w:rsidRPr="00DC67EB">
        <w:rPr>
          <w:szCs w:val="24"/>
          <w:lang w:val="sv-SE" w:eastAsia="en-US"/>
        </w:rPr>
        <w:tab/>
        <w:t>a vízgyűjtőbe vagy a részvízgyűjtőbe jelentős mennyiségben bevezetett, illetve más módon lerakott egyéb szennyező anyagok.</w:t>
      </w:r>
    </w:p>
    <w:p w14:paraId="655C70CA" w14:textId="77777777" w:rsidR="001D30D4" w:rsidRPr="00DC67EB" w:rsidRDefault="001D30D4" w:rsidP="001D30D4">
      <w:pPr>
        <w:spacing w:before="120" w:after="120" w:line="360" w:lineRule="auto"/>
        <w:ind w:left="850"/>
        <w:rPr>
          <w:szCs w:val="24"/>
          <w:lang w:val="sv-SE" w:eastAsia="en-US"/>
        </w:rPr>
      </w:pPr>
      <w:r w:rsidRPr="00DC67EB">
        <w:rPr>
          <w:szCs w:val="24"/>
          <w:lang w:val="sv-SE" w:eastAsia="en-US"/>
        </w:rPr>
        <w:t>Ha azonban a korábbi feltáró megfigyelés (monitoring) azt mutatta, hogy az érintett víztest elérte a jó állapotot, és az emberi tevékenység hatásainak a II. melléklet szerinti vizsgálata alapján nincs bizonyíték arra nézve, hogy a víztestre gyakorolt hatások megváltoztak, a feltáró megfigyelést három egymást követő vízgyűjtő-gazdálkodási terv által lefedett időszak alatt egyszer kell elvégezni.”</w:t>
      </w:r>
    </w:p>
    <w:p w14:paraId="265FF211" w14:textId="77777777" w:rsidR="001D30D4" w:rsidRPr="00DC67EB" w:rsidRDefault="001D30D4" w:rsidP="001D30D4">
      <w:pPr>
        <w:spacing w:before="120" w:after="120" w:line="360" w:lineRule="auto"/>
        <w:ind w:left="850" w:hanging="850"/>
        <w:rPr>
          <w:szCs w:val="24"/>
          <w:lang w:val="sv-SE" w:eastAsia="en-US"/>
        </w:rPr>
      </w:pPr>
      <w:r w:rsidRPr="00DC67EB">
        <w:rPr>
          <w:szCs w:val="24"/>
          <w:lang w:val="sv-SE" w:eastAsia="en-US"/>
        </w:rPr>
        <w:t>10.</w:t>
      </w:r>
      <w:r w:rsidRPr="00DC67EB">
        <w:rPr>
          <w:szCs w:val="24"/>
          <w:lang w:val="sv-SE" w:eastAsia="en-US"/>
        </w:rPr>
        <w:tab/>
        <w:t>Az 1.3.2. pont a következőképpen módosul:</w:t>
      </w:r>
    </w:p>
    <w:p w14:paraId="49D6333E" w14:textId="77777777" w:rsidR="001D30D4" w:rsidRPr="00DC67EB" w:rsidRDefault="001D30D4" w:rsidP="001D30D4">
      <w:pPr>
        <w:spacing w:before="120" w:after="120" w:line="360" w:lineRule="auto"/>
        <w:ind w:left="1416" w:hanging="566"/>
        <w:rPr>
          <w:szCs w:val="24"/>
          <w:lang w:val="sv-SE" w:eastAsia="en-US"/>
        </w:rPr>
      </w:pPr>
      <w:r w:rsidRPr="00DC67EB">
        <w:rPr>
          <w:szCs w:val="24"/>
          <w:lang w:val="sv-SE" w:eastAsia="en-US"/>
        </w:rPr>
        <w:t>„a)</w:t>
      </w:r>
      <w:r w:rsidRPr="00DC67EB">
        <w:rPr>
          <w:szCs w:val="24"/>
          <w:lang w:val="sv-SE" w:eastAsia="en-US"/>
        </w:rPr>
        <w:tab/>
        <w:t>„A megfigyelési pontok megválasztása” című harmadik bekezdés első mondata helyébe a következő szöveg lép:</w:t>
      </w:r>
    </w:p>
    <w:p w14:paraId="3978ACC9" w14:textId="77777777" w:rsidR="00E161F6" w:rsidRPr="00DC67EB" w:rsidRDefault="00E161F6">
      <w:pPr>
        <w:widowControl/>
        <w:rPr>
          <w:szCs w:val="24"/>
          <w:lang w:val="sv-SE" w:eastAsia="en-US"/>
        </w:rPr>
      </w:pPr>
      <w:r w:rsidRPr="00DC67EB">
        <w:rPr>
          <w:szCs w:val="24"/>
          <w:lang w:val="sv-SE" w:eastAsia="en-US"/>
        </w:rPr>
        <w:br w:type="page"/>
      </w:r>
    </w:p>
    <w:p w14:paraId="65897DFF" w14:textId="77777777" w:rsidR="001D30D4" w:rsidRPr="00DC67EB" w:rsidRDefault="001D30D4" w:rsidP="001D30D4">
      <w:pPr>
        <w:spacing w:before="120" w:after="120" w:line="360" w:lineRule="auto"/>
        <w:ind w:left="1416"/>
        <w:rPr>
          <w:szCs w:val="24"/>
          <w:lang w:val="sv-SE" w:eastAsia="en-US"/>
        </w:rPr>
      </w:pPr>
      <w:r w:rsidRPr="00DC67EB">
        <w:rPr>
          <w:szCs w:val="24"/>
          <w:lang w:val="sv-SE" w:eastAsia="en-US"/>
        </w:rPr>
        <w:t>„Operatív megfigyelést (monitoring) végeznek minden olyan víztesten, amelyet akár a II. mellékletnek megfelelően elvégzett hatásvizsgálat, akár a feltáró megfigyelés (monitoring) eredményei alapján úgy határoztak meg, mint amelynél megvan a kockázata annak, hogy nem teljesíti a 4. cikk szerinti környezeti célkitűzéseket és minden olyan víztesten, amelybe elsőbbségi szennyező anyagot vezetnek be vagy raknak le más módon, illetve amelybe jelentős mennyiségű vízgyűjtő-specifikus szennyező anyagot vezetnek be vagy raknak le más módon.”;</w:t>
      </w:r>
    </w:p>
    <w:p w14:paraId="66B39DD0" w14:textId="77777777" w:rsidR="001D30D4" w:rsidRPr="00DC67EB" w:rsidRDefault="001D30D4" w:rsidP="001D30D4">
      <w:pPr>
        <w:spacing w:before="120" w:after="120" w:line="360" w:lineRule="auto"/>
        <w:ind w:left="1416" w:hanging="566"/>
        <w:rPr>
          <w:szCs w:val="24"/>
          <w:lang w:val="sv-SE" w:eastAsia="en-US"/>
        </w:rPr>
      </w:pPr>
      <w:r w:rsidRPr="00DC67EB">
        <w:rPr>
          <w:szCs w:val="24"/>
          <w:lang w:val="sv-SE" w:eastAsia="en-US"/>
        </w:rPr>
        <w:t>b)</w:t>
      </w:r>
      <w:r w:rsidRPr="00DC67EB">
        <w:rPr>
          <w:szCs w:val="24"/>
          <w:lang w:val="sv-SE" w:eastAsia="en-US"/>
        </w:rPr>
        <w:tab/>
        <w:t>„A minőségi elemek megválasztása” című negyedik bekezdés második franciabekezdése helyébe a következő szöveg lép:</w:t>
      </w:r>
    </w:p>
    <w:p w14:paraId="13BA3046" w14:textId="77777777" w:rsidR="001D30D4" w:rsidRPr="00DC67EB" w:rsidRDefault="001D30D4" w:rsidP="001D30D4">
      <w:pPr>
        <w:spacing w:before="120" w:after="120" w:line="360" w:lineRule="auto"/>
        <w:ind w:left="1416"/>
        <w:rPr>
          <w:szCs w:val="24"/>
          <w:lang w:val="sv-SE" w:eastAsia="en-US"/>
        </w:rPr>
      </w:pPr>
      <w:r w:rsidRPr="00DC67EB">
        <w:rPr>
          <w:szCs w:val="24"/>
          <w:lang w:val="sv-SE" w:eastAsia="en-US"/>
        </w:rPr>
        <w:t>„– a víztestekbe bevezetett vagy más módon lerakott minden elsőbbségi szennyező anyagot és a víztestekbe jelentős mennyiségben bevezetett vagy más módon lerakott minden vízgyűjtő-specifikus szennyező anyagot,.”</w:t>
      </w:r>
    </w:p>
    <w:p w14:paraId="68DA9CA2" w14:textId="77777777" w:rsidR="00E161F6" w:rsidRPr="00DC67EB" w:rsidRDefault="00E161F6">
      <w:pPr>
        <w:widowControl/>
        <w:rPr>
          <w:szCs w:val="24"/>
          <w:lang w:val="sv-SE" w:eastAsia="en-US"/>
        </w:rPr>
      </w:pPr>
      <w:r w:rsidRPr="00DC67EB">
        <w:rPr>
          <w:szCs w:val="24"/>
          <w:lang w:val="sv-SE" w:eastAsia="en-US"/>
        </w:rPr>
        <w:br w:type="page"/>
      </w:r>
    </w:p>
    <w:p w14:paraId="25B7DD54" w14:textId="77777777" w:rsidR="00E161F6" w:rsidRPr="00DC67EB" w:rsidRDefault="00E161F6" w:rsidP="001D30D4">
      <w:pPr>
        <w:spacing w:before="120" w:after="120" w:line="360" w:lineRule="auto"/>
        <w:ind w:left="850" w:hanging="850"/>
        <w:rPr>
          <w:b/>
          <w:i/>
          <w:szCs w:val="24"/>
          <w:lang w:eastAsia="en-US"/>
        </w:rPr>
      </w:pPr>
      <w:r w:rsidRPr="00DC67EB">
        <w:rPr>
          <w:b/>
          <w:i/>
          <w:szCs w:val="24"/>
          <w:lang w:eastAsia="en-US"/>
        </w:rPr>
        <w:t>10a.</w:t>
      </w:r>
      <w:r w:rsidRPr="00DC67EB">
        <w:rPr>
          <w:szCs w:val="24"/>
          <w:lang w:eastAsia="en-US"/>
        </w:rPr>
        <w:tab/>
      </w:r>
      <w:r w:rsidRPr="00DC67EB">
        <w:rPr>
          <w:b/>
          <w:i/>
          <w:szCs w:val="24"/>
          <w:lang w:eastAsia="en-US"/>
        </w:rPr>
        <w:t>Az 1.3.4. pont (4) bekezdése a következőképpen módosul:</w:t>
      </w:r>
    </w:p>
    <w:p w14:paraId="19B29744" w14:textId="77777777" w:rsidR="00E161F6" w:rsidRPr="00DC67EB" w:rsidRDefault="00E161F6" w:rsidP="006773C8">
      <w:pPr>
        <w:spacing w:before="120" w:after="120" w:line="360" w:lineRule="auto"/>
        <w:ind w:left="850" w:firstLine="1"/>
        <w:rPr>
          <w:b/>
          <w:szCs w:val="24"/>
          <w:lang w:eastAsia="en-US"/>
        </w:rPr>
      </w:pPr>
      <w:r w:rsidRPr="00DC67EB">
        <w:rPr>
          <w:b/>
          <w:i/>
          <w:szCs w:val="24"/>
          <w:lang w:eastAsia="en-US"/>
        </w:rPr>
        <w:t>„A</w:t>
      </w:r>
      <w:r w:rsidRPr="00DC67EB">
        <w:rPr>
          <w:szCs w:val="24"/>
          <w:lang w:eastAsia="en-US"/>
        </w:rPr>
        <w:t xml:space="preserve"> monitoring gyakoriságát </w:t>
      </w:r>
      <w:r w:rsidRPr="00DC67EB">
        <w:rPr>
          <w:b/>
          <w:i/>
          <w:szCs w:val="24"/>
          <w:lang w:eastAsia="en-US"/>
        </w:rPr>
        <w:t>úgy választják meg, valamint növelik</w:t>
      </w:r>
      <w:r w:rsidRPr="00DC67EB">
        <w:rPr>
          <w:szCs w:val="24"/>
          <w:lang w:eastAsia="en-US"/>
        </w:rPr>
        <w:t xml:space="preserve"> meg</w:t>
      </w:r>
      <w:r w:rsidRPr="00DC67EB">
        <w:rPr>
          <w:b/>
          <w:i/>
          <w:szCs w:val="24"/>
          <w:lang w:eastAsia="en-US"/>
        </w:rPr>
        <w:t xml:space="preserve"> szükség esetén</w:t>
      </w:r>
      <w:r w:rsidRPr="00DC67EB">
        <w:rPr>
          <w:szCs w:val="24"/>
          <w:lang w:eastAsia="en-US"/>
        </w:rPr>
        <w:t xml:space="preserve">, </w:t>
      </w:r>
      <w:r w:rsidRPr="00DC67EB">
        <w:rPr>
          <w:b/>
          <w:i/>
          <w:szCs w:val="24"/>
          <w:lang w:eastAsia="en-US"/>
        </w:rPr>
        <w:t>hogy</w:t>
      </w:r>
      <w:r w:rsidRPr="00DC67EB">
        <w:rPr>
          <w:szCs w:val="24"/>
          <w:lang w:eastAsia="en-US"/>
        </w:rPr>
        <w:t xml:space="preserve"> figyelembe vegyék mind a természetes, mind az antropogén viszonyoktól befolyásolt paraméterek változékonyságát. </w:t>
      </w:r>
      <w:r w:rsidRPr="00DC67EB">
        <w:rPr>
          <w:b/>
          <w:i/>
          <w:szCs w:val="24"/>
          <w:lang w:eastAsia="en-US"/>
        </w:rPr>
        <w:t xml:space="preserve">Ezen túlmenően </w:t>
      </w:r>
      <w:r w:rsidRPr="00DC67EB">
        <w:rPr>
          <w:szCs w:val="24"/>
          <w:lang w:eastAsia="en-US"/>
        </w:rPr>
        <w:t xml:space="preserve">a monitoring időpontjait úgy választják meg, hogy </w:t>
      </w:r>
      <w:r w:rsidRPr="00DC67EB">
        <w:rPr>
          <w:b/>
          <w:i/>
          <w:szCs w:val="24"/>
          <w:lang w:eastAsia="en-US"/>
        </w:rPr>
        <w:t>számításba vegyék az anyaghasználat</w:t>
      </w:r>
      <w:r w:rsidRPr="00DC67EB">
        <w:rPr>
          <w:szCs w:val="24"/>
          <w:lang w:eastAsia="en-US"/>
        </w:rPr>
        <w:t xml:space="preserve"> szezonális </w:t>
      </w:r>
      <w:r w:rsidRPr="00DC67EB">
        <w:rPr>
          <w:b/>
          <w:i/>
          <w:szCs w:val="24"/>
          <w:lang w:eastAsia="en-US"/>
        </w:rPr>
        <w:t>ingadozásának és a vízszintek változásának az állapotfelmérésre gyakorolt hatását</w:t>
      </w:r>
      <w:r w:rsidRPr="00DC67EB">
        <w:rPr>
          <w:szCs w:val="24"/>
          <w:lang w:eastAsia="en-US"/>
        </w:rPr>
        <w:t xml:space="preserve">, és </w:t>
      </w:r>
      <w:r w:rsidRPr="00DC67EB">
        <w:rPr>
          <w:b/>
          <w:i/>
          <w:szCs w:val="24"/>
          <w:lang w:eastAsia="en-US"/>
        </w:rPr>
        <w:t>ezáltal biztosítsák</w:t>
      </w:r>
      <w:r w:rsidRPr="00DC67EB">
        <w:rPr>
          <w:szCs w:val="24"/>
          <w:lang w:eastAsia="en-US"/>
        </w:rPr>
        <w:t xml:space="preserve">, hogy az eredmények </w:t>
      </w:r>
      <w:r w:rsidRPr="00DC67EB">
        <w:rPr>
          <w:b/>
          <w:i/>
          <w:szCs w:val="24"/>
          <w:lang w:eastAsia="en-US"/>
        </w:rPr>
        <w:t>tükrözik</w:t>
      </w:r>
      <w:r w:rsidRPr="00DC67EB">
        <w:rPr>
          <w:szCs w:val="24"/>
          <w:lang w:eastAsia="en-US"/>
        </w:rPr>
        <w:t xml:space="preserve"> a víztestben az antropogén terhelések </w:t>
      </w:r>
      <w:r w:rsidRPr="00DC67EB">
        <w:rPr>
          <w:b/>
          <w:i/>
          <w:szCs w:val="24"/>
          <w:lang w:eastAsia="en-US"/>
        </w:rPr>
        <w:t>és az éghajlati eltérések miatt fellépő változásokat</w:t>
      </w:r>
      <w:r w:rsidRPr="00DC67EB">
        <w:rPr>
          <w:szCs w:val="24"/>
          <w:lang w:eastAsia="en-US"/>
        </w:rPr>
        <w:t>.</w:t>
      </w:r>
      <w:r w:rsidRPr="00DC67EB">
        <w:rPr>
          <w:b/>
          <w:i/>
          <w:szCs w:val="24"/>
          <w:lang w:eastAsia="en-US"/>
        </w:rPr>
        <w:t xml:space="preserve"> Az éghajlati eltérésekre érzékeny elsőbbségi anyagok és azon elsőbbségi anyagok tekintetében</w:t>
      </w:r>
      <w:r w:rsidRPr="00DC67EB">
        <w:rPr>
          <w:szCs w:val="24"/>
          <w:lang w:eastAsia="en-US"/>
        </w:rPr>
        <w:t xml:space="preserve">, </w:t>
      </w:r>
      <w:r w:rsidRPr="00DC67EB">
        <w:rPr>
          <w:b/>
          <w:i/>
          <w:szCs w:val="24"/>
          <w:lang w:eastAsia="en-US"/>
        </w:rPr>
        <w:t>amelyek koncentrációja</w:t>
      </w:r>
      <w:r w:rsidRPr="00DC67EB">
        <w:rPr>
          <w:szCs w:val="24"/>
          <w:lang w:eastAsia="en-US"/>
        </w:rPr>
        <w:t xml:space="preserve"> az </w:t>
      </w:r>
      <w:r w:rsidRPr="00DC67EB">
        <w:rPr>
          <w:b/>
          <w:i/>
          <w:szCs w:val="24"/>
          <w:lang w:eastAsia="en-US"/>
        </w:rPr>
        <w:t>említett anyagok felhasználásának szezonális ingadozása miatt valószínűsíthetően rövid ideig tetőzik,</w:t>
      </w:r>
      <w:r w:rsidRPr="00DC67EB">
        <w:rPr>
          <w:szCs w:val="24"/>
          <w:lang w:eastAsia="en-US"/>
        </w:rPr>
        <w:t xml:space="preserve"> a </w:t>
      </w:r>
      <w:r w:rsidRPr="00DC67EB">
        <w:rPr>
          <w:b/>
          <w:i/>
          <w:szCs w:val="24"/>
          <w:lang w:eastAsia="en-US"/>
        </w:rPr>
        <w:t>monitoringot gyakrabban kell elvégezni, mint más anyagok esetében</w:t>
      </w:r>
      <w:r w:rsidRPr="00DC67EB">
        <w:rPr>
          <w:szCs w:val="24"/>
          <w:lang w:eastAsia="en-US"/>
        </w:rPr>
        <w:t>.</w:t>
      </w:r>
      <w:r w:rsidRPr="00DC67EB">
        <w:rPr>
          <w:b/>
          <w:i/>
          <w:szCs w:val="24"/>
          <w:lang w:eastAsia="en-US"/>
        </w:rPr>
        <w:t xml:space="preserve">” </w:t>
      </w:r>
      <w:r w:rsidRPr="00DC67EB">
        <w:rPr>
          <w:b/>
          <w:szCs w:val="24"/>
          <w:lang w:eastAsia="en-US"/>
        </w:rPr>
        <w:t xml:space="preserve"> Mód. 139]</w:t>
      </w:r>
    </w:p>
    <w:p w14:paraId="7361C492" w14:textId="77777777" w:rsidR="001D30D4" w:rsidRPr="00DC67EB" w:rsidRDefault="001D30D4" w:rsidP="001D30D4">
      <w:pPr>
        <w:spacing w:before="120" w:after="120" w:line="360" w:lineRule="auto"/>
        <w:ind w:left="850" w:hanging="850"/>
        <w:rPr>
          <w:szCs w:val="24"/>
          <w:lang w:eastAsia="en-US"/>
        </w:rPr>
      </w:pPr>
      <w:r w:rsidRPr="00DC67EB">
        <w:rPr>
          <w:szCs w:val="24"/>
          <w:lang w:eastAsia="en-US"/>
        </w:rPr>
        <w:t>11.</w:t>
      </w:r>
      <w:r w:rsidRPr="00DC67EB">
        <w:rPr>
          <w:szCs w:val="24"/>
          <w:lang w:eastAsia="en-US"/>
        </w:rPr>
        <w:tab/>
        <w:t>Az 1.3.4. pont táblázatában a „Fizikai-kémiai elemek” cím alatti hatodik sorban az „Egyéb szennyező anyagok” szövegrész helyébe a „Vízgyűjtő-specifikus szennyező anyagok” szöveg lép.</w:t>
      </w:r>
    </w:p>
    <w:p w14:paraId="08BF1013" w14:textId="77777777" w:rsidR="00E161F6" w:rsidRPr="00DC67EB" w:rsidRDefault="00E161F6">
      <w:pPr>
        <w:widowControl/>
        <w:rPr>
          <w:szCs w:val="24"/>
          <w:lang w:eastAsia="en-US"/>
        </w:rPr>
      </w:pPr>
      <w:r w:rsidRPr="00DC67EB">
        <w:rPr>
          <w:szCs w:val="24"/>
          <w:lang w:eastAsia="en-US"/>
        </w:rPr>
        <w:br w:type="page"/>
      </w:r>
    </w:p>
    <w:p w14:paraId="24D86645" w14:textId="77777777" w:rsidR="001D30D4" w:rsidRPr="00DC67EB" w:rsidRDefault="001D30D4" w:rsidP="001D30D4">
      <w:pPr>
        <w:spacing w:before="120" w:after="120" w:line="360" w:lineRule="auto"/>
        <w:ind w:left="850" w:hanging="850"/>
        <w:rPr>
          <w:szCs w:val="24"/>
          <w:lang w:eastAsia="en-US"/>
        </w:rPr>
      </w:pPr>
      <w:r w:rsidRPr="00DC67EB">
        <w:rPr>
          <w:szCs w:val="24"/>
          <w:lang w:eastAsia="en-US"/>
        </w:rPr>
        <w:t>12.</w:t>
      </w:r>
      <w:r w:rsidRPr="00DC67EB">
        <w:rPr>
          <w:szCs w:val="24"/>
          <w:lang w:eastAsia="en-US"/>
        </w:rPr>
        <w:tab/>
        <w:t>Az 1.4.1. pont a következőképpen módosul:</w:t>
      </w:r>
    </w:p>
    <w:p w14:paraId="1CD835D7" w14:textId="77777777" w:rsidR="001D30D4" w:rsidRPr="00DC67EB" w:rsidRDefault="001D30D4" w:rsidP="001D30D4">
      <w:pPr>
        <w:spacing w:before="120" w:after="120" w:line="360" w:lineRule="auto"/>
        <w:ind w:left="1416" w:hanging="566"/>
        <w:rPr>
          <w:szCs w:val="24"/>
          <w:lang w:val="sv-SE" w:eastAsia="en-US"/>
        </w:rPr>
      </w:pPr>
      <w:r w:rsidRPr="00DC67EB">
        <w:rPr>
          <w:szCs w:val="24"/>
          <w:lang w:val="sv-SE" w:eastAsia="en-US"/>
        </w:rPr>
        <w:t>a)</w:t>
      </w:r>
      <w:r w:rsidRPr="00DC67EB">
        <w:rPr>
          <w:szCs w:val="24"/>
          <w:lang w:val="sv-SE" w:eastAsia="en-US"/>
        </w:rPr>
        <w:tab/>
        <w:t>a vii. alpont második mondatát el kell hagyni;</w:t>
      </w:r>
    </w:p>
    <w:p w14:paraId="2D964B9A" w14:textId="77777777" w:rsidR="001D30D4" w:rsidRPr="00DC67EB" w:rsidRDefault="001D30D4" w:rsidP="001D30D4">
      <w:pPr>
        <w:spacing w:before="120" w:after="120" w:line="360" w:lineRule="auto"/>
        <w:ind w:left="1416" w:hanging="566"/>
        <w:rPr>
          <w:szCs w:val="24"/>
          <w:lang w:val="sv-SE" w:eastAsia="en-US"/>
        </w:rPr>
      </w:pPr>
      <w:r w:rsidRPr="00DC67EB">
        <w:rPr>
          <w:szCs w:val="24"/>
          <w:lang w:val="sv-SE" w:eastAsia="en-US"/>
        </w:rPr>
        <w:t>b)</w:t>
      </w:r>
      <w:r w:rsidRPr="00DC67EB">
        <w:rPr>
          <w:szCs w:val="24"/>
          <w:lang w:val="sv-SE" w:eastAsia="en-US"/>
        </w:rPr>
        <w:tab/>
        <w:t>a viii. alpontot el kell hagyni;</w:t>
      </w:r>
    </w:p>
    <w:p w14:paraId="79DF2C42" w14:textId="77777777" w:rsidR="001D30D4" w:rsidRPr="00DC67EB" w:rsidRDefault="001D30D4" w:rsidP="001D30D4">
      <w:pPr>
        <w:spacing w:before="120" w:after="120" w:line="360" w:lineRule="auto"/>
        <w:ind w:left="1416" w:hanging="566"/>
        <w:rPr>
          <w:szCs w:val="24"/>
          <w:lang w:val="sv-SE" w:eastAsia="en-US"/>
        </w:rPr>
      </w:pPr>
      <w:r w:rsidRPr="00DC67EB">
        <w:rPr>
          <w:szCs w:val="24"/>
          <w:lang w:val="sv-SE" w:eastAsia="en-US"/>
        </w:rPr>
        <w:t>c)</w:t>
      </w:r>
      <w:r w:rsidRPr="00DC67EB">
        <w:rPr>
          <w:szCs w:val="24"/>
          <w:lang w:val="sv-SE" w:eastAsia="en-US"/>
        </w:rPr>
        <w:tab/>
        <w:t>a ix. alpont helyébe a következő szöveg lép:</w:t>
      </w:r>
    </w:p>
    <w:p w14:paraId="01B1CD9A" w14:textId="77777777" w:rsidR="001D30D4" w:rsidRPr="00DC67EB" w:rsidRDefault="001D30D4" w:rsidP="001D30D4">
      <w:pPr>
        <w:spacing w:before="120" w:after="120" w:line="360" w:lineRule="auto"/>
        <w:ind w:left="1982" w:hanging="566"/>
        <w:rPr>
          <w:szCs w:val="24"/>
          <w:lang w:val="sv-SE" w:eastAsia="en-US"/>
        </w:rPr>
      </w:pPr>
      <w:r w:rsidRPr="00DC67EB">
        <w:rPr>
          <w:szCs w:val="24"/>
          <w:lang w:val="sv-SE" w:eastAsia="en-US"/>
        </w:rPr>
        <w:t>„ix.</w:t>
      </w:r>
      <w:r w:rsidRPr="00DC67EB">
        <w:rPr>
          <w:szCs w:val="24"/>
          <w:lang w:val="sv-SE" w:eastAsia="en-US"/>
        </w:rPr>
        <w:tab/>
        <w:t>Az interkalibrációs eljárás eredményeit és a tagállamok megfigyelőrendszereinek osztályozásához az i–viii. alpontoknak megfelelően megállapított értékeit a felhatalmazáson alapuló jogi aktus 20. cikk szerinti elfogadásától számított hat hónapon belül közzé kell tenni.”</w:t>
      </w:r>
    </w:p>
    <w:p w14:paraId="1D293688" w14:textId="77777777" w:rsidR="001D30D4" w:rsidRPr="00DC67EB" w:rsidRDefault="001D30D4" w:rsidP="001D30D4">
      <w:pPr>
        <w:spacing w:before="120" w:after="120" w:line="360" w:lineRule="auto"/>
        <w:ind w:left="850" w:hanging="850"/>
        <w:rPr>
          <w:szCs w:val="24"/>
          <w:lang w:val="sv-SE" w:eastAsia="en-US"/>
        </w:rPr>
      </w:pPr>
      <w:r w:rsidRPr="00DC67EB">
        <w:rPr>
          <w:szCs w:val="24"/>
          <w:lang w:val="sv-SE" w:eastAsia="en-US"/>
        </w:rPr>
        <w:t>13.</w:t>
      </w:r>
      <w:r w:rsidRPr="00DC67EB">
        <w:rPr>
          <w:szCs w:val="24"/>
          <w:lang w:val="sv-SE" w:eastAsia="en-US"/>
        </w:rPr>
        <w:tab/>
        <w:t>Az 1.4.2. pont iii. alpontját el kell hagyni.</w:t>
      </w:r>
    </w:p>
    <w:p w14:paraId="511DD1FB" w14:textId="77777777" w:rsidR="001D30D4" w:rsidRPr="00DC67EB" w:rsidRDefault="001D30D4" w:rsidP="001D30D4">
      <w:pPr>
        <w:spacing w:before="120" w:after="120" w:line="360" w:lineRule="auto"/>
        <w:ind w:left="850" w:hanging="850"/>
        <w:rPr>
          <w:szCs w:val="24"/>
          <w:lang w:val="sv-SE" w:eastAsia="en-US"/>
        </w:rPr>
      </w:pPr>
      <w:r w:rsidRPr="00DC67EB">
        <w:rPr>
          <w:szCs w:val="24"/>
          <w:lang w:val="sv-SE" w:eastAsia="en-US"/>
        </w:rPr>
        <w:t>14.</w:t>
      </w:r>
      <w:r w:rsidRPr="00DC67EB">
        <w:rPr>
          <w:szCs w:val="24"/>
          <w:lang w:val="sv-SE" w:eastAsia="en-US"/>
        </w:rPr>
        <w:tab/>
        <w:t>Az 1.4.3. pontban az első bekezdés első mondatának helyébe a következő szöveg lép:</w:t>
      </w:r>
    </w:p>
    <w:p w14:paraId="000D5B1C" w14:textId="77777777" w:rsidR="001D30D4" w:rsidRPr="00DC67EB" w:rsidRDefault="001D30D4" w:rsidP="001D30D4">
      <w:pPr>
        <w:spacing w:before="120" w:after="120" w:line="360" w:lineRule="auto"/>
        <w:ind w:left="850"/>
        <w:rPr>
          <w:szCs w:val="24"/>
          <w:lang w:val="sv-SE" w:eastAsia="en-US"/>
        </w:rPr>
      </w:pPr>
      <w:r w:rsidRPr="00DC67EB">
        <w:rPr>
          <w:szCs w:val="24"/>
          <w:lang w:val="sv-SE" w:eastAsia="en-US"/>
        </w:rPr>
        <w:t>„Egy víztestet akkor minősítenek úgy, mint ami eléri a »jó« kémiai állapotot, ha megfelel a 2008/105/EK irányelv I. mellékletének A. részében meghatározott valamennyi környezetminőségi előírásnak, valamint az említett irányelv 8. és 8d. cikke alapján meghatározott környezetminőségi előírásoknak.”</w:t>
      </w:r>
    </w:p>
    <w:p w14:paraId="1B6CFB3E" w14:textId="77777777" w:rsidR="00E161F6" w:rsidRPr="00DC67EB" w:rsidRDefault="00E161F6">
      <w:pPr>
        <w:widowControl/>
        <w:rPr>
          <w:szCs w:val="24"/>
          <w:lang w:val="sv-SE" w:eastAsia="en-US"/>
        </w:rPr>
      </w:pPr>
      <w:r w:rsidRPr="00DC67EB">
        <w:rPr>
          <w:szCs w:val="24"/>
          <w:lang w:val="sv-SE" w:eastAsia="en-US"/>
        </w:rPr>
        <w:br w:type="page"/>
      </w:r>
    </w:p>
    <w:p w14:paraId="3EEF4A99" w14:textId="77777777" w:rsidR="001D30D4" w:rsidRPr="00DC67EB" w:rsidRDefault="001D30D4" w:rsidP="001D30D4">
      <w:pPr>
        <w:spacing w:before="120" w:after="120" w:line="360" w:lineRule="auto"/>
        <w:ind w:left="850" w:hanging="850"/>
        <w:rPr>
          <w:szCs w:val="24"/>
          <w:lang w:val="sv-SE" w:eastAsia="en-US"/>
        </w:rPr>
      </w:pPr>
      <w:r w:rsidRPr="00DC67EB">
        <w:rPr>
          <w:szCs w:val="24"/>
          <w:lang w:val="sv-SE" w:eastAsia="en-US"/>
        </w:rPr>
        <w:t>15.</w:t>
      </w:r>
      <w:r w:rsidRPr="00DC67EB">
        <w:rPr>
          <w:szCs w:val="24"/>
          <w:lang w:val="sv-SE" w:eastAsia="en-US"/>
        </w:rPr>
        <w:tab/>
        <w:t>A 2.2.1. pont a következő bekezdéssel egészül ki:</w:t>
      </w:r>
    </w:p>
    <w:p w14:paraId="7D0DA539" w14:textId="77777777" w:rsidR="001D30D4" w:rsidRPr="00DC67EB" w:rsidRDefault="001D30D4" w:rsidP="001D30D4">
      <w:pPr>
        <w:spacing w:before="120" w:after="120" w:line="360" w:lineRule="auto"/>
        <w:ind w:left="850"/>
        <w:rPr>
          <w:szCs w:val="24"/>
          <w:lang w:val="sv-SE" w:eastAsia="en-US"/>
        </w:rPr>
      </w:pPr>
      <w:r w:rsidRPr="00DC67EB">
        <w:rPr>
          <w:szCs w:val="24"/>
          <w:lang w:val="sv-SE" w:eastAsia="en-US"/>
        </w:rPr>
        <w:t>„Amennyiben a megfigyelő hálózat helyi mintavételi pontok helyett Föld-megfigyelésre és távérzékelésre, illetve más innovatív technikára támaszkodik, hivatkozni kell a CEN-, az ISO- vagy más olyan nemzetközi, illetve nemzeti szabványokra, amelyek alkalmazására annak biztosítása érdekében került sor, hogy a kapott időbeli és térbeli adatok ugyanolyan megbízhatóak legyenek, mint a helyi mintavételi pontokon a hagyományos megfigyelési módszerek alkalmazásával nyert adatok.”</w:t>
      </w:r>
    </w:p>
    <w:p w14:paraId="0F886D27" w14:textId="77777777" w:rsidR="00E161F6" w:rsidRPr="00DC67EB" w:rsidRDefault="00E161F6">
      <w:pPr>
        <w:widowControl/>
        <w:rPr>
          <w:szCs w:val="24"/>
          <w:lang w:val="sv-SE" w:eastAsia="en-US"/>
        </w:rPr>
      </w:pPr>
      <w:r w:rsidRPr="00DC67EB">
        <w:rPr>
          <w:szCs w:val="24"/>
          <w:lang w:val="sv-SE" w:eastAsia="en-US"/>
        </w:rPr>
        <w:br w:type="page"/>
      </w:r>
    </w:p>
    <w:p w14:paraId="7FD024F1" w14:textId="77777777" w:rsidR="001D30D4" w:rsidRPr="00DC67EB" w:rsidRDefault="001D30D4" w:rsidP="001D30D4">
      <w:pPr>
        <w:spacing w:before="120" w:after="120" w:line="360" w:lineRule="auto"/>
        <w:ind w:left="850" w:hanging="850"/>
        <w:rPr>
          <w:szCs w:val="24"/>
          <w:lang w:val="sv-SE" w:eastAsia="en-US"/>
        </w:rPr>
      </w:pPr>
      <w:r w:rsidRPr="00DC67EB">
        <w:rPr>
          <w:szCs w:val="24"/>
          <w:lang w:val="sv-SE" w:eastAsia="en-US"/>
        </w:rPr>
        <w:t>16.</w:t>
      </w:r>
      <w:r w:rsidRPr="00DC67EB">
        <w:rPr>
          <w:szCs w:val="24"/>
          <w:lang w:val="sv-SE" w:eastAsia="en-US"/>
        </w:rPr>
        <w:tab/>
        <w:t>A 2.3.2. pont helyébe a következő szöveg lép:</w:t>
      </w:r>
    </w:p>
    <w:p w14:paraId="6F261F18" w14:textId="77777777" w:rsidR="001D30D4" w:rsidRPr="00DC67EB" w:rsidRDefault="001D30D4" w:rsidP="001D30D4">
      <w:pPr>
        <w:spacing w:before="120" w:after="120" w:line="360" w:lineRule="auto"/>
        <w:ind w:left="1416" w:hanging="566"/>
        <w:rPr>
          <w:szCs w:val="24"/>
          <w:lang w:val="sv-SE" w:eastAsia="en-US"/>
        </w:rPr>
      </w:pPr>
      <w:r w:rsidRPr="00DC67EB">
        <w:rPr>
          <w:szCs w:val="24"/>
          <w:lang w:val="sv-SE" w:eastAsia="en-US"/>
        </w:rPr>
        <w:t>„2.3.2.</w:t>
      </w:r>
      <w:r w:rsidRPr="00DC67EB">
        <w:rPr>
          <w:szCs w:val="24"/>
          <w:lang w:val="sv-SE" w:eastAsia="en-US"/>
        </w:rPr>
        <w:tab/>
        <w:t>„A felszín alatti víz jó állapotának meghatározása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267"/>
        <w:gridCol w:w="6798"/>
      </w:tblGrid>
      <w:tr w:rsidR="001D30D4" w:rsidRPr="00DC67EB" w14:paraId="0E33AD89" w14:textId="77777777" w:rsidTr="000536D5">
        <w:trPr>
          <w:tblHeader/>
        </w:trPr>
        <w:tc>
          <w:tcPr>
            <w:tcW w:w="0" w:type="auto"/>
          </w:tcPr>
          <w:p w14:paraId="2483CB24" w14:textId="77777777" w:rsidR="001D30D4" w:rsidRPr="00DC67EB" w:rsidRDefault="001D30D4" w:rsidP="001D30D4">
            <w:pPr>
              <w:spacing w:before="120" w:after="120" w:line="360" w:lineRule="auto"/>
              <w:rPr>
                <w:szCs w:val="24"/>
                <w:lang w:val="en-GB" w:eastAsia="en-US"/>
              </w:rPr>
            </w:pPr>
            <w:r w:rsidRPr="00DC67EB">
              <w:rPr>
                <w:szCs w:val="24"/>
                <w:lang w:val="en-GB" w:eastAsia="en-US"/>
              </w:rPr>
              <w:t>Elemek</w:t>
            </w:r>
          </w:p>
        </w:tc>
        <w:tc>
          <w:tcPr>
            <w:tcW w:w="0" w:type="auto"/>
          </w:tcPr>
          <w:p w14:paraId="6F14DB73" w14:textId="77777777" w:rsidR="001D30D4" w:rsidRPr="00DC67EB" w:rsidRDefault="001D30D4" w:rsidP="001D30D4">
            <w:pPr>
              <w:spacing w:before="120" w:after="120" w:line="360" w:lineRule="auto"/>
              <w:rPr>
                <w:szCs w:val="24"/>
                <w:lang w:val="en-GB" w:eastAsia="en-US"/>
              </w:rPr>
            </w:pPr>
            <w:r w:rsidRPr="00DC67EB">
              <w:rPr>
                <w:szCs w:val="24"/>
                <w:lang w:val="en-GB" w:eastAsia="en-US"/>
              </w:rPr>
              <w:t>Jó állapot</w:t>
            </w:r>
          </w:p>
        </w:tc>
      </w:tr>
      <w:tr w:rsidR="001D30D4" w:rsidRPr="00DC67EB" w14:paraId="710AFEBE" w14:textId="77777777" w:rsidTr="000536D5">
        <w:tc>
          <w:tcPr>
            <w:tcW w:w="0" w:type="auto"/>
          </w:tcPr>
          <w:p w14:paraId="6F9523D4" w14:textId="77777777" w:rsidR="001D30D4" w:rsidRPr="00DC67EB" w:rsidRDefault="001D30D4" w:rsidP="001D30D4">
            <w:pPr>
              <w:spacing w:before="120" w:after="120" w:line="360" w:lineRule="auto"/>
              <w:rPr>
                <w:szCs w:val="24"/>
                <w:lang w:val="en-GB" w:eastAsia="en-US"/>
              </w:rPr>
            </w:pPr>
            <w:r w:rsidRPr="00DC67EB">
              <w:rPr>
                <w:szCs w:val="24"/>
                <w:lang w:val="en-GB" w:eastAsia="en-US"/>
              </w:rPr>
              <w:t>Általánosságban</w:t>
            </w:r>
          </w:p>
        </w:tc>
        <w:tc>
          <w:tcPr>
            <w:tcW w:w="0" w:type="auto"/>
          </w:tcPr>
          <w:p w14:paraId="478C6BA9" w14:textId="77777777" w:rsidR="001D30D4" w:rsidRPr="00DC67EB" w:rsidRDefault="001D30D4" w:rsidP="001D30D4">
            <w:pPr>
              <w:spacing w:before="120" w:after="120" w:line="360" w:lineRule="auto"/>
              <w:rPr>
                <w:szCs w:val="24"/>
                <w:lang w:val="en-GB" w:eastAsia="en-US"/>
              </w:rPr>
            </w:pPr>
            <w:r w:rsidRPr="00DC67EB">
              <w:rPr>
                <w:szCs w:val="24"/>
                <w:lang w:val="en-GB" w:eastAsia="en-US"/>
              </w:rPr>
              <w:t>A felszín alatti víztest kémiai összetétele olyan, hogy a szennyező anyagok koncentrációi: – az alábbi részletezés szerint, nem mutatják sós vagy más benyomulás jeleit – nem haladják meg a 2006/118/EK irányelv I. mellékletében említett, a felszín alatti vizekre vonatkozó minőségi előírásokat, az említett irányelv 3. cikke (1) bekezdésének b) pontja alapján a felszín alatti vizeket szennyező anyagokra és a szennyezési indikátorokra vonatkozóan meghatározott küszöbértékeket, valamint az említett irányelv 8. cikkének (3) bekezdése alapján meghatározott uniós szintű küszöbértékeket – nem olyan magasak, amelyek a 4. cikk alatt a kapcsolódó felszíni vizekre megállapított környezeti célkitűzések elérésének hiányát okoznák, vagy bármely jelentős romlást az ilyen víztestek ökológiai vagy kémiai állapotában, sem bármilyen jelentős károsodást a felszín alatti víztesttől közvetlenül függő szárazföldi ökoszisztémában.</w:t>
            </w:r>
          </w:p>
        </w:tc>
      </w:tr>
      <w:tr w:rsidR="001D30D4" w:rsidRPr="00DC67EB" w14:paraId="40C4B404" w14:textId="77777777" w:rsidTr="000536D5">
        <w:tc>
          <w:tcPr>
            <w:tcW w:w="0" w:type="auto"/>
          </w:tcPr>
          <w:p w14:paraId="4DDBC2BF" w14:textId="77777777" w:rsidR="001D30D4" w:rsidRPr="00DC67EB" w:rsidRDefault="001D30D4" w:rsidP="001D30D4">
            <w:pPr>
              <w:spacing w:before="120" w:after="120" w:line="360" w:lineRule="auto"/>
              <w:rPr>
                <w:szCs w:val="24"/>
                <w:lang w:val="en-GB" w:eastAsia="en-US"/>
              </w:rPr>
            </w:pPr>
            <w:r w:rsidRPr="00DC67EB">
              <w:rPr>
                <w:szCs w:val="24"/>
                <w:lang w:val="en-GB" w:eastAsia="en-US"/>
              </w:rPr>
              <w:t>Vezetőképesség</w:t>
            </w:r>
          </w:p>
        </w:tc>
        <w:tc>
          <w:tcPr>
            <w:tcW w:w="0" w:type="auto"/>
          </w:tcPr>
          <w:p w14:paraId="02CAFFD1" w14:textId="77777777" w:rsidR="001D30D4" w:rsidRPr="00DC67EB" w:rsidRDefault="001D30D4" w:rsidP="001D30D4">
            <w:pPr>
              <w:spacing w:before="120" w:after="120" w:line="360" w:lineRule="auto"/>
              <w:rPr>
                <w:szCs w:val="24"/>
                <w:lang w:val="en-GB" w:eastAsia="en-US"/>
              </w:rPr>
            </w:pPr>
            <w:r w:rsidRPr="00DC67EB">
              <w:rPr>
                <w:szCs w:val="24"/>
                <w:lang w:val="en-GB" w:eastAsia="en-US"/>
              </w:rPr>
              <w:t>A vezetőképesség változásai nem utalnak sós víz vagy bármi más benyomulásra.”</w:t>
            </w:r>
          </w:p>
        </w:tc>
      </w:tr>
    </w:tbl>
    <w:p w14:paraId="553AD50C" w14:textId="77777777" w:rsidR="001D30D4" w:rsidRPr="00E441EF" w:rsidRDefault="001D30D4" w:rsidP="001D30D4">
      <w:pPr>
        <w:spacing w:before="120" w:after="120" w:line="360" w:lineRule="auto"/>
        <w:ind w:left="850"/>
        <w:rPr>
          <w:szCs w:val="24"/>
          <w:lang w:eastAsia="en-US"/>
        </w:rPr>
      </w:pPr>
      <w:r w:rsidRPr="00E441EF">
        <w:rPr>
          <w:szCs w:val="24"/>
          <w:lang w:eastAsia="en-US"/>
        </w:rPr>
        <w:t>””</w:t>
      </w:r>
    </w:p>
    <w:p w14:paraId="4D0C04CD" w14:textId="77777777" w:rsidR="00E161F6" w:rsidRPr="00E441EF" w:rsidRDefault="00E161F6">
      <w:pPr>
        <w:widowControl/>
        <w:rPr>
          <w:szCs w:val="24"/>
          <w:lang w:eastAsia="en-US"/>
        </w:rPr>
      </w:pPr>
      <w:r w:rsidRPr="00E441EF">
        <w:rPr>
          <w:szCs w:val="24"/>
          <w:lang w:eastAsia="en-US"/>
        </w:rPr>
        <w:br w:type="page"/>
      </w:r>
    </w:p>
    <w:p w14:paraId="61210556" w14:textId="77777777" w:rsidR="001D30D4" w:rsidRPr="00E441EF" w:rsidRDefault="001D30D4" w:rsidP="001D30D4">
      <w:pPr>
        <w:spacing w:before="120" w:after="120" w:line="360" w:lineRule="auto"/>
        <w:ind w:left="850" w:hanging="850"/>
        <w:rPr>
          <w:szCs w:val="24"/>
          <w:lang w:eastAsia="en-US"/>
        </w:rPr>
      </w:pPr>
      <w:r w:rsidRPr="00E441EF">
        <w:rPr>
          <w:szCs w:val="24"/>
          <w:lang w:eastAsia="en-US"/>
        </w:rPr>
        <w:t>17.</w:t>
      </w:r>
      <w:r w:rsidRPr="00E441EF">
        <w:rPr>
          <w:szCs w:val="24"/>
          <w:lang w:eastAsia="en-US"/>
        </w:rPr>
        <w:tab/>
        <w:t>A 2.4.1. pont a következő bekezdéssel egészül ki:</w:t>
      </w:r>
    </w:p>
    <w:p w14:paraId="4AD69E6A" w14:textId="77777777" w:rsidR="001D30D4" w:rsidRPr="00E441EF" w:rsidRDefault="001D30D4" w:rsidP="001D30D4">
      <w:pPr>
        <w:spacing w:before="120" w:after="120" w:line="360" w:lineRule="auto"/>
        <w:ind w:left="850"/>
        <w:rPr>
          <w:szCs w:val="24"/>
          <w:lang w:eastAsia="en-US"/>
        </w:rPr>
      </w:pPr>
      <w:r w:rsidRPr="00E441EF">
        <w:rPr>
          <w:szCs w:val="24"/>
          <w:lang w:eastAsia="en-US"/>
        </w:rPr>
        <w:t>„Amennyiben a megfigyelő hálózat helyi mintavételi pontok helyett Föld-megfigyelésre és távérzékelésre, illetve más innovatív technikára támaszkodik, hivatkozni kell a CEN-, az ISO- vagy más olyan nemzetközi, illetve nemzeti szabványokra, amelyek alkalmazására annak biztosítása érdekében került sor, hogy a kapott időbeli és térbeli adatok ugyanolyan megbízhatóak legyenek, mint a helyi mintavételi pontokon a hagyományos megfigyelési módszerek alkalmazásával nyert adatok.”</w:t>
      </w:r>
    </w:p>
    <w:p w14:paraId="2688311C" w14:textId="77777777" w:rsidR="001D30D4" w:rsidRPr="00E441EF" w:rsidRDefault="001D30D4" w:rsidP="001D30D4">
      <w:pPr>
        <w:spacing w:before="120" w:after="120" w:line="360" w:lineRule="auto"/>
        <w:ind w:left="850" w:hanging="850"/>
        <w:rPr>
          <w:szCs w:val="24"/>
          <w:lang w:eastAsia="en-US"/>
        </w:rPr>
      </w:pPr>
      <w:r w:rsidRPr="00E441EF">
        <w:rPr>
          <w:szCs w:val="24"/>
          <w:lang w:eastAsia="en-US"/>
        </w:rPr>
        <w:t>18.</w:t>
      </w:r>
      <w:r w:rsidRPr="00E441EF">
        <w:rPr>
          <w:szCs w:val="24"/>
          <w:lang w:eastAsia="en-US"/>
        </w:rPr>
        <w:tab/>
        <w:t>A 2.4.5. pont helyébe a következő szöveg lép:</w:t>
      </w:r>
    </w:p>
    <w:p w14:paraId="51D0C887" w14:textId="77777777" w:rsidR="001D30D4" w:rsidRPr="00E441EF" w:rsidRDefault="001D30D4" w:rsidP="001D30D4">
      <w:pPr>
        <w:spacing w:before="120" w:after="120" w:line="360" w:lineRule="auto"/>
        <w:ind w:left="1416" w:hanging="566"/>
        <w:rPr>
          <w:szCs w:val="24"/>
          <w:lang w:eastAsia="en-US"/>
        </w:rPr>
      </w:pPr>
      <w:r w:rsidRPr="00E441EF">
        <w:rPr>
          <w:szCs w:val="24"/>
          <w:lang w:eastAsia="en-US"/>
        </w:rPr>
        <w:t>„2.4.5.</w:t>
      </w:r>
      <w:r w:rsidRPr="00E441EF">
        <w:rPr>
          <w:szCs w:val="24"/>
          <w:lang w:eastAsia="en-US"/>
        </w:rPr>
        <w:tab/>
        <w:t>A felszín alatti vizek kémiai állapotának értelmezése és bemutatása</w:t>
      </w:r>
    </w:p>
    <w:p w14:paraId="51A9B636" w14:textId="77777777" w:rsidR="001D30D4" w:rsidRPr="00E441EF" w:rsidRDefault="001D30D4" w:rsidP="001D30D4">
      <w:pPr>
        <w:spacing w:before="120" w:after="120" w:line="360" w:lineRule="auto"/>
        <w:ind w:left="1416"/>
        <w:rPr>
          <w:szCs w:val="24"/>
          <w:lang w:eastAsia="en-US"/>
        </w:rPr>
      </w:pPr>
      <w:r w:rsidRPr="00E441EF">
        <w:rPr>
          <w:szCs w:val="24"/>
          <w:lang w:eastAsia="en-US"/>
        </w:rPr>
        <w:t>A felszín alatti vizek kémiai állapotának értékelésekor a felszín alatti víztesten belüli egyedi megfigyelési pontok eredményeit összegzik a víztestre, mint egészre. Kiszámítják az egyes felszín alatti víztest vagy víztestcsoport megfigyelési pontjain mért megfigyelési eredmények átlagértékét a következő paraméterekre:</w:t>
      </w:r>
    </w:p>
    <w:p w14:paraId="76C02748" w14:textId="77777777" w:rsidR="00E161F6" w:rsidRPr="00E441EF" w:rsidRDefault="00E161F6">
      <w:pPr>
        <w:widowControl/>
        <w:rPr>
          <w:szCs w:val="24"/>
          <w:lang w:eastAsia="en-US"/>
        </w:rPr>
      </w:pPr>
      <w:r w:rsidRPr="00E441EF">
        <w:rPr>
          <w:szCs w:val="24"/>
          <w:lang w:eastAsia="en-US"/>
        </w:rPr>
        <w:br w:type="page"/>
      </w:r>
    </w:p>
    <w:p w14:paraId="44AFE40D" w14:textId="77777777" w:rsidR="001D30D4" w:rsidRPr="00E441EF" w:rsidRDefault="001D30D4" w:rsidP="001D30D4">
      <w:pPr>
        <w:spacing w:before="120" w:after="120" w:line="360" w:lineRule="auto"/>
        <w:ind w:left="1982" w:hanging="566"/>
        <w:rPr>
          <w:szCs w:val="24"/>
          <w:lang w:eastAsia="en-US"/>
        </w:rPr>
      </w:pPr>
      <w:r w:rsidRPr="00E441EF">
        <w:rPr>
          <w:szCs w:val="24"/>
          <w:lang w:eastAsia="en-US"/>
        </w:rPr>
        <w:t>a)</w:t>
      </w:r>
      <w:r w:rsidRPr="00E441EF">
        <w:rPr>
          <w:szCs w:val="24"/>
          <w:lang w:eastAsia="en-US"/>
        </w:rPr>
        <w:tab/>
        <w:t>kémiai paraméterek, amelyekre vonatkozóan a 2006/118/EK irányelv I. melléklete minőségi előírásokat határoz meg;</w:t>
      </w:r>
    </w:p>
    <w:p w14:paraId="2ACC99F8" w14:textId="77777777" w:rsidR="001D30D4" w:rsidRPr="00E441EF" w:rsidRDefault="001D30D4" w:rsidP="001D30D4">
      <w:pPr>
        <w:spacing w:before="120" w:after="120" w:line="360" w:lineRule="auto"/>
        <w:ind w:left="1982" w:hanging="566"/>
        <w:rPr>
          <w:szCs w:val="24"/>
          <w:lang w:eastAsia="en-US"/>
        </w:rPr>
      </w:pPr>
      <w:r w:rsidRPr="00E441EF">
        <w:rPr>
          <w:szCs w:val="24"/>
          <w:lang w:eastAsia="en-US"/>
        </w:rPr>
        <w:t>b)</w:t>
      </w:r>
      <w:r w:rsidRPr="00E441EF">
        <w:rPr>
          <w:szCs w:val="24"/>
          <w:lang w:eastAsia="en-US"/>
        </w:rPr>
        <w:tab/>
        <w:t>kémiai paraméterek, amelyekre vonatkozóan a 2006/118/EK irányelv 3. cikke (1) bekezdésének b) pontja alapján nemzeti küszöbértékek kerültek megállapításra;</w:t>
      </w:r>
    </w:p>
    <w:p w14:paraId="063B915E" w14:textId="77777777" w:rsidR="001D30D4" w:rsidRPr="00E441EF" w:rsidRDefault="001D30D4" w:rsidP="001D30D4">
      <w:pPr>
        <w:spacing w:before="120" w:after="120" w:line="360" w:lineRule="auto"/>
        <w:ind w:left="1982" w:hanging="566"/>
        <w:rPr>
          <w:szCs w:val="24"/>
          <w:lang w:eastAsia="en-US"/>
        </w:rPr>
      </w:pPr>
      <w:r w:rsidRPr="00E441EF">
        <w:rPr>
          <w:szCs w:val="24"/>
          <w:lang w:eastAsia="en-US"/>
        </w:rPr>
        <w:t>c)</w:t>
      </w:r>
      <w:r w:rsidRPr="00E441EF">
        <w:rPr>
          <w:szCs w:val="24"/>
          <w:lang w:eastAsia="en-US"/>
        </w:rPr>
        <w:tab/>
        <w:t>kémiai paraméterek, amelyekre vonatkozóan a 2006/118/EK irányelv 8. cikke (3) bekezdése alapján uniós szintű küszöbértékek kerültek megállapításra.</w:t>
      </w:r>
    </w:p>
    <w:p w14:paraId="3644878F" w14:textId="77777777" w:rsidR="001D30D4" w:rsidRPr="00E441EF" w:rsidRDefault="001D30D4" w:rsidP="001D30D4">
      <w:pPr>
        <w:spacing w:before="120" w:after="120" w:line="360" w:lineRule="auto"/>
        <w:ind w:left="1416"/>
        <w:rPr>
          <w:szCs w:val="24"/>
          <w:lang w:eastAsia="en-US"/>
        </w:rPr>
      </w:pPr>
      <w:r w:rsidRPr="00E441EF">
        <w:rPr>
          <w:szCs w:val="24"/>
          <w:lang w:eastAsia="en-US"/>
        </w:rPr>
        <w:t>Az első bekezdésben említett átlagértékeket használják a felszín alatti víz jó kémiai állapotának való megfelelés igazolására, amely állapot az első bekezdésben említett minőségi előírásokra és küszöbértékekre való hivatkozások alapján kerül meghatározásra.</w:t>
      </w:r>
    </w:p>
    <w:p w14:paraId="7E114C91" w14:textId="77777777" w:rsidR="001D30D4" w:rsidRPr="00E441EF" w:rsidRDefault="001D30D4" w:rsidP="001D30D4">
      <w:pPr>
        <w:spacing w:before="120" w:after="120" w:line="360" w:lineRule="auto"/>
        <w:ind w:left="1416"/>
        <w:rPr>
          <w:szCs w:val="24"/>
          <w:lang w:eastAsia="en-US"/>
        </w:rPr>
      </w:pPr>
      <w:r w:rsidRPr="00E441EF">
        <w:rPr>
          <w:szCs w:val="24"/>
          <w:lang w:eastAsia="en-US"/>
        </w:rPr>
        <w:t>A 2.5. pontra is tekintettel a tagállamok térképet biztosítanak a felszín alatti víz kémiai állapotáról, a következő színkódokkal:</w:t>
      </w:r>
    </w:p>
    <w:p w14:paraId="78B34BC9" w14:textId="77777777" w:rsidR="001D30D4" w:rsidRPr="00E441EF" w:rsidRDefault="001D30D4" w:rsidP="001D30D4">
      <w:pPr>
        <w:spacing w:before="120" w:after="120" w:line="360" w:lineRule="auto"/>
        <w:ind w:left="1416"/>
        <w:rPr>
          <w:szCs w:val="24"/>
          <w:lang w:eastAsia="en-US"/>
        </w:rPr>
      </w:pPr>
      <w:r w:rsidRPr="00E441EF">
        <w:rPr>
          <w:szCs w:val="24"/>
          <w:lang w:eastAsia="en-US"/>
        </w:rPr>
        <w:t>jó: zöld,</w:t>
      </w:r>
    </w:p>
    <w:p w14:paraId="116F5AA1" w14:textId="77777777" w:rsidR="001D30D4" w:rsidRPr="00E441EF" w:rsidRDefault="001D30D4" w:rsidP="001D30D4">
      <w:pPr>
        <w:spacing w:before="120" w:after="120" w:line="360" w:lineRule="auto"/>
        <w:ind w:left="1416"/>
        <w:rPr>
          <w:szCs w:val="24"/>
          <w:lang w:eastAsia="en-US"/>
        </w:rPr>
      </w:pPr>
      <w:r w:rsidRPr="00E441EF">
        <w:rPr>
          <w:szCs w:val="24"/>
          <w:lang w:eastAsia="en-US"/>
        </w:rPr>
        <w:t>gyenge: piros.</w:t>
      </w:r>
    </w:p>
    <w:p w14:paraId="77F488A9" w14:textId="77777777" w:rsidR="00E161F6" w:rsidRPr="00E441EF" w:rsidRDefault="00E161F6">
      <w:pPr>
        <w:widowControl/>
        <w:rPr>
          <w:szCs w:val="24"/>
          <w:lang w:eastAsia="en-US"/>
        </w:rPr>
      </w:pPr>
      <w:r w:rsidRPr="00E441EF">
        <w:rPr>
          <w:szCs w:val="24"/>
          <w:lang w:eastAsia="en-US"/>
        </w:rPr>
        <w:br w:type="page"/>
      </w:r>
    </w:p>
    <w:p w14:paraId="7B2BA1BE" w14:textId="77777777" w:rsidR="001D30D4" w:rsidRPr="00E441EF" w:rsidRDefault="001D30D4" w:rsidP="001D30D4">
      <w:pPr>
        <w:spacing w:before="120" w:after="120" w:line="360" w:lineRule="auto"/>
        <w:ind w:left="1416"/>
        <w:rPr>
          <w:b/>
          <w:szCs w:val="24"/>
          <w:lang w:eastAsia="en-US"/>
        </w:rPr>
      </w:pPr>
      <w:r w:rsidRPr="00E441EF">
        <w:rPr>
          <w:szCs w:val="24"/>
          <w:lang w:eastAsia="en-US"/>
        </w:rPr>
        <w:t>A tagállamok a térképen fekete ponttal jelzik azokat a felszín alatti víztesteket, amelyekben bármely emberi tevékenységből származó szennyezőanyag-koncentrációjának jelentős és tartós növekvő tendenciája tapasztalható</w:t>
      </w:r>
      <w:r w:rsidR="00E161F6" w:rsidRPr="00DC67EB">
        <w:rPr>
          <w:b/>
          <w:i/>
          <w:szCs w:val="24"/>
          <w:lang w:eastAsia="en-US"/>
        </w:rPr>
        <w:t>, ideértve a többek között a víztest alacsony vízhozamának betudható szezonális emelkedő tendenciákat is</w:t>
      </w:r>
      <w:r w:rsidR="00E161F6" w:rsidRPr="00DC67EB">
        <w:rPr>
          <w:szCs w:val="24"/>
          <w:lang w:eastAsia="en-US"/>
        </w:rPr>
        <w:t>.</w:t>
      </w:r>
      <w:r w:rsidRPr="00E441EF">
        <w:rPr>
          <w:szCs w:val="24"/>
          <w:lang w:eastAsia="en-US"/>
        </w:rPr>
        <w:t xml:space="preserve"> A tendencia megfordulását egy kék ponttal jelzik a térképen.</w:t>
      </w:r>
      <w:r w:rsidR="00E161F6" w:rsidRPr="00E441EF">
        <w:rPr>
          <w:b/>
          <w:szCs w:val="24"/>
          <w:lang w:eastAsia="en-US"/>
        </w:rPr>
        <w:t xml:space="preserve"> [Mód. 140]</w:t>
      </w:r>
    </w:p>
    <w:p w14:paraId="53E8FB05" w14:textId="77777777" w:rsidR="001D30D4" w:rsidRPr="00E441EF" w:rsidRDefault="001D30D4" w:rsidP="001D30D4">
      <w:pPr>
        <w:spacing w:before="120" w:after="120" w:line="360" w:lineRule="auto"/>
        <w:ind w:left="1416"/>
        <w:rPr>
          <w:szCs w:val="24"/>
          <w:lang w:eastAsia="en-US"/>
        </w:rPr>
      </w:pPr>
      <w:r w:rsidRPr="00E441EF">
        <w:rPr>
          <w:szCs w:val="24"/>
          <w:lang w:eastAsia="en-US"/>
        </w:rPr>
        <w:t>Ezeket a térképeket a vízgyűjtő-gazdálkodási tervekbe foglalják.”</w:t>
      </w:r>
    </w:p>
    <w:p w14:paraId="2BF2D88B" w14:textId="77777777" w:rsidR="00E161F6" w:rsidRPr="00E441EF" w:rsidRDefault="00E161F6">
      <w:pPr>
        <w:widowControl/>
        <w:rPr>
          <w:szCs w:val="24"/>
          <w:lang w:eastAsia="en-US"/>
        </w:rPr>
      </w:pPr>
      <w:r w:rsidRPr="00E441EF">
        <w:rPr>
          <w:szCs w:val="24"/>
          <w:lang w:eastAsia="en-US"/>
        </w:rPr>
        <w:br w:type="page"/>
      </w:r>
    </w:p>
    <w:p w14:paraId="1E6A0B4A" w14:textId="77777777" w:rsidR="001D30D4" w:rsidRPr="00E441EF" w:rsidRDefault="001D30D4" w:rsidP="001D30D4">
      <w:pPr>
        <w:spacing w:before="120" w:after="120" w:line="360" w:lineRule="auto"/>
        <w:jc w:val="center"/>
        <w:rPr>
          <w:lang w:eastAsia="en-US"/>
        </w:rPr>
      </w:pPr>
      <w:r w:rsidRPr="00E441EF">
        <w:rPr>
          <w:lang w:eastAsia="en-US"/>
        </w:rPr>
        <w:t>II. MELLÉKLET</w:t>
      </w:r>
    </w:p>
    <w:p w14:paraId="653FD199" w14:textId="77777777" w:rsidR="001D30D4" w:rsidRPr="00E441EF" w:rsidRDefault="001D30D4" w:rsidP="001D30D4">
      <w:pPr>
        <w:spacing w:before="120" w:after="120" w:line="360" w:lineRule="auto"/>
        <w:rPr>
          <w:szCs w:val="24"/>
          <w:lang w:eastAsia="en-US"/>
        </w:rPr>
      </w:pPr>
      <w:r w:rsidRPr="00E441EF">
        <w:rPr>
          <w:szCs w:val="24"/>
          <w:lang w:eastAsia="en-US"/>
        </w:rPr>
        <w:t>A 2000/60/EK irányelv VIII. melléklete a következőképpen módosul:</w:t>
      </w:r>
    </w:p>
    <w:p w14:paraId="5C58D1DE" w14:textId="77777777" w:rsidR="001D30D4" w:rsidRPr="00E441EF" w:rsidRDefault="001D30D4" w:rsidP="001D30D4">
      <w:pPr>
        <w:spacing w:before="120" w:after="120" w:line="360" w:lineRule="auto"/>
        <w:ind w:left="850" w:hanging="850"/>
        <w:rPr>
          <w:szCs w:val="24"/>
          <w:lang w:eastAsia="en-US"/>
        </w:rPr>
      </w:pPr>
      <w:r w:rsidRPr="00E441EF">
        <w:rPr>
          <w:szCs w:val="24"/>
          <w:lang w:eastAsia="en-US"/>
        </w:rPr>
        <w:t>1.</w:t>
      </w:r>
      <w:r w:rsidRPr="00E441EF">
        <w:rPr>
          <w:szCs w:val="24"/>
          <w:lang w:eastAsia="en-US"/>
        </w:rPr>
        <w:tab/>
        <w:t>A 10. pont helyébe a következő szöveg lép:</w:t>
      </w:r>
    </w:p>
    <w:p w14:paraId="56781215" w14:textId="77777777" w:rsidR="001D30D4" w:rsidRPr="00E441EF" w:rsidRDefault="001D30D4" w:rsidP="001D30D4">
      <w:pPr>
        <w:spacing w:before="120" w:after="120" w:line="360" w:lineRule="auto"/>
        <w:ind w:left="1416" w:hanging="566"/>
        <w:rPr>
          <w:b/>
          <w:szCs w:val="24"/>
          <w:lang w:eastAsia="en-US"/>
        </w:rPr>
      </w:pPr>
      <w:r w:rsidRPr="00E441EF">
        <w:rPr>
          <w:szCs w:val="24"/>
          <w:lang w:eastAsia="en-US"/>
        </w:rPr>
        <w:t>„10.</w:t>
      </w:r>
      <w:r w:rsidRPr="00E441EF">
        <w:rPr>
          <w:szCs w:val="24"/>
          <w:lang w:eastAsia="en-US"/>
        </w:rPr>
        <w:tab/>
        <w:t>Szuszpenzióban lévő anyagok, beleértve a mikro-/nanoműanyagokat</w:t>
      </w:r>
      <w:r w:rsidRPr="00E441EF">
        <w:rPr>
          <w:b/>
          <w:i/>
          <w:szCs w:val="24"/>
          <w:lang w:eastAsia="en-US"/>
        </w:rPr>
        <w:t>, valamint a mikro-/nanoműanyagok megjelenéséért felelősnek tartott anyagokat is;</w:t>
      </w:r>
      <w:r w:rsidRPr="00E441EF">
        <w:rPr>
          <w:strike/>
          <w:szCs w:val="24"/>
          <w:lang w:eastAsia="en-US"/>
        </w:rPr>
        <w:t xml:space="preserve"> is.</w:t>
      </w:r>
      <w:r w:rsidRPr="00E441EF">
        <w:rPr>
          <w:szCs w:val="24"/>
          <w:lang w:eastAsia="en-US"/>
        </w:rPr>
        <w:t>”</w:t>
      </w:r>
      <w:r w:rsidR="00E161F6" w:rsidRPr="00E441EF">
        <w:rPr>
          <w:b/>
          <w:szCs w:val="24"/>
          <w:lang w:eastAsia="en-US"/>
        </w:rPr>
        <w:t xml:space="preserve"> [Mód. 141]</w:t>
      </w:r>
    </w:p>
    <w:p w14:paraId="575A80B3" w14:textId="77777777" w:rsidR="001D30D4" w:rsidRPr="00E441EF" w:rsidRDefault="001D30D4" w:rsidP="001D30D4">
      <w:pPr>
        <w:spacing w:before="120" w:after="120" w:line="360" w:lineRule="auto"/>
        <w:ind w:left="850" w:hanging="850"/>
        <w:rPr>
          <w:szCs w:val="24"/>
          <w:lang w:eastAsia="en-US"/>
        </w:rPr>
      </w:pPr>
      <w:r w:rsidRPr="00E441EF">
        <w:rPr>
          <w:szCs w:val="24"/>
          <w:lang w:eastAsia="en-US"/>
        </w:rPr>
        <w:t>2.</w:t>
      </w:r>
      <w:r w:rsidRPr="00E441EF">
        <w:rPr>
          <w:szCs w:val="24"/>
          <w:lang w:eastAsia="en-US"/>
        </w:rPr>
        <w:tab/>
        <w:t>A melléklet a következő 13. ponttal egészül ki:</w:t>
      </w:r>
    </w:p>
    <w:p w14:paraId="46084166" w14:textId="77777777" w:rsidR="001D30D4" w:rsidRPr="00E441EF" w:rsidRDefault="001D30D4" w:rsidP="001D30D4">
      <w:pPr>
        <w:spacing w:before="120" w:after="120" w:line="360" w:lineRule="auto"/>
        <w:ind w:left="1416" w:hanging="566"/>
        <w:rPr>
          <w:szCs w:val="24"/>
          <w:lang w:eastAsia="en-US"/>
        </w:rPr>
      </w:pPr>
      <w:r w:rsidRPr="00E441EF">
        <w:rPr>
          <w:szCs w:val="24"/>
          <w:lang w:eastAsia="en-US"/>
        </w:rPr>
        <w:t>„13.</w:t>
      </w:r>
      <w:r w:rsidRPr="00E441EF">
        <w:rPr>
          <w:szCs w:val="24"/>
          <w:lang w:eastAsia="en-US"/>
        </w:rPr>
        <w:tab/>
        <w:t>Az antimikrobiális hatóanyagokkal szemben rezisztens mikroorganizmusok, különösen az emberekre vagy állatokra patogén mikroorganizmusok jelenlétét tükröző mikroorganizmusok, gének vagy genetikai anyagok.”</w:t>
      </w:r>
    </w:p>
    <w:p w14:paraId="45C1AEE3" w14:textId="77777777" w:rsidR="00E161F6" w:rsidRPr="00E441EF" w:rsidRDefault="00E161F6">
      <w:pPr>
        <w:widowControl/>
        <w:rPr>
          <w:szCs w:val="24"/>
          <w:lang w:eastAsia="en-US"/>
        </w:rPr>
      </w:pPr>
      <w:r w:rsidRPr="00E441EF">
        <w:rPr>
          <w:szCs w:val="24"/>
          <w:lang w:eastAsia="en-US"/>
        </w:rPr>
        <w:br w:type="page"/>
      </w:r>
    </w:p>
    <w:p w14:paraId="325F0339" w14:textId="77777777" w:rsidR="001D30D4" w:rsidRPr="00E441EF" w:rsidRDefault="001D30D4" w:rsidP="001D30D4">
      <w:pPr>
        <w:spacing w:before="120" w:after="120" w:line="360" w:lineRule="auto"/>
        <w:jc w:val="center"/>
        <w:rPr>
          <w:lang w:eastAsia="en-US"/>
        </w:rPr>
      </w:pPr>
      <w:r w:rsidRPr="00E441EF">
        <w:rPr>
          <w:lang w:eastAsia="en-US"/>
        </w:rPr>
        <w:t>III. MELLÉKLET</w:t>
      </w:r>
    </w:p>
    <w:p w14:paraId="020B6380" w14:textId="77777777" w:rsidR="001D30D4" w:rsidRPr="00E441EF" w:rsidRDefault="001D30D4" w:rsidP="001D30D4">
      <w:pPr>
        <w:spacing w:before="120" w:after="120" w:line="360" w:lineRule="auto"/>
        <w:ind w:left="850"/>
        <w:rPr>
          <w:szCs w:val="24"/>
          <w:lang w:eastAsia="en-US"/>
        </w:rPr>
      </w:pPr>
      <w:r w:rsidRPr="00E441EF">
        <w:rPr>
          <w:szCs w:val="24"/>
          <w:lang w:eastAsia="en-US"/>
        </w:rPr>
        <w:t>„I. MELLÉKLET</w:t>
      </w:r>
    </w:p>
    <w:p w14:paraId="09F4C50C" w14:textId="77777777" w:rsidR="001D30D4" w:rsidRPr="00E441EF" w:rsidRDefault="001D30D4" w:rsidP="001D30D4">
      <w:pPr>
        <w:spacing w:before="120" w:after="120" w:line="360" w:lineRule="auto"/>
        <w:ind w:left="850"/>
        <w:rPr>
          <w:szCs w:val="24"/>
          <w:lang w:eastAsia="en-US"/>
        </w:rPr>
      </w:pPr>
      <w:r w:rsidRPr="00E441EF">
        <w:rPr>
          <w:szCs w:val="24"/>
          <w:lang w:eastAsia="en-US"/>
        </w:rPr>
        <w:t>A FELSZÍN ALATTI VIZEKRE VONATKOZÓ MINŐSÉGI ELŐÍRÁSOK (QS)</w:t>
      </w:r>
    </w:p>
    <w:p w14:paraId="0E3822E6" w14:textId="77777777" w:rsidR="001D30D4" w:rsidRPr="00E441EF" w:rsidRDefault="001D30D4" w:rsidP="001D30D4">
      <w:pPr>
        <w:spacing w:before="120" w:after="120" w:line="360" w:lineRule="auto"/>
        <w:ind w:left="850"/>
        <w:rPr>
          <w:b/>
          <w:szCs w:val="24"/>
          <w:lang w:eastAsia="en-US"/>
        </w:rPr>
      </w:pPr>
      <w:r w:rsidRPr="00E441EF">
        <w:rPr>
          <w:szCs w:val="24"/>
          <w:lang w:eastAsia="en-US"/>
        </w:rPr>
        <w:t xml:space="preserve">1. megjegyzés: A 3–7. pontban felsorolt szennyező anyagokra vonatkozó minőségi előírások [Kiadóhivatal: kérjük, illesszék be az e módosító irányelv hatálybalépését </w:t>
      </w:r>
      <w:r w:rsidRPr="00E441EF">
        <w:rPr>
          <w:strike/>
          <w:szCs w:val="24"/>
          <w:lang w:eastAsia="en-US"/>
        </w:rPr>
        <w:t>18</w:t>
      </w:r>
      <w:r w:rsidRPr="00E441EF">
        <w:rPr>
          <w:szCs w:val="24"/>
          <w:lang w:eastAsia="en-US"/>
        </w:rPr>
        <w:t xml:space="preserve"> </w:t>
      </w:r>
      <w:r w:rsidR="008F318C" w:rsidRPr="00DC67EB">
        <w:rPr>
          <w:b/>
          <w:i/>
          <w:szCs w:val="24"/>
          <w:lang w:eastAsia="en-US"/>
        </w:rPr>
        <w:t>6</w:t>
      </w:r>
      <w:r w:rsidR="008F318C" w:rsidRPr="00DC67EB">
        <w:rPr>
          <w:szCs w:val="24"/>
          <w:lang w:eastAsia="en-US"/>
        </w:rPr>
        <w:t xml:space="preserve"> </w:t>
      </w:r>
      <w:r w:rsidRPr="00E441EF">
        <w:rPr>
          <w:szCs w:val="24"/>
          <w:lang w:eastAsia="en-US"/>
        </w:rPr>
        <w:t xml:space="preserve">hónappal követő hónap első napját]-tól/-től alkalmazandók azzal a céllal, hogy legkésőbb 2033. december 22-ig el lehessen érni a víz jó kémiai állapotát.  </w:t>
      </w:r>
      <w:r w:rsidR="008F318C" w:rsidRPr="00E441EF">
        <w:rPr>
          <w:b/>
          <w:szCs w:val="24"/>
          <w:lang w:eastAsia="en-US"/>
        </w:rPr>
        <w:t xml:space="preserve"> [Mód. 142]</w:t>
      </w:r>
    </w:p>
    <w:p w14:paraId="1A9F8B3E" w14:textId="77777777" w:rsidR="008F318C" w:rsidRPr="00DC67EB" w:rsidRDefault="008F318C" w:rsidP="001D30D4">
      <w:pPr>
        <w:spacing w:before="120" w:after="120" w:line="360" w:lineRule="auto"/>
        <w:ind w:left="850"/>
        <w:rPr>
          <w:b/>
          <w:szCs w:val="24"/>
          <w:lang w:eastAsia="en-US"/>
        </w:rPr>
        <w:sectPr w:rsidR="008F318C" w:rsidRPr="00DC67EB">
          <w:footnotePr>
            <w:numRestart w:val="eachSect"/>
          </w:footnotePr>
          <w:pgSz w:w="11909" w:h="16834"/>
          <w:pgMar w:top="1134" w:right="1417" w:bottom="1417" w:left="1417" w:header="1134" w:footer="567" w:gutter="0"/>
          <w:cols w:space="720"/>
        </w:sectPr>
      </w:pPr>
      <w:r w:rsidRPr="00DC67EB">
        <w:rPr>
          <w:b/>
          <w:i/>
          <w:szCs w:val="24"/>
          <w:lang w:eastAsia="en-US"/>
        </w:rPr>
        <w:t xml:space="preserve">Ezen irányelv 3. cikkével és II. mellékletével összhangban szigorúbb küszöbértékeket kell megállapítani, amennyiben egy adott felszín alatti víztest, különösen a 92/43/EGK tanácsi irányelv szerinti különleges természetmegőrzési területek ökológiai hálózatának területén található felszín alatti víztest esetében úgy ítélhető meg, hogy a felszín alatti víz minőségi előírásai a 2000/60/EK irányelv 4. cikkében a kapcsolódó felszíni víztestekre meghatározott környezeti célkitűzések teljesítésének elmulasztását, vagy az ilyen víztestek ökológiai vagy kémiai minőségének jelentős romlását, vagy a felszín alatti vízi, illetve a közvetlenül a felszín alatti víztesttől függő szárazföldi ökoszisztémák jelentős károsodását eredményezhetik. Az ilyen küszöbértékekkel kapcsolatban szükséges programokat és intézkedéseket a 91/676/EGK irányelv hatálya alá tartozó tevékenységekre is alkalmazni kell. </w:t>
      </w:r>
      <w:r w:rsidRPr="00DC67EB">
        <w:rPr>
          <w:b/>
          <w:szCs w:val="24"/>
          <w:lang w:eastAsia="en-US"/>
        </w:rPr>
        <w:t xml:space="preserve"> [Mód. 143]</w:t>
      </w:r>
    </w:p>
    <w:p w14:paraId="75AD8EDE" w14:textId="77777777" w:rsidR="008F318C" w:rsidRPr="00DC67EB" w:rsidRDefault="008F318C" w:rsidP="001D30D4">
      <w:pPr>
        <w:spacing w:before="120" w:after="120" w:line="360" w:lineRule="auto"/>
        <w:ind w:left="850"/>
        <w:rPr>
          <w:b/>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00"/>
        <w:gridCol w:w="3756"/>
        <w:gridCol w:w="2000"/>
        <w:gridCol w:w="2197"/>
        <w:gridCol w:w="2197"/>
        <w:gridCol w:w="2223"/>
      </w:tblGrid>
      <w:tr w:rsidR="00DC67EB" w:rsidRPr="00DC67EB" w14:paraId="25782CAB" w14:textId="77777777" w:rsidTr="000536D5">
        <w:trPr>
          <w:tblHeader/>
        </w:trPr>
        <w:tc>
          <w:tcPr>
            <w:tcW w:w="0" w:type="auto"/>
          </w:tcPr>
          <w:p w14:paraId="1E4ECBD4" w14:textId="77777777" w:rsidR="001D30D4" w:rsidRPr="00DC67EB" w:rsidRDefault="001D30D4" w:rsidP="001D30D4">
            <w:pPr>
              <w:spacing w:before="120" w:after="120" w:line="360" w:lineRule="auto"/>
              <w:rPr>
                <w:szCs w:val="24"/>
                <w:lang w:val="en-GB" w:eastAsia="en-US"/>
              </w:rPr>
            </w:pPr>
            <w:r w:rsidRPr="00DC67EB">
              <w:rPr>
                <w:szCs w:val="24"/>
                <w:lang w:val="en-GB" w:eastAsia="en-US"/>
              </w:rPr>
              <w:t>(1)</w:t>
            </w:r>
          </w:p>
        </w:tc>
        <w:tc>
          <w:tcPr>
            <w:tcW w:w="0" w:type="auto"/>
          </w:tcPr>
          <w:p w14:paraId="4FEE58E9" w14:textId="77777777" w:rsidR="001D30D4" w:rsidRPr="00DC67EB" w:rsidRDefault="001D30D4" w:rsidP="001D30D4">
            <w:pPr>
              <w:spacing w:before="120" w:after="120" w:line="360" w:lineRule="auto"/>
              <w:rPr>
                <w:szCs w:val="24"/>
                <w:lang w:val="en-GB" w:eastAsia="en-US"/>
              </w:rPr>
            </w:pPr>
            <w:r w:rsidRPr="00DC67EB">
              <w:rPr>
                <w:szCs w:val="24"/>
                <w:lang w:val="en-GB" w:eastAsia="en-US"/>
              </w:rPr>
              <w:t>(2)</w:t>
            </w:r>
          </w:p>
        </w:tc>
        <w:tc>
          <w:tcPr>
            <w:tcW w:w="0" w:type="auto"/>
          </w:tcPr>
          <w:p w14:paraId="05D5B4C5" w14:textId="77777777" w:rsidR="001D30D4" w:rsidRPr="00DC67EB" w:rsidRDefault="001D30D4" w:rsidP="001D30D4">
            <w:pPr>
              <w:spacing w:before="120" w:after="120" w:line="360" w:lineRule="auto"/>
              <w:rPr>
                <w:szCs w:val="24"/>
                <w:lang w:val="en-GB" w:eastAsia="en-US"/>
              </w:rPr>
            </w:pPr>
            <w:r w:rsidRPr="00DC67EB">
              <w:rPr>
                <w:szCs w:val="24"/>
                <w:lang w:val="en-GB" w:eastAsia="en-US"/>
              </w:rPr>
              <w:t>(3)</w:t>
            </w:r>
          </w:p>
        </w:tc>
        <w:tc>
          <w:tcPr>
            <w:tcW w:w="0" w:type="auto"/>
          </w:tcPr>
          <w:p w14:paraId="7284A009" w14:textId="77777777" w:rsidR="001D30D4" w:rsidRPr="00DC67EB" w:rsidRDefault="001D30D4" w:rsidP="001D30D4">
            <w:pPr>
              <w:spacing w:before="120" w:after="120" w:line="360" w:lineRule="auto"/>
              <w:rPr>
                <w:szCs w:val="24"/>
                <w:lang w:val="en-GB" w:eastAsia="en-US"/>
              </w:rPr>
            </w:pPr>
            <w:r w:rsidRPr="00DC67EB">
              <w:rPr>
                <w:szCs w:val="24"/>
                <w:lang w:val="en-GB" w:eastAsia="en-US"/>
              </w:rPr>
              <w:t>(4)</w:t>
            </w:r>
          </w:p>
        </w:tc>
        <w:tc>
          <w:tcPr>
            <w:tcW w:w="0" w:type="auto"/>
          </w:tcPr>
          <w:p w14:paraId="64FC7B7E" w14:textId="77777777" w:rsidR="001D30D4" w:rsidRPr="00DC67EB" w:rsidRDefault="001D30D4" w:rsidP="001D30D4">
            <w:pPr>
              <w:spacing w:before="120" w:after="120" w:line="360" w:lineRule="auto"/>
              <w:rPr>
                <w:szCs w:val="24"/>
                <w:lang w:val="en-GB" w:eastAsia="en-US"/>
              </w:rPr>
            </w:pPr>
            <w:r w:rsidRPr="00DC67EB">
              <w:rPr>
                <w:szCs w:val="24"/>
                <w:lang w:val="en-GB" w:eastAsia="en-US"/>
              </w:rPr>
              <w:t>(5)</w:t>
            </w:r>
          </w:p>
        </w:tc>
        <w:tc>
          <w:tcPr>
            <w:tcW w:w="0" w:type="auto"/>
          </w:tcPr>
          <w:p w14:paraId="451A8549" w14:textId="77777777" w:rsidR="001D30D4" w:rsidRPr="00DC67EB" w:rsidRDefault="001D30D4" w:rsidP="001D30D4">
            <w:pPr>
              <w:spacing w:before="120" w:after="120" w:line="360" w:lineRule="auto"/>
              <w:rPr>
                <w:szCs w:val="24"/>
                <w:lang w:val="en-GB" w:eastAsia="en-US"/>
              </w:rPr>
            </w:pPr>
            <w:r w:rsidRPr="00DC67EB">
              <w:rPr>
                <w:szCs w:val="24"/>
                <w:lang w:val="en-GB" w:eastAsia="en-US"/>
              </w:rPr>
              <w:t>(6)</w:t>
            </w:r>
          </w:p>
        </w:tc>
      </w:tr>
      <w:tr w:rsidR="00DC67EB" w:rsidRPr="00DC67EB" w14:paraId="2260D931" w14:textId="77777777" w:rsidTr="000536D5">
        <w:tc>
          <w:tcPr>
            <w:tcW w:w="0" w:type="auto"/>
          </w:tcPr>
          <w:p w14:paraId="0E566C39" w14:textId="77777777" w:rsidR="001D30D4" w:rsidRPr="00DC67EB" w:rsidRDefault="001D30D4" w:rsidP="001D30D4">
            <w:pPr>
              <w:spacing w:before="120" w:after="120" w:line="360" w:lineRule="auto"/>
              <w:rPr>
                <w:szCs w:val="24"/>
                <w:lang w:val="en-GB" w:eastAsia="en-US"/>
              </w:rPr>
            </w:pPr>
            <w:r w:rsidRPr="00DC67EB">
              <w:rPr>
                <w:szCs w:val="24"/>
                <w:lang w:val="en-GB" w:eastAsia="en-US"/>
              </w:rPr>
              <w:t>[Bejegyzés] Sorszám</w:t>
            </w:r>
          </w:p>
        </w:tc>
        <w:tc>
          <w:tcPr>
            <w:tcW w:w="0" w:type="auto"/>
          </w:tcPr>
          <w:p w14:paraId="248280DA" w14:textId="77777777" w:rsidR="001D30D4" w:rsidRPr="00DC67EB" w:rsidRDefault="001D30D4" w:rsidP="001D30D4">
            <w:pPr>
              <w:spacing w:before="120" w:after="120" w:line="360" w:lineRule="auto"/>
              <w:rPr>
                <w:szCs w:val="24"/>
                <w:lang w:val="en-GB" w:eastAsia="en-US"/>
              </w:rPr>
            </w:pPr>
            <w:r w:rsidRPr="00DC67EB">
              <w:rPr>
                <w:szCs w:val="24"/>
                <w:lang w:val="en-GB" w:eastAsia="en-US"/>
              </w:rPr>
              <w:t>Anyag neve</w:t>
            </w:r>
          </w:p>
        </w:tc>
        <w:tc>
          <w:tcPr>
            <w:tcW w:w="0" w:type="auto"/>
          </w:tcPr>
          <w:p w14:paraId="3D96033D" w14:textId="77777777" w:rsidR="001D30D4" w:rsidRPr="00DC67EB" w:rsidRDefault="001D30D4" w:rsidP="001D30D4">
            <w:pPr>
              <w:spacing w:before="120" w:after="120" w:line="360" w:lineRule="auto"/>
              <w:rPr>
                <w:szCs w:val="24"/>
                <w:lang w:val="en-GB" w:eastAsia="en-US"/>
              </w:rPr>
            </w:pPr>
            <w:r w:rsidRPr="00DC67EB">
              <w:rPr>
                <w:szCs w:val="24"/>
                <w:lang w:val="en-GB" w:eastAsia="en-US"/>
              </w:rPr>
              <w:t>Anyag kategóriája</w:t>
            </w:r>
          </w:p>
        </w:tc>
        <w:tc>
          <w:tcPr>
            <w:tcW w:w="0" w:type="auto"/>
          </w:tcPr>
          <w:p w14:paraId="3F06FF0C" w14:textId="77777777" w:rsidR="001D30D4" w:rsidRPr="00DC67EB" w:rsidRDefault="001D30D4" w:rsidP="001D30D4">
            <w:pPr>
              <w:spacing w:before="120" w:after="120" w:line="360" w:lineRule="auto"/>
              <w:rPr>
                <w:szCs w:val="24"/>
                <w:lang w:val="en-GB" w:eastAsia="en-US"/>
              </w:rPr>
            </w:pPr>
            <w:r w:rsidRPr="00DC67EB">
              <w:rPr>
                <w:szCs w:val="24"/>
                <w:lang w:val="en-GB" w:eastAsia="en-US"/>
              </w:rPr>
              <w:t>CAS-szám (1)</w:t>
            </w:r>
          </w:p>
        </w:tc>
        <w:tc>
          <w:tcPr>
            <w:tcW w:w="0" w:type="auto"/>
          </w:tcPr>
          <w:p w14:paraId="0A733891" w14:textId="77777777" w:rsidR="001D30D4" w:rsidRPr="00DC67EB" w:rsidRDefault="001D30D4" w:rsidP="001D30D4">
            <w:pPr>
              <w:spacing w:before="120" w:after="120" w:line="360" w:lineRule="auto"/>
              <w:rPr>
                <w:szCs w:val="24"/>
                <w:lang w:val="en-GB" w:eastAsia="en-US"/>
              </w:rPr>
            </w:pPr>
            <w:r w:rsidRPr="00DC67EB">
              <w:rPr>
                <w:szCs w:val="24"/>
                <w:lang w:val="en-GB" w:eastAsia="en-US"/>
              </w:rPr>
              <w:t>EU-szám (2)</w:t>
            </w:r>
          </w:p>
        </w:tc>
        <w:tc>
          <w:tcPr>
            <w:tcW w:w="0" w:type="auto"/>
          </w:tcPr>
          <w:p w14:paraId="014DD7EA" w14:textId="77777777" w:rsidR="001D30D4" w:rsidRPr="00DC67EB" w:rsidRDefault="001D30D4" w:rsidP="001D30D4">
            <w:pPr>
              <w:spacing w:before="120" w:after="120" w:line="360" w:lineRule="auto"/>
              <w:rPr>
                <w:szCs w:val="24"/>
                <w:lang w:val="en-GB" w:eastAsia="en-US"/>
              </w:rPr>
            </w:pPr>
            <w:r w:rsidRPr="00DC67EB">
              <w:rPr>
                <w:szCs w:val="24"/>
                <w:lang w:val="en-GB" w:eastAsia="en-US"/>
              </w:rPr>
              <w:t>Minőségi előírás (3) [µg/l, eltérő megjelölés hiányában]</w:t>
            </w:r>
          </w:p>
        </w:tc>
      </w:tr>
      <w:tr w:rsidR="00DC67EB" w:rsidRPr="00DC67EB" w14:paraId="7CFA4A19" w14:textId="77777777" w:rsidTr="000536D5">
        <w:tc>
          <w:tcPr>
            <w:tcW w:w="0" w:type="auto"/>
          </w:tcPr>
          <w:p w14:paraId="7878F495" w14:textId="77777777" w:rsidR="001D30D4" w:rsidRPr="00DC67EB" w:rsidRDefault="001D30D4" w:rsidP="001D30D4">
            <w:pPr>
              <w:spacing w:before="120" w:after="120" w:line="360" w:lineRule="auto"/>
              <w:rPr>
                <w:szCs w:val="24"/>
                <w:lang w:val="en-GB" w:eastAsia="en-US"/>
              </w:rPr>
            </w:pPr>
            <w:r w:rsidRPr="00DC67EB">
              <w:rPr>
                <w:szCs w:val="24"/>
                <w:lang w:val="en-GB" w:eastAsia="en-US"/>
              </w:rPr>
              <w:t>1.</w:t>
            </w:r>
          </w:p>
        </w:tc>
        <w:tc>
          <w:tcPr>
            <w:tcW w:w="0" w:type="auto"/>
          </w:tcPr>
          <w:p w14:paraId="534BDDEB" w14:textId="77777777" w:rsidR="001D30D4" w:rsidRPr="00DC67EB" w:rsidRDefault="001D30D4" w:rsidP="001D30D4">
            <w:pPr>
              <w:spacing w:before="120" w:after="120" w:line="360" w:lineRule="auto"/>
              <w:rPr>
                <w:szCs w:val="24"/>
                <w:lang w:val="en-GB" w:eastAsia="en-US"/>
              </w:rPr>
            </w:pPr>
            <w:r w:rsidRPr="00DC67EB">
              <w:rPr>
                <w:szCs w:val="24"/>
                <w:lang w:val="en-GB" w:eastAsia="en-US"/>
              </w:rPr>
              <w:t>Nitrátok</w:t>
            </w:r>
          </w:p>
        </w:tc>
        <w:tc>
          <w:tcPr>
            <w:tcW w:w="0" w:type="auto"/>
          </w:tcPr>
          <w:p w14:paraId="208D6441" w14:textId="77777777" w:rsidR="001D30D4" w:rsidRPr="00DC67EB" w:rsidRDefault="001D30D4" w:rsidP="001D30D4">
            <w:pPr>
              <w:spacing w:before="120" w:after="120" w:line="360" w:lineRule="auto"/>
              <w:rPr>
                <w:szCs w:val="24"/>
                <w:lang w:val="en-GB" w:eastAsia="en-US"/>
              </w:rPr>
            </w:pPr>
            <w:r w:rsidRPr="00DC67EB">
              <w:rPr>
                <w:szCs w:val="24"/>
                <w:lang w:val="en-GB" w:eastAsia="en-US"/>
              </w:rPr>
              <w:t>Tápanyagok</w:t>
            </w:r>
          </w:p>
        </w:tc>
        <w:tc>
          <w:tcPr>
            <w:tcW w:w="0" w:type="auto"/>
          </w:tcPr>
          <w:p w14:paraId="6B4BC9F5" w14:textId="77777777" w:rsidR="001D30D4" w:rsidRPr="00DC67EB" w:rsidRDefault="001D30D4" w:rsidP="001D30D4">
            <w:pPr>
              <w:spacing w:before="120" w:after="120" w:line="360" w:lineRule="auto"/>
              <w:rPr>
                <w:szCs w:val="24"/>
                <w:lang w:val="en-GB" w:eastAsia="en-US"/>
              </w:rPr>
            </w:pPr>
            <w:r w:rsidRPr="00DC67EB">
              <w:rPr>
                <w:szCs w:val="24"/>
                <w:lang w:val="en-GB" w:eastAsia="en-US"/>
              </w:rPr>
              <w:t>nem alkalmazható</w:t>
            </w:r>
          </w:p>
        </w:tc>
        <w:tc>
          <w:tcPr>
            <w:tcW w:w="0" w:type="auto"/>
          </w:tcPr>
          <w:p w14:paraId="558FAC9F" w14:textId="77777777" w:rsidR="001D30D4" w:rsidRPr="00DC67EB" w:rsidRDefault="001D30D4" w:rsidP="001D30D4">
            <w:pPr>
              <w:spacing w:before="120" w:after="120" w:line="360" w:lineRule="auto"/>
              <w:rPr>
                <w:szCs w:val="24"/>
                <w:lang w:val="en-GB" w:eastAsia="en-US"/>
              </w:rPr>
            </w:pPr>
            <w:r w:rsidRPr="00DC67EB">
              <w:rPr>
                <w:szCs w:val="24"/>
                <w:lang w:val="en-GB" w:eastAsia="en-US"/>
              </w:rPr>
              <w:t>nem alkalmazható</w:t>
            </w:r>
          </w:p>
        </w:tc>
        <w:tc>
          <w:tcPr>
            <w:tcW w:w="0" w:type="auto"/>
          </w:tcPr>
          <w:p w14:paraId="03DE29E8" w14:textId="77777777" w:rsidR="001D30D4" w:rsidRPr="00DC67EB" w:rsidRDefault="001D30D4" w:rsidP="001D30D4">
            <w:pPr>
              <w:spacing w:before="120" w:after="120" w:line="360" w:lineRule="auto"/>
              <w:rPr>
                <w:szCs w:val="24"/>
                <w:lang w:val="en-GB" w:eastAsia="en-US"/>
              </w:rPr>
            </w:pPr>
            <w:r w:rsidRPr="00DC67EB">
              <w:rPr>
                <w:szCs w:val="24"/>
                <w:lang w:val="en-GB" w:eastAsia="en-US"/>
              </w:rPr>
              <w:t>50 mg/l</w:t>
            </w:r>
          </w:p>
        </w:tc>
      </w:tr>
      <w:tr w:rsidR="00DC67EB" w:rsidRPr="00DC67EB" w14:paraId="1640B860" w14:textId="77777777" w:rsidTr="000536D5">
        <w:tc>
          <w:tcPr>
            <w:tcW w:w="0" w:type="auto"/>
            <w:vMerge w:val="restart"/>
          </w:tcPr>
          <w:p w14:paraId="28F9905A" w14:textId="77777777" w:rsidR="001D30D4" w:rsidRPr="00DC67EB" w:rsidRDefault="001D30D4" w:rsidP="001D30D4">
            <w:pPr>
              <w:spacing w:before="120" w:after="120" w:line="360" w:lineRule="auto"/>
              <w:rPr>
                <w:b/>
                <w:szCs w:val="24"/>
                <w:lang w:val="en-GB" w:eastAsia="en-US"/>
              </w:rPr>
            </w:pPr>
            <w:r w:rsidRPr="00DC67EB">
              <w:rPr>
                <w:szCs w:val="24"/>
                <w:lang w:val="en-GB" w:eastAsia="en-US"/>
              </w:rPr>
              <w:t>2.</w:t>
            </w:r>
            <w:r w:rsidR="008F318C" w:rsidRPr="00DC67EB">
              <w:rPr>
                <w:szCs w:val="24"/>
                <w:lang w:val="en-GB" w:eastAsia="en-US"/>
              </w:rPr>
              <w:t xml:space="preserve"> </w:t>
            </w:r>
            <w:r w:rsidR="008F318C" w:rsidRPr="00DC67EB">
              <w:rPr>
                <w:b/>
                <w:szCs w:val="24"/>
                <w:lang w:val="en-GB" w:eastAsia="en-US"/>
              </w:rPr>
              <w:t xml:space="preserve"> [Mód. 144]</w:t>
            </w:r>
          </w:p>
        </w:tc>
        <w:tc>
          <w:tcPr>
            <w:tcW w:w="0" w:type="auto"/>
            <w:vMerge w:val="restart"/>
          </w:tcPr>
          <w:p w14:paraId="09239C7F" w14:textId="77777777" w:rsidR="001D30D4" w:rsidRPr="00DC67EB" w:rsidRDefault="001D30D4" w:rsidP="001D30D4">
            <w:pPr>
              <w:spacing w:before="120" w:after="120" w:line="360" w:lineRule="auto"/>
              <w:rPr>
                <w:szCs w:val="24"/>
                <w:lang w:val="en-GB" w:eastAsia="en-US"/>
              </w:rPr>
            </w:pPr>
            <w:r w:rsidRPr="00DC67EB">
              <w:rPr>
                <w:szCs w:val="24"/>
                <w:lang w:val="en-GB" w:eastAsia="en-US"/>
              </w:rPr>
              <w:t>Növényvédő szerek aktív anyagai, beleértve megfelelő anyagcseretermékeiket, bomlástermékeiket és reakciótermékeiket (4)</w:t>
            </w:r>
          </w:p>
        </w:tc>
        <w:tc>
          <w:tcPr>
            <w:tcW w:w="0" w:type="auto"/>
            <w:vMerge w:val="restart"/>
          </w:tcPr>
          <w:p w14:paraId="363778C6" w14:textId="77777777" w:rsidR="001D30D4" w:rsidRPr="00DC67EB" w:rsidRDefault="001D30D4" w:rsidP="001D30D4">
            <w:pPr>
              <w:spacing w:before="120" w:after="120" w:line="360" w:lineRule="auto"/>
              <w:rPr>
                <w:szCs w:val="24"/>
                <w:lang w:val="en-GB" w:eastAsia="en-US"/>
              </w:rPr>
            </w:pPr>
            <w:r w:rsidRPr="00DC67EB">
              <w:rPr>
                <w:szCs w:val="24"/>
                <w:lang w:val="en-GB" w:eastAsia="en-US"/>
              </w:rPr>
              <w:t>Növényvédő szerek</w:t>
            </w:r>
          </w:p>
        </w:tc>
        <w:tc>
          <w:tcPr>
            <w:tcW w:w="0" w:type="auto"/>
            <w:vMerge w:val="restart"/>
          </w:tcPr>
          <w:p w14:paraId="09210618" w14:textId="77777777" w:rsidR="001D30D4" w:rsidRPr="00DC67EB" w:rsidRDefault="001D30D4" w:rsidP="001D30D4">
            <w:pPr>
              <w:spacing w:before="120" w:after="120" w:line="360" w:lineRule="auto"/>
              <w:rPr>
                <w:szCs w:val="24"/>
                <w:lang w:val="en-GB" w:eastAsia="en-US"/>
              </w:rPr>
            </w:pPr>
            <w:r w:rsidRPr="00DC67EB">
              <w:rPr>
                <w:szCs w:val="24"/>
                <w:lang w:val="en-GB" w:eastAsia="en-US"/>
              </w:rPr>
              <w:t>nem alkalmazható</w:t>
            </w:r>
          </w:p>
        </w:tc>
        <w:tc>
          <w:tcPr>
            <w:tcW w:w="0" w:type="auto"/>
            <w:vMerge w:val="restart"/>
          </w:tcPr>
          <w:p w14:paraId="52F3891B" w14:textId="77777777" w:rsidR="001D30D4" w:rsidRPr="00DC67EB" w:rsidRDefault="001D30D4" w:rsidP="001D30D4">
            <w:pPr>
              <w:spacing w:before="120" w:after="120" w:line="360" w:lineRule="auto"/>
              <w:rPr>
                <w:szCs w:val="24"/>
                <w:lang w:val="en-GB" w:eastAsia="en-US"/>
              </w:rPr>
            </w:pPr>
            <w:r w:rsidRPr="00DC67EB">
              <w:rPr>
                <w:szCs w:val="24"/>
                <w:lang w:val="en-GB" w:eastAsia="en-US"/>
              </w:rPr>
              <w:t>nem alkalmazható</w:t>
            </w:r>
          </w:p>
        </w:tc>
        <w:tc>
          <w:tcPr>
            <w:tcW w:w="0" w:type="auto"/>
          </w:tcPr>
          <w:p w14:paraId="63DFA819" w14:textId="77777777" w:rsidR="001D30D4" w:rsidRPr="00DC67EB" w:rsidRDefault="001D30D4" w:rsidP="001D30D4">
            <w:pPr>
              <w:spacing w:before="120" w:after="120" w:line="360" w:lineRule="auto"/>
              <w:rPr>
                <w:szCs w:val="24"/>
                <w:lang w:val="en-GB" w:eastAsia="en-US"/>
              </w:rPr>
            </w:pPr>
            <w:r w:rsidRPr="00DC67EB">
              <w:rPr>
                <w:strike/>
                <w:szCs w:val="24"/>
                <w:lang w:val="en-GB" w:eastAsia="en-US"/>
              </w:rPr>
              <w:t>0,1</w:t>
            </w:r>
            <w:r w:rsidRPr="00DC67EB">
              <w:rPr>
                <w:b/>
                <w:i/>
                <w:szCs w:val="24"/>
                <w:lang w:val="en-GB" w:eastAsia="en-US"/>
              </w:rPr>
              <w:t xml:space="preserve"> </w:t>
            </w:r>
            <w:r w:rsidR="008F318C" w:rsidRPr="00DC67EB">
              <w:rPr>
                <w:b/>
                <w:i/>
                <w:szCs w:val="24"/>
                <w:lang w:val="en-GB" w:eastAsia="en-US"/>
              </w:rPr>
              <w:t xml:space="preserve">0,05 </w:t>
            </w:r>
            <w:r w:rsidRPr="00DC67EB">
              <w:rPr>
                <w:szCs w:val="24"/>
                <w:lang w:val="en-GB" w:eastAsia="en-US"/>
              </w:rPr>
              <w:t>(egyedi)</w:t>
            </w:r>
            <w:r w:rsidR="0028566B" w:rsidRPr="00DC67EB">
              <w:rPr>
                <w:szCs w:val="24"/>
                <w:lang w:val="en-GB" w:eastAsia="en-US"/>
              </w:rPr>
              <w:t xml:space="preserve"> </w:t>
            </w:r>
            <w:r w:rsidR="0028566B" w:rsidRPr="00DC67EB">
              <w:rPr>
                <w:b/>
                <w:i/>
                <w:szCs w:val="24"/>
                <w:vertAlign w:val="superscript"/>
                <w:lang w:val="en-GB" w:eastAsia="en-US"/>
              </w:rPr>
              <w:t>4a</w:t>
            </w:r>
          </w:p>
        </w:tc>
      </w:tr>
      <w:tr w:rsidR="00DC67EB" w:rsidRPr="00DC67EB" w14:paraId="2710A1B3" w14:textId="77777777" w:rsidTr="000536D5">
        <w:tc>
          <w:tcPr>
            <w:tcW w:w="0" w:type="auto"/>
            <w:vMerge/>
          </w:tcPr>
          <w:p w14:paraId="4BEE06ED" w14:textId="77777777" w:rsidR="001D30D4" w:rsidRPr="00DC67EB" w:rsidRDefault="001D30D4" w:rsidP="001D30D4">
            <w:pPr>
              <w:spacing w:before="120" w:after="120" w:line="360" w:lineRule="auto"/>
              <w:rPr>
                <w:szCs w:val="24"/>
                <w:lang w:val="en-GB" w:eastAsia="en-US"/>
              </w:rPr>
            </w:pPr>
          </w:p>
        </w:tc>
        <w:tc>
          <w:tcPr>
            <w:tcW w:w="0" w:type="auto"/>
            <w:vMerge/>
          </w:tcPr>
          <w:p w14:paraId="058C99F4" w14:textId="77777777" w:rsidR="001D30D4" w:rsidRPr="00DC67EB" w:rsidRDefault="001D30D4" w:rsidP="001D30D4">
            <w:pPr>
              <w:spacing w:before="120" w:after="120" w:line="360" w:lineRule="auto"/>
              <w:rPr>
                <w:szCs w:val="24"/>
                <w:lang w:val="en-GB" w:eastAsia="en-US"/>
              </w:rPr>
            </w:pPr>
          </w:p>
        </w:tc>
        <w:tc>
          <w:tcPr>
            <w:tcW w:w="0" w:type="auto"/>
            <w:vMerge/>
          </w:tcPr>
          <w:p w14:paraId="7DFACFAC" w14:textId="77777777" w:rsidR="001D30D4" w:rsidRPr="00DC67EB" w:rsidRDefault="001D30D4" w:rsidP="001D30D4">
            <w:pPr>
              <w:spacing w:before="120" w:after="120" w:line="360" w:lineRule="auto"/>
              <w:rPr>
                <w:szCs w:val="24"/>
                <w:lang w:val="en-GB" w:eastAsia="en-US"/>
              </w:rPr>
            </w:pPr>
          </w:p>
        </w:tc>
        <w:tc>
          <w:tcPr>
            <w:tcW w:w="0" w:type="auto"/>
            <w:vMerge/>
          </w:tcPr>
          <w:p w14:paraId="19FDF5DE" w14:textId="77777777" w:rsidR="001D30D4" w:rsidRPr="00DC67EB" w:rsidRDefault="001D30D4" w:rsidP="001D30D4">
            <w:pPr>
              <w:spacing w:before="120" w:after="120" w:line="360" w:lineRule="auto"/>
              <w:rPr>
                <w:szCs w:val="24"/>
                <w:lang w:val="en-GB" w:eastAsia="en-US"/>
              </w:rPr>
            </w:pPr>
          </w:p>
        </w:tc>
        <w:tc>
          <w:tcPr>
            <w:tcW w:w="0" w:type="auto"/>
            <w:vMerge/>
          </w:tcPr>
          <w:p w14:paraId="3ECE0D35" w14:textId="77777777" w:rsidR="001D30D4" w:rsidRPr="00DC67EB" w:rsidRDefault="001D30D4" w:rsidP="001D30D4">
            <w:pPr>
              <w:spacing w:before="120" w:after="120" w:line="360" w:lineRule="auto"/>
              <w:rPr>
                <w:szCs w:val="24"/>
                <w:lang w:val="en-GB" w:eastAsia="en-US"/>
              </w:rPr>
            </w:pPr>
          </w:p>
        </w:tc>
        <w:tc>
          <w:tcPr>
            <w:tcW w:w="0" w:type="auto"/>
          </w:tcPr>
          <w:p w14:paraId="01DD6FA4" w14:textId="6C6F7C88" w:rsidR="001D30D4" w:rsidRPr="00DC67EB" w:rsidRDefault="001D30D4" w:rsidP="001D30D4">
            <w:pPr>
              <w:spacing w:before="120" w:after="120" w:line="360" w:lineRule="auto"/>
              <w:rPr>
                <w:szCs w:val="24"/>
                <w:lang w:val="en-GB" w:eastAsia="en-US"/>
              </w:rPr>
            </w:pPr>
            <w:r w:rsidRPr="00DC67EB">
              <w:rPr>
                <w:strike/>
                <w:szCs w:val="24"/>
                <w:lang w:val="en-GB" w:eastAsia="en-US"/>
              </w:rPr>
              <w:t>0,5</w:t>
            </w:r>
            <w:r w:rsidRPr="00DC67EB">
              <w:rPr>
                <w:szCs w:val="24"/>
                <w:lang w:val="en-GB" w:eastAsia="en-US"/>
              </w:rPr>
              <w:t xml:space="preserve"> </w:t>
            </w:r>
            <w:r w:rsidR="008F318C" w:rsidRPr="00DC67EB">
              <w:rPr>
                <w:b/>
                <w:i/>
                <w:szCs w:val="24"/>
                <w:lang w:val="en-GB" w:eastAsia="en-US"/>
              </w:rPr>
              <w:t>0,25</w:t>
            </w:r>
            <w:r w:rsidRPr="00DC67EB">
              <w:rPr>
                <w:szCs w:val="24"/>
                <w:lang w:val="en-GB" w:eastAsia="en-US"/>
              </w:rPr>
              <w:t xml:space="preserve">(összes) </w:t>
            </w:r>
            <w:r w:rsidRPr="00DC67EB">
              <w:rPr>
                <w:szCs w:val="24"/>
                <w:vertAlign w:val="superscript"/>
                <w:lang w:val="en-GB" w:eastAsia="en-US"/>
              </w:rPr>
              <w:t>(5)</w:t>
            </w:r>
          </w:p>
        </w:tc>
      </w:tr>
      <w:tr w:rsidR="00DC67EB" w:rsidRPr="00DC67EB" w14:paraId="2DB844FD" w14:textId="77777777" w:rsidTr="000536D5">
        <w:tc>
          <w:tcPr>
            <w:tcW w:w="0" w:type="auto"/>
          </w:tcPr>
          <w:p w14:paraId="44180F92" w14:textId="77777777" w:rsidR="001D30D4" w:rsidRPr="00DC67EB" w:rsidRDefault="001D30D4" w:rsidP="001D30D4">
            <w:pPr>
              <w:spacing w:before="120" w:after="120" w:line="360" w:lineRule="auto"/>
              <w:rPr>
                <w:szCs w:val="24"/>
                <w:lang w:val="en-GB" w:eastAsia="en-US"/>
              </w:rPr>
            </w:pPr>
            <w:r w:rsidRPr="00DC67EB">
              <w:rPr>
                <w:szCs w:val="24"/>
                <w:lang w:val="en-GB" w:eastAsia="en-US"/>
              </w:rPr>
              <w:t>3.</w:t>
            </w:r>
          </w:p>
        </w:tc>
        <w:tc>
          <w:tcPr>
            <w:tcW w:w="0" w:type="auto"/>
          </w:tcPr>
          <w:p w14:paraId="6A1A1FB7" w14:textId="77777777" w:rsidR="001D30D4" w:rsidRPr="00DC67EB" w:rsidRDefault="001D30D4" w:rsidP="001D30D4">
            <w:pPr>
              <w:spacing w:before="120" w:after="120" w:line="360" w:lineRule="auto"/>
              <w:rPr>
                <w:szCs w:val="24"/>
                <w:lang w:val="en-GB" w:eastAsia="en-US"/>
              </w:rPr>
            </w:pPr>
            <w:r w:rsidRPr="00DC67EB">
              <w:rPr>
                <w:szCs w:val="24"/>
                <w:lang w:val="en-GB" w:eastAsia="en-US"/>
              </w:rPr>
              <w:t>Per- és polifluoralkil-anyagok (PFAS) – 24 anyag összege (6)</w:t>
            </w:r>
          </w:p>
        </w:tc>
        <w:tc>
          <w:tcPr>
            <w:tcW w:w="0" w:type="auto"/>
          </w:tcPr>
          <w:p w14:paraId="073F9ADB" w14:textId="77777777" w:rsidR="001D30D4" w:rsidRPr="00DC67EB" w:rsidRDefault="001D30D4" w:rsidP="001D30D4">
            <w:pPr>
              <w:spacing w:before="120" w:after="120" w:line="360" w:lineRule="auto"/>
              <w:rPr>
                <w:szCs w:val="24"/>
                <w:lang w:val="en-GB" w:eastAsia="en-US"/>
              </w:rPr>
            </w:pPr>
            <w:r w:rsidRPr="00DC67EB">
              <w:rPr>
                <w:szCs w:val="24"/>
                <w:lang w:val="en-GB" w:eastAsia="en-US"/>
              </w:rPr>
              <w:t>Ipari anyagok</w:t>
            </w:r>
          </w:p>
        </w:tc>
        <w:tc>
          <w:tcPr>
            <w:tcW w:w="0" w:type="auto"/>
          </w:tcPr>
          <w:p w14:paraId="2E248233" w14:textId="77777777" w:rsidR="001D30D4" w:rsidRPr="00DC67EB" w:rsidRDefault="001D30D4" w:rsidP="001D30D4">
            <w:pPr>
              <w:spacing w:before="120" w:after="120" w:line="360" w:lineRule="auto"/>
              <w:rPr>
                <w:szCs w:val="24"/>
                <w:lang w:val="en-GB" w:eastAsia="en-US"/>
              </w:rPr>
            </w:pPr>
            <w:r w:rsidRPr="00DC67EB">
              <w:rPr>
                <w:szCs w:val="24"/>
                <w:lang w:val="en-GB" w:eastAsia="en-US"/>
              </w:rPr>
              <w:t>Lásd a táblázathoz tartozó (6) megjegyzést</w:t>
            </w:r>
          </w:p>
        </w:tc>
        <w:tc>
          <w:tcPr>
            <w:tcW w:w="0" w:type="auto"/>
          </w:tcPr>
          <w:p w14:paraId="49A3B2AC" w14:textId="77777777" w:rsidR="001D30D4" w:rsidRPr="00DC67EB" w:rsidRDefault="001D30D4" w:rsidP="001D30D4">
            <w:pPr>
              <w:spacing w:before="120" w:after="120" w:line="360" w:lineRule="auto"/>
              <w:rPr>
                <w:szCs w:val="24"/>
                <w:lang w:val="en-GB" w:eastAsia="en-US"/>
              </w:rPr>
            </w:pPr>
            <w:r w:rsidRPr="00DC67EB">
              <w:rPr>
                <w:szCs w:val="24"/>
                <w:lang w:val="en-GB" w:eastAsia="en-US"/>
              </w:rPr>
              <w:t>Lásd a táblázathoz tartozó (6) megjegyzést</w:t>
            </w:r>
          </w:p>
        </w:tc>
        <w:tc>
          <w:tcPr>
            <w:tcW w:w="0" w:type="auto"/>
          </w:tcPr>
          <w:p w14:paraId="280A49A7" w14:textId="77777777" w:rsidR="001D30D4" w:rsidRPr="00DC67EB" w:rsidRDefault="001D30D4" w:rsidP="001D30D4">
            <w:pPr>
              <w:spacing w:before="120" w:after="120" w:line="360" w:lineRule="auto"/>
              <w:rPr>
                <w:szCs w:val="24"/>
                <w:lang w:val="en-GB" w:eastAsia="en-US"/>
              </w:rPr>
            </w:pPr>
            <w:r w:rsidRPr="00DC67EB">
              <w:rPr>
                <w:szCs w:val="24"/>
                <w:lang w:val="en-GB" w:eastAsia="en-US"/>
              </w:rPr>
              <w:t>0,0044 (7)</w:t>
            </w:r>
          </w:p>
        </w:tc>
      </w:tr>
      <w:tr w:rsidR="00DC67EB" w:rsidRPr="00DC67EB" w14:paraId="4216E055" w14:textId="77777777" w:rsidTr="000536D5">
        <w:tc>
          <w:tcPr>
            <w:tcW w:w="0" w:type="auto"/>
          </w:tcPr>
          <w:p w14:paraId="113B7607" w14:textId="77777777" w:rsidR="0028566B" w:rsidRPr="00DC67EB" w:rsidRDefault="0028566B" w:rsidP="006773C8">
            <w:pPr>
              <w:spacing w:before="120" w:after="120" w:line="360" w:lineRule="auto"/>
              <w:rPr>
                <w:b/>
                <w:szCs w:val="24"/>
                <w:lang w:val="en-GB" w:eastAsia="en-US"/>
              </w:rPr>
            </w:pPr>
            <w:r w:rsidRPr="00DC67EB">
              <w:rPr>
                <w:b/>
                <w:i/>
                <w:szCs w:val="24"/>
                <w:lang w:val="en-GB" w:eastAsia="en-US"/>
              </w:rPr>
              <w:t>3a.</w:t>
            </w:r>
            <w:r w:rsidRPr="00DC67EB">
              <w:rPr>
                <w:b/>
                <w:szCs w:val="24"/>
                <w:lang w:val="en-GB" w:eastAsia="en-US"/>
              </w:rPr>
              <w:t xml:space="preserve"> [Mód. 145]</w:t>
            </w:r>
          </w:p>
        </w:tc>
        <w:tc>
          <w:tcPr>
            <w:tcW w:w="0" w:type="auto"/>
          </w:tcPr>
          <w:p w14:paraId="312BB566" w14:textId="77777777" w:rsidR="0028566B" w:rsidRPr="00DC67EB" w:rsidRDefault="0028566B" w:rsidP="0028566B">
            <w:pPr>
              <w:spacing w:before="120" w:after="120" w:line="360" w:lineRule="auto"/>
              <w:rPr>
                <w:szCs w:val="24"/>
                <w:lang w:val="en-GB" w:eastAsia="en-US"/>
              </w:rPr>
            </w:pPr>
            <w:r w:rsidRPr="00DC67EB">
              <w:rPr>
                <w:b/>
                <w:i/>
                <w:sz w:val="22"/>
              </w:rPr>
              <w:t>Összes PFA-anyag</w:t>
            </w:r>
          </w:p>
        </w:tc>
        <w:tc>
          <w:tcPr>
            <w:tcW w:w="0" w:type="auto"/>
          </w:tcPr>
          <w:p w14:paraId="74DACF23" w14:textId="77777777" w:rsidR="0028566B" w:rsidRPr="00DC67EB" w:rsidRDefault="0028566B" w:rsidP="0028566B">
            <w:pPr>
              <w:spacing w:before="120" w:after="120" w:line="360" w:lineRule="auto"/>
              <w:rPr>
                <w:szCs w:val="24"/>
                <w:lang w:val="en-GB" w:eastAsia="en-US"/>
              </w:rPr>
            </w:pPr>
            <w:r w:rsidRPr="00DC67EB">
              <w:rPr>
                <w:b/>
                <w:i/>
                <w:sz w:val="22"/>
              </w:rPr>
              <w:t>Ipari anyagok</w:t>
            </w:r>
          </w:p>
        </w:tc>
        <w:tc>
          <w:tcPr>
            <w:tcW w:w="0" w:type="auto"/>
          </w:tcPr>
          <w:p w14:paraId="09495DB1" w14:textId="77777777" w:rsidR="0028566B" w:rsidRPr="00DC67EB" w:rsidRDefault="0028566B" w:rsidP="0028566B">
            <w:pPr>
              <w:spacing w:before="120" w:after="120" w:line="360" w:lineRule="auto"/>
              <w:rPr>
                <w:szCs w:val="24"/>
                <w:lang w:val="en-GB" w:eastAsia="en-US"/>
              </w:rPr>
            </w:pPr>
            <w:r w:rsidRPr="00DC67EB">
              <w:rPr>
                <w:b/>
                <w:i/>
                <w:sz w:val="22"/>
              </w:rPr>
              <w:t>nem alkalmazható</w:t>
            </w:r>
          </w:p>
        </w:tc>
        <w:tc>
          <w:tcPr>
            <w:tcW w:w="0" w:type="auto"/>
          </w:tcPr>
          <w:p w14:paraId="5E9BF909" w14:textId="77777777" w:rsidR="0028566B" w:rsidRPr="00DC67EB" w:rsidRDefault="0028566B" w:rsidP="0028566B">
            <w:pPr>
              <w:spacing w:before="120" w:after="120" w:line="360" w:lineRule="auto"/>
              <w:rPr>
                <w:szCs w:val="24"/>
                <w:lang w:val="en-GB" w:eastAsia="en-US"/>
              </w:rPr>
            </w:pPr>
            <w:r w:rsidRPr="00DC67EB">
              <w:rPr>
                <w:b/>
                <w:i/>
                <w:sz w:val="22"/>
              </w:rPr>
              <w:t>nem alkalmazható</w:t>
            </w:r>
          </w:p>
        </w:tc>
        <w:tc>
          <w:tcPr>
            <w:tcW w:w="0" w:type="auto"/>
          </w:tcPr>
          <w:p w14:paraId="20ADAEC8" w14:textId="77777777" w:rsidR="0028566B" w:rsidRPr="00DC67EB" w:rsidRDefault="0028566B" w:rsidP="0028566B">
            <w:pPr>
              <w:spacing w:before="120" w:after="120" w:line="360" w:lineRule="auto"/>
              <w:rPr>
                <w:szCs w:val="24"/>
                <w:lang w:val="en-GB" w:eastAsia="en-US"/>
              </w:rPr>
            </w:pPr>
            <w:r w:rsidRPr="00DC67EB">
              <w:rPr>
                <w:b/>
                <w:i/>
                <w:sz w:val="22"/>
              </w:rPr>
              <w:t>(</w:t>
            </w:r>
            <w:r w:rsidRPr="00DC67EB">
              <w:rPr>
                <w:b/>
                <w:i/>
                <w:sz w:val="22"/>
                <w:vertAlign w:val="superscript"/>
              </w:rPr>
              <w:t>7a</w:t>
            </w:r>
            <w:r w:rsidRPr="00DC67EB">
              <w:rPr>
                <w:b/>
                <w:i/>
                <w:sz w:val="22"/>
              </w:rPr>
              <w:t>)</w:t>
            </w:r>
          </w:p>
        </w:tc>
      </w:tr>
      <w:tr w:rsidR="00DC67EB" w:rsidRPr="00DC67EB" w14:paraId="43A5304A" w14:textId="77777777" w:rsidTr="000536D5">
        <w:tc>
          <w:tcPr>
            <w:tcW w:w="0" w:type="auto"/>
          </w:tcPr>
          <w:p w14:paraId="02A90722" w14:textId="77777777" w:rsidR="001D30D4" w:rsidRPr="00DC67EB" w:rsidRDefault="001D30D4" w:rsidP="001D30D4">
            <w:pPr>
              <w:spacing w:before="120" w:after="120" w:line="360" w:lineRule="auto"/>
              <w:rPr>
                <w:b/>
                <w:szCs w:val="24"/>
                <w:lang w:val="en-GB" w:eastAsia="en-US"/>
              </w:rPr>
            </w:pPr>
            <w:r w:rsidRPr="00DC67EB">
              <w:rPr>
                <w:szCs w:val="24"/>
                <w:lang w:val="en-GB" w:eastAsia="en-US"/>
              </w:rPr>
              <w:t>4.</w:t>
            </w:r>
            <w:r w:rsidR="0028566B" w:rsidRPr="00DC67EB">
              <w:rPr>
                <w:szCs w:val="24"/>
                <w:lang w:val="en-GB" w:eastAsia="en-US"/>
              </w:rPr>
              <w:t xml:space="preserve"> </w:t>
            </w:r>
            <w:r w:rsidR="0028566B" w:rsidRPr="00DC67EB">
              <w:rPr>
                <w:b/>
                <w:szCs w:val="24"/>
                <w:lang w:val="en-GB" w:eastAsia="en-US"/>
              </w:rPr>
              <w:t xml:space="preserve"> [Mód. 146]</w:t>
            </w:r>
          </w:p>
        </w:tc>
        <w:tc>
          <w:tcPr>
            <w:tcW w:w="0" w:type="auto"/>
          </w:tcPr>
          <w:p w14:paraId="29834632" w14:textId="77777777" w:rsidR="001D30D4" w:rsidRPr="00DC67EB" w:rsidRDefault="001D30D4" w:rsidP="001D30D4">
            <w:pPr>
              <w:spacing w:before="120" w:after="120" w:line="360" w:lineRule="auto"/>
              <w:rPr>
                <w:szCs w:val="24"/>
                <w:lang w:val="en-GB" w:eastAsia="en-US"/>
              </w:rPr>
            </w:pPr>
            <w:r w:rsidRPr="00DC67EB">
              <w:rPr>
                <w:szCs w:val="24"/>
                <w:lang w:val="en-GB" w:eastAsia="en-US"/>
              </w:rPr>
              <w:t>Karbamazepin</w:t>
            </w:r>
          </w:p>
        </w:tc>
        <w:tc>
          <w:tcPr>
            <w:tcW w:w="0" w:type="auto"/>
          </w:tcPr>
          <w:p w14:paraId="2C28B167" w14:textId="77777777" w:rsidR="001D30D4" w:rsidRPr="00DC67EB" w:rsidRDefault="001D30D4" w:rsidP="001D30D4">
            <w:pPr>
              <w:spacing w:before="120" w:after="120" w:line="360" w:lineRule="auto"/>
              <w:rPr>
                <w:szCs w:val="24"/>
                <w:lang w:val="en-GB" w:eastAsia="en-US"/>
              </w:rPr>
            </w:pPr>
            <w:r w:rsidRPr="00DC67EB">
              <w:rPr>
                <w:szCs w:val="24"/>
                <w:lang w:val="en-GB" w:eastAsia="en-US"/>
              </w:rPr>
              <w:t>Gyógyszerek</w:t>
            </w:r>
          </w:p>
        </w:tc>
        <w:tc>
          <w:tcPr>
            <w:tcW w:w="0" w:type="auto"/>
          </w:tcPr>
          <w:p w14:paraId="302A809B" w14:textId="77777777" w:rsidR="001D30D4" w:rsidRPr="00DC67EB" w:rsidRDefault="001D30D4" w:rsidP="001D30D4">
            <w:pPr>
              <w:spacing w:before="120" w:after="120" w:line="360" w:lineRule="auto"/>
              <w:rPr>
                <w:szCs w:val="24"/>
                <w:lang w:val="en-GB" w:eastAsia="en-US"/>
              </w:rPr>
            </w:pPr>
            <w:r w:rsidRPr="00DC67EB">
              <w:rPr>
                <w:szCs w:val="24"/>
                <w:lang w:val="en-GB" w:eastAsia="en-US"/>
              </w:rPr>
              <w:t>298-46-4</w:t>
            </w:r>
          </w:p>
        </w:tc>
        <w:tc>
          <w:tcPr>
            <w:tcW w:w="0" w:type="auto"/>
          </w:tcPr>
          <w:p w14:paraId="69947905" w14:textId="77777777" w:rsidR="001D30D4" w:rsidRPr="00DC67EB" w:rsidRDefault="001D30D4" w:rsidP="001D30D4">
            <w:pPr>
              <w:spacing w:before="120" w:after="120" w:line="360" w:lineRule="auto"/>
              <w:rPr>
                <w:szCs w:val="24"/>
                <w:lang w:val="en-GB" w:eastAsia="en-US"/>
              </w:rPr>
            </w:pPr>
            <w:r w:rsidRPr="00DC67EB">
              <w:rPr>
                <w:szCs w:val="24"/>
                <w:lang w:val="en-GB" w:eastAsia="en-US"/>
              </w:rPr>
              <w:t>nem alkalmazható</w:t>
            </w:r>
          </w:p>
        </w:tc>
        <w:tc>
          <w:tcPr>
            <w:tcW w:w="0" w:type="auto"/>
          </w:tcPr>
          <w:p w14:paraId="7FF3B64A" w14:textId="77777777" w:rsidR="001D30D4" w:rsidRPr="00DC67EB" w:rsidRDefault="001D30D4" w:rsidP="001D30D4">
            <w:pPr>
              <w:spacing w:before="120" w:after="120" w:line="360" w:lineRule="auto"/>
              <w:rPr>
                <w:b/>
                <w:i/>
                <w:strike/>
                <w:szCs w:val="24"/>
                <w:lang w:val="en-GB" w:eastAsia="en-US"/>
              </w:rPr>
            </w:pPr>
            <w:r w:rsidRPr="00DC67EB">
              <w:rPr>
                <w:strike/>
                <w:szCs w:val="24"/>
                <w:lang w:val="en-GB" w:eastAsia="en-US"/>
              </w:rPr>
              <w:t>0,25</w:t>
            </w:r>
            <w:r w:rsidR="0028566B" w:rsidRPr="00DC67EB">
              <w:rPr>
                <w:strike/>
                <w:szCs w:val="24"/>
                <w:lang w:val="en-GB" w:eastAsia="en-US"/>
              </w:rPr>
              <w:t xml:space="preserve"> </w:t>
            </w:r>
            <w:r w:rsidR="0028566B" w:rsidRPr="00DC67EB">
              <w:rPr>
                <w:b/>
                <w:i/>
                <w:szCs w:val="24"/>
                <w:lang w:val="en-GB" w:eastAsia="en-US"/>
              </w:rPr>
              <w:t>0,025</w:t>
            </w:r>
          </w:p>
        </w:tc>
      </w:tr>
      <w:tr w:rsidR="00DC67EB" w:rsidRPr="00DC67EB" w14:paraId="2A0BB729" w14:textId="77777777" w:rsidTr="000536D5">
        <w:tc>
          <w:tcPr>
            <w:tcW w:w="0" w:type="auto"/>
          </w:tcPr>
          <w:p w14:paraId="333A6704" w14:textId="77777777" w:rsidR="001D30D4" w:rsidRPr="00DC67EB" w:rsidRDefault="001D30D4" w:rsidP="001D30D4">
            <w:pPr>
              <w:spacing w:before="120" w:after="120" w:line="360" w:lineRule="auto"/>
              <w:rPr>
                <w:szCs w:val="24"/>
                <w:lang w:val="en-GB" w:eastAsia="en-US"/>
              </w:rPr>
            </w:pPr>
            <w:r w:rsidRPr="00DC67EB">
              <w:rPr>
                <w:szCs w:val="24"/>
                <w:lang w:val="en-GB" w:eastAsia="en-US"/>
              </w:rPr>
              <w:t>5.</w:t>
            </w:r>
          </w:p>
        </w:tc>
        <w:tc>
          <w:tcPr>
            <w:tcW w:w="0" w:type="auto"/>
          </w:tcPr>
          <w:p w14:paraId="628EE004" w14:textId="77777777" w:rsidR="001D30D4" w:rsidRPr="00DC67EB" w:rsidRDefault="001D30D4" w:rsidP="001D30D4">
            <w:pPr>
              <w:spacing w:before="120" w:after="120" w:line="360" w:lineRule="auto"/>
              <w:rPr>
                <w:szCs w:val="24"/>
                <w:lang w:val="en-GB" w:eastAsia="en-US"/>
              </w:rPr>
            </w:pPr>
            <w:r w:rsidRPr="00DC67EB">
              <w:rPr>
                <w:szCs w:val="24"/>
                <w:lang w:val="en-GB" w:eastAsia="en-US"/>
              </w:rPr>
              <w:t>Szulfametoxazol</w:t>
            </w:r>
          </w:p>
        </w:tc>
        <w:tc>
          <w:tcPr>
            <w:tcW w:w="0" w:type="auto"/>
          </w:tcPr>
          <w:p w14:paraId="1E34D1F2" w14:textId="77777777" w:rsidR="001D30D4" w:rsidRPr="00DC67EB" w:rsidRDefault="001D30D4" w:rsidP="001D30D4">
            <w:pPr>
              <w:spacing w:before="120" w:after="120" w:line="360" w:lineRule="auto"/>
              <w:rPr>
                <w:szCs w:val="24"/>
                <w:lang w:val="en-GB" w:eastAsia="en-US"/>
              </w:rPr>
            </w:pPr>
            <w:r w:rsidRPr="00DC67EB">
              <w:rPr>
                <w:szCs w:val="24"/>
                <w:lang w:val="en-GB" w:eastAsia="en-US"/>
              </w:rPr>
              <w:t>Gyógyszerek</w:t>
            </w:r>
          </w:p>
        </w:tc>
        <w:tc>
          <w:tcPr>
            <w:tcW w:w="0" w:type="auto"/>
          </w:tcPr>
          <w:p w14:paraId="6B66F83E" w14:textId="77777777" w:rsidR="001D30D4" w:rsidRPr="00DC67EB" w:rsidRDefault="001D30D4" w:rsidP="001D30D4">
            <w:pPr>
              <w:spacing w:before="120" w:after="120" w:line="360" w:lineRule="auto"/>
              <w:rPr>
                <w:szCs w:val="24"/>
                <w:lang w:val="en-GB" w:eastAsia="en-US"/>
              </w:rPr>
            </w:pPr>
            <w:r w:rsidRPr="00DC67EB">
              <w:rPr>
                <w:szCs w:val="24"/>
                <w:lang w:val="en-GB" w:eastAsia="en-US"/>
              </w:rPr>
              <w:t>723-46-6</w:t>
            </w:r>
          </w:p>
        </w:tc>
        <w:tc>
          <w:tcPr>
            <w:tcW w:w="0" w:type="auto"/>
          </w:tcPr>
          <w:p w14:paraId="684E5FBA" w14:textId="77777777" w:rsidR="001D30D4" w:rsidRPr="00DC67EB" w:rsidRDefault="001D30D4" w:rsidP="001D30D4">
            <w:pPr>
              <w:spacing w:before="120" w:after="120" w:line="360" w:lineRule="auto"/>
              <w:rPr>
                <w:szCs w:val="24"/>
                <w:lang w:val="en-GB" w:eastAsia="en-US"/>
              </w:rPr>
            </w:pPr>
            <w:r w:rsidRPr="00DC67EB">
              <w:rPr>
                <w:szCs w:val="24"/>
                <w:lang w:val="en-GB" w:eastAsia="en-US"/>
              </w:rPr>
              <w:t>nem alkalmazható</w:t>
            </w:r>
          </w:p>
        </w:tc>
        <w:tc>
          <w:tcPr>
            <w:tcW w:w="0" w:type="auto"/>
          </w:tcPr>
          <w:p w14:paraId="21BB507E" w14:textId="77777777" w:rsidR="001D30D4" w:rsidRPr="00DC67EB" w:rsidRDefault="001D30D4" w:rsidP="001D30D4">
            <w:pPr>
              <w:spacing w:before="120" w:after="120" w:line="360" w:lineRule="auto"/>
              <w:rPr>
                <w:szCs w:val="24"/>
                <w:lang w:val="en-GB" w:eastAsia="en-US"/>
              </w:rPr>
            </w:pPr>
            <w:r w:rsidRPr="00DC67EB">
              <w:rPr>
                <w:szCs w:val="24"/>
                <w:lang w:val="en-GB" w:eastAsia="en-US"/>
              </w:rPr>
              <w:t>0,01</w:t>
            </w:r>
          </w:p>
        </w:tc>
      </w:tr>
      <w:tr w:rsidR="00DC67EB" w:rsidRPr="00DC67EB" w14:paraId="5BD23C7B" w14:textId="77777777" w:rsidTr="000536D5">
        <w:tc>
          <w:tcPr>
            <w:tcW w:w="0" w:type="auto"/>
          </w:tcPr>
          <w:p w14:paraId="1E7E5B04" w14:textId="77777777" w:rsidR="001D30D4" w:rsidRPr="00DC67EB" w:rsidRDefault="001D30D4" w:rsidP="001D30D4">
            <w:pPr>
              <w:spacing w:before="120" w:after="120" w:line="360" w:lineRule="auto"/>
              <w:rPr>
                <w:b/>
                <w:szCs w:val="24"/>
                <w:lang w:val="en-GB" w:eastAsia="en-US"/>
              </w:rPr>
            </w:pPr>
            <w:r w:rsidRPr="00DC67EB">
              <w:rPr>
                <w:szCs w:val="24"/>
                <w:lang w:val="en-GB" w:eastAsia="en-US"/>
              </w:rPr>
              <w:t>6.</w:t>
            </w:r>
            <w:r w:rsidR="0028566B" w:rsidRPr="00DC67EB">
              <w:rPr>
                <w:szCs w:val="24"/>
                <w:lang w:val="en-GB" w:eastAsia="en-US"/>
              </w:rPr>
              <w:t xml:space="preserve"> </w:t>
            </w:r>
            <w:r w:rsidR="0028566B" w:rsidRPr="00DC67EB">
              <w:rPr>
                <w:b/>
                <w:szCs w:val="24"/>
                <w:lang w:val="en-GB" w:eastAsia="en-US"/>
              </w:rPr>
              <w:t xml:space="preserve"> [Mód. 147]</w:t>
            </w:r>
          </w:p>
        </w:tc>
        <w:tc>
          <w:tcPr>
            <w:tcW w:w="0" w:type="auto"/>
          </w:tcPr>
          <w:p w14:paraId="707667FD" w14:textId="77777777" w:rsidR="001D30D4" w:rsidRPr="00DC67EB" w:rsidRDefault="001D30D4" w:rsidP="001D30D4">
            <w:pPr>
              <w:spacing w:before="120" w:after="120" w:line="360" w:lineRule="auto"/>
              <w:rPr>
                <w:szCs w:val="24"/>
                <w:lang w:val="en-GB" w:eastAsia="en-US"/>
              </w:rPr>
            </w:pPr>
            <w:r w:rsidRPr="00DC67EB">
              <w:rPr>
                <w:szCs w:val="24"/>
                <w:lang w:val="en-GB" w:eastAsia="en-US"/>
              </w:rPr>
              <w:t>Gyógyszerhatóanyagok – összes (8)</w:t>
            </w:r>
          </w:p>
        </w:tc>
        <w:tc>
          <w:tcPr>
            <w:tcW w:w="0" w:type="auto"/>
          </w:tcPr>
          <w:p w14:paraId="09805651" w14:textId="77777777" w:rsidR="001D30D4" w:rsidRPr="00DC67EB" w:rsidRDefault="001D30D4" w:rsidP="001D30D4">
            <w:pPr>
              <w:spacing w:before="120" w:after="120" w:line="360" w:lineRule="auto"/>
              <w:rPr>
                <w:szCs w:val="24"/>
                <w:lang w:val="en-GB" w:eastAsia="en-US"/>
              </w:rPr>
            </w:pPr>
            <w:r w:rsidRPr="00DC67EB">
              <w:rPr>
                <w:szCs w:val="24"/>
                <w:lang w:val="en-GB" w:eastAsia="en-US"/>
              </w:rPr>
              <w:t>Gyógyszerek</w:t>
            </w:r>
          </w:p>
        </w:tc>
        <w:tc>
          <w:tcPr>
            <w:tcW w:w="0" w:type="auto"/>
          </w:tcPr>
          <w:p w14:paraId="1B7C0937" w14:textId="77777777" w:rsidR="001D30D4" w:rsidRPr="00DC67EB" w:rsidRDefault="001D30D4" w:rsidP="001D30D4">
            <w:pPr>
              <w:spacing w:before="120" w:after="120" w:line="360" w:lineRule="auto"/>
              <w:rPr>
                <w:szCs w:val="24"/>
                <w:lang w:val="en-GB" w:eastAsia="en-US"/>
              </w:rPr>
            </w:pPr>
            <w:r w:rsidRPr="00DC67EB">
              <w:rPr>
                <w:szCs w:val="24"/>
                <w:lang w:val="en-GB" w:eastAsia="en-US"/>
              </w:rPr>
              <w:t>nem alkalmazható</w:t>
            </w:r>
          </w:p>
        </w:tc>
        <w:tc>
          <w:tcPr>
            <w:tcW w:w="0" w:type="auto"/>
          </w:tcPr>
          <w:p w14:paraId="007A47C5" w14:textId="77777777" w:rsidR="001D30D4" w:rsidRPr="00DC67EB" w:rsidRDefault="001D30D4" w:rsidP="001D30D4">
            <w:pPr>
              <w:spacing w:before="120" w:after="120" w:line="360" w:lineRule="auto"/>
              <w:rPr>
                <w:szCs w:val="24"/>
                <w:lang w:val="en-GB" w:eastAsia="en-US"/>
              </w:rPr>
            </w:pPr>
            <w:r w:rsidRPr="00DC67EB">
              <w:rPr>
                <w:szCs w:val="24"/>
                <w:lang w:val="en-GB" w:eastAsia="en-US"/>
              </w:rPr>
              <w:t>nem alkalmazható</w:t>
            </w:r>
          </w:p>
        </w:tc>
        <w:tc>
          <w:tcPr>
            <w:tcW w:w="0" w:type="auto"/>
          </w:tcPr>
          <w:p w14:paraId="6E1FFA4D" w14:textId="77777777" w:rsidR="001D30D4" w:rsidRPr="00DC67EB" w:rsidRDefault="0028566B" w:rsidP="001D30D4">
            <w:pPr>
              <w:spacing w:before="120" w:after="120" w:line="360" w:lineRule="auto"/>
              <w:rPr>
                <w:b/>
                <w:i/>
                <w:szCs w:val="24"/>
                <w:lang w:val="en-GB" w:eastAsia="en-US"/>
              </w:rPr>
            </w:pPr>
            <w:r w:rsidRPr="00DC67EB">
              <w:rPr>
                <w:b/>
                <w:i/>
                <w:strike/>
                <w:szCs w:val="24"/>
                <w:lang w:val="en-GB" w:eastAsia="en-US"/>
              </w:rPr>
              <w:t>0,025</w:t>
            </w:r>
            <w:r w:rsidRPr="00DC67EB">
              <w:rPr>
                <w:b/>
                <w:i/>
                <w:szCs w:val="24"/>
                <w:lang w:val="en-GB" w:eastAsia="en-US"/>
              </w:rPr>
              <w:t xml:space="preserve"> </w:t>
            </w:r>
            <w:r w:rsidR="001D30D4" w:rsidRPr="00DC67EB">
              <w:rPr>
                <w:b/>
                <w:i/>
                <w:szCs w:val="24"/>
                <w:lang w:val="en-GB" w:eastAsia="en-US"/>
              </w:rPr>
              <w:t>0,</w:t>
            </w:r>
            <w:r w:rsidRPr="00DC67EB">
              <w:rPr>
                <w:b/>
                <w:i/>
                <w:szCs w:val="24"/>
                <w:lang w:val="en-GB" w:eastAsia="en-US"/>
              </w:rPr>
              <w:t>0</w:t>
            </w:r>
            <w:r w:rsidR="001D30D4" w:rsidRPr="00DC67EB">
              <w:rPr>
                <w:b/>
                <w:i/>
                <w:szCs w:val="24"/>
                <w:lang w:val="en-GB" w:eastAsia="en-US"/>
              </w:rPr>
              <w:t>25</w:t>
            </w:r>
          </w:p>
        </w:tc>
      </w:tr>
      <w:tr w:rsidR="00DC67EB" w:rsidRPr="00DC67EB" w14:paraId="78455130" w14:textId="77777777" w:rsidTr="000536D5">
        <w:tc>
          <w:tcPr>
            <w:tcW w:w="0" w:type="auto"/>
            <w:vMerge w:val="restart"/>
          </w:tcPr>
          <w:p w14:paraId="2B671E44" w14:textId="77777777" w:rsidR="001D30D4" w:rsidRPr="00DC67EB" w:rsidRDefault="001D30D4" w:rsidP="001D30D4">
            <w:pPr>
              <w:spacing w:before="120" w:after="120" w:line="360" w:lineRule="auto"/>
              <w:rPr>
                <w:b/>
                <w:szCs w:val="24"/>
                <w:lang w:val="en-GB" w:eastAsia="en-US"/>
              </w:rPr>
            </w:pPr>
            <w:r w:rsidRPr="00DC67EB">
              <w:rPr>
                <w:szCs w:val="24"/>
                <w:lang w:val="en-GB" w:eastAsia="en-US"/>
              </w:rPr>
              <w:t>7.</w:t>
            </w:r>
            <w:r w:rsidR="0028566B" w:rsidRPr="00DC67EB">
              <w:rPr>
                <w:szCs w:val="24"/>
                <w:lang w:val="en-GB" w:eastAsia="en-US"/>
              </w:rPr>
              <w:t xml:space="preserve"> </w:t>
            </w:r>
            <w:r w:rsidR="0028566B" w:rsidRPr="00DC67EB">
              <w:rPr>
                <w:b/>
                <w:szCs w:val="24"/>
                <w:lang w:val="en-GB" w:eastAsia="en-US"/>
              </w:rPr>
              <w:t xml:space="preserve"> [Mód. 148]</w:t>
            </w:r>
          </w:p>
        </w:tc>
        <w:tc>
          <w:tcPr>
            <w:tcW w:w="0" w:type="auto"/>
            <w:vMerge w:val="restart"/>
          </w:tcPr>
          <w:p w14:paraId="2E00D98A" w14:textId="77777777" w:rsidR="001D30D4" w:rsidRPr="00DC67EB" w:rsidRDefault="001D30D4" w:rsidP="001D30D4">
            <w:pPr>
              <w:spacing w:before="120" w:after="120" w:line="360" w:lineRule="auto"/>
              <w:rPr>
                <w:szCs w:val="24"/>
                <w:lang w:val="en-GB" w:eastAsia="en-US"/>
              </w:rPr>
            </w:pPr>
            <w:r w:rsidRPr="00DC67EB">
              <w:rPr>
                <w:szCs w:val="24"/>
                <w:lang w:val="en-GB" w:eastAsia="en-US"/>
              </w:rPr>
              <w:t>Nem releváns növényvédőszer-metabolitok (nrM-ek)</w:t>
            </w:r>
          </w:p>
        </w:tc>
        <w:tc>
          <w:tcPr>
            <w:tcW w:w="0" w:type="auto"/>
            <w:vMerge w:val="restart"/>
          </w:tcPr>
          <w:p w14:paraId="71A65DDE" w14:textId="77777777" w:rsidR="001D30D4" w:rsidRPr="00DC67EB" w:rsidRDefault="001D30D4" w:rsidP="001D30D4">
            <w:pPr>
              <w:spacing w:before="120" w:after="120" w:line="360" w:lineRule="auto"/>
              <w:rPr>
                <w:szCs w:val="24"/>
                <w:lang w:val="en-GB" w:eastAsia="en-US"/>
              </w:rPr>
            </w:pPr>
            <w:r w:rsidRPr="00DC67EB">
              <w:rPr>
                <w:szCs w:val="24"/>
                <w:lang w:val="en-GB" w:eastAsia="en-US"/>
              </w:rPr>
              <w:t>Növényvédő szerek</w:t>
            </w:r>
          </w:p>
        </w:tc>
        <w:tc>
          <w:tcPr>
            <w:tcW w:w="0" w:type="auto"/>
            <w:vMerge w:val="restart"/>
          </w:tcPr>
          <w:p w14:paraId="166C0C94" w14:textId="77777777" w:rsidR="001D30D4" w:rsidRPr="00DC67EB" w:rsidRDefault="001D30D4" w:rsidP="001D30D4">
            <w:pPr>
              <w:spacing w:before="120" w:after="120" w:line="360" w:lineRule="auto"/>
              <w:rPr>
                <w:szCs w:val="24"/>
                <w:lang w:val="en-GB" w:eastAsia="en-US"/>
              </w:rPr>
            </w:pPr>
            <w:r w:rsidRPr="00DC67EB">
              <w:rPr>
                <w:szCs w:val="24"/>
                <w:lang w:val="en-GB" w:eastAsia="en-US"/>
              </w:rPr>
              <w:t>nem alkalmazható</w:t>
            </w:r>
          </w:p>
        </w:tc>
        <w:tc>
          <w:tcPr>
            <w:tcW w:w="0" w:type="auto"/>
            <w:vMerge w:val="restart"/>
          </w:tcPr>
          <w:p w14:paraId="4A2B5837" w14:textId="77777777" w:rsidR="001D30D4" w:rsidRPr="00DC67EB" w:rsidRDefault="001D30D4" w:rsidP="001D30D4">
            <w:pPr>
              <w:spacing w:before="120" w:after="120" w:line="360" w:lineRule="auto"/>
              <w:rPr>
                <w:szCs w:val="24"/>
                <w:lang w:val="en-GB" w:eastAsia="en-US"/>
              </w:rPr>
            </w:pPr>
            <w:r w:rsidRPr="00DC67EB">
              <w:rPr>
                <w:szCs w:val="24"/>
                <w:lang w:val="en-GB" w:eastAsia="en-US"/>
              </w:rPr>
              <w:t>nem alkalmazható</w:t>
            </w:r>
          </w:p>
        </w:tc>
        <w:tc>
          <w:tcPr>
            <w:tcW w:w="0" w:type="auto"/>
          </w:tcPr>
          <w:p w14:paraId="7BE416A2" w14:textId="77777777" w:rsidR="001D30D4" w:rsidRPr="00DC67EB" w:rsidRDefault="001D30D4" w:rsidP="001D30D4">
            <w:pPr>
              <w:spacing w:before="120" w:after="120" w:line="360" w:lineRule="auto"/>
              <w:rPr>
                <w:szCs w:val="24"/>
                <w:lang w:val="en-GB" w:eastAsia="en-US"/>
              </w:rPr>
            </w:pPr>
            <w:r w:rsidRPr="00DC67EB">
              <w:rPr>
                <w:szCs w:val="24"/>
                <w:lang w:val="en-GB" w:eastAsia="en-US"/>
              </w:rPr>
              <w:t xml:space="preserve">0,1 </w:t>
            </w:r>
            <w:r w:rsidR="0028566B" w:rsidRPr="00DC67EB">
              <w:rPr>
                <w:b/>
                <w:i/>
                <w:strike/>
                <w:szCs w:val="24"/>
                <w:lang w:eastAsia="en-US"/>
              </w:rPr>
              <w:t>(</w:t>
            </w:r>
            <w:r w:rsidR="0028566B" w:rsidRPr="00DC67EB">
              <w:rPr>
                <w:b/>
                <w:i/>
                <w:strike/>
                <w:szCs w:val="24"/>
                <w:vertAlign w:val="superscript"/>
                <w:lang w:eastAsia="en-US"/>
              </w:rPr>
              <w:t>9</w:t>
            </w:r>
            <w:r w:rsidR="0028566B" w:rsidRPr="00DC67EB">
              <w:rPr>
                <w:b/>
                <w:i/>
                <w:strike/>
                <w:szCs w:val="24"/>
                <w:lang w:eastAsia="en-US"/>
              </w:rPr>
              <w:t>) vagy 1 (</w:t>
            </w:r>
            <w:r w:rsidR="0028566B" w:rsidRPr="00DC67EB">
              <w:rPr>
                <w:b/>
                <w:i/>
                <w:strike/>
                <w:szCs w:val="24"/>
                <w:vertAlign w:val="superscript"/>
                <w:lang w:eastAsia="en-US"/>
              </w:rPr>
              <w:t>10</w:t>
            </w:r>
            <w:r w:rsidR="0028566B" w:rsidRPr="00DC67EB">
              <w:rPr>
                <w:b/>
                <w:i/>
                <w:strike/>
                <w:szCs w:val="24"/>
                <w:lang w:eastAsia="en-US"/>
              </w:rPr>
              <w:t>) vagy 2,5 vagy 5 (</w:t>
            </w:r>
            <w:r w:rsidR="0028566B" w:rsidRPr="00DC67EB">
              <w:rPr>
                <w:b/>
                <w:i/>
                <w:strike/>
                <w:szCs w:val="24"/>
                <w:vertAlign w:val="superscript"/>
                <w:lang w:eastAsia="en-US"/>
              </w:rPr>
              <w:t>11</w:t>
            </w:r>
            <w:r w:rsidR="0028566B" w:rsidRPr="00DC67EB">
              <w:rPr>
                <w:b/>
                <w:i/>
                <w:strike/>
                <w:szCs w:val="24"/>
                <w:lang w:eastAsia="en-US"/>
              </w:rPr>
              <w:t>)</w:t>
            </w:r>
            <w:r w:rsidR="0028566B" w:rsidRPr="00DC67EB">
              <w:rPr>
                <w:b/>
                <w:i/>
                <w:szCs w:val="24"/>
                <w:lang w:eastAsia="en-US"/>
              </w:rPr>
              <w:t xml:space="preserve"> </w:t>
            </w:r>
            <w:r w:rsidRPr="00DC67EB">
              <w:rPr>
                <w:szCs w:val="24"/>
                <w:lang w:val="en-GB" w:eastAsia="en-US"/>
              </w:rPr>
              <w:t>(egyedi)</w:t>
            </w:r>
          </w:p>
        </w:tc>
      </w:tr>
      <w:tr w:rsidR="00DC67EB" w:rsidRPr="00DC67EB" w14:paraId="20549A3C" w14:textId="77777777" w:rsidTr="000536D5">
        <w:tc>
          <w:tcPr>
            <w:tcW w:w="0" w:type="auto"/>
            <w:vMerge/>
          </w:tcPr>
          <w:p w14:paraId="1648A6E3" w14:textId="77777777" w:rsidR="001D30D4" w:rsidRPr="00DC67EB" w:rsidRDefault="001D30D4" w:rsidP="001D30D4">
            <w:pPr>
              <w:spacing w:before="120" w:after="120" w:line="360" w:lineRule="auto"/>
              <w:rPr>
                <w:szCs w:val="24"/>
                <w:lang w:val="en-GB" w:eastAsia="en-US"/>
              </w:rPr>
            </w:pPr>
          </w:p>
        </w:tc>
        <w:tc>
          <w:tcPr>
            <w:tcW w:w="0" w:type="auto"/>
            <w:vMerge/>
          </w:tcPr>
          <w:p w14:paraId="7C36FD18" w14:textId="77777777" w:rsidR="001D30D4" w:rsidRPr="00DC67EB" w:rsidRDefault="001D30D4" w:rsidP="001D30D4">
            <w:pPr>
              <w:spacing w:before="120" w:after="120" w:line="360" w:lineRule="auto"/>
              <w:rPr>
                <w:szCs w:val="24"/>
                <w:lang w:val="en-GB" w:eastAsia="en-US"/>
              </w:rPr>
            </w:pPr>
          </w:p>
        </w:tc>
        <w:tc>
          <w:tcPr>
            <w:tcW w:w="0" w:type="auto"/>
            <w:vMerge/>
          </w:tcPr>
          <w:p w14:paraId="64988F7B" w14:textId="77777777" w:rsidR="001D30D4" w:rsidRPr="00DC67EB" w:rsidRDefault="001D30D4" w:rsidP="001D30D4">
            <w:pPr>
              <w:spacing w:before="120" w:after="120" w:line="360" w:lineRule="auto"/>
              <w:rPr>
                <w:szCs w:val="24"/>
                <w:lang w:val="en-GB" w:eastAsia="en-US"/>
              </w:rPr>
            </w:pPr>
          </w:p>
        </w:tc>
        <w:tc>
          <w:tcPr>
            <w:tcW w:w="0" w:type="auto"/>
            <w:vMerge/>
          </w:tcPr>
          <w:p w14:paraId="4BC554FF" w14:textId="77777777" w:rsidR="001D30D4" w:rsidRPr="00DC67EB" w:rsidRDefault="001D30D4" w:rsidP="001D30D4">
            <w:pPr>
              <w:spacing w:before="120" w:after="120" w:line="360" w:lineRule="auto"/>
              <w:rPr>
                <w:szCs w:val="24"/>
                <w:lang w:val="en-GB" w:eastAsia="en-US"/>
              </w:rPr>
            </w:pPr>
          </w:p>
        </w:tc>
        <w:tc>
          <w:tcPr>
            <w:tcW w:w="0" w:type="auto"/>
            <w:vMerge/>
          </w:tcPr>
          <w:p w14:paraId="6C5AA961" w14:textId="77777777" w:rsidR="001D30D4" w:rsidRPr="00DC67EB" w:rsidRDefault="001D30D4" w:rsidP="001D30D4">
            <w:pPr>
              <w:spacing w:before="120" w:after="120" w:line="360" w:lineRule="auto"/>
              <w:rPr>
                <w:szCs w:val="24"/>
                <w:lang w:val="en-GB" w:eastAsia="en-US"/>
              </w:rPr>
            </w:pPr>
          </w:p>
        </w:tc>
        <w:tc>
          <w:tcPr>
            <w:tcW w:w="0" w:type="auto"/>
          </w:tcPr>
          <w:p w14:paraId="6D20D9E8" w14:textId="77777777" w:rsidR="001D30D4" w:rsidRPr="00DC67EB" w:rsidRDefault="0028566B" w:rsidP="001D30D4">
            <w:pPr>
              <w:spacing w:before="120" w:after="120" w:line="360" w:lineRule="auto"/>
              <w:rPr>
                <w:szCs w:val="24"/>
                <w:lang w:val="en-GB" w:eastAsia="en-US"/>
              </w:rPr>
            </w:pPr>
            <w:r w:rsidRPr="00DC67EB">
              <w:rPr>
                <w:b/>
                <w:i/>
                <w:strike/>
                <w:szCs w:val="24"/>
                <w:lang w:eastAsia="en-US"/>
              </w:rPr>
              <w:t>(</w:t>
            </w:r>
            <w:r w:rsidRPr="00DC67EB">
              <w:rPr>
                <w:b/>
                <w:i/>
                <w:strike/>
                <w:szCs w:val="24"/>
                <w:vertAlign w:val="superscript"/>
                <w:lang w:eastAsia="en-US"/>
              </w:rPr>
              <w:t>9</w:t>
            </w:r>
            <w:r w:rsidRPr="00DC67EB">
              <w:rPr>
                <w:b/>
                <w:i/>
                <w:strike/>
                <w:szCs w:val="24"/>
                <w:lang w:eastAsia="en-US"/>
              </w:rPr>
              <w:t>) vagy 5 (</w:t>
            </w:r>
            <w:r w:rsidRPr="00DC67EB">
              <w:rPr>
                <w:b/>
                <w:i/>
                <w:strike/>
                <w:szCs w:val="24"/>
                <w:vertAlign w:val="superscript"/>
                <w:lang w:eastAsia="en-US"/>
              </w:rPr>
              <w:t>10</w:t>
            </w:r>
            <w:r w:rsidRPr="00DC67EB">
              <w:rPr>
                <w:b/>
                <w:i/>
                <w:strike/>
                <w:szCs w:val="24"/>
                <w:lang w:eastAsia="en-US"/>
              </w:rPr>
              <w:t>) vagy 12,5 (</w:t>
            </w:r>
            <w:r w:rsidRPr="00DC67EB">
              <w:rPr>
                <w:b/>
                <w:i/>
                <w:strike/>
                <w:szCs w:val="24"/>
                <w:vertAlign w:val="superscript"/>
                <w:lang w:eastAsia="en-US"/>
              </w:rPr>
              <w:t>11</w:t>
            </w:r>
            <w:r w:rsidRPr="00DC67EB">
              <w:rPr>
                <w:b/>
                <w:i/>
                <w:strike/>
                <w:szCs w:val="24"/>
                <w:lang w:eastAsia="en-US"/>
              </w:rPr>
              <w:t xml:space="preserve">) </w:t>
            </w:r>
            <w:r w:rsidRPr="00DC67EB">
              <w:rPr>
                <w:b/>
                <w:i/>
                <w:szCs w:val="24"/>
                <w:lang w:eastAsia="en-US"/>
              </w:rPr>
              <w:t xml:space="preserve">0,5 </w:t>
            </w:r>
            <w:r w:rsidRPr="00DC67EB">
              <w:rPr>
                <w:szCs w:val="24"/>
                <w:lang w:eastAsia="en-US"/>
              </w:rPr>
              <w:t>(összes) (</w:t>
            </w:r>
            <w:r w:rsidRPr="00DC67EB">
              <w:rPr>
                <w:szCs w:val="24"/>
                <w:vertAlign w:val="superscript"/>
                <w:lang w:eastAsia="en-US"/>
              </w:rPr>
              <w:t>12</w:t>
            </w:r>
            <w:r w:rsidRPr="00DC67EB">
              <w:rPr>
                <w:szCs w:val="24"/>
                <w:lang w:eastAsia="en-US"/>
              </w:rPr>
              <w:t>)</w:t>
            </w:r>
          </w:p>
        </w:tc>
      </w:tr>
    </w:tbl>
    <w:p w14:paraId="68ADBA80" w14:textId="77777777" w:rsidR="001D30D4" w:rsidRPr="00E441EF" w:rsidRDefault="001D30D4" w:rsidP="001D30D4">
      <w:pPr>
        <w:spacing w:before="120" w:after="120" w:line="360" w:lineRule="auto"/>
        <w:ind w:left="1416" w:hanging="566"/>
        <w:rPr>
          <w:szCs w:val="24"/>
          <w:lang w:eastAsia="en-US"/>
        </w:rPr>
      </w:pPr>
      <w:r w:rsidRPr="00E441EF">
        <w:rPr>
          <w:szCs w:val="24"/>
          <w:lang w:eastAsia="en-US"/>
        </w:rPr>
        <w:t>(1)</w:t>
      </w:r>
      <w:r w:rsidRPr="00E441EF">
        <w:rPr>
          <w:szCs w:val="24"/>
          <w:lang w:eastAsia="en-US"/>
        </w:rPr>
        <w:tab/>
        <w:t>CAS: Vegyianyag Nyilvántartási Szolgálat (Chemical Abstracts Service).</w:t>
      </w:r>
    </w:p>
    <w:p w14:paraId="6BD89E02" w14:textId="77777777" w:rsidR="001D30D4" w:rsidRPr="00E441EF" w:rsidRDefault="001D30D4" w:rsidP="001D30D4">
      <w:pPr>
        <w:spacing w:before="120" w:after="120" w:line="360" w:lineRule="auto"/>
        <w:ind w:left="1416" w:hanging="566"/>
        <w:rPr>
          <w:szCs w:val="24"/>
          <w:lang w:eastAsia="en-US"/>
        </w:rPr>
      </w:pPr>
      <w:r w:rsidRPr="00E441EF">
        <w:rPr>
          <w:szCs w:val="24"/>
          <w:lang w:eastAsia="en-US"/>
        </w:rPr>
        <w:t>(2)</w:t>
      </w:r>
      <w:r w:rsidRPr="00E441EF">
        <w:rPr>
          <w:szCs w:val="24"/>
          <w:lang w:eastAsia="en-US"/>
        </w:rPr>
        <w:tab/>
        <w:t>EU-szám: Létező Kereskedelmi Vegyi Anyagok Európai Jegyzéke (EINECS) vagy Törzskönyvezett Vegyi Anyagok Európai Jegyzéke (ELINCS).</w:t>
      </w:r>
    </w:p>
    <w:p w14:paraId="7032A6F0" w14:textId="77777777" w:rsidR="001D30D4" w:rsidRPr="00E441EF" w:rsidRDefault="001D30D4" w:rsidP="001D30D4">
      <w:pPr>
        <w:spacing w:before="120" w:after="120" w:line="360" w:lineRule="auto"/>
        <w:ind w:left="1416" w:hanging="566"/>
        <w:rPr>
          <w:szCs w:val="24"/>
          <w:lang w:eastAsia="en-US"/>
        </w:rPr>
      </w:pPr>
      <w:r w:rsidRPr="00E441EF">
        <w:rPr>
          <w:szCs w:val="24"/>
          <w:lang w:eastAsia="en-US"/>
        </w:rPr>
        <w:t>(3)</w:t>
      </w:r>
      <w:r w:rsidRPr="00E441EF">
        <w:rPr>
          <w:szCs w:val="24"/>
          <w:lang w:eastAsia="en-US"/>
        </w:rPr>
        <w:tab/>
        <w:t>Ez a paraméter az éves átlagértékben kifejezett QS. Más előírás hiányában az összes anyag és izomer koncentrációjára vonatkozik.</w:t>
      </w:r>
    </w:p>
    <w:p w14:paraId="623B3AE6" w14:textId="77777777" w:rsidR="001D30D4" w:rsidRPr="00E441EF" w:rsidRDefault="001D30D4" w:rsidP="001D30D4">
      <w:pPr>
        <w:spacing w:before="120" w:after="120" w:line="360" w:lineRule="auto"/>
        <w:ind w:left="1416" w:hanging="566"/>
        <w:rPr>
          <w:szCs w:val="24"/>
          <w:lang w:eastAsia="en-US"/>
        </w:rPr>
      </w:pPr>
      <w:r w:rsidRPr="00E441EF">
        <w:rPr>
          <w:szCs w:val="24"/>
          <w:lang w:eastAsia="en-US"/>
        </w:rPr>
        <w:t>(4)</w:t>
      </w:r>
      <w:r w:rsidRPr="00E441EF">
        <w:rPr>
          <w:szCs w:val="24"/>
          <w:lang w:eastAsia="en-US"/>
        </w:rPr>
        <w:tab/>
        <w:t>»Növényvédő szerek«: a növényvédő szerek forgalomba hozataláról szóló, 2009. október 21-i 1107/2009/EK európai parlamenti és tanácsi rendelet 2. cikkében, illetve a biocid termékek forgalmazásáról és felhasználásáról szóló, 2012. május 22-i 528/2012/EU európai parlamenti és tanácsi rendelet 3. cikkében említett növényvédő szerek és biocid termékek.</w:t>
      </w:r>
    </w:p>
    <w:p w14:paraId="154F712F" w14:textId="77777777" w:rsidR="0028566B" w:rsidRPr="00E441EF" w:rsidRDefault="0028566B" w:rsidP="001D30D4">
      <w:pPr>
        <w:spacing w:before="120" w:after="120" w:line="360" w:lineRule="auto"/>
        <w:ind w:left="1416" w:hanging="566"/>
        <w:rPr>
          <w:b/>
          <w:i/>
          <w:szCs w:val="24"/>
          <w:lang w:eastAsia="en-US"/>
        </w:rPr>
      </w:pPr>
      <w:r w:rsidRPr="00E441EF">
        <w:rPr>
          <w:b/>
          <w:i/>
          <w:szCs w:val="24"/>
          <w:lang w:eastAsia="en-US"/>
        </w:rPr>
        <w:t>(4a)</w:t>
      </w:r>
      <w:r w:rsidRPr="00E441EF">
        <w:rPr>
          <w:b/>
          <w:i/>
          <w:szCs w:val="24"/>
          <w:lang w:eastAsia="en-US"/>
        </w:rPr>
        <w:tab/>
      </w:r>
      <w:r w:rsidRPr="00DC67EB">
        <w:rPr>
          <w:b/>
          <w:i/>
          <w:szCs w:val="24"/>
          <w:lang w:eastAsia="en-US"/>
        </w:rPr>
        <w:t xml:space="preserve">Ez a küszöbérték csak a Bizottság felülvizsgálatáig alkalmazandó. </w:t>
      </w:r>
    </w:p>
    <w:p w14:paraId="23B5D392" w14:textId="77777777" w:rsidR="001D30D4" w:rsidRPr="00E441EF" w:rsidRDefault="001D30D4" w:rsidP="001D30D4">
      <w:pPr>
        <w:spacing w:before="120" w:after="120" w:line="360" w:lineRule="auto"/>
        <w:ind w:left="1416" w:hanging="566"/>
        <w:rPr>
          <w:szCs w:val="24"/>
          <w:lang w:eastAsia="en-US"/>
        </w:rPr>
      </w:pPr>
      <w:r w:rsidRPr="00E441EF">
        <w:rPr>
          <w:szCs w:val="24"/>
          <w:lang w:eastAsia="en-US"/>
        </w:rPr>
        <w:t>(5)</w:t>
      </w:r>
      <w:r w:rsidRPr="00E441EF">
        <w:rPr>
          <w:szCs w:val="24"/>
          <w:lang w:eastAsia="en-US"/>
        </w:rPr>
        <w:tab/>
        <w:t>»Összes«: minden egyes, a nyomon követési eljárás során kimutatott és számszerűsített növényvédő szer összege, beleértve anyagcseretermékeiket, lebontási termékeiket és reakciótermékeiket.</w:t>
      </w:r>
      <w:r w:rsidR="0028566B" w:rsidRPr="00E441EF">
        <w:rPr>
          <w:szCs w:val="24"/>
          <w:lang w:eastAsia="en-US"/>
        </w:rPr>
        <w:t xml:space="preserve"> </w:t>
      </w:r>
      <w:r w:rsidR="0028566B" w:rsidRPr="00DC67EB">
        <w:rPr>
          <w:b/>
          <w:i/>
          <w:szCs w:val="24"/>
          <w:lang w:eastAsia="en-US"/>
        </w:rPr>
        <w:t>Az összes növényvédő szer összegére megállapított küszöbértéket csak a Bizottság felülvizsgálatáig kell alkalmazni.</w:t>
      </w:r>
    </w:p>
    <w:p w14:paraId="1182440F" w14:textId="77777777" w:rsidR="001D30D4" w:rsidRPr="00E441EF" w:rsidRDefault="001D30D4" w:rsidP="001D30D4">
      <w:pPr>
        <w:spacing w:before="120" w:after="120" w:line="360" w:lineRule="auto"/>
        <w:ind w:left="1416" w:hanging="566"/>
        <w:rPr>
          <w:szCs w:val="24"/>
          <w:lang w:eastAsia="en-US"/>
        </w:rPr>
      </w:pPr>
      <w:r w:rsidRPr="00E441EF">
        <w:rPr>
          <w:szCs w:val="24"/>
          <w:lang w:eastAsia="en-US"/>
        </w:rPr>
        <w:t>(6)</w:t>
      </w:r>
      <w:r w:rsidRPr="00E441EF">
        <w:rPr>
          <w:szCs w:val="24"/>
          <w:lang w:eastAsia="en-US"/>
        </w:rPr>
        <w:tab/>
        <w:t>Ez a következő – CAS-számmal, EU-számmal és relatív hatáserősségi tényezővel (RPF) együtt felsorolt – vegyületekre vonatkozik: perfluoroktánsav (PFOA) (CAS 335-67-1, EU 206-397-9) (RPF 1), perfluoroktán-szulfonsav (PFOS) (CAS 1763-23-1, EU 217-179-8) (RPF 2), perfluorhexán-szulfonsav (PFHxS) (CAS 355-46-4, EU 206-587-1) (RPF 0,6)), perfluornonánsav (PFNA) (CAS 375-95-1, EU 206-801-3) (RPF 10), perfluorbután-szulfonsav (PFBS) (CAS 375-73-5, EU 206-793-1) (RPF 0,001), perfluorhexánsav (PFHxA) (CAS 307-24-4, EU 206-196-6) (RPF 0,01), perfluorbutánsav (PFBA) (CAS 375-22-4, EU 206-786-3) (RPF 0,05), perfluorpentánsav (PFPeA) (CAS 2706-90-3, EU 220-300-7) (RPF 0,03), perfluorpentán-szulfonsav (PFPeS) (CAS 2706-91-4, EU 220-301-2) (RPF 0,3005), perfluordekánsav (PFDA) (CAS 335-76-2, EU 206-400-3) (RPF 7), perfluordodekánsav (PFDoDA vagy PFDoA) (CAS 307-55-1, EU 206-203-2) (RPF 3), perfluorundekánsav (PFUnDA vagy PFUnA) (CAS 2058-94-8, EU 218-165-4) (RPF 4), perfluorheptánsav (PFHpA) (CAS 375-85-9, EU 206-798-9) (RPF 0,505), perfluortridekánsav (PFTrDA) (CAS 72629-94-8, EU 276-745-2) (RPF 1,65), perfluorheptán-szulfonsav (PFHpS) (CAS 375-92-8, EU 206-800-8) (RPF 1,3), perfluordekán-szulfonsav (PFDS) (CAS 335-77-3, EU 206-401-9) (RPF 2), perfluortetradekánsav (PFTeDA) (CAS 376-06-7, EU 206-803-4) (RPF 0,3), perfluorhexadekánsav (PFHxDA) (CAS 67905-19-5, EU 267-638-1) (RPF 0,02), perfluoroktadekánsav (PFODA) (CAS 16517-11-6, EU 240-582-5) (RPF 0,02), ammónium-perfluor(2-metil-3-oxahexanoát) (HFPO-DA vagy GenX) (CAS 62037-80-3) (RPF 0,06), propánsav / ammónium-(2,2,3-trifluor-3-[1,1,2,2,3,3-hexafluor-3-(trifluormetoxi)propoxi]propanoát (ADONA) (CAS 958445-44-8) (RPF 0,03), 2-(perfluor-hexil)-etil-alkohol (6:2 FTOH) (CAS 647-42-7, EU 211-477-1) (RPF 0,02), 2-(perfluoroktil)etanol (8:2 FTOH) (CAS 678-39-7, EU 211-648-0) (RPF 0,04) és ecetsav / 2,2-difluor-2-((2,2,4,5-tetrafluor-5-(trifluormetoxi)-1,3-dioxolán-4-il)oxi)- (C6O4) (CAS 1190931-41-9) (RPF 0,06).</w:t>
      </w:r>
    </w:p>
    <w:p w14:paraId="4D79B9E2" w14:textId="77777777" w:rsidR="001D30D4" w:rsidRPr="00E441EF" w:rsidRDefault="001D30D4" w:rsidP="001D30D4">
      <w:pPr>
        <w:spacing w:before="120" w:after="120" w:line="360" w:lineRule="auto"/>
        <w:ind w:left="1416" w:hanging="566"/>
        <w:rPr>
          <w:szCs w:val="24"/>
          <w:lang w:eastAsia="en-US"/>
        </w:rPr>
      </w:pPr>
      <w:r w:rsidRPr="00E441EF">
        <w:rPr>
          <w:szCs w:val="24"/>
          <w:lang w:eastAsia="en-US"/>
        </w:rPr>
        <w:t>(7)</w:t>
      </w:r>
      <w:r w:rsidRPr="00E441EF">
        <w:rPr>
          <w:szCs w:val="24"/>
          <w:lang w:eastAsia="en-US"/>
        </w:rPr>
        <w:tab/>
        <w:t>A QS a (6) megjegyzésben felsorolt 24 PFAS anyag összegére vonatkozik, PFOA-egyenértékben kifejezve, az anyagoknak a PFOA-éhoz viszonyított hatáserőssége, azaz a (6) megjegyzésben szereplő RPF-ek alapján.</w:t>
      </w:r>
    </w:p>
    <w:p w14:paraId="51DCE30D" w14:textId="77777777" w:rsidR="0028566B" w:rsidRPr="00E441EF" w:rsidRDefault="0028566B" w:rsidP="001D30D4">
      <w:pPr>
        <w:spacing w:before="120" w:after="120" w:line="360" w:lineRule="auto"/>
        <w:ind w:left="1416" w:hanging="566"/>
        <w:rPr>
          <w:szCs w:val="24"/>
          <w:lang w:eastAsia="en-US"/>
        </w:rPr>
      </w:pPr>
      <w:r w:rsidRPr="00DC67EB">
        <w:rPr>
          <w:b/>
          <w:i/>
          <w:szCs w:val="24"/>
          <w:lang w:eastAsia="en-US"/>
        </w:rPr>
        <w:t>(7a)</w:t>
      </w:r>
      <w:r w:rsidRPr="00DC67EB">
        <w:rPr>
          <w:b/>
          <w:i/>
          <w:szCs w:val="24"/>
          <w:lang w:eastAsia="en-US"/>
        </w:rPr>
        <w:tab/>
        <w:t>A minőségi előírást a Bizottság felhatalmazáson alapuló jogi aktussal határozza meg.</w:t>
      </w:r>
    </w:p>
    <w:p w14:paraId="21FF3C4C" w14:textId="77777777" w:rsidR="001D30D4" w:rsidRPr="00E441EF" w:rsidRDefault="001D30D4" w:rsidP="001D30D4">
      <w:pPr>
        <w:spacing w:before="120" w:after="120" w:line="360" w:lineRule="auto"/>
        <w:ind w:left="1416" w:hanging="566"/>
        <w:rPr>
          <w:szCs w:val="24"/>
          <w:lang w:eastAsia="en-US"/>
        </w:rPr>
      </w:pPr>
      <w:r w:rsidRPr="00E441EF">
        <w:rPr>
          <w:szCs w:val="24"/>
          <w:lang w:eastAsia="en-US"/>
        </w:rPr>
        <w:t>(8)</w:t>
      </w:r>
      <w:r w:rsidRPr="00E441EF">
        <w:rPr>
          <w:szCs w:val="24"/>
          <w:lang w:eastAsia="en-US"/>
        </w:rPr>
        <w:tab/>
        <w:t>»Összes«: minden egyes, a nyomon követési eljárás során kimutatott és számszerűsített gyógyszer összege, beleértve anyagcseretermékeiket és lebontási termékeiket.</w:t>
      </w:r>
    </w:p>
    <w:p w14:paraId="57B8E987" w14:textId="77777777" w:rsidR="001D30D4" w:rsidRPr="00E441EF" w:rsidRDefault="001D30D4" w:rsidP="001D30D4">
      <w:pPr>
        <w:spacing w:before="120" w:after="120" w:line="360" w:lineRule="auto"/>
        <w:ind w:left="1416" w:hanging="566"/>
        <w:rPr>
          <w:szCs w:val="24"/>
          <w:lang w:eastAsia="en-US"/>
        </w:rPr>
      </w:pPr>
      <w:r w:rsidRPr="00E441EF">
        <w:rPr>
          <w:strike/>
          <w:szCs w:val="24"/>
          <w:lang w:eastAsia="en-US"/>
        </w:rPr>
        <w:t>(9)</w:t>
      </w:r>
      <w:r w:rsidRPr="00E441EF">
        <w:rPr>
          <w:szCs w:val="24"/>
          <w:lang w:eastAsia="en-US"/>
        </w:rPr>
        <w:tab/>
      </w:r>
      <w:r w:rsidRPr="00E441EF">
        <w:rPr>
          <w:strike/>
          <w:szCs w:val="24"/>
          <w:lang w:eastAsia="en-US"/>
        </w:rPr>
        <w:t>Azokra a gyér adatellátottságú nrM-ekre alkalmazható, amelyek esetében nem állnak rendelkezésre megbízható kísérleti adatok az adott nrM krónikus vagy akut hatásaira vonatkozóan a bizonyára legérzékenyebb rendszertani csoport tekintetében.</w:t>
      </w:r>
    </w:p>
    <w:p w14:paraId="6BE3C98A" w14:textId="77777777" w:rsidR="001D30D4" w:rsidRPr="00E441EF" w:rsidRDefault="001D30D4" w:rsidP="001D30D4">
      <w:pPr>
        <w:spacing w:before="120" w:after="120" w:line="360" w:lineRule="auto"/>
        <w:ind w:left="1416" w:hanging="566"/>
        <w:rPr>
          <w:szCs w:val="24"/>
          <w:lang w:eastAsia="en-US"/>
        </w:rPr>
      </w:pPr>
      <w:r w:rsidRPr="00E441EF">
        <w:rPr>
          <w:strike/>
          <w:szCs w:val="24"/>
          <w:lang w:eastAsia="en-US"/>
        </w:rPr>
        <w:t>(10)</w:t>
      </w:r>
      <w:r w:rsidRPr="00E441EF">
        <w:rPr>
          <w:szCs w:val="24"/>
          <w:lang w:eastAsia="en-US"/>
        </w:rPr>
        <w:tab/>
      </w:r>
      <w:r w:rsidRPr="00E441EF">
        <w:rPr>
          <w:strike/>
          <w:szCs w:val="24"/>
          <w:lang w:eastAsia="en-US"/>
        </w:rPr>
        <w:t>Azokra a viszonylag jó adatellátottságú nrM-ekre alkalmazható, amelyek esetében megbízható kísérleti adatok állnak rendelkezésre az adott nrM krónikus vagy akut hatásaira vonatkozóan a bizonyára legérzékenyebb rendszertani csoport tekintetében, de az adatok nem elegendőek ahhoz, hogy az anyagokat jó adatellátottságúnak lehessen minősíteni.</w:t>
      </w:r>
    </w:p>
    <w:p w14:paraId="1CB7A9BF" w14:textId="77777777" w:rsidR="001D30D4" w:rsidRPr="00E441EF" w:rsidRDefault="001D30D4" w:rsidP="001D30D4">
      <w:pPr>
        <w:spacing w:before="120" w:after="120" w:line="360" w:lineRule="auto"/>
        <w:ind w:left="1416" w:hanging="566"/>
        <w:rPr>
          <w:szCs w:val="24"/>
          <w:lang w:eastAsia="en-US"/>
        </w:rPr>
      </w:pPr>
      <w:r w:rsidRPr="00E441EF">
        <w:rPr>
          <w:strike/>
          <w:szCs w:val="24"/>
          <w:lang w:eastAsia="en-US"/>
        </w:rPr>
        <w:t>(11)</w:t>
      </w:r>
      <w:r w:rsidRPr="00E441EF">
        <w:rPr>
          <w:szCs w:val="24"/>
          <w:lang w:eastAsia="en-US"/>
        </w:rPr>
        <w:tab/>
      </w:r>
      <w:r w:rsidRPr="00E441EF">
        <w:rPr>
          <w:strike/>
          <w:szCs w:val="24"/>
          <w:lang w:eastAsia="en-US"/>
        </w:rPr>
        <w:t>Azokra a jó adatellátottságú nrM-ekre alkalmazható, amelyek esetében megbízható kísérleti adatok vagy alternatív, tudományosan igazolt módszerekkel nyert, hasonlóan megbízható adatok állnak rendelkezésre az adott nrM-nek az algák, a gerinctelenek és a halak legalább egy fajára gyakorolt krónikus vagy akut hatásaira vonatkozóan, és így megerősítést nyerhet, hogy melyik a legérzékenyebb rendszertani csoport, amelyre a rendszertani csoportra vonatkozó megbízható, a krónikus toxicitást vizsgáló kísérleti adatok alapján determinisztikus megközelítést alkalmazva ki lehet számítani a QS-t. A tagállamok e célból alkalmazhatják a 2000/60/EK irányelv közös végrehajtási stratégiája keretében készült legújabb iránymutatást (a 27. sz. aktualizált útmutatót). Az egyedi nrM-ekre vonatkozóan a 2,5-ös QS-t kell alkalmazni, kivéve, ha a determinisztikus megközelítéssel kiszámított QS ennél magasabb, amely esetben az 5-ös QS alkalmazandó.</w:t>
      </w:r>
    </w:p>
    <w:p w14:paraId="4CF7CC8B" w14:textId="77777777" w:rsidR="001D30D4" w:rsidRPr="00E441EF" w:rsidRDefault="001D30D4" w:rsidP="001D30D4">
      <w:pPr>
        <w:spacing w:before="120" w:after="120" w:line="360" w:lineRule="auto"/>
        <w:ind w:left="1416" w:hanging="566"/>
        <w:rPr>
          <w:szCs w:val="24"/>
          <w:lang w:eastAsia="en-US"/>
        </w:rPr>
      </w:pPr>
      <w:r w:rsidRPr="00E441EF">
        <w:rPr>
          <w:szCs w:val="24"/>
          <w:lang w:eastAsia="en-US"/>
        </w:rPr>
        <w:t>(12)</w:t>
      </w:r>
      <w:r w:rsidRPr="00E441EF">
        <w:rPr>
          <w:szCs w:val="24"/>
          <w:lang w:eastAsia="en-US"/>
        </w:rPr>
        <w:tab/>
        <w:t>»Összes«: minden egyes, a nyomon követési eljárás során valamennyi adatkategóriához tartozóan kimutatott és számszerűsített nrM összege.”</w:t>
      </w:r>
    </w:p>
    <w:p w14:paraId="596EC743" w14:textId="77777777" w:rsidR="001D30D4" w:rsidRPr="00E441EF" w:rsidRDefault="001D30D4" w:rsidP="001D30D4">
      <w:pPr>
        <w:spacing w:before="120" w:after="120" w:line="360" w:lineRule="auto"/>
        <w:rPr>
          <w:szCs w:val="24"/>
          <w:lang w:eastAsia="en-US"/>
        </w:rPr>
        <w:sectPr w:rsidR="001D30D4" w:rsidRPr="00E441EF" w:rsidSect="006773C8">
          <w:footnotePr>
            <w:numRestart w:val="eachSect"/>
          </w:footnotePr>
          <w:pgSz w:w="16834" w:h="11909" w:orient="landscape"/>
          <w:pgMar w:top="1417" w:right="1134" w:bottom="1417" w:left="1417" w:header="1134" w:footer="567" w:gutter="0"/>
          <w:cols w:space="720"/>
          <w:docGrid w:linePitch="326"/>
        </w:sectPr>
      </w:pPr>
    </w:p>
    <w:p w14:paraId="09DF3C38" w14:textId="77777777" w:rsidR="001D30D4" w:rsidRPr="00E441EF" w:rsidRDefault="001D30D4" w:rsidP="001D30D4">
      <w:pPr>
        <w:spacing w:before="120" w:after="120" w:line="360" w:lineRule="auto"/>
        <w:jc w:val="center"/>
        <w:rPr>
          <w:lang w:eastAsia="en-US"/>
        </w:rPr>
      </w:pPr>
      <w:r w:rsidRPr="00E441EF">
        <w:rPr>
          <w:lang w:eastAsia="en-US"/>
        </w:rPr>
        <w:t>IV. MELLÉKLET</w:t>
      </w:r>
    </w:p>
    <w:p w14:paraId="5415F2E1" w14:textId="77777777" w:rsidR="001D30D4" w:rsidRPr="00E441EF" w:rsidRDefault="001D30D4" w:rsidP="001D30D4">
      <w:pPr>
        <w:spacing w:before="120" w:after="120" w:line="360" w:lineRule="auto"/>
        <w:rPr>
          <w:szCs w:val="24"/>
          <w:lang w:eastAsia="en-US"/>
        </w:rPr>
      </w:pPr>
      <w:r w:rsidRPr="00E441EF">
        <w:rPr>
          <w:szCs w:val="24"/>
          <w:lang w:eastAsia="en-US"/>
        </w:rPr>
        <w:t>A 2006/118/EK irányelv II. melléklete a következőképpen módosul:</w:t>
      </w:r>
    </w:p>
    <w:p w14:paraId="691386F7" w14:textId="77777777" w:rsidR="001D30D4" w:rsidRPr="00E441EF" w:rsidRDefault="001D30D4" w:rsidP="001D30D4">
      <w:pPr>
        <w:spacing w:before="120" w:after="120" w:line="360" w:lineRule="auto"/>
        <w:ind w:left="850" w:hanging="850"/>
        <w:rPr>
          <w:szCs w:val="24"/>
          <w:lang w:eastAsia="en-US"/>
        </w:rPr>
      </w:pPr>
      <w:r w:rsidRPr="00E441EF">
        <w:rPr>
          <w:szCs w:val="24"/>
          <w:lang w:eastAsia="en-US"/>
        </w:rPr>
        <w:t>1.</w:t>
      </w:r>
      <w:r w:rsidRPr="00E441EF">
        <w:rPr>
          <w:szCs w:val="24"/>
          <w:lang w:eastAsia="en-US"/>
        </w:rPr>
        <w:tab/>
        <w:t>Az A. rész az első bekezdés után a következő bekezdéssel egészül ki:</w:t>
      </w:r>
    </w:p>
    <w:p w14:paraId="2D2D9AC8" w14:textId="77777777" w:rsidR="001D30D4" w:rsidRPr="00E441EF" w:rsidRDefault="001D30D4" w:rsidP="001D30D4">
      <w:pPr>
        <w:spacing w:before="120" w:after="120" w:line="360" w:lineRule="auto"/>
        <w:ind w:left="850"/>
        <w:rPr>
          <w:szCs w:val="24"/>
          <w:lang w:eastAsia="en-US"/>
        </w:rPr>
      </w:pPr>
      <w:r w:rsidRPr="00E441EF">
        <w:rPr>
          <w:szCs w:val="24"/>
          <w:lang w:eastAsia="en-US"/>
        </w:rPr>
        <w:t>„A tagállamok biztosítják, hogy az illetékes hatóságok tájékoztassák az Európai Vegyianyag-ügynökséget (ECHA) a szennyező anyagokra és a szennyezési indikátorokra vonatkozó küszöbértékekről. Az ECHA az említett információkat haladéktalanul közzéteszi.”</w:t>
      </w:r>
    </w:p>
    <w:p w14:paraId="4997B775" w14:textId="77777777" w:rsidR="0028566B" w:rsidRPr="00DC67EB" w:rsidRDefault="0028566B" w:rsidP="001D30D4">
      <w:pPr>
        <w:spacing w:before="120" w:after="120" w:line="360" w:lineRule="auto"/>
        <w:ind w:left="850" w:hanging="850"/>
        <w:rPr>
          <w:b/>
          <w:i/>
          <w:szCs w:val="24"/>
          <w:lang w:eastAsia="en-US"/>
        </w:rPr>
      </w:pPr>
      <w:r w:rsidRPr="00DC67EB">
        <w:rPr>
          <w:b/>
          <w:i/>
          <w:szCs w:val="24"/>
          <w:lang w:eastAsia="en-US"/>
        </w:rPr>
        <w:t>(1a)</w:t>
      </w:r>
      <w:r w:rsidRPr="00DC67EB">
        <w:rPr>
          <w:szCs w:val="24"/>
          <w:lang w:eastAsia="en-US"/>
        </w:rPr>
        <w:tab/>
      </w:r>
      <w:r w:rsidRPr="00DC67EB">
        <w:rPr>
          <w:b/>
          <w:i/>
          <w:szCs w:val="24"/>
          <w:lang w:eastAsia="en-US"/>
        </w:rPr>
        <w:t>A B. rész címe helyébe a következő szöveg lép:</w:t>
      </w:r>
    </w:p>
    <w:p w14:paraId="5C65E44F" w14:textId="77777777" w:rsidR="0028566B" w:rsidRPr="00DC67EB" w:rsidRDefault="0028566B" w:rsidP="006773C8">
      <w:pPr>
        <w:spacing w:before="120" w:after="120" w:line="360" w:lineRule="auto"/>
        <w:ind w:left="850" w:firstLine="1"/>
        <w:rPr>
          <w:b/>
          <w:szCs w:val="24"/>
          <w:lang w:eastAsia="en-US"/>
        </w:rPr>
      </w:pPr>
      <w:r w:rsidRPr="00DC67EB">
        <w:rPr>
          <w:b/>
          <w:i/>
          <w:szCs w:val="24"/>
          <w:lang w:eastAsia="en-US"/>
        </w:rPr>
        <w:t>„Azon szennyezőanyagok és indikátoraik minimumlistája, amelyekre a 3. cikk értelmében a tagállamoknak küszöbértékeket kell meghatározniuk”</w:t>
      </w:r>
      <w:r w:rsidRPr="00DC67EB">
        <w:rPr>
          <w:b/>
          <w:szCs w:val="24"/>
          <w:lang w:eastAsia="en-US"/>
        </w:rPr>
        <w:t xml:space="preserve"> [Mód. 149]</w:t>
      </w:r>
    </w:p>
    <w:p w14:paraId="4BF49E9D" w14:textId="77777777" w:rsidR="0028566B" w:rsidRPr="00DC67EB" w:rsidRDefault="0028566B">
      <w:pPr>
        <w:widowControl/>
        <w:rPr>
          <w:szCs w:val="24"/>
          <w:lang w:eastAsia="en-US"/>
        </w:rPr>
      </w:pPr>
      <w:r w:rsidRPr="00DC67EB">
        <w:rPr>
          <w:szCs w:val="24"/>
          <w:lang w:eastAsia="en-US"/>
        </w:rPr>
        <w:br w:type="page"/>
      </w:r>
    </w:p>
    <w:p w14:paraId="0275C6CE" w14:textId="77777777" w:rsidR="001D30D4" w:rsidRPr="00DC67EB" w:rsidRDefault="001D30D4" w:rsidP="001D30D4">
      <w:pPr>
        <w:spacing w:before="120" w:after="120" w:line="360" w:lineRule="auto"/>
        <w:ind w:left="850" w:hanging="850"/>
        <w:rPr>
          <w:szCs w:val="24"/>
          <w:lang w:eastAsia="en-US"/>
        </w:rPr>
      </w:pPr>
      <w:r w:rsidRPr="00DC67EB">
        <w:rPr>
          <w:szCs w:val="24"/>
          <w:lang w:eastAsia="en-US"/>
        </w:rPr>
        <w:t>2.</w:t>
      </w:r>
      <w:r w:rsidRPr="00DC67EB">
        <w:rPr>
          <w:szCs w:val="24"/>
          <w:lang w:eastAsia="en-US"/>
        </w:rPr>
        <w:tab/>
        <w:t>A B. részben, a 2. pont helyébe a következő szöveg lép:</w:t>
      </w:r>
    </w:p>
    <w:p w14:paraId="7B58712C" w14:textId="77777777" w:rsidR="001D30D4" w:rsidRPr="00E441EF" w:rsidRDefault="001D30D4" w:rsidP="001D30D4">
      <w:pPr>
        <w:spacing w:before="120" w:after="120" w:line="360" w:lineRule="auto"/>
        <w:ind w:left="1416" w:hanging="566"/>
        <w:rPr>
          <w:szCs w:val="24"/>
          <w:lang w:eastAsia="en-US"/>
        </w:rPr>
      </w:pPr>
      <w:r w:rsidRPr="00E441EF">
        <w:rPr>
          <w:szCs w:val="24"/>
          <w:lang w:eastAsia="en-US"/>
        </w:rPr>
        <w:t>„2.</w:t>
      </w:r>
      <w:r w:rsidRPr="00E441EF">
        <w:rPr>
          <w:szCs w:val="24"/>
          <w:lang w:eastAsia="en-US"/>
        </w:rPr>
        <w:tab/>
        <w:t>szintetikus anyagok</w:t>
      </w:r>
    </w:p>
    <w:p w14:paraId="0AFAA8DD" w14:textId="77777777" w:rsidR="001D30D4" w:rsidRPr="00E441EF" w:rsidRDefault="001D30D4" w:rsidP="001D30D4">
      <w:pPr>
        <w:spacing w:before="120" w:after="120" w:line="360" w:lineRule="auto"/>
        <w:ind w:left="1416"/>
        <w:rPr>
          <w:szCs w:val="24"/>
          <w:lang w:eastAsia="en-US"/>
        </w:rPr>
      </w:pPr>
      <w:r w:rsidRPr="00E441EF">
        <w:rPr>
          <w:szCs w:val="24"/>
          <w:lang w:eastAsia="en-US"/>
        </w:rPr>
        <w:t>primidon</w:t>
      </w:r>
    </w:p>
    <w:p w14:paraId="4D2CE4DA" w14:textId="77777777" w:rsidR="001D30D4" w:rsidRPr="00E441EF" w:rsidRDefault="001D30D4" w:rsidP="001D30D4">
      <w:pPr>
        <w:spacing w:before="120" w:after="120" w:line="360" w:lineRule="auto"/>
        <w:ind w:left="1416"/>
        <w:rPr>
          <w:szCs w:val="24"/>
          <w:lang w:eastAsia="en-US"/>
        </w:rPr>
      </w:pPr>
      <w:r w:rsidRPr="00E441EF">
        <w:rPr>
          <w:szCs w:val="24"/>
          <w:lang w:eastAsia="en-US"/>
        </w:rPr>
        <w:t>triklór-etilén</w:t>
      </w:r>
    </w:p>
    <w:p w14:paraId="4E544C5F" w14:textId="77777777" w:rsidR="001D30D4" w:rsidRPr="00E441EF" w:rsidRDefault="001D30D4" w:rsidP="001D30D4">
      <w:pPr>
        <w:spacing w:before="120" w:after="120" w:line="360" w:lineRule="auto"/>
        <w:ind w:left="1416"/>
        <w:rPr>
          <w:szCs w:val="24"/>
          <w:lang w:eastAsia="en-US"/>
        </w:rPr>
      </w:pPr>
      <w:r w:rsidRPr="00E441EF">
        <w:rPr>
          <w:szCs w:val="24"/>
          <w:lang w:eastAsia="en-US"/>
        </w:rPr>
        <w:t>tetraklór-etilén.”</w:t>
      </w:r>
    </w:p>
    <w:p w14:paraId="1302B5CD" w14:textId="77777777" w:rsidR="001D30D4" w:rsidRPr="00E441EF" w:rsidRDefault="001D30D4" w:rsidP="001D30D4">
      <w:pPr>
        <w:spacing w:before="120" w:after="120" w:line="360" w:lineRule="auto"/>
        <w:ind w:left="850" w:hanging="850"/>
        <w:rPr>
          <w:szCs w:val="24"/>
          <w:lang w:eastAsia="en-US"/>
        </w:rPr>
      </w:pPr>
      <w:r w:rsidRPr="00E441EF">
        <w:rPr>
          <w:szCs w:val="24"/>
          <w:lang w:eastAsia="en-US"/>
        </w:rPr>
        <w:t>3.</w:t>
      </w:r>
      <w:r w:rsidRPr="00E441EF">
        <w:rPr>
          <w:szCs w:val="24"/>
          <w:lang w:eastAsia="en-US"/>
        </w:rPr>
        <w:tab/>
        <w:t>A C. rész címe helyébe a következő szöveg lép:</w:t>
      </w:r>
    </w:p>
    <w:p w14:paraId="6A05326A" w14:textId="77777777" w:rsidR="001D30D4" w:rsidRPr="00E441EF" w:rsidRDefault="001D30D4" w:rsidP="001D30D4">
      <w:pPr>
        <w:spacing w:before="120" w:after="120" w:line="360" w:lineRule="auto"/>
        <w:ind w:left="850"/>
        <w:rPr>
          <w:szCs w:val="24"/>
          <w:lang w:eastAsia="en-US"/>
        </w:rPr>
      </w:pPr>
      <w:r w:rsidRPr="00E441EF">
        <w:rPr>
          <w:szCs w:val="24"/>
          <w:lang w:eastAsia="en-US"/>
        </w:rPr>
        <w:t>„A tagállamok által azon szennyező anyagokról és indikátoraikról biztosítandó információk, amelyekre vonatkozóan a tagállamok küszöbértékeket határoztak meg.”</w:t>
      </w:r>
    </w:p>
    <w:p w14:paraId="646C0E82" w14:textId="77777777" w:rsidR="0028566B" w:rsidRPr="00E441EF" w:rsidRDefault="0028566B" w:rsidP="001D30D4">
      <w:pPr>
        <w:spacing w:before="120" w:after="120" w:line="360" w:lineRule="auto"/>
        <w:ind w:left="850" w:hanging="850"/>
        <w:rPr>
          <w:szCs w:val="24"/>
          <w:lang w:eastAsia="en-US"/>
        </w:rPr>
        <w:sectPr w:rsidR="0028566B" w:rsidRPr="00E441EF">
          <w:footnotePr>
            <w:numRestart w:val="eachSect"/>
          </w:footnotePr>
          <w:pgSz w:w="11909" w:h="16834"/>
          <w:pgMar w:top="1134" w:right="1417" w:bottom="1417" w:left="1417" w:header="1134" w:footer="567" w:gutter="0"/>
          <w:cols w:space="720"/>
        </w:sectPr>
      </w:pPr>
    </w:p>
    <w:p w14:paraId="207570B0" w14:textId="77777777" w:rsidR="001D30D4" w:rsidRPr="00E441EF" w:rsidRDefault="001D30D4" w:rsidP="001D30D4">
      <w:pPr>
        <w:spacing w:before="120" w:after="120" w:line="360" w:lineRule="auto"/>
        <w:ind w:left="850" w:hanging="850"/>
        <w:rPr>
          <w:szCs w:val="24"/>
          <w:lang w:eastAsia="en-US"/>
        </w:rPr>
      </w:pPr>
      <w:r w:rsidRPr="00E441EF">
        <w:rPr>
          <w:szCs w:val="24"/>
          <w:lang w:eastAsia="en-US"/>
        </w:rPr>
        <w:t>4.</w:t>
      </w:r>
      <w:r w:rsidRPr="00E441EF">
        <w:rPr>
          <w:szCs w:val="24"/>
          <w:lang w:eastAsia="en-US"/>
        </w:rPr>
        <w:tab/>
        <w:t>A szöveg a következő D. résszel egészül ki:</w:t>
      </w:r>
    </w:p>
    <w:p w14:paraId="5470D326" w14:textId="77777777" w:rsidR="001D30D4" w:rsidRPr="00E441EF" w:rsidRDefault="001D30D4" w:rsidP="001D30D4">
      <w:pPr>
        <w:spacing w:before="120" w:after="120" w:line="360" w:lineRule="auto"/>
        <w:ind w:left="850"/>
        <w:rPr>
          <w:szCs w:val="24"/>
          <w:lang w:eastAsia="en-US"/>
        </w:rPr>
      </w:pPr>
      <w:r w:rsidRPr="00E441EF">
        <w:rPr>
          <w:szCs w:val="24"/>
          <w:lang w:eastAsia="en-US"/>
        </w:rPr>
        <w:t>„D. rész</w:t>
      </w:r>
    </w:p>
    <w:p w14:paraId="07613006" w14:textId="77777777" w:rsidR="001D30D4" w:rsidRPr="00E441EF" w:rsidRDefault="001D30D4" w:rsidP="001D30D4">
      <w:pPr>
        <w:spacing w:before="120" w:after="120" w:line="360" w:lineRule="auto"/>
        <w:ind w:left="850"/>
        <w:rPr>
          <w:szCs w:val="24"/>
          <w:lang w:eastAsia="en-US"/>
        </w:rPr>
      </w:pPr>
      <w:r w:rsidRPr="00E441EF">
        <w:rPr>
          <w:szCs w:val="24"/>
          <w:lang w:eastAsia="en-US"/>
        </w:rPr>
        <w:t>A felszín alatti vizek nemzeti, regionális vagy helyi jelentőségű szennyező anyagaira vonatkozó harmonizált küszöbértékek adattára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169"/>
        <w:gridCol w:w="3016"/>
        <w:gridCol w:w="2017"/>
        <w:gridCol w:w="1977"/>
        <w:gridCol w:w="1879"/>
        <w:gridCol w:w="3215"/>
      </w:tblGrid>
      <w:tr w:rsidR="001D30D4" w:rsidRPr="00DC67EB" w14:paraId="6FE87B93" w14:textId="77777777" w:rsidTr="000536D5">
        <w:trPr>
          <w:tblHeader/>
        </w:trPr>
        <w:tc>
          <w:tcPr>
            <w:tcW w:w="0" w:type="auto"/>
          </w:tcPr>
          <w:p w14:paraId="367C1A24" w14:textId="77777777" w:rsidR="001D30D4" w:rsidRPr="00DC67EB" w:rsidRDefault="001D30D4" w:rsidP="001D30D4">
            <w:pPr>
              <w:spacing w:before="120" w:after="120" w:line="360" w:lineRule="auto"/>
              <w:rPr>
                <w:szCs w:val="24"/>
                <w:lang w:val="en-GB" w:eastAsia="en-US"/>
              </w:rPr>
            </w:pPr>
            <w:r w:rsidRPr="00DC67EB">
              <w:rPr>
                <w:szCs w:val="24"/>
                <w:lang w:val="en-GB" w:eastAsia="en-US"/>
              </w:rPr>
              <w:t>(1)</w:t>
            </w:r>
          </w:p>
        </w:tc>
        <w:tc>
          <w:tcPr>
            <w:tcW w:w="0" w:type="auto"/>
          </w:tcPr>
          <w:p w14:paraId="5203A740" w14:textId="77777777" w:rsidR="001D30D4" w:rsidRPr="00DC67EB" w:rsidRDefault="001D30D4" w:rsidP="001D30D4">
            <w:pPr>
              <w:spacing w:before="120" w:after="120" w:line="360" w:lineRule="auto"/>
              <w:rPr>
                <w:szCs w:val="24"/>
                <w:lang w:val="en-GB" w:eastAsia="en-US"/>
              </w:rPr>
            </w:pPr>
            <w:r w:rsidRPr="00DC67EB">
              <w:rPr>
                <w:szCs w:val="24"/>
                <w:lang w:val="en-GB" w:eastAsia="en-US"/>
              </w:rPr>
              <w:t>(2)</w:t>
            </w:r>
          </w:p>
        </w:tc>
        <w:tc>
          <w:tcPr>
            <w:tcW w:w="0" w:type="auto"/>
          </w:tcPr>
          <w:p w14:paraId="713429B9" w14:textId="77777777" w:rsidR="001D30D4" w:rsidRPr="00DC67EB" w:rsidRDefault="001D30D4" w:rsidP="001D30D4">
            <w:pPr>
              <w:spacing w:before="120" w:after="120" w:line="360" w:lineRule="auto"/>
              <w:rPr>
                <w:szCs w:val="24"/>
                <w:lang w:val="en-GB" w:eastAsia="en-US"/>
              </w:rPr>
            </w:pPr>
            <w:r w:rsidRPr="00DC67EB">
              <w:rPr>
                <w:szCs w:val="24"/>
                <w:lang w:val="en-GB" w:eastAsia="en-US"/>
              </w:rPr>
              <w:t>(3)</w:t>
            </w:r>
          </w:p>
        </w:tc>
        <w:tc>
          <w:tcPr>
            <w:tcW w:w="0" w:type="auto"/>
          </w:tcPr>
          <w:p w14:paraId="7931987D" w14:textId="77777777" w:rsidR="001D30D4" w:rsidRPr="00DC67EB" w:rsidRDefault="001D30D4" w:rsidP="001D30D4">
            <w:pPr>
              <w:spacing w:before="120" w:after="120" w:line="360" w:lineRule="auto"/>
              <w:rPr>
                <w:szCs w:val="24"/>
                <w:lang w:val="en-GB" w:eastAsia="en-US"/>
              </w:rPr>
            </w:pPr>
            <w:r w:rsidRPr="00DC67EB">
              <w:rPr>
                <w:szCs w:val="24"/>
                <w:lang w:val="en-GB" w:eastAsia="en-US"/>
              </w:rPr>
              <w:t>(4)</w:t>
            </w:r>
          </w:p>
        </w:tc>
        <w:tc>
          <w:tcPr>
            <w:tcW w:w="0" w:type="auto"/>
          </w:tcPr>
          <w:p w14:paraId="7EB3DE08" w14:textId="77777777" w:rsidR="001D30D4" w:rsidRPr="00DC67EB" w:rsidRDefault="001D30D4" w:rsidP="001D30D4">
            <w:pPr>
              <w:spacing w:before="120" w:after="120" w:line="360" w:lineRule="auto"/>
              <w:rPr>
                <w:szCs w:val="24"/>
                <w:lang w:val="en-GB" w:eastAsia="en-US"/>
              </w:rPr>
            </w:pPr>
            <w:r w:rsidRPr="00DC67EB">
              <w:rPr>
                <w:szCs w:val="24"/>
                <w:lang w:val="en-GB" w:eastAsia="en-US"/>
              </w:rPr>
              <w:t>(5)</w:t>
            </w:r>
          </w:p>
        </w:tc>
        <w:tc>
          <w:tcPr>
            <w:tcW w:w="0" w:type="auto"/>
          </w:tcPr>
          <w:p w14:paraId="5559C507" w14:textId="77777777" w:rsidR="001D30D4" w:rsidRPr="00DC67EB" w:rsidRDefault="001D30D4" w:rsidP="001D30D4">
            <w:pPr>
              <w:spacing w:before="120" w:after="120" w:line="360" w:lineRule="auto"/>
              <w:rPr>
                <w:szCs w:val="24"/>
                <w:lang w:val="en-GB" w:eastAsia="en-US"/>
              </w:rPr>
            </w:pPr>
            <w:r w:rsidRPr="00DC67EB">
              <w:rPr>
                <w:szCs w:val="24"/>
                <w:lang w:val="en-GB" w:eastAsia="en-US"/>
              </w:rPr>
              <w:t>(6)</w:t>
            </w:r>
          </w:p>
        </w:tc>
      </w:tr>
      <w:tr w:rsidR="001D30D4" w:rsidRPr="00DC67EB" w14:paraId="2AAC305C" w14:textId="77777777" w:rsidTr="000536D5">
        <w:tc>
          <w:tcPr>
            <w:tcW w:w="0" w:type="auto"/>
          </w:tcPr>
          <w:p w14:paraId="44D9B508" w14:textId="77777777" w:rsidR="001D30D4" w:rsidRPr="00DC67EB" w:rsidRDefault="001D30D4" w:rsidP="001D30D4">
            <w:pPr>
              <w:spacing w:before="120" w:after="120" w:line="360" w:lineRule="auto"/>
              <w:rPr>
                <w:szCs w:val="24"/>
                <w:lang w:val="en-GB" w:eastAsia="en-US"/>
              </w:rPr>
            </w:pPr>
            <w:r w:rsidRPr="00DC67EB">
              <w:rPr>
                <w:szCs w:val="24"/>
                <w:lang w:val="en-GB" w:eastAsia="en-US"/>
              </w:rPr>
              <w:t>[Bejegyzés] Sorszám</w:t>
            </w:r>
          </w:p>
        </w:tc>
        <w:tc>
          <w:tcPr>
            <w:tcW w:w="0" w:type="auto"/>
          </w:tcPr>
          <w:p w14:paraId="6F02CCD8" w14:textId="77777777" w:rsidR="001D30D4" w:rsidRPr="00DC67EB" w:rsidRDefault="001D30D4" w:rsidP="001D30D4">
            <w:pPr>
              <w:spacing w:before="120" w:after="120" w:line="360" w:lineRule="auto"/>
              <w:rPr>
                <w:szCs w:val="24"/>
                <w:lang w:val="en-GB" w:eastAsia="en-US"/>
              </w:rPr>
            </w:pPr>
            <w:r w:rsidRPr="00DC67EB">
              <w:rPr>
                <w:szCs w:val="24"/>
                <w:lang w:val="en-GB" w:eastAsia="en-US"/>
              </w:rPr>
              <w:t>Anyag neve</w:t>
            </w:r>
          </w:p>
        </w:tc>
        <w:tc>
          <w:tcPr>
            <w:tcW w:w="0" w:type="auto"/>
          </w:tcPr>
          <w:p w14:paraId="59796B9C" w14:textId="77777777" w:rsidR="001D30D4" w:rsidRPr="00DC67EB" w:rsidRDefault="001D30D4" w:rsidP="001D30D4">
            <w:pPr>
              <w:spacing w:before="120" w:after="120" w:line="360" w:lineRule="auto"/>
              <w:rPr>
                <w:szCs w:val="24"/>
                <w:lang w:val="en-GB" w:eastAsia="en-US"/>
              </w:rPr>
            </w:pPr>
            <w:r w:rsidRPr="00DC67EB">
              <w:rPr>
                <w:szCs w:val="24"/>
                <w:lang w:val="en-GB" w:eastAsia="en-US"/>
              </w:rPr>
              <w:t>Anyag kategóriája</w:t>
            </w:r>
          </w:p>
        </w:tc>
        <w:tc>
          <w:tcPr>
            <w:tcW w:w="0" w:type="auto"/>
          </w:tcPr>
          <w:p w14:paraId="2222244D" w14:textId="77777777" w:rsidR="001D30D4" w:rsidRPr="00DC67EB" w:rsidRDefault="001D30D4" w:rsidP="001D30D4">
            <w:pPr>
              <w:spacing w:before="120" w:after="120" w:line="360" w:lineRule="auto"/>
              <w:rPr>
                <w:szCs w:val="24"/>
                <w:lang w:val="en-GB" w:eastAsia="en-US"/>
              </w:rPr>
            </w:pPr>
            <w:r w:rsidRPr="00DC67EB">
              <w:rPr>
                <w:szCs w:val="24"/>
                <w:lang w:val="en-GB" w:eastAsia="en-US"/>
              </w:rPr>
              <w:t>CAS-szám (1)</w:t>
            </w:r>
          </w:p>
        </w:tc>
        <w:tc>
          <w:tcPr>
            <w:tcW w:w="0" w:type="auto"/>
          </w:tcPr>
          <w:p w14:paraId="12D775A4" w14:textId="77777777" w:rsidR="001D30D4" w:rsidRPr="00DC67EB" w:rsidRDefault="001D30D4" w:rsidP="001D30D4">
            <w:pPr>
              <w:spacing w:before="120" w:after="120" w:line="360" w:lineRule="auto"/>
              <w:rPr>
                <w:szCs w:val="24"/>
                <w:lang w:val="en-GB" w:eastAsia="en-US"/>
              </w:rPr>
            </w:pPr>
            <w:r w:rsidRPr="00DC67EB">
              <w:rPr>
                <w:szCs w:val="24"/>
                <w:lang w:val="en-GB" w:eastAsia="en-US"/>
              </w:rPr>
              <w:t>EU-szám (2)</w:t>
            </w:r>
          </w:p>
        </w:tc>
        <w:tc>
          <w:tcPr>
            <w:tcW w:w="0" w:type="auto"/>
          </w:tcPr>
          <w:p w14:paraId="6EC8DBFB" w14:textId="77777777" w:rsidR="001D30D4" w:rsidRPr="00DC67EB" w:rsidRDefault="001D30D4" w:rsidP="001D30D4">
            <w:pPr>
              <w:spacing w:before="120" w:after="120" w:line="360" w:lineRule="auto"/>
              <w:rPr>
                <w:szCs w:val="24"/>
                <w:lang w:val="en-GB" w:eastAsia="en-US"/>
              </w:rPr>
            </w:pPr>
            <w:r w:rsidRPr="00DC67EB">
              <w:rPr>
                <w:szCs w:val="24"/>
                <w:lang w:val="en-GB" w:eastAsia="en-US"/>
              </w:rPr>
              <w:t>Küszöbérték [µg/l, eltérő megjelölés hiányában]</w:t>
            </w:r>
          </w:p>
        </w:tc>
      </w:tr>
      <w:tr w:rsidR="001D30D4" w:rsidRPr="00DC67EB" w14:paraId="12812B74" w14:textId="77777777" w:rsidTr="000536D5">
        <w:tc>
          <w:tcPr>
            <w:tcW w:w="0" w:type="auto"/>
          </w:tcPr>
          <w:p w14:paraId="2AC7FCC9" w14:textId="77777777" w:rsidR="001D30D4" w:rsidRPr="00DC67EB" w:rsidRDefault="001D30D4" w:rsidP="001D30D4">
            <w:pPr>
              <w:spacing w:before="120" w:after="120" w:line="360" w:lineRule="auto"/>
              <w:rPr>
                <w:szCs w:val="24"/>
                <w:lang w:val="en-GB" w:eastAsia="en-US"/>
              </w:rPr>
            </w:pPr>
            <w:r w:rsidRPr="00DC67EB">
              <w:rPr>
                <w:szCs w:val="24"/>
                <w:lang w:val="en-GB" w:eastAsia="en-US"/>
              </w:rPr>
              <w:t>1.</w:t>
            </w:r>
          </w:p>
        </w:tc>
        <w:tc>
          <w:tcPr>
            <w:tcW w:w="0" w:type="auto"/>
          </w:tcPr>
          <w:p w14:paraId="553969CF" w14:textId="77777777" w:rsidR="001D30D4" w:rsidRPr="00DC67EB" w:rsidRDefault="001D30D4" w:rsidP="001D30D4">
            <w:pPr>
              <w:spacing w:before="120" w:after="120" w:line="360" w:lineRule="auto"/>
              <w:rPr>
                <w:szCs w:val="24"/>
                <w:lang w:val="en-GB" w:eastAsia="en-US"/>
              </w:rPr>
            </w:pPr>
            <w:r w:rsidRPr="00DC67EB">
              <w:rPr>
                <w:szCs w:val="24"/>
                <w:lang w:val="en-GB" w:eastAsia="en-US"/>
              </w:rPr>
              <w:t>triklór-etilén és tetraklór-etilén (a kettő összege)</w:t>
            </w:r>
          </w:p>
        </w:tc>
        <w:tc>
          <w:tcPr>
            <w:tcW w:w="0" w:type="auto"/>
          </w:tcPr>
          <w:p w14:paraId="169D0C49" w14:textId="77777777" w:rsidR="001D30D4" w:rsidRPr="00DC67EB" w:rsidRDefault="001D30D4" w:rsidP="001D30D4">
            <w:pPr>
              <w:spacing w:before="120" w:after="120" w:line="360" w:lineRule="auto"/>
              <w:rPr>
                <w:szCs w:val="24"/>
                <w:lang w:val="en-GB" w:eastAsia="en-US"/>
              </w:rPr>
            </w:pPr>
            <w:r w:rsidRPr="00DC67EB">
              <w:rPr>
                <w:szCs w:val="24"/>
                <w:lang w:val="en-GB" w:eastAsia="en-US"/>
              </w:rPr>
              <w:t>ipari anyagok</w:t>
            </w:r>
          </w:p>
        </w:tc>
        <w:tc>
          <w:tcPr>
            <w:tcW w:w="0" w:type="auto"/>
          </w:tcPr>
          <w:p w14:paraId="21ECF715" w14:textId="77777777" w:rsidR="001D30D4" w:rsidRPr="00DC67EB" w:rsidRDefault="001D30D4" w:rsidP="001D30D4">
            <w:pPr>
              <w:spacing w:before="120" w:after="120" w:line="360" w:lineRule="auto"/>
              <w:rPr>
                <w:szCs w:val="24"/>
                <w:lang w:val="en-GB" w:eastAsia="en-US"/>
              </w:rPr>
            </w:pPr>
            <w:r w:rsidRPr="00DC67EB">
              <w:rPr>
                <w:szCs w:val="24"/>
                <w:lang w:val="en-GB" w:eastAsia="en-US"/>
              </w:rPr>
              <w:t>79‑01‑6 és 127‑18‑4</w:t>
            </w:r>
          </w:p>
        </w:tc>
        <w:tc>
          <w:tcPr>
            <w:tcW w:w="0" w:type="auto"/>
          </w:tcPr>
          <w:p w14:paraId="1ACF9AB3" w14:textId="77777777" w:rsidR="001D30D4" w:rsidRPr="00DC67EB" w:rsidRDefault="001D30D4" w:rsidP="001D30D4">
            <w:pPr>
              <w:spacing w:before="120" w:after="120" w:line="360" w:lineRule="auto"/>
              <w:rPr>
                <w:szCs w:val="24"/>
                <w:lang w:val="en-GB" w:eastAsia="en-US"/>
              </w:rPr>
            </w:pPr>
            <w:r w:rsidRPr="00DC67EB">
              <w:rPr>
                <w:szCs w:val="24"/>
                <w:lang w:val="en-GB" w:eastAsia="en-US"/>
              </w:rPr>
              <w:t>201-167-4 és 204-825-9</w:t>
            </w:r>
          </w:p>
        </w:tc>
        <w:tc>
          <w:tcPr>
            <w:tcW w:w="0" w:type="auto"/>
          </w:tcPr>
          <w:p w14:paraId="296E961A" w14:textId="77777777" w:rsidR="001D30D4" w:rsidRPr="00DC67EB" w:rsidRDefault="001D30D4" w:rsidP="001D30D4">
            <w:pPr>
              <w:spacing w:before="120" w:after="120" w:line="360" w:lineRule="auto"/>
              <w:rPr>
                <w:szCs w:val="24"/>
                <w:lang w:val="en-GB" w:eastAsia="en-US"/>
              </w:rPr>
            </w:pPr>
            <w:r w:rsidRPr="00DC67EB">
              <w:rPr>
                <w:szCs w:val="24"/>
                <w:lang w:val="en-GB" w:eastAsia="en-US"/>
              </w:rPr>
              <w:t>10 (összes)(3)</w:t>
            </w:r>
          </w:p>
        </w:tc>
      </w:tr>
    </w:tbl>
    <w:p w14:paraId="006CC9FA" w14:textId="77777777" w:rsidR="001D30D4" w:rsidRPr="00E441EF" w:rsidRDefault="001D30D4" w:rsidP="001D30D4">
      <w:pPr>
        <w:spacing w:before="120" w:after="120" w:line="360" w:lineRule="auto"/>
        <w:ind w:left="1416" w:hanging="566"/>
        <w:rPr>
          <w:szCs w:val="24"/>
          <w:lang w:eastAsia="en-US"/>
        </w:rPr>
      </w:pPr>
      <w:r w:rsidRPr="00E441EF">
        <w:rPr>
          <w:szCs w:val="24"/>
          <w:lang w:eastAsia="en-US"/>
        </w:rPr>
        <w:t>(1)</w:t>
      </w:r>
      <w:r w:rsidRPr="00E441EF">
        <w:rPr>
          <w:szCs w:val="24"/>
          <w:lang w:eastAsia="en-US"/>
        </w:rPr>
        <w:tab/>
        <w:t>CAS: Vegyianyag Nyilvántartási Szolgálat (Chemical Abstracts Service).</w:t>
      </w:r>
    </w:p>
    <w:p w14:paraId="688D1E36" w14:textId="77777777" w:rsidR="001D30D4" w:rsidRPr="00E441EF" w:rsidRDefault="001D30D4" w:rsidP="001D30D4">
      <w:pPr>
        <w:spacing w:before="120" w:after="120" w:line="360" w:lineRule="auto"/>
        <w:ind w:left="1416" w:hanging="566"/>
        <w:rPr>
          <w:szCs w:val="24"/>
          <w:lang w:eastAsia="en-US"/>
        </w:rPr>
      </w:pPr>
      <w:r w:rsidRPr="00E441EF">
        <w:rPr>
          <w:szCs w:val="24"/>
          <w:lang w:eastAsia="en-US"/>
        </w:rPr>
        <w:t>(2)</w:t>
      </w:r>
      <w:r w:rsidRPr="00E441EF">
        <w:rPr>
          <w:szCs w:val="24"/>
          <w:lang w:eastAsia="en-US"/>
        </w:rPr>
        <w:tab/>
        <w:t>EU-szám: Létező Kereskedelmi Vegyi Anyagok Európai Jegyzéke (EINECS) vagy Törzskönyvezett Vegyi Anyagok Európai Jegyzéke (ELINCS).</w:t>
      </w:r>
    </w:p>
    <w:p w14:paraId="08CCE5C6" w14:textId="77777777" w:rsidR="001D30D4" w:rsidRPr="00E441EF" w:rsidRDefault="001D30D4" w:rsidP="001D30D4">
      <w:pPr>
        <w:spacing w:before="120" w:after="120" w:line="360" w:lineRule="auto"/>
        <w:ind w:left="1416" w:hanging="566"/>
        <w:rPr>
          <w:szCs w:val="24"/>
          <w:lang w:eastAsia="en-US"/>
        </w:rPr>
      </w:pPr>
      <w:r w:rsidRPr="00E441EF">
        <w:rPr>
          <w:szCs w:val="24"/>
          <w:lang w:eastAsia="en-US"/>
        </w:rPr>
        <w:t>(3)</w:t>
      </w:r>
      <w:r w:rsidRPr="00E441EF">
        <w:rPr>
          <w:szCs w:val="24"/>
          <w:lang w:eastAsia="en-US"/>
        </w:rPr>
        <w:tab/>
        <w:t>»Összes«: a triklór-etilén és a tetraklór-etilén koncentrációinak összege.”</w:t>
      </w:r>
    </w:p>
    <w:p w14:paraId="379787F0" w14:textId="77777777" w:rsidR="001D30D4" w:rsidRPr="00E441EF" w:rsidRDefault="001D30D4" w:rsidP="001D30D4">
      <w:pPr>
        <w:spacing w:before="120" w:after="120" w:line="360" w:lineRule="auto"/>
        <w:rPr>
          <w:szCs w:val="24"/>
          <w:lang w:eastAsia="en-US"/>
        </w:rPr>
        <w:sectPr w:rsidR="001D30D4" w:rsidRPr="00E441EF" w:rsidSect="006773C8">
          <w:footnotePr>
            <w:numRestart w:val="eachSect"/>
          </w:footnotePr>
          <w:pgSz w:w="16834" w:h="11909" w:orient="landscape"/>
          <w:pgMar w:top="1417" w:right="1134" w:bottom="1417" w:left="1417" w:header="1134" w:footer="567" w:gutter="0"/>
          <w:cols w:space="720"/>
          <w:docGrid w:linePitch="326"/>
        </w:sectPr>
      </w:pPr>
    </w:p>
    <w:p w14:paraId="4B46E611" w14:textId="77777777" w:rsidR="001D30D4" w:rsidRPr="00E441EF" w:rsidRDefault="001D30D4" w:rsidP="001D30D4">
      <w:pPr>
        <w:spacing w:before="120" w:after="120" w:line="360" w:lineRule="auto"/>
        <w:jc w:val="center"/>
        <w:rPr>
          <w:lang w:eastAsia="en-US"/>
        </w:rPr>
      </w:pPr>
      <w:r w:rsidRPr="00E441EF">
        <w:rPr>
          <w:lang w:eastAsia="en-US"/>
        </w:rPr>
        <w:t>V. MELLÉKLET</w:t>
      </w:r>
    </w:p>
    <w:p w14:paraId="79F4F8E2" w14:textId="77777777" w:rsidR="00FA31A1" w:rsidRPr="00DC67EB" w:rsidRDefault="00FA31A1" w:rsidP="00FA31A1">
      <w:pPr>
        <w:rPr>
          <w:noProof/>
        </w:rPr>
      </w:pPr>
      <w:r w:rsidRPr="00DC67EB">
        <w:rPr>
          <w:noProof/>
        </w:rPr>
        <w:t xml:space="preserve">A 2008/105/EK irányelv I. melléklete a következőképpen módosul: </w:t>
      </w:r>
    </w:p>
    <w:p w14:paraId="45FCE6B8" w14:textId="77777777" w:rsidR="00FA31A1" w:rsidRPr="00DC67EB" w:rsidRDefault="00FA31A1" w:rsidP="00FA31A1">
      <w:pPr>
        <w:rPr>
          <w:noProof/>
        </w:rPr>
      </w:pPr>
    </w:p>
    <w:p w14:paraId="122BFAFC" w14:textId="77777777" w:rsidR="00FA31A1" w:rsidRPr="00DC67EB" w:rsidRDefault="006773C8" w:rsidP="006773C8">
      <w:pPr>
        <w:pStyle w:val="NumPar1"/>
        <w:numPr>
          <w:ilvl w:val="0"/>
          <w:numId w:val="0"/>
        </w:numPr>
        <w:tabs>
          <w:tab w:val="left" w:pos="850"/>
        </w:tabs>
        <w:ind w:left="850" w:hanging="850"/>
        <w:rPr>
          <w:noProof/>
        </w:rPr>
      </w:pPr>
      <w:r w:rsidRPr="00DC67EB">
        <w:rPr>
          <w:noProof/>
        </w:rPr>
        <w:t>1.</w:t>
      </w:r>
      <w:r w:rsidRPr="00DC67EB">
        <w:rPr>
          <w:noProof/>
        </w:rPr>
        <w:tab/>
      </w:r>
      <w:r w:rsidR="00FA31A1" w:rsidRPr="00DC67EB">
        <w:rPr>
          <w:noProof/>
        </w:rPr>
        <w:t>A cím helyébe a következő szöveg lép:</w:t>
      </w:r>
    </w:p>
    <w:p w14:paraId="3C485CBB" w14:textId="77777777" w:rsidR="00FA31A1" w:rsidRPr="00DC67EB" w:rsidRDefault="00FA31A1" w:rsidP="00FA31A1">
      <w:pPr>
        <w:rPr>
          <w:noProof/>
        </w:rPr>
      </w:pPr>
    </w:p>
    <w:p w14:paraId="3F1A3AD7" w14:textId="77777777" w:rsidR="00FA31A1" w:rsidRPr="00DC67EB" w:rsidRDefault="00FA31A1" w:rsidP="00FA31A1">
      <w:pPr>
        <w:jc w:val="center"/>
        <w:rPr>
          <w:noProof/>
        </w:rPr>
      </w:pPr>
      <w:r w:rsidRPr="00DC67EB">
        <w:rPr>
          <w:noProof/>
        </w:rPr>
        <w:t>„</w:t>
      </w:r>
      <w:r w:rsidRPr="00DC67EB">
        <w:rPr>
          <w:b/>
          <w:noProof/>
        </w:rPr>
        <w:t>A FELSZÍNI VIZEKBEN TALÁLHATÓ ELSŐBBSÉGI ANYAGOKRA VONATKOZÓ KÖRNYEZETMINŐSÉGI ELŐÍRÁSOK (EQS)</w:t>
      </w:r>
      <w:r w:rsidRPr="00DC67EB">
        <w:rPr>
          <w:noProof/>
        </w:rPr>
        <w:t>”.</w:t>
      </w:r>
    </w:p>
    <w:p w14:paraId="6C5019D4" w14:textId="77777777" w:rsidR="00FA31A1" w:rsidRPr="00DC67EB" w:rsidRDefault="00FA31A1" w:rsidP="00FA31A1">
      <w:pPr>
        <w:rPr>
          <w:noProof/>
        </w:rPr>
      </w:pPr>
    </w:p>
    <w:p w14:paraId="57FBBE0B" w14:textId="77777777" w:rsidR="00FA31A1" w:rsidRPr="00DC67EB" w:rsidRDefault="006773C8" w:rsidP="006773C8">
      <w:pPr>
        <w:pStyle w:val="NumPar1"/>
        <w:numPr>
          <w:ilvl w:val="0"/>
          <w:numId w:val="0"/>
        </w:numPr>
        <w:tabs>
          <w:tab w:val="left" w:pos="850"/>
        </w:tabs>
        <w:ind w:left="850" w:hanging="850"/>
        <w:rPr>
          <w:noProof/>
        </w:rPr>
      </w:pPr>
      <w:r w:rsidRPr="00DC67EB">
        <w:rPr>
          <w:noProof/>
        </w:rPr>
        <w:t>2.</w:t>
      </w:r>
      <w:r w:rsidRPr="00DC67EB">
        <w:rPr>
          <w:noProof/>
        </w:rPr>
        <w:tab/>
      </w:r>
      <w:r w:rsidR="00FA31A1" w:rsidRPr="00DC67EB">
        <w:rPr>
          <w:noProof/>
        </w:rPr>
        <w:t xml:space="preserve">Az A. rész helyébe a következő szöveg lép: </w:t>
      </w:r>
    </w:p>
    <w:p w14:paraId="6FB698B7" w14:textId="77777777" w:rsidR="00FA31A1" w:rsidRPr="00DC67EB" w:rsidRDefault="00FA31A1" w:rsidP="00FA31A1">
      <w:pPr>
        <w:pStyle w:val="NormalCentered"/>
        <w:rPr>
          <w:noProof/>
        </w:rPr>
      </w:pPr>
      <w:r w:rsidRPr="00DC67EB">
        <w:rPr>
          <w:noProof/>
        </w:rPr>
        <w:t>„A. RÉSZ: KÖRNYEZETMINŐSÉGI ELŐÍRÁSOK</w:t>
      </w:r>
    </w:p>
    <w:p w14:paraId="4B0D93D3" w14:textId="77777777" w:rsidR="00FA31A1" w:rsidRPr="00DC67EB" w:rsidRDefault="00FA31A1" w:rsidP="00FA31A1">
      <w:pPr>
        <w:rPr>
          <w:noProof/>
        </w:rPr>
      </w:pPr>
      <w:r w:rsidRPr="00DC67EB">
        <w:rPr>
          <w:noProof/>
        </w:rPr>
        <w:t>1. megjegyzés: Amennyiben az EQS [szögletes zárójelben] szerepel, az adott érték az Egészségügyi, Környezeti és Újonnan Felmerülő Kockázatok Tudományos Bizottságától kért vélemény alapján megerősítendő.</w:t>
      </w:r>
    </w:p>
    <w:p w14:paraId="62ECDC7E" w14:textId="77777777" w:rsidR="00FA31A1" w:rsidRPr="00DC67EB" w:rsidRDefault="00FA31A1" w:rsidP="00FA31A1">
      <w:pPr>
        <w:rPr>
          <w:noProof/>
        </w:rPr>
      </w:pPr>
    </w:p>
    <w:tbl>
      <w:tblPr>
        <w:tblW w:w="16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
        <w:gridCol w:w="34"/>
        <w:gridCol w:w="606"/>
        <w:gridCol w:w="11"/>
        <w:gridCol w:w="2193"/>
        <w:gridCol w:w="69"/>
        <w:gridCol w:w="24"/>
        <w:gridCol w:w="17"/>
        <w:gridCol w:w="1237"/>
        <w:gridCol w:w="75"/>
        <w:gridCol w:w="940"/>
        <w:gridCol w:w="52"/>
        <w:gridCol w:w="1134"/>
        <w:gridCol w:w="71"/>
        <w:gridCol w:w="1208"/>
        <w:gridCol w:w="49"/>
        <w:gridCol w:w="1230"/>
        <w:gridCol w:w="121"/>
        <w:gridCol w:w="1157"/>
        <w:gridCol w:w="89"/>
        <w:gridCol w:w="1188"/>
        <w:gridCol w:w="49"/>
        <w:gridCol w:w="1087"/>
        <w:gridCol w:w="1262"/>
        <w:gridCol w:w="17"/>
        <w:gridCol w:w="1136"/>
        <w:gridCol w:w="970"/>
      </w:tblGrid>
      <w:tr w:rsidR="00DC67EB" w:rsidRPr="00DC67EB" w14:paraId="7171986B" w14:textId="77777777" w:rsidTr="00FA31A1">
        <w:trPr>
          <w:gridBefore w:val="1"/>
          <w:wBefore w:w="12" w:type="dxa"/>
          <w:cantSplit/>
          <w:trHeight w:val="309"/>
          <w:tblHeader/>
          <w:jc w:val="center"/>
        </w:trPr>
        <w:tc>
          <w:tcPr>
            <w:tcW w:w="640" w:type="dxa"/>
            <w:gridSpan w:val="2"/>
            <w:tcMar>
              <w:left w:w="28" w:type="dxa"/>
              <w:right w:w="28" w:type="dxa"/>
            </w:tcMar>
          </w:tcPr>
          <w:p w14:paraId="33D3BB9F" w14:textId="77777777" w:rsidR="00FA31A1" w:rsidRPr="00DC67EB" w:rsidRDefault="00FA31A1" w:rsidP="00FA31A1">
            <w:pPr>
              <w:spacing w:before="40" w:after="40"/>
              <w:rPr>
                <w:noProof/>
                <w:sz w:val="22"/>
              </w:rPr>
            </w:pPr>
            <w:r w:rsidRPr="00DC67EB">
              <w:rPr>
                <w:noProof/>
                <w:sz w:val="22"/>
              </w:rPr>
              <w:t>(1)</w:t>
            </w:r>
          </w:p>
        </w:tc>
        <w:tc>
          <w:tcPr>
            <w:tcW w:w="2273" w:type="dxa"/>
            <w:gridSpan w:val="3"/>
            <w:tcMar>
              <w:left w:w="28" w:type="dxa"/>
              <w:right w:w="28" w:type="dxa"/>
            </w:tcMar>
          </w:tcPr>
          <w:p w14:paraId="5CD1812D" w14:textId="77777777" w:rsidR="00FA31A1" w:rsidRPr="00DC67EB" w:rsidRDefault="00FA31A1" w:rsidP="00FA31A1">
            <w:pPr>
              <w:spacing w:before="40" w:after="40"/>
              <w:rPr>
                <w:noProof/>
                <w:sz w:val="22"/>
              </w:rPr>
            </w:pPr>
            <w:r w:rsidRPr="00DC67EB">
              <w:rPr>
                <w:noProof/>
                <w:sz w:val="22"/>
              </w:rPr>
              <w:t>(2)</w:t>
            </w:r>
          </w:p>
        </w:tc>
        <w:tc>
          <w:tcPr>
            <w:tcW w:w="1278" w:type="dxa"/>
            <w:gridSpan w:val="3"/>
            <w:tcMar>
              <w:left w:w="28" w:type="dxa"/>
              <w:right w:w="28" w:type="dxa"/>
            </w:tcMar>
          </w:tcPr>
          <w:p w14:paraId="6C5580F3" w14:textId="77777777" w:rsidR="00FA31A1" w:rsidRPr="00DC67EB" w:rsidRDefault="00FA31A1" w:rsidP="00FA31A1">
            <w:pPr>
              <w:spacing w:before="40" w:after="40"/>
              <w:rPr>
                <w:noProof/>
                <w:sz w:val="22"/>
              </w:rPr>
            </w:pPr>
            <w:r w:rsidRPr="00DC67EB">
              <w:rPr>
                <w:noProof/>
                <w:sz w:val="22"/>
              </w:rPr>
              <w:t>(3)</w:t>
            </w:r>
          </w:p>
        </w:tc>
        <w:tc>
          <w:tcPr>
            <w:tcW w:w="1015" w:type="dxa"/>
            <w:gridSpan w:val="2"/>
            <w:tcMar>
              <w:left w:w="28" w:type="dxa"/>
              <w:right w:w="28" w:type="dxa"/>
            </w:tcMar>
          </w:tcPr>
          <w:p w14:paraId="2740CFCF" w14:textId="77777777" w:rsidR="00FA31A1" w:rsidRPr="00DC67EB" w:rsidRDefault="00FA31A1" w:rsidP="00FA31A1">
            <w:pPr>
              <w:spacing w:before="40" w:after="40"/>
              <w:rPr>
                <w:noProof/>
                <w:sz w:val="22"/>
              </w:rPr>
            </w:pPr>
            <w:r w:rsidRPr="00DC67EB">
              <w:rPr>
                <w:noProof/>
                <w:sz w:val="22"/>
              </w:rPr>
              <w:t>(4)</w:t>
            </w:r>
          </w:p>
        </w:tc>
        <w:tc>
          <w:tcPr>
            <w:tcW w:w="1257" w:type="dxa"/>
            <w:gridSpan w:val="3"/>
          </w:tcPr>
          <w:p w14:paraId="7C70F078" w14:textId="77777777" w:rsidR="00FA31A1" w:rsidRPr="00DC67EB" w:rsidRDefault="00FA31A1" w:rsidP="00FA31A1">
            <w:pPr>
              <w:spacing w:before="40" w:after="40"/>
              <w:rPr>
                <w:noProof/>
                <w:sz w:val="22"/>
              </w:rPr>
            </w:pPr>
            <w:r w:rsidRPr="00DC67EB">
              <w:rPr>
                <w:noProof/>
                <w:sz w:val="22"/>
              </w:rPr>
              <w:t>(5)</w:t>
            </w:r>
          </w:p>
        </w:tc>
        <w:tc>
          <w:tcPr>
            <w:tcW w:w="1257" w:type="dxa"/>
            <w:gridSpan w:val="2"/>
            <w:tcMar>
              <w:left w:w="28" w:type="dxa"/>
              <w:right w:w="28" w:type="dxa"/>
            </w:tcMar>
          </w:tcPr>
          <w:p w14:paraId="13C6153F" w14:textId="77777777" w:rsidR="00FA31A1" w:rsidRPr="00DC67EB" w:rsidRDefault="00FA31A1" w:rsidP="00FA31A1">
            <w:pPr>
              <w:spacing w:before="40" w:after="40"/>
              <w:rPr>
                <w:noProof/>
                <w:sz w:val="22"/>
              </w:rPr>
            </w:pPr>
            <w:r w:rsidRPr="00DC67EB">
              <w:rPr>
                <w:noProof/>
                <w:sz w:val="22"/>
              </w:rPr>
              <w:t>(6)</w:t>
            </w:r>
          </w:p>
        </w:tc>
        <w:tc>
          <w:tcPr>
            <w:tcW w:w="1351" w:type="dxa"/>
            <w:gridSpan w:val="2"/>
            <w:tcMar>
              <w:left w:w="28" w:type="dxa"/>
              <w:right w:w="28" w:type="dxa"/>
            </w:tcMar>
          </w:tcPr>
          <w:p w14:paraId="3129C9DC" w14:textId="77777777" w:rsidR="00FA31A1" w:rsidRPr="00DC67EB" w:rsidRDefault="00FA31A1" w:rsidP="00FA31A1">
            <w:pPr>
              <w:spacing w:before="40" w:after="40"/>
              <w:rPr>
                <w:noProof/>
                <w:sz w:val="22"/>
              </w:rPr>
            </w:pPr>
            <w:r w:rsidRPr="00DC67EB">
              <w:rPr>
                <w:noProof/>
                <w:sz w:val="22"/>
              </w:rPr>
              <w:t>(7)</w:t>
            </w:r>
          </w:p>
        </w:tc>
        <w:tc>
          <w:tcPr>
            <w:tcW w:w="1246" w:type="dxa"/>
            <w:gridSpan w:val="2"/>
            <w:tcMar>
              <w:left w:w="28" w:type="dxa"/>
              <w:right w:w="28" w:type="dxa"/>
            </w:tcMar>
          </w:tcPr>
          <w:p w14:paraId="2B31CAB3" w14:textId="77777777" w:rsidR="00FA31A1" w:rsidRPr="00DC67EB" w:rsidRDefault="00FA31A1" w:rsidP="00FA31A1">
            <w:pPr>
              <w:spacing w:before="40" w:after="40"/>
              <w:rPr>
                <w:noProof/>
                <w:sz w:val="22"/>
              </w:rPr>
            </w:pPr>
            <w:r w:rsidRPr="00DC67EB">
              <w:rPr>
                <w:noProof/>
                <w:sz w:val="22"/>
              </w:rPr>
              <w:t>(8)</w:t>
            </w:r>
          </w:p>
        </w:tc>
        <w:tc>
          <w:tcPr>
            <w:tcW w:w="1237" w:type="dxa"/>
            <w:gridSpan w:val="2"/>
            <w:tcMar>
              <w:left w:w="28" w:type="dxa"/>
              <w:right w:w="28" w:type="dxa"/>
            </w:tcMar>
          </w:tcPr>
          <w:p w14:paraId="3039FD56" w14:textId="77777777" w:rsidR="00FA31A1" w:rsidRPr="00DC67EB" w:rsidRDefault="00FA31A1" w:rsidP="00FA31A1">
            <w:pPr>
              <w:spacing w:before="40" w:after="40"/>
              <w:rPr>
                <w:noProof/>
                <w:sz w:val="22"/>
              </w:rPr>
            </w:pPr>
            <w:r w:rsidRPr="00DC67EB">
              <w:rPr>
                <w:noProof/>
                <w:sz w:val="22"/>
              </w:rPr>
              <w:t>(9)</w:t>
            </w:r>
          </w:p>
        </w:tc>
        <w:tc>
          <w:tcPr>
            <w:tcW w:w="1087" w:type="dxa"/>
            <w:tcMar>
              <w:left w:w="28" w:type="dxa"/>
              <w:right w:w="28" w:type="dxa"/>
            </w:tcMar>
          </w:tcPr>
          <w:p w14:paraId="3BB88A95" w14:textId="77777777" w:rsidR="00FA31A1" w:rsidRPr="00DC67EB" w:rsidRDefault="00FA31A1" w:rsidP="00FA31A1">
            <w:pPr>
              <w:spacing w:before="40" w:after="40"/>
              <w:rPr>
                <w:noProof/>
                <w:sz w:val="22"/>
              </w:rPr>
            </w:pPr>
            <w:r w:rsidRPr="00DC67EB">
              <w:rPr>
                <w:noProof/>
                <w:sz w:val="22"/>
              </w:rPr>
              <w:t>(10)</w:t>
            </w:r>
          </w:p>
        </w:tc>
        <w:tc>
          <w:tcPr>
            <w:tcW w:w="1262" w:type="dxa"/>
            <w:tcMar>
              <w:left w:w="28" w:type="dxa"/>
              <w:right w:w="28" w:type="dxa"/>
            </w:tcMar>
          </w:tcPr>
          <w:p w14:paraId="31A954C4" w14:textId="77777777" w:rsidR="00FA31A1" w:rsidRPr="00DC67EB" w:rsidRDefault="00FA31A1" w:rsidP="00FA31A1">
            <w:pPr>
              <w:spacing w:before="40" w:after="40"/>
              <w:rPr>
                <w:noProof/>
                <w:sz w:val="22"/>
              </w:rPr>
            </w:pPr>
            <w:r w:rsidRPr="00DC67EB">
              <w:rPr>
                <w:noProof/>
                <w:sz w:val="22"/>
              </w:rPr>
              <w:t>(11)</w:t>
            </w:r>
          </w:p>
        </w:tc>
        <w:tc>
          <w:tcPr>
            <w:tcW w:w="1153" w:type="dxa"/>
            <w:gridSpan w:val="2"/>
            <w:tcMar>
              <w:left w:w="28" w:type="dxa"/>
              <w:right w:w="28" w:type="dxa"/>
            </w:tcMar>
          </w:tcPr>
          <w:p w14:paraId="4825A67D" w14:textId="77777777" w:rsidR="00FA31A1" w:rsidRPr="00DC67EB" w:rsidRDefault="00FA31A1" w:rsidP="00FA31A1">
            <w:pPr>
              <w:spacing w:before="40" w:after="40"/>
              <w:rPr>
                <w:noProof/>
                <w:sz w:val="22"/>
              </w:rPr>
            </w:pPr>
            <w:r w:rsidRPr="00DC67EB">
              <w:rPr>
                <w:noProof/>
                <w:sz w:val="22"/>
              </w:rPr>
              <w:t>(12)</w:t>
            </w:r>
          </w:p>
        </w:tc>
        <w:tc>
          <w:tcPr>
            <w:tcW w:w="970" w:type="dxa"/>
            <w:tcMar>
              <w:left w:w="28" w:type="dxa"/>
              <w:right w:w="28" w:type="dxa"/>
            </w:tcMar>
          </w:tcPr>
          <w:p w14:paraId="6770E798" w14:textId="77777777" w:rsidR="00FA31A1" w:rsidRPr="00DC67EB" w:rsidRDefault="00FA31A1" w:rsidP="00FA31A1">
            <w:pPr>
              <w:spacing w:before="40" w:after="40"/>
              <w:rPr>
                <w:noProof/>
                <w:sz w:val="22"/>
              </w:rPr>
            </w:pPr>
            <w:r w:rsidRPr="00DC67EB">
              <w:rPr>
                <w:noProof/>
                <w:sz w:val="22"/>
              </w:rPr>
              <w:t>(13)</w:t>
            </w:r>
          </w:p>
        </w:tc>
      </w:tr>
      <w:tr w:rsidR="00DC67EB" w:rsidRPr="00DC67EB" w14:paraId="2730DD27" w14:textId="77777777" w:rsidTr="00FA31A1">
        <w:trPr>
          <w:gridBefore w:val="1"/>
          <w:wBefore w:w="12" w:type="dxa"/>
          <w:cantSplit/>
          <w:trHeight w:val="1020"/>
          <w:tblHeader/>
          <w:jc w:val="center"/>
        </w:trPr>
        <w:tc>
          <w:tcPr>
            <w:tcW w:w="640" w:type="dxa"/>
            <w:gridSpan w:val="2"/>
            <w:tcMar>
              <w:left w:w="28" w:type="dxa"/>
              <w:right w:w="28" w:type="dxa"/>
            </w:tcMar>
          </w:tcPr>
          <w:p w14:paraId="2DF137C9" w14:textId="77777777" w:rsidR="00FA31A1" w:rsidRPr="00DC67EB" w:rsidRDefault="00FA31A1" w:rsidP="00FA31A1">
            <w:pPr>
              <w:spacing w:before="40" w:after="40"/>
              <w:rPr>
                <w:noProof/>
                <w:sz w:val="22"/>
              </w:rPr>
            </w:pPr>
            <w:r w:rsidRPr="00DC67EB">
              <w:rPr>
                <w:noProof/>
                <w:sz w:val="22"/>
              </w:rPr>
              <w:t>[Bejegyzés] Sorszám</w:t>
            </w:r>
          </w:p>
        </w:tc>
        <w:tc>
          <w:tcPr>
            <w:tcW w:w="2273" w:type="dxa"/>
            <w:gridSpan w:val="3"/>
            <w:tcMar>
              <w:left w:w="28" w:type="dxa"/>
              <w:right w:w="28" w:type="dxa"/>
            </w:tcMar>
          </w:tcPr>
          <w:p w14:paraId="19F5D7B0" w14:textId="77777777" w:rsidR="00FA31A1" w:rsidRPr="00DC67EB" w:rsidRDefault="00FA31A1" w:rsidP="00FA31A1">
            <w:pPr>
              <w:spacing w:before="40" w:after="40"/>
              <w:rPr>
                <w:noProof/>
                <w:sz w:val="22"/>
              </w:rPr>
            </w:pPr>
            <w:r w:rsidRPr="00DC67EB">
              <w:rPr>
                <w:noProof/>
                <w:sz w:val="22"/>
              </w:rPr>
              <w:t>Anyag neve</w:t>
            </w:r>
          </w:p>
        </w:tc>
        <w:tc>
          <w:tcPr>
            <w:tcW w:w="1278" w:type="dxa"/>
            <w:gridSpan w:val="3"/>
            <w:shd w:val="clear" w:color="auto" w:fill="auto"/>
            <w:tcMar>
              <w:left w:w="28" w:type="dxa"/>
              <w:right w:w="28" w:type="dxa"/>
            </w:tcMar>
          </w:tcPr>
          <w:p w14:paraId="07604139" w14:textId="77777777" w:rsidR="00FA31A1" w:rsidRPr="00DC67EB" w:rsidRDefault="00FA31A1" w:rsidP="00FA31A1">
            <w:pPr>
              <w:spacing w:before="40" w:after="40"/>
              <w:rPr>
                <w:noProof/>
                <w:sz w:val="22"/>
              </w:rPr>
            </w:pPr>
            <w:r w:rsidRPr="00DC67EB">
              <w:rPr>
                <w:noProof/>
                <w:sz w:val="22"/>
              </w:rPr>
              <w:t>Anyag kategóriája</w:t>
            </w:r>
          </w:p>
        </w:tc>
        <w:tc>
          <w:tcPr>
            <w:tcW w:w="1015" w:type="dxa"/>
            <w:gridSpan w:val="2"/>
            <w:tcMar>
              <w:left w:w="28" w:type="dxa"/>
              <w:right w:w="28" w:type="dxa"/>
            </w:tcMar>
          </w:tcPr>
          <w:p w14:paraId="12B2E9B9" w14:textId="77777777" w:rsidR="00FA31A1" w:rsidRPr="00DC67EB" w:rsidRDefault="00FA31A1" w:rsidP="00FA31A1">
            <w:pPr>
              <w:spacing w:before="40" w:after="40"/>
              <w:rPr>
                <w:noProof/>
                <w:sz w:val="22"/>
                <w:vertAlign w:val="superscript"/>
              </w:rPr>
            </w:pPr>
            <w:r w:rsidRPr="00DC67EB">
              <w:rPr>
                <w:noProof/>
                <w:sz w:val="22"/>
              </w:rPr>
              <w:t>CAS-szám (</w:t>
            </w:r>
            <w:r w:rsidRPr="00DC67EB">
              <w:rPr>
                <w:noProof/>
                <w:sz w:val="22"/>
                <w:vertAlign w:val="superscript"/>
              </w:rPr>
              <w:t>1</w:t>
            </w:r>
            <w:r w:rsidRPr="00DC67EB">
              <w:rPr>
                <w:noProof/>
                <w:sz w:val="22"/>
              </w:rPr>
              <w:t>)</w:t>
            </w:r>
            <w:bookmarkStart w:id="8" w:name="_DV_M292"/>
            <w:bookmarkEnd w:id="8"/>
          </w:p>
        </w:tc>
        <w:tc>
          <w:tcPr>
            <w:tcW w:w="1257" w:type="dxa"/>
            <w:gridSpan w:val="3"/>
          </w:tcPr>
          <w:p w14:paraId="74BD12A7" w14:textId="77777777" w:rsidR="00FA31A1" w:rsidRPr="00DC67EB" w:rsidRDefault="00FA31A1" w:rsidP="00FA31A1">
            <w:pPr>
              <w:spacing w:before="40" w:after="40"/>
              <w:rPr>
                <w:noProof/>
                <w:sz w:val="22"/>
              </w:rPr>
            </w:pPr>
            <w:r w:rsidRPr="00DC67EB">
              <w:rPr>
                <w:noProof/>
                <w:sz w:val="22"/>
              </w:rPr>
              <w:t>EU-szám (</w:t>
            </w:r>
            <w:r w:rsidRPr="00DC67EB">
              <w:rPr>
                <w:noProof/>
                <w:sz w:val="22"/>
                <w:vertAlign w:val="superscript"/>
              </w:rPr>
              <w:t>2</w:t>
            </w:r>
            <w:r w:rsidRPr="00DC67EB">
              <w:rPr>
                <w:noProof/>
                <w:sz w:val="22"/>
              </w:rPr>
              <w:t>)</w:t>
            </w:r>
          </w:p>
        </w:tc>
        <w:tc>
          <w:tcPr>
            <w:tcW w:w="1257" w:type="dxa"/>
            <w:gridSpan w:val="2"/>
            <w:tcMar>
              <w:left w:w="28" w:type="dxa"/>
              <w:right w:w="28" w:type="dxa"/>
            </w:tcMar>
          </w:tcPr>
          <w:p w14:paraId="14819691" w14:textId="77777777" w:rsidR="00FA31A1" w:rsidRPr="00DC67EB" w:rsidRDefault="00FA31A1" w:rsidP="00FA31A1">
            <w:pPr>
              <w:spacing w:before="40" w:after="40"/>
              <w:rPr>
                <w:noProof/>
                <w:sz w:val="22"/>
                <w:vertAlign w:val="superscript"/>
              </w:rPr>
            </w:pPr>
            <w:bookmarkStart w:id="9" w:name="_Hlk115349616"/>
            <w:bookmarkStart w:id="10" w:name="_Hlk115803578"/>
            <w:r w:rsidRPr="00DC67EB">
              <w:rPr>
                <w:noProof/>
                <w:sz w:val="22"/>
              </w:rPr>
              <w:t>AA</w:t>
            </w:r>
            <w:r w:rsidRPr="00DC67EB">
              <w:rPr>
                <w:noProof/>
                <w:sz w:val="22"/>
              </w:rPr>
              <w:noBreakHyphen/>
              <w:t xml:space="preserve">EQS </w:t>
            </w:r>
            <w:bookmarkEnd w:id="9"/>
            <w:r w:rsidRPr="00DC67EB">
              <w:rPr>
                <w:noProof/>
                <w:sz w:val="22"/>
              </w:rPr>
              <w:t>(</w:t>
            </w:r>
            <w:r w:rsidRPr="00DC67EB">
              <w:rPr>
                <w:noProof/>
                <w:sz w:val="22"/>
                <w:vertAlign w:val="superscript"/>
              </w:rPr>
              <w:t>3</w:t>
            </w:r>
            <w:r w:rsidRPr="00DC67EB">
              <w:rPr>
                <w:noProof/>
                <w:sz w:val="22"/>
              </w:rPr>
              <w:t xml:space="preserve">) </w:t>
            </w:r>
            <w:bookmarkStart w:id="11" w:name="_DV_M293"/>
            <w:bookmarkEnd w:id="11"/>
            <w:r w:rsidRPr="00DC67EB">
              <w:rPr>
                <w:noProof/>
                <w:sz w:val="22"/>
              </w:rPr>
              <w:t xml:space="preserve">Szárazföldi felszíni vizek </w:t>
            </w:r>
            <w:bookmarkEnd w:id="10"/>
            <w:r w:rsidRPr="00DC67EB">
              <w:rPr>
                <w:noProof/>
                <w:sz w:val="22"/>
              </w:rPr>
              <w:t>(</w:t>
            </w:r>
            <w:r w:rsidRPr="00DC67EB">
              <w:rPr>
                <w:noProof/>
                <w:sz w:val="22"/>
                <w:vertAlign w:val="superscript"/>
              </w:rPr>
              <w:t>4</w:t>
            </w:r>
            <w:r w:rsidRPr="00DC67EB">
              <w:rPr>
                <w:noProof/>
                <w:sz w:val="22"/>
              </w:rPr>
              <w:t>)</w:t>
            </w:r>
            <w:bookmarkStart w:id="12" w:name="_DV_M294"/>
            <w:bookmarkEnd w:id="12"/>
          </w:p>
          <w:p w14:paraId="4A7A02EE" w14:textId="77777777" w:rsidR="00FA31A1" w:rsidRPr="00DC67EB" w:rsidRDefault="00FA31A1" w:rsidP="00FA31A1">
            <w:pPr>
              <w:spacing w:before="40" w:after="40"/>
              <w:rPr>
                <w:noProof/>
                <w:sz w:val="22"/>
              </w:rPr>
            </w:pPr>
          </w:p>
          <w:p w14:paraId="45CF3E86" w14:textId="77777777" w:rsidR="00FA31A1" w:rsidRPr="00DC67EB" w:rsidRDefault="00FA31A1" w:rsidP="00FA31A1">
            <w:pPr>
              <w:spacing w:before="40" w:after="40"/>
              <w:rPr>
                <w:noProof/>
                <w:sz w:val="22"/>
              </w:rPr>
            </w:pPr>
            <w:r w:rsidRPr="00DC67EB">
              <w:rPr>
                <w:noProof/>
                <w:sz w:val="22"/>
              </w:rPr>
              <w:t>[µg/l]</w:t>
            </w:r>
          </w:p>
        </w:tc>
        <w:tc>
          <w:tcPr>
            <w:tcW w:w="1351" w:type="dxa"/>
            <w:gridSpan w:val="2"/>
            <w:tcMar>
              <w:left w:w="28" w:type="dxa"/>
              <w:right w:w="28" w:type="dxa"/>
            </w:tcMar>
          </w:tcPr>
          <w:p w14:paraId="3A9E8142" w14:textId="77777777" w:rsidR="00FA31A1" w:rsidRPr="00DC67EB" w:rsidRDefault="00FA31A1" w:rsidP="00FA31A1">
            <w:pPr>
              <w:spacing w:before="40" w:after="40"/>
              <w:rPr>
                <w:noProof/>
                <w:sz w:val="22"/>
              </w:rPr>
            </w:pPr>
            <w:r w:rsidRPr="00DC67EB">
              <w:rPr>
                <w:noProof/>
                <w:sz w:val="22"/>
              </w:rPr>
              <w:t>AA</w:t>
            </w:r>
            <w:r w:rsidRPr="00DC67EB">
              <w:rPr>
                <w:noProof/>
                <w:sz w:val="22"/>
              </w:rPr>
              <w:noBreakHyphen/>
              <w:t>EQS</w:t>
            </w:r>
            <w:bookmarkStart w:id="13" w:name="_DV_M295"/>
            <w:bookmarkEnd w:id="13"/>
            <w:r w:rsidRPr="00DC67EB">
              <w:rPr>
                <w:noProof/>
                <w:sz w:val="22"/>
              </w:rPr>
              <w:t xml:space="preserve"> (</w:t>
            </w:r>
            <w:r w:rsidRPr="00DC67EB">
              <w:rPr>
                <w:noProof/>
                <w:sz w:val="22"/>
                <w:vertAlign w:val="superscript"/>
              </w:rPr>
              <w:t>3</w:t>
            </w:r>
            <w:r w:rsidRPr="00DC67EB">
              <w:rPr>
                <w:noProof/>
                <w:sz w:val="22"/>
              </w:rPr>
              <w:t>)</w:t>
            </w:r>
          </w:p>
          <w:p w14:paraId="6DD18E00" w14:textId="77777777" w:rsidR="00FA31A1" w:rsidRPr="00DC67EB" w:rsidRDefault="00FA31A1" w:rsidP="00FA31A1">
            <w:pPr>
              <w:spacing w:before="40" w:after="40"/>
              <w:rPr>
                <w:noProof/>
                <w:sz w:val="22"/>
              </w:rPr>
            </w:pPr>
            <w:r w:rsidRPr="00DC67EB">
              <w:rPr>
                <w:noProof/>
                <w:sz w:val="22"/>
              </w:rPr>
              <w:t>Egyéb felszíni vizek</w:t>
            </w:r>
          </w:p>
          <w:p w14:paraId="1B418BB7" w14:textId="77777777" w:rsidR="00FA31A1" w:rsidRPr="00DC67EB" w:rsidRDefault="00FA31A1" w:rsidP="00FA31A1">
            <w:pPr>
              <w:spacing w:before="40" w:after="40"/>
              <w:rPr>
                <w:noProof/>
                <w:sz w:val="22"/>
              </w:rPr>
            </w:pPr>
          </w:p>
          <w:p w14:paraId="3C99ACBE" w14:textId="77777777" w:rsidR="00FA31A1" w:rsidRPr="00DC67EB" w:rsidRDefault="00FA31A1" w:rsidP="00FA31A1">
            <w:pPr>
              <w:spacing w:before="40" w:after="40"/>
              <w:rPr>
                <w:noProof/>
                <w:sz w:val="22"/>
              </w:rPr>
            </w:pPr>
            <w:r w:rsidRPr="00DC67EB">
              <w:rPr>
                <w:noProof/>
                <w:sz w:val="22"/>
              </w:rPr>
              <w:t>[µg/l]</w:t>
            </w:r>
          </w:p>
        </w:tc>
        <w:tc>
          <w:tcPr>
            <w:tcW w:w="1246" w:type="dxa"/>
            <w:gridSpan w:val="2"/>
            <w:tcMar>
              <w:left w:w="28" w:type="dxa"/>
              <w:right w:w="28" w:type="dxa"/>
            </w:tcMar>
          </w:tcPr>
          <w:p w14:paraId="6E84D6E1" w14:textId="77777777" w:rsidR="00FA31A1" w:rsidRPr="00DC67EB" w:rsidRDefault="00FA31A1" w:rsidP="00FA31A1">
            <w:pPr>
              <w:spacing w:before="40" w:after="40"/>
              <w:rPr>
                <w:noProof/>
                <w:sz w:val="22"/>
              </w:rPr>
            </w:pPr>
            <w:bookmarkStart w:id="14" w:name="_Hlk115349625"/>
            <w:r w:rsidRPr="00DC67EB">
              <w:rPr>
                <w:noProof/>
                <w:sz w:val="22"/>
              </w:rPr>
              <w:t>MAC</w:t>
            </w:r>
            <w:r w:rsidRPr="00DC67EB">
              <w:rPr>
                <w:noProof/>
                <w:sz w:val="22"/>
              </w:rPr>
              <w:noBreakHyphen/>
              <w:t xml:space="preserve">EQS </w:t>
            </w:r>
            <w:bookmarkEnd w:id="14"/>
            <w:r w:rsidRPr="00DC67EB">
              <w:rPr>
                <w:noProof/>
                <w:sz w:val="22"/>
              </w:rPr>
              <w:t>(</w:t>
            </w:r>
            <w:r w:rsidRPr="00DC67EB">
              <w:rPr>
                <w:noProof/>
                <w:sz w:val="22"/>
                <w:vertAlign w:val="superscript"/>
              </w:rPr>
              <w:t>5</w:t>
            </w:r>
            <w:r w:rsidRPr="00DC67EB">
              <w:rPr>
                <w:noProof/>
                <w:sz w:val="22"/>
              </w:rPr>
              <w:t>)</w:t>
            </w:r>
            <w:bookmarkStart w:id="15" w:name="_DV_M296"/>
            <w:bookmarkEnd w:id="15"/>
          </w:p>
          <w:p w14:paraId="7934581E" w14:textId="77777777" w:rsidR="00FA31A1" w:rsidRPr="00DC67EB" w:rsidRDefault="00FA31A1" w:rsidP="00FA31A1">
            <w:pPr>
              <w:spacing w:before="40" w:after="40"/>
              <w:rPr>
                <w:noProof/>
                <w:sz w:val="22"/>
                <w:vertAlign w:val="superscript"/>
              </w:rPr>
            </w:pPr>
            <w:r w:rsidRPr="00DC67EB">
              <w:rPr>
                <w:noProof/>
                <w:sz w:val="22"/>
              </w:rPr>
              <w:t xml:space="preserve">Szárazföldi felszíni vizek </w:t>
            </w:r>
            <w:bookmarkStart w:id="16" w:name="_DV_M297"/>
            <w:bookmarkEnd w:id="16"/>
            <w:r w:rsidRPr="00DC67EB">
              <w:rPr>
                <w:noProof/>
                <w:sz w:val="22"/>
              </w:rPr>
              <w:t>(</w:t>
            </w:r>
            <w:r w:rsidRPr="00DC67EB">
              <w:rPr>
                <w:noProof/>
                <w:sz w:val="22"/>
                <w:vertAlign w:val="superscript"/>
              </w:rPr>
              <w:t>4</w:t>
            </w:r>
            <w:r w:rsidRPr="00DC67EB">
              <w:rPr>
                <w:noProof/>
                <w:sz w:val="22"/>
              </w:rPr>
              <w:t>)</w:t>
            </w:r>
          </w:p>
          <w:p w14:paraId="682563C4" w14:textId="77777777" w:rsidR="00FA31A1" w:rsidRPr="00DC67EB" w:rsidRDefault="00FA31A1" w:rsidP="00FA31A1">
            <w:pPr>
              <w:spacing w:before="40" w:after="40"/>
              <w:rPr>
                <w:noProof/>
                <w:sz w:val="22"/>
              </w:rPr>
            </w:pPr>
          </w:p>
          <w:p w14:paraId="7D71538E" w14:textId="77777777" w:rsidR="00FA31A1" w:rsidRPr="00DC67EB" w:rsidRDefault="00FA31A1" w:rsidP="00FA31A1">
            <w:pPr>
              <w:spacing w:before="40" w:after="40"/>
              <w:rPr>
                <w:noProof/>
                <w:sz w:val="22"/>
              </w:rPr>
            </w:pPr>
            <w:r w:rsidRPr="00DC67EB">
              <w:rPr>
                <w:noProof/>
                <w:sz w:val="22"/>
              </w:rPr>
              <w:t>[µg/l]</w:t>
            </w:r>
          </w:p>
        </w:tc>
        <w:tc>
          <w:tcPr>
            <w:tcW w:w="1237" w:type="dxa"/>
            <w:gridSpan w:val="2"/>
            <w:tcMar>
              <w:left w:w="28" w:type="dxa"/>
              <w:right w:w="28" w:type="dxa"/>
            </w:tcMar>
          </w:tcPr>
          <w:p w14:paraId="7F9F6A5D" w14:textId="77777777" w:rsidR="00FA31A1" w:rsidRPr="00DC67EB" w:rsidRDefault="00FA31A1" w:rsidP="00FA31A1">
            <w:pPr>
              <w:spacing w:before="40" w:after="40"/>
              <w:rPr>
                <w:noProof/>
                <w:sz w:val="22"/>
              </w:rPr>
            </w:pPr>
            <w:r w:rsidRPr="00DC67EB">
              <w:rPr>
                <w:noProof/>
                <w:sz w:val="22"/>
              </w:rPr>
              <w:t>MAC</w:t>
            </w:r>
            <w:r w:rsidRPr="00DC67EB">
              <w:rPr>
                <w:noProof/>
                <w:sz w:val="22"/>
              </w:rPr>
              <w:noBreakHyphen/>
              <w:t>EQS (</w:t>
            </w:r>
            <w:r w:rsidRPr="00DC67EB">
              <w:rPr>
                <w:noProof/>
                <w:sz w:val="22"/>
                <w:vertAlign w:val="superscript"/>
              </w:rPr>
              <w:t>5</w:t>
            </w:r>
            <w:r w:rsidRPr="00DC67EB">
              <w:rPr>
                <w:noProof/>
                <w:sz w:val="22"/>
              </w:rPr>
              <w:t>)</w:t>
            </w:r>
            <w:bookmarkStart w:id="17" w:name="_DV_M298"/>
            <w:bookmarkEnd w:id="17"/>
          </w:p>
          <w:p w14:paraId="21C074B0" w14:textId="77777777" w:rsidR="00FA31A1" w:rsidRPr="00DC67EB" w:rsidRDefault="00FA31A1" w:rsidP="00FA31A1">
            <w:pPr>
              <w:spacing w:before="40" w:after="40"/>
              <w:rPr>
                <w:noProof/>
                <w:sz w:val="22"/>
              </w:rPr>
            </w:pPr>
            <w:r w:rsidRPr="00DC67EB">
              <w:rPr>
                <w:noProof/>
                <w:sz w:val="22"/>
              </w:rPr>
              <w:t>Egyéb felszíni vizek</w:t>
            </w:r>
          </w:p>
          <w:p w14:paraId="6F494400" w14:textId="77777777" w:rsidR="00FA31A1" w:rsidRPr="00DC67EB" w:rsidRDefault="00FA31A1" w:rsidP="00FA31A1">
            <w:pPr>
              <w:spacing w:before="40" w:after="40"/>
              <w:rPr>
                <w:noProof/>
                <w:sz w:val="22"/>
              </w:rPr>
            </w:pPr>
          </w:p>
          <w:p w14:paraId="68C29973" w14:textId="77777777" w:rsidR="00FA31A1" w:rsidRPr="00DC67EB" w:rsidRDefault="00FA31A1" w:rsidP="00FA31A1">
            <w:pPr>
              <w:spacing w:before="40" w:after="40"/>
              <w:rPr>
                <w:noProof/>
                <w:sz w:val="22"/>
              </w:rPr>
            </w:pPr>
            <w:r w:rsidRPr="00DC67EB">
              <w:rPr>
                <w:noProof/>
                <w:sz w:val="22"/>
              </w:rPr>
              <w:t>[µg/l]</w:t>
            </w:r>
          </w:p>
        </w:tc>
        <w:tc>
          <w:tcPr>
            <w:tcW w:w="1087" w:type="dxa"/>
            <w:tcMar>
              <w:left w:w="28" w:type="dxa"/>
              <w:right w:w="28" w:type="dxa"/>
            </w:tcMar>
          </w:tcPr>
          <w:p w14:paraId="0C85CEE3" w14:textId="77777777" w:rsidR="00FA31A1" w:rsidRPr="00DC67EB" w:rsidRDefault="00FA31A1" w:rsidP="00FA31A1">
            <w:pPr>
              <w:spacing w:before="40" w:after="40"/>
              <w:rPr>
                <w:noProof/>
                <w:sz w:val="22"/>
              </w:rPr>
            </w:pPr>
            <w:r w:rsidRPr="00DC67EB">
              <w:rPr>
                <w:noProof/>
                <w:sz w:val="22"/>
              </w:rPr>
              <w:t>Biótára vonatkozó</w:t>
            </w:r>
          </w:p>
          <w:p w14:paraId="045E827B" w14:textId="77777777" w:rsidR="00FA31A1" w:rsidRPr="00DC67EB" w:rsidRDefault="00FA31A1" w:rsidP="00FA31A1">
            <w:pPr>
              <w:spacing w:before="40" w:after="40"/>
              <w:rPr>
                <w:noProof/>
                <w:sz w:val="22"/>
              </w:rPr>
            </w:pPr>
            <w:r w:rsidRPr="00DC67EB">
              <w:rPr>
                <w:noProof/>
                <w:sz w:val="22"/>
              </w:rPr>
              <w:t xml:space="preserve">EQS </w:t>
            </w:r>
            <w:bookmarkStart w:id="18" w:name="_DV_M299"/>
            <w:bookmarkEnd w:id="18"/>
            <w:r w:rsidRPr="00DC67EB">
              <w:rPr>
                <w:noProof/>
                <w:sz w:val="22"/>
              </w:rPr>
              <w:t>(</w:t>
            </w:r>
            <w:r w:rsidRPr="00DC67EB">
              <w:rPr>
                <w:noProof/>
                <w:sz w:val="22"/>
                <w:vertAlign w:val="superscript"/>
              </w:rPr>
              <w:t>6</w:t>
            </w:r>
            <w:r w:rsidRPr="00DC67EB">
              <w:rPr>
                <w:noProof/>
                <w:sz w:val="22"/>
              </w:rPr>
              <w:t>)</w:t>
            </w:r>
          </w:p>
          <w:p w14:paraId="38C05C03" w14:textId="77777777" w:rsidR="00FA31A1" w:rsidRPr="00DC67EB" w:rsidRDefault="00FA31A1" w:rsidP="00FA31A1">
            <w:pPr>
              <w:spacing w:before="40" w:after="40"/>
              <w:rPr>
                <w:noProof/>
                <w:sz w:val="22"/>
              </w:rPr>
            </w:pPr>
            <w:r w:rsidRPr="00DC67EB">
              <w:rPr>
                <w:noProof/>
                <w:sz w:val="22"/>
              </w:rPr>
              <w:t xml:space="preserve">[µg/kg nedves tömeg] </w:t>
            </w:r>
          </w:p>
          <w:p w14:paraId="4696A2D3" w14:textId="77777777" w:rsidR="00FA31A1" w:rsidRPr="00DC67EB" w:rsidRDefault="00FA31A1" w:rsidP="00FA31A1">
            <w:pPr>
              <w:spacing w:before="40" w:after="40"/>
              <w:rPr>
                <w:noProof/>
                <w:sz w:val="22"/>
              </w:rPr>
            </w:pPr>
            <w:r w:rsidRPr="00DC67EB">
              <w:rPr>
                <w:noProof/>
                <w:sz w:val="22"/>
              </w:rPr>
              <w:t>vagy üledékre vonatkozó EQS [µg/kg száraz tömeg], ha így van megadva</w:t>
            </w:r>
          </w:p>
        </w:tc>
        <w:tc>
          <w:tcPr>
            <w:tcW w:w="1262" w:type="dxa"/>
            <w:tcMar>
              <w:left w:w="28" w:type="dxa"/>
              <w:right w:w="28" w:type="dxa"/>
            </w:tcMar>
          </w:tcPr>
          <w:p w14:paraId="1BF15A49" w14:textId="77777777" w:rsidR="00FA31A1" w:rsidRPr="00DC67EB" w:rsidRDefault="00FA31A1" w:rsidP="00FA31A1">
            <w:pPr>
              <w:spacing w:before="40" w:after="40"/>
              <w:rPr>
                <w:noProof/>
                <w:sz w:val="22"/>
              </w:rPr>
            </w:pPr>
            <w:r w:rsidRPr="00DC67EB">
              <w:rPr>
                <w:noProof/>
                <w:sz w:val="22"/>
              </w:rPr>
              <w:t xml:space="preserve">Elsőbbségi veszélyes anyagként azonosítva </w:t>
            </w:r>
          </w:p>
        </w:tc>
        <w:tc>
          <w:tcPr>
            <w:tcW w:w="1153" w:type="dxa"/>
            <w:gridSpan w:val="2"/>
            <w:tcMar>
              <w:left w:w="28" w:type="dxa"/>
              <w:right w:w="28" w:type="dxa"/>
            </w:tcMar>
          </w:tcPr>
          <w:p w14:paraId="15217000" w14:textId="77777777" w:rsidR="00FA31A1" w:rsidRPr="00DC67EB" w:rsidRDefault="00FA31A1" w:rsidP="00FA31A1">
            <w:pPr>
              <w:spacing w:before="40" w:after="40"/>
              <w:rPr>
                <w:noProof/>
                <w:sz w:val="22"/>
              </w:rPr>
            </w:pPr>
            <w:r w:rsidRPr="00DC67EB">
              <w:rPr>
                <w:noProof/>
                <w:sz w:val="22"/>
              </w:rPr>
              <w:t>Mindenütt jelen lévő perzisztens, bioakkumulatív és mérgező (uPBT) anyagként azonosítva</w:t>
            </w:r>
          </w:p>
        </w:tc>
        <w:tc>
          <w:tcPr>
            <w:tcW w:w="970" w:type="dxa"/>
            <w:tcMar>
              <w:left w:w="28" w:type="dxa"/>
              <w:right w:w="28" w:type="dxa"/>
            </w:tcMar>
          </w:tcPr>
          <w:p w14:paraId="3ED25C6F" w14:textId="77777777" w:rsidR="00FA31A1" w:rsidRPr="00DC67EB" w:rsidRDefault="00FA31A1" w:rsidP="00FA31A1">
            <w:pPr>
              <w:spacing w:before="40" w:after="40"/>
              <w:rPr>
                <w:noProof/>
                <w:sz w:val="22"/>
              </w:rPr>
            </w:pPr>
            <w:r w:rsidRPr="00DC67EB">
              <w:rPr>
                <w:noProof/>
                <w:sz w:val="22"/>
              </w:rPr>
              <w:t xml:space="preserve">Az üledékben és/vagy a biótában felhalmozódni hajlamos anyagként azonosítva </w:t>
            </w:r>
          </w:p>
        </w:tc>
      </w:tr>
      <w:tr w:rsidR="00DC67EB" w:rsidRPr="00DC67EB" w14:paraId="3D4E869D" w14:textId="77777777" w:rsidTr="00FA31A1">
        <w:trPr>
          <w:gridBefore w:val="1"/>
          <w:wBefore w:w="12" w:type="dxa"/>
          <w:cantSplit/>
          <w:tblHeader/>
          <w:jc w:val="center"/>
        </w:trPr>
        <w:tc>
          <w:tcPr>
            <w:tcW w:w="651" w:type="dxa"/>
            <w:gridSpan w:val="3"/>
            <w:tcMar>
              <w:left w:w="28" w:type="dxa"/>
              <w:right w:w="28" w:type="dxa"/>
            </w:tcMar>
          </w:tcPr>
          <w:p w14:paraId="18A0D7F1" w14:textId="77777777" w:rsidR="00FA31A1" w:rsidRPr="00DC67EB" w:rsidRDefault="00FA31A1" w:rsidP="00FA31A1">
            <w:pPr>
              <w:spacing w:before="40" w:after="40"/>
              <w:rPr>
                <w:noProof/>
                <w:sz w:val="22"/>
              </w:rPr>
            </w:pPr>
            <w:r w:rsidRPr="00DC67EB">
              <w:rPr>
                <w:noProof/>
                <w:sz w:val="22"/>
              </w:rPr>
              <w:t>1.</w:t>
            </w:r>
          </w:p>
        </w:tc>
        <w:tc>
          <w:tcPr>
            <w:tcW w:w="15375" w:type="dxa"/>
            <w:gridSpan w:val="23"/>
            <w:tcMar>
              <w:left w:w="28" w:type="dxa"/>
              <w:right w:w="28" w:type="dxa"/>
            </w:tcMar>
          </w:tcPr>
          <w:p w14:paraId="6D8909EC" w14:textId="77777777" w:rsidR="00FA31A1" w:rsidRPr="00DC67EB" w:rsidRDefault="00FA31A1" w:rsidP="00FA31A1">
            <w:pPr>
              <w:spacing w:before="40" w:after="40"/>
              <w:rPr>
                <w:noProof/>
                <w:sz w:val="22"/>
              </w:rPr>
            </w:pPr>
            <w:r w:rsidRPr="00DC67EB">
              <w:rPr>
                <w:noProof/>
                <w:sz w:val="22"/>
              </w:rPr>
              <w:t xml:space="preserve">Az alaklór anyag átkerült a II. melléklet C. részébe. </w:t>
            </w:r>
          </w:p>
        </w:tc>
      </w:tr>
      <w:tr w:rsidR="00DC67EB" w:rsidRPr="00DC67EB" w14:paraId="5C39F8C2" w14:textId="77777777" w:rsidTr="00FA31A1">
        <w:trPr>
          <w:gridBefore w:val="1"/>
          <w:wBefore w:w="12" w:type="dxa"/>
          <w:cantSplit/>
          <w:tblHeader/>
          <w:jc w:val="center"/>
        </w:trPr>
        <w:tc>
          <w:tcPr>
            <w:tcW w:w="651" w:type="dxa"/>
            <w:gridSpan w:val="3"/>
            <w:tcMar>
              <w:left w:w="28" w:type="dxa"/>
              <w:right w:w="28" w:type="dxa"/>
            </w:tcMar>
          </w:tcPr>
          <w:p w14:paraId="088F13D3" w14:textId="77777777" w:rsidR="00FA31A1" w:rsidRPr="00DC67EB" w:rsidRDefault="00FA31A1" w:rsidP="00FA31A1">
            <w:pPr>
              <w:spacing w:before="40" w:after="40"/>
              <w:rPr>
                <w:noProof/>
                <w:sz w:val="22"/>
              </w:rPr>
            </w:pPr>
            <w:r w:rsidRPr="00DC67EB">
              <w:rPr>
                <w:noProof/>
                <w:sz w:val="22"/>
              </w:rPr>
              <w:t>2.</w:t>
            </w:r>
          </w:p>
        </w:tc>
        <w:tc>
          <w:tcPr>
            <w:tcW w:w="2286" w:type="dxa"/>
            <w:gridSpan w:val="3"/>
            <w:tcMar>
              <w:left w:w="28" w:type="dxa"/>
              <w:right w:w="28" w:type="dxa"/>
            </w:tcMar>
          </w:tcPr>
          <w:p w14:paraId="73F83082" w14:textId="77777777" w:rsidR="00FA31A1" w:rsidRPr="00DC67EB" w:rsidRDefault="00FA31A1" w:rsidP="00FA31A1">
            <w:pPr>
              <w:spacing w:before="40" w:after="40"/>
              <w:rPr>
                <w:noProof/>
                <w:sz w:val="22"/>
              </w:rPr>
            </w:pPr>
            <w:r w:rsidRPr="00DC67EB">
              <w:rPr>
                <w:noProof/>
                <w:sz w:val="22"/>
              </w:rPr>
              <w:t>Antracén</w:t>
            </w:r>
          </w:p>
        </w:tc>
        <w:tc>
          <w:tcPr>
            <w:tcW w:w="1329" w:type="dxa"/>
            <w:gridSpan w:val="3"/>
            <w:tcMar>
              <w:left w:w="28" w:type="dxa"/>
              <w:right w:w="28" w:type="dxa"/>
            </w:tcMar>
          </w:tcPr>
          <w:p w14:paraId="1369E789" w14:textId="77777777" w:rsidR="00FA31A1" w:rsidRPr="00DC67EB" w:rsidRDefault="00FA31A1" w:rsidP="00FA31A1">
            <w:pPr>
              <w:spacing w:before="40" w:after="40"/>
              <w:rPr>
                <w:noProof/>
                <w:sz w:val="22"/>
              </w:rPr>
            </w:pPr>
            <w:r w:rsidRPr="00DC67EB">
              <w:rPr>
                <w:noProof/>
                <w:sz w:val="22"/>
              </w:rPr>
              <w:t xml:space="preserve">Ipari anyagok </w:t>
            </w:r>
          </w:p>
        </w:tc>
        <w:tc>
          <w:tcPr>
            <w:tcW w:w="992" w:type="dxa"/>
            <w:gridSpan w:val="2"/>
            <w:tcMar>
              <w:left w:w="28" w:type="dxa"/>
              <w:right w:w="28" w:type="dxa"/>
            </w:tcMar>
          </w:tcPr>
          <w:p w14:paraId="60E4336E" w14:textId="77777777" w:rsidR="00FA31A1" w:rsidRPr="00DC67EB" w:rsidRDefault="00FA31A1" w:rsidP="00FA31A1">
            <w:pPr>
              <w:spacing w:before="40" w:after="40"/>
              <w:rPr>
                <w:noProof/>
                <w:sz w:val="22"/>
              </w:rPr>
            </w:pPr>
            <w:r w:rsidRPr="00DC67EB">
              <w:rPr>
                <w:noProof/>
                <w:sz w:val="22"/>
              </w:rPr>
              <w:t>120</w:t>
            </w:r>
            <w:r w:rsidRPr="00DC67EB">
              <w:rPr>
                <w:noProof/>
                <w:sz w:val="22"/>
              </w:rPr>
              <w:noBreakHyphen/>
              <w:t>12</w:t>
            </w:r>
            <w:r w:rsidRPr="00DC67EB">
              <w:rPr>
                <w:noProof/>
                <w:sz w:val="22"/>
              </w:rPr>
              <w:noBreakHyphen/>
              <w:t>7</w:t>
            </w:r>
          </w:p>
        </w:tc>
        <w:tc>
          <w:tcPr>
            <w:tcW w:w="1134" w:type="dxa"/>
          </w:tcPr>
          <w:p w14:paraId="2D95F9CC" w14:textId="77777777" w:rsidR="00FA31A1" w:rsidRPr="00DC67EB" w:rsidRDefault="00FA31A1" w:rsidP="00FA31A1">
            <w:pPr>
              <w:spacing w:before="40" w:after="40"/>
              <w:rPr>
                <w:noProof/>
                <w:sz w:val="22"/>
              </w:rPr>
            </w:pPr>
            <w:r w:rsidRPr="00DC67EB">
              <w:rPr>
                <w:noProof/>
                <w:sz w:val="22"/>
              </w:rPr>
              <w:t>204-371-1</w:t>
            </w:r>
          </w:p>
        </w:tc>
        <w:tc>
          <w:tcPr>
            <w:tcW w:w="1279" w:type="dxa"/>
            <w:gridSpan w:val="2"/>
            <w:tcMar>
              <w:left w:w="28" w:type="dxa"/>
              <w:right w:w="28" w:type="dxa"/>
            </w:tcMar>
          </w:tcPr>
          <w:p w14:paraId="6D9CE418" w14:textId="77777777" w:rsidR="00FA31A1" w:rsidRPr="00DC67EB" w:rsidRDefault="00FA31A1" w:rsidP="00FA31A1">
            <w:pPr>
              <w:spacing w:before="40" w:after="40"/>
              <w:rPr>
                <w:noProof/>
                <w:sz w:val="22"/>
              </w:rPr>
            </w:pPr>
            <w:r w:rsidRPr="00DC67EB">
              <w:rPr>
                <w:noProof/>
                <w:sz w:val="22"/>
              </w:rPr>
              <w:t>0,1</w:t>
            </w:r>
          </w:p>
        </w:tc>
        <w:tc>
          <w:tcPr>
            <w:tcW w:w="1279" w:type="dxa"/>
            <w:gridSpan w:val="2"/>
            <w:tcMar>
              <w:left w:w="28" w:type="dxa"/>
              <w:right w:w="28" w:type="dxa"/>
            </w:tcMar>
          </w:tcPr>
          <w:p w14:paraId="36E75685" w14:textId="77777777" w:rsidR="00FA31A1" w:rsidRPr="00DC67EB" w:rsidRDefault="00FA31A1" w:rsidP="00FA31A1">
            <w:pPr>
              <w:spacing w:before="40" w:after="40"/>
              <w:rPr>
                <w:noProof/>
                <w:sz w:val="22"/>
              </w:rPr>
            </w:pPr>
            <w:r w:rsidRPr="00DC67EB">
              <w:rPr>
                <w:noProof/>
                <w:sz w:val="22"/>
              </w:rPr>
              <w:t>0,1</w:t>
            </w:r>
          </w:p>
        </w:tc>
        <w:tc>
          <w:tcPr>
            <w:tcW w:w="1278" w:type="dxa"/>
            <w:gridSpan w:val="2"/>
            <w:tcMar>
              <w:left w:w="28" w:type="dxa"/>
              <w:right w:w="28" w:type="dxa"/>
            </w:tcMar>
          </w:tcPr>
          <w:p w14:paraId="63EEF213" w14:textId="77777777" w:rsidR="00FA31A1" w:rsidRPr="00DC67EB" w:rsidRDefault="00FA31A1" w:rsidP="00FA31A1">
            <w:pPr>
              <w:spacing w:before="40" w:after="40"/>
              <w:rPr>
                <w:noProof/>
                <w:sz w:val="22"/>
              </w:rPr>
            </w:pPr>
            <w:r w:rsidRPr="00DC67EB">
              <w:rPr>
                <w:noProof/>
                <w:sz w:val="22"/>
              </w:rPr>
              <w:t>0,1</w:t>
            </w:r>
          </w:p>
        </w:tc>
        <w:tc>
          <w:tcPr>
            <w:tcW w:w="1277" w:type="dxa"/>
            <w:gridSpan w:val="2"/>
            <w:tcMar>
              <w:left w:w="28" w:type="dxa"/>
              <w:right w:w="28" w:type="dxa"/>
            </w:tcMar>
          </w:tcPr>
          <w:p w14:paraId="60C9A0DC" w14:textId="77777777" w:rsidR="00FA31A1" w:rsidRPr="00DC67EB" w:rsidRDefault="00FA31A1" w:rsidP="00FA31A1">
            <w:pPr>
              <w:spacing w:before="40" w:after="40"/>
              <w:rPr>
                <w:noProof/>
                <w:sz w:val="22"/>
              </w:rPr>
            </w:pPr>
            <w:r w:rsidRPr="00DC67EB">
              <w:rPr>
                <w:noProof/>
                <w:sz w:val="22"/>
              </w:rPr>
              <w:t>0,1</w:t>
            </w:r>
          </w:p>
        </w:tc>
        <w:tc>
          <w:tcPr>
            <w:tcW w:w="1136" w:type="dxa"/>
            <w:gridSpan w:val="2"/>
            <w:tcMar>
              <w:left w:w="28" w:type="dxa"/>
              <w:right w:w="28" w:type="dxa"/>
            </w:tcMar>
          </w:tcPr>
          <w:p w14:paraId="322D0F95" w14:textId="77777777" w:rsidR="00FA31A1" w:rsidRPr="00DC67EB" w:rsidRDefault="00FA31A1" w:rsidP="00FA31A1">
            <w:pPr>
              <w:spacing w:before="40" w:after="40"/>
              <w:rPr>
                <w:noProof/>
                <w:sz w:val="22"/>
              </w:rPr>
            </w:pPr>
          </w:p>
        </w:tc>
        <w:tc>
          <w:tcPr>
            <w:tcW w:w="1262" w:type="dxa"/>
            <w:tcMar>
              <w:left w:w="28" w:type="dxa"/>
              <w:right w:w="28" w:type="dxa"/>
            </w:tcMar>
          </w:tcPr>
          <w:p w14:paraId="05BBA40B" w14:textId="77777777" w:rsidR="00FA31A1" w:rsidRPr="00DC67EB" w:rsidRDefault="00FA31A1" w:rsidP="00FA31A1">
            <w:pPr>
              <w:spacing w:before="40" w:after="40"/>
              <w:rPr>
                <w:noProof/>
                <w:sz w:val="22"/>
              </w:rPr>
            </w:pPr>
            <w:r w:rsidRPr="00DC67EB">
              <w:rPr>
                <w:noProof/>
                <w:sz w:val="22"/>
              </w:rPr>
              <w:t>X</w:t>
            </w:r>
          </w:p>
        </w:tc>
        <w:tc>
          <w:tcPr>
            <w:tcW w:w="1153" w:type="dxa"/>
            <w:gridSpan w:val="2"/>
            <w:tcMar>
              <w:left w:w="28" w:type="dxa"/>
              <w:right w:w="28" w:type="dxa"/>
            </w:tcMar>
          </w:tcPr>
          <w:p w14:paraId="0A90F678" w14:textId="77777777" w:rsidR="00FA31A1" w:rsidRPr="00DC67EB" w:rsidRDefault="00FA31A1" w:rsidP="00FA31A1">
            <w:pPr>
              <w:spacing w:before="40" w:after="40"/>
              <w:rPr>
                <w:noProof/>
                <w:sz w:val="22"/>
              </w:rPr>
            </w:pPr>
          </w:p>
        </w:tc>
        <w:tc>
          <w:tcPr>
            <w:tcW w:w="970" w:type="dxa"/>
            <w:tcMar>
              <w:left w:w="28" w:type="dxa"/>
              <w:right w:w="28" w:type="dxa"/>
            </w:tcMar>
          </w:tcPr>
          <w:p w14:paraId="764BFD1B" w14:textId="77777777" w:rsidR="00FA31A1" w:rsidRPr="00DC67EB" w:rsidRDefault="00FA31A1" w:rsidP="00FA31A1">
            <w:pPr>
              <w:spacing w:before="40" w:after="40"/>
              <w:rPr>
                <w:noProof/>
                <w:sz w:val="22"/>
              </w:rPr>
            </w:pPr>
            <w:r w:rsidRPr="00DC67EB">
              <w:rPr>
                <w:noProof/>
                <w:sz w:val="22"/>
              </w:rPr>
              <w:t>X</w:t>
            </w:r>
          </w:p>
        </w:tc>
      </w:tr>
      <w:tr w:rsidR="00DC67EB" w:rsidRPr="00DC67EB" w14:paraId="5BB7DD35" w14:textId="77777777" w:rsidTr="00FA31A1">
        <w:trPr>
          <w:gridBefore w:val="1"/>
          <w:wBefore w:w="12" w:type="dxa"/>
          <w:cantSplit/>
          <w:tblHeader/>
          <w:jc w:val="center"/>
        </w:trPr>
        <w:tc>
          <w:tcPr>
            <w:tcW w:w="651" w:type="dxa"/>
            <w:gridSpan w:val="3"/>
            <w:tcMar>
              <w:left w:w="28" w:type="dxa"/>
              <w:right w:w="28" w:type="dxa"/>
            </w:tcMar>
          </w:tcPr>
          <w:p w14:paraId="3708FF5F" w14:textId="77777777" w:rsidR="00FA31A1" w:rsidRPr="00DC67EB" w:rsidRDefault="00FA31A1" w:rsidP="00FA31A1">
            <w:pPr>
              <w:spacing w:before="40" w:after="40"/>
              <w:rPr>
                <w:b/>
                <w:noProof/>
                <w:sz w:val="22"/>
              </w:rPr>
            </w:pPr>
            <w:r w:rsidRPr="00DC67EB">
              <w:rPr>
                <w:noProof/>
                <w:sz w:val="22"/>
              </w:rPr>
              <w:t>3.</w:t>
            </w:r>
            <w:r w:rsidRPr="00DC67EB">
              <w:rPr>
                <w:b/>
                <w:noProof/>
                <w:sz w:val="22"/>
              </w:rPr>
              <w:t xml:space="preserve"> [Mód. 150]</w:t>
            </w:r>
          </w:p>
        </w:tc>
        <w:tc>
          <w:tcPr>
            <w:tcW w:w="2286" w:type="dxa"/>
            <w:gridSpan w:val="3"/>
            <w:tcMar>
              <w:left w:w="28" w:type="dxa"/>
              <w:right w:w="28" w:type="dxa"/>
            </w:tcMar>
          </w:tcPr>
          <w:p w14:paraId="6F39B1A1" w14:textId="77777777" w:rsidR="00FA31A1" w:rsidRPr="00DC67EB" w:rsidRDefault="00FA31A1" w:rsidP="00FA31A1">
            <w:pPr>
              <w:spacing w:before="40" w:after="40"/>
              <w:rPr>
                <w:noProof/>
                <w:sz w:val="22"/>
              </w:rPr>
            </w:pPr>
            <w:r w:rsidRPr="00DC67EB">
              <w:rPr>
                <w:noProof/>
                <w:sz w:val="22"/>
              </w:rPr>
              <w:t>Atrazin</w:t>
            </w:r>
          </w:p>
        </w:tc>
        <w:tc>
          <w:tcPr>
            <w:tcW w:w="1329" w:type="dxa"/>
            <w:gridSpan w:val="3"/>
            <w:tcMar>
              <w:left w:w="28" w:type="dxa"/>
              <w:right w:w="28" w:type="dxa"/>
            </w:tcMar>
          </w:tcPr>
          <w:p w14:paraId="136070B1" w14:textId="77777777" w:rsidR="00FA31A1" w:rsidRPr="00DC67EB" w:rsidRDefault="00FA31A1" w:rsidP="00FA31A1">
            <w:pPr>
              <w:spacing w:before="40" w:after="40"/>
              <w:rPr>
                <w:noProof/>
                <w:sz w:val="22"/>
              </w:rPr>
            </w:pPr>
            <w:r w:rsidRPr="00DC67EB">
              <w:rPr>
                <w:noProof/>
                <w:sz w:val="22"/>
              </w:rPr>
              <w:t>Gyomirtók</w:t>
            </w:r>
          </w:p>
        </w:tc>
        <w:tc>
          <w:tcPr>
            <w:tcW w:w="992" w:type="dxa"/>
            <w:gridSpan w:val="2"/>
            <w:tcMar>
              <w:left w:w="28" w:type="dxa"/>
              <w:right w:w="28" w:type="dxa"/>
            </w:tcMar>
          </w:tcPr>
          <w:p w14:paraId="75CFEBDF" w14:textId="77777777" w:rsidR="00FA31A1" w:rsidRPr="00DC67EB" w:rsidRDefault="00FA31A1" w:rsidP="00FA31A1">
            <w:pPr>
              <w:spacing w:before="40" w:after="40"/>
              <w:rPr>
                <w:noProof/>
                <w:sz w:val="22"/>
              </w:rPr>
            </w:pPr>
            <w:r w:rsidRPr="00DC67EB">
              <w:rPr>
                <w:noProof/>
                <w:sz w:val="22"/>
              </w:rPr>
              <w:t>1912</w:t>
            </w:r>
            <w:r w:rsidRPr="00DC67EB">
              <w:rPr>
                <w:noProof/>
                <w:sz w:val="22"/>
              </w:rPr>
              <w:noBreakHyphen/>
              <w:t>24</w:t>
            </w:r>
            <w:r w:rsidRPr="00DC67EB">
              <w:rPr>
                <w:noProof/>
                <w:sz w:val="22"/>
              </w:rPr>
              <w:noBreakHyphen/>
              <w:t>9</w:t>
            </w:r>
          </w:p>
        </w:tc>
        <w:tc>
          <w:tcPr>
            <w:tcW w:w="1134" w:type="dxa"/>
          </w:tcPr>
          <w:p w14:paraId="4498C558" w14:textId="77777777" w:rsidR="00FA31A1" w:rsidRPr="00DC67EB" w:rsidRDefault="00FA31A1" w:rsidP="00FA31A1">
            <w:pPr>
              <w:spacing w:before="40" w:after="40"/>
              <w:rPr>
                <w:noProof/>
                <w:sz w:val="22"/>
              </w:rPr>
            </w:pPr>
            <w:r w:rsidRPr="00DC67EB">
              <w:rPr>
                <w:noProof/>
                <w:sz w:val="22"/>
              </w:rPr>
              <w:t>217-617-8</w:t>
            </w:r>
          </w:p>
        </w:tc>
        <w:tc>
          <w:tcPr>
            <w:tcW w:w="1279" w:type="dxa"/>
            <w:gridSpan w:val="2"/>
            <w:tcMar>
              <w:left w:w="28" w:type="dxa"/>
              <w:right w:w="28" w:type="dxa"/>
            </w:tcMar>
          </w:tcPr>
          <w:p w14:paraId="33D79A36" w14:textId="77777777" w:rsidR="00FA31A1" w:rsidRPr="00DC67EB" w:rsidRDefault="00FA31A1" w:rsidP="00FA31A1">
            <w:pPr>
              <w:spacing w:before="40" w:after="40"/>
              <w:rPr>
                <w:strike/>
                <w:noProof/>
                <w:sz w:val="22"/>
              </w:rPr>
            </w:pPr>
            <w:r w:rsidRPr="00DC67EB">
              <w:rPr>
                <w:strike/>
                <w:noProof/>
                <w:sz w:val="22"/>
              </w:rPr>
              <w:t>0,6</w:t>
            </w:r>
            <w:r w:rsidRPr="00E741E1">
              <w:rPr>
                <w:noProof/>
                <w:sz w:val="22"/>
              </w:rPr>
              <w:t xml:space="preserve"> </w:t>
            </w:r>
            <w:r w:rsidRPr="00E741E1">
              <w:rPr>
                <w:b/>
                <w:i/>
                <w:noProof/>
                <w:sz w:val="22"/>
              </w:rPr>
              <w:t>0,1</w:t>
            </w:r>
          </w:p>
        </w:tc>
        <w:tc>
          <w:tcPr>
            <w:tcW w:w="1279" w:type="dxa"/>
            <w:gridSpan w:val="2"/>
            <w:tcMar>
              <w:left w:w="28" w:type="dxa"/>
              <w:right w:w="28" w:type="dxa"/>
            </w:tcMar>
          </w:tcPr>
          <w:p w14:paraId="7143C9E7" w14:textId="77777777" w:rsidR="00FA31A1" w:rsidRPr="00DC67EB" w:rsidRDefault="00FA31A1" w:rsidP="00FA31A1">
            <w:pPr>
              <w:spacing w:before="40" w:after="40"/>
              <w:rPr>
                <w:strike/>
                <w:noProof/>
                <w:sz w:val="22"/>
              </w:rPr>
            </w:pPr>
            <w:r w:rsidRPr="00DC67EB">
              <w:rPr>
                <w:strike/>
                <w:noProof/>
                <w:sz w:val="22"/>
              </w:rPr>
              <w:t>0,6</w:t>
            </w:r>
            <w:r w:rsidRPr="00DC67EB">
              <w:rPr>
                <w:noProof/>
                <w:sz w:val="22"/>
              </w:rPr>
              <w:t xml:space="preserve"> </w:t>
            </w:r>
            <w:r w:rsidRPr="00DC67EB">
              <w:rPr>
                <w:b/>
                <w:i/>
                <w:noProof/>
                <w:sz w:val="22"/>
              </w:rPr>
              <w:t>0,01</w:t>
            </w:r>
          </w:p>
        </w:tc>
        <w:tc>
          <w:tcPr>
            <w:tcW w:w="1278" w:type="dxa"/>
            <w:gridSpan w:val="2"/>
            <w:tcMar>
              <w:left w:w="28" w:type="dxa"/>
              <w:right w:w="28" w:type="dxa"/>
            </w:tcMar>
          </w:tcPr>
          <w:p w14:paraId="50A59D46" w14:textId="77777777" w:rsidR="00FA31A1" w:rsidRPr="00DC67EB" w:rsidRDefault="00FA31A1" w:rsidP="00FA31A1">
            <w:pPr>
              <w:spacing w:before="40" w:after="40"/>
              <w:rPr>
                <w:noProof/>
                <w:sz w:val="22"/>
              </w:rPr>
            </w:pPr>
            <w:r w:rsidRPr="00DC67EB">
              <w:rPr>
                <w:noProof/>
                <w:sz w:val="22"/>
              </w:rPr>
              <w:t>2,0</w:t>
            </w:r>
          </w:p>
        </w:tc>
        <w:tc>
          <w:tcPr>
            <w:tcW w:w="1277" w:type="dxa"/>
            <w:gridSpan w:val="2"/>
            <w:tcMar>
              <w:left w:w="28" w:type="dxa"/>
              <w:right w:w="28" w:type="dxa"/>
            </w:tcMar>
          </w:tcPr>
          <w:p w14:paraId="7C8F7818" w14:textId="77777777" w:rsidR="00FA31A1" w:rsidRPr="00DC67EB" w:rsidRDefault="00FA31A1" w:rsidP="00FA31A1">
            <w:pPr>
              <w:spacing w:before="40" w:after="40"/>
              <w:rPr>
                <w:noProof/>
                <w:sz w:val="22"/>
              </w:rPr>
            </w:pPr>
            <w:r w:rsidRPr="00DC67EB">
              <w:rPr>
                <w:noProof/>
                <w:sz w:val="22"/>
              </w:rPr>
              <w:t>2,0</w:t>
            </w:r>
          </w:p>
        </w:tc>
        <w:tc>
          <w:tcPr>
            <w:tcW w:w="1136" w:type="dxa"/>
            <w:gridSpan w:val="2"/>
            <w:tcMar>
              <w:left w:w="28" w:type="dxa"/>
              <w:right w:w="28" w:type="dxa"/>
            </w:tcMar>
          </w:tcPr>
          <w:p w14:paraId="26FF1F9D" w14:textId="77777777" w:rsidR="00FA31A1" w:rsidRPr="00DC67EB" w:rsidRDefault="00FA31A1" w:rsidP="00FA31A1">
            <w:pPr>
              <w:spacing w:before="40" w:after="40"/>
              <w:rPr>
                <w:noProof/>
                <w:sz w:val="22"/>
              </w:rPr>
            </w:pPr>
          </w:p>
        </w:tc>
        <w:tc>
          <w:tcPr>
            <w:tcW w:w="1262" w:type="dxa"/>
            <w:tcMar>
              <w:left w:w="28" w:type="dxa"/>
              <w:right w:w="28" w:type="dxa"/>
            </w:tcMar>
          </w:tcPr>
          <w:p w14:paraId="246C9D48" w14:textId="77777777" w:rsidR="00FA31A1" w:rsidRPr="00DC67EB" w:rsidRDefault="00FA31A1" w:rsidP="00FA31A1">
            <w:pPr>
              <w:spacing w:before="40" w:after="40"/>
              <w:rPr>
                <w:noProof/>
                <w:sz w:val="22"/>
              </w:rPr>
            </w:pPr>
          </w:p>
        </w:tc>
        <w:tc>
          <w:tcPr>
            <w:tcW w:w="1153" w:type="dxa"/>
            <w:gridSpan w:val="2"/>
            <w:tcMar>
              <w:left w:w="28" w:type="dxa"/>
              <w:right w:w="28" w:type="dxa"/>
            </w:tcMar>
          </w:tcPr>
          <w:p w14:paraId="75DAA56D" w14:textId="77777777" w:rsidR="00FA31A1" w:rsidRPr="00DC67EB" w:rsidRDefault="00FA31A1" w:rsidP="00FA31A1">
            <w:pPr>
              <w:spacing w:before="40" w:after="40"/>
              <w:rPr>
                <w:noProof/>
                <w:sz w:val="22"/>
              </w:rPr>
            </w:pPr>
          </w:p>
        </w:tc>
        <w:tc>
          <w:tcPr>
            <w:tcW w:w="970" w:type="dxa"/>
            <w:tcMar>
              <w:left w:w="28" w:type="dxa"/>
              <w:right w:w="28" w:type="dxa"/>
            </w:tcMar>
          </w:tcPr>
          <w:p w14:paraId="6009315E" w14:textId="77777777" w:rsidR="00FA31A1" w:rsidRPr="00DC67EB" w:rsidRDefault="00FA31A1" w:rsidP="00FA31A1">
            <w:pPr>
              <w:spacing w:before="40" w:after="40"/>
              <w:rPr>
                <w:noProof/>
                <w:sz w:val="22"/>
              </w:rPr>
            </w:pPr>
          </w:p>
        </w:tc>
      </w:tr>
      <w:tr w:rsidR="00DC67EB" w:rsidRPr="00DC67EB" w14:paraId="64C34837" w14:textId="77777777" w:rsidTr="00FA31A1">
        <w:trPr>
          <w:gridBefore w:val="1"/>
          <w:wBefore w:w="12" w:type="dxa"/>
          <w:cantSplit/>
          <w:tblHeader/>
          <w:jc w:val="center"/>
        </w:trPr>
        <w:tc>
          <w:tcPr>
            <w:tcW w:w="651" w:type="dxa"/>
            <w:gridSpan w:val="3"/>
            <w:tcMar>
              <w:left w:w="28" w:type="dxa"/>
              <w:right w:w="28" w:type="dxa"/>
            </w:tcMar>
          </w:tcPr>
          <w:p w14:paraId="37AE0FF9" w14:textId="77777777" w:rsidR="00FA31A1" w:rsidRPr="00DC67EB" w:rsidRDefault="00FA31A1" w:rsidP="00FA31A1">
            <w:pPr>
              <w:spacing w:before="40" w:after="40"/>
              <w:rPr>
                <w:noProof/>
                <w:sz w:val="22"/>
              </w:rPr>
            </w:pPr>
            <w:r w:rsidRPr="00DC67EB">
              <w:rPr>
                <w:noProof/>
                <w:sz w:val="22"/>
              </w:rPr>
              <w:t>4.</w:t>
            </w:r>
          </w:p>
        </w:tc>
        <w:tc>
          <w:tcPr>
            <w:tcW w:w="2286" w:type="dxa"/>
            <w:gridSpan w:val="3"/>
            <w:tcMar>
              <w:left w:w="28" w:type="dxa"/>
              <w:right w:w="28" w:type="dxa"/>
            </w:tcMar>
          </w:tcPr>
          <w:p w14:paraId="2BA79581" w14:textId="77777777" w:rsidR="00FA31A1" w:rsidRPr="00DC67EB" w:rsidRDefault="00FA31A1" w:rsidP="00FA31A1">
            <w:pPr>
              <w:spacing w:before="40" w:after="40"/>
              <w:rPr>
                <w:noProof/>
                <w:sz w:val="22"/>
              </w:rPr>
            </w:pPr>
            <w:r w:rsidRPr="00DC67EB">
              <w:rPr>
                <w:noProof/>
                <w:sz w:val="22"/>
              </w:rPr>
              <w:t>Benzol</w:t>
            </w:r>
          </w:p>
        </w:tc>
        <w:tc>
          <w:tcPr>
            <w:tcW w:w="1329" w:type="dxa"/>
            <w:gridSpan w:val="3"/>
            <w:tcMar>
              <w:left w:w="28" w:type="dxa"/>
              <w:right w:w="28" w:type="dxa"/>
            </w:tcMar>
          </w:tcPr>
          <w:p w14:paraId="571F4BBB" w14:textId="77777777" w:rsidR="00FA31A1" w:rsidRPr="00DC67EB" w:rsidRDefault="00FA31A1" w:rsidP="00FA31A1">
            <w:pPr>
              <w:spacing w:before="40" w:after="40"/>
              <w:rPr>
                <w:noProof/>
                <w:sz w:val="22"/>
              </w:rPr>
            </w:pPr>
            <w:r w:rsidRPr="00DC67EB">
              <w:rPr>
                <w:noProof/>
                <w:sz w:val="22"/>
              </w:rPr>
              <w:t>Ipari anyagok</w:t>
            </w:r>
          </w:p>
        </w:tc>
        <w:tc>
          <w:tcPr>
            <w:tcW w:w="992" w:type="dxa"/>
            <w:gridSpan w:val="2"/>
            <w:tcMar>
              <w:left w:w="28" w:type="dxa"/>
              <w:right w:w="28" w:type="dxa"/>
            </w:tcMar>
          </w:tcPr>
          <w:p w14:paraId="66A924EA" w14:textId="77777777" w:rsidR="00FA31A1" w:rsidRPr="00DC67EB" w:rsidRDefault="00FA31A1" w:rsidP="00FA31A1">
            <w:pPr>
              <w:spacing w:before="40" w:after="40"/>
              <w:rPr>
                <w:noProof/>
                <w:sz w:val="22"/>
              </w:rPr>
            </w:pPr>
            <w:r w:rsidRPr="00DC67EB">
              <w:rPr>
                <w:noProof/>
                <w:sz w:val="22"/>
              </w:rPr>
              <w:t>71</w:t>
            </w:r>
            <w:r w:rsidRPr="00DC67EB">
              <w:rPr>
                <w:noProof/>
                <w:sz w:val="22"/>
              </w:rPr>
              <w:noBreakHyphen/>
              <w:t>43</w:t>
            </w:r>
            <w:r w:rsidRPr="00DC67EB">
              <w:rPr>
                <w:noProof/>
                <w:sz w:val="22"/>
              </w:rPr>
              <w:noBreakHyphen/>
              <w:t>2</w:t>
            </w:r>
          </w:p>
        </w:tc>
        <w:tc>
          <w:tcPr>
            <w:tcW w:w="1134" w:type="dxa"/>
          </w:tcPr>
          <w:p w14:paraId="01FA1900" w14:textId="77777777" w:rsidR="00FA31A1" w:rsidRPr="00DC67EB" w:rsidRDefault="00FA31A1" w:rsidP="00FA31A1">
            <w:pPr>
              <w:spacing w:before="40" w:after="40"/>
              <w:rPr>
                <w:noProof/>
                <w:sz w:val="22"/>
              </w:rPr>
            </w:pPr>
            <w:r w:rsidRPr="00DC67EB">
              <w:rPr>
                <w:noProof/>
                <w:sz w:val="22"/>
              </w:rPr>
              <w:t>200-753-7</w:t>
            </w:r>
          </w:p>
        </w:tc>
        <w:tc>
          <w:tcPr>
            <w:tcW w:w="1279" w:type="dxa"/>
            <w:gridSpan w:val="2"/>
            <w:tcMar>
              <w:left w:w="28" w:type="dxa"/>
              <w:right w:w="28" w:type="dxa"/>
            </w:tcMar>
          </w:tcPr>
          <w:p w14:paraId="729DCF5E" w14:textId="77777777" w:rsidR="00FA31A1" w:rsidRPr="00DC67EB" w:rsidRDefault="00FA31A1" w:rsidP="00FA31A1">
            <w:pPr>
              <w:spacing w:before="40" w:after="40"/>
              <w:rPr>
                <w:noProof/>
                <w:sz w:val="22"/>
              </w:rPr>
            </w:pPr>
            <w:r w:rsidRPr="00DC67EB">
              <w:rPr>
                <w:noProof/>
                <w:sz w:val="22"/>
              </w:rPr>
              <w:t>10</w:t>
            </w:r>
          </w:p>
        </w:tc>
        <w:tc>
          <w:tcPr>
            <w:tcW w:w="1279" w:type="dxa"/>
            <w:gridSpan w:val="2"/>
            <w:tcMar>
              <w:left w:w="28" w:type="dxa"/>
              <w:right w:w="28" w:type="dxa"/>
            </w:tcMar>
          </w:tcPr>
          <w:p w14:paraId="2B293619" w14:textId="77777777" w:rsidR="00FA31A1" w:rsidRPr="00DC67EB" w:rsidRDefault="00FA31A1" w:rsidP="00FA31A1">
            <w:pPr>
              <w:spacing w:before="40" w:after="40"/>
              <w:rPr>
                <w:noProof/>
                <w:sz w:val="22"/>
              </w:rPr>
            </w:pPr>
            <w:r w:rsidRPr="00DC67EB">
              <w:rPr>
                <w:noProof/>
                <w:sz w:val="22"/>
              </w:rPr>
              <w:t>8</w:t>
            </w:r>
          </w:p>
        </w:tc>
        <w:tc>
          <w:tcPr>
            <w:tcW w:w="1278" w:type="dxa"/>
            <w:gridSpan w:val="2"/>
            <w:tcMar>
              <w:left w:w="28" w:type="dxa"/>
              <w:right w:w="28" w:type="dxa"/>
            </w:tcMar>
          </w:tcPr>
          <w:p w14:paraId="670D2BAE" w14:textId="77777777" w:rsidR="00FA31A1" w:rsidRPr="00DC67EB" w:rsidRDefault="00FA31A1" w:rsidP="00FA31A1">
            <w:pPr>
              <w:spacing w:before="40" w:after="40"/>
              <w:rPr>
                <w:noProof/>
                <w:sz w:val="22"/>
              </w:rPr>
            </w:pPr>
            <w:r w:rsidRPr="00DC67EB">
              <w:rPr>
                <w:noProof/>
                <w:sz w:val="22"/>
              </w:rPr>
              <w:t>50</w:t>
            </w:r>
          </w:p>
        </w:tc>
        <w:tc>
          <w:tcPr>
            <w:tcW w:w="1277" w:type="dxa"/>
            <w:gridSpan w:val="2"/>
            <w:tcMar>
              <w:left w:w="28" w:type="dxa"/>
              <w:right w:w="28" w:type="dxa"/>
            </w:tcMar>
          </w:tcPr>
          <w:p w14:paraId="7F51A0CD" w14:textId="77777777" w:rsidR="00FA31A1" w:rsidRPr="00DC67EB" w:rsidRDefault="00FA31A1" w:rsidP="00FA31A1">
            <w:pPr>
              <w:spacing w:before="40" w:after="40"/>
              <w:rPr>
                <w:noProof/>
                <w:sz w:val="22"/>
              </w:rPr>
            </w:pPr>
            <w:r w:rsidRPr="00DC67EB">
              <w:rPr>
                <w:noProof/>
                <w:sz w:val="22"/>
              </w:rPr>
              <w:t>50</w:t>
            </w:r>
          </w:p>
        </w:tc>
        <w:tc>
          <w:tcPr>
            <w:tcW w:w="1136" w:type="dxa"/>
            <w:gridSpan w:val="2"/>
            <w:tcMar>
              <w:left w:w="28" w:type="dxa"/>
              <w:right w:w="28" w:type="dxa"/>
            </w:tcMar>
          </w:tcPr>
          <w:p w14:paraId="7992DC91" w14:textId="77777777" w:rsidR="00FA31A1" w:rsidRPr="00DC67EB" w:rsidRDefault="00FA31A1" w:rsidP="00FA31A1">
            <w:pPr>
              <w:spacing w:before="40" w:after="40"/>
              <w:rPr>
                <w:noProof/>
                <w:sz w:val="22"/>
              </w:rPr>
            </w:pPr>
          </w:p>
        </w:tc>
        <w:tc>
          <w:tcPr>
            <w:tcW w:w="1262" w:type="dxa"/>
            <w:tcMar>
              <w:left w:w="28" w:type="dxa"/>
              <w:right w:w="28" w:type="dxa"/>
            </w:tcMar>
          </w:tcPr>
          <w:p w14:paraId="1224AFDF" w14:textId="77777777" w:rsidR="00FA31A1" w:rsidRPr="00DC67EB" w:rsidRDefault="00FA31A1" w:rsidP="00FA31A1">
            <w:pPr>
              <w:spacing w:before="40" w:after="40"/>
              <w:rPr>
                <w:noProof/>
                <w:sz w:val="22"/>
              </w:rPr>
            </w:pPr>
          </w:p>
        </w:tc>
        <w:tc>
          <w:tcPr>
            <w:tcW w:w="1153" w:type="dxa"/>
            <w:gridSpan w:val="2"/>
            <w:tcMar>
              <w:left w:w="28" w:type="dxa"/>
              <w:right w:w="28" w:type="dxa"/>
            </w:tcMar>
          </w:tcPr>
          <w:p w14:paraId="247BC7F8" w14:textId="77777777" w:rsidR="00FA31A1" w:rsidRPr="00DC67EB" w:rsidRDefault="00FA31A1" w:rsidP="00FA31A1">
            <w:pPr>
              <w:spacing w:before="40" w:after="40"/>
              <w:rPr>
                <w:noProof/>
                <w:sz w:val="22"/>
              </w:rPr>
            </w:pPr>
          </w:p>
        </w:tc>
        <w:tc>
          <w:tcPr>
            <w:tcW w:w="970" w:type="dxa"/>
            <w:tcMar>
              <w:left w:w="28" w:type="dxa"/>
              <w:right w:w="28" w:type="dxa"/>
            </w:tcMar>
          </w:tcPr>
          <w:p w14:paraId="3BB33349" w14:textId="77777777" w:rsidR="00FA31A1" w:rsidRPr="00DC67EB" w:rsidRDefault="00FA31A1" w:rsidP="00FA31A1">
            <w:pPr>
              <w:spacing w:before="40" w:after="40"/>
              <w:rPr>
                <w:noProof/>
                <w:sz w:val="22"/>
              </w:rPr>
            </w:pPr>
          </w:p>
        </w:tc>
      </w:tr>
      <w:tr w:rsidR="00DC67EB" w:rsidRPr="00DC67EB" w14:paraId="141436DA" w14:textId="77777777" w:rsidTr="00FA31A1">
        <w:trPr>
          <w:gridBefore w:val="1"/>
          <w:wBefore w:w="12" w:type="dxa"/>
          <w:cantSplit/>
          <w:trHeight w:val="567"/>
          <w:tblHeader/>
          <w:jc w:val="center"/>
        </w:trPr>
        <w:tc>
          <w:tcPr>
            <w:tcW w:w="651" w:type="dxa"/>
            <w:gridSpan w:val="3"/>
            <w:tcMar>
              <w:left w:w="28" w:type="dxa"/>
              <w:right w:w="28" w:type="dxa"/>
            </w:tcMar>
          </w:tcPr>
          <w:p w14:paraId="32B657DF" w14:textId="77777777" w:rsidR="00FA31A1" w:rsidRPr="00DC67EB" w:rsidRDefault="00FA31A1" w:rsidP="00FA31A1">
            <w:pPr>
              <w:spacing w:before="40" w:after="40"/>
              <w:rPr>
                <w:noProof/>
                <w:sz w:val="22"/>
              </w:rPr>
            </w:pPr>
            <w:r w:rsidRPr="00DC67EB">
              <w:rPr>
                <w:noProof/>
                <w:sz w:val="22"/>
              </w:rPr>
              <w:t>5.</w:t>
            </w:r>
          </w:p>
        </w:tc>
        <w:tc>
          <w:tcPr>
            <w:tcW w:w="2286" w:type="dxa"/>
            <w:gridSpan w:val="3"/>
            <w:tcMar>
              <w:left w:w="28" w:type="dxa"/>
              <w:right w:w="28" w:type="dxa"/>
            </w:tcMar>
          </w:tcPr>
          <w:p w14:paraId="1855E373" w14:textId="77777777" w:rsidR="00FA31A1" w:rsidRPr="00DC67EB" w:rsidRDefault="00FA31A1" w:rsidP="00FA31A1">
            <w:pPr>
              <w:spacing w:before="40" w:after="40"/>
              <w:rPr>
                <w:noProof/>
                <w:sz w:val="22"/>
                <w:vertAlign w:val="superscript"/>
              </w:rPr>
            </w:pPr>
            <w:r w:rsidRPr="00DC67EB">
              <w:rPr>
                <w:noProof/>
                <w:sz w:val="22"/>
              </w:rPr>
              <w:t>Brómozott difeniléterek</w:t>
            </w:r>
            <w:bookmarkStart w:id="19" w:name="_DV_M300"/>
            <w:bookmarkEnd w:id="19"/>
          </w:p>
        </w:tc>
        <w:tc>
          <w:tcPr>
            <w:tcW w:w="1329" w:type="dxa"/>
            <w:gridSpan w:val="3"/>
            <w:tcMar>
              <w:left w:w="28" w:type="dxa"/>
              <w:right w:w="28" w:type="dxa"/>
            </w:tcMar>
          </w:tcPr>
          <w:p w14:paraId="320379A9" w14:textId="77777777" w:rsidR="00FA31A1" w:rsidRPr="00DC67EB" w:rsidRDefault="00FA31A1" w:rsidP="00FA31A1">
            <w:pPr>
              <w:spacing w:before="40" w:after="40"/>
              <w:rPr>
                <w:noProof/>
                <w:sz w:val="22"/>
              </w:rPr>
            </w:pPr>
            <w:r w:rsidRPr="00DC67EB">
              <w:rPr>
                <w:noProof/>
                <w:sz w:val="22"/>
              </w:rPr>
              <w:t>Ipari anyagok</w:t>
            </w:r>
          </w:p>
        </w:tc>
        <w:tc>
          <w:tcPr>
            <w:tcW w:w="992" w:type="dxa"/>
            <w:gridSpan w:val="2"/>
            <w:tcMar>
              <w:left w:w="28" w:type="dxa"/>
              <w:right w:w="28" w:type="dxa"/>
            </w:tcMar>
          </w:tcPr>
          <w:p w14:paraId="4A5F1BCA" w14:textId="77777777" w:rsidR="00FA31A1" w:rsidRPr="00DC67EB" w:rsidRDefault="00FA31A1" w:rsidP="00FA31A1">
            <w:pPr>
              <w:spacing w:before="40" w:after="40"/>
              <w:rPr>
                <w:noProof/>
                <w:sz w:val="22"/>
              </w:rPr>
            </w:pPr>
            <w:r w:rsidRPr="00DC67EB">
              <w:rPr>
                <w:noProof/>
                <w:sz w:val="22"/>
              </w:rPr>
              <w:t>nem alkalmazható</w:t>
            </w:r>
          </w:p>
        </w:tc>
        <w:tc>
          <w:tcPr>
            <w:tcW w:w="1134" w:type="dxa"/>
          </w:tcPr>
          <w:p w14:paraId="3DB9F497" w14:textId="77777777" w:rsidR="00FA31A1" w:rsidRPr="00DC67EB" w:rsidRDefault="00FA31A1" w:rsidP="00FA31A1">
            <w:pPr>
              <w:spacing w:before="40" w:after="40"/>
              <w:rPr>
                <w:noProof/>
                <w:sz w:val="22"/>
              </w:rPr>
            </w:pPr>
            <w:r w:rsidRPr="00DC67EB">
              <w:rPr>
                <w:noProof/>
                <w:sz w:val="22"/>
              </w:rPr>
              <w:t>nem alkalmazható</w:t>
            </w:r>
          </w:p>
        </w:tc>
        <w:tc>
          <w:tcPr>
            <w:tcW w:w="1279" w:type="dxa"/>
            <w:gridSpan w:val="2"/>
            <w:tcMar>
              <w:left w:w="28" w:type="dxa"/>
              <w:right w:w="28" w:type="dxa"/>
            </w:tcMar>
          </w:tcPr>
          <w:p w14:paraId="21E92763" w14:textId="77777777" w:rsidR="00FA31A1" w:rsidRPr="00DC67EB" w:rsidRDefault="00FA31A1" w:rsidP="00FA31A1">
            <w:pPr>
              <w:spacing w:before="40" w:after="40"/>
              <w:rPr>
                <w:noProof/>
                <w:sz w:val="22"/>
              </w:rPr>
            </w:pPr>
          </w:p>
        </w:tc>
        <w:tc>
          <w:tcPr>
            <w:tcW w:w="1279" w:type="dxa"/>
            <w:gridSpan w:val="2"/>
            <w:tcMar>
              <w:left w:w="28" w:type="dxa"/>
              <w:right w:w="28" w:type="dxa"/>
            </w:tcMar>
          </w:tcPr>
          <w:p w14:paraId="0898D556" w14:textId="77777777" w:rsidR="00FA31A1" w:rsidRPr="00DC67EB" w:rsidRDefault="00FA31A1" w:rsidP="00FA31A1">
            <w:pPr>
              <w:spacing w:before="40" w:after="40"/>
              <w:rPr>
                <w:noProof/>
                <w:sz w:val="22"/>
              </w:rPr>
            </w:pPr>
          </w:p>
        </w:tc>
        <w:tc>
          <w:tcPr>
            <w:tcW w:w="1278" w:type="dxa"/>
            <w:gridSpan w:val="2"/>
            <w:tcMar>
              <w:left w:w="28" w:type="dxa"/>
              <w:right w:w="28" w:type="dxa"/>
            </w:tcMar>
          </w:tcPr>
          <w:p w14:paraId="6A3D0BF2" w14:textId="77777777" w:rsidR="00FA31A1" w:rsidRPr="00DC67EB" w:rsidRDefault="00FA31A1" w:rsidP="00FA31A1">
            <w:pPr>
              <w:spacing w:before="40" w:after="40"/>
              <w:rPr>
                <w:noProof/>
                <w:sz w:val="22"/>
              </w:rPr>
            </w:pPr>
            <w:r w:rsidRPr="00DC67EB">
              <w:rPr>
                <w:noProof/>
                <w:sz w:val="22"/>
              </w:rPr>
              <w:t>0,14 (</w:t>
            </w:r>
            <w:r w:rsidRPr="00DC67EB">
              <w:rPr>
                <w:noProof/>
                <w:sz w:val="22"/>
                <w:vertAlign w:val="superscript"/>
              </w:rPr>
              <w:t>7</w:t>
            </w:r>
            <w:r w:rsidRPr="00DC67EB">
              <w:rPr>
                <w:noProof/>
                <w:sz w:val="22"/>
              </w:rPr>
              <w:t>)</w:t>
            </w:r>
          </w:p>
        </w:tc>
        <w:tc>
          <w:tcPr>
            <w:tcW w:w="1277" w:type="dxa"/>
            <w:gridSpan w:val="2"/>
            <w:tcMar>
              <w:left w:w="28" w:type="dxa"/>
              <w:right w:w="28" w:type="dxa"/>
            </w:tcMar>
          </w:tcPr>
          <w:p w14:paraId="43003C99" w14:textId="77777777" w:rsidR="00FA31A1" w:rsidRPr="00DC67EB" w:rsidRDefault="00FA31A1" w:rsidP="00FA31A1">
            <w:pPr>
              <w:spacing w:before="40" w:after="40"/>
              <w:rPr>
                <w:noProof/>
                <w:sz w:val="22"/>
              </w:rPr>
            </w:pPr>
            <w:r w:rsidRPr="00DC67EB">
              <w:rPr>
                <w:noProof/>
                <w:sz w:val="22"/>
              </w:rPr>
              <w:t>0,014 (</w:t>
            </w:r>
            <w:r w:rsidRPr="00DC67EB">
              <w:rPr>
                <w:noProof/>
                <w:sz w:val="22"/>
                <w:vertAlign w:val="superscript"/>
              </w:rPr>
              <w:t>7</w:t>
            </w:r>
            <w:r w:rsidRPr="00DC67EB">
              <w:rPr>
                <w:noProof/>
                <w:sz w:val="22"/>
              </w:rPr>
              <w:t>)</w:t>
            </w:r>
          </w:p>
        </w:tc>
        <w:tc>
          <w:tcPr>
            <w:tcW w:w="1136" w:type="dxa"/>
            <w:gridSpan w:val="2"/>
            <w:tcMar>
              <w:left w:w="28" w:type="dxa"/>
              <w:right w:w="28" w:type="dxa"/>
            </w:tcMar>
          </w:tcPr>
          <w:p w14:paraId="7B2192D1" w14:textId="77777777" w:rsidR="00FA31A1" w:rsidRPr="00DC67EB" w:rsidRDefault="00FA31A1" w:rsidP="00FA31A1">
            <w:pPr>
              <w:spacing w:before="40" w:after="40"/>
              <w:rPr>
                <w:noProof/>
                <w:sz w:val="22"/>
              </w:rPr>
            </w:pPr>
            <w:r w:rsidRPr="00DC67EB">
              <w:rPr>
                <w:noProof/>
                <w:sz w:val="22"/>
              </w:rPr>
              <w:t>[0,00028] (</w:t>
            </w:r>
            <w:r w:rsidRPr="00DC67EB">
              <w:rPr>
                <w:noProof/>
                <w:sz w:val="22"/>
                <w:vertAlign w:val="superscript"/>
              </w:rPr>
              <w:t>7</w:t>
            </w:r>
            <w:r w:rsidRPr="00DC67EB">
              <w:rPr>
                <w:noProof/>
                <w:sz w:val="22"/>
              </w:rPr>
              <w:t>)</w:t>
            </w:r>
          </w:p>
        </w:tc>
        <w:tc>
          <w:tcPr>
            <w:tcW w:w="1262" w:type="dxa"/>
            <w:tcMar>
              <w:left w:w="28" w:type="dxa"/>
              <w:right w:w="28" w:type="dxa"/>
            </w:tcMar>
          </w:tcPr>
          <w:p w14:paraId="520A68F1" w14:textId="77777777" w:rsidR="00FA31A1" w:rsidRPr="00DC67EB" w:rsidRDefault="00FA31A1" w:rsidP="00FA31A1">
            <w:pPr>
              <w:spacing w:before="40" w:after="40"/>
              <w:rPr>
                <w:noProof/>
                <w:sz w:val="22"/>
              </w:rPr>
            </w:pPr>
            <w:r w:rsidRPr="00DC67EB">
              <w:rPr>
                <w:noProof/>
                <w:sz w:val="22"/>
              </w:rPr>
              <w:t>X (</w:t>
            </w:r>
            <w:r w:rsidRPr="00DC67EB">
              <w:rPr>
                <w:noProof/>
                <w:sz w:val="22"/>
                <w:vertAlign w:val="superscript"/>
              </w:rPr>
              <w:t>8</w:t>
            </w:r>
            <w:r w:rsidRPr="00DC67EB">
              <w:rPr>
                <w:noProof/>
                <w:sz w:val="22"/>
              </w:rPr>
              <w:t>)</w:t>
            </w:r>
          </w:p>
        </w:tc>
        <w:tc>
          <w:tcPr>
            <w:tcW w:w="1153" w:type="dxa"/>
            <w:gridSpan w:val="2"/>
            <w:tcMar>
              <w:left w:w="28" w:type="dxa"/>
              <w:right w:w="28" w:type="dxa"/>
            </w:tcMar>
          </w:tcPr>
          <w:p w14:paraId="7468B9B1" w14:textId="77777777" w:rsidR="00FA31A1" w:rsidRPr="00DC67EB" w:rsidRDefault="00FA31A1" w:rsidP="00FA31A1">
            <w:pPr>
              <w:spacing w:before="40" w:after="40"/>
              <w:rPr>
                <w:noProof/>
                <w:sz w:val="22"/>
              </w:rPr>
            </w:pPr>
            <w:r w:rsidRPr="00DC67EB">
              <w:rPr>
                <w:noProof/>
                <w:sz w:val="22"/>
              </w:rPr>
              <w:t>X</w:t>
            </w:r>
          </w:p>
        </w:tc>
        <w:tc>
          <w:tcPr>
            <w:tcW w:w="970" w:type="dxa"/>
            <w:tcMar>
              <w:left w:w="28" w:type="dxa"/>
              <w:right w:w="28" w:type="dxa"/>
            </w:tcMar>
          </w:tcPr>
          <w:p w14:paraId="70A8BAD3" w14:textId="77777777" w:rsidR="00FA31A1" w:rsidRPr="00DC67EB" w:rsidRDefault="00FA31A1" w:rsidP="00FA31A1">
            <w:pPr>
              <w:spacing w:before="40" w:after="40"/>
              <w:rPr>
                <w:noProof/>
                <w:sz w:val="22"/>
              </w:rPr>
            </w:pPr>
            <w:r w:rsidRPr="00DC67EB">
              <w:rPr>
                <w:noProof/>
                <w:sz w:val="22"/>
              </w:rPr>
              <w:t>X</w:t>
            </w:r>
          </w:p>
        </w:tc>
      </w:tr>
      <w:tr w:rsidR="00DC67EB" w:rsidRPr="00DC67EB" w14:paraId="770306F3" w14:textId="77777777" w:rsidTr="00FA31A1">
        <w:trPr>
          <w:gridBefore w:val="1"/>
          <w:wBefore w:w="12" w:type="dxa"/>
          <w:cantSplit/>
          <w:tblHeader/>
          <w:jc w:val="center"/>
        </w:trPr>
        <w:tc>
          <w:tcPr>
            <w:tcW w:w="651" w:type="dxa"/>
            <w:gridSpan w:val="3"/>
            <w:tcMar>
              <w:left w:w="28" w:type="dxa"/>
              <w:right w:w="28" w:type="dxa"/>
            </w:tcMar>
          </w:tcPr>
          <w:p w14:paraId="668908F5" w14:textId="77777777" w:rsidR="00FA31A1" w:rsidRPr="00DC67EB" w:rsidRDefault="00FA31A1" w:rsidP="00FA31A1">
            <w:pPr>
              <w:keepNext/>
              <w:spacing w:before="40" w:after="40"/>
              <w:rPr>
                <w:noProof/>
                <w:sz w:val="22"/>
              </w:rPr>
            </w:pPr>
            <w:r w:rsidRPr="00DC67EB">
              <w:rPr>
                <w:noProof/>
                <w:sz w:val="22"/>
              </w:rPr>
              <w:t>6.</w:t>
            </w:r>
          </w:p>
        </w:tc>
        <w:tc>
          <w:tcPr>
            <w:tcW w:w="2286" w:type="dxa"/>
            <w:gridSpan w:val="3"/>
            <w:tcMar>
              <w:left w:w="28" w:type="dxa"/>
              <w:right w:w="28" w:type="dxa"/>
            </w:tcMar>
          </w:tcPr>
          <w:p w14:paraId="32298EF3" w14:textId="77777777" w:rsidR="00FA31A1" w:rsidRPr="00DC67EB" w:rsidRDefault="00FA31A1" w:rsidP="00FA31A1">
            <w:pPr>
              <w:keepNext/>
              <w:spacing w:before="40" w:after="40"/>
              <w:rPr>
                <w:noProof/>
                <w:sz w:val="22"/>
              </w:rPr>
            </w:pPr>
            <w:r w:rsidRPr="00DC67EB">
              <w:rPr>
                <w:noProof/>
                <w:sz w:val="22"/>
              </w:rPr>
              <w:t>Kadmium és vegyületei</w:t>
            </w:r>
          </w:p>
          <w:p w14:paraId="7F5DC1FC" w14:textId="77777777" w:rsidR="00FA31A1" w:rsidRPr="00DC67EB" w:rsidRDefault="00FA31A1" w:rsidP="00FA31A1">
            <w:pPr>
              <w:keepNext/>
              <w:spacing w:before="40" w:after="40"/>
              <w:rPr>
                <w:noProof/>
                <w:sz w:val="22"/>
                <w:vertAlign w:val="superscript"/>
              </w:rPr>
            </w:pPr>
            <w:r w:rsidRPr="00DC67EB">
              <w:rPr>
                <w:noProof/>
                <w:sz w:val="22"/>
              </w:rPr>
              <w:t>(a vízkeménységi osztályoktól függően) (</w:t>
            </w:r>
            <w:r w:rsidRPr="00DC67EB">
              <w:rPr>
                <w:noProof/>
                <w:sz w:val="22"/>
                <w:vertAlign w:val="superscript"/>
              </w:rPr>
              <w:t>9</w:t>
            </w:r>
            <w:r w:rsidRPr="00DC67EB">
              <w:rPr>
                <w:noProof/>
                <w:sz w:val="22"/>
              </w:rPr>
              <w:t>)</w:t>
            </w:r>
          </w:p>
        </w:tc>
        <w:tc>
          <w:tcPr>
            <w:tcW w:w="1329" w:type="dxa"/>
            <w:gridSpan w:val="3"/>
            <w:tcMar>
              <w:left w:w="28" w:type="dxa"/>
              <w:right w:w="28" w:type="dxa"/>
            </w:tcMar>
          </w:tcPr>
          <w:p w14:paraId="4AE7EC36" w14:textId="77777777" w:rsidR="00FA31A1" w:rsidRPr="00DC67EB" w:rsidRDefault="00FA31A1" w:rsidP="00FA31A1">
            <w:pPr>
              <w:keepNext/>
              <w:spacing w:before="40" w:after="40"/>
              <w:rPr>
                <w:noProof/>
                <w:sz w:val="22"/>
              </w:rPr>
            </w:pPr>
            <w:r w:rsidRPr="00DC67EB">
              <w:rPr>
                <w:noProof/>
                <w:sz w:val="22"/>
              </w:rPr>
              <w:t>Fémek</w:t>
            </w:r>
          </w:p>
        </w:tc>
        <w:tc>
          <w:tcPr>
            <w:tcW w:w="992" w:type="dxa"/>
            <w:gridSpan w:val="2"/>
            <w:tcMar>
              <w:left w:w="28" w:type="dxa"/>
              <w:right w:w="28" w:type="dxa"/>
            </w:tcMar>
          </w:tcPr>
          <w:p w14:paraId="3E5DC3A3" w14:textId="77777777" w:rsidR="00FA31A1" w:rsidRPr="00DC67EB" w:rsidRDefault="00FA31A1" w:rsidP="00FA31A1">
            <w:pPr>
              <w:keepNext/>
              <w:spacing w:before="40" w:after="40"/>
              <w:rPr>
                <w:noProof/>
                <w:sz w:val="22"/>
              </w:rPr>
            </w:pPr>
            <w:r w:rsidRPr="00DC67EB">
              <w:rPr>
                <w:noProof/>
                <w:sz w:val="22"/>
              </w:rPr>
              <w:t>7440</w:t>
            </w:r>
            <w:r w:rsidRPr="00DC67EB">
              <w:rPr>
                <w:noProof/>
                <w:sz w:val="22"/>
              </w:rPr>
              <w:noBreakHyphen/>
              <w:t>43</w:t>
            </w:r>
            <w:r w:rsidRPr="00DC67EB">
              <w:rPr>
                <w:noProof/>
                <w:sz w:val="22"/>
              </w:rPr>
              <w:noBreakHyphen/>
              <w:t>9</w:t>
            </w:r>
          </w:p>
        </w:tc>
        <w:tc>
          <w:tcPr>
            <w:tcW w:w="1134" w:type="dxa"/>
          </w:tcPr>
          <w:p w14:paraId="2E270CE6" w14:textId="77777777" w:rsidR="00FA31A1" w:rsidRPr="00DC67EB" w:rsidRDefault="00FA31A1" w:rsidP="00FA31A1">
            <w:pPr>
              <w:keepNext/>
              <w:spacing w:before="40" w:after="40"/>
              <w:rPr>
                <w:noProof/>
                <w:sz w:val="22"/>
              </w:rPr>
            </w:pPr>
            <w:r w:rsidRPr="00DC67EB">
              <w:rPr>
                <w:noProof/>
                <w:sz w:val="22"/>
              </w:rPr>
              <w:t>231-152-8</w:t>
            </w:r>
          </w:p>
        </w:tc>
        <w:tc>
          <w:tcPr>
            <w:tcW w:w="1279" w:type="dxa"/>
            <w:gridSpan w:val="2"/>
            <w:tcMar>
              <w:left w:w="28" w:type="dxa"/>
              <w:right w:w="28" w:type="dxa"/>
            </w:tcMar>
          </w:tcPr>
          <w:p w14:paraId="2B268E60" w14:textId="77777777" w:rsidR="00FA31A1" w:rsidRPr="00DC67EB" w:rsidRDefault="00FA31A1" w:rsidP="00FA31A1">
            <w:pPr>
              <w:keepNext/>
              <w:spacing w:before="40" w:after="40"/>
              <w:rPr>
                <w:noProof/>
                <w:sz w:val="22"/>
              </w:rPr>
            </w:pPr>
            <w:r w:rsidRPr="00DC67EB">
              <w:rPr>
                <w:noProof/>
                <w:sz w:val="22"/>
              </w:rPr>
              <w:t>≤ 0,08 (1. osztály)</w:t>
            </w:r>
          </w:p>
          <w:p w14:paraId="0130C2E9" w14:textId="77777777" w:rsidR="00FA31A1" w:rsidRPr="00DC67EB" w:rsidRDefault="00FA31A1" w:rsidP="00FA31A1">
            <w:pPr>
              <w:keepNext/>
              <w:spacing w:before="40" w:after="40"/>
              <w:rPr>
                <w:noProof/>
                <w:sz w:val="22"/>
              </w:rPr>
            </w:pPr>
            <w:r w:rsidRPr="00DC67EB">
              <w:rPr>
                <w:noProof/>
                <w:sz w:val="22"/>
              </w:rPr>
              <w:t>0,08 (2. osztály)</w:t>
            </w:r>
          </w:p>
          <w:p w14:paraId="46B20371" w14:textId="77777777" w:rsidR="00FA31A1" w:rsidRPr="00DC67EB" w:rsidRDefault="00FA31A1" w:rsidP="00FA31A1">
            <w:pPr>
              <w:keepNext/>
              <w:spacing w:before="40" w:after="40"/>
              <w:rPr>
                <w:noProof/>
                <w:sz w:val="22"/>
              </w:rPr>
            </w:pPr>
            <w:r w:rsidRPr="00DC67EB">
              <w:rPr>
                <w:noProof/>
                <w:sz w:val="22"/>
              </w:rPr>
              <w:t>0,09 (3. osztály)</w:t>
            </w:r>
          </w:p>
          <w:p w14:paraId="363AD2A1" w14:textId="77777777" w:rsidR="00FA31A1" w:rsidRPr="00DC67EB" w:rsidRDefault="00FA31A1" w:rsidP="00FA31A1">
            <w:pPr>
              <w:keepNext/>
              <w:spacing w:before="40" w:after="40"/>
              <w:rPr>
                <w:noProof/>
                <w:sz w:val="22"/>
              </w:rPr>
            </w:pPr>
            <w:r w:rsidRPr="00DC67EB">
              <w:rPr>
                <w:noProof/>
                <w:sz w:val="22"/>
              </w:rPr>
              <w:t>0,15 (4. osztály)</w:t>
            </w:r>
          </w:p>
          <w:p w14:paraId="09AF41DC" w14:textId="77777777" w:rsidR="00FA31A1" w:rsidRPr="00DC67EB" w:rsidRDefault="00FA31A1" w:rsidP="00FA31A1">
            <w:pPr>
              <w:keepNext/>
              <w:spacing w:before="40" w:after="40"/>
              <w:rPr>
                <w:noProof/>
                <w:sz w:val="22"/>
              </w:rPr>
            </w:pPr>
            <w:r w:rsidRPr="00DC67EB">
              <w:rPr>
                <w:noProof/>
                <w:sz w:val="22"/>
              </w:rPr>
              <w:t>0,25 (5. osztály)</w:t>
            </w:r>
          </w:p>
        </w:tc>
        <w:tc>
          <w:tcPr>
            <w:tcW w:w="1279" w:type="dxa"/>
            <w:gridSpan w:val="2"/>
            <w:tcMar>
              <w:left w:w="28" w:type="dxa"/>
              <w:right w:w="28" w:type="dxa"/>
            </w:tcMar>
          </w:tcPr>
          <w:p w14:paraId="237E4075" w14:textId="77777777" w:rsidR="00FA31A1" w:rsidRPr="00DC67EB" w:rsidRDefault="00FA31A1" w:rsidP="00FA31A1">
            <w:pPr>
              <w:keepNext/>
              <w:spacing w:before="40" w:after="40"/>
              <w:rPr>
                <w:noProof/>
                <w:sz w:val="22"/>
              </w:rPr>
            </w:pPr>
            <w:r w:rsidRPr="00DC67EB">
              <w:rPr>
                <w:noProof/>
                <w:sz w:val="22"/>
              </w:rPr>
              <w:t>0,2</w:t>
            </w:r>
          </w:p>
        </w:tc>
        <w:tc>
          <w:tcPr>
            <w:tcW w:w="1278" w:type="dxa"/>
            <w:gridSpan w:val="2"/>
            <w:tcMar>
              <w:left w:w="28" w:type="dxa"/>
              <w:right w:w="28" w:type="dxa"/>
            </w:tcMar>
          </w:tcPr>
          <w:p w14:paraId="3D7B9070" w14:textId="77777777" w:rsidR="00FA31A1" w:rsidRPr="00DC67EB" w:rsidRDefault="00FA31A1" w:rsidP="00FA31A1">
            <w:pPr>
              <w:keepNext/>
              <w:spacing w:before="40" w:after="40"/>
              <w:rPr>
                <w:noProof/>
                <w:sz w:val="22"/>
              </w:rPr>
            </w:pPr>
            <w:r w:rsidRPr="00DC67EB">
              <w:rPr>
                <w:noProof/>
                <w:sz w:val="22"/>
              </w:rPr>
              <w:t>≤ 0,45 (1. osztály)</w:t>
            </w:r>
          </w:p>
          <w:p w14:paraId="4860DA8D" w14:textId="77777777" w:rsidR="00FA31A1" w:rsidRPr="00DC67EB" w:rsidRDefault="00FA31A1" w:rsidP="00FA31A1">
            <w:pPr>
              <w:keepNext/>
              <w:spacing w:before="40" w:after="40"/>
              <w:rPr>
                <w:noProof/>
                <w:sz w:val="22"/>
              </w:rPr>
            </w:pPr>
            <w:r w:rsidRPr="00DC67EB">
              <w:rPr>
                <w:noProof/>
                <w:sz w:val="22"/>
              </w:rPr>
              <w:t>0,45 (2. osztály)</w:t>
            </w:r>
          </w:p>
          <w:p w14:paraId="46AD2019" w14:textId="77777777" w:rsidR="00FA31A1" w:rsidRPr="00DC67EB" w:rsidRDefault="00FA31A1" w:rsidP="00FA31A1">
            <w:pPr>
              <w:keepNext/>
              <w:spacing w:before="40" w:after="40"/>
              <w:rPr>
                <w:noProof/>
                <w:sz w:val="22"/>
              </w:rPr>
            </w:pPr>
            <w:r w:rsidRPr="00DC67EB">
              <w:rPr>
                <w:noProof/>
                <w:sz w:val="22"/>
              </w:rPr>
              <w:t>0,6 (3. osztály)</w:t>
            </w:r>
          </w:p>
          <w:p w14:paraId="7AB546DB" w14:textId="77777777" w:rsidR="00FA31A1" w:rsidRPr="00DC67EB" w:rsidRDefault="00FA31A1" w:rsidP="00FA31A1">
            <w:pPr>
              <w:keepNext/>
              <w:spacing w:before="40" w:after="40"/>
              <w:rPr>
                <w:noProof/>
                <w:sz w:val="22"/>
              </w:rPr>
            </w:pPr>
            <w:r w:rsidRPr="00DC67EB">
              <w:rPr>
                <w:noProof/>
                <w:sz w:val="22"/>
              </w:rPr>
              <w:t>0,9 (4. osztály)</w:t>
            </w:r>
          </w:p>
          <w:p w14:paraId="176C2F5B" w14:textId="77777777" w:rsidR="00FA31A1" w:rsidRPr="00DC67EB" w:rsidRDefault="00FA31A1" w:rsidP="00FA31A1">
            <w:pPr>
              <w:keepNext/>
              <w:spacing w:before="40" w:after="40"/>
              <w:rPr>
                <w:noProof/>
                <w:sz w:val="22"/>
              </w:rPr>
            </w:pPr>
            <w:r w:rsidRPr="00DC67EB">
              <w:rPr>
                <w:noProof/>
                <w:sz w:val="22"/>
              </w:rPr>
              <w:t>1,5 (5. osztály)</w:t>
            </w:r>
          </w:p>
        </w:tc>
        <w:tc>
          <w:tcPr>
            <w:tcW w:w="1277" w:type="dxa"/>
            <w:gridSpan w:val="2"/>
            <w:tcMar>
              <w:left w:w="28" w:type="dxa"/>
              <w:right w:w="28" w:type="dxa"/>
            </w:tcMar>
          </w:tcPr>
          <w:p w14:paraId="2C6169D6" w14:textId="77777777" w:rsidR="00FA31A1" w:rsidRPr="00DC67EB" w:rsidRDefault="00FA31A1" w:rsidP="00FA31A1">
            <w:pPr>
              <w:keepNext/>
              <w:spacing w:before="40" w:after="40"/>
              <w:rPr>
                <w:noProof/>
                <w:sz w:val="22"/>
              </w:rPr>
            </w:pPr>
            <w:r w:rsidRPr="00DC67EB">
              <w:rPr>
                <w:noProof/>
                <w:sz w:val="22"/>
              </w:rPr>
              <w:t>≤ 0,45 (1. osztály)</w:t>
            </w:r>
          </w:p>
          <w:p w14:paraId="3025FDED" w14:textId="77777777" w:rsidR="00FA31A1" w:rsidRPr="00DC67EB" w:rsidRDefault="00FA31A1" w:rsidP="00FA31A1">
            <w:pPr>
              <w:keepNext/>
              <w:spacing w:before="40" w:after="40"/>
              <w:rPr>
                <w:noProof/>
                <w:sz w:val="22"/>
              </w:rPr>
            </w:pPr>
            <w:r w:rsidRPr="00DC67EB">
              <w:rPr>
                <w:noProof/>
                <w:sz w:val="22"/>
              </w:rPr>
              <w:t>0,45 (2. osztály)</w:t>
            </w:r>
          </w:p>
          <w:p w14:paraId="3C8B3601" w14:textId="77777777" w:rsidR="00FA31A1" w:rsidRPr="00DC67EB" w:rsidRDefault="00FA31A1" w:rsidP="00FA31A1">
            <w:pPr>
              <w:keepNext/>
              <w:spacing w:before="40" w:after="40"/>
              <w:rPr>
                <w:noProof/>
                <w:sz w:val="22"/>
              </w:rPr>
            </w:pPr>
            <w:r w:rsidRPr="00DC67EB">
              <w:rPr>
                <w:noProof/>
                <w:sz w:val="22"/>
              </w:rPr>
              <w:t>0,6 (3. osztály)</w:t>
            </w:r>
          </w:p>
          <w:p w14:paraId="43A39416" w14:textId="77777777" w:rsidR="00FA31A1" w:rsidRPr="00DC67EB" w:rsidRDefault="00FA31A1" w:rsidP="00FA31A1">
            <w:pPr>
              <w:keepNext/>
              <w:spacing w:before="40" w:after="40"/>
              <w:rPr>
                <w:noProof/>
                <w:sz w:val="22"/>
              </w:rPr>
            </w:pPr>
            <w:r w:rsidRPr="00DC67EB">
              <w:rPr>
                <w:noProof/>
                <w:sz w:val="22"/>
              </w:rPr>
              <w:t>0,9 (4. osztály)</w:t>
            </w:r>
          </w:p>
          <w:p w14:paraId="7574F405" w14:textId="77777777" w:rsidR="00FA31A1" w:rsidRPr="00DC67EB" w:rsidRDefault="00FA31A1" w:rsidP="00FA31A1">
            <w:pPr>
              <w:keepNext/>
              <w:spacing w:before="40" w:after="40"/>
              <w:rPr>
                <w:noProof/>
                <w:sz w:val="22"/>
              </w:rPr>
            </w:pPr>
            <w:r w:rsidRPr="00DC67EB">
              <w:rPr>
                <w:noProof/>
                <w:sz w:val="22"/>
              </w:rPr>
              <w:t>1,5 (5. osztály)</w:t>
            </w:r>
          </w:p>
        </w:tc>
        <w:tc>
          <w:tcPr>
            <w:tcW w:w="1136" w:type="dxa"/>
            <w:gridSpan w:val="2"/>
            <w:tcMar>
              <w:left w:w="28" w:type="dxa"/>
              <w:right w:w="28" w:type="dxa"/>
            </w:tcMar>
          </w:tcPr>
          <w:p w14:paraId="22C25077" w14:textId="77777777" w:rsidR="00FA31A1" w:rsidRPr="00DC67EB" w:rsidRDefault="00FA31A1" w:rsidP="00FA31A1">
            <w:pPr>
              <w:keepNext/>
              <w:spacing w:before="40" w:after="40"/>
              <w:rPr>
                <w:noProof/>
                <w:sz w:val="22"/>
              </w:rPr>
            </w:pPr>
          </w:p>
        </w:tc>
        <w:tc>
          <w:tcPr>
            <w:tcW w:w="1262" w:type="dxa"/>
            <w:tcMar>
              <w:left w:w="28" w:type="dxa"/>
              <w:right w:w="28" w:type="dxa"/>
            </w:tcMar>
          </w:tcPr>
          <w:p w14:paraId="1395A765" w14:textId="77777777" w:rsidR="00FA31A1" w:rsidRPr="00DC67EB" w:rsidRDefault="00FA31A1" w:rsidP="00FA31A1">
            <w:pPr>
              <w:keepNext/>
              <w:spacing w:before="40" w:after="40"/>
              <w:rPr>
                <w:noProof/>
                <w:sz w:val="22"/>
              </w:rPr>
            </w:pPr>
            <w:r w:rsidRPr="00DC67EB">
              <w:rPr>
                <w:noProof/>
                <w:sz w:val="22"/>
              </w:rPr>
              <w:t>X</w:t>
            </w:r>
          </w:p>
        </w:tc>
        <w:tc>
          <w:tcPr>
            <w:tcW w:w="1153" w:type="dxa"/>
            <w:gridSpan w:val="2"/>
            <w:tcMar>
              <w:left w:w="28" w:type="dxa"/>
              <w:right w:w="28" w:type="dxa"/>
            </w:tcMar>
          </w:tcPr>
          <w:p w14:paraId="6F439013" w14:textId="77777777" w:rsidR="00FA31A1" w:rsidRPr="00DC67EB" w:rsidRDefault="00FA31A1" w:rsidP="00FA31A1">
            <w:pPr>
              <w:keepNext/>
              <w:spacing w:before="40" w:after="40"/>
              <w:rPr>
                <w:noProof/>
                <w:sz w:val="22"/>
              </w:rPr>
            </w:pPr>
          </w:p>
        </w:tc>
        <w:tc>
          <w:tcPr>
            <w:tcW w:w="970" w:type="dxa"/>
            <w:tcMar>
              <w:left w:w="28" w:type="dxa"/>
              <w:right w:w="28" w:type="dxa"/>
            </w:tcMar>
          </w:tcPr>
          <w:p w14:paraId="0DFB268F" w14:textId="77777777" w:rsidR="00FA31A1" w:rsidRPr="00DC67EB" w:rsidRDefault="00FA31A1" w:rsidP="00FA31A1">
            <w:pPr>
              <w:keepNext/>
              <w:spacing w:before="40" w:after="40"/>
              <w:rPr>
                <w:noProof/>
                <w:sz w:val="22"/>
              </w:rPr>
            </w:pPr>
            <w:r w:rsidRPr="00DC67EB">
              <w:rPr>
                <w:noProof/>
                <w:sz w:val="22"/>
              </w:rPr>
              <w:t>X</w:t>
            </w:r>
          </w:p>
        </w:tc>
      </w:tr>
      <w:tr w:rsidR="00DC67EB" w:rsidRPr="00DC67EB" w14:paraId="72BA7065" w14:textId="77777777" w:rsidTr="00FA31A1">
        <w:trPr>
          <w:gridBefore w:val="1"/>
          <w:wBefore w:w="12" w:type="dxa"/>
          <w:cantSplit/>
          <w:tblHeader/>
          <w:jc w:val="center"/>
        </w:trPr>
        <w:tc>
          <w:tcPr>
            <w:tcW w:w="651" w:type="dxa"/>
            <w:gridSpan w:val="3"/>
            <w:tcMar>
              <w:left w:w="28" w:type="dxa"/>
              <w:right w:w="28" w:type="dxa"/>
            </w:tcMar>
          </w:tcPr>
          <w:p w14:paraId="4A2E91A9" w14:textId="77777777" w:rsidR="00FA31A1" w:rsidRPr="00DC67EB" w:rsidRDefault="00FA31A1" w:rsidP="00FA31A1">
            <w:pPr>
              <w:spacing w:before="40" w:after="40"/>
              <w:rPr>
                <w:noProof/>
                <w:sz w:val="22"/>
              </w:rPr>
            </w:pPr>
            <w:r w:rsidRPr="00DC67EB">
              <w:rPr>
                <w:noProof/>
                <w:sz w:val="22"/>
              </w:rPr>
              <w:t>6a.</w:t>
            </w:r>
          </w:p>
        </w:tc>
        <w:tc>
          <w:tcPr>
            <w:tcW w:w="15375" w:type="dxa"/>
            <w:gridSpan w:val="23"/>
            <w:tcMar>
              <w:left w:w="28" w:type="dxa"/>
              <w:right w:w="28" w:type="dxa"/>
            </w:tcMar>
          </w:tcPr>
          <w:p w14:paraId="7796E41F" w14:textId="77777777" w:rsidR="00FA31A1" w:rsidRPr="00DC67EB" w:rsidRDefault="00FA31A1" w:rsidP="00FA31A1">
            <w:pPr>
              <w:spacing w:before="40" w:after="40"/>
              <w:rPr>
                <w:noProof/>
                <w:sz w:val="22"/>
              </w:rPr>
            </w:pPr>
            <w:r w:rsidRPr="00DC67EB">
              <w:rPr>
                <w:noProof/>
                <w:sz w:val="22"/>
              </w:rPr>
              <w:t xml:space="preserve">A széntetraklorid anyag átkerült a II. melléklet C. részébe. </w:t>
            </w:r>
          </w:p>
        </w:tc>
      </w:tr>
      <w:tr w:rsidR="00DC67EB" w:rsidRPr="00DC67EB" w14:paraId="5CDC1FD5" w14:textId="77777777" w:rsidTr="00FA31A1">
        <w:trPr>
          <w:gridBefore w:val="1"/>
          <w:wBefore w:w="12" w:type="dxa"/>
          <w:cantSplit/>
          <w:tblHeader/>
          <w:jc w:val="center"/>
        </w:trPr>
        <w:tc>
          <w:tcPr>
            <w:tcW w:w="651" w:type="dxa"/>
            <w:gridSpan w:val="3"/>
            <w:tcMar>
              <w:left w:w="28" w:type="dxa"/>
              <w:right w:w="28" w:type="dxa"/>
            </w:tcMar>
          </w:tcPr>
          <w:p w14:paraId="7576CBB3" w14:textId="77777777" w:rsidR="00FA31A1" w:rsidRPr="00DC67EB" w:rsidRDefault="00FA31A1" w:rsidP="00FA31A1">
            <w:pPr>
              <w:spacing w:before="40" w:after="40"/>
              <w:rPr>
                <w:noProof/>
                <w:sz w:val="22"/>
              </w:rPr>
            </w:pPr>
            <w:r w:rsidRPr="00DC67EB">
              <w:rPr>
                <w:noProof/>
                <w:sz w:val="22"/>
              </w:rPr>
              <w:t>7.</w:t>
            </w:r>
          </w:p>
        </w:tc>
        <w:tc>
          <w:tcPr>
            <w:tcW w:w="2286" w:type="dxa"/>
            <w:gridSpan w:val="3"/>
            <w:tcMar>
              <w:left w:w="28" w:type="dxa"/>
              <w:right w:w="28" w:type="dxa"/>
            </w:tcMar>
          </w:tcPr>
          <w:p w14:paraId="6971795A" w14:textId="77777777" w:rsidR="00FA31A1" w:rsidRPr="00DC67EB" w:rsidRDefault="00FA31A1" w:rsidP="00FA31A1">
            <w:pPr>
              <w:spacing w:before="40" w:after="40"/>
              <w:rPr>
                <w:noProof/>
                <w:sz w:val="22"/>
                <w:vertAlign w:val="superscript"/>
              </w:rPr>
            </w:pPr>
            <w:r w:rsidRPr="00DC67EB">
              <w:rPr>
                <w:noProof/>
                <w:sz w:val="22"/>
              </w:rPr>
              <w:t>C</w:t>
            </w:r>
            <w:r w:rsidRPr="00DC67EB">
              <w:rPr>
                <w:noProof/>
                <w:sz w:val="22"/>
                <w:vertAlign w:val="subscript"/>
              </w:rPr>
              <w:t>10</w:t>
            </w:r>
            <w:r w:rsidRPr="00DC67EB">
              <w:rPr>
                <w:noProof/>
                <w:sz w:val="22"/>
                <w:vertAlign w:val="subscript"/>
              </w:rPr>
              <w:noBreakHyphen/>
              <w:t xml:space="preserve">13 </w:t>
            </w:r>
            <w:r w:rsidRPr="00DC67EB">
              <w:rPr>
                <w:noProof/>
                <w:sz w:val="22"/>
              </w:rPr>
              <w:t>Klóralkánok (</w:t>
            </w:r>
            <w:r w:rsidRPr="00DC67EB">
              <w:rPr>
                <w:noProof/>
                <w:sz w:val="22"/>
                <w:vertAlign w:val="superscript"/>
              </w:rPr>
              <w:t>10</w:t>
            </w:r>
            <w:r w:rsidRPr="00DC67EB">
              <w:rPr>
                <w:noProof/>
                <w:sz w:val="22"/>
              </w:rPr>
              <w:t>)</w:t>
            </w:r>
          </w:p>
        </w:tc>
        <w:tc>
          <w:tcPr>
            <w:tcW w:w="1329" w:type="dxa"/>
            <w:gridSpan w:val="3"/>
            <w:tcMar>
              <w:left w:w="28" w:type="dxa"/>
              <w:right w:w="28" w:type="dxa"/>
            </w:tcMar>
          </w:tcPr>
          <w:p w14:paraId="41495E1E" w14:textId="77777777" w:rsidR="00FA31A1" w:rsidRPr="00DC67EB" w:rsidRDefault="00FA31A1" w:rsidP="00FA31A1">
            <w:pPr>
              <w:spacing w:before="40" w:after="40"/>
              <w:rPr>
                <w:noProof/>
                <w:sz w:val="22"/>
              </w:rPr>
            </w:pPr>
            <w:r w:rsidRPr="00DC67EB">
              <w:rPr>
                <w:noProof/>
                <w:sz w:val="22"/>
              </w:rPr>
              <w:t>Ipari anyagok</w:t>
            </w:r>
          </w:p>
        </w:tc>
        <w:tc>
          <w:tcPr>
            <w:tcW w:w="992" w:type="dxa"/>
            <w:gridSpan w:val="2"/>
            <w:tcMar>
              <w:left w:w="28" w:type="dxa"/>
              <w:right w:w="28" w:type="dxa"/>
            </w:tcMar>
          </w:tcPr>
          <w:p w14:paraId="36AC785F" w14:textId="77777777" w:rsidR="00FA31A1" w:rsidRPr="00DC67EB" w:rsidRDefault="00FA31A1" w:rsidP="00FA31A1">
            <w:pPr>
              <w:spacing w:before="40" w:after="40"/>
              <w:rPr>
                <w:noProof/>
                <w:sz w:val="22"/>
              </w:rPr>
            </w:pPr>
            <w:r w:rsidRPr="00DC67EB">
              <w:rPr>
                <w:noProof/>
                <w:sz w:val="22"/>
              </w:rPr>
              <w:t>85535</w:t>
            </w:r>
            <w:r w:rsidRPr="00DC67EB">
              <w:rPr>
                <w:noProof/>
                <w:sz w:val="22"/>
              </w:rPr>
              <w:noBreakHyphen/>
              <w:t>84</w:t>
            </w:r>
            <w:r w:rsidRPr="00DC67EB">
              <w:rPr>
                <w:noProof/>
                <w:sz w:val="22"/>
              </w:rPr>
              <w:noBreakHyphen/>
              <w:t>8</w:t>
            </w:r>
          </w:p>
        </w:tc>
        <w:tc>
          <w:tcPr>
            <w:tcW w:w="1134" w:type="dxa"/>
          </w:tcPr>
          <w:p w14:paraId="11929554" w14:textId="77777777" w:rsidR="00FA31A1" w:rsidRPr="00DC67EB" w:rsidRDefault="00FA31A1" w:rsidP="00FA31A1">
            <w:pPr>
              <w:spacing w:before="40" w:after="40"/>
              <w:rPr>
                <w:noProof/>
                <w:sz w:val="22"/>
              </w:rPr>
            </w:pPr>
            <w:r w:rsidRPr="00DC67EB">
              <w:rPr>
                <w:noProof/>
                <w:sz w:val="22"/>
              </w:rPr>
              <w:t>287-476-5</w:t>
            </w:r>
          </w:p>
        </w:tc>
        <w:tc>
          <w:tcPr>
            <w:tcW w:w="1279" w:type="dxa"/>
            <w:gridSpan w:val="2"/>
            <w:tcMar>
              <w:left w:w="28" w:type="dxa"/>
              <w:right w:w="28" w:type="dxa"/>
            </w:tcMar>
          </w:tcPr>
          <w:p w14:paraId="3F776F90" w14:textId="77777777" w:rsidR="00FA31A1" w:rsidRPr="00DC67EB" w:rsidRDefault="00FA31A1" w:rsidP="00FA31A1">
            <w:pPr>
              <w:spacing w:before="40" w:after="40"/>
              <w:rPr>
                <w:noProof/>
                <w:sz w:val="22"/>
              </w:rPr>
            </w:pPr>
            <w:r w:rsidRPr="00DC67EB">
              <w:rPr>
                <w:noProof/>
                <w:sz w:val="22"/>
              </w:rPr>
              <w:t xml:space="preserve">0,4 </w:t>
            </w:r>
          </w:p>
        </w:tc>
        <w:tc>
          <w:tcPr>
            <w:tcW w:w="1279" w:type="dxa"/>
            <w:gridSpan w:val="2"/>
            <w:tcMar>
              <w:left w:w="28" w:type="dxa"/>
              <w:right w:w="28" w:type="dxa"/>
            </w:tcMar>
          </w:tcPr>
          <w:p w14:paraId="63FFBC0E" w14:textId="77777777" w:rsidR="00FA31A1" w:rsidRPr="00DC67EB" w:rsidRDefault="00FA31A1" w:rsidP="00FA31A1">
            <w:pPr>
              <w:spacing w:before="40" w:after="40"/>
              <w:rPr>
                <w:noProof/>
                <w:sz w:val="22"/>
              </w:rPr>
            </w:pPr>
            <w:r w:rsidRPr="00DC67EB">
              <w:rPr>
                <w:noProof/>
                <w:sz w:val="22"/>
              </w:rPr>
              <w:t>0,4</w:t>
            </w:r>
          </w:p>
        </w:tc>
        <w:tc>
          <w:tcPr>
            <w:tcW w:w="1278" w:type="dxa"/>
            <w:gridSpan w:val="2"/>
            <w:tcMar>
              <w:left w:w="28" w:type="dxa"/>
              <w:right w:w="28" w:type="dxa"/>
            </w:tcMar>
          </w:tcPr>
          <w:p w14:paraId="64DE4FA2" w14:textId="77777777" w:rsidR="00FA31A1" w:rsidRPr="00DC67EB" w:rsidRDefault="00FA31A1" w:rsidP="00FA31A1">
            <w:pPr>
              <w:spacing w:before="40" w:after="40"/>
              <w:rPr>
                <w:noProof/>
                <w:sz w:val="22"/>
              </w:rPr>
            </w:pPr>
            <w:r w:rsidRPr="00DC67EB">
              <w:rPr>
                <w:noProof/>
                <w:sz w:val="22"/>
              </w:rPr>
              <w:t>1,4</w:t>
            </w:r>
          </w:p>
        </w:tc>
        <w:tc>
          <w:tcPr>
            <w:tcW w:w="1277" w:type="dxa"/>
            <w:gridSpan w:val="2"/>
            <w:tcMar>
              <w:left w:w="28" w:type="dxa"/>
              <w:right w:w="28" w:type="dxa"/>
            </w:tcMar>
          </w:tcPr>
          <w:p w14:paraId="3FA1DEEE" w14:textId="77777777" w:rsidR="00FA31A1" w:rsidRPr="00DC67EB" w:rsidRDefault="00FA31A1" w:rsidP="00FA31A1">
            <w:pPr>
              <w:spacing w:before="40" w:after="40"/>
              <w:rPr>
                <w:noProof/>
                <w:sz w:val="22"/>
              </w:rPr>
            </w:pPr>
            <w:r w:rsidRPr="00DC67EB">
              <w:rPr>
                <w:noProof/>
                <w:sz w:val="22"/>
              </w:rPr>
              <w:t>1,4</w:t>
            </w:r>
          </w:p>
        </w:tc>
        <w:tc>
          <w:tcPr>
            <w:tcW w:w="1136" w:type="dxa"/>
            <w:gridSpan w:val="2"/>
            <w:tcMar>
              <w:left w:w="28" w:type="dxa"/>
              <w:right w:w="28" w:type="dxa"/>
            </w:tcMar>
          </w:tcPr>
          <w:p w14:paraId="3FF22B93" w14:textId="77777777" w:rsidR="00FA31A1" w:rsidRPr="00DC67EB" w:rsidRDefault="00FA31A1" w:rsidP="00FA31A1">
            <w:pPr>
              <w:spacing w:before="40" w:after="40"/>
              <w:rPr>
                <w:noProof/>
                <w:sz w:val="22"/>
              </w:rPr>
            </w:pPr>
          </w:p>
        </w:tc>
        <w:tc>
          <w:tcPr>
            <w:tcW w:w="1262" w:type="dxa"/>
            <w:tcMar>
              <w:left w:w="28" w:type="dxa"/>
              <w:right w:w="28" w:type="dxa"/>
            </w:tcMar>
          </w:tcPr>
          <w:p w14:paraId="487E7B72" w14:textId="77777777" w:rsidR="00FA31A1" w:rsidRPr="00DC67EB" w:rsidRDefault="00FA31A1" w:rsidP="00FA31A1">
            <w:pPr>
              <w:spacing w:before="40" w:after="40"/>
              <w:rPr>
                <w:noProof/>
                <w:sz w:val="22"/>
              </w:rPr>
            </w:pPr>
            <w:r w:rsidRPr="00DC67EB">
              <w:rPr>
                <w:noProof/>
                <w:sz w:val="22"/>
              </w:rPr>
              <w:t>X</w:t>
            </w:r>
          </w:p>
        </w:tc>
        <w:tc>
          <w:tcPr>
            <w:tcW w:w="1153" w:type="dxa"/>
            <w:gridSpan w:val="2"/>
            <w:tcMar>
              <w:left w:w="28" w:type="dxa"/>
              <w:right w:w="28" w:type="dxa"/>
            </w:tcMar>
          </w:tcPr>
          <w:p w14:paraId="3752A479" w14:textId="77777777" w:rsidR="00FA31A1" w:rsidRPr="00DC67EB" w:rsidRDefault="00FA31A1" w:rsidP="00FA31A1">
            <w:pPr>
              <w:spacing w:before="40" w:after="40"/>
              <w:rPr>
                <w:noProof/>
                <w:sz w:val="22"/>
              </w:rPr>
            </w:pPr>
          </w:p>
        </w:tc>
        <w:tc>
          <w:tcPr>
            <w:tcW w:w="970" w:type="dxa"/>
            <w:tcMar>
              <w:left w:w="28" w:type="dxa"/>
              <w:right w:w="28" w:type="dxa"/>
            </w:tcMar>
          </w:tcPr>
          <w:p w14:paraId="787C8A8C" w14:textId="77777777" w:rsidR="00FA31A1" w:rsidRPr="00DC67EB" w:rsidRDefault="00FA31A1" w:rsidP="00FA31A1">
            <w:pPr>
              <w:spacing w:before="40" w:after="40"/>
              <w:rPr>
                <w:noProof/>
                <w:sz w:val="22"/>
              </w:rPr>
            </w:pPr>
            <w:r w:rsidRPr="00DC67EB">
              <w:rPr>
                <w:noProof/>
                <w:sz w:val="22"/>
              </w:rPr>
              <w:t>X</w:t>
            </w:r>
          </w:p>
        </w:tc>
      </w:tr>
      <w:tr w:rsidR="00DC67EB" w:rsidRPr="00DC67EB" w14:paraId="4B65E46A" w14:textId="77777777" w:rsidTr="00FA31A1">
        <w:trPr>
          <w:gridBefore w:val="1"/>
          <w:wBefore w:w="12" w:type="dxa"/>
          <w:cantSplit/>
          <w:tblHeader/>
          <w:jc w:val="center"/>
        </w:trPr>
        <w:tc>
          <w:tcPr>
            <w:tcW w:w="651" w:type="dxa"/>
            <w:gridSpan w:val="3"/>
            <w:tcMar>
              <w:left w:w="28" w:type="dxa"/>
              <w:right w:w="28" w:type="dxa"/>
            </w:tcMar>
          </w:tcPr>
          <w:p w14:paraId="03BE1BB4" w14:textId="77777777" w:rsidR="00FA31A1" w:rsidRPr="00DC67EB" w:rsidRDefault="00FA31A1" w:rsidP="00FA31A1">
            <w:pPr>
              <w:spacing w:before="40" w:after="40"/>
              <w:rPr>
                <w:noProof/>
                <w:sz w:val="22"/>
              </w:rPr>
            </w:pPr>
            <w:r w:rsidRPr="00DC67EB">
              <w:rPr>
                <w:noProof/>
                <w:sz w:val="22"/>
              </w:rPr>
              <w:t>8.</w:t>
            </w:r>
          </w:p>
        </w:tc>
        <w:tc>
          <w:tcPr>
            <w:tcW w:w="15375" w:type="dxa"/>
            <w:gridSpan w:val="23"/>
            <w:tcMar>
              <w:left w:w="28" w:type="dxa"/>
              <w:right w:w="28" w:type="dxa"/>
            </w:tcMar>
          </w:tcPr>
          <w:p w14:paraId="2F397C64" w14:textId="77777777" w:rsidR="00FA31A1" w:rsidRPr="00DC67EB" w:rsidRDefault="00FA31A1" w:rsidP="00FA31A1">
            <w:pPr>
              <w:spacing w:before="40" w:after="40"/>
              <w:rPr>
                <w:noProof/>
                <w:sz w:val="22"/>
              </w:rPr>
            </w:pPr>
            <w:r w:rsidRPr="00DC67EB">
              <w:rPr>
                <w:noProof/>
                <w:sz w:val="22"/>
              </w:rPr>
              <w:t xml:space="preserve">A klórfenvinfosz anyag átkerült a II. melléklet C. részébe. </w:t>
            </w:r>
          </w:p>
        </w:tc>
      </w:tr>
      <w:tr w:rsidR="00DC67EB" w:rsidRPr="00DC67EB" w14:paraId="576E27E1" w14:textId="77777777" w:rsidTr="00FA31A1">
        <w:trPr>
          <w:gridBefore w:val="1"/>
          <w:wBefore w:w="12" w:type="dxa"/>
          <w:cantSplit/>
          <w:tblHeader/>
          <w:jc w:val="center"/>
        </w:trPr>
        <w:tc>
          <w:tcPr>
            <w:tcW w:w="651" w:type="dxa"/>
            <w:gridSpan w:val="3"/>
            <w:tcMar>
              <w:left w:w="28" w:type="dxa"/>
              <w:right w:w="28" w:type="dxa"/>
            </w:tcMar>
          </w:tcPr>
          <w:p w14:paraId="1EF8996A" w14:textId="77777777" w:rsidR="00FA31A1" w:rsidRPr="00DC67EB" w:rsidRDefault="00FA31A1" w:rsidP="00FA31A1">
            <w:pPr>
              <w:spacing w:before="40" w:after="40"/>
              <w:rPr>
                <w:noProof/>
                <w:sz w:val="22"/>
              </w:rPr>
            </w:pPr>
            <w:r w:rsidRPr="00DC67EB">
              <w:rPr>
                <w:noProof/>
                <w:sz w:val="22"/>
              </w:rPr>
              <w:t>9.</w:t>
            </w:r>
          </w:p>
        </w:tc>
        <w:tc>
          <w:tcPr>
            <w:tcW w:w="2286" w:type="dxa"/>
            <w:gridSpan w:val="3"/>
            <w:tcMar>
              <w:left w:w="28" w:type="dxa"/>
              <w:right w:w="28" w:type="dxa"/>
            </w:tcMar>
          </w:tcPr>
          <w:p w14:paraId="4222485B" w14:textId="77777777" w:rsidR="00FA31A1" w:rsidRPr="00DC67EB" w:rsidRDefault="00FA31A1" w:rsidP="00FA31A1">
            <w:pPr>
              <w:spacing w:before="40" w:after="40"/>
              <w:rPr>
                <w:noProof/>
                <w:sz w:val="22"/>
              </w:rPr>
            </w:pPr>
            <w:r w:rsidRPr="00DC67EB">
              <w:rPr>
                <w:noProof/>
                <w:sz w:val="22"/>
              </w:rPr>
              <w:t>Klórpirifosz (etilklórpirifosz)</w:t>
            </w:r>
          </w:p>
        </w:tc>
        <w:tc>
          <w:tcPr>
            <w:tcW w:w="1329" w:type="dxa"/>
            <w:gridSpan w:val="3"/>
            <w:tcMar>
              <w:left w:w="28" w:type="dxa"/>
              <w:right w:w="28" w:type="dxa"/>
            </w:tcMar>
          </w:tcPr>
          <w:p w14:paraId="383EA486" w14:textId="77777777" w:rsidR="00FA31A1" w:rsidRPr="00DC67EB" w:rsidRDefault="00FA31A1" w:rsidP="00FA31A1">
            <w:pPr>
              <w:spacing w:before="40" w:after="40"/>
              <w:rPr>
                <w:noProof/>
                <w:sz w:val="22"/>
              </w:rPr>
            </w:pPr>
            <w:r w:rsidRPr="00DC67EB">
              <w:rPr>
                <w:noProof/>
                <w:sz w:val="22"/>
              </w:rPr>
              <w:t>Szerves foszfátot tartalmazó peszticidek</w:t>
            </w:r>
          </w:p>
        </w:tc>
        <w:tc>
          <w:tcPr>
            <w:tcW w:w="992" w:type="dxa"/>
            <w:gridSpan w:val="2"/>
            <w:tcMar>
              <w:left w:w="28" w:type="dxa"/>
              <w:right w:w="28" w:type="dxa"/>
            </w:tcMar>
          </w:tcPr>
          <w:p w14:paraId="563A7DDF" w14:textId="77777777" w:rsidR="00FA31A1" w:rsidRPr="00DC67EB" w:rsidRDefault="00FA31A1" w:rsidP="00FA31A1">
            <w:pPr>
              <w:spacing w:before="40" w:after="40"/>
              <w:rPr>
                <w:noProof/>
                <w:sz w:val="22"/>
              </w:rPr>
            </w:pPr>
            <w:r w:rsidRPr="00DC67EB">
              <w:rPr>
                <w:noProof/>
                <w:sz w:val="22"/>
              </w:rPr>
              <w:t>2921</w:t>
            </w:r>
            <w:r w:rsidRPr="00DC67EB">
              <w:rPr>
                <w:noProof/>
                <w:sz w:val="22"/>
              </w:rPr>
              <w:noBreakHyphen/>
              <w:t>88</w:t>
            </w:r>
            <w:r w:rsidRPr="00DC67EB">
              <w:rPr>
                <w:noProof/>
                <w:sz w:val="22"/>
              </w:rPr>
              <w:noBreakHyphen/>
              <w:t>2</w:t>
            </w:r>
          </w:p>
        </w:tc>
        <w:tc>
          <w:tcPr>
            <w:tcW w:w="1134" w:type="dxa"/>
          </w:tcPr>
          <w:p w14:paraId="1CFBC202" w14:textId="77777777" w:rsidR="00FA31A1" w:rsidRPr="00DC67EB" w:rsidRDefault="00FA31A1" w:rsidP="00FA31A1">
            <w:pPr>
              <w:spacing w:before="40" w:after="40"/>
              <w:rPr>
                <w:noProof/>
                <w:sz w:val="22"/>
              </w:rPr>
            </w:pPr>
            <w:r w:rsidRPr="00DC67EB">
              <w:rPr>
                <w:noProof/>
                <w:sz w:val="22"/>
              </w:rPr>
              <w:t>220-864-4</w:t>
            </w:r>
          </w:p>
        </w:tc>
        <w:tc>
          <w:tcPr>
            <w:tcW w:w="1279" w:type="dxa"/>
            <w:gridSpan w:val="2"/>
            <w:tcMar>
              <w:left w:w="28" w:type="dxa"/>
              <w:right w:w="28" w:type="dxa"/>
            </w:tcMar>
          </w:tcPr>
          <w:p w14:paraId="014E9315" w14:textId="77777777" w:rsidR="00FA31A1" w:rsidRPr="00DC67EB" w:rsidRDefault="00FA31A1" w:rsidP="00FA31A1">
            <w:pPr>
              <w:spacing w:before="40" w:after="40"/>
              <w:rPr>
                <w:noProof/>
                <w:sz w:val="22"/>
              </w:rPr>
            </w:pPr>
            <w:r w:rsidRPr="00DC67EB">
              <w:rPr>
                <w:noProof/>
                <w:sz w:val="22"/>
              </w:rPr>
              <w:t>4,6 × 10</w:t>
            </w:r>
            <w:r w:rsidRPr="00DC67EB">
              <w:rPr>
                <w:noProof/>
                <w:sz w:val="22"/>
                <w:vertAlign w:val="superscript"/>
              </w:rPr>
              <w:t>-4</w:t>
            </w:r>
          </w:p>
        </w:tc>
        <w:tc>
          <w:tcPr>
            <w:tcW w:w="1279" w:type="dxa"/>
            <w:gridSpan w:val="2"/>
            <w:tcMar>
              <w:left w:w="28" w:type="dxa"/>
              <w:right w:w="28" w:type="dxa"/>
            </w:tcMar>
          </w:tcPr>
          <w:p w14:paraId="3E6D43A0" w14:textId="77777777" w:rsidR="00FA31A1" w:rsidRPr="00DC67EB" w:rsidRDefault="00FA31A1" w:rsidP="00FA31A1">
            <w:pPr>
              <w:spacing w:before="40" w:after="40"/>
              <w:rPr>
                <w:noProof/>
                <w:sz w:val="22"/>
              </w:rPr>
            </w:pPr>
            <w:r w:rsidRPr="00DC67EB">
              <w:rPr>
                <w:noProof/>
                <w:sz w:val="22"/>
              </w:rPr>
              <w:t>4,6 × 10</w:t>
            </w:r>
            <w:r w:rsidRPr="00DC67EB">
              <w:rPr>
                <w:noProof/>
                <w:sz w:val="22"/>
                <w:vertAlign w:val="superscript"/>
              </w:rPr>
              <w:t>-5</w:t>
            </w:r>
          </w:p>
        </w:tc>
        <w:tc>
          <w:tcPr>
            <w:tcW w:w="1278" w:type="dxa"/>
            <w:gridSpan w:val="2"/>
            <w:tcMar>
              <w:left w:w="28" w:type="dxa"/>
              <w:right w:w="28" w:type="dxa"/>
            </w:tcMar>
          </w:tcPr>
          <w:p w14:paraId="00C83768" w14:textId="77777777" w:rsidR="00FA31A1" w:rsidRPr="00DC67EB" w:rsidRDefault="00FA31A1" w:rsidP="00FA31A1">
            <w:pPr>
              <w:spacing w:before="40" w:after="40"/>
              <w:rPr>
                <w:noProof/>
                <w:sz w:val="22"/>
              </w:rPr>
            </w:pPr>
            <w:r w:rsidRPr="00DC67EB">
              <w:rPr>
                <w:noProof/>
                <w:sz w:val="22"/>
              </w:rPr>
              <w:t>0,0026</w:t>
            </w:r>
          </w:p>
        </w:tc>
        <w:tc>
          <w:tcPr>
            <w:tcW w:w="1277" w:type="dxa"/>
            <w:gridSpan w:val="2"/>
            <w:tcMar>
              <w:left w:w="28" w:type="dxa"/>
              <w:right w:w="28" w:type="dxa"/>
            </w:tcMar>
          </w:tcPr>
          <w:p w14:paraId="1C024D67" w14:textId="77777777" w:rsidR="00FA31A1" w:rsidRPr="00DC67EB" w:rsidRDefault="00FA31A1" w:rsidP="00FA31A1">
            <w:pPr>
              <w:spacing w:before="40" w:after="40"/>
              <w:rPr>
                <w:noProof/>
                <w:sz w:val="22"/>
              </w:rPr>
            </w:pPr>
            <w:r w:rsidRPr="00DC67EB">
              <w:rPr>
                <w:noProof/>
                <w:sz w:val="22"/>
              </w:rPr>
              <w:t>5,2 × 10</w:t>
            </w:r>
            <w:r w:rsidRPr="00DC67EB">
              <w:rPr>
                <w:noProof/>
                <w:sz w:val="22"/>
                <w:vertAlign w:val="superscript"/>
              </w:rPr>
              <w:t>-4</w:t>
            </w:r>
          </w:p>
        </w:tc>
        <w:tc>
          <w:tcPr>
            <w:tcW w:w="1136" w:type="dxa"/>
            <w:gridSpan w:val="2"/>
            <w:tcMar>
              <w:left w:w="28" w:type="dxa"/>
              <w:right w:w="28" w:type="dxa"/>
            </w:tcMar>
          </w:tcPr>
          <w:p w14:paraId="1F6019E0" w14:textId="77777777" w:rsidR="00FA31A1" w:rsidRPr="00DC67EB" w:rsidRDefault="00FA31A1" w:rsidP="00FA31A1">
            <w:pPr>
              <w:spacing w:before="40" w:after="40"/>
              <w:rPr>
                <w:noProof/>
                <w:sz w:val="22"/>
              </w:rPr>
            </w:pPr>
          </w:p>
        </w:tc>
        <w:tc>
          <w:tcPr>
            <w:tcW w:w="1262" w:type="dxa"/>
            <w:tcMar>
              <w:left w:w="28" w:type="dxa"/>
              <w:right w:w="28" w:type="dxa"/>
            </w:tcMar>
          </w:tcPr>
          <w:p w14:paraId="44CD60DB" w14:textId="77777777" w:rsidR="00FA31A1" w:rsidRPr="00DC67EB" w:rsidRDefault="00FA31A1" w:rsidP="00FA31A1">
            <w:pPr>
              <w:spacing w:before="40" w:after="40"/>
              <w:rPr>
                <w:noProof/>
                <w:sz w:val="22"/>
              </w:rPr>
            </w:pPr>
            <w:r w:rsidRPr="00DC67EB">
              <w:rPr>
                <w:noProof/>
                <w:sz w:val="22"/>
              </w:rPr>
              <w:t>X</w:t>
            </w:r>
          </w:p>
        </w:tc>
        <w:tc>
          <w:tcPr>
            <w:tcW w:w="1153" w:type="dxa"/>
            <w:gridSpan w:val="2"/>
            <w:tcMar>
              <w:left w:w="28" w:type="dxa"/>
              <w:right w:w="28" w:type="dxa"/>
            </w:tcMar>
          </w:tcPr>
          <w:p w14:paraId="160995C7" w14:textId="77777777" w:rsidR="00FA31A1" w:rsidRPr="00DC67EB" w:rsidRDefault="00FA31A1" w:rsidP="00FA31A1">
            <w:pPr>
              <w:spacing w:before="40" w:after="40"/>
              <w:rPr>
                <w:noProof/>
                <w:sz w:val="22"/>
              </w:rPr>
            </w:pPr>
            <w:r w:rsidRPr="00DC67EB">
              <w:rPr>
                <w:noProof/>
                <w:sz w:val="22"/>
              </w:rPr>
              <w:t>X</w:t>
            </w:r>
          </w:p>
        </w:tc>
        <w:tc>
          <w:tcPr>
            <w:tcW w:w="970" w:type="dxa"/>
            <w:tcMar>
              <w:left w:w="28" w:type="dxa"/>
              <w:right w:w="28" w:type="dxa"/>
            </w:tcMar>
          </w:tcPr>
          <w:p w14:paraId="08C3B7C8" w14:textId="77777777" w:rsidR="00FA31A1" w:rsidRPr="00DC67EB" w:rsidRDefault="00FA31A1" w:rsidP="00FA31A1">
            <w:pPr>
              <w:spacing w:before="40" w:after="40"/>
              <w:rPr>
                <w:noProof/>
                <w:sz w:val="22"/>
              </w:rPr>
            </w:pPr>
            <w:r w:rsidRPr="00DC67EB">
              <w:rPr>
                <w:noProof/>
                <w:sz w:val="22"/>
              </w:rPr>
              <w:t>X</w:t>
            </w:r>
          </w:p>
        </w:tc>
      </w:tr>
      <w:tr w:rsidR="00DC67EB" w:rsidRPr="00DC67EB" w14:paraId="682F1F84" w14:textId="77777777" w:rsidTr="00FA31A1">
        <w:trPr>
          <w:gridBefore w:val="1"/>
          <w:wBefore w:w="12" w:type="dxa"/>
          <w:cantSplit/>
          <w:tblHeader/>
          <w:jc w:val="center"/>
        </w:trPr>
        <w:tc>
          <w:tcPr>
            <w:tcW w:w="651" w:type="dxa"/>
            <w:gridSpan w:val="3"/>
            <w:tcMar>
              <w:left w:w="28" w:type="dxa"/>
              <w:right w:w="28" w:type="dxa"/>
            </w:tcMar>
          </w:tcPr>
          <w:p w14:paraId="37FCD3BB" w14:textId="77777777" w:rsidR="00FA31A1" w:rsidRPr="00DC67EB" w:rsidRDefault="00FA31A1" w:rsidP="00FA31A1">
            <w:pPr>
              <w:spacing w:before="40" w:after="40"/>
              <w:rPr>
                <w:noProof/>
                <w:sz w:val="22"/>
              </w:rPr>
            </w:pPr>
            <w:r w:rsidRPr="00DC67EB">
              <w:rPr>
                <w:noProof/>
                <w:sz w:val="22"/>
              </w:rPr>
              <w:br w:type="page"/>
              <w:t>9a.</w:t>
            </w:r>
          </w:p>
        </w:tc>
        <w:tc>
          <w:tcPr>
            <w:tcW w:w="2286" w:type="dxa"/>
            <w:gridSpan w:val="3"/>
            <w:tcMar>
              <w:left w:w="28" w:type="dxa"/>
              <w:right w:w="28" w:type="dxa"/>
            </w:tcMar>
          </w:tcPr>
          <w:p w14:paraId="79538379" w14:textId="77777777" w:rsidR="00FA31A1" w:rsidRPr="00DC67EB" w:rsidRDefault="00FA31A1" w:rsidP="00FA31A1">
            <w:pPr>
              <w:spacing w:before="40" w:after="40"/>
              <w:rPr>
                <w:noProof/>
                <w:sz w:val="22"/>
              </w:rPr>
            </w:pPr>
            <w:r w:rsidRPr="00DC67EB">
              <w:rPr>
                <w:noProof/>
                <w:sz w:val="22"/>
              </w:rPr>
              <w:t>Ciklodién peszticidek:</w:t>
            </w:r>
          </w:p>
          <w:p w14:paraId="13E7B14B" w14:textId="77777777" w:rsidR="00FA31A1" w:rsidRPr="00DC67EB" w:rsidRDefault="00FA31A1" w:rsidP="00FA31A1">
            <w:pPr>
              <w:spacing w:before="40" w:after="40"/>
              <w:rPr>
                <w:noProof/>
                <w:sz w:val="22"/>
              </w:rPr>
            </w:pPr>
            <w:r w:rsidRPr="00DC67EB">
              <w:rPr>
                <w:noProof/>
                <w:sz w:val="22"/>
              </w:rPr>
              <w:t xml:space="preserve">Aldrin </w:t>
            </w:r>
            <w:bookmarkStart w:id="20" w:name="_DV_M301"/>
            <w:bookmarkEnd w:id="20"/>
          </w:p>
          <w:p w14:paraId="3A89594C" w14:textId="77777777" w:rsidR="00FA31A1" w:rsidRPr="00DC67EB" w:rsidRDefault="00FA31A1" w:rsidP="00FA31A1">
            <w:pPr>
              <w:spacing w:before="40" w:after="40"/>
              <w:rPr>
                <w:noProof/>
                <w:sz w:val="22"/>
              </w:rPr>
            </w:pPr>
            <w:r w:rsidRPr="00DC67EB">
              <w:rPr>
                <w:noProof/>
                <w:sz w:val="22"/>
              </w:rPr>
              <w:t xml:space="preserve">Dieldrin </w:t>
            </w:r>
            <w:bookmarkStart w:id="21" w:name="_DV_M302"/>
            <w:bookmarkEnd w:id="21"/>
          </w:p>
          <w:p w14:paraId="4233844A" w14:textId="77777777" w:rsidR="00FA31A1" w:rsidRPr="00DC67EB" w:rsidRDefault="00FA31A1" w:rsidP="00FA31A1">
            <w:pPr>
              <w:spacing w:before="40" w:after="40"/>
              <w:rPr>
                <w:noProof/>
                <w:sz w:val="22"/>
              </w:rPr>
            </w:pPr>
            <w:r w:rsidRPr="00DC67EB">
              <w:rPr>
                <w:noProof/>
                <w:sz w:val="22"/>
              </w:rPr>
              <w:t xml:space="preserve">Endrin </w:t>
            </w:r>
            <w:bookmarkStart w:id="22" w:name="_DV_M303"/>
            <w:bookmarkEnd w:id="22"/>
          </w:p>
          <w:p w14:paraId="4D66CFE4" w14:textId="77777777" w:rsidR="00FA31A1" w:rsidRPr="00DC67EB" w:rsidRDefault="00FA31A1" w:rsidP="00FA31A1">
            <w:pPr>
              <w:spacing w:before="40" w:after="40"/>
              <w:rPr>
                <w:noProof/>
                <w:sz w:val="22"/>
                <w:vertAlign w:val="superscript"/>
              </w:rPr>
            </w:pPr>
            <w:r w:rsidRPr="00DC67EB">
              <w:rPr>
                <w:noProof/>
                <w:sz w:val="22"/>
              </w:rPr>
              <w:t xml:space="preserve">Izodrin </w:t>
            </w:r>
            <w:bookmarkStart w:id="23" w:name="_DV_M304"/>
            <w:bookmarkEnd w:id="23"/>
          </w:p>
        </w:tc>
        <w:tc>
          <w:tcPr>
            <w:tcW w:w="1329" w:type="dxa"/>
            <w:gridSpan w:val="3"/>
            <w:tcMar>
              <w:left w:w="28" w:type="dxa"/>
              <w:right w:w="28" w:type="dxa"/>
            </w:tcMar>
          </w:tcPr>
          <w:p w14:paraId="7C4242D4" w14:textId="77777777" w:rsidR="00FA31A1" w:rsidRPr="00DC67EB" w:rsidRDefault="00FA31A1" w:rsidP="00FA31A1">
            <w:pPr>
              <w:spacing w:before="40" w:after="40"/>
              <w:rPr>
                <w:noProof/>
                <w:sz w:val="22"/>
              </w:rPr>
            </w:pPr>
            <w:r w:rsidRPr="00DC67EB">
              <w:rPr>
                <w:noProof/>
                <w:sz w:val="22"/>
              </w:rPr>
              <w:t>Szerves klórt tartalmazó peszticidek</w:t>
            </w:r>
          </w:p>
        </w:tc>
        <w:tc>
          <w:tcPr>
            <w:tcW w:w="992" w:type="dxa"/>
            <w:gridSpan w:val="2"/>
            <w:tcMar>
              <w:left w:w="28" w:type="dxa"/>
              <w:right w:w="28" w:type="dxa"/>
            </w:tcMar>
          </w:tcPr>
          <w:p w14:paraId="150AB987" w14:textId="77777777" w:rsidR="00FA31A1" w:rsidRPr="00DC67EB" w:rsidRDefault="00FA31A1" w:rsidP="00FA31A1">
            <w:pPr>
              <w:spacing w:before="40" w:after="40"/>
              <w:rPr>
                <w:noProof/>
                <w:sz w:val="22"/>
              </w:rPr>
            </w:pPr>
          </w:p>
          <w:p w14:paraId="577C22EB" w14:textId="77777777" w:rsidR="00FA31A1" w:rsidRPr="00DC67EB" w:rsidRDefault="00FA31A1" w:rsidP="00FA31A1">
            <w:pPr>
              <w:spacing w:before="40" w:after="40"/>
              <w:rPr>
                <w:noProof/>
                <w:sz w:val="22"/>
              </w:rPr>
            </w:pPr>
            <w:r w:rsidRPr="00DC67EB">
              <w:rPr>
                <w:noProof/>
                <w:sz w:val="22"/>
              </w:rPr>
              <w:t>309</w:t>
            </w:r>
            <w:r w:rsidRPr="00DC67EB">
              <w:rPr>
                <w:noProof/>
                <w:sz w:val="22"/>
              </w:rPr>
              <w:noBreakHyphen/>
              <w:t>00</w:t>
            </w:r>
            <w:r w:rsidRPr="00DC67EB">
              <w:rPr>
                <w:noProof/>
                <w:sz w:val="22"/>
              </w:rPr>
              <w:noBreakHyphen/>
              <w:t>2</w:t>
            </w:r>
          </w:p>
          <w:p w14:paraId="50547806" w14:textId="77777777" w:rsidR="00FA31A1" w:rsidRPr="00DC67EB" w:rsidRDefault="00FA31A1" w:rsidP="00FA31A1">
            <w:pPr>
              <w:spacing w:before="40" w:after="40"/>
              <w:rPr>
                <w:noProof/>
                <w:sz w:val="22"/>
              </w:rPr>
            </w:pPr>
            <w:r w:rsidRPr="00DC67EB">
              <w:rPr>
                <w:noProof/>
                <w:sz w:val="22"/>
              </w:rPr>
              <w:t>60</w:t>
            </w:r>
            <w:r w:rsidRPr="00DC67EB">
              <w:rPr>
                <w:noProof/>
                <w:sz w:val="22"/>
              </w:rPr>
              <w:noBreakHyphen/>
              <w:t>57</w:t>
            </w:r>
            <w:r w:rsidRPr="00DC67EB">
              <w:rPr>
                <w:noProof/>
                <w:sz w:val="22"/>
              </w:rPr>
              <w:noBreakHyphen/>
              <w:t>1</w:t>
            </w:r>
          </w:p>
          <w:p w14:paraId="538D522C" w14:textId="77777777" w:rsidR="00FA31A1" w:rsidRPr="00DC67EB" w:rsidRDefault="00FA31A1" w:rsidP="00FA31A1">
            <w:pPr>
              <w:spacing w:before="40" w:after="40"/>
              <w:rPr>
                <w:noProof/>
                <w:sz w:val="22"/>
              </w:rPr>
            </w:pPr>
            <w:r w:rsidRPr="00DC67EB">
              <w:rPr>
                <w:noProof/>
                <w:sz w:val="22"/>
              </w:rPr>
              <w:t>72</w:t>
            </w:r>
            <w:r w:rsidRPr="00DC67EB">
              <w:rPr>
                <w:noProof/>
                <w:sz w:val="22"/>
              </w:rPr>
              <w:noBreakHyphen/>
              <w:t>20</w:t>
            </w:r>
            <w:r w:rsidRPr="00DC67EB">
              <w:rPr>
                <w:noProof/>
                <w:sz w:val="22"/>
              </w:rPr>
              <w:noBreakHyphen/>
              <w:t>8</w:t>
            </w:r>
          </w:p>
          <w:p w14:paraId="6F965393" w14:textId="77777777" w:rsidR="00FA31A1" w:rsidRPr="00DC67EB" w:rsidRDefault="00FA31A1" w:rsidP="00FA31A1">
            <w:pPr>
              <w:spacing w:before="40" w:after="40"/>
              <w:rPr>
                <w:noProof/>
                <w:sz w:val="22"/>
              </w:rPr>
            </w:pPr>
            <w:r w:rsidRPr="00DC67EB">
              <w:rPr>
                <w:noProof/>
                <w:sz w:val="22"/>
              </w:rPr>
              <w:t>465</w:t>
            </w:r>
            <w:r w:rsidRPr="00DC67EB">
              <w:rPr>
                <w:noProof/>
                <w:sz w:val="22"/>
              </w:rPr>
              <w:noBreakHyphen/>
              <w:t>73</w:t>
            </w:r>
            <w:r w:rsidRPr="00DC67EB">
              <w:rPr>
                <w:noProof/>
                <w:sz w:val="22"/>
              </w:rPr>
              <w:noBreakHyphen/>
              <w:t>6</w:t>
            </w:r>
          </w:p>
        </w:tc>
        <w:tc>
          <w:tcPr>
            <w:tcW w:w="1134" w:type="dxa"/>
          </w:tcPr>
          <w:p w14:paraId="75111653" w14:textId="77777777" w:rsidR="00FA31A1" w:rsidRPr="00DC67EB" w:rsidRDefault="00FA31A1" w:rsidP="00FA31A1">
            <w:pPr>
              <w:spacing w:before="40" w:after="40"/>
              <w:rPr>
                <w:noProof/>
                <w:sz w:val="22"/>
              </w:rPr>
            </w:pPr>
          </w:p>
          <w:p w14:paraId="2B926BF5" w14:textId="77777777" w:rsidR="00FA31A1" w:rsidRPr="00DC67EB" w:rsidRDefault="00FA31A1" w:rsidP="00FA31A1">
            <w:pPr>
              <w:spacing w:before="40" w:after="40"/>
              <w:rPr>
                <w:noProof/>
                <w:sz w:val="22"/>
              </w:rPr>
            </w:pPr>
            <w:r w:rsidRPr="00DC67EB">
              <w:rPr>
                <w:noProof/>
                <w:sz w:val="22"/>
              </w:rPr>
              <w:t>206-215-8</w:t>
            </w:r>
          </w:p>
          <w:p w14:paraId="2B446EF2" w14:textId="77777777" w:rsidR="00FA31A1" w:rsidRPr="00DC67EB" w:rsidRDefault="00FA31A1" w:rsidP="00FA31A1">
            <w:pPr>
              <w:spacing w:before="40" w:after="40"/>
              <w:rPr>
                <w:noProof/>
                <w:sz w:val="22"/>
              </w:rPr>
            </w:pPr>
            <w:r w:rsidRPr="00DC67EB">
              <w:rPr>
                <w:noProof/>
                <w:sz w:val="22"/>
              </w:rPr>
              <w:t>200-484-5</w:t>
            </w:r>
          </w:p>
          <w:p w14:paraId="7B6104B0" w14:textId="77777777" w:rsidR="00FA31A1" w:rsidRPr="00DC67EB" w:rsidRDefault="00FA31A1" w:rsidP="00FA31A1">
            <w:pPr>
              <w:spacing w:before="40" w:after="40"/>
              <w:rPr>
                <w:noProof/>
                <w:sz w:val="22"/>
              </w:rPr>
            </w:pPr>
            <w:r w:rsidRPr="00DC67EB">
              <w:rPr>
                <w:noProof/>
                <w:sz w:val="22"/>
              </w:rPr>
              <w:t>200-775-7</w:t>
            </w:r>
          </w:p>
          <w:p w14:paraId="53FDDEC7" w14:textId="77777777" w:rsidR="00FA31A1" w:rsidRPr="00DC67EB" w:rsidRDefault="00FA31A1" w:rsidP="00FA31A1">
            <w:pPr>
              <w:spacing w:before="40" w:after="40"/>
              <w:rPr>
                <w:noProof/>
                <w:sz w:val="22"/>
              </w:rPr>
            </w:pPr>
            <w:r w:rsidRPr="00DC67EB">
              <w:rPr>
                <w:noProof/>
                <w:sz w:val="22"/>
              </w:rPr>
              <w:t>207-366-2</w:t>
            </w:r>
          </w:p>
        </w:tc>
        <w:tc>
          <w:tcPr>
            <w:tcW w:w="1279" w:type="dxa"/>
            <w:gridSpan w:val="2"/>
            <w:tcMar>
              <w:left w:w="28" w:type="dxa"/>
              <w:right w:w="28" w:type="dxa"/>
            </w:tcMar>
          </w:tcPr>
          <w:p w14:paraId="4D586876" w14:textId="77777777" w:rsidR="00FA31A1" w:rsidRPr="00DC67EB" w:rsidRDefault="00FA31A1" w:rsidP="00FA31A1">
            <w:pPr>
              <w:spacing w:before="40" w:after="40"/>
              <w:rPr>
                <w:noProof/>
                <w:sz w:val="22"/>
              </w:rPr>
            </w:pPr>
            <w:r w:rsidRPr="00DC67EB">
              <w:rPr>
                <w:noProof/>
                <w:sz w:val="22"/>
              </w:rPr>
              <w:t>Σ = 0,01</w:t>
            </w:r>
          </w:p>
        </w:tc>
        <w:tc>
          <w:tcPr>
            <w:tcW w:w="1279" w:type="dxa"/>
            <w:gridSpan w:val="2"/>
            <w:tcMar>
              <w:left w:w="28" w:type="dxa"/>
              <w:right w:w="28" w:type="dxa"/>
            </w:tcMar>
          </w:tcPr>
          <w:p w14:paraId="53AC4D7C" w14:textId="77777777" w:rsidR="00FA31A1" w:rsidRPr="00DC67EB" w:rsidRDefault="00FA31A1" w:rsidP="00FA31A1">
            <w:pPr>
              <w:spacing w:before="40" w:after="40"/>
              <w:rPr>
                <w:noProof/>
                <w:sz w:val="22"/>
              </w:rPr>
            </w:pPr>
            <w:r w:rsidRPr="00DC67EB">
              <w:rPr>
                <w:noProof/>
                <w:sz w:val="22"/>
              </w:rPr>
              <w:t>Σ = 0,005</w:t>
            </w:r>
          </w:p>
        </w:tc>
        <w:tc>
          <w:tcPr>
            <w:tcW w:w="1278" w:type="dxa"/>
            <w:gridSpan w:val="2"/>
            <w:tcMar>
              <w:left w:w="28" w:type="dxa"/>
              <w:right w:w="28" w:type="dxa"/>
            </w:tcMar>
          </w:tcPr>
          <w:p w14:paraId="142566FD" w14:textId="77777777" w:rsidR="00FA31A1" w:rsidRPr="00DC67EB" w:rsidRDefault="00FA31A1" w:rsidP="00FA31A1">
            <w:pPr>
              <w:spacing w:before="40" w:after="40"/>
              <w:rPr>
                <w:noProof/>
                <w:sz w:val="22"/>
              </w:rPr>
            </w:pPr>
            <w:r w:rsidRPr="00DC67EB">
              <w:rPr>
                <w:noProof/>
                <w:sz w:val="22"/>
              </w:rPr>
              <w:t>nem alkalmazható</w:t>
            </w:r>
          </w:p>
        </w:tc>
        <w:tc>
          <w:tcPr>
            <w:tcW w:w="1277" w:type="dxa"/>
            <w:gridSpan w:val="2"/>
            <w:tcMar>
              <w:left w:w="28" w:type="dxa"/>
              <w:right w:w="28" w:type="dxa"/>
            </w:tcMar>
          </w:tcPr>
          <w:p w14:paraId="79ECC2AF" w14:textId="77777777" w:rsidR="00FA31A1" w:rsidRPr="00DC67EB" w:rsidRDefault="00FA31A1" w:rsidP="00FA31A1">
            <w:pPr>
              <w:spacing w:before="40" w:after="40"/>
              <w:rPr>
                <w:noProof/>
                <w:sz w:val="22"/>
              </w:rPr>
            </w:pPr>
            <w:r w:rsidRPr="00DC67EB">
              <w:rPr>
                <w:noProof/>
                <w:sz w:val="22"/>
              </w:rPr>
              <w:t>nem alkalmazható</w:t>
            </w:r>
          </w:p>
        </w:tc>
        <w:tc>
          <w:tcPr>
            <w:tcW w:w="1136" w:type="dxa"/>
            <w:gridSpan w:val="2"/>
            <w:tcMar>
              <w:left w:w="28" w:type="dxa"/>
              <w:right w:w="28" w:type="dxa"/>
            </w:tcMar>
          </w:tcPr>
          <w:p w14:paraId="0AF5BE6B" w14:textId="77777777" w:rsidR="00FA31A1" w:rsidRPr="00DC67EB" w:rsidRDefault="00FA31A1" w:rsidP="00FA31A1">
            <w:pPr>
              <w:spacing w:before="40" w:after="40"/>
              <w:rPr>
                <w:noProof/>
                <w:sz w:val="22"/>
              </w:rPr>
            </w:pPr>
          </w:p>
        </w:tc>
        <w:tc>
          <w:tcPr>
            <w:tcW w:w="1262" w:type="dxa"/>
            <w:tcMar>
              <w:left w:w="28" w:type="dxa"/>
              <w:right w:w="28" w:type="dxa"/>
            </w:tcMar>
          </w:tcPr>
          <w:p w14:paraId="1096D8AE" w14:textId="77777777" w:rsidR="00FA31A1" w:rsidRPr="00DC67EB" w:rsidRDefault="00FA31A1" w:rsidP="00FA31A1">
            <w:pPr>
              <w:spacing w:before="40" w:after="40"/>
              <w:rPr>
                <w:noProof/>
                <w:sz w:val="22"/>
              </w:rPr>
            </w:pPr>
            <w:r w:rsidRPr="00DC67EB">
              <w:rPr>
                <w:noProof/>
                <w:sz w:val="22"/>
              </w:rPr>
              <w:t>X</w:t>
            </w:r>
          </w:p>
        </w:tc>
        <w:tc>
          <w:tcPr>
            <w:tcW w:w="1153" w:type="dxa"/>
            <w:gridSpan w:val="2"/>
            <w:tcMar>
              <w:left w:w="28" w:type="dxa"/>
              <w:right w:w="28" w:type="dxa"/>
            </w:tcMar>
          </w:tcPr>
          <w:p w14:paraId="06033B78" w14:textId="77777777" w:rsidR="00FA31A1" w:rsidRPr="00DC67EB" w:rsidRDefault="00FA31A1" w:rsidP="00FA31A1">
            <w:pPr>
              <w:spacing w:before="40" w:after="40"/>
              <w:rPr>
                <w:noProof/>
                <w:sz w:val="22"/>
              </w:rPr>
            </w:pPr>
          </w:p>
        </w:tc>
        <w:tc>
          <w:tcPr>
            <w:tcW w:w="970" w:type="dxa"/>
            <w:tcMar>
              <w:left w:w="28" w:type="dxa"/>
              <w:right w:w="28" w:type="dxa"/>
            </w:tcMar>
          </w:tcPr>
          <w:p w14:paraId="450D1D2C" w14:textId="77777777" w:rsidR="00FA31A1" w:rsidRPr="00DC67EB" w:rsidRDefault="00FA31A1" w:rsidP="00FA31A1">
            <w:pPr>
              <w:spacing w:before="40" w:after="40"/>
              <w:rPr>
                <w:noProof/>
                <w:sz w:val="22"/>
              </w:rPr>
            </w:pPr>
          </w:p>
          <w:p w14:paraId="2324EBC4" w14:textId="77777777" w:rsidR="00FA31A1" w:rsidRPr="00DC67EB" w:rsidRDefault="00FA31A1" w:rsidP="00FA31A1">
            <w:pPr>
              <w:spacing w:before="40" w:after="40"/>
              <w:rPr>
                <w:noProof/>
                <w:sz w:val="22"/>
              </w:rPr>
            </w:pPr>
          </w:p>
          <w:p w14:paraId="5A757C51" w14:textId="77777777" w:rsidR="00FA31A1" w:rsidRPr="00DC67EB" w:rsidRDefault="00FA31A1" w:rsidP="00FA31A1">
            <w:pPr>
              <w:spacing w:before="40" w:after="40"/>
              <w:rPr>
                <w:noProof/>
                <w:sz w:val="22"/>
              </w:rPr>
            </w:pPr>
          </w:p>
        </w:tc>
      </w:tr>
      <w:tr w:rsidR="00DC67EB" w:rsidRPr="00DC67EB" w14:paraId="336E9D1B" w14:textId="77777777" w:rsidTr="00FA31A1">
        <w:trPr>
          <w:gridBefore w:val="1"/>
          <w:wBefore w:w="12" w:type="dxa"/>
          <w:cantSplit/>
          <w:tblHeader/>
          <w:jc w:val="center"/>
        </w:trPr>
        <w:tc>
          <w:tcPr>
            <w:tcW w:w="651" w:type="dxa"/>
            <w:gridSpan w:val="3"/>
            <w:tcMar>
              <w:left w:w="28" w:type="dxa"/>
              <w:right w:w="28" w:type="dxa"/>
            </w:tcMar>
          </w:tcPr>
          <w:p w14:paraId="72D900F6" w14:textId="77777777" w:rsidR="00FA31A1" w:rsidRPr="00DC67EB" w:rsidRDefault="00FA31A1" w:rsidP="00FA31A1">
            <w:pPr>
              <w:spacing w:before="40" w:after="40"/>
              <w:rPr>
                <w:noProof/>
                <w:sz w:val="22"/>
              </w:rPr>
            </w:pPr>
            <w:r w:rsidRPr="00DC67EB">
              <w:rPr>
                <w:noProof/>
                <w:sz w:val="22"/>
              </w:rPr>
              <w:t>9b.</w:t>
            </w:r>
          </w:p>
        </w:tc>
        <w:tc>
          <w:tcPr>
            <w:tcW w:w="2286" w:type="dxa"/>
            <w:gridSpan w:val="3"/>
            <w:tcMar>
              <w:left w:w="28" w:type="dxa"/>
              <w:right w:w="28" w:type="dxa"/>
            </w:tcMar>
          </w:tcPr>
          <w:p w14:paraId="0A06E0CC" w14:textId="77777777" w:rsidR="00FA31A1" w:rsidRPr="00DC67EB" w:rsidRDefault="00FA31A1" w:rsidP="00FA31A1">
            <w:pPr>
              <w:spacing w:before="40" w:after="40"/>
              <w:rPr>
                <w:noProof/>
                <w:sz w:val="22"/>
                <w:vertAlign w:val="superscript"/>
              </w:rPr>
            </w:pPr>
            <w:r w:rsidRPr="00DC67EB">
              <w:rPr>
                <w:noProof/>
                <w:sz w:val="22"/>
              </w:rPr>
              <w:t>Összes DDT (</w:t>
            </w:r>
            <w:r w:rsidRPr="00DC67EB">
              <w:rPr>
                <w:noProof/>
                <w:sz w:val="22"/>
                <w:vertAlign w:val="superscript"/>
              </w:rPr>
              <w:t>11</w:t>
            </w:r>
            <w:r w:rsidRPr="00DC67EB">
              <w:rPr>
                <w:noProof/>
                <w:sz w:val="22"/>
              </w:rPr>
              <w:t>)</w:t>
            </w:r>
          </w:p>
        </w:tc>
        <w:tc>
          <w:tcPr>
            <w:tcW w:w="1329" w:type="dxa"/>
            <w:gridSpan w:val="3"/>
            <w:tcMar>
              <w:left w:w="28" w:type="dxa"/>
              <w:right w:w="28" w:type="dxa"/>
            </w:tcMar>
          </w:tcPr>
          <w:p w14:paraId="44EA964D" w14:textId="77777777" w:rsidR="00FA31A1" w:rsidRPr="00DC67EB" w:rsidRDefault="00FA31A1" w:rsidP="00FA31A1">
            <w:pPr>
              <w:spacing w:before="40" w:after="40"/>
              <w:rPr>
                <w:noProof/>
                <w:sz w:val="22"/>
              </w:rPr>
            </w:pPr>
            <w:r w:rsidRPr="00DC67EB">
              <w:rPr>
                <w:noProof/>
                <w:sz w:val="22"/>
              </w:rPr>
              <w:t>Szerves klórt tartalmazó peszticidek</w:t>
            </w:r>
          </w:p>
        </w:tc>
        <w:tc>
          <w:tcPr>
            <w:tcW w:w="992" w:type="dxa"/>
            <w:gridSpan w:val="2"/>
            <w:tcMar>
              <w:left w:w="28" w:type="dxa"/>
              <w:right w:w="28" w:type="dxa"/>
            </w:tcMar>
          </w:tcPr>
          <w:p w14:paraId="7694D78B" w14:textId="77777777" w:rsidR="00FA31A1" w:rsidRPr="00DC67EB" w:rsidRDefault="00FA31A1" w:rsidP="00FA31A1">
            <w:pPr>
              <w:spacing w:before="40" w:after="40"/>
              <w:rPr>
                <w:noProof/>
                <w:sz w:val="22"/>
              </w:rPr>
            </w:pPr>
            <w:r w:rsidRPr="00DC67EB">
              <w:rPr>
                <w:noProof/>
                <w:sz w:val="22"/>
              </w:rPr>
              <w:t>nem alkalmazható</w:t>
            </w:r>
          </w:p>
        </w:tc>
        <w:tc>
          <w:tcPr>
            <w:tcW w:w="1134" w:type="dxa"/>
          </w:tcPr>
          <w:p w14:paraId="471DEBF4" w14:textId="77777777" w:rsidR="00FA31A1" w:rsidRPr="00DC67EB" w:rsidRDefault="00FA31A1" w:rsidP="00FA31A1">
            <w:pPr>
              <w:spacing w:before="40" w:after="40"/>
              <w:rPr>
                <w:noProof/>
                <w:sz w:val="22"/>
              </w:rPr>
            </w:pPr>
            <w:r w:rsidRPr="00DC67EB">
              <w:rPr>
                <w:noProof/>
                <w:sz w:val="22"/>
              </w:rPr>
              <w:t>nem alkalmazható</w:t>
            </w:r>
          </w:p>
        </w:tc>
        <w:tc>
          <w:tcPr>
            <w:tcW w:w="1279" w:type="dxa"/>
            <w:gridSpan w:val="2"/>
            <w:tcMar>
              <w:left w:w="28" w:type="dxa"/>
              <w:right w:w="28" w:type="dxa"/>
            </w:tcMar>
          </w:tcPr>
          <w:p w14:paraId="61F1BE3D" w14:textId="77777777" w:rsidR="00FA31A1" w:rsidRPr="00DC67EB" w:rsidRDefault="00FA31A1" w:rsidP="00FA31A1">
            <w:pPr>
              <w:spacing w:before="40" w:after="40"/>
              <w:rPr>
                <w:noProof/>
                <w:sz w:val="22"/>
              </w:rPr>
            </w:pPr>
            <w:r w:rsidRPr="00DC67EB">
              <w:rPr>
                <w:noProof/>
                <w:sz w:val="22"/>
              </w:rPr>
              <w:t>0,025</w:t>
            </w:r>
          </w:p>
        </w:tc>
        <w:tc>
          <w:tcPr>
            <w:tcW w:w="1279" w:type="dxa"/>
            <w:gridSpan w:val="2"/>
            <w:tcMar>
              <w:left w:w="28" w:type="dxa"/>
              <w:right w:w="28" w:type="dxa"/>
            </w:tcMar>
          </w:tcPr>
          <w:p w14:paraId="121C18C2" w14:textId="77777777" w:rsidR="00FA31A1" w:rsidRPr="00DC67EB" w:rsidRDefault="00FA31A1" w:rsidP="00FA31A1">
            <w:pPr>
              <w:spacing w:before="40" w:after="40"/>
              <w:rPr>
                <w:noProof/>
                <w:sz w:val="22"/>
              </w:rPr>
            </w:pPr>
            <w:r w:rsidRPr="00DC67EB">
              <w:rPr>
                <w:noProof/>
                <w:sz w:val="22"/>
              </w:rPr>
              <w:t>0,025</w:t>
            </w:r>
          </w:p>
        </w:tc>
        <w:tc>
          <w:tcPr>
            <w:tcW w:w="1278" w:type="dxa"/>
            <w:gridSpan w:val="2"/>
            <w:tcMar>
              <w:left w:w="28" w:type="dxa"/>
              <w:right w:w="28" w:type="dxa"/>
            </w:tcMar>
          </w:tcPr>
          <w:p w14:paraId="5AEE81D9" w14:textId="77777777" w:rsidR="00FA31A1" w:rsidRPr="00DC67EB" w:rsidRDefault="00FA31A1" w:rsidP="00FA31A1">
            <w:pPr>
              <w:spacing w:before="40" w:after="40"/>
              <w:rPr>
                <w:noProof/>
                <w:sz w:val="22"/>
              </w:rPr>
            </w:pPr>
            <w:r w:rsidRPr="00DC67EB">
              <w:rPr>
                <w:noProof/>
                <w:sz w:val="22"/>
              </w:rPr>
              <w:t>nem alkalmazható</w:t>
            </w:r>
          </w:p>
        </w:tc>
        <w:tc>
          <w:tcPr>
            <w:tcW w:w="1277" w:type="dxa"/>
            <w:gridSpan w:val="2"/>
            <w:tcMar>
              <w:left w:w="28" w:type="dxa"/>
              <w:right w:w="28" w:type="dxa"/>
            </w:tcMar>
          </w:tcPr>
          <w:p w14:paraId="0AF84497" w14:textId="77777777" w:rsidR="00FA31A1" w:rsidRPr="00DC67EB" w:rsidRDefault="00FA31A1" w:rsidP="00FA31A1">
            <w:pPr>
              <w:spacing w:before="40" w:after="40"/>
              <w:rPr>
                <w:noProof/>
                <w:sz w:val="22"/>
              </w:rPr>
            </w:pPr>
            <w:r w:rsidRPr="00DC67EB">
              <w:rPr>
                <w:noProof/>
                <w:sz w:val="22"/>
              </w:rPr>
              <w:t>nem alkalmazható</w:t>
            </w:r>
          </w:p>
        </w:tc>
        <w:tc>
          <w:tcPr>
            <w:tcW w:w="1136" w:type="dxa"/>
            <w:gridSpan w:val="2"/>
            <w:tcMar>
              <w:left w:w="28" w:type="dxa"/>
              <w:right w:w="28" w:type="dxa"/>
            </w:tcMar>
          </w:tcPr>
          <w:p w14:paraId="716C17C4" w14:textId="77777777" w:rsidR="00FA31A1" w:rsidRPr="00DC67EB" w:rsidRDefault="00FA31A1" w:rsidP="00FA31A1">
            <w:pPr>
              <w:spacing w:before="40" w:after="40"/>
              <w:rPr>
                <w:noProof/>
                <w:sz w:val="22"/>
              </w:rPr>
            </w:pPr>
          </w:p>
        </w:tc>
        <w:tc>
          <w:tcPr>
            <w:tcW w:w="1262" w:type="dxa"/>
            <w:tcMar>
              <w:left w:w="28" w:type="dxa"/>
              <w:right w:w="28" w:type="dxa"/>
            </w:tcMar>
          </w:tcPr>
          <w:p w14:paraId="5AD89BE9" w14:textId="77777777" w:rsidR="00FA31A1" w:rsidRPr="00DC67EB" w:rsidRDefault="00FA31A1" w:rsidP="00FA31A1">
            <w:pPr>
              <w:spacing w:before="40" w:after="40"/>
              <w:rPr>
                <w:noProof/>
                <w:sz w:val="22"/>
              </w:rPr>
            </w:pPr>
            <w:r w:rsidRPr="00DC67EB">
              <w:rPr>
                <w:noProof/>
                <w:sz w:val="22"/>
              </w:rPr>
              <w:t>X</w:t>
            </w:r>
          </w:p>
        </w:tc>
        <w:tc>
          <w:tcPr>
            <w:tcW w:w="1153" w:type="dxa"/>
            <w:gridSpan w:val="2"/>
            <w:tcMar>
              <w:left w:w="28" w:type="dxa"/>
              <w:right w:w="28" w:type="dxa"/>
            </w:tcMar>
          </w:tcPr>
          <w:p w14:paraId="42E20E17" w14:textId="77777777" w:rsidR="00FA31A1" w:rsidRPr="00DC67EB" w:rsidRDefault="00FA31A1" w:rsidP="00FA31A1">
            <w:pPr>
              <w:spacing w:before="40" w:after="40"/>
              <w:rPr>
                <w:noProof/>
                <w:sz w:val="22"/>
              </w:rPr>
            </w:pPr>
          </w:p>
        </w:tc>
        <w:tc>
          <w:tcPr>
            <w:tcW w:w="970" w:type="dxa"/>
            <w:tcMar>
              <w:left w:w="28" w:type="dxa"/>
              <w:right w:w="28" w:type="dxa"/>
            </w:tcMar>
          </w:tcPr>
          <w:p w14:paraId="75435707" w14:textId="77777777" w:rsidR="00FA31A1" w:rsidRPr="00DC67EB" w:rsidRDefault="00FA31A1" w:rsidP="00FA31A1">
            <w:pPr>
              <w:spacing w:before="40" w:after="40"/>
              <w:rPr>
                <w:noProof/>
                <w:sz w:val="22"/>
              </w:rPr>
            </w:pPr>
          </w:p>
        </w:tc>
      </w:tr>
      <w:tr w:rsidR="00DC67EB" w:rsidRPr="00DC67EB" w14:paraId="4BE8980F" w14:textId="77777777" w:rsidTr="00FA31A1">
        <w:trPr>
          <w:gridBefore w:val="1"/>
          <w:wBefore w:w="12" w:type="dxa"/>
          <w:cantSplit/>
          <w:tblHeader/>
          <w:jc w:val="center"/>
        </w:trPr>
        <w:tc>
          <w:tcPr>
            <w:tcW w:w="651" w:type="dxa"/>
            <w:gridSpan w:val="3"/>
            <w:tcMar>
              <w:left w:w="28" w:type="dxa"/>
              <w:right w:w="28" w:type="dxa"/>
            </w:tcMar>
          </w:tcPr>
          <w:p w14:paraId="358DEE80" w14:textId="77777777" w:rsidR="00FA31A1" w:rsidRPr="00DC67EB" w:rsidRDefault="00FA31A1" w:rsidP="00FA31A1">
            <w:pPr>
              <w:spacing w:before="40" w:after="40"/>
              <w:rPr>
                <w:noProof/>
                <w:sz w:val="22"/>
              </w:rPr>
            </w:pPr>
          </w:p>
        </w:tc>
        <w:tc>
          <w:tcPr>
            <w:tcW w:w="2286" w:type="dxa"/>
            <w:gridSpan w:val="3"/>
            <w:tcMar>
              <w:left w:w="28" w:type="dxa"/>
              <w:right w:w="28" w:type="dxa"/>
            </w:tcMar>
          </w:tcPr>
          <w:p w14:paraId="2103683D" w14:textId="77777777" w:rsidR="00FA31A1" w:rsidRPr="00DC67EB" w:rsidRDefault="00FA31A1" w:rsidP="00FA31A1">
            <w:pPr>
              <w:spacing w:before="40" w:after="40"/>
              <w:rPr>
                <w:noProof/>
                <w:sz w:val="22"/>
              </w:rPr>
            </w:pPr>
            <w:r w:rsidRPr="00DC67EB">
              <w:rPr>
                <w:noProof/>
                <w:sz w:val="22"/>
              </w:rPr>
              <w:t>para-para</w:t>
            </w:r>
            <w:r w:rsidRPr="00DC67EB">
              <w:rPr>
                <w:noProof/>
                <w:sz w:val="22"/>
              </w:rPr>
              <w:noBreakHyphen/>
              <w:t>DDT</w:t>
            </w:r>
          </w:p>
        </w:tc>
        <w:tc>
          <w:tcPr>
            <w:tcW w:w="1329" w:type="dxa"/>
            <w:gridSpan w:val="3"/>
            <w:tcMar>
              <w:left w:w="28" w:type="dxa"/>
              <w:right w:w="28" w:type="dxa"/>
            </w:tcMar>
          </w:tcPr>
          <w:p w14:paraId="1AC2A76E" w14:textId="77777777" w:rsidR="00FA31A1" w:rsidRPr="00DC67EB" w:rsidRDefault="00FA31A1" w:rsidP="00FA31A1">
            <w:pPr>
              <w:spacing w:before="40" w:after="40"/>
              <w:rPr>
                <w:noProof/>
                <w:sz w:val="22"/>
              </w:rPr>
            </w:pPr>
          </w:p>
        </w:tc>
        <w:tc>
          <w:tcPr>
            <w:tcW w:w="992" w:type="dxa"/>
            <w:gridSpan w:val="2"/>
            <w:tcMar>
              <w:left w:w="28" w:type="dxa"/>
              <w:right w:w="28" w:type="dxa"/>
            </w:tcMar>
          </w:tcPr>
          <w:p w14:paraId="389DF470" w14:textId="77777777" w:rsidR="00FA31A1" w:rsidRPr="00DC67EB" w:rsidRDefault="00FA31A1" w:rsidP="00FA31A1">
            <w:pPr>
              <w:spacing w:before="40" w:after="40"/>
              <w:rPr>
                <w:noProof/>
                <w:sz w:val="22"/>
              </w:rPr>
            </w:pPr>
            <w:r w:rsidRPr="00DC67EB">
              <w:rPr>
                <w:noProof/>
                <w:sz w:val="22"/>
              </w:rPr>
              <w:t>50</w:t>
            </w:r>
            <w:r w:rsidRPr="00DC67EB">
              <w:rPr>
                <w:noProof/>
                <w:sz w:val="22"/>
              </w:rPr>
              <w:noBreakHyphen/>
              <w:t>29</w:t>
            </w:r>
            <w:r w:rsidRPr="00DC67EB">
              <w:rPr>
                <w:noProof/>
                <w:sz w:val="22"/>
              </w:rPr>
              <w:noBreakHyphen/>
              <w:t>3</w:t>
            </w:r>
          </w:p>
        </w:tc>
        <w:tc>
          <w:tcPr>
            <w:tcW w:w="1134" w:type="dxa"/>
          </w:tcPr>
          <w:p w14:paraId="1EB73F7C" w14:textId="77777777" w:rsidR="00FA31A1" w:rsidRPr="00DC67EB" w:rsidRDefault="00FA31A1" w:rsidP="00FA31A1">
            <w:pPr>
              <w:spacing w:before="40" w:after="40"/>
              <w:rPr>
                <w:noProof/>
                <w:sz w:val="22"/>
              </w:rPr>
            </w:pPr>
            <w:r w:rsidRPr="00DC67EB">
              <w:rPr>
                <w:noProof/>
                <w:sz w:val="22"/>
              </w:rPr>
              <w:t>200-024-3</w:t>
            </w:r>
          </w:p>
        </w:tc>
        <w:tc>
          <w:tcPr>
            <w:tcW w:w="1279" w:type="dxa"/>
            <w:gridSpan w:val="2"/>
            <w:tcMar>
              <w:left w:w="28" w:type="dxa"/>
              <w:right w:w="28" w:type="dxa"/>
            </w:tcMar>
          </w:tcPr>
          <w:p w14:paraId="770B46DE" w14:textId="77777777" w:rsidR="00FA31A1" w:rsidRPr="00DC67EB" w:rsidRDefault="00FA31A1" w:rsidP="00FA31A1">
            <w:pPr>
              <w:spacing w:before="40" w:after="40"/>
              <w:rPr>
                <w:noProof/>
                <w:sz w:val="22"/>
              </w:rPr>
            </w:pPr>
            <w:r w:rsidRPr="00DC67EB">
              <w:rPr>
                <w:noProof/>
                <w:sz w:val="22"/>
              </w:rPr>
              <w:t>0,01</w:t>
            </w:r>
          </w:p>
        </w:tc>
        <w:tc>
          <w:tcPr>
            <w:tcW w:w="1279" w:type="dxa"/>
            <w:gridSpan w:val="2"/>
            <w:tcMar>
              <w:left w:w="28" w:type="dxa"/>
              <w:right w:w="28" w:type="dxa"/>
            </w:tcMar>
          </w:tcPr>
          <w:p w14:paraId="06AAB627" w14:textId="77777777" w:rsidR="00FA31A1" w:rsidRPr="00DC67EB" w:rsidRDefault="00FA31A1" w:rsidP="00FA31A1">
            <w:pPr>
              <w:spacing w:before="40" w:after="40"/>
              <w:rPr>
                <w:noProof/>
                <w:sz w:val="22"/>
              </w:rPr>
            </w:pPr>
            <w:r w:rsidRPr="00DC67EB">
              <w:rPr>
                <w:noProof/>
                <w:sz w:val="22"/>
              </w:rPr>
              <w:t>0,01</w:t>
            </w:r>
          </w:p>
        </w:tc>
        <w:tc>
          <w:tcPr>
            <w:tcW w:w="1278" w:type="dxa"/>
            <w:gridSpan w:val="2"/>
            <w:tcMar>
              <w:left w:w="28" w:type="dxa"/>
              <w:right w:w="28" w:type="dxa"/>
            </w:tcMar>
          </w:tcPr>
          <w:p w14:paraId="5E1AA140" w14:textId="77777777" w:rsidR="00FA31A1" w:rsidRPr="00DC67EB" w:rsidRDefault="00FA31A1" w:rsidP="00FA31A1">
            <w:pPr>
              <w:spacing w:before="40" w:after="40"/>
              <w:rPr>
                <w:noProof/>
                <w:sz w:val="22"/>
              </w:rPr>
            </w:pPr>
            <w:r w:rsidRPr="00DC67EB">
              <w:rPr>
                <w:noProof/>
                <w:sz w:val="22"/>
              </w:rPr>
              <w:t>nem alkalmazható</w:t>
            </w:r>
          </w:p>
        </w:tc>
        <w:tc>
          <w:tcPr>
            <w:tcW w:w="1277" w:type="dxa"/>
            <w:gridSpan w:val="2"/>
            <w:tcMar>
              <w:left w:w="28" w:type="dxa"/>
              <w:right w:w="28" w:type="dxa"/>
            </w:tcMar>
          </w:tcPr>
          <w:p w14:paraId="3EA8FF19" w14:textId="77777777" w:rsidR="00FA31A1" w:rsidRPr="00DC67EB" w:rsidRDefault="00FA31A1" w:rsidP="00FA31A1">
            <w:pPr>
              <w:spacing w:before="40" w:after="40"/>
              <w:rPr>
                <w:noProof/>
                <w:sz w:val="22"/>
              </w:rPr>
            </w:pPr>
            <w:r w:rsidRPr="00DC67EB">
              <w:rPr>
                <w:noProof/>
                <w:sz w:val="22"/>
              </w:rPr>
              <w:t>nem alkalmazható</w:t>
            </w:r>
          </w:p>
        </w:tc>
        <w:tc>
          <w:tcPr>
            <w:tcW w:w="1136" w:type="dxa"/>
            <w:gridSpan w:val="2"/>
            <w:tcMar>
              <w:left w:w="28" w:type="dxa"/>
              <w:right w:w="28" w:type="dxa"/>
            </w:tcMar>
          </w:tcPr>
          <w:p w14:paraId="744F3CAB" w14:textId="77777777" w:rsidR="00FA31A1" w:rsidRPr="00DC67EB" w:rsidRDefault="00FA31A1" w:rsidP="00FA31A1">
            <w:pPr>
              <w:spacing w:before="40" w:after="40"/>
              <w:rPr>
                <w:noProof/>
                <w:sz w:val="22"/>
              </w:rPr>
            </w:pPr>
          </w:p>
        </w:tc>
        <w:tc>
          <w:tcPr>
            <w:tcW w:w="1262" w:type="dxa"/>
            <w:tcMar>
              <w:left w:w="28" w:type="dxa"/>
              <w:right w:w="28" w:type="dxa"/>
            </w:tcMar>
          </w:tcPr>
          <w:p w14:paraId="1ED75D1E" w14:textId="77777777" w:rsidR="00FA31A1" w:rsidRPr="00DC67EB" w:rsidDel="004E5B33" w:rsidRDefault="00FA31A1" w:rsidP="00FA31A1">
            <w:pPr>
              <w:spacing w:before="40" w:after="40"/>
              <w:rPr>
                <w:noProof/>
                <w:sz w:val="22"/>
              </w:rPr>
            </w:pPr>
            <w:r w:rsidRPr="00DC67EB">
              <w:rPr>
                <w:noProof/>
                <w:sz w:val="22"/>
              </w:rPr>
              <w:t>X</w:t>
            </w:r>
          </w:p>
        </w:tc>
        <w:tc>
          <w:tcPr>
            <w:tcW w:w="1153" w:type="dxa"/>
            <w:gridSpan w:val="2"/>
            <w:tcMar>
              <w:left w:w="28" w:type="dxa"/>
              <w:right w:w="28" w:type="dxa"/>
            </w:tcMar>
          </w:tcPr>
          <w:p w14:paraId="471BF814" w14:textId="77777777" w:rsidR="00FA31A1" w:rsidRPr="00DC67EB" w:rsidRDefault="00FA31A1" w:rsidP="00FA31A1">
            <w:pPr>
              <w:spacing w:before="40" w:after="40"/>
              <w:rPr>
                <w:noProof/>
                <w:sz w:val="22"/>
              </w:rPr>
            </w:pPr>
          </w:p>
        </w:tc>
        <w:tc>
          <w:tcPr>
            <w:tcW w:w="970" w:type="dxa"/>
            <w:tcMar>
              <w:left w:w="28" w:type="dxa"/>
              <w:right w:w="28" w:type="dxa"/>
            </w:tcMar>
          </w:tcPr>
          <w:p w14:paraId="1708E93D" w14:textId="77777777" w:rsidR="00FA31A1" w:rsidRPr="00DC67EB" w:rsidRDefault="00FA31A1" w:rsidP="00FA31A1">
            <w:pPr>
              <w:spacing w:before="40" w:after="40"/>
              <w:rPr>
                <w:noProof/>
                <w:sz w:val="22"/>
              </w:rPr>
            </w:pPr>
          </w:p>
        </w:tc>
      </w:tr>
      <w:tr w:rsidR="00DC67EB" w:rsidRPr="00DC67EB" w14:paraId="7C63A5E8" w14:textId="77777777" w:rsidTr="00FA31A1">
        <w:trPr>
          <w:gridBefore w:val="1"/>
          <w:wBefore w:w="12" w:type="dxa"/>
          <w:cantSplit/>
          <w:tblHeader/>
          <w:jc w:val="center"/>
        </w:trPr>
        <w:tc>
          <w:tcPr>
            <w:tcW w:w="651" w:type="dxa"/>
            <w:gridSpan w:val="3"/>
            <w:tcMar>
              <w:left w:w="28" w:type="dxa"/>
              <w:right w:w="28" w:type="dxa"/>
            </w:tcMar>
          </w:tcPr>
          <w:p w14:paraId="351E5B8E" w14:textId="77777777" w:rsidR="00FA31A1" w:rsidRPr="00DC67EB" w:rsidRDefault="00FA31A1" w:rsidP="00FA31A1">
            <w:pPr>
              <w:spacing w:before="40" w:after="40"/>
              <w:rPr>
                <w:noProof/>
                <w:sz w:val="22"/>
              </w:rPr>
            </w:pPr>
            <w:r w:rsidRPr="00DC67EB">
              <w:rPr>
                <w:noProof/>
                <w:sz w:val="22"/>
              </w:rPr>
              <w:t>10.</w:t>
            </w:r>
          </w:p>
        </w:tc>
        <w:tc>
          <w:tcPr>
            <w:tcW w:w="2286" w:type="dxa"/>
            <w:gridSpan w:val="3"/>
            <w:tcMar>
              <w:left w:w="28" w:type="dxa"/>
              <w:right w:w="28" w:type="dxa"/>
            </w:tcMar>
          </w:tcPr>
          <w:p w14:paraId="68AB23D6" w14:textId="77777777" w:rsidR="00FA31A1" w:rsidRPr="00DC67EB" w:rsidRDefault="00FA31A1" w:rsidP="00FA31A1">
            <w:pPr>
              <w:spacing w:before="40" w:after="40"/>
              <w:rPr>
                <w:noProof/>
                <w:sz w:val="22"/>
              </w:rPr>
            </w:pPr>
            <w:r w:rsidRPr="00DC67EB">
              <w:rPr>
                <w:noProof/>
                <w:sz w:val="22"/>
              </w:rPr>
              <w:t>1,2</w:t>
            </w:r>
            <w:r w:rsidRPr="00DC67EB">
              <w:rPr>
                <w:noProof/>
                <w:sz w:val="22"/>
              </w:rPr>
              <w:noBreakHyphen/>
              <w:t>diklóretán</w:t>
            </w:r>
          </w:p>
        </w:tc>
        <w:tc>
          <w:tcPr>
            <w:tcW w:w="1329" w:type="dxa"/>
            <w:gridSpan w:val="3"/>
            <w:tcMar>
              <w:left w:w="28" w:type="dxa"/>
              <w:right w:w="28" w:type="dxa"/>
            </w:tcMar>
          </w:tcPr>
          <w:p w14:paraId="088AAD00" w14:textId="77777777" w:rsidR="00FA31A1" w:rsidRPr="00DC67EB" w:rsidRDefault="00FA31A1" w:rsidP="00FA31A1">
            <w:pPr>
              <w:spacing w:before="40" w:after="40"/>
              <w:rPr>
                <w:noProof/>
                <w:sz w:val="22"/>
              </w:rPr>
            </w:pPr>
            <w:r w:rsidRPr="00DC67EB">
              <w:rPr>
                <w:noProof/>
                <w:sz w:val="22"/>
              </w:rPr>
              <w:t>Ipari anyagok</w:t>
            </w:r>
          </w:p>
        </w:tc>
        <w:tc>
          <w:tcPr>
            <w:tcW w:w="992" w:type="dxa"/>
            <w:gridSpan w:val="2"/>
            <w:tcMar>
              <w:left w:w="28" w:type="dxa"/>
              <w:right w:w="28" w:type="dxa"/>
            </w:tcMar>
          </w:tcPr>
          <w:p w14:paraId="4B1B8DD3" w14:textId="77777777" w:rsidR="00FA31A1" w:rsidRPr="00DC67EB" w:rsidRDefault="00FA31A1" w:rsidP="00FA31A1">
            <w:pPr>
              <w:spacing w:before="40" w:after="40"/>
              <w:rPr>
                <w:noProof/>
                <w:sz w:val="22"/>
              </w:rPr>
            </w:pPr>
            <w:r w:rsidRPr="00DC67EB">
              <w:rPr>
                <w:noProof/>
                <w:sz w:val="22"/>
              </w:rPr>
              <w:t>107</w:t>
            </w:r>
            <w:r w:rsidRPr="00DC67EB">
              <w:rPr>
                <w:noProof/>
                <w:sz w:val="22"/>
              </w:rPr>
              <w:noBreakHyphen/>
              <w:t>06</w:t>
            </w:r>
            <w:r w:rsidRPr="00DC67EB">
              <w:rPr>
                <w:noProof/>
                <w:sz w:val="22"/>
              </w:rPr>
              <w:noBreakHyphen/>
              <w:t>2</w:t>
            </w:r>
          </w:p>
        </w:tc>
        <w:tc>
          <w:tcPr>
            <w:tcW w:w="1134" w:type="dxa"/>
          </w:tcPr>
          <w:p w14:paraId="7B1CB3A9" w14:textId="77777777" w:rsidR="00FA31A1" w:rsidRPr="00DC67EB" w:rsidRDefault="00FA31A1" w:rsidP="00FA31A1">
            <w:pPr>
              <w:spacing w:before="40" w:after="40"/>
              <w:rPr>
                <w:noProof/>
                <w:sz w:val="22"/>
              </w:rPr>
            </w:pPr>
            <w:r w:rsidRPr="00DC67EB">
              <w:rPr>
                <w:noProof/>
                <w:sz w:val="22"/>
              </w:rPr>
              <w:t>203-458-1</w:t>
            </w:r>
          </w:p>
        </w:tc>
        <w:tc>
          <w:tcPr>
            <w:tcW w:w="1279" w:type="dxa"/>
            <w:gridSpan w:val="2"/>
            <w:tcMar>
              <w:left w:w="28" w:type="dxa"/>
              <w:right w:w="28" w:type="dxa"/>
            </w:tcMar>
          </w:tcPr>
          <w:p w14:paraId="17255CB3" w14:textId="77777777" w:rsidR="00FA31A1" w:rsidRPr="00DC67EB" w:rsidRDefault="00FA31A1" w:rsidP="00FA31A1">
            <w:pPr>
              <w:spacing w:before="40" w:after="40"/>
              <w:rPr>
                <w:noProof/>
                <w:sz w:val="22"/>
              </w:rPr>
            </w:pPr>
            <w:r w:rsidRPr="00DC67EB">
              <w:rPr>
                <w:noProof/>
                <w:sz w:val="22"/>
              </w:rPr>
              <w:t xml:space="preserve">10 </w:t>
            </w:r>
          </w:p>
        </w:tc>
        <w:tc>
          <w:tcPr>
            <w:tcW w:w="1279" w:type="dxa"/>
            <w:gridSpan w:val="2"/>
            <w:tcMar>
              <w:left w:w="28" w:type="dxa"/>
              <w:right w:w="28" w:type="dxa"/>
            </w:tcMar>
          </w:tcPr>
          <w:p w14:paraId="0F61EDB6" w14:textId="77777777" w:rsidR="00FA31A1" w:rsidRPr="00DC67EB" w:rsidRDefault="00FA31A1" w:rsidP="00FA31A1">
            <w:pPr>
              <w:spacing w:before="40" w:after="40"/>
              <w:rPr>
                <w:noProof/>
                <w:sz w:val="22"/>
              </w:rPr>
            </w:pPr>
            <w:r w:rsidRPr="00DC67EB">
              <w:rPr>
                <w:noProof/>
                <w:sz w:val="22"/>
              </w:rPr>
              <w:t xml:space="preserve">10 </w:t>
            </w:r>
          </w:p>
        </w:tc>
        <w:tc>
          <w:tcPr>
            <w:tcW w:w="1278" w:type="dxa"/>
            <w:gridSpan w:val="2"/>
            <w:tcMar>
              <w:left w:w="28" w:type="dxa"/>
              <w:right w:w="28" w:type="dxa"/>
            </w:tcMar>
          </w:tcPr>
          <w:p w14:paraId="3AE918D0" w14:textId="77777777" w:rsidR="00FA31A1" w:rsidRPr="00DC67EB" w:rsidRDefault="00FA31A1" w:rsidP="00FA31A1">
            <w:pPr>
              <w:spacing w:before="40" w:after="40"/>
              <w:rPr>
                <w:noProof/>
                <w:sz w:val="22"/>
              </w:rPr>
            </w:pPr>
            <w:r w:rsidRPr="00DC67EB">
              <w:rPr>
                <w:noProof/>
                <w:sz w:val="22"/>
              </w:rPr>
              <w:t>nem alkalmazható</w:t>
            </w:r>
          </w:p>
        </w:tc>
        <w:tc>
          <w:tcPr>
            <w:tcW w:w="1277" w:type="dxa"/>
            <w:gridSpan w:val="2"/>
            <w:tcMar>
              <w:left w:w="28" w:type="dxa"/>
              <w:right w:w="28" w:type="dxa"/>
            </w:tcMar>
          </w:tcPr>
          <w:p w14:paraId="1B69B829" w14:textId="77777777" w:rsidR="00FA31A1" w:rsidRPr="00DC67EB" w:rsidRDefault="00FA31A1" w:rsidP="00FA31A1">
            <w:pPr>
              <w:spacing w:before="40" w:after="40"/>
              <w:rPr>
                <w:noProof/>
                <w:sz w:val="22"/>
              </w:rPr>
            </w:pPr>
            <w:r w:rsidRPr="00DC67EB">
              <w:rPr>
                <w:noProof/>
                <w:sz w:val="22"/>
              </w:rPr>
              <w:t>nem alkalmazható</w:t>
            </w:r>
          </w:p>
        </w:tc>
        <w:tc>
          <w:tcPr>
            <w:tcW w:w="1136" w:type="dxa"/>
            <w:gridSpan w:val="2"/>
            <w:tcMar>
              <w:left w:w="28" w:type="dxa"/>
              <w:right w:w="28" w:type="dxa"/>
            </w:tcMar>
          </w:tcPr>
          <w:p w14:paraId="41CAB325" w14:textId="77777777" w:rsidR="00FA31A1" w:rsidRPr="00DC67EB" w:rsidRDefault="00FA31A1" w:rsidP="00FA31A1">
            <w:pPr>
              <w:spacing w:before="40" w:after="40"/>
              <w:rPr>
                <w:noProof/>
                <w:sz w:val="22"/>
              </w:rPr>
            </w:pPr>
          </w:p>
        </w:tc>
        <w:tc>
          <w:tcPr>
            <w:tcW w:w="1262" w:type="dxa"/>
            <w:tcMar>
              <w:left w:w="28" w:type="dxa"/>
              <w:right w:w="28" w:type="dxa"/>
            </w:tcMar>
          </w:tcPr>
          <w:p w14:paraId="18475967" w14:textId="77777777" w:rsidR="00FA31A1" w:rsidRPr="00DC67EB" w:rsidRDefault="00FA31A1" w:rsidP="00FA31A1">
            <w:pPr>
              <w:spacing w:before="40" w:after="40"/>
              <w:rPr>
                <w:noProof/>
                <w:sz w:val="22"/>
              </w:rPr>
            </w:pPr>
            <w:r w:rsidRPr="00DC67EB">
              <w:rPr>
                <w:noProof/>
                <w:sz w:val="22"/>
              </w:rPr>
              <w:t>X</w:t>
            </w:r>
          </w:p>
        </w:tc>
        <w:tc>
          <w:tcPr>
            <w:tcW w:w="1153" w:type="dxa"/>
            <w:gridSpan w:val="2"/>
            <w:tcMar>
              <w:left w:w="28" w:type="dxa"/>
              <w:right w:w="28" w:type="dxa"/>
            </w:tcMar>
          </w:tcPr>
          <w:p w14:paraId="043D786C" w14:textId="77777777" w:rsidR="00FA31A1" w:rsidRPr="00DC67EB" w:rsidRDefault="00FA31A1" w:rsidP="00FA31A1">
            <w:pPr>
              <w:spacing w:before="40" w:after="40"/>
              <w:rPr>
                <w:noProof/>
                <w:sz w:val="22"/>
              </w:rPr>
            </w:pPr>
          </w:p>
        </w:tc>
        <w:tc>
          <w:tcPr>
            <w:tcW w:w="970" w:type="dxa"/>
            <w:tcMar>
              <w:left w:w="28" w:type="dxa"/>
              <w:right w:w="28" w:type="dxa"/>
            </w:tcMar>
          </w:tcPr>
          <w:p w14:paraId="45417CF5" w14:textId="77777777" w:rsidR="00FA31A1" w:rsidRPr="00DC67EB" w:rsidRDefault="00FA31A1" w:rsidP="00FA31A1">
            <w:pPr>
              <w:spacing w:before="40" w:after="40"/>
              <w:rPr>
                <w:noProof/>
                <w:sz w:val="22"/>
              </w:rPr>
            </w:pPr>
          </w:p>
        </w:tc>
      </w:tr>
      <w:tr w:rsidR="00DC67EB" w:rsidRPr="00DC67EB" w14:paraId="3CD57793" w14:textId="77777777" w:rsidTr="00FA31A1">
        <w:trPr>
          <w:gridBefore w:val="1"/>
          <w:wBefore w:w="12" w:type="dxa"/>
          <w:cantSplit/>
          <w:tblHeader/>
          <w:jc w:val="center"/>
        </w:trPr>
        <w:tc>
          <w:tcPr>
            <w:tcW w:w="651" w:type="dxa"/>
            <w:gridSpan w:val="3"/>
            <w:tcMar>
              <w:left w:w="28" w:type="dxa"/>
              <w:right w:w="28" w:type="dxa"/>
            </w:tcMar>
          </w:tcPr>
          <w:p w14:paraId="15E0AC7F" w14:textId="77777777" w:rsidR="00FA31A1" w:rsidRPr="00DC67EB" w:rsidRDefault="00FA31A1" w:rsidP="00FA31A1">
            <w:pPr>
              <w:keepNext/>
              <w:spacing w:before="40" w:after="40"/>
              <w:rPr>
                <w:noProof/>
                <w:sz w:val="22"/>
              </w:rPr>
            </w:pPr>
            <w:r w:rsidRPr="00DC67EB">
              <w:rPr>
                <w:noProof/>
                <w:sz w:val="22"/>
              </w:rPr>
              <w:t>11.</w:t>
            </w:r>
          </w:p>
        </w:tc>
        <w:tc>
          <w:tcPr>
            <w:tcW w:w="2286" w:type="dxa"/>
            <w:gridSpan w:val="3"/>
            <w:tcMar>
              <w:left w:w="28" w:type="dxa"/>
              <w:right w:w="28" w:type="dxa"/>
            </w:tcMar>
          </w:tcPr>
          <w:p w14:paraId="67463750" w14:textId="77777777" w:rsidR="00FA31A1" w:rsidRPr="00DC67EB" w:rsidRDefault="00FA31A1" w:rsidP="00FA31A1">
            <w:pPr>
              <w:keepNext/>
              <w:spacing w:before="40" w:after="40"/>
              <w:rPr>
                <w:noProof/>
                <w:sz w:val="22"/>
              </w:rPr>
            </w:pPr>
            <w:r w:rsidRPr="00DC67EB">
              <w:rPr>
                <w:noProof/>
                <w:sz w:val="22"/>
              </w:rPr>
              <w:t>Diklór-metán</w:t>
            </w:r>
          </w:p>
        </w:tc>
        <w:tc>
          <w:tcPr>
            <w:tcW w:w="1329" w:type="dxa"/>
            <w:gridSpan w:val="3"/>
            <w:tcMar>
              <w:left w:w="28" w:type="dxa"/>
              <w:right w:w="28" w:type="dxa"/>
            </w:tcMar>
          </w:tcPr>
          <w:p w14:paraId="0BC4D43A" w14:textId="77777777" w:rsidR="00FA31A1" w:rsidRPr="00DC67EB" w:rsidRDefault="00FA31A1" w:rsidP="00FA31A1">
            <w:pPr>
              <w:keepNext/>
              <w:spacing w:before="40" w:after="40"/>
              <w:rPr>
                <w:noProof/>
                <w:sz w:val="22"/>
              </w:rPr>
            </w:pPr>
            <w:r w:rsidRPr="00DC67EB">
              <w:rPr>
                <w:noProof/>
                <w:sz w:val="22"/>
              </w:rPr>
              <w:t>Ipari anyagok</w:t>
            </w:r>
          </w:p>
        </w:tc>
        <w:tc>
          <w:tcPr>
            <w:tcW w:w="992" w:type="dxa"/>
            <w:gridSpan w:val="2"/>
            <w:tcMar>
              <w:left w:w="28" w:type="dxa"/>
              <w:right w:w="28" w:type="dxa"/>
            </w:tcMar>
          </w:tcPr>
          <w:p w14:paraId="190E7895" w14:textId="77777777" w:rsidR="00FA31A1" w:rsidRPr="00DC67EB" w:rsidRDefault="00FA31A1" w:rsidP="00FA31A1">
            <w:pPr>
              <w:keepNext/>
              <w:spacing w:before="40" w:after="40"/>
              <w:rPr>
                <w:noProof/>
                <w:sz w:val="22"/>
              </w:rPr>
            </w:pPr>
            <w:r w:rsidRPr="00DC67EB">
              <w:rPr>
                <w:noProof/>
                <w:sz w:val="22"/>
              </w:rPr>
              <w:t>75</w:t>
            </w:r>
            <w:r w:rsidRPr="00DC67EB">
              <w:rPr>
                <w:noProof/>
                <w:sz w:val="22"/>
              </w:rPr>
              <w:noBreakHyphen/>
              <w:t>09</w:t>
            </w:r>
            <w:r w:rsidRPr="00DC67EB">
              <w:rPr>
                <w:noProof/>
                <w:sz w:val="22"/>
              </w:rPr>
              <w:noBreakHyphen/>
              <w:t>2</w:t>
            </w:r>
          </w:p>
        </w:tc>
        <w:tc>
          <w:tcPr>
            <w:tcW w:w="1134" w:type="dxa"/>
          </w:tcPr>
          <w:p w14:paraId="5B34B8DB" w14:textId="77777777" w:rsidR="00FA31A1" w:rsidRPr="00DC67EB" w:rsidRDefault="00FA31A1" w:rsidP="00FA31A1">
            <w:pPr>
              <w:keepNext/>
              <w:spacing w:before="40" w:after="40"/>
              <w:rPr>
                <w:noProof/>
                <w:sz w:val="22"/>
              </w:rPr>
            </w:pPr>
            <w:r w:rsidRPr="00DC67EB">
              <w:rPr>
                <w:noProof/>
                <w:sz w:val="22"/>
              </w:rPr>
              <w:t>200-838-9</w:t>
            </w:r>
          </w:p>
        </w:tc>
        <w:tc>
          <w:tcPr>
            <w:tcW w:w="1279" w:type="dxa"/>
            <w:gridSpan w:val="2"/>
            <w:tcMar>
              <w:left w:w="28" w:type="dxa"/>
              <w:right w:w="28" w:type="dxa"/>
            </w:tcMar>
          </w:tcPr>
          <w:p w14:paraId="10A48367" w14:textId="77777777" w:rsidR="00FA31A1" w:rsidRPr="00DC67EB" w:rsidRDefault="00FA31A1" w:rsidP="00FA31A1">
            <w:pPr>
              <w:keepNext/>
              <w:spacing w:before="40" w:after="40"/>
              <w:rPr>
                <w:noProof/>
                <w:sz w:val="22"/>
              </w:rPr>
            </w:pPr>
            <w:r w:rsidRPr="00DC67EB">
              <w:rPr>
                <w:noProof/>
                <w:sz w:val="22"/>
              </w:rPr>
              <w:t>20</w:t>
            </w:r>
          </w:p>
        </w:tc>
        <w:tc>
          <w:tcPr>
            <w:tcW w:w="1279" w:type="dxa"/>
            <w:gridSpan w:val="2"/>
            <w:tcMar>
              <w:left w:w="28" w:type="dxa"/>
              <w:right w:w="28" w:type="dxa"/>
            </w:tcMar>
          </w:tcPr>
          <w:p w14:paraId="1251B1BB" w14:textId="77777777" w:rsidR="00FA31A1" w:rsidRPr="00DC67EB" w:rsidRDefault="00FA31A1" w:rsidP="00FA31A1">
            <w:pPr>
              <w:keepNext/>
              <w:spacing w:before="40" w:after="40"/>
              <w:rPr>
                <w:noProof/>
                <w:sz w:val="22"/>
              </w:rPr>
            </w:pPr>
            <w:r w:rsidRPr="00DC67EB">
              <w:rPr>
                <w:noProof/>
                <w:sz w:val="22"/>
              </w:rPr>
              <w:t>20</w:t>
            </w:r>
          </w:p>
        </w:tc>
        <w:tc>
          <w:tcPr>
            <w:tcW w:w="1278" w:type="dxa"/>
            <w:gridSpan w:val="2"/>
            <w:tcMar>
              <w:left w:w="28" w:type="dxa"/>
              <w:right w:w="28" w:type="dxa"/>
            </w:tcMar>
          </w:tcPr>
          <w:p w14:paraId="631C05F5" w14:textId="77777777" w:rsidR="00FA31A1" w:rsidRPr="00DC67EB" w:rsidRDefault="00FA31A1" w:rsidP="00FA31A1">
            <w:pPr>
              <w:keepNext/>
              <w:spacing w:before="40" w:after="40"/>
              <w:rPr>
                <w:noProof/>
                <w:sz w:val="22"/>
              </w:rPr>
            </w:pPr>
            <w:r w:rsidRPr="00DC67EB">
              <w:rPr>
                <w:noProof/>
                <w:sz w:val="22"/>
              </w:rPr>
              <w:t>nem alkalmazható</w:t>
            </w:r>
          </w:p>
        </w:tc>
        <w:tc>
          <w:tcPr>
            <w:tcW w:w="1277" w:type="dxa"/>
            <w:gridSpan w:val="2"/>
            <w:tcMar>
              <w:left w:w="28" w:type="dxa"/>
              <w:right w:w="28" w:type="dxa"/>
            </w:tcMar>
          </w:tcPr>
          <w:p w14:paraId="451D7C98" w14:textId="77777777" w:rsidR="00FA31A1" w:rsidRPr="00DC67EB" w:rsidRDefault="00FA31A1" w:rsidP="00FA31A1">
            <w:pPr>
              <w:keepNext/>
              <w:spacing w:before="40" w:after="40"/>
              <w:rPr>
                <w:noProof/>
                <w:sz w:val="22"/>
              </w:rPr>
            </w:pPr>
            <w:r w:rsidRPr="00DC67EB">
              <w:rPr>
                <w:noProof/>
                <w:sz w:val="22"/>
              </w:rPr>
              <w:t>nem alkalmazható</w:t>
            </w:r>
          </w:p>
        </w:tc>
        <w:tc>
          <w:tcPr>
            <w:tcW w:w="1136" w:type="dxa"/>
            <w:gridSpan w:val="2"/>
            <w:tcMar>
              <w:left w:w="28" w:type="dxa"/>
              <w:right w:w="28" w:type="dxa"/>
            </w:tcMar>
          </w:tcPr>
          <w:p w14:paraId="17419EF9" w14:textId="77777777" w:rsidR="00FA31A1" w:rsidRPr="00DC67EB" w:rsidRDefault="00FA31A1" w:rsidP="00FA31A1">
            <w:pPr>
              <w:keepNext/>
              <w:spacing w:before="40" w:after="40"/>
              <w:rPr>
                <w:noProof/>
                <w:sz w:val="22"/>
              </w:rPr>
            </w:pPr>
          </w:p>
        </w:tc>
        <w:tc>
          <w:tcPr>
            <w:tcW w:w="1262" w:type="dxa"/>
            <w:tcMar>
              <w:left w:w="28" w:type="dxa"/>
              <w:right w:w="28" w:type="dxa"/>
            </w:tcMar>
          </w:tcPr>
          <w:p w14:paraId="4B7C826F" w14:textId="77777777" w:rsidR="00FA31A1" w:rsidRPr="00DC67EB" w:rsidRDefault="00FA31A1" w:rsidP="00FA31A1">
            <w:pPr>
              <w:keepNext/>
              <w:spacing w:before="40" w:after="40"/>
              <w:rPr>
                <w:noProof/>
                <w:sz w:val="22"/>
              </w:rPr>
            </w:pPr>
          </w:p>
        </w:tc>
        <w:tc>
          <w:tcPr>
            <w:tcW w:w="1153" w:type="dxa"/>
            <w:gridSpan w:val="2"/>
            <w:tcMar>
              <w:left w:w="28" w:type="dxa"/>
              <w:right w:w="28" w:type="dxa"/>
            </w:tcMar>
          </w:tcPr>
          <w:p w14:paraId="02A4BD36" w14:textId="77777777" w:rsidR="00FA31A1" w:rsidRPr="00DC67EB" w:rsidRDefault="00FA31A1" w:rsidP="00FA31A1">
            <w:pPr>
              <w:keepNext/>
              <w:spacing w:before="40" w:after="40"/>
              <w:rPr>
                <w:noProof/>
                <w:sz w:val="22"/>
              </w:rPr>
            </w:pPr>
          </w:p>
        </w:tc>
        <w:tc>
          <w:tcPr>
            <w:tcW w:w="970" w:type="dxa"/>
            <w:tcMar>
              <w:left w:w="28" w:type="dxa"/>
              <w:right w:w="28" w:type="dxa"/>
            </w:tcMar>
          </w:tcPr>
          <w:p w14:paraId="04FB6EC7" w14:textId="77777777" w:rsidR="00FA31A1" w:rsidRPr="00DC67EB" w:rsidRDefault="00FA31A1" w:rsidP="00FA31A1">
            <w:pPr>
              <w:keepNext/>
              <w:spacing w:before="40" w:after="40"/>
              <w:rPr>
                <w:noProof/>
                <w:sz w:val="22"/>
              </w:rPr>
            </w:pPr>
          </w:p>
        </w:tc>
      </w:tr>
      <w:tr w:rsidR="00DC67EB" w:rsidRPr="00DC67EB" w14:paraId="6047E5B3" w14:textId="77777777" w:rsidTr="00FA31A1">
        <w:trPr>
          <w:gridBefore w:val="1"/>
          <w:wBefore w:w="12" w:type="dxa"/>
          <w:cantSplit/>
          <w:tblHeader/>
          <w:jc w:val="center"/>
        </w:trPr>
        <w:tc>
          <w:tcPr>
            <w:tcW w:w="651" w:type="dxa"/>
            <w:gridSpan w:val="3"/>
            <w:tcMar>
              <w:left w:w="28" w:type="dxa"/>
              <w:right w:w="28" w:type="dxa"/>
            </w:tcMar>
          </w:tcPr>
          <w:p w14:paraId="64592479" w14:textId="77777777" w:rsidR="00FA31A1" w:rsidRPr="00DC67EB" w:rsidRDefault="00FA31A1" w:rsidP="00FA31A1">
            <w:pPr>
              <w:spacing w:before="40" w:after="40"/>
              <w:rPr>
                <w:noProof/>
                <w:sz w:val="22"/>
              </w:rPr>
            </w:pPr>
            <w:r w:rsidRPr="00DC67EB">
              <w:rPr>
                <w:noProof/>
                <w:sz w:val="22"/>
              </w:rPr>
              <w:t>12.</w:t>
            </w:r>
          </w:p>
        </w:tc>
        <w:tc>
          <w:tcPr>
            <w:tcW w:w="2286" w:type="dxa"/>
            <w:gridSpan w:val="3"/>
            <w:tcMar>
              <w:left w:w="28" w:type="dxa"/>
              <w:right w:w="28" w:type="dxa"/>
            </w:tcMar>
          </w:tcPr>
          <w:p w14:paraId="4AD91DF5" w14:textId="77777777" w:rsidR="00FA31A1" w:rsidRPr="00DC67EB" w:rsidRDefault="00FA31A1" w:rsidP="00FA31A1">
            <w:pPr>
              <w:spacing w:before="40" w:after="40"/>
              <w:rPr>
                <w:noProof/>
                <w:sz w:val="22"/>
              </w:rPr>
            </w:pPr>
            <w:r w:rsidRPr="00DC67EB">
              <w:rPr>
                <w:noProof/>
                <w:sz w:val="22"/>
              </w:rPr>
              <w:t>Di(2</w:t>
            </w:r>
            <w:r w:rsidRPr="00DC67EB">
              <w:rPr>
                <w:noProof/>
                <w:sz w:val="22"/>
              </w:rPr>
              <w:noBreakHyphen/>
              <w:t>etilhexil)-ftalát (DEHP)</w:t>
            </w:r>
          </w:p>
        </w:tc>
        <w:tc>
          <w:tcPr>
            <w:tcW w:w="1329" w:type="dxa"/>
            <w:gridSpan w:val="3"/>
            <w:tcMar>
              <w:left w:w="28" w:type="dxa"/>
              <w:right w:w="28" w:type="dxa"/>
            </w:tcMar>
          </w:tcPr>
          <w:p w14:paraId="065F1E58" w14:textId="77777777" w:rsidR="00FA31A1" w:rsidRPr="00DC67EB" w:rsidRDefault="00FA31A1" w:rsidP="00FA31A1">
            <w:pPr>
              <w:spacing w:before="40" w:after="40"/>
              <w:rPr>
                <w:noProof/>
                <w:sz w:val="22"/>
              </w:rPr>
            </w:pPr>
            <w:r w:rsidRPr="00DC67EB">
              <w:rPr>
                <w:noProof/>
                <w:sz w:val="22"/>
              </w:rPr>
              <w:t>Ipari anyagok</w:t>
            </w:r>
          </w:p>
        </w:tc>
        <w:tc>
          <w:tcPr>
            <w:tcW w:w="992" w:type="dxa"/>
            <w:gridSpan w:val="2"/>
            <w:tcMar>
              <w:left w:w="28" w:type="dxa"/>
              <w:right w:w="28" w:type="dxa"/>
            </w:tcMar>
          </w:tcPr>
          <w:p w14:paraId="0A1BBD62" w14:textId="77777777" w:rsidR="00FA31A1" w:rsidRPr="00DC67EB" w:rsidRDefault="00FA31A1" w:rsidP="00FA31A1">
            <w:pPr>
              <w:spacing w:before="40" w:after="40"/>
              <w:rPr>
                <w:noProof/>
                <w:sz w:val="22"/>
              </w:rPr>
            </w:pPr>
            <w:r w:rsidRPr="00DC67EB">
              <w:rPr>
                <w:noProof/>
                <w:sz w:val="22"/>
              </w:rPr>
              <w:t>117</w:t>
            </w:r>
            <w:r w:rsidRPr="00DC67EB">
              <w:rPr>
                <w:noProof/>
                <w:sz w:val="22"/>
              </w:rPr>
              <w:noBreakHyphen/>
              <w:t>81</w:t>
            </w:r>
            <w:r w:rsidRPr="00DC67EB">
              <w:rPr>
                <w:noProof/>
                <w:sz w:val="22"/>
              </w:rPr>
              <w:noBreakHyphen/>
              <w:t>7</w:t>
            </w:r>
          </w:p>
        </w:tc>
        <w:tc>
          <w:tcPr>
            <w:tcW w:w="1134" w:type="dxa"/>
          </w:tcPr>
          <w:p w14:paraId="653D20E8" w14:textId="77777777" w:rsidR="00FA31A1" w:rsidRPr="00DC67EB" w:rsidRDefault="00FA31A1" w:rsidP="00FA31A1">
            <w:pPr>
              <w:spacing w:before="40" w:after="40"/>
              <w:rPr>
                <w:noProof/>
                <w:sz w:val="22"/>
              </w:rPr>
            </w:pPr>
            <w:r w:rsidRPr="00DC67EB">
              <w:rPr>
                <w:noProof/>
                <w:sz w:val="22"/>
              </w:rPr>
              <w:t>204-211-0</w:t>
            </w:r>
          </w:p>
        </w:tc>
        <w:tc>
          <w:tcPr>
            <w:tcW w:w="1279" w:type="dxa"/>
            <w:gridSpan w:val="2"/>
            <w:tcMar>
              <w:left w:w="28" w:type="dxa"/>
              <w:right w:w="28" w:type="dxa"/>
            </w:tcMar>
          </w:tcPr>
          <w:p w14:paraId="752448FB" w14:textId="77777777" w:rsidR="00FA31A1" w:rsidRPr="00DC67EB" w:rsidRDefault="00FA31A1" w:rsidP="00FA31A1">
            <w:pPr>
              <w:spacing w:before="40" w:after="40"/>
              <w:rPr>
                <w:noProof/>
                <w:sz w:val="22"/>
              </w:rPr>
            </w:pPr>
            <w:r w:rsidRPr="00DC67EB">
              <w:rPr>
                <w:noProof/>
                <w:sz w:val="22"/>
              </w:rPr>
              <w:t>1,3</w:t>
            </w:r>
          </w:p>
        </w:tc>
        <w:tc>
          <w:tcPr>
            <w:tcW w:w="1279" w:type="dxa"/>
            <w:gridSpan w:val="2"/>
            <w:tcMar>
              <w:left w:w="28" w:type="dxa"/>
              <w:right w:w="28" w:type="dxa"/>
            </w:tcMar>
          </w:tcPr>
          <w:p w14:paraId="0C10CA2F" w14:textId="77777777" w:rsidR="00FA31A1" w:rsidRPr="00DC67EB" w:rsidRDefault="00FA31A1" w:rsidP="00FA31A1">
            <w:pPr>
              <w:spacing w:before="40" w:after="40"/>
              <w:rPr>
                <w:noProof/>
                <w:sz w:val="22"/>
              </w:rPr>
            </w:pPr>
            <w:r w:rsidRPr="00DC67EB">
              <w:rPr>
                <w:noProof/>
                <w:sz w:val="22"/>
              </w:rPr>
              <w:t>1,3</w:t>
            </w:r>
          </w:p>
        </w:tc>
        <w:tc>
          <w:tcPr>
            <w:tcW w:w="1278" w:type="dxa"/>
            <w:gridSpan w:val="2"/>
            <w:tcMar>
              <w:left w:w="28" w:type="dxa"/>
              <w:right w:w="28" w:type="dxa"/>
            </w:tcMar>
          </w:tcPr>
          <w:p w14:paraId="7B29306E" w14:textId="77777777" w:rsidR="00FA31A1" w:rsidRPr="00DC67EB" w:rsidRDefault="00FA31A1" w:rsidP="00FA31A1">
            <w:pPr>
              <w:spacing w:before="40" w:after="40"/>
              <w:rPr>
                <w:noProof/>
                <w:sz w:val="22"/>
              </w:rPr>
            </w:pPr>
            <w:r w:rsidRPr="00DC67EB">
              <w:rPr>
                <w:noProof/>
                <w:sz w:val="22"/>
              </w:rPr>
              <w:t>nem alkalmazható</w:t>
            </w:r>
          </w:p>
        </w:tc>
        <w:tc>
          <w:tcPr>
            <w:tcW w:w="1277" w:type="dxa"/>
            <w:gridSpan w:val="2"/>
            <w:tcMar>
              <w:left w:w="28" w:type="dxa"/>
              <w:right w:w="28" w:type="dxa"/>
            </w:tcMar>
          </w:tcPr>
          <w:p w14:paraId="7633F779" w14:textId="77777777" w:rsidR="00FA31A1" w:rsidRPr="00DC67EB" w:rsidRDefault="00FA31A1" w:rsidP="00FA31A1">
            <w:pPr>
              <w:spacing w:before="40" w:after="40"/>
              <w:rPr>
                <w:noProof/>
                <w:sz w:val="22"/>
              </w:rPr>
            </w:pPr>
            <w:r w:rsidRPr="00DC67EB">
              <w:rPr>
                <w:noProof/>
                <w:sz w:val="22"/>
              </w:rPr>
              <w:t>nem alkalmazható</w:t>
            </w:r>
          </w:p>
        </w:tc>
        <w:tc>
          <w:tcPr>
            <w:tcW w:w="1136" w:type="dxa"/>
            <w:gridSpan w:val="2"/>
            <w:tcMar>
              <w:left w:w="28" w:type="dxa"/>
              <w:right w:w="28" w:type="dxa"/>
            </w:tcMar>
          </w:tcPr>
          <w:p w14:paraId="42A9E58D" w14:textId="77777777" w:rsidR="00FA31A1" w:rsidRPr="00DC67EB" w:rsidRDefault="00FA31A1" w:rsidP="00FA31A1">
            <w:pPr>
              <w:spacing w:before="40" w:after="40"/>
              <w:rPr>
                <w:noProof/>
                <w:sz w:val="22"/>
              </w:rPr>
            </w:pPr>
          </w:p>
        </w:tc>
        <w:tc>
          <w:tcPr>
            <w:tcW w:w="1262" w:type="dxa"/>
            <w:tcMar>
              <w:left w:w="28" w:type="dxa"/>
              <w:right w:w="28" w:type="dxa"/>
            </w:tcMar>
          </w:tcPr>
          <w:p w14:paraId="0AD83129" w14:textId="77777777" w:rsidR="00FA31A1" w:rsidRPr="00DC67EB" w:rsidRDefault="00FA31A1" w:rsidP="00FA31A1">
            <w:pPr>
              <w:spacing w:before="40" w:after="40"/>
              <w:rPr>
                <w:noProof/>
                <w:sz w:val="22"/>
              </w:rPr>
            </w:pPr>
            <w:r w:rsidRPr="00DC67EB">
              <w:rPr>
                <w:noProof/>
                <w:sz w:val="22"/>
              </w:rPr>
              <w:t>X</w:t>
            </w:r>
          </w:p>
        </w:tc>
        <w:tc>
          <w:tcPr>
            <w:tcW w:w="1153" w:type="dxa"/>
            <w:gridSpan w:val="2"/>
            <w:tcMar>
              <w:left w:w="28" w:type="dxa"/>
              <w:right w:w="28" w:type="dxa"/>
            </w:tcMar>
          </w:tcPr>
          <w:p w14:paraId="22E2AAB1" w14:textId="77777777" w:rsidR="00FA31A1" w:rsidRPr="00DC67EB" w:rsidRDefault="00FA31A1" w:rsidP="00FA31A1">
            <w:pPr>
              <w:spacing w:before="40" w:after="40"/>
              <w:rPr>
                <w:noProof/>
                <w:sz w:val="22"/>
              </w:rPr>
            </w:pPr>
          </w:p>
        </w:tc>
        <w:tc>
          <w:tcPr>
            <w:tcW w:w="970" w:type="dxa"/>
            <w:tcMar>
              <w:left w:w="28" w:type="dxa"/>
              <w:right w:w="28" w:type="dxa"/>
            </w:tcMar>
          </w:tcPr>
          <w:p w14:paraId="6CBB1600" w14:textId="77777777" w:rsidR="00FA31A1" w:rsidRPr="00DC67EB" w:rsidRDefault="00FA31A1" w:rsidP="00FA31A1">
            <w:pPr>
              <w:spacing w:before="40" w:after="40"/>
              <w:rPr>
                <w:noProof/>
                <w:sz w:val="22"/>
              </w:rPr>
            </w:pPr>
            <w:r w:rsidRPr="00DC67EB">
              <w:rPr>
                <w:noProof/>
                <w:sz w:val="22"/>
              </w:rPr>
              <w:t>X</w:t>
            </w:r>
          </w:p>
        </w:tc>
      </w:tr>
      <w:tr w:rsidR="00DC67EB" w:rsidRPr="00DC67EB" w14:paraId="7E473E47" w14:textId="77777777" w:rsidTr="00FA31A1">
        <w:trPr>
          <w:gridBefore w:val="1"/>
          <w:wBefore w:w="12" w:type="dxa"/>
          <w:cantSplit/>
          <w:tblHeader/>
          <w:jc w:val="center"/>
        </w:trPr>
        <w:tc>
          <w:tcPr>
            <w:tcW w:w="651" w:type="dxa"/>
            <w:gridSpan w:val="3"/>
            <w:tcMar>
              <w:left w:w="28" w:type="dxa"/>
              <w:right w:w="28" w:type="dxa"/>
            </w:tcMar>
          </w:tcPr>
          <w:p w14:paraId="4143ECDA" w14:textId="77777777" w:rsidR="00FA31A1" w:rsidRPr="00DC67EB" w:rsidRDefault="00FA31A1" w:rsidP="00FA31A1">
            <w:pPr>
              <w:spacing w:before="40" w:after="40"/>
              <w:rPr>
                <w:noProof/>
                <w:sz w:val="22"/>
              </w:rPr>
            </w:pPr>
            <w:r w:rsidRPr="00DC67EB">
              <w:rPr>
                <w:noProof/>
                <w:sz w:val="22"/>
              </w:rPr>
              <w:t>13.</w:t>
            </w:r>
          </w:p>
        </w:tc>
        <w:tc>
          <w:tcPr>
            <w:tcW w:w="2286" w:type="dxa"/>
            <w:gridSpan w:val="3"/>
            <w:tcMar>
              <w:left w:w="28" w:type="dxa"/>
              <w:right w:w="28" w:type="dxa"/>
            </w:tcMar>
          </w:tcPr>
          <w:p w14:paraId="65E24574" w14:textId="77777777" w:rsidR="00FA31A1" w:rsidRPr="00DC67EB" w:rsidRDefault="00FA31A1" w:rsidP="00FA31A1">
            <w:pPr>
              <w:spacing w:before="40" w:after="40"/>
              <w:rPr>
                <w:noProof/>
                <w:sz w:val="22"/>
              </w:rPr>
            </w:pPr>
            <w:r w:rsidRPr="00DC67EB">
              <w:rPr>
                <w:noProof/>
                <w:sz w:val="22"/>
              </w:rPr>
              <w:t>Diuron</w:t>
            </w:r>
          </w:p>
        </w:tc>
        <w:tc>
          <w:tcPr>
            <w:tcW w:w="1329" w:type="dxa"/>
            <w:gridSpan w:val="3"/>
            <w:tcMar>
              <w:left w:w="28" w:type="dxa"/>
              <w:right w:w="28" w:type="dxa"/>
            </w:tcMar>
          </w:tcPr>
          <w:p w14:paraId="348F6050" w14:textId="77777777" w:rsidR="00FA31A1" w:rsidRPr="00DC67EB" w:rsidRDefault="00FA31A1" w:rsidP="00FA31A1">
            <w:pPr>
              <w:spacing w:before="40" w:after="40"/>
              <w:rPr>
                <w:noProof/>
                <w:sz w:val="22"/>
              </w:rPr>
            </w:pPr>
            <w:r w:rsidRPr="00DC67EB">
              <w:rPr>
                <w:noProof/>
                <w:sz w:val="22"/>
              </w:rPr>
              <w:t>Gyomirtók</w:t>
            </w:r>
          </w:p>
        </w:tc>
        <w:tc>
          <w:tcPr>
            <w:tcW w:w="992" w:type="dxa"/>
            <w:gridSpan w:val="2"/>
            <w:tcMar>
              <w:left w:w="28" w:type="dxa"/>
              <w:right w:w="28" w:type="dxa"/>
            </w:tcMar>
          </w:tcPr>
          <w:p w14:paraId="7B6EA97C" w14:textId="77777777" w:rsidR="00FA31A1" w:rsidRPr="00DC67EB" w:rsidRDefault="00FA31A1" w:rsidP="00FA31A1">
            <w:pPr>
              <w:spacing w:before="40" w:after="40"/>
              <w:rPr>
                <w:noProof/>
                <w:sz w:val="22"/>
              </w:rPr>
            </w:pPr>
            <w:r w:rsidRPr="00DC67EB">
              <w:rPr>
                <w:noProof/>
                <w:sz w:val="22"/>
              </w:rPr>
              <w:t>330</w:t>
            </w:r>
            <w:r w:rsidRPr="00DC67EB">
              <w:rPr>
                <w:noProof/>
                <w:sz w:val="22"/>
              </w:rPr>
              <w:noBreakHyphen/>
              <w:t>54</w:t>
            </w:r>
            <w:r w:rsidRPr="00DC67EB">
              <w:rPr>
                <w:noProof/>
                <w:sz w:val="22"/>
              </w:rPr>
              <w:noBreakHyphen/>
              <w:t>1</w:t>
            </w:r>
          </w:p>
        </w:tc>
        <w:tc>
          <w:tcPr>
            <w:tcW w:w="1134" w:type="dxa"/>
          </w:tcPr>
          <w:p w14:paraId="5F6904BD" w14:textId="77777777" w:rsidR="00FA31A1" w:rsidRPr="00DC67EB" w:rsidRDefault="00FA31A1" w:rsidP="00FA31A1">
            <w:pPr>
              <w:spacing w:before="40" w:after="40"/>
              <w:rPr>
                <w:strike/>
                <w:noProof/>
                <w:sz w:val="22"/>
              </w:rPr>
            </w:pPr>
            <w:r w:rsidRPr="00DC67EB">
              <w:rPr>
                <w:noProof/>
                <w:sz w:val="22"/>
              </w:rPr>
              <w:t>206-354-4</w:t>
            </w:r>
          </w:p>
        </w:tc>
        <w:tc>
          <w:tcPr>
            <w:tcW w:w="1279" w:type="dxa"/>
            <w:gridSpan w:val="2"/>
            <w:tcMar>
              <w:left w:w="28" w:type="dxa"/>
              <w:right w:w="28" w:type="dxa"/>
            </w:tcMar>
          </w:tcPr>
          <w:p w14:paraId="5AE7A8E4" w14:textId="77777777" w:rsidR="00FA31A1" w:rsidRPr="00DC67EB" w:rsidRDefault="00FA31A1" w:rsidP="00FA31A1">
            <w:pPr>
              <w:spacing w:before="40" w:after="40"/>
              <w:rPr>
                <w:strike/>
                <w:noProof/>
                <w:sz w:val="22"/>
              </w:rPr>
            </w:pPr>
            <w:r w:rsidRPr="00DC67EB">
              <w:rPr>
                <w:noProof/>
                <w:sz w:val="22"/>
              </w:rPr>
              <w:t>0,049</w:t>
            </w:r>
          </w:p>
        </w:tc>
        <w:tc>
          <w:tcPr>
            <w:tcW w:w="1279" w:type="dxa"/>
            <w:gridSpan w:val="2"/>
            <w:tcMar>
              <w:left w:w="28" w:type="dxa"/>
              <w:right w:w="28" w:type="dxa"/>
            </w:tcMar>
          </w:tcPr>
          <w:p w14:paraId="044711B1" w14:textId="77777777" w:rsidR="00FA31A1" w:rsidRPr="00DC67EB" w:rsidRDefault="00FA31A1" w:rsidP="00FA31A1">
            <w:pPr>
              <w:spacing w:before="40" w:after="40"/>
              <w:rPr>
                <w:noProof/>
                <w:sz w:val="22"/>
              </w:rPr>
            </w:pPr>
            <w:r w:rsidRPr="00DC67EB">
              <w:rPr>
                <w:noProof/>
                <w:sz w:val="22"/>
              </w:rPr>
              <w:t>0,0049</w:t>
            </w:r>
          </w:p>
        </w:tc>
        <w:tc>
          <w:tcPr>
            <w:tcW w:w="1278" w:type="dxa"/>
            <w:gridSpan w:val="2"/>
            <w:tcMar>
              <w:left w:w="28" w:type="dxa"/>
              <w:right w:w="28" w:type="dxa"/>
            </w:tcMar>
          </w:tcPr>
          <w:p w14:paraId="357E6521" w14:textId="77777777" w:rsidR="00FA31A1" w:rsidRPr="00DC67EB" w:rsidRDefault="00FA31A1" w:rsidP="00FA31A1">
            <w:pPr>
              <w:spacing w:before="40" w:after="40"/>
              <w:rPr>
                <w:noProof/>
                <w:sz w:val="22"/>
              </w:rPr>
            </w:pPr>
            <w:r w:rsidRPr="00DC67EB">
              <w:rPr>
                <w:noProof/>
                <w:sz w:val="22"/>
              </w:rPr>
              <w:t>0,27</w:t>
            </w:r>
          </w:p>
        </w:tc>
        <w:tc>
          <w:tcPr>
            <w:tcW w:w="1277" w:type="dxa"/>
            <w:gridSpan w:val="2"/>
            <w:tcMar>
              <w:left w:w="28" w:type="dxa"/>
              <w:right w:w="28" w:type="dxa"/>
            </w:tcMar>
          </w:tcPr>
          <w:p w14:paraId="4CFA74CF" w14:textId="77777777" w:rsidR="00FA31A1" w:rsidRPr="00DC67EB" w:rsidRDefault="00FA31A1" w:rsidP="00FA31A1">
            <w:pPr>
              <w:spacing w:before="40" w:after="40"/>
              <w:rPr>
                <w:noProof/>
                <w:sz w:val="22"/>
              </w:rPr>
            </w:pPr>
            <w:r w:rsidRPr="00DC67EB">
              <w:rPr>
                <w:noProof/>
                <w:sz w:val="22"/>
              </w:rPr>
              <w:t>0,054</w:t>
            </w:r>
          </w:p>
        </w:tc>
        <w:tc>
          <w:tcPr>
            <w:tcW w:w="1136" w:type="dxa"/>
            <w:gridSpan w:val="2"/>
            <w:tcMar>
              <w:left w:w="28" w:type="dxa"/>
              <w:right w:w="28" w:type="dxa"/>
            </w:tcMar>
          </w:tcPr>
          <w:p w14:paraId="3F601087" w14:textId="77777777" w:rsidR="00FA31A1" w:rsidRPr="00DC67EB" w:rsidRDefault="00FA31A1" w:rsidP="00FA31A1">
            <w:pPr>
              <w:spacing w:before="40" w:after="40"/>
              <w:rPr>
                <w:noProof/>
                <w:sz w:val="22"/>
              </w:rPr>
            </w:pPr>
          </w:p>
        </w:tc>
        <w:tc>
          <w:tcPr>
            <w:tcW w:w="1262" w:type="dxa"/>
            <w:tcMar>
              <w:left w:w="28" w:type="dxa"/>
              <w:right w:w="28" w:type="dxa"/>
            </w:tcMar>
          </w:tcPr>
          <w:p w14:paraId="6366D106" w14:textId="77777777" w:rsidR="00FA31A1" w:rsidRPr="00DC67EB" w:rsidRDefault="00FA31A1" w:rsidP="00FA31A1">
            <w:pPr>
              <w:spacing w:before="40" w:after="40"/>
              <w:rPr>
                <w:noProof/>
                <w:sz w:val="22"/>
              </w:rPr>
            </w:pPr>
          </w:p>
        </w:tc>
        <w:tc>
          <w:tcPr>
            <w:tcW w:w="1153" w:type="dxa"/>
            <w:gridSpan w:val="2"/>
            <w:tcMar>
              <w:left w:w="28" w:type="dxa"/>
              <w:right w:w="28" w:type="dxa"/>
            </w:tcMar>
          </w:tcPr>
          <w:p w14:paraId="7A6DC60B" w14:textId="77777777" w:rsidR="00FA31A1" w:rsidRPr="00DC67EB" w:rsidRDefault="00FA31A1" w:rsidP="00FA31A1">
            <w:pPr>
              <w:spacing w:before="40" w:after="40"/>
              <w:rPr>
                <w:noProof/>
                <w:sz w:val="22"/>
              </w:rPr>
            </w:pPr>
          </w:p>
        </w:tc>
        <w:tc>
          <w:tcPr>
            <w:tcW w:w="970" w:type="dxa"/>
            <w:tcMar>
              <w:left w:w="28" w:type="dxa"/>
              <w:right w:w="28" w:type="dxa"/>
            </w:tcMar>
          </w:tcPr>
          <w:p w14:paraId="60537F4B" w14:textId="77777777" w:rsidR="00FA31A1" w:rsidRPr="00DC67EB" w:rsidRDefault="00FA31A1" w:rsidP="00FA31A1">
            <w:pPr>
              <w:spacing w:before="40" w:after="40"/>
              <w:rPr>
                <w:noProof/>
                <w:sz w:val="22"/>
              </w:rPr>
            </w:pPr>
          </w:p>
        </w:tc>
      </w:tr>
      <w:tr w:rsidR="00DC67EB" w:rsidRPr="00DC67EB" w14:paraId="4A72BB1A" w14:textId="77777777" w:rsidTr="00FA31A1">
        <w:trPr>
          <w:gridBefore w:val="1"/>
          <w:wBefore w:w="12" w:type="dxa"/>
          <w:cantSplit/>
          <w:tblHeader/>
          <w:jc w:val="center"/>
        </w:trPr>
        <w:tc>
          <w:tcPr>
            <w:tcW w:w="651" w:type="dxa"/>
            <w:gridSpan w:val="3"/>
            <w:tcMar>
              <w:left w:w="28" w:type="dxa"/>
              <w:right w:w="28" w:type="dxa"/>
            </w:tcMar>
          </w:tcPr>
          <w:p w14:paraId="0E2D286D" w14:textId="77777777" w:rsidR="00FA31A1" w:rsidRPr="00DC67EB" w:rsidRDefault="00FA31A1" w:rsidP="00FA31A1">
            <w:pPr>
              <w:spacing w:before="40" w:after="40"/>
              <w:rPr>
                <w:noProof/>
                <w:sz w:val="22"/>
              </w:rPr>
            </w:pPr>
            <w:r w:rsidRPr="00DC67EB">
              <w:rPr>
                <w:noProof/>
                <w:sz w:val="22"/>
              </w:rPr>
              <w:t>14.</w:t>
            </w:r>
          </w:p>
        </w:tc>
        <w:tc>
          <w:tcPr>
            <w:tcW w:w="2286" w:type="dxa"/>
            <w:gridSpan w:val="3"/>
            <w:tcMar>
              <w:left w:w="28" w:type="dxa"/>
              <w:right w:w="28" w:type="dxa"/>
            </w:tcMar>
          </w:tcPr>
          <w:p w14:paraId="7574902C" w14:textId="77777777" w:rsidR="00FA31A1" w:rsidRPr="00DC67EB" w:rsidRDefault="00FA31A1" w:rsidP="00FA31A1">
            <w:pPr>
              <w:spacing w:before="40" w:after="40"/>
              <w:rPr>
                <w:noProof/>
                <w:sz w:val="22"/>
              </w:rPr>
            </w:pPr>
            <w:r w:rsidRPr="00DC67EB">
              <w:rPr>
                <w:noProof/>
                <w:sz w:val="22"/>
              </w:rPr>
              <w:t>Endoszulfán</w:t>
            </w:r>
          </w:p>
        </w:tc>
        <w:tc>
          <w:tcPr>
            <w:tcW w:w="1329" w:type="dxa"/>
            <w:gridSpan w:val="3"/>
            <w:tcMar>
              <w:left w:w="28" w:type="dxa"/>
              <w:right w:w="28" w:type="dxa"/>
            </w:tcMar>
          </w:tcPr>
          <w:p w14:paraId="13CBD921" w14:textId="77777777" w:rsidR="00FA31A1" w:rsidRPr="00DC67EB" w:rsidRDefault="00FA31A1" w:rsidP="00FA31A1">
            <w:pPr>
              <w:spacing w:before="40" w:after="40"/>
              <w:rPr>
                <w:noProof/>
                <w:sz w:val="22"/>
              </w:rPr>
            </w:pPr>
            <w:r w:rsidRPr="00DC67EB">
              <w:rPr>
                <w:noProof/>
                <w:sz w:val="22"/>
              </w:rPr>
              <w:t>Szerves klórt tartalmazó peszticidek</w:t>
            </w:r>
          </w:p>
        </w:tc>
        <w:tc>
          <w:tcPr>
            <w:tcW w:w="992" w:type="dxa"/>
            <w:gridSpan w:val="2"/>
            <w:tcMar>
              <w:left w:w="28" w:type="dxa"/>
              <w:right w:w="28" w:type="dxa"/>
            </w:tcMar>
          </w:tcPr>
          <w:p w14:paraId="0E558542" w14:textId="77777777" w:rsidR="00FA31A1" w:rsidRPr="00DC67EB" w:rsidRDefault="00FA31A1" w:rsidP="00FA31A1">
            <w:pPr>
              <w:spacing w:before="40" w:after="40"/>
              <w:rPr>
                <w:noProof/>
                <w:sz w:val="22"/>
              </w:rPr>
            </w:pPr>
            <w:r w:rsidRPr="00DC67EB">
              <w:rPr>
                <w:noProof/>
                <w:sz w:val="22"/>
              </w:rPr>
              <w:t>115</w:t>
            </w:r>
            <w:r w:rsidRPr="00DC67EB">
              <w:rPr>
                <w:noProof/>
                <w:sz w:val="22"/>
              </w:rPr>
              <w:noBreakHyphen/>
              <w:t>29</w:t>
            </w:r>
            <w:r w:rsidRPr="00DC67EB">
              <w:rPr>
                <w:noProof/>
                <w:sz w:val="22"/>
              </w:rPr>
              <w:noBreakHyphen/>
              <w:t>7</w:t>
            </w:r>
          </w:p>
        </w:tc>
        <w:tc>
          <w:tcPr>
            <w:tcW w:w="1134" w:type="dxa"/>
          </w:tcPr>
          <w:p w14:paraId="01E5E649" w14:textId="77777777" w:rsidR="00FA31A1" w:rsidRPr="00DC67EB" w:rsidRDefault="00FA31A1" w:rsidP="00FA31A1">
            <w:pPr>
              <w:spacing w:before="40" w:after="40"/>
              <w:rPr>
                <w:noProof/>
                <w:sz w:val="22"/>
              </w:rPr>
            </w:pPr>
            <w:r w:rsidRPr="00DC67EB">
              <w:rPr>
                <w:noProof/>
                <w:sz w:val="22"/>
              </w:rPr>
              <w:t>204-079-4</w:t>
            </w:r>
          </w:p>
        </w:tc>
        <w:tc>
          <w:tcPr>
            <w:tcW w:w="1279" w:type="dxa"/>
            <w:gridSpan w:val="2"/>
            <w:tcMar>
              <w:left w:w="28" w:type="dxa"/>
              <w:right w:w="28" w:type="dxa"/>
            </w:tcMar>
          </w:tcPr>
          <w:p w14:paraId="6BC01F90" w14:textId="77777777" w:rsidR="00FA31A1" w:rsidRPr="00DC67EB" w:rsidRDefault="00FA31A1" w:rsidP="00FA31A1">
            <w:pPr>
              <w:spacing w:before="40" w:after="40"/>
              <w:rPr>
                <w:noProof/>
                <w:sz w:val="22"/>
              </w:rPr>
            </w:pPr>
            <w:r w:rsidRPr="00DC67EB">
              <w:rPr>
                <w:noProof/>
                <w:sz w:val="22"/>
              </w:rPr>
              <w:t>0,005</w:t>
            </w:r>
          </w:p>
        </w:tc>
        <w:tc>
          <w:tcPr>
            <w:tcW w:w="1279" w:type="dxa"/>
            <w:gridSpan w:val="2"/>
            <w:tcMar>
              <w:left w:w="28" w:type="dxa"/>
              <w:right w:w="28" w:type="dxa"/>
            </w:tcMar>
          </w:tcPr>
          <w:p w14:paraId="4487B520" w14:textId="77777777" w:rsidR="00FA31A1" w:rsidRPr="00DC67EB" w:rsidRDefault="00FA31A1" w:rsidP="00FA31A1">
            <w:pPr>
              <w:spacing w:before="40" w:after="40"/>
              <w:rPr>
                <w:noProof/>
                <w:sz w:val="22"/>
              </w:rPr>
            </w:pPr>
            <w:r w:rsidRPr="00DC67EB">
              <w:rPr>
                <w:noProof/>
                <w:sz w:val="22"/>
              </w:rPr>
              <w:t>0,0005</w:t>
            </w:r>
          </w:p>
        </w:tc>
        <w:tc>
          <w:tcPr>
            <w:tcW w:w="1278" w:type="dxa"/>
            <w:gridSpan w:val="2"/>
            <w:tcMar>
              <w:left w:w="28" w:type="dxa"/>
              <w:right w:w="28" w:type="dxa"/>
            </w:tcMar>
          </w:tcPr>
          <w:p w14:paraId="253C6711" w14:textId="77777777" w:rsidR="00FA31A1" w:rsidRPr="00DC67EB" w:rsidRDefault="00FA31A1" w:rsidP="00FA31A1">
            <w:pPr>
              <w:spacing w:before="40" w:after="40"/>
              <w:rPr>
                <w:noProof/>
                <w:sz w:val="22"/>
              </w:rPr>
            </w:pPr>
            <w:r w:rsidRPr="00DC67EB">
              <w:rPr>
                <w:noProof/>
                <w:sz w:val="22"/>
              </w:rPr>
              <w:t>0,01</w:t>
            </w:r>
          </w:p>
        </w:tc>
        <w:tc>
          <w:tcPr>
            <w:tcW w:w="1277" w:type="dxa"/>
            <w:gridSpan w:val="2"/>
            <w:tcMar>
              <w:left w:w="28" w:type="dxa"/>
              <w:right w:w="28" w:type="dxa"/>
            </w:tcMar>
          </w:tcPr>
          <w:p w14:paraId="194AB3DF" w14:textId="77777777" w:rsidR="00FA31A1" w:rsidRPr="00DC67EB" w:rsidRDefault="00FA31A1" w:rsidP="00FA31A1">
            <w:pPr>
              <w:spacing w:before="40" w:after="40"/>
              <w:rPr>
                <w:noProof/>
                <w:sz w:val="22"/>
              </w:rPr>
            </w:pPr>
            <w:r w:rsidRPr="00DC67EB">
              <w:rPr>
                <w:noProof/>
                <w:sz w:val="22"/>
              </w:rPr>
              <w:t>0,004</w:t>
            </w:r>
          </w:p>
        </w:tc>
        <w:tc>
          <w:tcPr>
            <w:tcW w:w="1136" w:type="dxa"/>
            <w:gridSpan w:val="2"/>
            <w:tcMar>
              <w:left w:w="28" w:type="dxa"/>
              <w:right w:w="28" w:type="dxa"/>
            </w:tcMar>
          </w:tcPr>
          <w:p w14:paraId="61E32A6E" w14:textId="77777777" w:rsidR="00FA31A1" w:rsidRPr="00DC67EB" w:rsidRDefault="00FA31A1" w:rsidP="00FA31A1">
            <w:pPr>
              <w:spacing w:before="40" w:after="40"/>
              <w:rPr>
                <w:noProof/>
                <w:sz w:val="22"/>
              </w:rPr>
            </w:pPr>
          </w:p>
        </w:tc>
        <w:tc>
          <w:tcPr>
            <w:tcW w:w="1262" w:type="dxa"/>
            <w:tcMar>
              <w:left w:w="28" w:type="dxa"/>
              <w:right w:w="28" w:type="dxa"/>
            </w:tcMar>
          </w:tcPr>
          <w:p w14:paraId="62DFB58B" w14:textId="77777777" w:rsidR="00FA31A1" w:rsidRPr="00DC67EB" w:rsidRDefault="00FA31A1" w:rsidP="00FA31A1">
            <w:pPr>
              <w:spacing w:before="40" w:after="40"/>
              <w:rPr>
                <w:noProof/>
                <w:sz w:val="22"/>
              </w:rPr>
            </w:pPr>
            <w:r w:rsidRPr="00DC67EB">
              <w:rPr>
                <w:noProof/>
                <w:sz w:val="22"/>
              </w:rPr>
              <w:t>X</w:t>
            </w:r>
          </w:p>
        </w:tc>
        <w:tc>
          <w:tcPr>
            <w:tcW w:w="1153" w:type="dxa"/>
            <w:gridSpan w:val="2"/>
            <w:tcMar>
              <w:left w:w="28" w:type="dxa"/>
              <w:right w:w="28" w:type="dxa"/>
            </w:tcMar>
          </w:tcPr>
          <w:p w14:paraId="3B4491CE" w14:textId="77777777" w:rsidR="00FA31A1" w:rsidRPr="00DC67EB" w:rsidRDefault="00FA31A1" w:rsidP="00FA31A1">
            <w:pPr>
              <w:spacing w:before="40" w:after="40"/>
              <w:rPr>
                <w:noProof/>
                <w:sz w:val="22"/>
              </w:rPr>
            </w:pPr>
          </w:p>
        </w:tc>
        <w:tc>
          <w:tcPr>
            <w:tcW w:w="970" w:type="dxa"/>
            <w:tcMar>
              <w:left w:w="28" w:type="dxa"/>
              <w:right w:w="28" w:type="dxa"/>
            </w:tcMar>
          </w:tcPr>
          <w:p w14:paraId="509A4C6C" w14:textId="77777777" w:rsidR="00FA31A1" w:rsidRPr="00DC67EB" w:rsidRDefault="00FA31A1" w:rsidP="00FA31A1">
            <w:pPr>
              <w:spacing w:before="40" w:after="40"/>
              <w:rPr>
                <w:noProof/>
                <w:sz w:val="22"/>
              </w:rPr>
            </w:pPr>
          </w:p>
        </w:tc>
      </w:tr>
      <w:tr w:rsidR="00DC67EB" w:rsidRPr="00DC67EB" w14:paraId="45915195" w14:textId="77777777" w:rsidTr="00FA31A1">
        <w:trPr>
          <w:gridBefore w:val="1"/>
          <w:wBefore w:w="12" w:type="dxa"/>
          <w:cantSplit/>
          <w:tblHeader/>
          <w:jc w:val="center"/>
        </w:trPr>
        <w:tc>
          <w:tcPr>
            <w:tcW w:w="651" w:type="dxa"/>
            <w:gridSpan w:val="3"/>
            <w:tcMar>
              <w:left w:w="28" w:type="dxa"/>
              <w:right w:w="28" w:type="dxa"/>
            </w:tcMar>
          </w:tcPr>
          <w:p w14:paraId="2E80B58E" w14:textId="77777777" w:rsidR="00FA31A1" w:rsidRPr="00DC67EB" w:rsidRDefault="00FA31A1" w:rsidP="00FA31A1">
            <w:pPr>
              <w:spacing w:before="40" w:after="40"/>
              <w:rPr>
                <w:noProof/>
                <w:sz w:val="22"/>
              </w:rPr>
            </w:pPr>
            <w:r w:rsidRPr="00DC67EB">
              <w:rPr>
                <w:noProof/>
                <w:sz w:val="22"/>
              </w:rPr>
              <w:t>15.</w:t>
            </w:r>
          </w:p>
        </w:tc>
        <w:tc>
          <w:tcPr>
            <w:tcW w:w="2286" w:type="dxa"/>
            <w:gridSpan w:val="3"/>
            <w:tcMar>
              <w:left w:w="28" w:type="dxa"/>
              <w:right w:w="28" w:type="dxa"/>
            </w:tcMar>
          </w:tcPr>
          <w:p w14:paraId="1AC1CBA6" w14:textId="77777777" w:rsidR="00FA31A1" w:rsidRPr="00DC67EB" w:rsidRDefault="00FA31A1" w:rsidP="00FA31A1">
            <w:pPr>
              <w:spacing w:before="40" w:after="40"/>
              <w:rPr>
                <w:noProof/>
                <w:sz w:val="22"/>
              </w:rPr>
            </w:pPr>
            <w:r w:rsidRPr="00DC67EB">
              <w:rPr>
                <w:noProof/>
                <w:sz w:val="22"/>
              </w:rPr>
              <w:t>Fluorantén</w:t>
            </w:r>
          </w:p>
        </w:tc>
        <w:tc>
          <w:tcPr>
            <w:tcW w:w="1329" w:type="dxa"/>
            <w:gridSpan w:val="3"/>
            <w:tcMar>
              <w:left w:w="28" w:type="dxa"/>
              <w:right w:w="28" w:type="dxa"/>
            </w:tcMar>
          </w:tcPr>
          <w:p w14:paraId="17AE6896" w14:textId="77777777" w:rsidR="00FA31A1" w:rsidRPr="00DC67EB" w:rsidRDefault="00FA31A1" w:rsidP="00FA31A1">
            <w:pPr>
              <w:spacing w:before="40" w:after="40"/>
              <w:rPr>
                <w:noProof/>
                <w:sz w:val="22"/>
              </w:rPr>
            </w:pPr>
            <w:r w:rsidRPr="00DC67EB">
              <w:rPr>
                <w:noProof/>
                <w:sz w:val="22"/>
              </w:rPr>
              <w:t xml:space="preserve">Ipari anyagok </w:t>
            </w:r>
          </w:p>
        </w:tc>
        <w:tc>
          <w:tcPr>
            <w:tcW w:w="992" w:type="dxa"/>
            <w:gridSpan w:val="2"/>
            <w:tcMar>
              <w:left w:w="28" w:type="dxa"/>
              <w:right w:w="28" w:type="dxa"/>
            </w:tcMar>
          </w:tcPr>
          <w:p w14:paraId="18EF0EB2" w14:textId="77777777" w:rsidR="00FA31A1" w:rsidRPr="00DC67EB" w:rsidRDefault="00FA31A1" w:rsidP="00FA31A1">
            <w:pPr>
              <w:spacing w:before="40" w:after="40"/>
              <w:rPr>
                <w:noProof/>
                <w:sz w:val="22"/>
              </w:rPr>
            </w:pPr>
            <w:r w:rsidRPr="00DC67EB">
              <w:rPr>
                <w:noProof/>
                <w:sz w:val="22"/>
              </w:rPr>
              <w:t>206</w:t>
            </w:r>
            <w:r w:rsidRPr="00DC67EB">
              <w:rPr>
                <w:noProof/>
                <w:sz w:val="22"/>
              </w:rPr>
              <w:noBreakHyphen/>
              <w:t>44</w:t>
            </w:r>
            <w:r w:rsidRPr="00DC67EB">
              <w:rPr>
                <w:noProof/>
                <w:sz w:val="22"/>
              </w:rPr>
              <w:noBreakHyphen/>
              <w:t>0</w:t>
            </w:r>
          </w:p>
        </w:tc>
        <w:tc>
          <w:tcPr>
            <w:tcW w:w="1134" w:type="dxa"/>
          </w:tcPr>
          <w:p w14:paraId="26139217" w14:textId="77777777" w:rsidR="00FA31A1" w:rsidRPr="00DC67EB" w:rsidRDefault="00FA31A1" w:rsidP="00FA31A1">
            <w:pPr>
              <w:spacing w:before="40" w:after="40"/>
              <w:rPr>
                <w:strike/>
                <w:noProof/>
                <w:sz w:val="22"/>
              </w:rPr>
            </w:pPr>
            <w:r w:rsidRPr="00DC67EB">
              <w:rPr>
                <w:noProof/>
                <w:sz w:val="22"/>
              </w:rPr>
              <w:t>205-912-4</w:t>
            </w:r>
          </w:p>
        </w:tc>
        <w:tc>
          <w:tcPr>
            <w:tcW w:w="1279" w:type="dxa"/>
            <w:gridSpan w:val="2"/>
            <w:tcMar>
              <w:left w:w="28" w:type="dxa"/>
              <w:right w:w="28" w:type="dxa"/>
            </w:tcMar>
          </w:tcPr>
          <w:p w14:paraId="57D84483" w14:textId="77777777" w:rsidR="00FA31A1" w:rsidRPr="00DC67EB" w:rsidRDefault="00FA31A1" w:rsidP="00FA31A1">
            <w:pPr>
              <w:spacing w:before="40" w:after="40"/>
              <w:rPr>
                <w:noProof/>
                <w:sz w:val="22"/>
              </w:rPr>
            </w:pPr>
            <w:r w:rsidRPr="00DC67EB">
              <w:rPr>
                <w:noProof/>
                <w:sz w:val="22"/>
              </w:rPr>
              <w:t>7,62 × 10</w:t>
            </w:r>
            <w:r w:rsidRPr="00DC67EB">
              <w:rPr>
                <w:noProof/>
                <w:sz w:val="22"/>
                <w:vertAlign w:val="superscript"/>
              </w:rPr>
              <w:t>-4</w:t>
            </w:r>
          </w:p>
        </w:tc>
        <w:tc>
          <w:tcPr>
            <w:tcW w:w="1279" w:type="dxa"/>
            <w:gridSpan w:val="2"/>
            <w:tcMar>
              <w:left w:w="28" w:type="dxa"/>
              <w:right w:w="28" w:type="dxa"/>
            </w:tcMar>
          </w:tcPr>
          <w:p w14:paraId="1EC92C5C" w14:textId="77777777" w:rsidR="00FA31A1" w:rsidRPr="00DC67EB" w:rsidRDefault="00FA31A1" w:rsidP="00FA31A1">
            <w:pPr>
              <w:spacing w:before="40" w:after="40"/>
              <w:rPr>
                <w:noProof/>
                <w:sz w:val="22"/>
              </w:rPr>
            </w:pPr>
            <w:r w:rsidRPr="00DC67EB">
              <w:rPr>
                <w:noProof/>
                <w:sz w:val="22"/>
              </w:rPr>
              <w:t>7,62 × 10</w:t>
            </w:r>
            <w:r w:rsidRPr="00DC67EB">
              <w:rPr>
                <w:noProof/>
                <w:sz w:val="22"/>
                <w:vertAlign w:val="superscript"/>
              </w:rPr>
              <w:t>-4</w:t>
            </w:r>
          </w:p>
        </w:tc>
        <w:tc>
          <w:tcPr>
            <w:tcW w:w="1278" w:type="dxa"/>
            <w:gridSpan w:val="2"/>
            <w:tcMar>
              <w:left w:w="28" w:type="dxa"/>
              <w:right w:w="28" w:type="dxa"/>
            </w:tcMar>
          </w:tcPr>
          <w:p w14:paraId="26B785F0" w14:textId="77777777" w:rsidR="00FA31A1" w:rsidRPr="00DC67EB" w:rsidRDefault="00FA31A1" w:rsidP="00FA31A1">
            <w:pPr>
              <w:spacing w:before="40" w:after="40"/>
              <w:rPr>
                <w:noProof/>
                <w:sz w:val="22"/>
              </w:rPr>
            </w:pPr>
            <w:r w:rsidRPr="00DC67EB">
              <w:rPr>
                <w:noProof/>
                <w:sz w:val="22"/>
              </w:rPr>
              <w:t>0,12</w:t>
            </w:r>
          </w:p>
        </w:tc>
        <w:tc>
          <w:tcPr>
            <w:tcW w:w="1277" w:type="dxa"/>
            <w:gridSpan w:val="2"/>
            <w:tcMar>
              <w:left w:w="28" w:type="dxa"/>
              <w:right w:w="28" w:type="dxa"/>
            </w:tcMar>
          </w:tcPr>
          <w:p w14:paraId="699A0AB9" w14:textId="77777777" w:rsidR="00FA31A1" w:rsidRPr="00DC67EB" w:rsidRDefault="00FA31A1" w:rsidP="00FA31A1">
            <w:pPr>
              <w:spacing w:before="40" w:after="40"/>
              <w:rPr>
                <w:noProof/>
                <w:sz w:val="22"/>
              </w:rPr>
            </w:pPr>
            <w:r w:rsidRPr="00DC67EB">
              <w:rPr>
                <w:noProof/>
                <w:sz w:val="22"/>
              </w:rPr>
              <w:t>0,012</w:t>
            </w:r>
          </w:p>
        </w:tc>
        <w:tc>
          <w:tcPr>
            <w:tcW w:w="1136" w:type="dxa"/>
            <w:gridSpan w:val="2"/>
            <w:tcMar>
              <w:left w:w="28" w:type="dxa"/>
              <w:right w:w="28" w:type="dxa"/>
            </w:tcMar>
          </w:tcPr>
          <w:p w14:paraId="559A406F" w14:textId="77777777" w:rsidR="00FA31A1" w:rsidRPr="00DC67EB" w:rsidRDefault="00FA31A1" w:rsidP="00FA31A1">
            <w:pPr>
              <w:spacing w:before="40" w:after="40"/>
              <w:rPr>
                <w:noProof/>
                <w:sz w:val="22"/>
              </w:rPr>
            </w:pPr>
            <w:r w:rsidRPr="00DC67EB">
              <w:rPr>
                <w:noProof/>
                <w:sz w:val="22"/>
              </w:rPr>
              <w:t>6,1</w:t>
            </w:r>
          </w:p>
        </w:tc>
        <w:tc>
          <w:tcPr>
            <w:tcW w:w="1262" w:type="dxa"/>
            <w:tcMar>
              <w:left w:w="28" w:type="dxa"/>
              <w:right w:w="28" w:type="dxa"/>
            </w:tcMar>
          </w:tcPr>
          <w:p w14:paraId="19A6CB60" w14:textId="77777777" w:rsidR="00FA31A1" w:rsidRPr="00DC67EB" w:rsidRDefault="00FA31A1" w:rsidP="00FA31A1">
            <w:pPr>
              <w:spacing w:before="40" w:after="40"/>
              <w:rPr>
                <w:strike/>
                <w:noProof/>
                <w:sz w:val="22"/>
              </w:rPr>
            </w:pPr>
            <w:r w:rsidRPr="00DC67EB">
              <w:rPr>
                <w:noProof/>
                <w:sz w:val="22"/>
              </w:rPr>
              <w:t>X</w:t>
            </w:r>
          </w:p>
        </w:tc>
        <w:tc>
          <w:tcPr>
            <w:tcW w:w="1153" w:type="dxa"/>
            <w:gridSpan w:val="2"/>
            <w:tcMar>
              <w:left w:w="28" w:type="dxa"/>
              <w:right w:w="28" w:type="dxa"/>
            </w:tcMar>
          </w:tcPr>
          <w:p w14:paraId="2ED4EEAE" w14:textId="77777777" w:rsidR="00FA31A1" w:rsidRPr="00DC67EB" w:rsidRDefault="00FA31A1" w:rsidP="00FA31A1">
            <w:pPr>
              <w:spacing w:before="40" w:after="40"/>
              <w:rPr>
                <w:noProof/>
                <w:sz w:val="22"/>
              </w:rPr>
            </w:pPr>
            <w:r w:rsidRPr="00DC67EB">
              <w:rPr>
                <w:noProof/>
                <w:sz w:val="22"/>
              </w:rPr>
              <w:t>X</w:t>
            </w:r>
          </w:p>
        </w:tc>
        <w:tc>
          <w:tcPr>
            <w:tcW w:w="970" w:type="dxa"/>
            <w:tcMar>
              <w:left w:w="28" w:type="dxa"/>
              <w:right w:w="28" w:type="dxa"/>
            </w:tcMar>
          </w:tcPr>
          <w:p w14:paraId="39D543A8" w14:textId="77777777" w:rsidR="00FA31A1" w:rsidRPr="00DC67EB" w:rsidRDefault="00FA31A1" w:rsidP="00FA31A1">
            <w:pPr>
              <w:spacing w:before="40" w:after="40"/>
              <w:rPr>
                <w:noProof/>
                <w:sz w:val="22"/>
              </w:rPr>
            </w:pPr>
            <w:r w:rsidRPr="00DC67EB">
              <w:rPr>
                <w:noProof/>
                <w:sz w:val="22"/>
              </w:rPr>
              <w:t>X</w:t>
            </w:r>
          </w:p>
        </w:tc>
      </w:tr>
      <w:tr w:rsidR="00DC67EB" w:rsidRPr="00DC67EB" w14:paraId="3F1B32B4" w14:textId="77777777" w:rsidTr="00FA31A1">
        <w:trPr>
          <w:gridBefore w:val="1"/>
          <w:wBefore w:w="12" w:type="dxa"/>
          <w:cantSplit/>
          <w:tblHeader/>
          <w:jc w:val="center"/>
        </w:trPr>
        <w:tc>
          <w:tcPr>
            <w:tcW w:w="651" w:type="dxa"/>
            <w:gridSpan w:val="3"/>
            <w:tcMar>
              <w:left w:w="28" w:type="dxa"/>
              <w:right w:w="28" w:type="dxa"/>
            </w:tcMar>
          </w:tcPr>
          <w:p w14:paraId="72F39AE4" w14:textId="77777777" w:rsidR="00FA31A1" w:rsidRPr="00DC67EB" w:rsidRDefault="00FA31A1" w:rsidP="00FA31A1">
            <w:pPr>
              <w:spacing w:before="40" w:after="40"/>
              <w:rPr>
                <w:noProof/>
                <w:sz w:val="22"/>
              </w:rPr>
            </w:pPr>
            <w:r w:rsidRPr="00DC67EB">
              <w:rPr>
                <w:noProof/>
                <w:sz w:val="22"/>
              </w:rPr>
              <w:t>16.</w:t>
            </w:r>
          </w:p>
        </w:tc>
        <w:tc>
          <w:tcPr>
            <w:tcW w:w="2286" w:type="dxa"/>
            <w:gridSpan w:val="3"/>
            <w:tcMar>
              <w:left w:w="28" w:type="dxa"/>
              <w:right w:w="28" w:type="dxa"/>
            </w:tcMar>
          </w:tcPr>
          <w:p w14:paraId="068A0DE6" w14:textId="77777777" w:rsidR="00FA31A1" w:rsidRPr="00DC67EB" w:rsidRDefault="00FA31A1" w:rsidP="00FA31A1">
            <w:pPr>
              <w:spacing w:before="40" w:after="40"/>
              <w:rPr>
                <w:noProof/>
                <w:sz w:val="22"/>
              </w:rPr>
            </w:pPr>
            <w:r w:rsidRPr="00DC67EB">
              <w:rPr>
                <w:noProof/>
                <w:sz w:val="22"/>
              </w:rPr>
              <w:t>Hexaklór-benzol</w:t>
            </w:r>
          </w:p>
        </w:tc>
        <w:tc>
          <w:tcPr>
            <w:tcW w:w="1329" w:type="dxa"/>
            <w:gridSpan w:val="3"/>
            <w:tcMar>
              <w:left w:w="28" w:type="dxa"/>
              <w:right w:w="28" w:type="dxa"/>
            </w:tcMar>
          </w:tcPr>
          <w:p w14:paraId="7943E7C6" w14:textId="77777777" w:rsidR="00FA31A1" w:rsidRPr="00DC67EB" w:rsidRDefault="00FA31A1" w:rsidP="00FA31A1">
            <w:pPr>
              <w:spacing w:before="40" w:after="40"/>
              <w:rPr>
                <w:noProof/>
                <w:sz w:val="22"/>
              </w:rPr>
            </w:pPr>
            <w:r w:rsidRPr="00DC67EB">
              <w:rPr>
                <w:noProof/>
                <w:sz w:val="22"/>
              </w:rPr>
              <w:t>Szerves klórt tartalmazó peszticidek</w:t>
            </w:r>
          </w:p>
        </w:tc>
        <w:tc>
          <w:tcPr>
            <w:tcW w:w="992" w:type="dxa"/>
            <w:gridSpan w:val="2"/>
            <w:tcMar>
              <w:left w:w="28" w:type="dxa"/>
              <w:right w:w="28" w:type="dxa"/>
            </w:tcMar>
          </w:tcPr>
          <w:p w14:paraId="3D1F921D" w14:textId="77777777" w:rsidR="00FA31A1" w:rsidRPr="00DC67EB" w:rsidRDefault="00FA31A1" w:rsidP="00FA31A1">
            <w:pPr>
              <w:spacing w:before="40" w:after="40"/>
              <w:rPr>
                <w:noProof/>
                <w:sz w:val="22"/>
              </w:rPr>
            </w:pPr>
            <w:r w:rsidRPr="00DC67EB">
              <w:rPr>
                <w:noProof/>
                <w:sz w:val="22"/>
              </w:rPr>
              <w:t>118</w:t>
            </w:r>
            <w:r w:rsidRPr="00DC67EB">
              <w:rPr>
                <w:noProof/>
                <w:sz w:val="22"/>
              </w:rPr>
              <w:noBreakHyphen/>
              <w:t>74</w:t>
            </w:r>
            <w:r w:rsidRPr="00DC67EB">
              <w:rPr>
                <w:noProof/>
                <w:sz w:val="22"/>
              </w:rPr>
              <w:noBreakHyphen/>
              <w:t>1</w:t>
            </w:r>
          </w:p>
        </w:tc>
        <w:tc>
          <w:tcPr>
            <w:tcW w:w="1134" w:type="dxa"/>
          </w:tcPr>
          <w:p w14:paraId="7F352DAF" w14:textId="77777777" w:rsidR="00FA31A1" w:rsidRPr="00DC67EB" w:rsidRDefault="00FA31A1" w:rsidP="00FA31A1">
            <w:pPr>
              <w:spacing w:before="40" w:after="40"/>
              <w:rPr>
                <w:noProof/>
                <w:sz w:val="22"/>
              </w:rPr>
            </w:pPr>
            <w:r w:rsidRPr="00DC67EB">
              <w:rPr>
                <w:noProof/>
                <w:sz w:val="22"/>
              </w:rPr>
              <w:t>204-273-9</w:t>
            </w:r>
          </w:p>
        </w:tc>
        <w:tc>
          <w:tcPr>
            <w:tcW w:w="1279" w:type="dxa"/>
            <w:gridSpan w:val="2"/>
            <w:tcMar>
              <w:left w:w="28" w:type="dxa"/>
              <w:right w:w="28" w:type="dxa"/>
            </w:tcMar>
          </w:tcPr>
          <w:p w14:paraId="362699E5" w14:textId="77777777" w:rsidR="00FA31A1" w:rsidRPr="00DC67EB" w:rsidRDefault="00FA31A1" w:rsidP="00FA31A1">
            <w:pPr>
              <w:spacing w:before="40" w:after="40"/>
              <w:rPr>
                <w:noProof/>
                <w:sz w:val="22"/>
              </w:rPr>
            </w:pPr>
          </w:p>
        </w:tc>
        <w:tc>
          <w:tcPr>
            <w:tcW w:w="1279" w:type="dxa"/>
            <w:gridSpan w:val="2"/>
            <w:tcMar>
              <w:left w:w="28" w:type="dxa"/>
              <w:right w:w="28" w:type="dxa"/>
            </w:tcMar>
          </w:tcPr>
          <w:p w14:paraId="01EAC1D5" w14:textId="77777777" w:rsidR="00FA31A1" w:rsidRPr="00DC67EB" w:rsidRDefault="00FA31A1" w:rsidP="00FA31A1">
            <w:pPr>
              <w:spacing w:before="40" w:after="40"/>
              <w:rPr>
                <w:noProof/>
                <w:sz w:val="22"/>
              </w:rPr>
            </w:pPr>
          </w:p>
        </w:tc>
        <w:tc>
          <w:tcPr>
            <w:tcW w:w="1278" w:type="dxa"/>
            <w:gridSpan w:val="2"/>
            <w:tcMar>
              <w:left w:w="28" w:type="dxa"/>
              <w:right w:w="28" w:type="dxa"/>
            </w:tcMar>
          </w:tcPr>
          <w:p w14:paraId="261AC17A" w14:textId="77777777" w:rsidR="00FA31A1" w:rsidRPr="00DC67EB" w:rsidRDefault="00FA31A1" w:rsidP="00FA31A1">
            <w:pPr>
              <w:spacing w:before="40" w:after="40"/>
              <w:rPr>
                <w:noProof/>
                <w:sz w:val="22"/>
              </w:rPr>
            </w:pPr>
            <w:r w:rsidRPr="00DC67EB">
              <w:rPr>
                <w:noProof/>
                <w:sz w:val="22"/>
              </w:rPr>
              <w:t>0,5</w:t>
            </w:r>
          </w:p>
        </w:tc>
        <w:tc>
          <w:tcPr>
            <w:tcW w:w="1277" w:type="dxa"/>
            <w:gridSpan w:val="2"/>
            <w:tcMar>
              <w:left w:w="28" w:type="dxa"/>
              <w:right w:w="28" w:type="dxa"/>
            </w:tcMar>
          </w:tcPr>
          <w:p w14:paraId="6B7D2888" w14:textId="77777777" w:rsidR="00FA31A1" w:rsidRPr="00DC67EB" w:rsidRDefault="00FA31A1" w:rsidP="00FA31A1">
            <w:pPr>
              <w:spacing w:before="40" w:after="40"/>
              <w:rPr>
                <w:noProof/>
                <w:sz w:val="22"/>
              </w:rPr>
            </w:pPr>
            <w:r w:rsidRPr="00DC67EB">
              <w:rPr>
                <w:noProof/>
                <w:sz w:val="22"/>
              </w:rPr>
              <w:t>0,05</w:t>
            </w:r>
          </w:p>
        </w:tc>
        <w:tc>
          <w:tcPr>
            <w:tcW w:w="1136" w:type="dxa"/>
            <w:gridSpan w:val="2"/>
            <w:tcMar>
              <w:left w:w="28" w:type="dxa"/>
              <w:right w:w="28" w:type="dxa"/>
            </w:tcMar>
          </w:tcPr>
          <w:p w14:paraId="3B88D7A0" w14:textId="77777777" w:rsidR="00FA31A1" w:rsidRPr="00DC67EB" w:rsidRDefault="00FA31A1" w:rsidP="00FA31A1">
            <w:pPr>
              <w:spacing w:before="40" w:after="40"/>
              <w:rPr>
                <w:noProof/>
                <w:sz w:val="22"/>
              </w:rPr>
            </w:pPr>
            <w:r w:rsidRPr="00DC67EB">
              <w:rPr>
                <w:noProof/>
                <w:sz w:val="22"/>
              </w:rPr>
              <w:t>20</w:t>
            </w:r>
          </w:p>
        </w:tc>
        <w:tc>
          <w:tcPr>
            <w:tcW w:w="1262" w:type="dxa"/>
            <w:tcMar>
              <w:left w:w="28" w:type="dxa"/>
              <w:right w:w="28" w:type="dxa"/>
            </w:tcMar>
          </w:tcPr>
          <w:p w14:paraId="0BC4F676" w14:textId="77777777" w:rsidR="00FA31A1" w:rsidRPr="00DC67EB" w:rsidRDefault="00FA31A1" w:rsidP="00FA31A1">
            <w:pPr>
              <w:spacing w:before="40" w:after="40"/>
              <w:rPr>
                <w:noProof/>
                <w:sz w:val="22"/>
              </w:rPr>
            </w:pPr>
            <w:r w:rsidRPr="00DC67EB">
              <w:rPr>
                <w:noProof/>
                <w:sz w:val="22"/>
              </w:rPr>
              <w:t>X</w:t>
            </w:r>
          </w:p>
        </w:tc>
        <w:tc>
          <w:tcPr>
            <w:tcW w:w="1153" w:type="dxa"/>
            <w:gridSpan w:val="2"/>
            <w:tcMar>
              <w:left w:w="28" w:type="dxa"/>
              <w:right w:w="28" w:type="dxa"/>
            </w:tcMar>
          </w:tcPr>
          <w:p w14:paraId="1E2FBE79" w14:textId="77777777" w:rsidR="00FA31A1" w:rsidRPr="00DC67EB" w:rsidRDefault="00FA31A1" w:rsidP="00FA31A1">
            <w:pPr>
              <w:spacing w:before="40" w:after="40"/>
              <w:rPr>
                <w:noProof/>
                <w:sz w:val="22"/>
              </w:rPr>
            </w:pPr>
          </w:p>
        </w:tc>
        <w:tc>
          <w:tcPr>
            <w:tcW w:w="970" w:type="dxa"/>
            <w:tcMar>
              <w:left w:w="28" w:type="dxa"/>
              <w:right w:w="28" w:type="dxa"/>
            </w:tcMar>
          </w:tcPr>
          <w:p w14:paraId="28AAE4E0" w14:textId="77777777" w:rsidR="00FA31A1" w:rsidRPr="00DC67EB" w:rsidRDefault="00FA31A1" w:rsidP="00FA31A1">
            <w:pPr>
              <w:spacing w:before="40" w:after="40"/>
              <w:rPr>
                <w:noProof/>
                <w:sz w:val="22"/>
              </w:rPr>
            </w:pPr>
            <w:r w:rsidRPr="00DC67EB">
              <w:rPr>
                <w:noProof/>
                <w:sz w:val="22"/>
              </w:rPr>
              <w:t>X</w:t>
            </w:r>
          </w:p>
        </w:tc>
      </w:tr>
      <w:tr w:rsidR="00DC67EB" w:rsidRPr="00DC67EB" w14:paraId="6511D993" w14:textId="77777777" w:rsidTr="00FA31A1">
        <w:trPr>
          <w:gridBefore w:val="1"/>
          <w:wBefore w:w="12" w:type="dxa"/>
          <w:cantSplit/>
          <w:tblHeader/>
          <w:jc w:val="center"/>
        </w:trPr>
        <w:tc>
          <w:tcPr>
            <w:tcW w:w="651" w:type="dxa"/>
            <w:gridSpan w:val="3"/>
            <w:tcMar>
              <w:left w:w="28" w:type="dxa"/>
              <w:right w:w="28" w:type="dxa"/>
            </w:tcMar>
          </w:tcPr>
          <w:p w14:paraId="1174E841" w14:textId="77777777" w:rsidR="00FA31A1" w:rsidRPr="00DC67EB" w:rsidRDefault="00FA31A1" w:rsidP="00FA31A1">
            <w:pPr>
              <w:spacing w:before="40" w:after="40"/>
              <w:rPr>
                <w:noProof/>
                <w:sz w:val="22"/>
              </w:rPr>
            </w:pPr>
            <w:r w:rsidRPr="00DC67EB">
              <w:rPr>
                <w:noProof/>
                <w:sz w:val="22"/>
              </w:rPr>
              <w:t>17.</w:t>
            </w:r>
          </w:p>
        </w:tc>
        <w:tc>
          <w:tcPr>
            <w:tcW w:w="2286" w:type="dxa"/>
            <w:gridSpan w:val="3"/>
            <w:tcMar>
              <w:left w:w="28" w:type="dxa"/>
              <w:right w:w="28" w:type="dxa"/>
            </w:tcMar>
          </w:tcPr>
          <w:p w14:paraId="4CFEB651" w14:textId="77777777" w:rsidR="00FA31A1" w:rsidRPr="00DC67EB" w:rsidRDefault="00FA31A1" w:rsidP="00FA31A1">
            <w:pPr>
              <w:spacing w:before="40" w:after="40"/>
              <w:rPr>
                <w:noProof/>
                <w:sz w:val="22"/>
              </w:rPr>
            </w:pPr>
            <w:r w:rsidRPr="00DC67EB">
              <w:rPr>
                <w:noProof/>
                <w:sz w:val="22"/>
              </w:rPr>
              <w:t>Hexaklór-butadién</w:t>
            </w:r>
          </w:p>
        </w:tc>
        <w:tc>
          <w:tcPr>
            <w:tcW w:w="1329" w:type="dxa"/>
            <w:gridSpan w:val="3"/>
            <w:tcMar>
              <w:left w:w="28" w:type="dxa"/>
              <w:right w:w="28" w:type="dxa"/>
            </w:tcMar>
          </w:tcPr>
          <w:p w14:paraId="62A51DD0" w14:textId="77777777" w:rsidR="00FA31A1" w:rsidRPr="00DC67EB" w:rsidRDefault="00FA31A1" w:rsidP="00FA31A1">
            <w:pPr>
              <w:spacing w:before="40" w:after="40"/>
              <w:rPr>
                <w:noProof/>
                <w:sz w:val="22"/>
              </w:rPr>
            </w:pPr>
            <w:r w:rsidRPr="00DC67EB">
              <w:rPr>
                <w:noProof/>
                <w:sz w:val="22"/>
              </w:rPr>
              <w:t>Ipari anyagok (oldószerek)</w:t>
            </w:r>
          </w:p>
        </w:tc>
        <w:tc>
          <w:tcPr>
            <w:tcW w:w="992" w:type="dxa"/>
            <w:gridSpan w:val="2"/>
            <w:tcMar>
              <w:left w:w="28" w:type="dxa"/>
              <w:right w:w="28" w:type="dxa"/>
            </w:tcMar>
          </w:tcPr>
          <w:p w14:paraId="73758CFA" w14:textId="77777777" w:rsidR="00FA31A1" w:rsidRPr="00DC67EB" w:rsidRDefault="00FA31A1" w:rsidP="00FA31A1">
            <w:pPr>
              <w:spacing w:before="40" w:after="40"/>
              <w:rPr>
                <w:noProof/>
                <w:sz w:val="22"/>
              </w:rPr>
            </w:pPr>
            <w:r w:rsidRPr="00DC67EB">
              <w:rPr>
                <w:noProof/>
                <w:sz w:val="22"/>
              </w:rPr>
              <w:t>87</w:t>
            </w:r>
            <w:r w:rsidRPr="00DC67EB">
              <w:rPr>
                <w:noProof/>
                <w:sz w:val="22"/>
              </w:rPr>
              <w:noBreakHyphen/>
              <w:t>68</w:t>
            </w:r>
            <w:r w:rsidRPr="00DC67EB">
              <w:rPr>
                <w:noProof/>
                <w:sz w:val="22"/>
              </w:rPr>
              <w:noBreakHyphen/>
              <w:t>3</w:t>
            </w:r>
          </w:p>
        </w:tc>
        <w:tc>
          <w:tcPr>
            <w:tcW w:w="1134" w:type="dxa"/>
          </w:tcPr>
          <w:p w14:paraId="7FAE398B" w14:textId="77777777" w:rsidR="00FA31A1" w:rsidRPr="00DC67EB" w:rsidRDefault="00FA31A1" w:rsidP="00FA31A1">
            <w:pPr>
              <w:spacing w:before="40" w:after="40"/>
              <w:rPr>
                <w:noProof/>
                <w:sz w:val="22"/>
              </w:rPr>
            </w:pPr>
            <w:r w:rsidRPr="00DC67EB">
              <w:rPr>
                <w:noProof/>
                <w:sz w:val="22"/>
              </w:rPr>
              <w:t>201-765-5</w:t>
            </w:r>
          </w:p>
        </w:tc>
        <w:tc>
          <w:tcPr>
            <w:tcW w:w="1279" w:type="dxa"/>
            <w:gridSpan w:val="2"/>
            <w:tcMar>
              <w:left w:w="28" w:type="dxa"/>
              <w:right w:w="28" w:type="dxa"/>
            </w:tcMar>
          </w:tcPr>
          <w:p w14:paraId="59E28AE5" w14:textId="77777777" w:rsidR="00FA31A1" w:rsidRPr="00DC67EB" w:rsidRDefault="00FA31A1" w:rsidP="00FA31A1">
            <w:pPr>
              <w:spacing w:before="40" w:after="40"/>
              <w:rPr>
                <w:noProof/>
                <w:sz w:val="22"/>
              </w:rPr>
            </w:pPr>
            <w:r w:rsidRPr="00DC67EB">
              <w:rPr>
                <w:noProof/>
                <w:sz w:val="22"/>
              </w:rPr>
              <w:t>9 × 10</w:t>
            </w:r>
            <w:r w:rsidRPr="00DC67EB">
              <w:rPr>
                <w:noProof/>
                <w:sz w:val="22"/>
                <w:vertAlign w:val="superscript"/>
              </w:rPr>
              <w:t>-4</w:t>
            </w:r>
          </w:p>
        </w:tc>
        <w:tc>
          <w:tcPr>
            <w:tcW w:w="1279" w:type="dxa"/>
            <w:gridSpan w:val="2"/>
            <w:tcMar>
              <w:left w:w="28" w:type="dxa"/>
              <w:right w:w="28" w:type="dxa"/>
            </w:tcMar>
          </w:tcPr>
          <w:p w14:paraId="62F767B4" w14:textId="77777777" w:rsidR="00FA31A1" w:rsidRPr="00DC67EB" w:rsidRDefault="00FA31A1" w:rsidP="00FA31A1">
            <w:pPr>
              <w:spacing w:before="40" w:after="40"/>
              <w:rPr>
                <w:noProof/>
                <w:sz w:val="22"/>
              </w:rPr>
            </w:pPr>
          </w:p>
        </w:tc>
        <w:tc>
          <w:tcPr>
            <w:tcW w:w="1278" w:type="dxa"/>
            <w:gridSpan w:val="2"/>
            <w:tcMar>
              <w:left w:w="28" w:type="dxa"/>
              <w:right w:w="28" w:type="dxa"/>
            </w:tcMar>
          </w:tcPr>
          <w:p w14:paraId="48524F8A" w14:textId="77777777" w:rsidR="00FA31A1" w:rsidRPr="00DC67EB" w:rsidRDefault="00FA31A1" w:rsidP="00FA31A1">
            <w:pPr>
              <w:spacing w:before="40" w:after="40"/>
              <w:rPr>
                <w:noProof/>
                <w:sz w:val="22"/>
              </w:rPr>
            </w:pPr>
            <w:r w:rsidRPr="00DC67EB">
              <w:rPr>
                <w:noProof/>
                <w:sz w:val="22"/>
              </w:rPr>
              <w:t>0,6</w:t>
            </w:r>
          </w:p>
        </w:tc>
        <w:tc>
          <w:tcPr>
            <w:tcW w:w="1277" w:type="dxa"/>
            <w:gridSpan w:val="2"/>
            <w:tcMar>
              <w:left w:w="28" w:type="dxa"/>
              <w:right w:w="28" w:type="dxa"/>
            </w:tcMar>
          </w:tcPr>
          <w:p w14:paraId="18C2313C" w14:textId="77777777" w:rsidR="00FA31A1" w:rsidRPr="00DC67EB" w:rsidRDefault="00FA31A1" w:rsidP="00FA31A1">
            <w:pPr>
              <w:spacing w:before="40" w:after="40"/>
              <w:rPr>
                <w:noProof/>
                <w:sz w:val="22"/>
              </w:rPr>
            </w:pPr>
            <w:r w:rsidRPr="00DC67EB">
              <w:rPr>
                <w:noProof/>
                <w:sz w:val="22"/>
              </w:rPr>
              <w:t>0,6</w:t>
            </w:r>
          </w:p>
        </w:tc>
        <w:tc>
          <w:tcPr>
            <w:tcW w:w="1136" w:type="dxa"/>
            <w:gridSpan w:val="2"/>
            <w:tcMar>
              <w:left w:w="28" w:type="dxa"/>
              <w:right w:w="28" w:type="dxa"/>
            </w:tcMar>
          </w:tcPr>
          <w:p w14:paraId="6CE784F0" w14:textId="77777777" w:rsidR="00FA31A1" w:rsidRPr="00DC67EB" w:rsidRDefault="00FA31A1" w:rsidP="00FA31A1">
            <w:pPr>
              <w:spacing w:before="40" w:after="40"/>
              <w:rPr>
                <w:noProof/>
                <w:sz w:val="22"/>
              </w:rPr>
            </w:pPr>
            <w:r w:rsidRPr="00DC67EB">
              <w:rPr>
                <w:noProof/>
                <w:sz w:val="22"/>
              </w:rPr>
              <w:t>21</w:t>
            </w:r>
          </w:p>
        </w:tc>
        <w:tc>
          <w:tcPr>
            <w:tcW w:w="1262" w:type="dxa"/>
            <w:tcMar>
              <w:left w:w="28" w:type="dxa"/>
              <w:right w:w="28" w:type="dxa"/>
            </w:tcMar>
          </w:tcPr>
          <w:p w14:paraId="08E3E998" w14:textId="77777777" w:rsidR="00FA31A1" w:rsidRPr="00DC67EB" w:rsidRDefault="00FA31A1" w:rsidP="00FA31A1">
            <w:pPr>
              <w:spacing w:before="40" w:after="40"/>
              <w:rPr>
                <w:noProof/>
                <w:sz w:val="22"/>
              </w:rPr>
            </w:pPr>
            <w:r w:rsidRPr="00DC67EB">
              <w:rPr>
                <w:noProof/>
                <w:sz w:val="22"/>
              </w:rPr>
              <w:t>X</w:t>
            </w:r>
          </w:p>
        </w:tc>
        <w:tc>
          <w:tcPr>
            <w:tcW w:w="1153" w:type="dxa"/>
            <w:gridSpan w:val="2"/>
            <w:tcMar>
              <w:left w:w="28" w:type="dxa"/>
              <w:right w:w="28" w:type="dxa"/>
            </w:tcMar>
          </w:tcPr>
          <w:p w14:paraId="2A85302E" w14:textId="77777777" w:rsidR="00FA31A1" w:rsidRPr="00DC67EB" w:rsidRDefault="00FA31A1" w:rsidP="00FA31A1">
            <w:pPr>
              <w:spacing w:before="40" w:after="40"/>
              <w:rPr>
                <w:noProof/>
                <w:sz w:val="22"/>
              </w:rPr>
            </w:pPr>
          </w:p>
        </w:tc>
        <w:tc>
          <w:tcPr>
            <w:tcW w:w="970" w:type="dxa"/>
            <w:tcMar>
              <w:left w:w="28" w:type="dxa"/>
              <w:right w:w="28" w:type="dxa"/>
            </w:tcMar>
          </w:tcPr>
          <w:p w14:paraId="529624E2" w14:textId="77777777" w:rsidR="00FA31A1" w:rsidRPr="00DC67EB" w:rsidRDefault="00FA31A1" w:rsidP="00FA31A1">
            <w:pPr>
              <w:spacing w:before="40" w:after="40"/>
              <w:rPr>
                <w:noProof/>
                <w:sz w:val="22"/>
              </w:rPr>
            </w:pPr>
            <w:r w:rsidRPr="00DC67EB">
              <w:rPr>
                <w:noProof/>
                <w:sz w:val="22"/>
              </w:rPr>
              <w:t>X</w:t>
            </w:r>
          </w:p>
        </w:tc>
      </w:tr>
      <w:tr w:rsidR="00DC67EB" w:rsidRPr="00DC67EB" w14:paraId="2E04B422" w14:textId="77777777" w:rsidTr="00FA31A1">
        <w:trPr>
          <w:gridBefore w:val="1"/>
          <w:wBefore w:w="12" w:type="dxa"/>
          <w:cantSplit/>
          <w:tblHeader/>
          <w:jc w:val="center"/>
        </w:trPr>
        <w:tc>
          <w:tcPr>
            <w:tcW w:w="651" w:type="dxa"/>
            <w:gridSpan w:val="3"/>
            <w:tcMar>
              <w:left w:w="28" w:type="dxa"/>
              <w:right w:w="28" w:type="dxa"/>
            </w:tcMar>
          </w:tcPr>
          <w:p w14:paraId="78D4D6AF" w14:textId="77777777" w:rsidR="00FA31A1" w:rsidRPr="00DC67EB" w:rsidRDefault="00FA31A1" w:rsidP="00FA31A1">
            <w:pPr>
              <w:spacing w:before="40" w:after="40"/>
              <w:rPr>
                <w:noProof/>
                <w:sz w:val="22"/>
              </w:rPr>
            </w:pPr>
            <w:r w:rsidRPr="00DC67EB">
              <w:rPr>
                <w:noProof/>
                <w:sz w:val="22"/>
              </w:rPr>
              <w:t>18.</w:t>
            </w:r>
          </w:p>
        </w:tc>
        <w:tc>
          <w:tcPr>
            <w:tcW w:w="2286" w:type="dxa"/>
            <w:gridSpan w:val="3"/>
            <w:tcMar>
              <w:left w:w="28" w:type="dxa"/>
              <w:right w:w="28" w:type="dxa"/>
            </w:tcMar>
          </w:tcPr>
          <w:p w14:paraId="183CE233" w14:textId="77777777" w:rsidR="00FA31A1" w:rsidRPr="00DC67EB" w:rsidRDefault="00FA31A1" w:rsidP="00FA31A1">
            <w:pPr>
              <w:spacing w:before="40" w:after="40"/>
              <w:rPr>
                <w:noProof/>
                <w:sz w:val="22"/>
              </w:rPr>
            </w:pPr>
            <w:r w:rsidRPr="00DC67EB">
              <w:rPr>
                <w:noProof/>
                <w:sz w:val="22"/>
              </w:rPr>
              <w:t>Hexaklór-ciklohexán</w:t>
            </w:r>
          </w:p>
        </w:tc>
        <w:tc>
          <w:tcPr>
            <w:tcW w:w="1329" w:type="dxa"/>
            <w:gridSpan w:val="3"/>
            <w:tcMar>
              <w:left w:w="28" w:type="dxa"/>
              <w:right w:w="28" w:type="dxa"/>
            </w:tcMar>
          </w:tcPr>
          <w:p w14:paraId="72BE8448" w14:textId="77777777" w:rsidR="00FA31A1" w:rsidRPr="00DC67EB" w:rsidRDefault="00FA31A1" w:rsidP="00FA31A1">
            <w:pPr>
              <w:spacing w:before="40" w:after="40"/>
              <w:rPr>
                <w:noProof/>
                <w:sz w:val="22"/>
              </w:rPr>
            </w:pPr>
            <w:r w:rsidRPr="00DC67EB">
              <w:rPr>
                <w:noProof/>
                <w:sz w:val="22"/>
              </w:rPr>
              <w:t>Rovarölők</w:t>
            </w:r>
          </w:p>
        </w:tc>
        <w:tc>
          <w:tcPr>
            <w:tcW w:w="992" w:type="dxa"/>
            <w:gridSpan w:val="2"/>
            <w:tcMar>
              <w:left w:w="28" w:type="dxa"/>
              <w:right w:w="28" w:type="dxa"/>
            </w:tcMar>
          </w:tcPr>
          <w:p w14:paraId="11E5C27C" w14:textId="77777777" w:rsidR="00FA31A1" w:rsidRPr="00DC67EB" w:rsidRDefault="00FA31A1" w:rsidP="00FA31A1">
            <w:pPr>
              <w:spacing w:before="40" w:after="40"/>
              <w:rPr>
                <w:noProof/>
                <w:sz w:val="22"/>
              </w:rPr>
            </w:pPr>
            <w:r w:rsidRPr="00DC67EB">
              <w:rPr>
                <w:noProof/>
                <w:sz w:val="22"/>
              </w:rPr>
              <w:t>608</w:t>
            </w:r>
            <w:r w:rsidRPr="00DC67EB">
              <w:rPr>
                <w:noProof/>
                <w:sz w:val="22"/>
              </w:rPr>
              <w:noBreakHyphen/>
              <w:t>73</w:t>
            </w:r>
            <w:r w:rsidRPr="00DC67EB">
              <w:rPr>
                <w:noProof/>
                <w:sz w:val="22"/>
              </w:rPr>
              <w:noBreakHyphen/>
              <w:t>1</w:t>
            </w:r>
          </w:p>
        </w:tc>
        <w:tc>
          <w:tcPr>
            <w:tcW w:w="1134" w:type="dxa"/>
          </w:tcPr>
          <w:p w14:paraId="3662BA22" w14:textId="77777777" w:rsidR="00FA31A1" w:rsidRPr="00DC67EB" w:rsidRDefault="00FA31A1" w:rsidP="00FA31A1">
            <w:pPr>
              <w:spacing w:before="40" w:after="40"/>
              <w:rPr>
                <w:noProof/>
                <w:sz w:val="22"/>
              </w:rPr>
            </w:pPr>
            <w:r w:rsidRPr="00DC67EB">
              <w:rPr>
                <w:noProof/>
                <w:sz w:val="22"/>
              </w:rPr>
              <w:t>210-168-9</w:t>
            </w:r>
          </w:p>
        </w:tc>
        <w:tc>
          <w:tcPr>
            <w:tcW w:w="1279" w:type="dxa"/>
            <w:gridSpan w:val="2"/>
            <w:tcMar>
              <w:left w:w="28" w:type="dxa"/>
              <w:right w:w="28" w:type="dxa"/>
            </w:tcMar>
          </w:tcPr>
          <w:p w14:paraId="048B6ED7" w14:textId="77777777" w:rsidR="00FA31A1" w:rsidRPr="00DC67EB" w:rsidRDefault="00FA31A1" w:rsidP="00FA31A1">
            <w:pPr>
              <w:spacing w:before="40" w:after="40"/>
              <w:rPr>
                <w:noProof/>
                <w:sz w:val="22"/>
              </w:rPr>
            </w:pPr>
            <w:r w:rsidRPr="00DC67EB">
              <w:rPr>
                <w:noProof/>
                <w:sz w:val="22"/>
              </w:rPr>
              <w:t>0,02</w:t>
            </w:r>
          </w:p>
        </w:tc>
        <w:tc>
          <w:tcPr>
            <w:tcW w:w="1279" w:type="dxa"/>
            <w:gridSpan w:val="2"/>
            <w:tcMar>
              <w:left w:w="28" w:type="dxa"/>
              <w:right w:w="28" w:type="dxa"/>
            </w:tcMar>
          </w:tcPr>
          <w:p w14:paraId="7427E254" w14:textId="77777777" w:rsidR="00FA31A1" w:rsidRPr="00DC67EB" w:rsidRDefault="00FA31A1" w:rsidP="00FA31A1">
            <w:pPr>
              <w:spacing w:before="40" w:after="40"/>
              <w:rPr>
                <w:noProof/>
                <w:sz w:val="22"/>
              </w:rPr>
            </w:pPr>
            <w:r w:rsidRPr="00DC67EB">
              <w:rPr>
                <w:noProof/>
                <w:sz w:val="22"/>
              </w:rPr>
              <w:t>0,002</w:t>
            </w:r>
          </w:p>
        </w:tc>
        <w:tc>
          <w:tcPr>
            <w:tcW w:w="1278" w:type="dxa"/>
            <w:gridSpan w:val="2"/>
            <w:tcMar>
              <w:left w:w="28" w:type="dxa"/>
              <w:right w:w="28" w:type="dxa"/>
            </w:tcMar>
          </w:tcPr>
          <w:p w14:paraId="3922A182" w14:textId="77777777" w:rsidR="00FA31A1" w:rsidRPr="00DC67EB" w:rsidRDefault="00FA31A1" w:rsidP="00FA31A1">
            <w:pPr>
              <w:spacing w:before="40" w:after="40"/>
              <w:rPr>
                <w:noProof/>
                <w:sz w:val="22"/>
              </w:rPr>
            </w:pPr>
            <w:r w:rsidRPr="00DC67EB">
              <w:rPr>
                <w:noProof/>
                <w:sz w:val="22"/>
              </w:rPr>
              <w:t>0,04</w:t>
            </w:r>
          </w:p>
        </w:tc>
        <w:tc>
          <w:tcPr>
            <w:tcW w:w="1277" w:type="dxa"/>
            <w:gridSpan w:val="2"/>
            <w:tcMar>
              <w:left w:w="28" w:type="dxa"/>
              <w:right w:w="28" w:type="dxa"/>
            </w:tcMar>
          </w:tcPr>
          <w:p w14:paraId="009ACEC6" w14:textId="77777777" w:rsidR="00FA31A1" w:rsidRPr="00DC67EB" w:rsidRDefault="00FA31A1" w:rsidP="00FA31A1">
            <w:pPr>
              <w:spacing w:before="40" w:after="40"/>
              <w:rPr>
                <w:noProof/>
                <w:sz w:val="22"/>
              </w:rPr>
            </w:pPr>
            <w:r w:rsidRPr="00DC67EB">
              <w:rPr>
                <w:noProof/>
                <w:sz w:val="22"/>
              </w:rPr>
              <w:t>0,02</w:t>
            </w:r>
          </w:p>
        </w:tc>
        <w:tc>
          <w:tcPr>
            <w:tcW w:w="1136" w:type="dxa"/>
            <w:gridSpan w:val="2"/>
            <w:tcMar>
              <w:left w:w="28" w:type="dxa"/>
              <w:right w:w="28" w:type="dxa"/>
            </w:tcMar>
          </w:tcPr>
          <w:p w14:paraId="4DFB2D8A" w14:textId="77777777" w:rsidR="00FA31A1" w:rsidRPr="00DC67EB" w:rsidRDefault="00FA31A1" w:rsidP="00FA31A1">
            <w:pPr>
              <w:spacing w:before="40" w:after="40"/>
              <w:rPr>
                <w:noProof/>
                <w:sz w:val="22"/>
              </w:rPr>
            </w:pPr>
          </w:p>
        </w:tc>
        <w:tc>
          <w:tcPr>
            <w:tcW w:w="1262" w:type="dxa"/>
            <w:tcMar>
              <w:left w:w="28" w:type="dxa"/>
              <w:right w:w="28" w:type="dxa"/>
            </w:tcMar>
          </w:tcPr>
          <w:p w14:paraId="380ED609" w14:textId="77777777" w:rsidR="00FA31A1" w:rsidRPr="00DC67EB" w:rsidRDefault="00FA31A1" w:rsidP="00FA31A1">
            <w:pPr>
              <w:spacing w:before="40" w:after="40"/>
              <w:rPr>
                <w:noProof/>
                <w:sz w:val="22"/>
              </w:rPr>
            </w:pPr>
            <w:r w:rsidRPr="00DC67EB">
              <w:rPr>
                <w:noProof/>
                <w:sz w:val="22"/>
              </w:rPr>
              <w:t>X</w:t>
            </w:r>
          </w:p>
        </w:tc>
        <w:tc>
          <w:tcPr>
            <w:tcW w:w="1153" w:type="dxa"/>
            <w:gridSpan w:val="2"/>
            <w:tcMar>
              <w:left w:w="28" w:type="dxa"/>
              <w:right w:w="28" w:type="dxa"/>
            </w:tcMar>
          </w:tcPr>
          <w:p w14:paraId="2C35E07A" w14:textId="77777777" w:rsidR="00FA31A1" w:rsidRPr="00DC67EB" w:rsidRDefault="00FA31A1" w:rsidP="00FA31A1">
            <w:pPr>
              <w:spacing w:before="40" w:after="40"/>
              <w:rPr>
                <w:noProof/>
                <w:sz w:val="22"/>
              </w:rPr>
            </w:pPr>
          </w:p>
        </w:tc>
        <w:tc>
          <w:tcPr>
            <w:tcW w:w="970" w:type="dxa"/>
            <w:tcMar>
              <w:left w:w="28" w:type="dxa"/>
              <w:right w:w="28" w:type="dxa"/>
            </w:tcMar>
          </w:tcPr>
          <w:p w14:paraId="29F16D8E" w14:textId="77777777" w:rsidR="00FA31A1" w:rsidRPr="00DC67EB" w:rsidRDefault="00FA31A1" w:rsidP="00FA31A1">
            <w:pPr>
              <w:spacing w:before="40" w:after="40"/>
              <w:rPr>
                <w:noProof/>
                <w:sz w:val="22"/>
              </w:rPr>
            </w:pPr>
            <w:r w:rsidRPr="00DC67EB">
              <w:rPr>
                <w:noProof/>
                <w:sz w:val="22"/>
              </w:rPr>
              <w:t>X</w:t>
            </w:r>
          </w:p>
        </w:tc>
      </w:tr>
      <w:tr w:rsidR="00DC67EB" w:rsidRPr="00DC67EB" w14:paraId="61F567D3" w14:textId="77777777" w:rsidTr="00FA31A1">
        <w:trPr>
          <w:gridBefore w:val="1"/>
          <w:wBefore w:w="12" w:type="dxa"/>
          <w:cantSplit/>
          <w:tblHeader/>
          <w:jc w:val="center"/>
        </w:trPr>
        <w:tc>
          <w:tcPr>
            <w:tcW w:w="651" w:type="dxa"/>
            <w:gridSpan w:val="3"/>
            <w:tcMar>
              <w:left w:w="28" w:type="dxa"/>
              <w:right w:w="28" w:type="dxa"/>
            </w:tcMar>
          </w:tcPr>
          <w:p w14:paraId="057F4423" w14:textId="77777777" w:rsidR="00FA31A1" w:rsidRPr="00DC67EB" w:rsidRDefault="00FA31A1" w:rsidP="00FA31A1">
            <w:pPr>
              <w:spacing w:before="40" w:after="40"/>
              <w:rPr>
                <w:noProof/>
                <w:sz w:val="22"/>
              </w:rPr>
            </w:pPr>
            <w:r w:rsidRPr="00DC67EB">
              <w:rPr>
                <w:noProof/>
                <w:sz w:val="22"/>
              </w:rPr>
              <w:t>19.</w:t>
            </w:r>
          </w:p>
        </w:tc>
        <w:tc>
          <w:tcPr>
            <w:tcW w:w="2286" w:type="dxa"/>
            <w:gridSpan w:val="3"/>
            <w:tcMar>
              <w:left w:w="28" w:type="dxa"/>
              <w:right w:w="28" w:type="dxa"/>
            </w:tcMar>
          </w:tcPr>
          <w:p w14:paraId="7E65A6A3" w14:textId="77777777" w:rsidR="00FA31A1" w:rsidRPr="00DC67EB" w:rsidRDefault="00FA31A1" w:rsidP="00FA31A1">
            <w:pPr>
              <w:spacing w:before="40" w:after="40"/>
              <w:rPr>
                <w:noProof/>
                <w:sz w:val="22"/>
              </w:rPr>
            </w:pPr>
            <w:r w:rsidRPr="00DC67EB">
              <w:rPr>
                <w:noProof/>
                <w:sz w:val="22"/>
              </w:rPr>
              <w:t>Izoproturon</w:t>
            </w:r>
          </w:p>
        </w:tc>
        <w:tc>
          <w:tcPr>
            <w:tcW w:w="1329" w:type="dxa"/>
            <w:gridSpan w:val="3"/>
            <w:tcMar>
              <w:left w:w="28" w:type="dxa"/>
              <w:right w:w="28" w:type="dxa"/>
            </w:tcMar>
          </w:tcPr>
          <w:p w14:paraId="1CB6B6B3" w14:textId="77777777" w:rsidR="00FA31A1" w:rsidRPr="00DC67EB" w:rsidRDefault="00FA31A1" w:rsidP="00FA31A1">
            <w:pPr>
              <w:spacing w:before="40" w:after="40"/>
              <w:rPr>
                <w:noProof/>
                <w:sz w:val="22"/>
              </w:rPr>
            </w:pPr>
            <w:r w:rsidRPr="00DC67EB">
              <w:rPr>
                <w:noProof/>
                <w:sz w:val="22"/>
              </w:rPr>
              <w:t>Gyomirtók</w:t>
            </w:r>
          </w:p>
        </w:tc>
        <w:tc>
          <w:tcPr>
            <w:tcW w:w="992" w:type="dxa"/>
            <w:gridSpan w:val="2"/>
            <w:tcMar>
              <w:left w:w="28" w:type="dxa"/>
              <w:right w:w="28" w:type="dxa"/>
            </w:tcMar>
          </w:tcPr>
          <w:p w14:paraId="288BB1B1" w14:textId="77777777" w:rsidR="00FA31A1" w:rsidRPr="00DC67EB" w:rsidRDefault="00FA31A1" w:rsidP="00FA31A1">
            <w:pPr>
              <w:spacing w:before="40" w:after="40"/>
              <w:rPr>
                <w:noProof/>
                <w:sz w:val="22"/>
              </w:rPr>
            </w:pPr>
            <w:r w:rsidRPr="00DC67EB">
              <w:rPr>
                <w:noProof/>
                <w:sz w:val="22"/>
              </w:rPr>
              <w:t>34123</w:t>
            </w:r>
            <w:r w:rsidRPr="00DC67EB">
              <w:rPr>
                <w:noProof/>
                <w:sz w:val="22"/>
              </w:rPr>
              <w:noBreakHyphen/>
              <w:t>59</w:t>
            </w:r>
            <w:r w:rsidRPr="00DC67EB">
              <w:rPr>
                <w:noProof/>
                <w:sz w:val="22"/>
              </w:rPr>
              <w:noBreakHyphen/>
              <w:t>6</w:t>
            </w:r>
          </w:p>
        </w:tc>
        <w:tc>
          <w:tcPr>
            <w:tcW w:w="1134" w:type="dxa"/>
          </w:tcPr>
          <w:p w14:paraId="122CA3C7" w14:textId="77777777" w:rsidR="00FA31A1" w:rsidRPr="00DC67EB" w:rsidRDefault="00FA31A1" w:rsidP="00FA31A1">
            <w:pPr>
              <w:spacing w:before="40" w:after="40"/>
              <w:rPr>
                <w:noProof/>
                <w:sz w:val="22"/>
              </w:rPr>
            </w:pPr>
            <w:r w:rsidRPr="00DC67EB">
              <w:rPr>
                <w:noProof/>
                <w:sz w:val="22"/>
              </w:rPr>
              <w:t>251-835-4</w:t>
            </w:r>
          </w:p>
        </w:tc>
        <w:tc>
          <w:tcPr>
            <w:tcW w:w="1279" w:type="dxa"/>
            <w:gridSpan w:val="2"/>
            <w:tcMar>
              <w:left w:w="28" w:type="dxa"/>
              <w:right w:w="28" w:type="dxa"/>
            </w:tcMar>
          </w:tcPr>
          <w:p w14:paraId="5593BFEA" w14:textId="77777777" w:rsidR="00FA31A1" w:rsidRPr="00DC67EB" w:rsidRDefault="00FA31A1" w:rsidP="00FA31A1">
            <w:pPr>
              <w:spacing w:before="40" w:after="40"/>
              <w:rPr>
                <w:noProof/>
                <w:sz w:val="22"/>
              </w:rPr>
            </w:pPr>
            <w:r w:rsidRPr="00DC67EB">
              <w:rPr>
                <w:noProof/>
                <w:sz w:val="22"/>
              </w:rPr>
              <w:t>0,3</w:t>
            </w:r>
          </w:p>
        </w:tc>
        <w:tc>
          <w:tcPr>
            <w:tcW w:w="1279" w:type="dxa"/>
            <w:gridSpan w:val="2"/>
            <w:tcMar>
              <w:left w:w="28" w:type="dxa"/>
              <w:right w:w="28" w:type="dxa"/>
            </w:tcMar>
          </w:tcPr>
          <w:p w14:paraId="20365DCF" w14:textId="77777777" w:rsidR="00FA31A1" w:rsidRPr="00DC67EB" w:rsidRDefault="00FA31A1" w:rsidP="00FA31A1">
            <w:pPr>
              <w:spacing w:before="40" w:after="40"/>
              <w:rPr>
                <w:noProof/>
                <w:sz w:val="22"/>
              </w:rPr>
            </w:pPr>
            <w:r w:rsidRPr="00DC67EB">
              <w:rPr>
                <w:noProof/>
                <w:sz w:val="22"/>
              </w:rPr>
              <w:t>0,3</w:t>
            </w:r>
          </w:p>
        </w:tc>
        <w:tc>
          <w:tcPr>
            <w:tcW w:w="1278" w:type="dxa"/>
            <w:gridSpan w:val="2"/>
            <w:tcMar>
              <w:left w:w="28" w:type="dxa"/>
              <w:right w:w="28" w:type="dxa"/>
            </w:tcMar>
          </w:tcPr>
          <w:p w14:paraId="60B993F5" w14:textId="77777777" w:rsidR="00FA31A1" w:rsidRPr="00DC67EB" w:rsidRDefault="00FA31A1" w:rsidP="00FA31A1">
            <w:pPr>
              <w:spacing w:before="40" w:after="40"/>
              <w:rPr>
                <w:noProof/>
                <w:sz w:val="22"/>
              </w:rPr>
            </w:pPr>
            <w:r w:rsidRPr="00DC67EB">
              <w:rPr>
                <w:noProof/>
                <w:sz w:val="22"/>
              </w:rPr>
              <w:t>1,0</w:t>
            </w:r>
          </w:p>
        </w:tc>
        <w:tc>
          <w:tcPr>
            <w:tcW w:w="1277" w:type="dxa"/>
            <w:gridSpan w:val="2"/>
            <w:tcMar>
              <w:left w:w="28" w:type="dxa"/>
              <w:right w:w="28" w:type="dxa"/>
            </w:tcMar>
          </w:tcPr>
          <w:p w14:paraId="4A6DFBF7" w14:textId="77777777" w:rsidR="00FA31A1" w:rsidRPr="00DC67EB" w:rsidRDefault="00FA31A1" w:rsidP="00FA31A1">
            <w:pPr>
              <w:spacing w:before="40" w:after="40"/>
              <w:rPr>
                <w:noProof/>
                <w:sz w:val="22"/>
              </w:rPr>
            </w:pPr>
            <w:r w:rsidRPr="00DC67EB">
              <w:rPr>
                <w:noProof/>
                <w:sz w:val="22"/>
              </w:rPr>
              <w:t>1,0</w:t>
            </w:r>
          </w:p>
        </w:tc>
        <w:tc>
          <w:tcPr>
            <w:tcW w:w="1136" w:type="dxa"/>
            <w:gridSpan w:val="2"/>
            <w:tcMar>
              <w:left w:w="28" w:type="dxa"/>
              <w:right w:w="28" w:type="dxa"/>
            </w:tcMar>
          </w:tcPr>
          <w:p w14:paraId="78680406" w14:textId="77777777" w:rsidR="00FA31A1" w:rsidRPr="00DC67EB" w:rsidRDefault="00FA31A1" w:rsidP="00FA31A1">
            <w:pPr>
              <w:spacing w:before="40" w:after="40"/>
              <w:rPr>
                <w:noProof/>
                <w:sz w:val="22"/>
              </w:rPr>
            </w:pPr>
          </w:p>
        </w:tc>
        <w:tc>
          <w:tcPr>
            <w:tcW w:w="1262" w:type="dxa"/>
            <w:tcMar>
              <w:left w:w="28" w:type="dxa"/>
              <w:right w:w="28" w:type="dxa"/>
            </w:tcMar>
          </w:tcPr>
          <w:p w14:paraId="496F5D74" w14:textId="77777777" w:rsidR="00FA31A1" w:rsidRPr="00DC67EB" w:rsidRDefault="00FA31A1" w:rsidP="00FA31A1">
            <w:pPr>
              <w:spacing w:before="40" w:after="40"/>
              <w:rPr>
                <w:noProof/>
                <w:sz w:val="22"/>
              </w:rPr>
            </w:pPr>
          </w:p>
        </w:tc>
        <w:tc>
          <w:tcPr>
            <w:tcW w:w="1153" w:type="dxa"/>
            <w:gridSpan w:val="2"/>
            <w:tcMar>
              <w:left w:w="28" w:type="dxa"/>
              <w:right w:w="28" w:type="dxa"/>
            </w:tcMar>
          </w:tcPr>
          <w:p w14:paraId="50610DF8" w14:textId="77777777" w:rsidR="00FA31A1" w:rsidRPr="00DC67EB" w:rsidRDefault="00FA31A1" w:rsidP="00FA31A1">
            <w:pPr>
              <w:spacing w:before="40" w:after="40"/>
              <w:rPr>
                <w:noProof/>
                <w:sz w:val="22"/>
              </w:rPr>
            </w:pPr>
          </w:p>
        </w:tc>
        <w:tc>
          <w:tcPr>
            <w:tcW w:w="970" w:type="dxa"/>
            <w:tcMar>
              <w:left w:w="28" w:type="dxa"/>
              <w:right w:w="28" w:type="dxa"/>
            </w:tcMar>
          </w:tcPr>
          <w:p w14:paraId="3661D356" w14:textId="77777777" w:rsidR="00FA31A1" w:rsidRPr="00DC67EB" w:rsidRDefault="00FA31A1" w:rsidP="00FA31A1">
            <w:pPr>
              <w:spacing w:before="40" w:after="40"/>
              <w:rPr>
                <w:noProof/>
                <w:sz w:val="22"/>
              </w:rPr>
            </w:pPr>
          </w:p>
        </w:tc>
      </w:tr>
      <w:tr w:rsidR="00DC67EB" w:rsidRPr="00DC67EB" w14:paraId="40B860A6" w14:textId="77777777" w:rsidTr="00FA31A1">
        <w:trPr>
          <w:gridBefore w:val="1"/>
          <w:wBefore w:w="12" w:type="dxa"/>
          <w:cantSplit/>
          <w:tblHeader/>
          <w:jc w:val="center"/>
        </w:trPr>
        <w:tc>
          <w:tcPr>
            <w:tcW w:w="651" w:type="dxa"/>
            <w:gridSpan w:val="3"/>
            <w:tcMar>
              <w:left w:w="28" w:type="dxa"/>
              <w:right w:w="28" w:type="dxa"/>
            </w:tcMar>
          </w:tcPr>
          <w:p w14:paraId="1E9D04D6" w14:textId="77777777" w:rsidR="00FA31A1" w:rsidRPr="00DC67EB" w:rsidRDefault="00FA31A1" w:rsidP="00FA31A1">
            <w:pPr>
              <w:spacing w:before="40" w:after="40"/>
              <w:rPr>
                <w:noProof/>
                <w:sz w:val="22"/>
              </w:rPr>
            </w:pPr>
            <w:r w:rsidRPr="00DC67EB">
              <w:rPr>
                <w:noProof/>
                <w:sz w:val="22"/>
              </w:rPr>
              <w:t>20.</w:t>
            </w:r>
          </w:p>
        </w:tc>
        <w:tc>
          <w:tcPr>
            <w:tcW w:w="2286" w:type="dxa"/>
            <w:gridSpan w:val="3"/>
            <w:tcMar>
              <w:left w:w="28" w:type="dxa"/>
              <w:right w:w="28" w:type="dxa"/>
            </w:tcMar>
          </w:tcPr>
          <w:p w14:paraId="08CF50E6" w14:textId="77777777" w:rsidR="00FA31A1" w:rsidRPr="00DC67EB" w:rsidRDefault="00FA31A1" w:rsidP="00FA31A1">
            <w:pPr>
              <w:spacing w:before="40" w:after="40"/>
              <w:rPr>
                <w:noProof/>
                <w:sz w:val="22"/>
              </w:rPr>
            </w:pPr>
            <w:r w:rsidRPr="00DC67EB">
              <w:rPr>
                <w:noProof/>
                <w:sz w:val="22"/>
              </w:rPr>
              <w:t>Ólom és vegyületei</w:t>
            </w:r>
          </w:p>
        </w:tc>
        <w:tc>
          <w:tcPr>
            <w:tcW w:w="1329" w:type="dxa"/>
            <w:gridSpan w:val="3"/>
            <w:tcMar>
              <w:left w:w="28" w:type="dxa"/>
              <w:right w:w="28" w:type="dxa"/>
            </w:tcMar>
          </w:tcPr>
          <w:p w14:paraId="145F4227" w14:textId="77777777" w:rsidR="00FA31A1" w:rsidRPr="00DC67EB" w:rsidRDefault="00FA31A1" w:rsidP="00FA31A1">
            <w:pPr>
              <w:spacing w:before="40" w:after="40"/>
              <w:rPr>
                <w:noProof/>
                <w:sz w:val="22"/>
              </w:rPr>
            </w:pPr>
            <w:r w:rsidRPr="00DC67EB">
              <w:rPr>
                <w:noProof/>
                <w:sz w:val="22"/>
              </w:rPr>
              <w:t>Fémek</w:t>
            </w:r>
          </w:p>
        </w:tc>
        <w:tc>
          <w:tcPr>
            <w:tcW w:w="992" w:type="dxa"/>
            <w:gridSpan w:val="2"/>
            <w:tcMar>
              <w:left w:w="28" w:type="dxa"/>
              <w:right w:w="28" w:type="dxa"/>
            </w:tcMar>
          </w:tcPr>
          <w:p w14:paraId="2579874B" w14:textId="77777777" w:rsidR="00FA31A1" w:rsidRPr="00DC67EB" w:rsidRDefault="00FA31A1" w:rsidP="00FA31A1">
            <w:pPr>
              <w:spacing w:before="40" w:after="40"/>
              <w:rPr>
                <w:noProof/>
                <w:sz w:val="22"/>
              </w:rPr>
            </w:pPr>
            <w:r w:rsidRPr="00DC67EB">
              <w:rPr>
                <w:noProof/>
                <w:sz w:val="22"/>
              </w:rPr>
              <w:t>7439</w:t>
            </w:r>
            <w:r w:rsidRPr="00DC67EB">
              <w:rPr>
                <w:noProof/>
                <w:sz w:val="22"/>
              </w:rPr>
              <w:noBreakHyphen/>
              <w:t>92</w:t>
            </w:r>
            <w:r w:rsidRPr="00DC67EB">
              <w:rPr>
                <w:noProof/>
                <w:sz w:val="22"/>
              </w:rPr>
              <w:noBreakHyphen/>
              <w:t>1</w:t>
            </w:r>
          </w:p>
        </w:tc>
        <w:tc>
          <w:tcPr>
            <w:tcW w:w="1134" w:type="dxa"/>
          </w:tcPr>
          <w:p w14:paraId="424819C5" w14:textId="77777777" w:rsidR="00FA31A1" w:rsidRPr="00DC67EB" w:rsidRDefault="00FA31A1" w:rsidP="00FA31A1">
            <w:pPr>
              <w:spacing w:before="40" w:after="40"/>
              <w:rPr>
                <w:rStyle w:val="DeltaViewInsertion"/>
                <w:b w:val="0"/>
                <w:bCs/>
                <w:i w:val="0"/>
                <w:iCs/>
                <w:noProof/>
                <w:sz w:val="22"/>
              </w:rPr>
            </w:pPr>
            <w:r w:rsidRPr="00DC67EB">
              <w:rPr>
                <w:noProof/>
                <w:sz w:val="22"/>
              </w:rPr>
              <w:t>231-100-4</w:t>
            </w:r>
          </w:p>
        </w:tc>
        <w:tc>
          <w:tcPr>
            <w:tcW w:w="1279" w:type="dxa"/>
            <w:gridSpan w:val="2"/>
            <w:tcMar>
              <w:left w:w="28" w:type="dxa"/>
              <w:right w:w="28" w:type="dxa"/>
            </w:tcMar>
          </w:tcPr>
          <w:p w14:paraId="63116604" w14:textId="77777777" w:rsidR="00FA31A1" w:rsidRPr="00DC67EB" w:rsidRDefault="00FA31A1" w:rsidP="00FA31A1">
            <w:pPr>
              <w:spacing w:before="40" w:after="40"/>
              <w:rPr>
                <w:i/>
                <w:noProof/>
                <w:sz w:val="22"/>
                <w:vertAlign w:val="superscript"/>
              </w:rPr>
            </w:pPr>
            <w:bookmarkStart w:id="24" w:name="_DV_C331"/>
            <w:r w:rsidRPr="00DC67EB">
              <w:rPr>
                <w:rStyle w:val="DeltaViewInsertion"/>
                <w:noProof/>
                <w:sz w:val="22"/>
              </w:rPr>
              <w:t xml:space="preserve">1,2 </w:t>
            </w:r>
            <w:r w:rsidRPr="00DC67EB">
              <w:rPr>
                <w:rStyle w:val="DeltaViewInsertion"/>
                <w:noProof/>
                <w:sz w:val="22"/>
                <w:vertAlign w:val="superscript"/>
              </w:rPr>
              <w:t>(12)</w:t>
            </w:r>
            <w:bookmarkEnd w:id="24"/>
          </w:p>
        </w:tc>
        <w:tc>
          <w:tcPr>
            <w:tcW w:w="1279" w:type="dxa"/>
            <w:gridSpan w:val="2"/>
            <w:tcMar>
              <w:left w:w="28" w:type="dxa"/>
              <w:right w:w="28" w:type="dxa"/>
            </w:tcMar>
          </w:tcPr>
          <w:p w14:paraId="2D83A449" w14:textId="77777777" w:rsidR="00FA31A1" w:rsidRPr="00DC67EB" w:rsidRDefault="00FA31A1" w:rsidP="00FA31A1">
            <w:pPr>
              <w:spacing w:before="40" w:after="40"/>
              <w:rPr>
                <w:noProof/>
                <w:sz w:val="22"/>
              </w:rPr>
            </w:pPr>
            <w:r w:rsidRPr="00DC67EB">
              <w:rPr>
                <w:noProof/>
                <w:sz w:val="22"/>
              </w:rPr>
              <w:t>1,3</w:t>
            </w:r>
          </w:p>
        </w:tc>
        <w:tc>
          <w:tcPr>
            <w:tcW w:w="1278" w:type="dxa"/>
            <w:gridSpan w:val="2"/>
            <w:tcMar>
              <w:left w:w="28" w:type="dxa"/>
              <w:right w:w="28" w:type="dxa"/>
            </w:tcMar>
          </w:tcPr>
          <w:p w14:paraId="2E424F86" w14:textId="77777777" w:rsidR="00FA31A1" w:rsidRPr="00DC67EB" w:rsidRDefault="00FA31A1" w:rsidP="00FA31A1">
            <w:pPr>
              <w:spacing w:before="40" w:after="40"/>
              <w:rPr>
                <w:noProof/>
                <w:sz w:val="22"/>
              </w:rPr>
            </w:pPr>
            <w:r w:rsidRPr="00DC67EB">
              <w:rPr>
                <w:noProof/>
                <w:sz w:val="22"/>
              </w:rPr>
              <w:t>14</w:t>
            </w:r>
          </w:p>
        </w:tc>
        <w:tc>
          <w:tcPr>
            <w:tcW w:w="1277" w:type="dxa"/>
            <w:gridSpan w:val="2"/>
            <w:tcMar>
              <w:left w:w="28" w:type="dxa"/>
              <w:right w:w="28" w:type="dxa"/>
            </w:tcMar>
          </w:tcPr>
          <w:p w14:paraId="40F19AB3" w14:textId="77777777" w:rsidR="00FA31A1" w:rsidRPr="00DC67EB" w:rsidRDefault="00FA31A1" w:rsidP="00FA31A1">
            <w:pPr>
              <w:spacing w:before="40" w:after="40"/>
              <w:rPr>
                <w:noProof/>
                <w:sz w:val="22"/>
              </w:rPr>
            </w:pPr>
            <w:r w:rsidRPr="00DC67EB">
              <w:rPr>
                <w:noProof/>
                <w:sz w:val="22"/>
              </w:rPr>
              <w:t>14</w:t>
            </w:r>
          </w:p>
        </w:tc>
        <w:tc>
          <w:tcPr>
            <w:tcW w:w="1136" w:type="dxa"/>
            <w:gridSpan w:val="2"/>
            <w:tcMar>
              <w:left w:w="28" w:type="dxa"/>
              <w:right w:w="28" w:type="dxa"/>
            </w:tcMar>
          </w:tcPr>
          <w:p w14:paraId="0FC8A8C3" w14:textId="77777777" w:rsidR="00FA31A1" w:rsidRPr="00DC67EB" w:rsidRDefault="00FA31A1" w:rsidP="00FA31A1">
            <w:pPr>
              <w:spacing w:before="40" w:after="40"/>
              <w:rPr>
                <w:noProof/>
                <w:sz w:val="22"/>
              </w:rPr>
            </w:pPr>
          </w:p>
        </w:tc>
        <w:tc>
          <w:tcPr>
            <w:tcW w:w="1262" w:type="dxa"/>
            <w:tcMar>
              <w:left w:w="28" w:type="dxa"/>
              <w:right w:w="28" w:type="dxa"/>
            </w:tcMar>
          </w:tcPr>
          <w:p w14:paraId="1FFEEB40" w14:textId="77777777" w:rsidR="00FA31A1" w:rsidRPr="00DC67EB" w:rsidRDefault="00FA31A1" w:rsidP="00FA31A1">
            <w:pPr>
              <w:spacing w:before="40" w:after="40"/>
              <w:rPr>
                <w:noProof/>
                <w:sz w:val="22"/>
              </w:rPr>
            </w:pPr>
            <w:r w:rsidRPr="00DC67EB">
              <w:rPr>
                <w:noProof/>
                <w:sz w:val="22"/>
              </w:rPr>
              <w:t>X</w:t>
            </w:r>
          </w:p>
        </w:tc>
        <w:tc>
          <w:tcPr>
            <w:tcW w:w="1153" w:type="dxa"/>
            <w:gridSpan w:val="2"/>
            <w:tcMar>
              <w:left w:w="28" w:type="dxa"/>
              <w:right w:w="28" w:type="dxa"/>
            </w:tcMar>
          </w:tcPr>
          <w:p w14:paraId="1193C8C0" w14:textId="77777777" w:rsidR="00FA31A1" w:rsidRPr="00DC67EB" w:rsidRDefault="00FA31A1" w:rsidP="00FA31A1">
            <w:pPr>
              <w:spacing w:before="40" w:after="40"/>
              <w:rPr>
                <w:noProof/>
                <w:sz w:val="22"/>
              </w:rPr>
            </w:pPr>
          </w:p>
        </w:tc>
        <w:tc>
          <w:tcPr>
            <w:tcW w:w="970" w:type="dxa"/>
            <w:tcMar>
              <w:left w:w="28" w:type="dxa"/>
              <w:right w:w="28" w:type="dxa"/>
            </w:tcMar>
          </w:tcPr>
          <w:p w14:paraId="6D8920B3" w14:textId="77777777" w:rsidR="00FA31A1" w:rsidRPr="00DC67EB" w:rsidRDefault="00FA31A1" w:rsidP="00FA31A1">
            <w:pPr>
              <w:spacing w:before="40" w:after="40"/>
              <w:rPr>
                <w:noProof/>
                <w:sz w:val="22"/>
              </w:rPr>
            </w:pPr>
            <w:r w:rsidRPr="00DC67EB">
              <w:rPr>
                <w:noProof/>
                <w:sz w:val="22"/>
              </w:rPr>
              <w:t>X</w:t>
            </w:r>
          </w:p>
        </w:tc>
      </w:tr>
      <w:tr w:rsidR="00DC67EB" w:rsidRPr="00DC67EB" w14:paraId="16C100FB" w14:textId="77777777" w:rsidTr="00FA31A1">
        <w:trPr>
          <w:gridBefore w:val="1"/>
          <w:wBefore w:w="12" w:type="dxa"/>
          <w:cantSplit/>
          <w:tblHeader/>
          <w:jc w:val="center"/>
        </w:trPr>
        <w:tc>
          <w:tcPr>
            <w:tcW w:w="651" w:type="dxa"/>
            <w:gridSpan w:val="3"/>
            <w:tcMar>
              <w:left w:w="28" w:type="dxa"/>
              <w:right w:w="28" w:type="dxa"/>
            </w:tcMar>
          </w:tcPr>
          <w:p w14:paraId="7C609040" w14:textId="77777777" w:rsidR="00FA31A1" w:rsidRPr="00DC67EB" w:rsidRDefault="00FA31A1" w:rsidP="00FA31A1">
            <w:pPr>
              <w:spacing w:before="40" w:after="40"/>
              <w:rPr>
                <w:noProof/>
                <w:sz w:val="22"/>
              </w:rPr>
            </w:pPr>
            <w:r w:rsidRPr="00DC67EB">
              <w:rPr>
                <w:noProof/>
                <w:sz w:val="22"/>
              </w:rPr>
              <w:t>21.</w:t>
            </w:r>
          </w:p>
        </w:tc>
        <w:tc>
          <w:tcPr>
            <w:tcW w:w="2286" w:type="dxa"/>
            <w:gridSpan w:val="3"/>
            <w:tcMar>
              <w:left w:w="28" w:type="dxa"/>
              <w:right w:w="28" w:type="dxa"/>
            </w:tcMar>
          </w:tcPr>
          <w:p w14:paraId="1F8AE030" w14:textId="77777777" w:rsidR="00FA31A1" w:rsidRPr="00DC67EB" w:rsidRDefault="00FA31A1" w:rsidP="00FA31A1">
            <w:pPr>
              <w:spacing w:before="40" w:after="40"/>
              <w:rPr>
                <w:noProof/>
                <w:sz w:val="22"/>
              </w:rPr>
            </w:pPr>
            <w:r w:rsidRPr="00DC67EB">
              <w:rPr>
                <w:noProof/>
                <w:sz w:val="22"/>
              </w:rPr>
              <w:t>Higany és vegyületei</w:t>
            </w:r>
          </w:p>
        </w:tc>
        <w:tc>
          <w:tcPr>
            <w:tcW w:w="1329" w:type="dxa"/>
            <w:gridSpan w:val="3"/>
            <w:tcMar>
              <w:left w:w="28" w:type="dxa"/>
              <w:right w:w="28" w:type="dxa"/>
            </w:tcMar>
          </w:tcPr>
          <w:p w14:paraId="2DC74B82" w14:textId="77777777" w:rsidR="00FA31A1" w:rsidRPr="00DC67EB" w:rsidRDefault="00FA31A1" w:rsidP="00FA31A1">
            <w:pPr>
              <w:spacing w:before="40" w:after="40"/>
              <w:rPr>
                <w:noProof/>
                <w:sz w:val="22"/>
              </w:rPr>
            </w:pPr>
            <w:r w:rsidRPr="00DC67EB">
              <w:rPr>
                <w:noProof/>
                <w:sz w:val="22"/>
              </w:rPr>
              <w:t>Fémek</w:t>
            </w:r>
          </w:p>
        </w:tc>
        <w:tc>
          <w:tcPr>
            <w:tcW w:w="992" w:type="dxa"/>
            <w:gridSpan w:val="2"/>
            <w:tcMar>
              <w:left w:w="28" w:type="dxa"/>
              <w:right w:w="28" w:type="dxa"/>
            </w:tcMar>
          </w:tcPr>
          <w:p w14:paraId="51A88B4C" w14:textId="77777777" w:rsidR="00FA31A1" w:rsidRPr="00DC67EB" w:rsidRDefault="00FA31A1" w:rsidP="00FA31A1">
            <w:pPr>
              <w:spacing w:before="40" w:after="40"/>
              <w:rPr>
                <w:noProof/>
                <w:sz w:val="22"/>
              </w:rPr>
            </w:pPr>
            <w:r w:rsidRPr="00DC67EB">
              <w:rPr>
                <w:noProof/>
                <w:sz w:val="22"/>
              </w:rPr>
              <w:t>7439</w:t>
            </w:r>
            <w:r w:rsidRPr="00DC67EB">
              <w:rPr>
                <w:noProof/>
                <w:sz w:val="22"/>
              </w:rPr>
              <w:noBreakHyphen/>
              <w:t>97</w:t>
            </w:r>
            <w:r w:rsidRPr="00DC67EB">
              <w:rPr>
                <w:noProof/>
                <w:sz w:val="22"/>
              </w:rPr>
              <w:noBreakHyphen/>
              <w:t>6</w:t>
            </w:r>
          </w:p>
        </w:tc>
        <w:tc>
          <w:tcPr>
            <w:tcW w:w="1134" w:type="dxa"/>
          </w:tcPr>
          <w:p w14:paraId="49F4D0FA" w14:textId="77777777" w:rsidR="00FA31A1" w:rsidRPr="00DC67EB" w:rsidRDefault="00FA31A1" w:rsidP="00FA31A1">
            <w:pPr>
              <w:spacing w:before="40" w:after="40"/>
              <w:rPr>
                <w:noProof/>
                <w:sz w:val="22"/>
              </w:rPr>
            </w:pPr>
            <w:r w:rsidRPr="00DC67EB">
              <w:rPr>
                <w:noProof/>
                <w:sz w:val="22"/>
              </w:rPr>
              <w:t>231-106-7</w:t>
            </w:r>
          </w:p>
        </w:tc>
        <w:tc>
          <w:tcPr>
            <w:tcW w:w="1279" w:type="dxa"/>
            <w:gridSpan w:val="2"/>
            <w:tcMar>
              <w:left w:w="28" w:type="dxa"/>
              <w:right w:w="28" w:type="dxa"/>
            </w:tcMar>
          </w:tcPr>
          <w:p w14:paraId="5001F603" w14:textId="77777777" w:rsidR="00FA31A1" w:rsidRPr="00DC67EB" w:rsidRDefault="00FA31A1" w:rsidP="00FA31A1">
            <w:pPr>
              <w:spacing w:before="40" w:after="40"/>
              <w:rPr>
                <w:noProof/>
                <w:sz w:val="22"/>
              </w:rPr>
            </w:pPr>
          </w:p>
        </w:tc>
        <w:tc>
          <w:tcPr>
            <w:tcW w:w="1279" w:type="dxa"/>
            <w:gridSpan w:val="2"/>
            <w:tcMar>
              <w:left w:w="28" w:type="dxa"/>
              <w:right w:w="28" w:type="dxa"/>
            </w:tcMar>
          </w:tcPr>
          <w:p w14:paraId="7647C035" w14:textId="77777777" w:rsidR="00FA31A1" w:rsidRPr="00DC67EB" w:rsidRDefault="00FA31A1" w:rsidP="00FA31A1">
            <w:pPr>
              <w:spacing w:before="40" w:after="40"/>
              <w:rPr>
                <w:noProof/>
                <w:sz w:val="22"/>
              </w:rPr>
            </w:pPr>
          </w:p>
        </w:tc>
        <w:tc>
          <w:tcPr>
            <w:tcW w:w="1278" w:type="dxa"/>
            <w:gridSpan w:val="2"/>
            <w:tcMar>
              <w:left w:w="28" w:type="dxa"/>
              <w:right w:w="28" w:type="dxa"/>
            </w:tcMar>
          </w:tcPr>
          <w:p w14:paraId="39A59968" w14:textId="77777777" w:rsidR="00FA31A1" w:rsidRPr="00DC67EB" w:rsidRDefault="00FA31A1" w:rsidP="00FA31A1">
            <w:pPr>
              <w:spacing w:before="40" w:after="40"/>
              <w:rPr>
                <w:noProof/>
                <w:sz w:val="22"/>
              </w:rPr>
            </w:pPr>
            <w:r w:rsidRPr="00DC67EB">
              <w:rPr>
                <w:noProof/>
                <w:sz w:val="22"/>
              </w:rPr>
              <w:t>0,07</w:t>
            </w:r>
          </w:p>
        </w:tc>
        <w:tc>
          <w:tcPr>
            <w:tcW w:w="1277" w:type="dxa"/>
            <w:gridSpan w:val="2"/>
            <w:tcMar>
              <w:left w:w="28" w:type="dxa"/>
              <w:right w:w="28" w:type="dxa"/>
            </w:tcMar>
          </w:tcPr>
          <w:p w14:paraId="20FAF0D7" w14:textId="77777777" w:rsidR="00FA31A1" w:rsidRPr="00DC67EB" w:rsidRDefault="00FA31A1" w:rsidP="00FA31A1">
            <w:pPr>
              <w:spacing w:before="40" w:after="40"/>
              <w:rPr>
                <w:noProof/>
                <w:sz w:val="22"/>
              </w:rPr>
            </w:pPr>
            <w:r w:rsidRPr="00DC67EB">
              <w:rPr>
                <w:noProof/>
                <w:sz w:val="22"/>
              </w:rPr>
              <w:t>0,07</w:t>
            </w:r>
          </w:p>
        </w:tc>
        <w:tc>
          <w:tcPr>
            <w:tcW w:w="1136" w:type="dxa"/>
            <w:gridSpan w:val="2"/>
            <w:tcMar>
              <w:left w:w="28" w:type="dxa"/>
              <w:right w:w="28" w:type="dxa"/>
            </w:tcMar>
          </w:tcPr>
          <w:p w14:paraId="55F63B93" w14:textId="77777777" w:rsidR="00FA31A1" w:rsidRPr="00DC67EB" w:rsidRDefault="00FA31A1" w:rsidP="00FA31A1">
            <w:pPr>
              <w:spacing w:before="40" w:after="40"/>
              <w:rPr>
                <w:noProof/>
                <w:sz w:val="22"/>
              </w:rPr>
            </w:pPr>
            <w:r w:rsidRPr="00DC67EB">
              <w:rPr>
                <w:noProof/>
                <w:sz w:val="22"/>
              </w:rPr>
              <w:t>[10] (</w:t>
            </w:r>
            <w:r w:rsidRPr="00DC67EB">
              <w:rPr>
                <w:noProof/>
                <w:sz w:val="22"/>
                <w:vertAlign w:val="superscript"/>
              </w:rPr>
              <w:t>13</w:t>
            </w:r>
            <w:r w:rsidRPr="00DC67EB">
              <w:rPr>
                <w:noProof/>
                <w:sz w:val="22"/>
              </w:rPr>
              <w:t>)</w:t>
            </w:r>
          </w:p>
        </w:tc>
        <w:tc>
          <w:tcPr>
            <w:tcW w:w="1262" w:type="dxa"/>
            <w:tcMar>
              <w:left w:w="28" w:type="dxa"/>
              <w:right w:w="28" w:type="dxa"/>
            </w:tcMar>
          </w:tcPr>
          <w:p w14:paraId="62585D94" w14:textId="77777777" w:rsidR="00FA31A1" w:rsidRPr="00DC67EB" w:rsidRDefault="00FA31A1" w:rsidP="00FA31A1">
            <w:pPr>
              <w:spacing w:before="40" w:after="40"/>
              <w:rPr>
                <w:noProof/>
                <w:sz w:val="22"/>
              </w:rPr>
            </w:pPr>
            <w:r w:rsidRPr="00DC67EB">
              <w:rPr>
                <w:noProof/>
                <w:sz w:val="22"/>
              </w:rPr>
              <w:t>X</w:t>
            </w:r>
          </w:p>
        </w:tc>
        <w:tc>
          <w:tcPr>
            <w:tcW w:w="1153" w:type="dxa"/>
            <w:gridSpan w:val="2"/>
            <w:tcMar>
              <w:left w:w="28" w:type="dxa"/>
              <w:right w:w="28" w:type="dxa"/>
            </w:tcMar>
          </w:tcPr>
          <w:p w14:paraId="730AD52C" w14:textId="77777777" w:rsidR="00FA31A1" w:rsidRPr="00DC67EB" w:rsidRDefault="00FA31A1" w:rsidP="00FA31A1">
            <w:pPr>
              <w:spacing w:before="40" w:after="40"/>
              <w:rPr>
                <w:noProof/>
                <w:sz w:val="22"/>
              </w:rPr>
            </w:pPr>
            <w:r w:rsidRPr="00DC67EB">
              <w:rPr>
                <w:noProof/>
                <w:sz w:val="22"/>
              </w:rPr>
              <w:t>X</w:t>
            </w:r>
          </w:p>
        </w:tc>
        <w:tc>
          <w:tcPr>
            <w:tcW w:w="970" w:type="dxa"/>
            <w:tcMar>
              <w:left w:w="28" w:type="dxa"/>
              <w:right w:w="28" w:type="dxa"/>
            </w:tcMar>
          </w:tcPr>
          <w:p w14:paraId="01A0F418" w14:textId="77777777" w:rsidR="00FA31A1" w:rsidRPr="00DC67EB" w:rsidRDefault="00FA31A1" w:rsidP="00FA31A1">
            <w:pPr>
              <w:spacing w:before="40" w:after="40"/>
              <w:rPr>
                <w:noProof/>
                <w:sz w:val="22"/>
              </w:rPr>
            </w:pPr>
            <w:r w:rsidRPr="00DC67EB">
              <w:rPr>
                <w:noProof/>
                <w:sz w:val="22"/>
              </w:rPr>
              <w:t>X</w:t>
            </w:r>
          </w:p>
        </w:tc>
      </w:tr>
      <w:tr w:rsidR="00DC67EB" w:rsidRPr="00DC67EB" w14:paraId="756ACD06" w14:textId="77777777" w:rsidTr="00FA31A1">
        <w:trPr>
          <w:gridBefore w:val="1"/>
          <w:wBefore w:w="12" w:type="dxa"/>
          <w:cantSplit/>
          <w:tblHeader/>
          <w:jc w:val="center"/>
        </w:trPr>
        <w:tc>
          <w:tcPr>
            <w:tcW w:w="651" w:type="dxa"/>
            <w:gridSpan w:val="3"/>
            <w:tcMar>
              <w:left w:w="28" w:type="dxa"/>
              <w:right w:w="28" w:type="dxa"/>
            </w:tcMar>
          </w:tcPr>
          <w:p w14:paraId="054F62DF" w14:textId="77777777" w:rsidR="00FA31A1" w:rsidRPr="00DC67EB" w:rsidRDefault="00FA31A1" w:rsidP="00FA31A1">
            <w:pPr>
              <w:spacing w:before="40" w:after="40"/>
              <w:rPr>
                <w:noProof/>
                <w:sz w:val="22"/>
              </w:rPr>
            </w:pPr>
            <w:r w:rsidRPr="00DC67EB">
              <w:rPr>
                <w:noProof/>
                <w:sz w:val="22"/>
              </w:rPr>
              <w:t>22.</w:t>
            </w:r>
          </w:p>
        </w:tc>
        <w:tc>
          <w:tcPr>
            <w:tcW w:w="2286" w:type="dxa"/>
            <w:gridSpan w:val="3"/>
            <w:tcMar>
              <w:left w:w="28" w:type="dxa"/>
              <w:right w:w="28" w:type="dxa"/>
            </w:tcMar>
          </w:tcPr>
          <w:p w14:paraId="5190C124" w14:textId="77777777" w:rsidR="00FA31A1" w:rsidRPr="00DC67EB" w:rsidRDefault="00FA31A1" w:rsidP="00FA31A1">
            <w:pPr>
              <w:spacing w:before="40" w:after="40"/>
              <w:rPr>
                <w:noProof/>
                <w:sz w:val="22"/>
              </w:rPr>
            </w:pPr>
            <w:r w:rsidRPr="00DC67EB">
              <w:rPr>
                <w:noProof/>
                <w:sz w:val="22"/>
              </w:rPr>
              <w:t>Naftalin</w:t>
            </w:r>
          </w:p>
        </w:tc>
        <w:tc>
          <w:tcPr>
            <w:tcW w:w="1329" w:type="dxa"/>
            <w:gridSpan w:val="3"/>
            <w:tcMar>
              <w:left w:w="28" w:type="dxa"/>
              <w:right w:w="28" w:type="dxa"/>
            </w:tcMar>
          </w:tcPr>
          <w:p w14:paraId="394E6625" w14:textId="77777777" w:rsidR="00FA31A1" w:rsidRPr="00DC67EB" w:rsidRDefault="00FA31A1" w:rsidP="00FA31A1">
            <w:pPr>
              <w:spacing w:before="40" w:after="40"/>
              <w:rPr>
                <w:noProof/>
                <w:sz w:val="22"/>
              </w:rPr>
            </w:pPr>
            <w:r w:rsidRPr="00DC67EB">
              <w:rPr>
                <w:noProof/>
                <w:sz w:val="22"/>
              </w:rPr>
              <w:t xml:space="preserve">Ipari anyagok </w:t>
            </w:r>
          </w:p>
        </w:tc>
        <w:tc>
          <w:tcPr>
            <w:tcW w:w="992" w:type="dxa"/>
            <w:gridSpan w:val="2"/>
            <w:tcMar>
              <w:left w:w="28" w:type="dxa"/>
              <w:right w:w="28" w:type="dxa"/>
            </w:tcMar>
          </w:tcPr>
          <w:p w14:paraId="0FB1765B" w14:textId="77777777" w:rsidR="00FA31A1" w:rsidRPr="00DC67EB" w:rsidRDefault="00FA31A1" w:rsidP="00FA31A1">
            <w:pPr>
              <w:spacing w:before="40" w:after="40"/>
              <w:rPr>
                <w:noProof/>
                <w:sz w:val="22"/>
              </w:rPr>
            </w:pPr>
            <w:r w:rsidRPr="00DC67EB">
              <w:rPr>
                <w:noProof/>
                <w:sz w:val="22"/>
              </w:rPr>
              <w:t>91</w:t>
            </w:r>
            <w:r w:rsidRPr="00DC67EB">
              <w:rPr>
                <w:noProof/>
                <w:sz w:val="22"/>
              </w:rPr>
              <w:noBreakHyphen/>
              <w:t>20</w:t>
            </w:r>
            <w:r w:rsidRPr="00DC67EB">
              <w:rPr>
                <w:noProof/>
                <w:sz w:val="22"/>
              </w:rPr>
              <w:noBreakHyphen/>
              <w:t>3</w:t>
            </w:r>
          </w:p>
        </w:tc>
        <w:tc>
          <w:tcPr>
            <w:tcW w:w="1134" w:type="dxa"/>
          </w:tcPr>
          <w:p w14:paraId="26163D87" w14:textId="77777777" w:rsidR="00FA31A1" w:rsidRPr="00DC67EB" w:rsidRDefault="00FA31A1" w:rsidP="00FA31A1">
            <w:pPr>
              <w:spacing w:before="40" w:after="40"/>
              <w:rPr>
                <w:noProof/>
                <w:sz w:val="22"/>
              </w:rPr>
            </w:pPr>
            <w:r w:rsidRPr="00DC67EB">
              <w:rPr>
                <w:noProof/>
                <w:sz w:val="22"/>
              </w:rPr>
              <w:t>202-049-5</w:t>
            </w:r>
          </w:p>
        </w:tc>
        <w:tc>
          <w:tcPr>
            <w:tcW w:w="1279" w:type="dxa"/>
            <w:gridSpan w:val="2"/>
            <w:tcMar>
              <w:left w:w="28" w:type="dxa"/>
              <w:right w:w="28" w:type="dxa"/>
            </w:tcMar>
          </w:tcPr>
          <w:p w14:paraId="3E432DEC" w14:textId="77777777" w:rsidR="00FA31A1" w:rsidRPr="00DC67EB" w:rsidRDefault="00FA31A1" w:rsidP="00FA31A1">
            <w:pPr>
              <w:spacing w:before="40" w:after="40"/>
              <w:rPr>
                <w:noProof/>
                <w:sz w:val="22"/>
              </w:rPr>
            </w:pPr>
            <w:r w:rsidRPr="00DC67EB">
              <w:rPr>
                <w:noProof/>
                <w:sz w:val="22"/>
              </w:rPr>
              <w:t>2</w:t>
            </w:r>
          </w:p>
        </w:tc>
        <w:tc>
          <w:tcPr>
            <w:tcW w:w="1279" w:type="dxa"/>
            <w:gridSpan w:val="2"/>
            <w:tcMar>
              <w:left w:w="28" w:type="dxa"/>
              <w:right w:w="28" w:type="dxa"/>
            </w:tcMar>
          </w:tcPr>
          <w:p w14:paraId="32459452" w14:textId="77777777" w:rsidR="00FA31A1" w:rsidRPr="00DC67EB" w:rsidRDefault="00FA31A1" w:rsidP="00FA31A1">
            <w:pPr>
              <w:spacing w:before="40" w:after="40"/>
              <w:rPr>
                <w:noProof/>
                <w:sz w:val="22"/>
              </w:rPr>
            </w:pPr>
            <w:r w:rsidRPr="00DC67EB">
              <w:rPr>
                <w:noProof/>
                <w:sz w:val="22"/>
              </w:rPr>
              <w:t>2</w:t>
            </w:r>
          </w:p>
        </w:tc>
        <w:tc>
          <w:tcPr>
            <w:tcW w:w="1278" w:type="dxa"/>
            <w:gridSpan w:val="2"/>
            <w:tcMar>
              <w:left w:w="28" w:type="dxa"/>
              <w:right w:w="28" w:type="dxa"/>
            </w:tcMar>
          </w:tcPr>
          <w:p w14:paraId="3257E29C" w14:textId="77777777" w:rsidR="00FA31A1" w:rsidRPr="00DC67EB" w:rsidRDefault="00FA31A1" w:rsidP="00FA31A1">
            <w:pPr>
              <w:spacing w:before="40" w:after="40"/>
              <w:rPr>
                <w:noProof/>
                <w:sz w:val="22"/>
              </w:rPr>
            </w:pPr>
            <w:r w:rsidRPr="00DC67EB">
              <w:rPr>
                <w:noProof/>
                <w:sz w:val="22"/>
              </w:rPr>
              <w:t>130</w:t>
            </w:r>
          </w:p>
        </w:tc>
        <w:tc>
          <w:tcPr>
            <w:tcW w:w="1277" w:type="dxa"/>
            <w:gridSpan w:val="2"/>
            <w:tcMar>
              <w:left w:w="28" w:type="dxa"/>
              <w:right w:w="28" w:type="dxa"/>
            </w:tcMar>
          </w:tcPr>
          <w:p w14:paraId="709D45D3" w14:textId="77777777" w:rsidR="00FA31A1" w:rsidRPr="00DC67EB" w:rsidRDefault="00FA31A1" w:rsidP="00FA31A1">
            <w:pPr>
              <w:spacing w:before="40" w:after="40"/>
              <w:rPr>
                <w:noProof/>
                <w:sz w:val="22"/>
              </w:rPr>
            </w:pPr>
            <w:r w:rsidRPr="00DC67EB">
              <w:rPr>
                <w:noProof/>
                <w:sz w:val="22"/>
              </w:rPr>
              <w:t>130</w:t>
            </w:r>
          </w:p>
        </w:tc>
        <w:tc>
          <w:tcPr>
            <w:tcW w:w="1136" w:type="dxa"/>
            <w:gridSpan w:val="2"/>
            <w:tcMar>
              <w:left w:w="28" w:type="dxa"/>
              <w:right w:w="28" w:type="dxa"/>
            </w:tcMar>
          </w:tcPr>
          <w:p w14:paraId="5C8C909C" w14:textId="77777777" w:rsidR="00FA31A1" w:rsidRPr="00DC67EB" w:rsidRDefault="00FA31A1" w:rsidP="00FA31A1">
            <w:pPr>
              <w:spacing w:before="40" w:after="40"/>
              <w:rPr>
                <w:noProof/>
                <w:sz w:val="22"/>
              </w:rPr>
            </w:pPr>
          </w:p>
        </w:tc>
        <w:tc>
          <w:tcPr>
            <w:tcW w:w="1262" w:type="dxa"/>
            <w:tcMar>
              <w:left w:w="28" w:type="dxa"/>
              <w:right w:w="28" w:type="dxa"/>
            </w:tcMar>
          </w:tcPr>
          <w:p w14:paraId="17948C50" w14:textId="77777777" w:rsidR="00FA31A1" w:rsidRPr="00DC67EB" w:rsidRDefault="00FA31A1" w:rsidP="00FA31A1">
            <w:pPr>
              <w:spacing w:before="40" w:after="40"/>
              <w:rPr>
                <w:noProof/>
                <w:sz w:val="22"/>
              </w:rPr>
            </w:pPr>
          </w:p>
        </w:tc>
        <w:tc>
          <w:tcPr>
            <w:tcW w:w="1153" w:type="dxa"/>
            <w:gridSpan w:val="2"/>
            <w:tcMar>
              <w:left w:w="28" w:type="dxa"/>
              <w:right w:w="28" w:type="dxa"/>
            </w:tcMar>
          </w:tcPr>
          <w:p w14:paraId="38D79229" w14:textId="77777777" w:rsidR="00FA31A1" w:rsidRPr="00DC67EB" w:rsidRDefault="00FA31A1" w:rsidP="00FA31A1">
            <w:pPr>
              <w:spacing w:before="40" w:after="40"/>
              <w:rPr>
                <w:noProof/>
                <w:sz w:val="22"/>
              </w:rPr>
            </w:pPr>
          </w:p>
        </w:tc>
        <w:tc>
          <w:tcPr>
            <w:tcW w:w="970" w:type="dxa"/>
            <w:tcMar>
              <w:left w:w="28" w:type="dxa"/>
              <w:right w:w="28" w:type="dxa"/>
            </w:tcMar>
          </w:tcPr>
          <w:p w14:paraId="410EF21B" w14:textId="77777777" w:rsidR="00FA31A1" w:rsidRPr="00DC67EB" w:rsidRDefault="00FA31A1" w:rsidP="00FA31A1">
            <w:pPr>
              <w:spacing w:before="40" w:after="40"/>
              <w:rPr>
                <w:noProof/>
                <w:sz w:val="22"/>
              </w:rPr>
            </w:pPr>
          </w:p>
        </w:tc>
      </w:tr>
      <w:tr w:rsidR="00DC67EB" w:rsidRPr="00DC67EB" w14:paraId="689D6B7A" w14:textId="77777777" w:rsidTr="00FA31A1">
        <w:trPr>
          <w:gridBefore w:val="1"/>
          <w:wBefore w:w="12" w:type="dxa"/>
          <w:cantSplit/>
          <w:tblHeader/>
          <w:jc w:val="center"/>
        </w:trPr>
        <w:tc>
          <w:tcPr>
            <w:tcW w:w="651" w:type="dxa"/>
            <w:gridSpan w:val="3"/>
            <w:tcMar>
              <w:left w:w="28" w:type="dxa"/>
              <w:right w:w="28" w:type="dxa"/>
            </w:tcMar>
          </w:tcPr>
          <w:p w14:paraId="1D484981" w14:textId="77777777" w:rsidR="00FA31A1" w:rsidRPr="00DC67EB" w:rsidRDefault="00FA31A1" w:rsidP="00FA31A1">
            <w:pPr>
              <w:spacing w:before="40" w:after="40"/>
              <w:rPr>
                <w:noProof/>
                <w:sz w:val="22"/>
              </w:rPr>
            </w:pPr>
            <w:r w:rsidRPr="00DC67EB">
              <w:rPr>
                <w:noProof/>
                <w:sz w:val="22"/>
              </w:rPr>
              <w:t>23.</w:t>
            </w:r>
          </w:p>
        </w:tc>
        <w:tc>
          <w:tcPr>
            <w:tcW w:w="2286" w:type="dxa"/>
            <w:gridSpan w:val="3"/>
            <w:tcMar>
              <w:left w:w="28" w:type="dxa"/>
              <w:right w:w="28" w:type="dxa"/>
            </w:tcMar>
          </w:tcPr>
          <w:p w14:paraId="7938AA1C" w14:textId="77777777" w:rsidR="00FA31A1" w:rsidRPr="00DC67EB" w:rsidRDefault="00FA31A1" w:rsidP="00FA31A1">
            <w:pPr>
              <w:spacing w:before="40" w:after="40"/>
              <w:rPr>
                <w:noProof/>
                <w:sz w:val="22"/>
              </w:rPr>
            </w:pPr>
            <w:r w:rsidRPr="00DC67EB">
              <w:rPr>
                <w:noProof/>
                <w:sz w:val="22"/>
              </w:rPr>
              <w:t>Nikkel és vegyületei</w:t>
            </w:r>
          </w:p>
        </w:tc>
        <w:tc>
          <w:tcPr>
            <w:tcW w:w="1329" w:type="dxa"/>
            <w:gridSpan w:val="3"/>
            <w:tcMar>
              <w:left w:w="28" w:type="dxa"/>
              <w:right w:w="28" w:type="dxa"/>
            </w:tcMar>
          </w:tcPr>
          <w:p w14:paraId="0DE2E29F" w14:textId="77777777" w:rsidR="00FA31A1" w:rsidRPr="00DC67EB" w:rsidRDefault="00FA31A1" w:rsidP="00FA31A1">
            <w:pPr>
              <w:spacing w:before="40" w:after="40"/>
              <w:rPr>
                <w:noProof/>
                <w:sz w:val="22"/>
              </w:rPr>
            </w:pPr>
            <w:r w:rsidRPr="00DC67EB">
              <w:rPr>
                <w:noProof/>
                <w:sz w:val="22"/>
              </w:rPr>
              <w:t>Fémek</w:t>
            </w:r>
          </w:p>
        </w:tc>
        <w:tc>
          <w:tcPr>
            <w:tcW w:w="992" w:type="dxa"/>
            <w:gridSpan w:val="2"/>
            <w:tcMar>
              <w:left w:w="28" w:type="dxa"/>
              <w:right w:w="28" w:type="dxa"/>
            </w:tcMar>
          </w:tcPr>
          <w:p w14:paraId="541C9759" w14:textId="77777777" w:rsidR="00FA31A1" w:rsidRPr="00DC67EB" w:rsidRDefault="00FA31A1" w:rsidP="00FA31A1">
            <w:pPr>
              <w:spacing w:before="40" w:after="40"/>
              <w:rPr>
                <w:noProof/>
                <w:sz w:val="22"/>
              </w:rPr>
            </w:pPr>
            <w:r w:rsidRPr="00DC67EB">
              <w:rPr>
                <w:noProof/>
                <w:sz w:val="22"/>
              </w:rPr>
              <w:t>7440</w:t>
            </w:r>
            <w:r w:rsidRPr="00DC67EB">
              <w:rPr>
                <w:noProof/>
                <w:sz w:val="22"/>
              </w:rPr>
              <w:noBreakHyphen/>
              <w:t>02</w:t>
            </w:r>
            <w:r w:rsidRPr="00DC67EB">
              <w:rPr>
                <w:noProof/>
                <w:sz w:val="22"/>
              </w:rPr>
              <w:noBreakHyphen/>
              <w:t>0</w:t>
            </w:r>
          </w:p>
        </w:tc>
        <w:tc>
          <w:tcPr>
            <w:tcW w:w="1134" w:type="dxa"/>
          </w:tcPr>
          <w:p w14:paraId="67E703E7" w14:textId="77777777" w:rsidR="00FA31A1" w:rsidRPr="00DC67EB" w:rsidDel="00EC120E" w:rsidRDefault="00FA31A1" w:rsidP="00FA31A1">
            <w:pPr>
              <w:spacing w:before="40" w:after="40"/>
              <w:rPr>
                <w:strike/>
                <w:noProof/>
                <w:sz w:val="22"/>
              </w:rPr>
            </w:pPr>
            <w:r w:rsidRPr="00DC67EB">
              <w:rPr>
                <w:noProof/>
                <w:sz w:val="22"/>
              </w:rPr>
              <w:t>231-111-4</w:t>
            </w:r>
          </w:p>
        </w:tc>
        <w:tc>
          <w:tcPr>
            <w:tcW w:w="1279" w:type="dxa"/>
            <w:gridSpan w:val="2"/>
            <w:tcMar>
              <w:left w:w="28" w:type="dxa"/>
              <w:right w:w="28" w:type="dxa"/>
            </w:tcMar>
          </w:tcPr>
          <w:p w14:paraId="248D9534" w14:textId="77777777" w:rsidR="00FA31A1" w:rsidRPr="00DC67EB" w:rsidRDefault="00FA31A1" w:rsidP="00FA31A1">
            <w:pPr>
              <w:spacing w:before="40" w:after="40"/>
              <w:rPr>
                <w:noProof/>
                <w:sz w:val="22"/>
                <w:vertAlign w:val="superscript"/>
              </w:rPr>
            </w:pPr>
            <w:r w:rsidRPr="00DC67EB">
              <w:rPr>
                <w:noProof/>
                <w:sz w:val="22"/>
              </w:rPr>
              <w:t>2 (</w:t>
            </w:r>
            <w:r w:rsidRPr="00DC67EB">
              <w:rPr>
                <w:noProof/>
                <w:sz w:val="22"/>
                <w:vertAlign w:val="superscript"/>
              </w:rPr>
              <w:t>12</w:t>
            </w:r>
            <w:r w:rsidRPr="00DC67EB">
              <w:rPr>
                <w:noProof/>
                <w:sz w:val="22"/>
              </w:rPr>
              <w:t>)</w:t>
            </w:r>
          </w:p>
        </w:tc>
        <w:tc>
          <w:tcPr>
            <w:tcW w:w="1279" w:type="dxa"/>
            <w:gridSpan w:val="2"/>
            <w:tcMar>
              <w:left w:w="28" w:type="dxa"/>
              <w:right w:w="28" w:type="dxa"/>
            </w:tcMar>
          </w:tcPr>
          <w:p w14:paraId="66A1AF06" w14:textId="77777777" w:rsidR="00FA31A1" w:rsidRPr="00DC67EB" w:rsidRDefault="00FA31A1" w:rsidP="00FA31A1">
            <w:pPr>
              <w:spacing w:before="40" w:after="40"/>
              <w:rPr>
                <w:noProof/>
                <w:sz w:val="22"/>
              </w:rPr>
            </w:pPr>
            <w:r w:rsidRPr="00DC67EB">
              <w:rPr>
                <w:noProof/>
                <w:sz w:val="22"/>
              </w:rPr>
              <w:t>3,1</w:t>
            </w:r>
          </w:p>
        </w:tc>
        <w:tc>
          <w:tcPr>
            <w:tcW w:w="1278" w:type="dxa"/>
            <w:gridSpan w:val="2"/>
            <w:tcMar>
              <w:left w:w="28" w:type="dxa"/>
              <w:right w:w="28" w:type="dxa"/>
            </w:tcMar>
          </w:tcPr>
          <w:p w14:paraId="63C46FCA" w14:textId="77777777" w:rsidR="00FA31A1" w:rsidRPr="00DC67EB" w:rsidRDefault="00FA31A1" w:rsidP="00FA31A1">
            <w:pPr>
              <w:spacing w:before="40" w:after="40"/>
              <w:rPr>
                <w:noProof/>
                <w:sz w:val="22"/>
              </w:rPr>
            </w:pPr>
            <w:r w:rsidRPr="00DC67EB">
              <w:rPr>
                <w:noProof/>
                <w:sz w:val="22"/>
              </w:rPr>
              <w:t>8,2</w:t>
            </w:r>
          </w:p>
        </w:tc>
        <w:tc>
          <w:tcPr>
            <w:tcW w:w="1277" w:type="dxa"/>
            <w:gridSpan w:val="2"/>
            <w:tcMar>
              <w:left w:w="28" w:type="dxa"/>
              <w:right w:w="28" w:type="dxa"/>
            </w:tcMar>
          </w:tcPr>
          <w:p w14:paraId="020186D5" w14:textId="77777777" w:rsidR="00FA31A1" w:rsidRPr="00DC67EB" w:rsidRDefault="00FA31A1" w:rsidP="00FA31A1">
            <w:pPr>
              <w:spacing w:before="40" w:after="40"/>
              <w:rPr>
                <w:noProof/>
                <w:sz w:val="22"/>
              </w:rPr>
            </w:pPr>
            <w:r w:rsidRPr="00DC67EB">
              <w:rPr>
                <w:noProof/>
                <w:sz w:val="22"/>
              </w:rPr>
              <w:t>8,2</w:t>
            </w:r>
          </w:p>
        </w:tc>
        <w:tc>
          <w:tcPr>
            <w:tcW w:w="1136" w:type="dxa"/>
            <w:gridSpan w:val="2"/>
            <w:tcMar>
              <w:left w:w="28" w:type="dxa"/>
              <w:right w:w="28" w:type="dxa"/>
            </w:tcMar>
          </w:tcPr>
          <w:p w14:paraId="0F9E42D1" w14:textId="77777777" w:rsidR="00FA31A1" w:rsidRPr="00DC67EB" w:rsidRDefault="00FA31A1" w:rsidP="00FA31A1">
            <w:pPr>
              <w:spacing w:before="40" w:after="40"/>
              <w:rPr>
                <w:noProof/>
                <w:sz w:val="22"/>
              </w:rPr>
            </w:pPr>
          </w:p>
        </w:tc>
        <w:tc>
          <w:tcPr>
            <w:tcW w:w="1262" w:type="dxa"/>
            <w:tcMar>
              <w:left w:w="28" w:type="dxa"/>
              <w:right w:w="28" w:type="dxa"/>
            </w:tcMar>
          </w:tcPr>
          <w:p w14:paraId="45761090" w14:textId="77777777" w:rsidR="00FA31A1" w:rsidRPr="00DC67EB" w:rsidRDefault="00FA31A1" w:rsidP="00FA31A1">
            <w:pPr>
              <w:spacing w:before="40" w:after="40"/>
              <w:rPr>
                <w:noProof/>
                <w:sz w:val="22"/>
                <w:vertAlign w:val="superscript"/>
              </w:rPr>
            </w:pPr>
          </w:p>
        </w:tc>
        <w:tc>
          <w:tcPr>
            <w:tcW w:w="1153" w:type="dxa"/>
            <w:gridSpan w:val="2"/>
            <w:tcMar>
              <w:left w:w="28" w:type="dxa"/>
              <w:right w:w="28" w:type="dxa"/>
            </w:tcMar>
          </w:tcPr>
          <w:p w14:paraId="5D663D7A" w14:textId="77777777" w:rsidR="00FA31A1" w:rsidRPr="00DC67EB" w:rsidRDefault="00FA31A1" w:rsidP="00FA31A1">
            <w:pPr>
              <w:spacing w:before="40" w:after="40"/>
              <w:rPr>
                <w:noProof/>
                <w:sz w:val="22"/>
                <w:vertAlign w:val="superscript"/>
              </w:rPr>
            </w:pPr>
          </w:p>
        </w:tc>
        <w:tc>
          <w:tcPr>
            <w:tcW w:w="970" w:type="dxa"/>
            <w:tcMar>
              <w:left w:w="28" w:type="dxa"/>
              <w:right w:w="28" w:type="dxa"/>
            </w:tcMar>
          </w:tcPr>
          <w:p w14:paraId="36515101" w14:textId="77777777" w:rsidR="00FA31A1" w:rsidRPr="00DC67EB" w:rsidRDefault="00FA31A1" w:rsidP="00FA31A1">
            <w:pPr>
              <w:spacing w:before="40" w:after="40"/>
              <w:rPr>
                <w:noProof/>
                <w:sz w:val="22"/>
                <w:vertAlign w:val="superscript"/>
              </w:rPr>
            </w:pPr>
          </w:p>
        </w:tc>
      </w:tr>
      <w:tr w:rsidR="00DC67EB" w:rsidRPr="00DC67EB" w14:paraId="25F8D725" w14:textId="77777777" w:rsidTr="00FA31A1">
        <w:trPr>
          <w:gridBefore w:val="1"/>
          <w:wBefore w:w="12" w:type="dxa"/>
          <w:cantSplit/>
          <w:tblHeader/>
          <w:jc w:val="center"/>
        </w:trPr>
        <w:tc>
          <w:tcPr>
            <w:tcW w:w="651" w:type="dxa"/>
            <w:gridSpan w:val="3"/>
            <w:tcMar>
              <w:left w:w="28" w:type="dxa"/>
              <w:right w:w="28" w:type="dxa"/>
            </w:tcMar>
          </w:tcPr>
          <w:p w14:paraId="7A311889" w14:textId="77777777" w:rsidR="00FA31A1" w:rsidRPr="00DC67EB" w:rsidRDefault="00FA31A1" w:rsidP="00FA31A1">
            <w:pPr>
              <w:spacing w:before="40" w:after="40"/>
              <w:rPr>
                <w:noProof/>
                <w:sz w:val="22"/>
              </w:rPr>
            </w:pPr>
            <w:r w:rsidRPr="00DC67EB">
              <w:rPr>
                <w:noProof/>
                <w:sz w:val="22"/>
              </w:rPr>
              <w:t>24.</w:t>
            </w:r>
          </w:p>
        </w:tc>
        <w:tc>
          <w:tcPr>
            <w:tcW w:w="2286" w:type="dxa"/>
            <w:gridSpan w:val="3"/>
            <w:tcMar>
              <w:left w:w="28" w:type="dxa"/>
              <w:right w:w="28" w:type="dxa"/>
            </w:tcMar>
          </w:tcPr>
          <w:p w14:paraId="48872B37" w14:textId="77777777" w:rsidR="00FA31A1" w:rsidRPr="00DC67EB" w:rsidRDefault="00FA31A1" w:rsidP="00FA31A1">
            <w:pPr>
              <w:spacing w:before="40" w:after="40"/>
              <w:rPr>
                <w:noProof/>
                <w:sz w:val="22"/>
              </w:rPr>
            </w:pPr>
            <w:r w:rsidRPr="00DC67EB">
              <w:rPr>
                <w:noProof/>
                <w:sz w:val="22"/>
              </w:rPr>
              <w:t>Nonilfenolok (</w:t>
            </w:r>
            <w:r w:rsidRPr="00DC67EB">
              <w:rPr>
                <w:noProof/>
                <w:sz w:val="22"/>
                <w:vertAlign w:val="superscript"/>
              </w:rPr>
              <w:t>14</w:t>
            </w:r>
            <w:r w:rsidRPr="00DC67EB">
              <w:rPr>
                <w:noProof/>
                <w:sz w:val="22"/>
              </w:rPr>
              <w:t>)</w:t>
            </w:r>
            <w:r w:rsidRPr="00DC67EB">
              <w:rPr>
                <w:noProof/>
                <w:sz w:val="22"/>
              </w:rPr>
              <w:br/>
              <w:t>(4-nonilfenol)</w:t>
            </w:r>
          </w:p>
        </w:tc>
        <w:tc>
          <w:tcPr>
            <w:tcW w:w="1329" w:type="dxa"/>
            <w:gridSpan w:val="3"/>
            <w:tcMar>
              <w:left w:w="28" w:type="dxa"/>
              <w:right w:w="28" w:type="dxa"/>
            </w:tcMar>
          </w:tcPr>
          <w:p w14:paraId="0491C91B" w14:textId="77777777" w:rsidR="00FA31A1" w:rsidRPr="00DC67EB" w:rsidRDefault="00FA31A1" w:rsidP="00FA31A1">
            <w:pPr>
              <w:spacing w:before="40" w:after="40"/>
              <w:rPr>
                <w:noProof/>
                <w:sz w:val="22"/>
              </w:rPr>
            </w:pPr>
            <w:r w:rsidRPr="00DC67EB">
              <w:rPr>
                <w:noProof/>
                <w:sz w:val="22"/>
              </w:rPr>
              <w:t>Ipari anyagok</w:t>
            </w:r>
          </w:p>
        </w:tc>
        <w:tc>
          <w:tcPr>
            <w:tcW w:w="992" w:type="dxa"/>
            <w:gridSpan w:val="2"/>
            <w:tcMar>
              <w:left w:w="28" w:type="dxa"/>
              <w:right w:w="28" w:type="dxa"/>
            </w:tcMar>
          </w:tcPr>
          <w:p w14:paraId="67DCC867" w14:textId="77777777" w:rsidR="00FA31A1" w:rsidRPr="00DC67EB" w:rsidRDefault="00FA31A1" w:rsidP="00FA31A1">
            <w:pPr>
              <w:spacing w:before="40" w:after="40"/>
              <w:rPr>
                <w:noProof/>
                <w:sz w:val="22"/>
              </w:rPr>
            </w:pPr>
            <w:r w:rsidRPr="00DC67EB">
              <w:rPr>
                <w:noProof/>
                <w:sz w:val="22"/>
              </w:rPr>
              <w:t>84852-15-3</w:t>
            </w:r>
          </w:p>
        </w:tc>
        <w:tc>
          <w:tcPr>
            <w:tcW w:w="1134" w:type="dxa"/>
          </w:tcPr>
          <w:p w14:paraId="1C010F15" w14:textId="77777777" w:rsidR="00FA31A1" w:rsidRPr="00DC67EB" w:rsidRDefault="00FA31A1" w:rsidP="00FA31A1">
            <w:pPr>
              <w:spacing w:before="40" w:after="40"/>
              <w:rPr>
                <w:noProof/>
                <w:sz w:val="22"/>
              </w:rPr>
            </w:pPr>
            <w:r w:rsidRPr="00DC67EB">
              <w:rPr>
                <w:noProof/>
                <w:sz w:val="22"/>
              </w:rPr>
              <w:t>284-325-5</w:t>
            </w:r>
          </w:p>
        </w:tc>
        <w:tc>
          <w:tcPr>
            <w:tcW w:w="1279" w:type="dxa"/>
            <w:gridSpan w:val="2"/>
            <w:tcMar>
              <w:left w:w="28" w:type="dxa"/>
              <w:right w:w="28" w:type="dxa"/>
            </w:tcMar>
          </w:tcPr>
          <w:p w14:paraId="6FAC4F2D" w14:textId="77777777" w:rsidR="00FA31A1" w:rsidRPr="00DC67EB" w:rsidRDefault="00FA31A1" w:rsidP="00FA31A1">
            <w:pPr>
              <w:spacing w:before="40" w:after="40"/>
              <w:rPr>
                <w:noProof/>
                <w:sz w:val="22"/>
              </w:rPr>
            </w:pPr>
            <w:r w:rsidRPr="00DC67EB">
              <w:rPr>
                <w:noProof/>
                <w:sz w:val="22"/>
              </w:rPr>
              <w:t>0,037</w:t>
            </w:r>
          </w:p>
        </w:tc>
        <w:tc>
          <w:tcPr>
            <w:tcW w:w="1279" w:type="dxa"/>
            <w:gridSpan w:val="2"/>
            <w:tcMar>
              <w:left w:w="28" w:type="dxa"/>
              <w:right w:w="28" w:type="dxa"/>
            </w:tcMar>
          </w:tcPr>
          <w:p w14:paraId="4066542E" w14:textId="77777777" w:rsidR="00FA31A1" w:rsidRPr="00DC67EB" w:rsidRDefault="00FA31A1" w:rsidP="00FA31A1">
            <w:pPr>
              <w:spacing w:before="40" w:after="40"/>
              <w:rPr>
                <w:noProof/>
                <w:sz w:val="22"/>
              </w:rPr>
            </w:pPr>
            <w:r w:rsidRPr="00DC67EB">
              <w:rPr>
                <w:noProof/>
                <w:sz w:val="22"/>
              </w:rPr>
              <w:t>0,0018</w:t>
            </w:r>
          </w:p>
        </w:tc>
        <w:tc>
          <w:tcPr>
            <w:tcW w:w="1278" w:type="dxa"/>
            <w:gridSpan w:val="2"/>
            <w:tcMar>
              <w:left w:w="28" w:type="dxa"/>
              <w:right w:w="28" w:type="dxa"/>
            </w:tcMar>
          </w:tcPr>
          <w:p w14:paraId="30B832AB" w14:textId="77777777" w:rsidR="00FA31A1" w:rsidRPr="00DC67EB" w:rsidRDefault="00FA31A1" w:rsidP="00FA31A1">
            <w:pPr>
              <w:spacing w:before="40" w:after="40"/>
              <w:rPr>
                <w:noProof/>
                <w:sz w:val="22"/>
              </w:rPr>
            </w:pPr>
            <w:r w:rsidRPr="00DC67EB">
              <w:rPr>
                <w:noProof/>
                <w:sz w:val="22"/>
              </w:rPr>
              <w:t>2,1</w:t>
            </w:r>
          </w:p>
        </w:tc>
        <w:tc>
          <w:tcPr>
            <w:tcW w:w="1277" w:type="dxa"/>
            <w:gridSpan w:val="2"/>
            <w:tcMar>
              <w:left w:w="28" w:type="dxa"/>
              <w:right w:w="28" w:type="dxa"/>
            </w:tcMar>
          </w:tcPr>
          <w:p w14:paraId="257C8850" w14:textId="77777777" w:rsidR="00FA31A1" w:rsidRPr="00DC67EB" w:rsidRDefault="00FA31A1" w:rsidP="00FA31A1">
            <w:pPr>
              <w:spacing w:before="40" w:after="40"/>
              <w:rPr>
                <w:noProof/>
                <w:sz w:val="22"/>
              </w:rPr>
            </w:pPr>
            <w:r w:rsidRPr="00DC67EB">
              <w:rPr>
                <w:noProof/>
                <w:sz w:val="22"/>
              </w:rPr>
              <w:t>0,17</w:t>
            </w:r>
          </w:p>
        </w:tc>
        <w:tc>
          <w:tcPr>
            <w:tcW w:w="1136" w:type="dxa"/>
            <w:gridSpan w:val="2"/>
            <w:tcMar>
              <w:left w:w="28" w:type="dxa"/>
              <w:right w:w="28" w:type="dxa"/>
            </w:tcMar>
          </w:tcPr>
          <w:p w14:paraId="358635C3" w14:textId="77777777" w:rsidR="00FA31A1" w:rsidRPr="00DC67EB" w:rsidRDefault="00FA31A1" w:rsidP="00FA31A1">
            <w:pPr>
              <w:spacing w:before="40" w:after="40"/>
              <w:rPr>
                <w:noProof/>
                <w:sz w:val="22"/>
              </w:rPr>
            </w:pPr>
          </w:p>
        </w:tc>
        <w:tc>
          <w:tcPr>
            <w:tcW w:w="1262" w:type="dxa"/>
            <w:tcMar>
              <w:left w:w="28" w:type="dxa"/>
              <w:right w:w="28" w:type="dxa"/>
            </w:tcMar>
          </w:tcPr>
          <w:p w14:paraId="78C9455D" w14:textId="77777777" w:rsidR="00FA31A1" w:rsidRPr="00DC67EB" w:rsidRDefault="00FA31A1" w:rsidP="00FA31A1">
            <w:pPr>
              <w:spacing w:before="40" w:after="40"/>
              <w:rPr>
                <w:noProof/>
                <w:sz w:val="22"/>
              </w:rPr>
            </w:pPr>
            <w:r w:rsidRPr="00DC67EB">
              <w:rPr>
                <w:noProof/>
                <w:sz w:val="22"/>
              </w:rPr>
              <w:t>X</w:t>
            </w:r>
          </w:p>
        </w:tc>
        <w:tc>
          <w:tcPr>
            <w:tcW w:w="1153" w:type="dxa"/>
            <w:gridSpan w:val="2"/>
            <w:tcMar>
              <w:left w:w="28" w:type="dxa"/>
              <w:right w:w="28" w:type="dxa"/>
            </w:tcMar>
          </w:tcPr>
          <w:p w14:paraId="5C770495" w14:textId="77777777" w:rsidR="00FA31A1" w:rsidRPr="00DC67EB" w:rsidRDefault="00FA31A1" w:rsidP="00FA31A1">
            <w:pPr>
              <w:spacing w:before="40" w:after="40"/>
              <w:rPr>
                <w:noProof/>
                <w:sz w:val="22"/>
              </w:rPr>
            </w:pPr>
          </w:p>
        </w:tc>
        <w:tc>
          <w:tcPr>
            <w:tcW w:w="970" w:type="dxa"/>
            <w:tcMar>
              <w:left w:w="28" w:type="dxa"/>
              <w:right w:w="28" w:type="dxa"/>
            </w:tcMar>
          </w:tcPr>
          <w:p w14:paraId="5CF7B573" w14:textId="77777777" w:rsidR="00FA31A1" w:rsidRPr="00DC67EB" w:rsidRDefault="00FA31A1" w:rsidP="00FA31A1">
            <w:pPr>
              <w:spacing w:before="40" w:after="40"/>
              <w:rPr>
                <w:noProof/>
                <w:sz w:val="22"/>
              </w:rPr>
            </w:pPr>
          </w:p>
        </w:tc>
      </w:tr>
      <w:tr w:rsidR="00DC67EB" w:rsidRPr="00DC67EB" w14:paraId="58CEDCB4" w14:textId="77777777" w:rsidTr="00FA31A1">
        <w:trPr>
          <w:gridBefore w:val="1"/>
          <w:wBefore w:w="12" w:type="dxa"/>
          <w:cantSplit/>
          <w:tblHeader/>
          <w:jc w:val="center"/>
        </w:trPr>
        <w:tc>
          <w:tcPr>
            <w:tcW w:w="651" w:type="dxa"/>
            <w:gridSpan w:val="3"/>
            <w:tcMar>
              <w:left w:w="28" w:type="dxa"/>
              <w:right w:w="28" w:type="dxa"/>
            </w:tcMar>
          </w:tcPr>
          <w:p w14:paraId="56625C2A" w14:textId="77777777" w:rsidR="00FA31A1" w:rsidRPr="00DC67EB" w:rsidRDefault="00FA31A1" w:rsidP="00FA31A1">
            <w:pPr>
              <w:keepNext/>
              <w:spacing w:before="40" w:after="40"/>
              <w:rPr>
                <w:noProof/>
                <w:sz w:val="22"/>
              </w:rPr>
            </w:pPr>
            <w:r w:rsidRPr="00DC67EB">
              <w:rPr>
                <w:noProof/>
                <w:sz w:val="22"/>
              </w:rPr>
              <w:t>25.</w:t>
            </w:r>
          </w:p>
        </w:tc>
        <w:tc>
          <w:tcPr>
            <w:tcW w:w="2286" w:type="dxa"/>
            <w:gridSpan w:val="3"/>
            <w:tcMar>
              <w:left w:w="28" w:type="dxa"/>
              <w:right w:w="28" w:type="dxa"/>
            </w:tcMar>
          </w:tcPr>
          <w:p w14:paraId="16769A2B" w14:textId="77777777" w:rsidR="00FA31A1" w:rsidRPr="00DC67EB" w:rsidRDefault="00FA31A1" w:rsidP="00FA31A1">
            <w:pPr>
              <w:keepNext/>
              <w:spacing w:before="40" w:after="40"/>
              <w:rPr>
                <w:noProof/>
                <w:sz w:val="22"/>
              </w:rPr>
            </w:pPr>
            <w:r w:rsidRPr="00DC67EB">
              <w:rPr>
                <w:noProof/>
                <w:sz w:val="22"/>
              </w:rPr>
              <w:t>Oktilfenolok (</w:t>
            </w:r>
            <w:r w:rsidRPr="00DC67EB">
              <w:rPr>
                <w:noProof/>
                <w:sz w:val="22"/>
                <w:vertAlign w:val="superscript"/>
              </w:rPr>
              <w:t>15</w:t>
            </w:r>
            <w:r w:rsidRPr="00DC67EB">
              <w:rPr>
                <w:noProof/>
                <w:sz w:val="22"/>
              </w:rPr>
              <w:t xml:space="preserve">) </w:t>
            </w:r>
            <w:r w:rsidRPr="00DC67EB">
              <w:rPr>
                <w:noProof/>
                <w:sz w:val="22"/>
              </w:rPr>
              <w:br/>
              <w:t>((4-(1,1',3,3'-tetrametil-butil)fenol))</w:t>
            </w:r>
          </w:p>
        </w:tc>
        <w:tc>
          <w:tcPr>
            <w:tcW w:w="1329" w:type="dxa"/>
            <w:gridSpan w:val="3"/>
            <w:tcMar>
              <w:left w:w="28" w:type="dxa"/>
              <w:right w:w="28" w:type="dxa"/>
            </w:tcMar>
          </w:tcPr>
          <w:p w14:paraId="5F050E1B" w14:textId="77777777" w:rsidR="00FA31A1" w:rsidRPr="00DC67EB" w:rsidRDefault="00FA31A1" w:rsidP="00FA31A1">
            <w:pPr>
              <w:keepNext/>
              <w:spacing w:before="40" w:after="40"/>
              <w:rPr>
                <w:noProof/>
                <w:sz w:val="22"/>
              </w:rPr>
            </w:pPr>
            <w:r w:rsidRPr="00DC67EB">
              <w:rPr>
                <w:noProof/>
                <w:sz w:val="22"/>
              </w:rPr>
              <w:t>Ipari anyagok</w:t>
            </w:r>
          </w:p>
        </w:tc>
        <w:tc>
          <w:tcPr>
            <w:tcW w:w="992" w:type="dxa"/>
            <w:gridSpan w:val="2"/>
            <w:tcMar>
              <w:left w:w="28" w:type="dxa"/>
              <w:right w:w="28" w:type="dxa"/>
            </w:tcMar>
          </w:tcPr>
          <w:p w14:paraId="5FFAFB45" w14:textId="77777777" w:rsidR="00FA31A1" w:rsidRPr="00DC67EB" w:rsidRDefault="00FA31A1" w:rsidP="00FA31A1">
            <w:pPr>
              <w:keepNext/>
              <w:spacing w:before="40" w:after="40"/>
              <w:rPr>
                <w:noProof/>
                <w:sz w:val="22"/>
              </w:rPr>
            </w:pPr>
            <w:r w:rsidRPr="00DC67EB">
              <w:rPr>
                <w:noProof/>
                <w:sz w:val="22"/>
              </w:rPr>
              <w:t>140</w:t>
            </w:r>
            <w:r w:rsidRPr="00DC67EB">
              <w:rPr>
                <w:noProof/>
                <w:sz w:val="22"/>
              </w:rPr>
              <w:noBreakHyphen/>
              <w:t>66</w:t>
            </w:r>
            <w:r w:rsidRPr="00DC67EB">
              <w:rPr>
                <w:noProof/>
                <w:sz w:val="22"/>
              </w:rPr>
              <w:noBreakHyphen/>
              <w:t>9</w:t>
            </w:r>
          </w:p>
        </w:tc>
        <w:tc>
          <w:tcPr>
            <w:tcW w:w="1134" w:type="dxa"/>
          </w:tcPr>
          <w:p w14:paraId="3A8681A0" w14:textId="77777777" w:rsidR="00FA31A1" w:rsidRPr="00DC67EB" w:rsidRDefault="00FA31A1" w:rsidP="00FA31A1">
            <w:pPr>
              <w:keepNext/>
              <w:spacing w:before="40" w:after="40"/>
              <w:rPr>
                <w:noProof/>
                <w:sz w:val="22"/>
              </w:rPr>
            </w:pPr>
            <w:r w:rsidRPr="00DC67EB">
              <w:rPr>
                <w:noProof/>
                <w:sz w:val="22"/>
              </w:rPr>
              <w:t>205-426-2</w:t>
            </w:r>
          </w:p>
        </w:tc>
        <w:tc>
          <w:tcPr>
            <w:tcW w:w="1279" w:type="dxa"/>
            <w:gridSpan w:val="2"/>
            <w:tcMar>
              <w:left w:w="28" w:type="dxa"/>
              <w:right w:w="28" w:type="dxa"/>
            </w:tcMar>
          </w:tcPr>
          <w:p w14:paraId="55279EC1" w14:textId="77777777" w:rsidR="00FA31A1" w:rsidRPr="00DC67EB" w:rsidRDefault="00FA31A1" w:rsidP="00FA31A1">
            <w:pPr>
              <w:keepNext/>
              <w:spacing w:before="40" w:after="40"/>
              <w:rPr>
                <w:noProof/>
                <w:sz w:val="22"/>
              </w:rPr>
            </w:pPr>
            <w:r w:rsidRPr="00DC67EB">
              <w:rPr>
                <w:noProof/>
                <w:sz w:val="22"/>
              </w:rPr>
              <w:t>0,1</w:t>
            </w:r>
          </w:p>
        </w:tc>
        <w:tc>
          <w:tcPr>
            <w:tcW w:w="1279" w:type="dxa"/>
            <w:gridSpan w:val="2"/>
            <w:tcMar>
              <w:left w:w="28" w:type="dxa"/>
              <w:right w:w="28" w:type="dxa"/>
            </w:tcMar>
          </w:tcPr>
          <w:p w14:paraId="6C0244D3" w14:textId="77777777" w:rsidR="00FA31A1" w:rsidRPr="00DC67EB" w:rsidRDefault="00FA31A1" w:rsidP="00FA31A1">
            <w:pPr>
              <w:keepNext/>
              <w:spacing w:before="40" w:after="40"/>
              <w:rPr>
                <w:noProof/>
                <w:sz w:val="22"/>
              </w:rPr>
            </w:pPr>
            <w:r w:rsidRPr="00DC67EB">
              <w:rPr>
                <w:noProof/>
                <w:sz w:val="22"/>
              </w:rPr>
              <w:t>0,01</w:t>
            </w:r>
          </w:p>
        </w:tc>
        <w:tc>
          <w:tcPr>
            <w:tcW w:w="1278" w:type="dxa"/>
            <w:gridSpan w:val="2"/>
            <w:tcMar>
              <w:left w:w="28" w:type="dxa"/>
              <w:right w:w="28" w:type="dxa"/>
            </w:tcMar>
          </w:tcPr>
          <w:p w14:paraId="2E175661" w14:textId="77777777" w:rsidR="00FA31A1" w:rsidRPr="00DC67EB" w:rsidRDefault="00FA31A1" w:rsidP="00FA31A1">
            <w:pPr>
              <w:keepNext/>
              <w:spacing w:before="40" w:after="40"/>
              <w:rPr>
                <w:noProof/>
                <w:sz w:val="22"/>
              </w:rPr>
            </w:pPr>
            <w:r w:rsidRPr="00DC67EB">
              <w:rPr>
                <w:noProof/>
                <w:sz w:val="22"/>
              </w:rPr>
              <w:t>nem alkalmazható</w:t>
            </w:r>
          </w:p>
        </w:tc>
        <w:tc>
          <w:tcPr>
            <w:tcW w:w="1277" w:type="dxa"/>
            <w:gridSpan w:val="2"/>
            <w:tcMar>
              <w:left w:w="28" w:type="dxa"/>
              <w:right w:w="28" w:type="dxa"/>
            </w:tcMar>
          </w:tcPr>
          <w:p w14:paraId="5059874D" w14:textId="77777777" w:rsidR="00FA31A1" w:rsidRPr="00DC67EB" w:rsidRDefault="00FA31A1" w:rsidP="00FA31A1">
            <w:pPr>
              <w:keepNext/>
              <w:spacing w:before="40" w:after="40"/>
              <w:rPr>
                <w:noProof/>
                <w:sz w:val="22"/>
              </w:rPr>
            </w:pPr>
            <w:r w:rsidRPr="00DC67EB">
              <w:rPr>
                <w:noProof/>
                <w:sz w:val="22"/>
              </w:rPr>
              <w:t>nem alkalmazható</w:t>
            </w:r>
          </w:p>
        </w:tc>
        <w:tc>
          <w:tcPr>
            <w:tcW w:w="1136" w:type="dxa"/>
            <w:gridSpan w:val="2"/>
            <w:tcMar>
              <w:left w:w="28" w:type="dxa"/>
              <w:right w:w="28" w:type="dxa"/>
            </w:tcMar>
          </w:tcPr>
          <w:p w14:paraId="15A87A6E" w14:textId="77777777" w:rsidR="00FA31A1" w:rsidRPr="00DC67EB" w:rsidRDefault="00FA31A1" w:rsidP="00FA31A1">
            <w:pPr>
              <w:keepNext/>
              <w:spacing w:before="40" w:after="40"/>
              <w:rPr>
                <w:noProof/>
                <w:sz w:val="22"/>
              </w:rPr>
            </w:pPr>
          </w:p>
        </w:tc>
        <w:tc>
          <w:tcPr>
            <w:tcW w:w="1262" w:type="dxa"/>
            <w:tcMar>
              <w:left w:w="28" w:type="dxa"/>
              <w:right w:w="28" w:type="dxa"/>
            </w:tcMar>
          </w:tcPr>
          <w:p w14:paraId="7B6D7F2F" w14:textId="77777777" w:rsidR="00FA31A1" w:rsidRPr="00DC67EB" w:rsidRDefault="00FA31A1" w:rsidP="00FA31A1">
            <w:pPr>
              <w:keepNext/>
              <w:spacing w:before="40" w:after="40"/>
              <w:rPr>
                <w:noProof/>
                <w:sz w:val="22"/>
              </w:rPr>
            </w:pPr>
            <w:r w:rsidRPr="00DC67EB">
              <w:rPr>
                <w:noProof/>
                <w:sz w:val="22"/>
              </w:rPr>
              <w:t>X</w:t>
            </w:r>
          </w:p>
        </w:tc>
        <w:tc>
          <w:tcPr>
            <w:tcW w:w="1153" w:type="dxa"/>
            <w:gridSpan w:val="2"/>
            <w:tcMar>
              <w:left w:w="28" w:type="dxa"/>
              <w:right w:w="28" w:type="dxa"/>
            </w:tcMar>
          </w:tcPr>
          <w:p w14:paraId="32B53B3E" w14:textId="77777777" w:rsidR="00FA31A1" w:rsidRPr="00DC67EB" w:rsidRDefault="00FA31A1" w:rsidP="00FA31A1">
            <w:pPr>
              <w:keepNext/>
              <w:spacing w:before="40" w:after="40"/>
              <w:rPr>
                <w:noProof/>
                <w:sz w:val="22"/>
              </w:rPr>
            </w:pPr>
          </w:p>
        </w:tc>
        <w:tc>
          <w:tcPr>
            <w:tcW w:w="970" w:type="dxa"/>
            <w:tcMar>
              <w:left w:w="28" w:type="dxa"/>
              <w:right w:w="28" w:type="dxa"/>
            </w:tcMar>
          </w:tcPr>
          <w:p w14:paraId="6DAE7517" w14:textId="77777777" w:rsidR="00FA31A1" w:rsidRPr="00DC67EB" w:rsidRDefault="00FA31A1" w:rsidP="00FA31A1">
            <w:pPr>
              <w:keepNext/>
              <w:spacing w:before="40" w:after="40"/>
              <w:rPr>
                <w:noProof/>
                <w:sz w:val="22"/>
              </w:rPr>
            </w:pPr>
          </w:p>
        </w:tc>
      </w:tr>
      <w:tr w:rsidR="00DC67EB" w:rsidRPr="00DC67EB" w14:paraId="71652836" w14:textId="77777777" w:rsidTr="00FA31A1">
        <w:trPr>
          <w:gridBefore w:val="1"/>
          <w:wBefore w:w="12" w:type="dxa"/>
          <w:cantSplit/>
          <w:tblHeader/>
          <w:jc w:val="center"/>
        </w:trPr>
        <w:tc>
          <w:tcPr>
            <w:tcW w:w="651" w:type="dxa"/>
            <w:gridSpan w:val="3"/>
            <w:tcMar>
              <w:left w:w="28" w:type="dxa"/>
              <w:right w:w="28" w:type="dxa"/>
            </w:tcMar>
          </w:tcPr>
          <w:p w14:paraId="12F5CE38" w14:textId="77777777" w:rsidR="00FA31A1" w:rsidRPr="00DC67EB" w:rsidRDefault="00FA31A1" w:rsidP="00FA31A1">
            <w:pPr>
              <w:spacing w:before="40" w:after="40"/>
              <w:rPr>
                <w:noProof/>
                <w:sz w:val="22"/>
              </w:rPr>
            </w:pPr>
            <w:r w:rsidRPr="00DC67EB">
              <w:rPr>
                <w:noProof/>
                <w:sz w:val="22"/>
              </w:rPr>
              <w:t>26.</w:t>
            </w:r>
          </w:p>
        </w:tc>
        <w:tc>
          <w:tcPr>
            <w:tcW w:w="2286" w:type="dxa"/>
            <w:gridSpan w:val="3"/>
            <w:tcMar>
              <w:left w:w="28" w:type="dxa"/>
              <w:right w:w="28" w:type="dxa"/>
            </w:tcMar>
          </w:tcPr>
          <w:p w14:paraId="7AF4F23D" w14:textId="77777777" w:rsidR="00FA31A1" w:rsidRPr="00DC67EB" w:rsidRDefault="00FA31A1" w:rsidP="00FA31A1">
            <w:pPr>
              <w:spacing w:before="40" w:after="40"/>
              <w:rPr>
                <w:noProof/>
                <w:sz w:val="22"/>
              </w:rPr>
            </w:pPr>
            <w:r w:rsidRPr="00DC67EB">
              <w:rPr>
                <w:noProof/>
                <w:sz w:val="22"/>
              </w:rPr>
              <w:t>Pentaklórbenzol</w:t>
            </w:r>
          </w:p>
        </w:tc>
        <w:tc>
          <w:tcPr>
            <w:tcW w:w="1329" w:type="dxa"/>
            <w:gridSpan w:val="3"/>
            <w:tcMar>
              <w:left w:w="28" w:type="dxa"/>
              <w:right w:w="28" w:type="dxa"/>
            </w:tcMar>
          </w:tcPr>
          <w:p w14:paraId="21FDFB55" w14:textId="77777777" w:rsidR="00FA31A1" w:rsidRPr="00DC67EB" w:rsidRDefault="00FA31A1" w:rsidP="00FA31A1">
            <w:pPr>
              <w:spacing w:before="40" w:after="40"/>
              <w:rPr>
                <w:noProof/>
                <w:sz w:val="22"/>
              </w:rPr>
            </w:pPr>
            <w:r w:rsidRPr="00DC67EB">
              <w:rPr>
                <w:noProof/>
                <w:sz w:val="22"/>
              </w:rPr>
              <w:t>Ipari anyagok</w:t>
            </w:r>
          </w:p>
        </w:tc>
        <w:tc>
          <w:tcPr>
            <w:tcW w:w="992" w:type="dxa"/>
            <w:gridSpan w:val="2"/>
            <w:tcMar>
              <w:left w:w="28" w:type="dxa"/>
              <w:right w:w="28" w:type="dxa"/>
            </w:tcMar>
          </w:tcPr>
          <w:p w14:paraId="279FB862" w14:textId="77777777" w:rsidR="00FA31A1" w:rsidRPr="00DC67EB" w:rsidRDefault="00FA31A1" w:rsidP="00FA31A1">
            <w:pPr>
              <w:spacing w:before="40" w:after="40"/>
              <w:rPr>
                <w:noProof/>
                <w:sz w:val="22"/>
              </w:rPr>
            </w:pPr>
            <w:r w:rsidRPr="00DC67EB">
              <w:rPr>
                <w:noProof/>
                <w:sz w:val="22"/>
              </w:rPr>
              <w:t>608</w:t>
            </w:r>
            <w:r w:rsidRPr="00DC67EB">
              <w:rPr>
                <w:noProof/>
                <w:sz w:val="22"/>
              </w:rPr>
              <w:noBreakHyphen/>
              <w:t>93</w:t>
            </w:r>
            <w:r w:rsidRPr="00DC67EB">
              <w:rPr>
                <w:noProof/>
                <w:sz w:val="22"/>
              </w:rPr>
              <w:noBreakHyphen/>
              <w:t>5</w:t>
            </w:r>
          </w:p>
        </w:tc>
        <w:tc>
          <w:tcPr>
            <w:tcW w:w="1134" w:type="dxa"/>
          </w:tcPr>
          <w:p w14:paraId="35714C89" w14:textId="77777777" w:rsidR="00FA31A1" w:rsidRPr="00DC67EB" w:rsidRDefault="00FA31A1" w:rsidP="00FA31A1">
            <w:pPr>
              <w:spacing w:before="40" w:after="40"/>
              <w:rPr>
                <w:noProof/>
                <w:sz w:val="22"/>
              </w:rPr>
            </w:pPr>
            <w:r w:rsidRPr="00DC67EB">
              <w:rPr>
                <w:noProof/>
                <w:sz w:val="22"/>
              </w:rPr>
              <w:t>210-172-0</w:t>
            </w:r>
          </w:p>
        </w:tc>
        <w:tc>
          <w:tcPr>
            <w:tcW w:w="1279" w:type="dxa"/>
            <w:gridSpan w:val="2"/>
            <w:tcMar>
              <w:left w:w="28" w:type="dxa"/>
              <w:right w:w="28" w:type="dxa"/>
            </w:tcMar>
          </w:tcPr>
          <w:p w14:paraId="569201CE" w14:textId="77777777" w:rsidR="00FA31A1" w:rsidRPr="00DC67EB" w:rsidRDefault="00FA31A1" w:rsidP="00FA31A1">
            <w:pPr>
              <w:spacing w:before="40" w:after="40"/>
              <w:rPr>
                <w:noProof/>
                <w:sz w:val="22"/>
              </w:rPr>
            </w:pPr>
            <w:r w:rsidRPr="00DC67EB">
              <w:rPr>
                <w:noProof/>
                <w:sz w:val="22"/>
              </w:rPr>
              <w:t>0,007</w:t>
            </w:r>
          </w:p>
        </w:tc>
        <w:tc>
          <w:tcPr>
            <w:tcW w:w="1279" w:type="dxa"/>
            <w:gridSpan w:val="2"/>
            <w:tcMar>
              <w:left w:w="28" w:type="dxa"/>
              <w:right w:w="28" w:type="dxa"/>
            </w:tcMar>
          </w:tcPr>
          <w:p w14:paraId="3A5C141A" w14:textId="77777777" w:rsidR="00FA31A1" w:rsidRPr="00DC67EB" w:rsidRDefault="00FA31A1" w:rsidP="00FA31A1">
            <w:pPr>
              <w:spacing w:before="40" w:after="40"/>
              <w:rPr>
                <w:noProof/>
                <w:sz w:val="22"/>
              </w:rPr>
            </w:pPr>
            <w:r w:rsidRPr="00DC67EB">
              <w:rPr>
                <w:noProof/>
                <w:sz w:val="22"/>
              </w:rPr>
              <w:t>0,0007</w:t>
            </w:r>
          </w:p>
        </w:tc>
        <w:tc>
          <w:tcPr>
            <w:tcW w:w="1278" w:type="dxa"/>
            <w:gridSpan w:val="2"/>
            <w:tcMar>
              <w:left w:w="28" w:type="dxa"/>
              <w:right w:w="28" w:type="dxa"/>
            </w:tcMar>
          </w:tcPr>
          <w:p w14:paraId="797C023B" w14:textId="77777777" w:rsidR="00FA31A1" w:rsidRPr="00DC67EB" w:rsidRDefault="00FA31A1" w:rsidP="00FA31A1">
            <w:pPr>
              <w:spacing w:before="40" w:after="40"/>
              <w:rPr>
                <w:noProof/>
                <w:sz w:val="22"/>
              </w:rPr>
            </w:pPr>
            <w:r w:rsidRPr="00DC67EB">
              <w:rPr>
                <w:noProof/>
                <w:sz w:val="22"/>
              </w:rPr>
              <w:t>nem alkalmazható</w:t>
            </w:r>
          </w:p>
        </w:tc>
        <w:tc>
          <w:tcPr>
            <w:tcW w:w="1277" w:type="dxa"/>
            <w:gridSpan w:val="2"/>
            <w:tcMar>
              <w:left w:w="28" w:type="dxa"/>
              <w:right w:w="28" w:type="dxa"/>
            </w:tcMar>
          </w:tcPr>
          <w:p w14:paraId="256E9B01" w14:textId="77777777" w:rsidR="00FA31A1" w:rsidRPr="00DC67EB" w:rsidRDefault="00FA31A1" w:rsidP="00FA31A1">
            <w:pPr>
              <w:spacing w:before="40" w:after="40"/>
              <w:rPr>
                <w:noProof/>
                <w:sz w:val="22"/>
              </w:rPr>
            </w:pPr>
            <w:r w:rsidRPr="00DC67EB">
              <w:rPr>
                <w:noProof/>
                <w:sz w:val="22"/>
              </w:rPr>
              <w:t>nem alkalmazható</w:t>
            </w:r>
          </w:p>
        </w:tc>
        <w:tc>
          <w:tcPr>
            <w:tcW w:w="1136" w:type="dxa"/>
            <w:gridSpan w:val="2"/>
            <w:tcMar>
              <w:left w:w="28" w:type="dxa"/>
              <w:right w:w="28" w:type="dxa"/>
            </w:tcMar>
          </w:tcPr>
          <w:p w14:paraId="1F3D3BB9" w14:textId="77777777" w:rsidR="00FA31A1" w:rsidRPr="00DC67EB" w:rsidRDefault="00FA31A1" w:rsidP="00FA31A1">
            <w:pPr>
              <w:spacing w:before="40" w:after="40"/>
              <w:rPr>
                <w:noProof/>
                <w:sz w:val="22"/>
              </w:rPr>
            </w:pPr>
          </w:p>
        </w:tc>
        <w:tc>
          <w:tcPr>
            <w:tcW w:w="1262" w:type="dxa"/>
            <w:tcMar>
              <w:left w:w="28" w:type="dxa"/>
              <w:right w:w="28" w:type="dxa"/>
            </w:tcMar>
          </w:tcPr>
          <w:p w14:paraId="0B28F131" w14:textId="77777777" w:rsidR="00FA31A1" w:rsidRPr="00DC67EB" w:rsidRDefault="00FA31A1" w:rsidP="00FA31A1">
            <w:pPr>
              <w:spacing w:before="40" w:after="40"/>
              <w:rPr>
                <w:noProof/>
                <w:sz w:val="22"/>
              </w:rPr>
            </w:pPr>
            <w:r w:rsidRPr="00DC67EB">
              <w:rPr>
                <w:noProof/>
                <w:sz w:val="22"/>
              </w:rPr>
              <w:t>X</w:t>
            </w:r>
          </w:p>
        </w:tc>
        <w:tc>
          <w:tcPr>
            <w:tcW w:w="1153" w:type="dxa"/>
            <w:gridSpan w:val="2"/>
            <w:tcMar>
              <w:left w:w="28" w:type="dxa"/>
              <w:right w:w="28" w:type="dxa"/>
            </w:tcMar>
          </w:tcPr>
          <w:p w14:paraId="3CB99521" w14:textId="77777777" w:rsidR="00FA31A1" w:rsidRPr="00DC67EB" w:rsidRDefault="00FA31A1" w:rsidP="00FA31A1">
            <w:pPr>
              <w:spacing w:before="40" w:after="40"/>
              <w:rPr>
                <w:noProof/>
                <w:sz w:val="22"/>
              </w:rPr>
            </w:pPr>
          </w:p>
        </w:tc>
        <w:tc>
          <w:tcPr>
            <w:tcW w:w="970" w:type="dxa"/>
            <w:tcMar>
              <w:left w:w="28" w:type="dxa"/>
              <w:right w:w="28" w:type="dxa"/>
            </w:tcMar>
          </w:tcPr>
          <w:p w14:paraId="369AF2E6" w14:textId="77777777" w:rsidR="00FA31A1" w:rsidRPr="00DC67EB" w:rsidRDefault="00FA31A1" w:rsidP="00FA31A1">
            <w:pPr>
              <w:spacing w:before="40" w:after="40"/>
              <w:rPr>
                <w:noProof/>
                <w:sz w:val="22"/>
              </w:rPr>
            </w:pPr>
            <w:r w:rsidRPr="00DC67EB">
              <w:rPr>
                <w:noProof/>
                <w:sz w:val="22"/>
              </w:rPr>
              <w:t>X</w:t>
            </w:r>
          </w:p>
        </w:tc>
      </w:tr>
      <w:tr w:rsidR="00DC67EB" w:rsidRPr="00DC67EB" w14:paraId="3A4057E3" w14:textId="77777777" w:rsidTr="00FA31A1">
        <w:trPr>
          <w:gridBefore w:val="1"/>
          <w:wBefore w:w="12" w:type="dxa"/>
          <w:cantSplit/>
          <w:tblHeader/>
          <w:jc w:val="center"/>
        </w:trPr>
        <w:tc>
          <w:tcPr>
            <w:tcW w:w="651" w:type="dxa"/>
            <w:gridSpan w:val="3"/>
            <w:tcMar>
              <w:left w:w="28" w:type="dxa"/>
              <w:right w:w="28" w:type="dxa"/>
            </w:tcMar>
          </w:tcPr>
          <w:p w14:paraId="50C48478" w14:textId="77777777" w:rsidR="00FA31A1" w:rsidRPr="00DC67EB" w:rsidRDefault="00FA31A1" w:rsidP="00FA31A1">
            <w:pPr>
              <w:spacing w:before="40" w:after="40"/>
              <w:rPr>
                <w:noProof/>
                <w:sz w:val="22"/>
              </w:rPr>
            </w:pPr>
            <w:r w:rsidRPr="00DC67EB">
              <w:rPr>
                <w:noProof/>
                <w:sz w:val="22"/>
              </w:rPr>
              <w:t>27.</w:t>
            </w:r>
          </w:p>
        </w:tc>
        <w:tc>
          <w:tcPr>
            <w:tcW w:w="2286" w:type="dxa"/>
            <w:gridSpan w:val="3"/>
            <w:tcMar>
              <w:left w:w="28" w:type="dxa"/>
              <w:right w:w="28" w:type="dxa"/>
            </w:tcMar>
          </w:tcPr>
          <w:p w14:paraId="1E1ADC51" w14:textId="77777777" w:rsidR="00FA31A1" w:rsidRPr="00DC67EB" w:rsidRDefault="00FA31A1" w:rsidP="00FA31A1">
            <w:pPr>
              <w:spacing w:before="40" w:after="40"/>
              <w:rPr>
                <w:noProof/>
                <w:sz w:val="22"/>
              </w:rPr>
            </w:pPr>
            <w:r w:rsidRPr="00DC67EB">
              <w:rPr>
                <w:noProof/>
                <w:sz w:val="22"/>
              </w:rPr>
              <w:t>Pentaklórfenol</w:t>
            </w:r>
          </w:p>
        </w:tc>
        <w:tc>
          <w:tcPr>
            <w:tcW w:w="1329" w:type="dxa"/>
            <w:gridSpan w:val="3"/>
            <w:tcMar>
              <w:left w:w="28" w:type="dxa"/>
              <w:right w:w="28" w:type="dxa"/>
            </w:tcMar>
          </w:tcPr>
          <w:p w14:paraId="0782D869" w14:textId="77777777" w:rsidR="00FA31A1" w:rsidRPr="00DC67EB" w:rsidRDefault="00FA31A1" w:rsidP="00FA31A1">
            <w:pPr>
              <w:spacing w:before="40" w:after="40"/>
              <w:rPr>
                <w:noProof/>
                <w:sz w:val="22"/>
              </w:rPr>
            </w:pPr>
            <w:r w:rsidRPr="00DC67EB">
              <w:rPr>
                <w:noProof/>
                <w:sz w:val="22"/>
              </w:rPr>
              <w:t>Szerves klórt tartalmazó peszticidek</w:t>
            </w:r>
          </w:p>
        </w:tc>
        <w:tc>
          <w:tcPr>
            <w:tcW w:w="992" w:type="dxa"/>
            <w:gridSpan w:val="2"/>
            <w:tcMar>
              <w:left w:w="28" w:type="dxa"/>
              <w:right w:w="28" w:type="dxa"/>
            </w:tcMar>
          </w:tcPr>
          <w:p w14:paraId="41B4E479" w14:textId="77777777" w:rsidR="00FA31A1" w:rsidRPr="00DC67EB" w:rsidRDefault="00FA31A1" w:rsidP="00FA31A1">
            <w:pPr>
              <w:spacing w:before="40" w:after="40"/>
              <w:rPr>
                <w:noProof/>
                <w:sz w:val="22"/>
              </w:rPr>
            </w:pPr>
            <w:r w:rsidRPr="00DC67EB">
              <w:rPr>
                <w:noProof/>
                <w:sz w:val="22"/>
              </w:rPr>
              <w:t>87</w:t>
            </w:r>
            <w:r w:rsidRPr="00DC67EB">
              <w:rPr>
                <w:noProof/>
                <w:sz w:val="22"/>
              </w:rPr>
              <w:noBreakHyphen/>
              <w:t>86</w:t>
            </w:r>
            <w:r w:rsidRPr="00DC67EB">
              <w:rPr>
                <w:noProof/>
                <w:sz w:val="22"/>
              </w:rPr>
              <w:noBreakHyphen/>
              <w:t>5</w:t>
            </w:r>
          </w:p>
        </w:tc>
        <w:tc>
          <w:tcPr>
            <w:tcW w:w="1134" w:type="dxa"/>
          </w:tcPr>
          <w:p w14:paraId="53ADD5DD" w14:textId="77777777" w:rsidR="00FA31A1" w:rsidRPr="00DC67EB" w:rsidRDefault="00FA31A1" w:rsidP="00FA31A1">
            <w:pPr>
              <w:spacing w:before="40" w:after="40"/>
              <w:rPr>
                <w:noProof/>
                <w:sz w:val="22"/>
              </w:rPr>
            </w:pPr>
            <w:r w:rsidRPr="00DC67EB">
              <w:rPr>
                <w:noProof/>
                <w:sz w:val="22"/>
              </w:rPr>
              <w:t>201-778-6</w:t>
            </w:r>
          </w:p>
        </w:tc>
        <w:tc>
          <w:tcPr>
            <w:tcW w:w="1279" w:type="dxa"/>
            <w:gridSpan w:val="2"/>
            <w:tcMar>
              <w:left w:w="28" w:type="dxa"/>
              <w:right w:w="28" w:type="dxa"/>
            </w:tcMar>
          </w:tcPr>
          <w:p w14:paraId="4EF26C4E" w14:textId="77777777" w:rsidR="00FA31A1" w:rsidRPr="00DC67EB" w:rsidRDefault="00FA31A1" w:rsidP="00FA31A1">
            <w:pPr>
              <w:spacing w:before="40" w:after="40"/>
              <w:rPr>
                <w:noProof/>
                <w:sz w:val="22"/>
              </w:rPr>
            </w:pPr>
            <w:r w:rsidRPr="00DC67EB">
              <w:rPr>
                <w:noProof/>
                <w:sz w:val="22"/>
              </w:rPr>
              <w:t>0,4</w:t>
            </w:r>
          </w:p>
        </w:tc>
        <w:tc>
          <w:tcPr>
            <w:tcW w:w="1279" w:type="dxa"/>
            <w:gridSpan w:val="2"/>
            <w:tcMar>
              <w:left w:w="28" w:type="dxa"/>
              <w:right w:w="28" w:type="dxa"/>
            </w:tcMar>
          </w:tcPr>
          <w:p w14:paraId="4531D130" w14:textId="77777777" w:rsidR="00FA31A1" w:rsidRPr="00DC67EB" w:rsidRDefault="00FA31A1" w:rsidP="00FA31A1">
            <w:pPr>
              <w:spacing w:before="40" w:after="40"/>
              <w:rPr>
                <w:noProof/>
                <w:sz w:val="22"/>
              </w:rPr>
            </w:pPr>
            <w:r w:rsidRPr="00DC67EB">
              <w:rPr>
                <w:noProof/>
                <w:sz w:val="22"/>
              </w:rPr>
              <w:t>0,4</w:t>
            </w:r>
          </w:p>
        </w:tc>
        <w:tc>
          <w:tcPr>
            <w:tcW w:w="1278" w:type="dxa"/>
            <w:gridSpan w:val="2"/>
            <w:tcMar>
              <w:left w:w="28" w:type="dxa"/>
              <w:right w:w="28" w:type="dxa"/>
            </w:tcMar>
          </w:tcPr>
          <w:p w14:paraId="23330B03" w14:textId="77777777" w:rsidR="00FA31A1" w:rsidRPr="00DC67EB" w:rsidRDefault="00FA31A1" w:rsidP="00FA31A1">
            <w:pPr>
              <w:spacing w:before="40" w:after="40"/>
              <w:rPr>
                <w:noProof/>
                <w:sz w:val="22"/>
              </w:rPr>
            </w:pPr>
            <w:r w:rsidRPr="00DC67EB">
              <w:rPr>
                <w:noProof/>
                <w:sz w:val="22"/>
              </w:rPr>
              <w:t>1</w:t>
            </w:r>
          </w:p>
        </w:tc>
        <w:tc>
          <w:tcPr>
            <w:tcW w:w="1277" w:type="dxa"/>
            <w:gridSpan w:val="2"/>
            <w:tcMar>
              <w:left w:w="28" w:type="dxa"/>
              <w:right w:w="28" w:type="dxa"/>
            </w:tcMar>
          </w:tcPr>
          <w:p w14:paraId="783A2D21" w14:textId="77777777" w:rsidR="00FA31A1" w:rsidRPr="00DC67EB" w:rsidRDefault="00FA31A1" w:rsidP="00FA31A1">
            <w:pPr>
              <w:spacing w:before="40" w:after="40"/>
              <w:rPr>
                <w:noProof/>
                <w:sz w:val="22"/>
              </w:rPr>
            </w:pPr>
            <w:r w:rsidRPr="00DC67EB">
              <w:rPr>
                <w:noProof/>
                <w:sz w:val="22"/>
              </w:rPr>
              <w:t>1</w:t>
            </w:r>
          </w:p>
        </w:tc>
        <w:tc>
          <w:tcPr>
            <w:tcW w:w="1136" w:type="dxa"/>
            <w:gridSpan w:val="2"/>
            <w:tcMar>
              <w:left w:w="28" w:type="dxa"/>
              <w:right w:w="28" w:type="dxa"/>
            </w:tcMar>
          </w:tcPr>
          <w:p w14:paraId="6AE25049" w14:textId="77777777" w:rsidR="00FA31A1" w:rsidRPr="00DC67EB" w:rsidRDefault="00FA31A1" w:rsidP="00FA31A1">
            <w:pPr>
              <w:spacing w:before="40" w:after="40"/>
              <w:rPr>
                <w:noProof/>
                <w:sz w:val="22"/>
              </w:rPr>
            </w:pPr>
          </w:p>
        </w:tc>
        <w:tc>
          <w:tcPr>
            <w:tcW w:w="1262" w:type="dxa"/>
            <w:tcMar>
              <w:left w:w="28" w:type="dxa"/>
              <w:right w:w="28" w:type="dxa"/>
            </w:tcMar>
          </w:tcPr>
          <w:p w14:paraId="072EDFC2" w14:textId="77777777" w:rsidR="00FA31A1" w:rsidRPr="00DC67EB" w:rsidRDefault="00FA31A1" w:rsidP="00FA31A1">
            <w:pPr>
              <w:spacing w:before="40" w:after="40"/>
              <w:rPr>
                <w:noProof/>
                <w:sz w:val="22"/>
              </w:rPr>
            </w:pPr>
            <w:r w:rsidRPr="00DC67EB">
              <w:rPr>
                <w:noProof/>
                <w:sz w:val="22"/>
              </w:rPr>
              <w:t>X</w:t>
            </w:r>
          </w:p>
        </w:tc>
        <w:tc>
          <w:tcPr>
            <w:tcW w:w="1153" w:type="dxa"/>
            <w:gridSpan w:val="2"/>
            <w:tcMar>
              <w:left w:w="28" w:type="dxa"/>
              <w:right w:w="28" w:type="dxa"/>
            </w:tcMar>
          </w:tcPr>
          <w:p w14:paraId="2C4AC3DC" w14:textId="77777777" w:rsidR="00FA31A1" w:rsidRPr="00DC67EB" w:rsidRDefault="00FA31A1" w:rsidP="00FA31A1">
            <w:pPr>
              <w:spacing w:before="40" w:after="40"/>
              <w:rPr>
                <w:noProof/>
                <w:sz w:val="22"/>
              </w:rPr>
            </w:pPr>
          </w:p>
        </w:tc>
        <w:tc>
          <w:tcPr>
            <w:tcW w:w="970" w:type="dxa"/>
            <w:tcMar>
              <w:left w:w="28" w:type="dxa"/>
              <w:right w:w="28" w:type="dxa"/>
            </w:tcMar>
          </w:tcPr>
          <w:p w14:paraId="4B48931B" w14:textId="77777777" w:rsidR="00FA31A1" w:rsidRPr="00DC67EB" w:rsidRDefault="00FA31A1" w:rsidP="00FA31A1">
            <w:pPr>
              <w:spacing w:before="40" w:after="40"/>
              <w:rPr>
                <w:noProof/>
                <w:sz w:val="22"/>
              </w:rPr>
            </w:pPr>
          </w:p>
        </w:tc>
      </w:tr>
      <w:tr w:rsidR="00DC67EB" w:rsidRPr="00DC67EB" w14:paraId="746632E8" w14:textId="77777777" w:rsidTr="00FA31A1">
        <w:trPr>
          <w:gridBefore w:val="1"/>
          <w:wBefore w:w="12" w:type="dxa"/>
          <w:cantSplit/>
          <w:tblHeader/>
          <w:jc w:val="center"/>
        </w:trPr>
        <w:tc>
          <w:tcPr>
            <w:tcW w:w="651" w:type="dxa"/>
            <w:gridSpan w:val="3"/>
            <w:tcMar>
              <w:left w:w="28" w:type="dxa"/>
              <w:right w:w="28" w:type="dxa"/>
            </w:tcMar>
          </w:tcPr>
          <w:p w14:paraId="51787A94" w14:textId="77777777" w:rsidR="00FA31A1" w:rsidRPr="00DC67EB" w:rsidRDefault="00FA31A1" w:rsidP="00FA31A1">
            <w:pPr>
              <w:spacing w:before="40" w:after="40"/>
              <w:rPr>
                <w:noProof/>
                <w:sz w:val="22"/>
              </w:rPr>
            </w:pPr>
            <w:r w:rsidRPr="00DC67EB">
              <w:rPr>
                <w:noProof/>
                <w:sz w:val="22"/>
              </w:rPr>
              <w:t>28.</w:t>
            </w:r>
          </w:p>
        </w:tc>
        <w:tc>
          <w:tcPr>
            <w:tcW w:w="2286" w:type="dxa"/>
            <w:gridSpan w:val="3"/>
            <w:tcMar>
              <w:left w:w="28" w:type="dxa"/>
              <w:right w:w="28" w:type="dxa"/>
            </w:tcMar>
          </w:tcPr>
          <w:p w14:paraId="160354D0" w14:textId="77777777" w:rsidR="00FA31A1" w:rsidRPr="00DC67EB" w:rsidRDefault="00FA31A1" w:rsidP="00FA31A1">
            <w:pPr>
              <w:spacing w:before="40" w:after="40"/>
              <w:rPr>
                <w:noProof/>
                <w:sz w:val="22"/>
              </w:rPr>
            </w:pPr>
            <w:r w:rsidRPr="00DC67EB">
              <w:rPr>
                <w:noProof/>
                <w:sz w:val="22"/>
              </w:rPr>
              <w:t>Poliaromás szénhidrogének (PAH) (</w:t>
            </w:r>
            <w:r w:rsidRPr="00DC67EB">
              <w:rPr>
                <w:noProof/>
                <w:sz w:val="22"/>
                <w:vertAlign w:val="superscript"/>
              </w:rPr>
              <w:t>16</w:t>
            </w:r>
            <w:r w:rsidRPr="00DC67EB">
              <w:rPr>
                <w:noProof/>
                <w:sz w:val="22"/>
              </w:rPr>
              <w:t>)</w:t>
            </w:r>
          </w:p>
        </w:tc>
        <w:tc>
          <w:tcPr>
            <w:tcW w:w="1329" w:type="dxa"/>
            <w:gridSpan w:val="3"/>
            <w:tcMar>
              <w:left w:w="28" w:type="dxa"/>
              <w:right w:w="28" w:type="dxa"/>
            </w:tcMar>
          </w:tcPr>
          <w:p w14:paraId="18D96943" w14:textId="77777777" w:rsidR="00FA31A1" w:rsidRPr="00DC67EB" w:rsidRDefault="00FA31A1" w:rsidP="00FA31A1">
            <w:pPr>
              <w:spacing w:before="40" w:after="40"/>
              <w:rPr>
                <w:noProof/>
                <w:sz w:val="22"/>
              </w:rPr>
            </w:pPr>
            <w:r w:rsidRPr="00DC67EB">
              <w:rPr>
                <w:noProof/>
                <w:sz w:val="22"/>
              </w:rPr>
              <w:t>Égéstermékek</w:t>
            </w:r>
          </w:p>
        </w:tc>
        <w:tc>
          <w:tcPr>
            <w:tcW w:w="992" w:type="dxa"/>
            <w:gridSpan w:val="2"/>
            <w:tcMar>
              <w:left w:w="28" w:type="dxa"/>
              <w:right w:w="28" w:type="dxa"/>
            </w:tcMar>
          </w:tcPr>
          <w:p w14:paraId="67A7DD92" w14:textId="77777777" w:rsidR="00FA31A1" w:rsidRPr="00DC67EB" w:rsidRDefault="00FA31A1" w:rsidP="00FA31A1">
            <w:pPr>
              <w:spacing w:before="40" w:after="40"/>
              <w:rPr>
                <w:noProof/>
                <w:sz w:val="22"/>
              </w:rPr>
            </w:pPr>
            <w:r w:rsidRPr="00DC67EB">
              <w:rPr>
                <w:noProof/>
                <w:sz w:val="22"/>
              </w:rPr>
              <w:t>nem alkalmazható</w:t>
            </w:r>
          </w:p>
        </w:tc>
        <w:tc>
          <w:tcPr>
            <w:tcW w:w="1134" w:type="dxa"/>
          </w:tcPr>
          <w:p w14:paraId="2DEC06A7" w14:textId="77777777" w:rsidR="00FA31A1" w:rsidRPr="00DC67EB" w:rsidRDefault="00FA31A1" w:rsidP="00FA31A1">
            <w:pPr>
              <w:spacing w:before="40" w:after="40"/>
              <w:rPr>
                <w:noProof/>
                <w:sz w:val="22"/>
              </w:rPr>
            </w:pPr>
            <w:r w:rsidRPr="00DC67EB">
              <w:rPr>
                <w:noProof/>
                <w:sz w:val="22"/>
              </w:rPr>
              <w:t>nem alkalmazható</w:t>
            </w:r>
          </w:p>
        </w:tc>
        <w:tc>
          <w:tcPr>
            <w:tcW w:w="1279" w:type="dxa"/>
            <w:gridSpan w:val="2"/>
            <w:tcMar>
              <w:left w:w="28" w:type="dxa"/>
              <w:right w:w="28" w:type="dxa"/>
            </w:tcMar>
          </w:tcPr>
          <w:p w14:paraId="52C7FBA0" w14:textId="77777777" w:rsidR="00FA31A1" w:rsidRPr="00DC67EB" w:rsidRDefault="00FA31A1" w:rsidP="00FA31A1">
            <w:pPr>
              <w:spacing w:before="40" w:after="40"/>
              <w:rPr>
                <w:noProof/>
                <w:sz w:val="22"/>
              </w:rPr>
            </w:pPr>
            <w:r w:rsidRPr="00DC67EB">
              <w:rPr>
                <w:noProof/>
                <w:sz w:val="22"/>
              </w:rPr>
              <w:t>nem alkalmazható</w:t>
            </w:r>
          </w:p>
        </w:tc>
        <w:tc>
          <w:tcPr>
            <w:tcW w:w="1279" w:type="dxa"/>
            <w:gridSpan w:val="2"/>
            <w:tcMar>
              <w:left w:w="28" w:type="dxa"/>
              <w:right w:w="28" w:type="dxa"/>
            </w:tcMar>
          </w:tcPr>
          <w:p w14:paraId="5D0D037D" w14:textId="77777777" w:rsidR="00FA31A1" w:rsidRPr="00DC67EB" w:rsidRDefault="00FA31A1" w:rsidP="00FA31A1">
            <w:pPr>
              <w:spacing w:before="40" w:after="40"/>
              <w:rPr>
                <w:noProof/>
                <w:sz w:val="22"/>
              </w:rPr>
            </w:pPr>
            <w:r w:rsidRPr="00DC67EB">
              <w:rPr>
                <w:noProof/>
                <w:sz w:val="22"/>
              </w:rPr>
              <w:t>nem alkalmazható</w:t>
            </w:r>
          </w:p>
        </w:tc>
        <w:tc>
          <w:tcPr>
            <w:tcW w:w="1278" w:type="dxa"/>
            <w:gridSpan w:val="2"/>
            <w:tcMar>
              <w:left w:w="28" w:type="dxa"/>
              <w:right w:w="28" w:type="dxa"/>
            </w:tcMar>
          </w:tcPr>
          <w:p w14:paraId="574BAE7F" w14:textId="77777777" w:rsidR="00FA31A1" w:rsidRPr="00DC67EB" w:rsidRDefault="00FA31A1" w:rsidP="00FA31A1">
            <w:pPr>
              <w:spacing w:before="40" w:after="40"/>
              <w:rPr>
                <w:noProof/>
                <w:sz w:val="22"/>
              </w:rPr>
            </w:pPr>
            <w:r w:rsidRPr="00DC67EB">
              <w:rPr>
                <w:noProof/>
                <w:sz w:val="22"/>
              </w:rPr>
              <w:t>nem alkalmazható</w:t>
            </w:r>
          </w:p>
        </w:tc>
        <w:tc>
          <w:tcPr>
            <w:tcW w:w="1277" w:type="dxa"/>
            <w:gridSpan w:val="2"/>
            <w:tcMar>
              <w:left w:w="28" w:type="dxa"/>
              <w:right w:w="28" w:type="dxa"/>
            </w:tcMar>
          </w:tcPr>
          <w:p w14:paraId="0D72210C" w14:textId="77777777" w:rsidR="00FA31A1" w:rsidRPr="00DC67EB" w:rsidRDefault="00FA31A1" w:rsidP="00FA31A1">
            <w:pPr>
              <w:spacing w:before="40" w:after="40"/>
              <w:rPr>
                <w:noProof/>
                <w:sz w:val="22"/>
              </w:rPr>
            </w:pPr>
            <w:r w:rsidRPr="00DC67EB">
              <w:rPr>
                <w:noProof/>
                <w:sz w:val="22"/>
              </w:rPr>
              <w:t>nem alkalmazható</w:t>
            </w:r>
          </w:p>
        </w:tc>
        <w:tc>
          <w:tcPr>
            <w:tcW w:w="1136" w:type="dxa"/>
            <w:gridSpan w:val="2"/>
            <w:tcMar>
              <w:left w:w="28" w:type="dxa"/>
              <w:right w:w="28" w:type="dxa"/>
            </w:tcMar>
          </w:tcPr>
          <w:p w14:paraId="6E6A73D7" w14:textId="77777777" w:rsidR="00FA31A1" w:rsidRPr="00DC67EB" w:rsidRDefault="00FA31A1" w:rsidP="00FA31A1">
            <w:pPr>
              <w:spacing w:before="40" w:after="40"/>
              <w:rPr>
                <w:noProof/>
                <w:sz w:val="22"/>
              </w:rPr>
            </w:pPr>
            <w:r w:rsidRPr="00DC67EB">
              <w:rPr>
                <w:noProof/>
                <w:sz w:val="22"/>
              </w:rPr>
              <w:t>Benzo(a)pirén-egyenértékek összege [0,6]</w:t>
            </w:r>
            <w:r w:rsidRPr="00DC67EB">
              <w:rPr>
                <w:rStyle w:val="FootnoteReference"/>
                <w:noProof/>
                <w:sz w:val="22"/>
              </w:rPr>
              <w:t xml:space="preserve"> </w:t>
            </w:r>
            <w:r w:rsidRPr="00DC67EB">
              <w:rPr>
                <w:noProof/>
                <w:sz w:val="22"/>
              </w:rPr>
              <w:t>(</w:t>
            </w:r>
            <w:r w:rsidRPr="00DC67EB">
              <w:rPr>
                <w:noProof/>
                <w:sz w:val="22"/>
                <w:vertAlign w:val="superscript"/>
              </w:rPr>
              <w:t>17</w:t>
            </w:r>
            <w:r w:rsidRPr="00DC67EB">
              <w:rPr>
                <w:noProof/>
                <w:sz w:val="22"/>
              </w:rPr>
              <w:t>)</w:t>
            </w:r>
          </w:p>
        </w:tc>
        <w:tc>
          <w:tcPr>
            <w:tcW w:w="1262" w:type="dxa"/>
            <w:tcMar>
              <w:left w:w="28" w:type="dxa"/>
              <w:right w:w="28" w:type="dxa"/>
            </w:tcMar>
          </w:tcPr>
          <w:p w14:paraId="04EAFEF0" w14:textId="77777777" w:rsidR="00FA31A1" w:rsidRPr="00DC67EB" w:rsidRDefault="00FA31A1" w:rsidP="00FA31A1">
            <w:pPr>
              <w:spacing w:before="40" w:after="40"/>
              <w:rPr>
                <w:noProof/>
                <w:sz w:val="22"/>
              </w:rPr>
            </w:pPr>
            <w:r w:rsidRPr="00DC67EB">
              <w:rPr>
                <w:noProof/>
                <w:sz w:val="22"/>
              </w:rPr>
              <w:t xml:space="preserve">X </w:t>
            </w:r>
          </w:p>
        </w:tc>
        <w:tc>
          <w:tcPr>
            <w:tcW w:w="1153" w:type="dxa"/>
            <w:gridSpan w:val="2"/>
            <w:tcMar>
              <w:left w:w="28" w:type="dxa"/>
              <w:right w:w="28" w:type="dxa"/>
            </w:tcMar>
          </w:tcPr>
          <w:p w14:paraId="4642EC2B" w14:textId="77777777" w:rsidR="00FA31A1" w:rsidRPr="00DC67EB" w:rsidRDefault="00FA31A1" w:rsidP="00FA31A1">
            <w:pPr>
              <w:spacing w:before="40" w:after="40"/>
              <w:rPr>
                <w:noProof/>
                <w:sz w:val="22"/>
              </w:rPr>
            </w:pPr>
            <w:r w:rsidRPr="00DC67EB">
              <w:rPr>
                <w:noProof/>
                <w:sz w:val="22"/>
              </w:rPr>
              <w:t>X</w:t>
            </w:r>
          </w:p>
        </w:tc>
        <w:tc>
          <w:tcPr>
            <w:tcW w:w="970" w:type="dxa"/>
            <w:tcMar>
              <w:left w:w="28" w:type="dxa"/>
              <w:right w:w="28" w:type="dxa"/>
            </w:tcMar>
          </w:tcPr>
          <w:p w14:paraId="106B0331" w14:textId="77777777" w:rsidR="00FA31A1" w:rsidRPr="00DC67EB" w:rsidRDefault="00FA31A1" w:rsidP="00FA31A1">
            <w:pPr>
              <w:spacing w:before="40" w:after="40"/>
              <w:rPr>
                <w:noProof/>
                <w:sz w:val="22"/>
              </w:rPr>
            </w:pPr>
            <w:r w:rsidRPr="00DC67EB">
              <w:rPr>
                <w:noProof/>
                <w:sz w:val="22"/>
              </w:rPr>
              <w:t>X</w:t>
            </w:r>
          </w:p>
        </w:tc>
      </w:tr>
      <w:tr w:rsidR="00DC67EB" w:rsidRPr="00DC67EB" w14:paraId="4D2A07D1" w14:textId="77777777" w:rsidTr="00FA31A1">
        <w:trPr>
          <w:gridBefore w:val="1"/>
          <w:wBefore w:w="12" w:type="dxa"/>
          <w:cantSplit/>
          <w:tblHeader/>
          <w:jc w:val="center"/>
        </w:trPr>
        <w:tc>
          <w:tcPr>
            <w:tcW w:w="651" w:type="dxa"/>
            <w:gridSpan w:val="3"/>
            <w:vMerge w:val="restart"/>
            <w:tcMar>
              <w:left w:w="28" w:type="dxa"/>
              <w:right w:w="28" w:type="dxa"/>
            </w:tcMar>
          </w:tcPr>
          <w:p w14:paraId="0FBBF2C2" w14:textId="77777777" w:rsidR="00FA31A1" w:rsidRPr="00DC67EB" w:rsidRDefault="00FA31A1" w:rsidP="00FA31A1">
            <w:pPr>
              <w:spacing w:before="40" w:after="40"/>
              <w:rPr>
                <w:noProof/>
                <w:sz w:val="22"/>
              </w:rPr>
            </w:pPr>
          </w:p>
        </w:tc>
        <w:tc>
          <w:tcPr>
            <w:tcW w:w="2286" w:type="dxa"/>
            <w:gridSpan w:val="3"/>
            <w:tcMar>
              <w:left w:w="28" w:type="dxa"/>
              <w:right w:w="28" w:type="dxa"/>
            </w:tcMar>
          </w:tcPr>
          <w:p w14:paraId="385CB559" w14:textId="77777777" w:rsidR="00FA31A1" w:rsidRPr="00DC67EB" w:rsidRDefault="00FA31A1" w:rsidP="00FA31A1">
            <w:pPr>
              <w:spacing w:before="40" w:after="40"/>
              <w:rPr>
                <w:noProof/>
                <w:sz w:val="22"/>
              </w:rPr>
            </w:pPr>
            <w:r w:rsidRPr="00DC67EB">
              <w:rPr>
                <w:noProof/>
                <w:sz w:val="22"/>
              </w:rPr>
              <w:t>Benzo(a)pirén</w:t>
            </w:r>
          </w:p>
        </w:tc>
        <w:tc>
          <w:tcPr>
            <w:tcW w:w="1329" w:type="dxa"/>
            <w:gridSpan w:val="3"/>
            <w:tcMar>
              <w:left w:w="28" w:type="dxa"/>
              <w:right w:w="28" w:type="dxa"/>
            </w:tcMar>
          </w:tcPr>
          <w:p w14:paraId="57A5EC00" w14:textId="77777777" w:rsidR="00FA31A1" w:rsidRPr="00DC67EB" w:rsidRDefault="00FA31A1" w:rsidP="00FA31A1">
            <w:pPr>
              <w:spacing w:before="40" w:after="40"/>
              <w:rPr>
                <w:noProof/>
                <w:sz w:val="22"/>
              </w:rPr>
            </w:pPr>
          </w:p>
        </w:tc>
        <w:tc>
          <w:tcPr>
            <w:tcW w:w="992" w:type="dxa"/>
            <w:gridSpan w:val="2"/>
            <w:tcMar>
              <w:left w:w="28" w:type="dxa"/>
              <w:right w:w="28" w:type="dxa"/>
            </w:tcMar>
          </w:tcPr>
          <w:p w14:paraId="135B9F95" w14:textId="77777777" w:rsidR="00FA31A1" w:rsidRPr="00DC67EB" w:rsidRDefault="00FA31A1" w:rsidP="00FA31A1">
            <w:pPr>
              <w:spacing w:before="40" w:after="40"/>
              <w:rPr>
                <w:noProof/>
                <w:sz w:val="22"/>
              </w:rPr>
            </w:pPr>
            <w:r w:rsidRPr="00DC67EB">
              <w:rPr>
                <w:noProof/>
                <w:sz w:val="22"/>
              </w:rPr>
              <w:t>50-32-8</w:t>
            </w:r>
          </w:p>
        </w:tc>
        <w:tc>
          <w:tcPr>
            <w:tcW w:w="1134" w:type="dxa"/>
            <w:shd w:val="clear" w:color="auto" w:fill="auto"/>
          </w:tcPr>
          <w:p w14:paraId="3D05D9F7" w14:textId="77777777" w:rsidR="00FA31A1" w:rsidRPr="00DC67EB" w:rsidRDefault="00FA31A1" w:rsidP="00FA31A1">
            <w:pPr>
              <w:spacing w:before="40" w:after="40"/>
              <w:rPr>
                <w:bCs/>
                <w:noProof/>
                <w:sz w:val="22"/>
              </w:rPr>
            </w:pPr>
            <w:r w:rsidRPr="00DC67EB">
              <w:rPr>
                <w:noProof/>
                <w:sz w:val="22"/>
              </w:rPr>
              <w:t>200-028-5</w:t>
            </w:r>
          </w:p>
        </w:tc>
        <w:tc>
          <w:tcPr>
            <w:tcW w:w="1279" w:type="dxa"/>
            <w:gridSpan w:val="2"/>
            <w:shd w:val="clear" w:color="auto" w:fill="auto"/>
            <w:tcMar>
              <w:left w:w="28" w:type="dxa"/>
              <w:right w:w="28" w:type="dxa"/>
            </w:tcMar>
          </w:tcPr>
          <w:p w14:paraId="2487B378" w14:textId="77777777" w:rsidR="00FA31A1" w:rsidRPr="00DC67EB" w:rsidRDefault="00FA31A1" w:rsidP="00FA31A1">
            <w:pPr>
              <w:spacing w:before="40" w:after="40"/>
              <w:rPr>
                <w:bCs/>
                <w:noProof/>
                <w:sz w:val="22"/>
                <w:vertAlign w:val="superscript"/>
              </w:rPr>
            </w:pPr>
          </w:p>
        </w:tc>
        <w:tc>
          <w:tcPr>
            <w:tcW w:w="1279" w:type="dxa"/>
            <w:gridSpan w:val="2"/>
            <w:shd w:val="clear" w:color="auto" w:fill="auto"/>
            <w:tcMar>
              <w:left w:w="28" w:type="dxa"/>
              <w:right w:w="28" w:type="dxa"/>
            </w:tcMar>
          </w:tcPr>
          <w:p w14:paraId="04FCDB2A" w14:textId="77777777" w:rsidR="00FA31A1" w:rsidRPr="00DC67EB" w:rsidRDefault="00FA31A1" w:rsidP="00FA31A1">
            <w:pPr>
              <w:spacing w:before="40" w:after="40"/>
              <w:rPr>
                <w:bCs/>
                <w:noProof/>
                <w:sz w:val="22"/>
              </w:rPr>
            </w:pPr>
          </w:p>
        </w:tc>
        <w:tc>
          <w:tcPr>
            <w:tcW w:w="1278" w:type="dxa"/>
            <w:gridSpan w:val="2"/>
            <w:tcMar>
              <w:left w:w="28" w:type="dxa"/>
              <w:right w:w="28" w:type="dxa"/>
            </w:tcMar>
          </w:tcPr>
          <w:p w14:paraId="73708231" w14:textId="77777777" w:rsidR="00FA31A1" w:rsidRPr="00DC67EB" w:rsidRDefault="00FA31A1" w:rsidP="00FA31A1">
            <w:pPr>
              <w:spacing w:before="40" w:after="40"/>
              <w:rPr>
                <w:bCs/>
                <w:noProof/>
                <w:sz w:val="22"/>
              </w:rPr>
            </w:pPr>
            <w:r w:rsidRPr="00DC67EB">
              <w:rPr>
                <w:noProof/>
                <w:sz w:val="22"/>
              </w:rPr>
              <w:t>0,27</w:t>
            </w:r>
          </w:p>
        </w:tc>
        <w:tc>
          <w:tcPr>
            <w:tcW w:w="1277" w:type="dxa"/>
            <w:gridSpan w:val="2"/>
            <w:tcMar>
              <w:left w:w="28" w:type="dxa"/>
              <w:right w:w="28" w:type="dxa"/>
            </w:tcMar>
          </w:tcPr>
          <w:p w14:paraId="3E3F8AE3" w14:textId="77777777" w:rsidR="00FA31A1" w:rsidRPr="00DC67EB" w:rsidRDefault="00FA31A1" w:rsidP="00FA31A1">
            <w:pPr>
              <w:spacing w:before="40" w:after="40"/>
              <w:rPr>
                <w:bCs/>
                <w:noProof/>
                <w:sz w:val="22"/>
              </w:rPr>
            </w:pPr>
            <w:r w:rsidRPr="00DC67EB">
              <w:rPr>
                <w:noProof/>
                <w:sz w:val="22"/>
              </w:rPr>
              <w:t>0,027</w:t>
            </w:r>
          </w:p>
        </w:tc>
        <w:tc>
          <w:tcPr>
            <w:tcW w:w="1136" w:type="dxa"/>
            <w:gridSpan w:val="2"/>
            <w:tcMar>
              <w:left w:w="28" w:type="dxa"/>
              <w:right w:w="28" w:type="dxa"/>
            </w:tcMar>
          </w:tcPr>
          <w:p w14:paraId="26BFEE53" w14:textId="77777777" w:rsidR="00FA31A1" w:rsidRPr="00DC67EB" w:rsidRDefault="00FA31A1" w:rsidP="00FA31A1">
            <w:pPr>
              <w:spacing w:before="40" w:after="40"/>
              <w:rPr>
                <w:b/>
                <w:bCs/>
                <w:i/>
                <w:noProof/>
                <w:sz w:val="22"/>
              </w:rPr>
            </w:pPr>
            <w:bookmarkStart w:id="25" w:name="_DV_C335"/>
            <w:r w:rsidRPr="00DC67EB">
              <w:rPr>
                <w:rStyle w:val="DeltaViewInsertion"/>
                <w:noProof/>
                <w:sz w:val="22"/>
              </w:rPr>
              <w:t>[0,6</w:t>
            </w:r>
            <w:bookmarkEnd w:id="25"/>
            <w:r w:rsidRPr="00DC67EB">
              <w:rPr>
                <w:rStyle w:val="DeltaViewInsertion"/>
                <w:noProof/>
                <w:sz w:val="22"/>
              </w:rPr>
              <w:t>]</w:t>
            </w:r>
          </w:p>
        </w:tc>
        <w:tc>
          <w:tcPr>
            <w:tcW w:w="1262" w:type="dxa"/>
            <w:tcMar>
              <w:left w:w="28" w:type="dxa"/>
              <w:right w:w="28" w:type="dxa"/>
            </w:tcMar>
          </w:tcPr>
          <w:p w14:paraId="2C26A10C" w14:textId="77777777" w:rsidR="00FA31A1" w:rsidRPr="00DC67EB" w:rsidRDefault="00FA31A1" w:rsidP="00FA31A1">
            <w:pPr>
              <w:spacing w:before="40" w:after="40"/>
              <w:rPr>
                <w:rStyle w:val="DeltaViewInsertion"/>
                <w:b w:val="0"/>
                <w:bCs/>
                <w:i w:val="0"/>
                <w:iCs/>
                <w:noProof/>
                <w:sz w:val="22"/>
              </w:rPr>
            </w:pPr>
          </w:p>
        </w:tc>
        <w:tc>
          <w:tcPr>
            <w:tcW w:w="1153" w:type="dxa"/>
            <w:gridSpan w:val="2"/>
            <w:tcMar>
              <w:left w:w="28" w:type="dxa"/>
              <w:right w:w="28" w:type="dxa"/>
            </w:tcMar>
          </w:tcPr>
          <w:p w14:paraId="60FD1A5B" w14:textId="77777777" w:rsidR="00FA31A1" w:rsidRPr="00DC67EB" w:rsidRDefault="00FA31A1" w:rsidP="00FA31A1">
            <w:pPr>
              <w:spacing w:before="40" w:after="40"/>
              <w:rPr>
                <w:rStyle w:val="DeltaViewInsertion"/>
                <w:b w:val="0"/>
                <w:bCs/>
                <w:i w:val="0"/>
                <w:iCs/>
                <w:strike/>
                <w:noProof/>
                <w:sz w:val="22"/>
              </w:rPr>
            </w:pPr>
          </w:p>
        </w:tc>
        <w:tc>
          <w:tcPr>
            <w:tcW w:w="970" w:type="dxa"/>
            <w:tcMar>
              <w:left w:w="28" w:type="dxa"/>
              <w:right w:w="28" w:type="dxa"/>
            </w:tcMar>
          </w:tcPr>
          <w:p w14:paraId="68E8FC75" w14:textId="77777777" w:rsidR="00FA31A1" w:rsidRPr="00DC67EB" w:rsidRDefault="00FA31A1" w:rsidP="00FA31A1">
            <w:pPr>
              <w:spacing w:before="40" w:after="40"/>
              <w:rPr>
                <w:rStyle w:val="DeltaViewInsertion"/>
                <w:b w:val="0"/>
                <w:bCs/>
                <w:i w:val="0"/>
                <w:iCs/>
                <w:strike/>
                <w:noProof/>
                <w:sz w:val="22"/>
              </w:rPr>
            </w:pPr>
          </w:p>
        </w:tc>
      </w:tr>
      <w:tr w:rsidR="00DC67EB" w:rsidRPr="00DC67EB" w14:paraId="5D07C947" w14:textId="77777777" w:rsidTr="00FA31A1">
        <w:trPr>
          <w:gridBefore w:val="1"/>
          <w:wBefore w:w="12" w:type="dxa"/>
          <w:cantSplit/>
          <w:tblHeader/>
          <w:jc w:val="center"/>
        </w:trPr>
        <w:tc>
          <w:tcPr>
            <w:tcW w:w="651" w:type="dxa"/>
            <w:gridSpan w:val="3"/>
            <w:vMerge/>
            <w:tcMar>
              <w:left w:w="28" w:type="dxa"/>
              <w:right w:w="28" w:type="dxa"/>
            </w:tcMar>
          </w:tcPr>
          <w:p w14:paraId="607ACBAB" w14:textId="77777777" w:rsidR="00FA31A1" w:rsidRPr="00DC67EB" w:rsidRDefault="00FA31A1" w:rsidP="00FA31A1">
            <w:pPr>
              <w:spacing w:before="40" w:after="40"/>
              <w:rPr>
                <w:noProof/>
                <w:sz w:val="22"/>
              </w:rPr>
            </w:pPr>
          </w:p>
        </w:tc>
        <w:tc>
          <w:tcPr>
            <w:tcW w:w="2286" w:type="dxa"/>
            <w:gridSpan w:val="3"/>
            <w:tcMar>
              <w:left w:w="28" w:type="dxa"/>
              <w:right w:w="28" w:type="dxa"/>
            </w:tcMar>
          </w:tcPr>
          <w:p w14:paraId="61E44ACB" w14:textId="77777777" w:rsidR="00FA31A1" w:rsidRPr="00DC67EB" w:rsidRDefault="00FA31A1" w:rsidP="00FA31A1">
            <w:pPr>
              <w:spacing w:before="40" w:after="40"/>
              <w:rPr>
                <w:noProof/>
                <w:sz w:val="22"/>
              </w:rPr>
            </w:pPr>
            <w:r w:rsidRPr="00DC67EB">
              <w:rPr>
                <w:noProof/>
                <w:sz w:val="22"/>
              </w:rPr>
              <w:t>Benzo(b)fluorantén</w:t>
            </w:r>
          </w:p>
        </w:tc>
        <w:tc>
          <w:tcPr>
            <w:tcW w:w="1329" w:type="dxa"/>
            <w:gridSpan w:val="3"/>
            <w:tcMar>
              <w:left w:w="28" w:type="dxa"/>
              <w:right w:w="28" w:type="dxa"/>
            </w:tcMar>
          </w:tcPr>
          <w:p w14:paraId="0E162843" w14:textId="77777777" w:rsidR="00FA31A1" w:rsidRPr="00DC67EB" w:rsidRDefault="00FA31A1" w:rsidP="00FA31A1">
            <w:pPr>
              <w:spacing w:before="40" w:after="40"/>
              <w:rPr>
                <w:noProof/>
                <w:sz w:val="22"/>
              </w:rPr>
            </w:pPr>
          </w:p>
        </w:tc>
        <w:tc>
          <w:tcPr>
            <w:tcW w:w="992" w:type="dxa"/>
            <w:gridSpan w:val="2"/>
            <w:tcMar>
              <w:left w:w="28" w:type="dxa"/>
              <w:right w:w="28" w:type="dxa"/>
            </w:tcMar>
          </w:tcPr>
          <w:p w14:paraId="03135601" w14:textId="77777777" w:rsidR="00FA31A1" w:rsidRPr="00DC67EB" w:rsidRDefault="00FA31A1" w:rsidP="00FA31A1">
            <w:pPr>
              <w:spacing w:before="40" w:after="40"/>
              <w:rPr>
                <w:noProof/>
                <w:sz w:val="22"/>
              </w:rPr>
            </w:pPr>
            <w:r w:rsidRPr="00DC67EB">
              <w:rPr>
                <w:noProof/>
                <w:sz w:val="22"/>
              </w:rPr>
              <w:t>205</w:t>
            </w:r>
            <w:r w:rsidRPr="00DC67EB">
              <w:rPr>
                <w:noProof/>
                <w:sz w:val="22"/>
              </w:rPr>
              <w:noBreakHyphen/>
              <w:t>99</w:t>
            </w:r>
            <w:r w:rsidRPr="00DC67EB">
              <w:rPr>
                <w:noProof/>
                <w:sz w:val="22"/>
              </w:rPr>
              <w:noBreakHyphen/>
              <w:t>2</w:t>
            </w:r>
          </w:p>
        </w:tc>
        <w:tc>
          <w:tcPr>
            <w:tcW w:w="1134" w:type="dxa"/>
          </w:tcPr>
          <w:p w14:paraId="17D718AA" w14:textId="77777777" w:rsidR="00FA31A1" w:rsidRPr="00DC67EB" w:rsidDel="00BD2DD7" w:rsidRDefault="00FA31A1" w:rsidP="00FA31A1">
            <w:pPr>
              <w:spacing w:before="40" w:after="40"/>
              <w:rPr>
                <w:rStyle w:val="DeltaViewInsertion"/>
                <w:b w:val="0"/>
                <w:i w:val="0"/>
                <w:iCs/>
                <w:noProof/>
                <w:sz w:val="22"/>
              </w:rPr>
            </w:pPr>
            <w:r w:rsidRPr="00DC67EB">
              <w:rPr>
                <w:rStyle w:val="DeltaViewInsertion"/>
                <w:noProof/>
                <w:sz w:val="22"/>
              </w:rPr>
              <w:t>205-911-9</w:t>
            </w:r>
          </w:p>
        </w:tc>
        <w:tc>
          <w:tcPr>
            <w:tcW w:w="1279" w:type="dxa"/>
            <w:gridSpan w:val="2"/>
            <w:tcMar>
              <w:left w:w="28" w:type="dxa"/>
              <w:right w:w="28" w:type="dxa"/>
            </w:tcMar>
          </w:tcPr>
          <w:p w14:paraId="31DA035C" w14:textId="77777777" w:rsidR="00FA31A1" w:rsidRPr="00DC67EB" w:rsidRDefault="00FA31A1" w:rsidP="00FA31A1">
            <w:pPr>
              <w:spacing w:before="40" w:after="40"/>
              <w:rPr>
                <w:b/>
                <w:i/>
                <w:noProof/>
                <w:sz w:val="22"/>
              </w:rPr>
            </w:pPr>
          </w:p>
        </w:tc>
        <w:tc>
          <w:tcPr>
            <w:tcW w:w="1279" w:type="dxa"/>
            <w:gridSpan w:val="2"/>
            <w:tcMar>
              <w:left w:w="28" w:type="dxa"/>
              <w:right w:w="28" w:type="dxa"/>
            </w:tcMar>
          </w:tcPr>
          <w:p w14:paraId="13BFA37C" w14:textId="77777777" w:rsidR="00FA31A1" w:rsidRPr="00DC67EB" w:rsidRDefault="00FA31A1" w:rsidP="00FA31A1">
            <w:pPr>
              <w:spacing w:before="40" w:after="40"/>
              <w:rPr>
                <w:b/>
                <w:i/>
                <w:noProof/>
                <w:sz w:val="22"/>
              </w:rPr>
            </w:pPr>
          </w:p>
        </w:tc>
        <w:tc>
          <w:tcPr>
            <w:tcW w:w="1278" w:type="dxa"/>
            <w:gridSpan w:val="2"/>
            <w:tcMar>
              <w:left w:w="28" w:type="dxa"/>
              <w:right w:w="28" w:type="dxa"/>
            </w:tcMar>
          </w:tcPr>
          <w:p w14:paraId="39EF9554" w14:textId="77777777" w:rsidR="00FA31A1" w:rsidRPr="00DC67EB" w:rsidRDefault="00FA31A1" w:rsidP="00FA31A1">
            <w:pPr>
              <w:spacing w:before="40" w:after="40"/>
              <w:rPr>
                <w:noProof/>
                <w:sz w:val="22"/>
              </w:rPr>
            </w:pPr>
            <w:r w:rsidRPr="00DC67EB">
              <w:rPr>
                <w:noProof/>
                <w:sz w:val="22"/>
              </w:rPr>
              <w:t>0,017</w:t>
            </w:r>
          </w:p>
        </w:tc>
        <w:tc>
          <w:tcPr>
            <w:tcW w:w="1277" w:type="dxa"/>
            <w:gridSpan w:val="2"/>
            <w:tcMar>
              <w:left w:w="28" w:type="dxa"/>
              <w:right w:w="28" w:type="dxa"/>
            </w:tcMar>
          </w:tcPr>
          <w:p w14:paraId="374083B8" w14:textId="77777777" w:rsidR="00FA31A1" w:rsidRPr="00DC67EB" w:rsidRDefault="00FA31A1" w:rsidP="00FA31A1">
            <w:pPr>
              <w:spacing w:before="40" w:after="40"/>
              <w:rPr>
                <w:noProof/>
                <w:sz w:val="22"/>
              </w:rPr>
            </w:pPr>
            <w:r w:rsidRPr="00DC67EB">
              <w:rPr>
                <w:noProof/>
                <w:sz w:val="22"/>
              </w:rPr>
              <w:t>0,017</w:t>
            </w:r>
          </w:p>
        </w:tc>
        <w:tc>
          <w:tcPr>
            <w:tcW w:w="1136" w:type="dxa"/>
            <w:gridSpan w:val="2"/>
            <w:tcMar>
              <w:left w:w="28" w:type="dxa"/>
              <w:right w:w="28" w:type="dxa"/>
            </w:tcMar>
          </w:tcPr>
          <w:p w14:paraId="4109F945" w14:textId="77777777" w:rsidR="00FA31A1" w:rsidRPr="00DC67EB" w:rsidRDefault="00FA31A1" w:rsidP="00FA31A1">
            <w:pPr>
              <w:spacing w:before="40" w:after="40"/>
              <w:rPr>
                <w:b/>
                <w:noProof/>
                <w:sz w:val="22"/>
              </w:rPr>
            </w:pPr>
            <w:bookmarkStart w:id="26" w:name="_DV_C338"/>
            <w:r w:rsidRPr="00DC67EB">
              <w:rPr>
                <w:rStyle w:val="DeltaViewInsertion"/>
                <w:noProof/>
                <w:sz w:val="22"/>
              </w:rPr>
              <w:t xml:space="preserve">lásd a </w:t>
            </w:r>
            <w:bookmarkEnd w:id="26"/>
            <w:r w:rsidRPr="00DC67EB">
              <w:rPr>
                <w:rStyle w:val="DeltaViewInsertion"/>
                <w:noProof/>
                <w:sz w:val="22"/>
              </w:rPr>
              <w:t>(17)</w:t>
            </w:r>
            <w:r w:rsidRPr="00DC67EB">
              <w:rPr>
                <w:noProof/>
              </w:rPr>
              <w:t xml:space="preserve"> megjegyzést</w:t>
            </w:r>
          </w:p>
        </w:tc>
        <w:tc>
          <w:tcPr>
            <w:tcW w:w="1262" w:type="dxa"/>
            <w:tcMar>
              <w:left w:w="28" w:type="dxa"/>
              <w:right w:w="28" w:type="dxa"/>
            </w:tcMar>
          </w:tcPr>
          <w:p w14:paraId="36AC9439" w14:textId="77777777" w:rsidR="00FA31A1" w:rsidRPr="00DC67EB" w:rsidRDefault="00FA31A1" w:rsidP="00FA31A1">
            <w:pPr>
              <w:spacing w:before="40" w:after="40"/>
              <w:rPr>
                <w:rStyle w:val="DeltaViewInsertion"/>
                <w:b w:val="0"/>
                <w:i w:val="0"/>
                <w:iCs/>
                <w:noProof/>
                <w:sz w:val="22"/>
              </w:rPr>
            </w:pPr>
          </w:p>
        </w:tc>
        <w:tc>
          <w:tcPr>
            <w:tcW w:w="1153" w:type="dxa"/>
            <w:gridSpan w:val="2"/>
            <w:tcMar>
              <w:left w:w="28" w:type="dxa"/>
              <w:right w:w="28" w:type="dxa"/>
            </w:tcMar>
          </w:tcPr>
          <w:p w14:paraId="15BF257A" w14:textId="77777777" w:rsidR="00FA31A1" w:rsidRPr="00DC67EB" w:rsidRDefault="00FA31A1" w:rsidP="00FA31A1">
            <w:pPr>
              <w:spacing w:before="40" w:after="40"/>
              <w:rPr>
                <w:rStyle w:val="DeltaViewInsertion"/>
                <w:b w:val="0"/>
                <w:iCs/>
                <w:noProof/>
                <w:sz w:val="22"/>
              </w:rPr>
            </w:pPr>
          </w:p>
        </w:tc>
        <w:tc>
          <w:tcPr>
            <w:tcW w:w="970" w:type="dxa"/>
            <w:tcMar>
              <w:left w:w="28" w:type="dxa"/>
              <w:right w:w="28" w:type="dxa"/>
            </w:tcMar>
          </w:tcPr>
          <w:p w14:paraId="610D79D5" w14:textId="77777777" w:rsidR="00FA31A1" w:rsidRPr="00DC67EB" w:rsidRDefault="00FA31A1" w:rsidP="00FA31A1">
            <w:pPr>
              <w:spacing w:before="40" w:after="40"/>
              <w:rPr>
                <w:rStyle w:val="DeltaViewInsertion"/>
                <w:b w:val="0"/>
                <w:iCs/>
                <w:noProof/>
                <w:sz w:val="22"/>
              </w:rPr>
            </w:pPr>
          </w:p>
        </w:tc>
      </w:tr>
      <w:tr w:rsidR="00DC67EB" w:rsidRPr="00DC67EB" w14:paraId="2C13EB9F" w14:textId="77777777" w:rsidTr="00FA31A1">
        <w:trPr>
          <w:gridBefore w:val="1"/>
          <w:wBefore w:w="12" w:type="dxa"/>
          <w:cantSplit/>
          <w:tblHeader/>
          <w:jc w:val="center"/>
        </w:trPr>
        <w:tc>
          <w:tcPr>
            <w:tcW w:w="651" w:type="dxa"/>
            <w:gridSpan w:val="3"/>
            <w:vMerge/>
            <w:tcMar>
              <w:left w:w="28" w:type="dxa"/>
              <w:right w:w="28" w:type="dxa"/>
            </w:tcMar>
          </w:tcPr>
          <w:p w14:paraId="0EC18E06" w14:textId="77777777" w:rsidR="00FA31A1" w:rsidRPr="00DC67EB" w:rsidRDefault="00FA31A1" w:rsidP="00FA31A1">
            <w:pPr>
              <w:spacing w:before="40" w:after="40"/>
              <w:rPr>
                <w:noProof/>
                <w:sz w:val="22"/>
              </w:rPr>
            </w:pPr>
          </w:p>
        </w:tc>
        <w:tc>
          <w:tcPr>
            <w:tcW w:w="2286" w:type="dxa"/>
            <w:gridSpan w:val="3"/>
            <w:tcMar>
              <w:left w:w="28" w:type="dxa"/>
              <w:right w:w="28" w:type="dxa"/>
            </w:tcMar>
          </w:tcPr>
          <w:p w14:paraId="32723EDE" w14:textId="77777777" w:rsidR="00FA31A1" w:rsidRPr="00DC67EB" w:rsidRDefault="00FA31A1" w:rsidP="00FA31A1">
            <w:pPr>
              <w:spacing w:before="40" w:after="40"/>
              <w:rPr>
                <w:noProof/>
                <w:sz w:val="22"/>
              </w:rPr>
            </w:pPr>
            <w:r w:rsidRPr="00DC67EB">
              <w:rPr>
                <w:noProof/>
                <w:sz w:val="22"/>
              </w:rPr>
              <w:t>Benzo(k)fluorantén</w:t>
            </w:r>
          </w:p>
        </w:tc>
        <w:tc>
          <w:tcPr>
            <w:tcW w:w="1329" w:type="dxa"/>
            <w:gridSpan w:val="3"/>
            <w:tcMar>
              <w:left w:w="28" w:type="dxa"/>
              <w:right w:w="28" w:type="dxa"/>
            </w:tcMar>
          </w:tcPr>
          <w:p w14:paraId="63E29773" w14:textId="77777777" w:rsidR="00FA31A1" w:rsidRPr="00DC67EB" w:rsidRDefault="00FA31A1" w:rsidP="00FA31A1">
            <w:pPr>
              <w:spacing w:before="40" w:after="40"/>
              <w:rPr>
                <w:noProof/>
                <w:sz w:val="22"/>
              </w:rPr>
            </w:pPr>
          </w:p>
        </w:tc>
        <w:tc>
          <w:tcPr>
            <w:tcW w:w="992" w:type="dxa"/>
            <w:gridSpan w:val="2"/>
            <w:tcMar>
              <w:left w:w="28" w:type="dxa"/>
              <w:right w:w="28" w:type="dxa"/>
            </w:tcMar>
          </w:tcPr>
          <w:p w14:paraId="06D8F797" w14:textId="77777777" w:rsidR="00FA31A1" w:rsidRPr="00DC67EB" w:rsidRDefault="00FA31A1" w:rsidP="00FA31A1">
            <w:pPr>
              <w:spacing w:before="40" w:after="40"/>
              <w:rPr>
                <w:noProof/>
                <w:sz w:val="22"/>
              </w:rPr>
            </w:pPr>
            <w:r w:rsidRPr="00DC67EB">
              <w:rPr>
                <w:noProof/>
                <w:sz w:val="22"/>
              </w:rPr>
              <w:t>207</w:t>
            </w:r>
            <w:r w:rsidRPr="00DC67EB">
              <w:rPr>
                <w:noProof/>
                <w:sz w:val="22"/>
              </w:rPr>
              <w:noBreakHyphen/>
              <w:t>08</w:t>
            </w:r>
            <w:r w:rsidRPr="00DC67EB">
              <w:rPr>
                <w:noProof/>
                <w:sz w:val="22"/>
              </w:rPr>
              <w:noBreakHyphen/>
              <w:t>9</w:t>
            </w:r>
          </w:p>
        </w:tc>
        <w:tc>
          <w:tcPr>
            <w:tcW w:w="1134" w:type="dxa"/>
          </w:tcPr>
          <w:p w14:paraId="4C9F030B" w14:textId="77777777" w:rsidR="00FA31A1" w:rsidRPr="00DC67EB" w:rsidDel="00BD2DD7" w:rsidRDefault="00FA31A1" w:rsidP="00FA31A1">
            <w:pPr>
              <w:spacing w:before="40" w:after="40"/>
              <w:rPr>
                <w:rStyle w:val="DeltaViewInsertion"/>
                <w:b w:val="0"/>
                <w:i w:val="0"/>
                <w:iCs/>
                <w:noProof/>
                <w:sz w:val="22"/>
              </w:rPr>
            </w:pPr>
            <w:r w:rsidRPr="00DC67EB">
              <w:rPr>
                <w:rStyle w:val="DeltaViewInsertion"/>
                <w:noProof/>
                <w:sz w:val="22"/>
              </w:rPr>
              <w:t>205-916-6</w:t>
            </w:r>
          </w:p>
        </w:tc>
        <w:tc>
          <w:tcPr>
            <w:tcW w:w="1279" w:type="dxa"/>
            <w:gridSpan w:val="2"/>
            <w:tcMar>
              <w:left w:w="28" w:type="dxa"/>
              <w:right w:w="28" w:type="dxa"/>
            </w:tcMar>
          </w:tcPr>
          <w:p w14:paraId="0B4496C4" w14:textId="77777777" w:rsidR="00FA31A1" w:rsidRPr="00DC67EB" w:rsidRDefault="00FA31A1" w:rsidP="00FA31A1">
            <w:pPr>
              <w:spacing w:before="40" w:after="40"/>
              <w:rPr>
                <w:b/>
                <w:i/>
                <w:noProof/>
                <w:sz w:val="22"/>
              </w:rPr>
            </w:pPr>
          </w:p>
        </w:tc>
        <w:tc>
          <w:tcPr>
            <w:tcW w:w="1279" w:type="dxa"/>
            <w:gridSpan w:val="2"/>
            <w:tcMar>
              <w:left w:w="28" w:type="dxa"/>
              <w:right w:w="28" w:type="dxa"/>
            </w:tcMar>
          </w:tcPr>
          <w:p w14:paraId="6158818B" w14:textId="77777777" w:rsidR="00FA31A1" w:rsidRPr="00DC67EB" w:rsidRDefault="00FA31A1" w:rsidP="00FA31A1">
            <w:pPr>
              <w:spacing w:before="40" w:after="40"/>
              <w:rPr>
                <w:b/>
                <w:i/>
                <w:noProof/>
                <w:sz w:val="22"/>
              </w:rPr>
            </w:pPr>
          </w:p>
        </w:tc>
        <w:tc>
          <w:tcPr>
            <w:tcW w:w="1278" w:type="dxa"/>
            <w:gridSpan w:val="2"/>
            <w:tcMar>
              <w:left w:w="28" w:type="dxa"/>
              <w:right w:w="28" w:type="dxa"/>
            </w:tcMar>
          </w:tcPr>
          <w:p w14:paraId="1B6E8F02" w14:textId="77777777" w:rsidR="00FA31A1" w:rsidRPr="00DC67EB" w:rsidRDefault="00FA31A1" w:rsidP="00FA31A1">
            <w:pPr>
              <w:spacing w:before="40" w:after="40"/>
              <w:rPr>
                <w:noProof/>
                <w:sz w:val="22"/>
              </w:rPr>
            </w:pPr>
            <w:r w:rsidRPr="00DC67EB">
              <w:rPr>
                <w:noProof/>
                <w:sz w:val="22"/>
              </w:rPr>
              <w:t>0,017</w:t>
            </w:r>
          </w:p>
        </w:tc>
        <w:tc>
          <w:tcPr>
            <w:tcW w:w="1277" w:type="dxa"/>
            <w:gridSpan w:val="2"/>
            <w:tcMar>
              <w:left w:w="28" w:type="dxa"/>
              <w:right w:w="28" w:type="dxa"/>
            </w:tcMar>
          </w:tcPr>
          <w:p w14:paraId="7B710D93" w14:textId="77777777" w:rsidR="00FA31A1" w:rsidRPr="00DC67EB" w:rsidRDefault="00FA31A1" w:rsidP="00FA31A1">
            <w:pPr>
              <w:spacing w:before="40" w:after="40"/>
              <w:rPr>
                <w:noProof/>
                <w:sz w:val="22"/>
              </w:rPr>
            </w:pPr>
            <w:r w:rsidRPr="00DC67EB">
              <w:rPr>
                <w:noProof/>
                <w:sz w:val="22"/>
              </w:rPr>
              <w:t>0,017</w:t>
            </w:r>
          </w:p>
        </w:tc>
        <w:tc>
          <w:tcPr>
            <w:tcW w:w="1136" w:type="dxa"/>
            <w:gridSpan w:val="2"/>
            <w:tcMar>
              <w:left w:w="28" w:type="dxa"/>
              <w:right w:w="28" w:type="dxa"/>
            </w:tcMar>
          </w:tcPr>
          <w:p w14:paraId="3B22B60A" w14:textId="77777777" w:rsidR="00FA31A1" w:rsidRPr="00DC67EB" w:rsidRDefault="00FA31A1" w:rsidP="00FA31A1">
            <w:pPr>
              <w:spacing w:before="40" w:after="40"/>
              <w:rPr>
                <w:b/>
                <w:noProof/>
                <w:sz w:val="22"/>
              </w:rPr>
            </w:pPr>
            <w:bookmarkStart w:id="27" w:name="_DV_C341"/>
            <w:r w:rsidRPr="00DC67EB">
              <w:rPr>
                <w:rStyle w:val="DeltaViewInsertion"/>
                <w:noProof/>
                <w:sz w:val="22"/>
              </w:rPr>
              <w:t xml:space="preserve">lásd a </w:t>
            </w:r>
            <w:bookmarkEnd w:id="27"/>
            <w:r w:rsidRPr="00DC67EB">
              <w:rPr>
                <w:rStyle w:val="DeltaViewInsertion"/>
                <w:noProof/>
                <w:sz w:val="22"/>
              </w:rPr>
              <w:t>(17)</w:t>
            </w:r>
            <w:r w:rsidRPr="00DC67EB">
              <w:rPr>
                <w:noProof/>
              </w:rPr>
              <w:t xml:space="preserve"> megjegyzést</w:t>
            </w:r>
          </w:p>
        </w:tc>
        <w:tc>
          <w:tcPr>
            <w:tcW w:w="1262" w:type="dxa"/>
            <w:tcMar>
              <w:left w:w="28" w:type="dxa"/>
              <w:right w:w="28" w:type="dxa"/>
            </w:tcMar>
          </w:tcPr>
          <w:p w14:paraId="3DAE7E5E" w14:textId="77777777" w:rsidR="00FA31A1" w:rsidRPr="00DC67EB" w:rsidRDefault="00FA31A1" w:rsidP="00FA31A1">
            <w:pPr>
              <w:spacing w:before="40" w:after="40"/>
              <w:rPr>
                <w:rStyle w:val="DeltaViewInsertion"/>
                <w:b w:val="0"/>
                <w:i w:val="0"/>
                <w:iCs/>
                <w:noProof/>
                <w:sz w:val="22"/>
              </w:rPr>
            </w:pPr>
          </w:p>
        </w:tc>
        <w:tc>
          <w:tcPr>
            <w:tcW w:w="1153" w:type="dxa"/>
            <w:gridSpan w:val="2"/>
            <w:tcMar>
              <w:left w:w="28" w:type="dxa"/>
              <w:right w:w="28" w:type="dxa"/>
            </w:tcMar>
          </w:tcPr>
          <w:p w14:paraId="6A32A2BB" w14:textId="77777777" w:rsidR="00FA31A1" w:rsidRPr="00DC67EB" w:rsidRDefault="00FA31A1" w:rsidP="00FA31A1">
            <w:pPr>
              <w:spacing w:before="40" w:after="40"/>
              <w:rPr>
                <w:rStyle w:val="DeltaViewInsertion"/>
                <w:b w:val="0"/>
                <w:iCs/>
                <w:noProof/>
                <w:sz w:val="22"/>
              </w:rPr>
            </w:pPr>
          </w:p>
        </w:tc>
        <w:tc>
          <w:tcPr>
            <w:tcW w:w="970" w:type="dxa"/>
            <w:tcMar>
              <w:left w:w="28" w:type="dxa"/>
              <w:right w:w="28" w:type="dxa"/>
            </w:tcMar>
          </w:tcPr>
          <w:p w14:paraId="3399BDD2" w14:textId="77777777" w:rsidR="00FA31A1" w:rsidRPr="00DC67EB" w:rsidRDefault="00FA31A1" w:rsidP="00FA31A1">
            <w:pPr>
              <w:spacing w:before="40" w:after="40"/>
              <w:rPr>
                <w:rStyle w:val="DeltaViewInsertion"/>
                <w:b w:val="0"/>
                <w:iCs/>
                <w:noProof/>
                <w:sz w:val="22"/>
              </w:rPr>
            </w:pPr>
          </w:p>
        </w:tc>
      </w:tr>
      <w:tr w:rsidR="00DC67EB" w:rsidRPr="00DC67EB" w14:paraId="1831C625" w14:textId="77777777" w:rsidTr="00FA31A1">
        <w:trPr>
          <w:gridBefore w:val="1"/>
          <w:wBefore w:w="12" w:type="dxa"/>
          <w:cantSplit/>
          <w:tblHeader/>
          <w:jc w:val="center"/>
        </w:trPr>
        <w:tc>
          <w:tcPr>
            <w:tcW w:w="651" w:type="dxa"/>
            <w:gridSpan w:val="3"/>
            <w:vMerge/>
            <w:tcMar>
              <w:left w:w="28" w:type="dxa"/>
              <w:right w:w="28" w:type="dxa"/>
            </w:tcMar>
          </w:tcPr>
          <w:p w14:paraId="1342ED6F" w14:textId="77777777" w:rsidR="00FA31A1" w:rsidRPr="00DC67EB" w:rsidRDefault="00FA31A1" w:rsidP="00FA31A1">
            <w:pPr>
              <w:spacing w:before="40" w:after="40"/>
              <w:rPr>
                <w:noProof/>
                <w:sz w:val="22"/>
              </w:rPr>
            </w:pPr>
          </w:p>
        </w:tc>
        <w:tc>
          <w:tcPr>
            <w:tcW w:w="2286" w:type="dxa"/>
            <w:gridSpan w:val="3"/>
            <w:tcMar>
              <w:left w:w="28" w:type="dxa"/>
              <w:right w:w="28" w:type="dxa"/>
            </w:tcMar>
          </w:tcPr>
          <w:p w14:paraId="099B776C" w14:textId="77777777" w:rsidR="00FA31A1" w:rsidRPr="00DC67EB" w:rsidRDefault="00FA31A1" w:rsidP="00FA31A1">
            <w:pPr>
              <w:spacing w:before="40" w:after="40"/>
              <w:rPr>
                <w:noProof/>
                <w:sz w:val="22"/>
              </w:rPr>
            </w:pPr>
            <w:r w:rsidRPr="00DC67EB">
              <w:rPr>
                <w:noProof/>
                <w:sz w:val="22"/>
              </w:rPr>
              <w:t>Benzo(g,h,i)perilén</w:t>
            </w:r>
          </w:p>
        </w:tc>
        <w:tc>
          <w:tcPr>
            <w:tcW w:w="1329" w:type="dxa"/>
            <w:gridSpan w:val="3"/>
            <w:tcMar>
              <w:left w:w="28" w:type="dxa"/>
              <w:right w:w="28" w:type="dxa"/>
            </w:tcMar>
          </w:tcPr>
          <w:p w14:paraId="2C411146" w14:textId="77777777" w:rsidR="00FA31A1" w:rsidRPr="00DC67EB" w:rsidRDefault="00FA31A1" w:rsidP="00FA31A1">
            <w:pPr>
              <w:spacing w:before="40" w:after="40"/>
              <w:rPr>
                <w:noProof/>
                <w:sz w:val="22"/>
              </w:rPr>
            </w:pPr>
          </w:p>
        </w:tc>
        <w:tc>
          <w:tcPr>
            <w:tcW w:w="992" w:type="dxa"/>
            <w:gridSpan w:val="2"/>
            <w:tcMar>
              <w:left w:w="28" w:type="dxa"/>
              <w:right w:w="28" w:type="dxa"/>
            </w:tcMar>
          </w:tcPr>
          <w:p w14:paraId="57407642" w14:textId="77777777" w:rsidR="00FA31A1" w:rsidRPr="00DC67EB" w:rsidRDefault="00FA31A1" w:rsidP="00FA31A1">
            <w:pPr>
              <w:spacing w:before="40" w:after="40"/>
              <w:rPr>
                <w:noProof/>
                <w:sz w:val="22"/>
              </w:rPr>
            </w:pPr>
            <w:r w:rsidRPr="00DC67EB">
              <w:rPr>
                <w:noProof/>
                <w:sz w:val="22"/>
              </w:rPr>
              <w:t>191</w:t>
            </w:r>
            <w:r w:rsidRPr="00DC67EB">
              <w:rPr>
                <w:noProof/>
                <w:sz w:val="22"/>
              </w:rPr>
              <w:noBreakHyphen/>
              <w:t>24</w:t>
            </w:r>
            <w:r w:rsidRPr="00DC67EB">
              <w:rPr>
                <w:noProof/>
                <w:sz w:val="22"/>
              </w:rPr>
              <w:noBreakHyphen/>
              <w:t>2</w:t>
            </w:r>
          </w:p>
        </w:tc>
        <w:tc>
          <w:tcPr>
            <w:tcW w:w="1134" w:type="dxa"/>
          </w:tcPr>
          <w:p w14:paraId="5F0594EC" w14:textId="77777777" w:rsidR="00FA31A1" w:rsidRPr="00DC67EB" w:rsidDel="00BD2DD7" w:rsidRDefault="00FA31A1" w:rsidP="00FA31A1">
            <w:pPr>
              <w:spacing w:before="40" w:after="40"/>
              <w:rPr>
                <w:rStyle w:val="DeltaViewInsertion"/>
                <w:b w:val="0"/>
                <w:i w:val="0"/>
                <w:iCs/>
                <w:noProof/>
                <w:sz w:val="22"/>
              </w:rPr>
            </w:pPr>
            <w:r w:rsidRPr="00DC67EB">
              <w:rPr>
                <w:rStyle w:val="DeltaViewInsertion"/>
                <w:noProof/>
                <w:sz w:val="22"/>
              </w:rPr>
              <w:t>205-883-8</w:t>
            </w:r>
          </w:p>
        </w:tc>
        <w:tc>
          <w:tcPr>
            <w:tcW w:w="1279" w:type="dxa"/>
            <w:gridSpan w:val="2"/>
            <w:tcMar>
              <w:left w:w="28" w:type="dxa"/>
              <w:right w:w="28" w:type="dxa"/>
            </w:tcMar>
          </w:tcPr>
          <w:p w14:paraId="742EFE7E" w14:textId="77777777" w:rsidR="00FA31A1" w:rsidRPr="00DC67EB" w:rsidRDefault="00FA31A1" w:rsidP="00FA31A1">
            <w:pPr>
              <w:spacing w:before="40" w:after="40"/>
              <w:rPr>
                <w:b/>
                <w:i/>
                <w:noProof/>
                <w:sz w:val="22"/>
              </w:rPr>
            </w:pPr>
          </w:p>
        </w:tc>
        <w:tc>
          <w:tcPr>
            <w:tcW w:w="1279" w:type="dxa"/>
            <w:gridSpan w:val="2"/>
            <w:tcMar>
              <w:left w:w="28" w:type="dxa"/>
              <w:right w:w="28" w:type="dxa"/>
            </w:tcMar>
          </w:tcPr>
          <w:p w14:paraId="49E62308" w14:textId="77777777" w:rsidR="00FA31A1" w:rsidRPr="00DC67EB" w:rsidRDefault="00FA31A1" w:rsidP="00FA31A1">
            <w:pPr>
              <w:spacing w:before="40" w:after="40"/>
              <w:rPr>
                <w:b/>
                <w:i/>
                <w:noProof/>
                <w:sz w:val="22"/>
              </w:rPr>
            </w:pPr>
          </w:p>
        </w:tc>
        <w:tc>
          <w:tcPr>
            <w:tcW w:w="1278" w:type="dxa"/>
            <w:gridSpan w:val="2"/>
            <w:tcMar>
              <w:left w:w="28" w:type="dxa"/>
              <w:right w:w="28" w:type="dxa"/>
            </w:tcMar>
          </w:tcPr>
          <w:p w14:paraId="1CDABC1B" w14:textId="77777777" w:rsidR="00FA31A1" w:rsidRPr="00DC67EB" w:rsidRDefault="00FA31A1" w:rsidP="00FA31A1">
            <w:pPr>
              <w:spacing w:before="40" w:after="40"/>
              <w:rPr>
                <w:noProof/>
                <w:sz w:val="22"/>
                <w:vertAlign w:val="superscript"/>
              </w:rPr>
            </w:pPr>
            <w:r w:rsidRPr="00DC67EB">
              <w:rPr>
                <w:noProof/>
                <w:sz w:val="22"/>
              </w:rPr>
              <w:t>8,2 × 10</w:t>
            </w:r>
            <w:r w:rsidRPr="00DC67EB">
              <w:rPr>
                <w:noProof/>
                <w:sz w:val="22"/>
                <w:vertAlign w:val="superscript"/>
              </w:rPr>
              <w:t>-3</w:t>
            </w:r>
          </w:p>
        </w:tc>
        <w:tc>
          <w:tcPr>
            <w:tcW w:w="1277" w:type="dxa"/>
            <w:gridSpan w:val="2"/>
            <w:tcMar>
              <w:left w:w="28" w:type="dxa"/>
              <w:right w:w="28" w:type="dxa"/>
            </w:tcMar>
          </w:tcPr>
          <w:p w14:paraId="0E6F1541" w14:textId="77777777" w:rsidR="00FA31A1" w:rsidRPr="00DC67EB" w:rsidRDefault="00FA31A1" w:rsidP="00FA31A1">
            <w:pPr>
              <w:spacing w:before="40" w:after="40"/>
              <w:rPr>
                <w:noProof/>
                <w:sz w:val="22"/>
                <w:vertAlign w:val="superscript"/>
              </w:rPr>
            </w:pPr>
            <w:r w:rsidRPr="00DC67EB">
              <w:rPr>
                <w:noProof/>
                <w:sz w:val="22"/>
              </w:rPr>
              <w:t>8,2 × 10</w:t>
            </w:r>
            <w:r w:rsidRPr="00DC67EB">
              <w:rPr>
                <w:noProof/>
                <w:sz w:val="22"/>
                <w:vertAlign w:val="superscript"/>
              </w:rPr>
              <w:t>-4</w:t>
            </w:r>
          </w:p>
        </w:tc>
        <w:tc>
          <w:tcPr>
            <w:tcW w:w="1136" w:type="dxa"/>
            <w:gridSpan w:val="2"/>
            <w:tcMar>
              <w:left w:w="28" w:type="dxa"/>
              <w:right w:w="28" w:type="dxa"/>
            </w:tcMar>
          </w:tcPr>
          <w:p w14:paraId="568F0FFD" w14:textId="77777777" w:rsidR="00FA31A1" w:rsidRPr="00DC67EB" w:rsidRDefault="00FA31A1" w:rsidP="00FA31A1">
            <w:pPr>
              <w:spacing w:before="40" w:after="40"/>
              <w:rPr>
                <w:b/>
                <w:noProof/>
                <w:sz w:val="22"/>
              </w:rPr>
            </w:pPr>
            <w:bookmarkStart w:id="28" w:name="_DV_C344"/>
            <w:r w:rsidRPr="00DC67EB">
              <w:rPr>
                <w:rStyle w:val="DeltaViewInsertion"/>
                <w:noProof/>
                <w:sz w:val="22"/>
              </w:rPr>
              <w:t xml:space="preserve">lásd a </w:t>
            </w:r>
            <w:bookmarkEnd w:id="28"/>
            <w:r w:rsidRPr="00DC67EB">
              <w:rPr>
                <w:rStyle w:val="DeltaViewInsertion"/>
                <w:noProof/>
                <w:sz w:val="22"/>
              </w:rPr>
              <w:t>(17)</w:t>
            </w:r>
            <w:r w:rsidRPr="00DC67EB">
              <w:rPr>
                <w:noProof/>
              </w:rPr>
              <w:t xml:space="preserve"> megjegyzést</w:t>
            </w:r>
          </w:p>
        </w:tc>
        <w:tc>
          <w:tcPr>
            <w:tcW w:w="1262" w:type="dxa"/>
            <w:tcMar>
              <w:left w:w="28" w:type="dxa"/>
              <w:right w:w="28" w:type="dxa"/>
            </w:tcMar>
          </w:tcPr>
          <w:p w14:paraId="496551A6" w14:textId="77777777" w:rsidR="00FA31A1" w:rsidRPr="00DC67EB" w:rsidRDefault="00FA31A1" w:rsidP="00FA31A1">
            <w:pPr>
              <w:spacing w:before="40" w:after="40"/>
              <w:rPr>
                <w:rStyle w:val="DeltaViewInsertion"/>
                <w:b w:val="0"/>
                <w:i w:val="0"/>
                <w:iCs/>
                <w:noProof/>
                <w:sz w:val="22"/>
              </w:rPr>
            </w:pPr>
          </w:p>
        </w:tc>
        <w:tc>
          <w:tcPr>
            <w:tcW w:w="1153" w:type="dxa"/>
            <w:gridSpan w:val="2"/>
            <w:tcMar>
              <w:left w:w="28" w:type="dxa"/>
              <w:right w:w="28" w:type="dxa"/>
            </w:tcMar>
          </w:tcPr>
          <w:p w14:paraId="4EFA26FE" w14:textId="77777777" w:rsidR="00FA31A1" w:rsidRPr="00DC67EB" w:rsidRDefault="00FA31A1" w:rsidP="00FA31A1">
            <w:pPr>
              <w:spacing w:before="40" w:after="40"/>
              <w:rPr>
                <w:rStyle w:val="DeltaViewInsertion"/>
                <w:b w:val="0"/>
                <w:iCs/>
                <w:noProof/>
                <w:sz w:val="22"/>
              </w:rPr>
            </w:pPr>
          </w:p>
        </w:tc>
        <w:tc>
          <w:tcPr>
            <w:tcW w:w="970" w:type="dxa"/>
            <w:tcMar>
              <w:left w:w="28" w:type="dxa"/>
              <w:right w:w="28" w:type="dxa"/>
            </w:tcMar>
          </w:tcPr>
          <w:p w14:paraId="6DB6C85F" w14:textId="77777777" w:rsidR="00FA31A1" w:rsidRPr="00DC67EB" w:rsidRDefault="00FA31A1" w:rsidP="00FA31A1">
            <w:pPr>
              <w:spacing w:before="40" w:after="40"/>
              <w:rPr>
                <w:rStyle w:val="DeltaViewInsertion"/>
                <w:b w:val="0"/>
                <w:iCs/>
                <w:noProof/>
                <w:sz w:val="22"/>
              </w:rPr>
            </w:pPr>
          </w:p>
        </w:tc>
      </w:tr>
      <w:tr w:rsidR="00DC67EB" w:rsidRPr="00DC67EB" w14:paraId="5B5C5D57" w14:textId="77777777" w:rsidTr="00FA31A1">
        <w:trPr>
          <w:gridBefore w:val="1"/>
          <w:wBefore w:w="12" w:type="dxa"/>
          <w:cantSplit/>
          <w:tblHeader/>
          <w:jc w:val="center"/>
        </w:trPr>
        <w:tc>
          <w:tcPr>
            <w:tcW w:w="651" w:type="dxa"/>
            <w:gridSpan w:val="3"/>
            <w:vMerge/>
            <w:tcMar>
              <w:left w:w="28" w:type="dxa"/>
              <w:right w:w="28" w:type="dxa"/>
            </w:tcMar>
          </w:tcPr>
          <w:p w14:paraId="488B46FE" w14:textId="77777777" w:rsidR="00FA31A1" w:rsidRPr="00DC67EB" w:rsidRDefault="00FA31A1" w:rsidP="00FA31A1">
            <w:pPr>
              <w:spacing w:before="40" w:after="40"/>
              <w:rPr>
                <w:noProof/>
                <w:sz w:val="22"/>
              </w:rPr>
            </w:pPr>
          </w:p>
        </w:tc>
        <w:tc>
          <w:tcPr>
            <w:tcW w:w="2286" w:type="dxa"/>
            <w:gridSpan w:val="3"/>
            <w:tcMar>
              <w:left w:w="28" w:type="dxa"/>
              <w:right w:w="28" w:type="dxa"/>
            </w:tcMar>
          </w:tcPr>
          <w:p w14:paraId="222F580A" w14:textId="77777777" w:rsidR="00FA31A1" w:rsidRPr="00DC67EB" w:rsidRDefault="00FA31A1" w:rsidP="00FA31A1">
            <w:pPr>
              <w:spacing w:before="40" w:after="40"/>
              <w:rPr>
                <w:noProof/>
                <w:sz w:val="22"/>
              </w:rPr>
            </w:pPr>
            <w:r w:rsidRPr="00DC67EB">
              <w:rPr>
                <w:noProof/>
                <w:sz w:val="22"/>
              </w:rPr>
              <w:t>Indeno(1,2,3-cd)pirén</w:t>
            </w:r>
          </w:p>
        </w:tc>
        <w:tc>
          <w:tcPr>
            <w:tcW w:w="1329" w:type="dxa"/>
            <w:gridSpan w:val="3"/>
            <w:tcMar>
              <w:left w:w="28" w:type="dxa"/>
              <w:right w:w="28" w:type="dxa"/>
            </w:tcMar>
          </w:tcPr>
          <w:p w14:paraId="0D514257" w14:textId="77777777" w:rsidR="00FA31A1" w:rsidRPr="00DC67EB" w:rsidRDefault="00FA31A1" w:rsidP="00FA31A1">
            <w:pPr>
              <w:spacing w:before="40" w:after="40"/>
              <w:rPr>
                <w:noProof/>
                <w:sz w:val="22"/>
              </w:rPr>
            </w:pPr>
          </w:p>
        </w:tc>
        <w:tc>
          <w:tcPr>
            <w:tcW w:w="992" w:type="dxa"/>
            <w:gridSpan w:val="2"/>
            <w:tcMar>
              <w:left w:w="28" w:type="dxa"/>
              <w:right w:w="28" w:type="dxa"/>
            </w:tcMar>
          </w:tcPr>
          <w:p w14:paraId="016ABAC2" w14:textId="77777777" w:rsidR="00FA31A1" w:rsidRPr="00DC67EB" w:rsidRDefault="00FA31A1" w:rsidP="00FA31A1">
            <w:pPr>
              <w:spacing w:before="40" w:after="40"/>
              <w:rPr>
                <w:noProof/>
                <w:sz w:val="22"/>
              </w:rPr>
            </w:pPr>
            <w:r w:rsidRPr="00DC67EB">
              <w:rPr>
                <w:noProof/>
                <w:sz w:val="22"/>
              </w:rPr>
              <w:t>193-39-5</w:t>
            </w:r>
          </w:p>
        </w:tc>
        <w:tc>
          <w:tcPr>
            <w:tcW w:w="1134" w:type="dxa"/>
          </w:tcPr>
          <w:p w14:paraId="768B4BF6" w14:textId="77777777" w:rsidR="00FA31A1" w:rsidRPr="00DC67EB" w:rsidDel="00BD2DD7" w:rsidRDefault="00FA31A1" w:rsidP="00FA31A1">
            <w:pPr>
              <w:spacing w:before="40" w:after="40"/>
              <w:rPr>
                <w:rStyle w:val="DeltaViewInsertion"/>
                <w:b w:val="0"/>
                <w:i w:val="0"/>
                <w:iCs/>
                <w:noProof/>
                <w:sz w:val="22"/>
              </w:rPr>
            </w:pPr>
            <w:r w:rsidRPr="00DC67EB">
              <w:rPr>
                <w:rStyle w:val="DeltaViewInsertion"/>
                <w:noProof/>
                <w:sz w:val="22"/>
              </w:rPr>
              <w:t>205-893-2</w:t>
            </w:r>
          </w:p>
        </w:tc>
        <w:tc>
          <w:tcPr>
            <w:tcW w:w="1279" w:type="dxa"/>
            <w:gridSpan w:val="2"/>
            <w:tcMar>
              <w:left w:w="28" w:type="dxa"/>
              <w:right w:w="28" w:type="dxa"/>
            </w:tcMar>
          </w:tcPr>
          <w:p w14:paraId="58EE1201" w14:textId="77777777" w:rsidR="00FA31A1" w:rsidRPr="00DC67EB" w:rsidRDefault="00FA31A1" w:rsidP="00FA31A1">
            <w:pPr>
              <w:spacing w:before="40" w:after="40"/>
              <w:rPr>
                <w:b/>
                <w:i/>
                <w:noProof/>
                <w:sz w:val="22"/>
              </w:rPr>
            </w:pPr>
          </w:p>
        </w:tc>
        <w:tc>
          <w:tcPr>
            <w:tcW w:w="1279" w:type="dxa"/>
            <w:gridSpan w:val="2"/>
            <w:tcMar>
              <w:left w:w="28" w:type="dxa"/>
              <w:right w:w="28" w:type="dxa"/>
            </w:tcMar>
          </w:tcPr>
          <w:p w14:paraId="40359C7C" w14:textId="77777777" w:rsidR="00FA31A1" w:rsidRPr="00DC67EB" w:rsidRDefault="00FA31A1" w:rsidP="00FA31A1">
            <w:pPr>
              <w:spacing w:before="40" w:after="40"/>
              <w:rPr>
                <w:b/>
                <w:i/>
                <w:noProof/>
                <w:sz w:val="22"/>
              </w:rPr>
            </w:pPr>
          </w:p>
        </w:tc>
        <w:tc>
          <w:tcPr>
            <w:tcW w:w="1278" w:type="dxa"/>
            <w:gridSpan w:val="2"/>
            <w:tcMar>
              <w:left w:w="28" w:type="dxa"/>
              <w:right w:w="28" w:type="dxa"/>
            </w:tcMar>
          </w:tcPr>
          <w:p w14:paraId="63C11F01" w14:textId="77777777" w:rsidR="00FA31A1" w:rsidRPr="00DC67EB" w:rsidRDefault="00FA31A1" w:rsidP="00FA31A1">
            <w:pPr>
              <w:spacing w:before="40" w:after="40"/>
              <w:rPr>
                <w:b/>
                <w:i/>
                <w:noProof/>
                <w:sz w:val="22"/>
              </w:rPr>
            </w:pPr>
            <w:bookmarkStart w:id="29" w:name="_DV_C347"/>
            <w:r w:rsidRPr="00DC67EB">
              <w:rPr>
                <w:rStyle w:val="DeltaViewInsertion"/>
                <w:noProof/>
                <w:sz w:val="22"/>
              </w:rPr>
              <w:t>nem alkalmazható</w:t>
            </w:r>
            <w:bookmarkEnd w:id="29"/>
          </w:p>
        </w:tc>
        <w:tc>
          <w:tcPr>
            <w:tcW w:w="1277" w:type="dxa"/>
            <w:gridSpan w:val="2"/>
            <w:tcMar>
              <w:left w:w="28" w:type="dxa"/>
              <w:right w:w="28" w:type="dxa"/>
            </w:tcMar>
          </w:tcPr>
          <w:p w14:paraId="02CF6107" w14:textId="77777777" w:rsidR="00FA31A1" w:rsidRPr="00DC67EB" w:rsidRDefault="00FA31A1" w:rsidP="00FA31A1">
            <w:pPr>
              <w:spacing w:before="40" w:after="40"/>
              <w:rPr>
                <w:b/>
                <w:i/>
                <w:noProof/>
                <w:sz w:val="22"/>
              </w:rPr>
            </w:pPr>
            <w:bookmarkStart w:id="30" w:name="_DV_C348"/>
            <w:r w:rsidRPr="00DC67EB">
              <w:rPr>
                <w:rStyle w:val="DeltaViewInsertion"/>
                <w:noProof/>
                <w:sz w:val="22"/>
              </w:rPr>
              <w:t>nem alkalmazható</w:t>
            </w:r>
            <w:bookmarkEnd w:id="30"/>
          </w:p>
        </w:tc>
        <w:tc>
          <w:tcPr>
            <w:tcW w:w="1136" w:type="dxa"/>
            <w:gridSpan w:val="2"/>
            <w:tcMar>
              <w:left w:w="28" w:type="dxa"/>
              <w:right w:w="28" w:type="dxa"/>
            </w:tcMar>
          </w:tcPr>
          <w:p w14:paraId="68CA0017" w14:textId="77777777" w:rsidR="00FA31A1" w:rsidRPr="00DC67EB" w:rsidRDefault="00FA31A1" w:rsidP="00FA31A1">
            <w:pPr>
              <w:spacing w:before="40" w:after="40"/>
              <w:rPr>
                <w:b/>
                <w:noProof/>
                <w:sz w:val="22"/>
              </w:rPr>
            </w:pPr>
            <w:bookmarkStart w:id="31" w:name="_DV_C349"/>
            <w:r w:rsidRPr="00DC67EB">
              <w:rPr>
                <w:rStyle w:val="DeltaViewInsertion"/>
                <w:noProof/>
                <w:sz w:val="22"/>
              </w:rPr>
              <w:t xml:space="preserve">lásd a </w:t>
            </w:r>
            <w:bookmarkEnd w:id="31"/>
            <w:r w:rsidRPr="00DC67EB">
              <w:rPr>
                <w:rStyle w:val="DeltaViewInsertion"/>
                <w:noProof/>
                <w:sz w:val="22"/>
              </w:rPr>
              <w:t>(17)</w:t>
            </w:r>
            <w:r w:rsidRPr="00DC67EB">
              <w:rPr>
                <w:noProof/>
              </w:rPr>
              <w:t xml:space="preserve"> megjegyzést</w:t>
            </w:r>
          </w:p>
        </w:tc>
        <w:tc>
          <w:tcPr>
            <w:tcW w:w="1262" w:type="dxa"/>
            <w:tcMar>
              <w:left w:w="28" w:type="dxa"/>
              <w:right w:w="28" w:type="dxa"/>
            </w:tcMar>
          </w:tcPr>
          <w:p w14:paraId="28725531" w14:textId="77777777" w:rsidR="00FA31A1" w:rsidRPr="00DC67EB" w:rsidRDefault="00FA31A1" w:rsidP="00FA31A1">
            <w:pPr>
              <w:spacing w:before="40" w:after="40"/>
              <w:rPr>
                <w:rStyle w:val="DeltaViewInsertion"/>
                <w:b w:val="0"/>
                <w:i w:val="0"/>
                <w:iCs/>
                <w:noProof/>
                <w:sz w:val="22"/>
              </w:rPr>
            </w:pPr>
          </w:p>
        </w:tc>
        <w:tc>
          <w:tcPr>
            <w:tcW w:w="1153" w:type="dxa"/>
            <w:gridSpan w:val="2"/>
            <w:tcMar>
              <w:left w:w="28" w:type="dxa"/>
              <w:right w:w="28" w:type="dxa"/>
            </w:tcMar>
          </w:tcPr>
          <w:p w14:paraId="453AF352" w14:textId="77777777" w:rsidR="00FA31A1" w:rsidRPr="00DC67EB" w:rsidRDefault="00FA31A1" w:rsidP="00FA31A1">
            <w:pPr>
              <w:spacing w:before="40" w:after="40"/>
              <w:rPr>
                <w:rStyle w:val="DeltaViewInsertion"/>
                <w:b w:val="0"/>
                <w:iCs/>
                <w:noProof/>
                <w:sz w:val="22"/>
              </w:rPr>
            </w:pPr>
          </w:p>
        </w:tc>
        <w:tc>
          <w:tcPr>
            <w:tcW w:w="970" w:type="dxa"/>
            <w:tcMar>
              <w:left w:w="28" w:type="dxa"/>
              <w:right w:w="28" w:type="dxa"/>
            </w:tcMar>
          </w:tcPr>
          <w:p w14:paraId="01956550" w14:textId="77777777" w:rsidR="00FA31A1" w:rsidRPr="00DC67EB" w:rsidRDefault="00FA31A1" w:rsidP="00FA31A1">
            <w:pPr>
              <w:spacing w:before="40" w:after="40"/>
              <w:rPr>
                <w:rStyle w:val="DeltaViewInsertion"/>
                <w:b w:val="0"/>
                <w:iCs/>
                <w:noProof/>
                <w:sz w:val="22"/>
              </w:rPr>
            </w:pPr>
          </w:p>
        </w:tc>
      </w:tr>
      <w:tr w:rsidR="00DC67EB" w:rsidRPr="00DC67EB" w14:paraId="52C53656" w14:textId="77777777" w:rsidTr="00FA31A1">
        <w:trPr>
          <w:gridBefore w:val="1"/>
          <w:wBefore w:w="12" w:type="dxa"/>
          <w:cantSplit/>
          <w:tblHeader/>
          <w:jc w:val="center"/>
        </w:trPr>
        <w:tc>
          <w:tcPr>
            <w:tcW w:w="651" w:type="dxa"/>
            <w:gridSpan w:val="3"/>
            <w:vMerge/>
            <w:tcMar>
              <w:left w:w="28" w:type="dxa"/>
              <w:right w:w="28" w:type="dxa"/>
            </w:tcMar>
          </w:tcPr>
          <w:p w14:paraId="0175C40D" w14:textId="77777777" w:rsidR="00FA31A1" w:rsidRPr="00DC67EB" w:rsidRDefault="00FA31A1" w:rsidP="00FA31A1">
            <w:pPr>
              <w:spacing w:before="40" w:after="40"/>
              <w:rPr>
                <w:noProof/>
                <w:sz w:val="22"/>
              </w:rPr>
            </w:pPr>
            <w:bookmarkStart w:id="32" w:name="_Hlk115700632"/>
          </w:p>
        </w:tc>
        <w:tc>
          <w:tcPr>
            <w:tcW w:w="2286" w:type="dxa"/>
            <w:gridSpan w:val="3"/>
            <w:tcMar>
              <w:left w:w="28" w:type="dxa"/>
              <w:right w:w="28" w:type="dxa"/>
            </w:tcMar>
          </w:tcPr>
          <w:p w14:paraId="1DEEE5D1" w14:textId="77777777" w:rsidR="00FA31A1" w:rsidRPr="00DC67EB" w:rsidRDefault="00FA31A1" w:rsidP="00FA31A1">
            <w:pPr>
              <w:spacing w:before="40" w:after="40"/>
              <w:rPr>
                <w:noProof/>
                <w:sz w:val="22"/>
              </w:rPr>
            </w:pPr>
            <w:r w:rsidRPr="00DC67EB">
              <w:rPr>
                <w:noProof/>
                <w:sz w:val="22"/>
              </w:rPr>
              <w:t>Krizén</w:t>
            </w:r>
          </w:p>
        </w:tc>
        <w:tc>
          <w:tcPr>
            <w:tcW w:w="1329" w:type="dxa"/>
            <w:gridSpan w:val="3"/>
            <w:tcMar>
              <w:left w:w="28" w:type="dxa"/>
              <w:right w:w="28" w:type="dxa"/>
            </w:tcMar>
          </w:tcPr>
          <w:p w14:paraId="70F33427" w14:textId="77777777" w:rsidR="00FA31A1" w:rsidRPr="00DC67EB" w:rsidRDefault="00FA31A1" w:rsidP="00FA31A1">
            <w:pPr>
              <w:spacing w:before="40" w:after="40"/>
              <w:rPr>
                <w:noProof/>
                <w:sz w:val="22"/>
              </w:rPr>
            </w:pPr>
          </w:p>
        </w:tc>
        <w:tc>
          <w:tcPr>
            <w:tcW w:w="992" w:type="dxa"/>
            <w:gridSpan w:val="2"/>
            <w:tcMar>
              <w:left w:w="28" w:type="dxa"/>
              <w:right w:w="28" w:type="dxa"/>
            </w:tcMar>
          </w:tcPr>
          <w:p w14:paraId="3D24AE79" w14:textId="77777777" w:rsidR="00FA31A1" w:rsidRPr="00DC67EB" w:rsidRDefault="00FA31A1" w:rsidP="00FA31A1">
            <w:pPr>
              <w:spacing w:before="40" w:after="40"/>
              <w:rPr>
                <w:noProof/>
                <w:sz w:val="22"/>
              </w:rPr>
            </w:pPr>
            <w:r w:rsidRPr="00DC67EB">
              <w:rPr>
                <w:noProof/>
                <w:sz w:val="22"/>
              </w:rPr>
              <w:t>218-01-9</w:t>
            </w:r>
          </w:p>
        </w:tc>
        <w:tc>
          <w:tcPr>
            <w:tcW w:w="1134" w:type="dxa"/>
          </w:tcPr>
          <w:p w14:paraId="43462236" w14:textId="77777777" w:rsidR="00FA31A1" w:rsidRPr="00DC67EB" w:rsidRDefault="00FA31A1" w:rsidP="00FA31A1">
            <w:pPr>
              <w:spacing w:before="40" w:after="40"/>
              <w:rPr>
                <w:rStyle w:val="DeltaViewInsertion"/>
                <w:b w:val="0"/>
                <w:i w:val="0"/>
                <w:iCs/>
                <w:noProof/>
                <w:sz w:val="22"/>
              </w:rPr>
            </w:pPr>
            <w:r w:rsidRPr="00DC67EB">
              <w:rPr>
                <w:rStyle w:val="DeltaViewInsertion"/>
                <w:noProof/>
                <w:sz w:val="22"/>
              </w:rPr>
              <w:t>205-923-4</w:t>
            </w:r>
          </w:p>
        </w:tc>
        <w:tc>
          <w:tcPr>
            <w:tcW w:w="1279" w:type="dxa"/>
            <w:gridSpan w:val="2"/>
            <w:tcMar>
              <w:left w:w="28" w:type="dxa"/>
              <w:right w:w="28" w:type="dxa"/>
            </w:tcMar>
          </w:tcPr>
          <w:p w14:paraId="749B4BAE" w14:textId="77777777" w:rsidR="00FA31A1" w:rsidRPr="00DC67EB" w:rsidRDefault="00FA31A1" w:rsidP="00FA31A1">
            <w:pPr>
              <w:spacing w:before="40" w:after="40"/>
              <w:rPr>
                <w:rStyle w:val="DeltaViewInsertion"/>
                <w:b w:val="0"/>
                <w:iCs/>
                <w:noProof/>
                <w:sz w:val="22"/>
              </w:rPr>
            </w:pPr>
          </w:p>
        </w:tc>
        <w:tc>
          <w:tcPr>
            <w:tcW w:w="1279" w:type="dxa"/>
            <w:gridSpan w:val="2"/>
            <w:tcMar>
              <w:left w:w="28" w:type="dxa"/>
              <w:right w:w="28" w:type="dxa"/>
            </w:tcMar>
          </w:tcPr>
          <w:p w14:paraId="04B338CB" w14:textId="77777777" w:rsidR="00FA31A1" w:rsidRPr="00DC67EB" w:rsidRDefault="00FA31A1" w:rsidP="00FA31A1">
            <w:pPr>
              <w:spacing w:before="40" w:after="40"/>
              <w:rPr>
                <w:rStyle w:val="DeltaViewInsertion"/>
                <w:b w:val="0"/>
                <w:iCs/>
                <w:noProof/>
                <w:sz w:val="22"/>
              </w:rPr>
            </w:pPr>
          </w:p>
        </w:tc>
        <w:tc>
          <w:tcPr>
            <w:tcW w:w="1278" w:type="dxa"/>
            <w:gridSpan w:val="2"/>
            <w:tcMar>
              <w:left w:w="28" w:type="dxa"/>
              <w:right w:w="28" w:type="dxa"/>
            </w:tcMar>
          </w:tcPr>
          <w:p w14:paraId="6A966A7B" w14:textId="77777777" w:rsidR="00FA31A1" w:rsidRPr="00DC67EB" w:rsidRDefault="00FA31A1" w:rsidP="00FA31A1">
            <w:pPr>
              <w:spacing w:before="40" w:after="40"/>
              <w:rPr>
                <w:rStyle w:val="DeltaViewInsertion"/>
                <w:b w:val="0"/>
                <w:i w:val="0"/>
                <w:iCs/>
                <w:noProof/>
                <w:sz w:val="22"/>
              </w:rPr>
            </w:pPr>
            <w:r w:rsidRPr="00DC67EB">
              <w:rPr>
                <w:rStyle w:val="DeltaViewInsertion"/>
                <w:noProof/>
                <w:sz w:val="22"/>
              </w:rPr>
              <w:t>0,07</w:t>
            </w:r>
          </w:p>
        </w:tc>
        <w:tc>
          <w:tcPr>
            <w:tcW w:w="1277" w:type="dxa"/>
            <w:gridSpan w:val="2"/>
            <w:tcMar>
              <w:left w:w="28" w:type="dxa"/>
              <w:right w:w="28" w:type="dxa"/>
            </w:tcMar>
          </w:tcPr>
          <w:p w14:paraId="277FED5E" w14:textId="77777777" w:rsidR="00FA31A1" w:rsidRPr="00DC67EB" w:rsidRDefault="00FA31A1" w:rsidP="00FA31A1">
            <w:pPr>
              <w:spacing w:before="40" w:after="40"/>
              <w:rPr>
                <w:rStyle w:val="DeltaViewInsertion"/>
                <w:b w:val="0"/>
                <w:i w:val="0"/>
                <w:iCs/>
                <w:noProof/>
                <w:sz w:val="22"/>
              </w:rPr>
            </w:pPr>
            <w:r w:rsidRPr="00DC67EB">
              <w:rPr>
                <w:rStyle w:val="DeltaViewInsertion"/>
                <w:noProof/>
                <w:sz w:val="22"/>
              </w:rPr>
              <w:t>0,007</w:t>
            </w:r>
          </w:p>
        </w:tc>
        <w:tc>
          <w:tcPr>
            <w:tcW w:w="1136" w:type="dxa"/>
            <w:gridSpan w:val="2"/>
            <w:tcMar>
              <w:left w:w="28" w:type="dxa"/>
              <w:right w:w="28" w:type="dxa"/>
            </w:tcMar>
          </w:tcPr>
          <w:p w14:paraId="71C1EC36" w14:textId="77777777" w:rsidR="00FA31A1" w:rsidRPr="00DC67EB" w:rsidRDefault="00FA31A1" w:rsidP="00FA31A1">
            <w:pPr>
              <w:spacing w:before="40" w:after="40"/>
              <w:rPr>
                <w:rStyle w:val="DeltaViewInsertion"/>
                <w:b w:val="0"/>
                <w:i w:val="0"/>
                <w:iCs/>
                <w:noProof/>
                <w:sz w:val="22"/>
              </w:rPr>
            </w:pPr>
            <w:r w:rsidRPr="00DC67EB">
              <w:rPr>
                <w:rStyle w:val="DeltaViewInsertion"/>
                <w:noProof/>
                <w:sz w:val="22"/>
              </w:rPr>
              <w:t>lásd a (17) megjegyzést</w:t>
            </w:r>
          </w:p>
        </w:tc>
        <w:tc>
          <w:tcPr>
            <w:tcW w:w="1262" w:type="dxa"/>
            <w:tcMar>
              <w:left w:w="28" w:type="dxa"/>
              <w:right w:w="28" w:type="dxa"/>
            </w:tcMar>
          </w:tcPr>
          <w:p w14:paraId="378FD53E" w14:textId="77777777" w:rsidR="00FA31A1" w:rsidRPr="00DC67EB" w:rsidRDefault="00FA31A1" w:rsidP="00FA31A1">
            <w:pPr>
              <w:spacing w:before="40" w:after="40"/>
              <w:rPr>
                <w:rStyle w:val="DeltaViewInsertion"/>
                <w:b w:val="0"/>
                <w:iCs/>
                <w:noProof/>
                <w:sz w:val="22"/>
              </w:rPr>
            </w:pPr>
          </w:p>
        </w:tc>
        <w:tc>
          <w:tcPr>
            <w:tcW w:w="1153" w:type="dxa"/>
            <w:gridSpan w:val="2"/>
            <w:tcMar>
              <w:left w:w="28" w:type="dxa"/>
              <w:right w:w="28" w:type="dxa"/>
            </w:tcMar>
          </w:tcPr>
          <w:p w14:paraId="23F48EA8" w14:textId="77777777" w:rsidR="00FA31A1" w:rsidRPr="00DC67EB" w:rsidRDefault="00FA31A1" w:rsidP="00FA31A1">
            <w:pPr>
              <w:spacing w:before="40" w:after="40"/>
              <w:rPr>
                <w:rStyle w:val="DeltaViewInsertion"/>
                <w:b w:val="0"/>
                <w:iCs/>
                <w:noProof/>
                <w:sz w:val="22"/>
              </w:rPr>
            </w:pPr>
          </w:p>
        </w:tc>
        <w:tc>
          <w:tcPr>
            <w:tcW w:w="970" w:type="dxa"/>
            <w:tcMar>
              <w:left w:w="28" w:type="dxa"/>
              <w:right w:w="28" w:type="dxa"/>
            </w:tcMar>
          </w:tcPr>
          <w:p w14:paraId="7811826B" w14:textId="77777777" w:rsidR="00FA31A1" w:rsidRPr="00DC67EB" w:rsidRDefault="00FA31A1" w:rsidP="00FA31A1">
            <w:pPr>
              <w:spacing w:before="40" w:after="40"/>
              <w:rPr>
                <w:rStyle w:val="DeltaViewInsertion"/>
                <w:b w:val="0"/>
                <w:iCs/>
                <w:noProof/>
                <w:sz w:val="22"/>
              </w:rPr>
            </w:pPr>
          </w:p>
        </w:tc>
      </w:tr>
      <w:tr w:rsidR="00DC67EB" w:rsidRPr="00DC67EB" w14:paraId="4FD2066D" w14:textId="77777777" w:rsidTr="00FA31A1">
        <w:trPr>
          <w:gridBefore w:val="1"/>
          <w:wBefore w:w="12" w:type="dxa"/>
          <w:cantSplit/>
          <w:tblHeader/>
          <w:jc w:val="center"/>
        </w:trPr>
        <w:tc>
          <w:tcPr>
            <w:tcW w:w="651" w:type="dxa"/>
            <w:gridSpan w:val="3"/>
            <w:vMerge/>
            <w:tcMar>
              <w:left w:w="28" w:type="dxa"/>
              <w:right w:w="28" w:type="dxa"/>
            </w:tcMar>
          </w:tcPr>
          <w:p w14:paraId="72C257A2" w14:textId="77777777" w:rsidR="00FA31A1" w:rsidRPr="00DC67EB" w:rsidRDefault="00FA31A1" w:rsidP="00FA31A1">
            <w:pPr>
              <w:spacing w:before="40" w:after="40"/>
              <w:rPr>
                <w:noProof/>
                <w:sz w:val="22"/>
              </w:rPr>
            </w:pPr>
          </w:p>
        </w:tc>
        <w:tc>
          <w:tcPr>
            <w:tcW w:w="2286" w:type="dxa"/>
            <w:gridSpan w:val="3"/>
            <w:tcMar>
              <w:left w:w="28" w:type="dxa"/>
              <w:right w:w="28" w:type="dxa"/>
            </w:tcMar>
          </w:tcPr>
          <w:p w14:paraId="24A8CC40" w14:textId="77777777" w:rsidR="00FA31A1" w:rsidRPr="00DC67EB" w:rsidRDefault="00FA31A1" w:rsidP="00FA31A1">
            <w:pPr>
              <w:spacing w:before="40" w:after="40"/>
              <w:rPr>
                <w:noProof/>
                <w:sz w:val="22"/>
              </w:rPr>
            </w:pPr>
            <w:r w:rsidRPr="00DC67EB">
              <w:rPr>
                <w:noProof/>
                <w:sz w:val="22"/>
              </w:rPr>
              <w:t>Benzo(a)antracén</w:t>
            </w:r>
          </w:p>
        </w:tc>
        <w:tc>
          <w:tcPr>
            <w:tcW w:w="1329" w:type="dxa"/>
            <w:gridSpan w:val="3"/>
            <w:vMerge w:val="restart"/>
            <w:tcMar>
              <w:left w:w="28" w:type="dxa"/>
              <w:right w:w="28" w:type="dxa"/>
            </w:tcMar>
          </w:tcPr>
          <w:p w14:paraId="7AB08A63" w14:textId="77777777" w:rsidR="00FA31A1" w:rsidRPr="00DC67EB" w:rsidRDefault="00FA31A1" w:rsidP="00FA31A1">
            <w:pPr>
              <w:spacing w:before="40" w:after="40"/>
              <w:rPr>
                <w:noProof/>
                <w:sz w:val="22"/>
              </w:rPr>
            </w:pPr>
          </w:p>
        </w:tc>
        <w:tc>
          <w:tcPr>
            <w:tcW w:w="992" w:type="dxa"/>
            <w:gridSpan w:val="2"/>
            <w:tcMar>
              <w:left w:w="28" w:type="dxa"/>
              <w:right w:w="28" w:type="dxa"/>
            </w:tcMar>
          </w:tcPr>
          <w:p w14:paraId="61BA01AE" w14:textId="77777777" w:rsidR="00FA31A1" w:rsidRPr="00DC67EB" w:rsidRDefault="00FA31A1" w:rsidP="00FA31A1">
            <w:pPr>
              <w:spacing w:before="40" w:after="40"/>
              <w:rPr>
                <w:noProof/>
                <w:sz w:val="22"/>
              </w:rPr>
            </w:pPr>
            <w:r w:rsidRPr="00DC67EB">
              <w:rPr>
                <w:noProof/>
                <w:sz w:val="22"/>
              </w:rPr>
              <w:t>56-55-3</w:t>
            </w:r>
          </w:p>
        </w:tc>
        <w:tc>
          <w:tcPr>
            <w:tcW w:w="1134" w:type="dxa"/>
          </w:tcPr>
          <w:p w14:paraId="37DF6B05" w14:textId="77777777" w:rsidR="00FA31A1" w:rsidRPr="00DC67EB" w:rsidRDefault="00FA31A1" w:rsidP="00FA31A1">
            <w:pPr>
              <w:spacing w:before="40" w:after="40"/>
              <w:rPr>
                <w:rStyle w:val="DeltaViewInsertion"/>
                <w:b w:val="0"/>
                <w:i w:val="0"/>
                <w:iCs/>
                <w:noProof/>
                <w:sz w:val="22"/>
              </w:rPr>
            </w:pPr>
            <w:r w:rsidRPr="00DC67EB">
              <w:rPr>
                <w:rStyle w:val="DeltaViewInsertion"/>
                <w:noProof/>
                <w:sz w:val="22"/>
              </w:rPr>
              <w:t>200-280-6</w:t>
            </w:r>
          </w:p>
        </w:tc>
        <w:tc>
          <w:tcPr>
            <w:tcW w:w="1279" w:type="dxa"/>
            <w:gridSpan w:val="2"/>
            <w:tcMar>
              <w:left w:w="28" w:type="dxa"/>
              <w:right w:w="28" w:type="dxa"/>
            </w:tcMar>
          </w:tcPr>
          <w:p w14:paraId="11196D7F" w14:textId="77777777" w:rsidR="00FA31A1" w:rsidRPr="00DC67EB" w:rsidRDefault="00FA31A1" w:rsidP="00FA31A1">
            <w:pPr>
              <w:spacing w:before="40" w:after="40"/>
              <w:rPr>
                <w:rStyle w:val="DeltaViewInsertion"/>
                <w:b w:val="0"/>
                <w:iCs/>
                <w:noProof/>
                <w:sz w:val="22"/>
              </w:rPr>
            </w:pPr>
          </w:p>
        </w:tc>
        <w:tc>
          <w:tcPr>
            <w:tcW w:w="1279" w:type="dxa"/>
            <w:gridSpan w:val="2"/>
            <w:tcMar>
              <w:left w:w="28" w:type="dxa"/>
              <w:right w:w="28" w:type="dxa"/>
            </w:tcMar>
          </w:tcPr>
          <w:p w14:paraId="178A49FA" w14:textId="77777777" w:rsidR="00FA31A1" w:rsidRPr="00DC67EB" w:rsidRDefault="00FA31A1" w:rsidP="00FA31A1">
            <w:pPr>
              <w:spacing w:before="40" w:after="40"/>
              <w:rPr>
                <w:rStyle w:val="DeltaViewInsertion"/>
                <w:b w:val="0"/>
                <w:iCs/>
                <w:noProof/>
                <w:sz w:val="22"/>
              </w:rPr>
            </w:pPr>
          </w:p>
        </w:tc>
        <w:tc>
          <w:tcPr>
            <w:tcW w:w="1278" w:type="dxa"/>
            <w:gridSpan w:val="2"/>
            <w:tcMar>
              <w:left w:w="28" w:type="dxa"/>
              <w:right w:w="28" w:type="dxa"/>
            </w:tcMar>
          </w:tcPr>
          <w:p w14:paraId="2F44AF13" w14:textId="77777777" w:rsidR="00FA31A1" w:rsidRPr="00DC67EB" w:rsidRDefault="00FA31A1" w:rsidP="00FA31A1">
            <w:pPr>
              <w:spacing w:before="40" w:after="40"/>
              <w:rPr>
                <w:rStyle w:val="DeltaViewInsertion"/>
                <w:b w:val="0"/>
                <w:i w:val="0"/>
                <w:iCs/>
                <w:noProof/>
                <w:sz w:val="22"/>
              </w:rPr>
            </w:pPr>
            <w:r w:rsidRPr="00DC67EB">
              <w:rPr>
                <w:rStyle w:val="DeltaViewInsertion"/>
                <w:noProof/>
                <w:sz w:val="22"/>
              </w:rPr>
              <w:t>0,1</w:t>
            </w:r>
          </w:p>
        </w:tc>
        <w:tc>
          <w:tcPr>
            <w:tcW w:w="1277" w:type="dxa"/>
            <w:gridSpan w:val="2"/>
            <w:tcMar>
              <w:left w:w="28" w:type="dxa"/>
              <w:right w:w="28" w:type="dxa"/>
            </w:tcMar>
          </w:tcPr>
          <w:p w14:paraId="78FD28AB" w14:textId="77777777" w:rsidR="00FA31A1" w:rsidRPr="00DC67EB" w:rsidRDefault="00FA31A1" w:rsidP="00FA31A1">
            <w:pPr>
              <w:spacing w:before="40" w:after="40"/>
              <w:rPr>
                <w:rStyle w:val="DeltaViewInsertion"/>
                <w:b w:val="0"/>
                <w:i w:val="0"/>
                <w:iCs/>
                <w:noProof/>
                <w:sz w:val="22"/>
              </w:rPr>
            </w:pPr>
            <w:r w:rsidRPr="00DC67EB">
              <w:rPr>
                <w:rStyle w:val="DeltaViewInsertion"/>
                <w:noProof/>
                <w:sz w:val="22"/>
              </w:rPr>
              <w:t>0,01</w:t>
            </w:r>
          </w:p>
        </w:tc>
        <w:tc>
          <w:tcPr>
            <w:tcW w:w="1136" w:type="dxa"/>
            <w:gridSpan w:val="2"/>
            <w:tcMar>
              <w:left w:w="28" w:type="dxa"/>
              <w:right w:w="28" w:type="dxa"/>
            </w:tcMar>
          </w:tcPr>
          <w:p w14:paraId="230E0DE0" w14:textId="77777777" w:rsidR="00FA31A1" w:rsidRPr="00DC67EB" w:rsidRDefault="00FA31A1" w:rsidP="00FA31A1">
            <w:pPr>
              <w:spacing w:before="40" w:after="40"/>
              <w:rPr>
                <w:rStyle w:val="DeltaViewInsertion"/>
                <w:b w:val="0"/>
                <w:i w:val="0"/>
                <w:iCs/>
                <w:noProof/>
                <w:sz w:val="22"/>
              </w:rPr>
            </w:pPr>
            <w:r w:rsidRPr="00DC67EB">
              <w:rPr>
                <w:rStyle w:val="DeltaViewInsertion"/>
                <w:noProof/>
                <w:sz w:val="22"/>
              </w:rPr>
              <w:t>lásd a (17) megjegyzést</w:t>
            </w:r>
          </w:p>
        </w:tc>
        <w:tc>
          <w:tcPr>
            <w:tcW w:w="1262" w:type="dxa"/>
            <w:tcMar>
              <w:left w:w="28" w:type="dxa"/>
              <w:right w:w="28" w:type="dxa"/>
            </w:tcMar>
          </w:tcPr>
          <w:p w14:paraId="6D3717A0" w14:textId="77777777" w:rsidR="00FA31A1" w:rsidRPr="00DC67EB" w:rsidRDefault="00FA31A1" w:rsidP="00FA31A1">
            <w:pPr>
              <w:spacing w:before="40" w:after="40"/>
              <w:rPr>
                <w:rStyle w:val="DeltaViewInsertion"/>
                <w:b w:val="0"/>
                <w:iCs/>
                <w:noProof/>
                <w:sz w:val="22"/>
              </w:rPr>
            </w:pPr>
          </w:p>
        </w:tc>
        <w:tc>
          <w:tcPr>
            <w:tcW w:w="1153" w:type="dxa"/>
            <w:gridSpan w:val="2"/>
            <w:tcMar>
              <w:left w:w="28" w:type="dxa"/>
              <w:right w:w="28" w:type="dxa"/>
            </w:tcMar>
          </w:tcPr>
          <w:p w14:paraId="75923960" w14:textId="77777777" w:rsidR="00FA31A1" w:rsidRPr="00DC67EB" w:rsidRDefault="00FA31A1" w:rsidP="00FA31A1">
            <w:pPr>
              <w:spacing w:before="40" w:after="40"/>
              <w:rPr>
                <w:rStyle w:val="DeltaViewInsertion"/>
                <w:b w:val="0"/>
                <w:iCs/>
                <w:noProof/>
                <w:sz w:val="22"/>
              </w:rPr>
            </w:pPr>
          </w:p>
        </w:tc>
        <w:tc>
          <w:tcPr>
            <w:tcW w:w="970" w:type="dxa"/>
            <w:tcMar>
              <w:left w:w="28" w:type="dxa"/>
              <w:right w:w="28" w:type="dxa"/>
            </w:tcMar>
          </w:tcPr>
          <w:p w14:paraId="05B01994" w14:textId="77777777" w:rsidR="00FA31A1" w:rsidRPr="00DC67EB" w:rsidRDefault="00FA31A1" w:rsidP="00FA31A1">
            <w:pPr>
              <w:spacing w:before="40" w:after="40"/>
              <w:rPr>
                <w:rStyle w:val="DeltaViewInsertion"/>
                <w:b w:val="0"/>
                <w:iCs/>
                <w:noProof/>
                <w:sz w:val="22"/>
              </w:rPr>
            </w:pPr>
          </w:p>
        </w:tc>
      </w:tr>
      <w:tr w:rsidR="00DC67EB" w:rsidRPr="00DC67EB" w14:paraId="238CD7E8" w14:textId="77777777" w:rsidTr="00FA31A1">
        <w:trPr>
          <w:gridBefore w:val="1"/>
          <w:wBefore w:w="12" w:type="dxa"/>
          <w:cantSplit/>
          <w:tblHeader/>
          <w:jc w:val="center"/>
        </w:trPr>
        <w:tc>
          <w:tcPr>
            <w:tcW w:w="651" w:type="dxa"/>
            <w:gridSpan w:val="3"/>
            <w:vMerge/>
            <w:tcMar>
              <w:left w:w="28" w:type="dxa"/>
              <w:right w:w="28" w:type="dxa"/>
            </w:tcMar>
          </w:tcPr>
          <w:p w14:paraId="474D5E43" w14:textId="77777777" w:rsidR="00FA31A1" w:rsidRPr="00DC67EB" w:rsidRDefault="00FA31A1" w:rsidP="00FA31A1">
            <w:pPr>
              <w:spacing w:before="40" w:after="40"/>
              <w:rPr>
                <w:noProof/>
                <w:sz w:val="22"/>
              </w:rPr>
            </w:pPr>
          </w:p>
        </w:tc>
        <w:tc>
          <w:tcPr>
            <w:tcW w:w="2286" w:type="dxa"/>
            <w:gridSpan w:val="3"/>
            <w:tcMar>
              <w:left w:w="28" w:type="dxa"/>
              <w:right w:w="28" w:type="dxa"/>
            </w:tcMar>
          </w:tcPr>
          <w:p w14:paraId="7E2601EF" w14:textId="77777777" w:rsidR="00FA31A1" w:rsidRPr="00DC67EB" w:rsidRDefault="00FA31A1" w:rsidP="00FA31A1">
            <w:pPr>
              <w:spacing w:before="40" w:after="40"/>
              <w:rPr>
                <w:noProof/>
                <w:sz w:val="22"/>
              </w:rPr>
            </w:pPr>
            <w:r w:rsidRPr="00DC67EB">
              <w:rPr>
                <w:noProof/>
                <w:sz w:val="22"/>
              </w:rPr>
              <w:t>Dibenz(a,h)antracén</w:t>
            </w:r>
          </w:p>
        </w:tc>
        <w:tc>
          <w:tcPr>
            <w:tcW w:w="1329" w:type="dxa"/>
            <w:gridSpan w:val="3"/>
            <w:vMerge/>
            <w:tcMar>
              <w:left w:w="28" w:type="dxa"/>
              <w:right w:w="28" w:type="dxa"/>
            </w:tcMar>
          </w:tcPr>
          <w:p w14:paraId="1325269D" w14:textId="77777777" w:rsidR="00FA31A1" w:rsidRPr="00DC67EB" w:rsidRDefault="00FA31A1" w:rsidP="00FA31A1">
            <w:pPr>
              <w:spacing w:before="40" w:after="40"/>
              <w:rPr>
                <w:noProof/>
                <w:sz w:val="22"/>
              </w:rPr>
            </w:pPr>
          </w:p>
        </w:tc>
        <w:tc>
          <w:tcPr>
            <w:tcW w:w="992" w:type="dxa"/>
            <w:gridSpan w:val="2"/>
            <w:tcMar>
              <w:left w:w="28" w:type="dxa"/>
              <w:right w:w="28" w:type="dxa"/>
            </w:tcMar>
          </w:tcPr>
          <w:p w14:paraId="13470105" w14:textId="77777777" w:rsidR="00FA31A1" w:rsidRPr="00DC67EB" w:rsidRDefault="00FA31A1" w:rsidP="00FA31A1">
            <w:pPr>
              <w:spacing w:before="40" w:after="40"/>
              <w:rPr>
                <w:noProof/>
                <w:sz w:val="22"/>
              </w:rPr>
            </w:pPr>
            <w:r w:rsidRPr="00DC67EB">
              <w:rPr>
                <w:noProof/>
                <w:sz w:val="22"/>
              </w:rPr>
              <w:t>53-70-3</w:t>
            </w:r>
          </w:p>
        </w:tc>
        <w:tc>
          <w:tcPr>
            <w:tcW w:w="1134" w:type="dxa"/>
          </w:tcPr>
          <w:p w14:paraId="25FEE832" w14:textId="77777777" w:rsidR="00FA31A1" w:rsidRPr="00DC67EB" w:rsidRDefault="00FA31A1" w:rsidP="00FA31A1">
            <w:pPr>
              <w:spacing w:before="40" w:after="40"/>
              <w:rPr>
                <w:rStyle w:val="DeltaViewInsertion"/>
                <w:b w:val="0"/>
                <w:i w:val="0"/>
                <w:iCs/>
                <w:noProof/>
                <w:sz w:val="22"/>
              </w:rPr>
            </w:pPr>
            <w:r w:rsidRPr="00DC67EB">
              <w:rPr>
                <w:rStyle w:val="DeltaViewInsertion"/>
                <w:noProof/>
                <w:sz w:val="22"/>
              </w:rPr>
              <w:t>200-181-8</w:t>
            </w:r>
          </w:p>
        </w:tc>
        <w:tc>
          <w:tcPr>
            <w:tcW w:w="1279" w:type="dxa"/>
            <w:gridSpan w:val="2"/>
            <w:tcMar>
              <w:left w:w="28" w:type="dxa"/>
              <w:right w:w="28" w:type="dxa"/>
            </w:tcMar>
          </w:tcPr>
          <w:p w14:paraId="3F1E95AA" w14:textId="77777777" w:rsidR="00FA31A1" w:rsidRPr="00DC67EB" w:rsidRDefault="00FA31A1" w:rsidP="00FA31A1">
            <w:pPr>
              <w:spacing w:before="40" w:after="40"/>
              <w:rPr>
                <w:rStyle w:val="DeltaViewInsertion"/>
                <w:b w:val="0"/>
                <w:iCs/>
                <w:noProof/>
                <w:sz w:val="22"/>
              </w:rPr>
            </w:pPr>
          </w:p>
        </w:tc>
        <w:tc>
          <w:tcPr>
            <w:tcW w:w="1279" w:type="dxa"/>
            <w:gridSpan w:val="2"/>
            <w:tcMar>
              <w:left w:w="28" w:type="dxa"/>
              <w:right w:w="28" w:type="dxa"/>
            </w:tcMar>
          </w:tcPr>
          <w:p w14:paraId="136069E3" w14:textId="77777777" w:rsidR="00FA31A1" w:rsidRPr="00DC67EB" w:rsidRDefault="00FA31A1" w:rsidP="00FA31A1">
            <w:pPr>
              <w:spacing w:before="40" w:after="40"/>
              <w:rPr>
                <w:rStyle w:val="DeltaViewInsertion"/>
                <w:b w:val="0"/>
                <w:iCs/>
                <w:noProof/>
                <w:sz w:val="22"/>
              </w:rPr>
            </w:pPr>
          </w:p>
        </w:tc>
        <w:tc>
          <w:tcPr>
            <w:tcW w:w="1278" w:type="dxa"/>
            <w:gridSpan w:val="2"/>
            <w:tcMar>
              <w:left w:w="28" w:type="dxa"/>
              <w:right w:w="28" w:type="dxa"/>
            </w:tcMar>
          </w:tcPr>
          <w:p w14:paraId="74CAD5BF" w14:textId="77777777" w:rsidR="00FA31A1" w:rsidRPr="00DC67EB" w:rsidRDefault="00FA31A1" w:rsidP="00FA31A1">
            <w:pPr>
              <w:spacing w:before="40" w:after="40"/>
              <w:rPr>
                <w:rStyle w:val="DeltaViewInsertion"/>
                <w:b w:val="0"/>
                <w:i w:val="0"/>
                <w:iCs/>
                <w:noProof/>
                <w:sz w:val="22"/>
              </w:rPr>
            </w:pPr>
            <w:r w:rsidRPr="00DC67EB">
              <w:rPr>
                <w:rStyle w:val="DeltaViewInsertion"/>
                <w:noProof/>
                <w:sz w:val="22"/>
              </w:rPr>
              <w:t>0,014</w:t>
            </w:r>
          </w:p>
        </w:tc>
        <w:tc>
          <w:tcPr>
            <w:tcW w:w="1277" w:type="dxa"/>
            <w:gridSpan w:val="2"/>
            <w:tcMar>
              <w:left w:w="28" w:type="dxa"/>
              <w:right w:w="28" w:type="dxa"/>
            </w:tcMar>
          </w:tcPr>
          <w:p w14:paraId="2476E7A4" w14:textId="77777777" w:rsidR="00FA31A1" w:rsidRPr="00DC67EB" w:rsidRDefault="00FA31A1" w:rsidP="00FA31A1">
            <w:pPr>
              <w:spacing w:before="40" w:after="40"/>
              <w:rPr>
                <w:rStyle w:val="DeltaViewInsertion"/>
                <w:b w:val="0"/>
                <w:i w:val="0"/>
                <w:iCs/>
                <w:noProof/>
                <w:sz w:val="22"/>
              </w:rPr>
            </w:pPr>
            <w:r w:rsidRPr="00DC67EB">
              <w:rPr>
                <w:rStyle w:val="DeltaViewInsertion"/>
                <w:noProof/>
                <w:sz w:val="22"/>
              </w:rPr>
              <w:t>0,0014</w:t>
            </w:r>
          </w:p>
        </w:tc>
        <w:tc>
          <w:tcPr>
            <w:tcW w:w="1136" w:type="dxa"/>
            <w:gridSpan w:val="2"/>
            <w:tcMar>
              <w:left w:w="28" w:type="dxa"/>
              <w:right w:w="28" w:type="dxa"/>
            </w:tcMar>
          </w:tcPr>
          <w:p w14:paraId="00A13DBF" w14:textId="77777777" w:rsidR="00FA31A1" w:rsidRPr="00DC67EB" w:rsidRDefault="00FA31A1" w:rsidP="00FA31A1">
            <w:pPr>
              <w:spacing w:before="40" w:after="40"/>
              <w:rPr>
                <w:rStyle w:val="DeltaViewInsertion"/>
                <w:b w:val="0"/>
                <w:i w:val="0"/>
                <w:iCs/>
                <w:noProof/>
                <w:sz w:val="22"/>
              </w:rPr>
            </w:pPr>
            <w:r w:rsidRPr="00DC67EB">
              <w:rPr>
                <w:rStyle w:val="DeltaViewInsertion"/>
                <w:noProof/>
                <w:sz w:val="22"/>
              </w:rPr>
              <w:t>lásd a (17) megjegyzést</w:t>
            </w:r>
          </w:p>
        </w:tc>
        <w:tc>
          <w:tcPr>
            <w:tcW w:w="1262" w:type="dxa"/>
            <w:tcMar>
              <w:left w:w="28" w:type="dxa"/>
              <w:right w:w="28" w:type="dxa"/>
            </w:tcMar>
          </w:tcPr>
          <w:p w14:paraId="44CA8095" w14:textId="77777777" w:rsidR="00FA31A1" w:rsidRPr="00DC67EB" w:rsidRDefault="00FA31A1" w:rsidP="00FA31A1">
            <w:pPr>
              <w:spacing w:before="40" w:after="40"/>
              <w:rPr>
                <w:rStyle w:val="DeltaViewInsertion"/>
                <w:b w:val="0"/>
                <w:iCs/>
                <w:noProof/>
                <w:sz w:val="22"/>
              </w:rPr>
            </w:pPr>
          </w:p>
        </w:tc>
        <w:tc>
          <w:tcPr>
            <w:tcW w:w="1153" w:type="dxa"/>
            <w:gridSpan w:val="2"/>
            <w:tcMar>
              <w:left w:w="28" w:type="dxa"/>
              <w:right w:w="28" w:type="dxa"/>
            </w:tcMar>
          </w:tcPr>
          <w:p w14:paraId="27B3B6D0" w14:textId="77777777" w:rsidR="00FA31A1" w:rsidRPr="00DC67EB" w:rsidRDefault="00FA31A1" w:rsidP="00FA31A1">
            <w:pPr>
              <w:spacing w:before="40" w:after="40"/>
              <w:rPr>
                <w:rStyle w:val="DeltaViewInsertion"/>
                <w:b w:val="0"/>
                <w:iCs/>
                <w:noProof/>
                <w:sz w:val="22"/>
              </w:rPr>
            </w:pPr>
          </w:p>
        </w:tc>
        <w:tc>
          <w:tcPr>
            <w:tcW w:w="970" w:type="dxa"/>
            <w:tcMar>
              <w:left w:w="28" w:type="dxa"/>
              <w:right w:w="28" w:type="dxa"/>
            </w:tcMar>
          </w:tcPr>
          <w:p w14:paraId="347910F8" w14:textId="77777777" w:rsidR="00FA31A1" w:rsidRPr="00DC67EB" w:rsidRDefault="00FA31A1" w:rsidP="00FA31A1">
            <w:pPr>
              <w:spacing w:before="40" w:after="40"/>
              <w:rPr>
                <w:rStyle w:val="DeltaViewInsertion"/>
                <w:b w:val="0"/>
                <w:iCs/>
                <w:noProof/>
                <w:sz w:val="22"/>
              </w:rPr>
            </w:pPr>
          </w:p>
        </w:tc>
      </w:tr>
      <w:tr w:rsidR="00DC67EB" w:rsidRPr="00DC67EB" w14:paraId="1E49B22B" w14:textId="77777777" w:rsidTr="00FA31A1">
        <w:trPr>
          <w:gridBefore w:val="1"/>
          <w:wBefore w:w="12" w:type="dxa"/>
          <w:cantSplit/>
          <w:tblHeader/>
          <w:jc w:val="center"/>
        </w:trPr>
        <w:tc>
          <w:tcPr>
            <w:tcW w:w="651" w:type="dxa"/>
            <w:gridSpan w:val="3"/>
            <w:tcMar>
              <w:left w:w="28" w:type="dxa"/>
              <w:right w:w="28" w:type="dxa"/>
            </w:tcMar>
          </w:tcPr>
          <w:p w14:paraId="6D43A2A4" w14:textId="77777777" w:rsidR="00FA31A1" w:rsidRPr="00DC67EB" w:rsidRDefault="00FA31A1" w:rsidP="00FA31A1">
            <w:pPr>
              <w:spacing w:before="40" w:after="40"/>
              <w:rPr>
                <w:noProof/>
                <w:sz w:val="22"/>
              </w:rPr>
            </w:pPr>
            <w:r w:rsidRPr="00DC67EB">
              <w:rPr>
                <w:noProof/>
                <w:sz w:val="22"/>
              </w:rPr>
              <w:t>29.</w:t>
            </w:r>
          </w:p>
        </w:tc>
        <w:tc>
          <w:tcPr>
            <w:tcW w:w="15375" w:type="dxa"/>
            <w:gridSpan w:val="23"/>
            <w:tcMar>
              <w:left w:w="28" w:type="dxa"/>
              <w:right w:w="28" w:type="dxa"/>
            </w:tcMar>
          </w:tcPr>
          <w:p w14:paraId="56C352BB" w14:textId="77777777" w:rsidR="00FA31A1" w:rsidRPr="00DC67EB" w:rsidRDefault="00FA31A1" w:rsidP="00FA31A1">
            <w:pPr>
              <w:spacing w:before="40" w:after="40"/>
              <w:rPr>
                <w:noProof/>
                <w:sz w:val="22"/>
              </w:rPr>
            </w:pPr>
            <w:r w:rsidRPr="00DC67EB">
              <w:rPr>
                <w:noProof/>
                <w:sz w:val="22"/>
              </w:rPr>
              <w:t xml:space="preserve">A szimazin átkerült a II. melléklet C. részébe. </w:t>
            </w:r>
          </w:p>
        </w:tc>
      </w:tr>
      <w:bookmarkEnd w:id="32"/>
      <w:tr w:rsidR="00DC67EB" w:rsidRPr="00DC67EB" w14:paraId="5DAB9216" w14:textId="77777777" w:rsidTr="00FA31A1">
        <w:trPr>
          <w:gridBefore w:val="1"/>
          <w:wBefore w:w="12" w:type="dxa"/>
          <w:cantSplit/>
          <w:tblHeader/>
          <w:jc w:val="center"/>
        </w:trPr>
        <w:tc>
          <w:tcPr>
            <w:tcW w:w="651" w:type="dxa"/>
            <w:gridSpan w:val="3"/>
            <w:tcMar>
              <w:left w:w="28" w:type="dxa"/>
              <w:right w:w="28" w:type="dxa"/>
            </w:tcMar>
          </w:tcPr>
          <w:p w14:paraId="0C44D41F" w14:textId="77777777" w:rsidR="00FA31A1" w:rsidRPr="00DC67EB" w:rsidRDefault="00FA31A1" w:rsidP="00FA31A1">
            <w:pPr>
              <w:spacing w:before="40" w:after="40"/>
              <w:rPr>
                <w:noProof/>
                <w:sz w:val="22"/>
              </w:rPr>
            </w:pPr>
            <w:r w:rsidRPr="00DC67EB">
              <w:rPr>
                <w:noProof/>
                <w:sz w:val="22"/>
              </w:rPr>
              <w:t>29a.</w:t>
            </w:r>
          </w:p>
        </w:tc>
        <w:tc>
          <w:tcPr>
            <w:tcW w:w="2286" w:type="dxa"/>
            <w:gridSpan w:val="3"/>
            <w:tcMar>
              <w:left w:w="28" w:type="dxa"/>
              <w:right w:w="28" w:type="dxa"/>
            </w:tcMar>
          </w:tcPr>
          <w:p w14:paraId="478A5B17" w14:textId="77777777" w:rsidR="00FA31A1" w:rsidRPr="00DC67EB" w:rsidRDefault="00FA31A1" w:rsidP="00FA31A1">
            <w:pPr>
              <w:spacing w:before="40" w:after="40"/>
              <w:rPr>
                <w:noProof/>
                <w:sz w:val="22"/>
                <w:vertAlign w:val="superscript"/>
              </w:rPr>
            </w:pPr>
            <w:r w:rsidRPr="00DC67EB">
              <w:rPr>
                <w:noProof/>
                <w:sz w:val="22"/>
              </w:rPr>
              <w:t xml:space="preserve">Tetraklór-etilén </w:t>
            </w:r>
            <w:bookmarkStart w:id="33" w:name="_DV_M305"/>
            <w:bookmarkEnd w:id="33"/>
          </w:p>
        </w:tc>
        <w:tc>
          <w:tcPr>
            <w:tcW w:w="1329" w:type="dxa"/>
            <w:gridSpan w:val="3"/>
            <w:tcMar>
              <w:left w:w="28" w:type="dxa"/>
              <w:right w:w="28" w:type="dxa"/>
            </w:tcMar>
          </w:tcPr>
          <w:p w14:paraId="21D5532E" w14:textId="77777777" w:rsidR="00FA31A1" w:rsidRPr="00DC67EB" w:rsidRDefault="00FA31A1" w:rsidP="00FA31A1">
            <w:pPr>
              <w:spacing w:before="40" w:after="40"/>
              <w:rPr>
                <w:noProof/>
                <w:sz w:val="22"/>
              </w:rPr>
            </w:pPr>
            <w:r w:rsidRPr="00DC67EB">
              <w:rPr>
                <w:noProof/>
                <w:sz w:val="22"/>
              </w:rPr>
              <w:t>Ipari anyagok</w:t>
            </w:r>
          </w:p>
        </w:tc>
        <w:tc>
          <w:tcPr>
            <w:tcW w:w="992" w:type="dxa"/>
            <w:gridSpan w:val="2"/>
            <w:tcMar>
              <w:left w:w="28" w:type="dxa"/>
              <w:right w:w="28" w:type="dxa"/>
            </w:tcMar>
          </w:tcPr>
          <w:p w14:paraId="0FE4CCAD" w14:textId="77777777" w:rsidR="00FA31A1" w:rsidRPr="00DC67EB" w:rsidRDefault="00FA31A1" w:rsidP="00FA31A1">
            <w:pPr>
              <w:spacing w:before="40" w:after="40"/>
              <w:rPr>
                <w:noProof/>
                <w:sz w:val="22"/>
              </w:rPr>
            </w:pPr>
            <w:r w:rsidRPr="00DC67EB">
              <w:rPr>
                <w:noProof/>
                <w:sz w:val="22"/>
              </w:rPr>
              <w:t>127</w:t>
            </w:r>
            <w:r w:rsidRPr="00DC67EB">
              <w:rPr>
                <w:noProof/>
                <w:sz w:val="22"/>
              </w:rPr>
              <w:noBreakHyphen/>
              <w:t>18</w:t>
            </w:r>
            <w:r w:rsidRPr="00DC67EB">
              <w:rPr>
                <w:noProof/>
                <w:sz w:val="22"/>
              </w:rPr>
              <w:noBreakHyphen/>
              <w:t>4</w:t>
            </w:r>
          </w:p>
        </w:tc>
        <w:tc>
          <w:tcPr>
            <w:tcW w:w="1134" w:type="dxa"/>
          </w:tcPr>
          <w:p w14:paraId="578CCED4" w14:textId="77777777" w:rsidR="00FA31A1" w:rsidRPr="00DC67EB" w:rsidRDefault="00FA31A1" w:rsidP="00FA31A1">
            <w:pPr>
              <w:spacing w:before="40" w:after="40"/>
              <w:rPr>
                <w:noProof/>
                <w:sz w:val="22"/>
              </w:rPr>
            </w:pPr>
            <w:r w:rsidRPr="00DC67EB">
              <w:rPr>
                <w:noProof/>
                <w:sz w:val="22"/>
              </w:rPr>
              <w:t>204-825-9</w:t>
            </w:r>
          </w:p>
        </w:tc>
        <w:tc>
          <w:tcPr>
            <w:tcW w:w="1279" w:type="dxa"/>
            <w:gridSpan w:val="2"/>
            <w:tcMar>
              <w:left w:w="28" w:type="dxa"/>
              <w:right w:w="28" w:type="dxa"/>
            </w:tcMar>
          </w:tcPr>
          <w:p w14:paraId="4FE78DE1" w14:textId="77777777" w:rsidR="00FA31A1" w:rsidRPr="00DC67EB" w:rsidRDefault="00FA31A1" w:rsidP="00FA31A1">
            <w:pPr>
              <w:spacing w:before="40" w:after="40"/>
              <w:rPr>
                <w:noProof/>
                <w:sz w:val="22"/>
              </w:rPr>
            </w:pPr>
            <w:r w:rsidRPr="00DC67EB">
              <w:rPr>
                <w:noProof/>
                <w:sz w:val="22"/>
              </w:rPr>
              <w:t>10</w:t>
            </w:r>
          </w:p>
        </w:tc>
        <w:tc>
          <w:tcPr>
            <w:tcW w:w="1279" w:type="dxa"/>
            <w:gridSpan w:val="2"/>
            <w:tcMar>
              <w:left w:w="28" w:type="dxa"/>
              <w:right w:w="28" w:type="dxa"/>
            </w:tcMar>
          </w:tcPr>
          <w:p w14:paraId="013ADC0A" w14:textId="77777777" w:rsidR="00FA31A1" w:rsidRPr="00DC67EB" w:rsidRDefault="00FA31A1" w:rsidP="00FA31A1">
            <w:pPr>
              <w:spacing w:before="40" w:after="40"/>
              <w:rPr>
                <w:noProof/>
                <w:sz w:val="22"/>
              </w:rPr>
            </w:pPr>
            <w:r w:rsidRPr="00DC67EB">
              <w:rPr>
                <w:noProof/>
                <w:sz w:val="22"/>
              </w:rPr>
              <w:t>10</w:t>
            </w:r>
          </w:p>
        </w:tc>
        <w:tc>
          <w:tcPr>
            <w:tcW w:w="1278" w:type="dxa"/>
            <w:gridSpan w:val="2"/>
            <w:tcMar>
              <w:left w:w="28" w:type="dxa"/>
              <w:right w:w="28" w:type="dxa"/>
            </w:tcMar>
          </w:tcPr>
          <w:p w14:paraId="4A18234E" w14:textId="77777777" w:rsidR="00FA31A1" w:rsidRPr="00DC67EB" w:rsidRDefault="00FA31A1" w:rsidP="00FA31A1">
            <w:pPr>
              <w:spacing w:before="40" w:after="40"/>
              <w:rPr>
                <w:noProof/>
                <w:sz w:val="22"/>
              </w:rPr>
            </w:pPr>
            <w:r w:rsidRPr="00DC67EB">
              <w:rPr>
                <w:noProof/>
                <w:sz w:val="22"/>
              </w:rPr>
              <w:t>nem alkalmazható</w:t>
            </w:r>
          </w:p>
        </w:tc>
        <w:tc>
          <w:tcPr>
            <w:tcW w:w="1277" w:type="dxa"/>
            <w:gridSpan w:val="2"/>
            <w:tcMar>
              <w:left w:w="28" w:type="dxa"/>
              <w:right w:w="28" w:type="dxa"/>
            </w:tcMar>
          </w:tcPr>
          <w:p w14:paraId="1B0F3F9B" w14:textId="77777777" w:rsidR="00FA31A1" w:rsidRPr="00DC67EB" w:rsidRDefault="00FA31A1" w:rsidP="00FA31A1">
            <w:pPr>
              <w:spacing w:before="40" w:after="40"/>
              <w:rPr>
                <w:noProof/>
                <w:sz w:val="22"/>
              </w:rPr>
            </w:pPr>
            <w:r w:rsidRPr="00DC67EB">
              <w:rPr>
                <w:noProof/>
                <w:sz w:val="22"/>
              </w:rPr>
              <w:t>nem alkalmazható</w:t>
            </w:r>
          </w:p>
        </w:tc>
        <w:tc>
          <w:tcPr>
            <w:tcW w:w="1136" w:type="dxa"/>
            <w:gridSpan w:val="2"/>
            <w:tcMar>
              <w:left w:w="28" w:type="dxa"/>
              <w:right w:w="28" w:type="dxa"/>
            </w:tcMar>
          </w:tcPr>
          <w:p w14:paraId="3307DB33" w14:textId="77777777" w:rsidR="00FA31A1" w:rsidRPr="00DC67EB" w:rsidRDefault="00FA31A1" w:rsidP="00FA31A1">
            <w:pPr>
              <w:spacing w:before="40" w:after="40"/>
              <w:rPr>
                <w:noProof/>
                <w:sz w:val="22"/>
              </w:rPr>
            </w:pPr>
          </w:p>
        </w:tc>
        <w:tc>
          <w:tcPr>
            <w:tcW w:w="1262" w:type="dxa"/>
            <w:tcMar>
              <w:left w:w="28" w:type="dxa"/>
              <w:right w:w="28" w:type="dxa"/>
            </w:tcMar>
          </w:tcPr>
          <w:p w14:paraId="4F710EB7" w14:textId="77777777" w:rsidR="00FA31A1" w:rsidRPr="00DC67EB" w:rsidRDefault="00FA31A1" w:rsidP="00FA31A1">
            <w:pPr>
              <w:spacing w:before="40" w:after="40"/>
              <w:rPr>
                <w:noProof/>
                <w:sz w:val="22"/>
              </w:rPr>
            </w:pPr>
          </w:p>
        </w:tc>
        <w:tc>
          <w:tcPr>
            <w:tcW w:w="1153" w:type="dxa"/>
            <w:gridSpan w:val="2"/>
            <w:tcMar>
              <w:left w:w="28" w:type="dxa"/>
              <w:right w:w="28" w:type="dxa"/>
            </w:tcMar>
          </w:tcPr>
          <w:p w14:paraId="3F4E5E7E" w14:textId="77777777" w:rsidR="00FA31A1" w:rsidRPr="00DC67EB" w:rsidRDefault="00FA31A1" w:rsidP="00FA31A1">
            <w:pPr>
              <w:spacing w:before="40" w:after="40"/>
              <w:rPr>
                <w:noProof/>
                <w:sz w:val="22"/>
              </w:rPr>
            </w:pPr>
          </w:p>
        </w:tc>
        <w:tc>
          <w:tcPr>
            <w:tcW w:w="970" w:type="dxa"/>
            <w:tcMar>
              <w:left w:w="28" w:type="dxa"/>
              <w:right w:w="28" w:type="dxa"/>
            </w:tcMar>
          </w:tcPr>
          <w:p w14:paraId="3C8BE3B6" w14:textId="77777777" w:rsidR="00FA31A1" w:rsidRPr="00DC67EB" w:rsidRDefault="00FA31A1" w:rsidP="00FA31A1">
            <w:pPr>
              <w:spacing w:before="40" w:after="40"/>
              <w:rPr>
                <w:noProof/>
                <w:sz w:val="22"/>
              </w:rPr>
            </w:pPr>
          </w:p>
        </w:tc>
      </w:tr>
      <w:tr w:rsidR="00DC67EB" w:rsidRPr="00DC67EB" w14:paraId="1AB3AF6E" w14:textId="77777777" w:rsidTr="00FA31A1">
        <w:trPr>
          <w:gridBefore w:val="1"/>
          <w:wBefore w:w="12" w:type="dxa"/>
          <w:cantSplit/>
          <w:tblHeader/>
          <w:jc w:val="center"/>
        </w:trPr>
        <w:tc>
          <w:tcPr>
            <w:tcW w:w="651" w:type="dxa"/>
            <w:gridSpan w:val="3"/>
            <w:tcMar>
              <w:left w:w="28" w:type="dxa"/>
              <w:right w:w="28" w:type="dxa"/>
            </w:tcMar>
          </w:tcPr>
          <w:p w14:paraId="1A102F16" w14:textId="77777777" w:rsidR="00FA31A1" w:rsidRPr="00DC67EB" w:rsidRDefault="00FA31A1" w:rsidP="00FA31A1">
            <w:pPr>
              <w:keepNext/>
              <w:spacing w:before="40" w:after="40"/>
              <w:rPr>
                <w:noProof/>
                <w:sz w:val="22"/>
              </w:rPr>
            </w:pPr>
            <w:r w:rsidRPr="00DC67EB">
              <w:rPr>
                <w:noProof/>
                <w:sz w:val="22"/>
              </w:rPr>
              <w:t>29b.</w:t>
            </w:r>
          </w:p>
        </w:tc>
        <w:tc>
          <w:tcPr>
            <w:tcW w:w="2286" w:type="dxa"/>
            <w:gridSpan w:val="3"/>
            <w:tcMar>
              <w:left w:w="28" w:type="dxa"/>
              <w:right w:w="28" w:type="dxa"/>
            </w:tcMar>
          </w:tcPr>
          <w:p w14:paraId="79EB1157" w14:textId="77777777" w:rsidR="00FA31A1" w:rsidRPr="00DC67EB" w:rsidRDefault="00FA31A1" w:rsidP="00FA31A1">
            <w:pPr>
              <w:keepNext/>
              <w:spacing w:before="40" w:after="40"/>
              <w:rPr>
                <w:noProof/>
                <w:sz w:val="22"/>
                <w:vertAlign w:val="superscript"/>
              </w:rPr>
            </w:pPr>
            <w:r w:rsidRPr="00DC67EB">
              <w:rPr>
                <w:noProof/>
                <w:sz w:val="22"/>
              </w:rPr>
              <w:t xml:space="preserve">Triklór-etilén </w:t>
            </w:r>
            <w:bookmarkStart w:id="34" w:name="_DV_M306"/>
            <w:bookmarkEnd w:id="34"/>
          </w:p>
        </w:tc>
        <w:tc>
          <w:tcPr>
            <w:tcW w:w="1329" w:type="dxa"/>
            <w:gridSpan w:val="3"/>
            <w:tcMar>
              <w:left w:w="28" w:type="dxa"/>
              <w:right w:w="28" w:type="dxa"/>
            </w:tcMar>
          </w:tcPr>
          <w:p w14:paraId="4A053935" w14:textId="77777777" w:rsidR="00FA31A1" w:rsidRPr="00DC67EB" w:rsidRDefault="00FA31A1" w:rsidP="00FA31A1">
            <w:pPr>
              <w:keepNext/>
              <w:spacing w:before="40" w:after="40"/>
              <w:rPr>
                <w:noProof/>
                <w:sz w:val="22"/>
              </w:rPr>
            </w:pPr>
            <w:r w:rsidRPr="00DC67EB">
              <w:rPr>
                <w:noProof/>
                <w:sz w:val="22"/>
              </w:rPr>
              <w:t>Ipari anyagok</w:t>
            </w:r>
          </w:p>
        </w:tc>
        <w:tc>
          <w:tcPr>
            <w:tcW w:w="992" w:type="dxa"/>
            <w:gridSpan w:val="2"/>
            <w:tcMar>
              <w:left w:w="28" w:type="dxa"/>
              <w:right w:w="28" w:type="dxa"/>
            </w:tcMar>
          </w:tcPr>
          <w:p w14:paraId="457070CF" w14:textId="77777777" w:rsidR="00FA31A1" w:rsidRPr="00DC67EB" w:rsidRDefault="00FA31A1" w:rsidP="00FA31A1">
            <w:pPr>
              <w:keepNext/>
              <w:spacing w:before="40" w:after="40"/>
              <w:rPr>
                <w:noProof/>
                <w:sz w:val="22"/>
              </w:rPr>
            </w:pPr>
            <w:r w:rsidRPr="00DC67EB">
              <w:rPr>
                <w:noProof/>
                <w:sz w:val="22"/>
              </w:rPr>
              <w:t>79</w:t>
            </w:r>
            <w:r w:rsidRPr="00DC67EB">
              <w:rPr>
                <w:noProof/>
                <w:sz w:val="22"/>
              </w:rPr>
              <w:noBreakHyphen/>
              <w:t>01</w:t>
            </w:r>
            <w:r w:rsidRPr="00DC67EB">
              <w:rPr>
                <w:noProof/>
                <w:sz w:val="22"/>
              </w:rPr>
              <w:noBreakHyphen/>
              <w:t>6</w:t>
            </w:r>
          </w:p>
        </w:tc>
        <w:tc>
          <w:tcPr>
            <w:tcW w:w="1134" w:type="dxa"/>
          </w:tcPr>
          <w:p w14:paraId="05A484C7" w14:textId="77777777" w:rsidR="00FA31A1" w:rsidRPr="00DC67EB" w:rsidRDefault="00FA31A1" w:rsidP="00FA31A1">
            <w:pPr>
              <w:keepNext/>
              <w:spacing w:before="40" w:after="40"/>
              <w:rPr>
                <w:noProof/>
                <w:sz w:val="22"/>
              </w:rPr>
            </w:pPr>
            <w:r w:rsidRPr="00DC67EB">
              <w:rPr>
                <w:noProof/>
                <w:sz w:val="22"/>
              </w:rPr>
              <w:t>201-167-4</w:t>
            </w:r>
          </w:p>
        </w:tc>
        <w:tc>
          <w:tcPr>
            <w:tcW w:w="1279" w:type="dxa"/>
            <w:gridSpan w:val="2"/>
            <w:tcMar>
              <w:left w:w="28" w:type="dxa"/>
              <w:right w:w="28" w:type="dxa"/>
            </w:tcMar>
          </w:tcPr>
          <w:p w14:paraId="13867606" w14:textId="77777777" w:rsidR="00FA31A1" w:rsidRPr="00DC67EB" w:rsidRDefault="00FA31A1" w:rsidP="00FA31A1">
            <w:pPr>
              <w:keepNext/>
              <w:spacing w:before="40" w:after="40"/>
              <w:rPr>
                <w:noProof/>
                <w:sz w:val="22"/>
              </w:rPr>
            </w:pPr>
            <w:r w:rsidRPr="00DC67EB">
              <w:rPr>
                <w:noProof/>
                <w:sz w:val="22"/>
              </w:rPr>
              <w:t>10</w:t>
            </w:r>
          </w:p>
        </w:tc>
        <w:tc>
          <w:tcPr>
            <w:tcW w:w="1279" w:type="dxa"/>
            <w:gridSpan w:val="2"/>
            <w:tcMar>
              <w:left w:w="28" w:type="dxa"/>
              <w:right w:w="28" w:type="dxa"/>
            </w:tcMar>
          </w:tcPr>
          <w:p w14:paraId="286A92B5" w14:textId="77777777" w:rsidR="00FA31A1" w:rsidRPr="00DC67EB" w:rsidRDefault="00FA31A1" w:rsidP="00FA31A1">
            <w:pPr>
              <w:keepNext/>
              <w:spacing w:before="40" w:after="40"/>
              <w:rPr>
                <w:noProof/>
                <w:sz w:val="22"/>
              </w:rPr>
            </w:pPr>
            <w:r w:rsidRPr="00DC67EB">
              <w:rPr>
                <w:noProof/>
                <w:sz w:val="22"/>
              </w:rPr>
              <w:t>10</w:t>
            </w:r>
          </w:p>
        </w:tc>
        <w:tc>
          <w:tcPr>
            <w:tcW w:w="1278" w:type="dxa"/>
            <w:gridSpan w:val="2"/>
            <w:tcMar>
              <w:left w:w="28" w:type="dxa"/>
              <w:right w:w="28" w:type="dxa"/>
            </w:tcMar>
          </w:tcPr>
          <w:p w14:paraId="1B8AEB05" w14:textId="77777777" w:rsidR="00FA31A1" w:rsidRPr="00DC67EB" w:rsidRDefault="00FA31A1" w:rsidP="00FA31A1">
            <w:pPr>
              <w:keepNext/>
              <w:spacing w:before="40" w:after="40"/>
              <w:rPr>
                <w:noProof/>
                <w:sz w:val="22"/>
              </w:rPr>
            </w:pPr>
            <w:r w:rsidRPr="00DC67EB">
              <w:rPr>
                <w:noProof/>
                <w:sz w:val="22"/>
              </w:rPr>
              <w:t>nem alkalmazható</w:t>
            </w:r>
          </w:p>
        </w:tc>
        <w:tc>
          <w:tcPr>
            <w:tcW w:w="1277" w:type="dxa"/>
            <w:gridSpan w:val="2"/>
            <w:tcMar>
              <w:left w:w="28" w:type="dxa"/>
              <w:right w:w="28" w:type="dxa"/>
            </w:tcMar>
          </w:tcPr>
          <w:p w14:paraId="3B66DA4F" w14:textId="77777777" w:rsidR="00FA31A1" w:rsidRPr="00DC67EB" w:rsidRDefault="00FA31A1" w:rsidP="00FA31A1">
            <w:pPr>
              <w:keepNext/>
              <w:spacing w:before="40" w:after="40"/>
              <w:rPr>
                <w:noProof/>
                <w:sz w:val="22"/>
              </w:rPr>
            </w:pPr>
            <w:r w:rsidRPr="00DC67EB">
              <w:rPr>
                <w:noProof/>
                <w:sz w:val="22"/>
              </w:rPr>
              <w:t>nem alkalmazható</w:t>
            </w:r>
          </w:p>
        </w:tc>
        <w:tc>
          <w:tcPr>
            <w:tcW w:w="1136" w:type="dxa"/>
            <w:gridSpan w:val="2"/>
            <w:tcMar>
              <w:left w:w="28" w:type="dxa"/>
              <w:right w:w="28" w:type="dxa"/>
            </w:tcMar>
          </w:tcPr>
          <w:p w14:paraId="73D1EB14" w14:textId="77777777" w:rsidR="00FA31A1" w:rsidRPr="00DC67EB" w:rsidRDefault="00FA31A1" w:rsidP="00FA31A1">
            <w:pPr>
              <w:keepNext/>
              <w:spacing w:before="40" w:after="40"/>
              <w:rPr>
                <w:noProof/>
                <w:sz w:val="22"/>
              </w:rPr>
            </w:pPr>
          </w:p>
        </w:tc>
        <w:tc>
          <w:tcPr>
            <w:tcW w:w="1262" w:type="dxa"/>
            <w:tcMar>
              <w:left w:w="28" w:type="dxa"/>
              <w:right w:w="28" w:type="dxa"/>
            </w:tcMar>
          </w:tcPr>
          <w:p w14:paraId="57344B0F" w14:textId="77777777" w:rsidR="00FA31A1" w:rsidRPr="00DC67EB" w:rsidRDefault="00FA31A1" w:rsidP="00FA31A1">
            <w:pPr>
              <w:keepNext/>
              <w:spacing w:before="40" w:after="40"/>
              <w:rPr>
                <w:noProof/>
                <w:sz w:val="22"/>
              </w:rPr>
            </w:pPr>
            <w:r w:rsidRPr="00DC67EB">
              <w:rPr>
                <w:noProof/>
                <w:sz w:val="22"/>
              </w:rPr>
              <w:t>X</w:t>
            </w:r>
          </w:p>
        </w:tc>
        <w:tc>
          <w:tcPr>
            <w:tcW w:w="1153" w:type="dxa"/>
            <w:gridSpan w:val="2"/>
            <w:tcMar>
              <w:left w:w="28" w:type="dxa"/>
              <w:right w:w="28" w:type="dxa"/>
            </w:tcMar>
          </w:tcPr>
          <w:p w14:paraId="0C3074C4" w14:textId="77777777" w:rsidR="00FA31A1" w:rsidRPr="00DC67EB" w:rsidRDefault="00FA31A1" w:rsidP="00FA31A1">
            <w:pPr>
              <w:keepNext/>
              <w:spacing w:before="40" w:after="40"/>
              <w:rPr>
                <w:noProof/>
                <w:sz w:val="22"/>
              </w:rPr>
            </w:pPr>
          </w:p>
        </w:tc>
        <w:tc>
          <w:tcPr>
            <w:tcW w:w="970" w:type="dxa"/>
            <w:tcMar>
              <w:left w:w="28" w:type="dxa"/>
              <w:right w:w="28" w:type="dxa"/>
            </w:tcMar>
          </w:tcPr>
          <w:p w14:paraId="39FC2F69" w14:textId="77777777" w:rsidR="00FA31A1" w:rsidRPr="00DC67EB" w:rsidRDefault="00FA31A1" w:rsidP="00FA31A1">
            <w:pPr>
              <w:keepNext/>
              <w:spacing w:before="40" w:after="40"/>
              <w:rPr>
                <w:noProof/>
                <w:sz w:val="22"/>
              </w:rPr>
            </w:pPr>
          </w:p>
        </w:tc>
      </w:tr>
      <w:tr w:rsidR="00DC67EB" w:rsidRPr="00DC67EB" w14:paraId="7F21BB9F" w14:textId="77777777" w:rsidTr="00FA31A1">
        <w:trPr>
          <w:gridBefore w:val="1"/>
          <w:wBefore w:w="12" w:type="dxa"/>
          <w:cantSplit/>
          <w:tblHeader/>
          <w:jc w:val="center"/>
        </w:trPr>
        <w:tc>
          <w:tcPr>
            <w:tcW w:w="651" w:type="dxa"/>
            <w:gridSpan w:val="3"/>
            <w:tcMar>
              <w:left w:w="28" w:type="dxa"/>
              <w:right w:w="28" w:type="dxa"/>
            </w:tcMar>
          </w:tcPr>
          <w:p w14:paraId="7A5DD218" w14:textId="77777777" w:rsidR="00FA31A1" w:rsidRPr="00DC67EB" w:rsidRDefault="00FA31A1" w:rsidP="00FA31A1">
            <w:pPr>
              <w:spacing w:before="40" w:after="40"/>
              <w:rPr>
                <w:noProof/>
                <w:sz w:val="22"/>
              </w:rPr>
            </w:pPr>
            <w:r w:rsidRPr="00DC67EB">
              <w:rPr>
                <w:noProof/>
                <w:sz w:val="22"/>
              </w:rPr>
              <w:t>30.</w:t>
            </w:r>
          </w:p>
        </w:tc>
        <w:tc>
          <w:tcPr>
            <w:tcW w:w="2286" w:type="dxa"/>
            <w:gridSpan w:val="3"/>
            <w:tcMar>
              <w:left w:w="28" w:type="dxa"/>
              <w:right w:w="28" w:type="dxa"/>
            </w:tcMar>
          </w:tcPr>
          <w:p w14:paraId="7C51D954" w14:textId="77777777" w:rsidR="00FA31A1" w:rsidRPr="00DC67EB" w:rsidRDefault="00FA31A1" w:rsidP="00FA31A1">
            <w:pPr>
              <w:spacing w:before="40" w:after="40"/>
              <w:rPr>
                <w:noProof/>
                <w:sz w:val="22"/>
              </w:rPr>
            </w:pPr>
            <w:r w:rsidRPr="00DC67EB">
              <w:rPr>
                <w:noProof/>
                <w:sz w:val="22"/>
              </w:rPr>
              <w:t>Tributil-ón vegyületek (</w:t>
            </w:r>
            <w:r w:rsidRPr="00DC67EB">
              <w:rPr>
                <w:noProof/>
                <w:sz w:val="22"/>
                <w:vertAlign w:val="superscript"/>
              </w:rPr>
              <w:t>18</w:t>
            </w:r>
            <w:r w:rsidRPr="00DC67EB">
              <w:rPr>
                <w:noProof/>
                <w:sz w:val="22"/>
              </w:rPr>
              <w:t>) (</w:t>
            </w:r>
            <w:bookmarkStart w:id="35" w:name="_DV_C351"/>
            <w:r w:rsidRPr="00DC67EB">
              <w:rPr>
                <w:rStyle w:val="DeltaViewInsertion"/>
                <w:noProof/>
                <w:sz w:val="22"/>
              </w:rPr>
              <w:t>tributil-ón</w:t>
            </w:r>
            <w:bookmarkStart w:id="36" w:name="_DV_M307"/>
            <w:bookmarkEnd w:id="35"/>
            <w:bookmarkEnd w:id="36"/>
            <w:r w:rsidRPr="00DC67EB">
              <w:rPr>
                <w:noProof/>
                <w:sz w:val="22"/>
              </w:rPr>
              <w:t>-kation)</w:t>
            </w:r>
          </w:p>
        </w:tc>
        <w:tc>
          <w:tcPr>
            <w:tcW w:w="1329" w:type="dxa"/>
            <w:gridSpan w:val="3"/>
            <w:tcMar>
              <w:left w:w="28" w:type="dxa"/>
              <w:right w:w="28" w:type="dxa"/>
            </w:tcMar>
          </w:tcPr>
          <w:p w14:paraId="6B0B5A08" w14:textId="77777777" w:rsidR="00FA31A1" w:rsidRPr="00DC67EB" w:rsidRDefault="00FA31A1" w:rsidP="00FA31A1">
            <w:pPr>
              <w:spacing w:before="40" w:after="40"/>
              <w:rPr>
                <w:noProof/>
                <w:sz w:val="22"/>
              </w:rPr>
            </w:pPr>
            <w:r w:rsidRPr="00DC67EB">
              <w:rPr>
                <w:noProof/>
                <w:sz w:val="22"/>
              </w:rPr>
              <w:t>Biocidok</w:t>
            </w:r>
          </w:p>
        </w:tc>
        <w:tc>
          <w:tcPr>
            <w:tcW w:w="992" w:type="dxa"/>
            <w:gridSpan w:val="2"/>
            <w:tcMar>
              <w:left w:w="28" w:type="dxa"/>
              <w:right w:w="28" w:type="dxa"/>
            </w:tcMar>
          </w:tcPr>
          <w:p w14:paraId="2D89E21D" w14:textId="77777777" w:rsidR="00FA31A1" w:rsidRPr="00DC67EB" w:rsidRDefault="00FA31A1" w:rsidP="00FA31A1">
            <w:pPr>
              <w:spacing w:before="40" w:after="40"/>
              <w:rPr>
                <w:noProof/>
                <w:sz w:val="22"/>
              </w:rPr>
            </w:pPr>
            <w:r w:rsidRPr="00DC67EB">
              <w:rPr>
                <w:noProof/>
                <w:sz w:val="22"/>
              </w:rPr>
              <w:t>36643-28-4</w:t>
            </w:r>
          </w:p>
        </w:tc>
        <w:tc>
          <w:tcPr>
            <w:tcW w:w="1134" w:type="dxa"/>
          </w:tcPr>
          <w:p w14:paraId="1DB43A18" w14:textId="77777777" w:rsidR="00FA31A1" w:rsidRPr="00DC67EB" w:rsidRDefault="00FA31A1" w:rsidP="00FA31A1">
            <w:pPr>
              <w:spacing w:before="40" w:after="40"/>
              <w:rPr>
                <w:noProof/>
                <w:sz w:val="22"/>
              </w:rPr>
            </w:pPr>
            <w:r w:rsidRPr="00DC67EB">
              <w:rPr>
                <w:noProof/>
                <w:sz w:val="22"/>
              </w:rPr>
              <w:t>nem alkalmazható</w:t>
            </w:r>
          </w:p>
        </w:tc>
        <w:tc>
          <w:tcPr>
            <w:tcW w:w="1279" w:type="dxa"/>
            <w:gridSpan w:val="2"/>
            <w:tcMar>
              <w:left w:w="28" w:type="dxa"/>
              <w:right w:w="28" w:type="dxa"/>
            </w:tcMar>
          </w:tcPr>
          <w:p w14:paraId="2625701B" w14:textId="77777777" w:rsidR="00FA31A1" w:rsidRPr="00DC67EB" w:rsidRDefault="00FA31A1" w:rsidP="00FA31A1">
            <w:pPr>
              <w:spacing w:before="40" w:after="40"/>
              <w:rPr>
                <w:noProof/>
                <w:sz w:val="22"/>
              </w:rPr>
            </w:pPr>
            <w:r w:rsidRPr="00DC67EB">
              <w:rPr>
                <w:noProof/>
                <w:sz w:val="22"/>
              </w:rPr>
              <w:t>0,0002</w:t>
            </w:r>
          </w:p>
        </w:tc>
        <w:tc>
          <w:tcPr>
            <w:tcW w:w="1279" w:type="dxa"/>
            <w:gridSpan w:val="2"/>
            <w:tcMar>
              <w:left w:w="28" w:type="dxa"/>
              <w:right w:w="28" w:type="dxa"/>
            </w:tcMar>
          </w:tcPr>
          <w:p w14:paraId="054A76EE" w14:textId="77777777" w:rsidR="00FA31A1" w:rsidRPr="00DC67EB" w:rsidRDefault="00FA31A1" w:rsidP="00FA31A1">
            <w:pPr>
              <w:spacing w:before="40" w:after="40"/>
              <w:rPr>
                <w:noProof/>
                <w:sz w:val="22"/>
              </w:rPr>
            </w:pPr>
            <w:r w:rsidRPr="00DC67EB">
              <w:rPr>
                <w:noProof/>
                <w:sz w:val="22"/>
              </w:rPr>
              <w:t>0,0002</w:t>
            </w:r>
          </w:p>
        </w:tc>
        <w:tc>
          <w:tcPr>
            <w:tcW w:w="1278" w:type="dxa"/>
            <w:gridSpan w:val="2"/>
            <w:tcMar>
              <w:left w:w="28" w:type="dxa"/>
              <w:right w:w="28" w:type="dxa"/>
            </w:tcMar>
          </w:tcPr>
          <w:p w14:paraId="14C14801" w14:textId="77777777" w:rsidR="00FA31A1" w:rsidRPr="00DC67EB" w:rsidRDefault="00FA31A1" w:rsidP="00FA31A1">
            <w:pPr>
              <w:spacing w:before="40" w:after="40"/>
              <w:rPr>
                <w:noProof/>
                <w:sz w:val="22"/>
              </w:rPr>
            </w:pPr>
            <w:r w:rsidRPr="00DC67EB">
              <w:rPr>
                <w:noProof/>
                <w:sz w:val="22"/>
              </w:rPr>
              <w:t>0,0015</w:t>
            </w:r>
          </w:p>
        </w:tc>
        <w:tc>
          <w:tcPr>
            <w:tcW w:w="1277" w:type="dxa"/>
            <w:gridSpan w:val="2"/>
            <w:tcMar>
              <w:left w:w="28" w:type="dxa"/>
              <w:right w:w="28" w:type="dxa"/>
            </w:tcMar>
          </w:tcPr>
          <w:p w14:paraId="55F40309" w14:textId="77777777" w:rsidR="00FA31A1" w:rsidRPr="00DC67EB" w:rsidRDefault="00FA31A1" w:rsidP="00FA31A1">
            <w:pPr>
              <w:spacing w:before="40" w:after="40"/>
              <w:rPr>
                <w:noProof/>
                <w:sz w:val="22"/>
              </w:rPr>
            </w:pPr>
            <w:r w:rsidRPr="00DC67EB">
              <w:rPr>
                <w:noProof/>
                <w:sz w:val="22"/>
              </w:rPr>
              <w:t>0,0015</w:t>
            </w:r>
          </w:p>
        </w:tc>
        <w:tc>
          <w:tcPr>
            <w:tcW w:w="1136" w:type="dxa"/>
            <w:gridSpan w:val="2"/>
            <w:tcMar>
              <w:left w:w="28" w:type="dxa"/>
              <w:right w:w="28" w:type="dxa"/>
            </w:tcMar>
          </w:tcPr>
          <w:p w14:paraId="0D2564B6" w14:textId="77777777" w:rsidR="00FA31A1" w:rsidRPr="00DC67EB" w:rsidRDefault="00FA31A1" w:rsidP="00FA31A1">
            <w:pPr>
              <w:spacing w:before="40" w:after="40"/>
              <w:rPr>
                <w:noProof/>
                <w:sz w:val="22"/>
              </w:rPr>
            </w:pPr>
            <w:r w:rsidRPr="00DC67EB">
              <w:rPr>
                <w:noProof/>
                <w:sz w:val="22"/>
              </w:rPr>
              <w:t>[1,3] (</w:t>
            </w:r>
            <w:r w:rsidRPr="00DC67EB">
              <w:rPr>
                <w:noProof/>
                <w:sz w:val="22"/>
                <w:vertAlign w:val="superscript"/>
              </w:rPr>
              <w:t>19</w:t>
            </w:r>
            <w:r w:rsidRPr="00DC67EB">
              <w:rPr>
                <w:noProof/>
                <w:sz w:val="22"/>
              </w:rPr>
              <w:t>)</w:t>
            </w:r>
          </w:p>
        </w:tc>
        <w:tc>
          <w:tcPr>
            <w:tcW w:w="1262" w:type="dxa"/>
            <w:tcMar>
              <w:left w:w="28" w:type="dxa"/>
              <w:right w:w="28" w:type="dxa"/>
            </w:tcMar>
          </w:tcPr>
          <w:p w14:paraId="6E9557EE" w14:textId="77777777" w:rsidR="00FA31A1" w:rsidRPr="00DC67EB" w:rsidRDefault="00FA31A1" w:rsidP="00FA31A1">
            <w:pPr>
              <w:spacing w:before="40" w:after="40"/>
              <w:rPr>
                <w:noProof/>
                <w:sz w:val="22"/>
              </w:rPr>
            </w:pPr>
            <w:r w:rsidRPr="00DC67EB">
              <w:rPr>
                <w:noProof/>
                <w:sz w:val="22"/>
              </w:rPr>
              <w:t xml:space="preserve">X </w:t>
            </w:r>
          </w:p>
        </w:tc>
        <w:tc>
          <w:tcPr>
            <w:tcW w:w="1153" w:type="dxa"/>
            <w:gridSpan w:val="2"/>
            <w:tcMar>
              <w:left w:w="28" w:type="dxa"/>
              <w:right w:w="28" w:type="dxa"/>
            </w:tcMar>
          </w:tcPr>
          <w:p w14:paraId="725B400A" w14:textId="77777777" w:rsidR="00FA31A1" w:rsidRPr="00DC67EB" w:rsidRDefault="00FA31A1" w:rsidP="00FA31A1">
            <w:pPr>
              <w:spacing w:before="40" w:after="40"/>
              <w:rPr>
                <w:noProof/>
                <w:sz w:val="22"/>
              </w:rPr>
            </w:pPr>
            <w:r w:rsidRPr="00DC67EB">
              <w:rPr>
                <w:noProof/>
                <w:sz w:val="22"/>
              </w:rPr>
              <w:t>X</w:t>
            </w:r>
          </w:p>
        </w:tc>
        <w:tc>
          <w:tcPr>
            <w:tcW w:w="970" w:type="dxa"/>
            <w:tcMar>
              <w:left w:w="28" w:type="dxa"/>
              <w:right w:w="28" w:type="dxa"/>
            </w:tcMar>
          </w:tcPr>
          <w:p w14:paraId="31B4C621" w14:textId="77777777" w:rsidR="00FA31A1" w:rsidRPr="00DC67EB" w:rsidRDefault="00FA31A1" w:rsidP="00FA31A1">
            <w:pPr>
              <w:spacing w:before="40" w:after="40"/>
              <w:rPr>
                <w:noProof/>
                <w:sz w:val="22"/>
              </w:rPr>
            </w:pPr>
            <w:r w:rsidRPr="00DC67EB">
              <w:rPr>
                <w:noProof/>
                <w:sz w:val="22"/>
              </w:rPr>
              <w:t>X</w:t>
            </w:r>
          </w:p>
        </w:tc>
      </w:tr>
      <w:tr w:rsidR="00DC67EB" w:rsidRPr="00DC67EB" w14:paraId="15C8D482" w14:textId="77777777" w:rsidTr="00FA31A1">
        <w:trPr>
          <w:gridBefore w:val="1"/>
          <w:wBefore w:w="12" w:type="dxa"/>
          <w:cantSplit/>
          <w:tblHeader/>
          <w:jc w:val="center"/>
        </w:trPr>
        <w:tc>
          <w:tcPr>
            <w:tcW w:w="651" w:type="dxa"/>
            <w:gridSpan w:val="3"/>
            <w:tcMar>
              <w:left w:w="28" w:type="dxa"/>
              <w:right w:w="28" w:type="dxa"/>
            </w:tcMar>
          </w:tcPr>
          <w:p w14:paraId="4C27C895" w14:textId="77777777" w:rsidR="00FA31A1" w:rsidRPr="00DC67EB" w:rsidRDefault="00FA31A1" w:rsidP="00FA31A1">
            <w:pPr>
              <w:spacing w:before="40" w:after="40"/>
              <w:rPr>
                <w:noProof/>
                <w:sz w:val="22"/>
              </w:rPr>
            </w:pPr>
            <w:r w:rsidRPr="00DC67EB">
              <w:rPr>
                <w:noProof/>
                <w:sz w:val="22"/>
              </w:rPr>
              <w:t>31.</w:t>
            </w:r>
          </w:p>
        </w:tc>
        <w:tc>
          <w:tcPr>
            <w:tcW w:w="2286" w:type="dxa"/>
            <w:gridSpan w:val="3"/>
            <w:tcMar>
              <w:left w:w="28" w:type="dxa"/>
              <w:right w:w="28" w:type="dxa"/>
            </w:tcMar>
          </w:tcPr>
          <w:p w14:paraId="2D46E5DB" w14:textId="77777777" w:rsidR="00FA31A1" w:rsidRPr="00DC67EB" w:rsidRDefault="00FA31A1" w:rsidP="00FA31A1">
            <w:pPr>
              <w:spacing w:before="40" w:after="40"/>
              <w:rPr>
                <w:noProof/>
                <w:sz w:val="22"/>
              </w:rPr>
            </w:pPr>
            <w:r w:rsidRPr="00DC67EB">
              <w:rPr>
                <w:noProof/>
                <w:sz w:val="22"/>
              </w:rPr>
              <w:t>Triklór-benzolok</w:t>
            </w:r>
          </w:p>
        </w:tc>
        <w:tc>
          <w:tcPr>
            <w:tcW w:w="1329" w:type="dxa"/>
            <w:gridSpan w:val="3"/>
            <w:tcMar>
              <w:left w:w="28" w:type="dxa"/>
              <w:right w:w="28" w:type="dxa"/>
            </w:tcMar>
          </w:tcPr>
          <w:p w14:paraId="13ECC15A" w14:textId="77777777" w:rsidR="00FA31A1" w:rsidRPr="00DC67EB" w:rsidRDefault="00FA31A1" w:rsidP="00FA31A1">
            <w:pPr>
              <w:spacing w:before="40" w:after="40"/>
              <w:rPr>
                <w:noProof/>
                <w:sz w:val="22"/>
              </w:rPr>
            </w:pPr>
            <w:r w:rsidRPr="00DC67EB">
              <w:rPr>
                <w:noProof/>
                <w:sz w:val="22"/>
              </w:rPr>
              <w:t>Ipari anyagok (oldószerek)</w:t>
            </w:r>
          </w:p>
        </w:tc>
        <w:tc>
          <w:tcPr>
            <w:tcW w:w="992" w:type="dxa"/>
            <w:gridSpan w:val="2"/>
            <w:tcMar>
              <w:left w:w="28" w:type="dxa"/>
              <w:right w:w="28" w:type="dxa"/>
            </w:tcMar>
          </w:tcPr>
          <w:p w14:paraId="7CC25569" w14:textId="77777777" w:rsidR="00FA31A1" w:rsidRPr="00DC67EB" w:rsidRDefault="00FA31A1" w:rsidP="00FA31A1">
            <w:pPr>
              <w:spacing w:before="40" w:after="40"/>
              <w:rPr>
                <w:noProof/>
                <w:sz w:val="22"/>
              </w:rPr>
            </w:pPr>
            <w:r w:rsidRPr="00DC67EB">
              <w:rPr>
                <w:noProof/>
                <w:sz w:val="22"/>
              </w:rPr>
              <w:t>12002-48-1</w:t>
            </w:r>
          </w:p>
        </w:tc>
        <w:tc>
          <w:tcPr>
            <w:tcW w:w="1134" w:type="dxa"/>
          </w:tcPr>
          <w:p w14:paraId="4653946E" w14:textId="77777777" w:rsidR="00FA31A1" w:rsidRPr="00DC67EB" w:rsidRDefault="00FA31A1" w:rsidP="00FA31A1">
            <w:pPr>
              <w:spacing w:before="40" w:after="40"/>
              <w:rPr>
                <w:noProof/>
                <w:sz w:val="22"/>
              </w:rPr>
            </w:pPr>
            <w:r w:rsidRPr="00DC67EB">
              <w:rPr>
                <w:noProof/>
                <w:sz w:val="22"/>
              </w:rPr>
              <w:t>234-413-4</w:t>
            </w:r>
          </w:p>
        </w:tc>
        <w:tc>
          <w:tcPr>
            <w:tcW w:w="1279" w:type="dxa"/>
            <w:gridSpan w:val="2"/>
            <w:tcMar>
              <w:left w:w="28" w:type="dxa"/>
              <w:right w:w="28" w:type="dxa"/>
            </w:tcMar>
          </w:tcPr>
          <w:p w14:paraId="0F722066" w14:textId="77777777" w:rsidR="00FA31A1" w:rsidRPr="00DC67EB" w:rsidRDefault="00FA31A1" w:rsidP="00FA31A1">
            <w:pPr>
              <w:spacing w:before="40" w:after="40"/>
              <w:rPr>
                <w:noProof/>
                <w:sz w:val="22"/>
              </w:rPr>
            </w:pPr>
            <w:r w:rsidRPr="00DC67EB">
              <w:rPr>
                <w:noProof/>
                <w:sz w:val="22"/>
              </w:rPr>
              <w:t xml:space="preserve">0,4 </w:t>
            </w:r>
          </w:p>
        </w:tc>
        <w:tc>
          <w:tcPr>
            <w:tcW w:w="1279" w:type="dxa"/>
            <w:gridSpan w:val="2"/>
            <w:tcMar>
              <w:left w:w="28" w:type="dxa"/>
              <w:right w:w="28" w:type="dxa"/>
            </w:tcMar>
          </w:tcPr>
          <w:p w14:paraId="285193C4" w14:textId="77777777" w:rsidR="00FA31A1" w:rsidRPr="00DC67EB" w:rsidRDefault="00FA31A1" w:rsidP="00FA31A1">
            <w:pPr>
              <w:spacing w:before="40" w:after="40"/>
              <w:rPr>
                <w:noProof/>
                <w:sz w:val="22"/>
              </w:rPr>
            </w:pPr>
            <w:r w:rsidRPr="00DC67EB">
              <w:rPr>
                <w:noProof/>
                <w:sz w:val="22"/>
              </w:rPr>
              <w:t>0,4</w:t>
            </w:r>
          </w:p>
        </w:tc>
        <w:tc>
          <w:tcPr>
            <w:tcW w:w="1278" w:type="dxa"/>
            <w:gridSpan w:val="2"/>
            <w:tcMar>
              <w:left w:w="28" w:type="dxa"/>
              <w:right w:w="28" w:type="dxa"/>
            </w:tcMar>
          </w:tcPr>
          <w:p w14:paraId="5C9E8E35" w14:textId="77777777" w:rsidR="00FA31A1" w:rsidRPr="00DC67EB" w:rsidRDefault="00FA31A1" w:rsidP="00FA31A1">
            <w:pPr>
              <w:spacing w:before="40" w:after="40"/>
              <w:rPr>
                <w:noProof/>
                <w:sz w:val="22"/>
              </w:rPr>
            </w:pPr>
            <w:r w:rsidRPr="00DC67EB">
              <w:rPr>
                <w:noProof/>
                <w:sz w:val="22"/>
              </w:rPr>
              <w:t>nem alkalmazható</w:t>
            </w:r>
          </w:p>
        </w:tc>
        <w:tc>
          <w:tcPr>
            <w:tcW w:w="1277" w:type="dxa"/>
            <w:gridSpan w:val="2"/>
            <w:tcMar>
              <w:left w:w="28" w:type="dxa"/>
              <w:right w:w="28" w:type="dxa"/>
            </w:tcMar>
          </w:tcPr>
          <w:p w14:paraId="49C27672" w14:textId="77777777" w:rsidR="00FA31A1" w:rsidRPr="00DC67EB" w:rsidRDefault="00FA31A1" w:rsidP="00FA31A1">
            <w:pPr>
              <w:spacing w:before="40" w:after="40"/>
              <w:rPr>
                <w:noProof/>
                <w:sz w:val="22"/>
              </w:rPr>
            </w:pPr>
            <w:r w:rsidRPr="00DC67EB">
              <w:rPr>
                <w:noProof/>
                <w:sz w:val="22"/>
              </w:rPr>
              <w:t>nem alkalmazható</w:t>
            </w:r>
          </w:p>
        </w:tc>
        <w:tc>
          <w:tcPr>
            <w:tcW w:w="1136" w:type="dxa"/>
            <w:gridSpan w:val="2"/>
            <w:tcMar>
              <w:left w:w="28" w:type="dxa"/>
              <w:right w:w="28" w:type="dxa"/>
            </w:tcMar>
          </w:tcPr>
          <w:p w14:paraId="4446E288" w14:textId="77777777" w:rsidR="00FA31A1" w:rsidRPr="00DC67EB" w:rsidRDefault="00FA31A1" w:rsidP="00FA31A1">
            <w:pPr>
              <w:spacing w:before="40" w:after="40"/>
              <w:rPr>
                <w:noProof/>
                <w:sz w:val="22"/>
              </w:rPr>
            </w:pPr>
          </w:p>
        </w:tc>
        <w:tc>
          <w:tcPr>
            <w:tcW w:w="1262" w:type="dxa"/>
            <w:tcMar>
              <w:left w:w="28" w:type="dxa"/>
              <w:right w:w="28" w:type="dxa"/>
            </w:tcMar>
          </w:tcPr>
          <w:p w14:paraId="6E6D638E" w14:textId="77777777" w:rsidR="00FA31A1" w:rsidRPr="00DC67EB" w:rsidRDefault="00FA31A1" w:rsidP="00FA31A1">
            <w:pPr>
              <w:spacing w:before="40" w:after="40"/>
              <w:rPr>
                <w:noProof/>
                <w:sz w:val="22"/>
              </w:rPr>
            </w:pPr>
          </w:p>
        </w:tc>
        <w:tc>
          <w:tcPr>
            <w:tcW w:w="1153" w:type="dxa"/>
            <w:gridSpan w:val="2"/>
            <w:tcMar>
              <w:left w:w="28" w:type="dxa"/>
              <w:right w:w="28" w:type="dxa"/>
            </w:tcMar>
          </w:tcPr>
          <w:p w14:paraId="75912ADB" w14:textId="77777777" w:rsidR="00FA31A1" w:rsidRPr="00DC67EB" w:rsidRDefault="00FA31A1" w:rsidP="00FA31A1">
            <w:pPr>
              <w:spacing w:before="40" w:after="40"/>
              <w:rPr>
                <w:noProof/>
                <w:sz w:val="22"/>
              </w:rPr>
            </w:pPr>
          </w:p>
        </w:tc>
        <w:tc>
          <w:tcPr>
            <w:tcW w:w="970" w:type="dxa"/>
            <w:tcMar>
              <w:left w:w="28" w:type="dxa"/>
              <w:right w:w="28" w:type="dxa"/>
            </w:tcMar>
          </w:tcPr>
          <w:p w14:paraId="5D25FF87" w14:textId="77777777" w:rsidR="00FA31A1" w:rsidRPr="00DC67EB" w:rsidRDefault="00FA31A1" w:rsidP="00FA31A1">
            <w:pPr>
              <w:spacing w:before="40" w:after="40"/>
              <w:rPr>
                <w:noProof/>
                <w:sz w:val="22"/>
              </w:rPr>
            </w:pPr>
          </w:p>
        </w:tc>
      </w:tr>
      <w:tr w:rsidR="00DC67EB" w:rsidRPr="00DC67EB" w14:paraId="0B8C3605" w14:textId="77777777" w:rsidTr="00FA31A1">
        <w:trPr>
          <w:gridBefore w:val="1"/>
          <w:wBefore w:w="12" w:type="dxa"/>
          <w:cantSplit/>
          <w:tblHeader/>
          <w:jc w:val="center"/>
        </w:trPr>
        <w:tc>
          <w:tcPr>
            <w:tcW w:w="651" w:type="dxa"/>
            <w:gridSpan w:val="3"/>
            <w:tcMar>
              <w:left w:w="28" w:type="dxa"/>
              <w:right w:w="28" w:type="dxa"/>
            </w:tcMar>
          </w:tcPr>
          <w:p w14:paraId="548D395F" w14:textId="77777777" w:rsidR="00FA31A1" w:rsidRPr="00DC67EB" w:rsidRDefault="00FA31A1" w:rsidP="00FA31A1">
            <w:pPr>
              <w:spacing w:before="40" w:after="40"/>
              <w:rPr>
                <w:noProof/>
                <w:sz w:val="22"/>
              </w:rPr>
            </w:pPr>
            <w:r w:rsidRPr="00DC67EB">
              <w:rPr>
                <w:noProof/>
                <w:sz w:val="22"/>
              </w:rPr>
              <w:t>32.</w:t>
            </w:r>
          </w:p>
        </w:tc>
        <w:tc>
          <w:tcPr>
            <w:tcW w:w="2286" w:type="dxa"/>
            <w:gridSpan w:val="3"/>
            <w:tcMar>
              <w:left w:w="28" w:type="dxa"/>
              <w:right w:w="28" w:type="dxa"/>
            </w:tcMar>
          </w:tcPr>
          <w:p w14:paraId="48DEC98D" w14:textId="77777777" w:rsidR="00FA31A1" w:rsidRPr="00DC67EB" w:rsidRDefault="00FA31A1" w:rsidP="00FA31A1">
            <w:pPr>
              <w:spacing w:before="40" w:after="40"/>
              <w:rPr>
                <w:noProof/>
                <w:sz w:val="22"/>
              </w:rPr>
            </w:pPr>
            <w:r w:rsidRPr="00DC67EB">
              <w:rPr>
                <w:noProof/>
                <w:sz w:val="22"/>
              </w:rPr>
              <w:t>Triklór-metán</w:t>
            </w:r>
          </w:p>
        </w:tc>
        <w:tc>
          <w:tcPr>
            <w:tcW w:w="1329" w:type="dxa"/>
            <w:gridSpan w:val="3"/>
            <w:tcMar>
              <w:left w:w="28" w:type="dxa"/>
              <w:right w:w="28" w:type="dxa"/>
            </w:tcMar>
          </w:tcPr>
          <w:p w14:paraId="25E71079" w14:textId="77777777" w:rsidR="00FA31A1" w:rsidRPr="00DC67EB" w:rsidRDefault="00FA31A1" w:rsidP="00FA31A1">
            <w:pPr>
              <w:spacing w:before="40" w:after="40"/>
              <w:rPr>
                <w:noProof/>
                <w:sz w:val="22"/>
              </w:rPr>
            </w:pPr>
            <w:r w:rsidRPr="00DC67EB">
              <w:rPr>
                <w:noProof/>
                <w:sz w:val="22"/>
              </w:rPr>
              <w:t>Ipari anyagok</w:t>
            </w:r>
          </w:p>
        </w:tc>
        <w:tc>
          <w:tcPr>
            <w:tcW w:w="992" w:type="dxa"/>
            <w:gridSpan w:val="2"/>
            <w:tcMar>
              <w:left w:w="28" w:type="dxa"/>
              <w:right w:w="28" w:type="dxa"/>
            </w:tcMar>
          </w:tcPr>
          <w:p w14:paraId="2C6FBB2A" w14:textId="77777777" w:rsidR="00FA31A1" w:rsidRPr="00DC67EB" w:rsidRDefault="00FA31A1" w:rsidP="00FA31A1">
            <w:pPr>
              <w:spacing w:before="40" w:after="40"/>
              <w:rPr>
                <w:noProof/>
                <w:sz w:val="22"/>
              </w:rPr>
            </w:pPr>
            <w:r w:rsidRPr="00DC67EB">
              <w:rPr>
                <w:noProof/>
                <w:sz w:val="22"/>
              </w:rPr>
              <w:t>67-66-3</w:t>
            </w:r>
          </w:p>
        </w:tc>
        <w:tc>
          <w:tcPr>
            <w:tcW w:w="1134" w:type="dxa"/>
          </w:tcPr>
          <w:p w14:paraId="556BFF7E" w14:textId="77777777" w:rsidR="00FA31A1" w:rsidRPr="00DC67EB" w:rsidRDefault="00FA31A1" w:rsidP="00FA31A1">
            <w:pPr>
              <w:spacing w:before="40" w:after="40"/>
              <w:rPr>
                <w:noProof/>
                <w:sz w:val="22"/>
              </w:rPr>
            </w:pPr>
            <w:r w:rsidRPr="00DC67EB">
              <w:rPr>
                <w:noProof/>
                <w:sz w:val="22"/>
              </w:rPr>
              <w:t>200-663-8</w:t>
            </w:r>
          </w:p>
        </w:tc>
        <w:tc>
          <w:tcPr>
            <w:tcW w:w="1279" w:type="dxa"/>
            <w:gridSpan w:val="2"/>
            <w:tcMar>
              <w:left w:w="28" w:type="dxa"/>
              <w:right w:w="28" w:type="dxa"/>
            </w:tcMar>
          </w:tcPr>
          <w:p w14:paraId="2B355852" w14:textId="77777777" w:rsidR="00FA31A1" w:rsidRPr="00DC67EB" w:rsidRDefault="00FA31A1" w:rsidP="00FA31A1">
            <w:pPr>
              <w:spacing w:before="40" w:after="40"/>
              <w:rPr>
                <w:noProof/>
                <w:sz w:val="22"/>
              </w:rPr>
            </w:pPr>
            <w:r w:rsidRPr="00DC67EB">
              <w:rPr>
                <w:noProof/>
                <w:sz w:val="22"/>
              </w:rPr>
              <w:t xml:space="preserve">2,5 </w:t>
            </w:r>
          </w:p>
        </w:tc>
        <w:tc>
          <w:tcPr>
            <w:tcW w:w="1279" w:type="dxa"/>
            <w:gridSpan w:val="2"/>
            <w:tcMar>
              <w:left w:w="28" w:type="dxa"/>
              <w:right w:w="28" w:type="dxa"/>
            </w:tcMar>
          </w:tcPr>
          <w:p w14:paraId="388A0992" w14:textId="77777777" w:rsidR="00FA31A1" w:rsidRPr="00DC67EB" w:rsidRDefault="00FA31A1" w:rsidP="00FA31A1">
            <w:pPr>
              <w:spacing w:before="40" w:after="40"/>
              <w:rPr>
                <w:noProof/>
                <w:sz w:val="22"/>
              </w:rPr>
            </w:pPr>
            <w:r w:rsidRPr="00DC67EB">
              <w:rPr>
                <w:noProof/>
                <w:sz w:val="22"/>
              </w:rPr>
              <w:t xml:space="preserve">2,5 </w:t>
            </w:r>
          </w:p>
        </w:tc>
        <w:tc>
          <w:tcPr>
            <w:tcW w:w="1278" w:type="dxa"/>
            <w:gridSpan w:val="2"/>
            <w:tcMar>
              <w:left w:w="28" w:type="dxa"/>
              <w:right w:w="28" w:type="dxa"/>
            </w:tcMar>
          </w:tcPr>
          <w:p w14:paraId="229E0054" w14:textId="77777777" w:rsidR="00FA31A1" w:rsidRPr="00DC67EB" w:rsidRDefault="00FA31A1" w:rsidP="00FA31A1">
            <w:pPr>
              <w:spacing w:before="40" w:after="40"/>
              <w:rPr>
                <w:noProof/>
                <w:sz w:val="22"/>
              </w:rPr>
            </w:pPr>
            <w:r w:rsidRPr="00DC67EB">
              <w:rPr>
                <w:noProof/>
                <w:sz w:val="22"/>
              </w:rPr>
              <w:t>nem alkalmazható</w:t>
            </w:r>
          </w:p>
        </w:tc>
        <w:tc>
          <w:tcPr>
            <w:tcW w:w="1277" w:type="dxa"/>
            <w:gridSpan w:val="2"/>
            <w:tcMar>
              <w:left w:w="28" w:type="dxa"/>
              <w:right w:w="28" w:type="dxa"/>
            </w:tcMar>
          </w:tcPr>
          <w:p w14:paraId="227F6BA3" w14:textId="77777777" w:rsidR="00FA31A1" w:rsidRPr="00DC67EB" w:rsidRDefault="00FA31A1" w:rsidP="00FA31A1">
            <w:pPr>
              <w:spacing w:before="40" w:after="40"/>
              <w:rPr>
                <w:noProof/>
                <w:sz w:val="22"/>
              </w:rPr>
            </w:pPr>
            <w:r w:rsidRPr="00DC67EB">
              <w:rPr>
                <w:noProof/>
                <w:sz w:val="22"/>
              </w:rPr>
              <w:t>nem alkalmazható</w:t>
            </w:r>
          </w:p>
        </w:tc>
        <w:tc>
          <w:tcPr>
            <w:tcW w:w="1136" w:type="dxa"/>
            <w:gridSpan w:val="2"/>
            <w:tcMar>
              <w:left w:w="28" w:type="dxa"/>
              <w:right w:w="28" w:type="dxa"/>
            </w:tcMar>
          </w:tcPr>
          <w:p w14:paraId="0D510CE2" w14:textId="77777777" w:rsidR="00FA31A1" w:rsidRPr="00DC67EB" w:rsidRDefault="00FA31A1" w:rsidP="00FA31A1">
            <w:pPr>
              <w:spacing w:before="40" w:after="40"/>
              <w:rPr>
                <w:noProof/>
                <w:sz w:val="22"/>
              </w:rPr>
            </w:pPr>
          </w:p>
        </w:tc>
        <w:tc>
          <w:tcPr>
            <w:tcW w:w="1262" w:type="dxa"/>
            <w:tcMar>
              <w:left w:w="28" w:type="dxa"/>
              <w:right w:w="28" w:type="dxa"/>
            </w:tcMar>
          </w:tcPr>
          <w:p w14:paraId="7967E435" w14:textId="77777777" w:rsidR="00FA31A1" w:rsidRPr="00DC67EB" w:rsidRDefault="00FA31A1" w:rsidP="00FA31A1">
            <w:pPr>
              <w:spacing w:before="40" w:after="40"/>
              <w:rPr>
                <w:noProof/>
                <w:sz w:val="22"/>
              </w:rPr>
            </w:pPr>
          </w:p>
        </w:tc>
        <w:tc>
          <w:tcPr>
            <w:tcW w:w="1153" w:type="dxa"/>
            <w:gridSpan w:val="2"/>
            <w:tcMar>
              <w:left w:w="28" w:type="dxa"/>
              <w:right w:w="28" w:type="dxa"/>
            </w:tcMar>
          </w:tcPr>
          <w:p w14:paraId="21AAC89B" w14:textId="77777777" w:rsidR="00FA31A1" w:rsidRPr="00DC67EB" w:rsidRDefault="00FA31A1" w:rsidP="00FA31A1">
            <w:pPr>
              <w:spacing w:before="40" w:after="40"/>
              <w:rPr>
                <w:noProof/>
                <w:sz w:val="22"/>
              </w:rPr>
            </w:pPr>
          </w:p>
        </w:tc>
        <w:tc>
          <w:tcPr>
            <w:tcW w:w="970" w:type="dxa"/>
            <w:tcMar>
              <w:left w:w="28" w:type="dxa"/>
              <w:right w:w="28" w:type="dxa"/>
            </w:tcMar>
          </w:tcPr>
          <w:p w14:paraId="2FDEA5D2" w14:textId="77777777" w:rsidR="00FA31A1" w:rsidRPr="00DC67EB" w:rsidRDefault="00FA31A1" w:rsidP="00FA31A1">
            <w:pPr>
              <w:spacing w:before="40" w:after="40"/>
              <w:rPr>
                <w:noProof/>
                <w:sz w:val="22"/>
              </w:rPr>
            </w:pPr>
          </w:p>
        </w:tc>
      </w:tr>
      <w:tr w:rsidR="00DC67EB" w:rsidRPr="00DC67EB" w14:paraId="664D2506" w14:textId="77777777" w:rsidTr="00FA31A1">
        <w:trPr>
          <w:gridBefore w:val="1"/>
          <w:wBefore w:w="12" w:type="dxa"/>
          <w:cantSplit/>
          <w:tblHeader/>
          <w:jc w:val="center"/>
        </w:trPr>
        <w:tc>
          <w:tcPr>
            <w:tcW w:w="651" w:type="dxa"/>
            <w:gridSpan w:val="3"/>
            <w:tcMar>
              <w:left w:w="28" w:type="dxa"/>
              <w:right w:w="28" w:type="dxa"/>
            </w:tcMar>
          </w:tcPr>
          <w:p w14:paraId="1D01114B" w14:textId="77777777" w:rsidR="00FA31A1" w:rsidRPr="00DC67EB" w:rsidRDefault="00FA31A1" w:rsidP="00FA31A1">
            <w:pPr>
              <w:spacing w:before="40" w:after="40"/>
              <w:rPr>
                <w:noProof/>
                <w:sz w:val="22"/>
              </w:rPr>
            </w:pPr>
            <w:r w:rsidRPr="00DC67EB">
              <w:rPr>
                <w:noProof/>
                <w:sz w:val="22"/>
              </w:rPr>
              <w:t>33.</w:t>
            </w:r>
          </w:p>
        </w:tc>
        <w:tc>
          <w:tcPr>
            <w:tcW w:w="2286" w:type="dxa"/>
            <w:gridSpan w:val="3"/>
            <w:tcMar>
              <w:left w:w="28" w:type="dxa"/>
              <w:right w:w="28" w:type="dxa"/>
            </w:tcMar>
          </w:tcPr>
          <w:p w14:paraId="4D013BEB" w14:textId="77777777" w:rsidR="00FA31A1" w:rsidRPr="00DC67EB" w:rsidRDefault="00FA31A1" w:rsidP="00FA31A1">
            <w:pPr>
              <w:spacing w:before="40" w:after="40"/>
              <w:rPr>
                <w:noProof/>
                <w:sz w:val="22"/>
              </w:rPr>
            </w:pPr>
            <w:r w:rsidRPr="00DC67EB">
              <w:rPr>
                <w:noProof/>
                <w:sz w:val="22"/>
              </w:rPr>
              <w:t>Trifluralin</w:t>
            </w:r>
          </w:p>
        </w:tc>
        <w:tc>
          <w:tcPr>
            <w:tcW w:w="1329" w:type="dxa"/>
            <w:gridSpan w:val="3"/>
            <w:tcMar>
              <w:left w:w="28" w:type="dxa"/>
              <w:right w:w="28" w:type="dxa"/>
            </w:tcMar>
          </w:tcPr>
          <w:p w14:paraId="43647FC3" w14:textId="77777777" w:rsidR="00FA31A1" w:rsidRPr="00DC67EB" w:rsidRDefault="00FA31A1" w:rsidP="00FA31A1">
            <w:pPr>
              <w:spacing w:before="40" w:after="40"/>
              <w:rPr>
                <w:noProof/>
                <w:sz w:val="22"/>
              </w:rPr>
            </w:pPr>
            <w:r w:rsidRPr="00DC67EB">
              <w:rPr>
                <w:noProof/>
                <w:sz w:val="22"/>
              </w:rPr>
              <w:t>Gyomirtók</w:t>
            </w:r>
          </w:p>
        </w:tc>
        <w:tc>
          <w:tcPr>
            <w:tcW w:w="992" w:type="dxa"/>
            <w:gridSpan w:val="2"/>
            <w:tcMar>
              <w:left w:w="28" w:type="dxa"/>
              <w:right w:w="28" w:type="dxa"/>
            </w:tcMar>
          </w:tcPr>
          <w:p w14:paraId="01862A12" w14:textId="77777777" w:rsidR="00FA31A1" w:rsidRPr="00DC67EB" w:rsidRDefault="00FA31A1" w:rsidP="00FA31A1">
            <w:pPr>
              <w:spacing w:before="40" w:after="40"/>
              <w:rPr>
                <w:noProof/>
                <w:sz w:val="22"/>
              </w:rPr>
            </w:pPr>
            <w:r w:rsidRPr="00DC67EB">
              <w:rPr>
                <w:noProof/>
                <w:sz w:val="22"/>
              </w:rPr>
              <w:t>1582-09-8</w:t>
            </w:r>
          </w:p>
        </w:tc>
        <w:tc>
          <w:tcPr>
            <w:tcW w:w="1134" w:type="dxa"/>
          </w:tcPr>
          <w:p w14:paraId="130899EE" w14:textId="77777777" w:rsidR="00FA31A1" w:rsidRPr="00DC67EB" w:rsidRDefault="00FA31A1" w:rsidP="00FA31A1">
            <w:pPr>
              <w:spacing w:before="40" w:after="40"/>
              <w:rPr>
                <w:noProof/>
                <w:sz w:val="22"/>
              </w:rPr>
            </w:pPr>
            <w:r w:rsidRPr="00DC67EB">
              <w:rPr>
                <w:noProof/>
                <w:sz w:val="22"/>
              </w:rPr>
              <w:t>216-428-8</w:t>
            </w:r>
          </w:p>
        </w:tc>
        <w:tc>
          <w:tcPr>
            <w:tcW w:w="1279" w:type="dxa"/>
            <w:gridSpan w:val="2"/>
            <w:tcMar>
              <w:left w:w="28" w:type="dxa"/>
              <w:right w:w="28" w:type="dxa"/>
            </w:tcMar>
          </w:tcPr>
          <w:p w14:paraId="4C060B70" w14:textId="77777777" w:rsidR="00FA31A1" w:rsidRPr="00DC67EB" w:rsidRDefault="00FA31A1" w:rsidP="00FA31A1">
            <w:pPr>
              <w:spacing w:before="40" w:after="40"/>
              <w:rPr>
                <w:noProof/>
                <w:sz w:val="22"/>
              </w:rPr>
            </w:pPr>
            <w:r w:rsidRPr="00DC67EB">
              <w:rPr>
                <w:noProof/>
                <w:sz w:val="22"/>
              </w:rPr>
              <w:t>0,03</w:t>
            </w:r>
          </w:p>
        </w:tc>
        <w:tc>
          <w:tcPr>
            <w:tcW w:w="1279" w:type="dxa"/>
            <w:gridSpan w:val="2"/>
            <w:tcMar>
              <w:left w:w="28" w:type="dxa"/>
              <w:right w:w="28" w:type="dxa"/>
            </w:tcMar>
          </w:tcPr>
          <w:p w14:paraId="1EF1B413" w14:textId="77777777" w:rsidR="00FA31A1" w:rsidRPr="00DC67EB" w:rsidRDefault="00FA31A1" w:rsidP="00FA31A1">
            <w:pPr>
              <w:spacing w:before="40" w:after="40"/>
              <w:rPr>
                <w:noProof/>
                <w:sz w:val="22"/>
              </w:rPr>
            </w:pPr>
            <w:r w:rsidRPr="00DC67EB">
              <w:rPr>
                <w:noProof/>
                <w:sz w:val="22"/>
              </w:rPr>
              <w:t>0,03</w:t>
            </w:r>
          </w:p>
        </w:tc>
        <w:tc>
          <w:tcPr>
            <w:tcW w:w="1278" w:type="dxa"/>
            <w:gridSpan w:val="2"/>
            <w:tcMar>
              <w:left w:w="28" w:type="dxa"/>
              <w:right w:w="28" w:type="dxa"/>
            </w:tcMar>
          </w:tcPr>
          <w:p w14:paraId="3995F9BF" w14:textId="77777777" w:rsidR="00FA31A1" w:rsidRPr="00DC67EB" w:rsidRDefault="00FA31A1" w:rsidP="00FA31A1">
            <w:pPr>
              <w:spacing w:before="40" w:after="40"/>
              <w:rPr>
                <w:noProof/>
                <w:sz w:val="22"/>
              </w:rPr>
            </w:pPr>
            <w:r w:rsidRPr="00DC67EB">
              <w:rPr>
                <w:noProof/>
                <w:sz w:val="22"/>
              </w:rPr>
              <w:t>nem alkalmazható</w:t>
            </w:r>
          </w:p>
        </w:tc>
        <w:tc>
          <w:tcPr>
            <w:tcW w:w="1277" w:type="dxa"/>
            <w:gridSpan w:val="2"/>
            <w:tcMar>
              <w:left w:w="28" w:type="dxa"/>
              <w:right w:w="28" w:type="dxa"/>
            </w:tcMar>
          </w:tcPr>
          <w:p w14:paraId="499ADABE" w14:textId="77777777" w:rsidR="00FA31A1" w:rsidRPr="00DC67EB" w:rsidRDefault="00FA31A1" w:rsidP="00FA31A1">
            <w:pPr>
              <w:spacing w:before="40" w:after="40"/>
              <w:rPr>
                <w:noProof/>
                <w:sz w:val="22"/>
              </w:rPr>
            </w:pPr>
            <w:r w:rsidRPr="00DC67EB">
              <w:rPr>
                <w:noProof/>
                <w:sz w:val="22"/>
              </w:rPr>
              <w:t>nem alkalmazható</w:t>
            </w:r>
          </w:p>
        </w:tc>
        <w:tc>
          <w:tcPr>
            <w:tcW w:w="1136" w:type="dxa"/>
            <w:gridSpan w:val="2"/>
            <w:tcMar>
              <w:left w:w="28" w:type="dxa"/>
              <w:right w:w="28" w:type="dxa"/>
            </w:tcMar>
          </w:tcPr>
          <w:p w14:paraId="54C69A5E" w14:textId="77777777" w:rsidR="00FA31A1" w:rsidRPr="00DC67EB" w:rsidRDefault="00FA31A1" w:rsidP="00FA31A1">
            <w:pPr>
              <w:spacing w:before="40" w:after="40"/>
              <w:rPr>
                <w:noProof/>
                <w:sz w:val="22"/>
              </w:rPr>
            </w:pPr>
          </w:p>
        </w:tc>
        <w:tc>
          <w:tcPr>
            <w:tcW w:w="1262" w:type="dxa"/>
            <w:tcMar>
              <w:left w:w="28" w:type="dxa"/>
              <w:right w:w="28" w:type="dxa"/>
            </w:tcMar>
          </w:tcPr>
          <w:p w14:paraId="621CDED7" w14:textId="77777777" w:rsidR="00FA31A1" w:rsidRPr="00DC67EB" w:rsidRDefault="00FA31A1" w:rsidP="00FA31A1">
            <w:pPr>
              <w:spacing w:before="40" w:after="40"/>
              <w:rPr>
                <w:noProof/>
                <w:sz w:val="22"/>
              </w:rPr>
            </w:pPr>
            <w:r w:rsidRPr="00DC67EB">
              <w:rPr>
                <w:noProof/>
                <w:sz w:val="22"/>
              </w:rPr>
              <w:t>X</w:t>
            </w:r>
          </w:p>
        </w:tc>
        <w:tc>
          <w:tcPr>
            <w:tcW w:w="1153" w:type="dxa"/>
            <w:gridSpan w:val="2"/>
            <w:tcMar>
              <w:left w:w="28" w:type="dxa"/>
              <w:right w:w="28" w:type="dxa"/>
            </w:tcMar>
          </w:tcPr>
          <w:p w14:paraId="089DBE04" w14:textId="77777777" w:rsidR="00FA31A1" w:rsidRPr="00DC67EB" w:rsidRDefault="00FA31A1" w:rsidP="00FA31A1">
            <w:pPr>
              <w:spacing w:before="40" w:after="40"/>
              <w:rPr>
                <w:noProof/>
                <w:sz w:val="22"/>
              </w:rPr>
            </w:pPr>
          </w:p>
        </w:tc>
        <w:tc>
          <w:tcPr>
            <w:tcW w:w="970" w:type="dxa"/>
            <w:tcMar>
              <w:left w:w="28" w:type="dxa"/>
              <w:right w:w="28" w:type="dxa"/>
            </w:tcMar>
          </w:tcPr>
          <w:p w14:paraId="268F661D" w14:textId="77777777" w:rsidR="00FA31A1" w:rsidRPr="00DC67EB" w:rsidRDefault="00FA31A1" w:rsidP="00FA31A1">
            <w:pPr>
              <w:spacing w:before="40" w:after="40"/>
              <w:rPr>
                <w:noProof/>
                <w:sz w:val="22"/>
              </w:rPr>
            </w:pPr>
          </w:p>
        </w:tc>
      </w:tr>
      <w:tr w:rsidR="00DC67EB" w:rsidRPr="00DC67EB" w14:paraId="2C8B4D0D" w14:textId="77777777" w:rsidTr="00FA31A1">
        <w:trPr>
          <w:gridBefore w:val="1"/>
          <w:wBefore w:w="12" w:type="dxa"/>
          <w:cantSplit/>
          <w:tblHeader/>
          <w:jc w:val="center"/>
        </w:trPr>
        <w:tc>
          <w:tcPr>
            <w:tcW w:w="651" w:type="dxa"/>
            <w:gridSpan w:val="3"/>
            <w:tcMar>
              <w:left w:w="28" w:type="dxa"/>
              <w:right w:w="28" w:type="dxa"/>
            </w:tcMar>
          </w:tcPr>
          <w:p w14:paraId="389243C0" w14:textId="77777777" w:rsidR="00FA31A1" w:rsidRPr="00DC67EB" w:rsidRDefault="00FA31A1" w:rsidP="00FA31A1">
            <w:pPr>
              <w:spacing w:before="40" w:after="40"/>
              <w:rPr>
                <w:noProof/>
                <w:sz w:val="22"/>
              </w:rPr>
            </w:pPr>
            <w:r w:rsidRPr="00DC67EB">
              <w:rPr>
                <w:noProof/>
                <w:sz w:val="22"/>
              </w:rPr>
              <w:t>34.</w:t>
            </w:r>
          </w:p>
        </w:tc>
        <w:tc>
          <w:tcPr>
            <w:tcW w:w="2286" w:type="dxa"/>
            <w:gridSpan w:val="3"/>
            <w:tcMar>
              <w:left w:w="28" w:type="dxa"/>
              <w:right w:w="28" w:type="dxa"/>
            </w:tcMar>
          </w:tcPr>
          <w:p w14:paraId="5E3DFE28" w14:textId="77777777" w:rsidR="00FA31A1" w:rsidRPr="00DC67EB" w:rsidRDefault="00FA31A1" w:rsidP="00FA31A1">
            <w:pPr>
              <w:spacing w:before="40" w:after="40"/>
              <w:rPr>
                <w:noProof/>
                <w:sz w:val="22"/>
              </w:rPr>
            </w:pPr>
            <w:r w:rsidRPr="00DC67EB">
              <w:rPr>
                <w:noProof/>
                <w:sz w:val="22"/>
              </w:rPr>
              <w:t>Dikofol</w:t>
            </w:r>
          </w:p>
        </w:tc>
        <w:tc>
          <w:tcPr>
            <w:tcW w:w="1329" w:type="dxa"/>
            <w:gridSpan w:val="3"/>
            <w:tcMar>
              <w:left w:w="28" w:type="dxa"/>
              <w:right w:w="28" w:type="dxa"/>
            </w:tcMar>
          </w:tcPr>
          <w:p w14:paraId="0B4C2378" w14:textId="77777777" w:rsidR="00FA31A1" w:rsidRPr="00DC67EB" w:rsidRDefault="00FA31A1" w:rsidP="00FA31A1">
            <w:pPr>
              <w:spacing w:before="40" w:after="40"/>
              <w:rPr>
                <w:noProof/>
                <w:sz w:val="22"/>
              </w:rPr>
            </w:pPr>
            <w:r w:rsidRPr="00DC67EB">
              <w:rPr>
                <w:noProof/>
                <w:sz w:val="22"/>
              </w:rPr>
              <w:t>Szerves klórt tartalmazó peszticidek</w:t>
            </w:r>
          </w:p>
        </w:tc>
        <w:tc>
          <w:tcPr>
            <w:tcW w:w="992" w:type="dxa"/>
            <w:gridSpan w:val="2"/>
            <w:tcMar>
              <w:left w:w="28" w:type="dxa"/>
              <w:right w:w="28" w:type="dxa"/>
            </w:tcMar>
          </w:tcPr>
          <w:p w14:paraId="02F96B65" w14:textId="77777777" w:rsidR="00FA31A1" w:rsidRPr="00DC67EB" w:rsidRDefault="00FA31A1" w:rsidP="00FA31A1">
            <w:pPr>
              <w:spacing w:before="40" w:after="40"/>
              <w:rPr>
                <w:noProof/>
                <w:sz w:val="22"/>
              </w:rPr>
            </w:pPr>
            <w:r w:rsidRPr="00DC67EB">
              <w:rPr>
                <w:noProof/>
                <w:sz w:val="22"/>
              </w:rPr>
              <w:t>115-32-2</w:t>
            </w:r>
          </w:p>
        </w:tc>
        <w:tc>
          <w:tcPr>
            <w:tcW w:w="1134" w:type="dxa"/>
          </w:tcPr>
          <w:p w14:paraId="3599A908" w14:textId="77777777" w:rsidR="00FA31A1" w:rsidRPr="00DC67EB" w:rsidRDefault="00FA31A1" w:rsidP="00FA31A1">
            <w:pPr>
              <w:spacing w:before="40" w:after="40"/>
              <w:rPr>
                <w:strike/>
                <w:noProof/>
                <w:sz w:val="22"/>
              </w:rPr>
            </w:pPr>
            <w:r w:rsidRPr="00DC67EB">
              <w:rPr>
                <w:noProof/>
                <w:sz w:val="22"/>
              </w:rPr>
              <w:t>204-082-0</w:t>
            </w:r>
          </w:p>
        </w:tc>
        <w:tc>
          <w:tcPr>
            <w:tcW w:w="1279" w:type="dxa"/>
            <w:gridSpan w:val="2"/>
            <w:tcMar>
              <w:left w:w="28" w:type="dxa"/>
              <w:right w:w="28" w:type="dxa"/>
            </w:tcMar>
          </w:tcPr>
          <w:p w14:paraId="62F6593F" w14:textId="77777777" w:rsidR="00FA31A1" w:rsidRPr="00DC67EB" w:rsidRDefault="00FA31A1" w:rsidP="00FA31A1">
            <w:pPr>
              <w:spacing w:before="40" w:after="40"/>
              <w:rPr>
                <w:noProof/>
                <w:sz w:val="22"/>
                <w:vertAlign w:val="superscript"/>
              </w:rPr>
            </w:pPr>
            <w:r w:rsidRPr="00DC67EB">
              <w:rPr>
                <w:noProof/>
                <w:sz w:val="22"/>
              </w:rPr>
              <w:t>[4,45 × 10</w:t>
            </w:r>
            <w:r w:rsidRPr="00DC67EB">
              <w:rPr>
                <w:noProof/>
                <w:sz w:val="22"/>
                <w:vertAlign w:val="superscript"/>
              </w:rPr>
              <w:t>-3</w:t>
            </w:r>
            <w:r w:rsidRPr="00DC67EB">
              <w:rPr>
                <w:noProof/>
                <w:sz w:val="22"/>
              </w:rPr>
              <w:t>]</w:t>
            </w:r>
          </w:p>
        </w:tc>
        <w:tc>
          <w:tcPr>
            <w:tcW w:w="1279" w:type="dxa"/>
            <w:gridSpan w:val="2"/>
            <w:tcMar>
              <w:left w:w="28" w:type="dxa"/>
              <w:right w:w="28" w:type="dxa"/>
            </w:tcMar>
          </w:tcPr>
          <w:p w14:paraId="1FCA9F5A" w14:textId="5E1E29AE" w:rsidR="00FA31A1" w:rsidRPr="00DC67EB" w:rsidRDefault="00FA31A1" w:rsidP="00FA31A1">
            <w:pPr>
              <w:spacing w:before="40" w:after="40"/>
              <w:rPr>
                <w:noProof/>
                <w:sz w:val="22"/>
              </w:rPr>
            </w:pPr>
            <w:r w:rsidRPr="00DC67EB">
              <w:rPr>
                <w:noProof/>
                <w:sz w:val="22"/>
              </w:rPr>
              <w:t>[0</w:t>
            </w:r>
            <w:r w:rsidR="00E741E1">
              <w:rPr>
                <w:noProof/>
                <w:sz w:val="22"/>
              </w:rPr>
              <w:t>,</w:t>
            </w:r>
            <w:r w:rsidRPr="00DC67EB">
              <w:rPr>
                <w:noProof/>
                <w:sz w:val="22"/>
              </w:rPr>
              <w:t>185 × 10</w:t>
            </w:r>
            <w:r w:rsidRPr="00DC67EB">
              <w:rPr>
                <w:noProof/>
                <w:sz w:val="22"/>
                <w:vertAlign w:val="superscript"/>
              </w:rPr>
              <w:t>-3</w:t>
            </w:r>
            <w:r w:rsidRPr="00DC67EB">
              <w:rPr>
                <w:noProof/>
                <w:sz w:val="22"/>
              </w:rPr>
              <w:t>]</w:t>
            </w:r>
          </w:p>
        </w:tc>
        <w:tc>
          <w:tcPr>
            <w:tcW w:w="1278" w:type="dxa"/>
            <w:gridSpan w:val="2"/>
            <w:tcMar>
              <w:left w:w="28" w:type="dxa"/>
              <w:right w:w="28" w:type="dxa"/>
            </w:tcMar>
          </w:tcPr>
          <w:p w14:paraId="3B5014E4" w14:textId="77777777" w:rsidR="00FA31A1" w:rsidRPr="00DC67EB" w:rsidRDefault="00FA31A1" w:rsidP="00FA31A1">
            <w:pPr>
              <w:spacing w:before="40" w:after="40"/>
              <w:rPr>
                <w:noProof/>
                <w:sz w:val="22"/>
                <w:vertAlign w:val="superscript"/>
              </w:rPr>
            </w:pPr>
            <w:r w:rsidRPr="00DC67EB">
              <w:rPr>
                <w:noProof/>
                <w:sz w:val="22"/>
              </w:rPr>
              <w:t xml:space="preserve">nem alkalmazható </w:t>
            </w:r>
            <w:bookmarkStart w:id="37" w:name="_DV_M308"/>
            <w:bookmarkStart w:id="38" w:name="_Ref101447957"/>
            <w:bookmarkEnd w:id="37"/>
            <w:r w:rsidRPr="00DC67EB">
              <w:rPr>
                <w:noProof/>
                <w:sz w:val="22"/>
              </w:rPr>
              <w:t>(</w:t>
            </w:r>
            <w:r w:rsidRPr="00DC67EB">
              <w:rPr>
                <w:noProof/>
                <w:sz w:val="22"/>
                <w:vertAlign w:val="superscript"/>
              </w:rPr>
              <w:t>20</w:t>
            </w:r>
            <w:r w:rsidRPr="00DC67EB">
              <w:rPr>
                <w:noProof/>
                <w:sz w:val="22"/>
              </w:rPr>
              <w:t>)</w:t>
            </w:r>
            <w:bookmarkEnd w:id="38"/>
          </w:p>
        </w:tc>
        <w:tc>
          <w:tcPr>
            <w:tcW w:w="1277" w:type="dxa"/>
            <w:gridSpan w:val="2"/>
            <w:tcMar>
              <w:left w:w="28" w:type="dxa"/>
              <w:right w:w="28" w:type="dxa"/>
            </w:tcMar>
          </w:tcPr>
          <w:p w14:paraId="0A3E3677" w14:textId="77777777" w:rsidR="00FA31A1" w:rsidRPr="00DC67EB" w:rsidRDefault="00FA31A1" w:rsidP="00FA31A1">
            <w:pPr>
              <w:spacing w:before="40" w:after="40"/>
              <w:rPr>
                <w:noProof/>
                <w:sz w:val="22"/>
                <w:vertAlign w:val="superscript"/>
              </w:rPr>
            </w:pPr>
            <w:r w:rsidRPr="00DC67EB">
              <w:rPr>
                <w:noProof/>
                <w:sz w:val="22"/>
              </w:rPr>
              <w:t>nem alkalmazható (</w:t>
            </w:r>
            <w:r w:rsidRPr="00DC67EB">
              <w:rPr>
                <w:noProof/>
                <w:sz w:val="22"/>
                <w:vertAlign w:val="superscript"/>
              </w:rPr>
              <w:t>20</w:t>
            </w:r>
            <w:r w:rsidRPr="00DC67EB">
              <w:rPr>
                <w:noProof/>
                <w:sz w:val="22"/>
              </w:rPr>
              <w:t>)</w:t>
            </w:r>
            <w:bookmarkStart w:id="39" w:name="_DV_M309"/>
            <w:bookmarkEnd w:id="39"/>
          </w:p>
        </w:tc>
        <w:tc>
          <w:tcPr>
            <w:tcW w:w="1136" w:type="dxa"/>
            <w:gridSpan w:val="2"/>
            <w:tcMar>
              <w:left w:w="28" w:type="dxa"/>
              <w:right w:w="28" w:type="dxa"/>
            </w:tcMar>
          </w:tcPr>
          <w:p w14:paraId="0FBC1939" w14:textId="77777777" w:rsidR="00FA31A1" w:rsidRPr="00DC67EB" w:rsidRDefault="00FA31A1" w:rsidP="00FA31A1">
            <w:pPr>
              <w:spacing w:before="40" w:after="40"/>
              <w:rPr>
                <w:noProof/>
                <w:sz w:val="22"/>
              </w:rPr>
            </w:pPr>
            <w:r w:rsidRPr="00DC67EB">
              <w:rPr>
                <w:noProof/>
                <w:sz w:val="22"/>
              </w:rPr>
              <w:t>[5,45]</w:t>
            </w:r>
          </w:p>
        </w:tc>
        <w:tc>
          <w:tcPr>
            <w:tcW w:w="1262" w:type="dxa"/>
            <w:tcMar>
              <w:left w:w="28" w:type="dxa"/>
              <w:right w:w="28" w:type="dxa"/>
            </w:tcMar>
          </w:tcPr>
          <w:p w14:paraId="3E2056B4" w14:textId="77777777" w:rsidR="00FA31A1" w:rsidRPr="00DC67EB" w:rsidRDefault="00FA31A1" w:rsidP="00FA31A1">
            <w:pPr>
              <w:spacing w:before="40" w:after="40"/>
              <w:rPr>
                <w:noProof/>
                <w:sz w:val="22"/>
              </w:rPr>
            </w:pPr>
            <w:r w:rsidRPr="00DC67EB">
              <w:rPr>
                <w:noProof/>
                <w:sz w:val="22"/>
              </w:rPr>
              <w:t>X</w:t>
            </w:r>
          </w:p>
        </w:tc>
        <w:tc>
          <w:tcPr>
            <w:tcW w:w="1153" w:type="dxa"/>
            <w:gridSpan w:val="2"/>
            <w:tcMar>
              <w:left w:w="28" w:type="dxa"/>
              <w:right w:w="28" w:type="dxa"/>
            </w:tcMar>
          </w:tcPr>
          <w:p w14:paraId="79AB1DAA" w14:textId="77777777" w:rsidR="00FA31A1" w:rsidRPr="00DC67EB" w:rsidRDefault="00FA31A1" w:rsidP="00FA31A1">
            <w:pPr>
              <w:spacing w:before="40" w:after="40"/>
              <w:rPr>
                <w:noProof/>
                <w:sz w:val="22"/>
              </w:rPr>
            </w:pPr>
          </w:p>
        </w:tc>
        <w:tc>
          <w:tcPr>
            <w:tcW w:w="970" w:type="dxa"/>
            <w:tcMar>
              <w:left w:w="28" w:type="dxa"/>
              <w:right w:w="28" w:type="dxa"/>
            </w:tcMar>
          </w:tcPr>
          <w:p w14:paraId="349E00A3" w14:textId="77777777" w:rsidR="00FA31A1" w:rsidRPr="00DC67EB" w:rsidRDefault="00FA31A1" w:rsidP="00FA31A1">
            <w:pPr>
              <w:spacing w:before="40" w:after="40"/>
              <w:rPr>
                <w:noProof/>
                <w:sz w:val="22"/>
              </w:rPr>
            </w:pPr>
            <w:r w:rsidRPr="00DC67EB">
              <w:rPr>
                <w:noProof/>
                <w:sz w:val="22"/>
              </w:rPr>
              <w:t>X</w:t>
            </w:r>
          </w:p>
        </w:tc>
      </w:tr>
      <w:tr w:rsidR="00DC67EB" w:rsidRPr="00DC67EB" w14:paraId="3CD134C6" w14:textId="77777777" w:rsidTr="00FA31A1">
        <w:trPr>
          <w:gridBefore w:val="1"/>
          <w:wBefore w:w="12" w:type="dxa"/>
          <w:cantSplit/>
          <w:tblHeader/>
          <w:jc w:val="center"/>
        </w:trPr>
        <w:tc>
          <w:tcPr>
            <w:tcW w:w="651" w:type="dxa"/>
            <w:gridSpan w:val="3"/>
            <w:tcMar>
              <w:left w:w="28" w:type="dxa"/>
              <w:right w:w="28" w:type="dxa"/>
            </w:tcMar>
          </w:tcPr>
          <w:p w14:paraId="7717AB69" w14:textId="77777777" w:rsidR="00FA31A1" w:rsidRPr="00DC67EB" w:rsidRDefault="00FA31A1" w:rsidP="00FA31A1">
            <w:pPr>
              <w:spacing w:before="40" w:after="40"/>
              <w:rPr>
                <w:noProof/>
                <w:sz w:val="22"/>
              </w:rPr>
            </w:pPr>
            <w:r w:rsidRPr="00DC67EB">
              <w:rPr>
                <w:noProof/>
                <w:sz w:val="22"/>
              </w:rPr>
              <w:t>35.</w:t>
            </w:r>
          </w:p>
        </w:tc>
        <w:tc>
          <w:tcPr>
            <w:tcW w:w="2286" w:type="dxa"/>
            <w:gridSpan w:val="3"/>
            <w:tcMar>
              <w:left w:w="28" w:type="dxa"/>
              <w:right w:w="28" w:type="dxa"/>
            </w:tcMar>
          </w:tcPr>
          <w:p w14:paraId="6217C41E" w14:textId="77777777" w:rsidR="00FA31A1" w:rsidRPr="00DC67EB" w:rsidRDefault="00FA31A1" w:rsidP="00FA31A1">
            <w:pPr>
              <w:pageBreakBefore/>
              <w:spacing w:before="40" w:after="40"/>
              <w:rPr>
                <w:noProof/>
                <w:sz w:val="22"/>
              </w:rPr>
            </w:pPr>
            <w:r w:rsidRPr="00DC67EB">
              <w:rPr>
                <w:noProof/>
                <w:sz w:val="22"/>
              </w:rPr>
              <w:t>Perfluoroktán-szulfonát és származékai (PFOS)</w:t>
            </w:r>
          </w:p>
        </w:tc>
        <w:tc>
          <w:tcPr>
            <w:tcW w:w="1329" w:type="dxa"/>
            <w:gridSpan w:val="3"/>
            <w:tcMar>
              <w:left w:w="28" w:type="dxa"/>
              <w:right w:w="28" w:type="dxa"/>
            </w:tcMar>
          </w:tcPr>
          <w:p w14:paraId="44CB9F2B" w14:textId="77777777" w:rsidR="00FA31A1" w:rsidRPr="00DC67EB" w:rsidRDefault="00FA31A1" w:rsidP="00FA31A1">
            <w:pPr>
              <w:spacing w:before="40" w:after="40"/>
              <w:rPr>
                <w:noProof/>
                <w:sz w:val="22"/>
              </w:rPr>
            </w:pPr>
            <w:r w:rsidRPr="00DC67EB">
              <w:rPr>
                <w:noProof/>
                <w:sz w:val="22"/>
              </w:rPr>
              <w:t>Ipari anyagok</w:t>
            </w:r>
          </w:p>
        </w:tc>
        <w:tc>
          <w:tcPr>
            <w:tcW w:w="992" w:type="dxa"/>
            <w:gridSpan w:val="2"/>
            <w:tcMar>
              <w:left w:w="28" w:type="dxa"/>
              <w:right w:w="28" w:type="dxa"/>
            </w:tcMar>
          </w:tcPr>
          <w:p w14:paraId="52A62084" w14:textId="77777777" w:rsidR="00FA31A1" w:rsidRPr="00DC67EB" w:rsidRDefault="00FA31A1" w:rsidP="00FA31A1">
            <w:pPr>
              <w:spacing w:before="40" w:after="40"/>
              <w:rPr>
                <w:noProof/>
                <w:sz w:val="22"/>
              </w:rPr>
            </w:pPr>
            <w:r w:rsidRPr="00DC67EB">
              <w:rPr>
                <w:noProof/>
                <w:sz w:val="22"/>
              </w:rPr>
              <w:t>1763-23-1</w:t>
            </w:r>
          </w:p>
        </w:tc>
        <w:tc>
          <w:tcPr>
            <w:tcW w:w="1134" w:type="dxa"/>
          </w:tcPr>
          <w:p w14:paraId="4A3A575F" w14:textId="77777777" w:rsidR="00FA31A1" w:rsidRPr="00DC67EB" w:rsidRDefault="00FA31A1" w:rsidP="00FA31A1">
            <w:pPr>
              <w:spacing w:before="40" w:after="40"/>
              <w:rPr>
                <w:noProof/>
                <w:sz w:val="22"/>
              </w:rPr>
            </w:pPr>
            <w:r w:rsidRPr="00DC67EB">
              <w:rPr>
                <w:noProof/>
                <w:sz w:val="22"/>
              </w:rPr>
              <w:t>217-179-8</w:t>
            </w:r>
          </w:p>
        </w:tc>
        <w:tc>
          <w:tcPr>
            <w:tcW w:w="9634" w:type="dxa"/>
            <w:gridSpan w:val="14"/>
            <w:tcMar>
              <w:left w:w="28" w:type="dxa"/>
              <w:right w:w="28" w:type="dxa"/>
            </w:tcMar>
          </w:tcPr>
          <w:p w14:paraId="3B36B52C" w14:textId="77777777" w:rsidR="00FA31A1" w:rsidRPr="00DC67EB" w:rsidRDefault="00FA31A1" w:rsidP="00FA31A1">
            <w:pPr>
              <w:spacing w:before="40" w:after="40"/>
              <w:rPr>
                <w:noProof/>
                <w:sz w:val="22"/>
              </w:rPr>
            </w:pPr>
            <w:r w:rsidRPr="00DC67EB">
              <w:rPr>
                <w:noProof/>
                <w:sz w:val="22"/>
              </w:rPr>
              <w:t>Az anyagra a 65. sorszámú anyagcsoportra (per- és polifluoralkil-anyagok (PFAS) – 24 anyag összege) vonatkozóak érvényesek.</w:t>
            </w:r>
          </w:p>
        </w:tc>
      </w:tr>
      <w:tr w:rsidR="00DC67EB" w:rsidRPr="00DC67EB" w14:paraId="649C70F0" w14:textId="77777777" w:rsidTr="00FA31A1">
        <w:trPr>
          <w:gridBefore w:val="1"/>
          <w:wBefore w:w="12" w:type="dxa"/>
          <w:cantSplit/>
          <w:tblHeader/>
          <w:jc w:val="center"/>
        </w:trPr>
        <w:tc>
          <w:tcPr>
            <w:tcW w:w="651" w:type="dxa"/>
            <w:gridSpan w:val="3"/>
            <w:tcMar>
              <w:left w:w="28" w:type="dxa"/>
              <w:right w:w="28" w:type="dxa"/>
            </w:tcMar>
          </w:tcPr>
          <w:p w14:paraId="40E256F6" w14:textId="77777777" w:rsidR="00FA31A1" w:rsidRPr="00DC67EB" w:rsidRDefault="00FA31A1" w:rsidP="00FA31A1">
            <w:pPr>
              <w:spacing w:before="40" w:after="40"/>
              <w:rPr>
                <w:noProof/>
                <w:sz w:val="22"/>
              </w:rPr>
            </w:pPr>
            <w:r w:rsidRPr="00DC67EB">
              <w:rPr>
                <w:noProof/>
                <w:sz w:val="22"/>
              </w:rPr>
              <w:t>36.</w:t>
            </w:r>
          </w:p>
        </w:tc>
        <w:tc>
          <w:tcPr>
            <w:tcW w:w="2286" w:type="dxa"/>
            <w:gridSpan w:val="3"/>
            <w:tcMar>
              <w:left w:w="28" w:type="dxa"/>
              <w:right w:w="28" w:type="dxa"/>
            </w:tcMar>
          </w:tcPr>
          <w:p w14:paraId="462EFCB3" w14:textId="77777777" w:rsidR="00FA31A1" w:rsidRPr="00DC67EB" w:rsidRDefault="00FA31A1" w:rsidP="00FA31A1">
            <w:pPr>
              <w:pageBreakBefore/>
              <w:spacing w:before="40" w:after="40"/>
              <w:rPr>
                <w:noProof/>
                <w:sz w:val="22"/>
              </w:rPr>
            </w:pPr>
            <w:r w:rsidRPr="00DC67EB">
              <w:rPr>
                <w:noProof/>
                <w:sz w:val="22"/>
              </w:rPr>
              <w:t>Kinoxifen</w:t>
            </w:r>
          </w:p>
        </w:tc>
        <w:tc>
          <w:tcPr>
            <w:tcW w:w="1329" w:type="dxa"/>
            <w:gridSpan w:val="3"/>
            <w:tcMar>
              <w:left w:w="28" w:type="dxa"/>
              <w:right w:w="28" w:type="dxa"/>
            </w:tcMar>
          </w:tcPr>
          <w:p w14:paraId="13A136FF" w14:textId="77777777" w:rsidR="00FA31A1" w:rsidRPr="00DC67EB" w:rsidRDefault="00FA31A1" w:rsidP="00FA31A1">
            <w:pPr>
              <w:spacing w:before="40" w:after="40"/>
              <w:rPr>
                <w:noProof/>
                <w:sz w:val="22"/>
              </w:rPr>
            </w:pPr>
            <w:r w:rsidRPr="00DC67EB">
              <w:rPr>
                <w:noProof/>
                <w:sz w:val="22"/>
              </w:rPr>
              <w:t>Növényvédő szerek</w:t>
            </w:r>
          </w:p>
        </w:tc>
        <w:tc>
          <w:tcPr>
            <w:tcW w:w="992" w:type="dxa"/>
            <w:gridSpan w:val="2"/>
            <w:tcMar>
              <w:left w:w="28" w:type="dxa"/>
              <w:right w:w="28" w:type="dxa"/>
            </w:tcMar>
          </w:tcPr>
          <w:p w14:paraId="2AC7918E" w14:textId="77777777" w:rsidR="00FA31A1" w:rsidRPr="00DC67EB" w:rsidRDefault="00FA31A1" w:rsidP="00FA31A1">
            <w:pPr>
              <w:spacing w:before="40" w:after="40"/>
              <w:rPr>
                <w:noProof/>
                <w:sz w:val="22"/>
              </w:rPr>
            </w:pPr>
            <w:r w:rsidRPr="00DC67EB">
              <w:rPr>
                <w:noProof/>
                <w:sz w:val="22"/>
              </w:rPr>
              <w:t>124495-18-7</w:t>
            </w:r>
          </w:p>
        </w:tc>
        <w:tc>
          <w:tcPr>
            <w:tcW w:w="1134" w:type="dxa"/>
          </w:tcPr>
          <w:p w14:paraId="4527C1E9" w14:textId="77777777" w:rsidR="00FA31A1" w:rsidRPr="00DC67EB" w:rsidRDefault="00FA31A1" w:rsidP="00FA31A1">
            <w:pPr>
              <w:spacing w:before="40" w:after="40"/>
              <w:rPr>
                <w:noProof/>
                <w:sz w:val="22"/>
              </w:rPr>
            </w:pPr>
            <w:r w:rsidRPr="00DC67EB">
              <w:rPr>
                <w:noProof/>
                <w:sz w:val="22"/>
              </w:rPr>
              <w:t>nem alkalmazható</w:t>
            </w:r>
          </w:p>
        </w:tc>
        <w:tc>
          <w:tcPr>
            <w:tcW w:w="1279" w:type="dxa"/>
            <w:gridSpan w:val="2"/>
            <w:tcMar>
              <w:left w:w="28" w:type="dxa"/>
              <w:right w:w="28" w:type="dxa"/>
            </w:tcMar>
          </w:tcPr>
          <w:p w14:paraId="2146F2DE" w14:textId="77777777" w:rsidR="00FA31A1" w:rsidRPr="00DC67EB" w:rsidRDefault="00FA31A1" w:rsidP="00FA31A1">
            <w:pPr>
              <w:spacing w:before="40" w:after="40"/>
              <w:rPr>
                <w:noProof/>
                <w:sz w:val="22"/>
              </w:rPr>
            </w:pPr>
            <w:r w:rsidRPr="00DC67EB">
              <w:rPr>
                <w:noProof/>
                <w:sz w:val="22"/>
              </w:rPr>
              <w:t>0,15</w:t>
            </w:r>
          </w:p>
        </w:tc>
        <w:tc>
          <w:tcPr>
            <w:tcW w:w="1279" w:type="dxa"/>
            <w:gridSpan w:val="2"/>
            <w:tcMar>
              <w:left w:w="28" w:type="dxa"/>
              <w:right w:w="28" w:type="dxa"/>
            </w:tcMar>
          </w:tcPr>
          <w:p w14:paraId="39E005B7" w14:textId="77777777" w:rsidR="00FA31A1" w:rsidRPr="00DC67EB" w:rsidRDefault="00FA31A1" w:rsidP="00FA31A1">
            <w:pPr>
              <w:spacing w:before="40" w:after="40"/>
              <w:rPr>
                <w:noProof/>
                <w:sz w:val="22"/>
              </w:rPr>
            </w:pPr>
            <w:r w:rsidRPr="00DC67EB">
              <w:rPr>
                <w:noProof/>
                <w:sz w:val="22"/>
              </w:rPr>
              <w:t>0,015</w:t>
            </w:r>
          </w:p>
        </w:tc>
        <w:tc>
          <w:tcPr>
            <w:tcW w:w="1278" w:type="dxa"/>
            <w:gridSpan w:val="2"/>
            <w:tcMar>
              <w:left w:w="28" w:type="dxa"/>
              <w:right w:w="28" w:type="dxa"/>
            </w:tcMar>
          </w:tcPr>
          <w:p w14:paraId="624819DE" w14:textId="77777777" w:rsidR="00FA31A1" w:rsidRPr="00DC67EB" w:rsidRDefault="00FA31A1" w:rsidP="00FA31A1">
            <w:pPr>
              <w:spacing w:before="40" w:after="40"/>
              <w:rPr>
                <w:noProof/>
                <w:sz w:val="22"/>
              </w:rPr>
            </w:pPr>
            <w:r w:rsidRPr="00DC67EB">
              <w:rPr>
                <w:noProof/>
                <w:sz w:val="22"/>
              </w:rPr>
              <w:t>2,7</w:t>
            </w:r>
          </w:p>
        </w:tc>
        <w:tc>
          <w:tcPr>
            <w:tcW w:w="1277" w:type="dxa"/>
            <w:gridSpan w:val="2"/>
            <w:tcMar>
              <w:left w:w="28" w:type="dxa"/>
              <w:right w:w="28" w:type="dxa"/>
            </w:tcMar>
          </w:tcPr>
          <w:p w14:paraId="03153211" w14:textId="77777777" w:rsidR="00FA31A1" w:rsidRPr="00DC67EB" w:rsidRDefault="00FA31A1" w:rsidP="00FA31A1">
            <w:pPr>
              <w:spacing w:before="40" w:after="40"/>
              <w:rPr>
                <w:noProof/>
                <w:sz w:val="22"/>
              </w:rPr>
            </w:pPr>
            <w:r w:rsidRPr="00DC67EB">
              <w:rPr>
                <w:noProof/>
                <w:sz w:val="22"/>
              </w:rPr>
              <w:t>0,54</w:t>
            </w:r>
          </w:p>
        </w:tc>
        <w:tc>
          <w:tcPr>
            <w:tcW w:w="1136" w:type="dxa"/>
            <w:gridSpan w:val="2"/>
            <w:tcMar>
              <w:left w:w="28" w:type="dxa"/>
              <w:right w:w="28" w:type="dxa"/>
            </w:tcMar>
          </w:tcPr>
          <w:p w14:paraId="5F2E768A" w14:textId="77777777" w:rsidR="00FA31A1" w:rsidRPr="00DC67EB" w:rsidRDefault="00FA31A1" w:rsidP="00FA31A1">
            <w:pPr>
              <w:spacing w:before="40" w:after="40"/>
              <w:rPr>
                <w:noProof/>
                <w:sz w:val="22"/>
              </w:rPr>
            </w:pPr>
          </w:p>
        </w:tc>
        <w:tc>
          <w:tcPr>
            <w:tcW w:w="1262" w:type="dxa"/>
            <w:tcMar>
              <w:left w:w="28" w:type="dxa"/>
              <w:right w:w="28" w:type="dxa"/>
            </w:tcMar>
          </w:tcPr>
          <w:p w14:paraId="1486671A" w14:textId="77777777" w:rsidR="00FA31A1" w:rsidRPr="00DC67EB" w:rsidRDefault="00FA31A1" w:rsidP="00FA31A1">
            <w:pPr>
              <w:spacing w:before="40" w:after="40"/>
              <w:rPr>
                <w:noProof/>
                <w:sz w:val="22"/>
              </w:rPr>
            </w:pPr>
            <w:r w:rsidRPr="00DC67EB">
              <w:rPr>
                <w:noProof/>
                <w:sz w:val="22"/>
              </w:rPr>
              <w:t>X</w:t>
            </w:r>
          </w:p>
        </w:tc>
        <w:tc>
          <w:tcPr>
            <w:tcW w:w="1153" w:type="dxa"/>
            <w:gridSpan w:val="2"/>
            <w:tcMar>
              <w:left w:w="28" w:type="dxa"/>
              <w:right w:w="28" w:type="dxa"/>
            </w:tcMar>
          </w:tcPr>
          <w:p w14:paraId="032E0832" w14:textId="77777777" w:rsidR="00FA31A1" w:rsidRPr="00DC67EB" w:rsidRDefault="00FA31A1" w:rsidP="00FA31A1">
            <w:pPr>
              <w:spacing w:before="40" w:after="40"/>
              <w:rPr>
                <w:noProof/>
                <w:sz w:val="22"/>
              </w:rPr>
            </w:pPr>
          </w:p>
        </w:tc>
        <w:tc>
          <w:tcPr>
            <w:tcW w:w="970" w:type="dxa"/>
            <w:tcMar>
              <w:left w:w="28" w:type="dxa"/>
              <w:right w:w="28" w:type="dxa"/>
            </w:tcMar>
          </w:tcPr>
          <w:p w14:paraId="17FD1F0A" w14:textId="77777777" w:rsidR="00FA31A1" w:rsidRPr="00DC67EB" w:rsidRDefault="00FA31A1" w:rsidP="00FA31A1">
            <w:pPr>
              <w:spacing w:before="40" w:after="40"/>
              <w:rPr>
                <w:noProof/>
                <w:sz w:val="22"/>
              </w:rPr>
            </w:pPr>
            <w:r w:rsidRPr="00DC67EB">
              <w:rPr>
                <w:noProof/>
                <w:sz w:val="22"/>
              </w:rPr>
              <w:t>X</w:t>
            </w:r>
          </w:p>
        </w:tc>
      </w:tr>
      <w:tr w:rsidR="00DC67EB" w:rsidRPr="00DC67EB" w14:paraId="077CCEF5" w14:textId="77777777" w:rsidTr="00FA31A1">
        <w:trPr>
          <w:cantSplit/>
          <w:tblHeader/>
          <w:jc w:val="center"/>
        </w:trPr>
        <w:tc>
          <w:tcPr>
            <w:tcW w:w="663" w:type="dxa"/>
            <w:gridSpan w:val="4"/>
            <w:tcMar>
              <w:left w:w="28" w:type="dxa"/>
              <w:right w:w="28" w:type="dxa"/>
            </w:tcMar>
          </w:tcPr>
          <w:p w14:paraId="60A5A1C5" w14:textId="77777777" w:rsidR="00FA31A1" w:rsidRPr="00DC67EB" w:rsidRDefault="00FA31A1" w:rsidP="00FA31A1">
            <w:pPr>
              <w:spacing w:before="40" w:after="40"/>
              <w:rPr>
                <w:noProof/>
                <w:sz w:val="22"/>
              </w:rPr>
            </w:pPr>
            <w:r w:rsidRPr="00DC67EB">
              <w:rPr>
                <w:noProof/>
                <w:sz w:val="22"/>
              </w:rPr>
              <w:t>37.</w:t>
            </w:r>
          </w:p>
        </w:tc>
        <w:tc>
          <w:tcPr>
            <w:tcW w:w="2193" w:type="dxa"/>
            <w:tcMar>
              <w:left w:w="28" w:type="dxa"/>
              <w:right w:w="28" w:type="dxa"/>
            </w:tcMar>
          </w:tcPr>
          <w:p w14:paraId="4D3BE2B3" w14:textId="77777777" w:rsidR="00FA31A1" w:rsidRPr="00DC67EB" w:rsidRDefault="00FA31A1" w:rsidP="00FA31A1">
            <w:pPr>
              <w:spacing w:before="40" w:after="40"/>
              <w:rPr>
                <w:noProof/>
                <w:sz w:val="22"/>
              </w:rPr>
            </w:pPr>
            <w:r w:rsidRPr="00DC67EB">
              <w:rPr>
                <w:noProof/>
                <w:sz w:val="22"/>
              </w:rPr>
              <w:t>Dioxinok és dioxin jellegű vegyületek (</w:t>
            </w:r>
            <w:r w:rsidRPr="00DC67EB">
              <w:rPr>
                <w:noProof/>
                <w:sz w:val="22"/>
                <w:vertAlign w:val="superscript"/>
              </w:rPr>
              <w:t>21</w:t>
            </w:r>
            <w:r w:rsidRPr="00DC67EB">
              <w:rPr>
                <w:noProof/>
                <w:sz w:val="22"/>
              </w:rPr>
              <w:t>)</w:t>
            </w:r>
          </w:p>
        </w:tc>
        <w:tc>
          <w:tcPr>
            <w:tcW w:w="1422" w:type="dxa"/>
            <w:gridSpan w:val="5"/>
            <w:tcMar>
              <w:left w:w="28" w:type="dxa"/>
              <w:right w:w="28" w:type="dxa"/>
            </w:tcMar>
          </w:tcPr>
          <w:p w14:paraId="0D74C898" w14:textId="77777777" w:rsidR="00FA31A1" w:rsidRPr="00DC67EB" w:rsidRDefault="00FA31A1" w:rsidP="00FA31A1">
            <w:pPr>
              <w:spacing w:before="40" w:after="40"/>
              <w:rPr>
                <w:noProof/>
                <w:sz w:val="22"/>
              </w:rPr>
            </w:pPr>
            <w:r w:rsidRPr="00DC67EB">
              <w:rPr>
                <w:noProof/>
                <w:sz w:val="22"/>
              </w:rPr>
              <w:t>Ipari melléktermékek</w:t>
            </w:r>
          </w:p>
        </w:tc>
        <w:tc>
          <w:tcPr>
            <w:tcW w:w="992" w:type="dxa"/>
            <w:gridSpan w:val="2"/>
            <w:tcMar>
              <w:left w:w="28" w:type="dxa"/>
              <w:right w:w="28" w:type="dxa"/>
            </w:tcMar>
          </w:tcPr>
          <w:p w14:paraId="54402158" w14:textId="77777777" w:rsidR="00FA31A1" w:rsidRPr="00DC67EB" w:rsidRDefault="00FA31A1" w:rsidP="00FA31A1">
            <w:pPr>
              <w:spacing w:before="40" w:after="40"/>
              <w:rPr>
                <w:noProof/>
                <w:sz w:val="22"/>
              </w:rPr>
            </w:pPr>
            <w:r w:rsidRPr="00DC67EB">
              <w:rPr>
                <w:noProof/>
                <w:sz w:val="22"/>
              </w:rPr>
              <w:t>nem alkalmazható</w:t>
            </w:r>
          </w:p>
        </w:tc>
        <w:tc>
          <w:tcPr>
            <w:tcW w:w="1134" w:type="dxa"/>
          </w:tcPr>
          <w:p w14:paraId="3B4C1AAA" w14:textId="77777777" w:rsidR="00FA31A1" w:rsidRPr="00DC67EB" w:rsidRDefault="00FA31A1" w:rsidP="00FA31A1">
            <w:pPr>
              <w:spacing w:before="40" w:after="40"/>
              <w:rPr>
                <w:noProof/>
                <w:sz w:val="22"/>
              </w:rPr>
            </w:pPr>
            <w:r w:rsidRPr="00DC67EB">
              <w:rPr>
                <w:noProof/>
                <w:sz w:val="22"/>
              </w:rPr>
              <w:t>nem alkalmazható</w:t>
            </w:r>
          </w:p>
        </w:tc>
        <w:tc>
          <w:tcPr>
            <w:tcW w:w="1279" w:type="dxa"/>
            <w:gridSpan w:val="2"/>
            <w:tcMar>
              <w:left w:w="28" w:type="dxa"/>
              <w:right w:w="28" w:type="dxa"/>
            </w:tcMar>
          </w:tcPr>
          <w:p w14:paraId="71A7C299" w14:textId="77777777" w:rsidR="00FA31A1" w:rsidRPr="00DC67EB" w:rsidRDefault="00FA31A1" w:rsidP="00FA31A1">
            <w:pPr>
              <w:spacing w:before="40" w:after="40"/>
              <w:rPr>
                <w:noProof/>
                <w:sz w:val="22"/>
              </w:rPr>
            </w:pPr>
          </w:p>
        </w:tc>
        <w:tc>
          <w:tcPr>
            <w:tcW w:w="1279" w:type="dxa"/>
            <w:gridSpan w:val="2"/>
            <w:tcMar>
              <w:left w:w="28" w:type="dxa"/>
              <w:right w:w="28" w:type="dxa"/>
            </w:tcMar>
          </w:tcPr>
          <w:p w14:paraId="4BE1556D" w14:textId="77777777" w:rsidR="00FA31A1" w:rsidRPr="00DC67EB" w:rsidRDefault="00FA31A1" w:rsidP="00FA31A1">
            <w:pPr>
              <w:spacing w:before="40" w:after="40"/>
              <w:rPr>
                <w:noProof/>
                <w:sz w:val="22"/>
              </w:rPr>
            </w:pPr>
          </w:p>
        </w:tc>
        <w:tc>
          <w:tcPr>
            <w:tcW w:w="1278" w:type="dxa"/>
            <w:gridSpan w:val="2"/>
            <w:tcMar>
              <w:left w:w="28" w:type="dxa"/>
              <w:right w:w="28" w:type="dxa"/>
            </w:tcMar>
          </w:tcPr>
          <w:p w14:paraId="1E971B87" w14:textId="77777777" w:rsidR="00FA31A1" w:rsidRPr="00DC67EB" w:rsidRDefault="00FA31A1" w:rsidP="00FA31A1">
            <w:pPr>
              <w:spacing w:before="40" w:after="40"/>
              <w:rPr>
                <w:b/>
                <w:i/>
                <w:noProof/>
                <w:sz w:val="22"/>
              </w:rPr>
            </w:pPr>
            <w:bookmarkStart w:id="40" w:name="_DV_C352"/>
            <w:r w:rsidRPr="00DC67EB">
              <w:rPr>
                <w:rStyle w:val="DeltaViewInsertion"/>
                <w:noProof/>
                <w:sz w:val="22"/>
              </w:rPr>
              <w:t>nem alkalmazható</w:t>
            </w:r>
            <w:bookmarkEnd w:id="40"/>
          </w:p>
        </w:tc>
        <w:tc>
          <w:tcPr>
            <w:tcW w:w="1277" w:type="dxa"/>
            <w:gridSpan w:val="2"/>
            <w:tcMar>
              <w:left w:w="28" w:type="dxa"/>
              <w:right w:w="28" w:type="dxa"/>
            </w:tcMar>
          </w:tcPr>
          <w:p w14:paraId="2607D739" w14:textId="77777777" w:rsidR="00FA31A1" w:rsidRPr="00DC67EB" w:rsidRDefault="00FA31A1" w:rsidP="00FA31A1">
            <w:pPr>
              <w:spacing w:before="40" w:after="40"/>
              <w:rPr>
                <w:b/>
                <w:i/>
                <w:noProof/>
                <w:sz w:val="22"/>
              </w:rPr>
            </w:pPr>
            <w:bookmarkStart w:id="41" w:name="_DV_C353"/>
            <w:r w:rsidRPr="00DC67EB">
              <w:rPr>
                <w:rStyle w:val="DeltaViewInsertion"/>
                <w:noProof/>
                <w:sz w:val="22"/>
              </w:rPr>
              <w:t>nem alkalmazható</w:t>
            </w:r>
            <w:bookmarkEnd w:id="41"/>
          </w:p>
        </w:tc>
        <w:tc>
          <w:tcPr>
            <w:tcW w:w="1136" w:type="dxa"/>
            <w:gridSpan w:val="2"/>
            <w:tcMar>
              <w:left w:w="28" w:type="dxa"/>
              <w:right w:w="28" w:type="dxa"/>
            </w:tcMar>
          </w:tcPr>
          <w:p w14:paraId="15D85CA2" w14:textId="77777777" w:rsidR="00FA31A1" w:rsidRPr="00DC67EB" w:rsidRDefault="00FA31A1" w:rsidP="00FA31A1">
            <w:pPr>
              <w:spacing w:before="40" w:after="40"/>
              <w:rPr>
                <w:noProof/>
                <w:sz w:val="22"/>
              </w:rPr>
            </w:pPr>
            <w:r w:rsidRPr="00DC67EB">
              <w:rPr>
                <w:noProof/>
                <w:sz w:val="22"/>
              </w:rPr>
              <w:t>PCDD + PCDF + PCB-DL-</w:t>
            </w:r>
          </w:p>
          <w:p w14:paraId="28666BCD" w14:textId="77777777" w:rsidR="00FA31A1" w:rsidRPr="00DC67EB" w:rsidRDefault="00FA31A1" w:rsidP="00FA31A1">
            <w:pPr>
              <w:spacing w:before="40" w:after="40"/>
              <w:rPr>
                <w:noProof/>
                <w:sz w:val="22"/>
                <w:vertAlign w:val="superscript"/>
              </w:rPr>
            </w:pPr>
            <w:r w:rsidRPr="00DC67EB">
              <w:rPr>
                <w:noProof/>
                <w:sz w:val="22"/>
              </w:rPr>
              <w:t>egyenértékek összege [3,5 10</w:t>
            </w:r>
            <w:r w:rsidRPr="00DC67EB">
              <w:rPr>
                <w:noProof/>
                <w:sz w:val="22"/>
                <w:vertAlign w:val="superscript"/>
              </w:rPr>
              <w:t>-5</w:t>
            </w:r>
            <w:r w:rsidRPr="00DC67EB">
              <w:rPr>
                <w:noProof/>
                <w:sz w:val="22"/>
              </w:rPr>
              <w:t>] (</w:t>
            </w:r>
            <w:r w:rsidRPr="00DC67EB">
              <w:rPr>
                <w:noProof/>
                <w:sz w:val="22"/>
                <w:vertAlign w:val="superscript"/>
              </w:rPr>
              <w:t>22</w:t>
            </w:r>
            <w:r w:rsidRPr="00DC67EB">
              <w:rPr>
                <w:noProof/>
                <w:sz w:val="22"/>
              </w:rPr>
              <w:t>)</w:t>
            </w:r>
          </w:p>
        </w:tc>
        <w:tc>
          <w:tcPr>
            <w:tcW w:w="1262" w:type="dxa"/>
            <w:tcMar>
              <w:left w:w="28" w:type="dxa"/>
              <w:right w:w="28" w:type="dxa"/>
            </w:tcMar>
          </w:tcPr>
          <w:p w14:paraId="7C424CBE" w14:textId="77777777" w:rsidR="00FA31A1" w:rsidRPr="00DC67EB" w:rsidRDefault="00FA31A1" w:rsidP="00FA31A1">
            <w:pPr>
              <w:spacing w:before="40" w:after="40"/>
              <w:rPr>
                <w:noProof/>
                <w:sz w:val="22"/>
              </w:rPr>
            </w:pPr>
            <w:r w:rsidRPr="00DC67EB">
              <w:rPr>
                <w:noProof/>
                <w:sz w:val="22"/>
              </w:rPr>
              <w:t>X</w:t>
            </w:r>
          </w:p>
        </w:tc>
        <w:tc>
          <w:tcPr>
            <w:tcW w:w="1153" w:type="dxa"/>
            <w:gridSpan w:val="2"/>
            <w:tcMar>
              <w:left w:w="28" w:type="dxa"/>
              <w:right w:w="28" w:type="dxa"/>
            </w:tcMar>
          </w:tcPr>
          <w:p w14:paraId="16871AD9" w14:textId="77777777" w:rsidR="00FA31A1" w:rsidRPr="00DC67EB" w:rsidRDefault="00FA31A1" w:rsidP="00FA31A1">
            <w:pPr>
              <w:spacing w:before="40" w:after="40"/>
              <w:rPr>
                <w:noProof/>
                <w:sz w:val="22"/>
              </w:rPr>
            </w:pPr>
            <w:r w:rsidRPr="00DC67EB">
              <w:rPr>
                <w:noProof/>
                <w:sz w:val="22"/>
              </w:rPr>
              <w:t>X</w:t>
            </w:r>
          </w:p>
        </w:tc>
        <w:tc>
          <w:tcPr>
            <w:tcW w:w="970" w:type="dxa"/>
            <w:tcMar>
              <w:left w:w="28" w:type="dxa"/>
              <w:right w:w="28" w:type="dxa"/>
            </w:tcMar>
          </w:tcPr>
          <w:p w14:paraId="581DBA31" w14:textId="77777777" w:rsidR="00FA31A1" w:rsidRPr="00DC67EB" w:rsidRDefault="00FA31A1" w:rsidP="00FA31A1">
            <w:pPr>
              <w:spacing w:before="40" w:after="40"/>
              <w:rPr>
                <w:noProof/>
                <w:sz w:val="22"/>
              </w:rPr>
            </w:pPr>
            <w:r w:rsidRPr="00DC67EB">
              <w:rPr>
                <w:noProof/>
                <w:sz w:val="22"/>
              </w:rPr>
              <w:t>X</w:t>
            </w:r>
          </w:p>
        </w:tc>
      </w:tr>
      <w:tr w:rsidR="00DC67EB" w:rsidRPr="00DC67EB" w14:paraId="5C931094" w14:textId="77777777" w:rsidTr="00FA31A1">
        <w:trPr>
          <w:gridBefore w:val="1"/>
          <w:wBefore w:w="12" w:type="dxa"/>
          <w:cantSplit/>
          <w:tblHeader/>
          <w:jc w:val="center"/>
        </w:trPr>
        <w:tc>
          <w:tcPr>
            <w:tcW w:w="651" w:type="dxa"/>
            <w:gridSpan w:val="3"/>
            <w:tcMar>
              <w:left w:w="28" w:type="dxa"/>
              <w:right w:w="28" w:type="dxa"/>
            </w:tcMar>
          </w:tcPr>
          <w:p w14:paraId="5A1C48B8" w14:textId="77777777" w:rsidR="00FA31A1" w:rsidRPr="00DC67EB" w:rsidRDefault="00FA31A1" w:rsidP="00FA31A1">
            <w:pPr>
              <w:spacing w:before="40" w:after="40"/>
              <w:rPr>
                <w:noProof/>
                <w:sz w:val="22"/>
              </w:rPr>
            </w:pPr>
            <w:r w:rsidRPr="00DC67EB">
              <w:rPr>
                <w:noProof/>
                <w:sz w:val="22"/>
              </w:rPr>
              <w:t>38.</w:t>
            </w:r>
          </w:p>
        </w:tc>
        <w:tc>
          <w:tcPr>
            <w:tcW w:w="2286" w:type="dxa"/>
            <w:gridSpan w:val="3"/>
            <w:tcMar>
              <w:left w:w="28" w:type="dxa"/>
              <w:right w:w="28" w:type="dxa"/>
            </w:tcMar>
          </w:tcPr>
          <w:p w14:paraId="0A1EB222" w14:textId="77777777" w:rsidR="00FA31A1" w:rsidRPr="00DC67EB" w:rsidRDefault="00FA31A1" w:rsidP="00FA31A1">
            <w:pPr>
              <w:spacing w:before="40" w:after="40"/>
              <w:rPr>
                <w:noProof/>
                <w:sz w:val="22"/>
              </w:rPr>
            </w:pPr>
            <w:r w:rsidRPr="00DC67EB">
              <w:rPr>
                <w:noProof/>
                <w:sz w:val="22"/>
              </w:rPr>
              <w:t>Aklonifen</w:t>
            </w:r>
          </w:p>
        </w:tc>
        <w:tc>
          <w:tcPr>
            <w:tcW w:w="1329" w:type="dxa"/>
            <w:gridSpan w:val="3"/>
            <w:tcMar>
              <w:left w:w="28" w:type="dxa"/>
              <w:right w:w="28" w:type="dxa"/>
            </w:tcMar>
          </w:tcPr>
          <w:p w14:paraId="56A47C6C" w14:textId="77777777" w:rsidR="00FA31A1" w:rsidRPr="00DC67EB" w:rsidRDefault="00FA31A1" w:rsidP="00FA31A1">
            <w:pPr>
              <w:spacing w:before="40" w:after="40"/>
              <w:rPr>
                <w:noProof/>
                <w:sz w:val="22"/>
              </w:rPr>
            </w:pPr>
            <w:r w:rsidRPr="00DC67EB">
              <w:rPr>
                <w:noProof/>
                <w:sz w:val="22"/>
              </w:rPr>
              <w:t>Gyomirtók</w:t>
            </w:r>
          </w:p>
        </w:tc>
        <w:tc>
          <w:tcPr>
            <w:tcW w:w="992" w:type="dxa"/>
            <w:gridSpan w:val="2"/>
            <w:tcMar>
              <w:left w:w="28" w:type="dxa"/>
              <w:right w:w="28" w:type="dxa"/>
            </w:tcMar>
          </w:tcPr>
          <w:p w14:paraId="7F460C4E" w14:textId="77777777" w:rsidR="00FA31A1" w:rsidRPr="00DC67EB" w:rsidRDefault="00FA31A1" w:rsidP="00FA31A1">
            <w:pPr>
              <w:spacing w:before="40" w:after="40"/>
              <w:rPr>
                <w:noProof/>
                <w:sz w:val="22"/>
              </w:rPr>
            </w:pPr>
            <w:r w:rsidRPr="00DC67EB">
              <w:rPr>
                <w:noProof/>
                <w:sz w:val="22"/>
              </w:rPr>
              <w:t>74070-46-5</w:t>
            </w:r>
          </w:p>
        </w:tc>
        <w:tc>
          <w:tcPr>
            <w:tcW w:w="1134" w:type="dxa"/>
          </w:tcPr>
          <w:p w14:paraId="3D52FAB5" w14:textId="77777777" w:rsidR="00FA31A1" w:rsidRPr="00DC67EB" w:rsidRDefault="00FA31A1" w:rsidP="00FA31A1">
            <w:pPr>
              <w:spacing w:before="40" w:after="40"/>
              <w:rPr>
                <w:noProof/>
                <w:sz w:val="22"/>
              </w:rPr>
            </w:pPr>
            <w:r w:rsidRPr="00DC67EB">
              <w:rPr>
                <w:noProof/>
                <w:sz w:val="22"/>
              </w:rPr>
              <w:t>277-704-1</w:t>
            </w:r>
          </w:p>
        </w:tc>
        <w:tc>
          <w:tcPr>
            <w:tcW w:w="1279" w:type="dxa"/>
            <w:gridSpan w:val="2"/>
            <w:tcMar>
              <w:left w:w="28" w:type="dxa"/>
              <w:right w:w="28" w:type="dxa"/>
            </w:tcMar>
          </w:tcPr>
          <w:p w14:paraId="3368BAA9" w14:textId="77777777" w:rsidR="00FA31A1" w:rsidRPr="00DC67EB" w:rsidRDefault="00FA31A1" w:rsidP="00FA31A1">
            <w:pPr>
              <w:spacing w:before="40" w:after="40"/>
              <w:rPr>
                <w:noProof/>
                <w:sz w:val="22"/>
              </w:rPr>
            </w:pPr>
            <w:r w:rsidRPr="00DC67EB">
              <w:rPr>
                <w:noProof/>
                <w:sz w:val="22"/>
              </w:rPr>
              <w:t>0,12</w:t>
            </w:r>
          </w:p>
        </w:tc>
        <w:tc>
          <w:tcPr>
            <w:tcW w:w="1279" w:type="dxa"/>
            <w:gridSpan w:val="2"/>
            <w:tcMar>
              <w:left w:w="28" w:type="dxa"/>
              <w:right w:w="28" w:type="dxa"/>
            </w:tcMar>
          </w:tcPr>
          <w:p w14:paraId="53CDB51E" w14:textId="77777777" w:rsidR="00FA31A1" w:rsidRPr="00DC67EB" w:rsidRDefault="00FA31A1" w:rsidP="00FA31A1">
            <w:pPr>
              <w:spacing w:before="40" w:after="40"/>
              <w:rPr>
                <w:noProof/>
                <w:sz w:val="22"/>
              </w:rPr>
            </w:pPr>
            <w:r w:rsidRPr="00DC67EB">
              <w:rPr>
                <w:noProof/>
                <w:sz w:val="22"/>
              </w:rPr>
              <w:t>0,012</w:t>
            </w:r>
          </w:p>
        </w:tc>
        <w:tc>
          <w:tcPr>
            <w:tcW w:w="1278" w:type="dxa"/>
            <w:gridSpan w:val="2"/>
            <w:tcMar>
              <w:left w:w="28" w:type="dxa"/>
              <w:right w:w="28" w:type="dxa"/>
            </w:tcMar>
          </w:tcPr>
          <w:p w14:paraId="15AA23EE" w14:textId="77777777" w:rsidR="00FA31A1" w:rsidRPr="00DC67EB" w:rsidRDefault="00FA31A1" w:rsidP="00FA31A1">
            <w:pPr>
              <w:spacing w:before="40" w:after="40"/>
              <w:rPr>
                <w:noProof/>
                <w:sz w:val="22"/>
              </w:rPr>
            </w:pPr>
            <w:r w:rsidRPr="00DC67EB">
              <w:rPr>
                <w:noProof/>
                <w:sz w:val="22"/>
              </w:rPr>
              <w:t>0,12</w:t>
            </w:r>
          </w:p>
        </w:tc>
        <w:tc>
          <w:tcPr>
            <w:tcW w:w="1277" w:type="dxa"/>
            <w:gridSpan w:val="2"/>
            <w:tcMar>
              <w:left w:w="28" w:type="dxa"/>
              <w:right w:w="28" w:type="dxa"/>
            </w:tcMar>
          </w:tcPr>
          <w:p w14:paraId="3B3127BF" w14:textId="77777777" w:rsidR="00FA31A1" w:rsidRPr="00DC67EB" w:rsidRDefault="00FA31A1" w:rsidP="00FA31A1">
            <w:pPr>
              <w:spacing w:before="40" w:after="40"/>
              <w:rPr>
                <w:noProof/>
                <w:sz w:val="22"/>
              </w:rPr>
            </w:pPr>
            <w:r w:rsidRPr="00DC67EB">
              <w:rPr>
                <w:noProof/>
                <w:sz w:val="22"/>
              </w:rPr>
              <w:t>0,012</w:t>
            </w:r>
          </w:p>
        </w:tc>
        <w:tc>
          <w:tcPr>
            <w:tcW w:w="1136" w:type="dxa"/>
            <w:gridSpan w:val="2"/>
            <w:tcMar>
              <w:left w:w="28" w:type="dxa"/>
              <w:right w:w="28" w:type="dxa"/>
            </w:tcMar>
          </w:tcPr>
          <w:p w14:paraId="67CE8C65" w14:textId="77777777" w:rsidR="00FA31A1" w:rsidRPr="00DC67EB" w:rsidRDefault="00FA31A1" w:rsidP="00FA31A1">
            <w:pPr>
              <w:spacing w:before="40" w:after="40"/>
              <w:rPr>
                <w:noProof/>
                <w:sz w:val="22"/>
              </w:rPr>
            </w:pPr>
          </w:p>
        </w:tc>
        <w:tc>
          <w:tcPr>
            <w:tcW w:w="1262" w:type="dxa"/>
            <w:tcMar>
              <w:left w:w="28" w:type="dxa"/>
              <w:right w:w="28" w:type="dxa"/>
            </w:tcMar>
          </w:tcPr>
          <w:p w14:paraId="79ECFFDD" w14:textId="77777777" w:rsidR="00FA31A1" w:rsidRPr="00DC67EB" w:rsidRDefault="00FA31A1" w:rsidP="00FA31A1">
            <w:pPr>
              <w:spacing w:before="40" w:after="40"/>
              <w:rPr>
                <w:noProof/>
                <w:sz w:val="22"/>
              </w:rPr>
            </w:pPr>
          </w:p>
        </w:tc>
        <w:tc>
          <w:tcPr>
            <w:tcW w:w="1153" w:type="dxa"/>
            <w:gridSpan w:val="2"/>
            <w:tcMar>
              <w:left w:w="28" w:type="dxa"/>
              <w:right w:w="28" w:type="dxa"/>
            </w:tcMar>
          </w:tcPr>
          <w:p w14:paraId="1420C72F" w14:textId="77777777" w:rsidR="00FA31A1" w:rsidRPr="00DC67EB" w:rsidRDefault="00FA31A1" w:rsidP="00FA31A1">
            <w:pPr>
              <w:spacing w:before="40" w:after="40"/>
              <w:rPr>
                <w:noProof/>
                <w:sz w:val="22"/>
              </w:rPr>
            </w:pPr>
          </w:p>
        </w:tc>
        <w:tc>
          <w:tcPr>
            <w:tcW w:w="970" w:type="dxa"/>
            <w:tcMar>
              <w:left w:w="28" w:type="dxa"/>
              <w:right w:w="28" w:type="dxa"/>
            </w:tcMar>
          </w:tcPr>
          <w:p w14:paraId="48862054" w14:textId="77777777" w:rsidR="00FA31A1" w:rsidRPr="00DC67EB" w:rsidRDefault="00FA31A1" w:rsidP="00FA31A1">
            <w:pPr>
              <w:spacing w:before="40" w:after="40"/>
              <w:rPr>
                <w:noProof/>
                <w:sz w:val="22"/>
              </w:rPr>
            </w:pPr>
          </w:p>
        </w:tc>
      </w:tr>
      <w:tr w:rsidR="00DC67EB" w:rsidRPr="00DC67EB" w14:paraId="19A58062" w14:textId="77777777" w:rsidTr="00FA31A1">
        <w:trPr>
          <w:gridBefore w:val="1"/>
          <w:wBefore w:w="12" w:type="dxa"/>
          <w:cantSplit/>
          <w:tblHeader/>
          <w:jc w:val="center"/>
        </w:trPr>
        <w:tc>
          <w:tcPr>
            <w:tcW w:w="651" w:type="dxa"/>
            <w:gridSpan w:val="3"/>
            <w:tcMar>
              <w:left w:w="28" w:type="dxa"/>
              <w:right w:w="28" w:type="dxa"/>
            </w:tcMar>
          </w:tcPr>
          <w:p w14:paraId="10EFE458" w14:textId="77777777" w:rsidR="00FA31A1" w:rsidRPr="00DC67EB" w:rsidRDefault="00FA31A1" w:rsidP="00FA31A1">
            <w:pPr>
              <w:spacing w:before="40" w:after="40"/>
              <w:rPr>
                <w:noProof/>
                <w:sz w:val="22"/>
              </w:rPr>
            </w:pPr>
            <w:r w:rsidRPr="00DC67EB">
              <w:rPr>
                <w:noProof/>
                <w:sz w:val="22"/>
              </w:rPr>
              <w:t>39.</w:t>
            </w:r>
          </w:p>
        </w:tc>
        <w:tc>
          <w:tcPr>
            <w:tcW w:w="2286" w:type="dxa"/>
            <w:gridSpan w:val="3"/>
            <w:tcMar>
              <w:left w:w="28" w:type="dxa"/>
              <w:right w:w="28" w:type="dxa"/>
            </w:tcMar>
          </w:tcPr>
          <w:p w14:paraId="5E17D0FE" w14:textId="77777777" w:rsidR="00FA31A1" w:rsidRPr="00DC67EB" w:rsidRDefault="00FA31A1" w:rsidP="00FA31A1">
            <w:pPr>
              <w:spacing w:before="40" w:after="40"/>
              <w:rPr>
                <w:noProof/>
                <w:sz w:val="22"/>
              </w:rPr>
            </w:pPr>
            <w:r w:rsidRPr="00DC67EB">
              <w:rPr>
                <w:noProof/>
                <w:sz w:val="22"/>
              </w:rPr>
              <w:t>Bifenox</w:t>
            </w:r>
          </w:p>
        </w:tc>
        <w:tc>
          <w:tcPr>
            <w:tcW w:w="1329" w:type="dxa"/>
            <w:gridSpan w:val="3"/>
            <w:tcMar>
              <w:left w:w="28" w:type="dxa"/>
              <w:right w:w="28" w:type="dxa"/>
            </w:tcMar>
          </w:tcPr>
          <w:p w14:paraId="52B995FC" w14:textId="77777777" w:rsidR="00FA31A1" w:rsidRPr="00DC67EB" w:rsidRDefault="00FA31A1" w:rsidP="00FA31A1">
            <w:pPr>
              <w:spacing w:before="40" w:after="40"/>
              <w:rPr>
                <w:noProof/>
                <w:sz w:val="22"/>
              </w:rPr>
            </w:pPr>
            <w:r w:rsidRPr="00DC67EB">
              <w:rPr>
                <w:noProof/>
                <w:sz w:val="22"/>
              </w:rPr>
              <w:t>Gyomirtók</w:t>
            </w:r>
          </w:p>
        </w:tc>
        <w:tc>
          <w:tcPr>
            <w:tcW w:w="992" w:type="dxa"/>
            <w:gridSpan w:val="2"/>
            <w:tcMar>
              <w:left w:w="28" w:type="dxa"/>
              <w:right w:w="28" w:type="dxa"/>
            </w:tcMar>
          </w:tcPr>
          <w:p w14:paraId="34BBCC19" w14:textId="77777777" w:rsidR="00FA31A1" w:rsidRPr="00DC67EB" w:rsidRDefault="00FA31A1" w:rsidP="00FA31A1">
            <w:pPr>
              <w:spacing w:before="40" w:after="40"/>
              <w:rPr>
                <w:noProof/>
                <w:sz w:val="22"/>
              </w:rPr>
            </w:pPr>
            <w:r w:rsidRPr="00DC67EB">
              <w:rPr>
                <w:noProof/>
                <w:sz w:val="22"/>
              </w:rPr>
              <w:t>42576-02-3</w:t>
            </w:r>
          </w:p>
        </w:tc>
        <w:tc>
          <w:tcPr>
            <w:tcW w:w="1134" w:type="dxa"/>
          </w:tcPr>
          <w:p w14:paraId="2391B5F9" w14:textId="77777777" w:rsidR="00FA31A1" w:rsidRPr="00DC67EB" w:rsidRDefault="00FA31A1" w:rsidP="00FA31A1">
            <w:pPr>
              <w:spacing w:before="40" w:after="40"/>
              <w:rPr>
                <w:noProof/>
                <w:sz w:val="22"/>
              </w:rPr>
            </w:pPr>
            <w:r w:rsidRPr="00DC67EB">
              <w:rPr>
                <w:noProof/>
                <w:sz w:val="22"/>
              </w:rPr>
              <w:t>255-894-7</w:t>
            </w:r>
          </w:p>
        </w:tc>
        <w:tc>
          <w:tcPr>
            <w:tcW w:w="1279" w:type="dxa"/>
            <w:gridSpan w:val="2"/>
            <w:tcMar>
              <w:left w:w="28" w:type="dxa"/>
              <w:right w:w="28" w:type="dxa"/>
            </w:tcMar>
          </w:tcPr>
          <w:p w14:paraId="27FED199" w14:textId="77777777" w:rsidR="00FA31A1" w:rsidRPr="00DC67EB" w:rsidRDefault="00FA31A1" w:rsidP="00FA31A1">
            <w:pPr>
              <w:spacing w:before="40" w:after="40"/>
              <w:rPr>
                <w:noProof/>
                <w:sz w:val="22"/>
              </w:rPr>
            </w:pPr>
            <w:r w:rsidRPr="00DC67EB">
              <w:rPr>
                <w:noProof/>
                <w:sz w:val="22"/>
              </w:rPr>
              <w:t>0,012</w:t>
            </w:r>
          </w:p>
        </w:tc>
        <w:tc>
          <w:tcPr>
            <w:tcW w:w="1279" w:type="dxa"/>
            <w:gridSpan w:val="2"/>
            <w:tcMar>
              <w:left w:w="28" w:type="dxa"/>
              <w:right w:w="28" w:type="dxa"/>
            </w:tcMar>
          </w:tcPr>
          <w:p w14:paraId="75BBA0A3" w14:textId="77777777" w:rsidR="00FA31A1" w:rsidRPr="00DC67EB" w:rsidRDefault="00FA31A1" w:rsidP="00FA31A1">
            <w:pPr>
              <w:spacing w:before="40" w:after="40"/>
              <w:rPr>
                <w:noProof/>
                <w:sz w:val="22"/>
              </w:rPr>
            </w:pPr>
            <w:r w:rsidRPr="00DC67EB">
              <w:rPr>
                <w:noProof/>
                <w:sz w:val="22"/>
              </w:rPr>
              <w:t>0,0012</w:t>
            </w:r>
          </w:p>
        </w:tc>
        <w:tc>
          <w:tcPr>
            <w:tcW w:w="1278" w:type="dxa"/>
            <w:gridSpan w:val="2"/>
            <w:tcMar>
              <w:left w:w="28" w:type="dxa"/>
              <w:right w:w="28" w:type="dxa"/>
            </w:tcMar>
          </w:tcPr>
          <w:p w14:paraId="3A0E870D" w14:textId="77777777" w:rsidR="00FA31A1" w:rsidRPr="00DC67EB" w:rsidRDefault="00FA31A1" w:rsidP="00FA31A1">
            <w:pPr>
              <w:spacing w:before="40" w:after="40"/>
              <w:rPr>
                <w:noProof/>
                <w:sz w:val="22"/>
              </w:rPr>
            </w:pPr>
            <w:r w:rsidRPr="00DC67EB">
              <w:rPr>
                <w:noProof/>
                <w:sz w:val="22"/>
              </w:rPr>
              <w:t>0,04</w:t>
            </w:r>
          </w:p>
        </w:tc>
        <w:tc>
          <w:tcPr>
            <w:tcW w:w="1277" w:type="dxa"/>
            <w:gridSpan w:val="2"/>
            <w:tcMar>
              <w:left w:w="28" w:type="dxa"/>
              <w:right w:w="28" w:type="dxa"/>
            </w:tcMar>
          </w:tcPr>
          <w:p w14:paraId="5A5FBEAF" w14:textId="77777777" w:rsidR="00FA31A1" w:rsidRPr="00DC67EB" w:rsidRDefault="00FA31A1" w:rsidP="00FA31A1">
            <w:pPr>
              <w:spacing w:before="40" w:after="40"/>
              <w:rPr>
                <w:noProof/>
                <w:sz w:val="22"/>
              </w:rPr>
            </w:pPr>
            <w:r w:rsidRPr="00DC67EB">
              <w:rPr>
                <w:noProof/>
                <w:sz w:val="22"/>
              </w:rPr>
              <w:t>0,004</w:t>
            </w:r>
          </w:p>
        </w:tc>
        <w:tc>
          <w:tcPr>
            <w:tcW w:w="1136" w:type="dxa"/>
            <w:gridSpan w:val="2"/>
            <w:tcMar>
              <w:left w:w="28" w:type="dxa"/>
              <w:right w:w="28" w:type="dxa"/>
            </w:tcMar>
          </w:tcPr>
          <w:p w14:paraId="26232BEC" w14:textId="77777777" w:rsidR="00FA31A1" w:rsidRPr="00DC67EB" w:rsidRDefault="00FA31A1" w:rsidP="00FA31A1">
            <w:pPr>
              <w:spacing w:before="40" w:after="40"/>
              <w:rPr>
                <w:noProof/>
                <w:sz w:val="22"/>
              </w:rPr>
            </w:pPr>
          </w:p>
        </w:tc>
        <w:tc>
          <w:tcPr>
            <w:tcW w:w="1262" w:type="dxa"/>
            <w:tcMar>
              <w:left w:w="28" w:type="dxa"/>
              <w:right w:w="28" w:type="dxa"/>
            </w:tcMar>
          </w:tcPr>
          <w:p w14:paraId="2E58C93D" w14:textId="77777777" w:rsidR="00FA31A1" w:rsidRPr="00DC67EB" w:rsidRDefault="00FA31A1" w:rsidP="00FA31A1">
            <w:pPr>
              <w:spacing w:before="40" w:after="40"/>
              <w:rPr>
                <w:noProof/>
                <w:sz w:val="22"/>
              </w:rPr>
            </w:pPr>
          </w:p>
        </w:tc>
        <w:tc>
          <w:tcPr>
            <w:tcW w:w="1153" w:type="dxa"/>
            <w:gridSpan w:val="2"/>
            <w:tcMar>
              <w:left w:w="28" w:type="dxa"/>
              <w:right w:w="28" w:type="dxa"/>
            </w:tcMar>
          </w:tcPr>
          <w:p w14:paraId="1F2CEE19" w14:textId="77777777" w:rsidR="00FA31A1" w:rsidRPr="00DC67EB" w:rsidRDefault="00FA31A1" w:rsidP="00FA31A1">
            <w:pPr>
              <w:spacing w:before="40" w:after="40"/>
              <w:rPr>
                <w:noProof/>
                <w:sz w:val="22"/>
              </w:rPr>
            </w:pPr>
          </w:p>
        </w:tc>
        <w:tc>
          <w:tcPr>
            <w:tcW w:w="970" w:type="dxa"/>
            <w:tcMar>
              <w:left w:w="28" w:type="dxa"/>
              <w:right w:w="28" w:type="dxa"/>
            </w:tcMar>
          </w:tcPr>
          <w:p w14:paraId="19B6ECC2" w14:textId="77777777" w:rsidR="00FA31A1" w:rsidRPr="00DC67EB" w:rsidRDefault="00FA31A1" w:rsidP="00FA31A1">
            <w:pPr>
              <w:spacing w:before="40" w:after="40"/>
              <w:rPr>
                <w:noProof/>
                <w:sz w:val="22"/>
              </w:rPr>
            </w:pPr>
          </w:p>
        </w:tc>
      </w:tr>
      <w:tr w:rsidR="00DC67EB" w:rsidRPr="00DC67EB" w14:paraId="1FEB7DB0" w14:textId="77777777" w:rsidTr="00FA31A1">
        <w:trPr>
          <w:gridBefore w:val="1"/>
          <w:wBefore w:w="12" w:type="dxa"/>
          <w:cantSplit/>
          <w:tblHeader/>
          <w:jc w:val="center"/>
        </w:trPr>
        <w:tc>
          <w:tcPr>
            <w:tcW w:w="651" w:type="dxa"/>
            <w:gridSpan w:val="3"/>
            <w:tcMar>
              <w:left w:w="28" w:type="dxa"/>
              <w:right w:w="28" w:type="dxa"/>
            </w:tcMar>
          </w:tcPr>
          <w:p w14:paraId="7D3AE206" w14:textId="77777777" w:rsidR="00FA31A1" w:rsidRPr="00DC67EB" w:rsidRDefault="00FA31A1" w:rsidP="00FA31A1">
            <w:pPr>
              <w:spacing w:before="40" w:after="40"/>
              <w:rPr>
                <w:noProof/>
                <w:sz w:val="22"/>
              </w:rPr>
            </w:pPr>
            <w:r w:rsidRPr="00DC67EB">
              <w:rPr>
                <w:noProof/>
                <w:sz w:val="22"/>
              </w:rPr>
              <w:t>40.</w:t>
            </w:r>
          </w:p>
        </w:tc>
        <w:tc>
          <w:tcPr>
            <w:tcW w:w="2286" w:type="dxa"/>
            <w:gridSpan w:val="3"/>
            <w:tcMar>
              <w:left w:w="28" w:type="dxa"/>
              <w:right w:w="28" w:type="dxa"/>
            </w:tcMar>
          </w:tcPr>
          <w:p w14:paraId="56FE09BF" w14:textId="77777777" w:rsidR="00FA31A1" w:rsidRPr="00DC67EB" w:rsidRDefault="00FA31A1" w:rsidP="00FA31A1">
            <w:pPr>
              <w:spacing w:before="40" w:after="40"/>
              <w:rPr>
                <w:noProof/>
                <w:sz w:val="22"/>
              </w:rPr>
            </w:pPr>
            <w:r w:rsidRPr="00DC67EB">
              <w:rPr>
                <w:noProof/>
                <w:sz w:val="22"/>
              </w:rPr>
              <w:t>Cibutrin</w:t>
            </w:r>
          </w:p>
        </w:tc>
        <w:tc>
          <w:tcPr>
            <w:tcW w:w="1329" w:type="dxa"/>
            <w:gridSpan w:val="3"/>
            <w:tcMar>
              <w:left w:w="28" w:type="dxa"/>
              <w:right w:w="28" w:type="dxa"/>
            </w:tcMar>
          </w:tcPr>
          <w:p w14:paraId="6AC8D11B" w14:textId="77777777" w:rsidR="00FA31A1" w:rsidRPr="00DC67EB" w:rsidRDefault="00FA31A1" w:rsidP="00FA31A1">
            <w:pPr>
              <w:spacing w:before="40" w:after="40"/>
              <w:rPr>
                <w:noProof/>
                <w:sz w:val="22"/>
              </w:rPr>
            </w:pPr>
            <w:r w:rsidRPr="00DC67EB">
              <w:rPr>
                <w:noProof/>
                <w:sz w:val="22"/>
              </w:rPr>
              <w:t>Biocidok</w:t>
            </w:r>
          </w:p>
        </w:tc>
        <w:tc>
          <w:tcPr>
            <w:tcW w:w="992" w:type="dxa"/>
            <w:gridSpan w:val="2"/>
            <w:tcMar>
              <w:left w:w="28" w:type="dxa"/>
              <w:right w:w="28" w:type="dxa"/>
            </w:tcMar>
          </w:tcPr>
          <w:p w14:paraId="350AE827" w14:textId="77777777" w:rsidR="00FA31A1" w:rsidRPr="00DC67EB" w:rsidRDefault="00FA31A1" w:rsidP="00FA31A1">
            <w:pPr>
              <w:spacing w:before="40" w:after="40"/>
              <w:rPr>
                <w:noProof/>
                <w:sz w:val="22"/>
              </w:rPr>
            </w:pPr>
            <w:r w:rsidRPr="00DC67EB">
              <w:rPr>
                <w:noProof/>
                <w:sz w:val="22"/>
              </w:rPr>
              <w:t>28159-98-0</w:t>
            </w:r>
          </w:p>
        </w:tc>
        <w:tc>
          <w:tcPr>
            <w:tcW w:w="1134" w:type="dxa"/>
          </w:tcPr>
          <w:p w14:paraId="7E78F702" w14:textId="77777777" w:rsidR="00FA31A1" w:rsidRPr="00DC67EB" w:rsidRDefault="00FA31A1" w:rsidP="00FA31A1">
            <w:pPr>
              <w:spacing w:before="40" w:after="40"/>
              <w:rPr>
                <w:noProof/>
                <w:sz w:val="22"/>
              </w:rPr>
            </w:pPr>
            <w:r w:rsidRPr="00DC67EB">
              <w:rPr>
                <w:noProof/>
                <w:sz w:val="22"/>
              </w:rPr>
              <w:t>248-872-3</w:t>
            </w:r>
          </w:p>
        </w:tc>
        <w:tc>
          <w:tcPr>
            <w:tcW w:w="1279" w:type="dxa"/>
            <w:gridSpan w:val="2"/>
            <w:tcMar>
              <w:left w:w="28" w:type="dxa"/>
              <w:right w:w="28" w:type="dxa"/>
            </w:tcMar>
          </w:tcPr>
          <w:p w14:paraId="01A8F593" w14:textId="77777777" w:rsidR="00FA31A1" w:rsidRPr="00DC67EB" w:rsidRDefault="00FA31A1" w:rsidP="00FA31A1">
            <w:pPr>
              <w:spacing w:before="40" w:after="40"/>
              <w:rPr>
                <w:noProof/>
                <w:sz w:val="22"/>
              </w:rPr>
            </w:pPr>
            <w:r w:rsidRPr="00DC67EB">
              <w:rPr>
                <w:noProof/>
                <w:sz w:val="22"/>
              </w:rPr>
              <w:t>0,0025</w:t>
            </w:r>
          </w:p>
        </w:tc>
        <w:tc>
          <w:tcPr>
            <w:tcW w:w="1279" w:type="dxa"/>
            <w:gridSpan w:val="2"/>
            <w:tcMar>
              <w:left w:w="28" w:type="dxa"/>
              <w:right w:w="28" w:type="dxa"/>
            </w:tcMar>
          </w:tcPr>
          <w:p w14:paraId="49E1C6F8" w14:textId="77777777" w:rsidR="00FA31A1" w:rsidRPr="00DC67EB" w:rsidRDefault="00FA31A1" w:rsidP="00FA31A1">
            <w:pPr>
              <w:spacing w:before="40" w:after="40"/>
              <w:rPr>
                <w:noProof/>
                <w:sz w:val="22"/>
              </w:rPr>
            </w:pPr>
            <w:r w:rsidRPr="00DC67EB">
              <w:rPr>
                <w:noProof/>
                <w:sz w:val="22"/>
              </w:rPr>
              <w:t>0,0025</w:t>
            </w:r>
          </w:p>
        </w:tc>
        <w:tc>
          <w:tcPr>
            <w:tcW w:w="1278" w:type="dxa"/>
            <w:gridSpan w:val="2"/>
            <w:tcMar>
              <w:left w:w="28" w:type="dxa"/>
              <w:right w:w="28" w:type="dxa"/>
            </w:tcMar>
          </w:tcPr>
          <w:p w14:paraId="759AE545" w14:textId="77777777" w:rsidR="00FA31A1" w:rsidRPr="00DC67EB" w:rsidRDefault="00FA31A1" w:rsidP="00FA31A1">
            <w:pPr>
              <w:spacing w:before="40" w:after="40"/>
              <w:rPr>
                <w:noProof/>
                <w:sz w:val="22"/>
              </w:rPr>
            </w:pPr>
            <w:r w:rsidRPr="00DC67EB">
              <w:rPr>
                <w:noProof/>
                <w:sz w:val="22"/>
              </w:rPr>
              <w:t>0,016</w:t>
            </w:r>
          </w:p>
        </w:tc>
        <w:tc>
          <w:tcPr>
            <w:tcW w:w="1277" w:type="dxa"/>
            <w:gridSpan w:val="2"/>
            <w:tcMar>
              <w:left w:w="28" w:type="dxa"/>
              <w:right w:w="28" w:type="dxa"/>
            </w:tcMar>
          </w:tcPr>
          <w:p w14:paraId="525A70D1" w14:textId="77777777" w:rsidR="00FA31A1" w:rsidRPr="00DC67EB" w:rsidRDefault="00FA31A1" w:rsidP="00FA31A1">
            <w:pPr>
              <w:spacing w:before="40" w:after="40"/>
              <w:rPr>
                <w:noProof/>
                <w:sz w:val="22"/>
              </w:rPr>
            </w:pPr>
            <w:r w:rsidRPr="00DC67EB">
              <w:rPr>
                <w:noProof/>
                <w:sz w:val="22"/>
              </w:rPr>
              <w:t>0,016</w:t>
            </w:r>
          </w:p>
        </w:tc>
        <w:tc>
          <w:tcPr>
            <w:tcW w:w="1136" w:type="dxa"/>
            <w:gridSpan w:val="2"/>
            <w:tcMar>
              <w:left w:w="28" w:type="dxa"/>
              <w:right w:w="28" w:type="dxa"/>
            </w:tcMar>
          </w:tcPr>
          <w:p w14:paraId="72A6D95D" w14:textId="77777777" w:rsidR="00FA31A1" w:rsidRPr="00DC67EB" w:rsidRDefault="00FA31A1" w:rsidP="00FA31A1">
            <w:pPr>
              <w:spacing w:before="40" w:after="40"/>
              <w:rPr>
                <w:noProof/>
                <w:sz w:val="22"/>
              </w:rPr>
            </w:pPr>
          </w:p>
        </w:tc>
        <w:tc>
          <w:tcPr>
            <w:tcW w:w="1262" w:type="dxa"/>
            <w:tcMar>
              <w:left w:w="28" w:type="dxa"/>
              <w:right w:w="28" w:type="dxa"/>
            </w:tcMar>
          </w:tcPr>
          <w:p w14:paraId="05EDC404" w14:textId="77777777" w:rsidR="00FA31A1" w:rsidRPr="00DC67EB" w:rsidRDefault="00FA31A1" w:rsidP="00FA31A1">
            <w:pPr>
              <w:spacing w:before="40" w:after="40"/>
              <w:rPr>
                <w:noProof/>
                <w:sz w:val="22"/>
              </w:rPr>
            </w:pPr>
          </w:p>
        </w:tc>
        <w:tc>
          <w:tcPr>
            <w:tcW w:w="1153" w:type="dxa"/>
            <w:gridSpan w:val="2"/>
            <w:tcMar>
              <w:left w:w="28" w:type="dxa"/>
              <w:right w:w="28" w:type="dxa"/>
            </w:tcMar>
          </w:tcPr>
          <w:p w14:paraId="0D85916B" w14:textId="77777777" w:rsidR="00FA31A1" w:rsidRPr="00DC67EB" w:rsidRDefault="00FA31A1" w:rsidP="00FA31A1">
            <w:pPr>
              <w:spacing w:before="40" w:after="40"/>
              <w:rPr>
                <w:noProof/>
                <w:sz w:val="22"/>
              </w:rPr>
            </w:pPr>
          </w:p>
        </w:tc>
        <w:tc>
          <w:tcPr>
            <w:tcW w:w="970" w:type="dxa"/>
            <w:tcMar>
              <w:left w:w="28" w:type="dxa"/>
              <w:right w:w="28" w:type="dxa"/>
            </w:tcMar>
          </w:tcPr>
          <w:p w14:paraId="58285FAE" w14:textId="77777777" w:rsidR="00FA31A1" w:rsidRPr="00DC67EB" w:rsidRDefault="00FA31A1" w:rsidP="00FA31A1">
            <w:pPr>
              <w:spacing w:before="40" w:after="40"/>
              <w:rPr>
                <w:noProof/>
                <w:sz w:val="22"/>
              </w:rPr>
            </w:pPr>
          </w:p>
        </w:tc>
      </w:tr>
      <w:tr w:rsidR="00DC67EB" w:rsidRPr="00DC67EB" w14:paraId="184B8ED7" w14:textId="77777777" w:rsidTr="00FA31A1">
        <w:trPr>
          <w:gridBefore w:val="1"/>
          <w:wBefore w:w="12" w:type="dxa"/>
          <w:cantSplit/>
          <w:tblHeader/>
          <w:jc w:val="center"/>
        </w:trPr>
        <w:tc>
          <w:tcPr>
            <w:tcW w:w="651" w:type="dxa"/>
            <w:gridSpan w:val="3"/>
            <w:tcMar>
              <w:left w:w="28" w:type="dxa"/>
              <w:right w:w="28" w:type="dxa"/>
            </w:tcMar>
          </w:tcPr>
          <w:p w14:paraId="28419CDC" w14:textId="77777777" w:rsidR="00FA31A1" w:rsidRPr="00DC67EB" w:rsidRDefault="00FA31A1" w:rsidP="00FA31A1">
            <w:pPr>
              <w:spacing w:before="40" w:after="40"/>
              <w:rPr>
                <w:noProof/>
                <w:sz w:val="22"/>
              </w:rPr>
            </w:pPr>
            <w:r w:rsidRPr="00DC67EB">
              <w:rPr>
                <w:noProof/>
                <w:sz w:val="22"/>
              </w:rPr>
              <w:t>41.</w:t>
            </w:r>
          </w:p>
        </w:tc>
        <w:tc>
          <w:tcPr>
            <w:tcW w:w="2286" w:type="dxa"/>
            <w:gridSpan w:val="3"/>
            <w:tcMar>
              <w:left w:w="28" w:type="dxa"/>
              <w:right w:w="28" w:type="dxa"/>
            </w:tcMar>
          </w:tcPr>
          <w:p w14:paraId="782B682E" w14:textId="77777777" w:rsidR="00FA31A1" w:rsidRPr="00DC67EB" w:rsidRDefault="00FA31A1" w:rsidP="00FA31A1">
            <w:pPr>
              <w:spacing w:before="40" w:after="40"/>
              <w:rPr>
                <w:noProof/>
                <w:sz w:val="22"/>
              </w:rPr>
            </w:pPr>
            <w:r w:rsidRPr="00DC67EB">
              <w:rPr>
                <w:noProof/>
                <w:sz w:val="22"/>
              </w:rPr>
              <w:t>Cipermetrin (</w:t>
            </w:r>
            <w:r w:rsidRPr="00DC67EB">
              <w:rPr>
                <w:noProof/>
                <w:sz w:val="22"/>
                <w:vertAlign w:val="superscript"/>
              </w:rPr>
              <w:t>23</w:t>
            </w:r>
            <w:r w:rsidRPr="00DC67EB">
              <w:rPr>
                <w:noProof/>
                <w:sz w:val="22"/>
              </w:rPr>
              <w:t>)</w:t>
            </w:r>
          </w:p>
        </w:tc>
        <w:tc>
          <w:tcPr>
            <w:tcW w:w="1329" w:type="dxa"/>
            <w:gridSpan w:val="3"/>
            <w:tcMar>
              <w:left w:w="28" w:type="dxa"/>
              <w:right w:w="28" w:type="dxa"/>
            </w:tcMar>
          </w:tcPr>
          <w:p w14:paraId="344898C2" w14:textId="77777777" w:rsidR="00FA31A1" w:rsidRPr="00DC67EB" w:rsidRDefault="00FA31A1" w:rsidP="00FA31A1">
            <w:pPr>
              <w:spacing w:before="40" w:after="40"/>
              <w:rPr>
                <w:noProof/>
                <w:sz w:val="22"/>
              </w:rPr>
            </w:pPr>
            <w:r w:rsidRPr="00DC67EB">
              <w:rPr>
                <w:noProof/>
                <w:sz w:val="22"/>
              </w:rPr>
              <w:t>Piretroid peszticidek</w:t>
            </w:r>
          </w:p>
        </w:tc>
        <w:tc>
          <w:tcPr>
            <w:tcW w:w="992" w:type="dxa"/>
            <w:gridSpan w:val="2"/>
            <w:tcMar>
              <w:left w:w="28" w:type="dxa"/>
              <w:right w:w="28" w:type="dxa"/>
            </w:tcMar>
          </w:tcPr>
          <w:p w14:paraId="6019219E" w14:textId="77777777" w:rsidR="00FA31A1" w:rsidRPr="00DC67EB" w:rsidRDefault="00FA31A1" w:rsidP="00FA31A1">
            <w:pPr>
              <w:spacing w:before="40" w:after="40"/>
              <w:rPr>
                <w:noProof/>
                <w:sz w:val="22"/>
              </w:rPr>
            </w:pPr>
            <w:r w:rsidRPr="00DC67EB">
              <w:rPr>
                <w:noProof/>
                <w:sz w:val="22"/>
              </w:rPr>
              <w:t>52315-07-8</w:t>
            </w:r>
          </w:p>
        </w:tc>
        <w:tc>
          <w:tcPr>
            <w:tcW w:w="1134" w:type="dxa"/>
          </w:tcPr>
          <w:p w14:paraId="3F2B8DC1" w14:textId="77777777" w:rsidR="00FA31A1" w:rsidRPr="00DC67EB" w:rsidRDefault="00FA31A1" w:rsidP="00FA31A1">
            <w:pPr>
              <w:spacing w:before="40" w:after="40"/>
              <w:rPr>
                <w:strike/>
                <w:noProof/>
                <w:sz w:val="22"/>
              </w:rPr>
            </w:pPr>
            <w:r w:rsidRPr="00DC67EB">
              <w:rPr>
                <w:noProof/>
                <w:sz w:val="22"/>
              </w:rPr>
              <w:t>257-842-9</w:t>
            </w:r>
          </w:p>
        </w:tc>
        <w:tc>
          <w:tcPr>
            <w:tcW w:w="1279" w:type="dxa"/>
            <w:gridSpan w:val="2"/>
            <w:tcMar>
              <w:left w:w="28" w:type="dxa"/>
              <w:right w:w="28" w:type="dxa"/>
            </w:tcMar>
          </w:tcPr>
          <w:p w14:paraId="04E9F969" w14:textId="77777777" w:rsidR="00FA31A1" w:rsidRPr="00DC67EB" w:rsidRDefault="00FA31A1" w:rsidP="00FA31A1">
            <w:pPr>
              <w:spacing w:before="40" w:after="40"/>
              <w:rPr>
                <w:noProof/>
                <w:sz w:val="22"/>
              </w:rPr>
            </w:pPr>
            <w:r w:rsidRPr="00DC67EB">
              <w:rPr>
                <w:noProof/>
                <w:sz w:val="22"/>
              </w:rPr>
              <w:t>3 × 10</w:t>
            </w:r>
            <w:r w:rsidRPr="00DC67EB">
              <w:rPr>
                <w:noProof/>
                <w:sz w:val="22"/>
                <w:vertAlign w:val="superscript"/>
              </w:rPr>
              <w:t>-5</w:t>
            </w:r>
          </w:p>
        </w:tc>
        <w:tc>
          <w:tcPr>
            <w:tcW w:w="1279" w:type="dxa"/>
            <w:gridSpan w:val="2"/>
            <w:tcMar>
              <w:left w:w="28" w:type="dxa"/>
              <w:right w:w="28" w:type="dxa"/>
            </w:tcMar>
          </w:tcPr>
          <w:p w14:paraId="1F11F1E3" w14:textId="77777777" w:rsidR="00FA31A1" w:rsidRPr="00DC67EB" w:rsidRDefault="00FA31A1" w:rsidP="00FA31A1">
            <w:pPr>
              <w:spacing w:before="40" w:after="40"/>
              <w:rPr>
                <w:noProof/>
                <w:sz w:val="22"/>
              </w:rPr>
            </w:pPr>
            <w:r w:rsidRPr="00DC67EB">
              <w:rPr>
                <w:noProof/>
                <w:sz w:val="22"/>
              </w:rPr>
              <w:t>3 × 10</w:t>
            </w:r>
            <w:r w:rsidRPr="00DC67EB">
              <w:rPr>
                <w:noProof/>
                <w:sz w:val="22"/>
                <w:vertAlign w:val="superscript"/>
              </w:rPr>
              <w:t>-6</w:t>
            </w:r>
          </w:p>
        </w:tc>
        <w:tc>
          <w:tcPr>
            <w:tcW w:w="1278" w:type="dxa"/>
            <w:gridSpan w:val="2"/>
            <w:tcMar>
              <w:left w:w="28" w:type="dxa"/>
              <w:right w:w="28" w:type="dxa"/>
            </w:tcMar>
          </w:tcPr>
          <w:p w14:paraId="0E79428C" w14:textId="77777777" w:rsidR="00FA31A1" w:rsidRPr="00DC67EB" w:rsidRDefault="00FA31A1" w:rsidP="00FA31A1">
            <w:pPr>
              <w:spacing w:before="40" w:after="40"/>
              <w:rPr>
                <w:noProof/>
                <w:sz w:val="22"/>
                <w:vertAlign w:val="superscript"/>
              </w:rPr>
            </w:pPr>
            <w:r w:rsidRPr="00DC67EB">
              <w:rPr>
                <w:noProof/>
                <w:sz w:val="22"/>
              </w:rPr>
              <w:t>6 × 10</w:t>
            </w:r>
            <w:r w:rsidRPr="00DC67EB">
              <w:rPr>
                <w:noProof/>
                <w:sz w:val="22"/>
                <w:vertAlign w:val="superscript"/>
              </w:rPr>
              <w:t>-4</w:t>
            </w:r>
          </w:p>
        </w:tc>
        <w:tc>
          <w:tcPr>
            <w:tcW w:w="1277" w:type="dxa"/>
            <w:gridSpan w:val="2"/>
            <w:tcMar>
              <w:left w:w="28" w:type="dxa"/>
              <w:right w:w="28" w:type="dxa"/>
            </w:tcMar>
          </w:tcPr>
          <w:p w14:paraId="5CFAA75C" w14:textId="77777777" w:rsidR="00FA31A1" w:rsidRPr="00DC67EB" w:rsidRDefault="00FA31A1" w:rsidP="00FA31A1">
            <w:pPr>
              <w:spacing w:before="40" w:after="40"/>
              <w:rPr>
                <w:noProof/>
                <w:sz w:val="22"/>
                <w:vertAlign w:val="superscript"/>
              </w:rPr>
            </w:pPr>
            <w:r w:rsidRPr="00DC67EB">
              <w:rPr>
                <w:noProof/>
                <w:sz w:val="22"/>
              </w:rPr>
              <w:t>6 × 10</w:t>
            </w:r>
            <w:r w:rsidRPr="00DC67EB">
              <w:rPr>
                <w:noProof/>
                <w:sz w:val="22"/>
                <w:vertAlign w:val="superscript"/>
              </w:rPr>
              <w:t>-5</w:t>
            </w:r>
          </w:p>
        </w:tc>
        <w:tc>
          <w:tcPr>
            <w:tcW w:w="1136" w:type="dxa"/>
            <w:gridSpan w:val="2"/>
            <w:tcMar>
              <w:left w:w="28" w:type="dxa"/>
              <w:right w:w="28" w:type="dxa"/>
            </w:tcMar>
          </w:tcPr>
          <w:p w14:paraId="16F35E99" w14:textId="77777777" w:rsidR="00FA31A1" w:rsidRPr="00DC67EB" w:rsidRDefault="00FA31A1" w:rsidP="00FA31A1">
            <w:pPr>
              <w:spacing w:before="40" w:after="40"/>
              <w:rPr>
                <w:noProof/>
                <w:sz w:val="22"/>
              </w:rPr>
            </w:pPr>
          </w:p>
        </w:tc>
        <w:tc>
          <w:tcPr>
            <w:tcW w:w="1262" w:type="dxa"/>
            <w:tcMar>
              <w:left w:w="28" w:type="dxa"/>
              <w:right w:w="28" w:type="dxa"/>
            </w:tcMar>
          </w:tcPr>
          <w:p w14:paraId="1180D5D2" w14:textId="77777777" w:rsidR="00FA31A1" w:rsidRPr="00DC67EB" w:rsidRDefault="00FA31A1" w:rsidP="00FA31A1">
            <w:pPr>
              <w:spacing w:before="40" w:after="40"/>
              <w:rPr>
                <w:noProof/>
                <w:sz w:val="22"/>
                <w:vertAlign w:val="superscript"/>
              </w:rPr>
            </w:pPr>
          </w:p>
        </w:tc>
        <w:tc>
          <w:tcPr>
            <w:tcW w:w="1153" w:type="dxa"/>
            <w:gridSpan w:val="2"/>
            <w:tcMar>
              <w:left w:w="28" w:type="dxa"/>
              <w:right w:w="28" w:type="dxa"/>
            </w:tcMar>
          </w:tcPr>
          <w:p w14:paraId="1697A2A6" w14:textId="77777777" w:rsidR="00FA31A1" w:rsidRPr="00DC67EB" w:rsidRDefault="00FA31A1" w:rsidP="00FA31A1">
            <w:pPr>
              <w:spacing w:before="40" w:after="40"/>
              <w:rPr>
                <w:noProof/>
                <w:sz w:val="22"/>
                <w:vertAlign w:val="superscript"/>
              </w:rPr>
            </w:pPr>
          </w:p>
        </w:tc>
        <w:tc>
          <w:tcPr>
            <w:tcW w:w="970" w:type="dxa"/>
            <w:tcMar>
              <w:left w:w="28" w:type="dxa"/>
              <w:right w:w="28" w:type="dxa"/>
            </w:tcMar>
          </w:tcPr>
          <w:p w14:paraId="5247671C" w14:textId="77777777" w:rsidR="00FA31A1" w:rsidRPr="00DC67EB" w:rsidRDefault="00FA31A1" w:rsidP="00FA31A1">
            <w:pPr>
              <w:spacing w:before="40" w:after="40"/>
              <w:rPr>
                <w:noProof/>
                <w:sz w:val="22"/>
                <w:vertAlign w:val="superscript"/>
              </w:rPr>
            </w:pPr>
            <w:r w:rsidRPr="00DC67EB">
              <w:rPr>
                <w:noProof/>
                <w:sz w:val="22"/>
              </w:rPr>
              <w:t>X</w:t>
            </w:r>
          </w:p>
        </w:tc>
      </w:tr>
      <w:tr w:rsidR="00DC67EB" w:rsidRPr="00DC67EB" w14:paraId="4AFF5850" w14:textId="77777777" w:rsidTr="00FA31A1">
        <w:trPr>
          <w:gridBefore w:val="1"/>
          <w:wBefore w:w="12" w:type="dxa"/>
          <w:cantSplit/>
          <w:tblHeader/>
          <w:jc w:val="center"/>
        </w:trPr>
        <w:tc>
          <w:tcPr>
            <w:tcW w:w="651" w:type="dxa"/>
            <w:gridSpan w:val="3"/>
            <w:tcMar>
              <w:left w:w="28" w:type="dxa"/>
              <w:right w:w="28" w:type="dxa"/>
            </w:tcMar>
          </w:tcPr>
          <w:p w14:paraId="25B396A3" w14:textId="77777777" w:rsidR="00FA31A1" w:rsidRPr="00DC67EB" w:rsidRDefault="00FA31A1" w:rsidP="00FA31A1">
            <w:pPr>
              <w:spacing w:before="40" w:after="40"/>
              <w:rPr>
                <w:noProof/>
                <w:sz w:val="22"/>
              </w:rPr>
            </w:pPr>
            <w:r w:rsidRPr="00DC67EB">
              <w:rPr>
                <w:noProof/>
                <w:sz w:val="22"/>
              </w:rPr>
              <w:t>42.</w:t>
            </w:r>
          </w:p>
        </w:tc>
        <w:tc>
          <w:tcPr>
            <w:tcW w:w="2286" w:type="dxa"/>
            <w:gridSpan w:val="3"/>
            <w:tcMar>
              <w:left w:w="28" w:type="dxa"/>
              <w:right w:w="28" w:type="dxa"/>
            </w:tcMar>
          </w:tcPr>
          <w:p w14:paraId="75A6BE75" w14:textId="77777777" w:rsidR="00FA31A1" w:rsidRPr="00DC67EB" w:rsidRDefault="00FA31A1" w:rsidP="00FA31A1">
            <w:pPr>
              <w:spacing w:before="40" w:after="40"/>
              <w:rPr>
                <w:noProof/>
                <w:sz w:val="22"/>
              </w:rPr>
            </w:pPr>
            <w:r w:rsidRPr="00DC67EB">
              <w:rPr>
                <w:noProof/>
                <w:sz w:val="22"/>
              </w:rPr>
              <w:t>Diklórfosz</w:t>
            </w:r>
          </w:p>
        </w:tc>
        <w:tc>
          <w:tcPr>
            <w:tcW w:w="1329" w:type="dxa"/>
            <w:gridSpan w:val="3"/>
            <w:tcMar>
              <w:left w:w="28" w:type="dxa"/>
              <w:right w:w="28" w:type="dxa"/>
            </w:tcMar>
          </w:tcPr>
          <w:p w14:paraId="18E58724" w14:textId="77777777" w:rsidR="00FA31A1" w:rsidRPr="00DC67EB" w:rsidRDefault="00FA31A1" w:rsidP="00FA31A1">
            <w:pPr>
              <w:spacing w:before="40" w:after="40"/>
              <w:rPr>
                <w:noProof/>
                <w:sz w:val="22"/>
              </w:rPr>
            </w:pPr>
            <w:r w:rsidRPr="00DC67EB">
              <w:rPr>
                <w:noProof/>
                <w:sz w:val="22"/>
              </w:rPr>
              <w:t>Szerves foszfátot tartalmazó peszticidek</w:t>
            </w:r>
          </w:p>
        </w:tc>
        <w:tc>
          <w:tcPr>
            <w:tcW w:w="992" w:type="dxa"/>
            <w:gridSpan w:val="2"/>
            <w:tcMar>
              <w:left w:w="28" w:type="dxa"/>
              <w:right w:w="28" w:type="dxa"/>
            </w:tcMar>
          </w:tcPr>
          <w:p w14:paraId="387E34A3" w14:textId="77777777" w:rsidR="00FA31A1" w:rsidRPr="00DC67EB" w:rsidRDefault="00FA31A1" w:rsidP="00FA31A1">
            <w:pPr>
              <w:spacing w:before="40" w:after="40"/>
              <w:rPr>
                <w:noProof/>
                <w:sz w:val="22"/>
              </w:rPr>
            </w:pPr>
            <w:r w:rsidRPr="00DC67EB">
              <w:rPr>
                <w:noProof/>
                <w:sz w:val="22"/>
              </w:rPr>
              <w:t>62-73-7</w:t>
            </w:r>
          </w:p>
        </w:tc>
        <w:tc>
          <w:tcPr>
            <w:tcW w:w="1134" w:type="dxa"/>
          </w:tcPr>
          <w:p w14:paraId="5CB632C5" w14:textId="77777777" w:rsidR="00FA31A1" w:rsidRPr="00DC67EB" w:rsidRDefault="00FA31A1" w:rsidP="00FA31A1">
            <w:pPr>
              <w:spacing w:before="40" w:after="40"/>
              <w:rPr>
                <w:noProof/>
                <w:sz w:val="22"/>
              </w:rPr>
            </w:pPr>
            <w:r w:rsidRPr="00DC67EB">
              <w:rPr>
                <w:noProof/>
                <w:sz w:val="22"/>
              </w:rPr>
              <w:t>200-547-7</w:t>
            </w:r>
          </w:p>
        </w:tc>
        <w:tc>
          <w:tcPr>
            <w:tcW w:w="1279" w:type="dxa"/>
            <w:gridSpan w:val="2"/>
            <w:tcMar>
              <w:left w:w="28" w:type="dxa"/>
              <w:right w:w="28" w:type="dxa"/>
            </w:tcMar>
          </w:tcPr>
          <w:p w14:paraId="54C69C70" w14:textId="77777777" w:rsidR="00FA31A1" w:rsidRPr="00DC67EB" w:rsidRDefault="00FA31A1" w:rsidP="00FA31A1">
            <w:pPr>
              <w:spacing w:before="40" w:after="40"/>
              <w:rPr>
                <w:noProof/>
                <w:sz w:val="22"/>
                <w:vertAlign w:val="superscript"/>
              </w:rPr>
            </w:pPr>
            <w:r w:rsidRPr="00DC67EB">
              <w:rPr>
                <w:noProof/>
                <w:sz w:val="22"/>
              </w:rPr>
              <w:t>6 × 10</w:t>
            </w:r>
            <w:r w:rsidRPr="00DC67EB">
              <w:rPr>
                <w:noProof/>
                <w:sz w:val="22"/>
                <w:vertAlign w:val="superscript"/>
              </w:rPr>
              <w:t>-4</w:t>
            </w:r>
          </w:p>
        </w:tc>
        <w:tc>
          <w:tcPr>
            <w:tcW w:w="1279" w:type="dxa"/>
            <w:gridSpan w:val="2"/>
            <w:tcMar>
              <w:left w:w="28" w:type="dxa"/>
              <w:right w:w="28" w:type="dxa"/>
            </w:tcMar>
          </w:tcPr>
          <w:p w14:paraId="626C4B9A" w14:textId="77777777" w:rsidR="00FA31A1" w:rsidRPr="00DC67EB" w:rsidRDefault="00FA31A1" w:rsidP="00FA31A1">
            <w:pPr>
              <w:spacing w:before="40" w:after="40"/>
              <w:rPr>
                <w:noProof/>
                <w:sz w:val="22"/>
                <w:vertAlign w:val="superscript"/>
              </w:rPr>
            </w:pPr>
            <w:r w:rsidRPr="00DC67EB">
              <w:rPr>
                <w:noProof/>
                <w:sz w:val="22"/>
              </w:rPr>
              <w:t>6 × 10</w:t>
            </w:r>
            <w:r w:rsidRPr="00DC67EB">
              <w:rPr>
                <w:noProof/>
                <w:sz w:val="22"/>
                <w:vertAlign w:val="superscript"/>
              </w:rPr>
              <w:t>-5</w:t>
            </w:r>
          </w:p>
        </w:tc>
        <w:tc>
          <w:tcPr>
            <w:tcW w:w="1278" w:type="dxa"/>
            <w:gridSpan w:val="2"/>
            <w:tcMar>
              <w:left w:w="28" w:type="dxa"/>
              <w:right w:w="28" w:type="dxa"/>
            </w:tcMar>
          </w:tcPr>
          <w:p w14:paraId="6F9D47C2" w14:textId="77777777" w:rsidR="00FA31A1" w:rsidRPr="00DC67EB" w:rsidRDefault="00FA31A1" w:rsidP="00FA31A1">
            <w:pPr>
              <w:spacing w:before="40" w:after="40"/>
              <w:rPr>
                <w:noProof/>
                <w:sz w:val="22"/>
                <w:vertAlign w:val="superscript"/>
              </w:rPr>
            </w:pPr>
            <w:r w:rsidRPr="00DC67EB">
              <w:rPr>
                <w:noProof/>
                <w:sz w:val="22"/>
              </w:rPr>
              <w:t>7 × 10</w:t>
            </w:r>
            <w:r w:rsidRPr="00DC67EB">
              <w:rPr>
                <w:noProof/>
                <w:sz w:val="22"/>
                <w:vertAlign w:val="superscript"/>
              </w:rPr>
              <w:t>-4</w:t>
            </w:r>
          </w:p>
        </w:tc>
        <w:tc>
          <w:tcPr>
            <w:tcW w:w="1277" w:type="dxa"/>
            <w:gridSpan w:val="2"/>
            <w:tcMar>
              <w:left w:w="28" w:type="dxa"/>
              <w:right w:w="28" w:type="dxa"/>
            </w:tcMar>
          </w:tcPr>
          <w:p w14:paraId="7FD6BE21" w14:textId="77777777" w:rsidR="00FA31A1" w:rsidRPr="00DC67EB" w:rsidRDefault="00FA31A1" w:rsidP="00FA31A1">
            <w:pPr>
              <w:spacing w:before="40" w:after="40"/>
              <w:rPr>
                <w:noProof/>
                <w:sz w:val="22"/>
                <w:vertAlign w:val="superscript"/>
              </w:rPr>
            </w:pPr>
            <w:r w:rsidRPr="00DC67EB">
              <w:rPr>
                <w:noProof/>
                <w:sz w:val="22"/>
              </w:rPr>
              <w:t>7 × 10</w:t>
            </w:r>
            <w:r w:rsidRPr="00DC67EB">
              <w:rPr>
                <w:noProof/>
                <w:sz w:val="22"/>
                <w:vertAlign w:val="superscript"/>
              </w:rPr>
              <w:t>-5</w:t>
            </w:r>
          </w:p>
        </w:tc>
        <w:tc>
          <w:tcPr>
            <w:tcW w:w="1136" w:type="dxa"/>
            <w:gridSpan w:val="2"/>
            <w:tcMar>
              <w:left w:w="28" w:type="dxa"/>
              <w:right w:w="28" w:type="dxa"/>
            </w:tcMar>
          </w:tcPr>
          <w:p w14:paraId="6C49047A" w14:textId="77777777" w:rsidR="00FA31A1" w:rsidRPr="00DC67EB" w:rsidRDefault="00FA31A1" w:rsidP="00FA31A1">
            <w:pPr>
              <w:spacing w:before="40" w:after="40"/>
              <w:rPr>
                <w:noProof/>
                <w:sz w:val="22"/>
                <w:vertAlign w:val="superscript"/>
              </w:rPr>
            </w:pPr>
          </w:p>
        </w:tc>
        <w:tc>
          <w:tcPr>
            <w:tcW w:w="1262" w:type="dxa"/>
            <w:tcMar>
              <w:left w:w="28" w:type="dxa"/>
              <w:right w:w="28" w:type="dxa"/>
            </w:tcMar>
          </w:tcPr>
          <w:p w14:paraId="483DAC57" w14:textId="77777777" w:rsidR="00FA31A1" w:rsidRPr="00DC67EB" w:rsidRDefault="00FA31A1" w:rsidP="00FA31A1">
            <w:pPr>
              <w:spacing w:before="40" w:after="40"/>
              <w:rPr>
                <w:noProof/>
                <w:sz w:val="22"/>
                <w:vertAlign w:val="superscript"/>
              </w:rPr>
            </w:pPr>
          </w:p>
        </w:tc>
        <w:tc>
          <w:tcPr>
            <w:tcW w:w="1153" w:type="dxa"/>
            <w:gridSpan w:val="2"/>
            <w:tcMar>
              <w:left w:w="28" w:type="dxa"/>
              <w:right w:w="28" w:type="dxa"/>
            </w:tcMar>
          </w:tcPr>
          <w:p w14:paraId="01094E5D" w14:textId="77777777" w:rsidR="00FA31A1" w:rsidRPr="00DC67EB" w:rsidRDefault="00FA31A1" w:rsidP="00FA31A1">
            <w:pPr>
              <w:spacing w:before="40" w:after="40"/>
              <w:rPr>
                <w:noProof/>
                <w:sz w:val="22"/>
                <w:vertAlign w:val="superscript"/>
              </w:rPr>
            </w:pPr>
          </w:p>
        </w:tc>
        <w:tc>
          <w:tcPr>
            <w:tcW w:w="970" w:type="dxa"/>
            <w:tcMar>
              <w:left w:w="28" w:type="dxa"/>
              <w:right w:w="28" w:type="dxa"/>
            </w:tcMar>
          </w:tcPr>
          <w:p w14:paraId="5D100792" w14:textId="77777777" w:rsidR="00FA31A1" w:rsidRPr="00DC67EB" w:rsidRDefault="00FA31A1" w:rsidP="00FA31A1">
            <w:pPr>
              <w:spacing w:before="40" w:after="40"/>
              <w:rPr>
                <w:noProof/>
                <w:sz w:val="22"/>
                <w:vertAlign w:val="superscript"/>
              </w:rPr>
            </w:pPr>
          </w:p>
        </w:tc>
      </w:tr>
      <w:tr w:rsidR="00DC67EB" w:rsidRPr="00DC67EB" w14:paraId="574AB6C5" w14:textId="77777777" w:rsidTr="00FA31A1">
        <w:trPr>
          <w:gridBefore w:val="1"/>
          <w:wBefore w:w="12" w:type="dxa"/>
          <w:cantSplit/>
          <w:tblHeader/>
          <w:jc w:val="center"/>
        </w:trPr>
        <w:tc>
          <w:tcPr>
            <w:tcW w:w="651" w:type="dxa"/>
            <w:gridSpan w:val="3"/>
            <w:tcMar>
              <w:left w:w="28" w:type="dxa"/>
              <w:right w:w="28" w:type="dxa"/>
            </w:tcMar>
          </w:tcPr>
          <w:p w14:paraId="40EBC60F" w14:textId="77777777" w:rsidR="00FA31A1" w:rsidRPr="00DC67EB" w:rsidRDefault="00FA31A1" w:rsidP="00FA31A1">
            <w:pPr>
              <w:spacing w:before="40" w:after="40"/>
              <w:rPr>
                <w:noProof/>
                <w:sz w:val="22"/>
              </w:rPr>
            </w:pPr>
            <w:r w:rsidRPr="00DC67EB">
              <w:rPr>
                <w:noProof/>
                <w:sz w:val="22"/>
              </w:rPr>
              <w:t>43.</w:t>
            </w:r>
          </w:p>
        </w:tc>
        <w:tc>
          <w:tcPr>
            <w:tcW w:w="2286" w:type="dxa"/>
            <w:gridSpan w:val="3"/>
            <w:tcMar>
              <w:left w:w="28" w:type="dxa"/>
              <w:right w:w="28" w:type="dxa"/>
            </w:tcMar>
          </w:tcPr>
          <w:p w14:paraId="301A14DA" w14:textId="77777777" w:rsidR="00FA31A1" w:rsidRPr="00DC67EB" w:rsidRDefault="00FA31A1" w:rsidP="00FA31A1">
            <w:pPr>
              <w:spacing w:before="40" w:after="40"/>
              <w:rPr>
                <w:noProof/>
                <w:sz w:val="22"/>
              </w:rPr>
            </w:pPr>
            <w:r w:rsidRPr="00DC67EB">
              <w:rPr>
                <w:noProof/>
                <w:sz w:val="22"/>
              </w:rPr>
              <w:t>Hexabróm-ciklododekán (HBCDD) (</w:t>
            </w:r>
            <w:r w:rsidRPr="00DC67EB">
              <w:rPr>
                <w:noProof/>
                <w:sz w:val="22"/>
                <w:vertAlign w:val="superscript"/>
              </w:rPr>
              <w:t>24</w:t>
            </w:r>
            <w:r w:rsidRPr="00DC67EB">
              <w:rPr>
                <w:noProof/>
                <w:sz w:val="22"/>
              </w:rPr>
              <w:t>)</w:t>
            </w:r>
            <w:r w:rsidRPr="00DC67EB">
              <w:rPr>
                <w:noProof/>
                <w:u w:val="single"/>
              </w:rPr>
              <w:t xml:space="preserve"> </w:t>
            </w:r>
          </w:p>
        </w:tc>
        <w:tc>
          <w:tcPr>
            <w:tcW w:w="1329" w:type="dxa"/>
            <w:gridSpan w:val="3"/>
            <w:tcMar>
              <w:left w:w="28" w:type="dxa"/>
              <w:right w:w="28" w:type="dxa"/>
            </w:tcMar>
          </w:tcPr>
          <w:p w14:paraId="739EBC25" w14:textId="77777777" w:rsidR="00FA31A1" w:rsidRPr="00DC67EB" w:rsidRDefault="00FA31A1" w:rsidP="00FA31A1">
            <w:pPr>
              <w:spacing w:before="40" w:after="40"/>
              <w:rPr>
                <w:noProof/>
                <w:sz w:val="22"/>
              </w:rPr>
            </w:pPr>
            <w:r w:rsidRPr="00DC67EB">
              <w:rPr>
                <w:noProof/>
                <w:sz w:val="22"/>
              </w:rPr>
              <w:t>Ipari anyagok</w:t>
            </w:r>
          </w:p>
        </w:tc>
        <w:tc>
          <w:tcPr>
            <w:tcW w:w="992" w:type="dxa"/>
            <w:gridSpan w:val="2"/>
            <w:tcMar>
              <w:left w:w="28" w:type="dxa"/>
              <w:right w:w="28" w:type="dxa"/>
            </w:tcMar>
          </w:tcPr>
          <w:p w14:paraId="2BA4C630" w14:textId="77777777" w:rsidR="00FA31A1" w:rsidRPr="00DC67EB" w:rsidRDefault="00FA31A1" w:rsidP="00FA31A1">
            <w:pPr>
              <w:spacing w:before="40" w:after="40"/>
              <w:rPr>
                <w:noProof/>
                <w:sz w:val="22"/>
              </w:rPr>
            </w:pPr>
            <w:r w:rsidRPr="00DC67EB">
              <w:rPr>
                <w:noProof/>
                <w:sz w:val="22"/>
              </w:rPr>
              <w:t>Lásd a (24) megjegyzést</w:t>
            </w:r>
          </w:p>
        </w:tc>
        <w:tc>
          <w:tcPr>
            <w:tcW w:w="1134" w:type="dxa"/>
          </w:tcPr>
          <w:p w14:paraId="6B53E4E5" w14:textId="77777777" w:rsidR="00FA31A1" w:rsidRPr="00DC67EB" w:rsidRDefault="00FA31A1" w:rsidP="00FA31A1">
            <w:pPr>
              <w:spacing w:before="40" w:after="40"/>
              <w:rPr>
                <w:noProof/>
                <w:sz w:val="22"/>
              </w:rPr>
            </w:pPr>
            <w:r w:rsidRPr="00DC67EB">
              <w:rPr>
                <w:noProof/>
                <w:sz w:val="22"/>
              </w:rPr>
              <w:t>Lásd a (24) megjegyzést</w:t>
            </w:r>
          </w:p>
        </w:tc>
        <w:tc>
          <w:tcPr>
            <w:tcW w:w="1279" w:type="dxa"/>
            <w:gridSpan w:val="2"/>
            <w:tcMar>
              <w:left w:w="28" w:type="dxa"/>
              <w:right w:w="28" w:type="dxa"/>
            </w:tcMar>
          </w:tcPr>
          <w:p w14:paraId="0C810DA5" w14:textId="77777777" w:rsidR="00FA31A1" w:rsidRPr="00DC67EB" w:rsidRDefault="00FA31A1" w:rsidP="00FA31A1">
            <w:pPr>
              <w:spacing w:before="40" w:after="40"/>
              <w:rPr>
                <w:noProof/>
                <w:sz w:val="22"/>
              </w:rPr>
            </w:pPr>
            <w:r w:rsidRPr="00DC67EB">
              <w:rPr>
                <w:noProof/>
                <w:sz w:val="22"/>
              </w:rPr>
              <w:t>[4,6 × 10</w:t>
            </w:r>
            <w:r w:rsidRPr="00DC67EB">
              <w:rPr>
                <w:noProof/>
                <w:sz w:val="22"/>
                <w:vertAlign w:val="superscript"/>
              </w:rPr>
              <w:t>-4</w:t>
            </w:r>
            <w:r w:rsidRPr="00DC67EB">
              <w:rPr>
                <w:noProof/>
                <w:sz w:val="22"/>
              </w:rPr>
              <w:t>]</w:t>
            </w:r>
          </w:p>
        </w:tc>
        <w:tc>
          <w:tcPr>
            <w:tcW w:w="1279" w:type="dxa"/>
            <w:gridSpan w:val="2"/>
            <w:tcMar>
              <w:left w:w="28" w:type="dxa"/>
              <w:right w:w="28" w:type="dxa"/>
            </w:tcMar>
          </w:tcPr>
          <w:p w14:paraId="4DF52E82" w14:textId="77777777" w:rsidR="00FA31A1" w:rsidRPr="00DC67EB" w:rsidRDefault="00FA31A1" w:rsidP="00FA31A1">
            <w:pPr>
              <w:spacing w:before="40" w:after="40"/>
              <w:rPr>
                <w:noProof/>
                <w:sz w:val="22"/>
              </w:rPr>
            </w:pPr>
            <w:r w:rsidRPr="00DC67EB">
              <w:rPr>
                <w:noProof/>
                <w:sz w:val="22"/>
              </w:rPr>
              <w:t>[2 × 10</w:t>
            </w:r>
            <w:r w:rsidRPr="00DC67EB">
              <w:rPr>
                <w:noProof/>
                <w:sz w:val="22"/>
                <w:vertAlign w:val="superscript"/>
              </w:rPr>
              <w:t>-5</w:t>
            </w:r>
            <w:r w:rsidRPr="00DC67EB">
              <w:rPr>
                <w:noProof/>
                <w:sz w:val="22"/>
              </w:rPr>
              <w:t>]</w:t>
            </w:r>
          </w:p>
        </w:tc>
        <w:tc>
          <w:tcPr>
            <w:tcW w:w="1278" w:type="dxa"/>
            <w:gridSpan w:val="2"/>
            <w:tcMar>
              <w:left w:w="28" w:type="dxa"/>
              <w:right w:w="28" w:type="dxa"/>
            </w:tcMar>
          </w:tcPr>
          <w:p w14:paraId="52061A93" w14:textId="77777777" w:rsidR="00FA31A1" w:rsidRPr="00DC67EB" w:rsidRDefault="00FA31A1" w:rsidP="00FA31A1">
            <w:pPr>
              <w:spacing w:before="40" w:after="40"/>
              <w:rPr>
                <w:noProof/>
                <w:sz w:val="22"/>
              </w:rPr>
            </w:pPr>
            <w:r w:rsidRPr="00DC67EB">
              <w:rPr>
                <w:noProof/>
                <w:sz w:val="22"/>
              </w:rPr>
              <w:t>0,5</w:t>
            </w:r>
          </w:p>
        </w:tc>
        <w:tc>
          <w:tcPr>
            <w:tcW w:w="1277" w:type="dxa"/>
            <w:gridSpan w:val="2"/>
            <w:tcMar>
              <w:left w:w="28" w:type="dxa"/>
              <w:right w:w="28" w:type="dxa"/>
            </w:tcMar>
          </w:tcPr>
          <w:p w14:paraId="4F366214" w14:textId="77777777" w:rsidR="00FA31A1" w:rsidRPr="00DC67EB" w:rsidRDefault="00FA31A1" w:rsidP="00FA31A1">
            <w:pPr>
              <w:spacing w:before="40" w:after="40"/>
              <w:rPr>
                <w:noProof/>
                <w:sz w:val="22"/>
              </w:rPr>
            </w:pPr>
            <w:r w:rsidRPr="00DC67EB">
              <w:rPr>
                <w:noProof/>
                <w:sz w:val="22"/>
              </w:rPr>
              <w:t>0,05</w:t>
            </w:r>
          </w:p>
        </w:tc>
        <w:tc>
          <w:tcPr>
            <w:tcW w:w="1136" w:type="dxa"/>
            <w:gridSpan w:val="2"/>
            <w:tcMar>
              <w:left w:w="28" w:type="dxa"/>
              <w:right w:w="28" w:type="dxa"/>
            </w:tcMar>
          </w:tcPr>
          <w:p w14:paraId="745D6996" w14:textId="77777777" w:rsidR="00FA31A1" w:rsidRPr="00DC67EB" w:rsidRDefault="00FA31A1" w:rsidP="00FA31A1">
            <w:pPr>
              <w:spacing w:before="40" w:after="40"/>
              <w:rPr>
                <w:noProof/>
                <w:sz w:val="22"/>
              </w:rPr>
            </w:pPr>
            <w:r w:rsidRPr="00DC67EB">
              <w:rPr>
                <w:noProof/>
                <w:sz w:val="22"/>
              </w:rPr>
              <w:t>[3,5]</w:t>
            </w:r>
          </w:p>
        </w:tc>
        <w:tc>
          <w:tcPr>
            <w:tcW w:w="1262" w:type="dxa"/>
            <w:tcMar>
              <w:left w:w="28" w:type="dxa"/>
              <w:right w:w="28" w:type="dxa"/>
            </w:tcMar>
          </w:tcPr>
          <w:p w14:paraId="3EA894E8" w14:textId="77777777" w:rsidR="00FA31A1" w:rsidRPr="00DC67EB" w:rsidRDefault="00FA31A1" w:rsidP="00FA31A1">
            <w:pPr>
              <w:spacing w:before="40" w:after="40"/>
              <w:rPr>
                <w:noProof/>
                <w:sz w:val="22"/>
              </w:rPr>
            </w:pPr>
            <w:r w:rsidRPr="00DC67EB">
              <w:rPr>
                <w:noProof/>
                <w:sz w:val="22"/>
              </w:rPr>
              <w:t>X</w:t>
            </w:r>
          </w:p>
        </w:tc>
        <w:tc>
          <w:tcPr>
            <w:tcW w:w="1153" w:type="dxa"/>
            <w:gridSpan w:val="2"/>
            <w:tcMar>
              <w:left w:w="28" w:type="dxa"/>
              <w:right w:w="28" w:type="dxa"/>
            </w:tcMar>
          </w:tcPr>
          <w:p w14:paraId="64655408" w14:textId="77777777" w:rsidR="00FA31A1" w:rsidRPr="00DC67EB" w:rsidRDefault="00FA31A1" w:rsidP="00FA31A1">
            <w:pPr>
              <w:spacing w:before="40" w:after="40"/>
              <w:rPr>
                <w:noProof/>
                <w:sz w:val="22"/>
              </w:rPr>
            </w:pPr>
            <w:r w:rsidRPr="00DC67EB">
              <w:rPr>
                <w:noProof/>
                <w:sz w:val="22"/>
              </w:rPr>
              <w:t>X</w:t>
            </w:r>
          </w:p>
        </w:tc>
        <w:tc>
          <w:tcPr>
            <w:tcW w:w="970" w:type="dxa"/>
            <w:tcMar>
              <w:left w:w="28" w:type="dxa"/>
              <w:right w:w="28" w:type="dxa"/>
            </w:tcMar>
          </w:tcPr>
          <w:p w14:paraId="1E55A940" w14:textId="77777777" w:rsidR="00FA31A1" w:rsidRPr="00DC67EB" w:rsidRDefault="00FA31A1" w:rsidP="00FA31A1">
            <w:pPr>
              <w:spacing w:before="40" w:after="40"/>
              <w:rPr>
                <w:noProof/>
                <w:sz w:val="22"/>
              </w:rPr>
            </w:pPr>
            <w:r w:rsidRPr="00DC67EB">
              <w:rPr>
                <w:noProof/>
                <w:sz w:val="22"/>
              </w:rPr>
              <w:t>X</w:t>
            </w:r>
          </w:p>
        </w:tc>
      </w:tr>
      <w:tr w:rsidR="00DC67EB" w:rsidRPr="00DC67EB" w14:paraId="6E5717DF" w14:textId="77777777" w:rsidTr="00FA31A1">
        <w:trPr>
          <w:gridBefore w:val="1"/>
          <w:wBefore w:w="12" w:type="dxa"/>
          <w:cantSplit/>
          <w:tblHeader/>
          <w:jc w:val="center"/>
        </w:trPr>
        <w:tc>
          <w:tcPr>
            <w:tcW w:w="651" w:type="dxa"/>
            <w:gridSpan w:val="3"/>
            <w:tcMar>
              <w:left w:w="28" w:type="dxa"/>
              <w:right w:w="28" w:type="dxa"/>
            </w:tcMar>
          </w:tcPr>
          <w:p w14:paraId="68527815" w14:textId="77777777" w:rsidR="00FA31A1" w:rsidRPr="00DC67EB" w:rsidRDefault="00FA31A1" w:rsidP="00FA31A1">
            <w:pPr>
              <w:spacing w:before="40" w:after="40"/>
              <w:rPr>
                <w:noProof/>
                <w:sz w:val="22"/>
              </w:rPr>
            </w:pPr>
            <w:r w:rsidRPr="00DC67EB">
              <w:rPr>
                <w:noProof/>
                <w:sz w:val="22"/>
              </w:rPr>
              <w:t>44.</w:t>
            </w:r>
          </w:p>
        </w:tc>
        <w:tc>
          <w:tcPr>
            <w:tcW w:w="2286" w:type="dxa"/>
            <w:gridSpan w:val="3"/>
            <w:tcMar>
              <w:left w:w="28" w:type="dxa"/>
              <w:right w:w="28" w:type="dxa"/>
            </w:tcMar>
          </w:tcPr>
          <w:p w14:paraId="3ED5B9A3" w14:textId="77777777" w:rsidR="00FA31A1" w:rsidRPr="00DC67EB" w:rsidRDefault="00FA31A1" w:rsidP="00FA31A1">
            <w:pPr>
              <w:spacing w:before="40" w:after="40"/>
              <w:rPr>
                <w:noProof/>
                <w:sz w:val="22"/>
              </w:rPr>
            </w:pPr>
            <w:r w:rsidRPr="00DC67EB">
              <w:rPr>
                <w:noProof/>
                <w:sz w:val="22"/>
              </w:rPr>
              <w:t>Heptaklór és heptaklór-epoxid</w:t>
            </w:r>
          </w:p>
        </w:tc>
        <w:tc>
          <w:tcPr>
            <w:tcW w:w="1329" w:type="dxa"/>
            <w:gridSpan w:val="3"/>
            <w:tcMar>
              <w:left w:w="28" w:type="dxa"/>
              <w:right w:w="28" w:type="dxa"/>
            </w:tcMar>
          </w:tcPr>
          <w:p w14:paraId="283F6D4B" w14:textId="77777777" w:rsidR="00FA31A1" w:rsidRPr="00DC67EB" w:rsidRDefault="00FA31A1" w:rsidP="00FA31A1">
            <w:pPr>
              <w:spacing w:before="40" w:after="40"/>
              <w:rPr>
                <w:noProof/>
                <w:sz w:val="22"/>
              </w:rPr>
            </w:pPr>
            <w:r w:rsidRPr="00DC67EB">
              <w:rPr>
                <w:noProof/>
                <w:sz w:val="22"/>
              </w:rPr>
              <w:t>Szerves klórt tartalmazó peszticidek</w:t>
            </w:r>
          </w:p>
        </w:tc>
        <w:tc>
          <w:tcPr>
            <w:tcW w:w="992" w:type="dxa"/>
            <w:gridSpan w:val="2"/>
            <w:tcMar>
              <w:left w:w="28" w:type="dxa"/>
              <w:right w:w="28" w:type="dxa"/>
            </w:tcMar>
          </w:tcPr>
          <w:p w14:paraId="2450B03D" w14:textId="77777777" w:rsidR="00FA31A1" w:rsidRPr="00DC67EB" w:rsidRDefault="00FA31A1" w:rsidP="00FA31A1">
            <w:pPr>
              <w:spacing w:before="40" w:after="40"/>
              <w:rPr>
                <w:noProof/>
                <w:sz w:val="22"/>
              </w:rPr>
            </w:pPr>
            <w:r w:rsidRPr="00DC67EB">
              <w:rPr>
                <w:noProof/>
                <w:sz w:val="22"/>
              </w:rPr>
              <w:t>76-44-8 / 1024-57-3</w:t>
            </w:r>
          </w:p>
        </w:tc>
        <w:tc>
          <w:tcPr>
            <w:tcW w:w="1134" w:type="dxa"/>
          </w:tcPr>
          <w:p w14:paraId="4685CD68" w14:textId="77777777" w:rsidR="00FA31A1" w:rsidRPr="00DC67EB" w:rsidRDefault="00FA31A1" w:rsidP="00FA31A1">
            <w:pPr>
              <w:spacing w:before="40" w:after="40"/>
              <w:rPr>
                <w:strike/>
                <w:noProof/>
                <w:sz w:val="22"/>
              </w:rPr>
            </w:pPr>
            <w:r w:rsidRPr="00DC67EB">
              <w:rPr>
                <w:noProof/>
                <w:sz w:val="22"/>
              </w:rPr>
              <w:t>200-962-3 / 213-831-0</w:t>
            </w:r>
          </w:p>
        </w:tc>
        <w:tc>
          <w:tcPr>
            <w:tcW w:w="1279" w:type="dxa"/>
            <w:gridSpan w:val="2"/>
            <w:tcMar>
              <w:left w:w="28" w:type="dxa"/>
              <w:right w:w="28" w:type="dxa"/>
            </w:tcMar>
          </w:tcPr>
          <w:p w14:paraId="1625DFEE" w14:textId="77777777" w:rsidR="00FA31A1" w:rsidRPr="00DC67EB" w:rsidRDefault="00FA31A1" w:rsidP="00FA31A1">
            <w:pPr>
              <w:spacing w:before="40" w:after="40"/>
              <w:rPr>
                <w:noProof/>
                <w:sz w:val="22"/>
              </w:rPr>
            </w:pPr>
            <w:r w:rsidRPr="00DC67EB">
              <w:rPr>
                <w:noProof/>
                <w:sz w:val="22"/>
              </w:rPr>
              <w:t>[1,7 × 10</w:t>
            </w:r>
            <w:r w:rsidRPr="00DC67EB">
              <w:rPr>
                <w:noProof/>
                <w:sz w:val="22"/>
                <w:vertAlign w:val="superscript"/>
              </w:rPr>
              <w:t>-7</w:t>
            </w:r>
            <w:r w:rsidRPr="00DC67EB">
              <w:rPr>
                <w:noProof/>
                <w:sz w:val="22"/>
              </w:rPr>
              <w:t>]</w:t>
            </w:r>
          </w:p>
        </w:tc>
        <w:tc>
          <w:tcPr>
            <w:tcW w:w="1279" w:type="dxa"/>
            <w:gridSpan w:val="2"/>
            <w:tcMar>
              <w:left w:w="28" w:type="dxa"/>
              <w:right w:w="28" w:type="dxa"/>
            </w:tcMar>
          </w:tcPr>
          <w:p w14:paraId="460C7C6F" w14:textId="77777777" w:rsidR="00FA31A1" w:rsidRPr="00DC67EB" w:rsidRDefault="00FA31A1" w:rsidP="00FA31A1">
            <w:pPr>
              <w:spacing w:before="40" w:after="40"/>
              <w:rPr>
                <w:noProof/>
                <w:sz w:val="22"/>
              </w:rPr>
            </w:pPr>
            <w:r w:rsidRPr="00DC67EB">
              <w:rPr>
                <w:noProof/>
                <w:sz w:val="22"/>
              </w:rPr>
              <w:t>[1,7 × 10</w:t>
            </w:r>
            <w:r w:rsidRPr="00DC67EB">
              <w:rPr>
                <w:noProof/>
                <w:sz w:val="22"/>
                <w:vertAlign w:val="superscript"/>
              </w:rPr>
              <w:t>-7</w:t>
            </w:r>
            <w:r w:rsidRPr="00DC67EB">
              <w:rPr>
                <w:noProof/>
                <w:sz w:val="22"/>
              </w:rPr>
              <w:t>]</w:t>
            </w:r>
          </w:p>
        </w:tc>
        <w:tc>
          <w:tcPr>
            <w:tcW w:w="1278" w:type="dxa"/>
            <w:gridSpan w:val="2"/>
            <w:tcMar>
              <w:left w:w="28" w:type="dxa"/>
              <w:right w:w="28" w:type="dxa"/>
            </w:tcMar>
          </w:tcPr>
          <w:p w14:paraId="680E9965" w14:textId="77777777" w:rsidR="00FA31A1" w:rsidRPr="00DC67EB" w:rsidRDefault="00FA31A1" w:rsidP="00FA31A1">
            <w:pPr>
              <w:spacing w:before="40" w:after="40"/>
              <w:rPr>
                <w:noProof/>
                <w:sz w:val="22"/>
                <w:vertAlign w:val="superscript"/>
              </w:rPr>
            </w:pPr>
            <w:r w:rsidRPr="00DC67EB">
              <w:rPr>
                <w:noProof/>
                <w:sz w:val="22"/>
              </w:rPr>
              <w:t>3 × 10</w:t>
            </w:r>
            <w:r w:rsidRPr="00DC67EB">
              <w:rPr>
                <w:noProof/>
                <w:sz w:val="22"/>
                <w:vertAlign w:val="superscript"/>
              </w:rPr>
              <w:t>-4</w:t>
            </w:r>
          </w:p>
        </w:tc>
        <w:tc>
          <w:tcPr>
            <w:tcW w:w="1277" w:type="dxa"/>
            <w:gridSpan w:val="2"/>
            <w:tcMar>
              <w:left w:w="28" w:type="dxa"/>
              <w:right w:w="28" w:type="dxa"/>
            </w:tcMar>
          </w:tcPr>
          <w:p w14:paraId="131FA730" w14:textId="77777777" w:rsidR="00FA31A1" w:rsidRPr="00DC67EB" w:rsidRDefault="00FA31A1" w:rsidP="00FA31A1">
            <w:pPr>
              <w:spacing w:before="40" w:after="40"/>
              <w:rPr>
                <w:noProof/>
                <w:sz w:val="22"/>
                <w:vertAlign w:val="superscript"/>
              </w:rPr>
            </w:pPr>
            <w:r w:rsidRPr="00DC67EB">
              <w:rPr>
                <w:noProof/>
                <w:sz w:val="22"/>
              </w:rPr>
              <w:t>3 × 10</w:t>
            </w:r>
            <w:r w:rsidRPr="00DC67EB">
              <w:rPr>
                <w:noProof/>
                <w:sz w:val="22"/>
                <w:vertAlign w:val="superscript"/>
              </w:rPr>
              <w:t>-5</w:t>
            </w:r>
          </w:p>
        </w:tc>
        <w:tc>
          <w:tcPr>
            <w:tcW w:w="1136" w:type="dxa"/>
            <w:gridSpan w:val="2"/>
            <w:tcMar>
              <w:left w:w="28" w:type="dxa"/>
              <w:right w:w="28" w:type="dxa"/>
            </w:tcMar>
          </w:tcPr>
          <w:p w14:paraId="405D9AB4" w14:textId="77777777" w:rsidR="00FA31A1" w:rsidRPr="00DC67EB" w:rsidRDefault="00FA31A1" w:rsidP="00FA31A1">
            <w:pPr>
              <w:spacing w:before="40" w:after="40"/>
              <w:rPr>
                <w:noProof/>
                <w:sz w:val="22"/>
                <w:vertAlign w:val="superscript"/>
              </w:rPr>
            </w:pPr>
            <w:r w:rsidRPr="00DC67EB">
              <w:rPr>
                <w:noProof/>
                <w:sz w:val="22"/>
                <w:vertAlign w:val="superscript"/>
              </w:rPr>
              <w:t xml:space="preserve"> </w:t>
            </w:r>
            <w:r w:rsidRPr="00DC67EB">
              <w:rPr>
                <w:noProof/>
                <w:sz w:val="22"/>
              </w:rPr>
              <w:t>[0,013]</w:t>
            </w:r>
          </w:p>
        </w:tc>
        <w:tc>
          <w:tcPr>
            <w:tcW w:w="1262" w:type="dxa"/>
            <w:tcMar>
              <w:left w:w="28" w:type="dxa"/>
              <w:right w:w="28" w:type="dxa"/>
            </w:tcMar>
          </w:tcPr>
          <w:p w14:paraId="6204C30E" w14:textId="77777777" w:rsidR="00FA31A1" w:rsidRPr="00DC67EB" w:rsidRDefault="00FA31A1" w:rsidP="00FA31A1">
            <w:pPr>
              <w:spacing w:before="40" w:after="40"/>
              <w:rPr>
                <w:noProof/>
                <w:sz w:val="22"/>
              </w:rPr>
            </w:pPr>
            <w:r w:rsidRPr="00DC67EB">
              <w:rPr>
                <w:noProof/>
                <w:sz w:val="22"/>
              </w:rPr>
              <w:t>X</w:t>
            </w:r>
          </w:p>
        </w:tc>
        <w:tc>
          <w:tcPr>
            <w:tcW w:w="1153" w:type="dxa"/>
            <w:gridSpan w:val="2"/>
            <w:tcMar>
              <w:left w:w="28" w:type="dxa"/>
              <w:right w:w="28" w:type="dxa"/>
            </w:tcMar>
          </w:tcPr>
          <w:p w14:paraId="6BBBDDDB" w14:textId="77777777" w:rsidR="00FA31A1" w:rsidRPr="00DC67EB" w:rsidRDefault="00FA31A1" w:rsidP="00FA31A1">
            <w:pPr>
              <w:spacing w:before="40" w:after="40"/>
              <w:rPr>
                <w:noProof/>
                <w:sz w:val="22"/>
              </w:rPr>
            </w:pPr>
            <w:r w:rsidRPr="00DC67EB">
              <w:rPr>
                <w:noProof/>
                <w:sz w:val="22"/>
              </w:rPr>
              <w:t>X</w:t>
            </w:r>
          </w:p>
        </w:tc>
        <w:tc>
          <w:tcPr>
            <w:tcW w:w="970" w:type="dxa"/>
            <w:tcMar>
              <w:left w:w="28" w:type="dxa"/>
              <w:right w:w="28" w:type="dxa"/>
            </w:tcMar>
          </w:tcPr>
          <w:p w14:paraId="213AF85F" w14:textId="77777777" w:rsidR="00FA31A1" w:rsidRPr="00DC67EB" w:rsidRDefault="00FA31A1" w:rsidP="00FA31A1">
            <w:pPr>
              <w:spacing w:before="40" w:after="40"/>
              <w:rPr>
                <w:noProof/>
                <w:sz w:val="22"/>
              </w:rPr>
            </w:pPr>
            <w:r w:rsidRPr="00DC67EB">
              <w:rPr>
                <w:noProof/>
                <w:sz w:val="22"/>
              </w:rPr>
              <w:t>X</w:t>
            </w:r>
          </w:p>
        </w:tc>
      </w:tr>
      <w:tr w:rsidR="00DC67EB" w:rsidRPr="00DC67EB" w14:paraId="59EA6BDE" w14:textId="77777777" w:rsidTr="00FA31A1">
        <w:trPr>
          <w:gridBefore w:val="1"/>
          <w:wBefore w:w="12" w:type="dxa"/>
          <w:cantSplit/>
          <w:tblHeader/>
          <w:jc w:val="center"/>
        </w:trPr>
        <w:tc>
          <w:tcPr>
            <w:tcW w:w="651" w:type="dxa"/>
            <w:gridSpan w:val="3"/>
            <w:tcMar>
              <w:left w:w="28" w:type="dxa"/>
              <w:right w:w="28" w:type="dxa"/>
            </w:tcMar>
          </w:tcPr>
          <w:p w14:paraId="1E3BAB2B" w14:textId="77777777" w:rsidR="00FA31A1" w:rsidRPr="00DC67EB" w:rsidRDefault="00FA31A1" w:rsidP="00FA31A1">
            <w:pPr>
              <w:spacing w:before="40" w:after="40"/>
              <w:rPr>
                <w:noProof/>
                <w:sz w:val="22"/>
              </w:rPr>
            </w:pPr>
            <w:r w:rsidRPr="00DC67EB">
              <w:rPr>
                <w:noProof/>
                <w:sz w:val="22"/>
              </w:rPr>
              <w:t>45.</w:t>
            </w:r>
          </w:p>
        </w:tc>
        <w:tc>
          <w:tcPr>
            <w:tcW w:w="2286" w:type="dxa"/>
            <w:gridSpan w:val="3"/>
            <w:tcMar>
              <w:left w:w="28" w:type="dxa"/>
              <w:right w:w="28" w:type="dxa"/>
            </w:tcMar>
          </w:tcPr>
          <w:p w14:paraId="72224C7C" w14:textId="77777777" w:rsidR="00FA31A1" w:rsidRPr="00DC67EB" w:rsidRDefault="00FA31A1" w:rsidP="00FA31A1">
            <w:pPr>
              <w:spacing w:before="40" w:after="40"/>
              <w:rPr>
                <w:noProof/>
                <w:sz w:val="22"/>
              </w:rPr>
            </w:pPr>
            <w:r w:rsidRPr="00DC67EB">
              <w:rPr>
                <w:noProof/>
                <w:sz w:val="22"/>
              </w:rPr>
              <w:t>Terbutrin</w:t>
            </w:r>
          </w:p>
        </w:tc>
        <w:tc>
          <w:tcPr>
            <w:tcW w:w="1329" w:type="dxa"/>
            <w:gridSpan w:val="3"/>
            <w:tcMar>
              <w:left w:w="28" w:type="dxa"/>
              <w:right w:w="28" w:type="dxa"/>
            </w:tcMar>
          </w:tcPr>
          <w:p w14:paraId="28DD3645" w14:textId="77777777" w:rsidR="00FA31A1" w:rsidRPr="00DC67EB" w:rsidRDefault="00FA31A1" w:rsidP="00FA31A1">
            <w:pPr>
              <w:spacing w:before="40" w:after="40"/>
              <w:rPr>
                <w:noProof/>
                <w:sz w:val="22"/>
              </w:rPr>
            </w:pPr>
            <w:r w:rsidRPr="00DC67EB">
              <w:rPr>
                <w:noProof/>
                <w:sz w:val="22"/>
              </w:rPr>
              <w:t>Gyomirtók</w:t>
            </w:r>
          </w:p>
        </w:tc>
        <w:tc>
          <w:tcPr>
            <w:tcW w:w="992" w:type="dxa"/>
            <w:gridSpan w:val="2"/>
            <w:tcMar>
              <w:left w:w="28" w:type="dxa"/>
              <w:right w:w="28" w:type="dxa"/>
            </w:tcMar>
          </w:tcPr>
          <w:p w14:paraId="4977CD68" w14:textId="77777777" w:rsidR="00FA31A1" w:rsidRPr="00DC67EB" w:rsidRDefault="00FA31A1" w:rsidP="00FA31A1">
            <w:pPr>
              <w:spacing w:before="40" w:after="40"/>
              <w:rPr>
                <w:noProof/>
                <w:sz w:val="22"/>
              </w:rPr>
            </w:pPr>
            <w:r w:rsidRPr="00DC67EB">
              <w:rPr>
                <w:noProof/>
                <w:sz w:val="22"/>
              </w:rPr>
              <w:t>886-50-0</w:t>
            </w:r>
          </w:p>
        </w:tc>
        <w:tc>
          <w:tcPr>
            <w:tcW w:w="1134" w:type="dxa"/>
          </w:tcPr>
          <w:p w14:paraId="140FEE8B" w14:textId="77777777" w:rsidR="00FA31A1" w:rsidRPr="00DC67EB" w:rsidRDefault="00FA31A1" w:rsidP="00FA31A1">
            <w:pPr>
              <w:spacing w:before="40" w:after="40"/>
              <w:rPr>
                <w:noProof/>
                <w:sz w:val="22"/>
              </w:rPr>
            </w:pPr>
            <w:r w:rsidRPr="00DC67EB">
              <w:rPr>
                <w:noProof/>
                <w:sz w:val="22"/>
              </w:rPr>
              <w:t>212-950-5</w:t>
            </w:r>
          </w:p>
        </w:tc>
        <w:tc>
          <w:tcPr>
            <w:tcW w:w="1279" w:type="dxa"/>
            <w:gridSpan w:val="2"/>
            <w:tcMar>
              <w:left w:w="28" w:type="dxa"/>
              <w:right w:w="28" w:type="dxa"/>
            </w:tcMar>
          </w:tcPr>
          <w:p w14:paraId="423F0338" w14:textId="77777777" w:rsidR="00FA31A1" w:rsidRPr="00DC67EB" w:rsidRDefault="00FA31A1" w:rsidP="00FA31A1">
            <w:pPr>
              <w:spacing w:before="40" w:after="40"/>
              <w:rPr>
                <w:noProof/>
                <w:sz w:val="22"/>
              </w:rPr>
            </w:pPr>
            <w:r w:rsidRPr="00DC67EB">
              <w:rPr>
                <w:noProof/>
                <w:sz w:val="22"/>
              </w:rPr>
              <w:t>0,065</w:t>
            </w:r>
          </w:p>
        </w:tc>
        <w:tc>
          <w:tcPr>
            <w:tcW w:w="1279" w:type="dxa"/>
            <w:gridSpan w:val="2"/>
            <w:tcMar>
              <w:left w:w="28" w:type="dxa"/>
              <w:right w:w="28" w:type="dxa"/>
            </w:tcMar>
          </w:tcPr>
          <w:p w14:paraId="066B4214" w14:textId="77777777" w:rsidR="00FA31A1" w:rsidRPr="00DC67EB" w:rsidRDefault="00FA31A1" w:rsidP="00FA31A1">
            <w:pPr>
              <w:spacing w:before="40" w:after="40"/>
              <w:rPr>
                <w:noProof/>
                <w:sz w:val="22"/>
              </w:rPr>
            </w:pPr>
            <w:r w:rsidRPr="00DC67EB">
              <w:rPr>
                <w:noProof/>
                <w:sz w:val="22"/>
              </w:rPr>
              <w:t>0,0065</w:t>
            </w:r>
          </w:p>
        </w:tc>
        <w:tc>
          <w:tcPr>
            <w:tcW w:w="1278" w:type="dxa"/>
            <w:gridSpan w:val="2"/>
            <w:tcMar>
              <w:left w:w="28" w:type="dxa"/>
              <w:right w:w="28" w:type="dxa"/>
            </w:tcMar>
          </w:tcPr>
          <w:p w14:paraId="5BD2BEB9" w14:textId="77777777" w:rsidR="00FA31A1" w:rsidRPr="00DC67EB" w:rsidRDefault="00FA31A1" w:rsidP="00FA31A1">
            <w:pPr>
              <w:spacing w:before="40" w:after="40"/>
              <w:rPr>
                <w:noProof/>
                <w:sz w:val="22"/>
              </w:rPr>
            </w:pPr>
            <w:r w:rsidRPr="00DC67EB">
              <w:rPr>
                <w:noProof/>
                <w:sz w:val="22"/>
              </w:rPr>
              <w:t>0,34</w:t>
            </w:r>
          </w:p>
        </w:tc>
        <w:tc>
          <w:tcPr>
            <w:tcW w:w="1277" w:type="dxa"/>
            <w:gridSpan w:val="2"/>
            <w:tcMar>
              <w:left w:w="28" w:type="dxa"/>
              <w:right w:w="28" w:type="dxa"/>
            </w:tcMar>
          </w:tcPr>
          <w:p w14:paraId="3EEBA7A8" w14:textId="77777777" w:rsidR="00FA31A1" w:rsidRPr="00DC67EB" w:rsidRDefault="00FA31A1" w:rsidP="00FA31A1">
            <w:pPr>
              <w:spacing w:before="40" w:after="40"/>
              <w:rPr>
                <w:noProof/>
                <w:sz w:val="22"/>
              </w:rPr>
            </w:pPr>
            <w:r w:rsidRPr="00DC67EB">
              <w:rPr>
                <w:noProof/>
                <w:sz w:val="22"/>
              </w:rPr>
              <w:t>0,034</w:t>
            </w:r>
          </w:p>
        </w:tc>
        <w:tc>
          <w:tcPr>
            <w:tcW w:w="1136" w:type="dxa"/>
            <w:gridSpan w:val="2"/>
            <w:tcMar>
              <w:left w:w="28" w:type="dxa"/>
              <w:right w:w="28" w:type="dxa"/>
            </w:tcMar>
          </w:tcPr>
          <w:p w14:paraId="718BB9CF" w14:textId="77777777" w:rsidR="00FA31A1" w:rsidRPr="00DC67EB" w:rsidRDefault="00FA31A1" w:rsidP="00FA31A1">
            <w:pPr>
              <w:spacing w:before="40" w:after="40"/>
              <w:rPr>
                <w:noProof/>
                <w:sz w:val="22"/>
              </w:rPr>
            </w:pPr>
          </w:p>
        </w:tc>
        <w:tc>
          <w:tcPr>
            <w:tcW w:w="1262" w:type="dxa"/>
            <w:tcMar>
              <w:left w:w="28" w:type="dxa"/>
              <w:right w:w="28" w:type="dxa"/>
            </w:tcMar>
          </w:tcPr>
          <w:p w14:paraId="18643BFA" w14:textId="77777777" w:rsidR="00FA31A1" w:rsidRPr="00DC67EB" w:rsidRDefault="00FA31A1" w:rsidP="00FA31A1">
            <w:pPr>
              <w:spacing w:before="40" w:after="40"/>
              <w:rPr>
                <w:noProof/>
                <w:sz w:val="22"/>
              </w:rPr>
            </w:pPr>
          </w:p>
        </w:tc>
        <w:tc>
          <w:tcPr>
            <w:tcW w:w="1153" w:type="dxa"/>
            <w:gridSpan w:val="2"/>
            <w:tcMar>
              <w:left w:w="28" w:type="dxa"/>
              <w:right w:w="28" w:type="dxa"/>
            </w:tcMar>
          </w:tcPr>
          <w:p w14:paraId="585DB05F" w14:textId="77777777" w:rsidR="00FA31A1" w:rsidRPr="00DC67EB" w:rsidRDefault="00FA31A1" w:rsidP="00FA31A1">
            <w:pPr>
              <w:spacing w:before="40" w:after="40"/>
              <w:rPr>
                <w:noProof/>
                <w:sz w:val="22"/>
              </w:rPr>
            </w:pPr>
          </w:p>
        </w:tc>
        <w:tc>
          <w:tcPr>
            <w:tcW w:w="970" w:type="dxa"/>
            <w:tcMar>
              <w:left w:w="28" w:type="dxa"/>
              <w:right w:w="28" w:type="dxa"/>
            </w:tcMar>
          </w:tcPr>
          <w:p w14:paraId="1D442274" w14:textId="77777777" w:rsidR="00FA31A1" w:rsidRPr="00DC67EB" w:rsidRDefault="00FA31A1" w:rsidP="00FA31A1">
            <w:pPr>
              <w:spacing w:before="40" w:after="40"/>
              <w:rPr>
                <w:noProof/>
                <w:sz w:val="22"/>
              </w:rPr>
            </w:pPr>
          </w:p>
        </w:tc>
      </w:tr>
      <w:tr w:rsidR="00DC67EB" w:rsidRPr="00DC67EB" w14:paraId="5F8F48EB" w14:textId="77777777" w:rsidTr="00FA31A1">
        <w:trPr>
          <w:gridBefore w:val="1"/>
          <w:wBefore w:w="12" w:type="dxa"/>
          <w:cantSplit/>
          <w:tblHeader/>
          <w:jc w:val="center"/>
        </w:trPr>
        <w:tc>
          <w:tcPr>
            <w:tcW w:w="651" w:type="dxa"/>
            <w:gridSpan w:val="3"/>
            <w:tcMar>
              <w:left w:w="28" w:type="dxa"/>
              <w:right w:w="28" w:type="dxa"/>
            </w:tcMar>
          </w:tcPr>
          <w:p w14:paraId="1139188A" w14:textId="77777777" w:rsidR="00FA31A1" w:rsidRPr="00DC67EB" w:rsidRDefault="00FA31A1" w:rsidP="00FA31A1">
            <w:pPr>
              <w:spacing w:before="40" w:after="40"/>
              <w:rPr>
                <w:noProof/>
                <w:sz w:val="22"/>
              </w:rPr>
            </w:pPr>
            <w:r w:rsidRPr="00DC67EB">
              <w:rPr>
                <w:noProof/>
                <w:sz w:val="22"/>
              </w:rPr>
              <w:t>46.</w:t>
            </w:r>
          </w:p>
        </w:tc>
        <w:tc>
          <w:tcPr>
            <w:tcW w:w="2286" w:type="dxa"/>
            <w:gridSpan w:val="3"/>
            <w:shd w:val="clear" w:color="auto" w:fill="auto"/>
            <w:tcMar>
              <w:left w:w="28" w:type="dxa"/>
              <w:right w:w="28" w:type="dxa"/>
            </w:tcMar>
          </w:tcPr>
          <w:p w14:paraId="566F2765" w14:textId="77777777" w:rsidR="00FA31A1" w:rsidRPr="00DC67EB" w:rsidRDefault="00FA31A1" w:rsidP="00FA31A1">
            <w:pPr>
              <w:spacing w:before="40" w:after="40"/>
              <w:rPr>
                <w:noProof/>
                <w:sz w:val="22"/>
              </w:rPr>
            </w:pPr>
            <w:r w:rsidRPr="00DC67EB">
              <w:rPr>
                <w:noProof/>
                <w:sz w:val="22"/>
              </w:rPr>
              <w:t>17-alfa-etinil-ösztradiol (EE2)</w:t>
            </w:r>
          </w:p>
        </w:tc>
        <w:tc>
          <w:tcPr>
            <w:tcW w:w="1329" w:type="dxa"/>
            <w:gridSpan w:val="3"/>
            <w:shd w:val="clear" w:color="auto" w:fill="auto"/>
            <w:tcMar>
              <w:left w:w="28" w:type="dxa"/>
              <w:right w:w="28" w:type="dxa"/>
            </w:tcMar>
          </w:tcPr>
          <w:p w14:paraId="01472F8D" w14:textId="77777777" w:rsidR="00FA31A1" w:rsidRPr="00DC67EB" w:rsidRDefault="00FA31A1" w:rsidP="00FA31A1">
            <w:pPr>
              <w:spacing w:before="40" w:after="40"/>
              <w:rPr>
                <w:noProof/>
                <w:sz w:val="22"/>
              </w:rPr>
            </w:pPr>
            <w:r w:rsidRPr="00DC67EB">
              <w:rPr>
                <w:noProof/>
                <w:sz w:val="22"/>
              </w:rPr>
              <w:t>Gyógyszerek (ösztrogénhatású hormonok)</w:t>
            </w:r>
          </w:p>
        </w:tc>
        <w:tc>
          <w:tcPr>
            <w:tcW w:w="992" w:type="dxa"/>
            <w:gridSpan w:val="2"/>
            <w:shd w:val="clear" w:color="auto" w:fill="auto"/>
            <w:tcMar>
              <w:left w:w="28" w:type="dxa"/>
              <w:right w:w="28" w:type="dxa"/>
            </w:tcMar>
          </w:tcPr>
          <w:p w14:paraId="22F7F03E" w14:textId="77777777" w:rsidR="00FA31A1" w:rsidRPr="00DC67EB" w:rsidRDefault="00FA31A1" w:rsidP="00FA31A1">
            <w:pPr>
              <w:spacing w:before="40" w:after="40"/>
              <w:rPr>
                <w:noProof/>
                <w:sz w:val="22"/>
              </w:rPr>
            </w:pPr>
            <w:r w:rsidRPr="00DC67EB">
              <w:rPr>
                <w:noProof/>
                <w:sz w:val="22"/>
              </w:rPr>
              <w:t>57-63-6</w:t>
            </w:r>
          </w:p>
        </w:tc>
        <w:tc>
          <w:tcPr>
            <w:tcW w:w="1134" w:type="dxa"/>
          </w:tcPr>
          <w:p w14:paraId="1CC840F6" w14:textId="77777777" w:rsidR="00FA31A1" w:rsidRPr="00DC67EB" w:rsidRDefault="00FA31A1" w:rsidP="00FA31A1">
            <w:pPr>
              <w:spacing w:before="40" w:after="40"/>
              <w:rPr>
                <w:noProof/>
                <w:sz w:val="22"/>
              </w:rPr>
            </w:pPr>
            <w:r w:rsidRPr="00DC67EB">
              <w:rPr>
                <w:noProof/>
                <w:sz w:val="22"/>
              </w:rPr>
              <w:t>200-342-2</w:t>
            </w:r>
          </w:p>
        </w:tc>
        <w:tc>
          <w:tcPr>
            <w:tcW w:w="1279" w:type="dxa"/>
            <w:gridSpan w:val="2"/>
            <w:shd w:val="clear" w:color="auto" w:fill="auto"/>
            <w:tcMar>
              <w:left w:w="28" w:type="dxa"/>
              <w:right w:w="28" w:type="dxa"/>
            </w:tcMar>
          </w:tcPr>
          <w:p w14:paraId="4970D274" w14:textId="77777777" w:rsidR="00FA31A1" w:rsidRPr="00DC67EB" w:rsidRDefault="00FA31A1" w:rsidP="00FA31A1">
            <w:pPr>
              <w:spacing w:before="40" w:after="40"/>
              <w:rPr>
                <w:noProof/>
                <w:sz w:val="22"/>
              </w:rPr>
            </w:pPr>
            <w:r w:rsidRPr="00DC67EB">
              <w:rPr>
                <w:noProof/>
                <w:sz w:val="22"/>
              </w:rPr>
              <w:t>1,7 × 10</w:t>
            </w:r>
            <w:r w:rsidRPr="00DC67EB">
              <w:rPr>
                <w:noProof/>
                <w:sz w:val="22"/>
                <w:vertAlign w:val="superscript"/>
              </w:rPr>
              <w:t>-5</w:t>
            </w:r>
          </w:p>
        </w:tc>
        <w:tc>
          <w:tcPr>
            <w:tcW w:w="1279" w:type="dxa"/>
            <w:gridSpan w:val="2"/>
            <w:shd w:val="clear" w:color="auto" w:fill="auto"/>
            <w:tcMar>
              <w:left w:w="28" w:type="dxa"/>
              <w:right w:w="28" w:type="dxa"/>
            </w:tcMar>
          </w:tcPr>
          <w:p w14:paraId="08468D5D" w14:textId="77777777" w:rsidR="00FA31A1" w:rsidRPr="00DC67EB" w:rsidRDefault="00FA31A1" w:rsidP="00FA31A1">
            <w:pPr>
              <w:spacing w:before="40" w:after="40"/>
              <w:rPr>
                <w:noProof/>
                <w:sz w:val="22"/>
              </w:rPr>
            </w:pPr>
            <w:r w:rsidRPr="00DC67EB">
              <w:rPr>
                <w:noProof/>
                <w:sz w:val="22"/>
              </w:rPr>
              <w:t>1,6 × 10</w:t>
            </w:r>
            <w:r w:rsidRPr="00DC67EB">
              <w:rPr>
                <w:noProof/>
                <w:sz w:val="22"/>
                <w:vertAlign w:val="superscript"/>
              </w:rPr>
              <w:t>-6</w:t>
            </w:r>
          </w:p>
        </w:tc>
        <w:tc>
          <w:tcPr>
            <w:tcW w:w="1278" w:type="dxa"/>
            <w:gridSpan w:val="2"/>
            <w:shd w:val="clear" w:color="auto" w:fill="auto"/>
            <w:tcMar>
              <w:left w:w="28" w:type="dxa"/>
              <w:right w:w="28" w:type="dxa"/>
            </w:tcMar>
          </w:tcPr>
          <w:p w14:paraId="15A9E315" w14:textId="77777777" w:rsidR="00FA31A1" w:rsidRPr="00DC67EB" w:rsidRDefault="00FA31A1" w:rsidP="00FA31A1">
            <w:pPr>
              <w:spacing w:before="40" w:after="40"/>
              <w:rPr>
                <w:noProof/>
                <w:sz w:val="22"/>
              </w:rPr>
            </w:pPr>
            <w:r w:rsidRPr="00DC67EB">
              <w:rPr>
                <w:noProof/>
                <w:sz w:val="22"/>
              </w:rPr>
              <w:t>nem származtatott</w:t>
            </w:r>
          </w:p>
        </w:tc>
        <w:tc>
          <w:tcPr>
            <w:tcW w:w="1277" w:type="dxa"/>
            <w:gridSpan w:val="2"/>
            <w:shd w:val="clear" w:color="auto" w:fill="auto"/>
            <w:tcMar>
              <w:left w:w="28" w:type="dxa"/>
              <w:right w:w="28" w:type="dxa"/>
            </w:tcMar>
          </w:tcPr>
          <w:p w14:paraId="31795C3F" w14:textId="77777777" w:rsidR="00FA31A1" w:rsidRPr="00DC67EB" w:rsidRDefault="00FA31A1" w:rsidP="00FA31A1">
            <w:pPr>
              <w:spacing w:before="40" w:after="40"/>
              <w:rPr>
                <w:noProof/>
                <w:sz w:val="22"/>
              </w:rPr>
            </w:pPr>
            <w:r w:rsidRPr="00DC67EB">
              <w:rPr>
                <w:noProof/>
                <w:sz w:val="22"/>
              </w:rPr>
              <w:t>nem származtatott</w:t>
            </w:r>
          </w:p>
        </w:tc>
        <w:tc>
          <w:tcPr>
            <w:tcW w:w="1136" w:type="dxa"/>
            <w:gridSpan w:val="2"/>
            <w:shd w:val="clear" w:color="auto" w:fill="auto"/>
            <w:tcMar>
              <w:left w:w="28" w:type="dxa"/>
              <w:right w:w="28" w:type="dxa"/>
            </w:tcMar>
          </w:tcPr>
          <w:p w14:paraId="17D49888" w14:textId="77777777" w:rsidR="00FA31A1" w:rsidRPr="00DC67EB" w:rsidRDefault="00FA31A1" w:rsidP="00FA31A1">
            <w:pPr>
              <w:spacing w:before="40" w:after="40"/>
              <w:rPr>
                <w:noProof/>
                <w:sz w:val="22"/>
              </w:rPr>
            </w:pPr>
          </w:p>
        </w:tc>
        <w:tc>
          <w:tcPr>
            <w:tcW w:w="1262" w:type="dxa"/>
            <w:tcMar>
              <w:left w:w="28" w:type="dxa"/>
              <w:right w:w="28" w:type="dxa"/>
            </w:tcMar>
          </w:tcPr>
          <w:p w14:paraId="51EC635C" w14:textId="77777777" w:rsidR="00FA31A1" w:rsidRPr="00DC67EB" w:rsidRDefault="00FA31A1" w:rsidP="00FA31A1">
            <w:pPr>
              <w:spacing w:before="40" w:after="40"/>
              <w:rPr>
                <w:noProof/>
                <w:sz w:val="22"/>
              </w:rPr>
            </w:pPr>
          </w:p>
        </w:tc>
        <w:tc>
          <w:tcPr>
            <w:tcW w:w="1153" w:type="dxa"/>
            <w:gridSpan w:val="2"/>
            <w:tcMar>
              <w:left w:w="28" w:type="dxa"/>
              <w:right w:w="28" w:type="dxa"/>
            </w:tcMar>
          </w:tcPr>
          <w:p w14:paraId="74ACA4F9" w14:textId="77777777" w:rsidR="00FA31A1" w:rsidRPr="00DC67EB" w:rsidRDefault="00FA31A1" w:rsidP="00FA31A1">
            <w:pPr>
              <w:spacing w:before="40" w:after="40"/>
              <w:rPr>
                <w:noProof/>
                <w:sz w:val="22"/>
              </w:rPr>
            </w:pPr>
          </w:p>
        </w:tc>
        <w:tc>
          <w:tcPr>
            <w:tcW w:w="970" w:type="dxa"/>
            <w:tcMar>
              <w:left w:w="28" w:type="dxa"/>
              <w:right w:w="28" w:type="dxa"/>
            </w:tcMar>
          </w:tcPr>
          <w:p w14:paraId="1E41DB85" w14:textId="77777777" w:rsidR="00FA31A1" w:rsidRPr="00DC67EB" w:rsidRDefault="00FA31A1" w:rsidP="00FA31A1">
            <w:pPr>
              <w:spacing w:before="40" w:after="40"/>
              <w:rPr>
                <w:noProof/>
                <w:sz w:val="22"/>
              </w:rPr>
            </w:pPr>
          </w:p>
        </w:tc>
      </w:tr>
      <w:tr w:rsidR="00DC67EB" w:rsidRPr="00DC67EB" w14:paraId="2EC4B462" w14:textId="77777777" w:rsidTr="00FA31A1">
        <w:trPr>
          <w:gridBefore w:val="1"/>
          <w:wBefore w:w="12" w:type="dxa"/>
          <w:cantSplit/>
          <w:tblHeader/>
          <w:jc w:val="center"/>
        </w:trPr>
        <w:tc>
          <w:tcPr>
            <w:tcW w:w="651" w:type="dxa"/>
            <w:gridSpan w:val="3"/>
            <w:tcMar>
              <w:left w:w="28" w:type="dxa"/>
              <w:right w:w="28" w:type="dxa"/>
            </w:tcMar>
          </w:tcPr>
          <w:p w14:paraId="16ED43C7" w14:textId="77777777" w:rsidR="00FA31A1" w:rsidRPr="00DC67EB" w:rsidRDefault="00FA31A1" w:rsidP="00FA31A1">
            <w:pPr>
              <w:spacing w:before="40" w:after="40"/>
              <w:rPr>
                <w:noProof/>
                <w:sz w:val="22"/>
              </w:rPr>
            </w:pPr>
            <w:r w:rsidRPr="00DC67EB">
              <w:rPr>
                <w:noProof/>
                <w:sz w:val="22"/>
              </w:rPr>
              <w:t>47.</w:t>
            </w:r>
          </w:p>
        </w:tc>
        <w:tc>
          <w:tcPr>
            <w:tcW w:w="2286" w:type="dxa"/>
            <w:gridSpan w:val="3"/>
            <w:shd w:val="clear" w:color="auto" w:fill="auto"/>
            <w:tcMar>
              <w:left w:w="28" w:type="dxa"/>
              <w:right w:w="28" w:type="dxa"/>
            </w:tcMar>
          </w:tcPr>
          <w:p w14:paraId="274DEC0E" w14:textId="77777777" w:rsidR="00FA31A1" w:rsidRPr="00DC67EB" w:rsidRDefault="00FA31A1" w:rsidP="00FA31A1">
            <w:pPr>
              <w:spacing w:before="40" w:after="40"/>
              <w:rPr>
                <w:noProof/>
                <w:sz w:val="22"/>
              </w:rPr>
            </w:pPr>
            <w:r w:rsidRPr="00DC67EB">
              <w:rPr>
                <w:noProof/>
                <w:sz w:val="22"/>
              </w:rPr>
              <w:t>17-béta-ösztradiol (E2)</w:t>
            </w:r>
          </w:p>
        </w:tc>
        <w:tc>
          <w:tcPr>
            <w:tcW w:w="1329" w:type="dxa"/>
            <w:gridSpan w:val="3"/>
            <w:shd w:val="clear" w:color="auto" w:fill="auto"/>
            <w:tcMar>
              <w:left w:w="28" w:type="dxa"/>
              <w:right w:w="28" w:type="dxa"/>
            </w:tcMar>
          </w:tcPr>
          <w:p w14:paraId="7365A8DA" w14:textId="77777777" w:rsidR="00FA31A1" w:rsidRPr="00DC67EB" w:rsidRDefault="00FA31A1" w:rsidP="00FA31A1">
            <w:pPr>
              <w:spacing w:before="40" w:after="40"/>
              <w:rPr>
                <w:noProof/>
                <w:sz w:val="22"/>
              </w:rPr>
            </w:pPr>
            <w:r w:rsidRPr="00DC67EB">
              <w:rPr>
                <w:noProof/>
                <w:sz w:val="22"/>
              </w:rPr>
              <w:t>Gyógyszerek (ösztrogénhatású hormonok)</w:t>
            </w:r>
          </w:p>
        </w:tc>
        <w:tc>
          <w:tcPr>
            <w:tcW w:w="992" w:type="dxa"/>
            <w:gridSpan w:val="2"/>
            <w:shd w:val="clear" w:color="auto" w:fill="auto"/>
            <w:tcMar>
              <w:left w:w="28" w:type="dxa"/>
              <w:right w:w="28" w:type="dxa"/>
            </w:tcMar>
          </w:tcPr>
          <w:p w14:paraId="1E0BB63F" w14:textId="77777777" w:rsidR="00FA31A1" w:rsidRPr="00DC67EB" w:rsidRDefault="00FA31A1" w:rsidP="00FA31A1">
            <w:pPr>
              <w:spacing w:before="40" w:after="40"/>
              <w:rPr>
                <w:noProof/>
                <w:sz w:val="22"/>
              </w:rPr>
            </w:pPr>
            <w:r w:rsidRPr="00DC67EB">
              <w:rPr>
                <w:noProof/>
                <w:sz w:val="22"/>
              </w:rPr>
              <w:t>50-28-2</w:t>
            </w:r>
          </w:p>
        </w:tc>
        <w:tc>
          <w:tcPr>
            <w:tcW w:w="1134" w:type="dxa"/>
          </w:tcPr>
          <w:p w14:paraId="425B5CE3" w14:textId="77777777" w:rsidR="00FA31A1" w:rsidRPr="00DC67EB" w:rsidRDefault="00FA31A1" w:rsidP="00FA31A1">
            <w:pPr>
              <w:spacing w:before="40" w:after="40"/>
              <w:rPr>
                <w:noProof/>
                <w:sz w:val="22"/>
              </w:rPr>
            </w:pPr>
            <w:r w:rsidRPr="00DC67EB">
              <w:rPr>
                <w:noProof/>
                <w:sz w:val="22"/>
              </w:rPr>
              <w:t>200-023-8</w:t>
            </w:r>
          </w:p>
        </w:tc>
        <w:tc>
          <w:tcPr>
            <w:tcW w:w="1279" w:type="dxa"/>
            <w:gridSpan w:val="2"/>
            <w:shd w:val="clear" w:color="auto" w:fill="auto"/>
            <w:tcMar>
              <w:left w:w="28" w:type="dxa"/>
              <w:right w:w="28" w:type="dxa"/>
            </w:tcMar>
          </w:tcPr>
          <w:p w14:paraId="46074DAD" w14:textId="77777777" w:rsidR="00FA31A1" w:rsidRPr="00DC67EB" w:rsidRDefault="00FA31A1" w:rsidP="00FA31A1">
            <w:pPr>
              <w:spacing w:before="40" w:after="40"/>
              <w:rPr>
                <w:noProof/>
                <w:sz w:val="22"/>
              </w:rPr>
            </w:pPr>
            <w:r w:rsidRPr="00DC67EB">
              <w:rPr>
                <w:noProof/>
                <w:sz w:val="22"/>
              </w:rPr>
              <w:t>0,00018</w:t>
            </w:r>
          </w:p>
        </w:tc>
        <w:tc>
          <w:tcPr>
            <w:tcW w:w="1279" w:type="dxa"/>
            <w:gridSpan w:val="2"/>
            <w:shd w:val="clear" w:color="auto" w:fill="auto"/>
            <w:tcMar>
              <w:left w:w="28" w:type="dxa"/>
              <w:right w:w="28" w:type="dxa"/>
            </w:tcMar>
          </w:tcPr>
          <w:p w14:paraId="213BBE31" w14:textId="77777777" w:rsidR="00FA31A1" w:rsidRPr="00DC67EB" w:rsidRDefault="00FA31A1" w:rsidP="00FA31A1">
            <w:pPr>
              <w:spacing w:before="40" w:after="40"/>
              <w:rPr>
                <w:noProof/>
                <w:sz w:val="22"/>
              </w:rPr>
            </w:pPr>
            <w:r w:rsidRPr="00DC67EB">
              <w:rPr>
                <w:noProof/>
                <w:sz w:val="22"/>
              </w:rPr>
              <w:t>9 × 10</w:t>
            </w:r>
            <w:r w:rsidRPr="00DC67EB">
              <w:rPr>
                <w:noProof/>
                <w:sz w:val="22"/>
                <w:vertAlign w:val="superscript"/>
              </w:rPr>
              <w:t>-6</w:t>
            </w:r>
          </w:p>
        </w:tc>
        <w:tc>
          <w:tcPr>
            <w:tcW w:w="1278" w:type="dxa"/>
            <w:gridSpan w:val="2"/>
            <w:shd w:val="clear" w:color="auto" w:fill="auto"/>
            <w:tcMar>
              <w:left w:w="28" w:type="dxa"/>
              <w:right w:w="28" w:type="dxa"/>
            </w:tcMar>
          </w:tcPr>
          <w:p w14:paraId="0BFC1733" w14:textId="77777777" w:rsidR="00FA31A1" w:rsidRPr="00DC67EB" w:rsidRDefault="00FA31A1" w:rsidP="00FA31A1">
            <w:pPr>
              <w:spacing w:before="40" w:after="40"/>
              <w:rPr>
                <w:noProof/>
                <w:sz w:val="22"/>
              </w:rPr>
            </w:pPr>
            <w:r w:rsidRPr="00DC67EB">
              <w:rPr>
                <w:noProof/>
                <w:sz w:val="22"/>
              </w:rPr>
              <w:t>nem származtatott</w:t>
            </w:r>
          </w:p>
        </w:tc>
        <w:tc>
          <w:tcPr>
            <w:tcW w:w="1277" w:type="dxa"/>
            <w:gridSpan w:val="2"/>
            <w:shd w:val="clear" w:color="auto" w:fill="auto"/>
            <w:tcMar>
              <w:left w:w="28" w:type="dxa"/>
              <w:right w:w="28" w:type="dxa"/>
            </w:tcMar>
          </w:tcPr>
          <w:p w14:paraId="6112B83F" w14:textId="77777777" w:rsidR="00FA31A1" w:rsidRPr="00DC67EB" w:rsidRDefault="00FA31A1" w:rsidP="00FA31A1">
            <w:pPr>
              <w:spacing w:before="40" w:after="40"/>
              <w:rPr>
                <w:noProof/>
                <w:sz w:val="22"/>
              </w:rPr>
            </w:pPr>
            <w:r w:rsidRPr="00DC67EB">
              <w:rPr>
                <w:noProof/>
                <w:sz w:val="22"/>
              </w:rPr>
              <w:t>nem származtatott</w:t>
            </w:r>
          </w:p>
        </w:tc>
        <w:tc>
          <w:tcPr>
            <w:tcW w:w="1136" w:type="dxa"/>
            <w:gridSpan w:val="2"/>
            <w:shd w:val="clear" w:color="auto" w:fill="auto"/>
            <w:tcMar>
              <w:left w:w="28" w:type="dxa"/>
              <w:right w:w="28" w:type="dxa"/>
            </w:tcMar>
          </w:tcPr>
          <w:p w14:paraId="263335FC" w14:textId="77777777" w:rsidR="00FA31A1" w:rsidRPr="00DC67EB" w:rsidRDefault="00FA31A1" w:rsidP="00FA31A1">
            <w:pPr>
              <w:spacing w:before="40" w:after="40"/>
              <w:rPr>
                <w:noProof/>
                <w:sz w:val="22"/>
              </w:rPr>
            </w:pPr>
          </w:p>
        </w:tc>
        <w:tc>
          <w:tcPr>
            <w:tcW w:w="1262" w:type="dxa"/>
            <w:tcMar>
              <w:left w:w="28" w:type="dxa"/>
              <w:right w:w="28" w:type="dxa"/>
            </w:tcMar>
          </w:tcPr>
          <w:p w14:paraId="15AACA02" w14:textId="77777777" w:rsidR="00FA31A1" w:rsidRPr="00DC67EB" w:rsidRDefault="00FA31A1" w:rsidP="00FA31A1">
            <w:pPr>
              <w:spacing w:before="40" w:after="40"/>
              <w:rPr>
                <w:noProof/>
                <w:sz w:val="22"/>
              </w:rPr>
            </w:pPr>
          </w:p>
        </w:tc>
        <w:tc>
          <w:tcPr>
            <w:tcW w:w="1153" w:type="dxa"/>
            <w:gridSpan w:val="2"/>
            <w:tcMar>
              <w:left w:w="28" w:type="dxa"/>
              <w:right w:w="28" w:type="dxa"/>
            </w:tcMar>
          </w:tcPr>
          <w:p w14:paraId="541470D0" w14:textId="77777777" w:rsidR="00FA31A1" w:rsidRPr="00DC67EB" w:rsidRDefault="00FA31A1" w:rsidP="00FA31A1">
            <w:pPr>
              <w:spacing w:before="40" w:after="40"/>
              <w:rPr>
                <w:noProof/>
                <w:sz w:val="22"/>
              </w:rPr>
            </w:pPr>
          </w:p>
        </w:tc>
        <w:tc>
          <w:tcPr>
            <w:tcW w:w="970" w:type="dxa"/>
            <w:tcMar>
              <w:left w:w="28" w:type="dxa"/>
              <w:right w:w="28" w:type="dxa"/>
            </w:tcMar>
          </w:tcPr>
          <w:p w14:paraId="2F38BD58" w14:textId="77777777" w:rsidR="00FA31A1" w:rsidRPr="00DC67EB" w:rsidRDefault="00FA31A1" w:rsidP="00FA31A1">
            <w:pPr>
              <w:spacing w:before="40" w:after="40"/>
              <w:rPr>
                <w:noProof/>
                <w:sz w:val="22"/>
              </w:rPr>
            </w:pPr>
          </w:p>
        </w:tc>
      </w:tr>
      <w:tr w:rsidR="00DC67EB" w:rsidRPr="00DC67EB" w14:paraId="6FBDE69E" w14:textId="77777777" w:rsidTr="00FA31A1">
        <w:trPr>
          <w:gridBefore w:val="1"/>
          <w:wBefore w:w="12" w:type="dxa"/>
          <w:cantSplit/>
          <w:tblHeader/>
          <w:jc w:val="center"/>
        </w:trPr>
        <w:tc>
          <w:tcPr>
            <w:tcW w:w="651" w:type="dxa"/>
            <w:gridSpan w:val="3"/>
            <w:tcMar>
              <w:left w:w="28" w:type="dxa"/>
              <w:right w:w="28" w:type="dxa"/>
            </w:tcMar>
          </w:tcPr>
          <w:p w14:paraId="4B48DE28" w14:textId="77777777" w:rsidR="00FA31A1" w:rsidRPr="00DC67EB" w:rsidRDefault="00FA31A1" w:rsidP="00FA31A1">
            <w:pPr>
              <w:spacing w:before="40" w:after="40"/>
              <w:rPr>
                <w:noProof/>
                <w:sz w:val="22"/>
              </w:rPr>
            </w:pPr>
            <w:r w:rsidRPr="00DC67EB">
              <w:rPr>
                <w:noProof/>
                <w:sz w:val="22"/>
              </w:rPr>
              <w:t>48.</w:t>
            </w:r>
          </w:p>
        </w:tc>
        <w:tc>
          <w:tcPr>
            <w:tcW w:w="2286" w:type="dxa"/>
            <w:gridSpan w:val="3"/>
            <w:shd w:val="clear" w:color="auto" w:fill="auto"/>
            <w:tcMar>
              <w:left w:w="28" w:type="dxa"/>
              <w:right w:w="28" w:type="dxa"/>
            </w:tcMar>
          </w:tcPr>
          <w:p w14:paraId="457F741B" w14:textId="77777777" w:rsidR="00FA31A1" w:rsidRPr="00DC67EB" w:rsidRDefault="00FA31A1" w:rsidP="00FA31A1">
            <w:pPr>
              <w:spacing w:before="40" w:after="40"/>
              <w:rPr>
                <w:noProof/>
                <w:sz w:val="22"/>
              </w:rPr>
            </w:pPr>
            <w:r w:rsidRPr="00DC67EB">
              <w:rPr>
                <w:noProof/>
                <w:sz w:val="22"/>
              </w:rPr>
              <w:t>Acetamiprid</w:t>
            </w:r>
          </w:p>
        </w:tc>
        <w:tc>
          <w:tcPr>
            <w:tcW w:w="1329" w:type="dxa"/>
            <w:gridSpan w:val="3"/>
            <w:shd w:val="clear" w:color="auto" w:fill="auto"/>
            <w:tcMar>
              <w:left w:w="28" w:type="dxa"/>
              <w:right w:w="28" w:type="dxa"/>
            </w:tcMar>
          </w:tcPr>
          <w:p w14:paraId="459605E7" w14:textId="77777777" w:rsidR="00FA31A1" w:rsidRPr="00DC67EB" w:rsidRDefault="00FA31A1" w:rsidP="00FA31A1">
            <w:pPr>
              <w:spacing w:before="40" w:after="40"/>
              <w:rPr>
                <w:noProof/>
                <w:sz w:val="22"/>
              </w:rPr>
            </w:pPr>
            <w:r w:rsidRPr="00DC67EB">
              <w:rPr>
                <w:noProof/>
                <w:sz w:val="22"/>
              </w:rPr>
              <w:t>Neonikotinoid peszticidek</w:t>
            </w:r>
          </w:p>
        </w:tc>
        <w:tc>
          <w:tcPr>
            <w:tcW w:w="992" w:type="dxa"/>
            <w:gridSpan w:val="2"/>
            <w:shd w:val="clear" w:color="auto" w:fill="auto"/>
            <w:tcMar>
              <w:left w:w="28" w:type="dxa"/>
              <w:right w:w="28" w:type="dxa"/>
            </w:tcMar>
          </w:tcPr>
          <w:p w14:paraId="276D3D72" w14:textId="77777777" w:rsidR="00FA31A1" w:rsidRPr="00DC67EB" w:rsidRDefault="00FA31A1" w:rsidP="00FA31A1">
            <w:pPr>
              <w:spacing w:before="40" w:after="40"/>
              <w:rPr>
                <w:noProof/>
                <w:sz w:val="22"/>
              </w:rPr>
            </w:pPr>
            <w:r w:rsidRPr="00DC67EB">
              <w:rPr>
                <w:noProof/>
                <w:sz w:val="22"/>
              </w:rPr>
              <w:t>135410-20-7 / 160430-64-8</w:t>
            </w:r>
          </w:p>
        </w:tc>
        <w:tc>
          <w:tcPr>
            <w:tcW w:w="1134" w:type="dxa"/>
          </w:tcPr>
          <w:p w14:paraId="24DAFFAE" w14:textId="77777777" w:rsidR="00FA31A1" w:rsidRPr="00DC67EB" w:rsidRDefault="00FA31A1" w:rsidP="00FA31A1">
            <w:pPr>
              <w:spacing w:before="40" w:after="40"/>
              <w:rPr>
                <w:noProof/>
                <w:sz w:val="22"/>
              </w:rPr>
            </w:pPr>
            <w:r w:rsidRPr="00DC67EB">
              <w:rPr>
                <w:noProof/>
                <w:sz w:val="22"/>
              </w:rPr>
              <w:t>603-921-1</w:t>
            </w:r>
          </w:p>
        </w:tc>
        <w:tc>
          <w:tcPr>
            <w:tcW w:w="1279" w:type="dxa"/>
            <w:gridSpan w:val="2"/>
            <w:shd w:val="clear" w:color="auto" w:fill="auto"/>
            <w:tcMar>
              <w:left w:w="28" w:type="dxa"/>
              <w:right w:w="28" w:type="dxa"/>
            </w:tcMar>
          </w:tcPr>
          <w:p w14:paraId="008F71B5" w14:textId="77777777" w:rsidR="00FA31A1" w:rsidRPr="00DC67EB" w:rsidRDefault="00FA31A1" w:rsidP="00FA31A1">
            <w:pPr>
              <w:spacing w:before="40" w:after="40"/>
              <w:rPr>
                <w:noProof/>
                <w:sz w:val="22"/>
              </w:rPr>
            </w:pPr>
            <w:r w:rsidRPr="00DC67EB">
              <w:rPr>
                <w:noProof/>
                <w:sz w:val="22"/>
              </w:rPr>
              <w:t>0,037</w:t>
            </w:r>
          </w:p>
        </w:tc>
        <w:tc>
          <w:tcPr>
            <w:tcW w:w="1279" w:type="dxa"/>
            <w:gridSpan w:val="2"/>
            <w:shd w:val="clear" w:color="auto" w:fill="auto"/>
            <w:tcMar>
              <w:left w:w="28" w:type="dxa"/>
              <w:right w:w="28" w:type="dxa"/>
            </w:tcMar>
          </w:tcPr>
          <w:p w14:paraId="1A09E8C6" w14:textId="77777777" w:rsidR="00FA31A1" w:rsidRPr="00DC67EB" w:rsidRDefault="00FA31A1" w:rsidP="00FA31A1">
            <w:pPr>
              <w:spacing w:before="40" w:after="40"/>
              <w:rPr>
                <w:noProof/>
                <w:sz w:val="22"/>
              </w:rPr>
            </w:pPr>
            <w:r w:rsidRPr="00DC67EB">
              <w:rPr>
                <w:noProof/>
                <w:sz w:val="22"/>
              </w:rPr>
              <w:t>0,0037</w:t>
            </w:r>
          </w:p>
        </w:tc>
        <w:tc>
          <w:tcPr>
            <w:tcW w:w="1278" w:type="dxa"/>
            <w:gridSpan w:val="2"/>
            <w:shd w:val="clear" w:color="auto" w:fill="auto"/>
            <w:tcMar>
              <w:left w:w="28" w:type="dxa"/>
              <w:right w:w="28" w:type="dxa"/>
            </w:tcMar>
          </w:tcPr>
          <w:p w14:paraId="0933BA5E" w14:textId="77777777" w:rsidR="00FA31A1" w:rsidRPr="00DC67EB" w:rsidRDefault="00FA31A1" w:rsidP="00FA31A1">
            <w:pPr>
              <w:spacing w:before="40" w:after="40"/>
              <w:rPr>
                <w:noProof/>
                <w:sz w:val="22"/>
              </w:rPr>
            </w:pPr>
            <w:r w:rsidRPr="00DC67EB">
              <w:rPr>
                <w:noProof/>
                <w:sz w:val="22"/>
              </w:rPr>
              <w:t>0,16</w:t>
            </w:r>
          </w:p>
        </w:tc>
        <w:tc>
          <w:tcPr>
            <w:tcW w:w="1277" w:type="dxa"/>
            <w:gridSpan w:val="2"/>
            <w:shd w:val="clear" w:color="auto" w:fill="auto"/>
            <w:tcMar>
              <w:left w:w="28" w:type="dxa"/>
              <w:right w:w="28" w:type="dxa"/>
            </w:tcMar>
          </w:tcPr>
          <w:p w14:paraId="20815D3D" w14:textId="77777777" w:rsidR="00FA31A1" w:rsidRPr="00DC67EB" w:rsidRDefault="00FA31A1" w:rsidP="00FA31A1">
            <w:pPr>
              <w:spacing w:before="40" w:after="40"/>
              <w:rPr>
                <w:noProof/>
                <w:sz w:val="22"/>
              </w:rPr>
            </w:pPr>
            <w:r w:rsidRPr="00DC67EB">
              <w:rPr>
                <w:noProof/>
                <w:sz w:val="22"/>
              </w:rPr>
              <w:t>0,016</w:t>
            </w:r>
          </w:p>
        </w:tc>
        <w:tc>
          <w:tcPr>
            <w:tcW w:w="1136" w:type="dxa"/>
            <w:gridSpan w:val="2"/>
            <w:shd w:val="clear" w:color="auto" w:fill="auto"/>
            <w:tcMar>
              <w:left w:w="28" w:type="dxa"/>
              <w:right w:w="28" w:type="dxa"/>
            </w:tcMar>
          </w:tcPr>
          <w:p w14:paraId="1DE2A805" w14:textId="77777777" w:rsidR="00FA31A1" w:rsidRPr="00DC67EB" w:rsidRDefault="00FA31A1" w:rsidP="00FA31A1">
            <w:pPr>
              <w:spacing w:before="40" w:after="40"/>
              <w:rPr>
                <w:noProof/>
                <w:sz w:val="22"/>
              </w:rPr>
            </w:pPr>
          </w:p>
        </w:tc>
        <w:tc>
          <w:tcPr>
            <w:tcW w:w="1262" w:type="dxa"/>
            <w:tcMar>
              <w:left w:w="28" w:type="dxa"/>
              <w:right w:w="28" w:type="dxa"/>
            </w:tcMar>
          </w:tcPr>
          <w:p w14:paraId="1B548227" w14:textId="77777777" w:rsidR="00FA31A1" w:rsidRPr="00DC67EB" w:rsidRDefault="00FA31A1" w:rsidP="00FA31A1">
            <w:pPr>
              <w:spacing w:before="40" w:after="40"/>
              <w:rPr>
                <w:noProof/>
                <w:sz w:val="22"/>
              </w:rPr>
            </w:pPr>
          </w:p>
        </w:tc>
        <w:tc>
          <w:tcPr>
            <w:tcW w:w="1153" w:type="dxa"/>
            <w:gridSpan w:val="2"/>
            <w:tcMar>
              <w:left w:w="28" w:type="dxa"/>
              <w:right w:w="28" w:type="dxa"/>
            </w:tcMar>
          </w:tcPr>
          <w:p w14:paraId="1411C216" w14:textId="77777777" w:rsidR="00FA31A1" w:rsidRPr="00DC67EB" w:rsidRDefault="00FA31A1" w:rsidP="00FA31A1">
            <w:pPr>
              <w:spacing w:before="40" w:after="40"/>
              <w:rPr>
                <w:noProof/>
                <w:sz w:val="22"/>
              </w:rPr>
            </w:pPr>
          </w:p>
        </w:tc>
        <w:tc>
          <w:tcPr>
            <w:tcW w:w="970" w:type="dxa"/>
            <w:tcMar>
              <w:left w:w="28" w:type="dxa"/>
              <w:right w:w="28" w:type="dxa"/>
            </w:tcMar>
          </w:tcPr>
          <w:p w14:paraId="084F92C3" w14:textId="77777777" w:rsidR="00FA31A1" w:rsidRPr="00DC67EB" w:rsidRDefault="00FA31A1" w:rsidP="00FA31A1">
            <w:pPr>
              <w:spacing w:before="40" w:after="40"/>
              <w:rPr>
                <w:noProof/>
                <w:sz w:val="22"/>
              </w:rPr>
            </w:pPr>
          </w:p>
        </w:tc>
      </w:tr>
      <w:tr w:rsidR="00DC67EB" w:rsidRPr="00DC67EB" w14:paraId="1563CAA7" w14:textId="77777777" w:rsidTr="00FA31A1">
        <w:trPr>
          <w:gridBefore w:val="1"/>
          <w:wBefore w:w="12" w:type="dxa"/>
          <w:cantSplit/>
          <w:tblHeader/>
          <w:jc w:val="center"/>
        </w:trPr>
        <w:tc>
          <w:tcPr>
            <w:tcW w:w="651" w:type="dxa"/>
            <w:gridSpan w:val="3"/>
            <w:tcMar>
              <w:left w:w="28" w:type="dxa"/>
              <w:right w:w="28" w:type="dxa"/>
            </w:tcMar>
          </w:tcPr>
          <w:p w14:paraId="63451E31" w14:textId="77777777" w:rsidR="00FA31A1" w:rsidRPr="00DC67EB" w:rsidRDefault="00FA31A1" w:rsidP="00FA31A1">
            <w:pPr>
              <w:spacing w:before="40" w:after="40"/>
              <w:rPr>
                <w:noProof/>
                <w:sz w:val="22"/>
              </w:rPr>
            </w:pPr>
            <w:r w:rsidRPr="00DC67EB">
              <w:rPr>
                <w:noProof/>
                <w:sz w:val="22"/>
              </w:rPr>
              <w:t>49.</w:t>
            </w:r>
          </w:p>
        </w:tc>
        <w:tc>
          <w:tcPr>
            <w:tcW w:w="2286" w:type="dxa"/>
            <w:gridSpan w:val="3"/>
            <w:shd w:val="clear" w:color="auto" w:fill="auto"/>
            <w:tcMar>
              <w:left w:w="28" w:type="dxa"/>
              <w:right w:w="28" w:type="dxa"/>
            </w:tcMar>
          </w:tcPr>
          <w:p w14:paraId="6DA4177D" w14:textId="77777777" w:rsidR="00FA31A1" w:rsidRPr="00DC67EB" w:rsidRDefault="00FA31A1" w:rsidP="00FA31A1">
            <w:pPr>
              <w:spacing w:before="40" w:after="40"/>
              <w:rPr>
                <w:noProof/>
                <w:sz w:val="22"/>
              </w:rPr>
            </w:pPr>
            <w:r w:rsidRPr="00DC67EB">
              <w:rPr>
                <w:noProof/>
                <w:sz w:val="22"/>
              </w:rPr>
              <w:t>Azitromicin</w:t>
            </w:r>
          </w:p>
        </w:tc>
        <w:tc>
          <w:tcPr>
            <w:tcW w:w="1329" w:type="dxa"/>
            <w:gridSpan w:val="3"/>
            <w:shd w:val="clear" w:color="auto" w:fill="auto"/>
            <w:tcMar>
              <w:left w:w="28" w:type="dxa"/>
              <w:right w:w="28" w:type="dxa"/>
            </w:tcMar>
          </w:tcPr>
          <w:p w14:paraId="4B260082" w14:textId="77777777" w:rsidR="00FA31A1" w:rsidRPr="00DC67EB" w:rsidRDefault="00FA31A1" w:rsidP="00FA31A1">
            <w:pPr>
              <w:spacing w:before="40" w:after="40"/>
              <w:rPr>
                <w:noProof/>
                <w:sz w:val="22"/>
              </w:rPr>
            </w:pPr>
            <w:r w:rsidRPr="00DC67EB">
              <w:rPr>
                <w:noProof/>
                <w:sz w:val="22"/>
              </w:rPr>
              <w:t>Gyógyszerek (makrolid antibiotikumok)</w:t>
            </w:r>
          </w:p>
        </w:tc>
        <w:tc>
          <w:tcPr>
            <w:tcW w:w="992" w:type="dxa"/>
            <w:gridSpan w:val="2"/>
            <w:shd w:val="clear" w:color="auto" w:fill="auto"/>
            <w:tcMar>
              <w:left w:w="28" w:type="dxa"/>
              <w:right w:w="28" w:type="dxa"/>
            </w:tcMar>
          </w:tcPr>
          <w:p w14:paraId="0BEE5CDD" w14:textId="77777777" w:rsidR="00FA31A1" w:rsidRPr="00DC67EB" w:rsidRDefault="00FA31A1" w:rsidP="00FA31A1">
            <w:pPr>
              <w:spacing w:before="40" w:after="40"/>
              <w:rPr>
                <w:noProof/>
                <w:sz w:val="22"/>
              </w:rPr>
            </w:pPr>
            <w:r w:rsidRPr="00DC67EB">
              <w:rPr>
                <w:noProof/>
                <w:sz w:val="22"/>
              </w:rPr>
              <w:t>83905-01-5</w:t>
            </w:r>
          </w:p>
        </w:tc>
        <w:tc>
          <w:tcPr>
            <w:tcW w:w="1134" w:type="dxa"/>
          </w:tcPr>
          <w:p w14:paraId="526D3166" w14:textId="77777777" w:rsidR="00FA31A1" w:rsidRPr="00DC67EB" w:rsidRDefault="00FA31A1" w:rsidP="00FA31A1">
            <w:pPr>
              <w:spacing w:before="40" w:after="40"/>
              <w:rPr>
                <w:noProof/>
                <w:sz w:val="22"/>
              </w:rPr>
            </w:pPr>
            <w:r w:rsidRPr="00DC67EB">
              <w:rPr>
                <w:noProof/>
                <w:sz w:val="22"/>
              </w:rPr>
              <w:t>617-500-5</w:t>
            </w:r>
          </w:p>
        </w:tc>
        <w:tc>
          <w:tcPr>
            <w:tcW w:w="1279" w:type="dxa"/>
            <w:gridSpan w:val="2"/>
            <w:shd w:val="clear" w:color="auto" w:fill="auto"/>
            <w:tcMar>
              <w:left w:w="28" w:type="dxa"/>
              <w:right w:w="28" w:type="dxa"/>
            </w:tcMar>
          </w:tcPr>
          <w:p w14:paraId="420CE8DA" w14:textId="77777777" w:rsidR="00FA31A1" w:rsidRPr="00DC67EB" w:rsidRDefault="00FA31A1" w:rsidP="00FA31A1">
            <w:pPr>
              <w:spacing w:before="40" w:after="40"/>
              <w:rPr>
                <w:noProof/>
                <w:sz w:val="22"/>
              </w:rPr>
            </w:pPr>
            <w:r w:rsidRPr="00DC67EB">
              <w:rPr>
                <w:noProof/>
                <w:sz w:val="22"/>
              </w:rPr>
              <w:t>0,019</w:t>
            </w:r>
          </w:p>
        </w:tc>
        <w:tc>
          <w:tcPr>
            <w:tcW w:w="1279" w:type="dxa"/>
            <w:gridSpan w:val="2"/>
            <w:shd w:val="clear" w:color="auto" w:fill="auto"/>
            <w:tcMar>
              <w:left w:w="28" w:type="dxa"/>
              <w:right w:w="28" w:type="dxa"/>
            </w:tcMar>
          </w:tcPr>
          <w:p w14:paraId="044DC206" w14:textId="77777777" w:rsidR="00FA31A1" w:rsidRPr="00DC67EB" w:rsidRDefault="00FA31A1" w:rsidP="00FA31A1">
            <w:pPr>
              <w:spacing w:before="40" w:after="40"/>
              <w:rPr>
                <w:noProof/>
                <w:sz w:val="22"/>
              </w:rPr>
            </w:pPr>
            <w:r w:rsidRPr="00DC67EB">
              <w:rPr>
                <w:noProof/>
                <w:sz w:val="22"/>
              </w:rPr>
              <w:t>0,0019</w:t>
            </w:r>
          </w:p>
        </w:tc>
        <w:tc>
          <w:tcPr>
            <w:tcW w:w="1278" w:type="dxa"/>
            <w:gridSpan w:val="2"/>
            <w:shd w:val="clear" w:color="auto" w:fill="auto"/>
            <w:tcMar>
              <w:left w:w="28" w:type="dxa"/>
              <w:right w:w="28" w:type="dxa"/>
            </w:tcMar>
          </w:tcPr>
          <w:p w14:paraId="361916F4" w14:textId="77777777" w:rsidR="00FA31A1" w:rsidRPr="00DC67EB" w:rsidRDefault="00FA31A1" w:rsidP="00FA31A1">
            <w:pPr>
              <w:spacing w:before="40" w:after="40"/>
              <w:rPr>
                <w:noProof/>
                <w:sz w:val="22"/>
              </w:rPr>
            </w:pPr>
            <w:r w:rsidRPr="00DC67EB">
              <w:rPr>
                <w:noProof/>
                <w:sz w:val="22"/>
              </w:rPr>
              <w:t>0,18</w:t>
            </w:r>
          </w:p>
        </w:tc>
        <w:tc>
          <w:tcPr>
            <w:tcW w:w="1277" w:type="dxa"/>
            <w:gridSpan w:val="2"/>
            <w:shd w:val="clear" w:color="auto" w:fill="auto"/>
            <w:tcMar>
              <w:left w:w="28" w:type="dxa"/>
              <w:right w:w="28" w:type="dxa"/>
            </w:tcMar>
          </w:tcPr>
          <w:p w14:paraId="7B926002" w14:textId="77777777" w:rsidR="00FA31A1" w:rsidRPr="00DC67EB" w:rsidRDefault="00FA31A1" w:rsidP="00FA31A1">
            <w:pPr>
              <w:spacing w:before="40" w:after="40"/>
              <w:rPr>
                <w:noProof/>
                <w:sz w:val="22"/>
              </w:rPr>
            </w:pPr>
            <w:r w:rsidRPr="00DC67EB">
              <w:rPr>
                <w:noProof/>
                <w:sz w:val="22"/>
              </w:rPr>
              <w:t>0,018</w:t>
            </w:r>
          </w:p>
        </w:tc>
        <w:tc>
          <w:tcPr>
            <w:tcW w:w="1136" w:type="dxa"/>
            <w:gridSpan w:val="2"/>
            <w:shd w:val="clear" w:color="auto" w:fill="auto"/>
            <w:tcMar>
              <w:left w:w="28" w:type="dxa"/>
              <w:right w:w="28" w:type="dxa"/>
            </w:tcMar>
          </w:tcPr>
          <w:p w14:paraId="397A36F8" w14:textId="77777777" w:rsidR="00FA31A1" w:rsidRPr="00DC67EB" w:rsidRDefault="00FA31A1" w:rsidP="00FA31A1">
            <w:pPr>
              <w:spacing w:before="40" w:after="40"/>
              <w:rPr>
                <w:noProof/>
                <w:sz w:val="22"/>
              </w:rPr>
            </w:pPr>
          </w:p>
        </w:tc>
        <w:tc>
          <w:tcPr>
            <w:tcW w:w="1262" w:type="dxa"/>
            <w:tcMar>
              <w:left w:w="28" w:type="dxa"/>
              <w:right w:w="28" w:type="dxa"/>
            </w:tcMar>
          </w:tcPr>
          <w:p w14:paraId="209BA6E1" w14:textId="77777777" w:rsidR="00FA31A1" w:rsidRPr="00DC67EB" w:rsidRDefault="00FA31A1" w:rsidP="00FA31A1">
            <w:pPr>
              <w:spacing w:before="40" w:after="40"/>
              <w:rPr>
                <w:noProof/>
                <w:sz w:val="22"/>
              </w:rPr>
            </w:pPr>
          </w:p>
        </w:tc>
        <w:tc>
          <w:tcPr>
            <w:tcW w:w="1153" w:type="dxa"/>
            <w:gridSpan w:val="2"/>
            <w:tcMar>
              <w:left w:w="28" w:type="dxa"/>
              <w:right w:w="28" w:type="dxa"/>
            </w:tcMar>
          </w:tcPr>
          <w:p w14:paraId="0E5DD6F7" w14:textId="77777777" w:rsidR="00FA31A1" w:rsidRPr="00DC67EB" w:rsidRDefault="00FA31A1" w:rsidP="00FA31A1">
            <w:pPr>
              <w:spacing w:before="40" w:after="40"/>
              <w:rPr>
                <w:noProof/>
                <w:sz w:val="22"/>
              </w:rPr>
            </w:pPr>
          </w:p>
        </w:tc>
        <w:tc>
          <w:tcPr>
            <w:tcW w:w="970" w:type="dxa"/>
            <w:tcMar>
              <w:left w:w="28" w:type="dxa"/>
              <w:right w:w="28" w:type="dxa"/>
            </w:tcMar>
          </w:tcPr>
          <w:p w14:paraId="410C714F" w14:textId="77777777" w:rsidR="00FA31A1" w:rsidRPr="00DC67EB" w:rsidRDefault="00FA31A1" w:rsidP="00FA31A1">
            <w:pPr>
              <w:spacing w:before="40" w:after="40"/>
              <w:rPr>
                <w:noProof/>
                <w:sz w:val="22"/>
              </w:rPr>
            </w:pPr>
            <w:r w:rsidRPr="00DC67EB">
              <w:rPr>
                <w:noProof/>
                <w:sz w:val="22"/>
              </w:rPr>
              <w:t>X</w:t>
            </w:r>
          </w:p>
        </w:tc>
      </w:tr>
      <w:tr w:rsidR="00DC67EB" w:rsidRPr="00DC67EB" w14:paraId="6CED7191" w14:textId="77777777" w:rsidTr="00FA31A1">
        <w:trPr>
          <w:gridBefore w:val="1"/>
          <w:wBefore w:w="12" w:type="dxa"/>
          <w:cantSplit/>
          <w:tblHeader/>
          <w:jc w:val="center"/>
        </w:trPr>
        <w:tc>
          <w:tcPr>
            <w:tcW w:w="651" w:type="dxa"/>
            <w:gridSpan w:val="3"/>
            <w:tcMar>
              <w:left w:w="28" w:type="dxa"/>
              <w:right w:w="28" w:type="dxa"/>
            </w:tcMar>
          </w:tcPr>
          <w:p w14:paraId="3062322D" w14:textId="77777777" w:rsidR="00FA31A1" w:rsidRPr="00DC67EB" w:rsidRDefault="00FA31A1" w:rsidP="00FA31A1">
            <w:pPr>
              <w:spacing w:before="40" w:after="40"/>
              <w:rPr>
                <w:noProof/>
                <w:sz w:val="22"/>
              </w:rPr>
            </w:pPr>
            <w:r w:rsidRPr="00DC67EB">
              <w:rPr>
                <w:noProof/>
                <w:sz w:val="22"/>
              </w:rPr>
              <w:t>50.</w:t>
            </w:r>
          </w:p>
        </w:tc>
        <w:tc>
          <w:tcPr>
            <w:tcW w:w="2286" w:type="dxa"/>
            <w:gridSpan w:val="3"/>
            <w:shd w:val="clear" w:color="auto" w:fill="auto"/>
            <w:tcMar>
              <w:left w:w="28" w:type="dxa"/>
              <w:right w:w="28" w:type="dxa"/>
            </w:tcMar>
          </w:tcPr>
          <w:p w14:paraId="422BA317" w14:textId="77777777" w:rsidR="00FA31A1" w:rsidRPr="00DC67EB" w:rsidRDefault="00FA31A1" w:rsidP="00FA31A1">
            <w:pPr>
              <w:spacing w:before="40" w:after="40"/>
              <w:rPr>
                <w:noProof/>
                <w:sz w:val="22"/>
              </w:rPr>
            </w:pPr>
            <w:r w:rsidRPr="00DC67EB">
              <w:rPr>
                <w:noProof/>
                <w:sz w:val="22"/>
              </w:rPr>
              <w:t>Bifentrin</w:t>
            </w:r>
          </w:p>
        </w:tc>
        <w:tc>
          <w:tcPr>
            <w:tcW w:w="1329" w:type="dxa"/>
            <w:gridSpan w:val="3"/>
            <w:shd w:val="clear" w:color="auto" w:fill="auto"/>
            <w:tcMar>
              <w:left w:w="28" w:type="dxa"/>
              <w:right w:w="28" w:type="dxa"/>
            </w:tcMar>
          </w:tcPr>
          <w:p w14:paraId="1F1C92C8" w14:textId="77777777" w:rsidR="00FA31A1" w:rsidRPr="00DC67EB" w:rsidRDefault="00FA31A1" w:rsidP="00FA31A1">
            <w:pPr>
              <w:spacing w:before="40" w:after="40"/>
              <w:rPr>
                <w:noProof/>
                <w:sz w:val="22"/>
              </w:rPr>
            </w:pPr>
            <w:r w:rsidRPr="00DC67EB">
              <w:rPr>
                <w:noProof/>
                <w:sz w:val="22"/>
              </w:rPr>
              <w:t>Piretroid peszticidek</w:t>
            </w:r>
          </w:p>
        </w:tc>
        <w:tc>
          <w:tcPr>
            <w:tcW w:w="992" w:type="dxa"/>
            <w:gridSpan w:val="2"/>
            <w:shd w:val="clear" w:color="auto" w:fill="auto"/>
            <w:tcMar>
              <w:left w:w="28" w:type="dxa"/>
              <w:right w:w="28" w:type="dxa"/>
            </w:tcMar>
          </w:tcPr>
          <w:p w14:paraId="2637CBF0" w14:textId="77777777" w:rsidR="00FA31A1" w:rsidRPr="00DC67EB" w:rsidRDefault="00FA31A1" w:rsidP="00FA31A1">
            <w:pPr>
              <w:spacing w:before="40" w:after="40"/>
              <w:rPr>
                <w:noProof/>
                <w:sz w:val="22"/>
              </w:rPr>
            </w:pPr>
            <w:r w:rsidRPr="00DC67EB">
              <w:rPr>
                <w:noProof/>
                <w:sz w:val="22"/>
              </w:rPr>
              <w:t>82657-04-3</w:t>
            </w:r>
          </w:p>
        </w:tc>
        <w:tc>
          <w:tcPr>
            <w:tcW w:w="1134" w:type="dxa"/>
          </w:tcPr>
          <w:p w14:paraId="45978264" w14:textId="77777777" w:rsidR="00FA31A1" w:rsidRPr="00DC67EB" w:rsidRDefault="00FA31A1" w:rsidP="00FA31A1">
            <w:pPr>
              <w:spacing w:before="40" w:after="40"/>
              <w:rPr>
                <w:noProof/>
                <w:sz w:val="22"/>
              </w:rPr>
            </w:pPr>
            <w:r w:rsidRPr="00DC67EB">
              <w:rPr>
                <w:noProof/>
                <w:sz w:val="22"/>
              </w:rPr>
              <w:t>617-373-6</w:t>
            </w:r>
          </w:p>
        </w:tc>
        <w:tc>
          <w:tcPr>
            <w:tcW w:w="1279" w:type="dxa"/>
            <w:gridSpan w:val="2"/>
            <w:shd w:val="clear" w:color="auto" w:fill="auto"/>
            <w:tcMar>
              <w:left w:w="28" w:type="dxa"/>
              <w:right w:w="28" w:type="dxa"/>
            </w:tcMar>
          </w:tcPr>
          <w:p w14:paraId="607205C0" w14:textId="77777777" w:rsidR="00FA31A1" w:rsidRPr="00DC67EB" w:rsidRDefault="00FA31A1" w:rsidP="00FA31A1">
            <w:pPr>
              <w:spacing w:before="40" w:after="40"/>
              <w:rPr>
                <w:noProof/>
                <w:sz w:val="22"/>
              </w:rPr>
            </w:pPr>
            <w:r w:rsidRPr="00DC67EB">
              <w:rPr>
                <w:noProof/>
                <w:sz w:val="22"/>
              </w:rPr>
              <w:t>9,5 × 10</w:t>
            </w:r>
            <w:r w:rsidRPr="00DC67EB">
              <w:rPr>
                <w:noProof/>
                <w:sz w:val="22"/>
                <w:vertAlign w:val="superscript"/>
              </w:rPr>
              <w:t>-5</w:t>
            </w:r>
          </w:p>
        </w:tc>
        <w:tc>
          <w:tcPr>
            <w:tcW w:w="1279" w:type="dxa"/>
            <w:gridSpan w:val="2"/>
            <w:shd w:val="clear" w:color="auto" w:fill="auto"/>
            <w:tcMar>
              <w:left w:w="28" w:type="dxa"/>
              <w:right w:w="28" w:type="dxa"/>
            </w:tcMar>
          </w:tcPr>
          <w:p w14:paraId="11538546" w14:textId="77777777" w:rsidR="00FA31A1" w:rsidRPr="00DC67EB" w:rsidRDefault="00FA31A1" w:rsidP="00FA31A1">
            <w:pPr>
              <w:spacing w:before="40" w:after="40"/>
              <w:rPr>
                <w:noProof/>
                <w:sz w:val="22"/>
              </w:rPr>
            </w:pPr>
            <w:r w:rsidRPr="00DC67EB">
              <w:rPr>
                <w:noProof/>
                <w:sz w:val="22"/>
              </w:rPr>
              <w:t>9,5 × 10</w:t>
            </w:r>
            <w:r w:rsidRPr="00DC67EB">
              <w:rPr>
                <w:noProof/>
                <w:sz w:val="22"/>
                <w:vertAlign w:val="superscript"/>
              </w:rPr>
              <w:t>-6</w:t>
            </w:r>
          </w:p>
        </w:tc>
        <w:tc>
          <w:tcPr>
            <w:tcW w:w="1278" w:type="dxa"/>
            <w:gridSpan w:val="2"/>
            <w:shd w:val="clear" w:color="auto" w:fill="auto"/>
            <w:tcMar>
              <w:left w:w="28" w:type="dxa"/>
              <w:right w:w="28" w:type="dxa"/>
            </w:tcMar>
          </w:tcPr>
          <w:p w14:paraId="4C2C7ED5" w14:textId="77777777" w:rsidR="00FA31A1" w:rsidRPr="00DC67EB" w:rsidRDefault="00FA31A1" w:rsidP="00FA31A1">
            <w:pPr>
              <w:spacing w:before="40" w:after="40"/>
              <w:rPr>
                <w:noProof/>
                <w:sz w:val="22"/>
              </w:rPr>
            </w:pPr>
            <w:r w:rsidRPr="00DC67EB">
              <w:rPr>
                <w:noProof/>
                <w:sz w:val="22"/>
              </w:rPr>
              <w:t>0,011</w:t>
            </w:r>
          </w:p>
        </w:tc>
        <w:tc>
          <w:tcPr>
            <w:tcW w:w="1277" w:type="dxa"/>
            <w:gridSpan w:val="2"/>
            <w:shd w:val="clear" w:color="auto" w:fill="auto"/>
            <w:tcMar>
              <w:left w:w="28" w:type="dxa"/>
              <w:right w:w="28" w:type="dxa"/>
            </w:tcMar>
          </w:tcPr>
          <w:p w14:paraId="620A9841" w14:textId="77777777" w:rsidR="00FA31A1" w:rsidRPr="00DC67EB" w:rsidRDefault="00FA31A1" w:rsidP="00FA31A1">
            <w:pPr>
              <w:spacing w:before="40" w:after="40"/>
              <w:rPr>
                <w:noProof/>
                <w:sz w:val="22"/>
              </w:rPr>
            </w:pPr>
            <w:r w:rsidRPr="00DC67EB">
              <w:rPr>
                <w:noProof/>
                <w:sz w:val="22"/>
              </w:rPr>
              <w:t>0,001</w:t>
            </w:r>
          </w:p>
        </w:tc>
        <w:tc>
          <w:tcPr>
            <w:tcW w:w="1136" w:type="dxa"/>
            <w:gridSpan w:val="2"/>
            <w:shd w:val="clear" w:color="auto" w:fill="auto"/>
            <w:tcMar>
              <w:left w:w="28" w:type="dxa"/>
              <w:right w:w="28" w:type="dxa"/>
            </w:tcMar>
          </w:tcPr>
          <w:p w14:paraId="4B7FDE83" w14:textId="77777777" w:rsidR="00FA31A1" w:rsidRPr="00DC67EB" w:rsidRDefault="00FA31A1" w:rsidP="00FA31A1">
            <w:pPr>
              <w:spacing w:before="40" w:after="40"/>
              <w:rPr>
                <w:noProof/>
                <w:sz w:val="22"/>
              </w:rPr>
            </w:pPr>
          </w:p>
        </w:tc>
        <w:tc>
          <w:tcPr>
            <w:tcW w:w="1262" w:type="dxa"/>
            <w:tcMar>
              <w:left w:w="28" w:type="dxa"/>
              <w:right w:w="28" w:type="dxa"/>
            </w:tcMar>
          </w:tcPr>
          <w:p w14:paraId="03882CD2" w14:textId="77777777" w:rsidR="00FA31A1" w:rsidRPr="00DC67EB" w:rsidRDefault="00FA31A1" w:rsidP="00FA31A1">
            <w:pPr>
              <w:spacing w:before="40" w:after="40"/>
              <w:rPr>
                <w:noProof/>
                <w:sz w:val="22"/>
              </w:rPr>
            </w:pPr>
          </w:p>
        </w:tc>
        <w:tc>
          <w:tcPr>
            <w:tcW w:w="1153" w:type="dxa"/>
            <w:gridSpan w:val="2"/>
            <w:tcMar>
              <w:left w:w="28" w:type="dxa"/>
              <w:right w:w="28" w:type="dxa"/>
            </w:tcMar>
          </w:tcPr>
          <w:p w14:paraId="1A2C36FA" w14:textId="77777777" w:rsidR="00FA31A1" w:rsidRPr="00DC67EB" w:rsidRDefault="00FA31A1" w:rsidP="00FA31A1">
            <w:pPr>
              <w:spacing w:before="40" w:after="40"/>
              <w:rPr>
                <w:noProof/>
                <w:sz w:val="22"/>
              </w:rPr>
            </w:pPr>
          </w:p>
        </w:tc>
        <w:tc>
          <w:tcPr>
            <w:tcW w:w="970" w:type="dxa"/>
            <w:tcMar>
              <w:left w:w="28" w:type="dxa"/>
              <w:right w:w="28" w:type="dxa"/>
            </w:tcMar>
          </w:tcPr>
          <w:p w14:paraId="2D45E1A0" w14:textId="77777777" w:rsidR="00FA31A1" w:rsidRPr="00DC67EB" w:rsidRDefault="00FA31A1" w:rsidP="00FA31A1">
            <w:pPr>
              <w:spacing w:before="40" w:after="40"/>
              <w:rPr>
                <w:noProof/>
                <w:sz w:val="22"/>
              </w:rPr>
            </w:pPr>
            <w:r w:rsidRPr="00DC67EB">
              <w:rPr>
                <w:noProof/>
                <w:sz w:val="22"/>
              </w:rPr>
              <w:t>X</w:t>
            </w:r>
          </w:p>
        </w:tc>
      </w:tr>
      <w:tr w:rsidR="00DC67EB" w:rsidRPr="00DC67EB" w14:paraId="14004FAC" w14:textId="77777777" w:rsidTr="00FA31A1">
        <w:trPr>
          <w:gridBefore w:val="1"/>
          <w:wBefore w:w="12" w:type="dxa"/>
          <w:cantSplit/>
          <w:tblHeader/>
          <w:jc w:val="center"/>
        </w:trPr>
        <w:tc>
          <w:tcPr>
            <w:tcW w:w="651" w:type="dxa"/>
            <w:gridSpan w:val="3"/>
            <w:tcMar>
              <w:left w:w="28" w:type="dxa"/>
              <w:right w:w="28" w:type="dxa"/>
            </w:tcMar>
          </w:tcPr>
          <w:p w14:paraId="6C2ABB96" w14:textId="77777777" w:rsidR="00FA31A1" w:rsidRPr="00DC67EB" w:rsidRDefault="00FA31A1" w:rsidP="00FA31A1">
            <w:pPr>
              <w:keepNext/>
              <w:spacing w:before="40" w:after="40"/>
              <w:rPr>
                <w:noProof/>
                <w:sz w:val="22"/>
              </w:rPr>
            </w:pPr>
            <w:r w:rsidRPr="00DC67EB">
              <w:rPr>
                <w:noProof/>
                <w:sz w:val="22"/>
              </w:rPr>
              <w:t>51.</w:t>
            </w:r>
          </w:p>
        </w:tc>
        <w:tc>
          <w:tcPr>
            <w:tcW w:w="2286" w:type="dxa"/>
            <w:gridSpan w:val="3"/>
            <w:shd w:val="clear" w:color="auto" w:fill="auto"/>
            <w:tcMar>
              <w:left w:w="28" w:type="dxa"/>
              <w:right w:w="28" w:type="dxa"/>
            </w:tcMar>
          </w:tcPr>
          <w:p w14:paraId="3E6B69B2" w14:textId="77777777" w:rsidR="00FA31A1" w:rsidRPr="00DC67EB" w:rsidRDefault="00FA31A1" w:rsidP="00FA31A1">
            <w:pPr>
              <w:keepNext/>
              <w:spacing w:before="40" w:after="40"/>
              <w:rPr>
                <w:noProof/>
                <w:sz w:val="22"/>
              </w:rPr>
            </w:pPr>
            <w:r w:rsidRPr="00DC67EB">
              <w:rPr>
                <w:noProof/>
                <w:sz w:val="22"/>
              </w:rPr>
              <w:t>Biszfenol-A (BPA)</w:t>
            </w:r>
          </w:p>
        </w:tc>
        <w:tc>
          <w:tcPr>
            <w:tcW w:w="1329" w:type="dxa"/>
            <w:gridSpan w:val="3"/>
            <w:shd w:val="clear" w:color="auto" w:fill="auto"/>
            <w:tcMar>
              <w:left w:w="28" w:type="dxa"/>
              <w:right w:w="28" w:type="dxa"/>
            </w:tcMar>
          </w:tcPr>
          <w:p w14:paraId="39C2A369" w14:textId="77777777" w:rsidR="00FA31A1" w:rsidRPr="00DC67EB" w:rsidRDefault="00FA31A1" w:rsidP="00FA31A1">
            <w:pPr>
              <w:keepNext/>
              <w:spacing w:before="40" w:after="40"/>
              <w:rPr>
                <w:noProof/>
                <w:sz w:val="22"/>
              </w:rPr>
            </w:pPr>
            <w:r w:rsidRPr="00DC67EB">
              <w:rPr>
                <w:noProof/>
                <w:sz w:val="22"/>
              </w:rPr>
              <w:t>Ipari anyagok</w:t>
            </w:r>
          </w:p>
        </w:tc>
        <w:tc>
          <w:tcPr>
            <w:tcW w:w="992" w:type="dxa"/>
            <w:gridSpan w:val="2"/>
            <w:shd w:val="clear" w:color="auto" w:fill="auto"/>
            <w:tcMar>
              <w:left w:w="28" w:type="dxa"/>
              <w:right w:w="28" w:type="dxa"/>
            </w:tcMar>
          </w:tcPr>
          <w:p w14:paraId="7B03D380" w14:textId="77777777" w:rsidR="00FA31A1" w:rsidRPr="00DC67EB" w:rsidRDefault="00FA31A1" w:rsidP="00FA31A1">
            <w:pPr>
              <w:keepNext/>
              <w:spacing w:before="40" w:after="40"/>
              <w:rPr>
                <w:noProof/>
                <w:sz w:val="22"/>
              </w:rPr>
            </w:pPr>
            <w:r w:rsidRPr="00DC67EB">
              <w:rPr>
                <w:noProof/>
                <w:sz w:val="22"/>
              </w:rPr>
              <w:t>80-05-7</w:t>
            </w:r>
          </w:p>
        </w:tc>
        <w:tc>
          <w:tcPr>
            <w:tcW w:w="1134" w:type="dxa"/>
          </w:tcPr>
          <w:p w14:paraId="5CD5C5F7" w14:textId="77777777" w:rsidR="00FA31A1" w:rsidRPr="00DC67EB" w:rsidDel="00E110E0" w:rsidRDefault="00FA31A1" w:rsidP="00FA31A1">
            <w:pPr>
              <w:keepNext/>
              <w:spacing w:before="40" w:after="40"/>
              <w:rPr>
                <w:noProof/>
                <w:sz w:val="22"/>
              </w:rPr>
            </w:pPr>
            <w:r w:rsidRPr="00DC67EB">
              <w:rPr>
                <w:noProof/>
                <w:sz w:val="22"/>
              </w:rPr>
              <w:t>201-245-8</w:t>
            </w:r>
          </w:p>
        </w:tc>
        <w:tc>
          <w:tcPr>
            <w:tcW w:w="1279" w:type="dxa"/>
            <w:gridSpan w:val="2"/>
            <w:shd w:val="clear" w:color="auto" w:fill="auto"/>
            <w:tcMar>
              <w:left w:w="28" w:type="dxa"/>
              <w:right w:w="28" w:type="dxa"/>
            </w:tcMar>
          </w:tcPr>
          <w:p w14:paraId="1018874D" w14:textId="77777777" w:rsidR="00FA31A1" w:rsidRPr="00DC67EB" w:rsidRDefault="00FA31A1" w:rsidP="00FA31A1">
            <w:pPr>
              <w:keepNext/>
              <w:spacing w:before="40" w:after="40"/>
              <w:rPr>
                <w:noProof/>
                <w:sz w:val="22"/>
              </w:rPr>
            </w:pPr>
            <w:r w:rsidRPr="00DC67EB">
              <w:rPr>
                <w:noProof/>
                <w:sz w:val="22"/>
              </w:rPr>
              <w:t>3,4 × 10</w:t>
            </w:r>
            <w:r w:rsidRPr="00DC67EB">
              <w:rPr>
                <w:noProof/>
                <w:sz w:val="22"/>
                <w:vertAlign w:val="superscript"/>
              </w:rPr>
              <w:t>-5</w:t>
            </w:r>
            <w:r w:rsidRPr="00DC67EB">
              <w:rPr>
                <w:noProof/>
                <w:sz w:val="22"/>
              </w:rPr>
              <w:t xml:space="preserve">  </w:t>
            </w:r>
          </w:p>
        </w:tc>
        <w:tc>
          <w:tcPr>
            <w:tcW w:w="1279" w:type="dxa"/>
            <w:gridSpan w:val="2"/>
            <w:shd w:val="clear" w:color="auto" w:fill="auto"/>
            <w:tcMar>
              <w:left w:w="28" w:type="dxa"/>
              <w:right w:w="28" w:type="dxa"/>
            </w:tcMar>
          </w:tcPr>
          <w:p w14:paraId="180B3E09" w14:textId="77777777" w:rsidR="00FA31A1" w:rsidRPr="00DC67EB" w:rsidRDefault="00FA31A1" w:rsidP="00FA31A1">
            <w:pPr>
              <w:keepNext/>
              <w:spacing w:before="40" w:after="40"/>
              <w:rPr>
                <w:noProof/>
                <w:sz w:val="22"/>
              </w:rPr>
            </w:pPr>
            <w:r w:rsidRPr="00DC67EB">
              <w:rPr>
                <w:noProof/>
                <w:sz w:val="22"/>
              </w:rPr>
              <w:t>3,4 × 10</w:t>
            </w:r>
            <w:r w:rsidRPr="00DC67EB">
              <w:rPr>
                <w:noProof/>
                <w:sz w:val="22"/>
                <w:vertAlign w:val="superscript"/>
              </w:rPr>
              <w:t>-5</w:t>
            </w:r>
            <w:r w:rsidRPr="00DC67EB">
              <w:rPr>
                <w:noProof/>
                <w:sz w:val="22"/>
              </w:rPr>
              <w:t xml:space="preserve"> </w:t>
            </w:r>
          </w:p>
        </w:tc>
        <w:tc>
          <w:tcPr>
            <w:tcW w:w="1278" w:type="dxa"/>
            <w:gridSpan w:val="2"/>
            <w:shd w:val="clear" w:color="auto" w:fill="auto"/>
            <w:tcMar>
              <w:left w:w="28" w:type="dxa"/>
              <w:right w:w="28" w:type="dxa"/>
            </w:tcMar>
          </w:tcPr>
          <w:p w14:paraId="0257A76E" w14:textId="77777777" w:rsidR="00FA31A1" w:rsidRPr="00DC67EB" w:rsidRDefault="00FA31A1" w:rsidP="00FA31A1">
            <w:pPr>
              <w:keepNext/>
              <w:spacing w:before="40" w:after="40"/>
              <w:rPr>
                <w:noProof/>
                <w:sz w:val="22"/>
              </w:rPr>
            </w:pPr>
            <w:r w:rsidRPr="00DC67EB">
              <w:rPr>
                <w:noProof/>
                <w:sz w:val="22"/>
              </w:rPr>
              <w:t>130</w:t>
            </w:r>
          </w:p>
        </w:tc>
        <w:tc>
          <w:tcPr>
            <w:tcW w:w="1277" w:type="dxa"/>
            <w:gridSpan w:val="2"/>
            <w:shd w:val="clear" w:color="auto" w:fill="auto"/>
            <w:tcMar>
              <w:left w:w="28" w:type="dxa"/>
              <w:right w:w="28" w:type="dxa"/>
            </w:tcMar>
          </w:tcPr>
          <w:p w14:paraId="77BED75D" w14:textId="77777777" w:rsidR="00FA31A1" w:rsidRPr="00DC67EB" w:rsidRDefault="00FA31A1" w:rsidP="00FA31A1">
            <w:pPr>
              <w:keepNext/>
              <w:spacing w:before="40" w:after="40"/>
              <w:rPr>
                <w:noProof/>
                <w:sz w:val="22"/>
              </w:rPr>
            </w:pPr>
            <w:r w:rsidRPr="00DC67EB">
              <w:rPr>
                <w:noProof/>
                <w:sz w:val="22"/>
              </w:rPr>
              <w:t>51</w:t>
            </w:r>
          </w:p>
        </w:tc>
        <w:tc>
          <w:tcPr>
            <w:tcW w:w="1136" w:type="dxa"/>
            <w:gridSpan w:val="2"/>
            <w:shd w:val="clear" w:color="auto" w:fill="auto"/>
            <w:tcMar>
              <w:left w:w="28" w:type="dxa"/>
              <w:right w:w="28" w:type="dxa"/>
            </w:tcMar>
          </w:tcPr>
          <w:p w14:paraId="6F58F1A9" w14:textId="77777777" w:rsidR="00FA31A1" w:rsidRPr="00DC67EB" w:rsidRDefault="00FA31A1" w:rsidP="00FA31A1">
            <w:pPr>
              <w:keepNext/>
              <w:spacing w:before="40" w:after="40"/>
              <w:rPr>
                <w:noProof/>
                <w:sz w:val="22"/>
              </w:rPr>
            </w:pPr>
            <w:r w:rsidRPr="00DC67EB">
              <w:rPr>
                <w:noProof/>
                <w:sz w:val="22"/>
              </w:rPr>
              <w:t>0,005</w:t>
            </w:r>
          </w:p>
        </w:tc>
        <w:tc>
          <w:tcPr>
            <w:tcW w:w="1262" w:type="dxa"/>
            <w:tcMar>
              <w:left w:w="28" w:type="dxa"/>
              <w:right w:w="28" w:type="dxa"/>
            </w:tcMar>
          </w:tcPr>
          <w:p w14:paraId="423BE04C" w14:textId="77777777" w:rsidR="00FA31A1" w:rsidRPr="00DC67EB" w:rsidRDefault="00FA31A1" w:rsidP="00FA31A1">
            <w:pPr>
              <w:keepNext/>
              <w:spacing w:before="40" w:after="40"/>
              <w:rPr>
                <w:noProof/>
                <w:sz w:val="22"/>
              </w:rPr>
            </w:pPr>
            <w:r w:rsidRPr="00DC67EB">
              <w:rPr>
                <w:noProof/>
                <w:sz w:val="22"/>
              </w:rPr>
              <w:t>X</w:t>
            </w:r>
          </w:p>
        </w:tc>
        <w:tc>
          <w:tcPr>
            <w:tcW w:w="1153" w:type="dxa"/>
            <w:gridSpan w:val="2"/>
            <w:tcMar>
              <w:left w:w="28" w:type="dxa"/>
              <w:right w:w="28" w:type="dxa"/>
            </w:tcMar>
          </w:tcPr>
          <w:p w14:paraId="0E189FD9" w14:textId="77777777" w:rsidR="00FA31A1" w:rsidRPr="00DC67EB" w:rsidRDefault="00FA31A1" w:rsidP="00FA31A1">
            <w:pPr>
              <w:keepNext/>
              <w:spacing w:before="40" w:after="40"/>
              <w:rPr>
                <w:noProof/>
                <w:sz w:val="22"/>
              </w:rPr>
            </w:pPr>
          </w:p>
        </w:tc>
        <w:tc>
          <w:tcPr>
            <w:tcW w:w="970" w:type="dxa"/>
            <w:tcMar>
              <w:left w:w="28" w:type="dxa"/>
              <w:right w:w="28" w:type="dxa"/>
            </w:tcMar>
          </w:tcPr>
          <w:p w14:paraId="61B9124F" w14:textId="77777777" w:rsidR="00FA31A1" w:rsidRPr="00DC67EB" w:rsidRDefault="00FA31A1" w:rsidP="00FA31A1">
            <w:pPr>
              <w:keepNext/>
              <w:spacing w:before="40" w:after="40"/>
              <w:rPr>
                <w:noProof/>
                <w:sz w:val="22"/>
              </w:rPr>
            </w:pPr>
          </w:p>
        </w:tc>
      </w:tr>
      <w:tr w:rsidR="00DC67EB" w:rsidRPr="00DC67EB" w14:paraId="014423EB" w14:textId="77777777" w:rsidTr="00FA31A1">
        <w:trPr>
          <w:gridBefore w:val="1"/>
          <w:wBefore w:w="12" w:type="dxa"/>
          <w:cantSplit/>
          <w:tblHeader/>
          <w:jc w:val="center"/>
        </w:trPr>
        <w:tc>
          <w:tcPr>
            <w:tcW w:w="651" w:type="dxa"/>
            <w:gridSpan w:val="3"/>
            <w:tcMar>
              <w:left w:w="28" w:type="dxa"/>
              <w:right w:w="28" w:type="dxa"/>
            </w:tcMar>
          </w:tcPr>
          <w:p w14:paraId="6AFD2D55" w14:textId="77777777" w:rsidR="00FA31A1" w:rsidRPr="00DC67EB" w:rsidRDefault="00FA31A1" w:rsidP="00FA31A1">
            <w:pPr>
              <w:spacing w:before="40" w:after="40"/>
              <w:rPr>
                <w:noProof/>
                <w:sz w:val="22"/>
              </w:rPr>
            </w:pPr>
            <w:r w:rsidRPr="00DC67EB">
              <w:rPr>
                <w:noProof/>
                <w:sz w:val="22"/>
              </w:rPr>
              <w:t>52.</w:t>
            </w:r>
          </w:p>
        </w:tc>
        <w:tc>
          <w:tcPr>
            <w:tcW w:w="2286" w:type="dxa"/>
            <w:gridSpan w:val="3"/>
            <w:shd w:val="clear" w:color="auto" w:fill="auto"/>
            <w:tcMar>
              <w:left w:w="28" w:type="dxa"/>
              <w:right w:w="28" w:type="dxa"/>
            </w:tcMar>
          </w:tcPr>
          <w:p w14:paraId="0DC10A65" w14:textId="77777777" w:rsidR="00FA31A1" w:rsidRPr="00DC67EB" w:rsidRDefault="00FA31A1" w:rsidP="00FA31A1">
            <w:pPr>
              <w:spacing w:before="40" w:after="40"/>
              <w:rPr>
                <w:noProof/>
                <w:sz w:val="22"/>
              </w:rPr>
            </w:pPr>
            <w:r w:rsidRPr="00DC67EB">
              <w:rPr>
                <w:noProof/>
                <w:sz w:val="22"/>
              </w:rPr>
              <w:t>Karbamazepin</w:t>
            </w:r>
          </w:p>
        </w:tc>
        <w:tc>
          <w:tcPr>
            <w:tcW w:w="1329" w:type="dxa"/>
            <w:gridSpan w:val="3"/>
            <w:shd w:val="clear" w:color="auto" w:fill="auto"/>
            <w:tcMar>
              <w:left w:w="28" w:type="dxa"/>
              <w:right w:w="28" w:type="dxa"/>
            </w:tcMar>
          </w:tcPr>
          <w:p w14:paraId="41B8898D" w14:textId="77777777" w:rsidR="00FA31A1" w:rsidRPr="00DC67EB" w:rsidRDefault="00FA31A1" w:rsidP="00FA31A1">
            <w:pPr>
              <w:spacing w:before="40" w:after="40"/>
              <w:rPr>
                <w:noProof/>
                <w:sz w:val="22"/>
              </w:rPr>
            </w:pPr>
            <w:r w:rsidRPr="00DC67EB">
              <w:rPr>
                <w:noProof/>
                <w:sz w:val="22"/>
              </w:rPr>
              <w:t>Gyógyszerek</w:t>
            </w:r>
          </w:p>
        </w:tc>
        <w:tc>
          <w:tcPr>
            <w:tcW w:w="992" w:type="dxa"/>
            <w:gridSpan w:val="2"/>
            <w:shd w:val="clear" w:color="auto" w:fill="auto"/>
            <w:tcMar>
              <w:left w:w="28" w:type="dxa"/>
              <w:right w:w="28" w:type="dxa"/>
            </w:tcMar>
          </w:tcPr>
          <w:p w14:paraId="5F81BD4A" w14:textId="77777777" w:rsidR="00FA31A1" w:rsidRPr="00DC67EB" w:rsidRDefault="00FA31A1" w:rsidP="00FA31A1">
            <w:pPr>
              <w:spacing w:before="40" w:after="40"/>
              <w:rPr>
                <w:noProof/>
                <w:sz w:val="22"/>
              </w:rPr>
            </w:pPr>
            <w:r w:rsidRPr="00DC67EB">
              <w:rPr>
                <w:noProof/>
                <w:sz w:val="22"/>
              </w:rPr>
              <w:t>298-46-4</w:t>
            </w:r>
          </w:p>
        </w:tc>
        <w:tc>
          <w:tcPr>
            <w:tcW w:w="1134" w:type="dxa"/>
          </w:tcPr>
          <w:p w14:paraId="0F479C46" w14:textId="77777777" w:rsidR="00FA31A1" w:rsidRPr="00DC67EB" w:rsidDel="00F376D5" w:rsidRDefault="00FA31A1" w:rsidP="00FA31A1">
            <w:pPr>
              <w:spacing w:before="40" w:after="40"/>
              <w:rPr>
                <w:noProof/>
                <w:sz w:val="22"/>
              </w:rPr>
            </w:pPr>
            <w:r w:rsidRPr="00DC67EB">
              <w:rPr>
                <w:noProof/>
                <w:sz w:val="22"/>
              </w:rPr>
              <w:t>206-062-7</w:t>
            </w:r>
          </w:p>
        </w:tc>
        <w:tc>
          <w:tcPr>
            <w:tcW w:w="1279" w:type="dxa"/>
            <w:gridSpan w:val="2"/>
            <w:shd w:val="clear" w:color="auto" w:fill="auto"/>
            <w:tcMar>
              <w:left w:w="28" w:type="dxa"/>
              <w:right w:w="28" w:type="dxa"/>
            </w:tcMar>
          </w:tcPr>
          <w:p w14:paraId="4942DB7B" w14:textId="77777777" w:rsidR="00FA31A1" w:rsidRPr="00DC67EB" w:rsidRDefault="00FA31A1" w:rsidP="00FA31A1">
            <w:pPr>
              <w:spacing w:before="40" w:after="40"/>
              <w:rPr>
                <w:noProof/>
                <w:sz w:val="22"/>
              </w:rPr>
            </w:pPr>
            <w:r w:rsidRPr="00DC67EB">
              <w:rPr>
                <w:noProof/>
                <w:sz w:val="22"/>
              </w:rPr>
              <w:t>2,5</w:t>
            </w:r>
          </w:p>
        </w:tc>
        <w:tc>
          <w:tcPr>
            <w:tcW w:w="1279" w:type="dxa"/>
            <w:gridSpan w:val="2"/>
            <w:shd w:val="clear" w:color="auto" w:fill="auto"/>
            <w:tcMar>
              <w:left w:w="28" w:type="dxa"/>
              <w:right w:w="28" w:type="dxa"/>
            </w:tcMar>
          </w:tcPr>
          <w:p w14:paraId="24EAE46A" w14:textId="77777777" w:rsidR="00FA31A1" w:rsidRPr="00DC67EB" w:rsidRDefault="00FA31A1" w:rsidP="00FA31A1">
            <w:pPr>
              <w:spacing w:before="40" w:after="40"/>
              <w:rPr>
                <w:noProof/>
                <w:sz w:val="22"/>
              </w:rPr>
            </w:pPr>
            <w:r w:rsidRPr="00DC67EB">
              <w:rPr>
                <w:noProof/>
                <w:sz w:val="22"/>
              </w:rPr>
              <w:t>0,25</w:t>
            </w:r>
          </w:p>
        </w:tc>
        <w:tc>
          <w:tcPr>
            <w:tcW w:w="1278" w:type="dxa"/>
            <w:gridSpan w:val="2"/>
            <w:shd w:val="clear" w:color="auto" w:fill="auto"/>
            <w:tcMar>
              <w:left w:w="28" w:type="dxa"/>
              <w:right w:w="28" w:type="dxa"/>
            </w:tcMar>
          </w:tcPr>
          <w:p w14:paraId="62496B1B" w14:textId="77777777" w:rsidR="00FA31A1" w:rsidRPr="00DC67EB" w:rsidRDefault="00FA31A1" w:rsidP="00FA31A1">
            <w:pPr>
              <w:spacing w:before="40" w:after="40"/>
              <w:rPr>
                <w:noProof/>
                <w:sz w:val="22"/>
              </w:rPr>
            </w:pPr>
            <w:r w:rsidRPr="00DC67EB">
              <w:rPr>
                <w:noProof/>
                <w:sz w:val="22"/>
              </w:rPr>
              <w:t>1,6 × 10</w:t>
            </w:r>
            <w:r w:rsidRPr="00DC67EB">
              <w:rPr>
                <w:noProof/>
                <w:sz w:val="22"/>
                <w:vertAlign w:val="superscript"/>
              </w:rPr>
              <w:t>3</w:t>
            </w:r>
          </w:p>
        </w:tc>
        <w:tc>
          <w:tcPr>
            <w:tcW w:w="1277" w:type="dxa"/>
            <w:gridSpan w:val="2"/>
            <w:shd w:val="clear" w:color="auto" w:fill="auto"/>
            <w:tcMar>
              <w:left w:w="28" w:type="dxa"/>
              <w:right w:w="28" w:type="dxa"/>
            </w:tcMar>
          </w:tcPr>
          <w:p w14:paraId="359ED848" w14:textId="77777777" w:rsidR="00FA31A1" w:rsidRPr="00DC67EB" w:rsidRDefault="00FA31A1" w:rsidP="00FA31A1">
            <w:pPr>
              <w:spacing w:before="40" w:after="40"/>
              <w:rPr>
                <w:noProof/>
                <w:sz w:val="22"/>
              </w:rPr>
            </w:pPr>
            <w:r w:rsidRPr="00DC67EB">
              <w:rPr>
                <w:noProof/>
                <w:sz w:val="22"/>
              </w:rPr>
              <w:t>160</w:t>
            </w:r>
          </w:p>
        </w:tc>
        <w:tc>
          <w:tcPr>
            <w:tcW w:w="1136" w:type="dxa"/>
            <w:gridSpan w:val="2"/>
            <w:shd w:val="clear" w:color="auto" w:fill="auto"/>
            <w:tcMar>
              <w:left w:w="28" w:type="dxa"/>
              <w:right w:w="28" w:type="dxa"/>
            </w:tcMar>
          </w:tcPr>
          <w:p w14:paraId="29DC0418" w14:textId="77777777" w:rsidR="00FA31A1" w:rsidRPr="00DC67EB" w:rsidRDefault="00FA31A1" w:rsidP="00FA31A1">
            <w:pPr>
              <w:spacing w:before="40" w:after="40"/>
              <w:rPr>
                <w:noProof/>
                <w:sz w:val="22"/>
              </w:rPr>
            </w:pPr>
          </w:p>
        </w:tc>
        <w:tc>
          <w:tcPr>
            <w:tcW w:w="1262" w:type="dxa"/>
            <w:tcMar>
              <w:left w:w="28" w:type="dxa"/>
              <w:right w:w="28" w:type="dxa"/>
            </w:tcMar>
          </w:tcPr>
          <w:p w14:paraId="7895E08F" w14:textId="77777777" w:rsidR="00FA31A1" w:rsidRPr="00DC67EB" w:rsidRDefault="00FA31A1" w:rsidP="00FA31A1">
            <w:pPr>
              <w:spacing w:before="40" w:after="40"/>
              <w:rPr>
                <w:noProof/>
                <w:sz w:val="22"/>
              </w:rPr>
            </w:pPr>
          </w:p>
        </w:tc>
        <w:tc>
          <w:tcPr>
            <w:tcW w:w="1153" w:type="dxa"/>
            <w:gridSpan w:val="2"/>
            <w:tcMar>
              <w:left w:w="28" w:type="dxa"/>
              <w:right w:w="28" w:type="dxa"/>
            </w:tcMar>
          </w:tcPr>
          <w:p w14:paraId="28D4D7F8" w14:textId="77777777" w:rsidR="00FA31A1" w:rsidRPr="00DC67EB" w:rsidRDefault="00FA31A1" w:rsidP="00FA31A1">
            <w:pPr>
              <w:spacing w:before="40" w:after="40"/>
              <w:rPr>
                <w:noProof/>
                <w:sz w:val="22"/>
              </w:rPr>
            </w:pPr>
          </w:p>
        </w:tc>
        <w:tc>
          <w:tcPr>
            <w:tcW w:w="970" w:type="dxa"/>
            <w:tcMar>
              <w:left w:w="28" w:type="dxa"/>
              <w:right w:w="28" w:type="dxa"/>
            </w:tcMar>
          </w:tcPr>
          <w:p w14:paraId="086E0F0D" w14:textId="77777777" w:rsidR="00FA31A1" w:rsidRPr="00DC67EB" w:rsidRDefault="00FA31A1" w:rsidP="00FA31A1">
            <w:pPr>
              <w:spacing w:before="40" w:after="40"/>
              <w:rPr>
                <w:noProof/>
                <w:sz w:val="22"/>
              </w:rPr>
            </w:pPr>
          </w:p>
        </w:tc>
      </w:tr>
      <w:tr w:rsidR="00DC67EB" w:rsidRPr="00DC67EB" w14:paraId="6EBF0758" w14:textId="77777777" w:rsidTr="00FA31A1">
        <w:trPr>
          <w:gridBefore w:val="1"/>
          <w:wBefore w:w="12" w:type="dxa"/>
          <w:cantSplit/>
          <w:tblHeader/>
          <w:jc w:val="center"/>
        </w:trPr>
        <w:tc>
          <w:tcPr>
            <w:tcW w:w="651" w:type="dxa"/>
            <w:gridSpan w:val="3"/>
            <w:tcMar>
              <w:left w:w="28" w:type="dxa"/>
              <w:right w:w="28" w:type="dxa"/>
            </w:tcMar>
          </w:tcPr>
          <w:p w14:paraId="2E2298B5" w14:textId="77777777" w:rsidR="00FA31A1" w:rsidRPr="00DC67EB" w:rsidRDefault="00FA31A1" w:rsidP="00FA31A1">
            <w:pPr>
              <w:spacing w:before="40" w:after="40"/>
              <w:rPr>
                <w:noProof/>
                <w:sz w:val="22"/>
              </w:rPr>
            </w:pPr>
            <w:r w:rsidRPr="00DC67EB">
              <w:rPr>
                <w:noProof/>
                <w:sz w:val="22"/>
              </w:rPr>
              <w:t>53.</w:t>
            </w:r>
          </w:p>
        </w:tc>
        <w:tc>
          <w:tcPr>
            <w:tcW w:w="2286" w:type="dxa"/>
            <w:gridSpan w:val="3"/>
            <w:shd w:val="clear" w:color="auto" w:fill="auto"/>
            <w:tcMar>
              <w:left w:w="28" w:type="dxa"/>
              <w:right w:w="28" w:type="dxa"/>
            </w:tcMar>
          </w:tcPr>
          <w:p w14:paraId="00492349" w14:textId="77777777" w:rsidR="00FA31A1" w:rsidRPr="00DC67EB" w:rsidRDefault="00FA31A1" w:rsidP="00FA31A1">
            <w:pPr>
              <w:spacing w:before="40" w:after="40"/>
              <w:rPr>
                <w:noProof/>
                <w:sz w:val="22"/>
              </w:rPr>
            </w:pPr>
            <w:r w:rsidRPr="00DC67EB">
              <w:rPr>
                <w:noProof/>
                <w:sz w:val="22"/>
              </w:rPr>
              <w:t>Klaritromicin</w:t>
            </w:r>
          </w:p>
        </w:tc>
        <w:tc>
          <w:tcPr>
            <w:tcW w:w="1329" w:type="dxa"/>
            <w:gridSpan w:val="3"/>
            <w:shd w:val="clear" w:color="auto" w:fill="auto"/>
            <w:tcMar>
              <w:left w:w="28" w:type="dxa"/>
              <w:right w:w="28" w:type="dxa"/>
            </w:tcMar>
          </w:tcPr>
          <w:p w14:paraId="10DB6A19" w14:textId="77777777" w:rsidR="00FA31A1" w:rsidRPr="00DC67EB" w:rsidRDefault="00FA31A1" w:rsidP="00FA31A1">
            <w:pPr>
              <w:spacing w:before="40" w:after="40"/>
              <w:rPr>
                <w:noProof/>
                <w:sz w:val="22"/>
              </w:rPr>
            </w:pPr>
            <w:r w:rsidRPr="00DC67EB">
              <w:rPr>
                <w:noProof/>
                <w:sz w:val="22"/>
              </w:rPr>
              <w:t>Gyógyszerek (makrolid antibiotikumok)</w:t>
            </w:r>
          </w:p>
        </w:tc>
        <w:tc>
          <w:tcPr>
            <w:tcW w:w="992" w:type="dxa"/>
            <w:gridSpan w:val="2"/>
            <w:shd w:val="clear" w:color="auto" w:fill="auto"/>
            <w:tcMar>
              <w:left w:w="28" w:type="dxa"/>
              <w:right w:w="28" w:type="dxa"/>
            </w:tcMar>
          </w:tcPr>
          <w:p w14:paraId="4C81F040" w14:textId="77777777" w:rsidR="00FA31A1" w:rsidRPr="00DC67EB" w:rsidRDefault="00FA31A1" w:rsidP="00FA31A1">
            <w:pPr>
              <w:spacing w:before="40" w:after="40"/>
              <w:rPr>
                <w:noProof/>
                <w:sz w:val="22"/>
              </w:rPr>
            </w:pPr>
            <w:r w:rsidRPr="00DC67EB">
              <w:rPr>
                <w:noProof/>
                <w:sz w:val="22"/>
              </w:rPr>
              <w:t>81103-11-9</w:t>
            </w:r>
          </w:p>
        </w:tc>
        <w:tc>
          <w:tcPr>
            <w:tcW w:w="1134" w:type="dxa"/>
          </w:tcPr>
          <w:p w14:paraId="2FEAA96D" w14:textId="77777777" w:rsidR="00FA31A1" w:rsidRPr="00DC67EB" w:rsidRDefault="00FA31A1" w:rsidP="00FA31A1">
            <w:pPr>
              <w:spacing w:before="40" w:after="40"/>
              <w:rPr>
                <w:noProof/>
                <w:sz w:val="22"/>
              </w:rPr>
            </w:pPr>
            <w:r w:rsidRPr="00DC67EB">
              <w:rPr>
                <w:noProof/>
                <w:sz w:val="22"/>
              </w:rPr>
              <w:t>658-034-2</w:t>
            </w:r>
          </w:p>
        </w:tc>
        <w:tc>
          <w:tcPr>
            <w:tcW w:w="1279" w:type="dxa"/>
            <w:gridSpan w:val="2"/>
            <w:shd w:val="clear" w:color="auto" w:fill="auto"/>
            <w:tcMar>
              <w:left w:w="28" w:type="dxa"/>
              <w:right w:w="28" w:type="dxa"/>
            </w:tcMar>
          </w:tcPr>
          <w:p w14:paraId="58728A9F" w14:textId="77777777" w:rsidR="00FA31A1" w:rsidRPr="00DC67EB" w:rsidRDefault="00FA31A1" w:rsidP="00FA31A1">
            <w:pPr>
              <w:spacing w:before="40" w:after="40"/>
              <w:rPr>
                <w:noProof/>
                <w:sz w:val="22"/>
              </w:rPr>
            </w:pPr>
            <w:r w:rsidRPr="00DC67EB">
              <w:rPr>
                <w:noProof/>
                <w:sz w:val="22"/>
              </w:rPr>
              <w:t>0,13</w:t>
            </w:r>
          </w:p>
        </w:tc>
        <w:tc>
          <w:tcPr>
            <w:tcW w:w="1279" w:type="dxa"/>
            <w:gridSpan w:val="2"/>
            <w:shd w:val="clear" w:color="auto" w:fill="auto"/>
            <w:tcMar>
              <w:left w:w="28" w:type="dxa"/>
              <w:right w:w="28" w:type="dxa"/>
            </w:tcMar>
          </w:tcPr>
          <w:p w14:paraId="3D3CCF4D" w14:textId="77777777" w:rsidR="00FA31A1" w:rsidRPr="00DC67EB" w:rsidRDefault="00FA31A1" w:rsidP="00FA31A1">
            <w:pPr>
              <w:spacing w:before="40" w:after="40"/>
              <w:rPr>
                <w:noProof/>
                <w:sz w:val="22"/>
              </w:rPr>
            </w:pPr>
            <w:r w:rsidRPr="00DC67EB">
              <w:rPr>
                <w:noProof/>
                <w:sz w:val="22"/>
              </w:rPr>
              <w:t>0,013</w:t>
            </w:r>
          </w:p>
        </w:tc>
        <w:tc>
          <w:tcPr>
            <w:tcW w:w="1278" w:type="dxa"/>
            <w:gridSpan w:val="2"/>
            <w:shd w:val="clear" w:color="auto" w:fill="auto"/>
            <w:tcMar>
              <w:left w:w="28" w:type="dxa"/>
              <w:right w:w="28" w:type="dxa"/>
            </w:tcMar>
          </w:tcPr>
          <w:p w14:paraId="60E99922" w14:textId="77777777" w:rsidR="00FA31A1" w:rsidRPr="00DC67EB" w:rsidRDefault="00FA31A1" w:rsidP="00FA31A1">
            <w:pPr>
              <w:spacing w:before="40" w:after="40"/>
              <w:rPr>
                <w:noProof/>
                <w:sz w:val="22"/>
              </w:rPr>
            </w:pPr>
            <w:r w:rsidRPr="00DC67EB">
              <w:rPr>
                <w:noProof/>
                <w:sz w:val="22"/>
              </w:rPr>
              <w:t>0,13</w:t>
            </w:r>
          </w:p>
        </w:tc>
        <w:tc>
          <w:tcPr>
            <w:tcW w:w="1277" w:type="dxa"/>
            <w:gridSpan w:val="2"/>
            <w:shd w:val="clear" w:color="auto" w:fill="auto"/>
            <w:tcMar>
              <w:left w:w="28" w:type="dxa"/>
              <w:right w:w="28" w:type="dxa"/>
            </w:tcMar>
          </w:tcPr>
          <w:p w14:paraId="7CA49739" w14:textId="77777777" w:rsidR="00FA31A1" w:rsidRPr="00DC67EB" w:rsidRDefault="00FA31A1" w:rsidP="00FA31A1">
            <w:pPr>
              <w:spacing w:before="40" w:after="40"/>
              <w:rPr>
                <w:noProof/>
                <w:sz w:val="22"/>
              </w:rPr>
            </w:pPr>
            <w:r w:rsidRPr="00DC67EB">
              <w:rPr>
                <w:noProof/>
                <w:sz w:val="22"/>
              </w:rPr>
              <w:t>0,013</w:t>
            </w:r>
          </w:p>
        </w:tc>
        <w:tc>
          <w:tcPr>
            <w:tcW w:w="1136" w:type="dxa"/>
            <w:gridSpan w:val="2"/>
            <w:shd w:val="clear" w:color="auto" w:fill="auto"/>
            <w:tcMar>
              <w:left w:w="28" w:type="dxa"/>
              <w:right w:w="28" w:type="dxa"/>
            </w:tcMar>
          </w:tcPr>
          <w:p w14:paraId="514A58CC" w14:textId="77777777" w:rsidR="00FA31A1" w:rsidRPr="00DC67EB" w:rsidRDefault="00FA31A1" w:rsidP="00FA31A1">
            <w:pPr>
              <w:spacing w:before="40" w:after="40"/>
              <w:rPr>
                <w:noProof/>
                <w:sz w:val="22"/>
              </w:rPr>
            </w:pPr>
          </w:p>
        </w:tc>
        <w:tc>
          <w:tcPr>
            <w:tcW w:w="1262" w:type="dxa"/>
            <w:tcMar>
              <w:left w:w="28" w:type="dxa"/>
              <w:right w:w="28" w:type="dxa"/>
            </w:tcMar>
          </w:tcPr>
          <w:p w14:paraId="2C3D63F3" w14:textId="77777777" w:rsidR="00FA31A1" w:rsidRPr="00DC67EB" w:rsidRDefault="00FA31A1" w:rsidP="00FA31A1">
            <w:pPr>
              <w:spacing w:before="40" w:after="40"/>
              <w:rPr>
                <w:noProof/>
                <w:sz w:val="22"/>
              </w:rPr>
            </w:pPr>
          </w:p>
        </w:tc>
        <w:tc>
          <w:tcPr>
            <w:tcW w:w="1153" w:type="dxa"/>
            <w:gridSpan w:val="2"/>
            <w:tcMar>
              <w:left w:w="28" w:type="dxa"/>
              <w:right w:w="28" w:type="dxa"/>
            </w:tcMar>
          </w:tcPr>
          <w:p w14:paraId="4A3032F3" w14:textId="77777777" w:rsidR="00FA31A1" w:rsidRPr="00DC67EB" w:rsidRDefault="00FA31A1" w:rsidP="00FA31A1">
            <w:pPr>
              <w:spacing w:before="40" w:after="40"/>
              <w:rPr>
                <w:noProof/>
                <w:sz w:val="22"/>
              </w:rPr>
            </w:pPr>
          </w:p>
        </w:tc>
        <w:tc>
          <w:tcPr>
            <w:tcW w:w="970" w:type="dxa"/>
            <w:tcMar>
              <w:left w:w="28" w:type="dxa"/>
              <w:right w:w="28" w:type="dxa"/>
            </w:tcMar>
          </w:tcPr>
          <w:p w14:paraId="361F6DAB" w14:textId="77777777" w:rsidR="00FA31A1" w:rsidRPr="00DC67EB" w:rsidRDefault="00FA31A1" w:rsidP="00FA31A1">
            <w:pPr>
              <w:spacing w:before="40" w:after="40"/>
              <w:rPr>
                <w:noProof/>
                <w:sz w:val="22"/>
              </w:rPr>
            </w:pPr>
            <w:r w:rsidRPr="00DC67EB">
              <w:rPr>
                <w:noProof/>
                <w:sz w:val="22"/>
              </w:rPr>
              <w:t>X</w:t>
            </w:r>
          </w:p>
        </w:tc>
      </w:tr>
      <w:tr w:rsidR="00DC67EB" w:rsidRPr="00DC67EB" w14:paraId="4651FA74" w14:textId="77777777" w:rsidTr="00FA31A1">
        <w:trPr>
          <w:gridBefore w:val="1"/>
          <w:wBefore w:w="12" w:type="dxa"/>
          <w:cantSplit/>
          <w:tblHeader/>
          <w:jc w:val="center"/>
        </w:trPr>
        <w:tc>
          <w:tcPr>
            <w:tcW w:w="651" w:type="dxa"/>
            <w:gridSpan w:val="3"/>
            <w:tcMar>
              <w:left w:w="28" w:type="dxa"/>
              <w:right w:w="28" w:type="dxa"/>
            </w:tcMar>
          </w:tcPr>
          <w:p w14:paraId="3189AD16" w14:textId="77777777" w:rsidR="00FA31A1" w:rsidRPr="00DC67EB" w:rsidRDefault="00FA31A1" w:rsidP="00FA31A1">
            <w:pPr>
              <w:spacing w:before="40" w:after="40"/>
              <w:rPr>
                <w:noProof/>
                <w:sz w:val="22"/>
              </w:rPr>
            </w:pPr>
            <w:r w:rsidRPr="00DC67EB">
              <w:rPr>
                <w:noProof/>
                <w:sz w:val="22"/>
              </w:rPr>
              <w:t>54.</w:t>
            </w:r>
          </w:p>
        </w:tc>
        <w:tc>
          <w:tcPr>
            <w:tcW w:w="2286" w:type="dxa"/>
            <w:gridSpan w:val="3"/>
            <w:shd w:val="clear" w:color="auto" w:fill="auto"/>
            <w:tcMar>
              <w:left w:w="28" w:type="dxa"/>
              <w:right w:w="28" w:type="dxa"/>
            </w:tcMar>
          </w:tcPr>
          <w:p w14:paraId="09C1F10C" w14:textId="77777777" w:rsidR="00FA31A1" w:rsidRPr="00DC67EB" w:rsidRDefault="00FA31A1" w:rsidP="00FA31A1">
            <w:pPr>
              <w:spacing w:before="40" w:after="40"/>
              <w:rPr>
                <w:noProof/>
                <w:sz w:val="22"/>
              </w:rPr>
            </w:pPr>
            <w:r w:rsidRPr="00DC67EB">
              <w:rPr>
                <w:noProof/>
                <w:sz w:val="22"/>
              </w:rPr>
              <w:t>Klotianidin</w:t>
            </w:r>
          </w:p>
        </w:tc>
        <w:tc>
          <w:tcPr>
            <w:tcW w:w="1329" w:type="dxa"/>
            <w:gridSpan w:val="3"/>
            <w:shd w:val="clear" w:color="auto" w:fill="auto"/>
            <w:tcMar>
              <w:left w:w="28" w:type="dxa"/>
              <w:right w:w="28" w:type="dxa"/>
            </w:tcMar>
          </w:tcPr>
          <w:p w14:paraId="70491AD8" w14:textId="77777777" w:rsidR="00FA31A1" w:rsidRPr="00DC67EB" w:rsidRDefault="00FA31A1" w:rsidP="00FA31A1">
            <w:pPr>
              <w:spacing w:before="40" w:after="40"/>
              <w:rPr>
                <w:noProof/>
                <w:sz w:val="22"/>
              </w:rPr>
            </w:pPr>
            <w:r w:rsidRPr="00DC67EB">
              <w:rPr>
                <w:noProof/>
                <w:sz w:val="22"/>
              </w:rPr>
              <w:t>Neonikotinoid peszticidek</w:t>
            </w:r>
          </w:p>
        </w:tc>
        <w:tc>
          <w:tcPr>
            <w:tcW w:w="992" w:type="dxa"/>
            <w:gridSpan w:val="2"/>
            <w:shd w:val="clear" w:color="auto" w:fill="auto"/>
            <w:tcMar>
              <w:left w:w="28" w:type="dxa"/>
              <w:right w:w="28" w:type="dxa"/>
            </w:tcMar>
          </w:tcPr>
          <w:p w14:paraId="3F97C73B" w14:textId="77777777" w:rsidR="00FA31A1" w:rsidRPr="00DC67EB" w:rsidRDefault="00FA31A1" w:rsidP="00FA31A1">
            <w:pPr>
              <w:spacing w:before="40" w:after="40"/>
              <w:rPr>
                <w:noProof/>
                <w:sz w:val="22"/>
              </w:rPr>
            </w:pPr>
            <w:r w:rsidRPr="00DC67EB">
              <w:rPr>
                <w:noProof/>
                <w:sz w:val="22"/>
              </w:rPr>
              <w:t>210880-92-5</w:t>
            </w:r>
          </w:p>
        </w:tc>
        <w:tc>
          <w:tcPr>
            <w:tcW w:w="1134" w:type="dxa"/>
          </w:tcPr>
          <w:p w14:paraId="3CC2F887" w14:textId="77777777" w:rsidR="00FA31A1" w:rsidRPr="00DC67EB" w:rsidRDefault="00FA31A1" w:rsidP="00FA31A1">
            <w:pPr>
              <w:spacing w:before="40" w:after="40"/>
              <w:rPr>
                <w:noProof/>
                <w:sz w:val="22"/>
              </w:rPr>
            </w:pPr>
            <w:r w:rsidRPr="00DC67EB">
              <w:rPr>
                <w:noProof/>
                <w:sz w:val="22"/>
              </w:rPr>
              <w:t>433-460-1</w:t>
            </w:r>
          </w:p>
        </w:tc>
        <w:tc>
          <w:tcPr>
            <w:tcW w:w="1279" w:type="dxa"/>
            <w:gridSpan w:val="2"/>
            <w:shd w:val="clear" w:color="auto" w:fill="auto"/>
            <w:tcMar>
              <w:left w:w="28" w:type="dxa"/>
              <w:right w:w="28" w:type="dxa"/>
            </w:tcMar>
          </w:tcPr>
          <w:p w14:paraId="1EC52192" w14:textId="77777777" w:rsidR="00FA31A1" w:rsidRPr="00DC67EB" w:rsidRDefault="00FA31A1" w:rsidP="00FA31A1">
            <w:pPr>
              <w:spacing w:before="40" w:after="40"/>
              <w:rPr>
                <w:noProof/>
                <w:sz w:val="22"/>
              </w:rPr>
            </w:pPr>
            <w:r w:rsidRPr="00DC67EB">
              <w:rPr>
                <w:noProof/>
                <w:sz w:val="22"/>
              </w:rPr>
              <w:t>0,01</w:t>
            </w:r>
          </w:p>
        </w:tc>
        <w:tc>
          <w:tcPr>
            <w:tcW w:w="1279" w:type="dxa"/>
            <w:gridSpan w:val="2"/>
            <w:shd w:val="clear" w:color="auto" w:fill="auto"/>
            <w:tcMar>
              <w:left w:w="28" w:type="dxa"/>
              <w:right w:w="28" w:type="dxa"/>
            </w:tcMar>
          </w:tcPr>
          <w:p w14:paraId="0BA59F4E" w14:textId="77777777" w:rsidR="00FA31A1" w:rsidRPr="00DC67EB" w:rsidRDefault="00FA31A1" w:rsidP="00FA31A1">
            <w:pPr>
              <w:spacing w:before="40" w:after="40"/>
              <w:rPr>
                <w:noProof/>
                <w:sz w:val="22"/>
              </w:rPr>
            </w:pPr>
            <w:r w:rsidRPr="00DC67EB">
              <w:rPr>
                <w:noProof/>
                <w:sz w:val="22"/>
              </w:rPr>
              <w:t>0,001</w:t>
            </w:r>
          </w:p>
        </w:tc>
        <w:tc>
          <w:tcPr>
            <w:tcW w:w="1278" w:type="dxa"/>
            <w:gridSpan w:val="2"/>
            <w:shd w:val="clear" w:color="auto" w:fill="auto"/>
            <w:tcMar>
              <w:left w:w="28" w:type="dxa"/>
              <w:right w:w="28" w:type="dxa"/>
            </w:tcMar>
          </w:tcPr>
          <w:p w14:paraId="6BDD2ED4" w14:textId="77777777" w:rsidR="00FA31A1" w:rsidRPr="00DC67EB" w:rsidRDefault="00FA31A1" w:rsidP="00FA31A1">
            <w:pPr>
              <w:spacing w:before="40" w:after="40"/>
              <w:rPr>
                <w:noProof/>
                <w:sz w:val="22"/>
              </w:rPr>
            </w:pPr>
            <w:r w:rsidRPr="00DC67EB">
              <w:rPr>
                <w:noProof/>
                <w:sz w:val="22"/>
              </w:rPr>
              <w:t>0,34</w:t>
            </w:r>
          </w:p>
        </w:tc>
        <w:tc>
          <w:tcPr>
            <w:tcW w:w="1277" w:type="dxa"/>
            <w:gridSpan w:val="2"/>
            <w:shd w:val="clear" w:color="auto" w:fill="auto"/>
            <w:tcMar>
              <w:left w:w="28" w:type="dxa"/>
              <w:right w:w="28" w:type="dxa"/>
            </w:tcMar>
          </w:tcPr>
          <w:p w14:paraId="1F5A5D66" w14:textId="77777777" w:rsidR="00FA31A1" w:rsidRPr="00DC67EB" w:rsidRDefault="00FA31A1" w:rsidP="00FA31A1">
            <w:pPr>
              <w:spacing w:before="40" w:after="40"/>
              <w:rPr>
                <w:noProof/>
                <w:sz w:val="22"/>
              </w:rPr>
            </w:pPr>
            <w:r w:rsidRPr="00DC67EB">
              <w:rPr>
                <w:noProof/>
                <w:sz w:val="22"/>
              </w:rPr>
              <w:t>0,034</w:t>
            </w:r>
          </w:p>
        </w:tc>
        <w:tc>
          <w:tcPr>
            <w:tcW w:w="1136" w:type="dxa"/>
            <w:gridSpan w:val="2"/>
            <w:shd w:val="clear" w:color="auto" w:fill="auto"/>
            <w:tcMar>
              <w:left w:w="28" w:type="dxa"/>
              <w:right w:w="28" w:type="dxa"/>
            </w:tcMar>
          </w:tcPr>
          <w:p w14:paraId="68BDD88F" w14:textId="77777777" w:rsidR="00FA31A1" w:rsidRPr="00DC67EB" w:rsidRDefault="00FA31A1" w:rsidP="00FA31A1">
            <w:pPr>
              <w:spacing w:before="40" w:after="40"/>
              <w:rPr>
                <w:noProof/>
                <w:sz w:val="22"/>
              </w:rPr>
            </w:pPr>
          </w:p>
        </w:tc>
        <w:tc>
          <w:tcPr>
            <w:tcW w:w="1262" w:type="dxa"/>
            <w:tcMar>
              <w:left w:w="28" w:type="dxa"/>
              <w:right w:w="28" w:type="dxa"/>
            </w:tcMar>
          </w:tcPr>
          <w:p w14:paraId="5629E33A" w14:textId="77777777" w:rsidR="00FA31A1" w:rsidRPr="00DC67EB" w:rsidRDefault="00FA31A1" w:rsidP="00FA31A1">
            <w:pPr>
              <w:spacing w:before="40" w:after="40"/>
              <w:rPr>
                <w:noProof/>
                <w:sz w:val="22"/>
              </w:rPr>
            </w:pPr>
          </w:p>
        </w:tc>
        <w:tc>
          <w:tcPr>
            <w:tcW w:w="1153" w:type="dxa"/>
            <w:gridSpan w:val="2"/>
            <w:tcMar>
              <w:left w:w="28" w:type="dxa"/>
              <w:right w:w="28" w:type="dxa"/>
            </w:tcMar>
          </w:tcPr>
          <w:p w14:paraId="1FFF1CE3" w14:textId="77777777" w:rsidR="00FA31A1" w:rsidRPr="00DC67EB" w:rsidRDefault="00FA31A1" w:rsidP="00FA31A1">
            <w:pPr>
              <w:spacing w:before="40" w:after="40"/>
              <w:rPr>
                <w:noProof/>
                <w:sz w:val="22"/>
              </w:rPr>
            </w:pPr>
          </w:p>
        </w:tc>
        <w:tc>
          <w:tcPr>
            <w:tcW w:w="970" w:type="dxa"/>
            <w:tcMar>
              <w:left w:w="28" w:type="dxa"/>
              <w:right w:w="28" w:type="dxa"/>
            </w:tcMar>
          </w:tcPr>
          <w:p w14:paraId="1903EAC3" w14:textId="77777777" w:rsidR="00FA31A1" w:rsidRPr="00DC67EB" w:rsidRDefault="00FA31A1" w:rsidP="00FA31A1">
            <w:pPr>
              <w:spacing w:before="40" w:after="40"/>
              <w:rPr>
                <w:noProof/>
                <w:sz w:val="22"/>
              </w:rPr>
            </w:pPr>
          </w:p>
        </w:tc>
      </w:tr>
      <w:tr w:rsidR="00DC67EB" w:rsidRPr="00DC67EB" w14:paraId="29D4306D" w14:textId="77777777" w:rsidTr="00FA31A1">
        <w:trPr>
          <w:gridBefore w:val="1"/>
          <w:wBefore w:w="12" w:type="dxa"/>
          <w:cantSplit/>
          <w:tblHeader/>
          <w:jc w:val="center"/>
        </w:trPr>
        <w:tc>
          <w:tcPr>
            <w:tcW w:w="651" w:type="dxa"/>
            <w:gridSpan w:val="3"/>
            <w:tcMar>
              <w:left w:w="28" w:type="dxa"/>
              <w:right w:w="28" w:type="dxa"/>
            </w:tcMar>
          </w:tcPr>
          <w:p w14:paraId="52021625" w14:textId="77777777" w:rsidR="00FA31A1" w:rsidRPr="00DC67EB" w:rsidRDefault="00FA31A1" w:rsidP="00FA31A1">
            <w:pPr>
              <w:spacing w:before="40" w:after="40"/>
              <w:rPr>
                <w:noProof/>
                <w:sz w:val="22"/>
              </w:rPr>
            </w:pPr>
            <w:r w:rsidRPr="00DC67EB">
              <w:rPr>
                <w:noProof/>
                <w:sz w:val="22"/>
              </w:rPr>
              <w:t>55.</w:t>
            </w:r>
          </w:p>
        </w:tc>
        <w:tc>
          <w:tcPr>
            <w:tcW w:w="2286" w:type="dxa"/>
            <w:gridSpan w:val="3"/>
            <w:shd w:val="clear" w:color="auto" w:fill="auto"/>
            <w:tcMar>
              <w:left w:w="28" w:type="dxa"/>
              <w:right w:w="28" w:type="dxa"/>
            </w:tcMar>
          </w:tcPr>
          <w:p w14:paraId="351879C3" w14:textId="77777777" w:rsidR="00FA31A1" w:rsidRPr="00DC67EB" w:rsidRDefault="00FA31A1" w:rsidP="00FA31A1">
            <w:pPr>
              <w:spacing w:before="40" w:after="40"/>
              <w:rPr>
                <w:noProof/>
                <w:sz w:val="22"/>
              </w:rPr>
            </w:pPr>
            <w:r w:rsidRPr="00DC67EB">
              <w:rPr>
                <w:noProof/>
                <w:sz w:val="22"/>
              </w:rPr>
              <w:t>Deltametrin</w:t>
            </w:r>
          </w:p>
        </w:tc>
        <w:tc>
          <w:tcPr>
            <w:tcW w:w="1329" w:type="dxa"/>
            <w:gridSpan w:val="3"/>
            <w:shd w:val="clear" w:color="auto" w:fill="auto"/>
            <w:tcMar>
              <w:left w:w="28" w:type="dxa"/>
              <w:right w:w="28" w:type="dxa"/>
            </w:tcMar>
          </w:tcPr>
          <w:p w14:paraId="0703EC09" w14:textId="77777777" w:rsidR="00FA31A1" w:rsidRPr="00DC67EB" w:rsidRDefault="00FA31A1" w:rsidP="00FA31A1">
            <w:pPr>
              <w:spacing w:before="40" w:after="40"/>
              <w:rPr>
                <w:noProof/>
                <w:sz w:val="22"/>
              </w:rPr>
            </w:pPr>
            <w:r w:rsidRPr="00DC67EB">
              <w:rPr>
                <w:noProof/>
                <w:sz w:val="22"/>
              </w:rPr>
              <w:t>Piretroid peszticidek</w:t>
            </w:r>
          </w:p>
        </w:tc>
        <w:tc>
          <w:tcPr>
            <w:tcW w:w="992" w:type="dxa"/>
            <w:gridSpan w:val="2"/>
            <w:shd w:val="clear" w:color="auto" w:fill="auto"/>
            <w:tcMar>
              <w:left w:w="28" w:type="dxa"/>
              <w:right w:w="28" w:type="dxa"/>
            </w:tcMar>
          </w:tcPr>
          <w:p w14:paraId="3C82BF9B" w14:textId="77777777" w:rsidR="00FA31A1" w:rsidRPr="00DC67EB" w:rsidRDefault="00FA31A1" w:rsidP="00FA31A1">
            <w:pPr>
              <w:spacing w:before="40" w:after="40"/>
              <w:rPr>
                <w:noProof/>
                <w:sz w:val="22"/>
              </w:rPr>
            </w:pPr>
            <w:r w:rsidRPr="00DC67EB">
              <w:rPr>
                <w:noProof/>
                <w:sz w:val="22"/>
              </w:rPr>
              <w:t>52918-63-5</w:t>
            </w:r>
          </w:p>
        </w:tc>
        <w:tc>
          <w:tcPr>
            <w:tcW w:w="1134" w:type="dxa"/>
          </w:tcPr>
          <w:p w14:paraId="7EFD68D5" w14:textId="77777777" w:rsidR="00FA31A1" w:rsidRPr="00DC67EB" w:rsidRDefault="00FA31A1" w:rsidP="00FA31A1">
            <w:pPr>
              <w:spacing w:before="40" w:after="40"/>
              <w:rPr>
                <w:noProof/>
                <w:sz w:val="22"/>
              </w:rPr>
            </w:pPr>
            <w:r w:rsidRPr="00DC67EB">
              <w:rPr>
                <w:noProof/>
                <w:sz w:val="22"/>
              </w:rPr>
              <w:t>258-256-6</w:t>
            </w:r>
          </w:p>
        </w:tc>
        <w:tc>
          <w:tcPr>
            <w:tcW w:w="1279" w:type="dxa"/>
            <w:gridSpan w:val="2"/>
            <w:shd w:val="clear" w:color="auto" w:fill="auto"/>
            <w:tcMar>
              <w:left w:w="28" w:type="dxa"/>
              <w:right w:w="28" w:type="dxa"/>
            </w:tcMar>
          </w:tcPr>
          <w:p w14:paraId="5AABB72D" w14:textId="77777777" w:rsidR="00FA31A1" w:rsidRPr="00DC67EB" w:rsidRDefault="00FA31A1" w:rsidP="00FA31A1">
            <w:pPr>
              <w:spacing w:before="40" w:after="40"/>
              <w:rPr>
                <w:noProof/>
                <w:sz w:val="22"/>
              </w:rPr>
            </w:pPr>
            <w:r w:rsidRPr="00DC67EB">
              <w:rPr>
                <w:noProof/>
                <w:sz w:val="22"/>
              </w:rPr>
              <w:t>1,7 × 10</w:t>
            </w:r>
            <w:r w:rsidRPr="00DC67EB">
              <w:rPr>
                <w:noProof/>
                <w:sz w:val="22"/>
                <w:vertAlign w:val="superscript"/>
              </w:rPr>
              <w:t>-6</w:t>
            </w:r>
          </w:p>
        </w:tc>
        <w:tc>
          <w:tcPr>
            <w:tcW w:w="1279" w:type="dxa"/>
            <w:gridSpan w:val="2"/>
            <w:shd w:val="clear" w:color="auto" w:fill="auto"/>
            <w:tcMar>
              <w:left w:w="28" w:type="dxa"/>
              <w:right w:w="28" w:type="dxa"/>
            </w:tcMar>
          </w:tcPr>
          <w:p w14:paraId="089F26AC" w14:textId="77777777" w:rsidR="00FA31A1" w:rsidRPr="00DC67EB" w:rsidRDefault="00FA31A1" w:rsidP="00FA31A1">
            <w:pPr>
              <w:spacing w:before="40" w:after="40"/>
              <w:rPr>
                <w:noProof/>
                <w:sz w:val="22"/>
              </w:rPr>
            </w:pPr>
            <w:r w:rsidRPr="00DC67EB">
              <w:rPr>
                <w:noProof/>
                <w:sz w:val="22"/>
              </w:rPr>
              <w:t>1,7 × 10</w:t>
            </w:r>
            <w:r w:rsidRPr="00DC67EB">
              <w:rPr>
                <w:noProof/>
                <w:sz w:val="22"/>
                <w:vertAlign w:val="superscript"/>
              </w:rPr>
              <w:t>-7</w:t>
            </w:r>
          </w:p>
        </w:tc>
        <w:tc>
          <w:tcPr>
            <w:tcW w:w="1278" w:type="dxa"/>
            <w:gridSpan w:val="2"/>
            <w:shd w:val="clear" w:color="auto" w:fill="auto"/>
            <w:tcMar>
              <w:left w:w="28" w:type="dxa"/>
              <w:right w:w="28" w:type="dxa"/>
            </w:tcMar>
          </w:tcPr>
          <w:p w14:paraId="5C9B487C" w14:textId="77777777" w:rsidR="00FA31A1" w:rsidRPr="00DC67EB" w:rsidRDefault="00FA31A1" w:rsidP="00FA31A1">
            <w:pPr>
              <w:spacing w:before="40" w:after="40"/>
              <w:rPr>
                <w:noProof/>
                <w:sz w:val="22"/>
              </w:rPr>
            </w:pPr>
            <w:r w:rsidRPr="00DC67EB">
              <w:rPr>
                <w:noProof/>
                <w:sz w:val="22"/>
              </w:rPr>
              <w:t>1,7 × 10</w:t>
            </w:r>
            <w:r w:rsidRPr="00DC67EB">
              <w:rPr>
                <w:noProof/>
                <w:sz w:val="22"/>
                <w:vertAlign w:val="superscript"/>
              </w:rPr>
              <w:t>-5</w:t>
            </w:r>
          </w:p>
        </w:tc>
        <w:tc>
          <w:tcPr>
            <w:tcW w:w="1277" w:type="dxa"/>
            <w:gridSpan w:val="2"/>
            <w:shd w:val="clear" w:color="auto" w:fill="auto"/>
            <w:tcMar>
              <w:left w:w="28" w:type="dxa"/>
              <w:right w:w="28" w:type="dxa"/>
            </w:tcMar>
          </w:tcPr>
          <w:p w14:paraId="4C389922" w14:textId="77777777" w:rsidR="00FA31A1" w:rsidRPr="00DC67EB" w:rsidRDefault="00FA31A1" w:rsidP="00FA31A1">
            <w:pPr>
              <w:spacing w:before="40" w:after="40"/>
              <w:rPr>
                <w:noProof/>
                <w:sz w:val="22"/>
              </w:rPr>
            </w:pPr>
            <w:r w:rsidRPr="00DC67EB">
              <w:rPr>
                <w:noProof/>
                <w:sz w:val="22"/>
              </w:rPr>
              <w:t>3,4 × 10</w:t>
            </w:r>
            <w:r w:rsidRPr="00DC67EB">
              <w:rPr>
                <w:noProof/>
                <w:sz w:val="22"/>
                <w:vertAlign w:val="superscript"/>
              </w:rPr>
              <w:t>-6</w:t>
            </w:r>
          </w:p>
        </w:tc>
        <w:tc>
          <w:tcPr>
            <w:tcW w:w="1136" w:type="dxa"/>
            <w:gridSpan w:val="2"/>
            <w:shd w:val="clear" w:color="auto" w:fill="auto"/>
            <w:tcMar>
              <w:left w:w="28" w:type="dxa"/>
              <w:right w:w="28" w:type="dxa"/>
            </w:tcMar>
          </w:tcPr>
          <w:p w14:paraId="32579042" w14:textId="77777777" w:rsidR="00FA31A1" w:rsidRPr="00DC67EB" w:rsidRDefault="00FA31A1" w:rsidP="00FA31A1">
            <w:pPr>
              <w:spacing w:before="40" w:after="40"/>
              <w:rPr>
                <w:noProof/>
                <w:sz w:val="22"/>
              </w:rPr>
            </w:pPr>
          </w:p>
        </w:tc>
        <w:tc>
          <w:tcPr>
            <w:tcW w:w="1262" w:type="dxa"/>
            <w:tcMar>
              <w:left w:w="28" w:type="dxa"/>
              <w:right w:w="28" w:type="dxa"/>
            </w:tcMar>
          </w:tcPr>
          <w:p w14:paraId="644604D3" w14:textId="77777777" w:rsidR="00FA31A1" w:rsidRPr="00DC67EB" w:rsidRDefault="00FA31A1" w:rsidP="00FA31A1">
            <w:pPr>
              <w:spacing w:before="40" w:after="40"/>
              <w:rPr>
                <w:noProof/>
                <w:sz w:val="22"/>
              </w:rPr>
            </w:pPr>
          </w:p>
        </w:tc>
        <w:tc>
          <w:tcPr>
            <w:tcW w:w="1153" w:type="dxa"/>
            <w:gridSpan w:val="2"/>
            <w:shd w:val="clear" w:color="auto" w:fill="auto"/>
            <w:tcMar>
              <w:left w:w="28" w:type="dxa"/>
              <w:right w:w="28" w:type="dxa"/>
            </w:tcMar>
          </w:tcPr>
          <w:p w14:paraId="6D33EC1D" w14:textId="77777777" w:rsidR="00FA31A1" w:rsidRPr="00DC67EB" w:rsidRDefault="00FA31A1" w:rsidP="00FA31A1">
            <w:pPr>
              <w:spacing w:before="40" w:after="40"/>
              <w:rPr>
                <w:noProof/>
                <w:sz w:val="22"/>
              </w:rPr>
            </w:pPr>
          </w:p>
        </w:tc>
        <w:tc>
          <w:tcPr>
            <w:tcW w:w="970" w:type="dxa"/>
            <w:shd w:val="clear" w:color="auto" w:fill="auto"/>
            <w:tcMar>
              <w:left w:w="28" w:type="dxa"/>
              <w:right w:w="28" w:type="dxa"/>
            </w:tcMar>
          </w:tcPr>
          <w:p w14:paraId="7BF61017" w14:textId="77777777" w:rsidR="00FA31A1" w:rsidRPr="00DC67EB" w:rsidRDefault="00FA31A1" w:rsidP="00FA31A1">
            <w:pPr>
              <w:spacing w:before="40" w:after="40"/>
              <w:rPr>
                <w:noProof/>
                <w:sz w:val="22"/>
              </w:rPr>
            </w:pPr>
            <w:r w:rsidRPr="00DC67EB">
              <w:rPr>
                <w:noProof/>
                <w:sz w:val="22"/>
              </w:rPr>
              <w:t>X</w:t>
            </w:r>
          </w:p>
        </w:tc>
      </w:tr>
      <w:tr w:rsidR="00DC67EB" w:rsidRPr="00DC67EB" w14:paraId="0801B1CD" w14:textId="77777777" w:rsidTr="00FA31A1">
        <w:trPr>
          <w:gridBefore w:val="1"/>
          <w:wBefore w:w="12" w:type="dxa"/>
          <w:cantSplit/>
          <w:tblHeader/>
          <w:jc w:val="center"/>
        </w:trPr>
        <w:tc>
          <w:tcPr>
            <w:tcW w:w="651" w:type="dxa"/>
            <w:gridSpan w:val="3"/>
            <w:tcMar>
              <w:left w:w="28" w:type="dxa"/>
              <w:right w:w="28" w:type="dxa"/>
            </w:tcMar>
          </w:tcPr>
          <w:p w14:paraId="4C5298FE" w14:textId="77777777" w:rsidR="00FA31A1" w:rsidRPr="00DC67EB" w:rsidRDefault="00FA31A1" w:rsidP="00FA31A1">
            <w:pPr>
              <w:spacing w:before="40" w:after="40"/>
              <w:rPr>
                <w:noProof/>
                <w:sz w:val="22"/>
              </w:rPr>
            </w:pPr>
            <w:r w:rsidRPr="00DC67EB">
              <w:rPr>
                <w:noProof/>
                <w:sz w:val="22"/>
              </w:rPr>
              <w:t>56.</w:t>
            </w:r>
          </w:p>
        </w:tc>
        <w:tc>
          <w:tcPr>
            <w:tcW w:w="2286" w:type="dxa"/>
            <w:gridSpan w:val="3"/>
            <w:shd w:val="clear" w:color="auto" w:fill="auto"/>
            <w:tcMar>
              <w:left w:w="28" w:type="dxa"/>
              <w:right w:w="28" w:type="dxa"/>
            </w:tcMar>
          </w:tcPr>
          <w:p w14:paraId="17C4287C" w14:textId="77777777" w:rsidR="00FA31A1" w:rsidRPr="00DC67EB" w:rsidRDefault="00FA31A1" w:rsidP="00FA31A1">
            <w:pPr>
              <w:spacing w:before="40" w:after="40"/>
              <w:rPr>
                <w:noProof/>
                <w:sz w:val="22"/>
              </w:rPr>
            </w:pPr>
            <w:r w:rsidRPr="00DC67EB">
              <w:rPr>
                <w:noProof/>
                <w:sz w:val="22"/>
              </w:rPr>
              <w:t>Diklofenák</w:t>
            </w:r>
          </w:p>
        </w:tc>
        <w:tc>
          <w:tcPr>
            <w:tcW w:w="1329" w:type="dxa"/>
            <w:gridSpan w:val="3"/>
            <w:shd w:val="clear" w:color="auto" w:fill="auto"/>
            <w:tcMar>
              <w:left w:w="28" w:type="dxa"/>
              <w:right w:w="28" w:type="dxa"/>
            </w:tcMar>
          </w:tcPr>
          <w:p w14:paraId="5B51D937" w14:textId="77777777" w:rsidR="00FA31A1" w:rsidRPr="00DC67EB" w:rsidRDefault="00FA31A1" w:rsidP="00FA31A1">
            <w:pPr>
              <w:spacing w:before="40" w:after="40"/>
              <w:rPr>
                <w:noProof/>
                <w:sz w:val="22"/>
              </w:rPr>
            </w:pPr>
            <w:r w:rsidRPr="00DC67EB">
              <w:rPr>
                <w:noProof/>
                <w:sz w:val="22"/>
              </w:rPr>
              <w:t>Gyógyszerek</w:t>
            </w:r>
          </w:p>
        </w:tc>
        <w:tc>
          <w:tcPr>
            <w:tcW w:w="992" w:type="dxa"/>
            <w:gridSpan w:val="2"/>
            <w:shd w:val="clear" w:color="auto" w:fill="auto"/>
            <w:tcMar>
              <w:left w:w="28" w:type="dxa"/>
              <w:right w:w="28" w:type="dxa"/>
            </w:tcMar>
          </w:tcPr>
          <w:p w14:paraId="6E06E759" w14:textId="77777777" w:rsidR="00FA31A1" w:rsidRPr="00DC67EB" w:rsidRDefault="00FA31A1" w:rsidP="00FA31A1">
            <w:pPr>
              <w:spacing w:before="40" w:after="40"/>
              <w:rPr>
                <w:noProof/>
                <w:sz w:val="22"/>
              </w:rPr>
            </w:pPr>
            <w:r w:rsidRPr="00DC67EB">
              <w:rPr>
                <w:noProof/>
                <w:sz w:val="22"/>
              </w:rPr>
              <w:t xml:space="preserve">15307-86-5 / 15307-79-6 </w:t>
            </w:r>
          </w:p>
        </w:tc>
        <w:tc>
          <w:tcPr>
            <w:tcW w:w="1134" w:type="dxa"/>
          </w:tcPr>
          <w:p w14:paraId="19E62F68" w14:textId="77777777" w:rsidR="00FA31A1" w:rsidRPr="00DC67EB" w:rsidRDefault="00FA31A1" w:rsidP="00FA31A1">
            <w:pPr>
              <w:spacing w:before="40" w:after="40"/>
              <w:rPr>
                <w:noProof/>
                <w:sz w:val="22"/>
              </w:rPr>
            </w:pPr>
            <w:r w:rsidRPr="00DC67EB">
              <w:rPr>
                <w:noProof/>
                <w:sz w:val="22"/>
              </w:rPr>
              <w:t>239-348-5 / 239-346-4</w:t>
            </w:r>
          </w:p>
        </w:tc>
        <w:tc>
          <w:tcPr>
            <w:tcW w:w="1279" w:type="dxa"/>
            <w:gridSpan w:val="2"/>
            <w:shd w:val="clear" w:color="auto" w:fill="auto"/>
            <w:tcMar>
              <w:left w:w="28" w:type="dxa"/>
              <w:right w:w="28" w:type="dxa"/>
            </w:tcMar>
          </w:tcPr>
          <w:p w14:paraId="2EB555D1" w14:textId="77777777" w:rsidR="00FA31A1" w:rsidRPr="00DC67EB" w:rsidRDefault="00FA31A1" w:rsidP="00FA31A1">
            <w:pPr>
              <w:spacing w:before="40" w:after="40"/>
              <w:rPr>
                <w:noProof/>
                <w:sz w:val="22"/>
              </w:rPr>
            </w:pPr>
            <w:r w:rsidRPr="00DC67EB">
              <w:rPr>
                <w:noProof/>
                <w:sz w:val="22"/>
              </w:rPr>
              <w:t>0,04</w:t>
            </w:r>
          </w:p>
        </w:tc>
        <w:tc>
          <w:tcPr>
            <w:tcW w:w="1279" w:type="dxa"/>
            <w:gridSpan w:val="2"/>
            <w:shd w:val="clear" w:color="auto" w:fill="auto"/>
            <w:tcMar>
              <w:left w:w="28" w:type="dxa"/>
              <w:right w:w="28" w:type="dxa"/>
            </w:tcMar>
          </w:tcPr>
          <w:p w14:paraId="7DA9ECC4" w14:textId="77777777" w:rsidR="00FA31A1" w:rsidRPr="00DC67EB" w:rsidRDefault="00FA31A1" w:rsidP="00FA31A1">
            <w:pPr>
              <w:spacing w:before="40" w:after="40"/>
              <w:rPr>
                <w:noProof/>
                <w:sz w:val="22"/>
              </w:rPr>
            </w:pPr>
            <w:r w:rsidRPr="00DC67EB">
              <w:rPr>
                <w:noProof/>
                <w:sz w:val="22"/>
              </w:rPr>
              <w:t>0,004</w:t>
            </w:r>
          </w:p>
        </w:tc>
        <w:tc>
          <w:tcPr>
            <w:tcW w:w="1278" w:type="dxa"/>
            <w:gridSpan w:val="2"/>
            <w:shd w:val="clear" w:color="auto" w:fill="auto"/>
            <w:tcMar>
              <w:left w:w="28" w:type="dxa"/>
              <w:right w:w="28" w:type="dxa"/>
            </w:tcMar>
          </w:tcPr>
          <w:p w14:paraId="7AED2418" w14:textId="77777777" w:rsidR="00FA31A1" w:rsidRPr="00DC67EB" w:rsidRDefault="00FA31A1" w:rsidP="00FA31A1">
            <w:pPr>
              <w:spacing w:before="40" w:after="40"/>
              <w:rPr>
                <w:noProof/>
                <w:sz w:val="22"/>
              </w:rPr>
            </w:pPr>
            <w:r w:rsidRPr="00DC67EB">
              <w:rPr>
                <w:noProof/>
                <w:sz w:val="22"/>
              </w:rPr>
              <w:t>250</w:t>
            </w:r>
          </w:p>
        </w:tc>
        <w:tc>
          <w:tcPr>
            <w:tcW w:w="1277" w:type="dxa"/>
            <w:gridSpan w:val="2"/>
            <w:shd w:val="clear" w:color="auto" w:fill="auto"/>
            <w:tcMar>
              <w:left w:w="28" w:type="dxa"/>
              <w:right w:w="28" w:type="dxa"/>
            </w:tcMar>
          </w:tcPr>
          <w:p w14:paraId="768EA786" w14:textId="77777777" w:rsidR="00FA31A1" w:rsidRPr="00DC67EB" w:rsidRDefault="00FA31A1" w:rsidP="00FA31A1">
            <w:pPr>
              <w:spacing w:before="40" w:after="40"/>
              <w:rPr>
                <w:noProof/>
                <w:sz w:val="22"/>
              </w:rPr>
            </w:pPr>
            <w:r w:rsidRPr="00DC67EB">
              <w:rPr>
                <w:noProof/>
                <w:sz w:val="22"/>
              </w:rPr>
              <w:t>25</w:t>
            </w:r>
          </w:p>
        </w:tc>
        <w:tc>
          <w:tcPr>
            <w:tcW w:w="1136" w:type="dxa"/>
            <w:gridSpan w:val="2"/>
            <w:shd w:val="clear" w:color="auto" w:fill="auto"/>
            <w:tcMar>
              <w:left w:w="28" w:type="dxa"/>
              <w:right w:w="28" w:type="dxa"/>
            </w:tcMar>
          </w:tcPr>
          <w:p w14:paraId="59BDB4CB" w14:textId="77777777" w:rsidR="00FA31A1" w:rsidRPr="00DC67EB" w:rsidRDefault="00FA31A1" w:rsidP="00FA31A1">
            <w:pPr>
              <w:spacing w:before="40" w:after="40"/>
              <w:rPr>
                <w:noProof/>
                <w:sz w:val="22"/>
              </w:rPr>
            </w:pPr>
          </w:p>
        </w:tc>
        <w:tc>
          <w:tcPr>
            <w:tcW w:w="1262" w:type="dxa"/>
            <w:tcMar>
              <w:left w:w="28" w:type="dxa"/>
              <w:right w:w="28" w:type="dxa"/>
            </w:tcMar>
          </w:tcPr>
          <w:p w14:paraId="5DCDA5FD" w14:textId="77777777" w:rsidR="00FA31A1" w:rsidRPr="00DC67EB" w:rsidRDefault="00FA31A1" w:rsidP="00FA31A1">
            <w:pPr>
              <w:spacing w:before="40" w:after="40"/>
              <w:rPr>
                <w:noProof/>
                <w:sz w:val="22"/>
              </w:rPr>
            </w:pPr>
          </w:p>
        </w:tc>
        <w:tc>
          <w:tcPr>
            <w:tcW w:w="1153" w:type="dxa"/>
            <w:gridSpan w:val="2"/>
            <w:shd w:val="clear" w:color="auto" w:fill="auto"/>
            <w:tcMar>
              <w:left w:w="28" w:type="dxa"/>
              <w:right w:w="28" w:type="dxa"/>
            </w:tcMar>
          </w:tcPr>
          <w:p w14:paraId="3565B75F" w14:textId="77777777" w:rsidR="00FA31A1" w:rsidRPr="00DC67EB" w:rsidRDefault="00FA31A1" w:rsidP="00FA31A1">
            <w:pPr>
              <w:spacing w:before="40" w:after="40"/>
              <w:rPr>
                <w:noProof/>
                <w:sz w:val="22"/>
              </w:rPr>
            </w:pPr>
          </w:p>
        </w:tc>
        <w:tc>
          <w:tcPr>
            <w:tcW w:w="970" w:type="dxa"/>
            <w:shd w:val="clear" w:color="auto" w:fill="auto"/>
            <w:tcMar>
              <w:left w:w="28" w:type="dxa"/>
              <w:right w:w="28" w:type="dxa"/>
            </w:tcMar>
          </w:tcPr>
          <w:p w14:paraId="1A3896E6" w14:textId="77777777" w:rsidR="00FA31A1" w:rsidRPr="00DC67EB" w:rsidRDefault="00FA31A1" w:rsidP="00FA31A1">
            <w:pPr>
              <w:spacing w:before="40" w:after="40"/>
              <w:rPr>
                <w:noProof/>
                <w:sz w:val="22"/>
              </w:rPr>
            </w:pPr>
            <w:r w:rsidRPr="00DC67EB">
              <w:rPr>
                <w:noProof/>
                <w:sz w:val="22"/>
              </w:rPr>
              <w:t>X</w:t>
            </w:r>
          </w:p>
        </w:tc>
      </w:tr>
      <w:tr w:rsidR="00DC67EB" w:rsidRPr="00DC67EB" w14:paraId="6CCA2417" w14:textId="77777777" w:rsidTr="00FA31A1">
        <w:trPr>
          <w:gridBefore w:val="1"/>
          <w:wBefore w:w="12" w:type="dxa"/>
          <w:cantSplit/>
          <w:tblHeader/>
          <w:jc w:val="center"/>
        </w:trPr>
        <w:tc>
          <w:tcPr>
            <w:tcW w:w="651" w:type="dxa"/>
            <w:gridSpan w:val="3"/>
            <w:tcMar>
              <w:left w:w="28" w:type="dxa"/>
              <w:right w:w="28" w:type="dxa"/>
            </w:tcMar>
          </w:tcPr>
          <w:p w14:paraId="440EBA72" w14:textId="77777777" w:rsidR="00FA31A1" w:rsidRPr="00DC67EB" w:rsidRDefault="00FA31A1" w:rsidP="00FA31A1">
            <w:pPr>
              <w:spacing w:before="40" w:after="40"/>
              <w:rPr>
                <w:noProof/>
                <w:sz w:val="22"/>
              </w:rPr>
            </w:pPr>
            <w:r w:rsidRPr="00DC67EB">
              <w:rPr>
                <w:noProof/>
                <w:sz w:val="22"/>
              </w:rPr>
              <w:t>57.</w:t>
            </w:r>
          </w:p>
        </w:tc>
        <w:tc>
          <w:tcPr>
            <w:tcW w:w="2286" w:type="dxa"/>
            <w:gridSpan w:val="3"/>
            <w:shd w:val="clear" w:color="auto" w:fill="auto"/>
            <w:tcMar>
              <w:left w:w="28" w:type="dxa"/>
              <w:right w:w="28" w:type="dxa"/>
            </w:tcMar>
          </w:tcPr>
          <w:p w14:paraId="0413915E" w14:textId="77777777" w:rsidR="00FA31A1" w:rsidRPr="00DC67EB" w:rsidRDefault="00FA31A1" w:rsidP="00FA31A1">
            <w:pPr>
              <w:spacing w:before="40" w:after="40"/>
              <w:rPr>
                <w:noProof/>
                <w:sz w:val="22"/>
              </w:rPr>
            </w:pPr>
            <w:r w:rsidRPr="00DC67EB">
              <w:rPr>
                <w:noProof/>
                <w:sz w:val="22"/>
              </w:rPr>
              <w:t>Eritromicin</w:t>
            </w:r>
          </w:p>
        </w:tc>
        <w:tc>
          <w:tcPr>
            <w:tcW w:w="1329" w:type="dxa"/>
            <w:gridSpan w:val="3"/>
            <w:shd w:val="clear" w:color="auto" w:fill="auto"/>
            <w:tcMar>
              <w:left w:w="28" w:type="dxa"/>
              <w:right w:w="28" w:type="dxa"/>
            </w:tcMar>
          </w:tcPr>
          <w:p w14:paraId="7DBC707A" w14:textId="77777777" w:rsidR="00FA31A1" w:rsidRPr="00DC67EB" w:rsidRDefault="00FA31A1" w:rsidP="00FA31A1">
            <w:pPr>
              <w:spacing w:before="40" w:after="40"/>
              <w:rPr>
                <w:noProof/>
                <w:sz w:val="22"/>
              </w:rPr>
            </w:pPr>
            <w:r w:rsidRPr="00DC67EB">
              <w:rPr>
                <w:noProof/>
                <w:sz w:val="22"/>
              </w:rPr>
              <w:t>Gyógyszerek (makrolid antibiotikumok)</w:t>
            </w:r>
          </w:p>
        </w:tc>
        <w:tc>
          <w:tcPr>
            <w:tcW w:w="992" w:type="dxa"/>
            <w:gridSpan w:val="2"/>
            <w:shd w:val="clear" w:color="auto" w:fill="auto"/>
            <w:tcMar>
              <w:left w:w="28" w:type="dxa"/>
              <w:right w:w="28" w:type="dxa"/>
            </w:tcMar>
          </w:tcPr>
          <w:p w14:paraId="4133F467" w14:textId="77777777" w:rsidR="00FA31A1" w:rsidRPr="00DC67EB" w:rsidRDefault="00FA31A1" w:rsidP="00FA31A1">
            <w:pPr>
              <w:spacing w:before="40" w:after="40"/>
              <w:rPr>
                <w:noProof/>
                <w:sz w:val="22"/>
              </w:rPr>
            </w:pPr>
            <w:r w:rsidRPr="00DC67EB">
              <w:rPr>
                <w:noProof/>
                <w:sz w:val="22"/>
              </w:rPr>
              <w:t>114-07-8</w:t>
            </w:r>
          </w:p>
        </w:tc>
        <w:tc>
          <w:tcPr>
            <w:tcW w:w="1134" w:type="dxa"/>
          </w:tcPr>
          <w:p w14:paraId="0133E578" w14:textId="77777777" w:rsidR="00FA31A1" w:rsidRPr="00DC67EB" w:rsidRDefault="00FA31A1" w:rsidP="00FA31A1">
            <w:pPr>
              <w:spacing w:before="40" w:after="40"/>
              <w:rPr>
                <w:noProof/>
                <w:sz w:val="22"/>
              </w:rPr>
            </w:pPr>
            <w:r w:rsidRPr="00DC67EB">
              <w:rPr>
                <w:noProof/>
                <w:sz w:val="22"/>
              </w:rPr>
              <w:t>204-040-1</w:t>
            </w:r>
          </w:p>
        </w:tc>
        <w:tc>
          <w:tcPr>
            <w:tcW w:w="1279" w:type="dxa"/>
            <w:gridSpan w:val="2"/>
            <w:shd w:val="clear" w:color="auto" w:fill="auto"/>
            <w:tcMar>
              <w:left w:w="28" w:type="dxa"/>
              <w:right w:w="28" w:type="dxa"/>
            </w:tcMar>
          </w:tcPr>
          <w:p w14:paraId="3EF6DC19" w14:textId="77777777" w:rsidR="00FA31A1" w:rsidRPr="00DC67EB" w:rsidRDefault="00FA31A1" w:rsidP="00FA31A1">
            <w:pPr>
              <w:spacing w:before="40" w:after="40"/>
              <w:rPr>
                <w:noProof/>
                <w:sz w:val="22"/>
              </w:rPr>
            </w:pPr>
            <w:r w:rsidRPr="00DC67EB">
              <w:rPr>
                <w:noProof/>
                <w:sz w:val="22"/>
              </w:rPr>
              <w:t>0,5</w:t>
            </w:r>
          </w:p>
        </w:tc>
        <w:tc>
          <w:tcPr>
            <w:tcW w:w="1279" w:type="dxa"/>
            <w:gridSpan w:val="2"/>
            <w:shd w:val="clear" w:color="auto" w:fill="auto"/>
            <w:tcMar>
              <w:left w:w="28" w:type="dxa"/>
              <w:right w:w="28" w:type="dxa"/>
            </w:tcMar>
          </w:tcPr>
          <w:p w14:paraId="1F668B12" w14:textId="77777777" w:rsidR="00FA31A1" w:rsidRPr="00DC67EB" w:rsidRDefault="00FA31A1" w:rsidP="00FA31A1">
            <w:pPr>
              <w:spacing w:before="40" w:after="40"/>
              <w:rPr>
                <w:noProof/>
                <w:sz w:val="22"/>
              </w:rPr>
            </w:pPr>
            <w:r w:rsidRPr="00DC67EB">
              <w:rPr>
                <w:noProof/>
                <w:sz w:val="22"/>
              </w:rPr>
              <w:t>0,05</w:t>
            </w:r>
          </w:p>
        </w:tc>
        <w:tc>
          <w:tcPr>
            <w:tcW w:w="1278" w:type="dxa"/>
            <w:gridSpan w:val="2"/>
            <w:shd w:val="clear" w:color="auto" w:fill="auto"/>
            <w:tcMar>
              <w:left w:w="28" w:type="dxa"/>
              <w:right w:w="28" w:type="dxa"/>
            </w:tcMar>
          </w:tcPr>
          <w:p w14:paraId="3BF1E444" w14:textId="77777777" w:rsidR="00FA31A1" w:rsidRPr="00DC67EB" w:rsidRDefault="00FA31A1" w:rsidP="00FA31A1">
            <w:pPr>
              <w:spacing w:before="40" w:after="40"/>
              <w:rPr>
                <w:noProof/>
                <w:sz w:val="22"/>
              </w:rPr>
            </w:pPr>
            <w:r w:rsidRPr="00DC67EB">
              <w:rPr>
                <w:noProof/>
                <w:sz w:val="22"/>
              </w:rPr>
              <w:t>1</w:t>
            </w:r>
          </w:p>
        </w:tc>
        <w:tc>
          <w:tcPr>
            <w:tcW w:w="1277" w:type="dxa"/>
            <w:gridSpan w:val="2"/>
            <w:shd w:val="clear" w:color="auto" w:fill="auto"/>
            <w:tcMar>
              <w:left w:w="28" w:type="dxa"/>
              <w:right w:w="28" w:type="dxa"/>
            </w:tcMar>
          </w:tcPr>
          <w:p w14:paraId="49CEDD6B" w14:textId="77777777" w:rsidR="00FA31A1" w:rsidRPr="00DC67EB" w:rsidRDefault="00FA31A1" w:rsidP="00FA31A1">
            <w:pPr>
              <w:spacing w:before="40" w:after="40"/>
              <w:rPr>
                <w:noProof/>
                <w:sz w:val="22"/>
              </w:rPr>
            </w:pPr>
            <w:r w:rsidRPr="00DC67EB">
              <w:rPr>
                <w:noProof/>
                <w:sz w:val="22"/>
              </w:rPr>
              <w:t>0,1</w:t>
            </w:r>
          </w:p>
        </w:tc>
        <w:tc>
          <w:tcPr>
            <w:tcW w:w="1136" w:type="dxa"/>
            <w:gridSpan w:val="2"/>
            <w:shd w:val="clear" w:color="auto" w:fill="auto"/>
            <w:tcMar>
              <w:left w:w="28" w:type="dxa"/>
              <w:right w:w="28" w:type="dxa"/>
            </w:tcMar>
          </w:tcPr>
          <w:p w14:paraId="20112E1C" w14:textId="77777777" w:rsidR="00FA31A1" w:rsidRPr="00DC67EB" w:rsidRDefault="00FA31A1" w:rsidP="00FA31A1">
            <w:pPr>
              <w:spacing w:before="40" w:after="40"/>
              <w:rPr>
                <w:noProof/>
                <w:sz w:val="22"/>
              </w:rPr>
            </w:pPr>
          </w:p>
        </w:tc>
        <w:tc>
          <w:tcPr>
            <w:tcW w:w="1262" w:type="dxa"/>
            <w:tcMar>
              <w:left w:w="28" w:type="dxa"/>
              <w:right w:w="28" w:type="dxa"/>
            </w:tcMar>
          </w:tcPr>
          <w:p w14:paraId="4E22B2A6" w14:textId="77777777" w:rsidR="00FA31A1" w:rsidRPr="00DC67EB" w:rsidRDefault="00FA31A1" w:rsidP="00FA31A1">
            <w:pPr>
              <w:spacing w:before="40" w:after="40"/>
              <w:rPr>
                <w:noProof/>
                <w:sz w:val="22"/>
              </w:rPr>
            </w:pPr>
          </w:p>
        </w:tc>
        <w:tc>
          <w:tcPr>
            <w:tcW w:w="1153" w:type="dxa"/>
            <w:gridSpan w:val="2"/>
            <w:shd w:val="clear" w:color="auto" w:fill="auto"/>
            <w:tcMar>
              <w:left w:w="28" w:type="dxa"/>
              <w:right w:w="28" w:type="dxa"/>
            </w:tcMar>
          </w:tcPr>
          <w:p w14:paraId="242C7947" w14:textId="77777777" w:rsidR="00FA31A1" w:rsidRPr="00DC67EB" w:rsidRDefault="00FA31A1" w:rsidP="00FA31A1">
            <w:pPr>
              <w:spacing w:before="40" w:after="40"/>
              <w:rPr>
                <w:noProof/>
                <w:sz w:val="22"/>
              </w:rPr>
            </w:pPr>
          </w:p>
        </w:tc>
        <w:tc>
          <w:tcPr>
            <w:tcW w:w="970" w:type="dxa"/>
            <w:shd w:val="clear" w:color="auto" w:fill="auto"/>
            <w:tcMar>
              <w:left w:w="28" w:type="dxa"/>
              <w:right w:w="28" w:type="dxa"/>
            </w:tcMar>
          </w:tcPr>
          <w:p w14:paraId="59354CA4" w14:textId="77777777" w:rsidR="00FA31A1" w:rsidRPr="00DC67EB" w:rsidRDefault="00FA31A1" w:rsidP="00FA31A1">
            <w:pPr>
              <w:spacing w:before="40" w:after="40"/>
              <w:rPr>
                <w:noProof/>
                <w:sz w:val="22"/>
              </w:rPr>
            </w:pPr>
            <w:r w:rsidRPr="00DC67EB">
              <w:rPr>
                <w:noProof/>
                <w:sz w:val="22"/>
              </w:rPr>
              <w:t>X</w:t>
            </w:r>
          </w:p>
        </w:tc>
      </w:tr>
      <w:tr w:rsidR="00DC67EB" w:rsidRPr="00DC67EB" w14:paraId="44AB4336" w14:textId="77777777" w:rsidTr="00FA31A1">
        <w:trPr>
          <w:gridBefore w:val="1"/>
          <w:wBefore w:w="12" w:type="dxa"/>
          <w:cantSplit/>
          <w:tblHeader/>
          <w:jc w:val="center"/>
        </w:trPr>
        <w:tc>
          <w:tcPr>
            <w:tcW w:w="651" w:type="dxa"/>
            <w:gridSpan w:val="3"/>
            <w:tcMar>
              <w:left w:w="28" w:type="dxa"/>
              <w:right w:w="28" w:type="dxa"/>
            </w:tcMar>
          </w:tcPr>
          <w:p w14:paraId="21D77181" w14:textId="77777777" w:rsidR="00FA31A1" w:rsidRPr="00DC67EB" w:rsidRDefault="00FA31A1" w:rsidP="00FA31A1">
            <w:pPr>
              <w:spacing w:before="40" w:after="40"/>
              <w:rPr>
                <w:noProof/>
                <w:sz w:val="22"/>
              </w:rPr>
            </w:pPr>
            <w:r w:rsidRPr="00DC67EB">
              <w:rPr>
                <w:noProof/>
                <w:sz w:val="22"/>
              </w:rPr>
              <w:t>58.</w:t>
            </w:r>
          </w:p>
        </w:tc>
        <w:tc>
          <w:tcPr>
            <w:tcW w:w="2286" w:type="dxa"/>
            <w:gridSpan w:val="3"/>
            <w:shd w:val="clear" w:color="auto" w:fill="auto"/>
            <w:tcMar>
              <w:left w:w="28" w:type="dxa"/>
              <w:right w:w="28" w:type="dxa"/>
            </w:tcMar>
          </w:tcPr>
          <w:p w14:paraId="612A321C" w14:textId="77777777" w:rsidR="00FA31A1" w:rsidRPr="00DC67EB" w:rsidRDefault="00FA31A1" w:rsidP="00FA31A1">
            <w:pPr>
              <w:spacing w:before="40" w:after="40"/>
              <w:rPr>
                <w:noProof/>
                <w:sz w:val="22"/>
              </w:rPr>
            </w:pPr>
            <w:r w:rsidRPr="00DC67EB">
              <w:rPr>
                <w:noProof/>
                <w:sz w:val="22"/>
              </w:rPr>
              <w:t>Eszfenvalerát</w:t>
            </w:r>
          </w:p>
        </w:tc>
        <w:tc>
          <w:tcPr>
            <w:tcW w:w="1329" w:type="dxa"/>
            <w:gridSpan w:val="3"/>
            <w:shd w:val="clear" w:color="auto" w:fill="auto"/>
            <w:tcMar>
              <w:left w:w="28" w:type="dxa"/>
              <w:right w:w="28" w:type="dxa"/>
            </w:tcMar>
          </w:tcPr>
          <w:p w14:paraId="2AD14A9E" w14:textId="77777777" w:rsidR="00FA31A1" w:rsidRPr="00DC67EB" w:rsidRDefault="00FA31A1" w:rsidP="00FA31A1">
            <w:pPr>
              <w:spacing w:before="40" w:after="40"/>
              <w:rPr>
                <w:noProof/>
                <w:sz w:val="22"/>
              </w:rPr>
            </w:pPr>
            <w:r w:rsidRPr="00DC67EB">
              <w:rPr>
                <w:noProof/>
                <w:sz w:val="22"/>
              </w:rPr>
              <w:t>Piretroid peszticidek</w:t>
            </w:r>
          </w:p>
        </w:tc>
        <w:tc>
          <w:tcPr>
            <w:tcW w:w="992" w:type="dxa"/>
            <w:gridSpan w:val="2"/>
            <w:shd w:val="clear" w:color="auto" w:fill="auto"/>
            <w:tcMar>
              <w:left w:w="28" w:type="dxa"/>
              <w:right w:w="28" w:type="dxa"/>
            </w:tcMar>
          </w:tcPr>
          <w:p w14:paraId="3A285F33" w14:textId="77777777" w:rsidR="00FA31A1" w:rsidRPr="00DC67EB" w:rsidRDefault="00FA31A1" w:rsidP="00FA31A1">
            <w:pPr>
              <w:spacing w:before="40" w:after="40"/>
              <w:rPr>
                <w:noProof/>
                <w:sz w:val="22"/>
              </w:rPr>
            </w:pPr>
            <w:r w:rsidRPr="00DC67EB">
              <w:rPr>
                <w:noProof/>
                <w:sz w:val="22"/>
              </w:rPr>
              <w:t>66230-04-4</w:t>
            </w:r>
          </w:p>
        </w:tc>
        <w:tc>
          <w:tcPr>
            <w:tcW w:w="1134" w:type="dxa"/>
          </w:tcPr>
          <w:p w14:paraId="39D8EC2A" w14:textId="77777777" w:rsidR="00FA31A1" w:rsidRPr="00DC67EB" w:rsidRDefault="00FA31A1" w:rsidP="00FA31A1">
            <w:pPr>
              <w:spacing w:before="40" w:after="40"/>
              <w:rPr>
                <w:noProof/>
                <w:sz w:val="22"/>
              </w:rPr>
            </w:pPr>
            <w:r w:rsidRPr="00DC67EB">
              <w:rPr>
                <w:noProof/>
                <w:sz w:val="22"/>
              </w:rPr>
              <w:t>613-911-9</w:t>
            </w:r>
          </w:p>
        </w:tc>
        <w:tc>
          <w:tcPr>
            <w:tcW w:w="1279" w:type="dxa"/>
            <w:gridSpan w:val="2"/>
            <w:shd w:val="clear" w:color="auto" w:fill="auto"/>
            <w:tcMar>
              <w:left w:w="28" w:type="dxa"/>
              <w:right w:w="28" w:type="dxa"/>
            </w:tcMar>
          </w:tcPr>
          <w:p w14:paraId="51E8C96B" w14:textId="77777777" w:rsidR="00FA31A1" w:rsidRPr="00DC67EB" w:rsidRDefault="00FA31A1" w:rsidP="00FA31A1">
            <w:pPr>
              <w:spacing w:before="40" w:after="40"/>
              <w:rPr>
                <w:noProof/>
                <w:sz w:val="22"/>
              </w:rPr>
            </w:pPr>
            <w:r w:rsidRPr="00DC67EB">
              <w:rPr>
                <w:noProof/>
                <w:sz w:val="22"/>
              </w:rPr>
              <w:t>1,7 × 10</w:t>
            </w:r>
            <w:r w:rsidRPr="00DC67EB">
              <w:rPr>
                <w:noProof/>
                <w:sz w:val="22"/>
                <w:vertAlign w:val="superscript"/>
              </w:rPr>
              <w:t>-5</w:t>
            </w:r>
          </w:p>
        </w:tc>
        <w:tc>
          <w:tcPr>
            <w:tcW w:w="1279" w:type="dxa"/>
            <w:gridSpan w:val="2"/>
            <w:shd w:val="clear" w:color="auto" w:fill="auto"/>
            <w:tcMar>
              <w:left w:w="28" w:type="dxa"/>
              <w:right w:w="28" w:type="dxa"/>
            </w:tcMar>
          </w:tcPr>
          <w:p w14:paraId="6A83F69E" w14:textId="77777777" w:rsidR="00FA31A1" w:rsidRPr="00DC67EB" w:rsidRDefault="00FA31A1" w:rsidP="00FA31A1">
            <w:pPr>
              <w:spacing w:before="40" w:after="40"/>
              <w:rPr>
                <w:noProof/>
                <w:sz w:val="22"/>
              </w:rPr>
            </w:pPr>
            <w:r w:rsidRPr="00DC67EB">
              <w:rPr>
                <w:noProof/>
                <w:sz w:val="22"/>
              </w:rPr>
              <w:t>1,7 × 10</w:t>
            </w:r>
            <w:r w:rsidRPr="00DC67EB">
              <w:rPr>
                <w:noProof/>
                <w:sz w:val="22"/>
                <w:vertAlign w:val="superscript"/>
              </w:rPr>
              <w:t>-6</w:t>
            </w:r>
          </w:p>
        </w:tc>
        <w:tc>
          <w:tcPr>
            <w:tcW w:w="1278" w:type="dxa"/>
            <w:gridSpan w:val="2"/>
            <w:shd w:val="clear" w:color="auto" w:fill="auto"/>
            <w:tcMar>
              <w:left w:w="28" w:type="dxa"/>
              <w:right w:w="28" w:type="dxa"/>
            </w:tcMar>
          </w:tcPr>
          <w:p w14:paraId="6399090D" w14:textId="77777777" w:rsidR="00FA31A1" w:rsidRPr="00DC67EB" w:rsidRDefault="00FA31A1" w:rsidP="00FA31A1">
            <w:pPr>
              <w:spacing w:before="40" w:after="40"/>
              <w:rPr>
                <w:noProof/>
                <w:sz w:val="22"/>
              </w:rPr>
            </w:pPr>
            <w:r w:rsidRPr="00DC67EB">
              <w:rPr>
                <w:noProof/>
                <w:sz w:val="22"/>
              </w:rPr>
              <w:t>0,0085</w:t>
            </w:r>
          </w:p>
        </w:tc>
        <w:tc>
          <w:tcPr>
            <w:tcW w:w="1277" w:type="dxa"/>
            <w:gridSpan w:val="2"/>
            <w:shd w:val="clear" w:color="auto" w:fill="auto"/>
            <w:tcMar>
              <w:left w:w="28" w:type="dxa"/>
              <w:right w:w="28" w:type="dxa"/>
            </w:tcMar>
          </w:tcPr>
          <w:p w14:paraId="00FD2905" w14:textId="77777777" w:rsidR="00FA31A1" w:rsidRPr="00DC67EB" w:rsidRDefault="00FA31A1" w:rsidP="00FA31A1">
            <w:pPr>
              <w:spacing w:before="40" w:after="40"/>
              <w:rPr>
                <w:noProof/>
                <w:sz w:val="22"/>
              </w:rPr>
            </w:pPr>
            <w:r w:rsidRPr="00DC67EB">
              <w:rPr>
                <w:noProof/>
                <w:sz w:val="22"/>
              </w:rPr>
              <w:t>0,00085</w:t>
            </w:r>
          </w:p>
        </w:tc>
        <w:tc>
          <w:tcPr>
            <w:tcW w:w="1136" w:type="dxa"/>
            <w:gridSpan w:val="2"/>
            <w:shd w:val="clear" w:color="auto" w:fill="auto"/>
            <w:tcMar>
              <w:left w:w="28" w:type="dxa"/>
              <w:right w:w="28" w:type="dxa"/>
            </w:tcMar>
          </w:tcPr>
          <w:p w14:paraId="0B1B4A82" w14:textId="77777777" w:rsidR="00FA31A1" w:rsidRPr="00DC67EB" w:rsidRDefault="00FA31A1" w:rsidP="00FA31A1">
            <w:pPr>
              <w:spacing w:before="40" w:after="40"/>
              <w:rPr>
                <w:noProof/>
                <w:sz w:val="22"/>
              </w:rPr>
            </w:pPr>
          </w:p>
        </w:tc>
        <w:tc>
          <w:tcPr>
            <w:tcW w:w="1262" w:type="dxa"/>
            <w:tcMar>
              <w:left w:w="28" w:type="dxa"/>
              <w:right w:w="28" w:type="dxa"/>
            </w:tcMar>
          </w:tcPr>
          <w:p w14:paraId="31061EB7" w14:textId="77777777" w:rsidR="00FA31A1" w:rsidRPr="00DC67EB" w:rsidRDefault="00FA31A1" w:rsidP="00FA31A1">
            <w:pPr>
              <w:spacing w:before="40" w:after="40"/>
              <w:rPr>
                <w:noProof/>
                <w:sz w:val="22"/>
              </w:rPr>
            </w:pPr>
          </w:p>
        </w:tc>
        <w:tc>
          <w:tcPr>
            <w:tcW w:w="1153" w:type="dxa"/>
            <w:gridSpan w:val="2"/>
            <w:shd w:val="clear" w:color="auto" w:fill="auto"/>
            <w:tcMar>
              <w:left w:w="28" w:type="dxa"/>
              <w:right w:w="28" w:type="dxa"/>
            </w:tcMar>
          </w:tcPr>
          <w:p w14:paraId="52D52E61" w14:textId="77777777" w:rsidR="00FA31A1" w:rsidRPr="00DC67EB" w:rsidRDefault="00FA31A1" w:rsidP="00FA31A1">
            <w:pPr>
              <w:spacing w:before="40" w:after="40"/>
              <w:rPr>
                <w:noProof/>
                <w:sz w:val="22"/>
              </w:rPr>
            </w:pPr>
          </w:p>
        </w:tc>
        <w:tc>
          <w:tcPr>
            <w:tcW w:w="970" w:type="dxa"/>
            <w:shd w:val="clear" w:color="auto" w:fill="auto"/>
            <w:tcMar>
              <w:left w:w="28" w:type="dxa"/>
              <w:right w:w="28" w:type="dxa"/>
            </w:tcMar>
          </w:tcPr>
          <w:p w14:paraId="576123E7" w14:textId="77777777" w:rsidR="00FA31A1" w:rsidRPr="00DC67EB" w:rsidRDefault="00FA31A1" w:rsidP="00FA31A1">
            <w:pPr>
              <w:spacing w:before="40" w:after="40"/>
              <w:rPr>
                <w:noProof/>
                <w:sz w:val="22"/>
              </w:rPr>
            </w:pPr>
            <w:r w:rsidRPr="00DC67EB">
              <w:rPr>
                <w:noProof/>
                <w:sz w:val="22"/>
              </w:rPr>
              <w:t>X</w:t>
            </w:r>
          </w:p>
        </w:tc>
      </w:tr>
      <w:tr w:rsidR="00DC67EB" w:rsidRPr="00DC67EB" w14:paraId="10DC7BA9" w14:textId="77777777" w:rsidTr="00FA31A1">
        <w:trPr>
          <w:gridBefore w:val="1"/>
          <w:wBefore w:w="12" w:type="dxa"/>
          <w:cantSplit/>
          <w:tblHeader/>
          <w:jc w:val="center"/>
        </w:trPr>
        <w:tc>
          <w:tcPr>
            <w:tcW w:w="651" w:type="dxa"/>
            <w:gridSpan w:val="3"/>
            <w:tcMar>
              <w:left w:w="28" w:type="dxa"/>
              <w:right w:w="28" w:type="dxa"/>
            </w:tcMar>
          </w:tcPr>
          <w:p w14:paraId="793E56D7" w14:textId="77777777" w:rsidR="00FA31A1" w:rsidRPr="00DC67EB" w:rsidRDefault="00FA31A1" w:rsidP="00FA31A1">
            <w:pPr>
              <w:spacing w:before="40" w:after="40"/>
              <w:rPr>
                <w:noProof/>
                <w:sz w:val="22"/>
              </w:rPr>
            </w:pPr>
            <w:r w:rsidRPr="00DC67EB">
              <w:rPr>
                <w:noProof/>
                <w:sz w:val="22"/>
              </w:rPr>
              <w:t>59.</w:t>
            </w:r>
          </w:p>
        </w:tc>
        <w:tc>
          <w:tcPr>
            <w:tcW w:w="2286" w:type="dxa"/>
            <w:gridSpan w:val="3"/>
            <w:shd w:val="clear" w:color="auto" w:fill="auto"/>
            <w:tcMar>
              <w:left w:w="28" w:type="dxa"/>
              <w:right w:w="28" w:type="dxa"/>
            </w:tcMar>
          </w:tcPr>
          <w:p w14:paraId="67966958" w14:textId="77777777" w:rsidR="00FA31A1" w:rsidRPr="00DC67EB" w:rsidRDefault="00FA31A1" w:rsidP="00FA31A1">
            <w:pPr>
              <w:spacing w:before="40" w:after="40"/>
              <w:rPr>
                <w:noProof/>
                <w:sz w:val="22"/>
              </w:rPr>
            </w:pPr>
            <w:r w:rsidRPr="00DC67EB">
              <w:rPr>
                <w:noProof/>
                <w:sz w:val="22"/>
              </w:rPr>
              <w:t>Ösztron (E1)</w:t>
            </w:r>
          </w:p>
        </w:tc>
        <w:tc>
          <w:tcPr>
            <w:tcW w:w="1329" w:type="dxa"/>
            <w:gridSpan w:val="3"/>
            <w:shd w:val="clear" w:color="auto" w:fill="auto"/>
            <w:tcMar>
              <w:left w:w="28" w:type="dxa"/>
              <w:right w:w="28" w:type="dxa"/>
            </w:tcMar>
          </w:tcPr>
          <w:p w14:paraId="10543CE6" w14:textId="77777777" w:rsidR="00FA31A1" w:rsidRPr="00DC67EB" w:rsidRDefault="00FA31A1" w:rsidP="00FA31A1">
            <w:pPr>
              <w:spacing w:before="40" w:after="40"/>
              <w:rPr>
                <w:noProof/>
                <w:sz w:val="22"/>
              </w:rPr>
            </w:pPr>
            <w:r w:rsidRPr="00DC67EB">
              <w:rPr>
                <w:noProof/>
                <w:sz w:val="22"/>
              </w:rPr>
              <w:t>Gyógyszerek (ösztrogénhatású hormonok)</w:t>
            </w:r>
          </w:p>
        </w:tc>
        <w:tc>
          <w:tcPr>
            <w:tcW w:w="992" w:type="dxa"/>
            <w:gridSpan w:val="2"/>
            <w:shd w:val="clear" w:color="auto" w:fill="auto"/>
            <w:tcMar>
              <w:left w:w="28" w:type="dxa"/>
              <w:right w:w="28" w:type="dxa"/>
            </w:tcMar>
          </w:tcPr>
          <w:p w14:paraId="0AB0F490" w14:textId="77777777" w:rsidR="00FA31A1" w:rsidRPr="00DC67EB" w:rsidRDefault="00FA31A1" w:rsidP="00FA31A1">
            <w:pPr>
              <w:spacing w:before="40" w:after="40"/>
              <w:rPr>
                <w:noProof/>
                <w:sz w:val="22"/>
              </w:rPr>
            </w:pPr>
            <w:r w:rsidRPr="00DC67EB">
              <w:rPr>
                <w:noProof/>
                <w:sz w:val="22"/>
              </w:rPr>
              <w:t>53-16-7</w:t>
            </w:r>
          </w:p>
        </w:tc>
        <w:tc>
          <w:tcPr>
            <w:tcW w:w="1134" w:type="dxa"/>
          </w:tcPr>
          <w:p w14:paraId="41A2E3D9" w14:textId="77777777" w:rsidR="00FA31A1" w:rsidRPr="00DC67EB" w:rsidRDefault="00FA31A1" w:rsidP="00FA31A1">
            <w:pPr>
              <w:spacing w:before="40" w:after="40"/>
              <w:rPr>
                <w:noProof/>
                <w:sz w:val="22"/>
              </w:rPr>
            </w:pPr>
            <w:r w:rsidRPr="00DC67EB">
              <w:rPr>
                <w:noProof/>
                <w:sz w:val="22"/>
              </w:rPr>
              <w:t>200-164-5</w:t>
            </w:r>
          </w:p>
        </w:tc>
        <w:tc>
          <w:tcPr>
            <w:tcW w:w="1279" w:type="dxa"/>
            <w:gridSpan w:val="2"/>
            <w:shd w:val="clear" w:color="auto" w:fill="auto"/>
            <w:tcMar>
              <w:left w:w="28" w:type="dxa"/>
              <w:right w:w="28" w:type="dxa"/>
            </w:tcMar>
          </w:tcPr>
          <w:p w14:paraId="210BC3C4" w14:textId="77777777" w:rsidR="00FA31A1" w:rsidRPr="00DC67EB" w:rsidRDefault="00FA31A1" w:rsidP="00FA31A1">
            <w:pPr>
              <w:spacing w:before="40" w:after="40"/>
              <w:rPr>
                <w:noProof/>
                <w:sz w:val="22"/>
              </w:rPr>
            </w:pPr>
            <w:r w:rsidRPr="00DC67EB">
              <w:rPr>
                <w:noProof/>
                <w:sz w:val="22"/>
              </w:rPr>
              <w:t>3,6 × 10</w:t>
            </w:r>
            <w:r w:rsidRPr="00DC67EB">
              <w:rPr>
                <w:noProof/>
                <w:sz w:val="22"/>
                <w:vertAlign w:val="superscript"/>
              </w:rPr>
              <w:t>-4</w:t>
            </w:r>
          </w:p>
        </w:tc>
        <w:tc>
          <w:tcPr>
            <w:tcW w:w="1279" w:type="dxa"/>
            <w:gridSpan w:val="2"/>
            <w:shd w:val="clear" w:color="auto" w:fill="auto"/>
            <w:tcMar>
              <w:left w:w="28" w:type="dxa"/>
              <w:right w:w="28" w:type="dxa"/>
            </w:tcMar>
          </w:tcPr>
          <w:p w14:paraId="5B61F810" w14:textId="77777777" w:rsidR="00FA31A1" w:rsidRPr="00DC67EB" w:rsidRDefault="00FA31A1" w:rsidP="00FA31A1">
            <w:pPr>
              <w:spacing w:before="40" w:after="40"/>
              <w:rPr>
                <w:noProof/>
                <w:sz w:val="22"/>
              </w:rPr>
            </w:pPr>
            <w:r w:rsidRPr="00DC67EB">
              <w:rPr>
                <w:noProof/>
                <w:sz w:val="22"/>
              </w:rPr>
              <w:t>1,8 × 10</w:t>
            </w:r>
            <w:r w:rsidRPr="00DC67EB">
              <w:rPr>
                <w:noProof/>
                <w:sz w:val="22"/>
                <w:vertAlign w:val="superscript"/>
              </w:rPr>
              <w:t>-5</w:t>
            </w:r>
          </w:p>
        </w:tc>
        <w:tc>
          <w:tcPr>
            <w:tcW w:w="1278" w:type="dxa"/>
            <w:gridSpan w:val="2"/>
            <w:shd w:val="clear" w:color="auto" w:fill="auto"/>
            <w:tcMar>
              <w:left w:w="28" w:type="dxa"/>
              <w:right w:w="28" w:type="dxa"/>
            </w:tcMar>
          </w:tcPr>
          <w:p w14:paraId="5876710D" w14:textId="77777777" w:rsidR="00FA31A1" w:rsidRPr="00DC67EB" w:rsidRDefault="00FA31A1" w:rsidP="00FA31A1">
            <w:pPr>
              <w:spacing w:before="40" w:after="40"/>
              <w:rPr>
                <w:noProof/>
                <w:sz w:val="22"/>
              </w:rPr>
            </w:pPr>
            <w:r w:rsidRPr="00DC67EB">
              <w:rPr>
                <w:noProof/>
                <w:sz w:val="22"/>
              </w:rPr>
              <w:t>nem származtatott</w:t>
            </w:r>
          </w:p>
        </w:tc>
        <w:tc>
          <w:tcPr>
            <w:tcW w:w="1277" w:type="dxa"/>
            <w:gridSpan w:val="2"/>
            <w:shd w:val="clear" w:color="auto" w:fill="auto"/>
            <w:tcMar>
              <w:left w:w="28" w:type="dxa"/>
              <w:right w:w="28" w:type="dxa"/>
            </w:tcMar>
          </w:tcPr>
          <w:p w14:paraId="52DBE77F" w14:textId="77777777" w:rsidR="00FA31A1" w:rsidRPr="00DC67EB" w:rsidRDefault="00FA31A1" w:rsidP="00FA31A1">
            <w:pPr>
              <w:spacing w:before="40" w:after="40"/>
              <w:rPr>
                <w:noProof/>
                <w:sz w:val="22"/>
              </w:rPr>
            </w:pPr>
            <w:r w:rsidRPr="00DC67EB">
              <w:rPr>
                <w:noProof/>
                <w:sz w:val="22"/>
              </w:rPr>
              <w:t>nem származtatott</w:t>
            </w:r>
          </w:p>
        </w:tc>
        <w:tc>
          <w:tcPr>
            <w:tcW w:w="1136" w:type="dxa"/>
            <w:gridSpan w:val="2"/>
            <w:shd w:val="clear" w:color="auto" w:fill="auto"/>
            <w:tcMar>
              <w:left w:w="28" w:type="dxa"/>
              <w:right w:w="28" w:type="dxa"/>
            </w:tcMar>
          </w:tcPr>
          <w:p w14:paraId="594CE2EE" w14:textId="77777777" w:rsidR="00FA31A1" w:rsidRPr="00DC67EB" w:rsidRDefault="00FA31A1" w:rsidP="00FA31A1">
            <w:pPr>
              <w:spacing w:before="40" w:after="40"/>
              <w:rPr>
                <w:noProof/>
                <w:sz w:val="22"/>
              </w:rPr>
            </w:pPr>
          </w:p>
        </w:tc>
        <w:tc>
          <w:tcPr>
            <w:tcW w:w="1262" w:type="dxa"/>
            <w:tcMar>
              <w:left w:w="28" w:type="dxa"/>
              <w:right w:w="28" w:type="dxa"/>
            </w:tcMar>
          </w:tcPr>
          <w:p w14:paraId="75AA9E99" w14:textId="77777777" w:rsidR="00FA31A1" w:rsidRPr="00DC67EB" w:rsidRDefault="00FA31A1" w:rsidP="00FA31A1">
            <w:pPr>
              <w:spacing w:before="40" w:after="40"/>
              <w:rPr>
                <w:noProof/>
                <w:sz w:val="22"/>
              </w:rPr>
            </w:pPr>
          </w:p>
        </w:tc>
        <w:tc>
          <w:tcPr>
            <w:tcW w:w="1153" w:type="dxa"/>
            <w:gridSpan w:val="2"/>
            <w:tcMar>
              <w:left w:w="28" w:type="dxa"/>
              <w:right w:w="28" w:type="dxa"/>
            </w:tcMar>
          </w:tcPr>
          <w:p w14:paraId="2D934121" w14:textId="77777777" w:rsidR="00FA31A1" w:rsidRPr="00DC67EB" w:rsidRDefault="00FA31A1" w:rsidP="00FA31A1">
            <w:pPr>
              <w:spacing w:before="40" w:after="40"/>
              <w:rPr>
                <w:noProof/>
                <w:sz w:val="22"/>
              </w:rPr>
            </w:pPr>
          </w:p>
        </w:tc>
        <w:tc>
          <w:tcPr>
            <w:tcW w:w="970" w:type="dxa"/>
            <w:tcMar>
              <w:left w:w="28" w:type="dxa"/>
              <w:right w:w="28" w:type="dxa"/>
            </w:tcMar>
          </w:tcPr>
          <w:p w14:paraId="0536580C" w14:textId="77777777" w:rsidR="00FA31A1" w:rsidRPr="00DC67EB" w:rsidRDefault="00FA31A1" w:rsidP="00FA31A1">
            <w:pPr>
              <w:spacing w:before="40" w:after="40"/>
              <w:rPr>
                <w:noProof/>
                <w:sz w:val="22"/>
              </w:rPr>
            </w:pPr>
          </w:p>
        </w:tc>
      </w:tr>
      <w:tr w:rsidR="00DC67EB" w:rsidRPr="00DC67EB" w14:paraId="5CF3FF15" w14:textId="77777777" w:rsidTr="00FA31A1">
        <w:trPr>
          <w:gridBefore w:val="1"/>
          <w:wBefore w:w="12" w:type="dxa"/>
          <w:cantSplit/>
          <w:tblHeader/>
          <w:jc w:val="center"/>
        </w:trPr>
        <w:tc>
          <w:tcPr>
            <w:tcW w:w="651" w:type="dxa"/>
            <w:gridSpan w:val="3"/>
            <w:tcMar>
              <w:left w:w="28" w:type="dxa"/>
              <w:right w:w="28" w:type="dxa"/>
            </w:tcMar>
          </w:tcPr>
          <w:p w14:paraId="7580B7D1" w14:textId="77777777" w:rsidR="00FA31A1" w:rsidRPr="00DC67EB" w:rsidRDefault="00FA31A1" w:rsidP="00FA31A1">
            <w:pPr>
              <w:spacing w:before="40" w:after="40"/>
              <w:rPr>
                <w:b/>
                <w:noProof/>
                <w:sz w:val="22"/>
              </w:rPr>
            </w:pPr>
            <w:r w:rsidRPr="00DC67EB">
              <w:rPr>
                <w:noProof/>
                <w:sz w:val="22"/>
              </w:rPr>
              <w:t>60.</w:t>
            </w:r>
            <w:r w:rsidRPr="00DC67EB">
              <w:rPr>
                <w:b/>
                <w:noProof/>
                <w:sz w:val="22"/>
              </w:rPr>
              <w:t xml:space="preserve"> [Mód. 151]</w:t>
            </w:r>
          </w:p>
        </w:tc>
        <w:tc>
          <w:tcPr>
            <w:tcW w:w="2286" w:type="dxa"/>
            <w:gridSpan w:val="3"/>
            <w:shd w:val="clear" w:color="auto" w:fill="auto"/>
            <w:tcMar>
              <w:left w:w="28" w:type="dxa"/>
              <w:right w:w="28" w:type="dxa"/>
            </w:tcMar>
          </w:tcPr>
          <w:p w14:paraId="6618BA52" w14:textId="77777777" w:rsidR="00FA31A1" w:rsidRPr="00DC67EB" w:rsidRDefault="00FA31A1" w:rsidP="00FA31A1">
            <w:pPr>
              <w:spacing w:before="40" w:after="40"/>
              <w:rPr>
                <w:noProof/>
                <w:sz w:val="22"/>
              </w:rPr>
            </w:pPr>
            <w:r w:rsidRPr="00DC67EB">
              <w:rPr>
                <w:noProof/>
                <w:sz w:val="22"/>
              </w:rPr>
              <w:t>Glifozát</w:t>
            </w:r>
          </w:p>
        </w:tc>
        <w:tc>
          <w:tcPr>
            <w:tcW w:w="1329" w:type="dxa"/>
            <w:gridSpan w:val="3"/>
            <w:shd w:val="clear" w:color="auto" w:fill="auto"/>
            <w:tcMar>
              <w:left w:w="28" w:type="dxa"/>
              <w:right w:w="28" w:type="dxa"/>
            </w:tcMar>
          </w:tcPr>
          <w:p w14:paraId="5DB0BD1F" w14:textId="77777777" w:rsidR="00FA31A1" w:rsidRPr="00DC67EB" w:rsidRDefault="00FA31A1" w:rsidP="00FA31A1">
            <w:pPr>
              <w:spacing w:before="40" w:after="40"/>
              <w:rPr>
                <w:noProof/>
                <w:sz w:val="22"/>
              </w:rPr>
            </w:pPr>
            <w:r w:rsidRPr="00DC67EB">
              <w:rPr>
                <w:noProof/>
                <w:sz w:val="22"/>
              </w:rPr>
              <w:t>Gyomirtók</w:t>
            </w:r>
          </w:p>
        </w:tc>
        <w:tc>
          <w:tcPr>
            <w:tcW w:w="992" w:type="dxa"/>
            <w:gridSpan w:val="2"/>
            <w:shd w:val="clear" w:color="auto" w:fill="auto"/>
            <w:tcMar>
              <w:left w:w="28" w:type="dxa"/>
              <w:right w:w="28" w:type="dxa"/>
            </w:tcMar>
          </w:tcPr>
          <w:p w14:paraId="6054263A" w14:textId="77777777" w:rsidR="00FA31A1" w:rsidRPr="00DC67EB" w:rsidRDefault="00FA31A1" w:rsidP="00FA31A1">
            <w:pPr>
              <w:spacing w:before="40" w:after="40"/>
              <w:rPr>
                <w:noProof/>
                <w:sz w:val="22"/>
              </w:rPr>
            </w:pPr>
            <w:r w:rsidRPr="00DC67EB">
              <w:rPr>
                <w:noProof/>
                <w:sz w:val="22"/>
              </w:rPr>
              <w:t>1071-83-6</w:t>
            </w:r>
          </w:p>
        </w:tc>
        <w:tc>
          <w:tcPr>
            <w:tcW w:w="1134" w:type="dxa"/>
          </w:tcPr>
          <w:p w14:paraId="174B625A" w14:textId="77777777" w:rsidR="00FA31A1" w:rsidRPr="00DC67EB" w:rsidRDefault="00FA31A1" w:rsidP="00FA31A1">
            <w:pPr>
              <w:spacing w:before="40" w:after="40"/>
              <w:rPr>
                <w:noProof/>
                <w:sz w:val="22"/>
              </w:rPr>
            </w:pPr>
            <w:r w:rsidRPr="00DC67EB">
              <w:rPr>
                <w:noProof/>
                <w:sz w:val="22"/>
              </w:rPr>
              <w:t>213-997-4</w:t>
            </w:r>
          </w:p>
        </w:tc>
        <w:tc>
          <w:tcPr>
            <w:tcW w:w="1279" w:type="dxa"/>
            <w:gridSpan w:val="2"/>
            <w:shd w:val="clear" w:color="auto" w:fill="auto"/>
            <w:tcMar>
              <w:left w:w="28" w:type="dxa"/>
              <w:right w:w="28" w:type="dxa"/>
            </w:tcMar>
          </w:tcPr>
          <w:p w14:paraId="4208E406" w14:textId="77777777" w:rsidR="00FA31A1" w:rsidRPr="00DC67EB" w:rsidRDefault="00FA31A1" w:rsidP="00FA31A1">
            <w:pPr>
              <w:spacing w:before="40" w:after="40"/>
              <w:rPr>
                <w:strike/>
                <w:noProof/>
                <w:sz w:val="22"/>
              </w:rPr>
            </w:pPr>
            <w:r w:rsidRPr="00DC67EB">
              <w:rPr>
                <w:b/>
                <w:i/>
                <w:noProof/>
                <w:sz w:val="22"/>
              </w:rPr>
              <w:t>0,1</w:t>
            </w:r>
            <w:r w:rsidRPr="00DC67EB">
              <w:rPr>
                <w:b/>
                <w:i/>
                <w:strike/>
                <w:noProof/>
                <w:sz w:val="22"/>
              </w:rPr>
              <w:t xml:space="preserve"> </w:t>
            </w:r>
            <w:r w:rsidRPr="00DC67EB">
              <w:rPr>
                <w:strike/>
                <w:noProof/>
                <w:sz w:val="22"/>
              </w:rPr>
              <w:t>(</w:t>
            </w:r>
            <w:r w:rsidRPr="00DC67EB">
              <w:rPr>
                <w:strike/>
                <w:noProof/>
                <w:sz w:val="22"/>
                <w:vertAlign w:val="superscript"/>
              </w:rPr>
              <w:t>25</w:t>
            </w:r>
            <w:r w:rsidRPr="00DC67EB">
              <w:rPr>
                <w:strike/>
                <w:noProof/>
                <w:sz w:val="22"/>
              </w:rPr>
              <w:t>)</w:t>
            </w:r>
          </w:p>
          <w:p w14:paraId="6A207F09" w14:textId="77777777" w:rsidR="00FA31A1" w:rsidRPr="00DC67EB" w:rsidRDefault="00FA31A1" w:rsidP="00FA31A1">
            <w:pPr>
              <w:spacing w:before="40" w:after="40"/>
              <w:rPr>
                <w:noProof/>
                <w:sz w:val="22"/>
              </w:rPr>
            </w:pPr>
            <w:r w:rsidRPr="00DC67EB">
              <w:rPr>
                <w:strike/>
                <w:noProof/>
                <w:sz w:val="22"/>
              </w:rPr>
              <w:t>86,7 (</w:t>
            </w:r>
            <w:r w:rsidRPr="00DC67EB">
              <w:rPr>
                <w:strike/>
                <w:noProof/>
                <w:sz w:val="22"/>
                <w:vertAlign w:val="superscript"/>
              </w:rPr>
              <w:t>26</w:t>
            </w:r>
            <w:r w:rsidRPr="00DC67EB">
              <w:rPr>
                <w:strike/>
                <w:noProof/>
                <w:sz w:val="22"/>
              </w:rPr>
              <w:t>)</w:t>
            </w:r>
          </w:p>
        </w:tc>
        <w:tc>
          <w:tcPr>
            <w:tcW w:w="1279" w:type="dxa"/>
            <w:gridSpan w:val="2"/>
            <w:shd w:val="clear" w:color="auto" w:fill="auto"/>
            <w:tcMar>
              <w:left w:w="28" w:type="dxa"/>
              <w:right w:w="28" w:type="dxa"/>
            </w:tcMar>
          </w:tcPr>
          <w:p w14:paraId="7BB679B2" w14:textId="77777777" w:rsidR="00FA31A1" w:rsidRPr="00DC67EB" w:rsidRDefault="00FA31A1" w:rsidP="00FA31A1">
            <w:pPr>
              <w:spacing w:before="40" w:after="40"/>
              <w:rPr>
                <w:noProof/>
                <w:sz w:val="22"/>
              </w:rPr>
            </w:pPr>
            <w:r w:rsidRPr="00DC67EB">
              <w:rPr>
                <w:b/>
                <w:i/>
                <w:noProof/>
                <w:sz w:val="22"/>
              </w:rPr>
              <w:t xml:space="preserve">0,01 </w:t>
            </w:r>
          </w:p>
        </w:tc>
        <w:tc>
          <w:tcPr>
            <w:tcW w:w="1278" w:type="dxa"/>
            <w:gridSpan w:val="2"/>
            <w:shd w:val="clear" w:color="auto" w:fill="auto"/>
            <w:tcMar>
              <w:left w:w="28" w:type="dxa"/>
              <w:right w:w="28" w:type="dxa"/>
            </w:tcMar>
          </w:tcPr>
          <w:p w14:paraId="2267A46B" w14:textId="77777777" w:rsidR="00FA31A1" w:rsidRPr="00DC67EB" w:rsidRDefault="00FA31A1" w:rsidP="00FA31A1">
            <w:pPr>
              <w:spacing w:before="40" w:after="40"/>
              <w:rPr>
                <w:noProof/>
                <w:sz w:val="22"/>
              </w:rPr>
            </w:pPr>
            <w:r w:rsidRPr="00DC67EB">
              <w:rPr>
                <w:noProof/>
                <w:sz w:val="22"/>
              </w:rPr>
              <w:t>398,6</w:t>
            </w:r>
          </w:p>
        </w:tc>
        <w:tc>
          <w:tcPr>
            <w:tcW w:w="1277" w:type="dxa"/>
            <w:gridSpan w:val="2"/>
            <w:shd w:val="clear" w:color="auto" w:fill="auto"/>
            <w:tcMar>
              <w:left w:w="28" w:type="dxa"/>
              <w:right w:w="28" w:type="dxa"/>
            </w:tcMar>
          </w:tcPr>
          <w:p w14:paraId="7D1B4EFF" w14:textId="77777777" w:rsidR="00FA31A1" w:rsidRPr="00DC67EB" w:rsidRDefault="00FA31A1" w:rsidP="00FA31A1">
            <w:pPr>
              <w:spacing w:before="40" w:after="40"/>
              <w:rPr>
                <w:noProof/>
                <w:sz w:val="22"/>
              </w:rPr>
            </w:pPr>
            <w:r w:rsidRPr="00DC67EB">
              <w:rPr>
                <w:noProof/>
                <w:sz w:val="22"/>
              </w:rPr>
              <w:t>39,86</w:t>
            </w:r>
          </w:p>
        </w:tc>
        <w:tc>
          <w:tcPr>
            <w:tcW w:w="1136" w:type="dxa"/>
            <w:gridSpan w:val="2"/>
            <w:shd w:val="clear" w:color="auto" w:fill="auto"/>
            <w:tcMar>
              <w:left w:w="28" w:type="dxa"/>
              <w:right w:w="28" w:type="dxa"/>
            </w:tcMar>
          </w:tcPr>
          <w:p w14:paraId="1BB27A56" w14:textId="77777777" w:rsidR="00FA31A1" w:rsidRPr="00DC67EB" w:rsidRDefault="00FA31A1" w:rsidP="00FA31A1">
            <w:pPr>
              <w:spacing w:before="40" w:after="40"/>
              <w:rPr>
                <w:noProof/>
                <w:sz w:val="22"/>
              </w:rPr>
            </w:pPr>
          </w:p>
        </w:tc>
        <w:tc>
          <w:tcPr>
            <w:tcW w:w="1262" w:type="dxa"/>
            <w:tcMar>
              <w:left w:w="28" w:type="dxa"/>
              <w:right w:w="28" w:type="dxa"/>
            </w:tcMar>
          </w:tcPr>
          <w:p w14:paraId="290BE5B9" w14:textId="77777777" w:rsidR="00FA31A1" w:rsidRPr="00DC67EB" w:rsidRDefault="00FA31A1" w:rsidP="00FA31A1">
            <w:pPr>
              <w:spacing w:before="40" w:after="40"/>
              <w:rPr>
                <w:noProof/>
                <w:sz w:val="22"/>
              </w:rPr>
            </w:pPr>
          </w:p>
        </w:tc>
        <w:tc>
          <w:tcPr>
            <w:tcW w:w="1153" w:type="dxa"/>
            <w:gridSpan w:val="2"/>
            <w:tcMar>
              <w:left w:w="28" w:type="dxa"/>
              <w:right w:w="28" w:type="dxa"/>
            </w:tcMar>
          </w:tcPr>
          <w:p w14:paraId="4878B1B0" w14:textId="77777777" w:rsidR="00FA31A1" w:rsidRPr="00DC67EB" w:rsidRDefault="00FA31A1" w:rsidP="00FA31A1">
            <w:pPr>
              <w:spacing w:before="40" w:after="40"/>
              <w:rPr>
                <w:noProof/>
                <w:sz w:val="22"/>
              </w:rPr>
            </w:pPr>
          </w:p>
        </w:tc>
        <w:tc>
          <w:tcPr>
            <w:tcW w:w="970" w:type="dxa"/>
            <w:tcMar>
              <w:left w:w="28" w:type="dxa"/>
              <w:right w:w="28" w:type="dxa"/>
            </w:tcMar>
          </w:tcPr>
          <w:p w14:paraId="594591B7" w14:textId="77777777" w:rsidR="00FA31A1" w:rsidRPr="00DC67EB" w:rsidRDefault="00FA31A1" w:rsidP="00FA31A1">
            <w:pPr>
              <w:spacing w:before="40" w:after="40"/>
              <w:rPr>
                <w:noProof/>
                <w:sz w:val="22"/>
              </w:rPr>
            </w:pPr>
          </w:p>
        </w:tc>
      </w:tr>
      <w:tr w:rsidR="00DC67EB" w:rsidRPr="00DC67EB" w14:paraId="61F9B0D0" w14:textId="77777777" w:rsidTr="00FA31A1">
        <w:trPr>
          <w:gridBefore w:val="2"/>
          <w:wBefore w:w="46" w:type="dxa"/>
          <w:cantSplit/>
          <w:tblHeader/>
          <w:jc w:val="center"/>
        </w:trPr>
        <w:tc>
          <w:tcPr>
            <w:tcW w:w="617" w:type="dxa"/>
            <w:gridSpan w:val="2"/>
            <w:tcMar>
              <w:left w:w="28" w:type="dxa"/>
              <w:right w:w="28" w:type="dxa"/>
            </w:tcMar>
          </w:tcPr>
          <w:p w14:paraId="178DAE29" w14:textId="77777777" w:rsidR="00FA31A1" w:rsidRPr="00DC67EB" w:rsidRDefault="00FA31A1" w:rsidP="00FA31A1">
            <w:pPr>
              <w:spacing w:before="40" w:after="40"/>
              <w:rPr>
                <w:noProof/>
                <w:sz w:val="22"/>
              </w:rPr>
            </w:pPr>
            <w:r w:rsidRPr="00DC67EB">
              <w:rPr>
                <w:noProof/>
                <w:sz w:val="22"/>
              </w:rPr>
              <w:t>61.</w:t>
            </w:r>
          </w:p>
        </w:tc>
        <w:tc>
          <w:tcPr>
            <w:tcW w:w="2303" w:type="dxa"/>
            <w:gridSpan w:val="4"/>
            <w:shd w:val="clear" w:color="auto" w:fill="auto"/>
            <w:tcMar>
              <w:left w:w="28" w:type="dxa"/>
              <w:right w:w="28" w:type="dxa"/>
            </w:tcMar>
          </w:tcPr>
          <w:p w14:paraId="315F1318" w14:textId="77777777" w:rsidR="00FA31A1" w:rsidRPr="00DC67EB" w:rsidRDefault="00FA31A1" w:rsidP="00FA31A1">
            <w:pPr>
              <w:spacing w:before="40" w:after="40"/>
              <w:rPr>
                <w:noProof/>
                <w:sz w:val="22"/>
              </w:rPr>
            </w:pPr>
            <w:r w:rsidRPr="00DC67EB">
              <w:rPr>
                <w:noProof/>
                <w:sz w:val="22"/>
              </w:rPr>
              <w:t>Ibuprofén</w:t>
            </w:r>
          </w:p>
        </w:tc>
        <w:tc>
          <w:tcPr>
            <w:tcW w:w="1312" w:type="dxa"/>
            <w:gridSpan w:val="2"/>
            <w:shd w:val="clear" w:color="auto" w:fill="auto"/>
            <w:tcMar>
              <w:left w:w="28" w:type="dxa"/>
              <w:right w:w="28" w:type="dxa"/>
            </w:tcMar>
          </w:tcPr>
          <w:p w14:paraId="276C3C0A" w14:textId="77777777" w:rsidR="00FA31A1" w:rsidRPr="00DC67EB" w:rsidRDefault="00FA31A1" w:rsidP="00FA31A1">
            <w:pPr>
              <w:spacing w:before="40" w:after="40"/>
              <w:rPr>
                <w:noProof/>
                <w:sz w:val="22"/>
              </w:rPr>
            </w:pPr>
            <w:r w:rsidRPr="00DC67EB">
              <w:rPr>
                <w:noProof/>
                <w:sz w:val="22"/>
              </w:rPr>
              <w:t>Gyógyszerek</w:t>
            </w:r>
          </w:p>
        </w:tc>
        <w:tc>
          <w:tcPr>
            <w:tcW w:w="992" w:type="dxa"/>
            <w:gridSpan w:val="2"/>
            <w:shd w:val="clear" w:color="auto" w:fill="auto"/>
            <w:tcMar>
              <w:left w:w="28" w:type="dxa"/>
              <w:right w:w="28" w:type="dxa"/>
            </w:tcMar>
          </w:tcPr>
          <w:p w14:paraId="7E480792" w14:textId="77777777" w:rsidR="00FA31A1" w:rsidRPr="00DC67EB" w:rsidRDefault="00FA31A1" w:rsidP="00FA31A1">
            <w:pPr>
              <w:spacing w:before="40" w:after="40"/>
              <w:rPr>
                <w:noProof/>
                <w:sz w:val="22"/>
              </w:rPr>
            </w:pPr>
            <w:r w:rsidRPr="00DC67EB">
              <w:rPr>
                <w:noProof/>
                <w:sz w:val="22"/>
              </w:rPr>
              <w:t>15687-27-1</w:t>
            </w:r>
          </w:p>
        </w:tc>
        <w:tc>
          <w:tcPr>
            <w:tcW w:w="1134" w:type="dxa"/>
          </w:tcPr>
          <w:p w14:paraId="2C57783B" w14:textId="77777777" w:rsidR="00FA31A1" w:rsidRPr="00DC67EB" w:rsidRDefault="00FA31A1" w:rsidP="00FA31A1">
            <w:pPr>
              <w:spacing w:before="40" w:after="40"/>
              <w:rPr>
                <w:noProof/>
                <w:sz w:val="22"/>
              </w:rPr>
            </w:pPr>
            <w:r w:rsidRPr="00DC67EB">
              <w:rPr>
                <w:noProof/>
                <w:sz w:val="22"/>
              </w:rPr>
              <w:t>239-784-6</w:t>
            </w:r>
          </w:p>
        </w:tc>
        <w:tc>
          <w:tcPr>
            <w:tcW w:w="1279" w:type="dxa"/>
            <w:gridSpan w:val="2"/>
            <w:shd w:val="clear" w:color="auto" w:fill="auto"/>
            <w:tcMar>
              <w:left w:w="28" w:type="dxa"/>
              <w:right w:w="28" w:type="dxa"/>
            </w:tcMar>
          </w:tcPr>
          <w:p w14:paraId="32AC4394" w14:textId="77777777" w:rsidR="00FA31A1" w:rsidRPr="00DC67EB" w:rsidRDefault="00FA31A1" w:rsidP="00FA31A1">
            <w:pPr>
              <w:spacing w:before="40" w:after="40"/>
              <w:rPr>
                <w:noProof/>
                <w:sz w:val="22"/>
              </w:rPr>
            </w:pPr>
            <w:r w:rsidRPr="00DC67EB">
              <w:rPr>
                <w:noProof/>
                <w:sz w:val="22"/>
              </w:rPr>
              <w:t>0,22</w:t>
            </w:r>
          </w:p>
        </w:tc>
        <w:tc>
          <w:tcPr>
            <w:tcW w:w="1279" w:type="dxa"/>
            <w:gridSpan w:val="2"/>
            <w:shd w:val="clear" w:color="auto" w:fill="auto"/>
            <w:tcMar>
              <w:left w:w="28" w:type="dxa"/>
              <w:right w:w="28" w:type="dxa"/>
            </w:tcMar>
          </w:tcPr>
          <w:p w14:paraId="15A95DEF" w14:textId="77777777" w:rsidR="00FA31A1" w:rsidRPr="00DC67EB" w:rsidRDefault="00FA31A1" w:rsidP="00FA31A1">
            <w:pPr>
              <w:spacing w:before="40" w:after="40"/>
              <w:rPr>
                <w:noProof/>
                <w:sz w:val="22"/>
              </w:rPr>
            </w:pPr>
            <w:r w:rsidRPr="00DC67EB">
              <w:rPr>
                <w:noProof/>
                <w:sz w:val="22"/>
              </w:rPr>
              <w:t>0,022</w:t>
            </w:r>
          </w:p>
        </w:tc>
        <w:tc>
          <w:tcPr>
            <w:tcW w:w="1278" w:type="dxa"/>
            <w:gridSpan w:val="2"/>
            <w:shd w:val="clear" w:color="auto" w:fill="auto"/>
            <w:tcMar>
              <w:left w:w="28" w:type="dxa"/>
              <w:right w:w="28" w:type="dxa"/>
            </w:tcMar>
          </w:tcPr>
          <w:p w14:paraId="1D855326" w14:textId="77777777" w:rsidR="00FA31A1" w:rsidRPr="00DC67EB" w:rsidRDefault="00FA31A1" w:rsidP="00FA31A1">
            <w:pPr>
              <w:spacing w:before="40" w:after="40"/>
              <w:rPr>
                <w:noProof/>
                <w:sz w:val="22"/>
              </w:rPr>
            </w:pPr>
          </w:p>
        </w:tc>
        <w:tc>
          <w:tcPr>
            <w:tcW w:w="1277" w:type="dxa"/>
            <w:gridSpan w:val="2"/>
            <w:shd w:val="clear" w:color="auto" w:fill="auto"/>
            <w:tcMar>
              <w:left w:w="28" w:type="dxa"/>
              <w:right w:w="28" w:type="dxa"/>
            </w:tcMar>
          </w:tcPr>
          <w:p w14:paraId="1ED38A8F" w14:textId="77777777" w:rsidR="00FA31A1" w:rsidRPr="00DC67EB" w:rsidRDefault="00FA31A1" w:rsidP="00FA31A1">
            <w:pPr>
              <w:spacing w:before="40" w:after="40"/>
              <w:rPr>
                <w:noProof/>
                <w:sz w:val="22"/>
              </w:rPr>
            </w:pPr>
          </w:p>
        </w:tc>
        <w:tc>
          <w:tcPr>
            <w:tcW w:w="1136" w:type="dxa"/>
            <w:gridSpan w:val="2"/>
            <w:shd w:val="clear" w:color="auto" w:fill="auto"/>
            <w:tcMar>
              <w:left w:w="28" w:type="dxa"/>
              <w:right w:w="28" w:type="dxa"/>
            </w:tcMar>
          </w:tcPr>
          <w:p w14:paraId="34775ACE" w14:textId="77777777" w:rsidR="00FA31A1" w:rsidRPr="00DC67EB" w:rsidRDefault="00FA31A1" w:rsidP="00FA31A1">
            <w:pPr>
              <w:spacing w:before="40" w:after="40"/>
              <w:rPr>
                <w:noProof/>
                <w:sz w:val="22"/>
              </w:rPr>
            </w:pPr>
          </w:p>
        </w:tc>
        <w:tc>
          <w:tcPr>
            <w:tcW w:w="1279" w:type="dxa"/>
            <w:gridSpan w:val="2"/>
            <w:tcMar>
              <w:left w:w="28" w:type="dxa"/>
              <w:right w:w="28" w:type="dxa"/>
            </w:tcMar>
          </w:tcPr>
          <w:p w14:paraId="61E355EB" w14:textId="77777777" w:rsidR="00FA31A1" w:rsidRPr="00DC67EB" w:rsidRDefault="00FA31A1" w:rsidP="00FA31A1">
            <w:pPr>
              <w:spacing w:before="40" w:after="40"/>
              <w:rPr>
                <w:noProof/>
                <w:sz w:val="22"/>
              </w:rPr>
            </w:pPr>
          </w:p>
        </w:tc>
        <w:tc>
          <w:tcPr>
            <w:tcW w:w="1136" w:type="dxa"/>
            <w:tcMar>
              <w:left w:w="28" w:type="dxa"/>
              <w:right w:w="28" w:type="dxa"/>
            </w:tcMar>
          </w:tcPr>
          <w:p w14:paraId="69640457" w14:textId="77777777" w:rsidR="00FA31A1" w:rsidRPr="00DC67EB" w:rsidRDefault="00FA31A1" w:rsidP="00FA31A1">
            <w:pPr>
              <w:spacing w:before="40" w:after="40"/>
              <w:rPr>
                <w:noProof/>
                <w:sz w:val="22"/>
              </w:rPr>
            </w:pPr>
          </w:p>
        </w:tc>
        <w:tc>
          <w:tcPr>
            <w:tcW w:w="970" w:type="dxa"/>
            <w:tcMar>
              <w:left w:w="28" w:type="dxa"/>
              <w:right w:w="28" w:type="dxa"/>
            </w:tcMar>
          </w:tcPr>
          <w:p w14:paraId="3D0773FE" w14:textId="77777777" w:rsidR="00FA31A1" w:rsidRPr="00DC67EB" w:rsidRDefault="00FA31A1" w:rsidP="00FA31A1">
            <w:pPr>
              <w:spacing w:before="40" w:after="40"/>
              <w:rPr>
                <w:noProof/>
                <w:sz w:val="22"/>
              </w:rPr>
            </w:pPr>
            <w:r w:rsidRPr="00DC67EB">
              <w:rPr>
                <w:noProof/>
                <w:sz w:val="22"/>
              </w:rPr>
              <w:t>X</w:t>
            </w:r>
          </w:p>
        </w:tc>
      </w:tr>
      <w:tr w:rsidR="00DC67EB" w:rsidRPr="00DC67EB" w14:paraId="27DB6973" w14:textId="77777777" w:rsidTr="00FA31A1">
        <w:trPr>
          <w:gridBefore w:val="1"/>
          <w:wBefore w:w="12" w:type="dxa"/>
          <w:cantSplit/>
          <w:tblHeader/>
          <w:jc w:val="center"/>
        </w:trPr>
        <w:tc>
          <w:tcPr>
            <w:tcW w:w="651" w:type="dxa"/>
            <w:gridSpan w:val="3"/>
            <w:tcMar>
              <w:left w:w="28" w:type="dxa"/>
              <w:right w:w="28" w:type="dxa"/>
            </w:tcMar>
          </w:tcPr>
          <w:p w14:paraId="4300F7B9" w14:textId="77777777" w:rsidR="00FA31A1" w:rsidRPr="00DC67EB" w:rsidRDefault="00FA31A1" w:rsidP="00FA31A1">
            <w:pPr>
              <w:spacing w:before="40" w:after="40"/>
              <w:rPr>
                <w:noProof/>
                <w:sz w:val="22"/>
              </w:rPr>
            </w:pPr>
            <w:r w:rsidRPr="00DC67EB">
              <w:rPr>
                <w:noProof/>
                <w:sz w:val="22"/>
              </w:rPr>
              <w:t>62.</w:t>
            </w:r>
          </w:p>
        </w:tc>
        <w:tc>
          <w:tcPr>
            <w:tcW w:w="2286" w:type="dxa"/>
            <w:gridSpan w:val="3"/>
            <w:shd w:val="clear" w:color="auto" w:fill="auto"/>
            <w:tcMar>
              <w:left w:w="28" w:type="dxa"/>
              <w:right w:w="28" w:type="dxa"/>
            </w:tcMar>
          </w:tcPr>
          <w:p w14:paraId="172C5E15" w14:textId="77777777" w:rsidR="00FA31A1" w:rsidRPr="00DC67EB" w:rsidRDefault="00FA31A1" w:rsidP="00FA31A1">
            <w:pPr>
              <w:spacing w:before="40" w:after="40"/>
              <w:rPr>
                <w:noProof/>
                <w:sz w:val="22"/>
              </w:rPr>
            </w:pPr>
            <w:r w:rsidRPr="00DC67EB">
              <w:rPr>
                <w:noProof/>
                <w:sz w:val="22"/>
              </w:rPr>
              <w:t>Imidakloprid</w:t>
            </w:r>
          </w:p>
        </w:tc>
        <w:tc>
          <w:tcPr>
            <w:tcW w:w="1329" w:type="dxa"/>
            <w:gridSpan w:val="3"/>
            <w:shd w:val="clear" w:color="auto" w:fill="auto"/>
            <w:tcMar>
              <w:left w:w="28" w:type="dxa"/>
              <w:right w:w="28" w:type="dxa"/>
            </w:tcMar>
          </w:tcPr>
          <w:p w14:paraId="1C22185C" w14:textId="77777777" w:rsidR="00FA31A1" w:rsidRPr="00DC67EB" w:rsidRDefault="00FA31A1" w:rsidP="00FA31A1">
            <w:pPr>
              <w:spacing w:before="40" w:after="40"/>
              <w:rPr>
                <w:noProof/>
                <w:sz w:val="22"/>
              </w:rPr>
            </w:pPr>
            <w:r w:rsidRPr="00DC67EB">
              <w:rPr>
                <w:noProof/>
                <w:sz w:val="22"/>
              </w:rPr>
              <w:t>Neonikotinoid peszticidek</w:t>
            </w:r>
          </w:p>
        </w:tc>
        <w:tc>
          <w:tcPr>
            <w:tcW w:w="992" w:type="dxa"/>
            <w:gridSpan w:val="2"/>
            <w:shd w:val="clear" w:color="auto" w:fill="auto"/>
            <w:tcMar>
              <w:left w:w="28" w:type="dxa"/>
              <w:right w:w="28" w:type="dxa"/>
            </w:tcMar>
          </w:tcPr>
          <w:p w14:paraId="630D34E5" w14:textId="77777777" w:rsidR="00FA31A1" w:rsidRPr="00DC67EB" w:rsidRDefault="00FA31A1" w:rsidP="00FA31A1">
            <w:pPr>
              <w:spacing w:before="40" w:after="40"/>
              <w:rPr>
                <w:noProof/>
                <w:sz w:val="22"/>
              </w:rPr>
            </w:pPr>
            <w:r w:rsidRPr="00DC67EB">
              <w:rPr>
                <w:noProof/>
                <w:sz w:val="22"/>
              </w:rPr>
              <w:t>138261-41-3 / 105827-78-9</w:t>
            </w:r>
          </w:p>
        </w:tc>
        <w:tc>
          <w:tcPr>
            <w:tcW w:w="1134" w:type="dxa"/>
          </w:tcPr>
          <w:p w14:paraId="0CB32D3B" w14:textId="77777777" w:rsidR="00FA31A1" w:rsidRPr="00DC67EB" w:rsidRDefault="00FA31A1" w:rsidP="00FA31A1">
            <w:pPr>
              <w:spacing w:before="40" w:after="40"/>
              <w:rPr>
                <w:noProof/>
                <w:sz w:val="22"/>
              </w:rPr>
            </w:pPr>
            <w:r w:rsidRPr="00DC67EB">
              <w:rPr>
                <w:noProof/>
                <w:sz w:val="22"/>
              </w:rPr>
              <w:t>428-040-8</w:t>
            </w:r>
          </w:p>
        </w:tc>
        <w:tc>
          <w:tcPr>
            <w:tcW w:w="1279" w:type="dxa"/>
            <w:gridSpan w:val="2"/>
            <w:shd w:val="clear" w:color="auto" w:fill="auto"/>
            <w:tcMar>
              <w:left w:w="28" w:type="dxa"/>
              <w:right w:w="28" w:type="dxa"/>
            </w:tcMar>
          </w:tcPr>
          <w:p w14:paraId="50DAE376" w14:textId="77777777" w:rsidR="00FA31A1" w:rsidRPr="00DC67EB" w:rsidRDefault="00FA31A1" w:rsidP="00FA31A1">
            <w:pPr>
              <w:spacing w:before="40" w:after="40"/>
              <w:rPr>
                <w:noProof/>
                <w:sz w:val="22"/>
              </w:rPr>
            </w:pPr>
            <w:r w:rsidRPr="00DC67EB">
              <w:rPr>
                <w:noProof/>
                <w:sz w:val="22"/>
              </w:rPr>
              <w:t>0,0068</w:t>
            </w:r>
          </w:p>
        </w:tc>
        <w:tc>
          <w:tcPr>
            <w:tcW w:w="1279" w:type="dxa"/>
            <w:gridSpan w:val="2"/>
            <w:shd w:val="clear" w:color="auto" w:fill="auto"/>
            <w:tcMar>
              <w:left w:w="28" w:type="dxa"/>
              <w:right w:w="28" w:type="dxa"/>
            </w:tcMar>
          </w:tcPr>
          <w:p w14:paraId="7854F417" w14:textId="77777777" w:rsidR="00FA31A1" w:rsidRPr="00DC67EB" w:rsidRDefault="00FA31A1" w:rsidP="00FA31A1">
            <w:pPr>
              <w:spacing w:before="40" w:after="40"/>
              <w:rPr>
                <w:noProof/>
                <w:sz w:val="22"/>
              </w:rPr>
            </w:pPr>
            <w:r w:rsidRPr="00DC67EB">
              <w:rPr>
                <w:noProof/>
                <w:sz w:val="22"/>
              </w:rPr>
              <w:t>6,8 × 10</w:t>
            </w:r>
            <w:r w:rsidRPr="00DC67EB">
              <w:rPr>
                <w:noProof/>
                <w:sz w:val="22"/>
                <w:vertAlign w:val="superscript"/>
              </w:rPr>
              <w:t>-4</w:t>
            </w:r>
          </w:p>
        </w:tc>
        <w:tc>
          <w:tcPr>
            <w:tcW w:w="1278" w:type="dxa"/>
            <w:gridSpan w:val="2"/>
            <w:shd w:val="clear" w:color="auto" w:fill="auto"/>
            <w:tcMar>
              <w:left w:w="28" w:type="dxa"/>
              <w:right w:w="28" w:type="dxa"/>
            </w:tcMar>
          </w:tcPr>
          <w:p w14:paraId="6E250878" w14:textId="77777777" w:rsidR="00FA31A1" w:rsidRPr="00DC67EB" w:rsidRDefault="00FA31A1" w:rsidP="00FA31A1">
            <w:pPr>
              <w:spacing w:before="40" w:after="40"/>
              <w:rPr>
                <w:noProof/>
                <w:sz w:val="22"/>
              </w:rPr>
            </w:pPr>
            <w:r w:rsidRPr="00DC67EB">
              <w:rPr>
                <w:noProof/>
                <w:sz w:val="22"/>
              </w:rPr>
              <w:t>0,057</w:t>
            </w:r>
          </w:p>
        </w:tc>
        <w:tc>
          <w:tcPr>
            <w:tcW w:w="1277" w:type="dxa"/>
            <w:gridSpan w:val="2"/>
            <w:shd w:val="clear" w:color="auto" w:fill="auto"/>
            <w:tcMar>
              <w:left w:w="28" w:type="dxa"/>
              <w:right w:w="28" w:type="dxa"/>
            </w:tcMar>
          </w:tcPr>
          <w:p w14:paraId="1DC2D603" w14:textId="77777777" w:rsidR="00FA31A1" w:rsidRPr="00DC67EB" w:rsidRDefault="00FA31A1" w:rsidP="00FA31A1">
            <w:pPr>
              <w:spacing w:before="40" w:after="40"/>
              <w:rPr>
                <w:noProof/>
                <w:sz w:val="22"/>
              </w:rPr>
            </w:pPr>
            <w:r w:rsidRPr="00DC67EB">
              <w:rPr>
                <w:noProof/>
                <w:sz w:val="22"/>
              </w:rPr>
              <w:t>0,0057</w:t>
            </w:r>
          </w:p>
        </w:tc>
        <w:tc>
          <w:tcPr>
            <w:tcW w:w="1136" w:type="dxa"/>
            <w:gridSpan w:val="2"/>
            <w:shd w:val="clear" w:color="auto" w:fill="auto"/>
            <w:tcMar>
              <w:left w:w="28" w:type="dxa"/>
              <w:right w:w="28" w:type="dxa"/>
            </w:tcMar>
          </w:tcPr>
          <w:p w14:paraId="5698F2A7" w14:textId="77777777" w:rsidR="00FA31A1" w:rsidRPr="00DC67EB" w:rsidRDefault="00FA31A1" w:rsidP="00FA31A1">
            <w:pPr>
              <w:spacing w:before="40" w:after="40"/>
              <w:rPr>
                <w:noProof/>
                <w:sz w:val="22"/>
              </w:rPr>
            </w:pPr>
          </w:p>
        </w:tc>
        <w:tc>
          <w:tcPr>
            <w:tcW w:w="1262" w:type="dxa"/>
            <w:tcMar>
              <w:left w:w="28" w:type="dxa"/>
              <w:right w:w="28" w:type="dxa"/>
            </w:tcMar>
          </w:tcPr>
          <w:p w14:paraId="44A1C809" w14:textId="77777777" w:rsidR="00FA31A1" w:rsidRPr="00DC67EB" w:rsidRDefault="00FA31A1" w:rsidP="00FA31A1">
            <w:pPr>
              <w:spacing w:before="40" w:after="40"/>
              <w:rPr>
                <w:noProof/>
                <w:sz w:val="22"/>
              </w:rPr>
            </w:pPr>
          </w:p>
        </w:tc>
        <w:tc>
          <w:tcPr>
            <w:tcW w:w="1153" w:type="dxa"/>
            <w:gridSpan w:val="2"/>
            <w:tcMar>
              <w:left w:w="28" w:type="dxa"/>
              <w:right w:w="28" w:type="dxa"/>
            </w:tcMar>
          </w:tcPr>
          <w:p w14:paraId="0D83D32B" w14:textId="77777777" w:rsidR="00FA31A1" w:rsidRPr="00DC67EB" w:rsidRDefault="00FA31A1" w:rsidP="00FA31A1">
            <w:pPr>
              <w:spacing w:before="40" w:after="40"/>
              <w:rPr>
                <w:noProof/>
                <w:sz w:val="22"/>
              </w:rPr>
            </w:pPr>
          </w:p>
        </w:tc>
        <w:tc>
          <w:tcPr>
            <w:tcW w:w="970" w:type="dxa"/>
            <w:tcMar>
              <w:left w:w="28" w:type="dxa"/>
              <w:right w:w="28" w:type="dxa"/>
            </w:tcMar>
          </w:tcPr>
          <w:p w14:paraId="1548E08E" w14:textId="77777777" w:rsidR="00FA31A1" w:rsidRPr="00DC67EB" w:rsidRDefault="00FA31A1" w:rsidP="00FA31A1">
            <w:pPr>
              <w:spacing w:before="40" w:after="40"/>
              <w:rPr>
                <w:noProof/>
                <w:sz w:val="22"/>
              </w:rPr>
            </w:pPr>
          </w:p>
        </w:tc>
      </w:tr>
      <w:tr w:rsidR="00DC67EB" w:rsidRPr="00DC67EB" w14:paraId="6B8AE000" w14:textId="77777777" w:rsidTr="00FA31A1">
        <w:trPr>
          <w:gridBefore w:val="1"/>
          <w:wBefore w:w="12" w:type="dxa"/>
          <w:cantSplit/>
          <w:tblHeader/>
          <w:jc w:val="center"/>
        </w:trPr>
        <w:tc>
          <w:tcPr>
            <w:tcW w:w="651" w:type="dxa"/>
            <w:gridSpan w:val="3"/>
            <w:tcMar>
              <w:left w:w="28" w:type="dxa"/>
              <w:right w:w="28" w:type="dxa"/>
            </w:tcMar>
          </w:tcPr>
          <w:p w14:paraId="27692DA8" w14:textId="77777777" w:rsidR="00FA31A1" w:rsidRPr="00DC67EB" w:rsidRDefault="00FA31A1" w:rsidP="00FA31A1">
            <w:pPr>
              <w:spacing w:before="40" w:after="40"/>
              <w:rPr>
                <w:noProof/>
                <w:sz w:val="22"/>
              </w:rPr>
            </w:pPr>
            <w:r w:rsidRPr="00DC67EB">
              <w:rPr>
                <w:noProof/>
                <w:sz w:val="22"/>
              </w:rPr>
              <w:t>63.</w:t>
            </w:r>
          </w:p>
        </w:tc>
        <w:tc>
          <w:tcPr>
            <w:tcW w:w="2286" w:type="dxa"/>
            <w:gridSpan w:val="3"/>
            <w:shd w:val="clear" w:color="auto" w:fill="auto"/>
            <w:tcMar>
              <w:left w:w="28" w:type="dxa"/>
              <w:right w:w="28" w:type="dxa"/>
            </w:tcMar>
          </w:tcPr>
          <w:p w14:paraId="09094773" w14:textId="77777777" w:rsidR="00FA31A1" w:rsidRPr="00DC67EB" w:rsidRDefault="00FA31A1" w:rsidP="00FA31A1">
            <w:pPr>
              <w:spacing w:before="40" w:after="40"/>
              <w:rPr>
                <w:noProof/>
                <w:sz w:val="22"/>
              </w:rPr>
            </w:pPr>
            <w:r w:rsidRPr="00DC67EB">
              <w:rPr>
                <w:noProof/>
                <w:sz w:val="22"/>
              </w:rPr>
              <w:t>Nikoszulfuron</w:t>
            </w:r>
          </w:p>
        </w:tc>
        <w:tc>
          <w:tcPr>
            <w:tcW w:w="1329" w:type="dxa"/>
            <w:gridSpan w:val="3"/>
            <w:shd w:val="clear" w:color="auto" w:fill="auto"/>
            <w:tcMar>
              <w:left w:w="28" w:type="dxa"/>
              <w:right w:w="28" w:type="dxa"/>
            </w:tcMar>
          </w:tcPr>
          <w:p w14:paraId="4406A9D8" w14:textId="77777777" w:rsidR="00FA31A1" w:rsidRPr="00DC67EB" w:rsidRDefault="00FA31A1" w:rsidP="00FA31A1">
            <w:pPr>
              <w:spacing w:before="40" w:after="40"/>
              <w:rPr>
                <w:noProof/>
                <w:sz w:val="22"/>
              </w:rPr>
            </w:pPr>
            <w:r w:rsidRPr="00DC67EB">
              <w:rPr>
                <w:noProof/>
                <w:sz w:val="22"/>
              </w:rPr>
              <w:t>Gyomirtók</w:t>
            </w:r>
          </w:p>
        </w:tc>
        <w:tc>
          <w:tcPr>
            <w:tcW w:w="992" w:type="dxa"/>
            <w:gridSpan w:val="2"/>
            <w:shd w:val="clear" w:color="auto" w:fill="auto"/>
            <w:tcMar>
              <w:left w:w="28" w:type="dxa"/>
              <w:right w:w="28" w:type="dxa"/>
            </w:tcMar>
          </w:tcPr>
          <w:p w14:paraId="4EAE9D9B" w14:textId="77777777" w:rsidR="00FA31A1" w:rsidRPr="00DC67EB" w:rsidRDefault="00FA31A1" w:rsidP="00FA31A1">
            <w:pPr>
              <w:spacing w:before="40" w:after="40"/>
              <w:rPr>
                <w:noProof/>
                <w:sz w:val="22"/>
              </w:rPr>
            </w:pPr>
            <w:r w:rsidRPr="00DC67EB">
              <w:rPr>
                <w:noProof/>
                <w:sz w:val="22"/>
              </w:rPr>
              <w:t>111991-09-4</w:t>
            </w:r>
          </w:p>
        </w:tc>
        <w:tc>
          <w:tcPr>
            <w:tcW w:w="1134" w:type="dxa"/>
          </w:tcPr>
          <w:p w14:paraId="1BE130DB" w14:textId="77777777" w:rsidR="00FA31A1" w:rsidRPr="00DC67EB" w:rsidRDefault="00FA31A1" w:rsidP="00FA31A1">
            <w:pPr>
              <w:spacing w:before="40" w:after="40"/>
              <w:rPr>
                <w:noProof/>
                <w:sz w:val="22"/>
              </w:rPr>
            </w:pPr>
            <w:r w:rsidRPr="00DC67EB">
              <w:rPr>
                <w:noProof/>
                <w:sz w:val="22"/>
              </w:rPr>
              <w:t>601-148-4</w:t>
            </w:r>
          </w:p>
        </w:tc>
        <w:tc>
          <w:tcPr>
            <w:tcW w:w="1279" w:type="dxa"/>
            <w:gridSpan w:val="2"/>
            <w:shd w:val="clear" w:color="auto" w:fill="auto"/>
            <w:tcMar>
              <w:left w:w="28" w:type="dxa"/>
              <w:right w:w="28" w:type="dxa"/>
            </w:tcMar>
          </w:tcPr>
          <w:p w14:paraId="291C0A77" w14:textId="77777777" w:rsidR="00FA31A1" w:rsidRPr="00DC67EB" w:rsidRDefault="00FA31A1" w:rsidP="00FA31A1">
            <w:pPr>
              <w:spacing w:before="40" w:after="40"/>
              <w:rPr>
                <w:noProof/>
                <w:sz w:val="22"/>
              </w:rPr>
            </w:pPr>
            <w:r w:rsidRPr="00DC67EB">
              <w:rPr>
                <w:noProof/>
                <w:sz w:val="22"/>
              </w:rPr>
              <w:t>0,0087</w:t>
            </w:r>
          </w:p>
        </w:tc>
        <w:tc>
          <w:tcPr>
            <w:tcW w:w="1279" w:type="dxa"/>
            <w:gridSpan w:val="2"/>
            <w:shd w:val="clear" w:color="auto" w:fill="auto"/>
            <w:tcMar>
              <w:left w:w="28" w:type="dxa"/>
              <w:right w:w="28" w:type="dxa"/>
            </w:tcMar>
          </w:tcPr>
          <w:p w14:paraId="33CA46F5" w14:textId="77777777" w:rsidR="00FA31A1" w:rsidRPr="00DC67EB" w:rsidRDefault="00FA31A1" w:rsidP="00FA31A1">
            <w:pPr>
              <w:spacing w:before="40" w:after="40"/>
              <w:rPr>
                <w:noProof/>
                <w:sz w:val="22"/>
              </w:rPr>
            </w:pPr>
            <w:r w:rsidRPr="00DC67EB">
              <w:rPr>
                <w:noProof/>
                <w:sz w:val="22"/>
              </w:rPr>
              <w:t>8,7 × 10</w:t>
            </w:r>
            <w:r w:rsidRPr="00DC67EB">
              <w:rPr>
                <w:noProof/>
                <w:sz w:val="22"/>
                <w:vertAlign w:val="superscript"/>
              </w:rPr>
              <w:t>-4</w:t>
            </w:r>
          </w:p>
        </w:tc>
        <w:tc>
          <w:tcPr>
            <w:tcW w:w="1278" w:type="dxa"/>
            <w:gridSpan w:val="2"/>
            <w:shd w:val="clear" w:color="auto" w:fill="auto"/>
            <w:tcMar>
              <w:left w:w="28" w:type="dxa"/>
              <w:right w:w="28" w:type="dxa"/>
            </w:tcMar>
          </w:tcPr>
          <w:p w14:paraId="7210E2AB" w14:textId="77777777" w:rsidR="00FA31A1" w:rsidRPr="00DC67EB" w:rsidRDefault="00FA31A1" w:rsidP="00FA31A1">
            <w:pPr>
              <w:spacing w:before="40" w:after="40"/>
              <w:rPr>
                <w:noProof/>
                <w:sz w:val="22"/>
              </w:rPr>
            </w:pPr>
            <w:r w:rsidRPr="00DC67EB">
              <w:rPr>
                <w:noProof/>
                <w:sz w:val="22"/>
              </w:rPr>
              <w:t>0,23</w:t>
            </w:r>
          </w:p>
        </w:tc>
        <w:tc>
          <w:tcPr>
            <w:tcW w:w="1277" w:type="dxa"/>
            <w:gridSpan w:val="2"/>
            <w:shd w:val="clear" w:color="auto" w:fill="auto"/>
            <w:tcMar>
              <w:left w:w="28" w:type="dxa"/>
              <w:right w:w="28" w:type="dxa"/>
            </w:tcMar>
          </w:tcPr>
          <w:p w14:paraId="0CD4A6C5" w14:textId="77777777" w:rsidR="00FA31A1" w:rsidRPr="00DC67EB" w:rsidRDefault="00FA31A1" w:rsidP="00FA31A1">
            <w:pPr>
              <w:spacing w:before="40" w:after="40"/>
              <w:rPr>
                <w:noProof/>
                <w:sz w:val="22"/>
              </w:rPr>
            </w:pPr>
            <w:r w:rsidRPr="00DC67EB">
              <w:rPr>
                <w:noProof/>
                <w:sz w:val="22"/>
              </w:rPr>
              <w:t>0,023</w:t>
            </w:r>
          </w:p>
        </w:tc>
        <w:tc>
          <w:tcPr>
            <w:tcW w:w="1136" w:type="dxa"/>
            <w:gridSpan w:val="2"/>
            <w:shd w:val="clear" w:color="auto" w:fill="auto"/>
            <w:tcMar>
              <w:left w:w="28" w:type="dxa"/>
              <w:right w:w="28" w:type="dxa"/>
            </w:tcMar>
          </w:tcPr>
          <w:p w14:paraId="550E95BA" w14:textId="77777777" w:rsidR="00FA31A1" w:rsidRPr="00DC67EB" w:rsidRDefault="00FA31A1" w:rsidP="00FA31A1">
            <w:pPr>
              <w:spacing w:before="40" w:after="40"/>
              <w:rPr>
                <w:noProof/>
                <w:sz w:val="22"/>
              </w:rPr>
            </w:pPr>
          </w:p>
        </w:tc>
        <w:tc>
          <w:tcPr>
            <w:tcW w:w="1262" w:type="dxa"/>
            <w:tcMar>
              <w:left w:w="28" w:type="dxa"/>
              <w:right w:w="28" w:type="dxa"/>
            </w:tcMar>
          </w:tcPr>
          <w:p w14:paraId="2B92E952" w14:textId="77777777" w:rsidR="00FA31A1" w:rsidRPr="00DC67EB" w:rsidRDefault="00FA31A1" w:rsidP="00FA31A1">
            <w:pPr>
              <w:spacing w:before="40" w:after="40"/>
              <w:rPr>
                <w:noProof/>
                <w:sz w:val="22"/>
              </w:rPr>
            </w:pPr>
          </w:p>
        </w:tc>
        <w:tc>
          <w:tcPr>
            <w:tcW w:w="1153" w:type="dxa"/>
            <w:gridSpan w:val="2"/>
            <w:tcMar>
              <w:left w:w="28" w:type="dxa"/>
              <w:right w:w="28" w:type="dxa"/>
            </w:tcMar>
          </w:tcPr>
          <w:p w14:paraId="3E0DC615" w14:textId="77777777" w:rsidR="00FA31A1" w:rsidRPr="00DC67EB" w:rsidRDefault="00FA31A1" w:rsidP="00FA31A1">
            <w:pPr>
              <w:spacing w:before="40" w:after="40"/>
              <w:rPr>
                <w:noProof/>
                <w:sz w:val="22"/>
              </w:rPr>
            </w:pPr>
          </w:p>
        </w:tc>
        <w:tc>
          <w:tcPr>
            <w:tcW w:w="970" w:type="dxa"/>
            <w:tcMar>
              <w:left w:w="28" w:type="dxa"/>
              <w:right w:w="28" w:type="dxa"/>
            </w:tcMar>
          </w:tcPr>
          <w:p w14:paraId="3174DE8F" w14:textId="77777777" w:rsidR="00FA31A1" w:rsidRPr="00DC67EB" w:rsidRDefault="00FA31A1" w:rsidP="00FA31A1">
            <w:pPr>
              <w:spacing w:before="40" w:after="40"/>
              <w:rPr>
                <w:noProof/>
                <w:sz w:val="22"/>
              </w:rPr>
            </w:pPr>
          </w:p>
        </w:tc>
      </w:tr>
      <w:tr w:rsidR="00DC67EB" w:rsidRPr="00DC67EB" w14:paraId="3765EFC5" w14:textId="77777777" w:rsidTr="00FA31A1">
        <w:trPr>
          <w:gridBefore w:val="1"/>
          <w:wBefore w:w="12" w:type="dxa"/>
          <w:cantSplit/>
          <w:tblHeader/>
          <w:jc w:val="center"/>
        </w:trPr>
        <w:tc>
          <w:tcPr>
            <w:tcW w:w="651" w:type="dxa"/>
            <w:gridSpan w:val="3"/>
            <w:tcMar>
              <w:left w:w="28" w:type="dxa"/>
              <w:right w:w="28" w:type="dxa"/>
            </w:tcMar>
          </w:tcPr>
          <w:p w14:paraId="49C047DA" w14:textId="77777777" w:rsidR="00FA31A1" w:rsidRPr="00DC67EB" w:rsidRDefault="00FA31A1" w:rsidP="00FA31A1">
            <w:pPr>
              <w:spacing w:before="40" w:after="40"/>
              <w:rPr>
                <w:noProof/>
                <w:sz w:val="22"/>
              </w:rPr>
            </w:pPr>
            <w:r w:rsidRPr="00DC67EB">
              <w:rPr>
                <w:noProof/>
                <w:sz w:val="22"/>
              </w:rPr>
              <w:t>64.</w:t>
            </w:r>
          </w:p>
        </w:tc>
        <w:tc>
          <w:tcPr>
            <w:tcW w:w="2286" w:type="dxa"/>
            <w:gridSpan w:val="3"/>
            <w:shd w:val="clear" w:color="auto" w:fill="auto"/>
            <w:tcMar>
              <w:left w:w="28" w:type="dxa"/>
              <w:right w:w="28" w:type="dxa"/>
            </w:tcMar>
          </w:tcPr>
          <w:p w14:paraId="709146BE" w14:textId="77777777" w:rsidR="00FA31A1" w:rsidRPr="00DC67EB" w:rsidRDefault="00FA31A1" w:rsidP="00FA31A1">
            <w:pPr>
              <w:spacing w:before="40" w:after="40"/>
              <w:rPr>
                <w:noProof/>
                <w:sz w:val="22"/>
              </w:rPr>
            </w:pPr>
            <w:r w:rsidRPr="00DC67EB">
              <w:rPr>
                <w:noProof/>
                <w:sz w:val="22"/>
              </w:rPr>
              <w:t>Permetrin</w:t>
            </w:r>
          </w:p>
        </w:tc>
        <w:tc>
          <w:tcPr>
            <w:tcW w:w="1329" w:type="dxa"/>
            <w:gridSpan w:val="3"/>
            <w:shd w:val="clear" w:color="auto" w:fill="auto"/>
            <w:tcMar>
              <w:left w:w="28" w:type="dxa"/>
              <w:right w:w="28" w:type="dxa"/>
            </w:tcMar>
          </w:tcPr>
          <w:p w14:paraId="1053CAFB" w14:textId="77777777" w:rsidR="00FA31A1" w:rsidRPr="00DC67EB" w:rsidRDefault="00FA31A1" w:rsidP="00FA31A1">
            <w:pPr>
              <w:spacing w:before="40" w:after="40"/>
              <w:rPr>
                <w:noProof/>
                <w:sz w:val="22"/>
              </w:rPr>
            </w:pPr>
            <w:r w:rsidRPr="00DC67EB">
              <w:rPr>
                <w:noProof/>
                <w:sz w:val="22"/>
              </w:rPr>
              <w:t>Piretroid peszticidek</w:t>
            </w:r>
          </w:p>
        </w:tc>
        <w:tc>
          <w:tcPr>
            <w:tcW w:w="992" w:type="dxa"/>
            <w:gridSpan w:val="2"/>
            <w:shd w:val="clear" w:color="auto" w:fill="auto"/>
            <w:tcMar>
              <w:left w:w="28" w:type="dxa"/>
              <w:right w:w="28" w:type="dxa"/>
            </w:tcMar>
          </w:tcPr>
          <w:p w14:paraId="799EBEA5" w14:textId="77777777" w:rsidR="00FA31A1" w:rsidRPr="00DC67EB" w:rsidRDefault="00FA31A1" w:rsidP="00FA31A1">
            <w:pPr>
              <w:spacing w:before="40" w:after="40"/>
              <w:rPr>
                <w:noProof/>
                <w:sz w:val="22"/>
              </w:rPr>
            </w:pPr>
            <w:r w:rsidRPr="00DC67EB">
              <w:rPr>
                <w:noProof/>
                <w:sz w:val="22"/>
              </w:rPr>
              <w:t>52645-53-1</w:t>
            </w:r>
          </w:p>
        </w:tc>
        <w:tc>
          <w:tcPr>
            <w:tcW w:w="1134" w:type="dxa"/>
          </w:tcPr>
          <w:p w14:paraId="5A04BA5F" w14:textId="77777777" w:rsidR="00FA31A1" w:rsidRPr="00DC67EB" w:rsidRDefault="00FA31A1" w:rsidP="00FA31A1">
            <w:pPr>
              <w:spacing w:before="40" w:after="40"/>
              <w:rPr>
                <w:noProof/>
                <w:sz w:val="22"/>
              </w:rPr>
            </w:pPr>
            <w:r w:rsidRPr="00DC67EB">
              <w:rPr>
                <w:noProof/>
                <w:sz w:val="22"/>
              </w:rPr>
              <w:t>258-067-9</w:t>
            </w:r>
          </w:p>
        </w:tc>
        <w:tc>
          <w:tcPr>
            <w:tcW w:w="1279" w:type="dxa"/>
            <w:gridSpan w:val="2"/>
            <w:shd w:val="clear" w:color="auto" w:fill="auto"/>
            <w:tcMar>
              <w:left w:w="28" w:type="dxa"/>
              <w:right w:w="28" w:type="dxa"/>
            </w:tcMar>
          </w:tcPr>
          <w:p w14:paraId="026EC73A" w14:textId="77777777" w:rsidR="00FA31A1" w:rsidRPr="00DC67EB" w:rsidRDefault="00FA31A1" w:rsidP="00FA31A1">
            <w:pPr>
              <w:spacing w:before="40" w:after="40"/>
              <w:rPr>
                <w:noProof/>
                <w:sz w:val="22"/>
              </w:rPr>
            </w:pPr>
            <w:r w:rsidRPr="00DC67EB">
              <w:rPr>
                <w:noProof/>
                <w:sz w:val="22"/>
              </w:rPr>
              <w:t>2,7 × 10</w:t>
            </w:r>
            <w:r w:rsidRPr="00DC67EB">
              <w:rPr>
                <w:noProof/>
                <w:sz w:val="22"/>
                <w:vertAlign w:val="superscript"/>
              </w:rPr>
              <w:t>-4</w:t>
            </w:r>
          </w:p>
        </w:tc>
        <w:tc>
          <w:tcPr>
            <w:tcW w:w="1279" w:type="dxa"/>
            <w:gridSpan w:val="2"/>
            <w:shd w:val="clear" w:color="auto" w:fill="auto"/>
            <w:tcMar>
              <w:left w:w="28" w:type="dxa"/>
              <w:right w:w="28" w:type="dxa"/>
            </w:tcMar>
          </w:tcPr>
          <w:p w14:paraId="6EDDA115" w14:textId="77777777" w:rsidR="00FA31A1" w:rsidRPr="00DC67EB" w:rsidRDefault="00FA31A1" w:rsidP="00FA31A1">
            <w:pPr>
              <w:spacing w:before="40" w:after="40"/>
              <w:rPr>
                <w:noProof/>
                <w:sz w:val="22"/>
              </w:rPr>
            </w:pPr>
            <w:r w:rsidRPr="00DC67EB">
              <w:rPr>
                <w:noProof/>
                <w:sz w:val="22"/>
              </w:rPr>
              <w:t>2,7 × 10</w:t>
            </w:r>
            <w:r w:rsidRPr="00DC67EB">
              <w:rPr>
                <w:noProof/>
                <w:sz w:val="22"/>
                <w:vertAlign w:val="superscript"/>
              </w:rPr>
              <w:t>-5</w:t>
            </w:r>
          </w:p>
        </w:tc>
        <w:tc>
          <w:tcPr>
            <w:tcW w:w="1278" w:type="dxa"/>
            <w:gridSpan w:val="2"/>
            <w:shd w:val="clear" w:color="auto" w:fill="auto"/>
            <w:tcMar>
              <w:left w:w="28" w:type="dxa"/>
              <w:right w:w="28" w:type="dxa"/>
            </w:tcMar>
          </w:tcPr>
          <w:p w14:paraId="4779987E" w14:textId="77777777" w:rsidR="00FA31A1" w:rsidRPr="00DC67EB" w:rsidRDefault="00FA31A1" w:rsidP="00FA31A1">
            <w:pPr>
              <w:spacing w:before="40" w:after="40"/>
              <w:rPr>
                <w:noProof/>
                <w:sz w:val="22"/>
              </w:rPr>
            </w:pPr>
            <w:r w:rsidRPr="00DC67EB">
              <w:rPr>
                <w:noProof/>
                <w:sz w:val="22"/>
              </w:rPr>
              <w:t>0,0025</w:t>
            </w:r>
          </w:p>
        </w:tc>
        <w:tc>
          <w:tcPr>
            <w:tcW w:w="1277" w:type="dxa"/>
            <w:gridSpan w:val="2"/>
            <w:shd w:val="clear" w:color="auto" w:fill="auto"/>
            <w:tcMar>
              <w:left w:w="28" w:type="dxa"/>
              <w:right w:w="28" w:type="dxa"/>
            </w:tcMar>
          </w:tcPr>
          <w:p w14:paraId="1EDBFFE7" w14:textId="77777777" w:rsidR="00FA31A1" w:rsidRPr="00DC67EB" w:rsidRDefault="00FA31A1" w:rsidP="00FA31A1">
            <w:pPr>
              <w:spacing w:before="40" w:after="40"/>
              <w:rPr>
                <w:noProof/>
                <w:sz w:val="22"/>
              </w:rPr>
            </w:pPr>
            <w:r w:rsidRPr="00DC67EB">
              <w:rPr>
                <w:noProof/>
                <w:sz w:val="22"/>
              </w:rPr>
              <w:t>2,5 × 10</w:t>
            </w:r>
            <w:r w:rsidRPr="00DC67EB">
              <w:rPr>
                <w:noProof/>
                <w:sz w:val="22"/>
                <w:vertAlign w:val="superscript"/>
              </w:rPr>
              <w:t>-4</w:t>
            </w:r>
          </w:p>
        </w:tc>
        <w:tc>
          <w:tcPr>
            <w:tcW w:w="1136" w:type="dxa"/>
            <w:gridSpan w:val="2"/>
            <w:shd w:val="clear" w:color="auto" w:fill="auto"/>
            <w:tcMar>
              <w:left w:w="28" w:type="dxa"/>
              <w:right w:w="28" w:type="dxa"/>
            </w:tcMar>
          </w:tcPr>
          <w:p w14:paraId="78F50A7F" w14:textId="77777777" w:rsidR="00FA31A1" w:rsidRPr="00DC67EB" w:rsidRDefault="00FA31A1" w:rsidP="00FA31A1">
            <w:pPr>
              <w:spacing w:before="40" w:after="40"/>
              <w:rPr>
                <w:noProof/>
                <w:sz w:val="22"/>
              </w:rPr>
            </w:pPr>
          </w:p>
        </w:tc>
        <w:tc>
          <w:tcPr>
            <w:tcW w:w="1262" w:type="dxa"/>
            <w:tcMar>
              <w:left w:w="28" w:type="dxa"/>
              <w:right w:w="28" w:type="dxa"/>
            </w:tcMar>
          </w:tcPr>
          <w:p w14:paraId="6BA09236" w14:textId="77777777" w:rsidR="00FA31A1" w:rsidRPr="00DC67EB" w:rsidRDefault="00FA31A1" w:rsidP="00FA31A1">
            <w:pPr>
              <w:spacing w:before="40" w:after="40"/>
              <w:rPr>
                <w:noProof/>
                <w:sz w:val="22"/>
              </w:rPr>
            </w:pPr>
          </w:p>
        </w:tc>
        <w:tc>
          <w:tcPr>
            <w:tcW w:w="1153" w:type="dxa"/>
            <w:gridSpan w:val="2"/>
            <w:tcMar>
              <w:left w:w="28" w:type="dxa"/>
              <w:right w:w="28" w:type="dxa"/>
            </w:tcMar>
          </w:tcPr>
          <w:p w14:paraId="0A160700" w14:textId="77777777" w:rsidR="00FA31A1" w:rsidRPr="00DC67EB" w:rsidRDefault="00FA31A1" w:rsidP="00FA31A1">
            <w:pPr>
              <w:spacing w:before="40" w:after="40"/>
              <w:rPr>
                <w:noProof/>
                <w:sz w:val="22"/>
              </w:rPr>
            </w:pPr>
          </w:p>
        </w:tc>
        <w:tc>
          <w:tcPr>
            <w:tcW w:w="970" w:type="dxa"/>
            <w:tcMar>
              <w:left w:w="28" w:type="dxa"/>
              <w:right w:w="28" w:type="dxa"/>
            </w:tcMar>
          </w:tcPr>
          <w:p w14:paraId="0A173557" w14:textId="77777777" w:rsidR="00FA31A1" w:rsidRPr="00DC67EB" w:rsidRDefault="00FA31A1" w:rsidP="00FA31A1">
            <w:pPr>
              <w:spacing w:before="40" w:after="40"/>
              <w:rPr>
                <w:noProof/>
                <w:sz w:val="22"/>
              </w:rPr>
            </w:pPr>
            <w:r w:rsidRPr="00DC67EB">
              <w:rPr>
                <w:noProof/>
                <w:sz w:val="22"/>
              </w:rPr>
              <w:t>X</w:t>
            </w:r>
          </w:p>
        </w:tc>
      </w:tr>
      <w:tr w:rsidR="00DC67EB" w:rsidRPr="00DC67EB" w14:paraId="654C57F2" w14:textId="77777777" w:rsidTr="00FA31A1">
        <w:trPr>
          <w:gridBefore w:val="1"/>
          <w:wBefore w:w="12" w:type="dxa"/>
          <w:cantSplit/>
          <w:tblHeader/>
          <w:jc w:val="center"/>
        </w:trPr>
        <w:tc>
          <w:tcPr>
            <w:tcW w:w="651" w:type="dxa"/>
            <w:gridSpan w:val="3"/>
            <w:tcMar>
              <w:left w:w="28" w:type="dxa"/>
              <w:right w:w="28" w:type="dxa"/>
            </w:tcMar>
          </w:tcPr>
          <w:p w14:paraId="5CAC3600" w14:textId="77777777" w:rsidR="00FA31A1" w:rsidRPr="00DC67EB" w:rsidRDefault="00FA31A1" w:rsidP="00FA31A1">
            <w:pPr>
              <w:keepNext/>
              <w:spacing w:before="40" w:after="40"/>
              <w:rPr>
                <w:noProof/>
                <w:sz w:val="22"/>
              </w:rPr>
            </w:pPr>
            <w:r w:rsidRPr="00DC67EB">
              <w:rPr>
                <w:noProof/>
                <w:sz w:val="22"/>
              </w:rPr>
              <w:t>65.</w:t>
            </w:r>
          </w:p>
        </w:tc>
        <w:tc>
          <w:tcPr>
            <w:tcW w:w="2286" w:type="dxa"/>
            <w:gridSpan w:val="3"/>
            <w:shd w:val="clear" w:color="auto" w:fill="auto"/>
            <w:tcMar>
              <w:left w:w="28" w:type="dxa"/>
              <w:right w:w="28" w:type="dxa"/>
            </w:tcMar>
          </w:tcPr>
          <w:p w14:paraId="55A08B3F" w14:textId="77777777" w:rsidR="00FA31A1" w:rsidRPr="00DC67EB" w:rsidRDefault="00FA31A1" w:rsidP="00FA31A1">
            <w:pPr>
              <w:keepNext/>
              <w:spacing w:before="40" w:after="40"/>
              <w:rPr>
                <w:noProof/>
                <w:sz w:val="22"/>
              </w:rPr>
            </w:pPr>
            <w:r w:rsidRPr="00DC67EB">
              <w:rPr>
                <w:noProof/>
                <w:sz w:val="22"/>
              </w:rPr>
              <w:t>Per- és polifluoralkil-anyagok (PFAS) – 24 anyag összege</w:t>
            </w:r>
            <w:bookmarkStart w:id="42" w:name="_Ref101448197"/>
            <w:r w:rsidRPr="00DC67EB">
              <w:rPr>
                <w:noProof/>
                <w:sz w:val="22"/>
              </w:rPr>
              <w:t xml:space="preserve"> (</w:t>
            </w:r>
            <w:r w:rsidRPr="00DC67EB">
              <w:rPr>
                <w:noProof/>
                <w:sz w:val="22"/>
                <w:vertAlign w:val="superscript"/>
              </w:rPr>
              <w:t>27</w:t>
            </w:r>
            <w:r w:rsidRPr="00DC67EB">
              <w:rPr>
                <w:noProof/>
                <w:sz w:val="22"/>
              </w:rPr>
              <w:t>)</w:t>
            </w:r>
            <w:bookmarkEnd w:id="42"/>
          </w:p>
        </w:tc>
        <w:tc>
          <w:tcPr>
            <w:tcW w:w="1329" w:type="dxa"/>
            <w:gridSpan w:val="3"/>
            <w:shd w:val="clear" w:color="auto" w:fill="auto"/>
            <w:tcMar>
              <w:left w:w="28" w:type="dxa"/>
              <w:right w:w="28" w:type="dxa"/>
            </w:tcMar>
          </w:tcPr>
          <w:p w14:paraId="0B0AC349" w14:textId="77777777" w:rsidR="00FA31A1" w:rsidRPr="00DC67EB" w:rsidRDefault="00FA31A1" w:rsidP="00FA31A1">
            <w:pPr>
              <w:keepNext/>
              <w:spacing w:before="40" w:after="40"/>
              <w:rPr>
                <w:noProof/>
                <w:sz w:val="22"/>
              </w:rPr>
            </w:pPr>
            <w:r w:rsidRPr="00DC67EB">
              <w:rPr>
                <w:noProof/>
                <w:sz w:val="22"/>
              </w:rPr>
              <w:t>Ipari anyagok</w:t>
            </w:r>
          </w:p>
        </w:tc>
        <w:tc>
          <w:tcPr>
            <w:tcW w:w="992" w:type="dxa"/>
            <w:gridSpan w:val="2"/>
            <w:shd w:val="clear" w:color="auto" w:fill="auto"/>
            <w:tcMar>
              <w:left w:w="28" w:type="dxa"/>
              <w:right w:w="28" w:type="dxa"/>
            </w:tcMar>
          </w:tcPr>
          <w:p w14:paraId="36F2815D" w14:textId="77777777" w:rsidR="00FA31A1" w:rsidRPr="00DC67EB" w:rsidRDefault="00FA31A1" w:rsidP="00FA31A1">
            <w:pPr>
              <w:keepNext/>
              <w:spacing w:before="40" w:after="40"/>
              <w:rPr>
                <w:noProof/>
                <w:sz w:val="22"/>
              </w:rPr>
            </w:pPr>
            <w:r w:rsidRPr="00DC67EB">
              <w:rPr>
                <w:noProof/>
                <w:sz w:val="22"/>
              </w:rPr>
              <w:t>nem alkalmazható</w:t>
            </w:r>
          </w:p>
        </w:tc>
        <w:tc>
          <w:tcPr>
            <w:tcW w:w="1134" w:type="dxa"/>
          </w:tcPr>
          <w:p w14:paraId="1059AF52" w14:textId="77777777" w:rsidR="00FA31A1" w:rsidRPr="00DC67EB" w:rsidRDefault="00FA31A1" w:rsidP="00FA31A1">
            <w:pPr>
              <w:keepNext/>
              <w:spacing w:before="40" w:after="40"/>
              <w:rPr>
                <w:noProof/>
                <w:sz w:val="22"/>
              </w:rPr>
            </w:pPr>
            <w:r w:rsidRPr="00DC67EB">
              <w:rPr>
                <w:noProof/>
                <w:sz w:val="22"/>
              </w:rPr>
              <w:t>nem alkalmazható</w:t>
            </w:r>
          </w:p>
        </w:tc>
        <w:tc>
          <w:tcPr>
            <w:tcW w:w="1279" w:type="dxa"/>
            <w:gridSpan w:val="2"/>
            <w:shd w:val="clear" w:color="auto" w:fill="auto"/>
            <w:tcMar>
              <w:left w:w="28" w:type="dxa"/>
              <w:right w:w="28" w:type="dxa"/>
            </w:tcMar>
          </w:tcPr>
          <w:p w14:paraId="5BA78ACB" w14:textId="77777777" w:rsidR="00FA31A1" w:rsidRPr="00DC67EB" w:rsidRDefault="00FA31A1" w:rsidP="00FA31A1">
            <w:pPr>
              <w:keepNext/>
              <w:spacing w:before="40" w:after="40"/>
              <w:rPr>
                <w:noProof/>
                <w:sz w:val="22"/>
              </w:rPr>
            </w:pPr>
            <w:r w:rsidRPr="00DC67EB">
              <w:rPr>
                <w:noProof/>
                <w:sz w:val="22"/>
              </w:rPr>
              <w:t xml:space="preserve">A PFOA-egyenértékek összege 0,0044 </w:t>
            </w:r>
            <w:bookmarkStart w:id="43" w:name="_Ref101448285"/>
            <w:r w:rsidRPr="00DC67EB">
              <w:rPr>
                <w:noProof/>
                <w:sz w:val="22"/>
              </w:rPr>
              <w:t>(</w:t>
            </w:r>
            <w:r w:rsidRPr="00DC67EB">
              <w:rPr>
                <w:noProof/>
                <w:sz w:val="22"/>
                <w:vertAlign w:val="superscript"/>
              </w:rPr>
              <w:t>28</w:t>
            </w:r>
            <w:r w:rsidRPr="00DC67EB">
              <w:rPr>
                <w:noProof/>
                <w:sz w:val="22"/>
              </w:rPr>
              <w:t>)</w:t>
            </w:r>
            <w:bookmarkEnd w:id="43"/>
          </w:p>
        </w:tc>
        <w:tc>
          <w:tcPr>
            <w:tcW w:w="1279" w:type="dxa"/>
            <w:gridSpan w:val="2"/>
            <w:shd w:val="clear" w:color="auto" w:fill="auto"/>
            <w:tcMar>
              <w:left w:w="28" w:type="dxa"/>
              <w:right w:w="28" w:type="dxa"/>
            </w:tcMar>
          </w:tcPr>
          <w:p w14:paraId="45847BD1" w14:textId="77777777" w:rsidR="00FA31A1" w:rsidRPr="00DC67EB" w:rsidRDefault="00FA31A1" w:rsidP="00FA31A1">
            <w:pPr>
              <w:keepNext/>
              <w:spacing w:before="40" w:after="40"/>
              <w:rPr>
                <w:noProof/>
                <w:sz w:val="22"/>
              </w:rPr>
            </w:pPr>
            <w:r w:rsidRPr="00DC67EB">
              <w:rPr>
                <w:noProof/>
                <w:sz w:val="22"/>
              </w:rPr>
              <w:t>A PFOA-egyenértékek összege 0,0044 (</w:t>
            </w:r>
            <w:r w:rsidRPr="00DC67EB">
              <w:rPr>
                <w:noProof/>
                <w:sz w:val="22"/>
                <w:vertAlign w:val="superscript"/>
              </w:rPr>
              <w:t>28</w:t>
            </w:r>
            <w:r w:rsidRPr="00DC67EB">
              <w:rPr>
                <w:noProof/>
                <w:sz w:val="22"/>
              </w:rPr>
              <w:t>)</w:t>
            </w:r>
          </w:p>
        </w:tc>
        <w:tc>
          <w:tcPr>
            <w:tcW w:w="1278" w:type="dxa"/>
            <w:gridSpan w:val="2"/>
            <w:shd w:val="clear" w:color="auto" w:fill="auto"/>
            <w:tcMar>
              <w:left w:w="28" w:type="dxa"/>
              <w:right w:w="28" w:type="dxa"/>
            </w:tcMar>
          </w:tcPr>
          <w:p w14:paraId="068ED440" w14:textId="77777777" w:rsidR="00FA31A1" w:rsidRPr="00DC67EB" w:rsidRDefault="00FA31A1" w:rsidP="00FA31A1">
            <w:pPr>
              <w:keepNext/>
              <w:spacing w:before="40" w:after="40"/>
              <w:rPr>
                <w:noProof/>
                <w:sz w:val="22"/>
              </w:rPr>
            </w:pPr>
            <w:r w:rsidRPr="00DC67EB">
              <w:rPr>
                <w:noProof/>
                <w:sz w:val="22"/>
              </w:rPr>
              <w:t>nem alkalmazható</w:t>
            </w:r>
          </w:p>
        </w:tc>
        <w:tc>
          <w:tcPr>
            <w:tcW w:w="1277" w:type="dxa"/>
            <w:gridSpan w:val="2"/>
            <w:shd w:val="clear" w:color="auto" w:fill="auto"/>
            <w:tcMar>
              <w:left w:w="28" w:type="dxa"/>
              <w:right w:w="28" w:type="dxa"/>
            </w:tcMar>
          </w:tcPr>
          <w:p w14:paraId="30714E21" w14:textId="77777777" w:rsidR="00FA31A1" w:rsidRPr="00DC67EB" w:rsidRDefault="00FA31A1" w:rsidP="00FA31A1">
            <w:pPr>
              <w:keepNext/>
              <w:spacing w:before="40" w:after="40"/>
              <w:rPr>
                <w:noProof/>
                <w:sz w:val="22"/>
              </w:rPr>
            </w:pPr>
            <w:r w:rsidRPr="00DC67EB">
              <w:rPr>
                <w:noProof/>
                <w:sz w:val="22"/>
              </w:rPr>
              <w:t>nem alkalmazható</w:t>
            </w:r>
          </w:p>
        </w:tc>
        <w:tc>
          <w:tcPr>
            <w:tcW w:w="1136" w:type="dxa"/>
            <w:gridSpan w:val="2"/>
            <w:shd w:val="clear" w:color="auto" w:fill="auto"/>
            <w:tcMar>
              <w:left w:w="28" w:type="dxa"/>
              <w:right w:w="28" w:type="dxa"/>
            </w:tcMar>
          </w:tcPr>
          <w:p w14:paraId="05CF0848" w14:textId="77777777" w:rsidR="00FA31A1" w:rsidRPr="00DC67EB" w:rsidRDefault="00FA31A1" w:rsidP="00FA31A1">
            <w:pPr>
              <w:keepNext/>
              <w:spacing w:before="40" w:after="40"/>
              <w:rPr>
                <w:noProof/>
                <w:sz w:val="22"/>
              </w:rPr>
            </w:pPr>
            <w:r w:rsidRPr="00DC67EB">
              <w:rPr>
                <w:noProof/>
                <w:sz w:val="22"/>
              </w:rPr>
              <w:t>A PFOA-egyenértékek összege 0,077 (</w:t>
            </w:r>
            <w:r w:rsidRPr="00DC67EB">
              <w:rPr>
                <w:noProof/>
                <w:sz w:val="22"/>
                <w:vertAlign w:val="superscript"/>
              </w:rPr>
              <w:t>28</w:t>
            </w:r>
            <w:r w:rsidRPr="00DC67EB">
              <w:rPr>
                <w:noProof/>
                <w:sz w:val="22"/>
              </w:rPr>
              <w:t xml:space="preserve">) </w:t>
            </w:r>
          </w:p>
        </w:tc>
        <w:tc>
          <w:tcPr>
            <w:tcW w:w="1262" w:type="dxa"/>
            <w:tcMar>
              <w:left w:w="28" w:type="dxa"/>
              <w:right w:w="28" w:type="dxa"/>
            </w:tcMar>
          </w:tcPr>
          <w:p w14:paraId="727D5FC9" w14:textId="77777777" w:rsidR="00FA31A1" w:rsidRPr="00DC67EB" w:rsidRDefault="00FA31A1" w:rsidP="00FA31A1">
            <w:pPr>
              <w:keepNext/>
              <w:spacing w:before="40" w:after="40"/>
              <w:rPr>
                <w:noProof/>
                <w:sz w:val="22"/>
              </w:rPr>
            </w:pPr>
            <w:r w:rsidRPr="00DC67EB">
              <w:rPr>
                <w:noProof/>
                <w:sz w:val="22"/>
              </w:rPr>
              <w:t>X</w:t>
            </w:r>
          </w:p>
        </w:tc>
        <w:tc>
          <w:tcPr>
            <w:tcW w:w="1153" w:type="dxa"/>
            <w:gridSpan w:val="2"/>
            <w:tcMar>
              <w:left w:w="28" w:type="dxa"/>
              <w:right w:w="28" w:type="dxa"/>
            </w:tcMar>
          </w:tcPr>
          <w:p w14:paraId="4ED0939C" w14:textId="77777777" w:rsidR="00FA31A1" w:rsidRPr="00DC67EB" w:rsidRDefault="00FA31A1" w:rsidP="00FA31A1">
            <w:pPr>
              <w:keepNext/>
              <w:spacing w:before="40" w:after="40"/>
              <w:rPr>
                <w:noProof/>
                <w:sz w:val="22"/>
              </w:rPr>
            </w:pPr>
            <w:r w:rsidRPr="00DC67EB">
              <w:rPr>
                <w:noProof/>
                <w:sz w:val="22"/>
              </w:rPr>
              <w:t>X</w:t>
            </w:r>
          </w:p>
        </w:tc>
        <w:tc>
          <w:tcPr>
            <w:tcW w:w="970" w:type="dxa"/>
            <w:tcMar>
              <w:left w:w="28" w:type="dxa"/>
              <w:right w:w="28" w:type="dxa"/>
            </w:tcMar>
          </w:tcPr>
          <w:p w14:paraId="32BBAF99" w14:textId="77777777" w:rsidR="00FA31A1" w:rsidRPr="00DC67EB" w:rsidRDefault="00FA31A1" w:rsidP="00FA31A1">
            <w:pPr>
              <w:keepNext/>
              <w:spacing w:before="40" w:after="40"/>
              <w:rPr>
                <w:noProof/>
                <w:sz w:val="22"/>
              </w:rPr>
            </w:pPr>
            <w:r w:rsidRPr="00DC67EB">
              <w:rPr>
                <w:noProof/>
                <w:sz w:val="22"/>
              </w:rPr>
              <w:t>X</w:t>
            </w:r>
          </w:p>
        </w:tc>
      </w:tr>
      <w:tr w:rsidR="00DC67EB" w:rsidRPr="00DC67EB" w14:paraId="4AEFA6EB" w14:textId="77777777" w:rsidTr="00FA31A1">
        <w:trPr>
          <w:gridBefore w:val="1"/>
          <w:wBefore w:w="12" w:type="dxa"/>
          <w:cantSplit/>
          <w:tblHeader/>
          <w:jc w:val="center"/>
        </w:trPr>
        <w:tc>
          <w:tcPr>
            <w:tcW w:w="651" w:type="dxa"/>
            <w:gridSpan w:val="3"/>
            <w:tcMar>
              <w:left w:w="28" w:type="dxa"/>
              <w:right w:w="28" w:type="dxa"/>
            </w:tcMar>
          </w:tcPr>
          <w:p w14:paraId="3CD6D72D" w14:textId="77777777" w:rsidR="00FA31A1" w:rsidRPr="00DC67EB" w:rsidRDefault="00FA31A1" w:rsidP="00FA31A1">
            <w:pPr>
              <w:spacing w:before="40" w:after="40"/>
              <w:rPr>
                <w:noProof/>
                <w:sz w:val="22"/>
              </w:rPr>
            </w:pPr>
            <w:r w:rsidRPr="00DC67EB">
              <w:rPr>
                <w:noProof/>
                <w:sz w:val="22"/>
              </w:rPr>
              <w:t>66.</w:t>
            </w:r>
          </w:p>
        </w:tc>
        <w:tc>
          <w:tcPr>
            <w:tcW w:w="2286" w:type="dxa"/>
            <w:gridSpan w:val="3"/>
            <w:shd w:val="clear" w:color="auto" w:fill="auto"/>
            <w:tcMar>
              <w:left w:w="28" w:type="dxa"/>
              <w:right w:w="28" w:type="dxa"/>
            </w:tcMar>
          </w:tcPr>
          <w:p w14:paraId="1909A148" w14:textId="77777777" w:rsidR="00FA31A1" w:rsidRPr="00DC67EB" w:rsidRDefault="00FA31A1" w:rsidP="00FA31A1">
            <w:pPr>
              <w:spacing w:before="40" w:after="40"/>
              <w:rPr>
                <w:noProof/>
                <w:sz w:val="22"/>
              </w:rPr>
            </w:pPr>
            <w:r w:rsidRPr="00DC67EB">
              <w:rPr>
                <w:noProof/>
                <w:sz w:val="22"/>
              </w:rPr>
              <w:t>Ezüst</w:t>
            </w:r>
          </w:p>
        </w:tc>
        <w:tc>
          <w:tcPr>
            <w:tcW w:w="1329" w:type="dxa"/>
            <w:gridSpan w:val="3"/>
            <w:shd w:val="clear" w:color="auto" w:fill="auto"/>
            <w:tcMar>
              <w:left w:w="28" w:type="dxa"/>
              <w:right w:w="28" w:type="dxa"/>
            </w:tcMar>
          </w:tcPr>
          <w:p w14:paraId="217D0905" w14:textId="77777777" w:rsidR="00FA31A1" w:rsidRPr="00DC67EB" w:rsidRDefault="00FA31A1" w:rsidP="00FA31A1">
            <w:pPr>
              <w:spacing w:before="40" w:after="40"/>
              <w:rPr>
                <w:noProof/>
                <w:sz w:val="22"/>
              </w:rPr>
            </w:pPr>
            <w:r w:rsidRPr="00DC67EB">
              <w:rPr>
                <w:noProof/>
                <w:sz w:val="22"/>
              </w:rPr>
              <w:t>Fémek</w:t>
            </w:r>
          </w:p>
        </w:tc>
        <w:tc>
          <w:tcPr>
            <w:tcW w:w="992" w:type="dxa"/>
            <w:gridSpan w:val="2"/>
            <w:shd w:val="clear" w:color="auto" w:fill="auto"/>
            <w:tcMar>
              <w:left w:w="28" w:type="dxa"/>
              <w:right w:w="28" w:type="dxa"/>
            </w:tcMar>
          </w:tcPr>
          <w:p w14:paraId="54CFD1B1" w14:textId="77777777" w:rsidR="00FA31A1" w:rsidRPr="00DC67EB" w:rsidRDefault="00FA31A1" w:rsidP="00FA31A1">
            <w:pPr>
              <w:spacing w:before="40" w:after="40"/>
              <w:rPr>
                <w:noProof/>
                <w:sz w:val="22"/>
              </w:rPr>
            </w:pPr>
            <w:r w:rsidRPr="00DC67EB">
              <w:rPr>
                <w:noProof/>
                <w:sz w:val="22"/>
              </w:rPr>
              <w:t>7440-22-4</w:t>
            </w:r>
          </w:p>
        </w:tc>
        <w:tc>
          <w:tcPr>
            <w:tcW w:w="1134" w:type="dxa"/>
          </w:tcPr>
          <w:p w14:paraId="43AC5B14" w14:textId="77777777" w:rsidR="00FA31A1" w:rsidRPr="00DC67EB" w:rsidRDefault="00FA31A1" w:rsidP="00FA31A1">
            <w:pPr>
              <w:spacing w:before="40" w:after="40"/>
              <w:rPr>
                <w:noProof/>
                <w:sz w:val="22"/>
              </w:rPr>
            </w:pPr>
            <w:r w:rsidRPr="00DC67EB">
              <w:rPr>
                <w:noProof/>
                <w:sz w:val="22"/>
              </w:rPr>
              <w:t>231-131-3</w:t>
            </w:r>
          </w:p>
        </w:tc>
        <w:tc>
          <w:tcPr>
            <w:tcW w:w="1279" w:type="dxa"/>
            <w:gridSpan w:val="2"/>
            <w:shd w:val="clear" w:color="auto" w:fill="auto"/>
            <w:tcMar>
              <w:left w:w="28" w:type="dxa"/>
              <w:right w:w="28" w:type="dxa"/>
            </w:tcMar>
          </w:tcPr>
          <w:p w14:paraId="462ED7B2" w14:textId="77777777" w:rsidR="00FA31A1" w:rsidRPr="00DC67EB" w:rsidRDefault="00FA31A1" w:rsidP="00FA31A1">
            <w:pPr>
              <w:spacing w:before="40" w:after="40"/>
              <w:rPr>
                <w:noProof/>
                <w:sz w:val="22"/>
              </w:rPr>
            </w:pPr>
            <w:r w:rsidRPr="00DC67EB">
              <w:rPr>
                <w:noProof/>
                <w:sz w:val="22"/>
              </w:rPr>
              <w:t>0,01</w:t>
            </w:r>
          </w:p>
        </w:tc>
        <w:tc>
          <w:tcPr>
            <w:tcW w:w="1279" w:type="dxa"/>
            <w:gridSpan w:val="2"/>
            <w:shd w:val="clear" w:color="auto" w:fill="auto"/>
            <w:tcMar>
              <w:left w:w="28" w:type="dxa"/>
              <w:right w:w="28" w:type="dxa"/>
            </w:tcMar>
          </w:tcPr>
          <w:p w14:paraId="0E15A1CE" w14:textId="77777777" w:rsidR="00FA31A1" w:rsidRPr="00DC67EB" w:rsidRDefault="00FA31A1" w:rsidP="00FA31A1">
            <w:pPr>
              <w:spacing w:before="40" w:after="40"/>
              <w:rPr>
                <w:noProof/>
                <w:sz w:val="22"/>
              </w:rPr>
            </w:pPr>
            <w:r w:rsidRPr="00DC67EB">
              <w:rPr>
                <w:noProof/>
                <w:sz w:val="22"/>
              </w:rPr>
              <w:t>0,006 (10 % sótartalom)</w:t>
            </w:r>
            <w:r w:rsidRPr="00DC67EB">
              <w:rPr>
                <w:noProof/>
                <w:sz w:val="22"/>
              </w:rPr>
              <w:br/>
              <w:t>0,17 (30 % sótartalom)</w:t>
            </w:r>
          </w:p>
        </w:tc>
        <w:tc>
          <w:tcPr>
            <w:tcW w:w="1278" w:type="dxa"/>
            <w:gridSpan w:val="2"/>
            <w:shd w:val="clear" w:color="auto" w:fill="auto"/>
            <w:tcMar>
              <w:left w:w="28" w:type="dxa"/>
              <w:right w:w="28" w:type="dxa"/>
            </w:tcMar>
          </w:tcPr>
          <w:p w14:paraId="6EED2304" w14:textId="77777777" w:rsidR="00FA31A1" w:rsidRPr="00DC67EB" w:rsidRDefault="00FA31A1" w:rsidP="00FA31A1">
            <w:pPr>
              <w:spacing w:before="40" w:after="40"/>
              <w:rPr>
                <w:noProof/>
                <w:sz w:val="22"/>
              </w:rPr>
            </w:pPr>
            <w:r w:rsidRPr="00DC67EB">
              <w:rPr>
                <w:noProof/>
                <w:sz w:val="22"/>
              </w:rPr>
              <w:t>0,022</w:t>
            </w:r>
          </w:p>
        </w:tc>
        <w:tc>
          <w:tcPr>
            <w:tcW w:w="1277" w:type="dxa"/>
            <w:gridSpan w:val="2"/>
            <w:shd w:val="clear" w:color="auto" w:fill="auto"/>
            <w:tcMar>
              <w:left w:w="28" w:type="dxa"/>
              <w:right w:w="28" w:type="dxa"/>
            </w:tcMar>
          </w:tcPr>
          <w:p w14:paraId="1A653FB9" w14:textId="77777777" w:rsidR="00FA31A1" w:rsidRPr="00DC67EB" w:rsidRDefault="00FA31A1" w:rsidP="00FA31A1">
            <w:pPr>
              <w:spacing w:before="40" w:after="40"/>
              <w:rPr>
                <w:noProof/>
                <w:sz w:val="22"/>
              </w:rPr>
            </w:pPr>
            <w:r w:rsidRPr="00DC67EB">
              <w:rPr>
                <w:noProof/>
                <w:sz w:val="22"/>
              </w:rPr>
              <w:t>nem származtatott</w:t>
            </w:r>
          </w:p>
        </w:tc>
        <w:tc>
          <w:tcPr>
            <w:tcW w:w="1136" w:type="dxa"/>
            <w:gridSpan w:val="2"/>
            <w:shd w:val="clear" w:color="auto" w:fill="auto"/>
            <w:tcMar>
              <w:left w:w="28" w:type="dxa"/>
              <w:right w:w="28" w:type="dxa"/>
            </w:tcMar>
          </w:tcPr>
          <w:p w14:paraId="394A6C02" w14:textId="77777777" w:rsidR="00FA31A1" w:rsidRPr="00DC67EB" w:rsidDel="00974569" w:rsidRDefault="00FA31A1" w:rsidP="00FA31A1">
            <w:pPr>
              <w:spacing w:before="40" w:after="40"/>
              <w:rPr>
                <w:noProof/>
                <w:sz w:val="22"/>
              </w:rPr>
            </w:pPr>
          </w:p>
        </w:tc>
        <w:tc>
          <w:tcPr>
            <w:tcW w:w="1262" w:type="dxa"/>
            <w:tcMar>
              <w:left w:w="28" w:type="dxa"/>
              <w:right w:w="28" w:type="dxa"/>
            </w:tcMar>
          </w:tcPr>
          <w:p w14:paraId="771E4D5C" w14:textId="77777777" w:rsidR="00FA31A1" w:rsidRPr="00DC67EB" w:rsidRDefault="00FA31A1" w:rsidP="00FA31A1">
            <w:pPr>
              <w:spacing w:before="40" w:after="40"/>
              <w:rPr>
                <w:noProof/>
                <w:sz w:val="22"/>
              </w:rPr>
            </w:pPr>
          </w:p>
        </w:tc>
        <w:tc>
          <w:tcPr>
            <w:tcW w:w="1153" w:type="dxa"/>
            <w:gridSpan w:val="2"/>
            <w:tcMar>
              <w:left w:w="28" w:type="dxa"/>
              <w:right w:w="28" w:type="dxa"/>
            </w:tcMar>
          </w:tcPr>
          <w:p w14:paraId="608AAAF2" w14:textId="77777777" w:rsidR="00FA31A1" w:rsidRPr="00DC67EB" w:rsidRDefault="00FA31A1" w:rsidP="00FA31A1">
            <w:pPr>
              <w:spacing w:before="40" w:after="40"/>
              <w:rPr>
                <w:noProof/>
                <w:sz w:val="22"/>
              </w:rPr>
            </w:pPr>
          </w:p>
        </w:tc>
        <w:tc>
          <w:tcPr>
            <w:tcW w:w="970" w:type="dxa"/>
            <w:tcMar>
              <w:left w:w="28" w:type="dxa"/>
              <w:right w:w="28" w:type="dxa"/>
            </w:tcMar>
          </w:tcPr>
          <w:p w14:paraId="42CCEEBD" w14:textId="77777777" w:rsidR="00FA31A1" w:rsidRPr="00DC67EB" w:rsidRDefault="00FA31A1" w:rsidP="00FA31A1">
            <w:pPr>
              <w:spacing w:before="40" w:after="40"/>
              <w:rPr>
                <w:noProof/>
                <w:sz w:val="22"/>
              </w:rPr>
            </w:pPr>
          </w:p>
        </w:tc>
      </w:tr>
      <w:tr w:rsidR="00DC67EB" w:rsidRPr="00DC67EB" w14:paraId="6591D23E" w14:textId="77777777" w:rsidTr="00FA31A1">
        <w:trPr>
          <w:gridBefore w:val="1"/>
          <w:wBefore w:w="12" w:type="dxa"/>
          <w:cantSplit/>
          <w:tblHeader/>
          <w:jc w:val="center"/>
        </w:trPr>
        <w:tc>
          <w:tcPr>
            <w:tcW w:w="651" w:type="dxa"/>
            <w:gridSpan w:val="3"/>
            <w:tcMar>
              <w:left w:w="28" w:type="dxa"/>
              <w:right w:w="28" w:type="dxa"/>
            </w:tcMar>
          </w:tcPr>
          <w:p w14:paraId="66E3728A" w14:textId="77777777" w:rsidR="00FA31A1" w:rsidRPr="00DC67EB" w:rsidRDefault="00FA31A1" w:rsidP="00FA31A1">
            <w:pPr>
              <w:spacing w:before="40" w:after="40"/>
              <w:rPr>
                <w:noProof/>
                <w:sz w:val="22"/>
              </w:rPr>
            </w:pPr>
            <w:r w:rsidRPr="00DC67EB">
              <w:rPr>
                <w:noProof/>
                <w:sz w:val="22"/>
              </w:rPr>
              <w:t>67.</w:t>
            </w:r>
          </w:p>
        </w:tc>
        <w:tc>
          <w:tcPr>
            <w:tcW w:w="2286" w:type="dxa"/>
            <w:gridSpan w:val="3"/>
            <w:shd w:val="clear" w:color="auto" w:fill="auto"/>
            <w:tcMar>
              <w:left w:w="28" w:type="dxa"/>
              <w:right w:w="28" w:type="dxa"/>
            </w:tcMar>
          </w:tcPr>
          <w:p w14:paraId="3EAE0AEC" w14:textId="77777777" w:rsidR="00FA31A1" w:rsidRPr="00DC67EB" w:rsidRDefault="00FA31A1" w:rsidP="00FA31A1">
            <w:pPr>
              <w:spacing w:before="40" w:after="40"/>
              <w:rPr>
                <w:noProof/>
                <w:sz w:val="22"/>
              </w:rPr>
            </w:pPr>
            <w:r w:rsidRPr="00DC67EB">
              <w:rPr>
                <w:noProof/>
                <w:sz w:val="22"/>
              </w:rPr>
              <w:t>Tiakloprid</w:t>
            </w:r>
          </w:p>
        </w:tc>
        <w:tc>
          <w:tcPr>
            <w:tcW w:w="1329" w:type="dxa"/>
            <w:gridSpan w:val="3"/>
            <w:shd w:val="clear" w:color="auto" w:fill="auto"/>
            <w:tcMar>
              <w:left w:w="28" w:type="dxa"/>
              <w:right w:w="28" w:type="dxa"/>
            </w:tcMar>
          </w:tcPr>
          <w:p w14:paraId="35E5E410" w14:textId="77777777" w:rsidR="00FA31A1" w:rsidRPr="00DC67EB" w:rsidRDefault="00FA31A1" w:rsidP="00FA31A1">
            <w:pPr>
              <w:spacing w:before="40" w:after="40"/>
              <w:rPr>
                <w:noProof/>
                <w:sz w:val="22"/>
              </w:rPr>
            </w:pPr>
            <w:r w:rsidRPr="00DC67EB">
              <w:rPr>
                <w:noProof/>
                <w:sz w:val="22"/>
              </w:rPr>
              <w:t>Neonikotinoid peszticidek</w:t>
            </w:r>
          </w:p>
        </w:tc>
        <w:tc>
          <w:tcPr>
            <w:tcW w:w="992" w:type="dxa"/>
            <w:gridSpan w:val="2"/>
            <w:shd w:val="clear" w:color="auto" w:fill="auto"/>
            <w:tcMar>
              <w:left w:w="28" w:type="dxa"/>
              <w:right w:w="28" w:type="dxa"/>
            </w:tcMar>
          </w:tcPr>
          <w:p w14:paraId="4F6B1BF8" w14:textId="77777777" w:rsidR="00FA31A1" w:rsidRPr="00DC67EB" w:rsidRDefault="00FA31A1" w:rsidP="00FA31A1">
            <w:pPr>
              <w:spacing w:before="40" w:after="40"/>
              <w:rPr>
                <w:noProof/>
                <w:sz w:val="22"/>
              </w:rPr>
            </w:pPr>
            <w:r w:rsidRPr="00DC67EB">
              <w:rPr>
                <w:noProof/>
                <w:sz w:val="22"/>
              </w:rPr>
              <w:t>111988-49-9</w:t>
            </w:r>
          </w:p>
        </w:tc>
        <w:tc>
          <w:tcPr>
            <w:tcW w:w="1134" w:type="dxa"/>
          </w:tcPr>
          <w:p w14:paraId="5B1CD0FC" w14:textId="77777777" w:rsidR="00FA31A1" w:rsidRPr="00DC67EB" w:rsidRDefault="00FA31A1" w:rsidP="00FA31A1">
            <w:pPr>
              <w:spacing w:before="40" w:after="40"/>
              <w:rPr>
                <w:noProof/>
                <w:sz w:val="22"/>
              </w:rPr>
            </w:pPr>
            <w:r w:rsidRPr="00DC67EB">
              <w:rPr>
                <w:noProof/>
                <w:sz w:val="22"/>
              </w:rPr>
              <w:t>601-147-9</w:t>
            </w:r>
          </w:p>
        </w:tc>
        <w:tc>
          <w:tcPr>
            <w:tcW w:w="1279" w:type="dxa"/>
            <w:gridSpan w:val="2"/>
            <w:shd w:val="clear" w:color="auto" w:fill="auto"/>
            <w:tcMar>
              <w:left w:w="28" w:type="dxa"/>
              <w:right w:w="28" w:type="dxa"/>
            </w:tcMar>
          </w:tcPr>
          <w:p w14:paraId="7B8A2FDB" w14:textId="77777777" w:rsidR="00FA31A1" w:rsidRPr="00DC67EB" w:rsidRDefault="00FA31A1" w:rsidP="00FA31A1">
            <w:pPr>
              <w:spacing w:before="40" w:after="40"/>
              <w:rPr>
                <w:noProof/>
                <w:sz w:val="22"/>
              </w:rPr>
            </w:pPr>
            <w:r w:rsidRPr="00DC67EB">
              <w:rPr>
                <w:noProof/>
                <w:sz w:val="22"/>
              </w:rPr>
              <w:t>0,01</w:t>
            </w:r>
          </w:p>
        </w:tc>
        <w:tc>
          <w:tcPr>
            <w:tcW w:w="1279" w:type="dxa"/>
            <w:gridSpan w:val="2"/>
            <w:shd w:val="clear" w:color="auto" w:fill="auto"/>
            <w:tcMar>
              <w:left w:w="28" w:type="dxa"/>
              <w:right w:w="28" w:type="dxa"/>
            </w:tcMar>
          </w:tcPr>
          <w:p w14:paraId="7F5ADC5E" w14:textId="77777777" w:rsidR="00FA31A1" w:rsidRPr="00DC67EB" w:rsidRDefault="00FA31A1" w:rsidP="00FA31A1">
            <w:pPr>
              <w:spacing w:before="40" w:after="40"/>
              <w:rPr>
                <w:noProof/>
                <w:sz w:val="22"/>
              </w:rPr>
            </w:pPr>
            <w:r w:rsidRPr="00DC67EB">
              <w:rPr>
                <w:noProof/>
                <w:sz w:val="22"/>
              </w:rPr>
              <w:t>0,001</w:t>
            </w:r>
          </w:p>
        </w:tc>
        <w:tc>
          <w:tcPr>
            <w:tcW w:w="1278" w:type="dxa"/>
            <w:gridSpan w:val="2"/>
            <w:shd w:val="clear" w:color="auto" w:fill="auto"/>
            <w:tcMar>
              <w:left w:w="28" w:type="dxa"/>
              <w:right w:w="28" w:type="dxa"/>
            </w:tcMar>
          </w:tcPr>
          <w:p w14:paraId="5BC4ED12" w14:textId="77777777" w:rsidR="00FA31A1" w:rsidRPr="00DC67EB" w:rsidRDefault="00FA31A1" w:rsidP="00FA31A1">
            <w:pPr>
              <w:spacing w:before="40" w:after="40"/>
              <w:rPr>
                <w:noProof/>
                <w:sz w:val="22"/>
              </w:rPr>
            </w:pPr>
            <w:r w:rsidRPr="00DC67EB">
              <w:rPr>
                <w:noProof/>
                <w:sz w:val="22"/>
              </w:rPr>
              <w:t>0,05</w:t>
            </w:r>
          </w:p>
        </w:tc>
        <w:tc>
          <w:tcPr>
            <w:tcW w:w="1277" w:type="dxa"/>
            <w:gridSpan w:val="2"/>
            <w:shd w:val="clear" w:color="auto" w:fill="auto"/>
            <w:tcMar>
              <w:left w:w="28" w:type="dxa"/>
              <w:right w:w="28" w:type="dxa"/>
            </w:tcMar>
          </w:tcPr>
          <w:p w14:paraId="2CC7AD2C" w14:textId="77777777" w:rsidR="00FA31A1" w:rsidRPr="00DC67EB" w:rsidRDefault="00FA31A1" w:rsidP="00FA31A1">
            <w:pPr>
              <w:spacing w:before="40" w:after="40"/>
              <w:rPr>
                <w:noProof/>
                <w:sz w:val="22"/>
              </w:rPr>
            </w:pPr>
            <w:r w:rsidRPr="00DC67EB">
              <w:rPr>
                <w:noProof/>
                <w:sz w:val="22"/>
              </w:rPr>
              <w:t>0,005</w:t>
            </w:r>
          </w:p>
        </w:tc>
        <w:tc>
          <w:tcPr>
            <w:tcW w:w="1136" w:type="dxa"/>
            <w:gridSpan w:val="2"/>
            <w:shd w:val="clear" w:color="auto" w:fill="auto"/>
            <w:tcMar>
              <w:left w:w="28" w:type="dxa"/>
              <w:right w:w="28" w:type="dxa"/>
            </w:tcMar>
          </w:tcPr>
          <w:p w14:paraId="034B3E77" w14:textId="77777777" w:rsidR="00FA31A1" w:rsidRPr="00DC67EB" w:rsidRDefault="00FA31A1" w:rsidP="00FA31A1">
            <w:pPr>
              <w:spacing w:before="40" w:after="40"/>
              <w:rPr>
                <w:noProof/>
                <w:sz w:val="22"/>
              </w:rPr>
            </w:pPr>
          </w:p>
        </w:tc>
        <w:tc>
          <w:tcPr>
            <w:tcW w:w="1262" w:type="dxa"/>
            <w:tcMar>
              <w:left w:w="28" w:type="dxa"/>
              <w:right w:w="28" w:type="dxa"/>
            </w:tcMar>
          </w:tcPr>
          <w:p w14:paraId="78A807A9" w14:textId="77777777" w:rsidR="00FA31A1" w:rsidRPr="00DC67EB" w:rsidRDefault="00FA31A1" w:rsidP="00FA31A1">
            <w:pPr>
              <w:spacing w:before="40" w:after="40"/>
              <w:rPr>
                <w:noProof/>
                <w:sz w:val="22"/>
              </w:rPr>
            </w:pPr>
          </w:p>
        </w:tc>
        <w:tc>
          <w:tcPr>
            <w:tcW w:w="1153" w:type="dxa"/>
            <w:gridSpan w:val="2"/>
            <w:tcMar>
              <w:left w:w="28" w:type="dxa"/>
              <w:right w:w="28" w:type="dxa"/>
            </w:tcMar>
          </w:tcPr>
          <w:p w14:paraId="613AD395" w14:textId="77777777" w:rsidR="00FA31A1" w:rsidRPr="00DC67EB" w:rsidRDefault="00FA31A1" w:rsidP="00FA31A1">
            <w:pPr>
              <w:spacing w:before="40" w:after="40"/>
              <w:rPr>
                <w:noProof/>
                <w:sz w:val="22"/>
              </w:rPr>
            </w:pPr>
          </w:p>
        </w:tc>
        <w:tc>
          <w:tcPr>
            <w:tcW w:w="970" w:type="dxa"/>
            <w:tcMar>
              <w:left w:w="28" w:type="dxa"/>
              <w:right w:w="28" w:type="dxa"/>
            </w:tcMar>
          </w:tcPr>
          <w:p w14:paraId="28D3EF58" w14:textId="77777777" w:rsidR="00FA31A1" w:rsidRPr="00DC67EB" w:rsidRDefault="00FA31A1" w:rsidP="00FA31A1">
            <w:pPr>
              <w:spacing w:before="40" w:after="40"/>
              <w:rPr>
                <w:noProof/>
                <w:sz w:val="22"/>
              </w:rPr>
            </w:pPr>
          </w:p>
        </w:tc>
      </w:tr>
      <w:tr w:rsidR="00DC67EB" w:rsidRPr="00DC67EB" w14:paraId="4D63AB82" w14:textId="77777777" w:rsidTr="00FA31A1">
        <w:trPr>
          <w:gridBefore w:val="1"/>
          <w:wBefore w:w="12" w:type="dxa"/>
          <w:cantSplit/>
          <w:tblHeader/>
          <w:jc w:val="center"/>
        </w:trPr>
        <w:tc>
          <w:tcPr>
            <w:tcW w:w="651" w:type="dxa"/>
            <w:gridSpan w:val="3"/>
            <w:tcMar>
              <w:left w:w="28" w:type="dxa"/>
              <w:right w:w="28" w:type="dxa"/>
            </w:tcMar>
          </w:tcPr>
          <w:p w14:paraId="263B751C" w14:textId="77777777" w:rsidR="00FA31A1" w:rsidRPr="00DC67EB" w:rsidRDefault="00FA31A1" w:rsidP="00FA31A1">
            <w:pPr>
              <w:spacing w:before="40" w:after="40"/>
              <w:rPr>
                <w:noProof/>
                <w:sz w:val="22"/>
              </w:rPr>
            </w:pPr>
            <w:r w:rsidRPr="00DC67EB">
              <w:rPr>
                <w:noProof/>
                <w:sz w:val="22"/>
              </w:rPr>
              <w:t>68.</w:t>
            </w:r>
          </w:p>
        </w:tc>
        <w:tc>
          <w:tcPr>
            <w:tcW w:w="2286" w:type="dxa"/>
            <w:gridSpan w:val="3"/>
            <w:shd w:val="clear" w:color="auto" w:fill="auto"/>
            <w:tcMar>
              <w:left w:w="28" w:type="dxa"/>
              <w:right w:w="28" w:type="dxa"/>
            </w:tcMar>
          </w:tcPr>
          <w:p w14:paraId="52086BD1" w14:textId="77777777" w:rsidR="00FA31A1" w:rsidRPr="00DC67EB" w:rsidRDefault="00FA31A1" w:rsidP="00FA31A1">
            <w:pPr>
              <w:spacing w:before="40" w:after="40"/>
              <w:rPr>
                <w:noProof/>
                <w:sz w:val="22"/>
              </w:rPr>
            </w:pPr>
            <w:r w:rsidRPr="00DC67EB">
              <w:rPr>
                <w:noProof/>
                <w:sz w:val="22"/>
              </w:rPr>
              <w:t>Tiametoxam</w:t>
            </w:r>
          </w:p>
        </w:tc>
        <w:tc>
          <w:tcPr>
            <w:tcW w:w="1329" w:type="dxa"/>
            <w:gridSpan w:val="3"/>
            <w:shd w:val="clear" w:color="auto" w:fill="auto"/>
            <w:tcMar>
              <w:left w:w="28" w:type="dxa"/>
              <w:right w:w="28" w:type="dxa"/>
            </w:tcMar>
          </w:tcPr>
          <w:p w14:paraId="281D170E" w14:textId="77777777" w:rsidR="00FA31A1" w:rsidRPr="00DC67EB" w:rsidRDefault="00FA31A1" w:rsidP="00FA31A1">
            <w:pPr>
              <w:spacing w:before="40" w:after="40"/>
              <w:rPr>
                <w:noProof/>
                <w:sz w:val="22"/>
              </w:rPr>
            </w:pPr>
            <w:r w:rsidRPr="00DC67EB">
              <w:rPr>
                <w:noProof/>
                <w:sz w:val="22"/>
              </w:rPr>
              <w:t>Neonikotinoid peszticidek</w:t>
            </w:r>
          </w:p>
        </w:tc>
        <w:tc>
          <w:tcPr>
            <w:tcW w:w="992" w:type="dxa"/>
            <w:gridSpan w:val="2"/>
            <w:shd w:val="clear" w:color="auto" w:fill="auto"/>
            <w:tcMar>
              <w:left w:w="28" w:type="dxa"/>
              <w:right w:w="28" w:type="dxa"/>
            </w:tcMar>
          </w:tcPr>
          <w:p w14:paraId="7F0A3DA9" w14:textId="77777777" w:rsidR="00FA31A1" w:rsidRPr="00DC67EB" w:rsidRDefault="00FA31A1" w:rsidP="00FA31A1">
            <w:pPr>
              <w:spacing w:before="40" w:after="40"/>
              <w:rPr>
                <w:noProof/>
                <w:sz w:val="22"/>
              </w:rPr>
            </w:pPr>
            <w:r w:rsidRPr="00DC67EB">
              <w:rPr>
                <w:noProof/>
                <w:sz w:val="22"/>
              </w:rPr>
              <w:t>153719-23-4</w:t>
            </w:r>
          </w:p>
        </w:tc>
        <w:tc>
          <w:tcPr>
            <w:tcW w:w="1134" w:type="dxa"/>
          </w:tcPr>
          <w:p w14:paraId="46EC8AD5" w14:textId="77777777" w:rsidR="00FA31A1" w:rsidRPr="00DC67EB" w:rsidRDefault="00FA31A1" w:rsidP="00FA31A1">
            <w:pPr>
              <w:spacing w:before="40" w:after="40"/>
              <w:rPr>
                <w:noProof/>
                <w:sz w:val="22"/>
              </w:rPr>
            </w:pPr>
            <w:r w:rsidRPr="00DC67EB">
              <w:rPr>
                <w:noProof/>
                <w:sz w:val="22"/>
              </w:rPr>
              <w:t>428-650-4</w:t>
            </w:r>
          </w:p>
        </w:tc>
        <w:tc>
          <w:tcPr>
            <w:tcW w:w="1279" w:type="dxa"/>
            <w:gridSpan w:val="2"/>
            <w:shd w:val="clear" w:color="auto" w:fill="auto"/>
            <w:tcMar>
              <w:left w:w="28" w:type="dxa"/>
              <w:right w:w="28" w:type="dxa"/>
            </w:tcMar>
          </w:tcPr>
          <w:p w14:paraId="7B96F2C1" w14:textId="77777777" w:rsidR="00FA31A1" w:rsidRPr="00DC67EB" w:rsidRDefault="00FA31A1" w:rsidP="00FA31A1">
            <w:pPr>
              <w:spacing w:before="40" w:after="40"/>
              <w:rPr>
                <w:noProof/>
                <w:sz w:val="22"/>
              </w:rPr>
            </w:pPr>
            <w:r w:rsidRPr="00DC67EB">
              <w:rPr>
                <w:noProof/>
                <w:sz w:val="22"/>
              </w:rPr>
              <w:t>0,04</w:t>
            </w:r>
          </w:p>
        </w:tc>
        <w:tc>
          <w:tcPr>
            <w:tcW w:w="1279" w:type="dxa"/>
            <w:gridSpan w:val="2"/>
            <w:shd w:val="clear" w:color="auto" w:fill="auto"/>
            <w:tcMar>
              <w:left w:w="28" w:type="dxa"/>
              <w:right w:w="28" w:type="dxa"/>
            </w:tcMar>
          </w:tcPr>
          <w:p w14:paraId="68EBCD19" w14:textId="77777777" w:rsidR="00FA31A1" w:rsidRPr="00DC67EB" w:rsidRDefault="00FA31A1" w:rsidP="00FA31A1">
            <w:pPr>
              <w:spacing w:before="40" w:after="40"/>
              <w:rPr>
                <w:noProof/>
                <w:sz w:val="22"/>
              </w:rPr>
            </w:pPr>
            <w:r w:rsidRPr="00DC67EB">
              <w:rPr>
                <w:noProof/>
                <w:sz w:val="22"/>
              </w:rPr>
              <w:t>0,004</w:t>
            </w:r>
          </w:p>
        </w:tc>
        <w:tc>
          <w:tcPr>
            <w:tcW w:w="1278" w:type="dxa"/>
            <w:gridSpan w:val="2"/>
            <w:shd w:val="clear" w:color="auto" w:fill="auto"/>
            <w:tcMar>
              <w:left w:w="28" w:type="dxa"/>
              <w:right w:w="28" w:type="dxa"/>
            </w:tcMar>
          </w:tcPr>
          <w:p w14:paraId="39282301" w14:textId="77777777" w:rsidR="00FA31A1" w:rsidRPr="00DC67EB" w:rsidRDefault="00FA31A1" w:rsidP="00FA31A1">
            <w:pPr>
              <w:spacing w:before="40" w:after="40"/>
              <w:rPr>
                <w:noProof/>
                <w:sz w:val="22"/>
              </w:rPr>
            </w:pPr>
            <w:r w:rsidRPr="00DC67EB">
              <w:rPr>
                <w:noProof/>
                <w:sz w:val="22"/>
              </w:rPr>
              <w:t>0,77</w:t>
            </w:r>
          </w:p>
        </w:tc>
        <w:tc>
          <w:tcPr>
            <w:tcW w:w="1277" w:type="dxa"/>
            <w:gridSpan w:val="2"/>
            <w:shd w:val="clear" w:color="auto" w:fill="auto"/>
            <w:tcMar>
              <w:left w:w="28" w:type="dxa"/>
              <w:right w:w="28" w:type="dxa"/>
            </w:tcMar>
          </w:tcPr>
          <w:p w14:paraId="53D3BEEB" w14:textId="77777777" w:rsidR="00FA31A1" w:rsidRPr="00DC67EB" w:rsidRDefault="00FA31A1" w:rsidP="00FA31A1">
            <w:pPr>
              <w:spacing w:before="40" w:after="40"/>
              <w:rPr>
                <w:noProof/>
                <w:sz w:val="22"/>
              </w:rPr>
            </w:pPr>
            <w:r w:rsidRPr="00DC67EB">
              <w:rPr>
                <w:noProof/>
                <w:sz w:val="22"/>
              </w:rPr>
              <w:t>0,077</w:t>
            </w:r>
          </w:p>
        </w:tc>
        <w:tc>
          <w:tcPr>
            <w:tcW w:w="1136" w:type="dxa"/>
            <w:gridSpan w:val="2"/>
            <w:shd w:val="clear" w:color="auto" w:fill="auto"/>
            <w:tcMar>
              <w:left w:w="28" w:type="dxa"/>
              <w:right w:w="28" w:type="dxa"/>
            </w:tcMar>
          </w:tcPr>
          <w:p w14:paraId="7D502A3D" w14:textId="77777777" w:rsidR="00FA31A1" w:rsidRPr="00DC67EB" w:rsidRDefault="00FA31A1" w:rsidP="00FA31A1">
            <w:pPr>
              <w:spacing w:before="40" w:after="40"/>
              <w:rPr>
                <w:noProof/>
                <w:sz w:val="22"/>
              </w:rPr>
            </w:pPr>
          </w:p>
        </w:tc>
        <w:tc>
          <w:tcPr>
            <w:tcW w:w="1262" w:type="dxa"/>
            <w:tcMar>
              <w:left w:w="28" w:type="dxa"/>
              <w:right w:w="28" w:type="dxa"/>
            </w:tcMar>
          </w:tcPr>
          <w:p w14:paraId="07716372" w14:textId="77777777" w:rsidR="00FA31A1" w:rsidRPr="00DC67EB" w:rsidRDefault="00FA31A1" w:rsidP="00FA31A1">
            <w:pPr>
              <w:spacing w:before="40" w:after="40"/>
              <w:rPr>
                <w:noProof/>
                <w:sz w:val="22"/>
              </w:rPr>
            </w:pPr>
          </w:p>
        </w:tc>
        <w:tc>
          <w:tcPr>
            <w:tcW w:w="1153" w:type="dxa"/>
            <w:gridSpan w:val="2"/>
            <w:tcMar>
              <w:left w:w="28" w:type="dxa"/>
              <w:right w:w="28" w:type="dxa"/>
            </w:tcMar>
          </w:tcPr>
          <w:p w14:paraId="2400B481" w14:textId="77777777" w:rsidR="00FA31A1" w:rsidRPr="00DC67EB" w:rsidRDefault="00FA31A1" w:rsidP="00FA31A1">
            <w:pPr>
              <w:spacing w:before="40" w:after="40"/>
              <w:rPr>
                <w:noProof/>
                <w:sz w:val="22"/>
              </w:rPr>
            </w:pPr>
          </w:p>
        </w:tc>
        <w:tc>
          <w:tcPr>
            <w:tcW w:w="970" w:type="dxa"/>
            <w:tcMar>
              <w:left w:w="28" w:type="dxa"/>
              <w:right w:w="28" w:type="dxa"/>
            </w:tcMar>
          </w:tcPr>
          <w:p w14:paraId="4A197328" w14:textId="77777777" w:rsidR="00FA31A1" w:rsidRPr="00DC67EB" w:rsidRDefault="00FA31A1" w:rsidP="00FA31A1">
            <w:pPr>
              <w:spacing w:before="40" w:after="40"/>
              <w:rPr>
                <w:noProof/>
                <w:sz w:val="22"/>
              </w:rPr>
            </w:pPr>
          </w:p>
        </w:tc>
      </w:tr>
      <w:tr w:rsidR="00DC67EB" w:rsidRPr="00DC67EB" w14:paraId="63087CD6" w14:textId="77777777" w:rsidTr="00FA31A1">
        <w:trPr>
          <w:gridBefore w:val="1"/>
          <w:wBefore w:w="12" w:type="dxa"/>
          <w:cantSplit/>
          <w:tblHeader/>
          <w:jc w:val="center"/>
        </w:trPr>
        <w:tc>
          <w:tcPr>
            <w:tcW w:w="651" w:type="dxa"/>
            <w:gridSpan w:val="3"/>
            <w:tcMar>
              <w:left w:w="28" w:type="dxa"/>
              <w:right w:w="28" w:type="dxa"/>
            </w:tcMar>
          </w:tcPr>
          <w:p w14:paraId="03B77C3D" w14:textId="77777777" w:rsidR="00FA31A1" w:rsidRPr="00DC67EB" w:rsidRDefault="00FA31A1" w:rsidP="00FA31A1">
            <w:pPr>
              <w:spacing w:before="40" w:after="40"/>
              <w:rPr>
                <w:noProof/>
                <w:sz w:val="22"/>
              </w:rPr>
            </w:pPr>
            <w:r w:rsidRPr="00DC67EB">
              <w:rPr>
                <w:noProof/>
                <w:sz w:val="22"/>
              </w:rPr>
              <w:t>69.</w:t>
            </w:r>
          </w:p>
        </w:tc>
        <w:tc>
          <w:tcPr>
            <w:tcW w:w="2286" w:type="dxa"/>
            <w:gridSpan w:val="3"/>
            <w:shd w:val="clear" w:color="auto" w:fill="auto"/>
            <w:tcMar>
              <w:left w:w="28" w:type="dxa"/>
              <w:right w:w="28" w:type="dxa"/>
            </w:tcMar>
          </w:tcPr>
          <w:p w14:paraId="3125D3C1" w14:textId="77777777" w:rsidR="00FA31A1" w:rsidRPr="00DC67EB" w:rsidRDefault="00FA31A1" w:rsidP="00FA31A1">
            <w:pPr>
              <w:spacing w:before="40" w:after="40"/>
              <w:rPr>
                <w:noProof/>
                <w:sz w:val="22"/>
              </w:rPr>
            </w:pPr>
            <w:r w:rsidRPr="00DC67EB">
              <w:rPr>
                <w:noProof/>
                <w:sz w:val="22"/>
              </w:rPr>
              <w:t>Triklozán</w:t>
            </w:r>
          </w:p>
        </w:tc>
        <w:tc>
          <w:tcPr>
            <w:tcW w:w="1329" w:type="dxa"/>
            <w:gridSpan w:val="3"/>
            <w:shd w:val="clear" w:color="auto" w:fill="auto"/>
            <w:tcMar>
              <w:left w:w="28" w:type="dxa"/>
              <w:right w:w="28" w:type="dxa"/>
            </w:tcMar>
          </w:tcPr>
          <w:p w14:paraId="1339514F" w14:textId="77777777" w:rsidR="00FA31A1" w:rsidRPr="00DC67EB" w:rsidRDefault="00FA31A1" w:rsidP="00FA31A1">
            <w:pPr>
              <w:spacing w:before="40" w:after="40"/>
              <w:rPr>
                <w:noProof/>
                <w:sz w:val="22"/>
              </w:rPr>
            </w:pPr>
            <w:r w:rsidRPr="00DC67EB">
              <w:rPr>
                <w:noProof/>
                <w:sz w:val="22"/>
              </w:rPr>
              <w:t>Biocidok</w:t>
            </w:r>
          </w:p>
        </w:tc>
        <w:tc>
          <w:tcPr>
            <w:tcW w:w="992" w:type="dxa"/>
            <w:gridSpan w:val="2"/>
            <w:shd w:val="clear" w:color="auto" w:fill="auto"/>
            <w:tcMar>
              <w:left w:w="28" w:type="dxa"/>
              <w:right w:w="28" w:type="dxa"/>
            </w:tcMar>
          </w:tcPr>
          <w:p w14:paraId="18F0EE09" w14:textId="77777777" w:rsidR="00FA31A1" w:rsidRPr="00DC67EB" w:rsidRDefault="00FA31A1" w:rsidP="00FA31A1">
            <w:pPr>
              <w:spacing w:before="40" w:after="40"/>
              <w:rPr>
                <w:noProof/>
                <w:sz w:val="22"/>
              </w:rPr>
            </w:pPr>
            <w:r w:rsidRPr="00DC67EB">
              <w:rPr>
                <w:noProof/>
                <w:sz w:val="22"/>
              </w:rPr>
              <w:t>3380-34-5</w:t>
            </w:r>
          </w:p>
        </w:tc>
        <w:tc>
          <w:tcPr>
            <w:tcW w:w="1134" w:type="dxa"/>
          </w:tcPr>
          <w:p w14:paraId="6DE89ACB" w14:textId="77777777" w:rsidR="00FA31A1" w:rsidRPr="00DC67EB" w:rsidRDefault="00FA31A1" w:rsidP="00FA31A1">
            <w:pPr>
              <w:spacing w:before="40" w:after="40"/>
              <w:rPr>
                <w:noProof/>
                <w:sz w:val="22"/>
              </w:rPr>
            </w:pPr>
            <w:r w:rsidRPr="00DC67EB">
              <w:rPr>
                <w:noProof/>
                <w:sz w:val="22"/>
              </w:rPr>
              <w:t>222-182-2</w:t>
            </w:r>
          </w:p>
        </w:tc>
        <w:tc>
          <w:tcPr>
            <w:tcW w:w="1279" w:type="dxa"/>
            <w:gridSpan w:val="2"/>
            <w:shd w:val="clear" w:color="auto" w:fill="auto"/>
            <w:tcMar>
              <w:left w:w="28" w:type="dxa"/>
              <w:right w:w="28" w:type="dxa"/>
            </w:tcMar>
          </w:tcPr>
          <w:p w14:paraId="0F87618C" w14:textId="77777777" w:rsidR="00FA31A1" w:rsidRPr="00DC67EB" w:rsidRDefault="00FA31A1" w:rsidP="00FA31A1">
            <w:pPr>
              <w:spacing w:before="40" w:after="40"/>
              <w:rPr>
                <w:noProof/>
                <w:sz w:val="22"/>
              </w:rPr>
            </w:pPr>
            <w:r w:rsidRPr="00DC67EB">
              <w:rPr>
                <w:noProof/>
                <w:sz w:val="22"/>
              </w:rPr>
              <w:t>0,02</w:t>
            </w:r>
          </w:p>
        </w:tc>
        <w:tc>
          <w:tcPr>
            <w:tcW w:w="1279" w:type="dxa"/>
            <w:gridSpan w:val="2"/>
            <w:shd w:val="clear" w:color="auto" w:fill="auto"/>
            <w:tcMar>
              <w:left w:w="28" w:type="dxa"/>
              <w:right w:w="28" w:type="dxa"/>
            </w:tcMar>
          </w:tcPr>
          <w:p w14:paraId="57B5FED1" w14:textId="77777777" w:rsidR="00FA31A1" w:rsidRPr="00DC67EB" w:rsidRDefault="00FA31A1" w:rsidP="00FA31A1">
            <w:pPr>
              <w:spacing w:before="40" w:after="40"/>
              <w:rPr>
                <w:noProof/>
                <w:sz w:val="22"/>
              </w:rPr>
            </w:pPr>
            <w:r w:rsidRPr="00DC67EB">
              <w:rPr>
                <w:noProof/>
                <w:sz w:val="22"/>
              </w:rPr>
              <w:t>0,002</w:t>
            </w:r>
          </w:p>
        </w:tc>
        <w:tc>
          <w:tcPr>
            <w:tcW w:w="1278" w:type="dxa"/>
            <w:gridSpan w:val="2"/>
            <w:shd w:val="clear" w:color="auto" w:fill="auto"/>
            <w:tcMar>
              <w:left w:w="28" w:type="dxa"/>
              <w:right w:w="28" w:type="dxa"/>
            </w:tcMar>
          </w:tcPr>
          <w:p w14:paraId="7BFD7249" w14:textId="77777777" w:rsidR="00FA31A1" w:rsidRPr="00DC67EB" w:rsidRDefault="00FA31A1" w:rsidP="00FA31A1">
            <w:pPr>
              <w:spacing w:before="40" w:after="40"/>
              <w:rPr>
                <w:noProof/>
                <w:sz w:val="22"/>
              </w:rPr>
            </w:pPr>
            <w:r w:rsidRPr="00DC67EB">
              <w:rPr>
                <w:noProof/>
                <w:sz w:val="22"/>
              </w:rPr>
              <w:t>0,02</w:t>
            </w:r>
          </w:p>
        </w:tc>
        <w:tc>
          <w:tcPr>
            <w:tcW w:w="1277" w:type="dxa"/>
            <w:gridSpan w:val="2"/>
            <w:shd w:val="clear" w:color="auto" w:fill="auto"/>
            <w:tcMar>
              <w:left w:w="28" w:type="dxa"/>
              <w:right w:w="28" w:type="dxa"/>
            </w:tcMar>
          </w:tcPr>
          <w:p w14:paraId="45165CF8" w14:textId="77777777" w:rsidR="00FA31A1" w:rsidRPr="00DC67EB" w:rsidRDefault="00FA31A1" w:rsidP="00FA31A1">
            <w:pPr>
              <w:spacing w:before="40" w:after="40"/>
              <w:rPr>
                <w:noProof/>
                <w:sz w:val="22"/>
              </w:rPr>
            </w:pPr>
            <w:r w:rsidRPr="00DC67EB">
              <w:rPr>
                <w:noProof/>
                <w:sz w:val="22"/>
              </w:rPr>
              <w:t>0,002</w:t>
            </w:r>
          </w:p>
        </w:tc>
        <w:tc>
          <w:tcPr>
            <w:tcW w:w="1136" w:type="dxa"/>
            <w:gridSpan w:val="2"/>
            <w:shd w:val="clear" w:color="auto" w:fill="auto"/>
            <w:tcMar>
              <w:left w:w="28" w:type="dxa"/>
              <w:right w:w="28" w:type="dxa"/>
            </w:tcMar>
          </w:tcPr>
          <w:p w14:paraId="05F97914" w14:textId="77777777" w:rsidR="00FA31A1" w:rsidRPr="00DC67EB" w:rsidRDefault="00FA31A1" w:rsidP="00FA31A1">
            <w:pPr>
              <w:spacing w:before="40" w:after="40"/>
              <w:rPr>
                <w:noProof/>
                <w:sz w:val="22"/>
              </w:rPr>
            </w:pPr>
          </w:p>
        </w:tc>
        <w:tc>
          <w:tcPr>
            <w:tcW w:w="1262" w:type="dxa"/>
            <w:tcMar>
              <w:left w:w="28" w:type="dxa"/>
              <w:right w:w="28" w:type="dxa"/>
            </w:tcMar>
          </w:tcPr>
          <w:p w14:paraId="4EA6A5B8" w14:textId="77777777" w:rsidR="00FA31A1" w:rsidRPr="00DC67EB" w:rsidRDefault="00FA31A1" w:rsidP="00FA31A1">
            <w:pPr>
              <w:spacing w:before="40" w:after="40"/>
              <w:rPr>
                <w:noProof/>
                <w:sz w:val="22"/>
              </w:rPr>
            </w:pPr>
          </w:p>
        </w:tc>
        <w:tc>
          <w:tcPr>
            <w:tcW w:w="1153" w:type="dxa"/>
            <w:gridSpan w:val="2"/>
            <w:tcMar>
              <w:left w:w="28" w:type="dxa"/>
              <w:right w:w="28" w:type="dxa"/>
            </w:tcMar>
          </w:tcPr>
          <w:p w14:paraId="6A30592F" w14:textId="77777777" w:rsidR="00FA31A1" w:rsidRPr="00DC67EB" w:rsidRDefault="00FA31A1" w:rsidP="00FA31A1">
            <w:pPr>
              <w:spacing w:before="40" w:after="40"/>
              <w:rPr>
                <w:noProof/>
                <w:sz w:val="22"/>
              </w:rPr>
            </w:pPr>
          </w:p>
        </w:tc>
        <w:tc>
          <w:tcPr>
            <w:tcW w:w="970" w:type="dxa"/>
            <w:tcMar>
              <w:left w:w="28" w:type="dxa"/>
              <w:right w:w="28" w:type="dxa"/>
            </w:tcMar>
          </w:tcPr>
          <w:p w14:paraId="5BDA5C01" w14:textId="77777777" w:rsidR="00FA31A1" w:rsidRPr="00DC67EB" w:rsidRDefault="00FA31A1" w:rsidP="00FA31A1">
            <w:pPr>
              <w:spacing w:before="40" w:after="40"/>
              <w:rPr>
                <w:noProof/>
                <w:sz w:val="22"/>
              </w:rPr>
            </w:pPr>
          </w:p>
        </w:tc>
      </w:tr>
      <w:tr w:rsidR="00DC67EB" w:rsidRPr="00DC67EB" w14:paraId="691F1B85" w14:textId="77777777" w:rsidTr="00FA31A1">
        <w:trPr>
          <w:gridBefore w:val="1"/>
          <w:wBefore w:w="12" w:type="dxa"/>
          <w:cantSplit/>
          <w:tblHeader/>
          <w:jc w:val="center"/>
        </w:trPr>
        <w:tc>
          <w:tcPr>
            <w:tcW w:w="651" w:type="dxa"/>
            <w:gridSpan w:val="3"/>
            <w:tcMar>
              <w:left w:w="28" w:type="dxa"/>
              <w:right w:w="28" w:type="dxa"/>
            </w:tcMar>
          </w:tcPr>
          <w:p w14:paraId="57A9FBDA" w14:textId="77777777" w:rsidR="00FA31A1" w:rsidRPr="00DC67EB" w:rsidRDefault="00FA31A1" w:rsidP="00FA31A1">
            <w:pPr>
              <w:spacing w:before="40" w:after="40"/>
              <w:rPr>
                <w:noProof/>
                <w:sz w:val="22"/>
              </w:rPr>
            </w:pPr>
            <w:r w:rsidRPr="00DC67EB">
              <w:rPr>
                <w:noProof/>
                <w:sz w:val="22"/>
              </w:rPr>
              <w:t>70.</w:t>
            </w:r>
          </w:p>
        </w:tc>
        <w:tc>
          <w:tcPr>
            <w:tcW w:w="2286" w:type="dxa"/>
            <w:gridSpan w:val="3"/>
            <w:shd w:val="clear" w:color="auto" w:fill="auto"/>
            <w:tcMar>
              <w:left w:w="28" w:type="dxa"/>
              <w:right w:w="28" w:type="dxa"/>
            </w:tcMar>
          </w:tcPr>
          <w:p w14:paraId="2F2FB96E" w14:textId="77777777" w:rsidR="00FA31A1" w:rsidRPr="00DC67EB" w:rsidRDefault="00FA31A1" w:rsidP="00FA31A1">
            <w:pPr>
              <w:spacing w:before="40" w:after="40"/>
              <w:rPr>
                <w:noProof/>
                <w:sz w:val="22"/>
              </w:rPr>
            </w:pPr>
            <w:r w:rsidRPr="00DC67EB">
              <w:rPr>
                <w:noProof/>
                <w:sz w:val="22"/>
              </w:rPr>
              <w:t>Peszticidek összes hatóanyaga, beleértve megfelelő anyagcseretermékeiket, bomlástermékeiket és reakciótermékeiket (</w:t>
            </w:r>
            <w:r w:rsidRPr="00DC67EB">
              <w:rPr>
                <w:noProof/>
                <w:sz w:val="22"/>
                <w:vertAlign w:val="superscript"/>
              </w:rPr>
              <w:t>29</w:t>
            </w:r>
            <w:r w:rsidRPr="00DC67EB">
              <w:rPr>
                <w:noProof/>
                <w:sz w:val="22"/>
              </w:rPr>
              <w:t>)</w:t>
            </w:r>
          </w:p>
        </w:tc>
        <w:tc>
          <w:tcPr>
            <w:tcW w:w="1329" w:type="dxa"/>
            <w:gridSpan w:val="3"/>
            <w:shd w:val="clear" w:color="auto" w:fill="auto"/>
            <w:tcMar>
              <w:left w:w="28" w:type="dxa"/>
              <w:right w:w="28" w:type="dxa"/>
            </w:tcMar>
          </w:tcPr>
          <w:p w14:paraId="54E985A1" w14:textId="77777777" w:rsidR="00FA31A1" w:rsidRPr="00DC67EB" w:rsidRDefault="00FA31A1" w:rsidP="00FA31A1">
            <w:pPr>
              <w:spacing w:before="40" w:after="40"/>
              <w:rPr>
                <w:noProof/>
                <w:sz w:val="22"/>
              </w:rPr>
            </w:pPr>
            <w:r w:rsidRPr="00DC67EB">
              <w:rPr>
                <w:noProof/>
                <w:sz w:val="22"/>
              </w:rPr>
              <w:t>Növényvédő szerek és biocidok</w:t>
            </w:r>
          </w:p>
        </w:tc>
        <w:tc>
          <w:tcPr>
            <w:tcW w:w="992" w:type="dxa"/>
            <w:gridSpan w:val="2"/>
            <w:shd w:val="clear" w:color="auto" w:fill="auto"/>
            <w:tcMar>
              <w:left w:w="28" w:type="dxa"/>
              <w:right w:w="28" w:type="dxa"/>
            </w:tcMar>
          </w:tcPr>
          <w:p w14:paraId="1DB85512" w14:textId="77777777" w:rsidR="00FA31A1" w:rsidRPr="00DC67EB" w:rsidRDefault="00FA31A1" w:rsidP="00FA31A1">
            <w:pPr>
              <w:spacing w:before="40" w:after="40"/>
              <w:rPr>
                <w:noProof/>
                <w:sz w:val="22"/>
              </w:rPr>
            </w:pPr>
          </w:p>
        </w:tc>
        <w:tc>
          <w:tcPr>
            <w:tcW w:w="1134" w:type="dxa"/>
          </w:tcPr>
          <w:p w14:paraId="43A45660" w14:textId="77777777" w:rsidR="00FA31A1" w:rsidRPr="00DC67EB" w:rsidRDefault="00FA31A1" w:rsidP="00FA31A1">
            <w:pPr>
              <w:spacing w:before="40" w:after="40"/>
              <w:rPr>
                <w:noProof/>
                <w:sz w:val="22"/>
              </w:rPr>
            </w:pPr>
          </w:p>
        </w:tc>
        <w:tc>
          <w:tcPr>
            <w:tcW w:w="1279" w:type="dxa"/>
            <w:gridSpan w:val="2"/>
            <w:shd w:val="clear" w:color="auto" w:fill="auto"/>
            <w:tcMar>
              <w:left w:w="28" w:type="dxa"/>
              <w:right w:w="28" w:type="dxa"/>
            </w:tcMar>
          </w:tcPr>
          <w:p w14:paraId="12927B9E" w14:textId="77777777" w:rsidR="00FA31A1" w:rsidRPr="00DC67EB" w:rsidRDefault="00FA31A1" w:rsidP="00FA31A1">
            <w:pPr>
              <w:spacing w:before="40" w:after="40"/>
              <w:rPr>
                <w:noProof/>
                <w:sz w:val="22"/>
              </w:rPr>
            </w:pPr>
            <w:r w:rsidRPr="00DC67EB">
              <w:rPr>
                <w:noProof/>
                <w:sz w:val="22"/>
              </w:rPr>
              <w:t>0,5 (</w:t>
            </w:r>
            <w:r w:rsidRPr="00DC67EB">
              <w:rPr>
                <w:noProof/>
                <w:sz w:val="22"/>
                <w:vertAlign w:val="superscript"/>
              </w:rPr>
              <w:t>30</w:t>
            </w:r>
            <w:r w:rsidRPr="00DC67EB">
              <w:rPr>
                <w:noProof/>
                <w:sz w:val="22"/>
              </w:rPr>
              <w:t>)</w:t>
            </w:r>
          </w:p>
        </w:tc>
        <w:tc>
          <w:tcPr>
            <w:tcW w:w="1279" w:type="dxa"/>
            <w:gridSpan w:val="2"/>
            <w:shd w:val="clear" w:color="auto" w:fill="auto"/>
            <w:tcMar>
              <w:left w:w="28" w:type="dxa"/>
              <w:right w:w="28" w:type="dxa"/>
            </w:tcMar>
          </w:tcPr>
          <w:p w14:paraId="189D0E9A" w14:textId="77777777" w:rsidR="00FA31A1" w:rsidRPr="00DC67EB" w:rsidRDefault="00FA31A1" w:rsidP="00FA31A1">
            <w:pPr>
              <w:spacing w:before="40" w:after="40"/>
              <w:rPr>
                <w:noProof/>
                <w:sz w:val="22"/>
              </w:rPr>
            </w:pPr>
            <w:r w:rsidRPr="00DC67EB">
              <w:rPr>
                <w:noProof/>
                <w:sz w:val="22"/>
              </w:rPr>
              <w:t>0,5 (</w:t>
            </w:r>
            <w:r w:rsidRPr="00DC67EB">
              <w:rPr>
                <w:noProof/>
                <w:sz w:val="22"/>
                <w:vertAlign w:val="superscript"/>
              </w:rPr>
              <w:t>30</w:t>
            </w:r>
            <w:r w:rsidRPr="00DC67EB">
              <w:rPr>
                <w:noProof/>
                <w:sz w:val="22"/>
              </w:rPr>
              <w:t>)</w:t>
            </w:r>
          </w:p>
        </w:tc>
        <w:tc>
          <w:tcPr>
            <w:tcW w:w="1278" w:type="dxa"/>
            <w:gridSpan w:val="2"/>
            <w:shd w:val="clear" w:color="auto" w:fill="auto"/>
            <w:tcMar>
              <w:left w:w="28" w:type="dxa"/>
              <w:right w:w="28" w:type="dxa"/>
            </w:tcMar>
          </w:tcPr>
          <w:p w14:paraId="5C45F83E" w14:textId="77777777" w:rsidR="00FA31A1" w:rsidRPr="00DC67EB" w:rsidRDefault="00FA31A1" w:rsidP="00FA31A1">
            <w:pPr>
              <w:spacing w:before="40" w:after="40"/>
              <w:rPr>
                <w:noProof/>
                <w:sz w:val="22"/>
              </w:rPr>
            </w:pPr>
          </w:p>
        </w:tc>
        <w:tc>
          <w:tcPr>
            <w:tcW w:w="1277" w:type="dxa"/>
            <w:gridSpan w:val="2"/>
            <w:shd w:val="clear" w:color="auto" w:fill="auto"/>
            <w:tcMar>
              <w:left w:w="28" w:type="dxa"/>
              <w:right w:w="28" w:type="dxa"/>
            </w:tcMar>
          </w:tcPr>
          <w:p w14:paraId="03515B9D" w14:textId="77777777" w:rsidR="00FA31A1" w:rsidRPr="00DC67EB" w:rsidRDefault="00FA31A1" w:rsidP="00FA31A1">
            <w:pPr>
              <w:spacing w:before="40" w:after="40"/>
              <w:rPr>
                <w:noProof/>
                <w:sz w:val="22"/>
              </w:rPr>
            </w:pPr>
          </w:p>
        </w:tc>
        <w:tc>
          <w:tcPr>
            <w:tcW w:w="1136" w:type="dxa"/>
            <w:gridSpan w:val="2"/>
            <w:shd w:val="clear" w:color="auto" w:fill="auto"/>
            <w:tcMar>
              <w:left w:w="28" w:type="dxa"/>
              <w:right w:w="28" w:type="dxa"/>
            </w:tcMar>
          </w:tcPr>
          <w:p w14:paraId="63343787" w14:textId="77777777" w:rsidR="00FA31A1" w:rsidRPr="00DC67EB" w:rsidRDefault="00FA31A1" w:rsidP="00FA31A1">
            <w:pPr>
              <w:spacing w:before="40" w:after="40"/>
              <w:rPr>
                <w:noProof/>
                <w:sz w:val="22"/>
              </w:rPr>
            </w:pPr>
          </w:p>
        </w:tc>
        <w:tc>
          <w:tcPr>
            <w:tcW w:w="1262" w:type="dxa"/>
            <w:tcMar>
              <w:left w:w="28" w:type="dxa"/>
              <w:right w:w="28" w:type="dxa"/>
            </w:tcMar>
          </w:tcPr>
          <w:p w14:paraId="6543174D" w14:textId="77777777" w:rsidR="00FA31A1" w:rsidRPr="00DC67EB" w:rsidRDefault="00FA31A1" w:rsidP="00FA31A1">
            <w:pPr>
              <w:spacing w:before="40" w:after="40"/>
              <w:rPr>
                <w:noProof/>
                <w:sz w:val="22"/>
              </w:rPr>
            </w:pPr>
          </w:p>
        </w:tc>
        <w:tc>
          <w:tcPr>
            <w:tcW w:w="1153" w:type="dxa"/>
            <w:gridSpan w:val="2"/>
            <w:tcMar>
              <w:left w:w="28" w:type="dxa"/>
              <w:right w:w="28" w:type="dxa"/>
            </w:tcMar>
          </w:tcPr>
          <w:p w14:paraId="59E1CCF9" w14:textId="77777777" w:rsidR="00FA31A1" w:rsidRPr="00DC67EB" w:rsidRDefault="00FA31A1" w:rsidP="00FA31A1">
            <w:pPr>
              <w:spacing w:before="40" w:after="40"/>
              <w:rPr>
                <w:noProof/>
                <w:sz w:val="22"/>
              </w:rPr>
            </w:pPr>
          </w:p>
        </w:tc>
        <w:tc>
          <w:tcPr>
            <w:tcW w:w="970" w:type="dxa"/>
            <w:tcMar>
              <w:left w:w="28" w:type="dxa"/>
              <w:right w:w="28" w:type="dxa"/>
            </w:tcMar>
          </w:tcPr>
          <w:p w14:paraId="46814ACB" w14:textId="77777777" w:rsidR="00FA31A1" w:rsidRPr="00DC67EB" w:rsidRDefault="00FA31A1" w:rsidP="00FA31A1">
            <w:pPr>
              <w:spacing w:before="40" w:after="40"/>
              <w:rPr>
                <w:noProof/>
                <w:sz w:val="22"/>
              </w:rPr>
            </w:pPr>
          </w:p>
        </w:tc>
      </w:tr>
      <w:tr w:rsidR="00E741E1" w:rsidRPr="00E741E1" w14:paraId="5EEFDA2C" w14:textId="77777777" w:rsidTr="00FA31A1">
        <w:trPr>
          <w:gridBefore w:val="1"/>
          <w:wBefore w:w="12" w:type="dxa"/>
          <w:cantSplit/>
          <w:tblHeader/>
          <w:jc w:val="center"/>
        </w:trPr>
        <w:tc>
          <w:tcPr>
            <w:tcW w:w="651" w:type="dxa"/>
            <w:gridSpan w:val="3"/>
            <w:tcMar>
              <w:left w:w="28" w:type="dxa"/>
              <w:right w:w="28" w:type="dxa"/>
            </w:tcMar>
          </w:tcPr>
          <w:p w14:paraId="5D4E3FCE" w14:textId="6F48B557" w:rsidR="00E741E1" w:rsidRPr="00E741E1" w:rsidRDefault="00E741E1" w:rsidP="00E741E1">
            <w:pPr>
              <w:spacing w:before="40" w:after="40"/>
              <w:rPr>
                <w:b/>
                <w:i/>
                <w:noProof/>
                <w:szCs w:val="24"/>
              </w:rPr>
            </w:pPr>
            <w:r w:rsidRPr="00DC67EB">
              <w:rPr>
                <w:b/>
                <w:i/>
                <w:noProof/>
                <w:sz w:val="22"/>
              </w:rPr>
              <w:t>70a.</w:t>
            </w:r>
            <w:r w:rsidRPr="00DC67EB">
              <w:rPr>
                <w:b/>
                <w:noProof/>
                <w:sz w:val="22"/>
              </w:rPr>
              <w:t xml:space="preserve"> [Mód. 15</w:t>
            </w:r>
            <w:r>
              <w:rPr>
                <w:b/>
                <w:noProof/>
                <w:sz w:val="22"/>
              </w:rPr>
              <w:t>2</w:t>
            </w:r>
            <w:r w:rsidRPr="00DC67EB">
              <w:rPr>
                <w:b/>
                <w:noProof/>
                <w:sz w:val="22"/>
              </w:rPr>
              <w:t>]</w:t>
            </w:r>
          </w:p>
        </w:tc>
        <w:tc>
          <w:tcPr>
            <w:tcW w:w="2286" w:type="dxa"/>
            <w:gridSpan w:val="3"/>
            <w:shd w:val="clear" w:color="auto" w:fill="auto"/>
            <w:tcMar>
              <w:left w:w="28" w:type="dxa"/>
              <w:right w:w="28" w:type="dxa"/>
            </w:tcMar>
          </w:tcPr>
          <w:p w14:paraId="1DF2A053" w14:textId="509706FC" w:rsidR="00E741E1" w:rsidRPr="00E741E1" w:rsidRDefault="00E741E1" w:rsidP="00E741E1">
            <w:pPr>
              <w:spacing w:before="40" w:after="40"/>
              <w:rPr>
                <w:b/>
                <w:i/>
                <w:noProof/>
                <w:szCs w:val="24"/>
              </w:rPr>
            </w:pPr>
            <w:r w:rsidRPr="00E741E1">
              <w:rPr>
                <w:b/>
                <w:i/>
                <w:szCs w:val="24"/>
              </w:rPr>
              <w:t>Biszfenolok</w:t>
            </w:r>
          </w:p>
        </w:tc>
        <w:tc>
          <w:tcPr>
            <w:tcW w:w="1329" w:type="dxa"/>
            <w:gridSpan w:val="3"/>
            <w:shd w:val="clear" w:color="auto" w:fill="auto"/>
            <w:tcMar>
              <w:left w:w="28" w:type="dxa"/>
              <w:right w:w="28" w:type="dxa"/>
            </w:tcMar>
          </w:tcPr>
          <w:p w14:paraId="7FFD457F" w14:textId="4CF3D713" w:rsidR="00E741E1" w:rsidRPr="00E741E1" w:rsidRDefault="00E741E1" w:rsidP="00E741E1">
            <w:pPr>
              <w:spacing w:before="40" w:after="40"/>
              <w:rPr>
                <w:b/>
                <w:i/>
                <w:szCs w:val="24"/>
              </w:rPr>
            </w:pPr>
            <w:r w:rsidRPr="00E741E1">
              <w:rPr>
                <w:b/>
                <w:i/>
                <w:szCs w:val="24"/>
              </w:rPr>
              <w:t>Ipari vegyi anyagok</w:t>
            </w:r>
          </w:p>
        </w:tc>
        <w:tc>
          <w:tcPr>
            <w:tcW w:w="992" w:type="dxa"/>
            <w:gridSpan w:val="2"/>
            <w:shd w:val="clear" w:color="auto" w:fill="auto"/>
            <w:tcMar>
              <w:left w:w="28" w:type="dxa"/>
              <w:right w:w="28" w:type="dxa"/>
            </w:tcMar>
          </w:tcPr>
          <w:p w14:paraId="326025EE" w14:textId="418ED276" w:rsidR="00E741E1" w:rsidRPr="00E741E1" w:rsidRDefault="00E741E1" w:rsidP="00E741E1">
            <w:pPr>
              <w:spacing w:before="40" w:after="40"/>
              <w:rPr>
                <w:b/>
                <w:i/>
                <w:szCs w:val="24"/>
              </w:rPr>
            </w:pPr>
            <w:r w:rsidRPr="00E741E1">
              <w:rPr>
                <w:b/>
                <w:i/>
                <w:szCs w:val="24"/>
              </w:rPr>
              <w:t>nem alkalmazható</w:t>
            </w:r>
          </w:p>
        </w:tc>
        <w:tc>
          <w:tcPr>
            <w:tcW w:w="1134" w:type="dxa"/>
          </w:tcPr>
          <w:p w14:paraId="2D9BDAA0" w14:textId="1F2CDB8D" w:rsidR="00E741E1" w:rsidRPr="00E741E1" w:rsidRDefault="00E741E1" w:rsidP="00E741E1">
            <w:pPr>
              <w:spacing w:before="40" w:after="40"/>
              <w:rPr>
                <w:b/>
                <w:i/>
                <w:szCs w:val="24"/>
              </w:rPr>
            </w:pPr>
            <w:r w:rsidRPr="00E741E1">
              <w:rPr>
                <w:b/>
                <w:i/>
                <w:szCs w:val="24"/>
              </w:rPr>
              <w:t>nem alkalmazható</w:t>
            </w:r>
          </w:p>
        </w:tc>
        <w:tc>
          <w:tcPr>
            <w:tcW w:w="1279" w:type="dxa"/>
            <w:gridSpan w:val="2"/>
            <w:shd w:val="clear" w:color="auto" w:fill="auto"/>
            <w:tcMar>
              <w:left w:w="28" w:type="dxa"/>
              <w:right w:w="28" w:type="dxa"/>
            </w:tcMar>
          </w:tcPr>
          <w:p w14:paraId="4F1F0AAF" w14:textId="16EF6C2B" w:rsidR="00E741E1" w:rsidRPr="00E741E1" w:rsidRDefault="00E741E1" w:rsidP="00E741E1">
            <w:pPr>
              <w:spacing w:before="40" w:after="40"/>
              <w:rPr>
                <w:b/>
                <w:i/>
                <w:szCs w:val="24"/>
              </w:rPr>
            </w:pPr>
            <w:r w:rsidRPr="00E741E1">
              <w:rPr>
                <w:b/>
                <w:i/>
                <w:szCs w:val="24"/>
              </w:rPr>
              <w:t>*</w:t>
            </w:r>
          </w:p>
        </w:tc>
        <w:tc>
          <w:tcPr>
            <w:tcW w:w="1279" w:type="dxa"/>
            <w:gridSpan w:val="2"/>
            <w:shd w:val="clear" w:color="auto" w:fill="auto"/>
            <w:tcMar>
              <w:left w:w="28" w:type="dxa"/>
              <w:right w:w="28" w:type="dxa"/>
            </w:tcMar>
          </w:tcPr>
          <w:p w14:paraId="74E9BE40" w14:textId="7A156D15" w:rsidR="00E741E1" w:rsidRPr="00E741E1" w:rsidRDefault="00E741E1" w:rsidP="00E741E1">
            <w:pPr>
              <w:spacing w:before="40" w:after="40"/>
              <w:rPr>
                <w:b/>
                <w:i/>
                <w:szCs w:val="24"/>
              </w:rPr>
            </w:pPr>
            <w:r w:rsidRPr="00E741E1">
              <w:rPr>
                <w:b/>
                <w:i/>
                <w:szCs w:val="24"/>
              </w:rPr>
              <w:t>*</w:t>
            </w:r>
          </w:p>
        </w:tc>
        <w:tc>
          <w:tcPr>
            <w:tcW w:w="1278" w:type="dxa"/>
            <w:gridSpan w:val="2"/>
            <w:shd w:val="clear" w:color="auto" w:fill="auto"/>
            <w:tcMar>
              <w:left w:w="28" w:type="dxa"/>
              <w:right w:w="28" w:type="dxa"/>
            </w:tcMar>
          </w:tcPr>
          <w:p w14:paraId="4634A5EB" w14:textId="2306B910" w:rsidR="00E741E1" w:rsidRPr="00E741E1" w:rsidRDefault="00E741E1" w:rsidP="00E741E1">
            <w:pPr>
              <w:spacing w:before="40" w:after="40"/>
              <w:rPr>
                <w:b/>
                <w:i/>
                <w:szCs w:val="24"/>
              </w:rPr>
            </w:pPr>
            <w:r w:rsidRPr="00E741E1">
              <w:rPr>
                <w:b/>
                <w:i/>
                <w:szCs w:val="24"/>
              </w:rPr>
              <w:t>*</w:t>
            </w:r>
          </w:p>
        </w:tc>
        <w:tc>
          <w:tcPr>
            <w:tcW w:w="1277" w:type="dxa"/>
            <w:gridSpan w:val="2"/>
            <w:shd w:val="clear" w:color="auto" w:fill="auto"/>
            <w:tcMar>
              <w:left w:w="28" w:type="dxa"/>
              <w:right w:w="28" w:type="dxa"/>
            </w:tcMar>
          </w:tcPr>
          <w:p w14:paraId="6CCE0E32" w14:textId="53F66D28" w:rsidR="00E741E1" w:rsidRPr="00E741E1" w:rsidRDefault="00E741E1" w:rsidP="00E741E1">
            <w:pPr>
              <w:spacing w:before="40" w:after="40"/>
              <w:rPr>
                <w:noProof/>
                <w:szCs w:val="24"/>
              </w:rPr>
            </w:pPr>
            <w:r w:rsidRPr="00E741E1">
              <w:rPr>
                <w:b/>
                <w:i/>
                <w:szCs w:val="24"/>
              </w:rPr>
              <w:t>*</w:t>
            </w:r>
          </w:p>
        </w:tc>
        <w:tc>
          <w:tcPr>
            <w:tcW w:w="1136" w:type="dxa"/>
            <w:gridSpan w:val="2"/>
            <w:shd w:val="clear" w:color="auto" w:fill="auto"/>
            <w:tcMar>
              <w:left w:w="28" w:type="dxa"/>
              <w:right w:w="28" w:type="dxa"/>
            </w:tcMar>
          </w:tcPr>
          <w:p w14:paraId="38038E99" w14:textId="77777777" w:rsidR="00E741E1" w:rsidRPr="00E741E1" w:rsidRDefault="00E741E1" w:rsidP="00E741E1">
            <w:pPr>
              <w:spacing w:before="40" w:after="40"/>
              <w:rPr>
                <w:noProof/>
                <w:szCs w:val="24"/>
              </w:rPr>
            </w:pPr>
          </w:p>
        </w:tc>
        <w:tc>
          <w:tcPr>
            <w:tcW w:w="1262" w:type="dxa"/>
            <w:tcMar>
              <w:left w:w="28" w:type="dxa"/>
              <w:right w:w="28" w:type="dxa"/>
            </w:tcMar>
          </w:tcPr>
          <w:p w14:paraId="7B8255ED" w14:textId="77777777" w:rsidR="00E741E1" w:rsidRPr="00E741E1" w:rsidRDefault="00E741E1" w:rsidP="00E741E1">
            <w:pPr>
              <w:spacing w:before="40" w:after="40"/>
              <w:rPr>
                <w:noProof/>
                <w:szCs w:val="24"/>
              </w:rPr>
            </w:pPr>
          </w:p>
        </w:tc>
        <w:tc>
          <w:tcPr>
            <w:tcW w:w="1153" w:type="dxa"/>
            <w:gridSpan w:val="2"/>
            <w:tcMar>
              <w:left w:w="28" w:type="dxa"/>
              <w:right w:w="28" w:type="dxa"/>
            </w:tcMar>
          </w:tcPr>
          <w:p w14:paraId="522756D7" w14:textId="77777777" w:rsidR="00E741E1" w:rsidRPr="00E741E1" w:rsidRDefault="00E741E1" w:rsidP="00E741E1">
            <w:pPr>
              <w:spacing w:before="40" w:after="40"/>
              <w:rPr>
                <w:noProof/>
                <w:szCs w:val="24"/>
              </w:rPr>
            </w:pPr>
          </w:p>
        </w:tc>
        <w:tc>
          <w:tcPr>
            <w:tcW w:w="970" w:type="dxa"/>
            <w:tcMar>
              <w:left w:w="28" w:type="dxa"/>
              <w:right w:w="28" w:type="dxa"/>
            </w:tcMar>
          </w:tcPr>
          <w:p w14:paraId="4A3B45C1" w14:textId="77777777" w:rsidR="00E741E1" w:rsidRPr="00E741E1" w:rsidRDefault="00E741E1" w:rsidP="00E741E1">
            <w:pPr>
              <w:spacing w:before="40" w:after="40"/>
              <w:rPr>
                <w:noProof/>
                <w:szCs w:val="24"/>
              </w:rPr>
            </w:pPr>
          </w:p>
        </w:tc>
      </w:tr>
      <w:tr w:rsidR="00E741E1" w:rsidRPr="00E741E1" w14:paraId="04F4E499" w14:textId="77777777" w:rsidTr="00FA31A1">
        <w:trPr>
          <w:gridBefore w:val="1"/>
          <w:wBefore w:w="12" w:type="dxa"/>
          <w:cantSplit/>
          <w:tblHeader/>
          <w:jc w:val="center"/>
        </w:trPr>
        <w:tc>
          <w:tcPr>
            <w:tcW w:w="651" w:type="dxa"/>
            <w:gridSpan w:val="3"/>
            <w:tcMar>
              <w:left w:w="28" w:type="dxa"/>
              <w:right w:w="28" w:type="dxa"/>
            </w:tcMar>
          </w:tcPr>
          <w:p w14:paraId="6EEDA2A9" w14:textId="5B6049FF" w:rsidR="00E741E1" w:rsidRPr="00E741E1" w:rsidRDefault="00E741E1" w:rsidP="00E741E1">
            <w:pPr>
              <w:spacing w:before="40" w:after="40"/>
              <w:rPr>
                <w:b/>
                <w:i/>
                <w:noProof/>
                <w:szCs w:val="24"/>
              </w:rPr>
            </w:pPr>
            <w:r w:rsidRPr="00E741E1">
              <w:rPr>
                <w:b/>
                <w:i/>
                <w:szCs w:val="24"/>
              </w:rPr>
              <w:t>70b</w:t>
            </w:r>
            <w:r>
              <w:rPr>
                <w:b/>
                <w:i/>
                <w:szCs w:val="24"/>
              </w:rPr>
              <w:t xml:space="preserve"> </w:t>
            </w:r>
            <w:r w:rsidRPr="00DC67EB">
              <w:rPr>
                <w:b/>
                <w:noProof/>
                <w:sz w:val="22"/>
              </w:rPr>
              <w:t>[Mód. 15</w:t>
            </w:r>
            <w:r>
              <w:rPr>
                <w:b/>
                <w:noProof/>
                <w:sz w:val="22"/>
              </w:rPr>
              <w:t>3</w:t>
            </w:r>
            <w:r w:rsidRPr="00DC67EB">
              <w:rPr>
                <w:b/>
                <w:noProof/>
                <w:sz w:val="22"/>
              </w:rPr>
              <w:t>]</w:t>
            </w:r>
          </w:p>
        </w:tc>
        <w:tc>
          <w:tcPr>
            <w:tcW w:w="2286" w:type="dxa"/>
            <w:gridSpan w:val="3"/>
            <w:shd w:val="clear" w:color="auto" w:fill="auto"/>
            <w:tcMar>
              <w:left w:w="28" w:type="dxa"/>
              <w:right w:w="28" w:type="dxa"/>
            </w:tcMar>
          </w:tcPr>
          <w:p w14:paraId="2D861BC4" w14:textId="2D06ABD6" w:rsidR="00E741E1" w:rsidRPr="00E741E1" w:rsidRDefault="00E741E1" w:rsidP="00E741E1">
            <w:pPr>
              <w:spacing w:before="40" w:after="40"/>
              <w:rPr>
                <w:b/>
                <w:i/>
                <w:noProof/>
                <w:szCs w:val="24"/>
              </w:rPr>
            </w:pPr>
            <w:r w:rsidRPr="00E741E1">
              <w:rPr>
                <w:b/>
                <w:i/>
                <w:szCs w:val="24"/>
              </w:rPr>
              <w:t>Összes PFA-anyag</w:t>
            </w:r>
          </w:p>
        </w:tc>
        <w:tc>
          <w:tcPr>
            <w:tcW w:w="1329" w:type="dxa"/>
            <w:gridSpan w:val="3"/>
            <w:shd w:val="clear" w:color="auto" w:fill="auto"/>
            <w:tcMar>
              <w:left w:w="28" w:type="dxa"/>
              <w:right w:w="28" w:type="dxa"/>
            </w:tcMar>
          </w:tcPr>
          <w:p w14:paraId="0CE3F71D" w14:textId="73FAF9F2" w:rsidR="00E741E1" w:rsidRPr="00E741E1" w:rsidRDefault="00E741E1" w:rsidP="00E741E1">
            <w:pPr>
              <w:spacing w:before="40" w:after="40"/>
              <w:rPr>
                <w:b/>
                <w:i/>
                <w:szCs w:val="24"/>
              </w:rPr>
            </w:pPr>
            <w:r w:rsidRPr="00E741E1">
              <w:rPr>
                <w:b/>
                <w:i/>
                <w:szCs w:val="24"/>
              </w:rPr>
              <w:t>Ipari vegyi anyagok</w:t>
            </w:r>
          </w:p>
        </w:tc>
        <w:tc>
          <w:tcPr>
            <w:tcW w:w="992" w:type="dxa"/>
            <w:gridSpan w:val="2"/>
            <w:shd w:val="clear" w:color="auto" w:fill="auto"/>
            <w:tcMar>
              <w:left w:w="28" w:type="dxa"/>
              <w:right w:w="28" w:type="dxa"/>
            </w:tcMar>
          </w:tcPr>
          <w:p w14:paraId="208BBCE6" w14:textId="7E53A482" w:rsidR="00E741E1" w:rsidRPr="00E741E1" w:rsidRDefault="00E741E1" w:rsidP="00E741E1">
            <w:pPr>
              <w:spacing w:before="40" w:after="40"/>
              <w:rPr>
                <w:b/>
                <w:i/>
                <w:szCs w:val="24"/>
              </w:rPr>
            </w:pPr>
            <w:r w:rsidRPr="00E741E1">
              <w:rPr>
                <w:b/>
                <w:i/>
                <w:szCs w:val="24"/>
              </w:rPr>
              <w:t>nem alkalmazható</w:t>
            </w:r>
          </w:p>
        </w:tc>
        <w:tc>
          <w:tcPr>
            <w:tcW w:w="1134" w:type="dxa"/>
          </w:tcPr>
          <w:p w14:paraId="2BDA8139" w14:textId="69DB0922" w:rsidR="00E741E1" w:rsidRPr="00E741E1" w:rsidRDefault="00E741E1" w:rsidP="00E741E1">
            <w:pPr>
              <w:spacing w:before="40" w:after="40"/>
              <w:rPr>
                <w:b/>
                <w:i/>
                <w:szCs w:val="24"/>
              </w:rPr>
            </w:pPr>
            <w:r w:rsidRPr="00E741E1">
              <w:rPr>
                <w:b/>
                <w:i/>
                <w:szCs w:val="24"/>
              </w:rPr>
              <w:t>nem alkalmazható</w:t>
            </w:r>
          </w:p>
        </w:tc>
        <w:tc>
          <w:tcPr>
            <w:tcW w:w="1279" w:type="dxa"/>
            <w:gridSpan w:val="2"/>
            <w:shd w:val="clear" w:color="auto" w:fill="auto"/>
            <w:tcMar>
              <w:left w:w="28" w:type="dxa"/>
              <w:right w:w="28" w:type="dxa"/>
            </w:tcMar>
          </w:tcPr>
          <w:p w14:paraId="789C2DFD" w14:textId="12FA4B93" w:rsidR="00E741E1" w:rsidRPr="00E741E1" w:rsidRDefault="00E741E1" w:rsidP="00E741E1">
            <w:pPr>
              <w:spacing w:before="40" w:after="40"/>
              <w:rPr>
                <w:b/>
                <w:i/>
                <w:szCs w:val="24"/>
              </w:rPr>
            </w:pPr>
            <w:r w:rsidRPr="00E741E1">
              <w:rPr>
                <w:b/>
                <w:i/>
                <w:szCs w:val="24"/>
              </w:rPr>
              <w:t>*</w:t>
            </w:r>
          </w:p>
        </w:tc>
        <w:tc>
          <w:tcPr>
            <w:tcW w:w="1279" w:type="dxa"/>
            <w:gridSpan w:val="2"/>
            <w:shd w:val="clear" w:color="auto" w:fill="auto"/>
            <w:tcMar>
              <w:left w:w="28" w:type="dxa"/>
              <w:right w:w="28" w:type="dxa"/>
            </w:tcMar>
          </w:tcPr>
          <w:p w14:paraId="1A9D2B4A" w14:textId="2732014C" w:rsidR="00E741E1" w:rsidRPr="00E741E1" w:rsidRDefault="00E741E1" w:rsidP="00E741E1">
            <w:pPr>
              <w:spacing w:before="40" w:after="40"/>
              <w:rPr>
                <w:b/>
                <w:i/>
                <w:szCs w:val="24"/>
              </w:rPr>
            </w:pPr>
            <w:r w:rsidRPr="00E741E1">
              <w:rPr>
                <w:b/>
                <w:i/>
                <w:szCs w:val="24"/>
              </w:rPr>
              <w:t>*</w:t>
            </w:r>
          </w:p>
        </w:tc>
        <w:tc>
          <w:tcPr>
            <w:tcW w:w="1278" w:type="dxa"/>
            <w:gridSpan w:val="2"/>
            <w:shd w:val="clear" w:color="auto" w:fill="auto"/>
            <w:tcMar>
              <w:left w:w="28" w:type="dxa"/>
              <w:right w:w="28" w:type="dxa"/>
            </w:tcMar>
          </w:tcPr>
          <w:p w14:paraId="1A926A69" w14:textId="4468919B" w:rsidR="00E741E1" w:rsidRPr="00E741E1" w:rsidRDefault="00E741E1" w:rsidP="00E741E1">
            <w:pPr>
              <w:spacing w:before="40" w:after="40"/>
              <w:rPr>
                <w:b/>
                <w:i/>
                <w:szCs w:val="24"/>
              </w:rPr>
            </w:pPr>
            <w:r w:rsidRPr="00E741E1">
              <w:rPr>
                <w:b/>
                <w:i/>
                <w:szCs w:val="24"/>
              </w:rPr>
              <w:t>*</w:t>
            </w:r>
          </w:p>
        </w:tc>
        <w:tc>
          <w:tcPr>
            <w:tcW w:w="1277" w:type="dxa"/>
            <w:gridSpan w:val="2"/>
            <w:shd w:val="clear" w:color="auto" w:fill="auto"/>
            <w:tcMar>
              <w:left w:w="28" w:type="dxa"/>
              <w:right w:w="28" w:type="dxa"/>
            </w:tcMar>
          </w:tcPr>
          <w:p w14:paraId="7E08FE48" w14:textId="7AA6CEB5" w:rsidR="00E741E1" w:rsidRPr="00E741E1" w:rsidRDefault="00E741E1" w:rsidP="00E741E1">
            <w:pPr>
              <w:spacing w:before="40" w:after="40"/>
              <w:rPr>
                <w:noProof/>
                <w:szCs w:val="24"/>
              </w:rPr>
            </w:pPr>
            <w:r w:rsidRPr="00E741E1">
              <w:rPr>
                <w:b/>
                <w:i/>
                <w:szCs w:val="24"/>
              </w:rPr>
              <w:t>*</w:t>
            </w:r>
          </w:p>
        </w:tc>
        <w:tc>
          <w:tcPr>
            <w:tcW w:w="1136" w:type="dxa"/>
            <w:gridSpan w:val="2"/>
            <w:shd w:val="clear" w:color="auto" w:fill="auto"/>
            <w:tcMar>
              <w:left w:w="28" w:type="dxa"/>
              <w:right w:w="28" w:type="dxa"/>
            </w:tcMar>
          </w:tcPr>
          <w:p w14:paraId="3A0FFC94" w14:textId="77777777" w:rsidR="00E741E1" w:rsidRPr="00E741E1" w:rsidRDefault="00E741E1" w:rsidP="00E741E1">
            <w:pPr>
              <w:spacing w:before="40" w:after="40"/>
              <w:rPr>
                <w:noProof/>
                <w:szCs w:val="24"/>
              </w:rPr>
            </w:pPr>
          </w:p>
        </w:tc>
        <w:tc>
          <w:tcPr>
            <w:tcW w:w="1262" w:type="dxa"/>
            <w:tcMar>
              <w:left w:w="28" w:type="dxa"/>
              <w:right w:w="28" w:type="dxa"/>
            </w:tcMar>
          </w:tcPr>
          <w:p w14:paraId="12598D50" w14:textId="77777777" w:rsidR="00E741E1" w:rsidRPr="00E741E1" w:rsidRDefault="00E741E1" w:rsidP="00E741E1">
            <w:pPr>
              <w:spacing w:before="40" w:after="40"/>
              <w:rPr>
                <w:noProof/>
                <w:szCs w:val="24"/>
              </w:rPr>
            </w:pPr>
          </w:p>
        </w:tc>
        <w:tc>
          <w:tcPr>
            <w:tcW w:w="1153" w:type="dxa"/>
            <w:gridSpan w:val="2"/>
            <w:tcMar>
              <w:left w:w="28" w:type="dxa"/>
              <w:right w:w="28" w:type="dxa"/>
            </w:tcMar>
          </w:tcPr>
          <w:p w14:paraId="108EFDD9" w14:textId="77777777" w:rsidR="00E741E1" w:rsidRPr="00E741E1" w:rsidRDefault="00E741E1" w:rsidP="00E741E1">
            <w:pPr>
              <w:spacing w:before="40" w:after="40"/>
              <w:rPr>
                <w:noProof/>
                <w:szCs w:val="24"/>
              </w:rPr>
            </w:pPr>
          </w:p>
        </w:tc>
        <w:tc>
          <w:tcPr>
            <w:tcW w:w="970" w:type="dxa"/>
            <w:tcMar>
              <w:left w:w="28" w:type="dxa"/>
              <w:right w:w="28" w:type="dxa"/>
            </w:tcMar>
          </w:tcPr>
          <w:p w14:paraId="58AD21C2" w14:textId="77777777" w:rsidR="00E741E1" w:rsidRPr="00E741E1" w:rsidRDefault="00E741E1" w:rsidP="00E741E1">
            <w:pPr>
              <w:spacing w:before="40" w:after="40"/>
              <w:rPr>
                <w:noProof/>
                <w:szCs w:val="24"/>
              </w:rPr>
            </w:pPr>
          </w:p>
        </w:tc>
      </w:tr>
      <w:tr w:rsidR="00E741E1" w:rsidRPr="00DC67EB" w14:paraId="077EA3BA" w14:textId="77777777" w:rsidTr="00FA31A1">
        <w:trPr>
          <w:gridBefore w:val="1"/>
          <w:wBefore w:w="12" w:type="dxa"/>
          <w:cantSplit/>
          <w:tblHeader/>
          <w:jc w:val="center"/>
        </w:trPr>
        <w:tc>
          <w:tcPr>
            <w:tcW w:w="651" w:type="dxa"/>
            <w:gridSpan w:val="3"/>
            <w:tcMar>
              <w:left w:w="28" w:type="dxa"/>
              <w:right w:w="28" w:type="dxa"/>
            </w:tcMar>
          </w:tcPr>
          <w:p w14:paraId="696FABFC" w14:textId="30E78DE3" w:rsidR="00E741E1" w:rsidRPr="00DC67EB" w:rsidRDefault="00E741E1" w:rsidP="00E741E1">
            <w:pPr>
              <w:spacing w:before="40" w:after="40"/>
              <w:rPr>
                <w:b/>
                <w:noProof/>
                <w:sz w:val="22"/>
              </w:rPr>
            </w:pPr>
            <w:r w:rsidRPr="00DC67EB">
              <w:rPr>
                <w:b/>
                <w:i/>
                <w:noProof/>
                <w:sz w:val="22"/>
              </w:rPr>
              <w:t>70</w:t>
            </w:r>
            <w:r>
              <w:rPr>
                <w:b/>
                <w:i/>
                <w:noProof/>
                <w:sz w:val="22"/>
              </w:rPr>
              <w:t>c</w:t>
            </w:r>
            <w:r w:rsidRPr="00DC67EB">
              <w:rPr>
                <w:b/>
                <w:i/>
                <w:noProof/>
                <w:sz w:val="22"/>
              </w:rPr>
              <w:t>.</w:t>
            </w:r>
            <w:r w:rsidRPr="00DC67EB">
              <w:rPr>
                <w:b/>
                <w:noProof/>
                <w:sz w:val="22"/>
              </w:rPr>
              <w:t xml:space="preserve"> [Mód. 154]</w:t>
            </w:r>
          </w:p>
        </w:tc>
        <w:tc>
          <w:tcPr>
            <w:tcW w:w="2286" w:type="dxa"/>
            <w:gridSpan w:val="3"/>
            <w:shd w:val="clear" w:color="auto" w:fill="auto"/>
            <w:tcMar>
              <w:left w:w="28" w:type="dxa"/>
              <w:right w:w="28" w:type="dxa"/>
            </w:tcMar>
          </w:tcPr>
          <w:p w14:paraId="7C25C73F" w14:textId="7A435AFA" w:rsidR="00E741E1" w:rsidRPr="00E741E1" w:rsidRDefault="00E741E1" w:rsidP="00E741E1">
            <w:pPr>
              <w:spacing w:before="40" w:after="40"/>
              <w:rPr>
                <w:noProof/>
                <w:szCs w:val="24"/>
              </w:rPr>
            </w:pPr>
            <w:r w:rsidRPr="00E741E1">
              <w:rPr>
                <w:b/>
                <w:i/>
                <w:szCs w:val="24"/>
              </w:rPr>
              <w:t>Összes gyógyszerhatóanyag</w:t>
            </w:r>
          </w:p>
        </w:tc>
        <w:tc>
          <w:tcPr>
            <w:tcW w:w="1329" w:type="dxa"/>
            <w:gridSpan w:val="3"/>
            <w:shd w:val="clear" w:color="auto" w:fill="auto"/>
            <w:tcMar>
              <w:left w:w="28" w:type="dxa"/>
              <w:right w:w="28" w:type="dxa"/>
            </w:tcMar>
          </w:tcPr>
          <w:p w14:paraId="5059C0E2" w14:textId="54B1C758" w:rsidR="00E741E1" w:rsidRPr="00E741E1" w:rsidRDefault="00E741E1" w:rsidP="00E741E1">
            <w:pPr>
              <w:spacing w:before="40" w:after="40"/>
              <w:rPr>
                <w:noProof/>
                <w:szCs w:val="24"/>
              </w:rPr>
            </w:pPr>
            <w:r w:rsidRPr="00E741E1">
              <w:rPr>
                <w:b/>
                <w:i/>
                <w:szCs w:val="24"/>
              </w:rPr>
              <w:t>Gyógyszerek</w:t>
            </w:r>
          </w:p>
        </w:tc>
        <w:tc>
          <w:tcPr>
            <w:tcW w:w="992" w:type="dxa"/>
            <w:gridSpan w:val="2"/>
            <w:shd w:val="clear" w:color="auto" w:fill="auto"/>
            <w:tcMar>
              <w:left w:w="28" w:type="dxa"/>
              <w:right w:w="28" w:type="dxa"/>
            </w:tcMar>
          </w:tcPr>
          <w:p w14:paraId="1E4987D4" w14:textId="0BCA601B" w:rsidR="00E741E1" w:rsidRPr="00E741E1" w:rsidRDefault="00E741E1" w:rsidP="00E741E1">
            <w:pPr>
              <w:spacing w:before="40" w:after="40"/>
              <w:rPr>
                <w:noProof/>
                <w:szCs w:val="24"/>
              </w:rPr>
            </w:pPr>
            <w:r w:rsidRPr="00E741E1">
              <w:rPr>
                <w:b/>
                <w:i/>
                <w:szCs w:val="24"/>
              </w:rPr>
              <w:t>nem alkalmazható</w:t>
            </w:r>
          </w:p>
        </w:tc>
        <w:tc>
          <w:tcPr>
            <w:tcW w:w="1134" w:type="dxa"/>
          </w:tcPr>
          <w:p w14:paraId="05EC8ECF" w14:textId="35DF759E" w:rsidR="00E741E1" w:rsidRPr="00E741E1" w:rsidRDefault="00E741E1" w:rsidP="00E741E1">
            <w:pPr>
              <w:spacing w:before="40" w:after="40"/>
              <w:rPr>
                <w:noProof/>
                <w:szCs w:val="24"/>
              </w:rPr>
            </w:pPr>
            <w:r w:rsidRPr="00E741E1">
              <w:rPr>
                <w:b/>
                <w:i/>
                <w:szCs w:val="24"/>
              </w:rPr>
              <w:t>nem alkalmazható</w:t>
            </w:r>
          </w:p>
        </w:tc>
        <w:tc>
          <w:tcPr>
            <w:tcW w:w="1279" w:type="dxa"/>
            <w:gridSpan w:val="2"/>
            <w:shd w:val="clear" w:color="auto" w:fill="auto"/>
            <w:tcMar>
              <w:left w:w="28" w:type="dxa"/>
              <w:right w:w="28" w:type="dxa"/>
            </w:tcMar>
          </w:tcPr>
          <w:p w14:paraId="5F2F56EA" w14:textId="721C7624" w:rsidR="00E741E1" w:rsidRPr="00E741E1" w:rsidRDefault="00E741E1" w:rsidP="00E741E1">
            <w:pPr>
              <w:spacing w:before="40" w:after="40"/>
              <w:rPr>
                <w:noProof/>
                <w:szCs w:val="24"/>
              </w:rPr>
            </w:pPr>
            <w:r w:rsidRPr="00E741E1">
              <w:rPr>
                <w:b/>
                <w:i/>
                <w:szCs w:val="24"/>
              </w:rPr>
              <w:t>0,25</w:t>
            </w:r>
          </w:p>
        </w:tc>
        <w:tc>
          <w:tcPr>
            <w:tcW w:w="1279" w:type="dxa"/>
            <w:gridSpan w:val="2"/>
            <w:shd w:val="clear" w:color="auto" w:fill="auto"/>
            <w:tcMar>
              <w:left w:w="28" w:type="dxa"/>
              <w:right w:w="28" w:type="dxa"/>
            </w:tcMar>
          </w:tcPr>
          <w:p w14:paraId="3626464B" w14:textId="524926BF" w:rsidR="00E741E1" w:rsidRPr="00E741E1" w:rsidRDefault="00E741E1" w:rsidP="00E741E1">
            <w:pPr>
              <w:spacing w:before="40" w:after="40"/>
              <w:rPr>
                <w:noProof/>
                <w:szCs w:val="24"/>
              </w:rPr>
            </w:pPr>
            <w:r w:rsidRPr="00E741E1">
              <w:rPr>
                <w:b/>
                <w:i/>
                <w:szCs w:val="24"/>
              </w:rPr>
              <w:t>0,025</w:t>
            </w:r>
          </w:p>
        </w:tc>
        <w:tc>
          <w:tcPr>
            <w:tcW w:w="1278" w:type="dxa"/>
            <w:gridSpan w:val="2"/>
            <w:shd w:val="clear" w:color="auto" w:fill="auto"/>
            <w:tcMar>
              <w:left w:w="28" w:type="dxa"/>
              <w:right w:w="28" w:type="dxa"/>
            </w:tcMar>
          </w:tcPr>
          <w:p w14:paraId="75638BAD" w14:textId="1803A8F6" w:rsidR="00E741E1" w:rsidRPr="00E741E1" w:rsidRDefault="00E741E1" w:rsidP="00E741E1">
            <w:pPr>
              <w:spacing w:before="40" w:after="40"/>
              <w:rPr>
                <w:noProof/>
                <w:szCs w:val="24"/>
              </w:rPr>
            </w:pPr>
          </w:p>
        </w:tc>
        <w:tc>
          <w:tcPr>
            <w:tcW w:w="1277" w:type="dxa"/>
            <w:gridSpan w:val="2"/>
            <w:shd w:val="clear" w:color="auto" w:fill="auto"/>
            <w:tcMar>
              <w:left w:w="28" w:type="dxa"/>
              <w:right w:w="28" w:type="dxa"/>
            </w:tcMar>
          </w:tcPr>
          <w:p w14:paraId="06F2634A" w14:textId="77777777" w:rsidR="00E741E1" w:rsidRPr="00DC67EB" w:rsidRDefault="00E741E1" w:rsidP="00E741E1">
            <w:pPr>
              <w:spacing w:before="40" w:after="40"/>
              <w:rPr>
                <w:noProof/>
                <w:sz w:val="22"/>
              </w:rPr>
            </w:pPr>
          </w:p>
        </w:tc>
        <w:tc>
          <w:tcPr>
            <w:tcW w:w="1136" w:type="dxa"/>
            <w:gridSpan w:val="2"/>
            <w:shd w:val="clear" w:color="auto" w:fill="auto"/>
            <w:tcMar>
              <w:left w:w="28" w:type="dxa"/>
              <w:right w:w="28" w:type="dxa"/>
            </w:tcMar>
          </w:tcPr>
          <w:p w14:paraId="1BD7AFAE" w14:textId="77777777" w:rsidR="00E741E1" w:rsidRPr="00DC67EB" w:rsidRDefault="00E741E1" w:rsidP="00E741E1">
            <w:pPr>
              <w:spacing w:before="40" w:after="40"/>
              <w:rPr>
                <w:noProof/>
                <w:sz w:val="22"/>
              </w:rPr>
            </w:pPr>
          </w:p>
        </w:tc>
        <w:tc>
          <w:tcPr>
            <w:tcW w:w="1262" w:type="dxa"/>
            <w:tcMar>
              <w:left w:w="28" w:type="dxa"/>
              <w:right w:w="28" w:type="dxa"/>
            </w:tcMar>
          </w:tcPr>
          <w:p w14:paraId="3C7B569D" w14:textId="77777777" w:rsidR="00E741E1" w:rsidRPr="00DC67EB" w:rsidRDefault="00E741E1" w:rsidP="00E741E1">
            <w:pPr>
              <w:spacing w:before="40" w:after="40"/>
              <w:rPr>
                <w:noProof/>
                <w:sz w:val="22"/>
              </w:rPr>
            </w:pPr>
          </w:p>
        </w:tc>
        <w:tc>
          <w:tcPr>
            <w:tcW w:w="1153" w:type="dxa"/>
            <w:gridSpan w:val="2"/>
            <w:tcMar>
              <w:left w:w="28" w:type="dxa"/>
              <w:right w:w="28" w:type="dxa"/>
            </w:tcMar>
          </w:tcPr>
          <w:p w14:paraId="62B6ABE9" w14:textId="77777777" w:rsidR="00E741E1" w:rsidRPr="00DC67EB" w:rsidRDefault="00E741E1" w:rsidP="00E741E1">
            <w:pPr>
              <w:spacing w:before="40" w:after="40"/>
              <w:rPr>
                <w:noProof/>
                <w:sz w:val="22"/>
              </w:rPr>
            </w:pPr>
          </w:p>
        </w:tc>
        <w:tc>
          <w:tcPr>
            <w:tcW w:w="970" w:type="dxa"/>
            <w:tcMar>
              <w:left w:w="28" w:type="dxa"/>
              <w:right w:w="28" w:type="dxa"/>
            </w:tcMar>
          </w:tcPr>
          <w:p w14:paraId="14EDF28C" w14:textId="77777777" w:rsidR="00E741E1" w:rsidRPr="00DC67EB" w:rsidRDefault="00E741E1" w:rsidP="00E741E1">
            <w:pPr>
              <w:spacing w:before="40" w:after="40"/>
              <w:rPr>
                <w:noProof/>
                <w:sz w:val="22"/>
              </w:rPr>
            </w:pPr>
          </w:p>
        </w:tc>
      </w:tr>
    </w:tbl>
    <w:p w14:paraId="205BD942" w14:textId="77777777" w:rsidR="006773C8" w:rsidRDefault="006773C8" w:rsidP="00FA31A1">
      <w:pPr>
        <w:rPr>
          <w:b/>
          <w:i/>
          <w:noProof/>
        </w:rPr>
      </w:pPr>
      <w:r w:rsidRPr="00DC67EB">
        <w:rPr>
          <w:noProof/>
          <w:vertAlign w:val="superscript"/>
        </w:rPr>
        <w:t>*</w:t>
      </w:r>
      <w:r w:rsidRPr="00DC67EB">
        <w:rPr>
          <w:b/>
          <w:i/>
          <w:noProof/>
        </w:rPr>
        <w:t>A minőségi előírásokat a Bizottság felhatalmazáson alapuló jogi aktussal határozza meg.</w:t>
      </w:r>
    </w:p>
    <w:p w14:paraId="7EAA85C6" w14:textId="77777777" w:rsidR="00E441EF" w:rsidRDefault="00E441EF">
      <w:pPr>
        <w:widowControl/>
        <w:rPr>
          <w:b/>
          <w:i/>
          <w:noProof/>
        </w:rPr>
      </w:pPr>
      <w:r>
        <w:rPr>
          <w:b/>
          <w:i/>
          <w:noProof/>
        </w:rPr>
        <w:br w:type="page"/>
      </w:r>
    </w:p>
    <w:p w14:paraId="6EDB0419" w14:textId="77777777" w:rsidR="00FA31A1" w:rsidRPr="00DC67EB" w:rsidRDefault="00FA31A1" w:rsidP="00FA31A1">
      <w:pPr>
        <w:rPr>
          <w:noProof/>
        </w:rPr>
      </w:pPr>
    </w:p>
    <w:p w14:paraId="633926FF" w14:textId="77777777" w:rsidR="00FA31A1" w:rsidRPr="00DC67EB" w:rsidRDefault="00FA31A1" w:rsidP="00FA31A1">
      <w:pPr>
        <w:pStyle w:val="FootnoteText"/>
        <w:tabs>
          <w:tab w:val="left" w:pos="14570"/>
        </w:tabs>
        <w:ind w:left="340" w:hanging="340"/>
        <w:rPr>
          <w:noProof/>
          <w:lang w:val="hu-HU"/>
        </w:rPr>
      </w:pPr>
      <w:r w:rsidRPr="00DC67EB">
        <w:rPr>
          <w:noProof/>
          <w:lang w:val="hu-HU"/>
        </w:rPr>
        <w:t>(</w:t>
      </w:r>
      <w:r w:rsidRPr="00DC67EB">
        <w:rPr>
          <w:noProof/>
          <w:vertAlign w:val="superscript"/>
          <w:lang w:val="hu-HU"/>
        </w:rPr>
        <w:t>1</w:t>
      </w:r>
      <w:r w:rsidRPr="00DC67EB">
        <w:rPr>
          <w:noProof/>
          <w:lang w:val="hu-HU"/>
        </w:rPr>
        <w:t>)</w:t>
      </w:r>
      <w:r w:rsidRPr="00DC67EB">
        <w:rPr>
          <w:noProof/>
          <w:lang w:val="hu-HU"/>
        </w:rPr>
        <w:tab/>
        <w:t>CAS: Vegyianyag Nyilvántartási Szolgálat (Chemical Abstracts Service).</w:t>
      </w:r>
    </w:p>
    <w:p w14:paraId="2299DE7A" w14:textId="77777777" w:rsidR="00FA31A1" w:rsidRPr="00DC67EB" w:rsidRDefault="00FA31A1" w:rsidP="00FA31A1">
      <w:pPr>
        <w:pStyle w:val="FootnoteText"/>
        <w:tabs>
          <w:tab w:val="left" w:pos="14570"/>
        </w:tabs>
        <w:ind w:left="340" w:hanging="340"/>
        <w:rPr>
          <w:noProof/>
          <w:lang w:val="hu-HU"/>
        </w:rPr>
      </w:pPr>
      <w:r w:rsidRPr="00DC67EB">
        <w:rPr>
          <w:noProof/>
          <w:lang w:val="hu-HU"/>
        </w:rPr>
        <w:t>(</w:t>
      </w:r>
      <w:r w:rsidRPr="00DC67EB">
        <w:rPr>
          <w:noProof/>
          <w:vertAlign w:val="superscript"/>
          <w:lang w:val="hu-HU"/>
        </w:rPr>
        <w:t>2</w:t>
      </w:r>
      <w:r w:rsidRPr="00DC67EB">
        <w:rPr>
          <w:noProof/>
          <w:lang w:val="hu-HU"/>
        </w:rPr>
        <w:t>)</w:t>
      </w:r>
      <w:r w:rsidRPr="00DC67EB">
        <w:rPr>
          <w:noProof/>
          <w:lang w:val="hu-HU"/>
        </w:rPr>
        <w:tab/>
        <w:t>EU-szám: Létező Kereskedelmi Vegyi Anyagok Európai Jegyzéke (EINECS) vagy Törzskönyvezett Vegyi Anyagok Európai Jegyzéke (ELINCS).</w:t>
      </w:r>
    </w:p>
    <w:p w14:paraId="03F8BFFF" w14:textId="77777777" w:rsidR="00FA31A1" w:rsidRPr="00E441EF" w:rsidRDefault="00FA31A1" w:rsidP="00FA31A1">
      <w:pPr>
        <w:pStyle w:val="FootnoteText"/>
        <w:tabs>
          <w:tab w:val="left" w:pos="14570"/>
        </w:tabs>
        <w:ind w:left="340" w:hanging="340"/>
        <w:rPr>
          <w:noProof/>
          <w:lang w:val="hu-HU"/>
        </w:rPr>
      </w:pPr>
      <w:r w:rsidRPr="00E441EF">
        <w:rPr>
          <w:noProof/>
          <w:lang w:val="hu-HU"/>
        </w:rPr>
        <w:t>(</w:t>
      </w:r>
      <w:r w:rsidRPr="00E441EF">
        <w:rPr>
          <w:noProof/>
          <w:vertAlign w:val="superscript"/>
          <w:lang w:val="hu-HU"/>
        </w:rPr>
        <w:t>3</w:t>
      </w:r>
      <w:r w:rsidRPr="00E441EF">
        <w:rPr>
          <w:noProof/>
          <w:lang w:val="hu-HU"/>
        </w:rPr>
        <w:t>)</w:t>
      </w:r>
      <w:r w:rsidRPr="00E441EF">
        <w:rPr>
          <w:noProof/>
          <w:lang w:val="hu-HU"/>
        </w:rPr>
        <w:tab/>
        <w:t>Ez a paraméter az éves átlagértékben kifejezett EQS (AA</w:t>
      </w:r>
      <w:r w:rsidRPr="00E441EF">
        <w:rPr>
          <w:noProof/>
          <w:lang w:val="hu-HU"/>
        </w:rPr>
        <w:noBreakHyphen/>
        <w:t>EQS). Más előírás hiányában az összes anyag és izomer koncentrációjára vonatkozik.</w:t>
      </w:r>
    </w:p>
    <w:p w14:paraId="78EA4CA9" w14:textId="77777777" w:rsidR="00FA31A1" w:rsidRPr="00E441EF" w:rsidRDefault="00FA31A1" w:rsidP="00FA31A1">
      <w:pPr>
        <w:pStyle w:val="FootnoteText"/>
        <w:tabs>
          <w:tab w:val="left" w:pos="14570"/>
        </w:tabs>
        <w:ind w:left="340" w:hanging="340"/>
        <w:rPr>
          <w:noProof/>
          <w:lang w:val="hu-HU"/>
        </w:rPr>
      </w:pPr>
      <w:r w:rsidRPr="00E441EF">
        <w:rPr>
          <w:noProof/>
          <w:lang w:val="hu-HU"/>
        </w:rPr>
        <w:t>(</w:t>
      </w:r>
      <w:r w:rsidRPr="00E441EF">
        <w:rPr>
          <w:noProof/>
          <w:vertAlign w:val="superscript"/>
          <w:lang w:val="hu-HU"/>
        </w:rPr>
        <w:t>4</w:t>
      </w:r>
      <w:r w:rsidRPr="00E441EF">
        <w:rPr>
          <w:noProof/>
          <w:lang w:val="hu-HU"/>
        </w:rPr>
        <w:t>)</w:t>
      </w:r>
      <w:r w:rsidRPr="00E441EF">
        <w:rPr>
          <w:noProof/>
          <w:lang w:val="hu-HU"/>
        </w:rPr>
        <w:tab/>
        <w:t>A szárazföldi felszíni vizek a folyókat, tavakat és kapcsolódó mesterséges vagy jelentősen módosított víztesteket foglalják magukban.</w:t>
      </w:r>
    </w:p>
    <w:p w14:paraId="4F8BE3FB" w14:textId="77777777" w:rsidR="00FA31A1" w:rsidRPr="00E441EF" w:rsidRDefault="00FA31A1" w:rsidP="00FA31A1">
      <w:pPr>
        <w:pStyle w:val="FootnoteText"/>
        <w:tabs>
          <w:tab w:val="left" w:pos="14570"/>
        </w:tabs>
        <w:ind w:left="340" w:hanging="340"/>
        <w:rPr>
          <w:noProof/>
          <w:lang w:val="hu-HU"/>
        </w:rPr>
      </w:pPr>
      <w:r w:rsidRPr="00E441EF">
        <w:rPr>
          <w:noProof/>
          <w:lang w:val="hu-HU"/>
        </w:rPr>
        <w:t>(</w:t>
      </w:r>
      <w:r w:rsidRPr="00E441EF">
        <w:rPr>
          <w:noProof/>
          <w:vertAlign w:val="superscript"/>
          <w:lang w:val="hu-HU"/>
        </w:rPr>
        <w:t>5</w:t>
      </w:r>
      <w:r w:rsidRPr="00E441EF">
        <w:rPr>
          <w:noProof/>
          <w:lang w:val="hu-HU"/>
        </w:rPr>
        <w:t>)</w:t>
      </w:r>
      <w:r w:rsidRPr="00E441EF">
        <w:rPr>
          <w:noProof/>
          <w:lang w:val="hu-HU"/>
        </w:rPr>
        <w:tab/>
        <w:t>Ez a paraméter a maximálisan megengedhető koncentrációban kifejezett környezetminőségi előírás (MAC EQS). Amennyiben a MAC EQS oszlopban »nem alkalmazható« szerepel, ott úgy tekinthető, hogy az AA EQS értékek védelmet biztosítanak a rövid távú szennyezési csúcskoncentrációkkal szemben is folyamatos bevezetések esetén, mivel ezek az értékek jelentősen alacsonyabbak az akut toxicitás alapján meghatározott értékeknél.</w:t>
      </w:r>
    </w:p>
    <w:p w14:paraId="44B6064D" w14:textId="77777777" w:rsidR="00FA31A1" w:rsidRPr="000105EC" w:rsidRDefault="00FA31A1" w:rsidP="00FA31A1">
      <w:pPr>
        <w:pStyle w:val="FootnoteText"/>
        <w:tabs>
          <w:tab w:val="left" w:pos="14570"/>
        </w:tabs>
        <w:ind w:left="340" w:hanging="340"/>
        <w:rPr>
          <w:noProof/>
          <w:lang w:val="hu-HU"/>
        </w:rPr>
      </w:pPr>
      <w:r w:rsidRPr="00E441EF">
        <w:rPr>
          <w:noProof/>
          <w:lang w:val="hu-HU"/>
        </w:rPr>
        <w:t>(</w:t>
      </w:r>
      <w:r w:rsidRPr="00E441EF">
        <w:rPr>
          <w:noProof/>
          <w:vertAlign w:val="superscript"/>
          <w:lang w:val="hu-HU"/>
        </w:rPr>
        <w:t>6</w:t>
      </w:r>
      <w:r w:rsidRPr="00E441EF">
        <w:rPr>
          <w:noProof/>
          <w:lang w:val="hu-HU"/>
        </w:rPr>
        <w:t>)</w:t>
      </w:r>
      <w:r w:rsidRPr="00E441EF">
        <w:rPr>
          <w:noProof/>
          <w:lang w:val="hu-HU"/>
        </w:rPr>
        <w:tab/>
        <w:t xml:space="preserve">Ha biótára vonatkozó EQS került megadásra, az ezen irányelv 3. cikkének (3) bekezdésében foglalt rendelkezés sérelme nélkül azt kell alkalmazni, nem pedig a vízre vonatkozó EQS-t, ami lehetővé teszi alternatív bióta-taxon vagy más mátrix monitorozását is, amennyiben az alkalmazott EQS azonos szintű védelmet biztosít. Eltérő rendelkezés hiányában a biótára vonatkozó EQS halakra vonatkozik. A 15. </w:t>
      </w:r>
      <w:r w:rsidRPr="000105EC">
        <w:rPr>
          <w:noProof/>
          <w:lang w:val="hu-HU"/>
        </w:rPr>
        <w:t>(fluorantén), 28. (PAH) és 51. (biszfenol-A) sorszámú anyag esetében a biótára vonatkozó EQS rákokra és puhatestűekre vonatkozik. A kémiai állapot értékelésének alkalmazásában a fluorantén, a PAH és a biszfenol-A halakban való monitorozása nem megfelelő eljárás. A 37. (dioxinok és dioxin jellegű vegyületek) sorszámú anyag esetében a biótára vonatkozó EQS halakra, rákokra és puhatestűekre vonatkozik, az 1259/2011/EU bizottsági rendelet* mellékletének 5.3. szakaszával összhangban.</w:t>
      </w:r>
    </w:p>
    <w:p w14:paraId="161C83F4" w14:textId="77777777" w:rsidR="00FA31A1" w:rsidRPr="000105EC" w:rsidRDefault="00FA31A1" w:rsidP="00FA31A1">
      <w:pPr>
        <w:pStyle w:val="FootnoteText"/>
        <w:tabs>
          <w:tab w:val="left" w:pos="14570"/>
        </w:tabs>
        <w:ind w:left="340" w:hanging="340"/>
        <w:rPr>
          <w:noProof/>
          <w:lang w:val="hu-HU"/>
        </w:rPr>
      </w:pPr>
      <w:r w:rsidRPr="000105EC">
        <w:rPr>
          <w:noProof/>
          <w:lang w:val="hu-HU"/>
        </w:rPr>
        <w:t>(</w:t>
      </w:r>
      <w:r w:rsidRPr="000105EC">
        <w:rPr>
          <w:noProof/>
          <w:vertAlign w:val="superscript"/>
          <w:lang w:val="hu-HU"/>
        </w:rPr>
        <w:t>7</w:t>
      </w:r>
      <w:r w:rsidRPr="000105EC">
        <w:rPr>
          <w:noProof/>
          <w:lang w:val="hu-HU"/>
        </w:rPr>
        <w:t>)</w:t>
      </w:r>
      <w:r w:rsidRPr="000105EC">
        <w:rPr>
          <w:noProof/>
          <w:lang w:val="hu-HU"/>
        </w:rPr>
        <w:tab/>
        <w:t>A brómozott difeniléterek (5. sorszám) alá tartozó elsőbbségi anyagok csoportja tekintetében az EQS a 28., 47., 99., 100., 153. és 154. számú rokonvegyületek koncentrációjának összegére vonatkozik.</w:t>
      </w:r>
    </w:p>
    <w:p w14:paraId="5EFEE228" w14:textId="77777777" w:rsidR="00FA31A1" w:rsidRPr="000105EC" w:rsidRDefault="00FA31A1" w:rsidP="00FA31A1">
      <w:pPr>
        <w:pStyle w:val="FootnoteText"/>
        <w:tabs>
          <w:tab w:val="left" w:pos="14570"/>
        </w:tabs>
        <w:ind w:left="340" w:hanging="340"/>
        <w:rPr>
          <w:noProof/>
          <w:lang w:val="hu-HU"/>
        </w:rPr>
      </w:pPr>
      <w:r w:rsidRPr="000105EC">
        <w:rPr>
          <w:noProof/>
          <w:lang w:val="hu-HU"/>
        </w:rPr>
        <w:t>(</w:t>
      </w:r>
      <w:r w:rsidRPr="000105EC">
        <w:rPr>
          <w:noProof/>
          <w:vertAlign w:val="superscript"/>
          <w:lang w:val="hu-HU"/>
        </w:rPr>
        <w:t>8</w:t>
      </w:r>
      <w:r w:rsidRPr="000105EC">
        <w:rPr>
          <w:noProof/>
          <w:lang w:val="hu-HU"/>
        </w:rPr>
        <w:t>)</w:t>
      </w:r>
      <w:r w:rsidRPr="000105EC">
        <w:rPr>
          <w:noProof/>
          <w:lang w:val="hu-HU"/>
        </w:rPr>
        <w:tab/>
        <w:t>Tetra-, penta-, hexa-, hepta-, okta- és dekabróm-difenil-éter (CAS-számok: 40088-47-9, 32534-81-9, 36483-60-0, 68928-80-3, 32536-52-0, illetve 1163-19-5).</w:t>
      </w:r>
    </w:p>
    <w:p w14:paraId="73371369" w14:textId="77777777" w:rsidR="00FA31A1" w:rsidRPr="000105EC" w:rsidRDefault="00FA31A1" w:rsidP="00FA31A1">
      <w:pPr>
        <w:pStyle w:val="FootnoteText"/>
        <w:tabs>
          <w:tab w:val="left" w:pos="14570"/>
        </w:tabs>
        <w:ind w:left="340" w:hanging="340"/>
        <w:rPr>
          <w:noProof/>
          <w:lang w:val="hu-HU"/>
        </w:rPr>
      </w:pPr>
      <w:r w:rsidRPr="000105EC">
        <w:rPr>
          <w:noProof/>
          <w:lang w:val="hu-HU"/>
        </w:rPr>
        <w:t>(</w:t>
      </w:r>
      <w:r w:rsidRPr="000105EC">
        <w:rPr>
          <w:noProof/>
          <w:vertAlign w:val="superscript"/>
          <w:lang w:val="hu-HU"/>
        </w:rPr>
        <w:t>9</w:t>
      </w:r>
      <w:r w:rsidRPr="000105EC">
        <w:rPr>
          <w:noProof/>
          <w:lang w:val="hu-HU"/>
        </w:rPr>
        <w:t>)</w:t>
      </w:r>
      <w:r w:rsidRPr="000105EC">
        <w:rPr>
          <w:noProof/>
          <w:lang w:val="hu-HU"/>
        </w:rPr>
        <w:tab/>
        <w:t>A kadmium és vegyületei (6. sorszám) esetében az EQS-értékek a víz keménységétől függően változnak öt osztálykategória szerint (1. osztály): &lt; 40 mg CaCO3/l, 2. osztály: 40-től &lt; 50 mg CaCO3/l, 3. osztály: 50-től &lt; 100 mg CaCO3/l, 4. osztály: 100-tól &lt; 200 mg CaCO3/l, 5. osztály: ≥ 200 mg CaCO3/l).</w:t>
      </w:r>
    </w:p>
    <w:p w14:paraId="22F09F27" w14:textId="77777777" w:rsidR="00FA31A1" w:rsidRPr="000105EC" w:rsidRDefault="00FA31A1" w:rsidP="00FA31A1">
      <w:pPr>
        <w:pStyle w:val="FootnoteText"/>
        <w:tabs>
          <w:tab w:val="left" w:pos="14570"/>
        </w:tabs>
        <w:ind w:left="340" w:hanging="340"/>
        <w:rPr>
          <w:noProof/>
          <w:lang w:val="hu-HU"/>
        </w:rPr>
      </w:pPr>
      <w:r w:rsidRPr="000105EC">
        <w:rPr>
          <w:noProof/>
          <w:lang w:val="hu-HU"/>
        </w:rPr>
        <w:t>(</w:t>
      </w:r>
      <w:r w:rsidRPr="000105EC">
        <w:rPr>
          <w:noProof/>
          <w:vertAlign w:val="superscript"/>
          <w:lang w:val="hu-HU"/>
        </w:rPr>
        <w:t>10</w:t>
      </w:r>
      <w:r w:rsidRPr="000105EC">
        <w:rPr>
          <w:noProof/>
          <w:lang w:val="hu-HU"/>
        </w:rPr>
        <w:t>)</w:t>
      </w:r>
      <w:r w:rsidRPr="000105EC">
        <w:rPr>
          <w:noProof/>
          <w:lang w:val="hu-HU"/>
        </w:rPr>
        <w:tab/>
        <w:t>Ezen anyagcsoporthoz nem adnak meg indikatív paramétert. Az indikatív paraméter(eke)t az elemzési módszer segítségével kell meghatározni.</w:t>
      </w:r>
    </w:p>
    <w:p w14:paraId="04166653" w14:textId="77777777" w:rsidR="00FA31A1" w:rsidRPr="000105EC" w:rsidRDefault="00FA31A1" w:rsidP="00FA31A1">
      <w:pPr>
        <w:pStyle w:val="FootnoteText"/>
        <w:tabs>
          <w:tab w:val="left" w:pos="14570"/>
        </w:tabs>
        <w:ind w:left="340" w:hanging="340"/>
        <w:rPr>
          <w:noProof/>
          <w:lang w:val="hu-HU"/>
        </w:rPr>
      </w:pPr>
      <w:r w:rsidRPr="000105EC">
        <w:rPr>
          <w:noProof/>
          <w:lang w:val="hu-HU"/>
        </w:rPr>
        <w:t>(</w:t>
      </w:r>
      <w:r w:rsidRPr="000105EC">
        <w:rPr>
          <w:noProof/>
          <w:vertAlign w:val="superscript"/>
          <w:lang w:val="hu-HU"/>
        </w:rPr>
        <w:t>11</w:t>
      </w:r>
      <w:r w:rsidRPr="000105EC">
        <w:rPr>
          <w:noProof/>
          <w:lang w:val="hu-HU"/>
        </w:rPr>
        <w:t>)</w:t>
      </w:r>
      <w:r w:rsidRPr="000105EC">
        <w:rPr>
          <w:noProof/>
          <w:lang w:val="hu-HU"/>
        </w:rPr>
        <w:tab/>
        <w:t>Az összes DDT az 1,1,1-triklór-2,2-bisz(p-klórfenil)-etán (CAS 50 29 3, EU 200 024 3), az 1,1,1-triklór-2-(o-klórfenil)-2-(p-klórfenil)-etán (CAS 789 02 6, EU 212 332 5), az 1,1-diklór-2,2-bisz(p-klórfenil)-etilén (CAS 72 55 9, EU 200 784 6) és az 1,1-diklór-2,2-bisz(p-klórfenil)-etán (CAS 72 54 8, EU 200 783 0) izomerek összegét jelenti.</w:t>
      </w:r>
    </w:p>
    <w:p w14:paraId="6A6038BE" w14:textId="77777777" w:rsidR="00FA31A1" w:rsidRPr="000105EC" w:rsidRDefault="00FA31A1" w:rsidP="00FA31A1">
      <w:pPr>
        <w:pStyle w:val="FootnoteText"/>
        <w:tabs>
          <w:tab w:val="left" w:pos="14570"/>
        </w:tabs>
        <w:ind w:left="340" w:hanging="340"/>
        <w:rPr>
          <w:noProof/>
          <w:lang w:val="hu-HU"/>
        </w:rPr>
      </w:pPr>
      <w:r w:rsidRPr="000105EC">
        <w:rPr>
          <w:noProof/>
          <w:lang w:val="hu-HU"/>
        </w:rPr>
        <w:t>(</w:t>
      </w:r>
      <w:r w:rsidRPr="000105EC">
        <w:rPr>
          <w:noProof/>
          <w:vertAlign w:val="superscript"/>
          <w:lang w:val="hu-HU"/>
        </w:rPr>
        <w:t>12</w:t>
      </w:r>
      <w:r w:rsidRPr="000105EC">
        <w:rPr>
          <w:noProof/>
          <w:lang w:val="hu-HU"/>
        </w:rPr>
        <w:t>)</w:t>
      </w:r>
      <w:r w:rsidRPr="000105EC">
        <w:rPr>
          <w:noProof/>
          <w:lang w:val="hu-HU"/>
        </w:rPr>
        <w:tab/>
        <w:t>Ezek az EQS-ek az anyagok biológiailag hozzáférhető koncentrációjára vonatkoznak.</w:t>
      </w:r>
    </w:p>
    <w:p w14:paraId="086DD2E1" w14:textId="77777777" w:rsidR="00FA31A1" w:rsidRPr="000105EC" w:rsidRDefault="00FA31A1" w:rsidP="00FA31A1">
      <w:pPr>
        <w:pStyle w:val="FootnoteText"/>
        <w:tabs>
          <w:tab w:val="left" w:pos="14570"/>
        </w:tabs>
        <w:ind w:left="340" w:hanging="340"/>
        <w:rPr>
          <w:noProof/>
          <w:lang w:val="hu-HU"/>
        </w:rPr>
      </w:pPr>
      <w:r w:rsidRPr="000105EC">
        <w:rPr>
          <w:noProof/>
          <w:lang w:val="hu-HU"/>
        </w:rPr>
        <w:t>(</w:t>
      </w:r>
      <w:r w:rsidRPr="000105EC">
        <w:rPr>
          <w:noProof/>
          <w:vertAlign w:val="superscript"/>
          <w:lang w:val="hu-HU"/>
        </w:rPr>
        <w:t>13</w:t>
      </w:r>
      <w:r w:rsidRPr="000105EC">
        <w:rPr>
          <w:noProof/>
          <w:lang w:val="hu-HU"/>
        </w:rPr>
        <w:t>)</w:t>
      </w:r>
      <w:r w:rsidRPr="000105EC">
        <w:rPr>
          <w:noProof/>
          <w:lang w:val="hu-HU"/>
        </w:rPr>
        <w:tab/>
        <w:t>A biótára vonatkozó EQS a metil-higanyra vonatkozik.</w:t>
      </w:r>
    </w:p>
    <w:p w14:paraId="783FACE5" w14:textId="77777777" w:rsidR="00FA31A1" w:rsidRPr="000105EC" w:rsidRDefault="00FA31A1" w:rsidP="00FA31A1">
      <w:pPr>
        <w:pStyle w:val="FootnoteText"/>
        <w:tabs>
          <w:tab w:val="left" w:pos="14570"/>
        </w:tabs>
        <w:ind w:left="340" w:hanging="340"/>
        <w:rPr>
          <w:noProof/>
          <w:lang w:val="hu-HU"/>
        </w:rPr>
      </w:pPr>
      <w:r w:rsidRPr="000105EC">
        <w:rPr>
          <w:noProof/>
          <w:lang w:val="hu-HU"/>
        </w:rPr>
        <w:t>(</w:t>
      </w:r>
      <w:r w:rsidRPr="000105EC">
        <w:rPr>
          <w:noProof/>
          <w:vertAlign w:val="superscript"/>
          <w:lang w:val="hu-HU"/>
        </w:rPr>
        <w:t>14</w:t>
      </w:r>
      <w:r w:rsidRPr="000105EC">
        <w:rPr>
          <w:noProof/>
          <w:lang w:val="hu-HU"/>
        </w:rPr>
        <w:t>) Nonilfenol (CAS 25154-52-3, EU 246-672-0), beleértve a 4-nonilfenol (CAS 104-40-5, EU 203-199-4) és a 4-nonilfenol (elágazó) (CAS 84852-15-3, EU 284-325-5) izomereket.</w:t>
      </w:r>
    </w:p>
    <w:p w14:paraId="3DD8BF02" w14:textId="77777777" w:rsidR="00FA31A1" w:rsidRPr="000105EC" w:rsidRDefault="00FA31A1" w:rsidP="00FA31A1">
      <w:pPr>
        <w:pStyle w:val="FootnoteText"/>
        <w:tabs>
          <w:tab w:val="left" w:pos="14570"/>
        </w:tabs>
        <w:ind w:left="340" w:hanging="340"/>
        <w:rPr>
          <w:noProof/>
          <w:lang w:val="hu-HU"/>
        </w:rPr>
      </w:pPr>
      <w:r w:rsidRPr="000105EC">
        <w:rPr>
          <w:noProof/>
          <w:lang w:val="hu-HU"/>
        </w:rPr>
        <w:t>(</w:t>
      </w:r>
      <w:r w:rsidRPr="000105EC">
        <w:rPr>
          <w:noProof/>
          <w:vertAlign w:val="superscript"/>
          <w:lang w:val="hu-HU"/>
        </w:rPr>
        <w:t>15</w:t>
      </w:r>
      <w:r w:rsidRPr="000105EC">
        <w:rPr>
          <w:noProof/>
          <w:lang w:val="hu-HU"/>
        </w:rPr>
        <w:t>) Oktilfenol (CAS 1806-26-4, EU 217-302-5), beleértve a 4-[1,1’,3,3’-tetrametil-butil]-fenol (CAS 140-66-9, EU 205-426-2) izomert.</w:t>
      </w:r>
    </w:p>
    <w:p w14:paraId="3F248645" w14:textId="77777777" w:rsidR="00FA31A1" w:rsidRPr="000105EC" w:rsidRDefault="00FA31A1" w:rsidP="00FA31A1">
      <w:pPr>
        <w:pStyle w:val="FootnoteText"/>
        <w:tabs>
          <w:tab w:val="left" w:pos="14570"/>
        </w:tabs>
        <w:ind w:left="340" w:hanging="340"/>
        <w:rPr>
          <w:noProof/>
          <w:lang w:val="hu-HU"/>
        </w:rPr>
      </w:pPr>
      <w:r w:rsidRPr="000105EC">
        <w:rPr>
          <w:noProof/>
          <w:lang w:val="hu-HU"/>
        </w:rPr>
        <w:t>(</w:t>
      </w:r>
      <w:r w:rsidRPr="000105EC">
        <w:rPr>
          <w:noProof/>
          <w:vertAlign w:val="superscript"/>
          <w:lang w:val="hu-HU"/>
        </w:rPr>
        <w:t>16</w:t>
      </w:r>
      <w:r w:rsidRPr="000105EC">
        <w:rPr>
          <w:noProof/>
          <w:lang w:val="hu-HU"/>
        </w:rPr>
        <w:t xml:space="preserve">) Benzo(a)pirén (CAS 50-32-8) (RPF 1), benzo(b)fluorantén (CAS 205-99-2) (RPF 0,1), benzo(k)fluorantén (CAS 207-08-9) (RPF 0,1), benzo(g,h,i)perilén (CAS 191-24-2) (RPF 0), indeno(1,2,3-cd)pirén (CAS 193-39-5) (RPF 0,1), krizén (CAS 218-01-9) (RPF 0,01), benzo(a)antracén (CAS 56-55-3) (RPF 0,1) és dibenz(a,h)antracén (CAS 53-70-3) (RPF 1). Az antracén, a fluorantén és a naftalin PAH-ok külön szerepelnek. </w:t>
      </w:r>
    </w:p>
    <w:p w14:paraId="773FD709" w14:textId="77777777" w:rsidR="00FA31A1" w:rsidRPr="000105EC" w:rsidRDefault="00FA31A1" w:rsidP="00FA31A1">
      <w:pPr>
        <w:pStyle w:val="FootnoteText"/>
        <w:tabs>
          <w:tab w:val="left" w:pos="14570"/>
        </w:tabs>
        <w:ind w:left="340" w:hanging="340"/>
        <w:rPr>
          <w:noProof/>
          <w:lang w:val="hu-HU"/>
        </w:rPr>
      </w:pPr>
      <w:r w:rsidRPr="000105EC">
        <w:rPr>
          <w:noProof/>
          <w:lang w:val="hu-HU"/>
        </w:rPr>
        <w:t>(</w:t>
      </w:r>
      <w:r w:rsidRPr="000105EC">
        <w:rPr>
          <w:noProof/>
          <w:vertAlign w:val="superscript"/>
          <w:lang w:val="hu-HU"/>
        </w:rPr>
        <w:t>17</w:t>
      </w:r>
      <w:r w:rsidRPr="000105EC">
        <w:rPr>
          <w:noProof/>
          <w:lang w:val="hu-HU"/>
        </w:rPr>
        <w:t>) A poliaromás szénhidrogének (PAH) (28. sorszám) csoportja tekintetében a biótára vonatkozó EQS a (17) megjegyzésben felsorolt nyolc PAH közül hét koncentrációjának az összegére vonatkozik, benzo(a)pirén-egyenértékben kifejezve, az anyagoknak a benzo(a)pirénéhez viszonyított rákkeltő hatása, azaz a (16) megjegyzésben szereplő RPF-ek alapján. A benzo(g,h,i)perilént nem szükséges biótában mérni a biótára vonatkozó teljes EQS-nek való megfelelés megállapításához.</w:t>
      </w:r>
    </w:p>
    <w:p w14:paraId="67296988" w14:textId="77777777" w:rsidR="00FA31A1" w:rsidRPr="000105EC" w:rsidRDefault="00FA31A1" w:rsidP="00FA31A1">
      <w:pPr>
        <w:pStyle w:val="FootnoteText"/>
        <w:tabs>
          <w:tab w:val="left" w:pos="14570"/>
        </w:tabs>
        <w:ind w:left="340" w:hanging="340"/>
        <w:rPr>
          <w:noProof/>
          <w:lang w:val="hu-HU"/>
        </w:rPr>
      </w:pPr>
      <w:r w:rsidRPr="000105EC">
        <w:rPr>
          <w:noProof/>
          <w:lang w:val="hu-HU"/>
        </w:rPr>
        <w:t>(</w:t>
      </w:r>
      <w:r w:rsidRPr="000105EC">
        <w:rPr>
          <w:noProof/>
          <w:vertAlign w:val="superscript"/>
          <w:lang w:val="hu-HU"/>
        </w:rPr>
        <w:t>18</w:t>
      </w:r>
      <w:r w:rsidRPr="000105EC">
        <w:rPr>
          <w:noProof/>
          <w:lang w:val="hu-HU"/>
        </w:rPr>
        <w:t>) Tributil-ón vegyületek, beleértve a tributil-ón-kationt (CAS 36643-28-4).</w:t>
      </w:r>
    </w:p>
    <w:p w14:paraId="3AC26A96" w14:textId="77777777" w:rsidR="00FA31A1" w:rsidRPr="000105EC" w:rsidRDefault="00FA31A1" w:rsidP="00FA31A1">
      <w:pPr>
        <w:pStyle w:val="FootnoteText"/>
        <w:tabs>
          <w:tab w:val="left" w:pos="14570"/>
        </w:tabs>
        <w:ind w:left="340" w:hanging="340"/>
        <w:rPr>
          <w:noProof/>
          <w:lang w:val="hu-HU"/>
        </w:rPr>
      </w:pPr>
      <w:r w:rsidRPr="000105EC">
        <w:rPr>
          <w:noProof/>
          <w:lang w:val="hu-HU"/>
        </w:rPr>
        <w:t>(</w:t>
      </w:r>
      <w:r w:rsidRPr="000105EC">
        <w:rPr>
          <w:noProof/>
          <w:vertAlign w:val="superscript"/>
          <w:lang w:val="hu-HU"/>
        </w:rPr>
        <w:t>19</w:t>
      </w:r>
      <w:r w:rsidRPr="000105EC">
        <w:rPr>
          <w:noProof/>
          <w:lang w:val="hu-HU"/>
        </w:rPr>
        <w:t>) Üledékre vonatkozó EQS.</w:t>
      </w:r>
    </w:p>
    <w:p w14:paraId="4F7FD0B6" w14:textId="77777777" w:rsidR="00FA31A1" w:rsidRPr="000105EC" w:rsidRDefault="00FA31A1" w:rsidP="00FA31A1">
      <w:pPr>
        <w:pStyle w:val="FootnoteText"/>
        <w:tabs>
          <w:tab w:val="left" w:pos="14570"/>
        </w:tabs>
        <w:ind w:left="340" w:hanging="340"/>
        <w:rPr>
          <w:noProof/>
          <w:lang w:val="hu-HU"/>
        </w:rPr>
      </w:pPr>
      <w:r w:rsidRPr="000105EC">
        <w:rPr>
          <w:noProof/>
          <w:lang w:val="hu-HU"/>
        </w:rPr>
        <w:t>(</w:t>
      </w:r>
      <w:r w:rsidRPr="000105EC">
        <w:rPr>
          <w:noProof/>
          <w:vertAlign w:val="superscript"/>
          <w:lang w:val="hu-HU"/>
        </w:rPr>
        <w:t>20</w:t>
      </w:r>
      <w:r w:rsidRPr="000105EC">
        <w:rPr>
          <w:noProof/>
          <w:lang w:val="hu-HU"/>
        </w:rPr>
        <w:t>) Nem áll rendelkezésre elegendő információ a MAC-EQS ezen anyagokra történő megállapításához.</w:t>
      </w:r>
    </w:p>
    <w:p w14:paraId="7576B63F" w14:textId="77777777" w:rsidR="00FA31A1" w:rsidRPr="000105EC" w:rsidRDefault="00FA31A1" w:rsidP="00FA31A1">
      <w:pPr>
        <w:pStyle w:val="FootnoteText"/>
        <w:tabs>
          <w:tab w:val="left" w:pos="14570"/>
        </w:tabs>
        <w:ind w:left="340" w:hanging="340"/>
        <w:rPr>
          <w:noProof/>
          <w:lang w:val="hu-HU"/>
        </w:rPr>
      </w:pPr>
      <w:r w:rsidRPr="000105EC">
        <w:rPr>
          <w:noProof/>
          <w:lang w:val="hu-HU"/>
        </w:rPr>
        <w:t>(</w:t>
      </w:r>
      <w:r w:rsidRPr="000105EC">
        <w:rPr>
          <w:noProof/>
          <w:vertAlign w:val="superscript"/>
          <w:lang w:val="hu-HU"/>
        </w:rPr>
        <w:t>21</w:t>
      </w:r>
      <w:r w:rsidRPr="000105EC">
        <w:rPr>
          <w:noProof/>
          <w:lang w:val="hu-HU"/>
        </w:rPr>
        <w:t>) Ez a következő vegyületekre vonatkozik:</w:t>
      </w:r>
    </w:p>
    <w:p w14:paraId="663A90CF" w14:textId="77777777" w:rsidR="00FA31A1" w:rsidRPr="000105EC" w:rsidRDefault="00FA31A1" w:rsidP="00FA31A1">
      <w:pPr>
        <w:pStyle w:val="FootnoteText"/>
        <w:tabs>
          <w:tab w:val="left" w:pos="14570"/>
        </w:tabs>
        <w:ind w:left="340" w:hanging="340"/>
        <w:rPr>
          <w:noProof/>
          <w:lang w:val="hu-HU"/>
        </w:rPr>
      </w:pPr>
      <w:r w:rsidRPr="000105EC">
        <w:rPr>
          <w:noProof/>
          <w:lang w:val="hu-HU"/>
        </w:rPr>
        <w:tab/>
        <w:t>7 poliklórozott dibenzo-p-dioxin (PCDD): 2,3,7,8-T4CDD (CAS 1746-01-6, EU 217-122-7), 1,2,3,7,8-P5CDD (CAS 40321-76-4), 1,2,3,4,7,8-H6CDD (CAS 39227-28-6), 1,2,3,6,7,8-H6CDD (CAS 57653-85-7), 1,2,3,7,8,9-H6CDD (CAS 19408-74-3), 1,2,3,4,6,7,8-H7CDD (CAS 35822-46-9), 1,2,3,4,6,7,8,9-O8CDD (CAS 3268-87-9),</w:t>
      </w:r>
    </w:p>
    <w:p w14:paraId="6FD25433" w14:textId="77777777" w:rsidR="00FA31A1" w:rsidRPr="000105EC" w:rsidRDefault="00FA31A1" w:rsidP="00FA31A1">
      <w:pPr>
        <w:pStyle w:val="FootnoteText"/>
        <w:tabs>
          <w:tab w:val="left" w:pos="14570"/>
        </w:tabs>
        <w:ind w:left="340" w:hanging="340"/>
        <w:rPr>
          <w:noProof/>
          <w:lang w:val="hu-HU"/>
        </w:rPr>
      </w:pPr>
      <w:r w:rsidRPr="000105EC">
        <w:rPr>
          <w:noProof/>
          <w:lang w:val="hu-HU"/>
        </w:rPr>
        <w:tab/>
        <w:t xml:space="preserve">10 poliklórozott dibenzo-furán (PCDF): 2,3,7,8-T4CDF (CAS 51207-31-9), 1,2,3,7,8-P5CDF (CAS 57117-41-6), 2,3,4,7,8-P5CDF (CAS 57117-31-4), 1,2,3,4,7,8-H6CDF (CAS 70648-26-9), 1,2,3,6,7,8-H6CDF (CAS 57117-44-9), 1,2,3,7,8,9-H6CDF (CAS 72918-21-9), 2,3,4,6,7,8-H6CDF (CAS 60851-34-5), 1,2,3,4,6,7,8-H7CDF (CAS 67562-39-4), 1,2,3,4,7,8,9-H7CDF (CAS 55673-89-7), 1,2,3,4,6,7,8,9-O8CDF (CAS 39001-02-0), </w:t>
      </w:r>
    </w:p>
    <w:p w14:paraId="72F52428" w14:textId="77777777" w:rsidR="00FA31A1" w:rsidRPr="000105EC" w:rsidRDefault="00FA31A1" w:rsidP="00FA31A1">
      <w:pPr>
        <w:pStyle w:val="FootnoteText"/>
        <w:tabs>
          <w:tab w:val="left" w:pos="14570"/>
        </w:tabs>
        <w:ind w:left="340" w:hanging="340"/>
        <w:rPr>
          <w:noProof/>
          <w:lang w:val="hu-HU"/>
        </w:rPr>
      </w:pPr>
      <w:r w:rsidRPr="000105EC">
        <w:rPr>
          <w:noProof/>
          <w:lang w:val="hu-HU"/>
        </w:rPr>
        <w:tab/>
        <w:t>12 dioxin jellegű poliklórozott bifenil (PCB-DL): 3,3’,4,4’-T4CB (PCB 77, CAS 32598-13-3), 3,3’,4’,5-T4CB (PCB 81, CAS 70362-50-4), 2,3,3’,4,4’-P5CB (PCB 105, CAS 32598-14-4), 2,3,4,4’,5-P5CB (PCB 114, CAS 74472-37-0), 2,3’,4,4’,5-P5CB (PCB 118, CAS 31508-00-6), 2,3’,4,4’,5’-P5CB (PCB 123, CAS 65510-44-3), 3,3’,4,4’,5-P5CB (PCB 126, CAS 57465-28-8), 2,3,3’,4,4’,5-H6CB (PCB 156, CAS 38380-08-4), 2,3,3’,4,4’,5’-H6CB (PCB 157, CAS 69782-90-7), 2,3’,4,4’,5,5’-H6CB (PCB 167, CAS 52663-72-6), 3,3’,4,4’,5,5’-H6CB (PCB 169, CAS 32774-16-6), 2,3,3’,4,4’,5,5’-H7CB (PCB 189, CAS 39635-31-9).</w:t>
      </w:r>
    </w:p>
    <w:p w14:paraId="417907A5" w14:textId="77777777" w:rsidR="00FA31A1" w:rsidRPr="000105EC" w:rsidRDefault="00FA31A1" w:rsidP="00FA31A1">
      <w:pPr>
        <w:pStyle w:val="FootnoteText"/>
        <w:tabs>
          <w:tab w:val="left" w:pos="14570"/>
        </w:tabs>
        <w:ind w:left="340" w:hanging="340"/>
        <w:rPr>
          <w:noProof/>
          <w:lang w:val="hu-HU"/>
        </w:rPr>
      </w:pPr>
      <w:r w:rsidRPr="000105EC">
        <w:rPr>
          <w:noProof/>
          <w:lang w:val="hu-HU"/>
        </w:rPr>
        <w:t>(</w:t>
      </w:r>
      <w:r w:rsidRPr="000105EC">
        <w:rPr>
          <w:noProof/>
          <w:vertAlign w:val="superscript"/>
          <w:lang w:val="hu-HU"/>
        </w:rPr>
        <w:t>22</w:t>
      </w:r>
      <w:r w:rsidRPr="000105EC">
        <w:rPr>
          <w:noProof/>
          <w:lang w:val="hu-HU"/>
        </w:rPr>
        <w:t>) A dioxinok és dioxin jellegű vegyületek csoportja (37. sorszám) tekintetében a biótára vonatkozó EQS a (20) megjegyzésben felsorolt anyagok toxicitási egyenértékben kifejezett koncentrációjának összegére vonatkozik, az Egészségügyi Világszervezet 2005. évi toxicitási egyenérték-tényezői alapján.</w:t>
      </w:r>
    </w:p>
    <w:p w14:paraId="5B271B2F" w14:textId="77777777" w:rsidR="00FA31A1" w:rsidRPr="000105EC" w:rsidRDefault="00FA31A1" w:rsidP="00FA31A1">
      <w:pPr>
        <w:pStyle w:val="FootnoteText"/>
        <w:tabs>
          <w:tab w:val="left" w:pos="14570"/>
        </w:tabs>
        <w:ind w:left="340" w:hanging="340"/>
        <w:rPr>
          <w:noProof/>
          <w:lang w:val="hu-HU"/>
        </w:rPr>
      </w:pPr>
      <w:r w:rsidRPr="000105EC">
        <w:rPr>
          <w:noProof/>
          <w:lang w:val="hu-HU"/>
        </w:rPr>
        <w:t>(</w:t>
      </w:r>
      <w:r w:rsidRPr="000105EC">
        <w:rPr>
          <w:noProof/>
          <w:vertAlign w:val="superscript"/>
          <w:lang w:val="hu-HU"/>
        </w:rPr>
        <w:t>23</w:t>
      </w:r>
      <w:r w:rsidRPr="000105EC">
        <w:rPr>
          <w:noProof/>
          <w:lang w:val="hu-HU"/>
        </w:rPr>
        <w:t>) Az 52315-07-8 CAS-szám egy cipermetrin-izomerkeverékre vonatkozik: alfa-cipermetrin (CAS 67375-30-8, EU 257-842-9), béta-cipermetrin (CAS 65731-84-2, EU 265-898-0), théta-cipermetrin (CAS 71691-59-1) és zéta-cipermetrin (52315-07-8, EU 257-842-9).</w:t>
      </w:r>
    </w:p>
    <w:p w14:paraId="064AB68A" w14:textId="77777777" w:rsidR="00FA31A1" w:rsidRPr="000105EC" w:rsidRDefault="00FA31A1" w:rsidP="00FA31A1">
      <w:pPr>
        <w:pStyle w:val="FootnoteText"/>
        <w:tabs>
          <w:tab w:val="left" w:pos="14570"/>
        </w:tabs>
        <w:ind w:left="340" w:hanging="340"/>
        <w:rPr>
          <w:noProof/>
          <w:lang w:val="hu-HU"/>
        </w:rPr>
      </w:pPr>
      <w:r w:rsidRPr="000105EC">
        <w:rPr>
          <w:noProof/>
          <w:lang w:val="hu-HU"/>
        </w:rPr>
        <w:t>(</w:t>
      </w:r>
      <w:r w:rsidRPr="000105EC">
        <w:rPr>
          <w:noProof/>
          <w:vertAlign w:val="superscript"/>
          <w:lang w:val="hu-HU"/>
        </w:rPr>
        <w:t>24</w:t>
      </w:r>
      <w:r w:rsidRPr="000105EC">
        <w:rPr>
          <w:noProof/>
          <w:lang w:val="hu-HU"/>
        </w:rPr>
        <w:t xml:space="preserve">) Ez az 1,3,5,7,9,11-hexabróm-ciklododekánra (CAS 25637-99-4, EU 247-148-4), az 1,2,5,6,9,10-hexabróm-ciklododekánra (CAS 3194-55-6, EU 221-695-9), az </w:t>
      </w:r>
      <w:r w:rsidRPr="00DC67EB">
        <w:rPr>
          <w:noProof/>
        </w:rPr>
        <w:t>α</w:t>
      </w:r>
      <w:r w:rsidRPr="000105EC">
        <w:rPr>
          <w:noProof/>
          <w:lang w:val="hu-HU"/>
        </w:rPr>
        <w:t xml:space="preserve">-hexabróm-ciklododekánra (CAS 134237-50-6), a </w:t>
      </w:r>
      <w:r w:rsidRPr="00DC67EB">
        <w:rPr>
          <w:noProof/>
        </w:rPr>
        <w:t>β</w:t>
      </w:r>
      <w:r w:rsidRPr="000105EC">
        <w:rPr>
          <w:noProof/>
          <w:lang w:val="hu-HU"/>
        </w:rPr>
        <w:t xml:space="preserve">-hexabróm-ciklododekánra (CAS 134237-51-7) és a </w:t>
      </w:r>
      <w:r w:rsidRPr="00DC67EB">
        <w:rPr>
          <w:noProof/>
        </w:rPr>
        <w:t>γ</w:t>
      </w:r>
      <w:r w:rsidRPr="000105EC">
        <w:rPr>
          <w:noProof/>
          <w:lang w:val="hu-HU"/>
        </w:rPr>
        <w:t>-hexabróm-ciklododekánra (CAS 134237-52-8) vonatkozik.</w:t>
      </w:r>
    </w:p>
    <w:p w14:paraId="7B498526" w14:textId="77777777" w:rsidR="00FA31A1" w:rsidRPr="000105EC" w:rsidRDefault="00FA31A1" w:rsidP="00FA31A1">
      <w:pPr>
        <w:pStyle w:val="FootnoteText"/>
        <w:tabs>
          <w:tab w:val="left" w:pos="14570"/>
        </w:tabs>
        <w:ind w:left="340" w:hanging="340"/>
        <w:rPr>
          <w:strike/>
          <w:noProof/>
          <w:lang w:val="hu-HU"/>
        </w:rPr>
      </w:pPr>
      <w:r w:rsidRPr="000105EC">
        <w:rPr>
          <w:strike/>
          <w:noProof/>
          <w:lang w:val="hu-HU"/>
        </w:rPr>
        <w:t>(</w:t>
      </w:r>
      <w:r w:rsidRPr="000105EC">
        <w:rPr>
          <w:strike/>
          <w:noProof/>
          <w:vertAlign w:val="superscript"/>
          <w:lang w:val="hu-HU"/>
        </w:rPr>
        <w:t>25</w:t>
      </w:r>
      <w:r w:rsidRPr="000105EC">
        <w:rPr>
          <w:strike/>
          <w:noProof/>
          <w:lang w:val="hu-HU"/>
        </w:rPr>
        <w:t>) Ivóvíz kivételéhez és előkészítéséhez használt édesvíz esetében.</w:t>
      </w:r>
    </w:p>
    <w:p w14:paraId="4E860BC6" w14:textId="77777777" w:rsidR="00FA31A1" w:rsidRPr="000105EC" w:rsidRDefault="00FA31A1" w:rsidP="00FA31A1">
      <w:pPr>
        <w:pStyle w:val="FootnoteText"/>
        <w:tabs>
          <w:tab w:val="left" w:pos="14570"/>
        </w:tabs>
        <w:ind w:left="340" w:hanging="340"/>
        <w:rPr>
          <w:noProof/>
          <w:lang w:val="hu-HU"/>
        </w:rPr>
      </w:pPr>
      <w:r w:rsidRPr="000105EC">
        <w:rPr>
          <w:strike/>
          <w:noProof/>
          <w:lang w:val="hu-HU"/>
        </w:rPr>
        <w:t>(</w:t>
      </w:r>
      <w:r w:rsidRPr="000105EC">
        <w:rPr>
          <w:strike/>
          <w:noProof/>
          <w:vertAlign w:val="superscript"/>
          <w:lang w:val="hu-HU"/>
        </w:rPr>
        <w:t>26</w:t>
      </w:r>
      <w:r w:rsidRPr="000105EC">
        <w:rPr>
          <w:strike/>
          <w:noProof/>
          <w:lang w:val="hu-HU"/>
        </w:rPr>
        <w:t>) Nem ivóvíz kivételéhez és előkészítéséhez használt édesvíz esetében.</w:t>
      </w:r>
    </w:p>
    <w:p w14:paraId="077E8645" w14:textId="77777777" w:rsidR="00FA31A1" w:rsidRPr="000105EC" w:rsidRDefault="00FA31A1" w:rsidP="00FA31A1">
      <w:pPr>
        <w:pStyle w:val="FootnoteText"/>
        <w:tabs>
          <w:tab w:val="left" w:pos="14570"/>
        </w:tabs>
        <w:ind w:left="340" w:hanging="340"/>
        <w:rPr>
          <w:noProof/>
          <w:lang w:val="hu-HU"/>
        </w:rPr>
      </w:pPr>
      <w:r w:rsidRPr="000105EC">
        <w:rPr>
          <w:noProof/>
          <w:lang w:val="hu-HU"/>
        </w:rPr>
        <w:t>(</w:t>
      </w:r>
      <w:r w:rsidRPr="000105EC">
        <w:rPr>
          <w:noProof/>
          <w:vertAlign w:val="superscript"/>
          <w:lang w:val="hu-HU"/>
        </w:rPr>
        <w:t>27</w:t>
      </w:r>
      <w:r w:rsidRPr="000105EC">
        <w:rPr>
          <w:noProof/>
          <w:lang w:val="hu-HU"/>
        </w:rPr>
        <w:t>) Ez a következő – CAS-számmal, EU-számmal és relatív valószínűségi tényezővel (RPF) együtt felsorolt – vegyületekre vonatkozik:</w:t>
      </w:r>
    </w:p>
    <w:p w14:paraId="1BF1C8A7" w14:textId="77777777" w:rsidR="00FA31A1" w:rsidRPr="000105EC" w:rsidRDefault="00FA31A1" w:rsidP="00FA31A1">
      <w:pPr>
        <w:pStyle w:val="FootnoteText"/>
        <w:tabs>
          <w:tab w:val="left" w:pos="14570"/>
        </w:tabs>
        <w:ind w:left="340" w:hanging="340"/>
        <w:rPr>
          <w:noProof/>
          <w:lang w:val="hu-HU"/>
        </w:rPr>
      </w:pPr>
      <w:r w:rsidRPr="000105EC">
        <w:rPr>
          <w:noProof/>
          <w:lang w:val="hu-HU"/>
        </w:rPr>
        <w:tab/>
        <w:t>perfluoroktánsav (PFOA) (CAS 335-67-1, EU 206-397-9) (RPF 1), perfluoroktán-szulfonsav (PFOS) (CAS 1763-23-1, EU 217-179-8) (RPF 2), perfluorhexán-szulfonsav (PFHxS) (CAS 355-46-4, EU 206-587-1) (RPF 0,6)), perfluornonánsav (PFNA) (CAS 375-95-1, EU 206-801-3) (RPF 10), perfluorbután-szulfonsav (PFBS) (CAS 375-73-5, EU 206-793-1) (RPF 0,001), perfluorhexánsav (PFHxA) (CAS 307-24-4, EU 206-196-6) (RPF 0,01), perfluorbutánsav (PFBA) (CAS 375-22-4, EU 206-786-3) (RPF 0,05), perfluorpentánsav (PFPeA) (CAS 2706-90-3, EU 220-300-7) (RPF 0,03), perfluorpentán-szulfonsav (PFPeS) (CAS 2706-91-4, EU 220-301-2) (RPF 0,3005), perfluordekánsav (PFDA) (CAS 335-76-2, EU 206-400-3) (RPF 7), perfluordodekánsav (PFDoDA vagy PFDoA) (CAS 307-55-1, EU 206-203-2) (RPF 3), perfluorundekánsav (PFUnDA vagy PFUnA) (CAS 2058-94-8, EU 218-165-4) (RPF 4), perfluorheptánsav (PFHpA) (CAS 375-85-9, EU 206-798-9) (RPF 0,505), perfluortridekánsav (PFTrDA) (CAS 72629-94-8, EU 276-745-2) (RPF 1,65), perfluorheptán-szulfonsav (PFHpS) (CAS 375-92-8, EU 206-800-8) (RPF 1,3), perfluordekán-szulfonsav (PFDS) (CAS 335-77-3, EU 206-401-9) (RPF 2), perfluortetradekánsav (PFTeDA) (CAS 376-06-7, EU 206-803-4) (RPF 0,3), perfluorhexadekánsav (PFHxDA) (CAS 67905-19-5, EU 267-638-1) (RPF 0,02), perfluoroktadekánsav (PFODA) (CAS 16517-11-6, EU 240-582-5) (RPF 0,02), ammónium-perfluor(2-metil-3-oxahexanoát) (HFPO-DA vagy GenX) (CAS 62037-80-3) (RPF 0,06), propánsav / ammónium-(2,2,3-trifluor-3-[1,1,2,2,3,3-hexafluor-3-(trifluormetoxi)propoxi]propanoát (ADONA) (CAS 958445-44-8) (RPF 0,03), 2-(perfluor-hexil)-etil-alkohol (6:2 FTOH) (CAS 647-42-7, EU 211-477-1) (RPF 0,02), 2-(perfluoroktil)etanol (8:2 FTOH) (CAS 678-39-7, EU 211-648-0) (RPF 0,04) és ecetsav / 2,2-difluor-2-((2,2,4,5-tetrafluor-5-(trifluormetoxi)-1,3-dioxolán-4-il)oxi)- (C6O4) (CAS 1190931-41-9) (RPF 0,06).</w:t>
      </w:r>
    </w:p>
    <w:p w14:paraId="25AB825D" w14:textId="77777777" w:rsidR="00FA31A1" w:rsidRPr="000105EC" w:rsidRDefault="00FA31A1" w:rsidP="00FA31A1">
      <w:pPr>
        <w:pStyle w:val="FootnoteText"/>
        <w:tabs>
          <w:tab w:val="left" w:pos="14570"/>
        </w:tabs>
        <w:ind w:left="340" w:hanging="340"/>
        <w:rPr>
          <w:noProof/>
          <w:lang w:val="hu-HU"/>
        </w:rPr>
      </w:pPr>
      <w:r w:rsidRPr="000105EC">
        <w:rPr>
          <w:noProof/>
          <w:lang w:val="hu-HU"/>
        </w:rPr>
        <w:t>(</w:t>
      </w:r>
      <w:r w:rsidRPr="000105EC">
        <w:rPr>
          <w:noProof/>
          <w:vertAlign w:val="superscript"/>
          <w:lang w:val="hu-HU"/>
        </w:rPr>
        <w:t>28</w:t>
      </w:r>
      <w:r w:rsidRPr="000105EC">
        <w:rPr>
          <w:noProof/>
          <w:lang w:val="hu-HU"/>
        </w:rPr>
        <w:t>) A PFAS anyagok csoportja (65. sorszám) tekintetében az EQS a (27) megjegyzésben felsorolt 24 PFAS anyag koncentrációinak az összegére vonatkozik, PFOA-egyenértékben kifejezve, az anyagoknak a PFOA-éhoz viszonyított hatáserőssége, azaz a (27) megjegyzésben szereplő RPF-ek alapján.</w:t>
      </w:r>
    </w:p>
    <w:p w14:paraId="3FB4FF81" w14:textId="77777777" w:rsidR="00FA31A1" w:rsidRPr="000105EC" w:rsidRDefault="00FA31A1" w:rsidP="00FA31A1">
      <w:pPr>
        <w:pStyle w:val="FootnoteText"/>
        <w:tabs>
          <w:tab w:val="left" w:pos="14570"/>
        </w:tabs>
        <w:ind w:left="340" w:hanging="340"/>
        <w:rPr>
          <w:noProof/>
          <w:lang w:val="hu-HU"/>
        </w:rPr>
      </w:pPr>
      <w:r w:rsidRPr="000105EC">
        <w:rPr>
          <w:noProof/>
          <w:lang w:val="hu-HU"/>
        </w:rPr>
        <w:t>(</w:t>
      </w:r>
      <w:r w:rsidRPr="000105EC">
        <w:rPr>
          <w:noProof/>
          <w:vertAlign w:val="superscript"/>
          <w:lang w:val="hu-HU"/>
        </w:rPr>
        <w:t>29</w:t>
      </w:r>
      <w:r w:rsidRPr="000105EC">
        <w:rPr>
          <w:noProof/>
          <w:lang w:val="hu-HU"/>
        </w:rPr>
        <w:t>) »Peszticidek«: az 1107/2009/EK rendelet 2. cikkében említett növényvédő szerek és az 528/2012/EU rendelet 3. cikkében meghatározott biocid termékek.</w:t>
      </w:r>
    </w:p>
    <w:p w14:paraId="1DBAC9EA" w14:textId="77777777" w:rsidR="00FA31A1" w:rsidRPr="000105EC" w:rsidRDefault="00FA31A1" w:rsidP="00FA31A1">
      <w:pPr>
        <w:pStyle w:val="FootnoteText"/>
        <w:tabs>
          <w:tab w:val="left" w:pos="14570"/>
        </w:tabs>
        <w:ind w:left="340" w:hanging="340"/>
        <w:rPr>
          <w:noProof/>
          <w:lang w:val="hu-HU"/>
        </w:rPr>
      </w:pPr>
      <w:r w:rsidRPr="000105EC">
        <w:rPr>
          <w:noProof/>
          <w:lang w:val="hu-HU"/>
        </w:rPr>
        <w:t>(</w:t>
      </w:r>
      <w:r w:rsidRPr="000105EC">
        <w:rPr>
          <w:noProof/>
          <w:vertAlign w:val="superscript"/>
          <w:lang w:val="hu-HU"/>
        </w:rPr>
        <w:t>30</w:t>
      </w:r>
      <w:r w:rsidRPr="000105EC">
        <w:rPr>
          <w:noProof/>
          <w:lang w:val="hu-HU"/>
        </w:rPr>
        <w:t>) »Összes«: minden egyes, a nyomon követési eljárás során kimutatott és számszerűsített peszticid összege, beleértve anyagcseretermékeiket, lebontási termékeiket és reakciótermékeiket.”</w:t>
      </w:r>
    </w:p>
    <w:p w14:paraId="21E0C584" w14:textId="77777777" w:rsidR="006773C8" w:rsidRPr="00DC67EB" w:rsidRDefault="006773C8" w:rsidP="006773C8">
      <w:pPr>
        <w:pStyle w:val="NumPar1"/>
        <w:numPr>
          <w:ilvl w:val="0"/>
          <w:numId w:val="0"/>
        </w:numPr>
        <w:tabs>
          <w:tab w:val="left" w:pos="850"/>
        </w:tabs>
        <w:ind w:left="850" w:hanging="850"/>
        <w:rPr>
          <w:noProof/>
        </w:rPr>
      </w:pPr>
      <w:r w:rsidRPr="00DC67EB">
        <w:rPr>
          <w:noProof/>
        </w:rPr>
        <w:t>3.</w:t>
      </w:r>
      <w:r w:rsidRPr="00DC67EB">
        <w:rPr>
          <w:noProof/>
        </w:rPr>
        <w:tab/>
        <w:t>A B. rész a következőképpen módosul:</w:t>
      </w:r>
    </w:p>
    <w:p w14:paraId="47061293" w14:textId="77777777" w:rsidR="006773C8" w:rsidRPr="00DC67EB" w:rsidRDefault="006773C8" w:rsidP="006773C8">
      <w:pPr>
        <w:pStyle w:val="Point1"/>
        <w:rPr>
          <w:noProof/>
        </w:rPr>
      </w:pPr>
      <w:r w:rsidRPr="00DC67EB">
        <w:rPr>
          <w:noProof/>
        </w:rPr>
        <w:t>a)</w:t>
      </w:r>
      <w:r w:rsidRPr="00DC67EB">
        <w:rPr>
          <w:noProof/>
        </w:rPr>
        <w:tab/>
        <w:t xml:space="preserve">az 1. pontban az első bekezdés helyébe a következő szöveg lép: </w:t>
      </w:r>
    </w:p>
    <w:p w14:paraId="4F035F07" w14:textId="77777777" w:rsidR="006773C8" w:rsidRPr="00DC67EB" w:rsidRDefault="006773C8" w:rsidP="006773C8">
      <w:pPr>
        <w:ind w:left="850"/>
        <w:rPr>
          <w:noProof/>
        </w:rPr>
      </w:pPr>
      <w:r w:rsidRPr="00DC67EB">
        <w:rPr>
          <w:noProof/>
        </w:rPr>
        <w:t xml:space="preserve">„Egy felszíni víztest tekintetében az AA-EQS alkalmazása akkor valósul meg, ha az adott felszíni víztest valamennyi reprezentatív monitoring pontja esetében az év során különböző időpontokban mért koncentrációk számtani középértéke nem haladja meg az előírásban rögzített értéket.”; </w:t>
      </w:r>
    </w:p>
    <w:p w14:paraId="4F617046" w14:textId="77777777" w:rsidR="006773C8" w:rsidRPr="00DC67EB" w:rsidRDefault="006773C8" w:rsidP="006773C8">
      <w:pPr>
        <w:pStyle w:val="Point1"/>
        <w:rPr>
          <w:noProof/>
        </w:rPr>
      </w:pPr>
      <w:r w:rsidRPr="00DC67EB">
        <w:rPr>
          <w:noProof/>
        </w:rPr>
        <w:t>b)</w:t>
      </w:r>
      <w:r w:rsidRPr="00DC67EB">
        <w:rPr>
          <w:noProof/>
        </w:rPr>
        <w:tab/>
        <w:t>a 2. pontban az első bekezdés helyébe a következő szöveg lép:</w:t>
      </w:r>
    </w:p>
    <w:p w14:paraId="681D1A60" w14:textId="77777777" w:rsidR="006773C8" w:rsidRPr="00DC67EB" w:rsidRDefault="006773C8" w:rsidP="006773C8">
      <w:pPr>
        <w:ind w:left="850"/>
        <w:rPr>
          <w:noProof/>
        </w:rPr>
      </w:pPr>
      <w:r w:rsidRPr="00DC67EB">
        <w:rPr>
          <w:noProof/>
        </w:rPr>
        <w:t>„Egy felszíni víztest tekintetében a MAC-EQS alkalmazása akkor valósul meg, ha az adott víztest bármely reprezentatív monitoringpontján mért koncentráció nem haladja meg az előírásban rögzített értéket.”</w:t>
      </w:r>
    </w:p>
    <w:p w14:paraId="3F89B2C3" w14:textId="77777777" w:rsidR="006773C8" w:rsidRPr="00DC67EB" w:rsidRDefault="006773C8" w:rsidP="006773C8">
      <w:pPr>
        <w:rPr>
          <w:noProof/>
        </w:rPr>
        <w:sectPr w:rsidR="006773C8" w:rsidRPr="00DC67EB" w:rsidSect="00E54390">
          <w:headerReference w:type="default" r:id="rId11"/>
          <w:footerReference w:type="default" r:id="rId12"/>
          <w:headerReference w:type="first" r:id="rId13"/>
          <w:footerReference w:type="first" r:id="rId14"/>
          <w:footnotePr>
            <w:numRestart w:val="eachSect"/>
          </w:footnotePr>
          <w:pgSz w:w="16839" w:h="11907" w:orient="landscape"/>
          <w:pgMar w:top="1417" w:right="1134" w:bottom="1417" w:left="1134" w:header="709" w:footer="709" w:gutter="0"/>
          <w:cols w:space="720"/>
          <w:docGrid w:linePitch="360"/>
        </w:sectPr>
      </w:pPr>
    </w:p>
    <w:p w14:paraId="209BAD2C" w14:textId="77777777" w:rsidR="006773C8" w:rsidRPr="00DC67EB" w:rsidRDefault="006773C8" w:rsidP="006773C8">
      <w:pPr>
        <w:pStyle w:val="Annexetitre"/>
        <w:rPr>
          <w:b w:val="0"/>
          <w:noProof/>
          <w:u w:val="none"/>
        </w:rPr>
      </w:pPr>
      <w:r w:rsidRPr="00DC67EB">
        <w:rPr>
          <w:b w:val="0"/>
          <w:noProof/>
          <w:u w:val="none"/>
        </w:rPr>
        <w:t>VI. MELLÉKLET</w:t>
      </w:r>
    </w:p>
    <w:p w14:paraId="0F4F2BA8" w14:textId="77777777" w:rsidR="006773C8" w:rsidRPr="00DC67EB" w:rsidRDefault="006773C8" w:rsidP="006773C8">
      <w:pPr>
        <w:rPr>
          <w:noProof/>
        </w:rPr>
      </w:pPr>
    </w:p>
    <w:p w14:paraId="6B4A881F" w14:textId="77777777" w:rsidR="006773C8" w:rsidRPr="00DC67EB" w:rsidRDefault="006773C8" w:rsidP="006773C8">
      <w:pPr>
        <w:spacing w:before="120" w:after="120" w:line="360" w:lineRule="auto"/>
        <w:rPr>
          <w:noProof/>
        </w:rPr>
      </w:pPr>
      <w:r w:rsidRPr="00DC67EB">
        <w:rPr>
          <w:noProof/>
        </w:rPr>
        <w:t>„II. MELLÉKLET</w:t>
      </w:r>
    </w:p>
    <w:p w14:paraId="25550107" w14:textId="77777777" w:rsidR="006773C8" w:rsidRPr="00DC67EB" w:rsidRDefault="006773C8" w:rsidP="006773C8">
      <w:pPr>
        <w:spacing w:before="120" w:after="120" w:line="360" w:lineRule="auto"/>
        <w:rPr>
          <w:noProof/>
        </w:rPr>
      </w:pPr>
      <w:r w:rsidRPr="00DC67EB">
        <w:rPr>
          <w:noProof/>
        </w:rPr>
        <w:t>A VÍZGYŰJTŐ-SPECIFIKUS SZENNYEZŐ ANYAGOKRA VONATKOZÓ KÖRNYEZETMINŐSÉGI ELŐÍRÁSOK</w:t>
      </w:r>
    </w:p>
    <w:p w14:paraId="49153572" w14:textId="77777777" w:rsidR="006773C8" w:rsidRPr="00DC67EB" w:rsidRDefault="006773C8" w:rsidP="006773C8">
      <w:pPr>
        <w:pStyle w:val="ManualHeading1"/>
        <w:tabs>
          <w:tab w:val="clear" w:pos="850"/>
        </w:tabs>
        <w:spacing w:before="120" w:line="360" w:lineRule="auto"/>
        <w:ind w:left="0" w:firstLine="0"/>
        <w:rPr>
          <w:b w:val="0"/>
          <w:noProof/>
        </w:rPr>
      </w:pPr>
      <w:r w:rsidRPr="00DC67EB">
        <w:rPr>
          <w:b w:val="0"/>
          <w:noProof/>
        </w:rPr>
        <w:t xml:space="preserve">A. rész:  A VÍZGYŰJTŐ-SPECIFIKUS SZENNYEZŐ ANYAGOK KATEGÓRIÁINAK JEGYZÉKE </w:t>
      </w:r>
    </w:p>
    <w:p w14:paraId="4DB03054" w14:textId="77777777" w:rsidR="006773C8" w:rsidRPr="00DC67EB" w:rsidRDefault="006773C8" w:rsidP="00AF1DC4">
      <w:pPr>
        <w:spacing w:before="120" w:after="120" w:line="360" w:lineRule="auto"/>
        <w:rPr>
          <w:noProof/>
        </w:rPr>
      </w:pPr>
      <w:r w:rsidRPr="00DC67EB">
        <w:rPr>
          <w:noProof/>
        </w:rPr>
        <w:t>1.</w:t>
      </w:r>
      <w:r w:rsidRPr="00DC67EB">
        <w:rPr>
          <w:noProof/>
        </w:rPr>
        <w:tab/>
        <w:t>Szerves halogén vegyületek és anyagok, amelyek ilyen vegyületeket alkothatnak a vízi környezetben</w:t>
      </w:r>
    </w:p>
    <w:p w14:paraId="7B3ADF27" w14:textId="77777777" w:rsidR="006773C8" w:rsidRPr="00DC67EB" w:rsidRDefault="006773C8" w:rsidP="006773C8">
      <w:pPr>
        <w:spacing w:before="120" w:after="120" w:line="360" w:lineRule="auto"/>
        <w:rPr>
          <w:noProof/>
        </w:rPr>
      </w:pPr>
      <w:r w:rsidRPr="00DC67EB">
        <w:rPr>
          <w:noProof/>
        </w:rPr>
        <w:t>2.</w:t>
      </w:r>
      <w:r w:rsidRPr="00DC67EB">
        <w:rPr>
          <w:noProof/>
        </w:rPr>
        <w:tab/>
        <w:t>Szerves foszforvegyületek</w:t>
      </w:r>
    </w:p>
    <w:p w14:paraId="1C8FD6CD" w14:textId="77777777" w:rsidR="006773C8" w:rsidRPr="00DC67EB" w:rsidRDefault="006773C8" w:rsidP="006773C8">
      <w:pPr>
        <w:spacing w:before="120" w:after="120" w:line="360" w:lineRule="auto"/>
        <w:rPr>
          <w:noProof/>
        </w:rPr>
      </w:pPr>
      <w:r w:rsidRPr="00DC67EB">
        <w:rPr>
          <w:noProof/>
        </w:rPr>
        <w:t xml:space="preserve">3. </w:t>
      </w:r>
      <w:r w:rsidRPr="00DC67EB">
        <w:rPr>
          <w:noProof/>
        </w:rPr>
        <w:tab/>
        <w:t>Szerves ónvegyületek</w:t>
      </w:r>
    </w:p>
    <w:p w14:paraId="55304539" w14:textId="77777777" w:rsidR="006773C8" w:rsidRPr="00DC67EB" w:rsidRDefault="006773C8" w:rsidP="00AF1DC4">
      <w:pPr>
        <w:spacing w:before="120" w:after="120" w:line="360" w:lineRule="auto"/>
        <w:rPr>
          <w:noProof/>
        </w:rPr>
      </w:pPr>
      <w:r w:rsidRPr="00DC67EB">
        <w:rPr>
          <w:noProof/>
        </w:rPr>
        <w:t>4.</w:t>
      </w:r>
      <w:r w:rsidRPr="00DC67EB">
        <w:rPr>
          <w:noProof/>
        </w:rPr>
        <w:tab/>
        <w:t>Anyagok és készítmények, vagy ezek bomlási termékei, amelyekről bebizonyosodott, hogy karcinogén vagy mutagén tulajdonságokkal rendelkeznek, vagy olyan tulajdonságokkal, amelyek hatással lehetnek a szteroidhormon-termelésre, a pajzsmirigyhormon-termelésre, a szaporodásra vagy az endokrin rendszer egyéb funkcióira a vízi környezetben vagy azon keresztül</w:t>
      </w:r>
    </w:p>
    <w:p w14:paraId="37DC71E0" w14:textId="77777777" w:rsidR="006773C8" w:rsidRPr="00DC67EB" w:rsidRDefault="006773C8" w:rsidP="006773C8">
      <w:pPr>
        <w:widowControl/>
        <w:rPr>
          <w:noProof/>
        </w:rPr>
      </w:pPr>
      <w:r w:rsidRPr="00DC67EB">
        <w:rPr>
          <w:noProof/>
        </w:rPr>
        <w:br w:type="page"/>
      </w:r>
    </w:p>
    <w:p w14:paraId="1F0973DF" w14:textId="77777777" w:rsidR="006773C8" w:rsidRPr="00DC67EB" w:rsidRDefault="006773C8" w:rsidP="00AF1DC4">
      <w:pPr>
        <w:spacing w:before="120" w:after="120" w:line="360" w:lineRule="auto"/>
        <w:ind w:left="567" w:hanging="567"/>
        <w:rPr>
          <w:noProof/>
        </w:rPr>
      </w:pPr>
      <w:r w:rsidRPr="00DC67EB">
        <w:rPr>
          <w:noProof/>
        </w:rPr>
        <w:t xml:space="preserve">5. </w:t>
      </w:r>
      <w:r w:rsidR="00236214" w:rsidRPr="00DC67EB">
        <w:rPr>
          <w:noProof/>
        </w:rPr>
        <w:tab/>
      </w:r>
      <w:r w:rsidRPr="00DC67EB">
        <w:rPr>
          <w:noProof/>
        </w:rPr>
        <w:t>Biológiailag nem bontható szénhidrogének és biológiailag nem bontható és bioakkumulációra hajlamos szerves toxikus anyagok</w:t>
      </w:r>
    </w:p>
    <w:p w14:paraId="48AEEF27" w14:textId="77777777" w:rsidR="006773C8" w:rsidRPr="00DC67EB" w:rsidRDefault="006773C8" w:rsidP="006773C8">
      <w:pPr>
        <w:spacing w:before="120" w:after="120" w:line="360" w:lineRule="auto"/>
        <w:rPr>
          <w:noProof/>
        </w:rPr>
      </w:pPr>
      <w:r w:rsidRPr="00DC67EB">
        <w:rPr>
          <w:noProof/>
        </w:rPr>
        <w:t xml:space="preserve">6. </w:t>
      </w:r>
      <w:r w:rsidR="00236214" w:rsidRPr="00DC67EB">
        <w:rPr>
          <w:noProof/>
        </w:rPr>
        <w:tab/>
      </w:r>
      <w:r w:rsidRPr="00DC67EB">
        <w:rPr>
          <w:noProof/>
        </w:rPr>
        <w:t>Cianidok</w:t>
      </w:r>
    </w:p>
    <w:p w14:paraId="7A198D65" w14:textId="77777777" w:rsidR="006773C8" w:rsidRPr="00DC67EB" w:rsidRDefault="006773C8" w:rsidP="006773C8">
      <w:pPr>
        <w:spacing w:before="120" w:after="120" w:line="360" w:lineRule="auto"/>
        <w:rPr>
          <w:noProof/>
        </w:rPr>
      </w:pPr>
      <w:r w:rsidRPr="00DC67EB">
        <w:rPr>
          <w:noProof/>
        </w:rPr>
        <w:t xml:space="preserve">7. </w:t>
      </w:r>
      <w:r w:rsidR="00236214" w:rsidRPr="00DC67EB">
        <w:rPr>
          <w:noProof/>
        </w:rPr>
        <w:tab/>
      </w:r>
      <w:r w:rsidRPr="00DC67EB">
        <w:rPr>
          <w:noProof/>
        </w:rPr>
        <w:t>Fémek és vegyületeik</w:t>
      </w:r>
    </w:p>
    <w:p w14:paraId="415260EA" w14:textId="77777777" w:rsidR="006773C8" w:rsidRPr="00DC67EB" w:rsidRDefault="006773C8" w:rsidP="006773C8">
      <w:pPr>
        <w:spacing w:before="120" w:after="120" w:line="360" w:lineRule="auto"/>
        <w:rPr>
          <w:noProof/>
        </w:rPr>
      </w:pPr>
      <w:r w:rsidRPr="00DC67EB">
        <w:rPr>
          <w:noProof/>
        </w:rPr>
        <w:t xml:space="preserve">8. </w:t>
      </w:r>
      <w:r w:rsidR="00236214" w:rsidRPr="00DC67EB">
        <w:rPr>
          <w:noProof/>
        </w:rPr>
        <w:tab/>
      </w:r>
      <w:r w:rsidRPr="00DC67EB">
        <w:rPr>
          <w:noProof/>
        </w:rPr>
        <w:t>Arzén és vegyületei</w:t>
      </w:r>
    </w:p>
    <w:p w14:paraId="105CC95A" w14:textId="77777777" w:rsidR="006773C8" w:rsidRPr="00DC67EB" w:rsidRDefault="006773C8" w:rsidP="006773C8">
      <w:pPr>
        <w:spacing w:before="120" w:after="120" w:line="360" w:lineRule="auto"/>
        <w:rPr>
          <w:noProof/>
        </w:rPr>
      </w:pPr>
      <w:r w:rsidRPr="00DC67EB">
        <w:rPr>
          <w:noProof/>
        </w:rPr>
        <w:t xml:space="preserve">9. </w:t>
      </w:r>
      <w:r w:rsidR="00236214" w:rsidRPr="00DC67EB">
        <w:rPr>
          <w:noProof/>
        </w:rPr>
        <w:tab/>
      </w:r>
      <w:r w:rsidRPr="00DC67EB">
        <w:rPr>
          <w:noProof/>
        </w:rPr>
        <w:t>Biocidok és növényvédő szerek</w:t>
      </w:r>
    </w:p>
    <w:p w14:paraId="52A53B17" w14:textId="77777777" w:rsidR="006773C8" w:rsidRPr="00DC67EB" w:rsidRDefault="006773C8" w:rsidP="00236214">
      <w:pPr>
        <w:spacing w:before="120" w:after="120" w:line="360" w:lineRule="auto"/>
        <w:ind w:left="567" w:hanging="567"/>
        <w:rPr>
          <w:b/>
          <w:noProof/>
        </w:rPr>
      </w:pPr>
      <w:r w:rsidRPr="00DC67EB">
        <w:rPr>
          <w:noProof/>
        </w:rPr>
        <w:t xml:space="preserve">10. </w:t>
      </w:r>
      <w:r w:rsidR="00236214" w:rsidRPr="00DC67EB">
        <w:rPr>
          <w:noProof/>
        </w:rPr>
        <w:tab/>
      </w:r>
      <w:r w:rsidRPr="00DC67EB">
        <w:rPr>
          <w:noProof/>
        </w:rPr>
        <w:t xml:space="preserve">Szuszpenzióban lévő anyagok, beleértve a mikro-/nanoműanyagokat is </w:t>
      </w:r>
      <w:r w:rsidRPr="00DC67EB">
        <w:rPr>
          <w:b/>
          <w:i/>
          <w:noProof/>
        </w:rPr>
        <w:t>, valamint a mikro-/nanoműanyagok megjelenéséért felelősnek tartott anyagokat</w:t>
      </w:r>
      <w:r w:rsidRPr="00DC67EB">
        <w:rPr>
          <w:noProof/>
        </w:rPr>
        <w:t xml:space="preserve"> is</w:t>
      </w:r>
      <w:r w:rsidRPr="00DC67EB">
        <w:rPr>
          <w:b/>
          <w:i/>
          <w:noProof/>
        </w:rPr>
        <w:t>;</w:t>
      </w:r>
      <w:r w:rsidRPr="00DC67EB">
        <w:rPr>
          <w:b/>
          <w:noProof/>
        </w:rPr>
        <w:t xml:space="preserve"> [Mód. 155]</w:t>
      </w:r>
    </w:p>
    <w:p w14:paraId="27D8C071" w14:textId="77777777" w:rsidR="006773C8" w:rsidRPr="00DC67EB" w:rsidRDefault="006773C8" w:rsidP="00AF1DC4">
      <w:pPr>
        <w:spacing w:before="120" w:after="120" w:line="360" w:lineRule="auto"/>
        <w:rPr>
          <w:noProof/>
        </w:rPr>
      </w:pPr>
      <w:r w:rsidRPr="00DC67EB">
        <w:rPr>
          <w:noProof/>
        </w:rPr>
        <w:t xml:space="preserve">11. </w:t>
      </w:r>
      <w:r w:rsidR="00236214" w:rsidRPr="00DC67EB">
        <w:rPr>
          <w:noProof/>
        </w:rPr>
        <w:tab/>
      </w:r>
      <w:r w:rsidRPr="00DC67EB">
        <w:rPr>
          <w:noProof/>
        </w:rPr>
        <w:t>Az eutrofizációt elősegítő anyagok (különösen a nitrátok és a foszfátok)</w:t>
      </w:r>
    </w:p>
    <w:p w14:paraId="415B75C9" w14:textId="77777777" w:rsidR="006773C8" w:rsidRPr="00DC67EB" w:rsidRDefault="006773C8" w:rsidP="00236214">
      <w:pPr>
        <w:spacing w:before="120" w:after="120" w:line="360" w:lineRule="auto"/>
        <w:ind w:left="567" w:hanging="567"/>
        <w:rPr>
          <w:noProof/>
        </w:rPr>
      </w:pPr>
      <w:r w:rsidRPr="00DC67EB">
        <w:rPr>
          <w:noProof/>
        </w:rPr>
        <w:t xml:space="preserve">12. </w:t>
      </w:r>
      <w:r w:rsidR="00236214" w:rsidRPr="00DC67EB">
        <w:rPr>
          <w:noProof/>
        </w:rPr>
        <w:tab/>
      </w:r>
      <w:r w:rsidRPr="00DC67EB">
        <w:rPr>
          <w:noProof/>
        </w:rPr>
        <w:t>Az oxigénháztartásra kedvezőtlen hatással lévő anyagok (amelyek olyan paraméterekkel mérhetők, mint a BOI, a KOI stb.)</w:t>
      </w:r>
    </w:p>
    <w:p w14:paraId="6CC2657A" w14:textId="77777777" w:rsidR="00236214" w:rsidRPr="00DC67EB" w:rsidRDefault="00236214">
      <w:pPr>
        <w:widowControl/>
        <w:rPr>
          <w:noProof/>
        </w:rPr>
      </w:pPr>
      <w:r w:rsidRPr="00DC67EB">
        <w:rPr>
          <w:noProof/>
        </w:rPr>
        <w:br w:type="page"/>
      </w:r>
    </w:p>
    <w:p w14:paraId="78BBE1C4" w14:textId="77777777" w:rsidR="006773C8" w:rsidRPr="00DC67EB" w:rsidRDefault="006773C8" w:rsidP="00DC67EB">
      <w:pPr>
        <w:spacing w:before="120" w:after="120" w:line="360" w:lineRule="auto"/>
        <w:ind w:left="567" w:hanging="567"/>
        <w:rPr>
          <w:rFonts w:eastAsia="Calibri"/>
          <w:noProof/>
        </w:rPr>
      </w:pPr>
      <w:r w:rsidRPr="00DC67EB">
        <w:rPr>
          <w:noProof/>
        </w:rPr>
        <w:t xml:space="preserve">13. </w:t>
      </w:r>
      <w:r w:rsidR="00236214" w:rsidRPr="00DC67EB">
        <w:rPr>
          <w:noProof/>
        </w:rPr>
        <w:tab/>
      </w:r>
      <w:r w:rsidRPr="00DC67EB">
        <w:rPr>
          <w:noProof/>
        </w:rPr>
        <w:t>Az antimikrobiális hatóanyagokkal szemben rezisztens mikroorganizmusok, különösen az emberekre vagy állatokra patogén mikroorganizmusok jelenlétét tükröző mikroorganizmusok, gének vagy genetikai anyagok.</w:t>
      </w:r>
    </w:p>
    <w:p w14:paraId="5AD1247F" w14:textId="77777777" w:rsidR="006773C8" w:rsidRPr="00DC67EB" w:rsidRDefault="006773C8" w:rsidP="00DC67EB">
      <w:pPr>
        <w:pStyle w:val="ManualHeading1"/>
        <w:tabs>
          <w:tab w:val="clear" w:pos="850"/>
        </w:tabs>
        <w:spacing w:before="120" w:line="360" w:lineRule="auto"/>
        <w:ind w:left="0" w:firstLine="0"/>
        <w:jc w:val="left"/>
        <w:rPr>
          <w:b w:val="0"/>
          <w:noProof/>
        </w:rPr>
      </w:pPr>
      <w:r w:rsidRPr="00DC67EB">
        <w:rPr>
          <w:b w:val="0"/>
          <w:noProof/>
        </w:rPr>
        <w:t>B. RÉSZ: A VÍZGYŰJTŐ-SPECIFIKUS SZENNYEZŐ ANYAGOKRA VONATKOZÓ KÖRNYEZETMINŐSÉGI ELŐÍRÁSOK LEVEZETÉSÉRE SZOLGÁLÓ ELJÁRÁS</w:t>
      </w:r>
    </w:p>
    <w:p w14:paraId="24720590" w14:textId="77777777" w:rsidR="006773C8" w:rsidRPr="00DC67EB" w:rsidRDefault="006773C8" w:rsidP="00DC67EB">
      <w:pPr>
        <w:spacing w:before="120" w:after="120" w:line="360" w:lineRule="auto"/>
        <w:rPr>
          <w:noProof/>
        </w:rPr>
      </w:pPr>
      <w:r w:rsidRPr="00DC67EB">
        <w:rPr>
          <w:noProof/>
        </w:rPr>
        <w:t>A vízgyűjtő-specifikus szennyező anyagokra vonatkozó környezetminőségi előírások megállapításához használt módszerek a következő lépésekből állnak:</w:t>
      </w:r>
    </w:p>
    <w:p w14:paraId="454C2E98" w14:textId="77777777" w:rsidR="006773C8" w:rsidRPr="00DC67EB" w:rsidRDefault="006773C8" w:rsidP="00DC67EB">
      <w:pPr>
        <w:pStyle w:val="Point2letter"/>
        <w:numPr>
          <w:ilvl w:val="0"/>
          <w:numId w:val="0"/>
        </w:numPr>
        <w:spacing w:line="360" w:lineRule="auto"/>
        <w:ind w:left="851" w:hanging="851"/>
        <w:jc w:val="left"/>
        <w:rPr>
          <w:noProof/>
        </w:rPr>
      </w:pPr>
      <w:r w:rsidRPr="00DC67EB">
        <w:rPr>
          <w:noProof/>
        </w:rPr>
        <w:t>a)</w:t>
      </w:r>
      <w:r w:rsidRPr="00DC67EB">
        <w:rPr>
          <w:noProof/>
        </w:rPr>
        <w:tab/>
        <w:t>azon receptorok és elemek vagy mátrixok azonosítása, amelyekre nézve az aggodalomra okot adó anyag kockázatot jelent;</w:t>
      </w:r>
    </w:p>
    <w:p w14:paraId="16A4496C" w14:textId="77777777" w:rsidR="006773C8" w:rsidRPr="00DC67EB" w:rsidRDefault="006773C8" w:rsidP="00DC67EB">
      <w:pPr>
        <w:pStyle w:val="Point2letter"/>
        <w:numPr>
          <w:ilvl w:val="0"/>
          <w:numId w:val="0"/>
        </w:numPr>
        <w:spacing w:line="360" w:lineRule="auto"/>
        <w:ind w:left="851" w:hanging="851"/>
        <w:jc w:val="left"/>
        <w:rPr>
          <w:noProof/>
        </w:rPr>
      </w:pPr>
      <w:r w:rsidRPr="00DC67EB">
        <w:rPr>
          <w:noProof/>
        </w:rPr>
        <w:t>b)</w:t>
      </w:r>
      <w:r w:rsidRPr="00DC67EB">
        <w:rPr>
          <w:noProof/>
        </w:rPr>
        <w:tab/>
        <w:t>az aggodalomra okot adó anyag tulajdonságaira, többek között annak (öko)toxicitására vonatkozó adatok összegyűjtése és minőségi szempontú értékelése, különösen a laboratóriumi, a mezokozmosz- és a terepvizsgálatokról szóló jelentésekből, amelyek mind az édesvízi, mind a sós vizekben jelentkező krónikus és akut hatásokra kiterjednek;</w:t>
      </w:r>
    </w:p>
    <w:p w14:paraId="37A183A9" w14:textId="77777777" w:rsidR="00236214" w:rsidRPr="00DC67EB" w:rsidRDefault="00236214">
      <w:pPr>
        <w:widowControl/>
        <w:rPr>
          <w:rFonts w:eastAsiaTheme="minorHAnsi"/>
          <w:noProof/>
          <w:szCs w:val="22"/>
          <w:lang w:eastAsia="en-US"/>
        </w:rPr>
      </w:pPr>
      <w:r w:rsidRPr="00DC67EB">
        <w:rPr>
          <w:noProof/>
        </w:rPr>
        <w:br w:type="page"/>
      </w:r>
    </w:p>
    <w:p w14:paraId="4A44B28D" w14:textId="77777777" w:rsidR="006773C8" w:rsidRPr="00DC67EB" w:rsidRDefault="006773C8" w:rsidP="00E441EF">
      <w:pPr>
        <w:pStyle w:val="Point2letter"/>
        <w:numPr>
          <w:ilvl w:val="0"/>
          <w:numId w:val="0"/>
        </w:numPr>
        <w:spacing w:line="360" w:lineRule="auto"/>
        <w:ind w:left="851" w:hanging="851"/>
        <w:jc w:val="left"/>
        <w:rPr>
          <w:noProof/>
        </w:rPr>
      </w:pPr>
      <w:r w:rsidRPr="00DC67EB">
        <w:rPr>
          <w:noProof/>
        </w:rPr>
        <w:t>c)</w:t>
      </w:r>
      <w:r w:rsidRPr="00DC67EB">
        <w:rPr>
          <w:noProof/>
        </w:rPr>
        <w:tab/>
        <w:t xml:space="preserve">az (öko)toxicitási adatok extrapolációja hatásmentes vagy ahhoz hasonló koncentrációkra determinisztikus vagy valószínűségi módszerekkel, valamint megfelelő értékelési tényezők kiválasztása és alkalmazása a bizonytalanságok kezelése és a környezetminőségi előírás levezetése érdekében; </w:t>
      </w:r>
    </w:p>
    <w:p w14:paraId="4882A1FD" w14:textId="77777777" w:rsidR="006773C8" w:rsidRPr="00DC67EB" w:rsidRDefault="006773C8" w:rsidP="00E441EF">
      <w:pPr>
        <w:pStyle w:val="Point2letter"/>
        <w:numPr>
          <w:ilvl w:val="0"/>
          <w:numId w:val="0"/>
        </w:numPr>
        <w:spacing w:line="360" w:lineRule="auto"/>
        <w:ind w:left="851" w:hanging="851"/>
        <w:jc w:val="left"/>
        <w:rPr>
          <w:noProof/>
        </w:rPr>
      </w:pPr>
      <w:r w:rsidRPr="00DC67EB">
        <w:rPr>
          <w:noProof/>
        </w:rPr>
        <w:t>d)</w:t>
      </w:r>
      <w:r w:rsidRPr="00DC67EB">
        <w:rPr>
          <w:noProof/>
        </w:rPr>
        <w:tab/>
        <w:t>a különböző receptorokra és elemekre vonatkozó EQS-ek összehasonlítása, valamint a kritikus EQS-ek, azaz a leginkább releváns elemben vagy mátrixban a legérzékenyebb receptor védelmét biztosító EQS kiválasztása.</w:t>
      </w:r>
    </w:p>
    <w:p w14:paraId="568D4DC9" w14:textId="77777777" w:rsidR="006773C8" w:rsidRPr="00DC67EB" w:rsidRDefault="006773C8" w:rsidP="00E441EF">
      <w:pPr>
        <w:pStyle w:val="Point2letter"/>
        <w:numPr>
          <w:ilvl w:val="0"/>
          <w:numId w:val="0"/>
        </w:numPr>
        <w:spacing w:line="360" w:lineRule="auto"/>
        <w:ind w:left="851" w:hanging="851"/>
        <w:jc w:val="left"/>
        <w:rPr>
          <w:noProof/>
        </w:rPr>
      </w:pPr>
      <w:r w:rsidRPr="00DC67EB">
        <w:rPr>
          <w:b/>
          <w:i/>
          <w:noProof/>
        </w:rPr>
        <w:t>da)</w:t>
      </w:r>
      <w:r w:rsidRPr="00DC67EB">
        <w:rPr>
          <w:noProof/>
        </w:rPr>
        <w:tab/>
      </w:r>
      <w:r w:rsidRPr="00DC67EB">
        <w:rPr>
          <w:b/>
          <w:i/>
          <w:noProof/>
        </w:rPr>
        <w:t xml:space="preserve">a fémekre vonatkozó környezetminőségi előírások meghatározásakor a fémek biológiai hozzáférhetőségét befolyásoló különböző vízminőségi paraméterek figyelembevétele érdekében tekintetbe kell venni a biológiai hozzáférhetőségi modelleket </w:t>
      </w:r>
      <w:r w:rsidRPr="00DC67EB">
        <w:rPr>
          <w:b/>
          <w:noProof/>
        </w:rPr>
        <w:t xml:space="preserve"> [Mód. 156]</w:t>
      </w:r>
    </w:p>
    <w:p w14:paraId="05EE00EC" w14:textId="77777777" w:rsidR="00E441EF" w:rsidRDefault="00E441EF">
      <w:pPr>
        <w:widowControl/>
        <w:rPr>
          <w:rFonts w:eastAsiaTheme="minorHAnsi"/>
          <w:smallCaps/>
          <w:noProof/>
          <w:szCs w:val="22"/>
          <w:lang w:eastAsia="en-US"/>
        </w:rPr>
      </w:pPr>
      <w:r>
        <w:rPr>
          <w:b/>
          <w:noProof/>
        </w:rPr>
        <w:br w:type="page"/>
      </w:r>
    </w:p>
    <w:p w14:paraId="16A61C9A" w14:textId="77777777" w:rsidR="006773C8" w:rsidRPr="00DC67EB" w:rsidRDefault="006773C8" w:rsidP="006773C8">
      <w:pPr>
        <w:pStyle w:val="ManualHeading1"/>
        <w:spacing w:before="120" w:line="360" w:lineRule="auto"/>
        <w:ind w:left="0" w:firstLine="0"/>
        <w:rPr>
          <w:b w:val="0"/>
          <w:noProof/>
        </w:rPr>
      </w:pPr>
      <w:r w:rsidRPr="00DC67EB">
        <w:rPr>
          <w:b w:val="0"/>
          <w:noProof/>
        </w:rPr>
        <w:t xml:space="preserve">C. RÉSZ: A VÍZGYŰJTŐ-SPECIFIKUS SZENNYEZŐ ANYAGOKRA VONATKOZÓ HARMONIZÁLT KÖRNYEZETMINŐSÉGI ELŐÍRÁSOK ADATTÁRA </w:t>
      </w:r>
    </w:p>
    <w:tbl>
      <w:tblPr>
        <w:tblStyle w:val="TableGrid"/>
        <w:tblW w:w="10173" w:type="dxa"/>
        <w:tblLayout w:type="fixed"/>
        <w:tblLook w:val="04A0" w:firstRow="1" w:lastRow="0" w:firstColumn="1" w:lastColumn="0" w:noHBand="0" w:noVBand="1"/>
      </w:tblPr>
      <w:tblGrid>
        <w:gridCol w:w="534"/>
        <w:gridCol w:w="1134"/>
        <w:gridCol w:w="1275"/>
        <w:gridCol w:w="993"/>
        <w:gridCol w:w="992"/>
        <w:gridCol w:w="709"/>
        <w:gridCol w:w="708"/>
        <w:gridCol w:w="851"/>
        <w:gridCol w:w="850"/>
        <w:gridCol w:w="993"/>
        <w:gridCol w:w="1134"/>
      </w:tblGrid>
      <w:tr w:rsidR="00DC67EB" w:rsidRPr="00DC67EB" w14:paraId="5BB06ED9" w14:textId="77777777" w:rsidTr="00E54390">
        <w:tc>
          <w:tcPr>
            <w:tcW w:w="534" w:type="dxa"/>
          </w:tcPr>
          <w:p w14:paraId="7DA402A1" w14:textId="77777777" w:rsidR="00236214" w:rsidRPr="00DC67EB" w:rsidRDefault="00236214" w:rsidP="00E54390">
            <w:pPr>
              <w:pStyle w:val="Text1"/>
              <w:ind w:left="0"/>
              <w:rPr>
                <w:noProof/>
                <w:sz w:val="22"/>
              </w:rPr>
            </w:pPr>
            <w:r w:rsidRPr="00DC67EB">
              <w:rPr>
                <w:noProof/>
                <w:sz w:val="22"/>
              </w:rPr>
              <w:t>[Bejegyzés] Sorszám</w:t>
            </w:r>
          </w:p>
        </w:tc>
        <w:tc>
          <w:tcPr>
            <w:tcW w:w="1134" w:type="dxa"/>
          </w:tcPr>
          <w:p w14:paraId="1805CDA8" w14:textId="77777777" w:rsidR="00236214" w:rsidRPr="00DC67EB" w:rsidRDefault="00236214" w:rsidP="00E54390">
            <w:pPr>
              <w:pStyle w:val="Text1"/>
              <w:ind w:left="0"/>
              <w:jc w:val="left"/>
              <w:rPr>
                <w:noProof/>
                <w:sz w:val="22"/>
              </w:rPr>
            </w:pPr>
            <w:r w:rsidRPr="00DC67EB">
              <w:rPr>
                <w:noProof/>
                <w:sz w:val="22"/>
              </w:rPr>
              <w:t>Anyag neve</w:t>
            </w:r>
          </w:p>
        </w:tc>
        <w:tc>
          <w:tcPr>
            <w:tcW w:w="1275" w:type="dxa"/>
          </w:tcPr>
          <w:p w14:paraId="31AF608D" w14:textId="77777777" w:rsidR="00236214" w:rsidRPr="00DC67EB" w:rsidRDefault="00236214" w:rsidP="00E54390">
            <w:pPr>
              <w:pStyle w:val="Text1"/>
              <w:ind w:left="0"/>
              <w:rPr>
                <w:noProof/>
                <w:sz w:val="22"/>
              </w:rPr>
            </w:pPr>
            <w:r w:rsidRPr="00DC67EB">
              <w:rPr>
                <w:noProof/>
                <w:sz w:val="22"/>
              </w:rPr>
              <w:t>Anyag kategóriája</w:t>
            </w:r>
          </w:p>
        </w:tc>
        <w:tc>
          <w:tcPr>
            <w:tcW w:w="993" w:type="dxa"/>
          </w:tcPr>
          <w:p w14:paraId="3017D5BE" w14:textId="77777777" w:rsidR="00236214" w:rsidRPr="00DC67EB" w:rsidRDefault="00236214" w:rsidP="00E54390">
            <w:pPr>
              <w:pStyle w:val="Text1"/>
              <w:ind w:left="0"/>
              <w:rPr>
                <w:noProof/>
                <w:sz w:val="22"/>
              </w:rPr>
            </w:pPr>
            <w:r w:rsidRPr="00DC67EB">
              <w:rPr>
                <w:noProof/>
                <w:sz w:val="22"/>
              </w:rPr>
              <w:t>CAS-szám (</w:t>
            </w:r>
            <w:r w:rsidRPr="00DC67EB">
              <w:rPr>
                <w:noProof/>
                <w:sz w:val="22"/>
                <w:vertAlign w:val="superscript"/>
              </w:rPr>
              <w:t>1</w:t>
            </w:r>
            <w:r w:rsidRPr="00DC67EB">
              <w:rPr>
                <w:noProof/>
                <w:sz w:val="22"/>
              </w:rPr>
              <w:t>)</w:t>
            </w:r>
          </w:p>
        </w:tc>
        <w:tc>
          <w:tcPr>
            <w:tcW w:w="992" w:type="dxa"/>
          </w:tcPr>
          <w:p w14:paraId="1D6FAFAB" w14:textId="77777777" w:rsidR="00236214" w:rsidRPr="00DC67EB" w:rsidRDefault="00236214" w:rsidP="00E54390">
            <w:pPr>
              <w:spacing w:before="40" w:after="40"/>
              <w:rPr>
                <w:noProof/>
                <w:sz w:val="22"/>
              </w:rPr>
            </w:pPr>
            <w:r w:rsidRPr="00DC67EB">
              <w:rPr>
                <w:noProof/>
                <w:sz w:val="22"/>
              </w:rPr>
              <w:t>EU-szám (</w:t>
            </w:r>
            <w:r w:rsidRPr="00DC67EB">
              <w:rPr>
                <w:noProof/>
                <w:sz w:val="22"/>
                <w:vertAlign w:val="superscript"/>
              </w:rPr>
              <w:t>2</w:t>
            </w:r>
            <w:r w:rsidRPr="00DC67EB">
              <w:rPr>
                <w:noProof/>
                <w:sz w:val="22"/>
              </w:rPr>
              <w:t>)</w:t>
            </w:r>
          </w:p>
        </w:tc>
        <w:tc>
          <w:tcPr>
            <w:tcW w:w="709" w:type="dxa"/>
          </w:tcPr>
          <w:p w14:paraId="60B2FE33" w14:textId="77777777" w:rsidR="00236214" w:rsidRPr="00DC67EB" w:rsidRDefault="00236214" w:rsidP="00E54390">
            <w:pPr>
              <w:spacing w:before="40" w:after="40"/>
              <w:rPr>
                <w:noProof/>
                <w:sz w:val="22"/>
              </w:rPr>
            </w:pPr>
            <w:r w:rsidRPr="00DC67EB">
              <w:rPr>
                <w:noProof/>
                <w:sz w:val="22"/>
              </w:rPr>
              <w:t>AA</w:t>
            </w:r>
            <w:r w:rsidRPr="00DC67EB">
              <w:rPr>
                <w:noProof/>
                <w:sz w:val="22"/>
              </w:rPr>
              <w:noBreakHyphen/>
              <w:t>EQS (</w:t>
            </w:r>
            <w:r w:rsidRPr="00DC67EB">
              <w:rPr>
                <w:noProof/>
                <w:sz w:val="22"/>
                <w:vertAlign w:val="superscript"/>
              </w:rPr>
              <w:t>3</w:t>
            </w:r>
            <w:r w:rsidRPr="00DC67EB">
              <w:rPr>
                <w:noProof/>
                <w:sz w:val="22"/>
              </w:rPr>
              <w:t xml:space="preserve">) </w:t>
            </w:r>
          </w:p>
          <w:p w14:paraId="4DCEC484" w14:textId="77777777" w:rsidR="00236214" w:rsidRPr="00DC67EB" w:rsidRDefault="00236214" w:rsidP="00E54390">
            <w:pPr>
              <w:spacing w:before="40" w:after="40"/>
              <w:rPr>
                <w:noProof/>
                <w:sz w:val="22"/>
              </w:rPr>
            </w:pPr>
            <w:r w:rsidRPr="00DC67EB">
              <w:rPr>
                <w:noProof/>
                <w:sz w:val="22"/>
              </w:rPr>
              <w:t>Szárazföldi felszíni vizek (</w:t>
            </w:r>
            <w:r w:rsidRPr="00DC67EB">
              <w:rPr>
                <w:noProof/>
                <w:sz w:val="22"/>
                <w:vertAlign w:val="superscript"/>
              </w:rPr>
              <w:t>4</w:t>
            </w:r>
            <w:r w:rsidRPr="00DC67EB">
              <w:rPr>
                <w:noProof/>
                <w:sz w:val="22"/>
              </w:rPr>
              <w:t>)</w:t>
            </w:r>
          </w:p>
          <w:p w14:paraId="1055DB91" w14:textId="77777777" w:rsidR="00236214" w:rsidRPr="00DC67EB" w:rsidRDefault="00236214" w:rsidP="00E54390">
            <w:pPr>
              <w:pStyle w:val="Text1"/>
              <w:ind w:left="0"/>
              <w:rPr>
                <w:noProof/>
                <w:sz w:val="22"/>
              </w:rPr>
            </w:pPr>
            <w:r w:rsidRPr="00DC67EB">
              <w:rPr>
                <w:noProof/>
                <w:sz w:val="22"/>
              </w:rPr>
              <w:t>[µg/l]</w:t>
            </w:r>
          </w:p>
        </w:tc>
        <w:tc>
          <w:tcPr>
            <w:tcW w:w="708" w:type="dxa"/>
          </w:tcPr>
          <w:p w14:paraId="48D4F476" w14:textId="77777777" w:rsidR="00236214" w:rsidRPr="00DC67EB" w:rsidRDefault="00236214" w:rsidP="00E54390">
            <w:pPr>
              <w:spacing w:before="40" w:after="40"/>
              <w:rPr>
                <w:noProof/>
                <w:sz w:val="22"/>
                <w:vertAlign w:val="superscript"/>
              </w:rPr>
            </w:pPr>
            <w:r w:rsidRPr="00DC67EB">
              <w:rPr>
                <w:noProof/>
                <w:sz w:val="22"/>
              </w:rPr>
              <w:t>AA</w:t>
            </w:r>
            <w:r w:rsidRPr="00DC67EB">
              <w:rPr>
                <w:noProof/>
                <w:sz w:val="22"/>
              </w:rPr>
              <w:noBreakHyphen/>
              <w:t>EQS (</w:t>
            </w:r>
            <w:r w:rsidRPr="00DC67EB">
              <w:rPr>
                <w:noProof/>
                <w:sz w:val="22"/>
                <w:vertAlign w:val="superscript"/>
              </w:rPr>
              <w:t>3</w:t>
            </w:r>
            <w:r w:rsidRPr="00DC67EB">
              <w:rPr>
                <w:noProof/>
                <w:sz w:val="22"/>
              </w:rPr>
              <w:t>)</w:t>
            </w:r>
          </w:p>
          <w:p w14:paraId="2CB321D8" w14:textId="77777777" w:rsidR="00236214" w:rsidRPr="00DC67EB" w:rsidRDefault="00236214" w:rsidP="00E54390">
            <w:pPr>
              <w:spacing w:before="40" w:after="40"/>
              <w:rPr>
                <w:noProof/>
                <w:sz w:val="22"/>
              </w:rPr>
            </w:pPr>
            <w:r w:rsidRPr="00DC67EB">
              <w:rPr>
                <w:noProof/>
                <w:sz w:val="22"/>
              </w:rPr>
              <w:t xml:space="preserve">Egyéb felszíni vizek </w:t>
            </w:r>
          </w:p>
          <w:p w14:paraId="6F26202D" w14:textId="77777777" w:rsidR="00236214" w:rsidRPr="00DC67EB" w:rsidRDefault="00236214" w:rsidP="00E54390">
            <w:pPr>
              <w:pStyle w:val="Text1"/>
              <w:ind w:left="0"/>
              <w:rPr>
                <w:noProof/>
                <w:sz w:val="22"/>
              </w:rPr>
            </w:pPr>
            <w:r w:rsidRPr="00DC67EB">
              <w:rPr>
                <w:noProof/>
                <w:sz w:val="22"/>
              </w:rPr>
              <w:t>[µg/l]</w:t>
            </w:r>
          </w:p>
        </w:tc>
        <w:tc>
          <w:tcPr>
            <w:tcW w:w="851" w:type="dxa"/>
          </w:tcPr>
          <w:p w14:paraId="24AD4DD8" w14:textId="77777777" w:rsidR="00236214" w:rsidRPr="00DC67EB" w:rsidRDefault="00236214" w:rsidP="00E54390">
            <w:pPr>
              <w:spacing w:before="40" w:after="40"/>
              <w:rPr>
                <w:noProof/>
                <w:sz w:val="22"/>
              </w:rPr>
            </w:pPr>
            <w:r w:rsidRPr="00DC67EB">
              <w:rPr>
                <w:noProof/>
                <w:sz w:val="22"/>
              </w:rPr>
              <w:t>MAC</w:t>
            </w:r>
            <w:r w:rsidRPr="00DC67EB">
              <w:rPr>
                <w:noProof/>
                <w:sz w:val="22"/>
              </w:rPr>
              <w:noBreakHyphen/>
              <w:t>EQS (</w:t>
            </w:r>
            <w:r w:rsidRPr="00DC67EB">
              <w:rPr>
                <w:noProof/>
                <w:sz w:val="22"/>
                <w:vertAlign w:val="superscript"/>
              </w:rPr>
              <w:t>5</w:t>
            </w:r>
            <w:r w:rsidRPr="00DC67EB">
              <w:rPr>
                <w:noProof/>
                <w:sz w:val="22"/>
              </w:rPr>
              <w:t xml:space="preserve">) </w:t>
            </w:r>
          </w:p>
          <w:p w14:paraId="279015BC" w14:textId="77777777" w:rsidR="00236214" w:rsidRPr="00DC67EB" w:rsidRDefault="00236214" w:rsidP="00E54390">
            <w:pPr>
              <w:spacing w:before="40" w:after="40"/>
              <w:rPr>
                <w:noProof/>
                <w:sz w:val="22"/>
                <w:vertAlign w:val="superscript"/>
              </w:rPr>
            </w:pPr>
            <w:r w:rsidRPr="00DC67EB">
              <w:rPr>
                <w:noProof/>
                <w:sz w:val="22"/>
              </w:rPr>
              <w:t>Szárazföldi felszíni vizek (</w:t>
            </w:r>
            <w:r w:rsidRPr="00DC67EB">
              <w:rPr>
                <w:noProof/>
                <w:sz w:val="22"/>
                <w:vertAlign w:val="superscript"/>
              </w:rPr>
              <w:t>4</w:t>
            </w:r>
            <w:r w:rsidRPr="00DC67EB">
              <w:rPr>
                <w:noProof/>
                <w:sz w:val="22"/>
              </w:rPr>
              <w:t>)</w:t>
            </w:r>
          </w:p>
          <w:p w14:paraId="5D9EA4F6" w14:textId="77777777" w:rsidR="00236214" w:rsidRPr="00DC67EB" w:rsidRDefault="00236214" w:rsidP="00E54390">
            <w:pPr>
              <w:spacing w:before="40" w:after="40"/>
              <w:rPr>
                <w:noProof/>
                <w:sz w:val="22"/>
                <w:vertAlign w:val="superscript"/>
              </w:rPr>
            </w:pPr>
            <w:r w:rsidRPr="00DC67EB">
              <w:rPr>
                <w:noProof/>
                <w:sz w:val="22"/>
              </w:rPr>
              <w:t xml:space="preserve"> </w:t>
            </w:r>
          </w:p>
          <w:p w14:paraId="2A2B5F24" w14:textId="77777777" w:rsidR="00236214" w:rsidRPr="00DC67EB" w:rsidRDefault="00236214" w:rsidP="00E54390">
            <w:pPr>
              <w:pStyle w:val="Text1"/>
              <w:ind w:left="0"/>
              <w:rPr>
                <w:noProof/>
                <w:sz w:val="22"/>
              </w:rPr>
            </w:pPr>
            <w:r w:rsidRPr="00DC67EB">
              <w:rPr>
                <w:noProof/>
                <w:sz w:val="22"/>
              </w:rPr>
              <w:t>[µg/l]</w:t>
            </w:r>
          </w:p>
        </w:tc>
        <w:tc>
          <w:tcPr>
            <w:tcW w:w="850" w:type="dxa"/>
          </w:tcPr>
          <w:p w14:paraId="5CED9F86" w14:textId="77777777" w:rsidR="00236214" w:rsidRPr="00DC67EB" w:rsidRDefault="00236214" w:rsidP="00E54390">
            <w:pPr>
              <w:spacing w:before="40" w:after="40"/>
              <w:rPr>
                <w:noProof/>
                <w:sz w:val="22"/>
              </w:rPr>
            </w:pPr>
            <w:r w:rsidRPr="00DC67EB">
              <w:rPr>
                <w:noProof/>
                <w:sz w:val="22"/>
              </w:rPr>
              <w:t>MAC</w:t>
            </w:r>
            <w:r w:rsidRPr="00DC67EB">
              <w:rPr>
                <w:noProof/>
                <w:sz w:val="22"/>
              </w:rPr>
              <w:noBreakHyphen/>
              <w:t>EQS (</w:t>
            </w:r>
            <w:r w:rsidRPr="00DC67EB">
              <w:rPr>
                <w:noProof/>
                <w:sz w:val="22"/>
                <w:vertAlign w:val="superscript"/>
              </w:rPr>
              <w:t>5</w:t>
            </w:r>
            <w:r w:rsidRPr="00DC67EB">
              <w:rPr>
                <w:noProof/>
                <w:sz w:val="22"/>
              </w:rPr>
              <w:t>)</w:t>
            </w:r>
          </w:p>
          <w:p w14:paraId="230DC168" w14:textId="77777777" w:rsidR="00236214" w:rsidRPr="00DC67EB" w:rsidRDefault="00236214" w:rsidP="00E54390">
            <w:pPr>
              <w:spacing w:before="40" w:after="40"/>
              <w:rPr>
                <w:noProof/>
                <w:sz w:val="22"/>
              </w:rPr>
            </w:pPr>
            <w:r w:rsidRPr="00DC67EB">
              <w:rPr>
                <w:noProof/>
                <w:sz w:val="22"/>
              </w:rPr>
              <w:t>Egyéb felszíni vizek</w:t>
            </w:r>
          </w:p>
          <w:p w14:paraId="61C17192" w14:textId="77777777" w:rsidR="00236214" w:rsidRPr="00DC67EB" w:rsidRDefault="00236214" w:rsidP="00E54390">
            <w:pPr>
              <w:pStyle w:val="Text1"/>
              <w:ind w:left="0"/>
              <w:rPr>
                <w:noProof/>
                <w:sz w:val="22"/>
              </w:rPr>
            </w:pPr>
            <w:r w:rsidRPr="00DC67EB">
              <w:rPr>
                <w:noProof/>
                <w:sz w:val="22"/>
              </w:rPr>
              <w:t>[µg/l]</w:t>
            </w:r>
          </w:p>
        </w:tc>
        <w:tc>
          <w:tcPr>
            <w:tcW w:w="993" w:type="dxa"/>
            <w:tcBorders>
              <w:right w:val="single" w:sz="4" w:space="0" w:color="auto"/>
            </w:tcBorders>
          </w:tcPr>
          <w:p w14:paraId="552ED01F" w14:textId="77777777" w:rsidR="00236214" w:rsidRPr="00DC67EB" w:rsidRDefault="00236214" w:rsidP="00E54390">
            <w:pPr>
              <w:spacing w:before="40" w:after="40"/>
              <w:rPr>
                <w:noProof/>
                <w:sz w:val="22"/>
              </w:rPr>
            </w:pPr>
            <w:r w:rsidRPr="00DC67EB">
              <w:rPr>
                <w:noProof/>
                <w:sz w:val="22"/>
              </w:rPr>
              <w:t>Biótára vonatkozó</w:t>
            </w:r>
          </w:p>
          <w:p w14:paraId="7FF3062E" w14:textId="77777777" w:rsidR="00236214" w:rsidRPr="00DC67EB" w:rsidRDefault="00236214" w:rsidP="00E54390">
            <w:pPr>
              <w:spacing w:before="40" w:after="40"/>
              <w:rPr>
                <w:noProof/>
                <w:sz w:val="22"/>
              </w:rPr>
            </w:pPr>
            <w:r w:rsidRPr="00DC67EB">
              <w:rPr>
                <w:noProof/>
                <w:sz w:val="22"/>
              </w:rPr>
              <w:t>EQS (</w:t>
            </w:r>
            <w:r w:rsidRPr="00DC67EB">
              <w:rPr>
                <w:noProof/>
                <w:sz w:val="22"/>
                <w:vertAlign w:val="superscript"/>
              </w:rPr>
              <w:t>6</w:t>
            </w:r>
            <w:r w:rsidRPr="00DC67EB">
              <w:rPr>
                <w:noProof/>
                <w:sz w:val="22"/>
              </w:rPr>
              <w:t>)</w:t>
            </w:r>
          </w:p>
          <w:p w14:paraId="29411982" w14:textId="77777777" w:rsidR="00236214" w:rsidRPr="00DC67EB" w:rsidRDefault="00236214" w:rsidP="00E54390">
            <w:pPr>
              <w:pStyle w:val="Text1"/>
              <w:ind w:left="0"/>
              <w:rPr>
                <w:noProof/>
                <w:sz w:val="22"/>
              </w:rPr>
            </w:pPr>
            <w:r w:rsidRPr="00DC67EB">
              <w:rPr>
                <w:noProof/>
                <w:sz w:val="22"/>
              </w:rPr>
              <w:t>[µg/kg nedves tömeg] vagy üledékre vonatkozó EQS [µg/kg száraz tömeg], ha így van megadva</w:t>
            </w:r>
          </w:p>
        </w:tc>
        <w:tc>
          <w:tcPr>
            <w:tcW w:w="1134" w:type="dxa"/>
            <w:tcBorders>
              <w:right w:val="single" w:sz="4" w:space="0" w:color="auto"/>
            </w:tcBorders>
          </w:tcPr>
          <w:p w14:paraId="417C6160" w14:textId="77777777" w:rsidR="00236214" w:rsidRPr="00DC67EB" w:rsidRDefault="00236214" w:rsidP="00E54390">
            <w:pPr>
              <w:spacing w:before="40" w:after="40"/>
              <w:rPr>
                <w:noProof/>
                <w:sz w:val="22"/>
              </w:rPr>
            </w:pPr>
          </w:p>
        </w:tc>
      </w:tr>
      <w:tr w:rsidR="00DC67EB" w:rsidRPr="00DC67EB" w14:paraId="78ABB389" w14:textId="77777777" w:rsidTr="00E54390">
        <w:tc>
          <w:tcPr>
            <w:tcW w:w="534" w:type="dxa"/>
          </w:tcPr>
          <w:p w14:paraId="1A9965E8" w14:textId="77777777" w:rsidR="00236214" w:rsidRPr="00DC67EB" w:rsidRDefault="00236214" w:rsidP="00E54390">
            <w:pPr>
              <w:pStyle w:val="Text1"/>
              <w:ind w:left="0"/>
              <w:rPr>
                <w:noProof/>
                <w:sz w:val="22"/>
              </w:rPr>
            </w:pPr>
            <w:r w:rsidRPr="00DC67EB">
              <w:rPr>
                <w:noProof/>
                <w:sz w:val="22"/>
              </w:rPr>
              <w:t>1.</w:t>
            </w:r>
          </w:p>
        </w:tc>
        <w:tc>
          <w:tcPr>
            <w:tcW w:w="1134" w:type="dxa"/>
            <w:tcMar>
              <w:left w:w="57" w:type="dxa"/>
              <w:right w:w="57" w:type="dxa"/>
            </w:tcMar>
          </w:tcPr>
          <w:p w14:paraId="09E73E6A" w14:textId="77777777" w:rsidR="00236214" w:rsidRPr="00DC67EB" w:rsidRDefault="00236214" w:rsidP="00E54390">
            <w:pPr>
              <w:pStyle w:val="Text1"/>
              <w:ind w:left="0"/>
              <w:jc w:val="left"/>
              <w:rPr>
                <w:noProof/>
                <w:sz w:val="22"/>
              </w:rPr>
            </w:pPr>
            <w:r w:rsidRPr="00DC67EB">
              <w:rPr>
                <w:noProof/>
                <w:sz w:val="22"/>
              </w:rPr>
              <w:t>Alaklór (</w:t>
            </w:r>
            <w:r w:rsidRPr="00DC67EB">
              <w:rPr>
                <w:noProof/>
                <w:sz w:val="22"/>
                <w:vertAlign w:val="superscript"/>
              </w:rPr>
              <w:t>7</w:t>
            </w:r>
            <w:r w:rsidRPr="00DC67EB">
              <w:rPr>
                <w:noProof/>
                <w:sz w:val="22"/>
              </w:rPr>
              <w:t>)</w:t>
            </w:r>
          </w:p>
        </w:tc>
        <w:tc>
          <w:tcPr>
            <w:tcW w:w="1275" w:type="dxa"/>
          </w:tcPr>
          <w:p w14:paraId="075226C7" w14:textId="77777777" w:rsidR="00236214" w:rsidRPr="00DC67EB" w:rsidRDefault="00236214" w:rsidP="00E54390">
            <w:pPr>
              <w:pStyle w:val="Text1"/>
              <w:ind w:left="0"/>
              <w:rPr>
                <w:noProof/>
                <w:sz w:val="22"/>
              </w:rPr>
            </w:pPr>
            <w:r w:rsidRPr="00DC67EB">
              <w:rPr>
                <w:noProof/>
                <w:sz w:val="22"/>
              </w:rPr>
              <w:t>Peszticidek</w:t>
            </w:r>
          </w:p>
        </w:tc>
        <w:tc>
          <w:tcPr>
            <w:tcW w:w="993" w:type="dxa"/>
            <w:tcMar>
              <w:left w:w="28" w:type="dxa"/>
              <w:right w:w="28" w:type="dxa"/>
            </w:tcMar>
          </w:tcPr>
          <w:p w14:paraId="75A65198" w14:textId="77777777" w:rsidR="00236214" w:rsidRPr="00DC67EB" w:rsidRDefault="00236214" w:rsidP="00E54390">
            <w:pPr>
              <w:pStyle w:val="Text1"/>
              <w:ind w:left="0"/>
              <w:rPr>
                <w:noProof/>
                <w:sz w:val="22"/>
              </w:rPr>
            </w:pPr>
            <w:r w:rsidRPr="00DC67EB">
              <w:rPr>
                <w:noProof/>
                <w:sz w:val="22"/>
              </w:rPr>
              <w:t>15972-60-8</w:t>
            </w:r>
          </w:p>
        </w:tc>
        <w:tc>
          <w:tcPr>
            <w:tcW w:w="992" w:type="dxa"/>
          </w:tcPr>
          <w:p w14:paraId="089521FE" w14:textId="77777777" w:rsidR="00236214" w:rsidRPr="00DC67EB" w:rsidRDefault="00236214" w:rsidP="00E54390">
            <w:pPr>
              <w:pStyle w:val="Text1"/>
              <w:ind w:left="0"/>
              <w:rPr>
                <w:noProof/>
                <w:sz w:val="22"/>
              </w:rPr>
            </w:pPr>
            <w:r w:rsidRPr="00DC67EB">
              <w:rPr>
                <w:noProof/>
                <w:sz w:val="22"/>
              </w:rPr>
              <w:t>240-110-8</w:t>
            </w:r>
          </w:p>
        </w:tc>
        <w:tc>
          <w:tcPr>
            <w:tcW w:w="709" w:type="dxa"/>
          </w:tcPr>
          <w:p w14:paraId="5C45C4CB" w14:textId="77777777" w:rsidR="00236214" w:rsidRPr="00DC67EB" w:rsidRDefault="00236214" w:rsidP="00E54390">
            <w:pPr>
              <w:pStyle w:val="Text1"/>
              <w:ind w:left="0"/>
              <w:rPr>
                <w:noProof/>
                <w:sz w:val="22"/>
              </w:rPr>
            </w:pPr>
            <w:r w:rsidRPr="00DC67EB">
              <w:rPr>
                <w:noProof/>
                <w:sz w:val="22"/>
              </w:rPr>
              <w:t>0,3</w:t>
            </w:r>
          </w:p>
        </w:tc>
        <w:tc>
          <w:tcPr>
            <w:tcW w:w="708" w:type="dxa"/>
          </w:tcPr>
          <w:p w14:paraId="7B9B906F" w14:textId="77777777" w:rsidR="00236214" w:rsidRPr="00DC67EB" w:rsidRDefault="00236214" w:rsidP="00E54390">
            <w:pPr>
              <w:pStyle w:val="Text1"/>
              <w:ind w:left="0"/>
              <w:rPr>
                <w:noProof/>
                <w:sz w:val="22"/>
              </w:rPr>
            </w:pPr>
            <w:r w:rsidRPr="00DC67EB">
              <w:rPr>
                <w:noProof/>
                <w:sz w:val="22"/>
              </w:rPr>
              <w:t>0,3</w:t>
            </w:r>
          </w:p>
        </w:tc>
        <w:tc>
          <w:tcPr>
            <w:tcW w:w="851" w:type="dxa"/>
          </w:tcPr>
          <w:p w14:paraId="1A00F9B9" w14:textId="77777777" w:rsidR="00236214" w:rsidRPr="00DC67EB" w:rsidRDefault="00236214" w:rsidP="00E54390">
            <w:pPr>
              <w:pStyle w:val="Text1"/>
              <w:ind w:left="0"/>
              <w:rPr>
                <w:noProof/>
                <w:sz w:val="22"/>
              </w:rPr>
            </w:pPr>
            <w:r w:rsidRPr="00DC67EB">
              <w:rPr>
                <w:noProof/>
                <w:sz w:val="22"/>
              </w:rPr>
              <w:t>0,7</w:t>
            </w:r>
          </w:p>
        </w:tc>
        <w:tc>
          <w:tcPr>
            <w:tcW w:w="850" w:type="dxa"/>
          </w:tcPr>
          <w:p w14:paraId="3278EA60" w14:textId="77777777" w:rsidR="00236214" w:rsidRPr="00DC67EB" w:rsidRDefault="00236214" w:rsidP="00E54390">
            <w:pPr>
              <w:pStyle w:val="Text1"/>
              <w:ind w:left="0"/>
              <w:rPr>
                <w:noProof/>
                <w:sz w:val="22"/>
              </w:rPr>
            </w:pPr>
            <w:r w:rsidRPr="00DC67EB">
              <w:rPr>
                <w:noProof/>
                <w:sz w:val="22"/>
              </w:rPr>
              <w:t>0,7</w:t>
            </w:r>
          </w:p>
        </w:tc>
        <w:tc>
          <w:tcPr>
            <w:tcW w:w="993" w:type="dxa"/>
          </w:tcPr>
          <w:p w14:paraId="63C4393E" w14:textId="77777777" w:rsidR="00236214" w:rsidRPr="00DC67EB" w:rsidRDefault="00236214" w:rsidP="00E54390">
            <w:pPr>
              <w:pStyle w:val="Text1"/>
              <w:ind w:left="0"/>
              <w:rPr>
                <w:noProof/>
                <w:sz w:val="22"/>
              </w:rPr>
            </w:pPr>
          </w:p>
        </w:tc>
        <w:tc>
          <w:tcPr>
            <w:tcW w:w="1134" w:type="dxa"/>
          </w:tcPr>
          <w:p w14:paraId="79D4ED97" w14:textId="77777777" w:rsidR="00236214" w:rsidRPr="00DC67EB" w:rsidRDefault="00236214" w:rsidP="00E54390">
            <w:pPr>
              <w:pStyle w:val="Text1"/>
              <w:ind w:left="0"/>
              <w:rPr>
                <w:noProof/>
                <w:sz w:val="22"/>
              </w:rPr>
            </w:pPr>
          </w:p>
        </w:tc>
      </w:tr>
      <w:tr w:rsidR="00DC67EB" w:rsidRPr="00DC67EB" w14:paraId="41E93948" w14:textId="77777777" w:rsidTr="00E54390">
        <w:tc>
          <w:tcPr>
            <w:tcW w:w="534" w:type="dxa"/>
          </w:tcPr>
          <w:p w14:paraId="6E138E5F" w14:textId="77777777" w:rsidR="00236214" w:rsidRPr="00DC67EB" w:rsidRDefault="00236214" w:rsidP="00E54390">
            <w:pPr>
              <w:pStyle w:val="Text1"/>
              <w:ind w:left="0"/>
              <w:rPr>
                <w:noProof/>
                <w:sz w:val="22"/>
              </w:rPr>
            </w:pPr>
            <w:r w:rsidRPr="00DC67EB">
              <w:rPr>
                <w:noProof/>
                <w:sz w:val="22"/>
              </w:rPr>
              <w:t>2.</w:t>
            </w:r>
          </w:p>
        </w:tc>
        <w:tc>
          <w:tcPr>
            <w:tcW w:w="1134" w:type="dxa"/>
            <w:tcMar>
              <w:left w:w="57" w:type="dxa"/>
              <w:right w:w="57" w:type="dxa"/>
            </w:tcMar>
          </w:tcPr>
          <w:p w14:paraId="7F49B93C" w14:textId="77777777" w:rsidR="00236214" w:rsidRPr="00DC67EB" w:rsidRDefault="00236214" w:rsidP="00E54390">
            <w:pPr>
              <w:pStyle w:val="Text1"/>
              <w:ind w:left="0"/>
              <w:jc w:val="left"/>
              <w:rPr>
                <w:noProof/>
                <w:sz w:val="22"/>
              </w:rPr>
            </w:pPr>
            <w:r w:rsidRPr="00DC67EB">
              <w:rPr>
                <w:noProof/>
                <w:sz w:val="22"/>
              </w:rPr>
              <w:t>Széntetraklorid (</w:t>
            </w:r>
            <w:r w:rsidRPr="00DC67EB">
              <w:rPr>
                <w:noProof/>
                <w:sz w:val="22"/>
                <w:vertAlign w:val="superscript"/>
              </w:rPr>
              <w:t>7</w:t>
            </w:r>
            <w:r w:rsidRPr="00DC67EB">
              <w:rPr>
                <w:noProof/>
                <w:sz w:val="22"/>
              </w:rPr>
              <w:t>)</w:t>
            </w:r>
          </w:p>
        </w:tc>
        <w:tc>
          <w:tcPr>
            <w:tcW w:w="1275" w:type="dxa"/>
          </w:tcPr>
          <w:p w14:paraId="4A543433" w14:textId="77777777" w:rsidR="00236214" w:rsidRPr="00DC67EB" w:rsidRDefault="00236214" w:rsidP="00E54390">
            <w:pPr>
              <w:pStyle w:val="Text1"/>
              <w:ind w:left="0"/>
              <w:rPr>
                <w:noProof/>
                <w:sz w:val="22"/>
              </w:rPr>
            </w:pPr>
            <w:r w:rsidRPr="00DC67EB">
              <w:rPr>
                <w:noProof/>
                <w:sz w:val="22"/>
              </w:rPr>
              <w:t>Ipari anyagok</w:t>
            </w:r>
          </w:p>
        </w:tc>
        <w:tc>
          <w:tcPr>
            <w:tcW w:w="993" w:type="dxa"/>
            <w:tcMar>
              <w:left w:w="28" w:type="dxa"/>
              <w:right w:w="28" w:type="dxa"/>
            </w:tcMar>
          </w:tcPr>
          <w:p w14:paraId="1B6356AE" w14:textId="77777777" w:rsidR="00236214" w:rsidRPr="00DC67EB" w:rsidRDefault="00236214" w:rsidP="00E54390">
            <w:pPr>
              <w:pStyle w:val="Text1"/>
              <w:ind w:left="0"/>
              <w:rPr>
                <w:noProof/>
                <w:sz w:val="22"/>
              </w:rPr>
            </w:pPr>
            <w:r w:rsidRPr="00DC67EB">
              <w:rPr>
                <w:noProof/>
                <w:sz w:val="22"/>
              </w:rPr>
              <w:t>56-23-5</w:t>
            </w:r>
          </w:p>
        </w:tc>
        <w:tc>
          <w:tcPr>
            <w:tcW w:w="992" w:type="dxa"/>
          </w:tcPr>
          <w:p w14:paraId="4D0115FF" w14:textId="77777777" w:rsidR="00236214" w:rsidRPr="00DC67EB" w:rsidRDefault="00236214" w:rsidP="00E54390">
            <w:pPr>
              <w:pStyle w:val="Text1"/>
              <w:ind w:left="0"/>
              <w:rPr>
                <w:noProof/>
                <w:sz w:val="22"/>
              </w:rPr>
            </w:pPr>
            <w:r w:rsidRPr="00DC67EB">
              <w:rPr>
                <w:noProof/>
                <w:sz w:val="22"/>
              </w:rPr>
              <w:t>200-262-8</w:t>
            </w:r>
          </w:p>
        </w:tc>
        <w:tc>
          <w:tcPr>
            <w:tcW w:w="709" w:type="dxa"/>
          </w:tcPr>
          <w:p w14:paraId="3DB5A7BC" w14:textId="77777777" w:rsidR="00236214" w:rsidRPr="00DC67EB" w:rsidRDefault="00236214" w:rsidP="00E54390">
            <w:pPr>
              <w:pStyle w:val="Text1"/>
              <w:ind w:left="0"/>
              <w:rPr>
                <w:noProof/>
                <w:sz w:val="22"/>
              </w:rPr>
            </w:pPr>
            <w:r w:rsidRPr="00DC67EB">
              <w:rPr>
                <w:noProof/>
                <w:sz w:val="22"/>
              </w:rPr>
              <w:t xml:space="preserve">12 </w:t>
            </w:r>
          </w:p>
        </w:tc>
        <w:tc>
          <w:tcPr>
            <w:tcW w:w="708" w:type="dxa"/>
          </w:tcPr>
          <w:p w14:paraId="7CF0B7CD" w14:textId="77777777" w:rsidR="00236214" w:rsidRPr="00DC67EB" w:rsidRDefault="00236214" w:rsidP="00E54390">
            <w:pPr>
              <w:pStyle w:val="Text1"/>
              <w:ind w:left="0"/>
              <w:rPr>
                <w:noProof/>
                <w:sz w:val="22"/>
              </w:rPr>
            </w:pPr>
            <w:r w:rsidRPr="00DC67EB">
              <w:rPr>
                <w:noProof/>
                <w:sz w:val="22"/>
              </w:rPr>
              <w:t>12</w:t>
            </w:r>
          </w:p>
        </w:tc>
        <w:tc>
          <w:tcPr>
            <w:tcW w:w="851" w:type="dxa"/>
          </w:tcPr>
          <w:p w14:paraId="39C831E1" w14:textId="77777777" w:rsidR="00236214" w:rsidRPr="00DC67EB" w:rsidRDefault="00236214" w:rsidP="00E54390">
            <w:pPr>
              <w:pStyle w:val="Text1"/>
              <w:ind w:left="0"/>
              <w:rPr>
                <w:noProof/>
                <w:sz w:val="22"/>
              </w:rPr>
            </w:pPr>
            <w:r w:rsidRPr="00DC67EB">
              <w:rPr>
                <w:noProof/>
                <w:sz w:val="22"/>
              </w:rPr>
              <w:t>nem alkalmazható</w:t>
            </w:r>
          </w:p>
        </w:tc>
        <w:tc>
          <w:tcPr>
            <w:tcW w:w="850" w:type="dxa"/>
          </w:tcPr>
          <w:p w14:paraId="502E48B3" w14:textId="77777777" w:rsidR="00236214" w:rsidRPr="00DC67EB" w:rsidRDefault="00236214" w:rsidP="00E54390">
            <w:pPr>
              <w:pStyle w:val="Text1"/>
              <w:ind w:left="0"/>
              <w:rPr>
                <w:noProof/>
                <w:sz w:val="22"/>
              </w:rPr>
            </w:pPr>
            <w:r w:rsidRPr="00DC67EB">
              <w:rPr>
                <w:noProof/>
                <w:sz w:val="22"/>
              </w:rPr>
              <w:t>nem alkalmazható</w:t>
            </w:r>
          </w:p>
        </w:tc>
        <w:tc>
          <w:tcPr>
            <w:tcW w:w="993" w:type="dxa"/>
          </w:tcPr>
          <w:p w14:paraId="1AA7CB34" w14:textId="77777777" w:rsidR="00236214" w:rsidRPr="00DC67EB" w:rsidRDefault="00236214" w:rsidP="00E54390">
            <w:pPr>
              <w:pStyle w:val="Text1"/>
              <w:ind w:left="0"/>
              <w:rPr>
                <w:noProof/>
                <w:sz w:val="22"/>
              </w:rPr>
            </w:pPr>
          </w:p>
        </w:tc>
        <w:tc>
          <w:tcPr>
            <w:tcW w:w="1134" w:type="dxa"/>
          </w:tcPr>
          <w:p w14:paraId="322B4B01" w14:textId="77777777" w:rsidR="00236214" w:rsidRPr="00DC67EB" w:rsidRDefault="00236214" w:rsidP="00E54390">
            <w:pPr>
              <w:pStyle w:val="Text1"/>
              <w:ind w:left="0"/>
              <w:rPr>
                <w:noProof/>
                <w:sz w:val="22"/>
              </w:rPr>
            </w:pPr>
          </w:p>
        </w:tc>
      </w:tr>
      <w:tr w:rsidR="00DC67EB" w:rsidRPr="00DC67EB" w14:paraId="230C66DF" w14:textId="77777777" w:rsidTr="00E54390">
        <w:tc>
          <w:tcPr>
            <w:tcW w:w="534" w:type="dxa"/>
          </w:tcPr>
          <w:p w14:paraId="2B4769C8" w14:textId="77777777" w:rsidR="00236214" w:rsidRPr="00DC67EB" w:rsidRDefault="00236214" w:rsidP="00E54390">
            <w:pPr>
              <w:pStyle w:val="Text1"/>
              <w:ind w:left="0"/>
              <w:rPr>
                <w:noProof/>
                <w:sz w:val="22"/>
              </w:rPr>
            </w:pPr>
            <w:r w:rsidRPr="00DC67EB">
              <w:rPr>
                <w:noProof/>
                <w:sz w:val="22"/>
              </w:rPr>
              <w:t>3.</w:t>
            </w:r>
          </w:p>
        </w:tc>
        <w:tc>
          <w:tcPr>
            <w:tcW w:w="1134" w:type="dxa"/>
            <w:tcMar>
              <w:left w:w="57" w:type="dxa"/>
              <w:right w:w="57" w:type="dxa"/>
            </w:tcMar>
          </w:tcPr>
          <w:p w14:paraId="6DB1E356" w14:textId="77777777" w:rsidR="00236214" w:rsidRPr="00DC67EB" w:rsidRDefault="00236214" w:rsidP="00E54390">
            <w:pPr>
              <w:pStyle w:val="Text1"/>
              <w:ind w:left="0"/>
              <w:jc w:val="left"/>
              <w:rPr>
                <w:noProof/>
                <w:sz w:val="22"/>
              </w:rPr>
            </w:pPr>
            <w:r w:rsidRPr="00DC67EB">
              <w:rPr>
                <w:noProof/>
                <w:sz w:val="22"/>
              </w:rPr>
              <w:t>Klórfenvinfosz (</w:t>
            </w:r>
            <w:r w:rsidRPr="00DC67EB">
              <w:rPr>
                <w:noProof/>
                <w:sz w:val="22"/>
                <w:vertAlign w:val="superscript"/>
              </w:rPr>
              <w:t>7</w:t>
            </w:r>
            <w:r w:rsidRPr="00DC67EB">
              <w:rPr>
                <w:noProof/>
                <w:sz w:val="22"/>
              </w:rPr>
              <w:t>)</w:t>
            </w:r>
          </w:p>
        </w:tc>
        <w:tc>
          <w:tcPr>
            <w:tcW w:w="1275" w:type="dxa"/>
          </w:tcPr>
          <w:p w14:paraId="5C6B5799" w14:textId="77777777" w:rsidR="00236214" w:rsidRPr="00DC67EB" w:rsidRDefault="00236214" w:rsidP="00E54390">
            <w:pPr>
              <w:pStyle w:val="Text1"/>
              <w:ind w:left="0"/>
              <w:rPr>
                <w:noProof/>
                <w:sz w:val="22"/>
              </w:rPr>
            </w:pPr>
            <w:r w:rsidRPr="00DC67EB">
              <w:rPr>
                <w:noProof/>
                <w:sz w:val="22"/>
              </w:rPr>
              <w:t>Peszticid</w:t>
            </w:r>
          </w:p>
        </w:tc>
        <w:tc>
          <w:tcPr>
            <w:tcW w:w="993" w:type="dxa"/>
            <w:tcMar>
              <w:left w:w="28" w:type="dxa"/>
              <w:right w:w="28" w:type="dxa"/>
            </w:tcMar>
          </w:tcPr>
          <w:p w14:paraId="1D0C5E14" w14:textId="77777777" w:rsidR="00236214" w:rsidRPr="00DC67EB" w:rsidRDefault="00236214" w:rsidP="00E54390">
            <w:pPr>
              <w:pStyle w:val="Text1"/>
              <w:ind w:left="0"/>
              <w:rPr>
                <w:noProof/>
                <w:sz w:val="22"/>
              </w:rPr>
            </w:pPr>
            <w:r w:rsidRPr="00DC67EB">
              <w:rPr>
                <w:noProof/>
                <w:sz w:val="22"/>
              </w:rPr>
              <w:t>470-90-6</w:t>
            </w:r>
          </w:p>
        </w:tc>
        <w:tc>
          <w:tcPr>
            <w:tcW w:w="992" w:type="dxa"/>
          </w:tcPr>
          <w:p w14:paraId="7E81E267" w14:textId="77777777" w:rsidR="00236214" w:rsidRPr="00DC67EB" w:rsidRDefault="00236214" w:rsidP="00E54390">
            <w:pPr>
              <w:pStyle w:val="Text1"/>
              <w:ind w:left="0"/>
              <w:rPr>
                <w:noProof/>
                <w:sz w:val="22"/>
              </w:rPr>
            </w:pPr>
            <w:r w:rsidRPr="00DC67EB">
              <w:rPr>
                <w:noProof/>
                <w:sz w:val="22"/>
              </w:rPr>
              <w:t>207-432-0</w:t>
            </w:r>
          </w:p>
        </w:tc>
        <w:tc>
          <w:tcPr>
            <w:tcW w:w="709" w:type="dxa"/>
          </w:tcPr>
          <w:p w14:paraId="57D79203" w14:textId="77777777" w:rsidR="00236214" w:rsidRPr="00DC67EB" w:rsidRDefault="00236214" w:rsidP="00E54390">
            <w:pPr>
              <w:pStyle w:val="Text1"/>
              <w:ind w:left="0"/>
              <w:rPr>
                <w:noProof/>
                <w:sz w:val="22"/>
              </w:rPr>
            </w:pPr>
            <w:r w:rsidRPr="00DC67EB">
              <w:rPr>
                <w:noProof/>
                <w:sz w:val="22"/>
              </w:rPr>
              <w:t>0,1</w:t>
            </w:r>
          </w:p>
        </w:tc>
        <w:tc>
          <w:tcPr>
            <w:tcW w:w="708" w:type="dxa"/>
          </w:tcPr>
          <w:p w14:paraId="04095C07" w14:textId="77777777" w:rsidR="00236214" w:rsidRPr="00DC67EB" w:rsidRDefault="00236214" w:rsidP="00E54390">
            <w:pPr>
              <w:pStyle w:val="Text1"/>
              <w:ind w:left="0"/>
              <w:rPr>
                <w:noProof/>
                <w:sz w:val="22"/>
              </w:rPr>
            </w:pPr>
            <w:r w:rsidRPr="00DC67EB">
              <w:rPr>
                <w:noProof/>
                <w:sz w:val="22"/>
              </w:rPr>
              <w:t>0,1</w:t>
            </w:r>
          </w:p>
        </w:tc>
        <w:tc>
          <w:tcPr>
            <w:tcW w:w="851" w:type="dxa"/>
          </w:tcPr>
          <w:p w14:paraId="761C3156" w14:textId="77777777" w:rsidR="00236214" w:rsidRPr="00DC67EB" w:rsidRDefault="00236214" w:rsidP="00E54390">
            <w:pPr>
              <w:pStyle w:val="Text1"/>
              <w:ind w:left="0"/>
              <w:rPr>
                <w:noProof/>
                <w:sz w:val="22"/>
              </w:rPr>
            </w:pPr>
            <w:r w:rsidRPr="00DC67EB">
              <w:rPr>
                <w:noProof/>
                <w:sz w:val="22"/>
              </w:rPr>
              <w:t>0,3</w:t>
            </w:r>
          </w:p>
        </w:tc>
        <w:tc>
          <w:tcPr>
            <w:tcW w:w="850" w:type="dxa"/>
          </w:tcPr>
          <w:p w14:paraId="329DA44F" w14:textId="77777777" w:rsidR="00236214" w:rsidRPr="00DC67EB" w:rsidRDefault="00236214" w:rsidP="00E54390">
            <w:pPr>
              <w:pStyle w:val="Text1"/>
              <w:ind w:left="0"/>
              <w:rPr>
                <w:noProof/>
                <w:sz w:val="22"/>
              </w:rPr>
            </w:pPr>
            <w:r w:rsidRPr="00DC67EB">
              <w:rPr>
                <w:noProof/>
                <w:sz w:val="22"/>
              </w:rPr>
              <w:t>0,3</w:t>
            </w:r>
          </w:p>
        </w:tc>
        <w:tc>
          <w:tcPr>
            <w:tcW w:w="993" w:type="dxa"/>
          </w:tcPr>
          <w:p w14:paraId="64B52C1C" w14:textId="77777777" w:rsidR="00236214" w:rsidRPr="00DC67EB" w:rsidRDefault="00236214" w:rsidP="00E54390">
            <w:pPr>
              <w:pStyle w:val="Text1"/>
              <w:ind w:left="0"/>
              <w:rPr>
                <w:noProof/>
                <w:sz w:val="22"/>
              </w:rPr>
            </w:pPr>
          </w:p>
        </w:tc>
        <w:tc>
          <w:tcPr>
            <w:tcW w:w="1134" w:type="dxa"/>
          </w:tcPr>
          <w:p w14:paraId="156A1DF8" w14:textId="77777777" w:rsidR="00236214" w:rsidRPr="00DC67EB" w:rsidRDefault="00236214" w:rsidP="00E54390">
            <w:pPr>
              <w:pStyle w:val="Text1"/>
              <w:ind w:left="0"/>
              <w:rPr>
                <w:noProof/>
                <w:sz w:val="22"/>
              </w:rPr>
            </w:pPr>
          </w:p>
        </w:tc>
      </w:tr>
      <w:tr w:rsidR="00DC67EB" w:rsidRPr="00DC67EB" w14:paraId="3D1002DC" w14:textId="77777777" w:rsidTr="00E54390">
        <w:tc>
          <w:tcPr>
            <w:tcW w:w="534" w:type="dxa"/>
          </w:tcPr>
          <w:p w14:paraId="2DD34032" w14:textId="77777777" w:rsidR="00236214" w:rsidRPr="00DC67EB" w:rsidRDefault="00236214" w:rsidP="00E54390">
            <w:pPr>
              <w:pStyle w:val="Text1"/>
              <w:ind w:left="0"/>
              <w:rPr>
                <w:noProof/>
                <w:sz w:val="22"/>
              </w:rPr>
            </w:pPr>
            <w:r w:rsidRPr="00DC67EB">
              <w:rPr>
                <w:noProof/>
                <w:sz w:val="22"/>
              </w:rPr>
              <w:t>4</w:t>
            </w:r>
          </w:p>
        </w:tc>
        <w:tc>
          <w:tcPr>
            <w:tcW w:w="1134" w:type="dxa"/>
            <w:tcMar>
              <w:left w:w="57" w:type="dxa"/>
              <w:right w:w="57" w:type="dxa"/>
            </w:tcMar>
          </w:tcPr>
          <w:p w14:paraId="1C528712" w14:textId="77777777" w:rsidR="00236214" w:rsidRPr="00DC67EB" w:rsidRDefault="00236214" w:rsidP="00E54390">
            <w:pPr>
              <w:pStyle w:val="Text1"/>
              <w:ind w:left="0"/>
              <w:jc w:val="left"/>
              <w:rPr>
                <w:noProof/>
                <w:sz w:val="22"/>
              </w:rPr>
            </w:pPr>
            <w:r w:rsidRPr="00DC67EB">
              <w:rPr>
                <w:noProof/>
                <w:sz w:val="22"/>
              </w:rPr>
              <w:t>Szimazin (</w:t>
            </w:r>
            <w:r w:rsidRPr="00DC67EB">
              <w:rPr>
                <w:noProof/>
                <w:sz w:val="22"/>
                <w:vertAlign w:val="superscript"/>
              </w:rPr>
              <w:t>7</w:t>
            </w:r>
            <w:r w:rsidRPr="00DC67EB">
              <w:rPr>
                <w:noProof/>
                <w:sz w:val="22"/>
              </w:rPr>
              <w:t>)</w:t>
            </w:r>
          </w:p>
        </w:tc>
        <w:tc>
          <w:tcPr>
            <w:tcW w:w="1275" w:type="dxa"/>
          </w:tcPr>
          <w:p w14:paraId="25148D44" w14:textId="77777777" w:rsidR="00236214" w:rsidRPr="00DC67EB" w:rsidRDefault="00236214" w:rsidP="00E54390">
            <w:pPr>
              <w:pStyle w:val="Text1"/>
              <w:ind w:left="0"/>
              <w:rPr>
                <w:noProof/>
                <w:sz w:val="22"/>
              </w:rPr>
            </w:pPr>
            <w:r w:rsidRPr="00DC67EB">
              <w:rPr>
                <w:noProof/>
                <w:sz w:val="22"/>
              </w:rPr>
              <w:t>Peszticid</w:t>
            </w:r>
          </w:p>
        </w:tc>
        <w:tc>
          <w:tcPr>
            <w:tcW w:w="993" w:type="dxa"/>
            <w:tcMar>
              <w:left w:w="28" w:type="dxa"/>
              <w:right w:w="28" w:type="dxa"/>
            </w:tcMar>
          </w:tcPr>
          <w:p w14:paraId="207C275F" w14:textId="77777777" w:rsidR="00236214" w:rsidRPr="00DC67EB" w:rsidRDefault="00236214" w:rsidP="00E54390">
            <w:pPr>
              <w:pStyle w:val="Text1"/>
              <w:ind w:left="0"/>
              <w:rPr>
                <w:noProof/>
                <w:sz w:val="22"/>
              </w:rPr>
            </w:pPr>
            <w:r w:rsidRPr="00DC67EB">
              <w:rPr>
                <w:noProof/>
                <w:sz w:val="22"/>
              </w:rPr>
              <w:t>122-34-9</w:t>
            </w:r>
          </w:p>
        </w:tc>
        <w:tc>
          <w:tcPr>
            <w:tcW w:w="992" w:type="dxa"/>
          </w:tcPr>
          <w:p w14:paraId="55FF2DCB" w14:textId="77777777" w:rsidR="00236214" w:rsidRPr="00DC67EB" w:rsidRDefault="00236214" w:rsidP="00E54390">
            <w:pPr>
              <w:pStyle w:val="Text1"/>
              <w:ind w:left="0"/>
              <w:rPr>
                <w:noProof/>
                <w:sz w:val="22"/>
              </w:rPr>
            </w:pPr>
            <w:r w:rsidRPr="00DC67EB">
              <w:rPr>
                <w:noProof/>
                <w:sz w:val="22"/>
              </w:rPr>
              <w:t>204-535-2</w:t>
            </w:r>
          </w:p>
        </w:tc>
        <w:tc>
          <w:tcPr>
            <w:tcW w:w="709" w:type="dxa"/>
          </w:tcPr>
          <w:p w14:paraId="398CAD1F" w14:textId="77777777" w:rsidR="00236214" w:rsidRPr="00DC67EB" w:rsidRDefault="00236214" w:rsidP="00E54390">
            <w:pPr>
              <w:pStyle w:val="Text1"/>
              <w:ind w:left="0"/>
              <w:rPr>
                <w:noProof/>
                <w:sz w:val="22"/>
              </w:rPr>
            </w:pPr>
            <w:r w:rsidRPr="00DC67EB">
              <w:rPr>
                <w:noProof/>
                <w:sz w:val="22"/>
              </w:rPr>
              <w:t>1</w:t>
            </w:r>
          </w:p>
        </w:tc>
        <w:tc>
          <w:tcPr>
            <w:tcW w:w="708" w:type="dxa"/>
          </w:tcPr>
          <w:p w14:paraId="64DA5913" w14:textId="77777777" w:rsidR="00236214" w:rsidRPr="00DC67EB" w:rsidRDefault="00236214" w:rsidP="00E54390">
            <w:pPr>
              <w:pStyle w:val="Text1"/>
              <w:ind w:left="0"/>
              <w:rPr>
                <w:noProof/>
                <w:sz w:val="22"/>
              </w:rPr>
            </w:pPr>
            <w:r w:rsidRPr="00DC67EB">
              <w:rPr>
                <w:noProof/>
                <w:sz w:val="22"/>
              </w:rPr>
              <w:t>1</w:t>
            </w:r>
          </w:p>
        </w:tc>
        <w:tc>
          <w:tcPr>
            <w:tcW w:w="851" w:type="dxa"/>
          </w:tcPr>
          <w:p w14:paraId="27980D70" w14:textId="77777777" w:rsidR="00236214" w:rsidRPr="00DC67EB" w:rsidRDefault="00236214" w:rsidP="00E54390">
            <w:pPr>
              <w:pStyle w:val="Text1"/>
              <w:ind w:left="0"/>
              <w:rPr>
                <w:noProof/>
                <w:sz w:val="22"/>
              </w:rPr>
            </w:pPr>
            <w:r w:rsidRPr="00DC67EB">
              <w:rPr>
                <w:noProof/>
                <w:sz w:val="22"/>
              </w:rPr>
              <w:t>4</w:t>
            </w:r>
          </w:p>
        </w:tc>
        <w:tc>
          <w:tcPr>
            <w:tcW w:w="850" w:type="dxa"/>
          </w:tcPr>
          <w:p w14:paraId="0F484BDF" w14:textId="77777777" w:rsidR="00236214" w:rsidRPr="00DC67EB" w:rsidRDefault="00236214" w:rsidP="00E54390">
            <w:pPr>
              <w:pStyle w:val="Text1"/>
              <w:ind w:left="0"/>
              <w:rPr>
                <w:noProof/>
                <w:sz w:val="22"/>
              </w:rPr>
            </w:pPr>
            <w:r w:rsidRPr="00DC67EB">
              <w:rPr>
                <w:noProof/>
                <w:sz w:val="22"/>
              </w:rPr>
              <w:t>4</w:t>
            </w:r>
          </w:p>
        </w:tc>
        <w:tc>
          <w:tcPr>
            <w:tcW w:w="993" w:type="dxa"/>
          </w:tcPr>
          <w:p w14:paraId="639356BE" w14:textId="77777777" w:rsidR="00236214" w:rsidRPr="00DC67EB" w:rsidRDefault="00236214" w:rsidP="00E54390">
            <w:pPr>
              <w:pStyle w:val="Text1"/>
              <w:ind w:left="0"/>
              <w:rPr>
                <w:noProof/>
                <w:sz w:val="22"/>
              </w:rPr>
            </w:pPr>
          </w:p>
        </w:tc>
        <w:tc>
          <w:tcPr>
            <w:tcW w:w="1134" w:type="dxa"/>
          </w:tcPr>
          <w:p w14:paraId="2673A1B9" w14:textId="77777777" w:rsidR="00236214" w:rsidRPr="00DC67EB" w:rsidRDefault="00236214" w:rsidP="00E54390">
            <w:pPr>
              <w:pStyle w:val="Text1"/>
              <w:ind w:left="0"/>
              <w:rPr>
                <w:noProof/>
                <w:sz w:val="22"/>
              </w:rPr>
            </w:pPr>
          </w:p>
        </w:tc>
      </w:tr>
    </w:tbl>
    <w:p w14:paraId="2A4A84CB" w14:textId="77777777" w:rsidR="006773C8" w:rsidRPr="00DC67EB" w:rsidRDefault="006773C8" w:rsidP="006773C8">
      <w:pPr>
        <w:pStyle w:val="Text1"/>
        <w:ind w:left="0"/>
        <w:rPr>
          <w:noProof/>
        </w:rPr>
      </w:pPr>
    </w:p>
    <w:p w14:paraId="07D5358B" w14:textId="77777777" w:rsidR="00236214" w:rsidRPr="00DC67EB" w:rsidRDefault="00236214">
      <w:pPr>
        <w:widowControl/>
        <w:rPr>
          <w:noProof/>
          <w:sz w:val="22"/>
          <w:lang w:eastAsia="fr-FR"/>
        </w:rPr>
      </w:pPr>
      <w:r w:rsidRPr="00DC67EB">
        <w:rPr>
          <w:noProof/>
        </w:rPr>
        <w:br w:type="page"/>
      </w:r>
    </w:p>
    <w:p w14:paraId="1973C826" w14:textId="77777777" w:rsidR="006773C8" w:rsidRPr="00DC67EB" w:rsidRDefault="006773C8" w:rsidP="00236214">
      <w:pPr>
        <w:pStyle w:val="FootnoteText"/>
        <w:tabs>
          <w:tab w:val="left" w:pos="14570"/>
        </w:tabs>
        <w:spacing w:before="120" w:after="120" w:line="360" w:lineRule="auto"/>
        <w:ind w:left="851" w:hanging="851"/>
        <w:rPr>
          <w:noProof/>
          <w:sz w:val="24"/>
          <w:szCs w:val="24"/>
          <w:lang w:val="hu-HU"/>
        </w:rPr>
      </w:pPr>
      <w:r w:rsidRPr="00DC67EB">
        <w:rPr>
          <w:noProof/>
          <w:lang w:val="hu-HU"/>
        </w:rPr>
        <w:t>(</w:t>
      </w:r>
      <w:r w:rsidRPr="00DC67EB">
        <w:rPr>
          <w:noProof/>
          <w:vertAlign w:val="superscript"/>
          <w:lang w:val="hu-HU"/>
        </w:rPr>
        <w:t>1</w:t>
      </w:r>
      <w:r w:rsidRPr="00DC67EB">
        <w:rPr>
          <w:noProof/>
          <w:lang w:val="hu-HU"/>
        </w:rPr>
        <w:t>)</w:t>
      </w:r>
      <w:r w:rsidRPr="00DC67EB">
        <w:rPr>
          <w:noProof/>
          <w:sz w:val="24"/>
          <w:szCs w:val="24"/>
          <w:lang w:val="hu-HU"/>
        </w:rPr>
        <w:tab/>
        <w:t>CAS: Vegyianyag Nyilvántartási Szolgálat (Chemical Abstracts Service).</w:t>
      </w:r>
    </w:p>
    <w:p w14:paraId="09D22B8E" w14:textId="77777777" w:rsidR="006773C8" w:rsidRPr="00DC67EB" w:rsidRDefault="006773C8" w:rsidP="00236214">
      <w:pPr>
        <w:pStyle w:val="FootnoteText"/>
        <w:tabs>
          <w:tab w:val="left" w:pos="14570"/>
        </w:tabs>
        <w:spacing w:before="120" w:after="120" w:line="360" w:lineRule="auto"/>
        <w:ind w:left="851" w:hanging="851"/>
        <w:rPr>
          <w:noProof/>
          <w:sz w:val="24"/>
          <w:szCs w:val="24"/>
          <w:lang w:val="hu-HU"/>
        </w:rPr>
      </w:pPr>
      <w:r w:rsidRPr="00DC67EB">
        <w:rPr>
          <w:noProof/>
          <w:sz w:val="24"/>
          <w:szCs w:val="24"/>
          <w:lang w:val="hu-HU"/>
        </w:rPr>
        <w:t>(</w:t>
      </w:r>
      <w:r w:rsidRPr="00DC67EB">
        <w:rPr>
          <w:noProof/>
          <w:sz w:val="24"/>
          <w:szCs w:val="24"/>
          <w:vertAlign w:val="superscript"/>
          <w:lang w:val="hu-HU"/>
        </w:rPr>
        <w:t>2</w:t>
      </w:r>
      <w:r w:rsidRPr="00DC67EB">
        <w:rPr>
          <w:noProof/>
          <w:sz w:val="24"/>
          <w:szCs w:val="24"/>
          <w:lang w:val="hu-HU"/>
        </w:rPr>
        <w:t>)</w:t>
      </w:r>
      <w:r w:rsidRPr="00DC67EB">
        <w:rPr>
          <w:noProof/>
          <w:sz w:val="24"/>
          <w:szCs w:val="24"/>
          <w:lang w:val="hu-HU"/>
        </w:rPr>
        <w:tab/>
        <w:t>EU-szám: Létező Kereskedelmi Vegyi Anyagok Európai Jegyzéke (EINECS) vagy Törzskönyvezett Vegyi Anyagok Európai Jegyzéke (ELINCS).</w:t>
      </w:r>
    </w:p>
    <w:p w14:paraId="5EDDA094" w14:textId="77777777" w:rsidR="006773C8" w:rsidRPr="00DC67EB" w:rsidRDefault="006773C8" w:rsidP="00236214">
      <w:pPr>
        <w:pStyle w:val="FootnoteText"/>
        <w:tabs>
          <w:tab w:val="left" w:pos="14570"/>
        </w:tabs>
        <w:spacing w:before="120" w:after="120" w:line="360" w:lineRule="auto"/>
        <w:ind w:left="851" w:hanging="851"/>
        <w:rPr>
          <w:noProof/>
          <w:sz w:val="24"/>
          <w:szCs w:val="24"/>
          <w:lang w:val="hu-HU"/>
        </w:rPr>
      </w:pPr>
      <w:r w:rsidRPr="00DC67EB">
        <w:rPr>
          <w:noProof/>
          <w:sz w:val="24"/>
          <w:szCs w:val="24"/>
          <w:lang w:val="hu-HU"/>
        </w:rPr>
        <w:t>(</w:t>
      </w:r>
      <w:r w:rsidRPr="00DC67EB">
        <w:rPr>
          <w:noProof/>
          <w:sz w:val="24"/>
          <w:szCs w:val="24"/>
          <w:vertAlign w:val="superscript"/>
          <w:lang w:val="hu-HU"/>
        </w:rPr>
        <w:t>3</w:t>
      </w:r>
      <w:r w:rsidRPr="00DC67EB">
        <w:rPr>
          <w:noProof/>
          <w:sz w:val="24"/>
          <w:szCs w:val="24"/>
          <w:lang w:val="hu-HU"/>
        </w:rPr>
        <w:t>)</w:t>
      </w:r>
      <w:r w:rsidRPr="00DC67EB">
        <w:rPr>
          <w:noProof/>
          <w:sz w:val="24"/>
          <w:szCs w:val="24"/>
          <w:lang w:val="hu-HU"/>
        </w:rPr>
        <w:tab/>
        <w:t>Ez a paraméter az éves átlagértékben kifejezett EQS (AA</w:t>
      </w:r>
      <w:r w:rsidRPr="00DC67EB">
        <w:rPr>
          <w:noProof/>
          <w:sz w:val="24"/>
          <w:szCs w:val="24"/>
          <w:lang w:val="hu-HU"/>
        </w:rPr>
        <w:noBreakHyphen/>
        <w:t>EQS). Más előírás hiányában az összes anyag és izomer koncentrációjára vonatkozik.</w:t>
      </w:r>
    </w:p>
    <w:p w14:paraId="77663E3B" w14:textId="77777777" w:rsidR="006773C8" w:rsidRPr="00DC67EB" w:rsidRDefault="006773C8" w:rsidP="00236214">
      <w:pPr>
        <w:pStyle w:val="FootnoteText"/>
        <w:tabs>
          <w:tab w:val="left" w:pos="14570"/>
        </w:tabs>
        <w:spacing w:before="120" w:after="120" w:line="360" w:lineRule="auto"/>
        <w:ind w:left="851" w:hanging="851"/>
        <w:rPr>
          <w:noProof/>
          <w:sz w:val="24"/>
          <w:szCs w:val="24"/>
          <w:lang w:val="hu-HU"/>
        </w:rPr>
      </w:pPr>
      <w:r w:rsidRPr="00DC67EB">
        <w:rPr>
          <w:noProof/>
          <w:sz w:val="24"/>
          <w:szCs w:val="24"/>
          <w:lang w:val="hu-HU"/>
        </w:rPr>
        <w:t>(</w:t>
      </w:r>
      <w:r w:rsidRPr="00DC67EB">
        <w:rPr>
          <w:noProof/>
          <w:sz w:val="24"/>
          <w:szCs w:val="24"/>
          <w:vertAlign w:val="superscript"/>
          <w:lang w:val="hu-HU"/>
        </w:rPr>
        <w:t>4</w:t>
      </w:r>
      <w:r w:rsidRPr="00DC67EB">
        <w:rPr>
          <w:noProof/>
          <w:sz w:val="24"/>
          <w:szCs w:val="24"/>
          <w:lang w:val="hu-HU"/>
        </w:rPr>
        <w:t>)</w:t>
      </w:r>
      <w:r w:rsidRPr="00DC67EB">
        <w:rPr>
          <w:noProof/>
          <w:sz w:val="24"/>
          <w:szCs w:val="24"/>
          <w:lang w:val="hu-HU"/>
        </w:rPr>
        <w:tab/>
        <w:t>A szárazföldi felszíni vizek a folyókat, tavakat és kapcsolódó mesterséges vagy jelentősen módosított víztesteket foglalják magukban.</w:t>
      </w:r>
    </w:p>
    <w:p w14:paraId="286E4FED" w14:textId="77777777" w:rsidR="006773C8" w:rsidRPr="00DC67EB" w:rsidRDefault="006773C8" w:rsidP="00236214">
      <w:pPr>
        <w:pStyle w:val="FootnoteText"/>
        <w:tabs>
          <w:tab w:val="left" w:pos="14570"/>
        </w:tabs>
        <w:spacing w:before="120" w:after="120" w:line="360" w:lineRule="auto"/>
        <w:ind w:left="851" w:hanging="851"/>
        <w:rPr>
          <w:noProof/>
          <w:sz w:val="24"/>
          <w:szCs w:val="24"/>
          <w:lang w:val="hu-HU"/>
        </w:rPr>
      </w:pPr>
      <w:r w:rsidRPr="00DC67EB">
        <w:rPr>
          <w:noProof/>
          <w:sz w:val="24"/>
          <w:szCs w:val="24"/>
          <w:lang w:val="hu-HU"/>
        </w:rPr>
        <w:t>(</w:t>
      </w:r>
      <w:r w:rsidRPr="00DC67EB">
        <w:rPr>
          <w:noProof/>
          <w:sz w:val="24"/>
          <w:szCs w:val="24"/>
          <w:vertAlign w:val="superscript"/>
          <w:lang w:val="hu-HU"/>
        </w:rPr>
        <w:t>5</w:t>
      </w:r>
      <w:r w:rsidRPr="00DC67EB">
        <w:rPr>
          <w:noProof/>
          <w:sz w:val="24"/>
          <w:szCs w:val="24"/>
          <w:lang w:val="hu-HU"/>
        </w:rPr>
        <w:t>)</w:t>
      </w:r>
      <w:r w:rsidRPr="00DC67EB">
        <w:rPr>
          <w:noProof/>
          <w:sz w:val="24"/>
          <w:szCs w:val="24"/>
          <w:lang w:val="hu-HU"/>
        </w:rPr>
        <w:tab/>
        <w:t>Ez a paraméter a maximálisan megengedhető koncentrációban kifejezett környezetminőségi előírás (MAC EQS). Amennyiben a MAC EQS oszlopban »nem alkalmazható« szerepel, ott úgy tekinthető, hogy az AA EQS értékek védelmet biztosítanak a rövid távú szennyezési csúcskoncentrációkkal szemben is folyamatos bevezetések esetén, mivel ezek az értékek jelentősen alacsonyabbak az akut toxicitás alapján meghatározott értékeknél.</w:t>
      </w:r>
    </w:p>
    <w:p w14:paraId="2AFCFF8E" w14:textId="77777777" w:rsidR="00236214" w:rsidRPr="00DC67EB" w:rsidRDefault="00236214" w:rsidP="00236214">
      <w:pPr>
        <w:widowControl/>
        <w:ind w:left="851" w:hanging="851"/>
        <w:rPr>
          <w:noProof/>
          <w:szCs w:val="24"/>
          <w:lang w:eastAsia="fr-FR"/>
        </w:rPr>
      </w:pPr>
      <w:r w:rsidRPr="00DC67EB">
        <w:rPr>
          <w:noProof/>
          <w:szCs w:val="24"/>
        </w:rPr>
        <w:br w:type="page"/>
      </w:r>
    </w:p>
    <w:p w14:paraId="46E4B6DD" w14:textId="77777777" w:rsidR="006773C8" w:rsidRPr="00DC67EB" w:rsidRDefault="006773C8" w:rsidP="00236214">
      <w:pPr>
        <w:pStyle w:val="FootnoteText"/>
        <w:tabs>
          <w:tab w:val="left" w:pos="14570"/>
        </w:tabs>
        <w:spacing w:before="120" w:after="120" w:line="360" w:lineRule="auto"/>
        <w:ind w:left="851" w:hanging="851"/>
        <w:rPr>
          <w:noProof/>
          <w:sz w:val="24"/>
          <w:szCs w:val="24"/>
          <w:lang w:val="hu-HU"/>
        </w:rPr>
      </w:pPr>
      <w:r w:rsidRPr="00DC67EB">
        <w:rPr>
          <w:noProof/>
          <w:lang w:val="hu-HU"/>
        </w:rPr>
        <w:t>(</w:t>
      </w:r>
      <w:r w:rsidRPr="00DC67EB">
        <w:rPr>
          <w:noProof/>
          <w:vertAlign w:val="superscript"/>
          <w:lang w:val="hu-HU"/>
        </w:rPr>
        <w:t>6</w:t>
      </w:r>
      <w:r w:rsidRPr="00DC67EB">
        <w:rPr>
          <w:noProof/>
          <w:lang w:val="hu-HU"/>
        </w:rPr>
        <w:t>)</w:t>
      </w:r>
      <w:r w:rsidRPr="00DC67EB">
        <w:rPr>
          <w:noProof/>
          <w:lang w:val="hu-HU"/>
        </w:rPr>
        <w:tab/>
      </w:r>
      <w:r w:rsidRPr="00DC67EB">
        <w:rPr>
          <w:noProof/>
          <w:sz w:val="24"/>
          <w:szCs w:val="24"/>
          <w:lang w:val="hu-HU"/>
        </w:rPr>
        <w:t>Ha biótára vonatkozó EQS került megadásra, az ezen irányelv 3. cikkének (3) bekezdésében foglalt rendelkezés sérelme nélkül azt kell alkalmazni, nem pedig a vízre vonatkozó EQS-t, ami lehetővé teszi alternatív bióta-taxon vagy más mátrix monitorozását is, amennyiben az alkalmazott EQS azonos szintű védelmet biztosít. Eltérő rendelkezés hiányában a biótára vonatkozó EQS halakra vonatkozik.</w:t>
      </w:r>
    </w:p>
    <w:p w14:paraId="4F4812AD" w14:textId="77777777" w:rsidR="006773C8" w:rsidRPr="00236214" w:rsidRDefault="006773C8" w:rsidP="00236214">
      <w:pPr>
        <w:pStyle w:val="FootnoteText"/>
        <w:tabs>
          <w:tab w:val="left" w:pos="14570"/>
        </w:tabs>
        <w:spacing w:before="120" w:after="120" w:line="360" w:lineRule="auto"/>
        <w:ind w:left="851" w:hanging="851"/>
        <w:rPr>
          <w:noProof/>
          <w:sz w:val="24"/>
          <w:szCs w:val="24"/>
          <w:lang w:val="hu-HU"/>
        </w:rPr>
      </w:pPr>
      <w:r w:rsidRPr="00DC67EB">
        <w:rPr>
          <w:noProof/>
          <w:sz w:val="24"/>
          <w:szCs w:val="24"/>
          <w:lang w:val="hu-HU"/>
        </w:rPr>
        <w:t>(</w:t>
      </w:r>
      <w:r w:rsidRPr="00DC67EB">
        <w:rPr>
          <w:noProof/>
          <w:sz w:val="24"/>
          <w:szCs w:val="24"/>
          <w:vertAlign w:val="superscript"/>
          <w:lang w:val="hu-HU"/>
        </w:rPr>
        <w:t>7</w:t>
      </w:r>
      <w:r w:rsidRPr="00DC67EB">
        <w:rPr>
          <w:noProof/>
          <w:sz w:val="24"/>
          <w:szCs w:val="24"/>
          <w:lang w:val="hu-HU"/>
        </w:rPr>
        <w:t>)</w:t>
      </w:r>
      <w:r w:rsidRPr="00DC67EB">
        <w:rPr>
          <w:noProof/>
          <w:sz w:val="24"/>
          <w:szCs w:val="24"/>
          <w:lang w:val="hu-HU"/>
        </w:rPr>
        <w:tab/>
        <w:t xml:space="preserve">A 2000/60/EK irányelv X. mellékletében vagy a 2008/105/EK irányelv I. mellékletében korábban elsőbbségi anyagként felsorolt anyag.” </w:t>
      </w:r>
      <w:bookmarkStart w:id="44" w:name="_InMacro_"/>
      <w:bookmarkEnd w:id="44"/>
    </w:p>
    <w:sectPr w:rsidR="006773C8" w:rsidRPr="00236214" w:rsidSect="00236214">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A63D9" w14:textId="77777777" w:rsidR="00E54390" w:rsidRPr="005B1AFC" w:rsidRDefault="00E54390">
      <w:r w:rsidRPr="005B1AFC">
        <w:separator/>
      </w:r>
    </w:p>
  </w:endnote>
  <w:endnote w:type="continuationSeparator" w:id="0">
    <w:p w14:paraId="45FABFAE" w14:textId="77777777" w:rsidR="00E54390" w:rsidRPr="005B1AFC" w:rsidRDefault="00E54390">
      <w:r w:rsidRPr="005B1A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___WRD_EMBED_SUB_178">
    <w:altName w:val="MS Gothic"/>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adeGothic">
    <w:altName w:val="Courier New"/>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EUAlbertina">
    <w:charset w:val="00"/>
    <w:family w:val="auto"/>
    <w:pitch w:val="variable"/>
    <w:sig w:usb0="800002EF" w:usb1="1000E0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6DFC6" w14:textId="77777777" w:rsidR="00E54390" w:rsidRDefault="00E54390">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C6204" w14:textId="77777777" w:rsidR="00E54390" w:rsidRDefault="00E54390">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F5050" w14:textId="77777777" w:rsidR="00E54390" w:rsidRPr="006773C8" w:rsidRDefault="00E54390" w:rsidP="006773C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24F8C" w14:textId="77777777" w:rsidR="00E54390" w:rsidRPr="00024A93" w:rsidRDefault="00E54390" w:rsidP="00E54390">
    <w:pPr>
      <w:pStyle w:val="FooterLandscap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E8BD8" w14:textId="77777777" w:rsidR="00E54390" w:rsidRPr="005B1AFC" w:rsidRDefault="00E54390">
      <w:r w:rsidRPr="005B1AFC">
        <w:separator/>
      </w:r>
    </w:p>
  </w:footnote>
  <w:footnote w:type="continuationSeparator" w:id="0">
    <w:p w14:paraId="5CBCAA44" w14:textId="77777777" w:rsidR="00E54390" w:rsidRPr="005B1AFC" w:rsidRDefault="00E54390">
      <w:r w:rsidRPr="005B1AFC">
        <w:continuationSeparator/>
      </w:r>
    </w:p>
  </w:footnote>
  <w:footnote w:id="1">
    <w:p w14:paraId="3F01DBC8" w14:textId="77777777" w:rsidR="00E54390" w:rsidRPr="005B1AFC" w:rsidRDefault="00E54390" w:rsidP="005B1AFC">
      <w:pPr>
        <w:pStyle w:val="FootnoteText"/>
        <w:ind w:left="567" w:hanging="567"/>
        <w:rPr>
          <w:sz w:val="24"/>
          <w:lang w:val="hu-HU"/>
        </w:rPr>
      </w:pPr>
      <w:r w:rsidRPr="005B1AFC">
        <w:rPr>
          <w:rStyle w:val="FootnoteReference"/>
          <w:sz w:val="24"/>
          <w:lang w:val="hu-HU"/>
        </w:rPr>
        <w:footnoteRef/>
      </w:r>
      <w:r w:rsidRPr="005B1AFC">
        <w:rPr>
          <w:sz w:val="24"/>
          <w:lang w:val="hu-HU"/>
        </w:rPr>
        <w:t xml:space="preserve"> </w:t>
      </w:r>
      <w:r w:rsidRPr="005B1AFC">
        <w:rPr>
          <w:sz w:val="24"/>
          <w:lang w:val="hu-HU"/>
        </w:rPr>
        <w:tab/>
        <w:t>HL C 146., 2023.4.27., 41. o.</w:t>
      </w:r>
    </w:p>
  </w:footnote>
  <w:footnote w:id="2">
    <w:p w14:paraId="45596D42" w14:textId="77777777" w:rsidR="00E54390" w:rsidRPr="005407BA" w:rsidRDefault="00E54390" w:rsidP="005407BA">
      <w:pPr>
        <w:pStyle w:val="FootnoteText"/>
        <w:ind w:left="567" w:hanging="567"/>
        <w:rPr>
          <w:sz w:val="24"/>
          <w:szCs w:val="24"/>
          <w:lang w:val="hu-HU"/>
        </w:rPr>
      </w:pPr>
      <w:r>
        <w:rPr>
          <w:rStyle w:val="FootnoteReference"/>
        </w:rPr>
        <w:footnoteRef/>
      </w:r>
      <w:r w:rsidRPr="005407BA">
        <w:rPr>
          <w:lang w:val="hu-HU"/>
        </w:rPr>
        <w:t xml:space="preserve"> </w:t>
      </w:r>
      <w:r>
        <w:rPr>
          <w:lang w:val="hu-HU"/>
        </w:rPr>
        <w:tab/>
      </w:r>
      <w:r w:rsidRPr="005407BA">
        <w:rPr>
          <w:sz w:val="24"/>
          <w:szCs w:val="24"/>
          <w:lang w:val="hu-HU"/>
        </w:rPr>
        <w:t xml:space="preserve">Ez az álláspont megegyezik a </w:t>
      </w:r>
      <w:r>
        <w:rPr>
          <w:sz w:val="24"/>
          <w:szCs w:val="24"/>
          <w:lang w:val="hu-HU"/>
        </w:rPr>
        <w:t>2023. szeptember 12-é</w:t>
      </w:r>
      <w:r w:rsidRPr="005407BA">
        <w:rPr>
          <w:sz w:val="24"/>
          <w:szCs w:val="24"/>
          <w:lang w:val="hu-HU"/>
        </w:rPr>
        <w:t>n elfogadott módosításokkal (</w:t>
      </w:r>
      <w:r>
        <w:rPr>
          <w:sz w:val="24"/>
          <w:szCs w:val="24"/>
          <w:lang w:val="hu-HU"/>
        </w:rPr>
        <w:t xml:space="preserve">HL C, C/2024/1777, 2024.3.22., </w:t>
      </w:r>
      <w:r w:rsidRPr="005407BA">
        <w:rPr>
          <w:sz w:val="24"/>
          <w:szCs w:val="24"/>
          <w:lang w:val="hu-HU"/>
        </w:rPr>
        <w:t>ELI: http://data.europa.eu/eli/C/2024/1777/oj).</w:t>
      </w:r>
    </w:p>
  </w:footnote>
  <w:footnote w:id="3">
    <w:p w14:paraId="12C16282" w14:textId="77777777" w:rsidR="00E54390" w:rsidRPr="000536D5" w:rsidRDefault="00E54390" w:rsidP="001D30D4">
      <w:pPr>
        <w:pStyle w:val="FootnoteTextForceStyle"/>
        <w:rPr>
          <w:lang w:val="hu-HU"/>
        </w:rPr>
      </w:pPr>
      <w:r>
        <w:rPr>
          <w:vertAlign w:val="superscript"/>
        </w:rPr>
        <w:footnoteRef/>
      </w:r>
      <w:r w:rsidRPr="000536D5">
        <w:rPr>
          <w:lang w:val="hu-HU"/>
        </w:rPr>
        <w:tab/>
        <w:t>HL C ., ., . o.</w:t>
      </w:r>
    </w:p>
  </w:footnote>
  <w:footnote w:id="4">
    <w:p w14:paraId="1FECCD6D" w14:textId="77777777" w:rsidR="00E54390" w:rsidRPr="000536D5" w:rsidRDefault="00E54390" w:rsidP="001D30D4">
      <w:pPr>
        <w:pStyle w:val="FootnoteTextForceStyle"/>
        <w:rPr>
          <w:lang w:val="hu-HU"/>
        </w:rPr>
      </w:pPr>
      <w:r>
        <w:rPr>
          <w:vertAlign w:val="superscript"/>
        </w:rPr>
        <w:footnoteRef/>
      </w:r>
      <w:r w:rsidRPr="000536D5">
        <w:rPr>
          <w:lang w:val="hu-HU"/>
        </w:rPr>
        <w:tab/>
        <w:t>HL C ., ., . o.</w:t>
      </w:r>
    </w:p>
  </w:footnote>
  <w:footnote w:id="5">
    <w:p w14:paraId="5A918AEA" w14:textId="77777777" w:rsidR="00E54390" w:rsidRPr="000536D5" w:rsidRDefault="00E54390" w:rsidP="001D30D4">
      <w:pPr>
        <w:pStyle w:val="FootnoteTextForceStyle"/>
        <w:rPr>
          <w:lang w:val="hu-HU"/>
        </w:rPr>
      </w:pPr>
      <w:r>
        <w:rPr>
          <w:vertAlign w:val="superscript"/>
        </w:rPr>
        <w:footnoteRef/>
      </w:r>
      <w:r w:rsidRPr="000536D5">
        <w:rPr>
          <w:lang w:val="hu-HU"/>
        </w:rPr>
        <w:tab/>
      </w:r>
      <w:r w:rsidRPr="000536D5">
        <w:rPr>
          <w:b/>
          <w:i/>
          <w:lang w:val="hu-HU"/>
        </w:rPr>
        <w:t>Az Európai Parlament és a Tanács (EU) 2022/591 határozata (2022. április 6.) a 2030-ig tartó időszakra szóló általános uniós környezetvédelmi cselekvési programról.</w:t>
      </w:r>
    </w:p>
  </w:footnote>
  <w:footnote w:id="6">
    <w:p w14:paraId="1C8B1551" w14:textId="77777777" w:rsidR="00E54390" w:rsidRPr="000536D5" w:rsidRDefault="00E54390" w:rsidP="001D30D4">
      <w:pPr>
        <w:pStyle w:val="FootnoteTextForceStyle"/>
        <w:rPr>
          <w:lang w:val="hu-HU"/>
        </w:rPr>
      </w:pPr>
      <w:r>
        <w:rPr>
          <w:vertAlign w:val="superscript"/>
        </w:rPr>
        <w:footnoteRef/>
      </w:r>
      <w:r w:rsidRPr="000536D5">
        <w:rPr>
          <w:lang w:val="hu-HU"/>
        </w:rPr>
        <w:tab/>
      </w:r>
      <w:r w:rsidRPr="000536D5">
        <w:rPr>
          <w:b/>
          <w:i/>
          <w:lang w:val="hu-HU"/>
        </w:rPr>
        <w:t>Drivers of and pressures arising from selected key water management challenges: A European overview (A kiválasztott kulcsfontosságú vízgazdálkodási kihívások okai és az ezekből eredő nyomások: Európai áttekintés), 09/2021, EEA</w:t>
      </w:r>
      <w:r>
        <w:rPr>
          <w:b/>
          <w:i/>
          <w:lang w:val="hu-HU"/>
        </w:rPr>
        <w:t>.</w:t>
      </w:r>
    </w:p>
  </w:footnote>
  <w:footnote w:id="7">
    <w:p w14:paraId="1EBD83E4" w14:textId="77777777" w:rsidR="00E54390" w:rsidRPr="000536D5" w:rsidRDefault="00E54390" w:rsidP="001D30D4">
      <w:pPr>
        <w:pStyle w:val="FootnoteTextForceStyle"/>
        <w:rPr>
          <w:lang w:val="hu-HU"/>
        </w:rPr>
      </w:pPr>
      <w:r>
        <w:rPr>
          <w:vertAlign w:val="superscript"/>
        </w:rPr>
        <w:footnoteRef/>
      </w:r>
      <w:r w:rsidRPr="000536D5">
        <w:rPr>
          <w:lang w:val="hu-HU"/>
        </w:rPr>
        <w:tab/>
      </w:r>
      <w:r w:rsidRPr="000536D5">
        <w:rPr>
          <w:b/>
          <w:i/>
          <w:lang w:val="hu-HU"/>
        </w:rPr>
        <w:t>https://www.oecd.org/agriculture/topics/water-and-agriculture/</w:t>
      </w:r>
    </w:p>
  </w:footnote>
  <w:footnote w:id="8">
    <w:p w14:paraId="677995E5" w14:textId="77777777" w:rsidR="00E54390" w:rsidRPr="000536D5" w:rsidRDefault="00E54390" w:rsidP="001D30D4">
      <w:pPr>
        <w:pStyle w:val="FootnoteTextForceStyle"/>
        <w:rPr>
          <w:lang w:val="hu-HU"/>
        </w:rPr>
      </w:pPr>
      <w:r>
        <w:rPr>
          <w:vertAlign w:val="superscript"/>
        </w:rPr>
        <w:footnoteRef/>
      </w:r>
      <w:r w:rsidRPr="000536D5">
        <w:rPr>
          <w:lang w:val="hu-HU"/>
        </w:rPr>
        <w:tab/>
      </w:r>
      <w:r w:rsidRPr="000536D5">
        <w:rPr>
          <w:b/>
          <w:i/>
          <w:lang w:val="hu-HU"/>
        </w:rPr>
        <w:t>https://www.eea.europa.eu/publications/state-of-water</w:t>
      </w:r>
    </w:p>
  </w:footnote>
  <w:footnote w:id="9">
    <w:p w14:paraId="3E786AC0" w14:textId="77777777" w:rsidR="00E54390" w:rsidRPr="000536D5" w:rsidRDefault="00E54390" w:rsidP="001D30D4">
      <w:pPr>
        <w:pStyle w:val="FootnoteTextForceStyle"/>
        <w:rPr>
          <w:lang w:val="hu-HU"/>
        </w:rPr>
      </w:pPr>
      <w:r>
        <w:rPr>
          <w:vertAlign w:val="superscript"/>
        </w:rPr>
        <w:footnoteRef/>
      </w:r>
      <w:r w:rsidRPr="000536D5">
        <w:rPr>
          <w:lang w:val="hu-HU"/>
        </w:rPr>
        <w:tab/>
      </w:r>
      <w:r w:rsidRPr="000536D5">
        <w:rPr>
          <w:b/>
          <w:i/>
          <w:lang w:val="hu-HU"/>
        </w:rPr>
        <w:t xml:space="preserve">https://food.ec.europa.eu/plants/pesticides/sustainable-use-pesticides/farm-fork-targets-progress/eu-trends_en </w:t>
      </w:r>
    </w:p>
  </w:footnote>
  <w:footnote w:id="10">
    <w:p w14:paraId="2CA42B8E" w14:textId="77777777" w:rsidR="00E54390" w:rsidRPr="000536D5" w:rsidRDefault="00E54390" w:rsidP="001D30D4">
      <w:pPr>
        <w:pStyle w:val="FootnoteTextForceStyle"/>
        <w:rPr>
          <w:lang w:val="hu-HU"/>
        </w:rPr>
      </w:pPr>
      <w:r>
        <w:rPr>
          <w:vertAlign w:val="superscript"/>
        </w:rPr>
        <w:footnoteRef/>
      </w:r>
      <w:r w:rsidRPr="000536D5">
        <w:rPr>
          <w:lang w:val="hu-HU"/>
        </w:rPr>
        <w:tab/>
        <w:t>A Bizottság közleménye az Európai Parlamentnek, az Európai Tanácsnak, a Tanácsnak, az Európai Gazdasági és Szociális Bizottságnak és a Régiók Bizottságának: Az európai zöld megállapodás (COM(2019) 640 final).</w:t>
      </w:r>
    </w:p>
  </w:footnote>
  <w:footnote w:id="11">
    <w:p w14:paraId="3127BE54" w14:textId="77777777" w:rsidR="00E54390" w:rsidRPr="000536D5" w:rsidRDefault="00E54390" w:rsidP="001D30D4">
      <w:pPr>
        <w:pStyle w:val="FootnoteTextForceStyle"/>
        <w:rPr>
          <w:lang w:val="hu-HU"/>
        </w:rPr>
      </w:pPr>
      <w:r>
        <w:rPr>
          <w:vertAlign w:val="superscript"/>
        </w:rPr>
        <w:footnoteRef/>
      </w:r>
      <w:r w:rsidRPr="000536D5">
        <w:rPr>
          <w:lang w:val="hu-HU"/>
        </w:rPr>
        <w:tab/>
        <w:t>A Bizottság közleménye az Európai Parlamentnek, a Tanácsnak, az Európai Gazdasági és Szociális Bizottságnak és a Régiók Bizottságának – A vegyi anyagokra vonatkozó fenntarthatósági stratégia a toxikus anyagoktól mentes környezetért, COM(2020) 667 final.</w:t>
      </w:r>
    </w:p>
  </w:footnote>
  <w:footnote w:id="12">
    <w:p w14:paraId="5CBD6AE4" w14:textId="77777777" w:rsidR="00E54390" w:rsidRPr="000536D5" w:rsidRDefault="00E54390" w:rsidP="001D30D4">
      <w:pPr>
        <w:pStyle w:val="FootnoteTextForceStyle"/>
        <w:rPr>
          <w:lang w:val="hu-HU"/>
        </w:rPr>
      </w:pPr>
      <w:r>
        <w:rPr>
          <w:vertAlign w:val="superscript"/>
        </w:rPr>
        <w:footnoteRef/>
      </w:r>
      <w:r w:rsidRPr="000536D5">
        <w:rPr>
          <w:lang w:val="hu-HU"/>
        </w:rPr>
        <w:tab/>
        <w:t>A Bizottság közleménye az Európai Parlamentnek, a Tanácsnak, az Európai Gazdasági és Szociális Bizottságnak és a Régiók Bizottságának – Bolygónk egészségessé tétele mindenki számára – Uniós cselekvési terv: „Út a szennyezőanyag-mentes levegő, víz és talaj felé”, COM(2021) 400 final.</w:t>
      </w:r>
    </w:p>
  </w:footnote>
  <w:footnote w:id="13">
    <w:p w14:paraId="69BA8684" w14:textId="77777777" w:rsidR="00E54390" w:rsidRPr="000536D5" w:rsidRDefault="00E54390" w:rsidP="001D30D4">
      <w:pPr>
        <w:pStyle w:val="FootnoteTextForceStyle"/>
        <w:rPr>
          <w:lang w:val="hu-HU"/>
        </w:rPr>
      </w:pPr>
      <w:r>
        <w:rPr>
          <w:vertAlign w:val="superscript"/>
        </w:rPr>
        <w:footnoteRef/>
      </w:r>
      <w:r w:rsidRPr="000536D5">
        <w:rPr>
          <w:lang w:val="hu-HU"/>
        </w:rPr>
        <w:tab/>
        <w:t>A Bizottság közleménye az Európai Parlamentnek, a Tanácsnak, az Európai Gazdasági és Szociális Bizottságnak és a Régiók Bizottságának – A műanyagok körforgásos gazdaságban betöltött szerepével kapcsolatos európai stratégia, COM(2018) 028 final.</w:t>
      </w:r>
    </w:p>
  </w:footnote>
  <w:footnote w:id="14">
    <w:p w14:paraId="33C7600D" w14:textId="77777777" w:rsidR="00E54390" w:rsidRPr="000536D5" w:rsidRDefault="00E54390" w:rsidP="001D30D4">
      <w:pPr>
        <w:pStyle w:val="FootnoteTextForceStyle"/>
        <w:rPr>
          <w:lang w:val="hu-HU"/>
        </w:rPr>
      </w:pPr>
      <w:r>
        <w:rPr>
          <w:vertAlign w:val="superscript"/>
        </w:rPr>
        <w:footnoteRef/>
      </w:r>
      <w:r w:rsidRPr="000536D5">
        <w:rPr>
          <w:lang w:val="hu-HU"/>
        </w:rPr>
        <w:tab/>
        <w:t>A Bizottság közleménye az Európai Parlamentnek, a Tanácsnak, az Európai Gazdasági és Szociális Bizottságnak és a Régiók Bizottságának – Európai gyógyszerstratégia, COM(2020) 761 final.</w:t>
      </w:r>
    </w:p>
  </w:footnote>
  <w:footnote w:id="15">
    <w:p w14:paraId="02BCB45C" w14:textId="77777777" w:rsidR="00E54390" w:rsidRPr="000536D5" w:rsidRDefault="00E54390" w:rsidP="001D30D4">
      <w:pPr>
        <w:pStyle w:val="FootnoteTextForceStyle"/>
        <w:rPr>
          <w:lang w:val="hu-HU"/>
        </w:rPr>
      </w:pPr>
      <w:r>
        <w:rPr>
          <w:vertAlign w:val="superscript"/>
        </w:rPr>
        <w:footnoteRef/>
      </w:r>
      <w:r w:rsidRPr="000536D5">
        <w:rPr>
          <w:lang w:val="hu-HU"/>
        </w:rPr>
        <w:tab/>
        <w:t>A Bizottság közleménye az Európai Parlamentnek, a Tanácsnak, az Európai Gazdasági és Szociális Bizottságnak és a Régiók Bizottságának – A 2030-ig tartó időszakra szóló uniós biodiverzitási stratégia: Hozzuk vissza a természetet az életünkbe!, COM(2020) 380 final.</w:t>
      </w:r>
    </w:p>
  </w:footnote>
  <w:footnote w:id="16">
    <w:p w14:paraId="1C5FD489" w14:textId="77777777" w:rsidR="00E54390" w:rsidRPr="000536D5" w:rsidRDefault="00E54390" w:rsidP="001D30D4">
      <w:pPr>
        <w:pStyle w:val="FootnoteTextForceStyle"/>
        <w:rPr>
          <w:lang w:val="hu-HU"/>
        </w:rPr>
      </w:pPr>
      <w:r>
        <w:rPr>
          <w:vertAlign w:val="superscript"/>
        </w:rPr>
        <w:footnoteRef/>
      </w:r>
      <w:r w:rsidRPr="000536D5">
        <w:rPr>
          <w:lang w:val="hu-HU"/>
        </w:rPr>
        <w:tab/>
        <w:t>A Bizottság közleménye az Európai Parlamentnek, a Tanácsnak, az Európai Gazdasági és Szociális Bizottságnak és a Régiók Bizottságának – A „termelőtől a fogyasztóig” stratégia a méltányos, egészséges és környezetbarát élelmiszerrendszerért, COM(2020) 381 final.</w:t>
      </w:r>
    </w:p>
  </w:footnote>
  <w:footnote w:id="17">
    <w:p w14:paraId="23695E92" w14:textId="77777777" w:rsidR="00E54390" w:rsidRPr="000536D5" w:rsidRDefault="00E54390" w:rsidP="001D30D4">
      <w:pPr>
        <w:pStyle w:val="FootnoteTextForceStyle"/>
        <w:rPr>
          <w:lang w:val="hu-HU"/>
        </w:rPr>
      </w:pPr>
      <w:r>
        <w:rPr>
          <w:vertAlign w:val="superscript"/>
        </w:rPr>
        <w:footnoteRef/>
      </w:r>
      <w:r w:rsidRPr="000536D5">
        <w:rPr>
          <w:lang w:val="hu-HU"/>
        </w:rPr>
        <w:tab/>
        <w:t>A Bizottság közleménye az Európai Parlamentnek, a Tanácsnak, az Európai Gazdasági és Szociális Bizottságnak és a Régiók Bizottságának – A 2030-ig tartó időszakra vonatkozó uniós talajvédelmi stratégia – Az egészséges talaj előnyeinek kihasználása az emberek, az élelmiszerek, a természet és az éghajlat szempontjából, COM(2021) 699 final.</w:t>
      </w:r>
    </w:p>
  </w:footnote>
  <w:footnote w:id="18">
    <w:p w14:paraId="1C5DC681" w14:textId="77777777" w:rsidR="00E54390" w:rsidRPr="000536D5" w:rsidRDefault="00E54390" w:rsidP="001D30D4">
      <w:pPr>
        <w:pStyle w:val="FootnoteTextForceStyle"/>
        <w:rPr>
          <w:lang w:val="hu-HU"/>
        </w:rPr>
      </w:pPr>
      <w:r>
        <w:rPr>
          <w:vertAlign w:val="superscript"/>
        </w:rPr>
        <w:footnoteRef/>
      </w:r>
      <w:r w:rsidRPr="000536D5">
        <w:rPr>
          <w:lang w:val="hu-HU"/>
        </w:rPr>
        <w:tab/>
        <w:t xml:space="preserve">A Bizottság közleménye az Európai Parlamentnek, a Tanácsnak, az Európai Gazdasági és Szociális Bizottságnak és a Régiók Bizottságának – Európa digitális jövőjének megtervezése, </w:t>
      </w:r>
      <w:r w:rsidRPr="000536D5">
        <w:rPr>
          <w:lang w:val="hu-HU"/>
        </w:rPr>
        <w:tab/>
        <w:t>COM(2020) 67 final.</w:t>
      </w:r>
    </w:p>
  </w:footnote>
  <w:footnote w:id="19">
    <w:p w14:paraId="549516EF" w14:textId="77777777" w:rsidR="00E54390" w:rsidRPr="000536D5" w:rsidRDefault="00E54390" w:rsidP="001D30D4">
      <w:pPr>
        <w:pStyle w:val="FootnoteTextForceStyle"/>
        <w:rPr>
          <w:lang w:val="hu-HU"/>
        </w:rPr>
      </w:pPr>
      <w:r>
        <w:rPr>
          <w:vertAlign w:val="superscript"/>
        </w:rPr>
        <w:footnoteRef/>
      </w:r>
      <w:r w:rsidRPr="000536D5">
        <w:rPr>
          <w:lang w:val="hu-HU"/>
        </w:rPr>
        <w:tab/>
        <w:t>A Bizottság közleménye az Európai Parlamentnek, a Tanácsnak, az Európai Gazdasági és Szociális Bizottságnak és a Régiók Bizottságának – Európai adatstratégia, COM/2020/66 final.</w:t>
      </w:r>
    </w:p>
  </w:footnote>
  <w:footnote w:id="20">
    <w:p w14:paraId="769DA104" w14:textId="77777777" w:rsidR="00E54390" w:rsidRPr="000536D5" w:rsidRDefault="00E54390" w:rsidP="001D30D4">
      <w:pPr>
        <w:pStyle w:val="FootnoteTextForceStyle"/>
        <w:rPr>
          <w:lang w:val="hu-HU"/>
        </w:rPr>
      </w:pPr>
      <w:r>
        <w:rPr>
          <w:vertAlign w:val="superscript"/>
        </w:rPr>
        <w:footnoteRef/>
      </w:r>
      <w:r w:rsidRPr="000536D5">
        <w:rPr>
          <w:lang w:val="hu-HU"/>
        </w:rPr>
        <w:tab/>
        <w:t>Az Európai Parlament és a Tanács 2000/60/EK irányelve (2000. október 23.) a vízpolitika terén a közösségi fellépés kereteinek meghatározásáról (HL L 327., 2000.12.22., 1. o.).</w:t>
      </w:r>
    </w:p>
  </w:footnote>
  <w:footnote w:id="21">
    <w:p w14:paraId="183720A0" w14:textId="77777777" w:rsidR="00E54390" w:rsidRPr="000536D5" w:rsidRDefault="00E54390" w:rsidP="001D30D4">
      <w:pPr>
        <w:pStyle w:val="FootnoteTextForceStyle"/>
        <w:rPr>
          <w:lang w:val="hu-HU"/>
        </w:rPr>
      </w:pPr>
      <w:r>
        <w:rPr>
          <w:vertAlign w:val="superscript"/>
        </w:rPr>
        <w:footnoteRef/>
      </w:r>
      <w:r w:rsidRPr="000536D5">
        <w:rPr>
          <w:lang w:val="hu-HU"/>
        </w:rPr>
        <w:tab/>
        <w:t>Az Európai Parlament és a Tanács 2008/105/EK irányelve (2008. december 16.) a vízpolitika területén a környezetminőségi előírásokról, a 82/176/EGK, a 83/513/EGK, a 84/156/EGK, a 84/491/EGK és a 86/280/EGK tanácsi irányelv módosításáról és azt követő hatályon kívül helyezéséről, valamint a 2000/60/EK európai parlamenti és tanácsi irányelv módosításáról (HL L 348., 2008.12.24., 84. o.).</w:t>
      </w:r>
    </w:p>
  </w:footnote>
  <w:footnote w:id="22">
    <w:p w14:paraId="15EB4B81" w14:textId="77777777" w:rsidR="00E54390" w:rsidRPr="000536D5" w:rsidRDefault="00E54390" w:rsidP="001D30D4">
      <w:pPr>
        <w:pStyle w:val="FootnoteTextForceStyle"/>
        <w:rPr>
          <w:lang w:val="hu-HU"/>
        </w:rPr>
      </w:pPr>
      <w:r>
        <w:rPr>
          <w:vertAlign w:val="superscript"/>
        </w:rPr>
        <w:footnoteRef/>
      </w:r>
      <w:r w:rsidRPr="000536D5">
        <w:rPr>
          <w:lang w:val="hu-HU"/>
        </w:rPr>
        <w:tab/>
        <w:t>Az Európai Parlament és a Tanács 2455/2001/EK határozata (2001. november 20.) a vízpolitika területén az elsőbbségi anyagok jegyzékének megállapításáról és a 2000/60/EK irányelv módosításáról (HL L 331., 2001.12.15., 1. o.).</w:t>
      </w:r>
    </w:p>
  </w:footnote>
  <w:footnote w:id="23">
    <w:p w14:paraId="7EBC623C" w14:textId="77777777" w:rsidR="00E54390" w:rsidRPr="000536D5" w:rsidRDefault="00E54390" w:rsidP="001D30D4">
      <w:pPr>
        <w:pStyle w:val="FootnoteTextForceStyle"/>
        <w:rPr>
          <w:lang w:val="hu-HU"/>
        </w:rPr>
      </w:pPr>
      <w:r>
        <w:rPr>
          <w:vertAlign w:val="superscript"/>
        </w:rPr>
        <w:footnoteRef/>
      </w:r>
      <w:r w:rsidRPr="000536D5">
        <w:rPr>
          <w:lang w:val="hu-HU"/>
        </w:rPr>
        <w:tab/>
        <w:t>Az Európai Parlament és a Tanács 2006/118/EK irányelve (2006. december 12.) a felszín alatti vizek szennyezés és állapotromlás elleni védelméről (HL L 372., 2006.12.27., 19. o.).</w:t>
      </w:r>
    </w:p>
  </w:footnote>
  <w:footnote w:id="24">
    <w:p w14:paraId="1C1197DA" w14:textId="77777777" w:rsidR="00E54390" w:rsidRPr="000536D5" w:rsidRDefault="00E54390" w:rsidP="001D30D4">
      <w:pPr>
        <w:pStyle w:val="FootnoteTextForceStyle"/>
        <w:rPr>
          <w:lang w:val="hu-HU"/>
        </w:rPr>
      </w:pPr>
      <w:r>
        <w:rPr>
          <w:vertAlign w:val="superscript"/>
        </w:rPr>
        <w:footnoteRef/>
      </w:r>
      <w:r w:rsidRPr="000536D5">
        <w:rPr>
          <w:lang w:val="hu-HU"/>
        </w:rPr>
        <w:tab/>
        <w:t>Az Európai Parlament és a Tanács 1907/2006/EK rendelete (2006. december 18.) a vegyi anyagok regisztrálásáról, értékeléséről, engedélyezéséről és korlátozásáról (REACH) és az Európai Vegyianyag-ügynökség létrehozásáról (HL L 396., 2006.12.30., 1. o.).</w:t>
      </w:r>
    </w:p>
  </w:footnote>
  <w:footnote w:id="25">
    <w:p w14:paraId="69FB4A01" w14:textId="77777777" w:rsidR="00E54390" w:rsidRPr="000536D5" w:rsidRDefault="00E54390" w:rsidP="001D30D4">
      <w:pPr>
        <w:pStyle w:val="FootnoteTextForceStyle"/>
        <w:rPr>
          <w:lang w:val="hu-HU"/>
        </w:rPr>
      </w:pPr>
      <w:r>
        <w:rPr>
          <w:vertAlign w:val="superscript"/>
        </w:rPr>
        <w:footnoteRef/>
      </w:r>
      <w:r w:rsidRPr="000536D5">
        <w:rPr>
          <w:lang w:val="hu-HU"/>
        </w:rPr>
        <w:tab/>
        <w:t>Az Európai Parlament és a Tanács 1107/2009/EK rendelete (2009. október 21.) a növényvédő szerek forgalomba hozataláról, valamint a 79/117/EGK és a 91/414/EGK tanácsi irányelvek hatályon kívül helyezéséről (HL L 309., 2009.11.24., 1. o.).</w:t>
      </w:r>
    </w:p>
  </w:footnote>
  <w:footnote w:id="26">
    <w:p w14:paraId="6852F0F6" w14:textId="77777777" w:rsidR="00E54390" w:rsidRPr="000536D5" w:rsidRDefault="00E54390" w:rsidP="001D30D4">
      <w:pPr>
        <w:pStyle w:val="FootnoteTextForceStyle"/>
        <w:rPr>
          <w:lang w:val="hu-HU"/>
        </w:rPr>
      </w:pPr>
      <w:r>
        <w:rPr>
          <w:vertAlign w:val="superscript"/>
        </w:rPr>
        <w:footnoteRef/>
      </w:r>
      <w:r w:rsidRPr="000536D5">
        <w:rPr>
          <w:lang w:val="hu-HU"/>
        </w:rPr>
        <w:tab/>
        <w:t>Az Európai Parlament és a Tanács 528/2012/EU rendelete (2012. május 22.) a biocid termékek forgalmazásáról és felhasználásáról (HL L 167., 2012.6.27., 1. o.).</w:t>
      </w:r>
    </w:p>
  </w:footnote>
  <w:footnote w:id="27">
    <w:p w14:paraId="50F2FD16" w14:textId="77777777" w:rsidR="00E54390" w:rsidRPr="000536D5" w:rsidRDefault="00E54390" w:rsidP="001D30D4">
      <w:pPr>
        <w:pStyle w:val="FootnoteTextForceStyle"/>
        <w:rPr>
          <w:lang w:val="hu-HU"/>
        </w:rPr>
      </w:pPr>
      <w:r>
        <w:rPr>
          <w:vertAlign w:val="superscript"/>
        </w:rPr>
        <w:footnoteRef/>
      </w:r>
      <w:r w:rsidRPr="000536D5">
        <w:rPr>
          <w:lang w:val="hu-HU"/>
        </w:rPr>
        <w:tab/>
        <w:t>Az Európai Parlament és a Tanács (EU) 2019/6 rendelete (2018. december 11.) az állatgyógyászati készítményekről és a 2001/82/EK irányelv hatályon kívül helyezéséről (HL L 4., 2019.1.7., 43. o.).</w:t>
      </w:r>
    </w:p>
  </w:footnote>
  <w:footnote w:id="28">
    <w:p w14:paraId="14E4082A" w14:textId="77777777" w:rsidR="00E54390" w:rsidRPr="000536D5" w:rsidRDefault="00E54390" w:rsidP="001D30D4">
      <w:pPr>
        <w:pStyle w:val="FootnoteTextForceStyle"/>
        <w:rPr>
          <w:lang w:val="hu-HU"/>
        </w:rPr>
      </w:pPr>
      <w:r>
        <w:rPr>
          <w:vertAlign w:val="superscript"/>
        </w:rPr>
        <w:footnoteRef/>
      </w:r>
      <w:r w:rsidRPr="000536D5">
        <w:rPr>
          <w:lang w:val="hu-HU"/>
        </w:rPr>
        <w:tab/>
        <w:t>Az Európai Parlament és a Tanács 2001/83/EK irányelve (2001. november 6.) az emberi felhasználásra szánt gyógyszerek közösségi kódexéről (HL L 311., 2001.11.28., 67. o.).</w:t>
      </w:r>
    </w:p>
  </w:footnote>
  <w:footnote w:id="29">
    <w:p w14:paraId="0B19FE90" w14:textId="77777777" w:rsidR="00E54390" w:rsidRPr="000536D5" w:rsidRDefault="00E54390" w:rsidP="001D30D4">
      <w:pPr>
        <w:pStyle w:val="FootnoteTextForceStyle"/>
        <w:rPr>
          <w:lang w:val="hu-HU"/>
        </w:rPr>
      </w:pPr>
      <w:r>
        <w:rPr>
          <w:vertAlign w:val="superscript"/>
        </w:rPr>
        <w:footnoteRef/>
      </w:r>
      <w:r w:rsidRPr="000536D5">
        <w:rPr>
          <w:lang w:val="hu-HU"/>
        </w:rPr>
        <w:tab/>
        <w:t>Az Európai Parlament és a Tanács 2009/128/EK irányelve (2009. október 21.) a peszticidek fenntartható használatának elérését célzó közösségi fellépés kereteinek meghatározásáról (HL L 309., 2009.11.24., 71. o.).</w:t>
      </w:r>
    </w:p>
  </w:footnote>
  <w:footnote w:id="30">
    <w:p w14:paraId="7F47A2D7" w14:textId="77777777" w:rsidR="00E54390" w:rsidRPr="000536D5" w:rsidRDefault="00E54390" w:rsidP="001D30D4">
      <w:pPr>
        <w:pStyle w:val="FootnoteTextForceStyle"/>
        <w:rPr>
          <w:lang w:val="hu-HU"/>
        </w:rPr>
      </w:pPr>
      <w:r>
        <w:rPr>
          <w:vertAlign w:val="superscript"/>
        </w:rPr>
        <w:footnoteRef/>
      </w:r>
      <w:r w:rsidRPr="000536D5">
        <w:rPr>
          <w:lang w:val="hu-HU"/>
        </w:rPr>
        <w:tab/>
        <w:t>Az Európai Parlament és a Tanács 2010/75/EU irányelve (2010. november 24.) az ipari kibocsátásokról (a környezetszennyezés integrált megelőzése és csökkentése) (HL L 334., 2010.12.17., 17. o.).</w:t>
      </w:r>
    </w:p>
  </w:footnote>
  <w:footnote w:id="31">
    <w:p w14:paraId="7A3F0BB6" w14:textId="77777777" w:rsidR="00E54390" w:rsidRPr="000536D5" w:rsidRDefault="00E54390" w:rsidP="001D30D4">
      <w:pPr>
        <w:pStyle w:val="FootnoteTextForceStyle"/>
        <w:rPr>
          <w:lang w:val="hu-HU"/>
        </w:rPr>
      </w:pPr>
      <w:r>
        <w:rPr>
          <w:vertAlign w:val="superscript"/>
        </w:rPr>
        <w:footnoteRef/>
      </w:r>
      <w:r w:rsidRPr="000536D5">
        <w:rPr>
          <w:lang w:val="hu-HU"/>
        </w:rPr>
        <w:tab/>
        <w:t>A Tanács 91/271/EGK irányelve (1991. május 21.) a települési szennyvíz kezeléséről (HL L 135., 1991.5.30., 40. o.).</w:t>
      </w:r>
    </w:p>
  </w:footnote>
  <w:footnote w:id="32">
    <w:p w14:paraId="5FB13DD3" w14:textId="77777777" w:rsidR="00E54390" w:rsidRPr="000536D5" w:rsidRDefault="00E54390" w:rsidP="001D30D4">
      <w:pPr>
        <w:pStyle w:val="FootnoteTextForceStyle"/>
        <w:rPr>
          <w:lang w:val="hu-HU"/>
        </w:rPr>
      </w:pPr>
      <w:r>
        <w:rPr>
          <w:vertAlign w:val="superscript"/>
        </w:rPr>
        <w:footnoteRef/>
      </w:r>
      <w:r w:rsidRPr="000536D5">
        <w:rPr>
          <w:lang w:val="hu-HU"/>
        </w:rPr>
        <w:tab/>
      </w:r>
      <w:r w:rsidRPr="000536D5">
        <w:rPr>
          <w:b/>
          <w:i/>
          <w:lang w:val="hu-HU"/>
        </w:rPr>
        <w:t>Transcriptomic signalling in zebrafish embryos exposed to environmental concentrations of glyphosate (Transzkriptomikus jelátvitel a glifozát környezeti koncentrációjának kitett zebradánió-embriókban), 2022. Effects of low-concentration glyphosate and aminomethyl phosphonic acid on zebrafish embryo development (Az alacsony koncentrációjú glifozát és az aminometilfoszfonsav hatása a zebradánió-embriók fejlődésére), 2021. Global transcriptomic profiling demonstrates induction of oxidative stress and compensatory cellular stress responses in brown trout exposed to glyphosate and Roundup (Globális transzkriptomikai profilalkotás bizonyítja az oxidatív stressz indukcióját és a kompenzáló sejtes stresszválaszokat a glifozátnak és Roundupnak kitett sebes pisztrángban), 2018.</w:t>
      </w:r>
    </w:p>
  </w:footnote>
  <w:footnote w:id="33">
    <w:p w14:paraId="2D9DB978" w14:textId="77777777" w:rsidR="00E54390" w:rsidRPr="000536D5" w:rsidRDefault="00E54390" w:rsidP="001D30D4">
      <w:pPr>
        <w:pStyle w:val="FootnoteTextForceStyle"/>
        <w:rPr>
          <w:lang w:val="hu-HU"/>
        </w:rPr>
      </w:pPr>
      <w:r>
        <w:rPr>
          <w:vertAlign w:val="superscript"/>
        </w:rPr>
        <w:footnoteRef/>
      </w:r>
      <w:r w:rsidRPr="000536D5">
        <w:rPr>
          <w:lang w:val="hu-HU"/>
        </w:rPr>
        <w:tab/>
      </w:r>
      <w:r w:rsidRPr="000536D5">
        <w:rPr>
          <w:b/>
          <w:i/>
          <w:lang w:val="hu-HU"/>
        </w:rPr>
        <w:t>A Bizottság határozata (2004. március 10.) az atrazinnak a 91/414/EGK tanácsi irányelv I. mellékletébe történő fel nem vételéről, valamint az e hatóanyagot tartalmazó növényvédő szerek engedélyének visszavonásáról (HL L 78., 2004.3.16., 53. o.).</w:t>
      </w:r>
    </w:p>
  </w:footnote>
  <w:footnote w:id="34">
    <w:p w14:paraId="16E10710" w14:textId="77777777" w:rsidR="00E54390" w:rsidRPr="000536D5" w:rsidRDefault="00E54390" w:rsidP="001D30D4">
      <w:pPr>
        <w:pStyle w:val="FootnoteTextForceStyle"/>
        <w:rPr>
          <w:lang w:val="hu-HU"/>
        </w:rPr>
      </w:pPr>
      <w:r>
        <w:rPr>
          <w:vertAlign w:val="superscript"/>
        </w:rPr>
        <w:footnoteRef/>
      </w:r>
      <w:r w:rsidRPr="000536D5">
        <w:rPr>
          <w:lang w:val="hu-HU"/>
        </w:rPr>
        <w:tab/>
      </w:r>
      <w:r w:rsidRPr="000536D5">
        <w:rPr>
          <w:b/>
          <w:i/>
          <w:lang w:val="hu-HU"/>
        </w:rPr>
        <w:t>Az Európai Parlament és Tanács (EU) 2020/2184 irányelve (2020. december 16.) az emberi fogyasztásra szánt víz minőségéről (átdolgozás)</w:t>
      </w:r>
      <w:r>
        <w:rPr>
          <w:b/>
          <w:i/>
          <w:lang w:val="hu-HU"/>
        </w:rPr>
        <w:t xml:space="preserve"> (HL L 435., 2020.12.23., 1. o.).</w:t>
      </w:r>
    </w:p>
  </w:footnote>
  <w:footnote w:id="35">
    <w:p w14:paraId="51D8BBD1" w14:textId="77777777" w:rsidR="00E54390" w:rsidRPr="000536D5" w:rsidRDefault="00E54390" w:rsidP="001D30D4">
      <w:pPr>
        <w:pStyle w:val="FootnoteTextForceStyle"/>
        <w:rPr>
          <w:lang w:val="hu-HU"/>
        </w:rPr>
      </w:pPr>
      <w:r>
        <w:rPr>
          <w:vertAlign w:val="superscript"/>
        </w:rPr>
        <w:footnoteRef/>
      </w:r>
      <w:r w:rsidRPr="000536D5">
        <w:rPr>
          <w:lang w:val="hu-HU"/>
        </w:rPr>
        <w:tab/>
      </w:r>
      <w:r w:rsidRPr="000536D5">
        <w:rPr>
          <w:b/>
          <w:i/>
          <w:lang w:val="hu-HU"/>
        </w:rPr>
        <w:t>SCHEER. „Contribution to ENV consultation: Comments on the Commission’s proposal for amending the WFD/GWD/EQSD”(Hozzájárulás az ENV-konzultációhoz:Észrevételek a víz-keretirányelv, a felszín alatti vizekről szóló irányelv és a környezetminőségi előírásokról szóló irányelv módosításáról szóló bizottsági javaslathoz), 2023. március. SCHEER. „Groundwater quality standards for proposed additional pollutants in the annexes to the Groundwater Directive (2006/118/EC)” (A felszín alatti vizekről szóló irányelv mellékleteiben javasolt további szennyező anyagokra vonatkozó, a felszín alatti vizekre vonatkozó minőségi előírások (2006/118/EC)), 2022. július.</w:t>
      </w:r>
    </w:p>
  </w:footnote>
  <w:footnote w:id="36">
    <w:p w14:paraId="02AA13F3" w14:textId="77777777" w:rsidR="00E54390" w:rsidRPr="000536D5" w:rsidRDefault="00E54390" w:rsidP="001D30D4">
      <w:pPr>
        <w:pStyle w:val="FootnoteTextForceStyle"/>
        <w:rPr>
          <w:lang w:val="hu-HU"/>
        </w:rPr>
      </w:pPr>
      <w:r>
        <w:rPr>
          <w:vertAlign w:val="superscript"/>
        </w:rPr>
        <w:footnoteRef/>
      </w:r>
      <w:r w:rsidRPr="000536D5">
        <w:rPr>
          <w:lang w:val="hu-HU"/>
        </w:rPr>
        <w:tab/>
      </w:r>
      <w:r w:rsidRPr="000536D5">
        <w:rPr>
          <w:b/>
          <w:i/>
          <w:lang w:val="hu-HU"/>
        </w:rPr>
        <w:t>EMA. „Assessing the toxicological risk to human health and groundwater communities from veterinary pharmaceuticals in groundwater - Scientific guideline” (A felszín alatti vizekben lévő állatgyógyászati készítmények által az emberi egészségre és a felszín alatti vizek közösségeire jelentett toxikológiai kockázat értékelése – Tudományos iránymutatások), 2018. április.</w:t>
      </w:r>
    </w:p>
  </w:footnote>
  <w:footnote w:id="37">
    <w:p w14:paraId="51CC0EA5" w14:textId="77777777" w:rsidR="00E54390" w:rsidRPr="000536D5" w:rsidRDefault="00E54390" w:rsidP="001D30D4">
      <w:pPr>
        <w:pStyle w:val="FootnoteTextForceStyle"/>
        <w:rPr>
          <w:lang w:val="hu-HU"/>
        </w:rPr>
      </w:pPr>
      <w:r>
        <w:rPr>
          <w:vertAlign w:val="superscript"/>
        </w:rPr>
        <w:footnoteRef/>
      </w:r>
      <w:r w:rsidRPr="000536D5">
        <w:rPr>
          <w:lang w:val="hu-HU"/>
        </w:rPr>
        <w:tab/>
      </w:r>
      <w:r w:rsidRPr="000536D5">
        <w:rPr>
          <w:b/>
          <w:i/>
          <w:lang w:val="hu-HU"/>
        </w:rPr>
        <w:t xml:space="preserve"> European Groundwater Memorandum: To secure the quality and quantity of drinking water for future generations” (A felszín alatti vizekről szóló európai memorandum: Az ivóvíz minőségének és mennyiségének biztosítása a jövő nemzedéke számára), 2022. március.</w:t>
      </w:r>
    </w:p>
  </w:footnote>
  <w:footnote w:id="38">
    <w:p w14:paraId="1C5AA0B8" w14:textId="77777777" w:rsidR="00E54390" w:rsidRPr="000536D5" w:rsidRDefault="00E54390" w:rsidP="001D30D4">
      <w:pPr>
        <w:pStyle w:val="FootnoteTextForceStyle"/>
        <w:rPr>
          <w:lang w:val="hu-HU"/>
        </w:rPr>
      </w:pPr>
      <w:r>
        <w:rPr>
          <w:vertAlign w:val="superscript"/>
        </w:rPr>
        <w:footnoteRef/>
      </w:r>
      <w:r w:rsidRPr="000536D5">
        <w:rPr>
          <w:lang w:val="hu-HU"/>
        </w:rPr>
        <w:tab/>
      </w:r>
      <w:r w:rsidRPr="000536D5">
        <w:rPr>
          <w:b/>
          <w:i/>
          <w:lang w:val="hu-HU"/>
        </w:rPr>
        <w:t>EMA. „Assessing the toxicological risk to human health and groundwater communities from veterinary pharmaceuticals in groundwater - Scientific guideline” (A felszín alatti vizekben lévő állatgyógyászati készítmények által az emberi egészségre és a felszín alatti vizek közösségeire jelentett toxikológiai kockázat értékelése – Tudományos iránymutatások), 2018. április.</w:t>
      </w:r>
    </w:p>
  </w:footnote>
  <w:footnote w:id="39">
    <w:p w14:paraId="5BD475FA" w14:textId="77777777" w:rsidR="00E54390" w:rsidRPr="000536D5" w:rsidRDefault="00E54390" w:rsidP="001D30D4">
      <w:pPr>
        <w:pStyle w:val="FootnoteTextForceStyle"/>
        <w:rPr>
          <w:lang w:val="hu-HU"/>
        </w:rPr>
      </w:pPr>
      <w:r>
        <w:rPr>
          <w:vertAlign w:val="superscript"/>
        </w:rPr>
        <w:footnoteRef/>
      </w:r>
      <w:r w:rsidRPr="000536D5">
        <w:rPr>
          <w:lang w:val="hu-HU"/>
        </w:rPr>
        <w:tab/>
        <w:t>Az Európai Parlament és a Tanács (EU) 2020/2184 irányelve (2020. december 16.) az emberi fogyasztásra szánt víz minőségéről (átdolgozás) (HL L 435., 2020.12.23., 1. o.).</w:t>
      </w:r>
    </w:p>
  </w:footnote>
  <w:footnote w:id="40">
    <w:p w14:paraId="00BEEE70" w14:textId="77777777" w:rsidR="00E54390" w:rsidRPr="000536D5" w:rsidRDefault="00E54390" w:rsidP="001D30D4">
      <w:pPr>
        <w:pStyle w:val="FootnoteTextForceStyle"/>
        <w:rPr>
          <w:lang w:val="hu-HU"/>
        </w:rPr>
      </w:pPr>
      <w:r>
        <w:rPr>
          <w:vertAlign w:val="superscript"/>
        </w:rPr>
        <w:footnoteRef/>
      </w:r>
      <w:r w:rsidRPr="000536D5">
        <w:rPr>
          <w:lang w:val="hu-HU"/>
        </w:rPr>
        <w:tab/>
      </w:r>
      <w:r w:rsidRPr="000536D5">
        <w:rPr>
          <w:b/>
          <w:i/>
          <w:lang w:val="hu-HU"/>
        </w:rPr>
        <w:t>„Global burden of bacterial antimicrobial resistance in 2019: a systematic analysis” (A baktériumok antimikrobiális rezisztenciájának globális terhelése 2019-ben: rendszerszintű elemzés) Lancet, 2022. január 19. https://www.sciencedirect.com/science/article/pii/S0140673621027240?via%3Dihub</w:t>
      </w:r>
    </w:p>
  </w:footnote>
  <w:footnote w:id="41">
    <w:p w14:paraId="37CDE068" w14:textId="77777777" w:rsidR="00E54390" w:rsidRPr="000536D5" w:rsidRDefault="00E54390" w:rsidP="001D30D4">
      <w:pPr>
        <w:pStyle w:val="FootnoteTextForceStyle"/>
        <w:rPr>
          <w:lang w:val="hu-HU"/>
        </w:rPr>
      </w:pPr>
      <w:r>
        <w:rPr>
          <w:vertAlign w:val="superscript"/>
        </w:rPr>
        <w:footnoteRef/>
      </w:r>
      <w:r w:rsidRPr="000536D5">
        <w:rPr>
          <w:lang w:val="hu-HU"/>
        </w:rPr>
        <w:tab/>
      </w:r>
      <w:r w:rsidRPr="000536D5">
        <w:rPr>
          <w:b/>
          <w:i/>
          <w:lang w:val="hu-HU"/>
        </w:rPr>
        <w:t>https://www.sciencedirect.com/science/article/pii/S2352186422000724</w:t>
      </w:r>
    </w:p>
  </w:footnote>
  <w:footnote w:id="42">
    <w:p w14:paraId="7026C594" w14:textId="77777777" w:rsidR="00E54390" w:rsidRPr="000536D5" w:rsidRDefault="00E54390" w:rsidP="001D30D4">
      <w:pPr>
        <w:pStyle w:val="FootnoteTextForceStyle"/>
        <w:rPr>
          <w:lang w:val="hu-HU"/>
        </w:rPr>
      </w:pPr>
      <w:r>
        <w:rPr>
          <w:vertAlign w:val="superscript"/>
        </w:rPr>
        <w:footnoteRef/>
      </w:r>
      <w:r w:rsidRPr="000536D5">
        <w:rPr>
          <w:lang w:val="hu-HU"/>
        </w:rPr>
        <w:tab/>
        <w:t>Bizottsági szolgálati munkadokumentum – A víz-keretirányelv, a felszín alatti vizekről szóló irányelv, a környezetminőségi előírásokról szóló irányelv és az árvízvédelmi irányelv célravezetőségi vizsgálata (SWD(2019) 439).</w:t>
      </w:r>
    </w:p>
  </w:footnote>
  <w:footnote w:id="43">
    <w:p w14:paraId="1A76B53B" w14:textId="77777777" w:rsidR="00E54390" w:rsidRPr="000536D5" w:rsidRDefault="00E54390" w:rsidP="001D30D4">
      <w:pPr>
        <w:pStyle w:val="FootnoteTextForceStyle"/>
        <w:rPr>
          <w:lang w:val="hu-HU"/>
        </w:rPr>
      </w:pPr>
      <w:r>
        <w:rPr>
          <w:vertAlign w:val="superscript"/>
        </w:rPr>
        <w:footnoteRef/>
      </w:r>
      <w:r w:rsidRPr="000536D5">
        <w:rPr>
          <w:lang w:val="hu-HU"/>
        </w:rPr>
        <w:tab/>
      </w:r>
      <w:r w:rsidRPr="000536D5">
        <w:rPr>
          <w:b/>
          <w:i/>
          <w:lang w:val="hu-HU"/>
        </w:rPr>
        <w:t>https://www.igb-berlin.de/sites/default/files/media-files/download-files/IGB_Policy_Brief_WFD_2019.pdf</w:t>
      </w:r>
    </w:p>
  </w:footnote>
  <w:footnote w:id="44">
    <w:p w14:paraId="571352A7" w14:textId="77777777" w:rsidR="00E54390" w:rsidRPr="000536D5" w:rsidRDefault="00E54390" w:rsidP="001D30D4">
      <w:pPr>
        <w:pStyle w:val="FootnoteTextForceStyle"/>
        <w:rPr>
          <w:lang w:val="hu-HU"/>
        </w:rPr>
      </w:pPr>
      <w:r>
        <w:rPr>
          <w:vertAlign w:val="superscript"/>
        </w:rPr>
        <w:footnoteRef/>
      </w:r>
      <w:r w:rsidRPr="000536D5">
        <w:rPr>
          <w:lang w:val="hu-HU"/>
        </w:rPr>
        <w:tab/>
        <w:t>Az Európai Parlament és a Tanács 2007/2/EK irányelve (2007. március 14.) az Európai Közösségen belüli térinformációs infrastruktúra (INSPIRE) kialakításáról (HL L 108., 2007.4.25., 1. o.).</w:t>
      </w:r>
    </w:p>
  </w:footnote>
  <w:footnote w:id="45">
    <w:p w14:paraId="1B56AFAE" w14:textId="77777777" w:rsidR="00E54390" w:rsidRPr="000536D5" w:rsidRDefault="00E54390" w:rsidP="001D30D4">
      <w:pPr>
        <w:pStyle w:val="FootnoteTextForceStyle"/>
        <w:rPr>
          <w:lang w:val="hu-HU"/>
        </w:rPr>
      </w:pPr>
      <w:r>
        <w:rPr>
          <w:vertAlign w:val="superscript"/>
        </w:rPr>
        <w:footnoteRef/>
      </w:r>
      <w:r w:rsidRPr="000536D5">
        <w:rPr>
          <w:lang w:val="hu-HU"/>
        </w:rPr>
        <w:tab/>
        <w:t>Az Európai Parlament és a Tanács (EU) 2019/1024 irányelve (2019. június 20.) a nyílt hozzáférésű adatokról és a közszféra információinak további felhasználásáról (HL L 172., 2019.6.26., 56. o.).</w:t>
      </w:r>
    </w:p>
  </w:footnote>
  <w:footnote w:id="46">
    <w:p w14:paraId="679E65F9" w14:textId="77777777" w:rsidR="00E54390" w:rsidRPr="000536D5" w:rsidRDefault="00E54390" w:rsidP="001D30D4">
      <w:pPr>
        <w:pStyle w:val="FootnoteTextForceStyle"/>
        <w:rPr>
          <w:lang w:val="hu-HU"/>
        </w:rPr>
      </w:pPr>
      <w:r>
        <w:rPr>
          <w:vertAlign w:val="superscript"/>
        </w:rPr>
        <w:footnoteRef/>
      </w:r>
      <w:r w:rsidRPr="000536D5">
        <w:rPr>
          <w:lang w:val="hu-HU"/>
        </w:rPr>
        <w:tab/>
      </w:r>
      <w:r w:rsidRPr="000536D5">
        <w:rPr>
          <w:strike/>
          <w:lang w:val="hu-HU"/>
        </w:rPr>
        <w:t>Az Európai Parlament és a Tanács 166/2006/EK rendelete (2006. január 18.) az Európai Szennyezőanyag-kibocsátási és -szállítási Nyilvántartás létrehozásáról, valamint a 91/689/EGK és a 96/61/EK tanácsi irányelv módosításáról (HL L 33., 2006.2.4., 1. o.).</w:t>
      </w:r>
    </w:p>
  </w:footnote>
  <w:footnote w:id="47">
    <w:p w14:paraId="42BAF166" w14:textId="77777777" w:rsidR="00E54390" w:rsidRPr="000536D5" w:rsidRDefault="00E54390" w:rsidP="001D30D4">
      <w:pPr>
        <w:pStyle w:val="FootnoteTextForceStyle"/>
        <w:rPr>
          <w:lang w:val="hu-HU"/>
        </w:rPr>
      </w:pPr>
      <w:r>
        <w:rPr>
          <w:vertAlign w:val="superscript"/>
        </w:rPr>
        <w:footnoteRef/>
      </w:r>
      <w:r w:rsidRPr="000536D5">
        <w:rPr>
          <w:lang w:val="hu-HU"/>
        </w:rPr>
        <w:tab/>
        <w:t>Az Európai Parlament és a Tanács 182/2011/EU rendelete (2011. február 16.) a Bizottság végrehajtási hatásköreinek gyakorlására vonatkozó tagállami ellenőrzési mechanizmusok szabályainak és általános elveinek megállapításáról (HL L 55., 2011.2.28., 13. o.).</w:t>
      </w:r>
    </w:p>
  </w:footnote>
  <w:footnote w:id="48">
    <w:p w14:paraId="18CBBE22" w14:textId="77777777" w:rsidR="00E54390" w:rsidRPr="000536D5" w:rsidRDefault="00E54390" w:rsidP="001D30D4">
      <w:pPr>
        <w:pStyle w:val="FootnoteTextForceStyle"/>
        <w:rPr>
          <w:lang w:val="hu-HU"/>
        </w:rPr>
      </w:pPr>
      <w:r>
        <w:rPr>
          <w:vertAlign w:val="superscript"/>
        </w:rPr>
        <w:footnoteRef/>
      </w:r>
      <w:r w:rsidRPr="000536D5">
        <w:rPr>
          <w:lang w:val="hu-HU"/>
        </w:rPr>
        <w:tab/>
      </w:r>
      <w:r w:rsidRPr="000536D5">
        <w:rPr>
          <w:vertAlign w:val="superscript"/>
          <w:lang w:val="hu-HU"/>
        </w:rPr>
        <w:t>+</w:t>
      </w:r>
      <w:r w:rsidRPr="000536D5">
        <w:rPr>
          <w:lang w:val="hu-HU"/>
        </w:rPr>
        <w:t>Kiadóhivatal: Kérjük, illesszék be a szövegbe a COM(2022) 157 dokumentumban szereplő rendelet számát, a lábjegyzetbe pedig az említett irányelv számát, dátumát, címét és HL-hivatkozását).</w:t>
      </w:r>
    </w:p>
  </w:footnote>
  <w:footnote w:id="49">
    <w:p w14:paraId="5B49DD4A" w14:textId="77777777" w:rsidR="00E54390" w:rsidRPr="000536D5" w:rsidRDefault="00E54390" w:rsidP="001D30D4">
      <w:pPr>
        <w:pStyle w:val="FootnoteTextForceStyle"/>
        <w:rPr>
          <w:lang w:val="hu-HU"/>
        </w:rPr>
      </w:pPr>
      <w:r>
        <w:rPr>
          <w:vertAlign w:val="superscript"/>
        </w:rPr>
        <w:footnoteRef/>
      </w:r>
      <w:r w:rsidRPr="000536D5">
        <w:rPr>
          <w:lang w:val="hu-HU"/>
        </w:rPr>
        <w:tab/>
      </w:r>
      <w:r w:rsidRPr="000536D5">
        <w:rPr>
          <w:b/>
          <w:i/>
          <w:lang w:val="hu-HU"/>
        </w:rPr>
        <w:t>A Bíróság (első tanács) C-535/18. sz. IL és társai kontra Land Nordrhein Westfalen ügyben hozott 2020. május 28-i ítélete. A Bíróság (második tanács) C-664/15. sz. Protect Natur-, Arten- und Landschaftsschutz Umweltorganisation kontra Bezirkshauptmannschaft Gmünd ügyben hozott 2017. december 20-i ítélete.</w:t>
      </w:r>
    </w:p>
  </w:footnote>
  <w:footnote w:id="50">
    <w:p w14:paraId="3BBB4FE7" w14:textId="77777777" w:rsidR="00E54390" w:rsidRPr="000536D5" w:rsidRDefault="00E54390" w:rsidP="001D30D4">
      <w:pPr>
        <w:pStyle w:val="FootnoteTextForceStyle"/>
        <w:rPr>
          <w:lang w:val="hu-HU"/>
        </w:rPr>
      </w:pPr>
      <w:r>
        <w:rPr>
          <w:vertAlign w:val="superscript"/>
        </w:rPr>
        <w:footnoteRef/>
      </w:r>
      <w:r w:rsidRPr="000536D5">
        <w:rPr>
          <w:lang w:val="hu-HU"/>
        </w:rPr>
        <w:tab/>
      </w:r>
      <w:r w:rsidRPr="00F103D0">
        <w:rPr>
          <w:lang w:val="hu-HU"/>
        </w:rPr>
        <w:t>Az Európai Parlament és a Tanács 1313/2013/EU határozata (2013. december 17.) az uniós polgári védelmi mechanizmusról (HL L 347., 2013.12.20., 924. o.).</w:t>
      </w:r>
    </w:p>
  </w:footnote>
  <w:footnote w:id="51">
    <w:p w14:paraId="1BF5199A" w14:textId="77777777" w:rsidR="00E54390" w:rsidRPr="000536D5" w:rsidRDefault="00E54390" w:rsidP="001D30D4">
      <w:pPr>
        <w:pStyle w:val="FootnoteTextForceStyle"/>
        <w:rPr>
          <w:lang w:val="hu-HU"/>
        </w:rPr>
      </w:pPr>
      <w:r>
        <w:rPr>
          <w:vertAlign w:val="superscript"/>
        </w:rPr>
        <w:footnoteRef/>
      </w:r>
      <w:r w:rsidRPr="000536D5">
        <w:rPr>
          <w:lang w:val="hu-HU"/>
        </w:rPr>
        <w:tab/>
      </w:r>
      <w:r w:rsidRPr="000536D5">
        <w:rPr>
          <w:b/>
          <w:i/>
          <w:lang w:val="hu-HU"/>
        </w:rPr>
        <w:t xml:space="preserve"> OECD: A vízügyi finanszírozásokról szóló 6. kerekasztal. Elérhető a következő internetcímen: https://www.oecd.org/water/6th-Roundtable-on-Financing-Water-in-Europe-Summary-and-Highlights.pdf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69D45" w14:textId="77777777" w:rsidR="00E54390" w:rsidRPr="00024A93" w:rsidRDefault="00E54390" w:rsidP="00E54390">
    <w:pPr>
      <w:pStyle w:val="HeaderLandscap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C4314" w14:textId="77777777" w:rsidR="00E54390" w:rsidRPr="00024A93" w:rsidRDefault="00E54390" w:rsidP="00E54390">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38D23D94"/>
    <w:lvl w:ilvl="0">
      <w:start w:val="1"/>
      <w:numFmt w:val="decimal"/>
      <w:pStyle w:val="ThetitleofAnnexIPoint0number"/>
      <w:lvlText w:val="%1."/>
      <w:lvlJc w:val="left"/>
      <w:pPr>
        <w:tabs>
          <w:tab w:val="num" w:pos="360"/>
        </w:tabs>
        <w:ind w:left="360" w:hanging="360"/>
      </w:p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4" w15:restartNumberingAfterBreak="0">
    <w:nsid w:val="13E4330B"/>
    <w:multiLevelType w:val="multilevel"/>
    <w:tmpl w:val="643A6648"/>
    <w:name w:val="List Dash 3"/>
    <w:lvl w:ilvl="0">
      <w:start w:val="1"/>
      <w:numFmt w:val="decimal"/>
      <w:pStyle w:val="ListNumber1"/>
      <w:lvlText w:val="(%1)"/>
      <w:lvlJc w:val="left"/>
      <w:pPr>
        <w:tabs>
          <w:tab w:val="num" w:pos="1701"/>
        </w:tabs>
        <w:ind w:left="1701"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398C015E"/>
    <w:multiLevelType w:val="multilevel"/>
    <w:tmpl w:val="4F4EEA34"/>
    <w:name w:val="List Dash 4"/>
    <w:lvl w:ilvl="0">
      <w:start w:val="1"/>
      <w:numFmt w:val="decimal"/>
      <w:pStyle w:val="ListNumber2"/>
      <w:lvlText w:val="(%1)"/>
      <w:lvlJc w:val="left"/>
      <w:pPr>
        <w:tabs>
          <w:tab w:val="num" w:pos="1560"/>
        </w:tabs>
        <w:ind w:left="1560" w:hanging="709"/>
      </w:pPr>
      <w:rPr>
        <w:rFonts w:cs="Times New Roman"/>
        <w:lang w:val="en-GB"/>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0"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1"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538806B0"/>
    <w:name w:val="0.6719891"/>
    <w:lvl w:ilvl="0">
      <w:start w:val="1"/>
      <w:numFmt w:val="decimal"/>
      <w:lvlRestart w:val="0"/>
      <w:pStyle w:val="ListNumber"/>
      <w:lvlText w:val="(%1)"/>
      <w:lvlJc w:val="left"/>
      <w:pPr>
        <w:tabs>
          <w:tab w:val="num" w:pos="1276"/>
        </w:tabs>
        <w:ind w:left="1276"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16cid:durableId="1219125399">
    <w:abstractNumId w:val="0"/>
  </w:num>
  <w:num w:numId="2" w16cid:durableId="1699432952">
    <w:abstractNumId w:val="2"/>
  </w:num>
  <w:num w:numId="3" w16cid:durableId="102771777">
    <w:abstractNumId w:val="13"/>
  </w:num>
  <w:num w:numId="4" w16cid:durableId="1647280062">
    <w:abstractNumId w:val="5"/>
  </w:num>
  <w:num w:numId="5" w16cid:durableId="1101533200">
    <w:abstractNumId w:val="1"/>
  </w:num>
  <w:num w:numId="6" w16cid:durableId="1534879991">
    <w:abstractNumId w:val="10"/>
  </w:num>
  <w:num w:numId="7" w16cid:durableId="1347058354">
    <w:abstractNumId w:val="20"/>
  </w:num>
  <w:num w:numId="8" w16cid:durableId="1264998501">
    <w:abstractNumId w:val="19"/>
  </w:num>
  <w:num w:numId="9" w16cid:durableId="1889493418">
    <w:abstractNumId w:val="28"/>
  </w:num>
  <w:num w:numId="10" w16cid:durableId="1927567083">
    <w:abstractNumId w:val="3"/>
  </w:num>
  <w:num w:numId="11" w16cid:durableId="450395496">
    <w:abstractNumId w:val="12"/>
  </w:num>
  <w:num w:numId="12" w16cid:durableId="1836648551">
    <w:abstractNumId w:val="4"/>
  </w:num>
  <w:num w:numId="13" w16cid:durableId="177744018">
    <w:abstractNumId w:val="14"/>
  </w:num>
  <w:num w:numId="14" w16cid:durableId="1577400872">
    <w:abstractNumId w:val="11"/>
  </w:num>
  <w:num w:numId="15" w16cid:durableId="389378579">
    <w:abstractNumId w:val="21"/>
  </w:num>
  <w:num w:numId="16" w16cid:durableId="843668764">
    <w:abstractNumId w:val="9"/>
  </w:num>
  <w:num w:numId="17" w16cid:durableId="2161655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31937377">
    <w:abstractNumId w:val="25"/>
  </w:num>
  <w:num w:numId="19" w16cid:durableId="1874657303">
    <w:abstractNumId w:val="15"/>
  </w:num>
  <w:num w:numId="20" w16cid:durableId="64842238">
    <w:abstractNumId w:val="27"/>
  </w:num>
  <w:num w:numId="21" w16cid:durableId="1495367585">
    <w:abstractNumId w:val="8"/>
  </w:num>
  <w:num w:numId="22" w16cid:durableId="64299393">
    <w:abstractNumId w:val="16"/>
  </w:num>
  <w:num w:numId="23" w16cid:durableId="1846282406">
    <w:abstractNumId w:val="17"/>
  </w:num>
  <w:num w:numId="24" w16cid:durableId="1159347163">
    <w:abstractNumId w:val="18"/>
  </w:num>
  <w:num w:numId="25" w16cid:durableId="1970041854">
    <w:abstractNumId w:val="23"/>
  </w:num>
  <w:num w:numId="26" w16cid:durableId="1541437692">
    <w:abstractNumId w:val="24"/>
  </w:num>
  <w:num w:numId="27" w16cid:durableId="1165584278">
    <w:abstractNumId w:val="7"/>
  </w:num>
  <w:num w:numId="28" w16cid:durableId="528447483">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9-0238/2023"/>
    <w:docVar w:name="dvlangue" w:val="HU"/>
    <w:docVar w:name="dvnumam" w:val="0"/>
    <w:docVar w:name="dvpe" w:val="740.884"/>
    <w:docVar w:name="dvrapporteur" w:val="Előadó: "/>
    <w:docVar w:name="dvstar" w:val="***I"/>
    <w:docVar w:name="dvtitre" w:val="Az Európai Parlament 2024.  ...-i jogalkotási állásfoglalása a vízpolitika terén a közösségi fellépés kereteinek meghatározásáról szóló 2000/60/EK irányelv, a felszín alatti vizek szennyezés és állapotromlás elleni védelméről szóló 2006/118/EK irányelv és a vízpolitika területén a környezetminőségi előírásokról szóló 2008/105/EK irányelv módosításáról szóló európai parlamenti és tanácsi irányelvre irányuló javaslatról(COM(2022)0540 – C9-0361/2022 – 2022/0344(COD))"/>
  </w:docVars>
  <w:rsids>
    <w:rsidRoot w:val="00486E2B"/>
    <w:rsid w:val="00002272"/>
    <w:rsid w:val="000105EC"/>
    <w:rsid w:val="000536D5"/>
    <w:rsid w:val="00064002"/>
    <w:rsid w:val="000677B9"/>
    <w:rsid w:val="000831BA"/>
    <w:rsid w:val="000A42CC"/>
    <w:rsid w:val="000E7DD9"/>
    <w:rsid w:val="0010095E"/>
    <w:rsid w:val="00124C0D"/>
    <w:rsid w:val="00125B37"/>
    <w:rsid w:val="00147046"/>
    <w:rsid w:val="00187494"/>
    <w:rsid w:val="001D30D4"/>
    <w:rsid w:val="001F32AE"/>
    <w:rsid w:val="00236214"/>
    <w:rsid w:val="002767FF"/>
    <w:rsid w:val="0028566B"/>
    <w:rsid w:val="002B18FE"/>
    <w:rsid w:val="002B5493"/>
    <w:rsid w:val="002D1F13"/>
    <w:rsid w:val="00343214"/>
    <w:rsid w:val="00343EB6"/>
    <w:rsid w:val="00361C00"/>
    <w:rsid w:val="00395FA1"/>
    <w:rsid w:val="003B0307"/>
    <w:rsid w:val="003E15D4"/>
    <w:rsid w:val="00411CCE"/>
    <w:rsid w:val="0041666E"/>
    <w:rsid w:val="00421060"/>
    <w:rsid w:val="00455978"/>
    <w:rsid w:val="00471C19"/>
    <w:rsid w:val="004867E3"/>
    <w:rsid w:val="00486E2B"/>
    <w:rsid w:val="00494A28"/>
    <w:rsid w:val="004C0004"/>
    <w:rsid w:val="004C5D52"/>
    <w:rsid w:val="004D75C2"/>
    <w:rsid w:val="0050519A"/>
    <w:rsid w:val="005072A1"/>
    <w:rsid w:val="00514517"/>
    <w:rsid w:val="005407BA"/>
    <w:rsid w:val="00545827"/>
    <w:rsid w:val="00560270"/>
    <w:rsid w:val="005B1AFC"/>
    <w:rsid w:val="005C2568"/>
    <w:rsid w:val="005D49D1"/>
    <w:rsid w:val="006037C0"/>
    <w:rsid w:val="00625FAA"/>
    <w:rsid w:val="006631B6"/>
    <w:rsid w:val="006773C8"/>
    <w:rsid w:val="00680577"/>
    <w:rsid w:val="006D0C20"/>
    <w:rsid w:val="006D6AD5"/>
    <w:rsid w:val="006F74FA"/>
    <w:rsid w:val="00731ADD"/>
    <w:rsid w:val="00734777"/>
    <w:rsid w:val="00747932"/>
    <w:rsid w:val="00751A4A"/>
    <w:rsid w:val="00756632"/>
    <w:rsid w:val="00762C74"/>
    <w:rsid w:val="00786EC0"/>
    <w:rsid w:val="007D1690"/>
    <w:rsid w:val="007E22AD"/>
    <w:rsid w:val="00804A92"/>
    <w:rsid w:val="00817416"/>
    <w:rsid w:val="00842779"/>
    <w:rsid w:val="00865F67"/>
    <w:rsid w:val="00881A7B"/>
    <w:rsid w:val="008840E5"/>
    <w:rsid w:val="00887B3E"/>
    <w:rsid w:val="008C2AC6"/>
    <w:rsid w:val="008F289E"/>
    <w:rsid w:val="008F318C"/>
    <w:rsid w:val="00930C23"/>
    <w:rsid w:val="0093193B"/>
    <w:rsid w:val="009509D8"/>
    <w:rsid w:val="00950B64"/>
    <w:rsid w:val="00981893"/>
    <w:rsid w:val="00994794"/>
    <w:rsid w:val="00A1687D"/>
    <w:rsid w:val="00A37B2A"/>
    <w:rsid w:val="00A43E52"/>
    <w:rsid w:val="00A4678D"/>
    <w:rsid w:val="00A75B5E"/>
    <w:rsid w:val="00A778C7"/>
    <w:rsid w:val="00AB441E"/>
    <w:rsid w:val="00AB6293"/>
    <w:rsid w:val="00AE0928"/>
    <w:rsid w:val="00AF1DC4"/>
    <w:rsid w:val="00AF3B82"/>
    <w:rsid w:val="00B12E95"/>
    <w:rsid w:val="00B22876"/>
    <w:rsid w:val="00B23C9C"/>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56FD"/>
    <w:rsid w:val="00DC67EB"/>
    <w:rsid w:val="00E161F6"/>
    <w:rsid w:val="00E177EB"/>
    <w:rsid w:val="00E365E1"/>
    <w:rsid w:val="00E441EF"/>
    <w:rsid w:val="00E54390"/>
    <w:rsid w:val="00E741E1"/>
    <w:rsid w:val="00E820A4"/>
    <w:rsid w:val="00E87FD2"/>
    <w:rsid w:val="00E9477E"/>
    <w:rsid w:val="00EA1FAD"/>
    <w:rsid w:val="00EB006A"/>
    <w:rsid w:val="00EB4772"/>
    <w:rsid w:val="00ED169E"/>
    <w:rsid w:val="00ED4235"/>
    <w:rsid w:val="00EE2742"/>
    <w:rsid w:val="00F04346"/>
    <w:rsid w:val="00F075DC"/>
    <w:rsid w:val="00F103D0"/>
    <w:rsid w:val="00F149E9"/>
    <w:rsid w:val="00F5134D"/>
    <w:rsid w:val="00F74202"/>
    <w:rsid w:val="00F87713"/>
    <w:rsid w:val="00FA31A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00E2F5"/>
  <w15:chartTrackingRefBased/>
  <w15:docId w15:val="{D6DA603D-F841-4C85-8581-8CEE643D2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iPriority="35" w:unhideWhenUsed="1" w:qFormat="1"/>
    <w:lsdException w:name="table of authorities" w:uiPriority="0"/>
    <w:lsdException w:name="toa heading" w:uiPriority="0"/>
    <w:lsdException w:name="Title" w:uiPriority="10" w:qFormat="1"/>
    <w:lsdException w:name="Default Paragraph Font" w:uiPriority="0"/>
    <w:lsdException w:name="Subtitle" w:uiPriority="11" w:qFormat="1"/>
    <w:lsdException w:name="Salutation" w:uiPriority="0"/>
    <w:lsdException w:name="Date" w:uiPriority="0"/>
    <w:lsdException w:name="Note Heading" w:uiPriority="0"/>
    <w:lsdException w:name="Body Text 2" w:uiPriority="0"/>
    <w:lsdException w:name="Strong" w:uiPriority="22" w:qFormat="1"/>
    <w:lsdException w:name="Emphasis" w:uiPriority="20" w:qFormat="1"/>
    <w:lsdException w:name="HTML Top of Form" w:uiPriority="0"/>
    <w:lsdException w:name="HTML Bottom of Form" w:uiPriority="0"/>
    <w:lsdException w:name="Normal Table" w:semiHidden="1" w:uiPriority="0" w:unhideWhenUsed="1"/>
    <w:lsdException w:name="Outline List 1" w:uiPriority="0"/>
    <w:lsdException w:name="Outline List 2" w:uiPriority="0"/>
    <w:lsdException w:name="Outline List 3" w:uiPriority="0"/>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2"/>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2"/>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2"/>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3"/>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124C0D"/>
    <w:rPr>
      <w:b/>
      <w:kern w:val="28"/>
      <w:sz w:val="28"/>
      <w:lang w:val="fr-FR" w:eastAsia="fr-FR"/>
    </w:rPr>
  </w:style>
  <w:style w:type="character" w:customStyle="1" w:styleId="Heading2Char">
    <w:name w:val="Heading 2 Char"/>
    <w:basedOn w:val="DefaultParagraphFont"/>
    <w:link w:val="Heading2"/>
    <w:uiPriority w:val="9"/>
    <w:semiHidden/>
    <w:rsid w:val="00124C0D"/>
    <w:rPr>
      <w:sz w:val="24"/>
      <w:lang w:val="fr-FR" w:eastAsia="fr-FR"/>
    </w:rPr>
  </w:style>
  <w:style w:type="character" w:customStyle="1" w:styleId="Heading3Char">
    <w:name w:val="Heading 3 Char"/>
    <w:basedOn w:val="DefaultParagraphFont"/>
    <w:link w:val="Heading3"/>
    <w:uiPriority w:val="9"/>
    <w:semiHidden/>
    <w:rsid w:val="00124C0D"/>
    <w:rPr>
      <w:rFonts w:ascii="Arial" w:hAnsi="Arial"/>
      <w:sz w:val="24"/>
      <w:lang w:val="fr-FR" w:eastAsia="fr-FR"/>
    </w:rPr>
  </w:style>
  <w:style w:type="character" w:customStyle="1" w:styleId="Heading4Char">
    <w:name w:val="Heading 4 Char"/>
    <w:basedOn w:val="DefaultParagraphFont"/>
    <w:link w:val="Heading4"/>
    <w:uiPriority w:val="9"/>
    <w:semiHidden/>
    <w:rsid w:val="00124C0D"/>
    <w:rPr>
      <w:sz w:val="24"/>
      <w:lang w:val="en-US" w:eastAsia="fr-FR"/>
    </w:rPr>
  </w:style>
  <w:style w:type="character" w:customStyle="1" w:styleId="Heading5Char">
    <w:name w:val="Heading 5 Char"/>
    <w:basedOn w:val="DefaultParagraphFont"/>
    <w:link w:val="Heading5"/>
    <w:uiPriority w:val="9"/>
    <w:semiHidden/>
    <w:rsid w:val="00124C0D"/>
    <w:rPr>
      <w:sz w:val="24"/>
      <w:lang w:val="en-US" w:eastAsia="fr-FR"/>
    </w:rPr>
  </w:style>
  <w:style w:type="character" w:customStyle="1" w:styleId="Heading6Char">
    <w:name w:val="Heading 6 Char"/>
    <w:basedOn w:val="DefaultParagraphFont"/>
    <w:link w:val="Heading6"/>
    <w:uiPriority w:val="9"/>
    <w:semiHidden/>
    <w:rsid w:val="00124C0D"/>
    <w:rPr>
      <w:i/>
      <w:sz w:val="22"/>
      <w:lang w:val="hu-HU"/>
    </w:rPr>
  </w:style>
  <w:style w:type="character" w:customStyle="1" w:styleId="Heading7Char">
    <w:name w:val="Heading 7 Char"/>
    <w:basedOn w:val="DefaultParagraphFont"/>
    <w:link w:val="Heading7"/>
    <w:uiPriority w:val="9"/>
    <w:semiHidden/>
    <w:rsid w:val="00124C0D"/>
    <w:rPr>
      <w:rFonts w:ascii="Arial" w:hAnsi="Arial"/>
      <w:sz w:val="24"/>
      <w:lang w:val="hu-HU"/>
    </w:rPr>
  </w:style>
  <w:style w:type="character" w:customStyle="1" w:styleId="Heading8Char">
    <w:name w:val="Heading 8 Char"/>
    <w:basedOn w:val="DefaultParagraphFont"/>
    <w:link w:val="Heading8"/>
    <w:uiPriority w:val="9"/>
    <w:rsid w:val="00124C0D"/>
    <w:rPr>
      <w:rFonts w:ascii="Arial" w:hAnsi="Arial"/>
      <w:i/>
      <w:sz w:val="24"/>
      <w:lang w:val="hu-HU"/>
    </w:rPr>
  </w:style>
  <w:style w:type="character" w:customStyle="1" w:styleId="Heading9Char">
    <w:name w:val="Heading 9 Char"/>
    <w:basedOn w:val="DefaultParagraphFont"/>
    <w:link w:val="Heading9"/>
    <w:uiPriority w:val="9"/>
    <w:rsid w:val="00124C0D"/>
    <w:rPr>
      <w:rFonts w:ascii="Arial" w:hAnsi="Arial"/>
      <w:b/>
      <w:i/>
      <w:sz w:val="18"/>
      <w:lang w:val="hu-HU"/>
    </w:rPr>
  </w:style>
  <w:style w:type="paragraph" w:styleId="TOCHeading">
    <w:name w:val="TOC Heading"/>
    <w:basedOn w:val="Normal"/>
    <w:next w:val="Normal"/>
    <w:uiPriority w:val="39"/>
    <w:unhideWhenUsed/>
    <w:qFormat/>
    <w:rsid w:val="00124C0D"/>
    <w:pPr>
      <w:widowControl/>
      <w:spacing w:after="240"/>
    </w:pPr>
    <w:rPr>
      <w:lang w:val="en-GB"/>
    </w:rPr>
  </w:style>
  <w:style w:type="paragraph" w:customStyle="1" w:styleId="EPFooter2">
    <w:name w:val="EPFooter2"/>
    <w:basedOn w:val="Normal"/>
    <w:next w:val="Normal"/>
    <w:rsid w:val="00124C0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24C0D"/>
    <w:pPr>
      <w:keepNext/>
      <w:spacing w:after="240"/>
      <w:jc w:val="right"/>
    </w:pPr>
    <w:rPr>
      <w:rFonts w:ascii="Arial" w:hAnsi="Arial"/>
      <w:b/>
    </w:rPr>
  </w:style>
  <w:style w:type="paragraph" w:customStyle="1" w:styleId="Normal6a">
    <w:name w:val="Normal6a"/>
    <w:basedOn w:val="Normal"/>
    <w:rsid w:val="00124C0D"/>
    <w:pPr>
      <w:spacing w:after="120"/>
    </w:pPr>
  </w:style>
  <w:style w:type="paragraph" w:customStyle="1" w:styleId="PageHeading">
    <w:name w:val="PageHeading"/>
    <w:basedOn w:val="Normal"/>
    <w:rsid w:val="00124C0D"/>
    <w:pPr>
      <w:keepNext/>
      <w:spacing w:after="480"/>
      <w:jc w:val="center"/>
    </w:pPr>
    <w:rPr>
      <w:rFonts w:ascii="Arial" w:hAnsi="Arial" w:cs="Arial"/>
      <w:b/>
    </w:rPr>
  </w:style>
  <w:style w:type="paragraph" w:customStyle="1" w:styleId="NormalBold">
    <w:name w:val="NormalBold"/>
    <w:basedOn w:val="Normal"/>
    <w:link w:val="NormalBoldChar"/>
    <w:rsid w:val="00124C0D"/>
    <w:rPr>
      <w:b/>
    </w:rPr>
  </w:style>
  <w:style w:type="paragraph" w:customStyle="1" w:styleId="NormalBold12a">
    <w:name w:val="NormalBold12a"/>
    <w:basedOn w:val="Normal"/>
    <w:rsid w:val="00124C0D"/>
    <w:pPr>
      <w:spacing w:after="240"/>
    </w:pPr>
    <w:rPr>
      <w:b/>
    </w:rPr>
  </w:style>
  <w:style w:type="paragraph" w:customStyle="1" w:styleId="AmJustText">
    <w:name w:val="AmJustText"/>
    <w:basedOn w:val="Normal"/>
    <w:rsid w:val="00124C0D"/>
    <w:pPr>
      <w:spacing w:after="240"/>
    </w:pPr>
    <w:rPr>
      <w:i/>
    </w:rPr>
  </w:style>
  <w:style w:type="paragraph" w:customStyle="1" w:styleId="NormalHanging12a">
    <w:name w:val="NormalHanging12a"/>
    <w:basedOn w:val="Normal"/>
    <w:rsid w:val="00124C0D"/>
    <w:pPr>
      <w:spacing w:after="240"/>
      <w:ind w:left="567" w:hanging="567"/>
    </w:pPr>
  </w:style>
  <w:style w:type="paragraph" w:customStyle="1" w:styleId="CoverNormal24a">
    <w:name w:val="CoverNormal24a"/>
    <w:basedOn w:val="Normal"/>
    <w:rsid w:val="00124C0D"/>
    <w:pPr>
      <w:spacing w:after="480"/>
      <w:ind w:left="1417"/>
    </w:pPr>
  </w:style>
  <w:style w:type="paragraph" w:customStyle="1" w:styleId="CoverNormal">
    <w:name w:val="CoverNormal"/>
    <w:basedOn w:val="Normal"/>
    <w:rsid w:val="00124C0D"/>
    <w:pPr>
      <w:ind w:left="1418"/>
    </w:pPr>
  </w:style>
  <w:style w:type="paragraph" w:customStyle="1" w:styleId="AmCrossRef">
    <w:name w:val="AmCrossRef"/>
    <w:basedOn w:val="Normal"/>
    <w:rsid w:val="00124C0D"/>
    <w:pPr>
      <w:spacing w:before="240" w:after="240"/>
      <w:jc w:val="center"/>
    </w:pPr>
    <w:rPr>
      <w:i/>
    </w:rPr>
  </w:style>
  <w:style w:type="paragraph" w:customStyle="1" w:styleId="AmJustTitle">
    <w:name w:val="AmJustTitle"/>
    <w:basedOn w:val="Normal"/>
    <w:next w:val="AmJustText"/>
    <w:rsid w:val="00124C0D"/>
    <w:pPr>
      <w:keepNext/>
      <w:spacing w:before="240" w:after="240"/>
      <w:jc w:val="center"/>
    </w:pPr>
    <w:rPr>
      <w:i/>
    </w:rPr>
  </w:style>
  <w:style w:type="paragraph" w:customStyle="1" w:styleId="CoverReference">
    <w:name w:val="CoverReference"/>
    <w:basedOn w:val="Normal"/>
    <w:rsid w:val="00124C0D"/>
    <w:pPr>
      <w:spacing w:before="1080"/>
      <w:jc w:val="right"/>
    </w:pPr>
    <w:rPr>
      <w:rFonts w:ascii="Arial" w:hAnsi="Arial" w:cs="Arial"/>
      <w:b/>
    </w:rPr>
  </w:style>
  <w:style w:type="paragraph" w:customStyle="1" w:styleId="CoverDocType">
    <w:name w:val="CoverDocType"/>
    <w:basedOn w:val="Normal"/>
    <w:rsid w:val="00124C0D"/>
    <w:pPr>
      <w:ind w:left="1418"/>
    </w:pPr>
    <w:rPr>
      <w:rFonts w:ascii="Arial" w:hAnsi="Arial"/>
      <w:b/>
      <w:sz w:val="48"/>
    </w:rPr>
  </w:style>
  <w:style w:type="paragraph" w:customStyle="1" w:styleId="CoverDocType24a">
    <w:name w:val="CoverDocType24a"/>
    <w:basedOn w:val="Normal"/>
    <w:rsid w:val="00124C0D"/>
    <w:pPr>
      <w:spacing w:after="480"/>
      <w:ind w:left="1418"/>
    </w:pPr>
    <w:rPr>
      <w:rFonts w:ascii="Arial" w:hAnsi="Arial"/>
      <w:b/>
      <w:sz w:val="48"/>
    </w:rPr>
  </w:style>
  <w:style w:type="paragraph" w:customStyle="1" w:styleId="CoverDate">
    <w:name w:val="CoverDate"/>
    <w:basedOn w:val="Normal"/>
    <w:rsid w:val="00124C0D"/>
    <w:pPr>
      <w:spacing w:before="240" w:after="1200"/>
    </w:pPr>
  </w:style>
  <w:style w:type="paragraph" w:styleId="Header">
    <w:name w:val="header"/>
    <w:basedOn w:val="Normal"/>
    <w:link w:val="HeaderChar"/>
    <w:uiPriority w:val="99"/>
    <w:rsid w:val="00124C0D"/>
    <w:pPr>
      <w:tabs>
        <w:tab w:val="center" w:pos="4513"/>
        <w:tab w:val="right" w:pos="9026"/>
      </w:tabs>
    </w:pPr>
  </w:style>
  <w:style w:type="character" w:customStyle="1" w:styleId="HeaderChar">
    <w:name w:val="Header Char"/>
    <w:basedOn w:val="DefaultParagraphFont"/>
    <w:link w:val="Header"/>
    <w:uiPriority w:val="99"/>
    <w:rsid w:val="00124C0D"/>
    <w:rPr>
      <w:sz w:val="24"/>
      <w:lang w:val="hu-HU"/>
    </w:rPr>
  </w:style>
  <w:style w:type="paragraph" w:customStyle="1" w:styleId="AmOrLang">
    <w:name w:val="AmOrLang"/>
    <w:basedOn w:val="Normal"/>
    <w:rsid w:val="00124C0D"/>
    <w:pPr>
      <w:spacing w:before="240" w:after="240"/>
      <w:jc w:val="right"/>
    </w:pPr>
  </w:style>
  <w:style w:type="paragraph" w:customStyle="1" w:styleId="AmColumnHeading">
    <w:name w:val="AmColumnHeading"/>
    <w:basedOn w:val="Normal"/>
    <w:rsid w:val="00124C0D"/>
    <w:pPr>
      <w:spacing w:after="240"/>
      <w:jc w:val="center"/>
    </w:pPr>
    <w:rPr>
      <w:i/>
    </w:rPr>
  </w:style>
  <w:style w:type="paragraph" w:customStyle="1" w:styleId="AmNumberTabs">
    <w:name w:val="AmNumberTabs"/>
    <w:basedOn w:val="Normal"/>
    <w:link w:val="AmNumberTabsChar"/>
    <w:rsid w:val="00124C0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24C0D"/>
    <w:pPr>
      <w:spacing w:before="240"/>
    </w:pPr>
    <w:rPr>
      <w:b/>
    </w:rPr>
  </w:style>
  <w:style w:type="paragraph" w:customStyle="1" w:styleId="EPBody">
    <w:name w:val="EPBody"/>
    <w:basedOn w:val="Normal"/>
    <w:rsid w:val="00124C0D"/>
    <w:pPr>
      <w:jc w:val="center"/>
    </w:pPr>
    <w:rPr>
      <w:rFonts w:ascii="Arial" w:hAnsi="Arial" w:cs="Arial"/>
      <w:i/>
      <w:sz w:val="22"/>
      <w:szCs w:val="22"/>
    </w:rPr>
  </w:style>
  <w:style w:type="paragraph" w:customStyle="1" w:styleId="EPFooter">
    <w:name w:val="EPFooter"/>
    <w:basedOn w:val="Normal"/>
    <w:rsid w:val="00124C0D"/>
    <w:pPr>
      <w:tabs>
        <w:tab w:val="center" w:pos="4535"/>
        <w:tab w:val="right" w:pos="9071"/>
      </w:tabs>
      <w:spacing w:before="240" w:after="240"/>
    </w:pPr>
    <w:rPr>
      <w:color w:val="010000"/>
      <w:sz w:val="22"/>
    </w:rPr>
  </w:style>
  <w:style w:type="paragraph" w:customStyle="1" w:styleId="EPComma">
    <w:name w:val="EPComma"/>
    <w:basedOn w:val="Normal"/>
    <w:rsid w:val="00124C0D"/>
    <w:pPr>
      <w:spacing w:before="480" w:after="240"/>
    </w:pPr>
  </w:style>
  <w:style w:type="paragraph" w:customStyle="1" w:styleId="Lgendesigne">
    <w:name w:val="Légende signe"/>
    <w:basedOn w:val="Normal"/>
    <w:rsid w:val="00124C0D"/>
    <w:pPr>
      <w:tabs>
        <w:tab w:val="right" w:pos="454"/>
        <w:tab w:val="left" w:pos="737"/>
      </w:tabs>
      <w:ind w:left="737" w:hanging="737"/>
    </w:pPr>
    <w:rPr>
      <w:snapToGrid w:val="0"/>
      <w:sz w:val="18"/>
      <w:lang w:eastAsia="en-US"/>
    </w:rPr>
  </w:style>
  <w:style w:type="paragraph" w:customStyle="1" w:styleId="Lgendetitre">
    <w:name w:val="Légende titre"/>
    <w:basedOn w:val="Normal"/>
    <w:rsid w:val="00124C0D"/>
    <w:pPr>
      <w:spacing w:before="240" w:after="240"/>
    </w:pPr>
    <w:rPr>
      <w:b/>
      <w:i/>
      <w:snapToGrid w:val="0"/>
      <w:lang w:eastAsia="en-US"/>
    </w:rPr>
  </w:style>
  <w:style w:type="paragraph" w:customStyle="1" w:styleId="Lgendestandard">
    <w:name w:val="Légende standard"/>
    <w:basedOn w:val="Normal"/>
    <w:rsid w:val="00124C0D"/>
    <w:rPr>
      <w:sz w:val="18"/>
    </w:rPr>
  </w:style>
  <w:style w:type="paragraph" w:customStyle="1" w:styleId="EntPE">
    <w:name w:val="EntPE"/>
    <w:basedOn w:val="Normal12"/>
    <w:rsid w:val="00124C0D"/>
    <w:pPr>
      <w:jc w:val="center"/>
    </w:pPr>
    <w:rPr>
      <w:noProof w:val="0"/>
      <w:sz w:val="56"/>
    </w:rPr>
  </w:style>
  <w:style w:type="paragraph" w:customStyle="1" w:styleId="Normal12">
    <w:name w:val="Normal12"/>
    <w:basedOn w:val="Normal"/>
    <w:link w:val="Normal12Char"/>
    <w:rsid w:val="00124C0D"/>
    <w:pPr>
      <w:spacing w:after="240"/>
    </w:pPr>
    <w:rPr>
      <w:noProof/>
    </w:rPr>
  </w:style>
  <w:style w:type="paragraph" w:customStyle="1" w:styleId="CommitteeAM">
    <w:name w:val="CommitteeAM"/>
    <w:basedOn w:val="Normal"/>
    <w:rsid w:val="00124C0D"/>
    <w:pPr>
      <w:spacing w:before="240" w:after="600"/>
      <w:jc w:val="center"/>
    </w:pPr>
    <w:rPr>
      <w:i/>
    </w:rPr>
  </w:style>
  <w:style w:type="paragraph" w:customStyle="1" w:styleId="ZDateAM">
    <w:name w:val="ZDateAM"/>
    <w:basedOn w:val="Normal"/>
    <w:rsid w:val="00124C0D"/>
    <w:pPr>
      <w:tabs>
        <w:tab w:val="right" w:pos="9356"/>
      </w:tabs>
      <w:spacing w:after="480"/>
    </w:pPr>
    <w:rPr>
      <w:noProof/>
    </w:rPr>
  </w:style>
  <w:style w:type="paragraph" w:customStyle="1" w:styleId="ProjRap">
    <w:name w:val="ProjRap"/>
    <w:basedOn w:val="Normal"/>
    <w:rsid w:val="00124C0D"/>
    <w:pPr>
      <w:tabs>
        <w:tab w:val="right" w:pos="9356"/>
      </w:tabs>
    </w:pPr>
    <w:rPr>
      <w:b/>
      <w:noProof/>
    </w:rPr>
  </w:style>
  <w:style w:type="character" w:customStyle="1" w:styleId="Normal12Char">
    <w:name w:val="Normal12 Char"/>
    <w:basedOn w:val="DefaultParagraphFont"/>
    <w:link w:val="Normal12"/>
    <w:locked/>
    <w:rsid w:val="00124C0D"/>
    <w:rPr>
      <w:noProof/>
      <w:sz w:val="24"/>
      <w:lang w:val="hu-HU"/>
    </w:rPr>
  </w:style>
  <w:style w:type="paragraph" w:customStyle="1" w:styleId="PELeft">
    <w:name w:val="PELeft"/>
    <w:basedOn w:val="Normal"/>
    <w:rsid w:val="00124C0D"/>
    <w:pPr>
      <w:spacing w:before="40" w:after="40"/>
    </w:pPr>
    <w:rPr>
      <w:rFonts w:ascii="Arial" w:hAnsi="Arial" w:cs="Arial"/>
      <w:sz w:val="22"/>
      <w:szCs w:val="22"/>
    </w:rPr>
  </w:style>
  <w:style w:type="paragraph" w:customStyle="1" w:styleId="PERight">
    <w:name w:val="PERight"/>
    <w:basedOn w:val="Normal"/>
    <w:next w:val="Normal"/>
    <w:rsid w:val="00124C0D"/>
    <w:pPr>
      <w:jc w:val="right"/>
    </w:pPr>
    <w:rPr>
      <w:rFonts w:ascii="Arial" w:hAnsi="Arial" w:cs="Arial"/>
      <w:sz w:val="22"/>
      <w:szCs w:val="22"/>
    </w:rPr>
  </w:style>
  <w:style w:type="paragraph" w:customStyle="1" w:styleId="Normal6">
    <w:name w:val="Normal6"/>
    <w:basedOn w:val="Normal"/>
    <w:link w:val="Normal6Char"/>
    <w:rsid w:val="00124C0D"/>
    <w:pPr>
      <w:spacing w:after="120"/>
    </w:pPr>
  </w:style>
  <w:style w:type="paragraph" w:customStyle="1" w:styleId="Normal12Italic">
    <w:name w:val="Normal12Italic"/>
    <w:basedOn w:val="Normal12"/>
    <w:rsid w:val="00124C0D"/>
    <w:rPr>
      <w:i/>
    </w:rPr>
  </w:style>
  <w:style w:type="character" w:customStyle="1" w:styleId="NormalBoldChar">
    <w:name w:val="NormalBold Char"/>
    <w:basedOn w:val="DefaultParagraphFont"/>
    <w:link w:val="NormalBold"/>
    <w:rsid w:val="00124C0D"/>
    <w:rPr>
      <w:b/>
      <w:sz w:val="24"/>
      <w:lang w:val="hu-HU"/>
    </w:rPr>
  </w:style>
  <w:style w:type="paragraph" w:customStyle="1" w:styleId="JustificationTitle">
    <w:name w:val="JustificationTitle"/>
    <w:basedOn w:val="Normal"/>
    <w:next w:val="Normal12"/>
    <w:rsid w:val="00124C0D"/>
    <w:pPr>
      <w:keepNext/>
      <w:spacing w:before="240" w:after="240"/>
      <w:jc w:val="center"/>
    </w:pPr>
    <w:rPr>
      <w:i/>
      <w:noProof/>
    </w:rPr>
  </w:style>
  <w:style w:type="paragraph" w:customStyle="1" w:styleId="Olang">
    <w:name w:val="Olang"/>
    <w:basedOn w:val="Normal"/>
    <w:rsid w:val="00124C0D"/>
    <w:pPr>
      <w:spacing w:before="240" w:after="240"/>
      <w:jc w:val="right"/>
    </w:pPr>
    <w:rPr>
      <w:noProof/>
      <w:szCs w:val="24"/>
    </w:rPr>
  </w:style>
  <w:style w:type="character" w:customStyle="1" w:styleId="Normal6Char">
    <w:name w:val="Normal6 Char"/>
    <w:basedOn w:val="DefaultParagraphFont"/>
    <w:link w:val="Normal6"/>
    <w:rsid w:val="00124C0D"/>
    <w:rPr>
      <w:sz w:val="24"/>
      <w:lang w:val="hu-HU"/>
    </w:rPr>
  </w:style>
  <w:style w:type="paragraph" w:customStyle="1" w:styleId="ColumnHeading">
    <w:name w:val="ColumnHeading"/>
    <w:basedOn w:val="Normal"/>
    <w:rsid w:val="00124C0D"/>
    <w:pPr>
      <w:spacing w:after="240"/>
      <w:jc w:val="center"/>
    </w:pPr>
    <w:rPr>
      <w:i/>
    </w:rPr>
  </w:style>
  <w:style w:type="paragraph" w:customStyle="1" w:styleId="AMNumberTabs0">
    <w:name w:val="AMNumberTabs"/>
    <w:basedOn w:val="Normal"/>
    <w:rsid w:val="00124C0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24C0D"/>
    <w:pPr>
      <w:spacing w:before="240"/>
      <w:jc w:val="center"/>
    </w:pPr>
    <w:rPr>
      <w:i/>
    </w:rPr>
  </w:style>
  <w:style w:type="paragraph" w:styleId="Footer">
    <w:name w:val="footer"/>
    <w:basedOn w:val="Normal"/>
    <w:link w:val="FooterChar"/>
    <w:uiPriority w:val="99"/>
    <w:rsid w:val="00124C0D"/>
    <w:pPr>
      <w:tabs>
        <w:tab w:val="center" w:pos="4513"/>
        <w:tab w:val="right" w:pos="9026"/>
      </w:tabs>
    </w:pPr>
  </w:style>
  <w:style w:type="character" w:customStyle="1" w:styleId="FooterChar">
    <w:name w:val="Footer Char"/>
    <w:basedOn w:val="DefaultParagraphFont"/>
    <w:link w:val="Footer"/>
    <w:uiPriority w:val="99"/>
    <w:rsid w:val="00124C0D"/>
    <w:rPr>
      <w:sz w:val="24"/>
      <w:lang w:val="hu-HU"/>
    </w:rPr>
  </w:style>
  <w:style w:type="character" w:customStyle="1" w:styleId="Footer2Middle">
    <w:name w:val="Footer2Middle"/>
    <w:rsid w:val="00124C0D"/>
    <w:rPr>
      <w:rFonts w:ascii="Arial" w:cs="Arial"/>
      <w:b w:val="0"/>
      <w:i/>
      <w:color w:val="C0C0C0"/>
      <w:sz w:val="22"/>
    </w:rPr>
  </w:style>
  <w:style w:type="paragraph" w:customStyle="1" w:styleId="Normal24a">
    <w:name w:val="Normal24a"/>
    <w:basedOn w:val="Normal"/>
    <w:rsid w:val="00124C0D"/>
    <w:pPr>
      <w:spacing w:after="480"/>
    </w:pPr>
  </w:style>
  <w:style w:type="paragraph" w:customStyle="1" w:styleId="NormalBoldCenter">
    <w:name w:val="NormalBoldCenter"/>
    <w:basedOn w:val="Normal"/>
    <w:rsid w:val="00124C0D"/>
    <w:pPr>
      <w:jc w:val="center"/>
    </w:pPr>
    <w:rPr>
      <w:b/>
    </w:rPr>
  </w:style>
  <w:style w:type="paragraph" w:customStyle="1" w:styleId="Point0number">
    <w:name w:val="Point 0 (number)"/>
    <w:basedOn w:val="Normal"/>
    <w:rsid w:val="00124C0D"/>
    <w:pPr>
      <w:widowControl/>
      <w:numPr>
        <w:numId w:val="4"/>
      </w:numPr>
      <w:spacing w:before="120" w:after="120"/>
      <w:jc w:val="both"/>
    </w:pPr>
    <w:rPr>
      <w:rFonts w:eastAsiaTheme="minorHAnsi"/>
      <w:szCs w:val="22"/>
      <w:lang w:eastAsia="en-US"/>
    </w:rPr>
  </w:style>
  <w:style w:type="paragraph" w:customStyle="1" w:styleId="Point1number">
    <w:name w:val="Point 1 (number)"/>
    <w:basedOn w:val="Normal"/>
    <w:rsid w:val="00124C0D"/>
    <w:pPr>
      <w:widowControl/>
      <w:numPr>
        <w:ilvl w:val="2"/>
        <w:numId w:val="4"/>
      </w:numPr>
      <w:spacing w:before="120" w:after="120"/>
      <w:jc w:val="both"/>
    </w:pPr>
    <w:rPr>
      <w:rFonts w:eastAsiaTheme="minorHAnsi"/>
      <w:szCs w:val="22"/>
      <w:lang w:eastAsia="en-US"/>
    </w:rPr>
  </w:style>
  <w:style w:type="paragraph" w:customStyle="1" w:styleId="Point2number">
    <w:name w:val="Point 2 (number)"/>
    <w:basedOn w:val="Normal"/>
    <w:rsid w:val="00124C0D"/>
    <w:pPr>
      <w:widowControl/>
      <w:numPr>
        <w:ilvl w:val="4"/>
        <w:numId w:val="4"/>
      </w:numPr>
      <w:spacing w:before="120" w:after="120"/>
      <w:jc w:val="both"/>
    </w:pPr>
    <w:rPr>
      <w:rFonts w:eastAsiaTheme="minorHAnsi"/>
      <w:szCs w:val="22"/>
      <w:lang w:eastAsia="en-US"/>
    </w:rPr>
  </w:style>
  <w:style w:type="paragraph" w:customStyle="1" w:styleId="Point3number">
    <w:name w:val="Point 3 (number)"/>
    <w:basedOn w:val="Normal"/>
    <w:rsid w:val="00124C0D"/>
    <w:pPr>
      <w:widowControl/>
      <w:numPr>
        <w:ilvl w:val="6"/>
        <w:numId w:val="4"/>
      </w:numPr>
      <w:spacing w:before="120" w:after="120"/>
      <w:jc w:val="both"/>
    </w:pPr>
    <w:rPr>
      <w:rFonts w:eastAsiaTheme="minorHAnsi"/>
      <w:szCs w:val="22"/>
      <w:lang w:eastAsia="en-US"/>
    </w:rPr>
  </w:style>
  <w:style w:type="paragraph" w:customStyle="1" w:styleId="Point0letter">
    <w:name w:val="Point 0 (letter)"/>
    <w:basedOn w:val="Normal"/>
    <w:rsid w:val="00124C0D"/>
    <w:pPr>
      <w:widowControl/>
      <w:numPr>
        <w:ilvl w:val="1"/>
        <w:numId w:val="4"/>
      </w:numPr>
      <w:spacing w:before="120" w:after="120"/>
      <w:jc w:val="both"/>
    </w:pPr>
    <w:rPr>
      <w:rFonts w:eastAsiaTheme="minorHAnsi"/>
      <w:szCs w:val="22"/>
      <w:lang w:eastAsia="en-US"/>
    </w:rPr>
  </w:style>
  <w:style w:type="paragraph" w:customStyle="1" w:styleId="Point1letter">
    <w:name w:val="Point 1 (letter)"/>
    <w:basedOn w:val="Normal"/>
    <w:rsid w:val="00124C0D"/>
    <w:pPr>
      <w:widowControl/>
      <w:numPr>
        <w:ilvl w:val="3"/>
        <w:numId w:val="4"/>
      </w:numPr>
      <w:spacing w:before="120" w:after="120"/>
      <w:jc w:val="both"/>
    </w:pPr>
    <w:rPr>
      <w:rFonts w:eastAsiaTheme="minorHAnsi"/>
      <w:szCs w:val="22"/>
      <w:lang w:eastAsia="en-US"/>
    </w:rPr>
  </w:style>
  <w:style w:type="paragraph" w:customStyle="1" w:styleId="Point2letter">
    <w:name w:val="Point 2 (letter)"/>
    <w:basedOn w:val="Normal"/>
    <w:rsid w:val="00124C0D"/>
    <w:pPr>
      <w:widowControl/>
      <w:numPr>
        <w:ilvl w:val="5"/>
        <w:numId w:val="4"/>
      </w:numPr>
      <w:spacing w:before="120" w:after="120"/>
      <w:jc w:val="both"/>
    </w:pPr>
    <w:rPr>
      <w:rFonts w:eastAsiaTheme="minorHAnsi"/>
      <w:szCs w:val="22"/>
      <w:lang w:eastAsia="en-US"/>
    </w:rPr>
  </w:style>
  <w:style w:type="paragraph" w:customStyle="1" w:styleId="Point3letter">
    <w:name w:val="Point 3 (letter)"/>
    <w:basedOn w:val="Normal"/>
    <w:rsid w:val="00124C0D"/>
    <w:pPr>
      <w:widowControl/>
      <w:numPr>
        <w:ilvl w:val="7"/>
        <w:numId w:val="4"/>
      </w:numPr>
      <w:spacing w:before="120" w:after="120"/>
      <w:jc w:val="both"/>
    </w:pPr>
    <w:rPr>
      <w:rFonts w:eastAsiaTheme="minorHAnsi"/>
      <w:szCs w:val="22"/>
      <w:lang w:eastAsia="en-US"/>
    </w:rPr>
  </w:style>
  <w:style w:type="paragraph" w:customStyle="1" w:styleId="Point4letter">
    <w:name w:val="Point 4 (letter)"/>
    <w:basedOn w:val="Normal"/>
    <w:rsid w:val="00124C0D"/>
    <w:pPr>
      <w:widowControl/>
      <w:numPr>
        <w:ilvl w:val="8"/>
        <w:numId w:val="4"/>
      </w:numPr>
      <w:spacing w:before="120" w:after="120"/>
      <w:jc w:val="both"/>
    </w:pPr>
    <w:rPr>
      <w:rFonts w:eastAsiaTheme="minorHAnsi"/>
      <w:szCs w:val="22"/>
      <w:lang w:eastAsia="en-US"/>
    </w:rPr>
  </w:style>
  <w:style w:type="paragraph" w:styleId="BalloonText">
    <w:name w:val="Balloon Text"/>
    <w:basedOn w:val="Normal"/>
    <w:link w:val="BalloonTextChar"/>
    <w:uiPriority w:val="99"/>
    <w:unhideWhenUsed/>
    <w:rsid w:val="00124C0D"/>
    <w:rPr>
      <w:rFonts w:ascii="Segoe UI" w:hAnsi="Segoe UI" w:cs="Segoe UI"/>
      <w:sz w:val="18"/>
      <w:szCs w:val="18"/>
    </w:rPr>
  </w:style>
  <w:style w:type="character" w:customStyle="1" w:styleId="BalloonTextChar">
    <w:name w:val="Balloon Text Char"/>
    <w:basedOn w:val="DefaultParagraphFont"/>
    <w:link w:val="BalloonText"/>
    <w:uiPriority w:val="99"/>
    <w:rsid w:val="00124C0D"/>
    <w:rPr>
      <w:rFonts w:ascii="Segoe UI" w:hAnsi="Segoe UI" w:cs="Segoe UI"/>
      <w:sz w:val="18"/>
      <w:szCs w:val="18"/>
      <w:lang w:val="hu-HU"/>
    </w:rPr>
  </w:style>
  <w:style w:type="character" w:styleId="CommentReference">
    <w:name w:val="annotation reference"/>
    <w:basedOn w:val="DefaultParagraphFont"/>
    <w:uiPriority w:val="99"/>
    <w:rsid w:val="00124C0D"/>
    <w:rPr>
      <w:sz w:val="16"/>
      <w:szCs w:val="16"/>
    </w:rPr>
  </w:style>
  <w:style w:type="paragraph" w:styleId="CommentText">
    <w:name w:val="annotation text"/>
    <w:basedOn w:val="Normal"/>
    <w:link w:val="CommentTextChar"/>
    <w:uiPriority w:val="99"/>
    <w:rsid w:val="00124C0D"/>
    <w:rPr>
      <w:sz w:val="20"/>
    </w:rPr>
  </w:style>
  <w:style w:type="character" w:customStyle="1" w:styleId="CommentTextChar">
    <w:name w:val="Comment Text Char"/>
    <w:basedOn w:val="DefaultParagraphFont"/>
    <w:link w:val="CommentText"/>
    <w:uiPriority w:val="99"/>
    <w:rsid w:val="00124C0D"/>
    <w:rPr>
      <w:lang w:val="hu-HU"/>
    </w:rPr>
  </w:style>
  <w:style w:type="paragraph" w:styleId="CommentSubject">
    <w:name w:val="annotation subject"/>
    <w:basedOn w:val="CommentText"/>
    <w:next w:val="CommentText"/>
    <w:link w:val="CommentSubjectChar"/>
    <w:uiPriority w:val="99"/>
    <w:unhideWhenUsed/>
    <w:rsid w:val="00124C0D"/>
    <w:rPr>
      <w:b/>
      <w:bCs/>
    </w:rPr>
  </w:style>
  <w:style w:type="character" w:customStyle="1" w:styleId="CommentSubjectChar">
    <w:name w:val="Comment Subject Char"/>
    <w:basedOn w:val="CommentTextChar"/>
    <w:link w:val="CommentSubject"/>
    <w:uiPriority w:val="99"/>
    <w:rsid w:val="00124C0D"/>
    <w:rPr>
      <w:b/>
      <w:bCs/>
      <w:lang w:val="hu-HU"/>
    </w:rPr>
  </w:style>
  <w:style w:type="paragraph" w:styleId="Revision">
    <w:name w:val="Revision"/>
    <w:hidden/>
    <w:uiPriority w:val="99"/>
    <w:semiHidden/>
    <w:rsid w:val="00124C0D"/>
    <w:rPr>
      <w:sz w:val="24"/>
      <w:lang w:val="hu-HU"/>
    </w:rPr>
  </w:style>
  <w:style w:type="character" w:customStyle="1" w:styleId="AmNumberTabsChar">
    <w:name w:val="AmNumberTabs Char"/>
    <w:basedOn w:val="DefaultParagraphFont"/>
    <w:link w:val="AmNumberTabs"/>
    <w:rsid w:val="00124C0D"/>
    <w:rPr>
      <w:b/>
      <w:sz w:val="24"/>
      <w:lang w:val="hu-HU"/>
    </w:rPr>
  </w:style>
  <w:style w:type="character" w:customStyle="1" w:styleId="NormalBold12bChar">
    <w:name w:val="NormalBold12b Char"/>
    <w:basedOn w:val="AmNumberTabsChar"/>
    <w:link w:val="NormalBold12b"/>
    <w:rsid w:val="00124C0D"/>
    <w:rPr>
      <w:b/>
      <w:sz w:val="24"/>
      <w:lang w:val="hu-HU"/>
    </w:rPr>
  </w:style>
  <w:style w:type="character" w:customStyle="1" w:styleId="highlight-diff">
    <w:name w:val="highlight-diff"/>
    <w:basedOn w:val="DefaultParagraphFont"/>
    <w:rsid w:val="00124C0D"/>
  </w:style>
  <w:style w:type="paragraph" w:customStyle="1" w:styleId="Normal12a">
    <w:name w:val="Normal12a"/>
    <w:basedOn w:val="Normal"/>
    <w:rsid w:val="00124C0D"/>
    <w:pPr>
      <w:spacing w:after="240"/>
    </w:pPr>
  </w:style>
  <w:style w:type="paragraph" w:customStyle="1" w:styleId="PageHeadingNotTOC">
    <w:name w:val="PageHeadingNotTOC"/>
    <w:basedOn w:val="Normal"/>
    <w:rsid w:val="00124C0D"/>
    <w:pPr>
      <w:keepNext/>
      <w:spacing w:after="480"/>
      <w:jc w:val="center"/>
    </w:pPr>
    <w:rPr>
      <w:rFonts w:ascii="Arial" w:hAnsi="Arial" w:cs="Arial"/>
      <w:b/>
    </w:rPr>
  </w:style>
  <w:style w:type="paragraph" w:customStyle="1" w:styleId="AmHeadingPA">
    <w:name w:val="AmHeadingPA"/>
    <w:basedOn w:val="Normal"/>
    <w:next w:val="Normal"/>
    <w:rsid w:val="00124C0D"/>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124C0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24C0D"/>
    <w:pPr>
      <w:tabs>
        <w:tab w:val="center" w:pos="284"/>
        <w:tab w:val="left" w:pos="426"/>
      </w:tabs>
    </w:pPr>
    <w:rPr>
      <w:snapToGrid w:val="0"/>
      <w:lang w:eastAsia="en-US"/>
    </w:rPr>
  </w:style>
  <w:style w:type="paragraph" w:customStyle="1" w:styleId="RollCallVotes">
    <w:name w:val="RollCallVotes"/>
    <w:basedOn w:val="Normal"/>
    <w:rsid w:val="00124C0D"/>
    <w:pPr>
      <w:spacing w:before="120" w:after="120"/>
      <w:jc w:val="center"/>
    </w:pPr>
    <w:rPr>
      <w:b/>
      <w:bCs/>
      <w:snapToGrid w:val="0"/>
      <w:sz w:val="16"/>
      <w:lang w:eastAsia="en-US"/>
    </w:rPr>
  </w:style>
  <w:style w:type="paragraph" w:customStyle="1" w:styleId="RollCallTable">
    <w:name w:val="RollCallTable"/>
    <w:basedOn w:val="Normal"/>
    <w:rsid w:val="00124C0D"/>
    <w:pPr>
      <w:spacing w:before="120" w:after="120"/>
    </w:pPr>
    <w:rPr>
      <w:snapToGrid w:val="0"/>
      <w:sz w:val="16"/>
      <w:lang w:eastAsia="en-US"/>
    </w:rPr>
  </w:style>
  <w:style w:type="character" w:styleId="Hyperlink">
    <w:name w:val="Hyperlink"/>
    <w:uiPriority w:val="99"/>
    <w:rsid w:val="00124C0D"/>
    <w:rPr>
      <w:color w:val="0000FF"/>
      <w:u w:val="single"/>
      <w:shd w:val="clear" w:color="auto" w:fill="auto"/>
    </w:rPr>
  </w:style>
  <w:style w:type="paragraph" w:customStyle="1" w:styleId="CM1">
    <w:name w:val="CM1"/>
    <w:basedOn w:val="Normal"/>
    <w:next w:val="Normal"/>
    <w:uiPriority w:val="99"/>
    <w:rsid w:val="00124C0D"/>
    <w:pPr>
      <w:widowControl/>
      <w:autoSpaceDE w:val="0"/>
      <w:autoSpaceDN w:val="0"/>
      <w:adjustRightInd w:val="0"/>
    </w:pPr>
    <w:rPr>
      <w:szCs w:val="24"/>
    </w:rPr>
  </w:style>
  <w:style w:type="paragraph" w:customStyle="1" w:styleId="CM3">
    <w:name w:val="CM3"/>
    <w:basedOn w:val="Normal"/>
    <w:next w:val="Normal"/>
    <w:uiPriority w:val="99"/>
    <w:rsid w:val="00124C0D"/>
    <w:pPr>
      <w:widowControl/>
      <w:autoSpaceDE w:val="0"/>
      <w:autoSpaceDN w:val="0"/>
      <w:adjustRightInd w:val="0"/>
    </w:pPr>
    <w:rPr>
      <w:szCs w:val="24"/>
    </w:rPr>
  </w:style>
  <w:style w:type="character" w:styleId="FollowedHyperlink">
    <w:name w:val="FollowedHyperlink"/>
    <w:basedOn w:val="DefaultParagraphFont"/>
    <w:uiPriority w:val="99"/>
    <w:unhideWhenUsed/>
    <w:rsid w:val="00124C0D"/>
    <w:rPr>
      <w:color w:val="954F72" w:themeColor="followedHyperlink"/>
      <w:u w:val="single"/>
    </w:rPr>
  </w:style>
  <w:style w:type="numbering" w:customStyle="1" w:styleId="NoList1">
    <w:name w:val="No List1"/>
    <w:next w:val="NoList"/>
    <w:uiPriority w:val="99"/>
    <w:semiHidden/>
    <w:unhideWhenUsed/>
    <w:rsid w:val="001D30D4"/>
  </w:style>
  <w:style w:type="paragraph" w:customStyle="1" w:styleId="SignaturePersonne">
    <w:name w:val="Signature Personne"/>
    <w:basedOn w:val="Normal"/>
    <w:rsid w:val="001D30D4"/>
    <w:pPr>
      <w:widowControl/>
      <w:tabs>
        <w:tab w:val="left" w:pos="4252"/>
      </w:tabs>
      <w:spacing w:line="360" w:lineRule="auto"/>
    </w:pPr>
    <w:rPr>
      <w:i/>
      <w:szCs w:val="24"/>
      <w:lang w:val="en-GB" w:eastAsia="en-US"/>
    </w:rPr>
  </w:style>
  <w:style w:type="paragraph" w:customStyle="1" w:styleId="Considrant">
    <w:name w:val="Considérant"/>
    <w:basedOn w:val="Normal"/>
    <w:rsid w:val="001D30D4"/>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1D30D4"/>
    <w:pPr>
      <w:keepNext/>
      <w:spacing w:before="600" w:after="120" w:line="360" w:lineRule="auto"/>
    </w:pPr>
    <w:rPr>
      <w:szCs w:val="24"/>
      <w:lang w:val="en-GB" w:eastAsia="en-US"/>
    </w:rPr>
  </w:style>
  <w:style w:type="paragraph" w:customStyle="1" w:styleId="Institutionquisigne">
    <w:name w:val="Institution qui signe"/>
    <w:basedOn w:val="Normal"/>
    <w:next w:val="Normal"/>
    <w:rsid w:val="001D30D4"/>
    <w:pPr>
      <w:keepNext/>
      <w:tabs>
        <w:tab w:val="left" w:pos="4252"/>
      </w:tabs>
      <w:spacing w:before="720" w:line="360" w:lineRule="auto"/>
    </w:pPr>
    <w:rPr>
      <w:i/>
      <w:szCs w:val="24"/>
      <w:lang w:val="en-GB" w:eastAsia="en-US"/>
    </w:rPr>
  </w:style>
  <w:style w:type="paragraph" w:customStyle="1" w:styleId="Fait">
    <w:name w:val="Fait à"/>
    <w:basedOn w:val="Normal"/>
    <w:rsid w:val="001D30D4"/>
    <w:pPr>
      <w:keepNext/>
      <w:widowControl/>
      <w:spacing w:before="120" w:line="360" w:lineRule="auto"/>
    </w:pPr>
    <w:rPr>
      <w:szCs w:val="24"/>
      <w:lang w:val="en-GB" w:eastAsia="en-US"/>
    </w:rPr>
  </w:style>
  <w:style w:type="paragraph" w:customStyle="1" w:styleId="FootnoteTextForceStyle">
    <w:name w:val="Footnote Text ForceStyle"/>
    <w:rsid w:val="001D30D4"/>
    <w:pPr>
      <w:keepLines/>
      <w:widowControl w:val="0"/>
      <w:ind w:left="850" w:hanging="850"/>
    </w:pPr>
    <w:rPr>
      <w:sz w:val="24"/>
      <w:lang w:eastAsia="en-US"/>
    </w:rPr>
  </w:style>
  <w:style w:type="character" w:customStyle="1" w:styleId="Footer2">
    <w:name w:val="Footer2"/>
    <w:rsid w:val="001D30D4"/>
    <w:rPr>
      <w:rFonts w:ascii="Arial" w:hAnsi="Arial"/>
      <w:b/>
      <w:sz w:val="48"/>
    </w:rPr>
  </w:style>
  <w:style w:type="paragraph" w:customStyle="1" w:styleId="Applicationdirecte">
    <w:name w:val="Application directe"/>
    <w:basedOn w:val="Normal"/>
    <w:next w:val="Normal"/>
    <w:rsid w:val="001D30D4"/>
    <w:pPr>
      <w:spacing w:before="120" w:after="120" w:line="360" w:lineRule="auto"/>
    </w:pPr>
    <w:rPr>
      <w:szCs w:val="24"/>
      <w:lang w:val="en-GB" w:eastAsia="en-US"/>
    </w:rPr>
  </w:style>
  <w:style w:type="paragraph" w:customStyle="1" w:styleId="Normale">
    <w:name w:val="Normale"/>
    <w:rsid w:val="001D30D4"/>
    <w:pPr>
      <w:widowControl w:val="0"/>
      <w:spacing w:before="120" w:after="120" w:line="360" w:lineRule="auto"/>
    </w:pPr>
    <w:rPr>
      <w:sz w:val="24"/>
      <w:lang w:eastAsia="en-US"/>
    </w:rPr>
  </w:style>
  <w:style w:type="paragraph" w:customStyle="1" w:styleId="Formuledadoption">
    <w:name w:val="Formule d'adoption"/>
    <w:basedOn w:val="Normal"/>
    <w:next w:val="Normal"/>
    <w:rsid w:val="001D30D4"/>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1D30D4"/>
    <w:pPr>
      <w:widowControl/>
      <w:spacing w:after="240" w:line="360" w:lineRule="auto"/>
      <w:ind w:left="5102"/>
    </w:pPr>
    <w:rPr>
      <w:szCs w:val="24"/>
      <w:lang w:val="en-GB" w:eastAsia="en-US"/>
    </w:rPr>
  </w:style>
  <w:style w:type="paragraph" w:customStyle="1" w:styleId="Footer1">
    <w:name w:val="Footer1"/>
    <w:basedOn w:val="Normal"/>
    <w:rsid w:val="001D30D4"/>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1D30D4"/>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1D30D4"/>
    <w:pPr>
      <w:widowControl/>
      <w:spacing w:before="840" w:line="360" w:lineRule="auto"/>
      <w:jc w:val="center"/>
    </w:pPr>
    <w:rPr>
      <w:szCs w:val="24"/>
      <w:lang w:val="en-GB" w:eastAsia="en-US"/>
    </w:rPr>
  </w:style>
  <w:style w:type="paragraph" w:customStyle="1" w:styleId="Typedudocument">
    <w:name w:val="Type du document"/>
    <w:basedOn w:val="Normal"/>
    <w:next w:val="Normal"/>
    <w:rsid w:val="001D30D4"/>
    <w:pPr>
      <w:widowControl/>
      <w:spacing w:before="360" w:line="360" w:lineRule="auto"/>
      <w:jc w:val="center"/>
    </w:pPr>
    <w:rPr>
      <w:b/>
      <w:szCs w:val="24"/>
      <w:lang w:val="en-GB" w:eastAsia="en-US"/>
    </w:rPr>
  </w:style>
  <w:style w:type="paragraph" w:customStyle="1" w:styleId="Titreobjet">
    <w:name w:val="Titre objet"/>
    <w:basedOn w:val="Normal"/>
    <w:next w:val="Normal"/>
    <w:rsid w:val="001D30D4"/>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1D30D4"/>
    <w:pPr>
      <w:widowControl/>
      <w:spacing w:before="360" w:after="240" w:line="360" w:lineRule="auto"/>
      <w:jc w:val="center"/>
    </w:pPr>
    <w:rPr>
      <w:szCs w:val="24"/>
      <w:lang w:val="en-GB" w:eastAsia="en-US"/>
    </w:rPr>
  </w:style>
  <w:style w:type="character" w:customStyle="1" w:styleId="CMissingStyle">
    <w:name w:val="C_MissingStyle"/>
    <w:rsid w:val="001D30D4"/>
    <w:rPr>
      <w:color w:val="FFFFFF"/>
      <w:sz w:val="22"/>
      <w:shd w:val="clear" w:color="000000" w:fill="000000"/>
    </w:rPr>
  </w:style>
  <w:style w:type="paragraph" w:customStyle="1" w:styleId="PMissingStyle">
    <w:name w:val="P_MissingStyle"/>
    <w:basedOn w:val="Normal"/>
    <w:rsid w:val="001D30D4"/>
    <w:pPr>
      <w:spacing w:before="120" w:after="120" w:line="360" w:lineRule="auto"/>
    </w:pPr>
    <w:rPr>
      <w:color w:val="FFFFFF"/>
      <w:szCs w:val="24"/>
      <w:shd w:val="clear" w:color="000000" w:fill="000000"/>
      <w:lang w:val="en-GB" w:eastAsia="en-US"/>
    </w:rPr>
  </w:style>
  <w:style w:type="character" w:customStyle="1" w:styleId="FooterChar1">
    <w:name w:val="Footer Char1"/>
    <w:basedOn w:val="DefaultParagraphFont"/>
    <w:rsid w:val="001D30D4"/>
    <w:rPr>
      <w:sz w:val="24"/>
      <w:szCs w:val="24"/>
    </w:rPr>
  </w:style>
  <w:style w:type="paragraph" w:styleId="ListBullet">
    <w:name w:val="List Bullet"/>
    <w:basedOn w:val="Normal"/>
    <w:uiPriority w:val="99"/>
    <w:unhideWhenUsed/>
    <w:rsid w:val="00FA31A1"/>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FA31A1"/>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FA31A1"/>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FA31A1"/>
    <w:pPr>
      <w:widowControl/>
      <w:tabs>
        <w:tab w:val="num" w:pos="2059"/>
      </w:tabs>
      <w:spacing w:before="120" w:after="120"/>
      <w:ind w:left="2059" w:hanging="360"/>
      <w:contextualSpacing/>
      <w:jc w:val="both"/>
    </w:pPr>
    <w:rPr>
      <w:rFonts w:eastAsiaTheme="minorHAnsi"/>
      <w:szCs w:val="22"/>
      <w:lang w:eastAsia="en-US"/>
    </w:rPr>
  </w:style>
  <w:style w:type="table" w:styleId="PlainTable1">
    <w:name w:val="Plain Table 1"/>
    <w:basedOn w:val="TableNormal"/>
    <w:uiPriority w:val="41"/>
    <w:rsid w:val="00FA31A1"/>
    <w:rPr>
      <w:rFonts w:asciiTheme="minorHAnsi" w:eastAsiaTheme="minorHAnsi" w:hAnsiTheme="minorHAnsi" w:cstheme="minorBidi"/>
      <w:sz w:val="22"/>
      <w:szCs w:val="22"/>
      <w:lang w:val="en-US"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FA31A1"/>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rsid w:val="00FA31A1"/>
    <w:rPr>
      <w:rFonts w:asciiTheme="minorHAnsi" w:eastAsiaTheme="minorHAnsi" w:hAnsiTheme="minorHAnsi" w:cstheme="minorBidi"/>
      <w:sz w:val="22"/>
      <w:szCs w:val="22"/>
      <w:lang w:val="en-US"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foonote">
    <w:name w:val="foonote"/>
    <w:basedOn w:val="FootnoteText"/>
    <w:link w:val="foonoteChar"/>
    <w:qFormat/>
    <w:rsid w:val="00FA31A1"/>
    <w:pPr>
      <w:keepLines w:val="0"/>
      <w:spacing w:line="240" w:lineRule="auto"/>
      <w:ind w:left="0" w:firstLine="0"/>
    </w:pPr>
    <w:rPr>
      <w:rFonts w:eastAsia="Calibri"/>
      <w:sz w:val="16"/>
      <w:szCs w:val="16"/>
      <w:lang w:val="hu-HU" w:eastAsia="en-US"/>
    </w:rPr>
  </w:style>
  <w:style w:type="character" w:customStyle="1" w:styleId="foonoteChar">
    <w:name w:val="foonote Char"/>
    <w:basedOn w:val="DefaultParagraphFont"/>
    <w:link w:val="foonote"/>
    <w:rsid w:val="00FA31A1"/>
    <w:rPr>
      <w:rFonts w:eastAsia="Calibri"/>
      <w:sz w:val="16"/>
      <w:szCs w:val="16"/>
      <w:lang w:val="hu-HU" w:eastAsia="en-US"/>
    </w:rPr>
  </w:style>
  <w:style w:type="paragraph" w:styleId="ListNumber">
    <w:name w:val="List Number"/>
    <w:basedOn w:val="Normal"/>
    <w:uiPriority w:val="99"/>
    <w:rsid w:val="00FA31A1"/>
    <w:pPr>
      <w:widowControl/>
      <w:numPr>
        <w:numId w:val="9"/>
      </w:numPr>
      <w:spacing w:before="120" w:after="120"/>
      <w:jc w:val="both"/>
    </w:pPr>
    <w:rPr>
      <w:szCs w:val="22"/>
      <w:lang w:eastAsia="de-DE"/>
    </w:rPr>
  </w:style>
  <w:style w:type="paragraph" w:customStyle="1" w:styleId="ListBullet1">
    <w:name w:val="List Bullet 1"/>
    <w:basedOn w:val="Normal"/>
    <w:rsid w:val="00FA31A1"/>
    <w:pPr>
      <w:widowControl/>
      <w:numPr>
        <w:numId w:val="5"/>
      </w:numPr>
      <w:spacing w:before="120" w:after="120"/>
      <w:jc w:val="both"/>
    </w:pPr>
    <w:rPr>
      <w:szCs w:val="22"/>
      <w:lang w:eastAsia="de-DE"/>
    </w:rPr>
  </w:style>
  <w:style w:type="paragraph" w:customStyle="1" w:styleId="ListDash">
    <w:name w:val="List Dash"/>
    <w:basedOn w:val="Normal"/>
    <w:rsid w:val="00FA31A1"/>
    <w:pPr>
      <w:widowControl/>
      <w:numPr>
        <w:numId w:val="6"/>
      </w:numPr>
      <w:spacing w:before="120" w:after="120"/>
      <w:jc w:val="both"/>
    </w:pPr>
    <w:rPr>
      <w:szCs w:val="22"/>
      <w:lang w:eastAsia="de-DE"/>
    </w:rPr>
  </w:style>
  <w:style w:type="paragraph" w:customStyle="1" w:styleId="ListDash1">
    <w:name w:val="List Dash 1"/>
    <w:basedOn w:val="Normal"/>
    <w:rsid w:val="00FA31A1"/>
    <w:pPr>
      <w:widowControl/>
      <w:numPr>
        <w:numId w:val="7"/>
      </w:numPr>
      <w:spacing w:before="120" w:after="120"/>
      <w:jc w:val="both"/>
    </w:pPr>
    <w:rPr>
      <w:szCs w:val="22"/>
      <w:lang w:eastAsia="de-DE"/>
    </w:rPr>
  </w:style>
  <w:style w:type="paragraph" w:customStyle="1" w:styleId="ListDash2">
    <w:name w:val="List Dash 2"/>
    <w:basedOn w:val="Normal"/>
    <w:rsid w:val="00FA31A1"/>
    <w:pPr>
      <w:widowControl/>
      <w:numPr>
        <w:numId w:val="8"/>
      </w:numPr>
      <w:spacing w:before="120" w:after="120"/>
      <w:jc w:val="both"/>
    </w:pPr>
    <w:rPr>
      <w:szCs w:val="22"/>
      <w:lang w:eastAsia="de-DE"/>
    </w:rPr>
  </w:style>
  <w:style w:type="paragraph" w:customStyle="1" w:styleId="ListNumberLevel2">
    <w:name w:val="List Number (Level 2)"/>
    <w:basedOn w:val="Normal"/>
    <w:rsid w:val="00FA31A1"/>
    <w:pPr>
      <w:widowControl/>
      <w:numPr>
        <w:ilvl w:val="1"/>
        <w:numId w:val="9"/>
      </w:numPr>
      <w:spacing w:before="120" w:after="120"/>
      <w:jc w:val="both"/>
    </w:pPr>
    <w:rPr>
      <w:szCs w:val="22"/>
      <w:lang w:eastAsia="de-DE"/>
    </w:rPr>
  </w:style>
  <w:style w:type="paragraph" w:customStyle="1" w:styleId="ListNumberLevel3">
    <w:name w:val="List Number (Level 3)"/>
    <w:basedOn w:val="Normal"/>
    <w:rsid w:val="00FA31A1"/>
    <w:pPr>
      <w:widowControl/>
      <w:numPr>
        <w:ilvl w:val="2"/>
        <w:numId w:val="9"/>
      </w:numPr>
      <w:spacing w:before="120" w:after="120"/>
      <w:jc w:val="both"/>
    </w:pPr>
    <w:rPr>
      <w:szCs w:val="22"/>
      <w:lang w:eastAsia="de-DE"/>
    </w:rPr>
  </w:style>
  <w:style w:type="paragraph" w:customStyle="1" w:styleId="ListNumberLevel4">
    <w:name w:val="List Number (Level 4)"/>
    <w:basedOn w:val="Normal"/>
    <w:rsid w:val="00FA31A1"/>
    <w:pPr>
      <w:widowControl/>
      <w:numPr>
        <w:ilvl w:val="3"/>
        <w:numId w:val="9"/>
      </w:numPr>
      <w:spacing w:before="120" w:after="120"/>
      <w:jc w:val="both"/>
    </w:pPr>
    <w:rPr>
      <w:szCs w:val="22"/>
      <w:lang w:eastAsia="de-DE"/>
    </w:rPr>
  </w:style>
  <w:style w:type="table" w:customStyle="1" w:styleId="TableGrid1">
    <w:name w:val="Table Grid1"/>
    <w:basedOn w:val="TableNormal"/>
    <w:next w:val="TableGrid"/>
    <w:rsid w:val="00FA31A1"/>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FA31A1"/>
    <w:pPr>
      <w:widowControl/>
      <w:numPr>
        <w:numId w:val="13"/>
      </w:numPr>
      <w:spacing w:before="120" w:after="120"/>
      <w:jc w:val="both"/>
    </w:pPr>
    <w:rPr>
      <w:szCs w:val="22"/>
    </w:rPr>
  </w:style>
  <w:style w:type="paragraph" w:styleId="ListNumber3">
    <w:name w:val="List Number 3"/>
    <w:basedOn w:val="Normal"/>
    <w:uiPriority w:val="99"/>
    <w:rsid w:val="00FA31A1"/>
    <w:pPr>
      <w:widowControl/>
      <w:numPr>
        <w:numId w:val="14"/>
      </w:numPr>
      <w:spacing w:before="120" w:after="120"/>
      <w:jc w:val="both"/>
    </w:pPr>
    <w:rPr>
      <w:szCs w:val="22"/>
    </w:rPr>
  </w:style>
  <w:style w:type="paragraph" w:styleId="ListNumber4">
    <w:name w:val="List Number 4"/>
    <w:basedOn w:val="Normal"/>
    <w:uiPriority w:val="99"/>
    <w:rsid w:val="00FA31A1"/>
    <w:pPr>
      <w:widowControl/>
      <w:numPr>
        <w:numId w:val="15"/>
      </w:numPr>
      <w:spacing w:before="120" w:after="120"/>
      <w:jc w:val="both"/>
    </w:pPr>
    <w:rPr>
      <w:szCs w:val="22"/>
    </w:rPr>
  </w:style>
  <w:style w:type="paragraph" w:customStyle="1" w:styleId="ListDash3">
    <w:name w:val="List Dash 3"/>
    <w:basedOn w:val="Normal"/>
    <w:rsid w:val="00FA31A1"/>
    <w:pPr>
      <w:widowControl/>
      <w:numPr>
        <w:numId w:val="10"/>
      </w:numPr>
      <w:spacing w:before="120" w:after="120"/>
      <w:jc w:val="both"/>
    </w:pPr>
    <w:rPr>
      <w:szCs w:val="22"/>
    </w:rPr>
  </w:style>
  <w:style w:type="paragraph" w:customStyle="1" w:styleId="ListDash4">
    <w:name w:val="List Dash 4"/>
    <w:basedOn w:val="Normal"/>
    <w:rsid w:val="00FA31A1"/>
    <w:pPr>
      <w:widowControl/>
      <w:numPr>
        <w:numId w:val="11"/>
      </w:numPr>
      <w:spacing w:before="120" w:after="120"/>
      <w:jc w:val="both"/>
    </w:pPr>
    <w:rPr>
      <w:szCs w:val="22"/>
    </w:rPr>
  </w:style>
  <w:style w:type="paragraph" w:customStyle="1" w:styleId="ListNumber1">
    <w:name w:val="List Number 1"/>
    <w:basedOn w:val="Text1"/>
    <w:rsid w:val="00FA31A1"/>
    <w:pPr>
      <w:numPr>
        <w:numId w:val="12"/>
      </w:numPr>
    </w:pPr>
    <w:rPr>
      <w:rFonts w:eastAsia="Times New Roman"/>
      <w:lang w:eastAsia="en-GB"/>
    </w:rPr>
  </w:style>
  <w:style w:type="paragraph" w:customStyle="1" w:styleId="ListNumber1Level2">
    <w:name w:val="List Number 1 (Level 2)"/>
    <w:basedOn w:val="Text1"/>
    <w:rsid w:val="00FA31A1"/>
    <w:pPr>
      <w:numPr>
        <w:ilvl w:val="1"/>
        <w:numId w:val="12"/>
      </w:numPr>
    </w:pPr>
    <w:rPr>
      <w:rFonts w:eastAsia="Times New Roman"/>
      <w:lang w:eastAsia="en-GB"/>
    </w:rPr>
  </w:style>
  <w:style w:type="paragraph" w:customStyle="1" w:styleId="ListNumber2Level2">
    <w:name w:val="List Number 2 (Level 2)"/>
    <w:basedOn w:val="Text2"/>
    <w:rsid w:val="00FA31A1"/>
    <w:pPr>
      <w:numPr>
        <w:ilvl w:val="1"/>
        <w:numId w:val="13"/>
      </w:numPr>
    </w:pPr>
    <w:rPr>
      <w:rFonts w:eastAsia="Times New Roman"/>
      <w:lang w:eastAsia="en-GB"/>
    </w:rPr>
  </w:style>
  <w:style w:type="paragraph" w:customStyle="1" w:styleId="ListNumber3Level2">
    <w:name w:val="List Number 3 (Level 2)"/>
    <w:basedOn w:val="Text3"/>
    <w:rsid w:val="00FA31A1"/>
    <w:pPr>
      <w:numPr>
        <w:ilvl w:val="1"/>
        <w:numId w:val="14"/>
      </w:numPr>
    </w:pPr>
    <w:rPr>
      <w:rFonts w:eastAsia="Times New Roman"/>
      <w:lang w:eastAsia="en-GB"/>
    </w:rPr>
  </w:style>
  <w:style w:type="paragraph" w:customStyle="1" w:styleId="ListNumber4Level2">
    <w:name w:val="List Number 4 (Level 2)"/>
    <w:basedOn w:val="Text4"/>
    <w:rsid w:val="00FA31A1"/>
    <w:pPr>
      <w:numPr>
        <w:ilvl w:val="1"/>
        <w:numId w:val="15"/>
      </w:numPr>
    </w:pPr>
    <w:rPr>
      <w:rFonts w:eastAsia="Times New Roman"/>
      <w:lang w:eastAsia="en-GB"/>
    </w:rPr>
  </w:style>
  <w:style w:type="paragraph" w:customStyle="1" w:styleId="ListNumber1Level3">
    <w:name w:val="List Number 1 (Level 3)"/>
    <w:basedOn w:val="Text1"/>
    <w:rsid w:val="00FA31A1"/>
    <w:pPr>
      <w:numPr>
        <w:ilvl w:val="2"/>
        <w:numId w:val="12"/>
      </w:numPr>
    </w:pPr>
    <w:rPr>
      <w:rFonts w:eastAsia="Times New Roman"/>
      <w:lang w:eastAsia="en-GB"/>
    </w:rPr>
  </w:style>
  <w:style w:type="paragraph" w:customStyle="1" w:styleId="ListNumber2Level3">
    <w:name w:val="List Number 2 (Level 3)"/>
    <w:basedOn w:val="Text2"/>
    <w:rsid w:val="00FA31A1"/>
    <w:pPr>
      <w:numPr>
        <w:ilvl w:val="2"/>
        <w:numId w:val="13"/>
      </w:numPr>
    </w:pPr>
    <w:rPr>
      <w:rFonts w:eastAsia="Times New Roman"/>
      <w:lang w:eastAsia="en-GB"/>
    </w:rPr>
  </w:style>
  <w:style w:type="paragraph" w:customStyle="1" w:styleId="ListNumber3Level3">
    <w:name w:val="List Number 3 (Level 3)"/>
    <w:basedOn w:val="Text3"/>
    <w:rsid w:val="00FA31A1"/>
    <w:pPr>
      <w:numPr>
        <w:ilvl w:val="2"/>
        <w:numId w:val="14"/>
      </w:numPr>
    </w:pPr>
    <w:rPr>
      <w:rFonts w:eastAsia="Times New Roman"/>
      <w:lang w:eastAsia="en-GB"/>
    </w:rPr>
  </w:style>
  <w:style w:type="paragraph" w:customStyle="1" w:styleId="ListNumber4Level3">
    <w:name w:val="List Number 4 (Level 3)"/>
    <w:basedOn w:val="Text4"/>
    <w:rsid w:val="00FA31A1"/>
    <w:pPr>
      <w:numPr>
        <w:ilvl w:val="2"/>
        <w:numId w:val="15"/>
      </w:numPr>
    </w:pPr>
    <w:rPr>
      <w:rFonts w:eastAsia="Times New Roman"/>
      <w:lang w:eastAsia="en-GB"/>
    </w:rPr>
  </w:style>
  <w:style w:type="paragraph" w:customStyle="1" w:styleId="ListNumber1Level4">
    <w:name w:val="List Number 1 (Level 4)"/>
    <w:basedOn w:val="Text1"/>
    <w:rsid w:val="00FA31A1"/>
    <w:pPr>
      <w:numPr>
        <w:ilvl w:val="3"/>
        <w:numId w:val="12"/>
      </w:numPr>
    </w:pPr>
    <w:rPr>
      <w:rFonts w:eastAsia="Times New Roman"/>
      <w:lang w:eastAsia="en-GB"/>
    </w:rPr>
  </w:style>
  <w:style w:type="paragraph" w:customStyle="1" w:styleId="ListNumber2Level4">
    <w:name w:val="List Number 2 (Level 4)"/>
    <w:basedOn w:val="Text2"/>
    <w:rsid w:val="00FA31A1"/>
    <w:pPr>
      <w:numPr>
        <w:ilvl w:val="3"/>
        <w:numId w:val="13"/>
      </w:numPr>
    </w:pPr>
    <w:rPr>
      <w:rFonts w:eastAsia="Times New Roman"/>
      <w:lang w:eastAsia="en-GB"/>
    </w:rPr>
  </w:style>
  <w:style w:type="paragraph" w:customStyle="1" w:styleId="ListNumber3Level4">
    <w:name w:val="List Number 3 (Level 4)"/>
    <w:basedOn w:val="Text3"/>
    <w:rsid w:val="00FA31A1"/>
    <w:pPr>
      <w:numPr>
        <w:ilvl w:val="3"/>
        <w:numId w:val="14"/>
      </w:numPr>
    </w:pPr>
    <w:rPr>
      <w:rFonts w:eastAsia="Times New Roman"/>
      <w:lang w:eastAsia="en-GB"/>
    </w:rPr>
  </w:style>
  <w:style w:type="paragraph" w:customStyle="1" w:styleId="ListNumber4Level4">
    <w:name w:val="List Number 4 (Level 4)"/>
    <w:basedOn w:val="Text4"/>
    <w:rsid w:val="00FA31A1"/>
    <w:pPr>
      <w:numPr>
        <w:ilvl w:val="3"/>
        <w:numId w:val="15"/>
      </w:numPr>
    </w:pPr>
    <w:rPr>
      <w:rFonts w:eastAsia="Times New Roman"/>
      <w:lang w:eastAsia="en-GB"/>
    </w:rPr>
  </w:style>
  <w:style w:type="paragraph" w:customStyle="1" w:styleId="Annexetitreacte">
    <w:name w:val="Annexe titre (acte)"/>
    <w:basedOn w:val="Normal"/>
    <w:next w:val="Normal"/>
    <w:rsid w:val="00FA31A1"/>
    <w:pPr>
      <w:widowControl/>
      <w:spacing w:before="120" w:after="120"/>
      <w:jc w:val="center"/>
    </w:pPr>
    <w:rPr>
      <w:b/>
      <w:szCs w:val="22"/>
      <w:u w:val="single"/>
    </w:rPr>
  </w:style>
  <w:style w:type="paragraph" w:customStyle="1" w:styleId="Annexetitreexposglobal">
    <w:name w:val="Annexe titre (exposé global)"/>
    <w:basedOn w:val="Normal"/>
    <w:next w:val="Normal"/>
    <w:rsid w:val="00FA31A1"/>
    <w:pPr>
      <w:widowControl/>
      <w:spacing w:before="120" w:after="120"/>
      <w:jc w:val="center"/>
    </w:pPr>
    <w:rPr>
      <w:b/>
      <w:szCs w:val="22"/>
      <w:u w:val="single"/>
    </w:rPr>
  </w:style>
  <w:style w:type="paragraph" w:customStyle="1" w:styleId="Annexetitrefichefinacte">
    <w:name w:val="Annexe titre (fiche fin. acte)"/>
    <w:basedOn w:val="Normal"/>
    <w:next w:val="Normal"/>
    <w:rsid w:val="00FA31A1"/>
    <w:pPr>
      <w:widowControl/>
      <w:spacing w:before="120" w:after="120"/>
      <w:jc w:val="center"/>
    </w:pPr>
    <w:rPr>
      <w:b/>
      <w:szCs w:val="22"/>
      <w:u w:val="single"/>
    </w:rPr>
  </w:style>
  <w:style w:type="paragraph" w:customStyle="1" w:styleId="Annexetitrefichefinglobale">
    <w:name w:val="Annexe titre (fiche fin. globale)"/>
    <w:basedOn w:val="Normal"/>
    <w:next w:val="Normal"/>
    <w:rsid w:val="00FA31A1"/>
    <w:pPr>
      <w:widowControl/>
      <w:spacing w:before="120" w:after="120"/>
      <w:jc w:val="center"/>
    </w:pPr>
    <w:rPr>
      <w:b/>
      <w:szCs w:val="22"/>
      <w:u w:val="single"/>
    </w:rPr>
  </w:style>
  <w:style w:type="paragraph" w:customStyle="1" w:styleId="Annexetitreglobale">
    <w:name w:val="Annexe titre (globale)"/>
    <w:basedOn w:val="Normal"/>
    <w:next w:val="Normal"/>
    <w:rsid w:val="00FA31A1"/>
    <w:pPr>
      <w:widowControl/>
      <w:spacing w:before="120" w:after="120"/>
      <w:jc w:val="center"/>
    </w:pPr>
    <w:rPr>
      <w:b/>
      <w:szCs w:val="22"/>
      <w:u w:val="single"/>
    </w:rPr>
  </w:style>
  <w:style w:type="paragraph" w:customStyle="1" w:styleId="Exposdesmotifstitreglobal">
    <w:name w:val="Exposé des motifs titre (global)"/>
    <w:basedOn w:val="Normal"/>
    <w:next w:val="Normal"/>
    <w:rsid w:val="00FA31A1"/>
    <w:pPr>
      <w:widowControl/>
      <w:spacing w:before="120" w:after="120"/>
      <w:jc w:val="center"/>
    </w:pPr>
    <w:rPr>
      <w:b/>
      <w:szCs w:val="22"/>
      <w:u w:val="single"/>
    </w:rPr>
  </w:style>
  <w:style w:type="paragraph" w:customStyle="1" w:styleId="Langueoriginale">
    <w:name w:val="Langue originale"/>
    <w:basedOn w:val="Normal"/>
    <w:rsid w:val="00FA31A1"/>
    <w:pPr>
      <w:widowControl/>
      <w:spacing w:before="360" w:after="120"/>
      <w:jc w:val="center"/>
    </w:pPr>
    <w:rPr>
      <w:caps/>
      <w:szCs w:val="22"/>
    </w:rPr>
  </w:style>
  <w:style w:type="paragraph" w:customStyle="1" w:styleId="Phrasefinale">
    <w:name w:val="Phrase finale"/>
    <w:basedOn w:val="Normal"/>
    <w:next w:val="Normal"/>
    <w:rsid w:val="00FA31A1"/>
    <w:pPr>
      <w:widowControl/>
      <w:spacing w:before="360"/>
      <w:jc w:val="center"/>
    </w:pPr>
    <w:rPr>
      <w:szCs w:val="22"/>
    </w:rPr>
  </w:style>
  <w:style w:type="paragraph" w:customStyle="1" w:styleId="Prliminairetitre">
    <w:name w:val="Préliminaire titre"/>
    <w:basedOn w:val="Normal"/>
    <w:next w:val="Normal"/>
    <w:rsid w:val="00FA31A1"/>
    <w:pPr>
      <w:widowControl/>
      <w:spacing w:before="360" w:after="360"/>
      <w:jc w:val="center"/>
    </w:pPr>
    <w:rPr>
      <w:b/>
      <w:szCs w:val="22"/>
    </w:rPr>
  </w:style>
  <w:style w:type="paragraph" w:customStyle="1" w:styleId="Prliminairetype">
    <w:name w:val="Préliminaire type"/>
    <w:basedOn w:val="Normal"/>
    <w:next w:val="Normal"/>
    <w:rsid w:val="00FA31A1"/>
    <w:pPr>
      <w:widowControl/>
      <w:spacing w:before="360"/>
      <w:jc w:val="center"/>
    </w:pPr>
    <w:rPr>
      <w:b/>
      <w:szCs w:val="22"/>
    </w:rPr>
  </w:style>
  <w:style w:type="paragraph" w:customStyle="1" w:styleId="Rfrenceinstitutionelle">
    <w:name w:val="Référence institutionelle"/>
    <w:basedOn w:val="Normal"/>
    <w:next w:val="Statut"/>
    <w:rsid w:val="00FA31A1"/>
    <w:pPr>
      <w:widowControl/>
      <w:spacing w:after="240"/>
      <w:ind w:left="5103"/>
    </w:pPr>
    <w:rPr>
      <w:szCs w:val="22"/>
    </w:rPr>
  </w:style>
  <w:style w:type="paragraph" w:customStyle="1" w:styleId="Rfrenceinterinstitutionelle">
    <w:name w:val="Référence interinstitutionelle"/>
    <w:basedOn w:val="Normal"/>
    <w:next w:val="Statut"/>
    <w:rsid w:val="00FA31A1"/>
    <w:pPr>
      <w:widowControl/>
      <w:ind w:left="5103"/>
    </w:pPr>
    <w:rPr>
      <w:szCs w:val="22"/>
    </w:rPr>
  </w:style>
  <w:style w:type="paragraph" w:customStyle="1" w:styleId="Rfrenceinterinstitutionelleprliminaire">
    <w:name w:val="Référence interinstitutionelle (préliminaire)"/>
    <w:basedOn w:val="Normal"/>
    <w:next w:val="Normal"/>
    <w:rsid w:val="00FA31A1"/>
    <w:pPr>
      <w:widowControl/>
      <w:ind w:left="5103"/>
    </w:pPr>
    <w:rPr>
      <w:szCs w:val="22"/>
    </w:rPr>
  </w:style>
  <w:style w:type="paragraph" w:customStyle="1" w:styleId="Sous-titreobjetprliminaire">
    <w:name w:val="Sous-titre objet (préliminaire)"/>
    <w:basedOn w:val="Normal"/>
    <w:rsid w:val="00FA31A1"/>
    <w:pPr>
      <w:widowControl/>
      <w:jc w:val="center"/>
    </w:pPr>
    <w:rPr>
      <w:b/>
      <w:szCs w:val="22"/>
    </w:rPr>
  </w:style>
  <w:style w:type="paragraph" w:customStyle="1" w:styleId="Statutprliminaire">
    <w:name w:val="Statut (préliminaire)"/>
    <w:basedOn w:val="Normal"/>
    <w:next w:val="Normal"/>
    <w:rsid w:val="00FA31A1"/>
    <w:pPr>
      <w:widowControl/>
      <w:spacing w:before="360"/>
      <w:jc w:val="center"/>
    </w:pPr>
    <w:rPr>
      <w:szCs w:val="22"/>
    </w:rPr>
  </w:style>
  <w:style w:type="paragraph" w:customStyle="1" w:styleId="Titreobjetprliminaire">
    <w:name w:val="Titre objet (préliminaire)"/>
    <w:basedOn w:val="Normal"/>
    <w:next w:val="Normal"/>
    <w:rsid w:val="00FA31A1"/>
    <w:pPr>
      <w:widowControl/>
      <w:spacing w:before="360" w:after="360"/>
      <w:jc w:val="center"/>
    </w:pPr>
    <w:rPr>
      <w:b/>
      <w:szCs w:val="22"/>
    </w:rPr>
  </w:style>
  <w:style w:type="paragraph" w:customStyle="1" w:styleId="Typedudocumentprliminaire">
    <w:name w:val="Type du document (préliminaire)"/>
    <w:basedOn w:val="Normal"/>
    <w:next w:val="Normal"/>
    <w:rsid w:val="00FA31A1"/>
    <w:pPr>
      <w:widowControl/>
      <w:spacing w:before="360"/>
      <w:jc w:val="center"/>
    </w:pPr>
    <w:rPr>
      <w:b/>
      <w:szCs w:val="22"/>
    </w:rPr>
  </w:style>
  <w:style w:type="paragraph" w:customStyle="1" w:styleId="Fichefinancirestandardtitre">
    <w:name w:val="Fiche financière (standard) titre"/>
    <w:basedOn w:val="Normal"/>
    <w:next w:val="Normal"/>
    <w:rsid w:val="00FA31A1"/>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FA31A1"/>
    <w:pPr>
      <w:widowControl/>
      <w:spacing w:before="120" w:after="120"/>
      <w:jc w:val="center"/>
    </w:pPr>
    <w:rPr>
      <w:b/>
      <w:szCs w:val="22"/>
      <w:u w:val="single"/>
    </w:rPr>
  </w:style>
  <w:style w:type="paragraph" w:customStyle="1" w:styleId="Fichefinanciretravailtitre">
    <w:name w:val="Fiche financière (travail) titre"/>
    <w:basedOn w:val="Normal"/>
    <w:next w:val="Normal"/>
    <w:rsid w:val="00FA31A1"/>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FA31A1"/>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FA31A1"/>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FA31A1"/>
    <w:pPr>
      <w:widowControl/>
      <w:spacing w:before="120" w:after="120"/>
      <w:jc w:val="center"/>
    </w:pPr>
    <w:rPr>
      <w:b/>
      <w:szCs w:val="22"/>
      <w:u w:val="single"/>
    </w:rPr>
  </w:style>
  <w:style w:type="paragraph" w:styleId="Caption">
    <w:name w:val="caption"/>
    <w:basedOn w:val="Normal"/>
    <w:next w:val="Normal"/>
    <w:uiPriority w:val="35"/>
    <w:qFormat/>
    <w:rsid w:val="00FA31A1"/>
    <w:pPr>
      <w:widowControl/>
      <w:spacing w:before="120" w:after="120"/>
      <w:jc w:val="both"/>
    </w:pPr>
    <w:rPr>
      <w:b/>
      <w:bCs/>
      <w:sz w:val="20"/>
    </w:rPr>
  </w:style>
  <w:style w:type="paragraph" w:styleId="TableofFigures">
    <w:name w:val="table of figures"/>
    <w:basedOn w:val="Normal"/>
    <w:next w:val="Normal"/>
    <w:uiPriority w:val="99"/>
    <w:rsid w:val="00FA31A1"/>
    <w:pPr>
      <w:widowControl/>
      <w:spacing w:before="120" w:after="120"/>
      <w:jc w:val="both"/>
    </w:pPr>
    <w:rPr>
      <w:szCs w:val="22"/>
    </w:rPr>
  </w:style>
  <w:style w:type="character" w:customStyle="1" w:styleId="tw4winMark">
    <w:name w:val="tw4winMark"/>
    <w:rsid w:val="00FA31A1"/>
    <w:rPr>
      <w:vanish/>
      <w:color w:val="800080"/>
      <w:vertAlign w:val="subscript"/>
    </w:rPr>
  </w:style>
  <w:style w:type="paragraph" w:customStyle="1" w:styleId="Sous-titreobjet">
    <w:name w:val="Sous-titre objet"/>
    <w:basedOn w:val="Normal"/>
    <w:rsid w:val="00FA31A1"/>
    <w:pPr>
      <w:widowControl/>
      <w:jc w:val="center"/>
    </w:pPr>
    <w:rPr>
      <w:b/>
      <w:szCs w:val="22"/>
    </w:rPr>
  </w:style>
  <w:style w:type="paragraph" w:customStyle="1" w:styleId="Sous-titreobjetPagedecouverture">
    <w:name w:val="Sous-titre objet (Page de couverture)"/>
    <w:basedOn w:val="Sous-titreobjet"/>
    <w:rsid w:val="00FA31A1"/>
  </w:style>
  <w:style w:type="paragraph" w:customStyle="1" w:styleId="FooterCoverPage">
    <w:name w:val="Footer Cover Page"/>
    <w:basedOn w:val="Normal"/>
    <w:link w:val="FooterCoverPageChar"/>
    <w:rsid w:val="00FA31A1"/>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FA31A1"/>
    <w:rPr>
      <w:rFonts w:ascii="Times New Roman" w:hAnsi="Times New Roman" w:cs="Times New Roman"/>
      <w:b/>
      <w:sz w:val="28"/>
      <w:lang w:val="hu-HU"/>
    </w:rPr>
  </w:style>
  <w:style w:type="character" w:customStyle="1" w:styleId="FooterCoverPageChar">
    <w:name w:val="Footer Cover Page Char"/>
    <w:link w:val="FooterCoverPage"/>
    <w:rsid w:val="00FA31A1"/>
    <w:rPr>
      <w:rFonts w:eastAsia="Calibri"/>
      <w:sz w:val="24"/>
      <w:szCs w:val="22"/>
      <w:lang w:val="hu-HU"/>
    </w:rPr>
  </w:style>
  <w:style w:type="paragraph" w:customStyle="1" w:styleId="HeaderCoverPage">
    <w:name w:val="Header Cover Page"/>
    <w:basedOn w:val="Normal"/>
    <w:link w:val="HeaderCoverPageChar"/>
    <w:rsid w:val="00FA31A1"/>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FA31A1"/>
    <w:rPr>
      <w:rFonts w:eastAsia="Calibri"/>
      <w:sz w:val="24"/>
      <w:szCs w:val="22"/>
      <w:lang w:val="hu-HU"/>
    </w:rPr>
  </w:style>
  <w:style w:type="paragraph" w:styleId="ListParagraph">
    <w:name w:val="List Paragraph"/>
    <w:basedOn w:val="Normal"/>
    <w:uiPriority w:val="34"/>
    <w:qFormat/>
    <w:rsid w:val="00FA31A1"/>
    <w:pPr>
      <w:widowControl/>
      <w:spacing w:before="120" w:after="120"/>
      <w:ind w:left="720"/>
      <w:contextualSpacing/>
      <w:jc w:val="both"/>
    </w:pPr>
    <w:rPr>
      <w:rFonts w:eastAsiaTheme="minorHAnsi"/>
      <w:szCs w:val="22"/>
      <w:lang w:eastAsia="en-US"/>
    </w:rPr>
  </w:style>
  <w:style w:type="paragraph" w:customStyle="1" w:styleId="Default">
    <w:name w:val="Default"/>
    <w:rsid w:val="00FA31A1"/>
    <w:pPr>
      <w:autoSpaceDE w:val="0"/>
      <w:autoSpaceDN w:val="0"/>
      <w:adjustRightInd w:val="0"/>
    </w:pPr>
    <w:rPr>
      <w:rFonts w:eastAsiaTheme="minorHAnsi"/>
      <w:color w:val="000000"/>
      <w:sz w:val="24"/>
      <w:szCs w:val="24"/>
      <w:lang w:val="en-US" w:eastAsia="en-US"/>
    </w:rPr>
  </w:style>
  <w:style w:type="table" w:customStyle="1" w:styleId="Table11">
    <w:name w:val="Table 11"/>
    <w:basedOn w:val="TableNormal"/>
    <w:uiPriority w:val="99"/>
    <w:rsid w:val="00FA31A1"/>
    <w:pPr>
      <w:jc w:val="center"/>
    </w:pPr>
    <w:rPr>
      <w:rFonts w:ascii="Trebuchet MS" w:eastAsiaTheme="minorHAnsi" w:hAnsi="Trebuchet MS" w:cstheme="minorBidi"/>
      <w:sz w:val="16"/>
      <w:lang w:val="hu-HU"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paragraph" w:customStyle="1" w:styleId="TitreobjetPagedecouverture">
    <w:name w:val="Titre objet (Page de couverture)"/>
    <w:basedOn w:val="Titreobjet"/>
    <w:next w:val="IntrtEEEPagedecouverture"/>
    <w:rsid w:val="00FA31A1"/>
    <w:pPr>
      <w:spacing w:line="240" w:lineRule="auto"/>
    </w:pPr>
    <w:rPr>
      <w:rFonts w:eastAsiaTheme="minorHAnsi"/>
      <w:szCs w:val="22"/>
      <w:lang w:val="hu-HU"/>
    </w:rPr>
  </w:style>
  <w:style w:type="table" w:customStyle="1" w:styleId="TableGrid2">
    <w:name w:val="Table Grid2"/>
    <w:basedOn w:val="TableNormal"/>
    <w:next w:val="TableGrid"/>
    <w:rsid w:val="00FA31A1"/>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1">
    <w:name w:val="Table 111"/>
    <w:basedOn w:val="TableNormal"/>
    <w:uiPriority w:val="99"/>
    <w:rsid w:val="00FA31A1"/>
    <w:pPr>
      <w:jc w:val="center"/>
    </w:pPr>
    <w:rPr>
      <w:rFonts w:ascii="Trebuchet MS" w:eastAsiaTheme="minorHAnsi" w:hAnsi="Trebuchet MS" w:cstheme="minorBidi"/>
      <w:sz w:val="16"/>
      <w:lang w:val="hu-HU"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3">
    <w:name w:val="Table Grid3"/>
    <w:basedOn w:val="TableNormal"/>
    <w:next w:val="TableGrid"/>
    <w:rsid w:val="00FA31A1"/>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2">
    <w:name w:val="Table 112"/>
    <w:basedOn w:val="TableNormal"/>
    <w:uiPriority w:val="99"/>
    <w:rsid w:val="00FA31A1"/>
    <w:pPr>
      <w:jc w:val="center"/>
    </w:pPr>
    <w:rPr>
      <w:rFonts w:ascii="Trebuchet MS" w:eastAsiaTheme="minorHAnsi" w:hAnsi="Trebuchet MS" w:cstheme="minorBidi"/>
      <w:sz w:val="16"/>
      <w:lang w:val="hu-HU"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1">
    <w:name w:val="Table Grid11"/>
    <w:basedOn w:val="TableNormal"/>
    <w:next w:val="TableGrid"/>
    <w:rsid w:val="00FA31A1"/>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FA31A1"/>
  </w:style>
  <w:style w:type="table" w:customStyle="1" w:styleId="TableGrid4">
    <w:name w:val="Table Grid4"/>
    <w:basedOn w:val="TableNormal"/>
    <w:next w:val="TableGrid"/>
    <w:rsid w:val="00FA31A1"/>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3">
    <w:name w:val="Table 113"/>
    <w:basedOn w:val="TableNormal"/>
    <w:uiPriority w:val="99"/>
    <w:rsid w:val="00FA31A1"/>
    <w:pPr>
      <w:jc w:val="center"/>
    </w:pPr>
    <w:rPr>
      <w:rFonts w:ascii="Trebuchet MS" w:eastAsiaTheme="minorHAnsi" w:hAnsi="Trebuchet MS" w:cstheme="minorBidi"/>
      <w:sz w:val="16"/>
      <w:lang w:val="hu-HU" w:eastAsia="it-IT"/>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2">
    <w:name w:val="Table Grid12"/>
    <w:basedOn w:val="TableNormal"/>
    <w:next w:val="TableGrid"/>
    <w:rsid w:val="00FA31A1"/>
    <w:pPr>
      <w:spacing w:before="120" w:after="120"/>
      <w:jc w:val="both"/>
    </w:pPr>
    <w:rPr>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Instit">
    <w:name w:val="EntInstit"/>
    <w:basedOn w:val="Normal"/>
    <w:rsid w:val="00FA31A1"/>
    <w:pPr>
      <w:autoSpaceDE w:val="0"/>
      <w:autoSpaceDN w:val="0"/>
      <w:adjustRightInd w:val="0"/>
      <w:jc w:val="right"/>
    </w:pPr>
    <w:rPr>
      <w:b/>
      <w:bCs/>
      <w:szCs w:val="24"/>
      <w:lang w:eastAsia="fr-BE"/>
    </w:rPr>
  </w:style>
  <w:style w:type="paragraph" w:customStyle="1" w:styleId="EntRefer">
    <w:name w:val="EntRefer"/>
    <w:basedOn w:val="Normal"/>
    <w:rsid w:val="00FA31A1"/>
    <w:pPr>
      <w:autoSpaceDE w:val="0"/>
      <w:autoSpaceDN w:val="0"/>
      <w:adjustRightInd w:val="0"/>
    </w:pPr>
    <w:rPr>
      <w:b/>
      <w:bCs/>
      <w:szCs w:val="24"/>
      <w:lang w:eastAsia="fr-BE"/>
    </w:rPr>
  </w:style>
  <w:style w:type="paragraph" w:customStyle="1" w:styleId="Par-number1">
    <w:name w:val="Par-number 1)"/>
    <w:basedOn w:val="Normal"/>
    <w:next w:val="Normal"/>
    <w:rsid w:val="00FA31A1"/>
    <w:pPr>
      <w:tabs>
        <w:tab w:val="num" w:pos="567"/>
      </w:tabs>
      <w:autoSpaceDE w:val="0"/>
      <w:autoSpaceDN w:val="0"/>
      <w:adjustRightInd w:val="0"/>
      <w:spacing w:line="360" w:lineRule="auto"/>
      <w:ind w:left="567" w:hanging="567"/>
    </w:pPr>
    <w:rPr>
      <w:szCs w:val="24"/>
      <w:lang w:eastAsia="fr-BE"/>
    </w:rPr>
  </w:style>
  <w:style w:type="paragraph" w:customStyle="1" w:styleId="EntEmet">
    <w:name w:val="EntEmet"/>
    <w:basedOn w:val="Normal"/>
    <w:rsid w:val="00FA31A1"/>
    <w:pPr>
      <w:tabs>
        <w:tab w:val="left" w:pos="284"/>
        <w:tab w:val="left" w:pos="567"/>
        <w:tab w:val="left" w:pos="851"/>
        <w:tab w:val="left" w:pos="1134"/>
        <w:tab w:val="left" w:pos="1418"/>
      </w:tabs>
      <w:autoSpaceDE w:val="0"/>
      <w:autoSpaceDN w:val="0"/>
      <w:adjustRightInd w:val="0"/>
      <w:spacing w:before="40"/>
    </w:pPr>
    <w:rPr>
      <w:szCs w:val="24"/>
      <w:lang w:eastAsia="fr-BE"/>
    </w:rPr>
  </w:style>
  <w:style w:type="paragraph" w:customStyle="1" w:styleId="Par-bullet">
    <w:name w:val="Par-bullet"/>
    <w:basedOn w:val="Normal"/>
    <w:next w:val="Normal"/>
    <w:rsid w:val="00FA31A1"/>
    <w:pPr>
      <w:tabs>
        <w:tab w:val="num" w:pos="567"/>
      </w:tabs>
      <w:autoSpaceDE w:val="0"/>
      <w:autoSpaceDN w:val="0"/>
      <w:adjustRightInd w:val="0"/>
      <w:spacing w:line="360" w:lineRule="auto"/>
      <w:ind w:left="567" w:hanging="567"/>
    </w:pPr>
    <w:rPr>
      <w:szCs w:val="24"/>
      <w:lang w:eastAsia="fr-BE"/>
    </w:rPr>
  </w:style>
  <w:style w:type="paragraph" w:customStyle="1" w:styleId="Par-equal">
    <w:name w:val="Par-equal"/>
    <w:basedOn w:val="Normal"/>
    <w:next w:val="Normal"/>
    <w:rsid w:val="00FA31A1"/>
    <w:pPr>
      <w:tabs>
        <w:tab w:val="num" w:pos="567"/>
      </w:tabs>
      <w:autoSpaceDE w:val="0"/>
      <w:autoSpaceDN w:val="0"/>
      <w:adjustRightInd w:val="0"/>
      <w:spacing w:line="360" w:lineRule="auto"/>
      <w:ind w:left="567" w:hanging="567"/>
    </w:pPr>
    <w:rPr>
      <w:szCs w:val="24"/>
      <w:lang w:eastAsia="fr-BE"/>
    </w:rPr>
  </w:style>
  <w:style w:type="paragraph" w:customStyle="1" w:styleId="Par-number10">
    <w:name w:val="Par-number (1)"/>
    <w:basedOn w:val="Normal"/>
    <w:next w:val="Normal"/>
    <w:rsid w:val="00FA31A1"/>
    <w:pPr>
      <w:tabs>
        <w:tab w:val="num" w:pos="567"/>
      </w:tabs>
      <w:autoSpaceDE w:val="0"/>
      <w:autoSpaceDN w:val="0"/>
      <w:adjustRightInd w:val="0"/>
      <w:spacing w:line="360" w:lineRule="auto"/>
      <w:ind w:left="567" w:hanging="567"/>
    </w:pPr>
    <w:rPr>
      <w:szCs w:val="24"/>
      <w:lang w:eastAsia="fr-BE"/>
    </w:rPr>
  </w:style>
  <w:style w:type="paragraph" w:customStyle="1" w:styleId="Par-number11">
    <w:name w:val="Par-number 1."/>
    <w:basedOn w:val="Normal"/>
    <w:next w:val="Normal"/>
    <w:rsid w:val="00FA31A1"/>
    <w:pPr>
      <w:tabs>
        <w:tab w:val="num" w:pos="567"/>
      </w:tabs>
      <w:autoSpaceDE w:val="0"/>
      <w:autoSpaceDN w:val="0"/>
      <w:adjustRightInd w:val="0"/>
      <w:spacing w:line="360" w:lineRule="auto"/>
      <w:ind w:left="567" w:hanging="567"/>
    </w:pPr>
    <w:rPr>
      <w:szCs w:val="24"/>
      <w:lang w:eastAsia="fr-BE"/>
    </w:rPr>
  </w:style>
  <w:style w:type="paragraph" w:customStyle="1" w:styleId="Par-numberI">
    <w:name w:val="Par-number I."/>
    <w:basedOn w:val="Normal"/>
    <w:next w:val="Normal"/>
    <w:rsid w:val="00FA31A1"/>
    <w:pPr>
      <w:tabs>
        <w:tab w:val="num" w:pos="567"/>
      </w:tabs>
      <w:autoSpaceDE w:val="0"/>
      <w:autoSpaceDN w:val="0"/>
      <w:adjustRightInd w:val="0"/>
      <w:spacing w:line="360" w:lineRule="auto"/>
      <w:ind w:left="567" w:hanging="567"/>
    </w:pPr>
    <w:rPr>
      <w:szCs w:val="24"/>
      <w:lang w:eastAsia="fr-BE"/>
    </w:rPr>
  </w:style>
  <w:style w:type="paragraph" w:customStyle="1" w:styleId="Par-dash">
    <w:name w:val="Par-dash"/>
    <w:basedOn w:val="Normal"/>
    <w:next w:val="Normal"/>
    <w:rsid w:val="00FA31A1"/>
    <w:pPr>
      <w:tabs>
        <w:tab w:val="num" w:pos="567"/>
      </w:tabs>
      <w:autoSpaceDE w:val="0"/>
      <w:autoSpaceDN w:val="0"/>
      <w:adjustRightInd w:val="0"/>
      <w:spacing w:line="360" w:lineRule="auto"/>
      <w:ind w:left="567" w:hanging="567"/>
    </w:pPr>
    <w:rPr>
      <w:szCs w:val="24"/>
      <w:lang w:eastAsia="fr-BE"/>
    </w:rPr>
  </w:style>
  <w:style w:type="paragraph" w:customStyle="1" w:styleId="EntLogo">
    <w:name w:val="EntLogo"/>
    <w:basedOn w:val="Normal"/>
    <w:next w:val="EntInstit"/>
    <w:rsid w:val="00FA31A1"/>
    <w:pPr>
      <w:autoSpaceDE w:val="0"/>
      <w:autoSpaceDN w:val="0"/>
      <w:adjustRightInd w:val="0"/>
      <w:spacing w:line="360" w:lineRule="auto"/>
    </w:pPr>
    <w:rPr>
      <w:b/>
      <w:bCs/>
      <w:szCs w:val="24"/>
      <w:lang w:eastAsia="fr-BE"/>
    </w:rPr>
  </w:style>
  <w:style w:type="paragraph" w:customStyle="1" w:styleId="Par-numberA">
    <w:name w:val="Par-number A."/>
    <w:basedOn w:val="Normal"/>
    <w:next w:val="Normal"/>
    <w:rsid w:val="00FA31A1"/>
    <w:pPr>
      <w:tabs>
        <w:tab w:val="num" w:pos="567"/>
      </w:tabs>
      <w:autoSpaceDE w:val="0"/>
      <w:autoSpaceDN w:val="0"/>
      <w:adjustRightInd w:val="0"/>
      <w:spacing w:line="360" w:lineRule="auto"/>
      <w:ind w:left="567" w:hanging="567"/>
    </w:pPr>
    <w:rPr>
      <w:szCs w:val="24"/>
      <w:lang w:eastAsia="fr-BE"/>
    </w:rPr>
  </w:style>
  <w:style w:type="paragraph" w:styleId="EndnoteText">
    <w:name w:val="endnote text"/>
    <w:basedOn w:val="Normal"/>
    <w:link w:val="EndnoteTextChar"/>
    <w:uiPriority w:val="99"/>
    <w:rsid w:val="00FA31A1"/>
    <w:pPr>
      <w:tabs>
        <w:tab w:val="left" w:pos="567"/>
      </w:tabs>
      <w:autoSpaceDE w:val="0"/>
      <w:autoSpaceDN w:val="0"/>
      <w:adjustRightInd w:val="0"/>
      <w:ind w:left="567" w:hanging="567"/>
    </w:pPr>
    <w:rPr>
      <w:szCs w:val="24"/>
      <w:lang w:eastAsia="fr-BE"/>
    </w:rPr>
  </w:style>
  <w:style w:type="character" w:customStyle="1" w:styleId="EndnoteTextChar">
    <w:name w:val="Endnote Text Char"/>
    <w:basedOn w:val="DefaultParagraphFont"/>
    <w:link w:val="EndnoteText"/>
    <w:uiPriority w:val="99"/>
    <w:rsid w:val="00FA31A1"/>
    <w:rPr>
      <w:sz w:val="24"/>
      <w:szCs w:val="24"/>
      <w:lang w:val="hu-HU" w:eastAsia="fr-BE"/>
    </w:rPr>
  </w:style>
  <w:style w:type="character" w:styleId="EndnoteReference">
    <w:name w:val="endnote reference"/>
    <w:basedOn w:val="DefaultParagraphFont"/>
    <w:uiPriority w:val="99"/>
    <w:rsid w:val="00FA31A1"/>
    <w:rPr>
      <w:rFonts w:cs="Times New Roman"/>
      <w:b/>
      <w:bCs/>
      <w:spacing w:val="0"/>
      <w:vertAlign w:val="superscript"/>
    </w:rPr>
  </w:style>
  <w:style w:type="paragraph" w:customStyle="1" w:styleId="AC">
    <w:name w:val="AC"/>
    <w:basedOn w:val="Normal"/>
    <w:next w:val="Normal"/>
    <w:rsid w:val="00FA31A1"/>
    <w:pPr>
      <w:autoSpaceDE w:val="0"/>
      <w:autoSpaceDN w:val="0"/>
      <w:adjustRightInd w:val="0"/>
      <w:spacing w:line="360" w:lineRule="auto"/>
    </w:pPr>
    <w:rPr>
      <w:b/>
      <w:bCs/>
      <w:sz w:val="40"/>
      <w:szCs w:val="40"/>
      <w:lang w:eastAsia="fr-BE"/>
    </w:rPr>
  </w:style>
  <w:style w:type="paragraph" w:customStyle="1" w:styleId="Par-numberi0">
    <w:name w:val="Par-number (i)"/>
    <w:basedOn w:val="Normal"/>
    <w:next w:val="Normal"/>
    <w:rsid w:val="00FA31A1"/>
    <w:pPr>
      <w:tabs>
        <w:tab w:val="left" w:pos="567"/>
      </w:tabs>
      <w:autoSpaceDE w:val="0"/>
      <w:autoSpaceDN w:val="0"/>
      <w:adjustRightInd w:val="0"/>
      <w:spacing w:line="360" w:lineRule="auto"/>
      <w:ind w:left="567" w:hanging="567"/>
    </w:pPr>
    <w:rPr>
      <w:szCs w:val="24"/>
      <w:lang w:eastAsia="fr-BE"/>
    </w:rPr>
  </w:style>
  <w:style w:type="paragraph" w:customStyle="1" w:styleId="Par-numbera0">
    <w:name w:val="Par-number (a)"/>
    <w:basedOn w:val="Normal"/>
    <w:next w:val="Normal"/>
    <w:rsid w:val="00FA31A1"/>
    <w:pPr>
      <w:tabs>
        <w:tab w:val="num" w:pos="567"/>
      </w:tabs>
      <w:autoSpaceDE w:val="0"/>
      <w:autoSpaceDN w:val="0"/>
      <w:adjustRightInd w:val="0"/>
      <w:spacing w:line="360" w:lineRule="auto"/>
      <w:ind w:left="567" w:hanging="567"/>
    </w:pPr>
    <w:rPr>
      <w:szCs w:val="24"/>
      <w:lang w:eastAsia="fr-BE"/>
    </w:rPr>
  </w:style>
  <w:style w:type="character" w:customStyle="1" w:styleId="DontTranslate">
    <w:name w:val="DontTranslate"/>
    <w:basedOn w:val="DefaultParagraphFont"/>
    <w:rsid w:val="00FA31A1"/>
    <w:rPr>
      <w:rFonts w:cs="Times New Roman"/>
      <w:color w:val="auto"/>
      <w:spacing w:val="0"/>
    </w:rPr>
  </w:style>
  <w:style w:type="paragraph" w:customStyle="1" w:styleId="AddReference">
    <w:name w:val="Add Reference"/>
    <w:basedOn w:val="Normal"/>
    <w:rsid w:val="00FA31A1"/>
    <w:pPr>
      <w:pBdr>
        <w:top w:val="single" w:sz="4" w:space="1" w:color="auto"/>
        <w:left w:val="single" w:sz="4" w:space="4" w:color="auto"/>
        <w:bottom w:val="single" w:sz="4" w:space="1" w:color="auto"/>
        <w:right w:val="single" w:sz="4" w:space="4" w:color="auto"/>
      </w:pBdr>
      <w:autoSpaceDE w:val="0"/>
      <w:autoSpaceDN w:val="0"/>
      <w:adjustRightInd w:val="0"/>
      <w:ind w:left="7655" w:right="-454"/>
    </w:pPr>
    <w:rPr>
      <w:i/>
      <w:iCs/>
      <w:sz w:val="20"/>
      <w:lang w:eastAsia="fr-BE"/>
    </w:rPr>
  </w:style>
  <w:style w:type="paragraph" w:styleId="DocumentMap">
    <w:name w:val="Document Map"/>
    <w:basedOn w:val="Normal"/>
    <w:link w:val="DocumentMapChar"/>
    <w:uiPriority w:val="99"/>
    <w:rsid w:val="00FA31A1"/>
    <w:pPr>
      <w:shd w:val="clear" w:color="auto" w:fill="000080"/>
      <w:autoSpaceDE w:val="0"/>
      <w:autoSpaceDN w:val="0"/>
      <w:adjustRightInd w:val="0"/>
      <w:spacing w:line="360" w:lineRule="auto"/>
    </w:pPr>
    <w:rPr>
      <w:rFonts w:ascii="Tahoma" w:hAnsi="Tahoma" w:cs="Tahoma"/>
      <w:szCs w:val="24"/>
      <w:lang w:eastAsia="fr-BE"/>
    </w:rPr>
  </w:style>
  <w:style w:type="character" w:customStyle="1" w:styleId="DocumentMapChar">
    <w:name w:val="Document Map Char"/>
    <w:basedOn w:val="DefaultParagraphFont"/>
    <w:link w:val="DocumentMap"/>
    <w:uiPriority w:val="99"/>
    <w:rsid w:val="00FA31A1"/>
    <w:rPr>
      <w:rFonts w:ascii="Tahoma" w:hAnsi="Tahoma" w:cs="Tahoma"/>
      <w:sz w:val="24"/>
      <w:szCs w:val="24"/>
      <w:shd w:val="clear" w:color="auto" w:fill="000080"/>
      <w:lang w:val="hu-HU" w:eastAsia="fr-BE"/>
    </w:rPr>
  </w:style>
  <w:style w:type="paragraph" w:customStyle="1" w:styleId="RKrubrik">
    <w:name w:val="RKrubrik"/>
    <w:basedOn w:val="Normal"/>
    <w:next w:val="Normal"/>
    <w:rsid w:val="00FA31A1"/>
    <w:pPr>
      <w:keepNext/>
      <w:widowControl/>
      <w:tabs>
        <w:tab w:val="left" w:pos="1134"/>
        <w:tab w:val="left" w:pos="2835"/>
      </w:tabs>
      <w:autoSpaceDE w:val="0"/>
      <w:autoSpaceDN w:val="0"/>
      <w:adjustRightInd w:val="0"/>
      <w:spacing w:before="360" w:after="120" w:line="240" w:lineRule="atLeast"/>
    </w:pPr>
    <w:rPr>
      <w:rFonts w:ascii="TradeGothic" w:hAnsi="TradeGothic" w:cs="TradeGothic"/>
      <w:b/>
      <w:bCs/>
      <w:sz w:val="22"/>
      <w:szCs w:val="22"/>
      <w:lang w:eastAsia="fr-BE"/>
    </w:rPr>
  </w:style>
  <w:style w:type="character" w:customStyle="1" w:styleId="Heading1Char1">
    <w:name w:val="Heading 1 Char1"/>
    <w:basedOn w:val="DefaultParagraphFont"/>
    <w:rsid w:val="00FA31A1"/>
    <w:rPr>
      <w:rFonts w:cs="Times New Roman"/>
      <w:b/>
      <w:bCs/>
      <w:smallCaps/>
      <w:spacing w:val="0"/>
      <w:sz w:val="24"/>
      <w:szCs w:val="24"/>
      <w:lang w:val="hu-HU"/>
    </w:rPr>
  </w:style>
  <w:style w:type="character" w:customStyle="1" w:styleId="Heading2Char1">
    <w:name w:val="Heading 2 Char1"/>
    <w:basedOn w:val="DefaultParagraphFont"/>
    <w:rsid w:val="00FA31A1"/>
    <w:rPr>
      <w:rFonts w:cs="Times New Roman"/>
      <w:b/>
      <w:bCs/>
      <w:spacing w:val="0"/>
      <w:sz w:val="24"/>
      <w:szCs w:val="24"/>
      <w:lang w:val="hu-HU"/>
    </w:rPr>
  </w:style>
  <w:style w:type="character" w:customStyle="1" w:styleId="Heading3Char1">
    <w:name w:val="Heading 3 Char1"/>
    <w:basedOn w:val="DefaultParagraphFont"/>
    <w:rsid w:val="00FA31A1"/>
    <w:rPr>
      <w:rFonts w:cs="Times New Roman"/>
      <w:i/>
      <w:iCs/>
      <w:spacing w:val="0"/>
      <w:sz w:val="24"/>
      <w:szCs w:val="24"/>
      <w:lang w:val="hu-HU"/>
    </w:rPr>
  </w:style>
  <w:style w:type="character" w:customStyle="1" w:styleId="Heading4Char1">
    <w:name w:val="Heading 4 Char1"/>
    <w:basedOn w:val="DefaultParagraphFont"/>
    <w:rsid w:val="00FA31A1"/>
    <w:rPr>
      <w:rFonts w:cs="Times New Roman"/>
      <w:spacing w:val="0"/>
      <w:sz w:val="24"/>
      <w:szCs w:val="24"/>
      <w:lang w:val="hu-HU"/>
    </w:rPr>
  </w:style>
  <w:style w:type="character" w:customStyle="1" w:styleId="Heading5Char1">
    <w:name w:val="Heading 5 Char1"/>
    <w:basedOn w:val="DefaultParagraphFont"/>
    <w:rsid w:val="00FA31A1"/>
    <w:rPr>
      <w:rFonts w:ascii="Arial" w:hAnsi="Arial" w:cs="Arial"/>
      <w:spacing w:val="0"/>
      <w:sz w:val="24"/>
      <w:szCs w:val="24"/>
      <w:lang w:val="hu-HU"/>
    </w:rPr>
  </w:style>
  <w:style w:type="character" w:customStyle="1" w:styleId="Heading6Char1">
    <w:name w:val="Heading 6 Char1"/>
    <w:basedOn w:val="DefaultParagraphFont"/>
    <w:rsid w:val="00FA31A1"/>
    <w:rPr>
      <w:rFonts w:ascii="Arial" w:hAnsi="Arial" w:cs="Arial"/>
      <w:i/>
      <w:iCs/>
      <w:spacing w:val="0"/>
      <w:sz w:val="24"/>
      <w:szCs w:val="24"/>
      <w:lang w:val="hu-HU"/>
    </w:rPr>
  </w:style>
  <w:style w:type="character" w:customStyle="1" w:styleId="Heading7Char1">
    <w:name w:val="Heading 7 Char1"/>
    <w:basedOn w:val="DefaultParagraphFont"/>
    <w:rsid w:val="00FA31A1"/>
    <w:rPr>
      <w:rFonts w:ascii="Arial" w:hAnsi="Arial" w:cs="Arial"/>
      <w:spacing w:val="0"/>
      <w:sz w:val="24"/>
      <w:szCs w:val="24"/>
      <w:lang w:val="hu-HU"/>
    </w:rPr>
  </w:style>
  <w:style w:type="character" w:customStyle="1" w:styleId="Heading8Char1">
    <w:name w:val="Heading 8 Char1"/>
    <w:basedOn w:val="DefaultParagraphFont"/>
    <w:rsid w:val="00FA31A1"/>
    <w:rPr>
      <w:rFonts w:ascii="Arial" w:hAnsi="Arial" w:cs="Arial"/>
      <w:i/>
      <w:iCs/>
      <w:spacing w:val="0"/>
      <w:sz w:val="24"/>
      <w:szCs w:val="24"/>
      <w:lang w:val="hu-HU"/>
    </w:rPr>
  </w:style>
  <w:style w:type="character" w:customStyle="1" w:styleId="Heading9Char1">
    <w:name w:val="Heading 9 Char1"/>
    <w:basedOn w:val="DefaultParagraphFont"/>
    <w:rsid w:val="00FA31A1"/>
    <w:rPr>
      <w:rFonts w:ascii="Arial" w:hAnsi="Arial" w:cs="Arial"/>
      <w:i/>
      <w:iCs/>
      <w:spacing w:val="0"/>
      <w:sz w:val="24"/>
      <w:szCs w:val="24"/>
      <w:lang w:val="hu-HU"/>
    </w:rPr>
  </w:style>
  <w:style w:type="character" w:customStyle="1" w:styleId="BalloonTextChar1">
    <w:name w:val="Balloon Text Char1"/>
    <w:basedOn w:val="DefaultParagraphFont"/>
    <w:rsid w:val="00FA31A1"/>
    <w:rPr>
      <w:rFonts w:ascii="Tahoma" w:hAnsi="Tahoma" w:cs="Tahoma"/>
      <w:spacing w:val="0"/>
      <w:sz w:val="16"/>
      <w:szCs w:val="16"/>
      <w:lang w:val="hu-HU"/>
    </w:rPr>
  </w:style>
  <w:style w:type="character" w:customStyle="1" w:styleId="HeaderChar1">
    <w:name w:val="Header Char1"/>
    <w:basedOn w:val="DefaultParagraphFont"/>
    <w:rsid w:val="00FA31A1"/>
    <w:rPr>
      <w:rFonts w:cs="Times New Roman"/>
      <w:spacing w:val="0"/>
      <w:sz w:val="24"/>
      <w:szCs w:val="24"/>
      <w:lang w:val="hu-HU"/>
    </w:rPr>
  </w:style>
  <w:style w:type="paragraph" w:customStyle="1" w:styleId="Overskrift1">
    <w:name w:val="Overskrift1"/>
    <w:basedOn w:val="Normal"/>
    <w:next w:val="Normal"/>
    <w:rsid w:val="00FA31A1"/>
    <w:pPr>
      <w:widowControl/>
      <w:autoSpaceDE w:val="0"/>
      <w:autoSpaceDN w:val="0"/>
      <w:adjustRightInd w:val="0"/>
      <w:spacing w:before="120" w:after="240" w:line="360" w:lineRule="auto"/>
      <w:jc w:val="center"/>
    </w:pPr>
    <w:rPr>
      <w:b/>
      <w:bCs/>
      <w:sz w:val="28"/>
      <w:szCs w:val="28"/>
      <w:lang w:eastAsia="fr-BE"/>
    </w:rPr>
  </w:style>
  <w:style w:type="paragraph" w:customStyle="1" w:styleId="Lignefinal">
    <w:name w:val="Ligne final"/>
    <w:basedOn w:val="Normal"/>
    <w:next w:val="Normal"/>
    <w:rsid w:val="00FA31A1"/>
    <w:pPr>
      <w:widowControl/>
      <w:pBdr>
        <w:bottom w:val="single" w:sz="4" w:space="0" w:color="000000"/>
      </w:pBdr>
      <w:autoSpaceDE w:val="0"/>
      <w:autoSpaceDN w:val="0"/>
      <w:adjustRightInd w:val="0"/>
      <w:spacing w:before="720" w:after="360" w:line="360" w:lineRule="auto"/>
      <w:ind w:left="3400" w:right="3400"/>
      <w:jc w:val="center"/>
    </w:pPr>
    <w:rPr>
      <w:b/>
      <w:bCs/>
      <w:szCs w:val="24"/>
      <w:lang w:eastAsia="fr-BE"/>
    </w:rPr>
  </w:style>
  <w:style w:type="paragraph" w:customStyle="1" w:styleId="LignefinalLandscape">
    <w:name w:val="Ligne final (Landscape)"/>
    <w:basedOn w:val="Normal"/>
    <w:next w:val="Normal"/>
    <w:rsid w:val="00FA31A1"/>
    <w:pPr>
      <w:widowControl/>
      <w:pBdr>
        <w:bottom w:val="single" w:sz="4" w:space="0" w:color="000000"/>
      </w:pBdr>
      <w:autoSpaceDE w:val="0"/>
      <w:autoSpaceDN w:val="0"/>
      <w:adjustRightInd w:val="0"/>
      <w:spacing w:before="720" w:after="360" w:line="360" w:lineRule="auto"/>
      <w:ind w:left="5868" w:right="5868"/>
      <w:jc w:val="center"/>
    </w:pPr>
    <w:rPr>
      <w:b/>
      <w:bCs/>
      <w:szCs w:val="24"/>
      <w:lang w:eastAsia="fr-BE"/>
    </w:rPr>
  </w:style>
  <w:style w:type="paragraph" w:customStyle="1" w:styleId="EntText">
    <w:name w:val="EntText"/>
    <w:basedOn w:val="Normal"/>
    <w:rsid w:val="00FA31A1"/>
    <w:pPr>
      <w:widowControl/>
      <w:autoSpaceDE w:val="0"/>
      <w:autoSpaceDN w:val="0"/>
      <w:adjustRightInd w:val="0"/>
      <w:spacing w:before="120" w:after="120" w:line="360" w:lineRule="auto"/>
    </w:pPr>
    <w:rPr>
      <w:szCs w:val="24"/>
      <w:lang w:eastAsia="fr-BE"/>
    </w:rPr>
  </w:style>
  <w:style w:type="paragraph" w:customStyle="1" w:styleId="EntEU">
    <w:name w:val="EntEU"/>
    <w:basedOn w:val="Normal"/>
    <w:rsid w:val="00FA31A1"/>
    <w:pPr>
      <w:widowControl/>
      <w:autoSpaceDE w:val="0"/>
      <w:autoSpaceDN w:val="0"/>
      <w:adjustRightInd w:val="0"/>
      <w:spacing w:before="240" w:after="240"/>
      <w:jc w:val="center"/>
    </w:pPr>
    <w:rPr>
      <w:b/>
      <w:bCs/>
      <w:sz w:val="36"/>
      <w:szCs w:val="36"/>
      <w:lang w:eastAsia="fr-BE"/>
    </w:rPr>
  </w:style>
  <w:style w:type="paragraph" w:customStyle="1" w:styleId="EntASSOC">
    <w:name w:val="EntASSOC"/>
    <w:basedOn w:val="Normal"/>
    <w:rsid w:val="00FA31A1"/>
    <w:pPr>
      <w:widowControl/>
      <w:autoSpaceDE w:val="0"/>
      <w:autoSpaceDN w:val="0"/>
      <w:adjustRightInd w:val="0"/>
      <w:jc w:val="center"/>
    </w:pPr>
    <w:rPr>
      <w:b/>
      <w:bCs/>
      <w:szCs w:val="24"/>
      <w:lang w:eastAsia="fr-BE"/>
    </w:rPr>
  </w:style>
  <w:style w:type="paragraph" w:customStyle="1" w:styleId="EntACP">
    <w:name w:val="EntACP"/>
    <w:basedOn w:val="Normal"/>
    <w:rsid w:val="00FA31A1"/>
    <w:pPr>
      <w:widowControl/>
      <w:autoSpaceDE w:val="0"/>
      <w:autoSpaceDN w:val="0"/>
      <w:adjustRightInd w:val="0"/>
      <w:spacing w:after="120"/>
      <w:jc w:val="center"/>
    </w:pPr>
    <w:rPr>
      <w:b/>
      <w:bCs/>
      <w:spacing w:val="40"/>
      <w:sz w:val="28"/>
      <w:szCs w:val="28"/>
      <w:lang w:eastAsia="fr-BE"/>
    </w:rPr>
  </w:style>
  <w:style w:type="paragraph" w:customStyle="1" w:styleId="EntInstitACP">
    <w:name w:val="EntInstitACP"/>
    <w:basedOn w:val="Normal"/>
    <w:rsid w:val="00FA31A1"/>
    <w:pPr>
      <w:widowControl/>
      <w:autoSpaceDE w:val="0"/>
      <w:autoSpaceDN w:val="0"/>
      <w:adjustRightInd w:val="0"/>
      <w:jc w:val="center"/>
    </w:pPr>
    <w:rPr>
      <w:b/>
      <w:bCs/>
      <w:szCs w:val="24"/>
      <w:lang w:eastAsia="fr-BE"/>
    </w:rPr>
  </w:style>
  <w:style w:type="paragraph" w:customStyle="1" w:styleId="Genredudocument">
    <w:name w:val="Genre du document"/>
    <w:basedOn w:val="EntRefer"/>
    <w:next w:val="EntRefer"/>
    <w:rsid w:val="00FA31A1"/>
    <w:pPr>
      <w:widowControl/>
      <w:spacing w:before="240"/>
    </w:pPr>
  </w:style>
  <w:style w:type="paragraph" w:customStyle="1" w:styleId="Accordtitre">
    <w:name w:val="Accord titre"/>
    <w:basedOn w:val="Normal"/>
    <w:rsid w:val="00FA31A1"/>
    <w:pPr>
      <w:widowControl/>
      <w:autoSpaceDE w:val="0"/>
      <w:autoSpaceDN w:val="0"/>
      <w:adjustRightInd w:val="0"/>
      <w:spacing w:line="360" w:lineRule="auto"/>
      <w:jc w:val="center"/>
    </w:pPr>
    <w:rPr>
      <w:szCs w:val="24"/>
      <w:lang w:eastAsia="fr-BE"/>
    </w:rPr>
  </w:style>
  <w:style w:type="paragraph" w:customStyle="1" w:styleId="FooterAccord">
    <w:name w:val="Footer Accord"/>
    <w:basedOn w:val="Normal"/>
    <w:rsid w:val="00FA31A1"/>
    <w:pPr>
      <w:widowControl/>
      <w:tabs>
        <w:tab w:val="center" w:pos="4819"/>
        <w:tab w:val="center" w:pos="7370"/>
        <w:tab w:val="right" w:pos="9638"/>
      </w:tabs>
      <w:autoSpaceDE w:val="0"/>
      <w:autoSpaceDN w:val="0"/>
      <w:adjustRightInd w:val="0"/>
      <w:spacing w:before="360"/>
      <w:jc w:val="center"/>
    </w:pPr>
    <w:rPr>
      <w:szCs w:val="24"/>
      <w:lang w:eastAsia="fr-BE"/>
    </w:rPr>
  </w:style>
  <w:style w:type="paragraph" w:customStyle="1" w:styleId="FooterLandscapeAccord">
    <w:name w:val="FooterLandscape Accord"/>
    <w:basedOn w:val="Normal"/>
    <w:rsid w:val="00FA31A1"/>
    <w:pPr>
      <w:widowControl/>
      <w:tabs>
        <w:tab w:val="center" w:pos="7285"/>
        <w:tab w:val="center" w:pos="10930"/>
        <w:tab w:val="right" w:pos="14570"/>
      </w:tabs>
      <w:autoSpaceDE w:val="0"/>
      <w:autoSpaceDN w:val="0"/>
      <w:adjustRightInd w:val="0"/>
      <w:spacing w:before="360"/>
      <w:jc w:val="center"/>
    </w:pPr>
    <w:rPr>
      <w:szCs w:val="24"/>
      <w:lang w:eastAsia="fr-BE"/>
    </w:rPr>
  </w:style>
  <w:style w:type="paragraph" w:styleId="BlockText">
    <w:name w:val="Block Text"/>
    <w:basedOn w:val="Normal"/>
    <w:uiPriority w:val="99"/>
    <w:rsid w:val="00FA31A1"/>
    <w:pPr>
      <w:widowControl/>
      <w:autoSpaceDE w:val="0"/>
      <w:autoSpaceDN w:val="0"/>
      <w:adjustRightInd w:val="0"/>
      <w:spacing w:before="120" w:after="120" w:line="360" w:lineRule="auto"/>
      <w:ind w:left="1440" w:right="1440"/>
    </w:pPr>
    <w:rPr>
      <w:szCs w:val="24"/>
      <w:lang w:eastAsia="fr-BE"/>
    </w:rPr>
  </w:style>
  <w:style w:type="paragraph" w:styleId="BodyText">
    <w:name w:val="Body Text"/>
    <w:basedOn w:val="Normal"/>
    <w:link w:val="BodyTextChar"/>
    <w:uiPriority w:val="99"/>
    <w:rsid w:val="00FA31A1"/>
    <w:pPr>
      <w:widowControl/>
      <w:autoSpaceDE w:val="0"/>
      <w:autoSpaceDN w:val="0"/>
      <w:adjustRightInd w:val="0"/>
      <w:spacing w:before="120" w:after="120" w:line="360" w:lineRule="auto"/>
    </w:pPr>
    <w:rPr>
      <w:szCs w:val="24"/>
      <w:lang w:eastAsia="fr-BE"/>
    </w:rPr>
  </w:style>
  <w:style w:type="character" w:customStyle="1" w:styleId="BodyTextChar">
    <w:name w:val="Body Text Char"/>
    <w:basedOn w:val="DefaultParagraphFont"/>
    <w:link w:val="BodyText"/>
    <w:uiPriority w:val="99"/>
    <w:rsid w:val="00FA31A1"/>
    <w:rPr>
      <w:sz w:val="24"/>
      <w:szCs w:val="24"/>
      <w:lang w:val="hu-HU" w:eastAsia="fr-BE"/>
    </w:rPr>
  </w:style>
  <w:style w:type="character" w:customStyle="1" w:styleId="BodyTextChar1">
    <w:name w:val="Body Text Char1"/>
    <w:basedOn w:val="DefaultParagraphFont"/>
    <w:rsid w:val="00FA31A1"/>
    <w:rPr>
      <w:rFonts w:cs="Times New Roman"/>
      <w:spacing w:val="0"/>
      <w:sz w:val="24"/>
      <w:szCs w:val="24"/>
      <w:lang w:val="hu-HU"/>
    </w:rPr>
  </w:style>
  <w:style w:type="paragraph" w:styleId="BodyTextIndent">
    <w:name w:val="Body Text Indent"/>
    <w:basedOn w:val="Normal"/>
    <w:link w:val="BodyTextIndentChar"/>
    <w:uiPriority w:val="99"/>
    <w:rsid w:val="00FA31A1"/>
    <w:pPr>
      <w:widowControl/>
      <w:autoSpaceDE w:val="0"/>
      <w:autoSpaceDN w:val="0"/>
      <w:adjustRightInd w:val="0"/>
      <w:spacing w:before="120" w:after="120" w:line="360" w:lineRule="auto"/>
      <w:ind w:left="283"/>
    </w:pPr>
    <w:rPr>
      <w:szCs w:val="24"/>
      <w:lang w:eastAsia="fr-BE"/>
    </w:rPr>
  </w:style>
  <w:style w:type="character" w:customStyle="1" w:styleId="BodyTextIndentChar">
    <w:name w:val="Body Text Indent Char"/>
    <w:basedOn w:val="DefaultParagraphFont"/>
    <w:link w:val="BodyTextIndent"/>
    <w:uiPriority w:val="99"/>
    <w:rsid w:val="00FA31A1"/>
    <w:rPr>
      <w:sz w:val="24"/>
      <w:szCs w:val="24"/>
      <w:lang w:val="hu-HU" w:eastAsia="fr-BE"/>
    </w:rPr>
  </w:style>
  <w:style w:type="character" w:customStyle="1" w:styleId="BodyText2Char">
    <w:name w:val="Body Text 2 Char"/>
    <w:basedOn w:val="DefaultParagraphFont"/>
    <w:rsid w:val="00FA31A1"/>
    <w:rPr>
      <w:rFonts w:ascii="Times New Roman" w:hAnsi="Times New Roman" w:cs="Times New Roman"/>
      <w:spacing w:val="0"/>
      <w:sz w:val="24"/>
      <w:szCs w:val="24"/>
      <w:lang w:val="hu-HU"/>
    </w:rPr>
  </w:style>
  <w:style w:type="paragraph" w:styleId="BodyText3">
    <w:name w:val="Body Text 3"/>
    <w:basedOn w:val="Normal"/>
    <w:link w:val="BodyText3Char"/>
    <w:uiPriority w:val="99"/>
    <w:rsid w:val="00FA31A1"/>
    <w:pPr>
      <w:widowControl/>
      <w:autoSpaceDE w:val="0"/>
      <w:autoSpaceDN w:val="0"/>
      <w:adjustRightInd w:val="0"/>
      <w:spacing w:before="120" w:after="120" w:line="360" w:lineRule="auto"/>
    </w:pPr>
    <w:rPr>
      <w:sz w:val="16"/>
      <w:szCs w:val="16"/>
      <w:lang w:eastAsia="fr-BE"/>
    </w:rPr>
  </w:style>
  <w:style w:type="character" w:customStyle="1" w:styleId="BodyText3Char">
    <w:name w:val="Body Text 3 Char"/>
    <w:basedOn w:val="DefaultParagraphFont"/>
    <w:link w:val="BodyText3"/>
    <w:uiPriority w:val="99"/>
    <w:rsid w:val="00FA31A1"/>
    <w:rPr>
      <w:sz w:val="16"/>
      <w:szCs w:val="16"/>
      <w:lang w:val="hu-HU" w:eastAsia="fr-BE"/>
    </w:rPr>
  </w:style>
  <w:style w:type="character" w:customStyle="1" w:styleId="BodyText3Char1">
    <w:name w:val="Body Text 3 Char1"/>
    <w:basedOn w:val="DefaultParagraphFont"/>
    <w:rsid w:val="00FA31A1"/>
    <w:rPr>
      <w:rFonts w:cs="Times New Roman"/>
      <w:spacing w:val="0"/>
      <w:sz w:val="16"/>
      <w:szCs w:val="16"/>
      <w:lang w:val="hu-HU"/>
    </w:rPr>
  </w:style>
  <w:style w:type="paragraph" w:styleId="BodyTextFirstIndent">
    <w:name w:val="Body Text First Indent"/>
    <w:basedOn w:val="BodyText"/>
    <w:link w:val="BodyTextFirstIndentChar"/>
    <w:uiPriority w:val="99"/>
    <w:rsid w:val="00FA31A1"/>
    <w:pPr>
      <w:ind w:firstLine="210"/>
    </w:pPr>
  </w:style>
  <w:style w:type="character" w:customStyle="1" w:styleId="BodyTextFirstIndentChar">
    <w:name w:val="Body Text First Indent Char"/>
    <w:basedOn w:val="BodyTextChar"/>
    <w:link w:val="BodyTextFirstIndent"/>
    <w:uiPriority w:val="99"/>
    <w:rsid w:val="00FA31A1"/>
    <w:rPr>
      <w:sz w:val="24"/>
      <w:szCs w:val="24"/>
      <w:lang w:val="hu-HU" w:eastAsia="fr-BE"/>
    </w:rPr>
  </w:style>
  <w:style w:type="character" w:customStyle="1" w:styleId="BodyTextFirstIndentChar1">
    <w:name w:val="Body Text First Indent Char1"/>
    <w:basedOn w:val="BodyTextChar1"/>
    <w:rsid w:val="00FA31A1"/>
    <w:rPr>
      <w:rFonts w:cs="Times New Roman"/>
      <w:spacing w:val="0"/>
      <w:sz w:val="24"/>
      <w:szCs w:val="24"/>
      <w:lang w:val="hu-HU"/>
    </w:rPr>
  </w:style>
  <w:style w:type="character" w:customStyle="1" w:styleId="BodyTextIndentChar1">
    <w:name w:val="Body Text Indent Char1"/>
    <w:basedOn w:val="DefaultParagraphFont"/>
    <w:rsid w:val="00FA31A1"/>
    <w:rPr>
      <w:rFonts w:cs="Times New Roman"/>
      <w:spacing w:val="0"/>
      <w:sz w:val="24"/>
      <w:szCs w:val="24"/>
      <w:lang w:val="hu-HU"/>
    </w:rPr>
  </w:style>
  <w:style w:type="paragraph" w:styleId="BodyTextFirstIndent2">
    <w:name w:val="Body Text First Indent 2"/>
    <w:basedOn w:val="BodyTextIndent"/>
    <w:link w:val="BodyTextFirstIndent2Char"/>
    <w:uiPriority w:val="99"/>
    <w:rsid w:val="00FA31A1"/>
    <w:pPr>
      <w:ind w:firstLine="210"/>
    </w:pPr>
  </w:style>
  <w:style w:type="character" w:customStyle="1" w:styleId="BodyTextFirstIndent2Char">
    <w:name w:val="Body Text First Indent 2 Char"/>
    <w:basedOn w:val="BodyTextIndentChar"/>
    <w:link w:val="BodyTextFirstIndent2"/>
    <w:uiPriority w:val="99"/>
    <w:rsid w:val="00FA31A1"/>
    <w:rPr>
      <w:sz w:val="24"/>
      <w:szCs w:val="24"/>
      <w:lang w:val="hu-HU" w:eastAsia="fr-BE"/>
    </w:rPr>
  </w:style>
  <w:style w:type="character" w:customStyle="1" w:styleId="BodyTextFirstIndent2Char1">
    <w:name w:val="Body Text First Indent 2 Char1"/>
    <w:basedOn w:val="BodyTextIndentChar1"/>
    <w:rsid w:val="00FA31A1"/>
    <w:rPr>
      <w:rFonts w:cs="Times New Roman"/>
      <w:spacing w:val="0"/>
      <w:sz w:val="24"/>
      <w:szCs w:val="24"/>
      <w:lang w:val="hu-HU"/>
    </w:rPr>
  </w:style>
  <w:style w:type="paragraph" w:styleId="BodyTextIndent2">
    <w:name w:val="Body Text Indent 2"/>
    <w:basedOn w:val="Normal"/>
    <w:link w:val="BodyTextIndent2Char"/>
    <w:uiPriority w:val="99"/>
    <w:rsid w:val="00FA31A1"/>
    <w:pPr>
      <w:widowControl/>
      <w:autoSpaceDE w:val="0"/>
      <w:autoSpaceDN w:val="0"/>
      <w:adjustRightInd w:val="0"/>
      <w:spacing w:before="120" w:after="120" w:line="480" w:lineRule="auto"/>
      <w:ind w:left="283"/>
    </w:pPr>
    <w:rPr>
      <w:szCs w:val="24"/>
      <w:lang w:eastAsia="fr-BE"/>
    </w:rPr>
  </w:style>
  <w:style w:type="character" w:customStyle="1" w:styleId="BodyTextIndent2Char">
    <w:name w:val="Body Text Indent 2 Char"/>
    <w:basedOn w:val="DefaultParagraphFont"/>
    <w:link w:val="BodyTextIndent2"/>
    <w:uiPriority w:val="99"/>
    <w:rsid w:val="00FA31A1"/>
    <w:rPr>
      <w:sz w:val="24"/>
      <w:szCs w:val="24"/>
      <w:lang w:val="hu-HU" w:eastAsia="fr-BE"/>
    </w:rPr>
  </w:style>
  <w:style w:type="character" w:customStyle="1" w:styleId="BodyTextIndent2Char1">
    <w:name w:val="Body Text Indent 2 Char1"/>
    <w:basedOn w:val="DefaultParagraphFont"/>
    <w:rsid w:val="00FA31A1"/>
    <w:rPr>
      <w:rFonts w:cs="Times New Roman"/>
      <w:spacing w:val="0"/>
      <w:sz w:val="24"/>
      <w:szCs w:val="24"/>
      <w:lang w:val="hu-HU"/>
    </w:rPr>
  </w:style>
  <w:style w:type="paragraph" w:styleId="BodyTextIndent3">
    <w:name w:val="Body Text Indent 3"/>
    <w:basedOn w:val="Normal"/>
    <w:link w:val="BodyTextIndent3Char"/>
    <w:uiPriority w:val="99"/>
    <w:rsid w:val="00FA31A1"/>
    <w:pPr>
      <w:widowControl/>
      <w:autoSpaceDE w:val="0"/>
      <w:autoSpaceDN w:val="0"/>
      <w:adjustRightInd w:val="0"/>
      <w:spacing w:before="120" w:after="120" w:line="360" w:lineRule="auto"/>
      <w:ind w:left="283"/>
    </w:pPr>
    <w:rPr>
      <w:sz w:val="16"/>
      <w:szCs w:val="16"/>
      <w:lang w:eastAsia="fr-BE"/>
    </w:rPr>
  </w:style>
  <w:style w:type="character" w:customStyle="1" w:styleId="BodyTextIndent3Char">
    <w:name w:val="Body Text Indent 3 Char"/>
    <w:basedOn w:val="DefaultParagraphFont"/>
    <w:link w:val="BodyTextIndent3"/>
    <w:uiPriority w:val="99"/>
    <w:rsid w:val="00FA31A1"/>
    <w:rPr>
      <w:sz w:val="16"/>
      <w:szCs w:val="16"/>
      <w:lang w:val="hu-HU" w:eastAsia="fr-BE"/>
    </w:rPr>
  </w:style>
  <w:style w:type="character" w:customStyle="1" w:styleId="BodyTextIndent3Char1">
    <w:name w:val="Body Text Indent 3 Char1"/>
    <w:basedOn w:val="DefaultParagraphFont"/>
    <w:rsid w:val="00FA31A1"/>
    <w:rPr>
      <w:rFonts w:cs="Times New Roman"/>
      <w:spacing w:val="0"/>
      <w:sz w:val="16"/>
      <w:szCs w:val="16"/>
      <w:lang w:val="hu-HU"/>
    </w:rPr>
  </w:style>
  <w:style w:type="paragraph" w:styleId="Closing">
    <w:name w:val="Closing"/>
    <w:basedOn w:val="Normal"/>
    <w:link w:val="ClosingChar"/>
    <w:uiPriority w:val="99"/>
    <w:rsid w:val="00FA31A1"/>
    <w:pPr>
      <w:widowControl/>
      <w:autoSpaceDE w:val="0"/>
      <w:autoSpaceDN w:val="0"/>
      <w:adjustRightInd w:val="0"/>
      <w:spacing w:before="120" w:after="120" w:line="360" w:lineRule="auto"/>
      <w:ind w:left="4252"/>
    </w:pPr>
    <w:rPr>
      <w:szCs w:val="24"/>
      <w:lang w:eastAsia="fr-BE"/>
    </w:rPr>
  </w:style>
  <w:style w:type="character" w:customStyle="1" w:styleId="ClosingChar">
    <w:name w:val="Closing Char"/>
    <w:basedOn w:val="DefaultParagraphFont"/>
    <w:link w:val="Closing"/>
    <w:uiPriority w:val="99"/>
    <w:rsid w:val="00FA31A1"/>
    <w:rPr>
      <w:sz w:val="24"/>
      <w:szCs w:val="24"/>
      <w:lang w:val="hu-HU" w:eastAsia="fr-BE"/>
    </w:rPr>
  </w:style>
  <w:style w:type="character" w:customStyle="1" w:styleId="ClosingChar1">
    <w:name w:val="Closing Char1"/>
    <w:basedOn w:val="DefaultParagraphFont"/>
    <w:rsid w:val="00FA31A1"/>
    <w:rPr>
      <w:rFonts w:cs="Times New Roman"/>
      <w:spacing w:val="0"/>
      <w:sz w:val="24"/>
      <w:szCs w:val="24"/>
      <w:lang w:val="hu-HU"/>
    </w:rPr>
  </w:style>
  <w:style w:type="character" w:customStyle="1" w:styleId="CommentTextChar1">
    <w:name w:val="Comment Text Char1"/>
    <w:basedOn w:val="DefaultParagraphFont"/>
    <w:rsid w:val="00FA31A1"/>
    <w:rPr>
      <w:rFonts w:cs="Times New Roman"/>
      <w:spacing w:val="0"/>
      <w:sz w:val="24"/>
      <w:szCs w:val="24"/>
      <w:lang w:val="hu-HU"/>
    </w:rPr>
  </w:style>
  <w:style w:type="character" w:customStyle="1" w:styleId="CommentSubjectChar1">
    <w:name w:val="Comment Subject Char1"/>
    <w:basedOn w:val="CommentTextChar1"/>
    <w:rsid w:val="00FA31A1"/>
    <w:rPr>
      <w:rFonts w:cs="Times New Roman"/>
      <w:b/>
      <w:bCs/>
      <w:spacing w:val="0"/>
      <w:sz w:val="24"/>
      <w:szCs w:val="24"/>
      <w:lang w:val="hu-HU"/>
    </w:rPr>
  </w:style>
  <w:style w:type="character" w:customStyle="1" w:styleId="DocumentMapChar1">
    <w:name w:val="Document Map Char1"/>
    <w:basedOn w:val="DefaultParagraphFont"/>
    <w:rsid w:val="00FA31A1"/>
    <w:rPr>
      <w:rFonts w:ascii="Tahoma" w:hAnsi="Tahoma" w:cs="Tahoma"/>
      <w:spacing w:val="0"/>
      <w:sz w:val="24"/>
      <w:szCs w:val="24"/>
      <w:lang w:val="hu-HU"/>
    </w:rPr>
  </w:style>
  <w:style w:type="paragraph" w:styleId="E-mailSignature">
    <w:name w:val="E-mail Signature"/>
    <w:basedOn w:val="Normal"/>
    <w:link w:val="E-mailSignatureChar"/>
    <w:uiPriority w:val="99"/>
    <w:rsid w:val="00FA31A1"/>
    <w:pPr>
      <w:widowControl/>
      <w:autoSpaceDE w:val="0"/>
      <w:autoSpaceDN w:val="0"/>
      <w:adjustRightInd w:val="0"/>
      <w:spacing w:before="120" w:after="120" w:line="360" w:lineRule="auto"/>
    </w:pPr>
    <w:rPr>
      <w:szCs w:val="24"/>
      <w:lang w:eastAsia="fr-BE"/>
    </w:rPr>
  </w:style>
  <w:style w:type="character" w:customStyle="1" w:styleId="E-mailSignatureChar">
    <w:name w:val="E-mail Signature Char"/>
    <w:basedOn w:val="DefaultParagraphFont"/>
    <w:link w:val="E-mailSignature"/>
    <w:uiPriority w:val="99"/>
    <w:rsid w:val="00FA31A1"/>
    <w:rPr>
      <w:sz w:val="24"/>
      <w:szCs w:val="24"/>
      <w:lang w:val="hu-HU" w:eastAsia="fr-BE"/>
    </w:rPr>
  </w:style>
  <w:style w:type="character" w:customStyle="1" w:styleId="E-mailSignatureChar1">
    <w:name w:val="E-mail Signature Char1"/>
    <w:basedOn w:val="DefaultParagraphFont"/>
    <w:rsid w:val="00FA31A1"/>
    <w:rPr>
      <w:rFonts w:cs="Times New Roman"/>
      <w:spacing w:val="0"/>
      <w:sz w:val="24"/>
      <w:szCs w:val="24"/>
      <w:lang w:val="hu-HU"/>
    </w:rPr>
  </w:style>
  <w:style w:type="character" w:styleId="Emphasis">
    <w:name w:val="Emphasis"/>
    <w:basedOn w:val="DefaultParagraphFont"/>
    <w:uiPriority w:val="20"/>
    <w:qFormat/>
    <w:rsid w:val="00FA31A1"/>
    <w:rPr>
      <w:rFonts w:cs="Times New Roman"/>
      <w:i/>
      <w:iCs/>
      <w:spacing w:val="0"/>
    </w:rPr>
  </w:style>
  <w:style w:type="character" w:customStyle="1" w:styleId="EndnoteTextChar1">
    <w:name w:val="Endnote Text Char1"/>
    <w:basedOn w:val="DefaultParagraphFont"/>
    <w:rsid w:val="00FA31A1"/>
    <w:rPr>
      <w:rFonts w:cs="Times New Roman"/>
      <w:spacing w:val="0"/>
      <w:sz w:val="24"/>
      <w:szCs w:val="24"/>
      <w:lang w:val="hu-HU"/>
    </w:rPr>
  </w:style>
  <w:style w:type="paragraph" w:styleId="EnvelopeAddress">
    <w:name w:val="envelope address"/>
    <w:basedOn w:val="Normal"/>
    <w:uiPriority w:val="99"/>
    <w:rsid w:val="00FA31A1"/>
    <w:pPr>
      <w:framePr w:w="7920" w:h="1980" w:hRule="exact" w:hSpace="180" w:wrap="auto" w:hAnchor="page" w:xAlign="center" w:yAlign="bottom"/>
      <w:widowControl/>
      <w:autoSpaceDE w:val="0"/>
      <w:autoSpaceDN w:val="0"/>
      <w:adjustRightInd w:val="0"/>
      <w:spacing w:before="120" w:after="120" w:line="360" w:lineRule="auto"/>
      <w:ind w:left="2880"/>
    </w:pPr>
    <w:rPr>
      <w:rFonts w:ascii="Arial" w:hAnsi="Arial" w:cs="Arial"/>
      <w:szCs w:val="24"/>
      <w:lang w:eastAsia="fr-BE"/>
    </w:rPr>
  </w:style>
  <w:style w:type="paragraph" w:styleId="EnvelopeReturn">
    <w:name w:val="envelope return"/>
    <w:basedOn w:val="Normal"/>
    <w:uiPriority w:val="99"/>
    <w:rsid w:val="00FA31A1"/>
    <w:pPr>
      <w:widowControl/>
      <w:autoSpaceDE w:val="0"/>
      <w:autoSpaceDN w:val="0"/>
      <w:adjustRightInd w:val="0"/>
      <w:spacing w:before="120" w:after="120" w:line="360" w:lineRule="auto"/>
    </w:pPr>
    <w:rPr>
      <w:rFonts w:ascii="Arial" w:hAnsi="Arial" w:cs="Arial"/>
      <w:sz w:val="20"/>
      <w:lang w:eastAsia="fr-BE"/>
    </w:rPr>
  </w:style>
  <w:style w:type="character" w:styleId="HTMLAcronym">
    <w:name w:val="HTML Acronym"/>
    <w:basedOn w:val="DefaultParagraphFont"/>
    <w:uiPriority w:val="99"/>
    <w:rsid w:val="00FA31A1"/>
    <w:rPr>
      <w:rFonts w:cs="Times New Roman"/>
    </w:rPr>
  </w:style>
  <w:style w:type="paragraph" w:styleId="HTMLAddress">
    <w:name w:val="HTML Address"/>
    <w:basedOn w:val="Normal"/>
    <w:link w:val="HTMLAddressChar"/>
    <w:uiPriority w:val="99"/>
    <w:rsid w:val="00FA31A1"/>
    <w:pPr>
      <w:widowControl/>
      <w:autoSpaceDE w:val="0"/>
      <w:autoSpaceDN w:val="0"/>
      <w:adjustRightInd w:val="0"/>
      <w:spacing w:before="120" w:after="120" w:line="360" w:lineRule="auto"/>
    </w:pPr>
    <w:rPr>
      <w:i/>
      <w:iCs/>
      <w:szCs w:val="24"/>
      <w:lang w:eastAsia="fr-BE"/>
    </w:rPr>
  </w:style>
  <w:style w:type="character" w:customStyle="1" w:styleId="HTMLAddressChar">
    <w:name w:val="HTML Address Char"/>
    <w:basedOn w:val="DefaultParagraphFont"/>
    <w:link w:val="HTMLAddress"/>
    <w:uiPriority w:val="99"/>
    <w:rsid w:val="00FA31A1"/>
    <w:rPr>
      <w:i/>
      <w:iCs/>
      <w:sz w:val="24"/>
      <w:szCs w:val="24"/>
      <w:lang w:val="hu-HU" w:eastAsia="fr-BE"/>
    </w:rPr>
  </w:style>
  <w:style w:type="character" w:customStyle="1" w:styleId="HTMLAddressChar1">
    <w:name w:val="HTML Address Char1"/>
    <w:basedOn w:val="DefaultParagraphFont"/>
    <w:rsid w:val="00FA31A1"/>
    <w:rPr>
      <w:rFonts w:cs="Times New Roman"/>
      <w:i/>
      <w:iCs/>
      <w:spacing w:val="0"/>
      <w:sz w:val="24"/>
      <w:szCs w:val="24"/>
      <w:lang w:val="hu-HU"/>
    </w:rPr>
  </w:style>
  <w:style w:type="character" w:styleId="HTMLCite">
    <w:name w:val="HTML Cite"/>
    <w:basedOn w:val="DefaultParagraphFont"/>
    <w:uiPriority w:val="99"/>
    <w:rsid w:val="00FA31A1"/>
    <w:rPr>
      <w:rFonts w:cs="Times New Roman"/>
      <w:i/>
      <w:iCs/>
      <w:spacing w:val="0"/>
    </w:rPr>
  </w:style>
  <w:style w:type="character" w:styleId="HTMLCode">
    <w:name w:val="HTML Code"/>
    <w:basedOn w:val="DefaultParagraphFont"/>
    <w:uiPriority w:val="99"/>
    <w:rsid w:val="00FA31A1"/>
    <w:rPr>
      <w:rFonts w:ascii="Courier New" w:hAnsi="Courier New" w:cs="Courier New"/>
      <w:spacing w:val="0"/>
      <w:sz w:val="20"/>
      <w:szCs w:val="20"/>
    </w:rPr>
  </w:style>
  <w:style w:type="character" w:styleId="HTMLDefinition">
    <w:name w:val="HTML Definition"/>
    <w:basedOn w:val="DefaultParagraphFont"/>
    <w:uiPriority w:val="99"/>
    <w:rsid w:val="00FA31A1"/>
    <w:rPr>
      <w:rFonts w:cs="Times New Roman"/>
      <w:i/>
      <w:iCs/>
      <w:spacing w:val="0"/>
    </w:rPr>
  </w:style>
  <w:style w:type="character" w:styleId="HTMLKeyboard">
    <w:name w:val="HTML Keyboard"/>
    <w:basedOn w:val="DefaultParagraphFont"/>
    <w:uiPriority w:val="99"/>
    <w:rsid w:val="00FA31A1"/>
    <w:rPr>
      <w:rFonts w:ascii="Courier New" w:hAnsi="Courier New" w:cs="Courier New"/>
      <w:spacing w:val="0"/>
      <w:sz w:val="20"/>
      <w:szCs w:val="20"/>
    </w:rPr>
  </w:style>
  <w:style w:type="paragraph" w:styleId="HTMLPreformatted">
    <w:name w:val="HTML Preformatted"/>
    <w:basedOn w:val="Normal"/>
    <w:link w:val="HTMLPreformattedChar"/>
    <w:uiPriority w:val="99"/>
    <w:rsid w:val="00FA31A1"/>
    <w:pPr>
      <w:widowControl/>
      <w:autoSpaceDE w:val="0"/>
      <w:autoSpaceDN w:val="0"/>
      <w:adjustRightInd w:val="0"/>
      <w:spacing w:before="120" w:after="120" w:line="360" w:lineRule="auto"/>
    </w:pPr>
    <w:rPr>
      <w:rFonts w:ascii="Courier New" w:hAnsi="Courier New" w:cs="Courier New"/>
      <w:szCs w:val="24"/>
      <w:lang w:eastAsia="fr-BE"/>
    </w:rPr>
  </w:style>
  <w:style w:type="character" w:customStyle="1" w:styleId="HTMLPreformattedChar">
    <w:name w:val="HTML Preformatted Char"/>
    <w:basedOn w:val="DefaultParagraphFont"/>
    <w:link w:val="HTMLPreformatted"/>
    <w:uiPriority w:val="99"/>
    <w:rsid w:val="00FA31A1"/>
    <w:rPr>
      <w:rFonts w:ascii="Courier New" w:hAnsi="Courier New" w:cs="Courier New"/>
      <w:sz w:val="24"/>
      <w:szCs w:val="24"/>
      <w:lang w:val="hu-HU" w:eastAsia="fr-BE"/>
    </w:rPr>
  </w:style>
  <w:style w:type="character" w:customStyle="1" w:styleId="HTMLPreformattedChar1">
    <w:name w:val="HTML Preformatted Char1"/>
    <w:basedOn w:val="DefaultParagraphFont"/>
    <w:rsid w:val="00FA31A1"/>
    <w:rPr>
      <w:rFonts w:ascii="Courier New" w:hAnsi="Courier New" w:cs="Courier New"/>
      <w:spacing w:val="0"/>
      <w:sz w:val="24"/>
      <w:szCs w:val="24"/>
      <w:lang w:val="hu-HU"/>
    </w:rPr>
  </w:style>
  <w:style w:type="character" w:styleId="HTMLSample">
    <w:name w:val="HTML Sample"/>
    <w:basedOn w:val="DefaultParagraphFont"/>
    <w:uiPriority w:val="99"/>
    <w:rsid w:val="00FA31A1"/>
    <w:rPr>
      <w:rFonts w:ascii="Courier New" w:hAnsi="Courier New" w:cs="Courier New"/>
      <w:spacing w:val="0"/>
    </w:rPr>
  </w:style>
  <w:style w:type="character" w:styleId="HTMLTypewriter">
    <w:name w:val="HTML Typewriter"/>
    <w:basedOn w:val="DefaultParagraphFont"/>
    <w:uiPriority w:val="99"/>
    <w:rsid w:val="00FA31A1"/>
    <w:rPr>
      <w:rFonts w:ascii="Courier New" w:hAnsi="Courier New" w:cs="Courier New"/>
      <w:spacing w:val="0"/>
      <w:sz w:val="20"/>
      <w:szCs w:val="20"/>
    </w:rPr>
  </w:style>
  <w:style w:type="character" w:styleId="HTMLVariable">
    <w:name w:val="HTML Variable"/>
    <w:basedOn w:val="DefaultParagraphFont"/>
    <w:uiPriority w:val="99"/>
    <w:rsid w:val="00FA31A1"/>
    <w:rPr>
      <w:rFonts w:cs="Times New Roman"/>
      <w:i/>
      <w:iCs/>
      <w:spacing w:val="0"/>
    </w:rPr>
  </w:style>
  <w:style w:type="character" w:styleId="LineNumber">
    <w:name w:val="line number"/>
    <w:basedOn w:val="DefaultParagraphFont"/>
    <w:uiPriority w:val="99"/>
    <w:rsid w:val="00FA31A1"/>
    <w:rPr>
      <w:rFonts w:cs="Times New Roman"/>
    </w:rPr>
  </w:style>
  <w:style w:type="paragraph" w:styleId="List">
    <w:name w:val="List"/>
    <w:basedOn w:val="Normal"/>
    <w:uiPriority w:val="99"/>
    <w:rsid w:val="00FA31A1"/>
    <w:pPr>
      <w:widowControl/>
      <w:autoSpaceDE w:val="0"/>
      <w:autoSpaceDN w:val="0"/>
      <w:adjustRightInd w:val="0"/>
      <w:spacing w:before="120" w:after="120" w:line="360" w:lineRule="auto"/>
      <w:ind w:left="283" w:hanging="283"/>
    </w:pPr>
    <w:rPr>
      <w:szCs w:val="24"/>
      <w:lang w:eastAsia="fr-BE"/>
    </w:rPr>
  </w:style>
  <w:style w:type="paragraph" w:styleId="List2">
    <w:name w:val="List 2"/>
    <w:basedOn w:val="Normal"/>
    <w:uiPriority w:val="99"/>
    <w:rsid w:val="00FA31A1"/>
    <w:pPr>
      <w:widowControl/>
      <w:autoSpaceDE w:val="0"/>
      <w:autoSpaceDN w:val="0"/>
      <w:adjustRightInd w:val="0"/>
      <w:spacing w:before="120" w:after="120" w:line="360" w:lineRule="auto"/>
      <w:ind w:left="566" w:hanging="283"/>
    </w:pPr>
    <w:rPr>
      <w:szCs w:val="24"/>
      <w:lang w:eastAsia="fr-BE"/>
    </w:rPr>
  </w:style>
  <w:style w:type="paragraph" w:styleId="List3">
    <w:name w:val="List 3"/>
    <w:basedOn w:val="Normal"/>
    <w:uiPriority w:val="99"/>
    <w:rsid w:val="00FA31A1"/>
    <w:pPr>
      <w:widowControl/>
      <w:autoSpaceDE w:val="0"/>
      <w:autoSpaceDN w:val="0"/>
      <w:adjustRightInd w:val="0"/>
      <w:spacing w:before="120" w:after="120" w:line="360" w:lineRule="auto"/>
      <w:ind w:left="849" w:hanging="283"/>
    </w:pPr>
    <w:rPr>
      <w:szCs w:val="24"/>
      <w:lang w:eastAsia="fr-BE"/>
    </w:rPr>
  </w:style>
  <w:style w:type="paragraph" w:styleId="List4">
    <w:name w:val="List 4"/>
    <w:basedOn w:val="Normal"/>
    <w:uiPriority w:val="99"/>
    <w:rsid w:val="00FA31A1"/>
    <w:pPr>
      <w:widowControl/>
      <w:autoSpaceDE w:val="0"/>
      <w:autoSpaceDN w:val="0"/>
      <w:adjustRightInd w:val="0"/>
      <w:spacing w:before="120" w:after="120" w:line="360" w:lineRule="auto"/>
      <w:ind w:left="1132" w:hanging="283"/>
    </w:pPr>
    <w:rPr>
      <w:szCs w:val="24"/>
      <w:lang w:eastAsia="fr-BE"/>
    </w:rPr>
  </w:style>
  <w:style w:type="paragraph" w:styleId="List5">
    <w:name w:val="List 5"/>
    <w:basedOn w:val="Normal"/>
    <w:uiPriority w:val="99"/>
    <w:rsid w:val="00FA31A1"/>
    <w:pPr>
      <w:widowControl/>
      <w:autoSpaceDE w:val="0"/>
      <w:autoSpaceDN w:val="0"/>
      <w:adjustRightInd w:val="0"/>
      <w:spacing w:before="120" w:after="120" w:line="360" w:lineRule="auto"/>
      <w:ind w:left="1415" w:hanging="283"/>
    </w:pPr>
    <w:rPr>
      <w:szCs w:val="24"/>
      <w:lang w:eastAsia="fr-BE"/>
    </w:rPr>
  </w:style>
  <w:style w:type="paragraph" w:styleId="ListBullet5">
    <w:name w:val="List Bullet 5"/>
    <w:basedOn w:val="Normal"/>
    <w:autoRedefine/>
    <w:uiPriority w:val="99"/>
    <w:rsid w:val="00FA31A1"/>
    <w:pPr>
      <w:widowControl/>
      <w:tabs>
        <w:tab w:val="num" w:pos="643"/>
        <w:tab w:val="num" w:pos="1492"/>
      </w:tabs>
      <w:autoSpaceDE w:val="0"/>
      <w:autoSpaceDN w:val="0"/>
      <w:adjustRightInd w:val="0"/>
      <w:spacing w:before="120" w:after="120" w:line="360" w:lineRule="auto"/>
      <w:ind w:left="1492" w:hanging="360"/>
    </w:pPr>
    <w:rPr>
      <w:szCs w:val="24"/>
      <w:lang w:eastAsia="fr-BE"/>
    </w:rPr>
  </w:style>
  <w:style w:type="paragraph" w:styleId="ListContinue">
    <w:name w:val="List Continue"/>
    <w:basedOn w:val="Normal"/>
    <w:uiPriority w:val="99"/>
    <w:rsid w:val="00FA31A1"/>
    <w:pPr>
      <w:widowControl/>
      <w:autoSpaceDE w:val="0"/>
      <w:autoSpaceDN w:val="0"/>
      <w:adjustRightInd w:val="0"/>
      <w:spacing w:before="120" w:after="120" w:line="360" w:lineRule="auto"/>
      <w:ind w:left="283"/>
    </w:pPr>
    <w:rPr>
      <w:szCs w:val="24"/>
      <w:lang w:eastAsia="fr-BE"/>
    </w:rPr>
  </w:style>
  <w:style w:type="paragraph" w:styleId="ListContinue2">
    <w:name w:val="List Continue 2"/>
    <w:basedOn w:val="Normal"/>
    <w:uiPriority w:val="99"/>
    <w:rsid w:val="00FA31A1"/>
    <w:pPr>
      <w:widowControl/>
      <w:autoSpaceDE w:val="0"/>
      <w:autoSpaceDN w:val="0"/>
      <w:adjustRightInd w:val="0"/>
      <w:spacing w:before="120" w:after="120" w:line="360" w:lineRule="auto"/>
      <w:ind w:left="566"/>
    </w:pPr>
    <w:rPr>
      <w:szCs w:val="24"/>
      <w:lang w:eastAsia="fr-BE"/>
    </w:rPr>
  </w:style>
  <w:style w:type="paragraph" w:styleId="ListContinue3">
    <w:name w:val="List Continue 3"/>
    <w:basedOn w:val="Normal"/>
    <w:uiPriority w:val="99"/>
    <w:rsid w:val="00FA31A1"/>
    <w:pPr>
      <w:widowControl/>
      <w:autoSpaceDE w:val="0"/>
      <w:autoSpaceDN w:val="0"/>
      <w:adjustRightInd w:val="0"/>
      <w:spacing w:before="120" w:after="120" w:line="360" w:lineRule="auto"/>
      <w:ind w:left="849"/>
    </w:pPr>
    <w:rPr>
      <w:szCs w:val="24"/>
      <w:lang w:eastAsia="fr-BE"/>
    </w:rPr>
  </w:style>
  <w:style w:type="paragraph" w:styleId="ListContinue4">
    <w:name w:val="List Continue 4"/>
    <w:basedOn w:val="Normal"/>
    <w:uiPriority w:val="99"/>
    <w:rsid w:val="00FA31A1"/>
    <w:pPr>
      <w:widowControl/>
      <w:autoSpaceDE w:val="0"/>
      <w:autoSpaceDN w:val="0"/>
      <w:adjustRightInd w:val="0"/>
      <w:spacing w:before="120" w:after="120" w:line="360" w:lineRule="auto"/>
      <w:ind w:left="1132"/>
    </w:pPr>
    <w:rPr>
      <w:szCs w:val="24"/>
      <w:lang w:eastAsia="fr-BE"/>
    </w:rPr>
  </w:style>
  <w:style w:type="paragraph" w:styleId="ListContinue5">
    <w:name w:val="List Continue 5"/>
    <w:basedOn w:val="Normal"/>
    <w:uiPriority w:val="99"/>
    <w:rsid w:val="00FA31A1"/>
    <w:pPr>
      <w:widowControl/>
      <w:autoSpaceDE w:val="0"/>
      <w:autoSpaceDN w:val="0"/>
      <w:adjustRightInd w:val="0"/>
      <w:spacing w:before="120" w:after="120" w:line="360" w:lineRule="auto"/>
      <w:ind w:left="1415"/>
    </w:pPr>
    <w:rPr>
      <w:szCs w:val="24"/>
      <w:lang w:eastAsia="fr-BE"/>
    </w:rPr>
  </w:style>
  <w:style w:type="paragraph" w:styleId="ListNumber5">
    <w:name w:val="List Number 5"/>
    <w:basedOn w:val="Normal"/>
    <w:uiPriority w:val="99"/>
    <w:rsid w:val="00FA31A1"/>
    <w:pPr>
      <w:widowControl/>
      <w:tabs>
        <w:tab w:val="num" w:pos="360"/>
        <w:tab w:val="num" w:pos="1492"/>
      </w:tabs>
      <w:autoSpaceDE w:val="0"/>
      <w:autoSpaceDN w:val="0"/>
      <w:adjustRightInd w:val="0"/>
      <w:spacing w:before="120" w:after="120" w:line="360" w:lineRule="auto"/>
      <w:ind w:left="1492" w:hanging="360"/>
    </w:pPr>
    <w:rPr>
      <w:szCs w:val="24"/>
      <w:lang w:eastAsia="fr-BE"/>
    </w:rPr>
  </w:style>
  <w:style w:type="paragraph" w:styleId="MacroText">
    <w:name w:val="macro"/>
    <w:link w:val="MacroTextChar"/>
    <w:uiPriority w:val="99"/>
    <w:rsid w:val="00FA31A1"/>
    <w:pPr>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before="120" w:after="120" w:line="360" w:lineRule="auto"/>
    </w:pPr>
    <w:rPr>
      <w:rFonts w:ascii="Courier New" w:hAnsi="Courier New" w:cs="Courier New"/>
      <w:sz w:val="24"/>
      <w:szCs w:val="24"/>
      <w:lang w:val="en-US" w:eastAsia="fr-BE"/>
    </w:rPr>
  </w:style>
  <w:style w:type="character" w:customStyle="1" w:styleId="MacroTextChar">
    <w:name w:val="Macro Text Char"/>
    <w:basedOn w:val="DefaultParagraphFont"/>
    <w:link w:val="MacroText"/>
    <w:uiPriority w:val="99"/>
    <w:rsid w:val="00FA31A1"/>
    <w:rPr>
      <w:rFonts w:ascii="Courier New" w:hAnsi="Courier New" w:cs="Courier New"/>
      <w:sz w:val="24"/>
      <w:szCs w:val="24"/>
      <w:lang w:val="en-US" w:eastAsia="fr-BE"/>
    </w:rPr>
  </w:style>
  <w:style w:type="character" w:customStyle="1" w:styleId="MacroTextChar1">
    <w:name w:val="Macro Text Char1"/>
    <w:basedOn w:val="DefaultParagraphFont"/>
    <w:rsid w:val="00FA31A1"/>
    <w:rPr>
      <w:rFonts w:ascii="Courier New" w:hAnsi="Courier New" w:cs="Courier New"/>
      <w:spacing w:val="0"/>
      <w:sz w:val="24"/>
      <w:szCs w:val="24"/>
      <w:lang w:val="hu-HU"/>
    </w:rPr>
  </w:style>
  <w:style w:type="paragraph" w:styleId="MessageHeader">
    <w:name w:val="Message Header"/>
    <w:basedOn w:val="Normal"/>
    <w:link w:val="MessageHeaderChar"/>
    <w:uiPriority w:val="99"/>
    <w:rsid w:val="00FA31A1"/>
    <w:pPr>
      <w:widowControl/>
      <w:pBdr>
        <w:top w:val="single" w:sz="6" w:space="1" w:color="auto"/>
        <w:left w:val="single" w:sz="6" w:space="1" w:color="auto"/>
        <w:bottom w:val="single" w:sz="6" w:space="1" w:color="auto"/>
        <w:right w:val="single" w:sz="6" w:space="1" w:color="auto"/>
      </w:pBdr>
      <w:autoSpaceDE w:val="0"/>
      <w:autoSpaceDN w:val="0"/>
      <w:adjustRightInd w:val="0"/>
      <w:spacing w:before="120" w:after="120" w:line="360" w:lineRule="auto"/>
      <w:ind w:left="1134" w:hanging="1134"/>
    </w:pPr>
    <w:rPr>
      <w:rFonts w:ascii="Arial" w:hAnsi="Arial" w:cs="Arial"/>
      <w:szCs w:val="24"/>
      <w:shd w:val="pct20" w:color="auto" w:fill="auto"/>
      <w:lang w:eastAsia="fr-BE"/>
    </w:rPr>
  </w:style>
  <w:style w:type="character" w:customStyle="1" w:styleId="MessageHeaderChar">
    <w:name w:val="Message Header Char"/>
    <w:basedOn w:val="DefaultParagraphFont"/>
    <w:link w:val="MessageHeader"/>
    <w:uiPriority w:val="99"/>
    <w:rsid w:val="00FA31A1"/>
    <w:rPr>
      <w:rFonts w:ascii="Arial" w:hAnsi="Arial" w:cs="Arial"/>
      <w:sz w:val="24"/>
      <w:szCs w:val="24"/>
      <w:lang w:val="hu-HU" w:eastAsia="fr-BE"/>
    </w:rPr>
  </w:style>
  <w:style w:type="character" w:customStyle="1" w:styleId="MessageHeaderChar1">
    <w:name w:val="Message Header Char1"/>
    <w:basedOn w:val="DefaultParagraphFont"/>
    <w:rsid w:val="00FA31A1"/>
    <w:rPr>
      <w:rFonts w:ascii="Arial" w:hAnsi="Arial" w:cs="Arial"/>
      <w:spacing w:val="0"/>
      <w:sz w:val="24"/>
      <w:szCs w:val="24"/>
      <w:shd w:val="pct20" w:color="auto" w:fill="auto"/>
      <w:lang w:val="hu-HU"/>
    </w:rPr>
  </w:style>
  <w:style w:type="paragraph" w:styleId="NormalWeb">
    <w:name w:val="Normal (Web)"/>
    <w:basedOn w:val="Normal"/>
    <w:uiPriority w:val="99"/>
    <w:rsid w:val="00FA31A1"/>
    <w:pPr>
      <w:widowControl/>
      <w:autoSpaceDE w:val="0"/>
      <w:autoSpaceDN w:val="0"/>
      <w:adjustRightInd w:val="0"/>
      <w:spacing w:before="120" w:after="120" w:line="360" w:lineRule="auto"/>
    </w:pPr>
    <w:rPr>
      <w:szCs w:val="24"/>
      <w:lang w:eastAsia="fr-BE"/>
    </w:rPr>
  </w:style>
  <w:style w:type="paragraph" w:styleId="NormalIndent">
    <w:name w:val="Normal Indent"/>
    <w:basedOn w:val="Normal"/>
    <w:uiPriority w:val="99"/>
    <w:rsid w:val="00FA31A1"/>
    <w:pPr>
      <w:widowControl/>
      <w:autoSpaceDE w:val="0"/>
      <w:autoSpaceDN w:val="0"/>
      <w:adjustRightInd w:val="0"/>
      <w:spacing w:before="120" w:after="120" w:line="360" w:lineRule="auto"/>
      <w:ind w:left="720"/>
    </w:pPr>
    <w:rPr>
      <w:szCs w:val="24"/>
      <w:lang w:eastAsia="fr-BE"/>
    </w:rPr>
  </w:style>
  <w:style w:type="paragraph" w:styleId="PlainText">
    <w:name w:val="Plain Text"/>
    <w:basedOn w:val="Normal"/>
    <w:link w:val="PlainTextChar"/>
    <w:uiPriority w:val="99"/>
    <w:rsid w:val="00FA31A1"/>
    <w:pPr>
      <w:widowControl/>
      <w:autoSpaceDE w:val="0"/>
      <w:autoSpaceDN w:val="0"/>
      <w:adjustRightInd w:val="0"/>
      <w:spacing w:before="120" w:after="120" w:line="360" w:lineRule="auto"/>
    </w:pPr>
    <w:rPr>
      <w:rFonts w:ascii="Courier New" w:hAnsi="Courier New" w:cs="Courier New"/>
      <w:szCs w:val="24"/>
      <w:lang w:eastAsia="fr-BE"/>
    </w:rPr>
  </w:style>
  <w:style w:type="character" w:customStyle="1" w:styleId="PlainTextChar">
    <w:name w:val="Plain Text Char"/>
    <w:basedOn w:val="DefaultParagraphFont"/>
    <w:link w:val="PlainText"/>
    <w:uiPriority w:val="99"/>
    <w:rsid w:val="00FA31A1"/>
    <w:rPr>
      <w:rFonts w:ascii="Courier New" w:hAnsi="Courier New" w:cs="Courier New"/>
      <w:sz w:val="24"/>
      <w:szCs w:val="24"/>
      <w:lang w:val="hu-HU" w:eastAsia="fr-BE"/>
    </w:rPr>
  </w:style>
  <w:style w:type="character" w:customStyle="1" w:styleId="PlainTextChar1">
    <w:name w:val="Plain Text Char1"/>
    <w:basedOn w:val="DefaultParagraphFont"/>
    <w:rsid w:val="00FA31A1"/>
    <w:rPr>
      <w:rFonts w:ascii="Courier New" w:hAnsi="Courier New" w:cs="Courier New"/>
      <w:spacing w:val="0"/>
      <w:sz w:val="24"/>
      <w:szCs w:val="24"/>
      <w:lang w:val="hu-HU"/>
    </w:rPr>
  </w:style>
  <w:style w:type="paragraph" w:styleId="Signature">
    <w:name w:val="Signature"/>
    <w:basedOn w:val="Normal"/>
    <w:link w:val="SignatureChar"/>
    <w:uiPriority w:val="99"/>
    <w:rsid w:val="00FA31A1"/>
    <w:pPr>
      <w:widowControl/>
      <w:autoSpaceDE w:val="0"/>
      <w:autoSpaceDN w:val="0"/>
      <w:adjustRightInd w:val="0"/>
      <w:spacing w:before="120" w:after="120" w:line="360" w:lineRule="auto"/>
      <w:ind w:left="4252"/>
    </w:pPr>
    <w:rPr>
      <w:szCs w:val="24"/>
      <w:lang w:eastAsia="fr-BE"/>
    </w:rPr>
  </w:style>
  <w:style w:type="character" w:customStyle="1" w:styleId="SignatureChar">
    <w:name w:val="Signature Char"/>
    <w:basedOn w:val="DefaultParagraphFont"/>
    <w:link w:val="Signature"/>
    <w:uiPriority w:val="99"/>
    <w:rsid w:val="00FA31A1"/>
    <w:rPr>
      <w:sz w:val="24"/>
      <w:szCs w:val="24"/>
      <w:lang w:val="hu-HU" w:eastAsia="fr-BE"/>
    </w:rPr>
  </w:style>
  <w:style w:type="character" w:customStyle="1" w:styleId="SignatureChar1">
    <w:name w:val="Signature Char1"/>
    <w:basedOn w:val="DefaultParagraphFont"/>
    <w:rsid w:val="00FA31A1"/>
    <w:rPr>
      <w:rFonts w:cs="Times New Roman"/>
      <w:spacing w:val="0"/>
      <w:sz w:val="24"/>
      <w:szCs w:val="24"/>
      <w:lang w:val="hu-HU"/>
    </w:rPr>
  </w:style>
  <w:style w:type="character" w:styleId="Strong">
    <w:name w:val="Strong"/>
    <w:basedOn w:val="DefaultParagraphFont"/>
    <w:uiPriority w:val="22"/>
    <w:qFormat/>
    <w:rsid w:val="00FA31A1"/>
    <w:rPr>
      <w:rFonts w:cs="Times New Roman"/>
      <w:b/>
      <w:bCs/>
      <w:spacing w:val="0"/>
    </w:rPr>
  </w:style>
  <w:style w:type="paragraph" w:styleId="Subtitle">
    <w:name w:val="Subtitle"/>
    <w:basedOn w:val="Normal"/>
    <w:link w:val="SubtitleChar"/>
    <w:uiPriority w:val="11"/>
    <w:qFormat/>
    <w:rsid w:val="00FA31A1"/>
    <w:pPr>
      <w:widowControl/>
      <w:autoSpaceDE w:val="0"/>
      <w:autoSpaceDN w:val="0"/>
      <w:adjustRightInd w:val="0"/>
      <w:spacing w:before="120" w:after="60" w:line="360" w:lineRule="auto"/>
      <w:jc w:val="center"/>
      <w:outlineLvl w:val="1"/>
    </w:pPr>
    <w:rPr>
      <w:rFonts w:ascii="Arial" w:hAnsi="Arial" w:cs="Arial"/>
      <w:szCs w:val="24"/>
      <w:lang w:eastAsia="fr-BE"/>
    </w:rPr>
  </w:style>
  <w:style w:type="character" w:customStyle="1" w:styleId="SubtitleChar">
    <w:name w:val="Subtitle Char"/>
    <w:basedOn w:val="DefaultParagraphFont"/>
    <w:link w:val="Subtitle"/>
    <w:uiPriority w:val="11"/>
    <w:rsid w:val="00FA31A1"/>
    <w:rPr>
      <w:rFonts w:ascii="Arial" w:hAnsi="Arial" w:cs="Arial"/>
      <w:sz w:val="24"/>
      <w:szCs w:val="24"/>
      <w:lang w:val="hu-HU" w:eastAsia="fr-BE"/>
    </w:rPr>
  </w:style>
  <w:style w:type="character" w:customStyle="1" w:styleId="SubtitleChar1">
    <w:name w:val="Subtitle Char1"/>
    <w:basedOn w:val="DefaultParagraphFont"/>
    <w:rsid w:val="00FA31A1"/>
    <w:rPr>
      <w:rFonts w:ascii="Arial" w:hAnsi="Arial" w:cs="Arial"/>
      <w:spacing w:val="0"/>
      <w:sz w:val="24"/>
      <w:szCs w:val="24"/>
      <w:lang w:val="hu-HU"/>
    </w:rPr>
  </w:style>
  <w:style w:type="paragraph" w:styleId="Title">
    <w:name w:val="Title"/>
    <w:basedOn w:val="Normal"/>
    <w:link w:val="TitleChar"/>
    <w:uiPriority w:val="10"/>
    <w:qFormat/>
    <w:rsid w:val="00FA31A1"/>
    <w:pPr>
      <w:widowControl/>
      <w:autoSpaceDE w:val="0"/>
      <w:autoSpaceDN w:val="0"/>
      <w:adjustRightInd w:val="0"/>
      <w:spacing w:before="240" w:after="60" w:line="360" w:lineRule="auto"/>
      <w:jc w:val="center"/>
      <w:outlineLvl w:val="0"/>
    </w:pPr>
    <w:rPr>
      <w:rFonts w:ascii="Arial" w:hAnsi="Arial" w:cs="Arial"/>
      <w:b/>
      <w:bCs/>
      <w:kern w:val="28"/>
      <w:sz w:val="32"/>
      <w:szCs w:val="32"/>
      <w:lang w:eastAsia="fr-BE"/>
    </w:rPr>
  </w:style>
  <w:style w:type="character" w:customStyle="1" w:styleId="TitleChar">
    <w:name w:val="Title Char"/>
    <w:basedOn w:val="DefaultParagraphFont"/>
    <w:link w:val="Title"/>
    <w:uiPriority w:val="10"/>
    <w:rsid w:val="00FA31A1"/>
    <w:rPr>
      <w:rFonts w:ascii="Arial" w:hAnsi="Arial" w:cs="Arial"/>
      <w:b/>
      <w:bCs/>
      <w:kern w:val="28"/>
      <w:sz w:val="32"/>
      <w:szCs w:val="32"/>
      <w:lang w:val="hu-HU" w:eastAsia="fr-BE"/>
    </w:rPr>
  </w:style>
  <w:style w:type="character" w:customStyle="1" w:styleId="TitleChar1">
    <w:name w:val="Title Char1"/>
    <w:basedOn w:val="DefaultParagraphFont"/>
    <w:rsid w:val="00FA31A1"/>
    <w:rPr>
      <w:rFonts w:ascii="Arial" w:hAnsi="Arial" w:cs="Arial"/>
      <w:b/>
      <w:bCs/>
      <w:spacing w:val="0"/>
      <w:kern w:val="28"/>
      <w:sz w:val="32"/>
      <w:szCs w:val="32"/>
      <w:lang w:val="hu-HU"/>
    </w:rPr>
  </w:style>
  <w:style w:type="paragraph" w:styleId="Index1">
    <w:name w:val="index 1"/>
    <w:basedOn w:val="Normal"/>
    <w:next w:val="Normal"/>
    <w:autoRedefine/>
    <w:uiPriority w:val="99"/>
    <w:rsid w:val="00FA31A1"/>
    <w:pPr>
      <w:widowControl/>
      <w:autoSpaceDE w:val="0"/>
      <w:autoSpaceDN w:val="0"/>
      <w:adjustRightInd w:val="0"/>
      <w:ind w:left="200" w:hanging="200"/>
    </w:pPr>
    <w:rPr>
      <w:szCs w:val="24"/>
      <w:lang w:eastAsia="fr-BE"/>
    </w:rPr>
  </w:style>
  <w:style w:type="paragraph" w:styleId="IndexHeading">
    <w:name w:val="index heading"/>
    <w:basedOn w:val="Normal"/>
    <w:next w:val="Index1"/>
    <w:uiPriority w:val="99"/>
    <w:rsid w:val="00FA31A1"/>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jc w:val="both"/>
    </w:pPr>
    <w:rPr>
      <w:szCs w:val="24"/>
      <w:lang w:eastAsia="fr-BE"/>
    </w:rPr>
  </w:style>
  <w:style w:type="paragraph" w:customStyle="1" w:styleId="Titre1">
    <w:name w:val="Titre1"/>
    <w:basedOn w:val="Heading6"/>
    <w:rsid w:val="00FA31A1"/>
    <w:pPr>
      <w:keepNext/>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spacing w:before="0" w:after="0"/>
      <w:jc w:val="center"/>
    </w:pPr>
    <w:rPr>
      <w:i w:val="0"/>
      <w:sz w:val="60"/>
      <w:szCs w:val="60"/>
      <w:lang w:eastAsia="fr-BE"/>
    </w:rPr>
  </w:style>
  <w:style w:type="paragraph" w:customStyle="1" w:styleId="Titre2">
    <w:name w:val="Titre2"/>
    <w:basedOn w:val="Normal"/>
    <w:rsid w:val="00FA31A1"/>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ind w:left="1701"/>
      <w:jc w:val="both"/>
    </w:pPr>
    <w:rPr>
      <w:rFonts w:ascii="Arial" w:hAnsi="Arial" w:cs="Arial"/>
      <w:b/>
      <w:bCs/>
      <w:sz w:val="48"/>
      <w:szCs w:val="48"/>
      <w:lang w:eastAsia="fr-BE"/>
    </w:rPr>
  </w:style>
  <w:style w:type="paragraph" w:customStyle="1" w:styleId="pj">
    <w:name w:val="p.j."/>
    <w:basedOn w:val="Normal"/>
    <w:next w:val="Normal"/>
    <w:rsid w:val="00FA31A1"/>
    <w:pPr>
      <w:widowControl/>
      <w:autoSpaceDE w:val="0"/>
      <w:autoSpaceDN w:val="0"/>
      <w:adjustRightInd w:val="0"/>
      <w:spacing w:before="1200" w:after="120"/>
      <w:ind w:left="1440" w:hanging="1440"/>
    </w:pPr>
    <w:rPr>
      <w:szCs w:val="24"/>
      <w:lang w:eastAsia="fr-BE"/>
    </w:rPr>
  </w:style>
  <w:style w:type="paragraph" w:customStyle="1" w:styleId="Text0">
    <w:name w:val="Text 0"/>
    <w:basedOn w:val="Normal"/>
    <w:rsid w:val="00FA31A1"/>
    <w:pPr>
      <w:autoSpaceDE w:val="0"/>
      <w:autoSpaceDN w:val="0"/>
      <w:adjustRightInd w:val="0"/>
      <w:spacing w:before="120" w:after="120" w:line="360" w:lineRule="auto"/>
    </w:pPr>
    <w:rPr>
      <w:szCs w:val="24"/>
      <w:lang w:eastAsia="fr-BE"/>
    </w:rPr>
  </w:style>
  <w:style w:type="paragraph" w:customStyle="1" w:styleId="N">
    <w:name w:val="N"/>
    <w:aliases w:val="ORMAL"/>
    <w:basedOn w:val="Text0"/>
    <w:rsid w:val="00FA31A1"/>
    <w:pPr>
      <w:spacing w:before="0" w:after="0"/>
    </w:pPr>
  </w:style>
  <w:style w:type="paragraph" w:customStyle="1" w:styleId="Considerant">
    <w:name w:val="Considerant"/>
    <w:basedOn w:val="Considrant"/>
    <w:rsid w:val="00FA31A1"/>
    <w:pPr>
      <w:tabs>
        <w:tab w:val="num" w:pos="709"/>
      </w:tabs>
      <w:autoSpaceDE w:val="0"/>
      <w:autoSpaceDN w:val="0"/>
      <w:adjustRightInd w:val="0"/>
      <w:spacing w:before="0" w:after="0"/>
      <w:ind w:left="709" w:hanging="709"/>
    </w:pPr>
    <w:rPr>
      <w:lang w:val="hu-HU" w:eastAsia="fr-BE"/>
    </w:rPr>
  </w:style>
  <w:style w:type="paragraph" w:customStyle="1" w:styleId="Lginef">
    <w:name w:val="Lgine f"/>
    <w:basedOn w:val="Normal"/>
    <w:rsid w:val="00FA31A1"/>
    <w:pPr>
      <w:widowControl/>
      <w:autoSpaceDE w:val="0"/>
      <w:autoSpaceDN w:val="0"/>
      <w:adjustRightInd w:val="0"/>
      <w:spacing w:before="120" w:after="120" w:line="360" w:lineRule="auto"/>
    </w:pPr>
    <w:rPr>
      <w:szCs w:val="24"/>
      <w:lang w:eastAsia="fr-BE"/>
    </w:rPr>
  </w:style>
  <w:style w:type="paragraph" w:customStyle="1" w:styleId="Normal12Bold">
    <w:name w:val="Normal12Bold"/>
    <w:basedOn w:val="Normal12"/>
    <w:rsid w:val="00FA31A1"/>
    <w:pPr>
      <w:autoSpaceDE w:val="0"/>
      <w:autoSpaceDN w:val="0"/>
      <w:adjustRightInd w:val="0"/>
    </w:pPr>
    <w:rPr>
      <w:b/>
      <w:bCs/>
      <w:noProof w:val="0"/>
      <w:szCs w:val="24"/>
      <w:lang w:eastAsia="fr-BE"/>
    </w:rPr>
  </w:style>
  <w:style w:type="paragraph" w:customStyle="1" w:styleId="Normal12Hanging">
    <w:name w:val="Normal12Hanging"/>
    <w:basedOn w:val="Normal12"/>
    <w:rsid w:val="00FA31A1"/>
    <w:pPr>
      <w:autoSpaceDE w:val="0"/>
      <w:autoSpaceDN w:val="0"/>
      <w:adjustRightInd w:val="0"/>
      <w:ind w:left="357" w:hanging="357"/>
    </w:pPr>
    <w:rPr>
      <w:noProof w:val="0"/>
      <w:szCs w:val="24"/>
      <w:lang w:eastAsia="fr-BE"/>
    </w:rPr>
  </w:style>
  <w:style w:type="character" w:customStyle="1" w:styleId="italic1">
    <w:name w:val="italic1"/>
    <w:basedOn w:val="DefaultParagraphFont"/>
    <w:rsid w:val="00FA31A1"/>
    <w:rPr>
      <w:rFonts w:cs="Times New Roman"/>
      <w:i/>
      <w:iCs/>
      <w:spacing w:val="0"/>
      <w:shd w:val="clear" w:color="auto" w:fill="auto"/>
    </w:rPr>
  </w:style>
  <w:style w:type="paragraph" w:customStyle="1" w:styleId="CM4">
    <w:name w:val="CM4"/>
    <w:basedOn w:val="Default"/>
    <w:next w:val="Default"/>
    <w:uiPriority w:val="99"/>
    <w:rsid w:val="00FA31A1"/>
    <w:rPr>
      <w:rFonts w:ascii="EUAlbertina" w:eastAsia="Times New Roman" w:hAnsi="EUAlbertina" w:cs="EUAlbertina"/>
      <w:color w:val="auto"/>
      <w:lang w:eastAsia="fr-BE"/>
    </w:rPr>
  </w:style>
  <w:style w:type="paragraph" w:customStyle="1" w:styleId="NormalConseil">
    <w:name w:val="NormalConseil"/>
    <w:basedOn w:val="Normal"/>
    <w:rsid w:val="00FA31A1"/>
    <w:pPr>
      <w:widowControl/>
      <w:autoSpaceDE w:val="0"/>
      <w:autoSpaceDN w:val="0"/>
      <w:adjustRightInd w:val="0"/>
    </w:pPr>
    <w:rPr>
      <w:szCs w:val="24"/>
      <w:lang w:eastAsia="fr-BE"/>
    </w:rPr>
  </w:style>
  <w:style w:type="paragraph" w:customStyle="1" w:styleId="FooterConseil">
    <w:name w:val="FooterConseil"/>
    <w:basedOn w:val="NormalConseil"/>
    <w:rsid w:val="00FA31A1"/>
    <w:pPr>
      <w:tabs>
        <w:tab w:val="center" w:pos="4820"/>
        <w:tab w:val="center" w:pos="7371"/>
        <w:tab w:val="right" w:pos="9639"/>
      </w:tabs>
    </w:pPr>
  </w:style>
  <w:style w:type="character" w:customStyle="1" w:styleId="st1">
    <w:name w:val="st1"/>
    <w:rsid w:val="00FA31A1"/>
    <w:rPr>
      <w:spacing w:val="0"/>
      <w:sz w:val="24"/>
      <w:lang w:val="hu-HU"/>
    </w:rPr>
  </w:style>
  <w:style w:type="character" w:customStyle="1" w:styleId="Point0Char">
    <w:name w:val="Point 0 Char"/>
    <w:rsid w:val="00FA31A1"/>
    <w:rPr>
      <w:spacing w:val="0"/>
      <w:sz w:val="24"/>
      <w:lang w:val="hu-HU"/>
    </w:rPr>
  </w:style>
  <w:style w:type="paragraph" w:customStyle="1" w:styleId="DeltaViewTableHeading">
    <w:name w:val="DeltaView Table Heading"/>
    <w:basedOn w:val="Normal"/>
    <w:rsid w:val="00FA31A1"/>
    <w:pPr>
      <w:widowControl/>
      <w:autoSpaceDE w:val="0"/>
      <w:autoSpaceDN w:val="0"/>
      <w:adjustRightInd w:val="0"/>
      <w:spacing w:after="120"/>
    </w:pPr>
    <w:rPr>
      <w:rFonts w:ascii="Arial" w:hAnsi="Arial" w:cs="Arial"/>
      <w:b/>
      <w:bCs/>
      <w:szCs w:val="24"/>
      <w:lang w:eastAsia="fr-BE"/>
    </w:rPr>
  </w:style>
  <w:style w:type="paragraph" w:customStyle="1" w:styleId="DeltaViewTableBody">
    <w:name w:val="DeltaView Table Body"/>
    <w:basedOn w:val="Normal"/>
    <w:rsid w:val="00FA31A1"/>
    <w:pPr>
      <w:widowControl/>
      <w:autoSpaceDE w:val="0"/>
      <w:autoSpaceDN w:val="0"/>
      <w:adjustRightInd w:val="0"/>
    </w:pPr>
    <w:rPr>
      <w:rFonts w:ascii="Arial" w:hAnsi="Arial" w:cs="Arial"/>
      <w:szCs w:val="24"/>
      <w:lang w:eastAsia="fr-BE"/>
    </w:rPr>
  </w:style>
  <w:style w:type="paragraph" w:customStyle="1" w:styleId="DeltaViewAnnounce">
    <w:name w:val="DeltaView Announce"/>
    <w:rsid w:val="00FA31A1"/>
    <w:pPr>
      <w:autoSpaceDE w:val="0"/>
      <w:autoSpaceDN w:val="0"/>
      <w:adjustRightInd w:val="0"/>
      <w:spacing w:before="100" w:beforeAutospacing="1" w:after="100" w:afterAutospacing="1"/>
    </w:pPr>
    <w:rPr>
      <w:rFonts w:ascii="Arial" w:hAnsi="Arial" w:cs="Arial"/>
      <w:sz w:val="24"/>
      <w:szCs w:val="24"/>
      <w:lang w:val="en-US" w:eastAsia="fr-BE"/>
    </w:rPr>
  </w:style>
  <w:style w:type="character" w:customStyle="1" w:styleId="DeltaViewInsertion">
    <w:name w:val="DeltaView Insertion"/>
    <w:rsid w:val="00FA31A1"/>
    <w:rPr>
      <w:b/>
      <w:i/>
      <w:spacing w:val="0"/>
    </w:rPr>
  </w:style>
  <w:style w:type="character" w:customStyle="1" w:styleId="DeltaViewDeletion">
    <w:name w:val="DeltaView Deletion"/>
    <w:rsid w:val="00FA31A1"/>
    <w:rPr>
      <w:strike/>
      <w:spacing w:val="0"/>
    </w:rPr>
  </w:style>
  <w:style w:type="character" w:customStyle="1" w:styleId="DeltaViewMoveSource">
    <w:name w:val="DeltaView Move Source"/>
    <w:rsid w:val="00FA31A1"/>
    <w:rPr>
      <w:strike/>
      <w:spacing w:val="0"/>
    </w:rPr>
  </w:style>
  <w:style w:type="character" w:customStyle="1" w:styleId="DeltaViewMoveDestination">
    <w:name w:val="DeltaView Move Destination"/>
    <w:rsid w:val="00FA31A1"/>
    <w:rPr>
      <w:spacing w:val="0"/>
      <w:u w:val="double"/>
    </w:rPr>
  </w:style>
  <w:style w:type="character" w:customStyle="1" w:styleId="DeltaViewChangeNumber">
    <w:name w:val="DeltaView Change Number"/>
    <w:rsid w:val="00FA31A1"/>
    <w:rPr>
      <w:color w:val="000000"/>
      <w:spacing w:val="0"/>
      <w:vertAlign w:val="superscript"/>
    </w:rPr>
  </w:style>
  <w:style w:type="character" w:customStyle="1" w:styleId="DeltaViewDelimiter">
    <w:name w:val="DeltaView Delimiter"/>
    <w:rsid w:val="00FA31A1"/>
    <w:rPr>
      <w:spacing w:val="0"/>
    </w:rPr>
  </w:style>
  <w:style w:type="character" w:customStyle="1" w:styleId="DeltaViewFormatChange">
    <w:name w:val="DeltaView Format Change"/>
    <w:rsid w:val="00FA31A1"/>
    <w:rPr>
      <w:color w:val="000000"/>
      <w:spacing w:val="0"/>
    </w:rPr>
  </w:style>
  <w:style w:type="character" w:customStyle="1" w:styleId="DeltaViewMovedDeletion">
    <w:name w:val="DeltaView Moved Deletion"/>
    <w:rsid w:val="00FA31A1"/>
    <w:rPr>
      <w:strike/>
      <w:color w:val="C08080"/>
      <w:spacing w:val="0"/>
    </w:rPr>
  </w:style>
  <w:style w:type="character" w:customStyle="1" w:styleId="DeltaViewEditorComment">
    <w:name w:val="DeltaView Editor Comment"/>
    <w:basedOn w:val="DefaultParagraphFont"/>
    <w:rsid w:val="00FA31A1"/>
    <w:rPr>
      <w:rFonts w:cs="Times New Roman"/>
      <w:color w:val="0000FF"/>
      <w:spacing w:val="0"/>
      <w:u w:val="double"/>
    </w:rPr>
  </w:style>
  <w:style w:type="character" w:customStyle="1" w:styleId="DeltaViewStyleChangeText">
    <w:name w:val="DeltaView Style Change Text"/>
    <w:rsid w:val="00FA31A1"/>
    <w:rPr>
      <w:color w:val="000000"/>
      <w:spacing w:val="0"/>
      <w:u w:val="double"/>
    </w:rPr>
  </w:style>
  <w:style w:type="character" w:customStyle="1" w:styleId="DeltaViewStyleChangeLabel">
    <w:name w:val="DeltaView Style Change Label"/>
    <w:rsid w:val="00FA31A1"/>
    <w:rPr>
      <w:color w:val="000000"/>
      <w:spacing w:val="0"/>
    </w:rPr>
  </w:style>
  <w:style w:type="character" w:customStyle="1" w:styleId="UnresolvedMention1">
    <w:name w:val="Unresolved Mention1"/>
    <w:basedOn w:val="DefaultParagraphFont"/>
    <w:uiPriority w:val="99"/>
    <w:semiHidden/>
    <w:unhideWhenUsed/>
    <w:rsid w:val="00FA31A1"/>
    <w:rPr>
      <w:color w:val="605E5C"/>
      <w:shd w:val="clear" w:color="auto" w:fill="E1DFDD"/>
    </w:rPr>
  </w:style>
  <w:style w:type="character" w:customStyle="1" w:styleId="UnresolvedMention2">
    <w:name w:val="Unresolved Mention2"/>
    <w:basedOn w:val="DefaultParagraphFont"/>
    <w:uiPriority w:val="99"/>
    <w:semiHidden/>
    <w:unhideWhenUsed/>
    <w:rsid w:val="00FA31A1"/>
    <w:rPr>
      <w:color w:val="605E5C"/>
      <w:shd w:val="clear" w:color="auto" w:fill="E1DFDD"/>
    </w:rPr>
  </w:style>
  <w:style w:type="paragraph" w:customStyle="1" w:styleId="ThetitleofAnnexIPoint0number">
    <w:name w:val="The title of Annex I Point 0 (number)"/>
    <w:basedOn w:val="Point0number"/>
    <w:rsid w:val="00FA31A1"/>
    <w:pPr>
      <w:numPr>
        <w:numId w:val="1"/>
      </w:numPr>
    </w:pPr>
  </w:style>
  <w:style w:type="paragraph" w:customStyle="1" w:styleId="Part1isreplacedwiththefollowignPoint0number">
    <w:name w:val="Part 1 is replaced with the followign: Point 0 (number)"/>
    <w:basedOn w:val="Point0number"/>
    <w:rsid w:val="00FA31A1"/>
    <w:pPr>
      <w:numPr>
        <w:numId w:val="0"/>
      </w:numPr>
      <w:tabs>
        <w:tab w:val="num" w:pos="360"/>
      </w:tabs>
      <w:ind w:left="360" w:hanging="360"/>
    </w:pPr>
  </w:style>
  <w:style w:type="paragraph" w:customStyle="1" w:styleId="PartPoint0number">
    <w:name w:val="PartPoint 0 (number)"/>
    <w:basedOn w:val="Point0number"/>
    <w:rsid w:val="00FA31A1"/>
    <w:pPr>
      <w:numPr>
        <w:numId w:val="0"/>
      </w:numPr>
      <w:tabs>
        <w:tab w:val="num" w:pos="360"/>
      </w:tabs>
      <w:ind w:left="360" w:hanging="360"/>
    </w:pPr>
  </w:style>
  <w:style w:type="paragraph" w:customStyle="1" w:styleId="AnewPoint0number">
    <w:name w:val="A new Point 0 (number)"/>
    <w:basedOn w:val="Point0number"/>
    <w:rsid w:val="00FA31A1"/>
    <w:pPr>
      <w:numPr>
        <w:numId w:val="0"/>
      </w:numPr>
      <w:tabs>
        <w:tab w:val="num" w:pos="360"/>
      </w:tabs>
      <w:ind w:left="360" w:hanging="360"/>
    </w:pPr>
    <w:rPr>
      <w:lang w:eastAsia="en-GB"/>
    </w:rPr>
  </w:style>
  <w:style w:type="paragraph" w:customStyle="1" w:styleId="LegalNumPar">
    <w:name w:val="LegalNumPar"/>
    <w:basedOn w:val="Normal"/>
    <w:rsid w:val="00FA31A1"/>
    <w:pPr>
      <w:widowControl/>
      <w:numPr>
        <w:numId w:val="16"/>
      </w:numPr>
      <w:spacing w:before="120" w:after="120" w:line="360" w:lineRule="auto"/>
      <w:jc w:val="both"/>
    </w:pPr>
    <w:rPr>
      <w:rFonts w:eastAsiaTheme="minorHAnsi"/>
      <w:szCs w:val="22"/>
      <w:lang w:eastAsia="en-US"/>
    </w:rPr>
  </w:style>
  <w:style w:type="paragraph" w:customStyle="1" w:styleId="LegalNumPar2">
    <w:name w:val="LegalNumPar2"/>
    <w:basedOn w:val="Normal"/>
    <w:rsid w:val="00FA31A1"/>
    <w:pPr>
      <w:widowControl/>
      <w:numPr>
        <w:ilvl w:val="1"/>
        <w:numId w:val="16"/>
      </w:numPr>
      <w:spacing w:before="120" w:after="120" w:line="360" w:lineRule="auto"/>
      <w:jc w:val="both"/>
    </w:pPr>
    <w:rPr>
      <w:rFonts w:eastAsiaTheme="minorHAnsi"/>
      <w:szCs w:val="22"/>
      <w:lang w:eastAsia="en-US"/>
    </w:rPr>
  </w:style>
  <w:style w:type="paragraph" w:customStyle="1" w:styleId="LegalNumPar3">
    <w:name w:val="LegalNumPar3"/>
    <w:basedOn w:val="Normal"/>
    <w:rsid w:val="00FA31A1"/>
    <w:pPr>
      <w:widowControl/>
      <w:numPr>
        <w:ilvl w:val="2"/>
        <w:numId w:val="16"/>
      </w:numPr>
      <w:spacing w:before="120" w:after="120"/>
      <w:jc w:val="both"/>
    </w:pPr>
    <w:rPr>
      <w:rFonts w:eastAsiaTheme="minorHAnsi"/>
      <w:szCs w:val="22"/>
      <w:lang w:eastAsia="en-US"/>
    </w:rPr>
  </w:style>
  <w:style w:type="character" w:customStyle="1" w:styleId="UnresolvedMention3">
    <w:name w:val="Unresolved Mention3"/>
    <w:basedOn w:val="DefaultParagraphFont"/>
    <w:uiPriority w:val="99"/>
    <w:semiHidden/>
    <w:unhideWhenUsed/>
    <w:rsid w:val="00FA31A1"/>
    <w:rPr>
      <w:color w:val="605E5C"/>
      <w:shd w:val="clear" w:color="auto" w:fill="E1DFDD"/>
    </w:rPr>
  </w:style>
  <w:style w:type="paragraph" w:customStyle="1" w:styleId="title-gr-seq-level-1">
    <w:name w:val="title-gr-seq-level-1"/>
    <w:basedOn w:val="Normal"/>
    <w:rsid w:val="00FA31A1"/>
    <w:pPr>
      <w:widowControl/>
      <w:spacing w:before="100" w:beforeAutospacing="1" w:after="100" w:afterAutospacing="1"/>
    </w:pPr>
    <w:rPr>
      <w:szCs w:val="24"/>
      <w:lang w:eastAsia="en-US"/>
    </w:rPr>
  </w:style>
  <w:style w:type="character" w:customStyle="1" w:styleId="boldface">
    <w:name w:val="boldface"/>
    <w:basedOn w:val="DefaultParagraphFont"/>
    <w:rsid w:val="00FA31A1"/>
  </w:style>
  <w:style w:type="paragraph" w:customStyle="1" w:styleId="title-gr-seq-level-4">
    <w:name w:val="title-gr-seq-level-4"/>
    <w:basedOn w:val="Normal"/>
    <w:rsid w:val="00FA31A1"/>
    <w:pPr>
      <w:widowControl/>
      <w:spacing w:before="100" w:beforeAutospacing="1" w:after="100" w:afterAutospacing="1"/>
    </w:pPr>
    <w:rPr>
      <w:szCs w:val="24"/>
      <w:lang w:eastAsia="en-US"/>
    </w:rPr>
  </w:style>
  <w:style w:type="paragraph" w:customStyle="1" w:styleId="norm">
    <w:name w:val="norm"/>
    <w:basedOn w:val="Normal"/>
    <w:rsid w:val="00FA31A1"/>
    <w:pPr>
      <w:widowControl/>
      <w:spacing w:before="100" w:beforeAutospacing="1" w:after="100" w:afterAutospacing="1"/>
    </w:pPr>
    <w:rPr>
      <w:szCs w:val="24"/>
      <w:lang w:eastAsia="en-US"/>
    </w:rPr>
  </w:style>
  <w:style w:type="paragraph" w:customStyle="1" w:styleId="title-table">
    <w:name w:val="title-table"/>
    <w:basedOn w:val="Normal"/>
    <w:rsid w:val="00FA31A1"/>
    <w:pPr>
      <w:widowControl/>
      <w:spacing w:before="100" w:beforeAutospacing="1" w:after="100" w:afterAutospacing="1"/>
    </w:pPr>
    <w:rPr>
      <w:szCs w:val="24"/>
      <w:lang w:eastAsia="en-US"/>
    </w:rPr>
  </w:style>
  <w:style w:type="character" w:customStyle="1" w:styleId="superscript">
    <w:name w:val="superscript"/>
    <w:basedOn w:val="DefaultParagraphFont"/>
    <w:rsid w:val="00FA31A1"/>
  </w:style>
  <w:style w:type="paragraph" w:customStyle="1" w:styleId="tbl-norm">
    <w:name w:val="tbl-norm"/>
    <w:basedOn w:val="Normal"/>
    <w:rsid w:val="00FA31A1"/>
    <w:pPr>
      <w:widowControl/>
      <w:spacing w:before="100" w:beforeAutospacing="1" w:after="100" w:afterAutospacing="1"/>
    </w:pPr>
    <w:rPr>
      <w:szCs w:val="24"/>
      <w:lang w:eastAsia="en-US"/>
    </w:rPr>
  </w:style>
  <w:style w:type="paragraph" w:customStyle="1" w:styleId="item-none">
    <w:name w:val="item-none"/>
    <w:basedOn w:val="Normal"/>
    <w:rsid w:val="00FA31A1"/>
    <w:pPr>
      <w:widowControl/>
      <w:spacing w:before="100" w:beforeAutospacing="1" w:after="100" w:afterAutospacing="1"/>
    </w:pPr>
    <w:rPr>
      <w:szCs w:val="24"/>
      <w:lang w:eastAsia="en-US"/>
    </w:rPr>
  </w:style>
  <w:style w:type="paragraph" w:styleId="TOC4">
    <w:name w:val="toc 4"/>
    <w:basedOn w:val="Normal"/>
    <w:next w:val="Normal"/>
    <w:uiPriority w:val="39"/>
    <w:unhideWhenUsed/>
    <w:rsid w:val="00FA31A1"/>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FA31A1"/>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FA31A1"/>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FA31A1"/>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FA31A1"/>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FA31A1"/>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FA31A1"/>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FA31A1"/>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FA31A1"/>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FA31A1"/>
    <w:pPr>
      <w:widowControl/>
      <w:spacing w:after="120"/>
      <w:jc w:val="right"/>
    </w:pPr>
    <w:rPr>
      <w:rFonts w:eastAsiaTheme="minorHAnsi"/>
      <w:sz w:val="28"/>
      <w:szCs w:val="22"/>
      <w:lang w:eastAsia="en-US"/>
    </w:rPr>
  </w:style>
  <w:style w:type="paragraph" w:customStyle="1" w:styleId="FooterSensitivity">
    <w:name w:val="Footer Sensitivity"/>
    <w:basedOn w:val="Normal"/>
    <w:rsid w:val="00FA31A1"/>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FA31A1"/>
    <w:pPr>
      <w:widowControl/>
      <w:spacing w:before="120" w:after="120"/>
      <w:ind w:left="850"/>
      <w:jc w:val="both"/>
    </w:pPr>
    <w:rPr>
      <w:rFonts w:eastAsiaTheme="minorHAnsi"/>
      <w:szCs w:val="22"/>
      <w:lang w:eastAsia="en-US"/>
    </w:rPr>
  </w:style>
  <w:style w:type="paragraph" w:customStyle="1" w:styleId="Text2">
    <w:name w:val="Text 2"/>
    <w:basedOn w:val="Normal"/>
    <w:rsid w:val="00FA31A1"/>
    <w:pPr>
      <w:widowControl/>
      <w:spacing w:before="120" w:after="120"/>
      <w:ind w:left="1417"/>
      <w:jc w:val="both"/>
    </w:pPr>
    <w:rPr>
      <w:rFonts w:eastAsiaTheme="minorHAnsi"/>
      <w:szCs w:val="22"/>
      <w:lang w:eastAsia="en-US"/>
    </w:rPr>
  </w:style>
  <w:style w:type="paragraph" w:customStyle="1" w:styleId="Text3">
    <w:name w:val="Text 3"/>
    <w:basedOn w:val="Normal"/>
    <w:rsid w:val="00FA31A1"/>
    <w:pPr>
      <w:widowControl/>
      <w:spacing w:before="120" w:after="120"/>
      <w:ind w:left="1984"/>
      <w:jc w:val="both"/>
    </w:pPr>
    <w:rPr>
      <w:rFonts w:eastAsiaTheme="minorHAnsi"/>
      <w:szCs w:val="22"/>
      <w:lang w:eastAsia="en-US"/>
    </w:rPr>
  </w:style>
  <w:style w:type="paragraph" w:customStyle="1" w:styleId="Text4">
    <w:name w:val="Text 4"/>
    <w:basedOn w:val="Normal"/>
    <w:rsid w:val="00FA31A1"/>
    <w:pPr>
      <w:widowControl/>
      <w:spacing w:before="120" w:after="120"/>
      <w:ind w:left="2551"/>
      <w:jc w:val="both"/>
    </w:pPr>
    <w:rPr>
      <w:rFonts w:eastAsiaTheme="minorHAnsi"/>
      <w:szCs w:val="22"/>
      <w:lang w:eastAsia="en-US"/>
    </w:rPr>
  </w:style>
  <w:style w:type="paragraph" w:customStyle="1" w:styleId="Text5">
    <w:name w:val="Text 5"/>
    <w:basedOn w:val="Normal"/>
    <w:rsid w:val="00FA31A1"/>
    <w:pPr>
      <w:widowControl/>
      <w:spacing w:before="120" w:after="120"/>
      <w:ind w:left="3118"/>
      <w:jc w:val="both"/>
    </w:pPr>
    <w:rPr>
      <w:rFonts w:eastAsiaTheme="minorHAnsi"/>
      <w:szCs w:val="22"/>
      <w:lang w:eastAsia="en-US"/>
    </w:rPr>
  </w:style>
  <w:style w:type="paragraph" w:customStyle="1" w:styleId="Text6">
    <w:name w:val="Text 6"/>
    <w:basedOn w:val="Normal"/>
    <w:rsid w:val="00FA31A1"/>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FA31A1"/>
    <w:pPr>
      <w:widowControl/>
      <w:spacing w:before="120" w:after="120"/>
      <w:jc w:val="center"/>
    </w:pPr>
    <w:rPr>
      <w:rFonts w:eastAsiaTheme="minorHAnsi"/>
      <w:szCs w:val="22"/>
      <w:lang w:eastAsia="en-US"/>
    </w:rPr>
  </w:style>
  <w:style w:type="paragraph" w:customStyle="1" w:styleId="NormalLeft">
    <w:name w:val="Normal Left"/>
    <w:basedOn w:val="Normal"/>
    <w:rsid w:val="00FA31A1"/>
    <w:pPr>
      <w:widowControl/>
      <w:spacing w:before="120" w:after="120"/>
    </w:pPr>
    <w:rPr>
      <w:rFonts w:eastAsiaTheme="minorHAnsi"/>
      <w:szCs w:val="22"/>
      <w:lang w:eastAsia="en-US"/>
    </w:rPr>
  </w:style>
  <w:style w:type="paragraph" w:customStyle="1" w:styleId="NormalRight">
    <w:name w:val="Normal Right"/>
    <w:basedOn w:val="Normal"/>
    <w:rsid w:val="00FA31A1"/>
    <w:pPr>
      <w:widowControl/>
      <w:spacing w:before="120" w:after="120"/>
      <w:jc w:val="right"/>
    </w:pPr>
    <w:rPr>
      <w:rFonts w:eastAsiaTheme="minorHAnsi"/>
      <w:szCs w:val="22"/>
      <w:lang w:eastAsia="en-US"/>
    </w:rPr>
  </w:style>
  <w:style w:type="paragraph" w:customStyle="1" w:styleId="QuotedText">
    <w:name w:val="Quoted Text"/>
    <w:basedOn w:val="Normal"/>
    <w:rsid w:val="00FA31A1"/>
    <w:pPr>
      <w:widowControl/>
      <w:spacing w:before="120" w:after="120"/>
      <w:ind w:left="1417"/>
      <w:jc w:val="both"/>
    </w:pPr>
    <w:rPr>
      <w:rFonts w:eastAsiaTheme="minorHAnsi"/>
      <w:szCs w:val="22"/>
      <w:lang w:eastAsia="en-US"/>
    </w:rPr>
  </w:style>
  <w:style w:type="paragraph" w:customStyle="1" w:styleId="Point0">
    <w:name w:val="Point 0"/>
    <w:basedOn w:val="Normal"/>
    <w:rsid w:val="00FA31A1"/>
    <w:pPr>
      <w:widowControl/>
      <w:spacing w:before="120" w:after="120"/>
      <w:ind w:left="850" w:hanging="850"/>
      <w:jc w:val="both"/>
    </w:pPr>
    <w:rPr>
      <w:rFonts w:eastAsiaTheme="minorHAnsi"/>
      <w:szCs w:val="22"/>
      <w:lang w:eastAsia="en-US"/>
    </w:rPr>
  </w:style>
  <w:style w:type="paragraph" w:customStyle="1" w:styleId="Point1">
    <w:name w:val="Point 1"/>
    <w:basedOn w:val="Normal"/>
    <w:rsid w:val="00FA31A1"/>
    <w:pPr>
      <w:widowControl/>
      <w:spacing w:before="120" w:after="120"/>
      <w:ind w:left="1417" w:hanging="567"/>
      <w:jc w:val="both"/>
    </w:pPr>
    <w:rPr>
      <w:rFonts w:eastAsiaTheme="minorHAnsi"/>
      <w:szCs w:val="22"/>
      <w:lang w:eastAsia="en-US"/>
    </w:rPr>
  </w:style>
  <w:style w:type="paragraph" w:customStyle="1" w:styleId="Point2">
    <w:name w:val="Point 2"/>
    <w:basedOn w:val="Normal"/>
    <w:rsid w:val="00FA31A1"/>
    <w:pPr>
      <w:widowControl/>
      <w:spacing w:before="120" w:after="120"/>
      <w:ind w:left="1984" w:hanging="567"/>
      <w:jc w:val="both"/>
    </w:pPr>
    <w:rPr>
      <w:rFonts w:eastAsiaTheme="minorHAnsi"/>
      <w:szCs w:val="22"/>
      <w:lang w:eastAsia="en-US"/>
    </w:rPr>
  </w:style>
  <w:style w:type="paragraph" w:customStyle="1" w:styleId="Point3">
    <w:name w:val="Point 3"/>
    <w:basedOn w:val="Normal"/>
    <w:rsid w:val="00FA31A1"/>
    <w:pPr>
      <w:widowControl/>
      <w:spacing w:before="120" w:after="120"/>
      <w:ind w:left="2551" w:hanging="567"/>
      <w:jc w:val="both"/>
    </w:pPr>
    <w:rPr>
      <w:rFonts w:eastAsiaTheme="minorHAnsi"/>
      <w:szCs w:val="22"/>
      <w:lang w:eastAsia="en-US"/>
    </w:rPr>
  </w:style>
  <w:style w:type="paragraph" w:customStyle="1" w:styleId="Point4">
    <w:name w:val="Point 4"/>
    <w:basedOn w:val="Normal"/>
    <w:rsid w:val="00FA31A1"/>
    <w:pPr>
      <w:widowControl/>
      <w:spacing w:before="120" w:after="120"/>
      <w:ind w:left="3118" w:hanging="567"/>
      <w:jc w:val="both"/>
    </w:pPr>
    <w:rPr>
      <w:rFonts w:eastAsiaTheme="minorHAnsi"/>
      <w:szCs w:val="22"/>
      <w:lang w:eastAsia="en-US"/>
    </w:rPr>
  </w:style>
  <w:style w:type="paragraph" w:customStyle="1" w:styleId="Point5">
    <w:name w:val="Point 5"/>
    <w:basedOn w:val="Normal"/>
    <w:rsid w:val="00FA31A1"/>
    <w:pPr>
      <w:widowControl/>
      <w:spacing w:before="120" w:after="120"/>
      <w:ind w:left="3685" w:hanging="567"/>
      <w:jc w:val="both"/>
    </w:pPr>
    <w:rPr>
      <w:rFonts w:eastAsiaTheme="minorHAnsi"/>
      <w:szCs w:val="22"/>
      <w:lang w:eastAsia="en-US"/>
    </w:rPr>
  </w:style>
  <w:style w:type="paragraph" w:customStyle="1" w:styleId="Tiret0">
    <w:name w:val="Tiret 0"/>
    <w:basedOn w:val="Point0"/>
    <w:rsid w:val="00FA31A1"/>
    <w:pPr>
      <w:numPr>
        <w:numId w:val="18"/>
      </w:numPr>
    </w:pPr>
  </w:style>
  <w:style w:type="paragraph" w:customStyle="1" w:styleId="Tiret1">
    <w:name w:val="Tiret 1"/>
    <w:basedOn w:val="Point1"/>
    <w:rsid w:val="00FA31A1"/>
    <w:pPr>
      <w:numPr>
        <w:numId w:val="19"/>
      </w:numPr>
    </w:pPr>
  </w:style>
  <w:style w:type="paragraph" w:customStyle="1" w:styleId="Tiret2">
    <w:name w:val="Tiret 2"/>
    <w:basedOn w:val="Point2"/>
    <w:rsid w:val="00FA31A1"/>
    <w:pPr>
      <w:numPr>
        <w:numId w:val="20"/>
      </w:numPr>
    </w:pPr>
  </w:style>
  <w:style w:type="paragraph" w:customStyle="1" w:styleId="Tiret3">
    <w:name w:val="Tiret 3"/>
    <w:basedOn w:val="Point3"/>
    <w:rsid w:val="00FA31A1"/>
    <w:pPr>
      <w:numPr>
        <w:numId w:val="21"/>
      </w:numPr>
    </w:pPr>
  </w:style>
  <w:style w:type="paragraph" w:customStyle="1" w:styleId="Tiret4">
    <w:name w:val="Tiret 4"/>
    <w:basedOn w:val="Point4"/>
    <w:rsid w:val="00FA31A1"/>
    <w:pPr>
      <w:numPr>
        <w:numId w:val="22"/>
      </w:numPr>
    </w:pPr>
  </w:style>
  <w:style w:type="paragraph" w:customStyle="1" w:styleId="Tiret5">
    <w:name w:val="Tiret 5"/>
    <w:basedOn w:val="Point5"/>
    <w:rsid w:val="00FA31A1"/>
    <w:pPr>
      <w:numPr>
        <w:numId w:val="23"/>
      </w:numPr>
    </w:pPr>
  </w:style>
  <w:style w:type="paragraph" w:customStyle="1" w:styleId="PointDouble0">
    <w:name w:val="PointDouble 0"/>
    <w:basedOn w:val="Normal"/>
    <w:rsid w:val="00FA31A1"/>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FA31A1"/>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FA31A1"/>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FA31A1"/>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FA31A1"/>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FA31A1"/>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FA31A1"/>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FA31A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FA31A1"/>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FA31A1"/>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FA31A1"/>
    <w:pPr>
      <w:widowControl/>
      <w:numPr>
        <w:numId w:val="17"/>
      </w:numPr>
      <w:spacing w:before="120" w:after="120"/>
      <w:jc w:val="both"/>
    </w:pPr>
    <w:rPr>
      <w:rFonts w:eastAsiaTheme="minorHAnsi"/>
      <w:szCs w:val="22"/>
      <w:lang w:eastAsia="en-US"/>
    </w:rPr>
  </w:style>
  <w:style w:type="paragraph" w:customStyle="1" w:styleId="NumPar2">
    <w:name w:val="NumPar 2"/>
    <w:basedOn w:val="Normal"/>
    <w:next w:val="Text1"/>
    <w:rsid w:val="00FA31A1"/>
    <w:pPr>
      <w:widowControl/>
      <w:numPr>
        <w:ilvl w:val="1"/>
        <w:numId w:val="17"/>
      </w:numPr>
      <w:spacing w:before="120" w:after="120"/>
      <w:jc w:val="both"/>
    </w:pPr>
    <w:rPr>
      <w:rFonts w:eastAsiaTheme="minorHAnsi"/>
      <w:szCs w:val="22"/>
      <w:lang w:eastAsia="en-US"/>
    </w:rPr>
  </w:style>
  <w:style w:type="paragraph" w:customStyle="1" w:styleId="NumPar3">
    <w:name w:val="NumPar 3"/>
    <w:basedOn w:val="Normal"/>
    <w:next w:val="Text1"/>
    <w:rsid w:val="00FA31A1"/>
    <w:pPr>
      <w:widowControl/>
      <w:numPr>
        <w:ilvl w:val="2"/>
        <w:numId w:val="17"/>
      </w:numPr>
      <w:spacing w:before="120" w:after="120"/>
      <w:jc w:val="both"/>
    </w:pPr>
    <w:rPr>
      <w:rFonts w:eastAsiaTheme="minorHAnsi"/>
      <w:szCs w:val="22"/>
      <w:lang w:eastAsia="en-US"/>
    </w:rPr>
  </w:style>
  <w:style w:type="paragraph" w:customStyle="1" w:styleId="NumPar4">
    <w:name w:val="NumPar 4"/>
    <w:basedOn w:val="Normal"/>
    <w:next w:val="Text1"/>
    <w:rsid w:val="00FA31A1"/>
    <w:pPr>
      <w:widowControl/>
      <w:numPr>
        <w:ilvl w:val="3"/>
        <w:numId w:val="17"/>
      </w:numPr>
      <w:spacing w:before="120" w:after="120"/>
      <w:jc w:val="both"/>
    </w:pPr>
    <w:rPr>
      <w:rFonts w:eastAsiaTheme="minorHAnsi"/>
      <w:szCs w:val="22"/>
      <w:lang w:eastAsia="en-US"/>
    </w:rPr>
  </w:style>
  <w:style w:type="paragraph" w:customStyle="1" w:styleId="NumPar5">
    <w:name w:val="NumPar 5"/>
    <w:basedOn w:val="Normal"/>
    <w:next w:val="Text2"/>
    <w:rsid w:val="00FA31A1"/>
    <w:pPr>
      <w:widowControl/>
      <w:numPr>
        <w:ilvl w:val="4"/>
        <w:numId w:val="17"/>
      </w:numPr>
      <w:spacing w:before="120" w:after="120"/>
      <w:jc w:val="both"/>
    </w:pPr>
    <w:rPr>
      <w:rFonts w:eastAsiaTheme="minorHAnsi"/>
      <w:szCs w:val="22"/>
      <w:lang w:eastAsia="en-US"/>
    </w:rPr>
  </w:style>
  <w:style w:type="paragraph" w:customStyle="1" w:styleId="NumPar6">
    <w:name w:val="NumPar 6"/>
    <w:basedOn w:val="Normal"/>
    <w:next w:val="Text2"/>
    <w:rsid w:val="00FA31A1"/>
    <w:pPr>
      <w:widowControl/>
      <w:numPr>
        <w:ilvl w:val="5"/>
        <w:numId w:val="17"/>
      </w:numPr>
      <w:spacing w:before="120" w:after="120"/>
      <w:jc w:val="both"/>
    </w:pPr>
    <w:rPr>
      <w:rFonts w:eastAsiaTheme="minorHAnsi"/>
      <w:szCs w:val="22"/>
      <w:lang w:eastAsia="en-US"/>
    </w:rPr>
  </w:style>
  <w:style w:type="paragraph" w:customStyle="1" w:styleId="NumPar7">
    <w:name w:val="NumPar 7"/>
    <w:basedOn w:val="Normal"/>
    <w:next w:val="Text2"/>
    <w:rsid w:val="00FA31A1"/>
    <w:pPr>
      <w:widowControl/>
      <w:numPr>
        <w:ilvl w:val="6"/>
        <w:numId w:val="17"/>
      </w:numPr>
      <w:spacing w:before="120" w:after="120"/>
      <w:jc w:val="both"/>
    </w:pPr>
    <w:rPr>
      <w:rFonts w:eastAsiaTheme="minorHAnsi"/>
      <w:szCs w:val="22"/>
      <w:lang w:eastAsia="en-US"/>
    </w:rPr>
  </w:style>
  <w:style w:type="paragraph" w:customStyle="1" w:styleId="ManualNumPar1">
    <w:name w:val="Manual NumPar 1"/>
    <w:basedOn w:val="Normal"/>
    <w:next w:val="Text1"/>
    <w:rsid w:val="00FA31A1"/>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FA31A1"/>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FA31A1"/>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FA31A1"/>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FA31A1"/>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FA31A1"/>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FA31A1"/>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FA31A1"/>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FA31A1"/>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FA31A1"/>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FA31A1"/>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FA31A1"/>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FA31A1"/>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FA31A1"/>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FA31A1"/>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FA31A1"/>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FA31A1"/>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FA31A1"/>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FA31A1"/>
    <w:pPr>
      <w:widowControl/>
      <w:spacing w:before="120" w:after="120"/>
      <w:jc w:val="center"/>
    </w:pPr>
    <w:rPr>
      <w:rFonts w:eastAsiaTheme="minorHAnsi"/>
      <w:b/>
      <w:szCs w:val="22"/>
      <w:lang w:eastAsia="en-US"/>
    </w:rPr>
  </w:style>
  <w:style w:type="character" w:customStyle="1" w:styleId="Marker">
    <w:name w:val="Marker"/>
    <w:basedOn w:val="DefaultParagraphFont"/>
    <w:rsid w:val="00FA31A1"/>
    <w:rPr>
      <w:color w:val="0000FF"/>
      <w:shd w:val="clear" w:color="auto" w:fill="auto"/>
    </w:rPr>
  </w:style>
  <w:style w:type="character" w:customStyle="1" w:styleId="Marker1">
    <w:name w:val="Marker1"/>
    <w:basedOn w:val="DefaultParagraphFont"/>
    <w:rsid w:val="00FA31A1"/>
    <w:rPr>
      <w:color w:val="008000"/>
      <w:shd w:val="clear" w:color="auto" w:fill="auto"/>
    </w:rPr>
  </w:style>
  <w:style w:type="character" w:customStyle="1" w:styleId="Marker2">
    <w:name w:val="Marker2"/>
    <w:basedOn w:val="DefaultParagraphFont"/>
    <w:rsid w:val="00FA31A1"/>
    <w:rPr>
      <w:color w:val="FF0000"/>
      <w:shd w:val="clear" w:color="auto" w:fill="auto"/>
    </w:rPr>
  </w:style>
  <w:style w:type="paragraph" w:customStyle="1" w:styleId="Bullet0">
    <w:name w:val="Bullet 0"/>
    <w:basedOn w:val="Normal"/>
    <w:rsid w:val="00FA31A1"/>
    <w:pPr>
      <w:widowControl/>
      <w:numPr>
        <w:numId w:val="24"/>
      </w:numPr>
      <w:spacing w:before="120" w:after="120"/>
      <w:jc w:val="both"/>
    </w:pPr>
    <w:rPr>
      <w:rFonts w:eastAsiaTheme="minorHAnsi"/>
      <w:szCs w:val="22"/>
      <w:lang w:eastAsia="en-US"/>
    </w:rPr>
  </w:style>
  <w:style w:type="paragraph" w:customStyle="1" w:styleId="Bullet1">
    <w:name w:val="Bullet 1"/>
    <w:basedOn w:val="Normal"/>
    <w:rsid w:val="00FA31A1"/>
    <w:pPr>
      <w:widowControl/>
      <w:numPr>
        <w:numId w:val="25"/>
      </w:numPr>
      <w:spacing w:before="120" w:after="120"/>
      <w:jc w:val="both"/>
    </w:pPr>
    <w:rPr>
      <w:rFonts w:eastAsiaTheme="minorHAnsi"/>
      <w:szCs w:val="22"/>
      <w:lang w:eastAsia="en-US"/>
    </w:rPr>
  </w:style>
  <w:style w:type="paragraph" w:customStyle="1" w:styleId="Bullet2">
    <w:name w:val="Bullet 2"/>
    <w:basedOn w:val="Normal"/>
    <w:rsid w:val="00FA31A1"/>
    <w:pPr>
      <w:widowControl/>
      <w:numPr>
        <w:numId w:val="26"/>
      </w:numPr>
      <w:spacing w:before="120" w:after="120"/>
      <w:jc w:val="both"/>
    </w:pPr>
    <w:rPr>
      <w:rFonts w:eastAsiaTheme="minorHAnsi"/>
      <w:szCs w:val="22"/>
      <w:lang w:eastAsia="en-US"/>
    </w:rPr>
  </w:style>
  <w:style w:type="paragraph" w:customStyle="1" w:styleId="Bullet3">
    <w:name w:val="Bullet 3"/>
    <w:basedOn w:val="Normal"/>
    <w:rsid w:val="00FA31A1"/>
    <w:pPr>
      <w:widowControl/>
      <w:numPr>
        <w:numId w:val="27"/>
      </w:numPr>
      <w:spacing w:before="120" w:after="120"/>
      <w:jc w:val="both"/>
    </w:pPr>
    <w:rPr>
      <w:rFonts w:eastAsiaTheme="minorHAnsi"/>
      <w:szCs w:val="22"/>
      <w:lang w:eastAsia="en-US"/>
    </w:rPr>
  </w:style>
  <w:style w:type="paragraph" w:customStyle="1" w:styleId="Bullet4">
    <w:name w:val="Bullet 4"/>
    <w:basedOn w:val="Normal"/>
    <w:rsid w:val="00FA31A1"/>
    <w:pPr>
      <w:widowControl/>
      <w:numPr>
        <w:numId w:val="28"/>
      </w:numPr>
      <w:spacing w:before="120" w:after="120"/>
      <w:jc w:val="both"/>
    </w:pPr>
    <w:rPr>
      <w:rFonts w:eastAsiaTheme="minorHAnsi"/>
      <w:szCs w:val="22"/>
      <w:lang w:eastAsia="en-US"/>
    </w:rPr>
  </w:style>
  <w:style w:type="paragraph" w:customStyle="1" w:styleId="Langue">
    <w:name w:val="Langue"/>
    <w:basedOn w:val="Normal"/>
    <w:next w:val="Rfrenceinterne"/>
    <w:rsid w:val="00FA31A1"/>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FA31A1"/>
    <w:pPr>
      <w:widowControl/>
    </w:pPr>
    <w:rPr>
      <w:rFonts w:ascii="Arial" w:eastAsiaTheme="minorHAnsi" w:hAnsi="Arial" w:cs="Arial"/>
      <w:szCs w:val="22"/>
      <w:lang w:eastAsia="en-US"/>
    </w:rPr>
  </w:style>
  <w:style w:type="paragraph" w:customStyle="1" w:styleId="Emission">
    <w:name w:val="Emission"/>
    <w:basedOn w:val="Normal"/>
    <w:next w:val="Rfrenceinstitutionnelle"/>
    <w:rsid w:val="00FA31A1"/>
    <w:pPr>
      <w:widowControl/>
      <w:ind w:left="5103"/>
    </w:pPr>
    <w:rPr>
      <w:rFonts w:eastAsiaTheme="minorHAnsi"/>
      <w:szCs w:val="22"/>
      <w:lang w:eastAsia="en-US"/>
    </w:rPr>
  </w:style>
  <w:style w:type="paragraph" w:customStyle="1" w:styleId="Pagedecouverture">
    <w:name w:val="Page de couverture"/>
    <w:basedOn w:val="Normal"/>
    <w:next w:val="Normal"/>
    <w:rsid w:val="00FA31A1"/>
    <w:pPr>
      <w:widowControl/>
      <w:jc w:val="both"/>
    </w:pPr>
    <w:rPr>
      <w:rFonts w:eastAsiaTheme="minorHAnsi"/>
      <w:szCs w:val="22"/>
      <w:lang w:eastAsia="en-US"/>
    </w:rPr>
  </w:style>
  <w:style w:type="paragraph" w:customStyle="1" w:styleId="Declassification">
    <w:name w:val="Declassification"/>
    <w:basedOn w:val="Normal"/>
    <w:next w:val="Normal"/>
    <w:rsid w:val="00FA31A1"/>
    <w:pPr>
      <w:widowControl/>
      <w:jc w:val="both"/>
    </w:pPr>
    <w:rPr>
      <w:rFonts w:eastAsiaTheme="minorHAnsi"/>
      <w:szCs w:val="22"/>
      <w:lang w:eastAsia="en-US"/>
    </w:rPr>
  </w:style>
  <w:style w:type="paragraph" w:customStyle="1" w:styleId="Disclaimer">
    <w:name w:val="Disclaimer"/>
    <w:basedOn w:val="Normal"/>
    <w:rsid w:val="00FA31A1"/>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FA31A1"/>
    <w:pPr>
      <w:widowControl/>
      <w:spacing w:line="276" w:lineRule="auto"/>
      <w:ind w:left="5103"/>
    </w:pPr>
    <w:rPr>
      <w:rFonts w:eastAsiaTheme="minorHAnsi"/>
      <w:sz w:val="28"/>
      <w:szCs w:val="22"/>
      <w:lang w:eastAsia="en-US"/>
    </w:rPr>
  </w:style>
  <w:style w:type="paragraph" w:customStyle="1" w:styleId="DateMarking">
    <w:name w:val="DateMarking"/>
    <w:basedOn w:val="Normal"/>
    <w:rsid w:val="00FA31A1"/>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FA31A1"/>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FA31A1"/>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FA31A1"/>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FA31A1"/>
    <w:pPr>
      <w:widowControl/>
      <w:spacing w:before="120" w:after="120"/>
      <w:jc w:val="center"/>
    </w:pPr>
    <w:rPr>
      <w:rFonts w:eastAsiaTheme="minorHAnsi"/>
      <w:b/>
      <w:szCs w:val="22"/>
      <w:u w:val="single"/>
      <w:lang w:eastAsia="en-US"/>
    </w:rPr>
  </w:style>
  <w:style w:type="paragraph" w:customStyle="1" w:styleId="Avertissementtitre">
    <w:name w:val="Avertissement titre"/>
    <w:basedOn w:val="Normal"/>
    <w:next w:val="Normal"/>
    <w:rsid w:val="00FA31A1"/>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FA31A1"/>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FA31A1"/>
    <w:pPr>
      <w:widowControl/>
      <w:spacing w:before="240" w:after="240"/>
      <w:ind w:left="5103"/>
    </w:pPr>
    <w:rPr>
      <w:rFonts w:eastAsiaTheme="minorHAnsi"/>
      <w:i/>
      <w:sz w:val="32"/>
      <w:szCs w:val="22"/>
      <w:lang w:eastAsia="en-US"/>
    </w:rPr>
  </w:style>
  <w:style w:type="paragraph" w:customStyle="1" w:styleId="Corrigendum">
    <w:name w:val="Corrigendum"/>
    <w:basedOn w:val="Normal"/>
    <w:next w:val="Normal"/>
    <w:rsid w:val="00FA31A1"/>
    <w:pPr>
      <w:widowControl/>
      <w:spacing w:after="240"/>
    </w:pPr>
    <w:rPr>
      <w:rFonts w:eastAsiaTheme="minorHAnsi"/>
      <w:szCs w:val="22"/>
      <w:lang w:eastAsia="en-US"/>
    </w:rPr>
  </w:style>
  <w:style w:type="paragraph" w:customStyle="1" w:styleId="Datedadoption">
    <w:name w:val="Date d'adoption"/>
    <w:basedOn w:val="Normal"/>
    <w:next w:val="IntrtEEE"/>
    <w:rsid w:val="00FA31A1"/>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FA31A1"/>
    <w:pPr>
      <w:widowControl/>
      <w:spacing w:before="120" w:after="120"/>
      <w:jc w:val="center"/>
    </w:pPr>
    <w:rPr>
      <w:rFonts w:eastAsiaTheme="minorHAnsi"/>
      <w:b/>
      <w:szCs w:val="22"/>
      <w:u w:val="single"/>
      <w:lang w:eastAsia="en-US"/>
    </w:rPr>
  </w:style>
  <w:style w:type="paragraph" w:customStyle="1" w:styleId="ManualConsidrant">
    <w:name w:val="Manual Considérant"/>
    <w:basedOn w:val="Normal"/>
    <w:rsid w:val="00FA31A1"/>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FA31A1"/>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FA31A1"/>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FA31A1"/>
    <w:pPr>
      <w:widowControl/>
      <w:ind w:left="5103"/>
    </w:pPr>
    <w:rPr>
      <w:rFonts w:eastAsiaTheme="minorHAnsi"/>
      <w:szCs w:val="22"/>
      <w:lang w:eastAsia="en-US"/>
    </w:rPr>
  </w:style>
  <w:style w:type="paragraph" w:customStyle="1" w:styleId="Titrearticle">
    <w:name w:val="Titre article"/>
    <w:basedOn w:val="Normal"/>
    <w:next w:val="Normal"/>
    <w:rsid w:val="00FA31A1"/>
    <w:pPr>
      <w:keepNext/>
      <w:widowControl/>
      <w:spacing w:before="360" w:after="120"/>
      <w:jc w:val="center"/>
    </w:pPr>
    <w:rPr>
      <w:rFonts w:eastAsiaTheme="minorHAnsi"/>
      <w:i/>
      <w:szCs w:val="22"/>
      <w:lang w:eastAsia="en-US"/>
    </w:rPr>
  </w:style>
  <w:style w:type="character" w:customStyle="1" w:styleId="Added">
    <w:name w:val="Added"/>
    <w:basedOn w:val="DefaultParagraphFont"/>
    <w:rsid w:val="00FA31A1"/>
    <w:rPr>
      <w:b/>
      <w:u w:val="single"/>
      <w:shd w:val="clear" w:color="auto" w:fill="auto"/>
    </w:rPr>
  </w:style>
  <w:style w:type="character" w:customStyle="1" w:styleId="Deleted">
    <w:name w:val="Deleted"/>
    <w:basedOn w:val="DefaultParagraphFont"/>
    <w:rsid w:val="00FA31A1"/>
    <w:rPr>
      <w:strike/>
      <w:dstrike w:val="0"/>
      <w:shd w:val="clear" w:color="auto" w:fill="auto"/>
    </w:rPr>
  </w:style>
  <w:style w:type="paragraph" w:customStyle="1" w:styleId="Address">
    <w:name w:val="Address"/>
    <w:basedOn w:val="Normal"/>
    <w:next w:val="Normal"/>
    <w:rsid w:val="00FA31A1"/>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FA31A1"/>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FA31A1"/>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FA31A1"/>
    <w:pPr>
      <w:widowControl/>
      <w:spacing w:before="360"/>
      <w:jc w:val="center"/>
    </w:pPr>
    <w:rPr>
      <w:rFonts w:eastAsiaTheme="minorHAnsi"/>
      <w:szCs w:val="22"/>
      <w:lang w:eastAsia="en-US"/>
    </w:rPr>
  </w:style>
  <w:style w:type="paragraph" w:customStyle="1" w:styleId="Rfrencecroise">
    <w:name w:val="Référence croisée"/>
    <w:basedOn w:val="Normal"/>
    <w:rsid w:val="00FA31A1"/>
    <w:pPr>
      <w:widowControl/>
      <w:jc w:val="center"/>
    </w:pPr>
    <w:rPr>
      <w:rFonts w:eastAsiaTheme="minorHAnsi"/>
      <w:szCs w:val="22"/>
      <w:lang w:eastAsia="en-US"/>
    </w:rPr>
  </w:style>
  <w:style w:type="paragraph" w:customStyle="1" w:styleId="Fichefinanciretitre">
    <w:name w:val="Fiche financière titre"/>
    <w:basedOn w:val="Normal"/>
    <w:next w:val="Normal"/>
    <w:rsid w:val="00FA31A1"/>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IntrtEEEPagedecouverture"/>
    <w:rsid w:val="00FA31A1"/>
  </w:style>
  <w:style w:type="paragraph" w:customStyle="1" w:styleId="RfrenceinterinstitutionnellePagedecouverture">
    <w:name w:val="Référence interinstitutionnelle (Page de couverture)"/>
    <w:basedOn w:val="Rfrenceinterinstitutionnelle"/>
    <w:next w:val="Confidentialit"/>
    <w:rsid w:val="00FA31A1"/>
  </w:style>
  <w:style w:type="paragraph" w:customStyle="1" w:styleId="StatutPagedecouverture">
    <w:name w:val="Statut (Page de couverture)"/>
    <w:basedOn w:val="Statut"/>
    <w:next w:val="TypedudocumentPagedecouverture"/>
    <w:rsid w:val="00FA31A1"/>
    <w:pPr>
      <w:spacing w:before="0" w:after="240" w:line="240" w:lineRule="auto"/>
    </w:pPr>
    <w:rPr>
      <w:rFonts w:eastAsiaTheme="minorHAnsi"/>
      <w:szCs w:val="22"/>
      <w:lang w:val="hu-HU"/>
    </w:rPr>
  </w:style>
  <w:style w:type="paragraph" w:customStyle="1" w:styleId="TypedudocumentPagedecouverture">
    <w:name w:val="Type du document (Page de couverture)"/>
    <w:basedOn w:val="Typedudocument"/>
    <w:next w:val="AccompagnantPagedecouverture"/>
    <w:rsid w:val="00FA31A1"/>
    <w:pPr>
      <w:spacing w:after="180" w:line="240" w:lineRule="auto"/>
    </w:pPr>
    <w:rPr>
      <w:rFonts w:eastAsiaTheme="minorHAnsi"/>
      <w:szCs w:val="22"/>
      <w:lang w:val="hu-HU"/>
    </w:rPr>
  </w:style>
  <w:style w:type="paragraph" w:customStyle="1" w:styleId="Volume">
    <w:name w:val="Volume"/>
    <w:basedOn w:val="Normal"/>
    <w:next w:val="Confidentialit"/>
    <w:rsid w:val="00FA31A1"/>
    <w:pPr>
      <w:widowControl/>
      <w:spacing w:after="240"/>
      <w:ind w:left="5103"/>
    </w:pPr>
    <w:rPr>
      <w:rFonts w:eastAsiaTheme="minorHAnsi"/>
      <w:szCs w:val="22"/>
      <w:lang w:eastAsia="en-US"/>
    </w:rPr>
  </w:style>
  <w:style w:type="paragraph" w:customStyle="1" w:styleId="Accompagnant">
    <w:name w:val="Accompagnant"/>
    <w:basedOn w:val="Normal"/>
    <w:next w:val="Typeacteprincipal"/>
    <w:rsid w:val="00FA31A1"/>
    <w:pPr>
      <w:widowControl/>
      <w:spacing w:before="180" w:after="240"/>
      <w:jc w:val="center"/>
    </w:pPr>
    <w:rPr>
      <w:rFonts w:eastAsiaTheme="minorHAnsi"/>
      <w:b/>
      <w:szCs w:val="22"/>
      <w:lang w:eastAsia="en-US"/>
    </w:rPr>
  </w:style>
  <w:style w:type="paragraph" w:customStyle="1" w:styleId="Typeacteprincipal">
    <w:name w:val="Type acte principal"/>
    <w:basedOn w:val="Normal"/>
    <w:next w:val="Objetacteprincipal"/>
    <w:rsid w:val="00FA31A1"/>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FA31A1"/>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FA31A1"/>
    <w:pPr>
      <w:spacing w:line="240" w:lineRule="auto"/>
    </w:pPr>
    <w:rPr>
      <w:rFonts w:eastAsiaTheme="minorHAnsi"/>
      <w:szCs w:val="22"/>
      <w:lang w:val="hu-HU"/>
    </w:rPr>
  </w:style>
  <w:style w:type="paragraph" w:customStyle="1" w:styleId="AccompagnantPagedecouverture">
    <w:name w:val="Accompagnant (Page de couverture)"/>
    <w:basedOn w:val="Accompagnant"/>
    <w:next w:val="TypeacteprincipalPagedecouverture"/>
    <w:rsid w:val="00FA31A1"/>
  </w:style>
  <w:style w:type="paragraph" w:customStyle="1" w:styleId="TypeacteprincipalPagedecouverture">
    <w:name w:val="Type acte principal (Page de couverture)"/>
    <w:basedOn w:val="Typeacteprincipal"/>
    <w:next w:val="ObjetacteprincipalPagedecouverture"/>
    <w:rsid w:val="00FA31A1"/>
  </w:style>
  <w:style w:type="paragraph" w:customStyle="1" w:styleId="ObjetacteprincipalPagedecouverture">
    <w:name w:val="Objet acte principal (Page de couverture)"/>
    <w:basedOn w:val="Objetacteprincipal"/>
    <w:next w:val="Rfrencecroise"/>
    <w:rsid w:val="00FA31A1"/>
  </w:style>
  <w:style w:type="paragraph" w:customStyle="1" w:styleId="LanguesfaisantfoiPagedecouverture">
    <w:name w:val="Langues faisant foi (Page de couverture)"/>
    <w:basedOn w:val="Normal"/>
    <w:next w:val="Normal"/>
    <w:rsid w:val="00FA31A1"/>
    <w:pPr>
      <w:widowControl/>
      <w:spacing w:before="360"/>
      <w:jc w:val="center"/>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088D07-C3D0-4C54-9955-EC913DD84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152</Pages>
  <Words>31576</Words>
  <Characters>179988</Characters>
  <Application>Microsoft Office Word</Application>
  <DocSecurity>0</DocSecurity>
  <Lines>1499</Lines>
  <Paragraphs>422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ILLY_D_relec</dc:creator>
  <cp:keywords/>
  <cp:lastModifiedBy>BINKEVICIUTE Aurelija</cp:lastModifiedBy>
  <cp:revision>8</cp:revision>
  <cp:lastPrinted>2004-11-19T15:42:00Z</cp:lastPrinted>
  <dcterms:created xsi:type="dcterms:W3CDTF">2024-11-27T16:26:00Z</dcterms:created>
  <dcterms:modified xsi:type="dcterms:W3CDTF">2025-09-08T14:01:00Z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P9_TA(2024)0358_</vt:lpwstr>
  </property>
  <property fmtid="{D5CDD505-2E9C-101B-9397-08002B2CF9AE}" pid="4" name="&lt;Type&gt;">
    <vt:lpwstr>RR</vt:lpwstr>
  </property>
</Properties>
</file>