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3F9" w:rsidTr="0010095E">
        <w:trPr>
          <w:trHeight w:hRule="exact" w:val="1418"/>
        </w:trPr>
        <w:tc>
          <w:tcPr>
            <w:tcW w:w="6804" w:type="dxa"/>
            <w:shd w:val="clear" w:color="auto" w:fill="auto"/>
            <w:vAlign w:val="center"/>
          </w:tcPr>
          <w:p w:rsidR="00751A4A" w:rsidRPr="003F33F9" w:rsidRDefault="003A7126" w:rsidP="0010095E">
            <w:pPr>
              <w:pStyle w:val="EPName"/>
            </w:pPr>
            <w:r w:rsidRPr="003F33F9">
              <w:t>Eiropas Parlaments</w:t>
            </w:r>
          </w:p>
          <w:p w:rsidR="00751A4A" w:rsidRPr="003F33F9" w:rsidRDefault="00817416" w:rsidP="00756632">
            <w:pPr>
              <w:pStyle w:val="EPTerm"/>
              <w:rPr>
                <w:rStyle w:val="HideTWBExt"/>
                <w:noProof w:val="0"/>
                <w:vanish w:val="0"/>
                <w:color w:val="auto"/>
              </w:rPr>
            </w:pPr>
            <w:r w:rsidRPr="003F33F9">
              <w:t>2019-2024</w:t>
            </w:r>
          </w:p>
        </w:tc>
        <w:tc>
          <w:tcPr>
            <w:tcW w:w="2268" w:type="dxa"/>
            <w:shd w:val="clear" w:color="auto" w:fill="auto"/>
          </w:tcPr>
          <w:p w:rsidR="00751A4A" w:rsidRPr="003F33F9" w:rsidRDefault="00187494" w:rsidP="0010095E">
            <w:pPr>
              <w:pStyle w:val="EPLogo"/>
            </w:pPr>
            <w:r w:rsidRPr="003F33F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33F9" w:rsidRDefault="00D058B8" w:rsidP="004C5D52">
      <w:pPr>
        <w:pStyle w:val="LineTop"/>
      </w:pPr>
    </w:p>
    <w:p w:rsidR="00680577" w:rsidRPr="003F33F9" w:rsidRDefault="003A7126" w:rsidP="00680577">
      <w:pPr>
        <w:pStyle w:val="EPBodyTA1"/>
      </w:pPr>
      <w:r w:rsidRPr="003F33F9">
        <w:t>PIEŅEMTIE TEKSTI</w:t>
      </w:r>
    </w:p>
    <w:p w:rsidR="00D058B8" w:rsidRPr="003F33F9" w:rsidRDefault="00D058B8" w:rsidP="00D058B8">
      <w:pPr>
        <w:pStyle w:val="LineBottom"/>
      </w:pPr>
    </w:p>
    <w:p w:rsidR="003A7126" w:rsidRPr="003F33F9" w:rsidRDefault="003A7126" w:rsidP="003A7126">
      <w:pPr>
        <w:pStyle w:val="ATHeading1"/>
      </w:pPr>
      <w:bookmarkStart w:id="0" w:name="TANumber"/>
      <w:r w:rsidRPr="003F33F9">
        <w:t>P9_TA(2024)0</w:t>
      </w:r>
      <w:r w:rsidR="00271DBE" w:rsidRPr="003F33F9">
        <w:t>358</w:t>
      </w:r>
      <w:bookmarkEnd w:id="0"/>
    </w:p>
    <w:p w:rsidR="003A7126" w:rsidRPr="003F33F9" w:rsidRDefault="00933CD8" w:rsidP="003A7126">
      <w:pPr>
        <w:pStyle w:val="ATHeading2"/>
      </w:pPr>
      <w:bookmarkStart w:id="1" w:name="title"/>
      <w:r w:rsidRPr="003F33F9">
        <w:t>Virszemes ūdeņu un gruntsūdeņu piesārņotāji</w:t>
      </w:r>
      <w:bookmarkEnd w:id="1"/>
    </w:p>
    <w:p w:rsidR="003A7126" w:rsidRPr="003F33F9" w:rsidRDefault="003A7126" w:rsidP="003A7126">
      <w:pPr>
        <w:rPr>
          <w:i/>
          <w:vanish/>
        </w:rPr>
      </w:pPr>
      <w:r w:rsidRPr="003F33F9">
        <w:rPr>
          <w:i/>
        </w:rPr>
        <w:fldChar w:fldCharType="begin"/>
      </w:r>
      <w:r w:rsidRPr="003F33F9">
        <w:rPr>
          <w:i/>
        </w:rPr>
        <w:instrText xml:space="preserve"> TC"(</w:instrText>
      </w:r>
      <w:bookmarkStart w:id="2" w:name="DocNumber"/>
      <w:r w:rsidRPr="003F33F9">
        <w:rPr>
          <w:i/>
        </w:rPr>
        <w:instrText>A9-0238/2023</w:instrText>
      </w:r>
      <w:bookmarkEnd w:id="2"/>
      <w:r w:rsidRPr="003F33F9">
        <w:rPr>
          <w:i/>
        </w:rPr>
        <w:instrText xml:space="preserve"> - Referents: Milan Brglez)"\l3 \n&gt; \* MERGEFORMAT </w:instrText>
      </w:r>
      <w:r w:rsidRPr="003F33F9">
        <w:rPr>
          <w:i/>
        </w:rPr>
        <w:fldChar w:fldCharType="end"/>
      </w:r>
    </w:p>
    <w:p w:rsidR="003A7126" w:rsidRPr="003F33F9" w:rsidRDefault="003A7126" w:rsidP="003A7126">
      <w:pPr>
        <w:rPr>
          <w:vanish/>
        </w:rPr>
      </w:pPr>
      <w:bookmarkStart w:id="3" w:name="Commission"/>
      <w:r w:rsidRPr="003F33F9">
        <w:rPr>
          <w:vanish/>
        </w:rPr>
        <w:t>Vides, sabiedrības veselības un pārtikas nekaitīguma komiteja</w:t>
      </w:r>
      <w:bookmarkEnd w:id="3"/>
    </w:p>
    <w:p w:rsidR="003A7126" w:rsidRPr="003F33F9" w:rsidRDefault="003A7126" w:rsidP="003A7126">
      <w:pPr>
        <w:rPr>
          <w:vanish/>
        </w:rPr>
      </w:pPr>
      <w:bookmarkStart w:id="4" w:name="PE"/>
      <w:r w:rsidRPr="003F33F9">
        <w:rPr>
          <w:vanish/>
        </w:rPr>
        <w:t>PE740.884</w:t>
      </w:r>
      <w:bookmarkEnd w:id="4"/>
    </w:p>
    <w:p w:rsidR="003A7126" w:rsidRPr="003F33F9" w:rsidRDefault="003A7126" w:rsidP="003A7126">
      <w:pPr>
        <w:pStyle w:val="ATHeading3"/>
      </w:pPr>
      <w:bookmarkStart w:id="5" w:name="Sujet"/>
      <w:r w:rsidRPr="003F33F9">
        <w:t xml:space="preserve">Eiropas Parlamenta 2024. gada </w:t>
      </w:r>
      <w:r w:rsidR="00933CD8" w:rsidRPr="003F33F9">
        <w:t>2</w:t>
      </w:r>
      <w:r w:rsidR="00670423" w:rsidRPr="003F33F9">
        <w:t>4</w:t>
      </w:r>
      <w:r w:rsidR="00933CD8" w:rsidRPr="003F33F9">
        <w:t>. aprīļa</w:t>
      </w:r>
      <w:r w:rsidRPr="003F33F9">
        <w:t xml:space="preserve"> normatīvā rezolūcija par priekšlikumu Eiropas Parlamenta un Padomes direktīvai,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w:t>
      </w:r>
      <w:bookmarkEnd w:id="5"/>
      <w:r w:rsidRPr="003F33F9">
        <w:t xml:space="preserve"> </w:t>
      </w:r>
      <w:bookmarkStart w:id="6" w:name="References"/>
      <w:r w:rsidRPr="003F33F9">
        <w:t>(COM(2022)0540 – C9-0361/2022 – 2022/0344(COD))</w:t>
      </w:r>
      <w:bookmarkEnd w:id="6"/>
    </w:p>
    <w:p w:rsidR="009A69FB" w:rsidRPr="003F33F9" w:rsidRDefault="009A69FB" w:rsidP="009A69FB">
      <w:pPr>
        <w:pStyle w:val="NormalBold"/>
      </w:pPr>
      <w:bookmarkStart w:id="7" w:name="TextBodyBegin"/>
      <w:bookmarkEnd w:id="7"/>
      <w:r w:rsidRPr="003F33F9">
        <w:t>(Parastā likumdošanas procedūra: pirmais lasījums)</w:t>
      </w:r>
    </w:p>
    <w:p w:rsidR="009A69FB" w:rsidRPr="003F33F9" w:rsidRDefault="009A69FB" w:rsidP="009A69FB">
      <w:pPr>
        <w:pStyle w:val="EPComma"/>
      </w:pPr>
      <w:r w:rsidRPr="003F33F9">
        <w:rPr>
          <w:i/>
        </w:rPr>
        <w:t>Eiropas Parlaments</w:t>
      </w:r>
      <w:r w:rsidRPr="003F33F9">
        <w:t>,</w:t>
      </w:r>
    </w:p>
    <w:p w:rsidR="009A69FB" w:rsidRPr="003F33F9" w:rsidRDefault="009A69FB" w:rsidP="009A69FB">
      <w:pPr>
        <w:pStyle w:val="NormalHanging12a"/>
      </w:pPr>
      <w:r w:rsidRPr="003F33F9">
        <w:t>–</w:t>
      </w:r>
      <w:r w:rsidRPr="003F33F9">
        <w:tab/>
        <w:t>ņemot vērā Komisijas priekšlikumu Eiropas Parlamentam un Padomei (COM(2022)0540),</w:t>
      </w:r>
    </w:p>
    <w:p w:rsidR="009A69FB" w:rsidRPr="003F33F9" w:rsidRDefault="009A69FB" w:rsidP="009A69FB">
      <w:pPr>
        <w:pStyle w:val="NormalHanging12a"/>
      </w:pPr>
      <w:r w:rsidRPr="003F33F9">
        <w:t>–</w:t>
      </w:r>
      <w:r w:rsidRPr="003F33F9">
        <w:tab/>
        <w:t>ņemot vērā Līguma par Eiropas Savienības darbību 294. panta 2. punktu un xx. pantu, saskaņā ar kuriem Komisija ir iesniegusi priekšlikumu Parlamentam (C9</w:t>
      </w:r>
      <w:r w:rsidRPr="003F33F9">
        <w:noBreakHyphen/>
        <w:t>0361/2022),</w:t>
      </w:r>
    </w:p>
    <w:p w:rsidR="009A69FB" w:rsidRPr="003F33F9" w:rsidRDefault="009A69FB" w:rsidP="009A69FB">
      <w:pPr>
        <w:pStyle w:val="NormalHanging12a"/>
      </w:pPr>
      <w:r w:rsidRPr="003F33F9">
        <w:t>–</w:t>
      </w:r>
      <w:r w:rsidRPr="003F33F9">
        <w:tab/>
        <w:t>ņemot vērā Līguma par Eiropas Savienības darbību 294. panta 3. punktu,</w:t>
      </w:r>
    </w:p>
    <w:p w:rsidR="009A69FB" w:rsidRPr="003F33F9" w:rsidRDefault="009A69FB" w:rsidP="009A69FB">
      <w:pPr>
        <w:pStyle w:val="NormalHanging12a"/>
      </w:pPr>
      <w:r w:rsidRPr="003F33F9">
        <w:t>–</w:t>
      </w:r>
      <w:r w:rsidRPr="003F33F9">
        <w:tab/>
        <w:t>ņemot vērā Ekonomikas un sociālo lietu komitejas 202</w:t>
      </w:r>
      <w:r w:rsidR="00DA0235">
        <w:t>3</w:t>
      </w:r>
      <w:r w:rsidRPr="003F33F9">
        <w:t>. gada 22. februāra atzinumu</w:t>
      </w:r>
      <w:r w:rsidRPr="003F33F9">
        <w:footnoteReference w:id="1"/>
      </w:r>
      <w:r w:rsidRPr="003F33F9">
        <w:t>,</w:t>
      </w:r>
    </w:p>
    <w:p w:rsidR="009A69FB" w:rsidRPr="003F33F9" w:rsidRDefault="009A69FB" w:rsidP="009A69FB">
      <w:pPr>
        <w:pStyle w:val="NormalHanging12a"/>
      </w:pPr>
      <w:r w:rsidRPr="003F33F9">
        <w:t>–</w:t>
      </w:r>
      <w:r w:rsidRPr="003F33F9">
        <w:tab/>
        <w:t>pēc apspriešanās ar Reģionu komiteju,</w:t>
      </w:r>
    </w:p>
    <w:p w:rsidR="009A69FB" w:rsidRPr="003F33F9" w:rsidRDefault="009A69FB" w:rsidP="009A69FB">
      <w:pPr>
        <w:pStyle w:val="NormalHanging12a"/>
      </w:pPr>
      <w:r w:rsidRPr="003F33F9">
        <w:t>–</w:t>
      </w:r>
      <w:r w:rsidRPr="003F33F9">
        <w:tab/>
        <w:t>ņemot vērā Reglamenta 59. pantu,</w:t>
      </w:r>
    </w:p>
    <w:p w:rsidR="009A69FB" w:rsidRPr="003F33F9" w:rsidRDefault="009A69FB" w:rsidP="009A69FB">
      <w:pPr>
        <w:pStyle w:val="NormalHanging12a"/>
      </w:pPr>
      <w:r w:rsidRPr="003F33F9">
        <w:t>–</w:t>
      </w:r>
      <w:r w:rsidRPr="003F33F9">
        <w:tab/>
        <w:t>ņemot vērā Lauksaimniecības un lauku attīstības komitejas, Rūpniecības, pētniecības un enerģētikas komitejas un Zivsaimniecības komitejas atzinumus,</w:t>
      </w:r>
    </w:p>
    <w:p w:rsidR="009A69FB" w:rsidRPr="003F33F9" w:rsidRDefault="009A69FB" w:rsidP="009A69FB">
      <w:pPr>
        <w:pStyle w:val="NormalHanging12a"/>
      </w:pPr>
      <w:r w:rsidRPr="003F33F9">
        <w:t>–</w:t>
      </w:r>
      <w:r w:rsidRPr="003F33F9">
        <w:tab/>
        <w:t>ņemot vērā Vides, sabiedrības veselības un pārtikas nekaitīguma komitejas ziņojumu (A9</w:t>
      </w:r>
      <w:r w:rsidRPr="003F33F9">
        <w:noBreakHyphen/>
        <w:t>0238/2023),</w:t>
      </w:r>
    </w:p>
    <w:p w:rsidR="009A69FB" w:rsidRPr="003F33F9" w:rsidRDefault="009A69FB" w:rsidP="009A69FB">
      <w:pPr>
        <w:pStyle w:val="NormalHanging12a"/>
      </w:pPr>
      <w:r w:rsidRPr="003F33F9">
        <w:lastRenderedPageBreak/>
        <w:t>1.</w:t>
      </w:r>
      <w:r w:rsidRPr="003F33F9">
        <w:tab/>
        <w:t>pieņem pirmajā lasījumā tālāk izklāstīto nostāju</w:t>
      </w:r>
      <w:r w:rsidR="004666C4" w:rsidRPr="003F33F9">
        <w:footnoteReference w:id="2"/>
      </w:r>
      <w:r w:rsidRPr="003F33F9">
        <w:t>;</w:t>
      </w:r>
    </w:p>
    <w:p w:rsidR="009A69FB" w:rsidRPr="003F33F9" w:rsidRDefault="009A69FB" w:rsidP="009A69FB">
      <w:pPr>
        <w:pStyle w:val="NormalHanging12a"/>
      </w:pPr>
      <w:r w:rsidRPr="003F33F9">
        <w:t>2.</w:t>
      </w:r>
      <w:r w:rsidRPr="003F33F9">
        <w:tab/>
        <w:t>prasa Komisijai priekšlikumu Parlamentam iesniegt vēlreiz, ja tā savu priekšlikumu aizstāj, būtiski groza vai ir paredzējusi to būtiski grozīt;</w:t>
      </w:r>
    </w:p>
    <w:p w:rsidR="00CB6573" w:rsidRPr="003F33F9" w:rsidRDefault="009A69FB" w:rsidP="00CB6573">
      <w:pPr>
        <w:pStyle w:val="NormalHanging12a"/>
        <w:sectPr w:rsidR="00CB6573" w:rsidRPr="003F33F9" w:rsidSect="005D0D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3F33F9">
        <w:t>3.</w:t>
      </w:r>
      <w:r w:rsidRPr="003F33F9">
        <w:tab/>
        <w:t>uzdod priekšsēdētājai Parlamenta nostāju nosūtīt Padomei un Komisijai, kā arī dalībvalstu parlamentiem.</w:t>
      </w:r>
    </w:p>
    <w:p w:rsidR="00CB6573" w:rsidRPr="003F33F9" w:rsidRDefault="00CB6573" w:rsidP="00CB6573">
      <w:pPr>
        <w:pStyle w:val="Normal12Hanging"/>
        <w:tabs>
          <w:tab w:val="left" w:pos="357"/>
        </w:tabs>
        <w:rPr>
          <w:b/>
          <w:noProof/>
        </w:rPr>
      </w:pPr>
      <w:r w:rsidRPr="003F33F9">
        <w:rPr>
          <w:b/>
          <w:noProof/>
        </w:rPr>
        <w:lastRenderedPageBreak/>
        <w:t>P9_TC1-COD(2022)0344</w:t>
      </w:r>
    </w:p>
    <w:p w:rsidR="00CB6573" w:rsidRPr="003F33F9" w:rsidRDefault="00CB6573" w:rsidP="00CB6573">
      <w:pPr>
        <w:pStyle w:val="Normal12Hanging"/>
        <w:ind w:left="0" w:firstLine="0"/>
        <w:rPr>
          <w:b/>
          <w:szCs w:val="24"/>
          <w:lang w:eastAsia="en-US"/>
        </w:rPr>
      </w:pPr>
      <w:r w:rsidRPr="003F33F9">
        <w:rPr>
          <w:b/>
          <w:noProof/>
        </w:rPr>
        <w:t xml:space="preserve">Eiropas Parlamenta nostāja, pieņemta pirmajā lasījumā </w:t>
      </w:r>
      <w:r w:rsidRPr="003F33F9">
        <w:rPr>
          <w:b/>
        </w:rPr>
        <w:t>2024. gada 25. aprīlī</w:t>
      </w:r>
      <w:r w:rsidRPr="003F33F9">
        <w:rPr>
          <w:b/>
          <w:noProof/>
        </w:rPr>
        <w:t xml:space="preserve">, lai pieņemtu Eiropas Parlamenta un Padomes Direktīvu (ES) 2024/..., </w:t>
      </w:r>
      <w:r w:rsidRPr="003F33F9">
        <w:rPr>
          <w:b/>
          <w:szCs w:val="24"/>
          <w:lang w:eastAsia="en-US"/>
        </w:rPr>
        <w:t>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w:t>
      </w:r>
    </w:p>
    <w:p w:rsidR="00CB6573" w:rsidRPr="003F33F9" w:rsidRDefault="00CB6573" w:rsidP="00CB6573">
      <w:pPr>
        <w:widowControl/>
        <w:spacing w:before="360" w:after="240" w:line="360" w:lineRule="auto"/>
        <w:jc w:val="center"/>
        <w:rPr>
          <w:szCs w:val="24"/>
          <w:lang w:eastAsia="en-US"/>
        </w:rPr>
      </w:pPr>
      <w:r w:rsidRPr="003F33F9">
        <w:rPr>
          <w:szCs w:val="24"/>
          <w:lang w:eastAsia="en-US"/>
        </w:rPr>
        <w:t>(Dokuments attiecas uz EEZ)</w:t>
      </w:r>
    </w:p>
    <w:p w:rsidR="00CB6573" w:rsidRPr="003F33F9" w:rsidRDefault="00CB6573" w:rsidP="00CB6573">
      <w:pPr>
        <w:keepNext/>
        <w:spacing w:before="600" w:after="120" w:line="360" w:lineRule="auto"/>
        <w:rPr>
          <w:szCs w:val="24"/>
          <w:lang w:eastAsia="en-US"/>
        </w:rPr>
      </w:pPr>
      <w:r w:rsidRPr="003F33F9">
        <w:rPr>
          <w:szCs w:val="24"/>
          <w:lang w:eastAsia="en-US"/>
        </w:rPr>
        <w:t>EIROPAS PARLAMENTS UN EIROPAS SAVIENĪBAS PADOME,</w:t>
      </w:r>
    </w:p>
    <w:p w:rsidR="00CB6573" w:rsidRPr="003F33F9" w:rsidRDefault="00CB6573" w:rsidP="00CB6573">
      <w:pPr>
        <w:spacing w:before="120" w:after="120" w:line="360" w:lineRule="auto"/>
        <w:rPr>
          <w:lang w:eastAsia="en-US"/>
        </w:rPr>
      </w:pPr>
      <w:r w:rsidRPr="003F33F9">
        <w:rPr>
          <w:lang w:eastAsia="en-US"/>
        </w:rPr>
        <w:t>ņemot vērā Līgumu par Eiropas Savienības darbību un jo īpaši tā 192. panta 1. punktu,</w:t>
      </w:r>
    </w:p>
    <w:p w:rsidR="00CB6573" w:rsidRPr="003F33F9" w:rsidRDefault="00CB6573" w:rsidP="00CB6573">
      <w:pPr>
        <w:spacing w:before="120" w:after="120" w:line="360" w:lineRule="auto"/>
        <w:rPr>
          <w:lang w:eastAsia="en-US"/>
        </w:rPr>
      </w:pPr>
      <w:r w:rsidRPr="003F33F9">
        <w:rPr>
          <w:lang w:eastAsia="en-US"/>
        </w:rPr>
        <w:t>ņemot vērā Eiropas Komisijas priekšlikumu,</w:t>
      </w:r>
    </w:p>
    <w:p w:rsidR="00CB6573" w:rsidRPr="003F33F9" w:rsidRDefault="00CB6573" w:rsidP="00CB6573">
      <w:pPr>
        <w:spacing w:before="120" w:after="120" w:line="360" w:lineRule="auto"/>
        <w:rPr>
          <w:lang w:eastAsia="en-US"/>
        </w:rPr>
      </w:pPr>
      <w:r w:rsidRPr="003F33F9">
        <w:rPr>
          <w:lang w:eastAsia="en-US"/>
        </w:rPr>
        <w:t>pēc leģislatīvā akta projekta nosūtīšanas valstu parlamentiem,</w:t>
      </w:r>
    </w:p>
    <w:p w:rsidR="00CB6573" w:rsidRPr="003F33F9" w:rsidRDefault="00CB6573" w:rsidP="00CB6573">
      <w:pPr>
        <w:spacing w:before="120" w:after="120" w:line="360" w:lineRule="auto"/>
        <w:rPr>
          <w:lang w:eastAsia="en-US"/>
        </w:rPr>
      </w:pPr>
      <w:r w:rsidRPr="003F33F9">
        <w:rPr>
          <w:lang w:eastAsia="en-US"/>
        </w:rPr>
        <w:t>ņemot vērā Eiropas Ekonomikas un sociālo lietu komitejas atzinumu</w:t>
      </w:r>
      <w:r w:rsidRPr="003F33F9">
        <w:rPr>
          <w:vertAlign w:val="superscript"/>
          <w:lang w:val="en-GB" w:eastAsia="en-US"/>
        </w:rPr>
        <w:footnoteReference w:id="3"/>
      </w:r>
      <w:r w:rsidRPr="003F33F9">
        <w:rPr>
          <w:lang w:eastAsia="en-US"/>
        </w:rPr>
        <w:t>,</w:t>
      </w:r>
    </w:p>
    <w:p w:rsidR="00CB6573" w:rsidRPr="003F33F9" w:rsidRDefault="00CB6573" w:rsidP="00CB6573">
      <w:pPr>
        <w:spacing w:before="120" w:after="120" w:line="360" w:lineRule="auto"/>
        <w:rPr>
          <w:lang w:eastAsia="en-US"/>
        </w:rPr>
      </w:pPr>
      <w:r w:rsidRPr="003F33F9">
        <w:rPr>
          <w:lang w:eastAsia="en-US"/>
        </w:rPr>
        <w:t>ņemot vērā Reģionu komitejas atzinumu</w:t>
      </w:r>
      <w:r w:rsidRPr="003F33F9">
        <w:rPr>
          <w:vertAlign w:val="superscript"/>
          <w:lang w:val="en-GB" w:eastAsia="en-US"/>
        </w:rPr>
        <w:footnoteReference w:id="4"/>
      </w:r>
      <w:r w:rsidRPr="003F33F9">
        <w:rPr>
          <w:lang w:eastAsia="en-US"/>
        </w:rPr>
        <w:t>,</w:t>
      </w:r>
    </w:p>
    <w:p w:rsidR="00CB6573" w:rsidRPr="003F33F9" w:rsidRDefault="00CB6573" w:rsidP="00CB6573">
      <w:pPr>
        <w:spacing w:before="120" w:after="120" w:line="360" w:lineRule="auto"/>
        <w:rPr>
          <w:lang w:val="pt-PT" w:eastAsia="en-US"/>
        </w:rPr>
      </w:pPr>
      <w:r w:rsidRPr="003F33F9">
        <w:rPr>
          <w:lang w:val="pt-PT" w:eastAsia="en-US"/>
        </w:rPr>
        <w:t>saskaņā ar parasto likumdošanas procedūru,</w:t>
      </w:r>
    </w:p>
    <w:p w:rsidR="00CB6573" w:rsidRPr="003F33F9" w:rsidRDefault="00CB6573">
      <w:pPr>
        <w:widowControl/>
        <w:rPr>
          <w:lang w:val="pt-PT" w:eastAsia="en-US"/>
        </w:rPr>
      </w:pPr>
      <w:r w:rsidRPr="003F33F9">
        <w:rPr>
          <w:lang w:val="pt-PT" w:eastAsia="en-US"/>
        </w:rPr>
        <w:br w:type="page"/>
      </w:r>
    </w:p>
    <w:p w:rsidR="00CB6573" w:rsidRPr="003F33F9" w:rsidRDefault="00CB6573" w:rsidP="00CB6573">
      <w:pPr>
        <w:spacing w:before="120" w:after="120" w:line="360" w:lineRule="auto"/>
        <w:rPr>
          <w:lang w:val="pt-PT" w:eastAsia="en-US"/>
        </w:rPr>
      </w:pPr>
      <w:r w:rsidRPr="003F33F9">
        <w:rPr>
          <w:lang w:val="pt-PT" w:eastAsia="en-US"/>
        </w:rPr>
        <w:lastRenderedPageBreak/>
        <w:t>tā kā:</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w:t>
      </w:r>
      <w:r w:rsidRPr="003F33F9">
        <w:rPr>
          <w:szCs w:val="24"/>
          <w:lang w:val="pt-PT" w:eastAsia="en-US"/>
        </w:rPr>
        <w:tab/>
      </w:r>
      <w:r w:rsidRPr="003F33F9">
        <w:rPr>
          <w:b/>
          <w:i/>
          <w:szCs w:val="24"/>
          <w:lang w:val="pt-PT" w:eastAsia="en-US"/>
        </w:rPr>
        <w:t>Ūdens nav prece kā jebkurš cits produkts, bet gan sabiedrisks labums un mantojums, kas jāaizsargā un pret ko jāattiecas kā pret tādu, lai nodrošinātu ekosistēmu saglabāšanu un vispārēju piekļuvi tīram ūdenim.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(-1a)</w:t>
      </w:r>
      <w:r w:rsidRPr="003F33F9">
        <w:rPr>
          <w:szCs w:val="24"/>
          <w:lang w:val="pt-PT" w:eastAsia="en-US"/>
        </w:rPr>
        <w:tab/>
      </w:r>
      <w:r w:rsidRPr="003F33F9">
        <w:rPr>
          <w:b/>
          <w:i/>
          <w:szCs w:val="24"/>
          <w:lang w:val="pt-PT" w:eastAsia="en-US"/>
        </w:rPr>
        <w:t xml:space="preserve">Apvienoto Nāciju Organizācijas Ģenerālā asambleja 2010. gada 28. jūlijā atzina tiesības uz drošu un tīru dzeramo ūdeni un sanitāriju par cilvēktiesībām, kas ir būtiskas pilnvērtīgai dzīvei un visu cilvēktiesību izmantošanai. Pēc sekmīgās 2014. gada Eiropas pilsoņu iniciatīvas “Right2Water” (“Tiesības uz ūdeni”) Komisija 2018. gadā pieņēma priekšlikumu, lai pārskatītu Dzeramā ūdens direktīvu, un attiecīgā grozītā direktīva stājās spēkā 2021. gada 12. janvārī. Minētā direktīva nosaka dalībvalstīm pienākumu uzlabot piekļuvi dzeramajam ūdenim, cita starpā izmantojot saskaņā ar Direktīvu 2000/60/EK gūtās zināšanas un īstenotās darbības. Dalībvalstīm arī būtu jānodrošina tiesību uz tīru ūdeni un sanitāriju efektivitāte, uzlabojot virszemes ūdeņu un pazemes ūdeņu kvalitāti. </w:t>
      </w:r>
      <w:r w:rsidR="00D116DF" w:rsidRPr="003F33F9">
        <w:rPr>
          <w:b/>
          <w:szCs w:val="24"/>
          <w:lang w:val="pt-PT" w:eastAsia="en-US"/>
        </w:rPr>
        <w:t xml:space="preserve">[Gr. </w:t>
      </w:r>
      <w:r w:rsidRPr="003F33F9">
        <w:rPr>
          <w:b/>
          <w:szCs w:val="24"/>
          <w:lang w:val="pt-PT" w:eastAsia="en-US"/>
        </w:rPr>
        <w:t>2]</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(1)</w:t>
      </w:r>
      <w:r w:rsidRPr="003F33F9">
        <w:rPr>
          <w:szCs w:val="24"/>
          <w:lang w:val="pt-PT" w:eastAsia="en-US"/>
        </w:rPr>
        <w:tab/>
        <w:t>Virszemes ūdeņu un gruntsūdeņu ķīmiskais piesārņojums apdraud ūdens vidi — tā sekas ir akūts un hronisks ūdens organismu toksiskums, piesārņojošo vielu akumulācija ekosistēmā un sugu dzīvotņu un bioloģiskās daudzveidības zudums — un apdraud arī cilvēka veselību. Vides kvalitātes standartu noteikšana palīdz īstenot nulles piesārņojuma ieceri par vidi, kas ir brīva no toksikantiem</w:t>
      </w:r>
      <w:r w:rsidRPr="003F33F9">
        <w:rPr>
          <w:b/>
          <w:i/>
          <w:szCs w:val="24"/>
          <w:lang w:val="pt-PT" w:eastAsia="en-US"/>
        </w:rPr>
        <w:t>, — vienu no 8</w:t>
      </w:r>
      <w:r w:rsidRPr="003F33F9">
        <w:rPr>
          <w:szCs w:val="24"/>
          <w:lang w:val="pt-PT" w:eastAsia="en-US"/>
        </w:rPr>
        <w:t>.</w:t>
      </w:r>
      <w:r w:rsidRPr="003F33F9">
        <w:rPr>
          <w:b/>
          <w:i/>
          <w:szCs w:val="24"/>
          <w:lang w:val="pt-PT" w:eastAsia="en-US"/>
        </w:rPr>
        <w:t xml:space="preserve"> vides rīcības programmas</w:t>
      </w:r>
      <w:r w:rsidRPr="003F33F9">
        <w:rPr>
          <w:szCs w:val="24"/>
          <w:vertAlign w:val="superscript"/>
          <w:lang w:val="en-GB" w:eastAsia="en-US"/>
        </w:rPr>
        <w:footnoteReference w:id="5"/>
      </w:r>
      <w:r w:rsidRPr="003F33F9">
        <w:rPr>
          <w:b/>
          <w:i/>
          <w:szCs w:val="24"/>
          <w:lang w:val="pt-PT" w:eastAsia="en-US"/>
        </w:rPr>
        <w:t xml:space="preserve"> prioritārajiem mērķiem.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(1a)</w:t>
      </w:r>
      <w:r w:rsidRPr="003F33F9">
        <w:rPr>
          <w:szCs w:val="24"/>
          <w:lang w:val="pt-PT" w:eastAsia="en-US"/>
        </w:rPr>
        <w:tab/>
      </w:r>
      <w:r w:rsidRPr="003F33F9">
        <w:rPr>
          <w:b/>
          <w:i/>
          <w:szCs w:val="24"/>
          <w:lang w:val="pt-PT" w:eastAsia="en-US"/>
        </w:rPr>
        <w:t>Saskaņā ar Eiropas Vides aģentūras rīcībā esošajiem ziņojumiem aptuveni 90 % no gruntsūdens objektu platības ir labi kvantitatīvie rādītāji, aptuveni 75 % no gruntsūdens objektu platības ir labi ķīmiskās kvalitātes rādītāji, 40 % virszemes ūdens objektu ir labi vai augsti ekoloģiskās kvalitātes rādītāji un 38 % virszemes ūdens objektu ir labi ķīmiskās kvalitātes rādītāji, savukārt Eiropas Vides aģentūras 2019. gada 4. decembra ziņojumā “The European environment – state and outlook 2020: Knowledge for transition to a sustainable Europe” (“Vide Eiropā — stāvoklis un perspektīvas 2020: zināšanas pārejai uz ilgtspējīgu Eiropu”) konstatēts, ka piesārņojuma samazināšanās ir uzlabojusi ūdens kvalitāti, taču Savienība nav ne tuvu visu ūdens objektu laba ekoloģiskā stāvokļa sasniegšanai līdz 2020. gadam.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4]</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(1b)</w:t>
      </w:r>
      <w:r w:rsidRPr="003F33F9">
        <w:rPr>
          <w:szCs w:val="24"/>
          <w:lang w:val="pt-PT" w:eastAsia="en-US"/>
        </w:rPr>
        <w:tab/>
      </w:r>
      <w:r w:rsidRPr="003F33F9">
        <w:rPr>
          <w:b/>
          <w:i/>
          <w:szCs w:val="24"/>
          <w:lang w:val="pt-PT" w:eastAsia="en-US"/>
        </w:rPr>
        <w:t>Ūdens pamatdirektīvas atbilstības pārbaudē (“atbilstības pārbaude”), kas tika veikta 2019. gadā, izvērtējumā secināts, ka nākamajai pasākumu programmu kārtai būs liela nozīme, lai nodrošinātu nepieciešamo virzību uz Direktīvas 2000/60/EK vides mērķu sasniegšanu līdz 2027. gada termiņam, un norādīts, ka pašlaik vairāk nekā pusei no visiem Eiropas ūdens objektiem piemēro atbrīvojumu saskaņā ar Direktīvu 2000/60/EK un tas padara dalībvalstu uzdevumu noteiktajā termiņā sasniegt vides kvalitātes standartus attiecībā uz prioritārajām vielām par vairāk nekā sarežģītu. Turklāt atbilstības pārbaudē tika secināts, ka tas, ka vides mērķi nav pilnībā sasniegti, lielā mērā ir saistīts ar nepietiekamu finansējumu, lēnu īstenošanu un vides mērķu nepietiekamu integrāciju nozaru rīcībpolitikās, nevis ar tiesību aktu nepilnībām.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5]</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(1c)</w:t>
      </w:r>
      <w:r w:rsidRPr="003F33F9">
        <w:rPr>
          <w:szCs w:val="24"/>
          <w:lang w:val="pt-PT" w:eastAsia="en-US"/>
        </w:rPr>
        <w:tab/>
      </w:r>
      <w:r w:rsidRPr="003F33F9">
        <w:rPr>
          <w:b/>
          <w:i/>
          <w:szCs w:val="24"/>
          <w:lang w:val="pt-PT" w:eastAsia="en-US"/>
        </w:rPr>
        <w:t>Ģeogrāfisko un sociālekonomisko faktoru dēļ dažas iedzīvotāju grupas, tai skaitā pirmiedzīvotāju tautas, ir neaizsargātākas pret ūdens piesārņojumu. Ir gaidāms, ka Eiropas Savienībā paplašināsies kalnrūpniecības nozare, lai nodrošinātu neto nulles emisiju industrijas attīstību. Kā minēts Eiropas Vides aģentūras ziņojumā 09/2021</w:t>
      </w:r>
      <w:r w:rsidRPr="003F33F9">
        <w:rPr>
          <w:szCs w:val="24"/>
          <w:vertAlign w:val="superscript"/>
          <w:lang w:val="en-GB" w:eastAsia="en-US"/>
        </w:rPr>
        <w:footnoteReference w:id="6"/>
      </w:r>
      <w:r w:rsidRPr="003F33F9">
        <w:rPr>
          <w:b/>
          <w:i/>
          <w:szCs w:val="24"/>
          <w:lang w:val="pt-PT" w:eastAsia="en-US"/>
        </w:rPr>
        <w:t xml:space="preserve">1, kalnrūpniecības nozare tieši ietekmē ūdens kvalitāti un kvantitāti. Tāpēc ir nepieciešams labāk īstenot pašreizējo tiesisko regulējumu un plānot un kontrolēt ūdens izmantošanu un novadīšanu arī kalnrūpniecības darbībās.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(1d)</w:t>
      </w:r>
      <w:r w:rsidRPr="003F33F9">
        <w:rPr>
          <w:szCs w:val="24"/>
          <w:lang w:val="pt-PT" w:eastAsia="en-US"/>
        </w:rPr>
        <w:tab/>
      </w:r>
      <w:r w:rsidRPr="003F33F9">
        <w:rPr>
          <w:b/>
          <w:i/>
          <w:szCs w:val="24"/>
          <w:lang w:val="pt-PT" w:eastAsia="en-US"/>
        </w:rPr>
        <w:t>Daudzas teritorijas Savienībā saskaras ar lieliem un aizvien nozīmīgākiem ūdens pieejamības ierobežojumiem. Pēdējos gados vērojamais lielais un ilgstošais sausums, jo īpaši Vidusjūras reģionos, apdraud lauksaimniecisko ražošanu un izraisa virszemes ūdeņu un gruntsūdeņu rezervju būtisku samazināšanos</w:t>
      </w:r>
      <w:r w:rsidRPr="003F33F9">
        <w:rPr>
          <w:szCs w:val="24"/>
          <w:vertAlign w:val="superscript"/>
          <w:lang w:val="en-GB" w:eastAsia="en-US"/>
        </w:rPr>
        <w:footnoteReference w:id="7"/>
      </w:r>
      <w:r w:rsidRPr="003F33F9">
        <w:rPr>
          <w:b/>
          <w:i/>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(1e)</w:t>
      </w:r>
      <w:r w:rsidRPr="003F33F9">
        <w:rPr>
          <w:szCs w:val="24"/>
          <w:lang w:val="pt-PT" w:eastAsia="en-US"/>
        </w:rPr>
        <w:tab/>
      </w:r>
      <w:r w:rsidRPr="003F33F9">
        <w:rPr>
          <w:b/>
          <w:i/>
          <w:szCs w:val="24"/>
          <w:lang w:val="pt-PT" w:eastAsia="en-US"/>
        </w:rPr>
        <w:t>Ūdens ir visiem izmantojams sabiedriskais labums, kas ir neaizstājams un dzīvībai nepieciešams dabas pamatresurss un kam jāpievērš rūpīga uzmanība, ņemot vērā tā sociālo, ekonomisko un vidisko aspektu. Klimata pārmaiņas, citastarp aizvien biežāk notiekošās dabas katastrofas un ekstrēmi laikapstākļu notikumi, un bioloģiskās daudzveidības degradācija negatīvi ietekmē gan ūdens kvalitāti, gan kvantitāti, tādējādi radot spiedienu uz nozarēm, kas ir atkarīgas no ūdens pieejamības, jo īpaši uz lauksaimniecību.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(1f)</w:t>
      </w:r>
      <w:r w:rsidRPr="003F33F9">
        <w:rPr>
          <w:szCs w:val="24"/>
          <w:lang w:val="pt-PT" w:eastAsia="en-US"/>
        </w:rPr>
        <w:tab/>
      </w:r>
      <w:r w:rsidRPr="003F33F9">
        <w:rPr>
          <w:b/>
          <w:i/>
          <w:szCs w:val="24"/>
          <w:lang w:val="pt-PT" w:eastAsia="en-US"/>
        </w:rPr>
        <w:t>Eiropas Vides aģentūra (EVA) savā 2018. gada ziņojumā “European waters - assessment of status and pressures” (“Eiropas ūdeņi — stāvokļa un uz tiem gulstošā spiediena novērtējums”) norādīja, ka konkrētu veidu lauksaimniecības prakse ir šķērslis labu ķīmiskās kvalitātes rādītāju sasniegšanai attiecībā uz Savienības gruntsūdeņiem, jo rada piesārņojumu ar nitrātiem un pesticīdiem, tomēr pēdējo gadu desmitu laikā ES vērojama pastāvīga minerālmēslu izmantošanas un barības vielu pārpalikuma samazināšanās</w:t>
      </w:r>
      <w:r w:rsidRPr="003F33F9">
        <w:rPr>
          <w:szCs w:val="24"/>
          <w:vertAlign w:val="superscript"/>
          <w:lang w:val="en-GB" w:eastAsia="en-US"/>
        </w:rPr>
        <w:footnoteReference w:id="8"/>
      </w:r>
      <w:r w:rsidRPr="003F33F9">
        <w:rPr>
          <w:b/>
          <w:i/>
          <w:szCs w:val="24"/>
          <w:lang w:val="pt-PT" w:eastAsia="en-US"/>
        </w:rPr>
        <w:t>1. Citi nozīmīgi piesārņojuma avoti ir notekūdeņu novadīšana ārpus kanalizācijas sistēmas, kontaminēti objekti vai pamestas rūpnieciskas teritorijas.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(1g)</w:t>
      </w:r>
      <w:r w:rsidRPr="003F33F9">
        <w:rPr>
          <w:szCs w:val="24"/>
          <w:lang w:val="pt-PT" w:eastAsia="en-US"/>
        </w:rPr>
        <w:tab/>
      </w:r>
      <w:r w:rsidRPr="003F33F9">
        <w:rPr>
          <w:b/>
          <w:i/>
          <w:szCs w:val="24"/>
          <w:lang w:val="pt-PT" w:eastAsia="en-US"/>
        </w:rPr>
        <w:t>Labs ūdens objektu stāvoklis un efektīva ūdens resursu apsaimniekošana ir lauksaimniecības nozares prioritāte, jo lauksaimniekiem ūdens ir nepieciešams savai darbībai, tāpēc viņi ir ieinteresēti šo resursu ilgtspējīgā izmantošanā.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(1h)</w:t>
      </w:r>
      <w:r w:rsidRPr="003F33F9">
        <w:rPr>
          <w:szCs w:val="24"/>
          <w:lang w:val="pt-PT" w:eastAsia="en-US"/>
        </w:rPr>
        <w:tab/>
      </w:r>
      <w:r w:rsidRPr="003F33F9">
        <w:rPr>
          <w:b/>
          <w:i/>
          <w:szCs w:val="24"/>
          <w:lang w:val="pt-PT" w:eastAsia="en-US"/>
        </w:rPr>
        <w:t>Lai sekmētu pāreju uz ilgtspējīgāku un produktīvāku lauksaimniecības nozari, kas ir noturīga pret ūdens pieejamības ierobežojumiem, būtu jāievieš stimuli, kas mudinātu lauksaimniekus uzlabot ūdens apsaimniekošanu un modernizēt apūdeņošanas sistēmas un metodes.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(1i)</w:t>
      </w:r>
      <w:r w:rsidRPr="003F33F9">
        <w:rPr>
          <w:szCs w:val="24"/>
          <w:lang w:val="pt-PT" w:eastAsia="en-US"/>
        </w:rPr>
        <w:tab/>
      </w:r>
      <w:r w:rsidRPr="003F33F9">
        <w:rPr>
          <w:b/>
          <w:i/>
          <w:szCs w:val="24"/>
          <w:lang w:val="pt-PT" w:eastAsia="en-US"/>
        </w:rPr>
        <w:t>Pesticīdu lietošana var būtiski ietekmēt lauksaimniecības vajadzībām pieejamā ūdens kvalitāti un kvantitāti, tādējādi negatīvi ietekmējot bioloģisko daudzveidību ūdenī un uz sauszemes. Tāpēc ir lietderīgi uzraudzīt pesticīdu un to metabolītu radīto ietekmi uz ūdens objektiem, kā arī to ekotoksikoloģisko iedarbību.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12]</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(1j)</w:t>
      </w:r>
      <w:r w:rsidRPr="003F33F9">
        <w:rPr>
          <w:szCs w:val="24"/>
          <w:lang w:val="pt-PT" w:eastAsia="en-US"/>
        </w:rPr>
        <w:tab/>
      </w:r>
      <w:r w:rsidRPr="003F33F9">
        <w:rPr>
          <w:b/>
          <w:i/>
          <w:szCs w:val="24"/>
          <w:lang w:val="pt-PT" w:eastAsia="en-US"/>
        </w:rPr>
        <w:t>Ir svarīgi ņemt vērā līdz šim sasniegto tādās nozarēs kā lauksaimniecība, kur fitosanitāro piesārņojumu jau ir izdevies samazināt par 14 % salīdzinājumā ar 2015.–2017. gadu un attiecībā uz viskaitīgākajām piesārņojošajām vielām — par 26 %. Tātad rādītāji liecina, ka ķimikāliju izmantošana un ar tām saistītais risks nepārtraukti samazinās, un 2020. gads bija otrais gads pēc kārtas, kad ievērojami samazinājās pesticīdu, jo īpaši visbīstamāko, lietošana</w:t>
      </w:r>
      <w:r w:rsidRPr="003F33F9">
        <w:rPr>
          <w:szCs w:val="24"/>
          <w:vertAlign w:val="superscript"/>
          <w:lang w:val="en-GB" w:eastAsia="en-US"/>
        </w:rPr>
        <w:footnoteReference w:id="9"/>
      </w:r>
      <w:r w:rsidRPr="003F33F9">
        <w:rPr>
          <w:b/>
          <w:i/>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13]</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(1k)</w:t>
      </w:r>
      <w:r w:rsidRPr="003F33F9">
        <w:rPr>
          <w:szCs w:val="24"/>
          <w:lang w:val="pt-PT" w:eastAsia="en-US"/>
        </w:rPr>
        <w:tab/>
      </w:r>
      <w:r w:rsidRPr="003F33F9">
        <w:rPr>
          <w:b/>
          <w:i/>
          <w:szCs w:val="24"/>
          <w:lang w:val="pt-PT" w:eastAsia="en-US"/>
        </w:rPr>
        <w:t>Virszemes ūdeņu un gruntsūdeņu ķīmiskais piesārņojums apdraud arī lauksaimniecību, ierobežojot kultūraugu apūdeņošanai piemērota ūdens pieejamību un vēl vairāk saasinot ūdens trūkuma problēmu. Tāpēc Savienībai un dalībvalstīm būtu jāpalielina atbalsts pētniecībai un inovācijai, lai ātri ieviestu risinājumus virszemes ūdeņu un gruntsūdeņu trūkuma un piesārņojuma novēršanai, kuri ietvertu digitalizāciju, precīzo lauksaimniecību, optimizētu apūdeņošanu, apūdeņošanas sistēmu modernizāciju un resursu apritīgu izmantošanu, ar mērķi uzlabot ūdens resursu apsaimniekošanu klimatnoturīgā veidā un mērķtiecīgāk lietot pesticīdus un mēslošanas līdzekļus kultūraugu audzēšanā, rast mazāk piesārņojošas un drošākas alternatīvas lauksaimnieciskās ražošanas resursiem, audzēt izturīgākas un barības vielu ziņā efektīvākas kultūraugu šķirnes, kā arī lauksaimnieciskajā apūdeņošanā vairāk izmantot attīrītus notekūdeņus. Tam būtu jāveicina ilgtspējīgas un noturīgas Savienības pārtikas sistēmas izveide, vienlaikus samazinot lauksaimniecības radīto difūzo piesārņojumu un vajadzību pēc ūdens resursu ieguves lauksaimniecības vajadzībām.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14]</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w:t>
      </w:r>
      <w:r w:rsidRPr="003F33F9">
        <w:rPr>
          <w:szCs w:val="24"/>
          <w:lang w:val="pt-PT" w:eastAsia="en-US"/>
        </w:rPr>
        <w:tab/>
        <w:t>Saskaņā ar Līguma par Eiropas Savienības darbību (LESD) 191. panta 2. punkta otro teikumu Savienības vides politika jābalsta uz piesardzības principu un uz to, ka jārīkojas preventīvi, ka videi nodarīts kaitējums jālabo, pirmām kārtām novēršot tā cēloni, un ka maksā piesārņotājs.</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(2a)</w:t>
      </w:r>
      <w:r w:rsidRPr="003F33F9">
        <w:rPr>
          <w:szCs w:val="24"/>
          <w:lang w:val="pt-PT" w:eastAsia="en-US"/>
        </w:rPr>
        <w:tab/>
      </w:r>
      <w:r w:rsidRPr="003F33F9">
        <w:rPr>
          <w:b/>
          <w:i/>
          <w:szCs w:val="24"/>
          <w:lang w:val="pt-PT" w:eastAsia="en-US"/>
        </w:rPr>
        <w:t>Cenšoties panākt augstu vides aizsardzības līmeni un īstenojot Nulles piesārņojuma rīcības plānu, Savienībai būtu jāņem vērā atšķirīgā situācija dažādos ES reģionos, ietekme uz pārtikas nekaitīgumu, pārtikas ražošanu un pārtikas pieejamību cenas ziņā, kā arī veselīgu un ilgtspējīgu uzturu.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15]</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(3)</w:t>
      </w:r>
      <w:r w:rsidRPr="003F33F9">
        <w:rPr>
          <w:szCs w:val="24"/>
          <w:lang w:val="pt-PT" w:eastAsia="en-US"/>
        </w:rPr>
        <w:tab/>
        <w:t>Eiropas zaļais kurss</w:t>
      </w:r>
      <w:r w:rsidRPr="003F33F9">
        <w:rPr>
          <w:szCs w:val="24"/>
          <w:vertAlign w:val="superscript"/>
          <w:lang w:val="en-GB" w:eastAsia="en-US"/>
        </w:rPr>
        <w:footnoteReference w:id="10"/>
      </w:r>
      <w:r w:rsidRPr="003F33F9">
        <w:rPr>
          <w:szCs w:val="24"/>
          <w:lang w:val="pt-PT" w:eastAsia="en-US"/>
        </w:rPr>
        <w:t xml:space="preserve"> ir Savienības stratēģija, ar kuru, optimizējot resursu pārvaldību un vienlaikus līdz minimumam samazinot piesārņojumu, iecerēts līdz 2050. gadam panākt, ka ekonomika ir kļuvusi klimatneitrāla, tīra un apritīga. Piesārņojuma aspekti konkrētāk skatīti Ilgtspēju sekmējošajā ES ķimikāliju stratēģijā</w:t>
      </w:r>
      <w:r w:rsidRPr="003F33F9">
        <w:rPr>
          <w:szCs w:val="24"/>
          <w:vertAlign w:val="superscript"/>
          <w:lang w:val="en-GB" w:eastAsia="en-US"/>
        </w:rPr>
        <w:footnoteReference w:id="11"/>
      </w:r>
      <w:r w:rsidRPr="003F33F9">
        <w:rPr>
          <w:szCs w:val="24"/>
          <w:lang w:val="pt-PT" w:eastAsia="en-US"/>
        </w:rPr>
        <w:t xml:space="preserve"> un Nulles piesārņojuma rīcības plānā</w:t>
      </w:r>
      <w:r w:rsidRPr="003F33F9">
        <w:rPr>
          <w:szCs w:val="24"/>
          <w:vertAlign w:val="superscript"/>
          <w:lang w:val="en-GB" w:eastAsia="en-US"/>
        </w:rPr>
        <w:footnoteReference w:id="12"/>
      </w:r>
      <w:r w:rsidRPr="003F33F9">
        <w:rPr>
          <w:szCs w:val="24"/>
          <w:lang w:val="pt-PT" w:eastAsia="en-US"/>
        </w:rPr>
        <w:t>. Īpaši piederīgas un iepriekš minēto papildinošas rīcībpolitikas ir arī 2018. gada ES Plastmasas stratēģija</w:t>
      </w:r>
      <w:r w:rsidRPr="003F33F9">
        <w:rPr>
          <w:szCs w:val="24"/>
          <w:vertAlign w:val="superscript"/>
          <w:lang w:val="en-GB" w:eastAsia="en-US"/>
        </w:rPr>
        <w:footnoteReference w:id="13"/>
      </w:r>
      <w:r w:rsidRPr="003F33F9">
        <w:rPr>
          <w:szCs w:val="24"/>
          <w:lang w:val="pt-PT" w:eastAsia="en-US"/>
        </w:rPr>
        <w:t>, 2021. gada Eiropas Zāļu stratēģija</w:t>
      </w:r>
      <w:r w:rsidRPr="003F33F9">
        <w:rPr>
          <w:szCs w:val="24"/>
          <w:vertAlign w:val="superscript"/>
          <w:lang w:val="en-GB" w:eastAsia="en-US"/>
        </w:rPr>
        <w:footnoteReference w:id="14"/>
      </w:r>
      <w:r w:rsidRPr="003F33F9">
        <w:rPr>
          <w:szCs w:val="24"/>
          <w:lang w:val="pt-PT" w:eastAsia="en-US"/>
        </w:rPr>
        <w:t>, Biodaudzveidības stratēģija</w:t>
      </w:r>
      <w:r w:rsidRPr="003F33F9">
        <w:rPr>
          <w:szCs w:val="24"/>
          <w:vertAlign w:val="superscript"/>
          <w:lang w:val="en-GB" w:eastAsia="en-US"/>
        </w:rPr>
        <w:footnoteReference w:id="15"/>
      </w:r>
      <w:r w:rsidRPr="003F33F9">
        <w:rPr>
          <w:szCs w:val="24"/>
          <w:lang w:val="pt-PT" w:eastAsia="en-US"/>
        </w:rPr>
        <w:t>, stratēģija “No lauka līdz galdam”</w:t>
      </w:r>
      <w:r w:rsidRPr="003F33F9">
        <w:rPr>
          <w:szCs w:val="24"/>
          <w:vertAlign w:val="superscript"/>
          <w:lang w:val="en-GB" w:eastAsia="en-US"/>
        </w:rPr>
        <w:footnoteReference w:id="16"/>
      </w:r>
      <w:r w:rsidRPr="003F33F9">
        <w:rPr>
          <w:szCs w:val="24"/>
          <w:lang w:val="pt-PT" w:eastAsia="en-US"/>
        </w:rPr>
        <w:t>, ES Augsnes stratēģija 2030. gadam</w:t>
      </w:r>
      <w:r w:rsidRPr="003F33F9">
        <w:rPr>
          <w:szCs w:val="24"/>
          <w:vertAlign w:val="superscript"/>
          <w:lang w:val="en-GB" w:eastAsia="en-US"/>
        </w:rPr>
        <w:footnoteReference w:id="17"/>
      </w:r>
      <w:r w:rsidRPr="003F33F9">
        <w:rPr>
          <w:szCs w:val="24"/>
          <w:lang w:val="pt-PT" w:eastAsia="en-US"/>
        </w:rPr>
        <w:t>, ES Digitālā stratēģija</w:t>
      </w:r>
      <w:r w:rsidRPr="003F33F9">
        <w:rPr>
          <w:szCs w:val="24"/>
          <w:vertAlign w:val="superscript"/>
          <w:lang w:val="en-GB" w:eastAsia="en-US"/>
        </w:rPr>
        <w:footnoteReference w:id="18"/>
      </w:r>
      <w:r w:rsidRPr="003F33F9">
        <w:rPr>
          <w:szCs w:val="24"/>
          <w:lang w:val="pt-PT" w:eastAsia="en-US"/>
        </w:rPr>
        <w:t xml:space="preserve"> un ES Datu stratēģija</w:t>
      </w:r>
      <w:r w:rsidRPr="003F33F9">
        <w:rPr>
          <w:szCs w:val="24"/>
          <w:vertAlign w:val="superscript"/>
          <w:lang w:val="en-GB" w:eastAsia="en-US"/>
        </w:rPr>
        <w:footnoteReference w:id="19"/>
      </w:r>
      <w:r w:rsidRPr="003F33F9">
        <w:rPr>
          <w:szCs w:val="24"/>
          <w:lang w:val="pt-PT" w:eastAsia="en-US"/>
        </w:rPr>
        <w:t>.</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(3a)</w:t>
      </w:r>
      <w:r w:rsidRPr="003F33F9">
        <w:rPr>
          <w:szCs w:val="24"/>
          <w:lang w:val="pt-PT" w:eastAsia="en-US"/>
        </w:rPr>
        <w:tab/>
      </w:r>
      <w:r w:rsidRPr="003F33F9">
        <w:rPr>
          <w:b/>
          <w:i/>
          <w:szCs w:val="24"/>
          <w:lang w:val="pt-PT" w:eastAsia="en-US"/>
        </w:rPr>
        <w:t>Mērķi panākt “labu ūdens objektu stāvokli” un nodrošināt ūdens resursu pieejamību ir transversāli, un centieni tos sasniegt bieži nav pietiekami saskaņoti. Laba ūdens resursu apsaimniekošana būtu jāintegrē visās Savienības rīcībpolitikās, kas attiecas uz nozarēm, kurās izmanto ūdeni.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16]</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(3b)</w:t>
      </w:r>
      <w:r w:rsidRPr="003F33F9">
        <w:rPr>
          <w:szCs w:val="24"/>
          <w:lang w:val="pt-PT" w:eastAsia="en-US"/>
        </w:rPr>
        <w:tab/>
      </w:r>
      <w:r w:rsidRPr="003F33F9">
        <w:rPr>
          <w:b/>
          <w:i/>
          <w:szCs w:val="24"/>
          <w:lang w:val="pt-PT" w:eastAsia="en-US"/>
        </w:rPr>
        <w:t>Atbilstības pārbaudē tika norādīts, ka ar ūdeni saistītie mērķi ir labāk jāintegrē lauksaimniecības politikā. Jaunajā KLP ir paredzēti pasākumi, kas ūdens resursu apsaimniekošanu padara ilgtspējīgāku. Lai labāk saskaņotu lauksaimniecības un ūdens resursu politiku, dalībvalstīm būtu pilnībā jāizmanto jaunās KLP sniegtās iespējas un ar ūdeni saistītie jautājumi pilnībā jāintegrē savos stratēģiskajos plānos, arī izmantojot lauksaimniecības zināšanu un inovāciju sistēmas (AKIS), un jāveicina konsultāciju pakalpojumu attīstība, lai popularizētu ūdens resursu apsaimniekošanas paraugpraksi.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17]</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(4)</w:t>
      </w:r>
      <w:r w:rsidRPr="003F33F9">
        <w:rPr>
          <w:szCs w:val="24"/>
          <w:lang w:val="pt-PT" w:eastAsia="en-US"/>
        </w:rPr>
        <w:tab/>
        <w:t>Eiropas Parlamenta un Padomes Direktīva 2000/60/EK</w:t>
      </w:r>
      <w:r w:rsidRPr="003F33F9">
        <w:rPr>
          <w:szCs w:val="24"/>
          <w:vertAlign w:val="superscript"/>
          <w:lang w:val="en-GB" w:eastAsia="en-US"/>
        </w:rPr>
        <w:footnoteReference w:id="20"/>
      </w:r>
      <w:r w:rsidRPr="003F33F9">
        <w:rPr>
          <w:szCs w:val="24"/>
          <w:lang w:val="pt-PT" w:eastAsia="en-US"/>
        </w:rPr>
        <w:t xml:space="preserve"> izveido iekšējo virszemes ūdeņu, pārejas ūdeņu, piekrastes ūdeņu un gruntsūdeņu aizsardzības satvaru. Minētais satvars paredz prioritāro vielu identificēšanu to vielu vidū, kuras rada vai ar kuru starpniecību ūdens videi tiek radīts Savienības mērogā ievērojams risks. Eiropas Parlamenta un Padomes Direktīva 2008/105/EK</w:t>
      </w:r>
      <w:r w:rsidRPr="003F33F9">
        <w:rPr>
          <w:szCs w:val="24"/>
          <w:vertAlign w:val="superscript"/>
          <w:lang w:val="en-GB" w:eastAsia="en-US"/>
        </w:rPr>
        <w:footnoteReference w:id="21"/>
      </w:r>
      <w:r w:rsidRPr="003F33F9">
        <w:rPr>
          <w:szCs w:val="24"/>
          <w:lang w:val="pt-PT" w:eastAsia="en-US"/>
        </w:rPr>
        <w:t xml:space="preserve"> nosaka Savienības mēroga vides kvalitātes standartus (VKS) 45 prioritārajām vielām, kas uzskaitītas Direktīvas 2000/60/EK X pielikumā, un astoņām citām piesārņojošām vielām, kas Savienības līmenī bija reglamentētas jau pirms X pielikuma izveidošanas ar Eiropas Parlamenta un Padomes Lēmumu Nr. 2455/2001/EK</w:t>
      </w:r>
      <w:r w:rsidRPr="003F33F9">
        <w:rPr>
          <w:szCs w:val="24"/>
          <w:vertAlign w:val="superscript"/>
          <w:lang w:val="en-GB" w:eastAsia="en-US"/>
        </w:rPr>
        <w:footnoteReference w:id="22"/>
      </w:r>
      <w:r w:rsidRPr="003F33F9">
        <w:rPr>
          <w:szCs w:val="24"/>
          <w:lang w:val="pt-PT" w:eastAsia="en-US"/>
        </w:rPr>
        <w:t xml:space="preserve">. </w:t>
      </w:r>
      <w:r w:rsidRPr="003F33F9">
        <w:rPr>
          <w:strike/>
          <w:szCs w:val="24"/>
          <w:lang w:val="pt-PT" w:eastAsia="en-US"/>
        </w:rPr>
        <w:t>Eiropas Parlamenta un Padomes Direktīva 2006/118/EK</w:t>
      </w:r>
      <w:r w:rsidRPr="003F33F9">
        <w:rPr>
          <w:szCs w:val="24"/>
          <w:vertAlign w:val="superscript"/>
          <w:lang w:val="en-GB" w:eastAsia="en-US"/>
        </w:rPr>
        <w:footnoteReference w:id="23"/>
      </w:r>
      <w:r w:rsidRPr="003F33F9">
        <w:rPr>
          <w:szCs w:val="24"/>
          <w:lang w:val="pt-PT" w:eastAsia="en-US"/>
        </w:rPr>
        <w:t xml:space="preserve">Savienības mērogā nosaka gruntsūdeņu kvalitātes standartus nitrātiem un pesticīdu aktīvajām vielām un kritērijus, pēc kādiem nosakāmas valsts robežvērtības citām gruntsūdeņus piesārņojošām vielām. Turklāt direktīva ietver sarakstu ar 12 piesārņojošajām vielām un rādītājiem, kuru gadījumā dalībvalstīm ir pienākums </w:t>
      </w:r>
      <w:r w:rsidRPr="003F33F9">
        <w:rPr>
          <w:strike/>
          <w:szCs w:val="24"/>
          <w:lang w:val="pt-PT" w:eastAsia="en-US"/>
        </w:rPr>
        <w:t>šādu</w:t>
      </w:r>
      <w:r w:rsidRPr="003F33F9">
        <w:rPr>
          <w:b/>
          <w:i/>
          <w:szCs w:val="24"/>
          <w:lang w:val="pt-PT" w:eastAsia="en-US"/>
        </w:rPr>
        <w:t>noteikt šādas</w:t>
      </w:r>
      <w:r w:rsidRPr="003F33F9">
        <w:rPr>
          <w:szCs w:val="24"/>
          <w:lang w:val="pt-PT" w:eastAsia="en-US"/>
        </w:rPr>
        <w:t xml:space="preserve"> valsts </w:t>
      </w:r>
      <w:r w:rsidRPr="003F33F9">
        <w:rPr>
          <w:strike/>
          <w:szCs w:val="24"/>
          <w:lang w:val="pt-PT" w:eastAsia="en-US"/>
        </w:rPr>
        <w:t>robežvērtību noteikšanu apsvērt</w:t>
      </w:r>
      <w:r w:rsidRPr="003F33F9">
        <w:rPr>
          <w:b/>
          <w:i/>
          <w:szCs w:val="24"/>
          <w:lang w:val="pt-PT" w:eastAsia="en-US"/>
        </w:rPr>
        <w:t>robežvērtības</w:t>
      </w:r>
      <w:r w:rsidRPr="003F33F9">
        <w:rPr>
          <w:szCs w:val="24"/>
          <w:lang w:val="pt-PT" w:eastAsia="en-US"/>
        </w:rPr>
        <w:t>. Minētie gruntsūdeņu kvalitātes standarti noteikti Direktīvas 2006/118/EK I pielikumā.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18]</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(4a)</w:t>
      </w:r>
      <w:r w:rsidRPr="003F33F9">
        <w:rPr>
          <w:szCs w:val="24"/>
          <w:lang w:val="pt-PT" w:eastAsia="en-US"/>
        </w:rPr>
        <w:tab/>
      </w:r>
      <w:r w:rsidRPr="003F33F9">
        <w:rPr>
          <w:b/>
          <w:i/>
          <w:szCs w:val="24"/>
          <w:lang w:val="pt-PT" w:eastAsia="en-US"/>
        </w:rPr>
        <w:t>Dalībvalstīm būtu jānodrošina, ka tiek izbeigts piesārņojums, ko rada prioritāru bīstamo vielu izplūdes, emisijas un zudumi, vai ka šāds piesārņojums tiek pakāpeniski novērsts atbilstīgā termiņā un jebkurā gadījumā ne vēlāk kā 20 gadu laikā pēc tam, kad konkrēta prioritārā viela tiek iekļauta bīstamo vielu sarakstā Direktīvas 2008/105/EK I pielikuma A daļā. Minētais termiņš būtu jāpiemēro, neskarot stingrāku termiņu piemērošanu saskaņā ar jebkādiem citiem piemērojamiem Savienības tiesību aktiem.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19]</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t>(5)</w:t>
      </w:r>
      <w:r w:rsidRPr="003F33F9">
        <w:rPr>
          <w:szCs w:val="24"/>
          <w:lang w:val="pt-PT" w:eastAsia="en-US"/>
        </w:rPr>
        <w:tab/>
        <w:t xml:space="preserve">To, vai viela būtu iekļaujama Direktīvas 2000/60/EK X pielikumā vai Direktīvas 2006/118/EK I vai II pielikumā, nosaka riska novērtējums, kurā tiek skatīts, kāds ir konkrētās vielas radītais risks cilvēkam un ūdens videi. Minētā novērtējuma galvenie elementi ir zināšanas par vielu koncentrācijām vidē (te ietilpst arī ar novērojamo vielu sarakstu saistītā informācija) un (eko)toksicitāti, kā arī par to noturību, bioakumulatīvo spēju, </w:t>
      </w:r>
      <w:r w:rsidRPr="003F33F9">
        <w:rPr>
          <w:b/>
          <w:i/>
          <w:szCs w:val="24"/>
          <w:lang w:val="pt-PT" w:eastAsia="en-US"/>
        </w:rPr>
        <w:t xml:space="preserve">toksiskumu, mobilitāti, </w:t>
      </w:r>
      <w:r w:rsidRPr="003F33F9">
        <w:rPr>
          <w:szCs w:val="24"/>
          <w:lang w:val="pt-PT" w:eastAsia="en-US"/>
        </w:rPr>
        <w:t xml:space="preserve">kancerogenitāti, mutagenitāti, reprotoksicitāti un endokrīni disruptīvo potenciālu. </w:t>
      </w:r>
      <w:r w:rsidR="00D116DF" w:rsidRPr="003F33F9">
        <w:rPr>
          <w:b/>
          <w:szCs w:val="24"/>
          <w:lang w:val="pt-PT" w:eastAsia="en-US"/>
        </w:rPr>
        <w:t xml:space="preserve">[Gr. </w:t>
      </w:r>
      <w:r w:rsidRPr="003F33F9">
        <w:rPr>
          <w:b/>
          <w:szCs w:val="24"/>
          <w:lang w:val="pt-PT" w:eastAsia="en-US"/>
        </w:rPr>
        <w:t>20]</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(6)</w:t>
      </w:r>
      <w:r w:rsidRPr="003F33F9">
        <w:rPr>
          <w:szCs w:val="24"/>
          <w:lang w:val="pt-PT" w:eastAsia="en-US"/>
        </w:rPr>
        <w:tab/>
        <w:t>Komisija, saskaņā ar Direktīvas 2000/60/EK 16. panta 4. punktu un Direktīvas 2008/105/EK 8. pantu pārskatījusi Direktīvas 2000/60/EK X pielikumā doto prioritāro vielu sarakstu un saskaņā ar Direktīvas 2006/118/EK 10. pantu pārskatījusi minētās direktīvas I un II pielikumā dotos vielu sarakstus, ir atbilstoši jaunākajām zinātnes atziņām secinājusi, ka minētos sarakstus ir lietderīgi grozīt, tajos pievienojot jaunas vielas, nosakot šīm vielām VKS vai gruntsūdeņu kvalitātes standartus, saskanīgi ar zinātnes attīstību pārskatot dažu līdzšinējo vielu VKS un nosakot biotas VKS dažām līdzšinējām un jaunpievienotām vielām. Turklāt tā ir identificējusi, kuras citas vielas mēdz uzkrāties sedimentos vai biotā, un precizējusi, ka par šādām vielām sedimentos vai biotā būtu jāveic tendenču monitorings. Vielu sarakstu pārskatīšana notika, pamatojoties uz plašu apspriešanos ar Komisijas dienestu, dalībvalstu, ieinteresēto personu grupu un Veselības, vidisko un jauno risku zinātniskās komitejas ekspertiem.</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(7)</w:t>
      </w:r>
      <w:r w:rsidRPr="003F33F9">
        <w:rPr>
          <w:szCs w:val="24"/>
          <w:lang w:val="pt-PT" w:eastAsia="en-US"/>
        </w:rPr>
        <w:tab/>
      </w:r>
      <w:r w:rsidRPr="003F33F9">
        <w:rPr>
          <w:strike/>
          <w:szCs w:val="24"/>
          <w:lang w:val="pt-PT" w:eastAsia="en-US"/>
        </w:rPr>
        <w:t xml:space="preserve">Lai piesārņojošo vielu vairumu visā to aprites ciklā pārvaldītu efektīvi, ir vajadzīga piesārņojuma avotu kontroles un beidzamās izplūdes pasākumu kombinācija, kura pēc vajadzības aptver piesārņotāja ķīmisko sastāvu, lietojuma atļaušanu vai apstiprināšanu, emisiju kontroli ražošanas un lietošanas vai citu procesu laikā un darbības ar atkritumiem. </w:t>
      </w:r>
      <w:r w:rsidRPr="003F33F9">
        <w:rPr>
          <w:szCs w:val="24"/>
          <w:lang w:val="pt-PT" w:eastAsia="en-US"/>
        </w:rPr>
        <w:t>Tāpēc jaunu vai stingrāku ūdens objektu kvalitātes standartu noteikšana papildina citus Savienības tiesību aktus, kuri risina vai varētu</w:t>
      </w:r>
      <w:r w:rsidRPr="003F33F9">
        <w:rPr>
          <w:b/>
          <w:i/>
          <w:szCs w:val="24"/>
          <w:lang w:val="pt-PT" w:eastAsia="en-US"/>
        </w:rPr>
        <w:t xml:space="preserve"> risināt piesārņojuma problēmu vienā vai vairākos no minētajiem posmiem, un šāda noteikšana ir ar minētajiem aktiem saskanīga; Tāpēc jaunu vai stingrāku ūdens objektu kvalitātes standartu noteikšana papildina citus Savienības tiesību aktus, kuri risina vai kuriem vajadzētu</w:t>
      </w:r>
      <w:r w:rsidRPr="003F33F9">
        <w:rPr>
          <w:szCs w:val="24"/>
          <w:lang w:val="pt-PT" w:eastAsia="en-US"/>
        </w:rPr>
        <w:t xml:space="preserve"> risināt piesārņojuma problēmu vienā vai vairākos no minētajiem posmiem, un šāda noteikšana ir ar minētajiem aktiem saskanīga; minēto aktu vidū ir Eiropas Parlamenta un Padomes Regula (EK) Nr. 1907/2006</w:t>
      </w:r>
      <w:r w:rsidRPr="003F33F9">
        <w:rPr>
          <w:szCs w:val="24"/>
          <w:vertAlign w:val="superscript"/>
          <w:lang w:val="en-GB" w:eastAsia="en-US"/>
        </w:rPr>
        <w:footnoteReference w:id="24"/>
      </w:r>
      <w:r w:rsidRPr="003F33F9">
        <w:rPr>
          <w:szCs w:val="24"/>
          <w:lang w:val="pt-PT" w:eastAsia="en-US"/>
        </w:rPr>
        <w:t>, Eiropas Parlamenta un Padomes Regula (EK) Nr. 1107/2009</w:t>
      </w:r>
      <w:r w:rsidRPr="003F33F9">
        <w:rPr>
          <w:szCs w:val="24"/>
          <w:vertAlign w:val="superscript"/>
          <w:lang w:val="en-GB" w:eastAsia="en-US"/>
        </w:rPr>
        <w:footnoteReference w:id="25"/>
      </w:r>
      <w:r w:rsidRPr="003F33F9">
        <w:rPr>
          <w:szCs w:val="24"/>
          <w:lang w:val="pt-PT" w:eastAsia="en-US"/>
        </w:rPr>
        <w:t>, Eiropas Parlamenta un Padomes Regula (ES) Nr. 528/2012</w:t>
      </w:r>
      <w:r w:rsidRPr="003F33F9">
        <w:rPr>
          <w:szCs w:val="24"/>
          <w:vertAlign w:val="superscript"/>
          <w:lang w:val="en-GB" w:eastAsia="en-US"/>
        </w:rPr>
        <w:footnoteReference w:id="26"/>
      </w:r>
      <w:r w:rsidRPr="003F33F9">
        <w:rPr>
          <w:szCs w:val="24"/>
          <w:lang w:val="pt-PT" w:eastAsia="en-US"/>
        </w:rPr>
        <w:t>, Eiropas Parlamenta un Padomes Regula (ES) 2019/6</w:t>
      </w:r>
      <w:r w:rsidRPr="003F33F9">
        <w:rPr>
          <w:szCs w:val="24"/>
          <w:vertAlign w:val="superscript"/>
          <w:lang w:val="en-GB" w:eastAsia="en-US"/>
        </w:rPr>
        <w:footnoteReference w:id="27"/>
      </w:r>
      <w:r w:rsidRPr="003F33F9">
        <w:rPr>
          <w:szCs w:val="24"/>
          <w:lang w:val="pt-PT" w:eastAsia="en-US"/>
        </w:rPr>
        <w:t>, Eiropas Parlamenta un Padomes Direktīva 2001/83/EK</w:t>
      </w:r>
      <w:r w:rsidRPr="003F33F9">
        <w:rPr>
          <w:szCs w:val="24"/>
          <w:vertAlign w:val="superscript"/>
          <w:lang w:val="en-GB" w:eastAsia="en-US"/>
        </w:rPr>
        <w:footnoteReference w:id="28"/>
      </w:r>
      <w:r w:rsidRPr="003F33F9">
        <w:rPr>
          <w:szCs w:val="24"/>
          <w:lang w:val="pt-PT" w:eastAsia="en-US"/>
        </w:rPr>
        <w:t>, Eiropas Parlamenta un Padomes Direktīva 2009/128/EK</w:t>
      </w:r>
      <w:r w:rsidRPr="003F33F9">
        <w:rPr>
          <w:szCs w:val="24"/>
          <w:vertAlign w:val="superscript"/>
          <w:lang w:val="en-GB" w:eastAsia="en-US"/>
        </w:rPr>
        <w:footnoteReference w:id="29"/>
      </w:r>
      <w:r w:rsidRPr="003F33F9">
        <w:rPr>
          <w:szCs w:val="24"/>
          <w:lang w:val="pt-PT" w:eastAsia="en-US"/>
        </w:rPr>
        <w:t>, Eiropas Parlamenta un Padomes Direktīva 2010/75/ES</w:t>
      </w:r>
      <w:r w:rsidRPr="003F33F9">
        <w:rPr>
          <w:szCs w:val="24"/>
          <w:vertAlign w:val="superscript"/>
          <w:lang w:val="en-GB" w:eastAsia="en-US"/>
        </w:rPr>
        <w:footnoteReference w:id="30"/>
      </w:r>
      <w:r w:rsidRPr="003F33F9">
        <w:rPr>
          <w:szCs w:val="24"/>
          <w:lang w:val="pt-PT" w:eastAsia="en-US"/>
        </w:rPr>
        <w:t xml:space="preserve"> un Padomes Direktīva 91/271/EEK</w:t>
      </w:r>
      <w:r w:rsidRPr="003F33F9">
        <w:rPr>
          <w:szCs w:val="24"/>
          <w:vertAlign w:val="superscript"/>
          <w:lang w:val="en-GB" w:eastAsia="en-US"/>
        </w:rPr>
        <w:footnoteReference w:id="31"/>
      </w:r>
      <w:r w:rsidRPr="003F33F9">
        <w:rPr>
          <w:szCs w:val="24"/>
          <w:lang w:val="pt-PT" w:eastAsia="en-US"/>
        </w:rPr>
        <w:t>.</w:t>
      </w:r>
      <w:r w:rsidRPr="003F33F9">
        <w:rPr>
          <w:b/>
          <w:i/>
          <w:szCs w:val="24"/>
          <w:lang w:val="pt-PT" w:eastAsia="en-US"/>
        </w:rPr>
        <w:t xml:space="preserve"> Lai dalībvalstis pēc </w:t>
      </w:r>
      <w:r w:rsidRPr="003F33F9">
        <w:rPr>
          <w:b/>
          <w:i/>
          <w:szCs w:val="24"/>
          <w:lang w:val="pt-PT" w:eastAsia="en-US"/>
        </w:rPr>
        <w:lastRenderedPageBreak/>
        <w:t>iespējas labākā un izmaksu ziņā efektīvā veidā sasniegtu Direktīvas 2000/60/EK 4. pantā noteiktos vides aizsardzības mērķus, tām, izstrādājot savas pasākumu programmas, būtu jānodrošina, ka piesārņojuma avotu kontroles pasākumi ir prioritāri salīdzinājumā ar beidzamās izplūdes pasākumiem un ka šie pasākumi atbilst attiecīgajiem Savienības nozaru tiesību aktiem piesārņojuma jomā. Ja pastāv risks, ka piesārņojuma avotu kontroles pasākumi varētu nenodrošināt ūdens objektu labu stāvokli, būtu jāpiemēro beidzamās izplūdes pasākumi. Komisijai būtu jāizstrādā norādījumi par piesārņojuma avotu kontroles paraugpraksi un papildināmību ar beidzamās izplūdes pasākumiem.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21]</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(7a)</w:t>
      </w:r>
      <w:r w:rsidRPr="003F33F9">
        <w:rPr>
          <w:szCs w:val="24"/>
          <w:lang w:val="pt-PT" w:eastAsia="en-US"/>
        </w:rPr>
        <w:tab/>
      </w:r>
      <w:r w:rsidRPr="003F33F9">
        <w:rPr>
          <w:b/>
          <w:i/>
          <w:szCs w:val="24"/>
          <w:lang w:val="pt-PT" w:eastAsia="en-US"/>
        </w:rPr>
        <w:t>Ūdens piesārņojumu galvenokārt rada rūpnieciskās un lauksaimnieciskās darbības, notekūdeņu novadīšana un urbānā notece, arī lietusgāžu ūdeņi. Komisijas un dalībvalstu darbībās prioritāte būtu jāpiešķir pasākumiem piesārņojuma samazināšanai tā avotā, kā arī šo pasākumu izpildei. Šajā nolūkā būtu jānodrošina to visu Savienības un valstu tiesību aktu saskaņotība, kuri attiecas uz piesārņojošo vielu emisijām to avotā, lai samazinātu piesārņojumu līdz līmenim, kas vairs nav uzskatāms par kaitīgu veselībai un dabiskajām ekosistēmām.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22]</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(7b)</w:t>
      </w:r>
      <w:r w:rsidRPr="003F33F9">
        <w:rPr>
          <w:szCs w:val="24"/>
          <w:lang w:val="pt-PT" w:eastAsia="en-US"/>
        </w:rPr>
        <w:tab/>
      </w:r>
      <w:r w:rsidRPr="003F33F9">
        <w:rPr>
          <w:b/>
          <w:i/>
          <w:szCs w:val="24"/>
          <w:lang w:val="pt-PT" w:eastAsia="en-US"/>
        </w:rPr>
        <w:t>Lai nodrošinātu, ka tiesību akti, kuru mērķis ir novērst virszemes ūdeņu un gruntsūdeņu piesārņojumu, ir atjaunināti saistībā ar tādu jaunu un potenciālu ķimikāliju attīstību, kuras kā piesārņotāji var radīt būtiskus riskus cilvēka veselībai vai ūdens videi, būtu jāstiprina politikas mehānismi, lai atklātu un novērtētu šādas potenciāli problemātiskas vielas. Šajā sakarā būtu jāizstrādā pieeja, kas ļautu uzraudzīt un analizēt šādas virszemes ūdeņu un gruntsūdeņu monitoringa sarakstos iekļautas papildu vielas vai vielu grupas. Novērojamo vielu sarakstā iekļaujamās vielas būtu jāizraugās no tām, par kurām pieejamā informācija liecina, ka tās var radīt ievērojamu Savienības mēroga risku ūdens videi vai ievērojamu Savienības mēroga risku, kas rodas ar ūdens vides starpniecību, un par kurām nav pietiekamu monitoringa datu. Šādu saskaņā ar virszemes ūdeņu un gruntsūdeņu monitoringa sarakstiem uzraugāmo un analizējamo vielu vai vielu grupu skaits nebūtu jāierobežo.</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23]</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(8)</w:t>
      </w:r>
      <w:r w:rsidRPr="003F33F9">
        <w:rPr>
          <w:szCs w:val="24"/>
          <w:lang w:val="pt-PT" w:eastAsia="en-US"/>
        </w:rPr>
        <w:tab/>
        <w:t xml:space="preserve">Jaunākās zinātnes atziņas norāda uz to, ka būtisku risku rada ne tikai jau reglamentētās, bet arī citas ūdens objektos atrodamas piesārņojošās vielas.Brīvprātīgi monitorējot perfluoralkilvielas un polifluoralkilvielas (PFAS) un zāles, ir konstatēta problēma ar gruntsūdeņiem. Savienībā PFAS konstatētas vairāk nekā 70 % gruntsūdeņu kvalitātes mērīšanas punktu, un pastāvošās valstu robežvērtības daudzviet ir nepārprotami pārsniegtas, turklāt bieži gruntsūdeņos atrodamas arī zāles. </w:t>
      </w:r>
      <w:r w:rsidRPr="003F33F9">
        <w:rPr>
          <w:b/>
          <w:i/>
          <w:szCs w:val="24"/>
          <w:lang w:val="pt-PT" w:eastAsia="en-US"/>
        </w:rPr>
        <w:t xml:space="preserve">Tāpēc gruntsūdeņu piesārņojošo vielu sarakstā būtu jāiekļauj konkrētu PFAS apakškopa, kā arī PFAS kopējais daudzums. </w:t>
      </w:r>
      <w:r w:rsidRPr="003F33F9">
        <w:rPr>
          <w:szCs w:val="24"/>
          <w:lang w:val="pt-PT" w:eastAsia="en-US"/>
        </w:rPr>
        <w:t xml:space="preserve">Perfluoroktānsulfoskābe un tās atvasinājumi jau ir iekļauti virszemes ūdeņiem prioritāro vielu sarakstā, taču nu atzīts, ka risku rada arī citas PFAS. </w:t>
      </w:r>
      <w:r w:rsidRPr="003F33F9">
        <w:rPr>
          <w:b/>
          <w:i/>
          <w:szCs w:val="24"/>
          <w:lang w:val="pt-PT" w:eastAsia="en-US"/>
        </w:rPr>
        <w:t xml:space="preserve">Tāpēc prioritāro vielu sarakstā būtu jāiekļauj konkrētu PFAS apakškopa, kā arī PFAS kopējais daudzums. Lai nodrošinātu saskaņotu pieeju un vienlīdzīgus konkurences apstākļus Savienībā, būtu jādeleģē Komisijai pilnvaras pieņemt aktus saskaņā ar LESD 290. pantu nolūkā grozīt Direktīvas 2006/118/EK I pielikumu, nosakot kvalitātes standartu attiecībā uz PFAS kopējo daudzumu. </w:t>
      </w:r>
      <w:r w:rsidRPr="003F33F9">
        <w:rPr>
          <w:szCs w:val="24"/>
          <w:lang w:val="pt-PT" w:eastAsia="en-US"/>
        </w:rPr>
        <w:t>Saskanīgi ar Direktīvas 2008/105/EK 8.b pantu veiktais novērojamo vielu monitorings</w:t>
      </w:r>
      <w:r w:rsidRPr="003F33F9">
        <w:rPr>
          <w:b/>
          <w:i/>
          <w:szCs w:val="24"/>
          <w:lang w:val="pt-PT" w:eastAsia="en-US"/>
        </w:rPr>
        <w:t xml:space="preserve"> arī</w:t>
      </w:r>
      <w:r w:rsidRPr="003F33F9">
        <w:rPr>
          <w:szCs w:val="24"/>
          <w:lang w:val="pt-PT" w:eastAsia="en-US"/>
        </w:rPr>
        <w:t xml:space="preserve"> ir apstiprinājis, ka virszemes ūdeņos riska faktors ir vairākas zāļu vielas, kuras tāpēc būtu jāiekļauj prioritāro vielu sarakstā.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24]</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(8a)</w:t>
      </w:r>
      <w:r w:rsidRPr="003F33F9">
        <w:rPr>
          <w:szCs w:val="24"/>
          <w:lang w:val="pt-PT" w:eastAsia="en-US"/>
        </w:rPr>
        <w:tab/>
      </w:r>
      <w:r w:rsidRPr="003F33F9">
        <w:rPr>
          <w:b/>
          <w:i/>
          <w:szCs w:val="24"/>
          <w:lang w:val="pt-PT" w:eastAsia="en-US"/>
        </w:rPr>
        <w:t>Glifozāts ir Savienības lauksaimniecībā visbiežāk izmantotais herbicīds. Kā aktīvā viela tas ir radījis lielas bažas saistībā ar savu ietekmi uz cilvēku veselību un toksicitāti ūdens vidē. Komisija 2022. gada decembrī izlēma piešķirt pagaidu pagarinājumu glifozāta tirdzniecības atļaujai uz vienu papildu gadu, līdz tiks saņemts Eiropas Pārtikas nekaitīguma iestādes atkārtots novērtējums par šo aktīvo vielu, kas sagaidāms 2023. gada jūlijā. Tomēr dažādi nesen veikti zinātniski pētījumi</w:t>
      </w:r>
      <w:r w:rsidRPr="003F33F9">
        <w:rPr>
          <w:szCs w:val="24"/>
          <w:vertAlign w:val="superscript"/>
          <w:lang w:val="en-GB" w:eastAsia="en-US"/>
        </w:rPr>
        <w:footnoteReference w:id="32"/>
      </w:r>
      <w:r w:rsidRPr="003F33F9">
        <w:rPr>
          <w:b/>
          <w:i/>
          <w:szCs w:val="24"/>
          <w:lang w:val="pt-PT" w:eastAsia="en-US"/>
        </w:rPr>
        <w:t xml:space="preserve">1 liecina, ka, pamatojoties uz glifozāta, AMPA un uz glifozātu balstītu herbicīdu toksicitāti ūdens vidē, būtu jāapsver vides kvalitātes standarts (VKS) zem 0,1 </w:t>
      </w:r>
      <w:r w:rsidRPr="003F33F9">
        <w:rPr>
          <w:b/>
          <w:i/>
          <w:szCs w:val="24"/>
          <w:lang w:val="en-GB" w:eastAsia="en-US"/>
        </w:rPr>
        <w:t>μ</w:t>
      </w:r>
      <w:r w:rsidRPr="003F33F9">
        <w:rPr>
          <w:b/>
          <w:i/>
          <w:szCs w:val="24"/>
          <w:lang w:val="pt-PT" w:eastAsia="en-US"/>
        </w:rPr>
        <w:t xml:space="preserve">g/L attiecībā uz visiem virszemes ūdens objektiem. Ņemot vērā kompetento Savienības regulējošo iestāžu pašreiz veiktos novērtējumus un zinātniskos konstatējumus attiecīgajos pētījumos par glifozāta ietekmi uz ūdensorganismiem, kā arī nolūkā nodrošināt labus ķīmiskās kvalitātes rādītājus lielākajā daļā Savienības ūdeņu, pamatojoties uz piesardzības principu, attiecībā uz glifozātu būtu jāpieņem ar vidējo gada vērtību izteikts kopīgs un vienots vides kvalitātes standarts (VG-VKS) 0,1 </w:t>
      </w:r>
      <w:r w:rsidRPr="003F33F9">
        <w:rPr>
          <w:b/>
          <w:i/>
          <w:szCs w:val="24"/>
          <w:lang w:val="en-GB" w:eastAsia="en-US"/>
        </w:rPr>
        <w:t>μ</w:t>
      </w:r>
      <w:r w:rsidRPr="003F33F9">
        <w:rPr>
          <w:b/>
          <w:i/>
          <w:szCs w:val="24"/>
          <w:lang w:val="pt-PT" w:eastAsia="en-US"/>
        </w:rPr>
        <w:t>g/L apmērā iekšzemes virszemes ūdeņiem un atsevišķs standarts pārējiem virszemes ūdeņiem.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25]</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(8b)</w:t>
      </w:r>
      <w:r w:rsidRPr="003F33F9">
        <w:rPr>
          <w:szCs w:val="24"/>
          <w:lang w:val="pt-PT" w:eastAsia="en-US"/>
        </w:rPr>
        <w:tab/>
      </w:r>
      <w:r w:rsidRPr="003F33F9">
        <w:rPr>
          <w:b/>
          <w:i/>
          <w:szCs w:val="24"/>
          <w:lang w:val="pt-PT" w:eastAsia="en-US"/>
        </w:rPr>
        <w:t xml:space="preserve"> Atrazīns ir herbicīds, ar ko apstrādā viengadīgas platlapu nezāles un viengadīgas stiebrzāles graudaugu kultūrās. Atrazīna izmantošana augu aizsardzības līdzekļos Savienībā vairs nav atļauta saskaņā ar Komisijas Lēmumu 2004/248/EK</w:t>
      </w:r>
      <w:r w:rsidRPr="003F33F9">
        <w:rPr>
          <w:szCs w:val="24"/>
          <w:vertAlign w:val="superscript"/>
          <w:lang w:val="en-GB" w:eastAsia="en-US"/>
        </w:rPr>
        <w:footnoteReference w:id="33"/>
      </w:r>
      <w:r w:rsidRPr="003F33F9">
        <w:rPr>
          <w:b/>
          <w:i/>
          <w:szCs w:val="24"/>
          <w:lang w:val="pt-PT" w:eastAsia="en-US"/>
        </w:rPr>
        <w:t>1. Ir pierādīts, ka atrazīns ir endokrīnais disruptors, kas apdraud reproduktīvo sistēmu un attīstību, un varētu būt vēža cēlonis. Eiropas Vides aģentūra, novērtējot pesticīdu ietekmi vai kvalitātes robežvērtības laikposmā no 2013. līdz 2020. gadam, konstatēja, ka viena vai vairāku pesticīdu pārsniegums ir konstatēts 4–11 % gruntsūdeņu monitoringa vietās — galvenokārt atrazīna un tā metabolītu pārsniegums. Ņemot vērā tā noturīgo klātbūtni Savienības virszemes ūdeņos un gruntsūdeņos un lai nodrošinātu, ka atrazīna robežvērtības nepārsniedz kopējo pesticīdu un metabolītu VKS, atrazīna robežvērtība Direktīvas 2008/105/EK I pielikumā būtu jākoriģē, arī saskaņā ar šīs pašas vielas robežvērtību, kas noteikta Direktīvā (ES) 2020/2184</w:t>
      </w:r>
      <w:r w:rsidRPr="003F33F9">
        <w:rPr>
          <w:szCs w:val="24"/>
          <w:vertAlign w:val="superscript"/>
          <w:lang w:val="en-GB" w:eastAsia="en-US"/>
        </w:rPr>
        <w:footnoteReference w:id="34"/>
      </w:r>
      <w:r w:rsidRPr="003F33F9">
        <w:rPr>
          <w:b/>
          <w:i/>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26]</w:t>
      </w:r>
      <w:r w:rsidRPr="003F33F9">
        <w:rPr>
          <w:b/>
          <w:i/>
          <w:szCs w:val="24"/>
          <w:lang w:val="pt-PT" w:eastAsia="en-US"/>
        </w:rPr>
        <w:t xml:space="preserve"> </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(8c)</w:t>
      </w:r>
      <w:r w:rsidRPr="003F33F9">
        <w:rPr>
          <w:szCs w:val="24"/>
          <w:lang w:val="pt-PT" w:eastAsia="en-US"/>
        </w:rPr>
        <w:tab/>
      </w:r>
      <w:r w:rsidRPr="003F33F9">
        <w:rPr>
          <w:b/>
          <w:i/>
          <w:szCs w:val="24"/>
          <w:lang w:val="pt-PT" w:eastAsia="en-US"/>
        </w:rPr>
        <w:t>Saskaņā ar SCHEER</w:t>
      </w:r>
      <w:r w:rsidRPr="003F33F9">
        <w:rPr>
          <w:szCs w:val="24"/>
          <w:vertAlign w:val="superscript"/>
          <w:lang w:val="en-GB" w:eastAsia="en-US"/>
        </w:rPr>
        <w:footnoteReference w:id="35"/>
      </w:r>
      <w:r w:rsidRPr="003F33F9">
        <w:rPr>
          <w:b/>
          <w:i/>
          <w:szCs w:val="24"/>
          <w:lang w:val="pt-PT" w:eastAsia="en-US"/>
        </w:rPr>
        <w:t xml:space="preserve"> un EMA</w:t>
      </w:r>
      <w:r w:rsidRPr="003F33F9">
        <w:rPr>
          <w:szCs w:val="24"/>
          <w:vertAlign w:val="superscript"/>
          <w:lang w:val="en-GB" w:eastAsia="en-US"/>
        </w:rPr>
        <w:footnoteReference w:id="36"/>
      </w:r>
      <w:r w:rsidRPr="003F33F9">
        <w:rPr>
          <w:b/>
          <w:i/>
          <w:szCs w:val="24"/>
          <w:lang w:val="pt-PT" w:eastAsia="en-US"/>
        </w:rPr>
        <w:t xml:space="preserve"> 20. gs. 80. gados tika noteikts vispārējs kvalitātes standarts 0,1 </w:t>
      </w:r>
      <w:r w:rsidRPr="003F33F9">
        <w:rPr>
          <w:b/>
          <w:i/>
          <w:szCs w:val="24"/>
          <w:lang w:val="en-GB" w:eastAsia="en-US"/>
        </w:rPr>
        <w:t>μ</w:t>
      </w:r>
      <w:r w:rsidRPr="003F33F9">
        <w:rPr>
          <w:b/>
          <w:i/>
          <w:szCs w:val="24"/>
          <w:lang w:val="pt-PT" w:eastAsia="en-US"/>
        </w:rPr>
        <w:t xml:space="preserve">g/L un 0,5 </w:t>
      </w:r>
      <w:r w:rsidRPr="003F33F9">
        <w:rPr>
          <w:b/>
          <w:i/>
          <w:szCs w:val="24"/>
          <w:lang w:val="en-GB" w:eastAsia="en-US"/>
        </w:rPr>
        <w:t>μ</w:t>
      </w:r>
      <w:r w:rsidRPr="003F33F9">
        <w:rPr>
          <w:b/>
          <w:i/>
          <w:szCs w:val="24"/>
          <w:lang w:val="pt-PT" w:eastAsia="en-US"/>
        </w:rPr>
        <w:t xml:space="preserve">g/L gruntsūdeņiem, kas ieteikts attiecīgi atsevišķiem pesticīdiem un visu pesticīdu kopsummai, kā noteikts Direktīvā 2006/118/EK, pamatojoties uz tajā laikā pieejamo ķīmiski analītisko jutīgumu. Nav pierādīts, ka noklusējuma vērtība 0,1 </w:t>
      </w:r>
      <w:r w:rsidRPr="003F33F9">
        <w:rPr>
          <w:b/>
          <w:i/>
          <w:szCs w:val="24"/>
          <w:lang w:val="en-GB" w:eastAsia="en-US"/>
        </w:rPr>
        <w:t>μ</w:t>
      </w:r>
      <w:r w:rsidRPr="003F33F9">
        <w:rPr>
          <w:b/>
          <w:i/>
          <w:szCs w:val="24"/>
          <w:lang w:val="pt-PT" w:eastAsia="en-US"/>
        </w:rPr>
        <w:t>g/L atsevišķiem pesticīdiem ir pietiekami aizsargājoša cilvēku veselībai un gruntsūdeņu ekosistēmai, un dažkārt tā ir ievērojami augstāka salīdzinājumā ar robežvērtībām daudziem pesticīdiem un fungicīdiem prioritāro vielu sarakstā, kas iekļauts Direktīvas 2008/105/EK I pielikumā. Ņemot vērā arī SCHEER atzinumu, ka gruntsūdeņu robežvērtības nedrīkst būt lielākas par virszemes ūdeņiem noteiktajiem vides kvalitātes standartiem, Komisijai būtu jāpārskata atsevišķu pesticīdu robežvērtības un visu pesticīdu kopsumma Direktīvas 2006/118/EK I pielikumā, piemērojot mūsdienīgas analītiskās metodes un salīdzinot tās ar labākajām pieejamajām zināšanām toksikoloģijas jomā. Līdz šai pārskatīšanai un saskaņā ar piesardzīgo pieeju, ko Eiropas gruntsūdeņu memorandā</w:t>
      </w:r>
      <w:r w:rsidRPr="003F33F9">
        <w:rPr>
          <w:szCs w:val="24"/>
          <w:vertAlign w:val="superscript"/>
          <w:lang w:val="en-GB" w:eastAsia="en-US"/>
        </w:rPr>
        <w:footnoteReference w:id="37"/>
      </w:r>
      <w:r w:rsidRPr="003F33F9">
        <w:rPr>
          <w:b/>
          <w:i/>
          <w:szCs w:val="24"/>
          <w:lang w:val="pt-PT" w:eastAsia="en-US"/>
        </w:rPr>
        <w:t xml:space="preserve"> pauduši dzeramā ūdens piegādātāji, būtu jānosaka starpposma robežvērtības, pamatojoties uz labāko pieejamo zinātnisko informāciju.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27]</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(8d)</w:t>
      </w:r>
      <w:r w:rsidRPr="003F33F9">
        <w:rPr>
          <w:szCs w:val="24"/>
          <w:lang w:val="pt-PT" w:eastAsia="en-US"/>
        </w:rPr>
        <w:tab/>
      </w:r>
      <w:r w:rsidRPr="003F33F9">
        <w:rPr>
          <w:b/>
          <w:i/>
          <w:szCs w:val="24"/>
          <w:lang w:val="pt-PT" w:eastAsia="en-US"/>
        </w:rPr>
        <w:t>Bisfenols A būtu jāuzskata par prioritāru bīstamo vielu un jāiekļauj Direktīvas 2008/105/EK I pielikuma sarakstā. Zinātniskie ziņojumi liecina, ka arī bisfenoli, kas nav bisfenols-A, ir parādījuši endokrīni disruptīvas īpašības, un šo bisfenolu maisījumi rada ekotoksikoloģisku risku. Ņemot vērā to, ka minētie zinātniskie konstatējumi rada bažas par to, vai ir droši izmantot bisfenolu alternatīvas, kas varētu negatīvi ietekmēt cilvēka veselību un vidi, Komisijai būtu jānosaka rādītājs “bisfenoli kopā” un atbilstīgs vides kvalitātes standarts attiecībā uz bisfenolu vielu kopējo daudzumu.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28]</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(8e)</w:t>
      </w:r>
      <w:r w:rsidRPr="003F33F9">
        <w:rPr>
          <w:szCs w:val="24"/>
          <w:lang w:val="pt-PT" w:eastAsia="en-US"/>
        </w:rPr>
        <w:tab/>
      </w:r>
      <w:r w:rsidRPr="003F33F9">
        <w:rPr>
          <w:b/>
          <w:i/>
          <w:szCs w:val="24"/>
          <w:lang w:val="pt-PT" w:eastAsia="en-US"/>
        </w:rPr>
        <w:t>Kā norāda Eiropas Zāļu aģentūra (EMA)</w:t>
      </w:r>
      <w:r w:rsidRPr="003F33F9">
        <w:rPr>
          <w:szCs w:val="24"/>
          <w:vertAlign w:val="superscript"/>
          <w:lang w:val="en-GB" w:eastAsia="en-US"/>
        </w:rPr>
        <w:footnoteReference w:id="38"/>
      </w:r>
      <w:r w:rsidRPr="003F33F9">
        <w:rPr>
          <w:b/>
          <w:i/>
          <w:szCs w:val="24"/>
          <w:lang w:val="pt-PT" w:eastAsia="en-US"/>
        </w:rPr>
        <w:t xml:space="preserve">1, gruntsūdeņu ekosistēmas būtiski atšķiras no virszemes ūdeņu ekosistēmām un tāpēc var būt neaizsargātākas pret stresoriem, jo tām trūkst spējas atgūties no traucējumiem. Tāpēc, nosakot gruntsūdeņiem piemērojamās robežvērtības, būtu jāievēro piesardzīga pieeja, lai aizsargātu cilvēka veselību, gruntsūdeņu ekosistēmas un no gruntsūdeņiem atkarīgas ekosistēmas. Saskaņā ar EMA ieteikumu šīs neaizsargātības dēļ robežvērtībām, ko piemēro gruntsūdeņiem, parasti vajadzētu būt desmitreiz mazākām par attiecīgajām robežvērtībām, ko piemēro virszemes ūdeņiem. Tomēr tad, ja ir iespējams noteikt reālo risku gruntsūdeņu ekosistēmām, varētu būt piemēroti noteikt cita līmeņa robežvērtības gruntsūdeņiem.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29]</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(9)</w:t>
      </w:r>
      <w:r w:rsidRPr="003F33F9">
        <w:rPr>
          <w:szCs w:val="24"/>
          <w:lang w:val="pt-PT" w:eastAsia="en-US"/>
        </w:rPr>
        <w:tab/>
        <w:t>Direktīva 2000/60/EK dalībvalstīm uzliek pienākumu identificēt dzeramā ūdens ieguvei izmantotos ūdens objektus, tos monitorēt un veikt pasākumus, kas vajadzīgi, lai novērstu šo ūdens objektu kvalitātes pasliktināšanos un mazinātu dzeramā ūdens ražošanā nepieciešamo ūdens attīrīšanas darbību sarežģītību. Šajā sakarā par potenciālu cilvēka veselības apdraudējumu ir identificēta mikroplastmasa, taču, lai apstiprinātu vajadzību pēc vides kvalitātes standartu noteikšanas mikroplastmasai virszemes ūdeņos un gruntsūdeņos, nepieciešams vairāk monitoringa datu. Tāpēc mikroplastmasa būtu jāiekļauj virszemes ūdeņos un gruntsūdeņos novērojamo vielu sarakstā un jāsāk monitorēt, tiklīdz Komisija būs identificējusi piemērotas monitoringa metodes. Šajā sakarā būtu jāņem vērā saskaņā ar Eiropas Parlamenta un Padomes Direktīvu (ES) 2020/2184</w:t>
      </w:r>
      <w:r w:rsidRPr="003F33F9">
        <w:rPr>
          <w:szCs w:val="24"/>
          <w:vertAlign w:val="superscript"/>
          <w:lang w:val="en-GB" w:eastAsia="en-US"/>
        </w:rPr>
        <w:footnoteReference w:id="39"/>
      </w:r>
      <w:r w:rsidRPr="003F33F9">
        <w:rPr>
          <w:szCs w:val="24"/>
          <w:lang w:val="pt-PT" w:eastAsia="en-US"/>
        </w:rPr>
        <w:t xml:space="preserve"> izstrādātās metodes, ar kurām monitorē un novērtē riskus, ko mikroplastmasa rada dzeramajā ūdenī.</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(9a)</w:t>
      </w:r>
      <w:r w:rsidRPr="003F33F9">
        <w:rPr>
          <w:szCs w:val="24"/>
          <w:lang w:val="pt-PT" w:eastAsia="en-US"/>
        </w:rPr>
        <w:tab/>
      </w:r>
      <w:r w:rsidRPr="003F33F9">
        <w:rPr>
          <w:b/>
          <w:i/>
          <w:szCs w:val="24"/>
          <w:lang w:val="pt-PT" w:eastAsia="en-US"/>
        </w:rPr>
        <w:t>Saskaņā ar piemērojamajiem Savienības tiesību aktiem dalībvalstīm ir pienākums apzināt skartos un apdraudētos ūdens objektus, noteikt nitrātjutīgas zonas, izstrādāt rīcības programmas un īstenot attiecīgus pasākumus. Šajā saistībā joprojām ir nepieciešams uzlabot kontroles pasākumu un ūdens kvalitātes mērīšanas sistēmu saskaņošanu dalībvalstu starpā, lai visā Savienībā tiktu piemēroti saskaņoti standarti, kas ļauj salīdzināt dalībvalstu datus, tādējādi izvairoties no konkurences problēmām Eiropas lauksaimniecības nozarē, kas varētu radīt iekšējā tirgus darbības traucējumus.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30]</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t>(10)</w:t>
      </w:r>
      <w:r w:rsidRPr="003F33F9">
        <w:rPr>
          <w:szCs w:val="24"/>
          <w:lang w:val="pt-PT" w:eastAsia="en-US"/>
        </w:rPr>
        <w:tab/>
      </w:r>
      <w:r w:rsidRPr="003F33F9">
        <w:rPr>
          <w:b/>
          <w:i/>
          <w:szCs w:val="24"/>
          <w:lang w:val="pt-PT" w:eastAsia="en-US"/>
        </w:rPr>
        <w:t>Aplēsts, ka 2019. gadā visā pasaulē no 900 000 līdz 1,7 miljoniem cilvēku nāves gadījumu cēlonis bija ar antimikrobiālo rezistenci (AMR) saistītas infekcijas slimības</w:t>
      </w:r>
      <w:r w:rsidRPr="003F33F9">
        <w:rPr>
          <w:szCs w:val="24"/>
          <w:vertAlign w:val="superscript"/>
          <w:lang w:val="en-GB" w:eastAsia="en-US"/>
        </w:rPr>
        <w:footnoteReference w:id="40"/>
      </w:r>
      <w:r w:rsidRPr="003F33F9">
        <w:rPr>
          <w:b/>
          <w:i/>
          <w:szCs w:val="24"/>
          <w:lang w:val="pt-PT" w:eastAsia="en-US"/>
        </w:rPr>
        <w:t xml:space="preserve">1. Tajā pašā laikā </w:t>
      </w:r>
      <w:r w:rsidRPr="003F33F9">
        <w:rPr>
          <w:szCs w:val="24"/>
          <w:lang w:val="pt-PT" w:eastAsia="en-US"/>
        </w:rPr>
        <w:t>ir paustas bažas par antimikrobiālās rezistences risku, ko rada pret antimikrobiāliem līdzekļiem rezistentu mikroorganismu un antimikrobiālās rezistences gēnu klātesība ūdens vidē, tomēr monitoringa bijis maz. Attiecīgie antimikrobiālās rezistences gēni būtu jāiekļauj arī virszemes ūdeņos un gruntsūdeņos novērojamo vielu sarakstos un jāsāk monitorēt, tiklīdz ir izstrādātas piemērotas monitoringa metodes. Tas ir saskanīgi ar Eiropas rīcības plānu “Viena veselība”, kurš sagatavots pret antimikrobiālajiem līdzekļiem izveidojušās rezistences apkarošanai un kuru Komisija pieņēmusi 2017. gada jūnijā, un arī ar Eiropas Zāļu stratēģiju, kurā šis jautājums ir skatīts.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31]</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(10a)</w:t>
      </w:r>
      <w:r w:rsidRPr="003F33F9">
        <w:rPr>
          <w:szCs w:val="24"/>
          <w:lang w:val="pt-PT" w:eastAsia="en-US"/>
        </w:rPr>
        <w:tab/>
      </w:r>
      <w:r w:rsidRPr="003F33F9">
        <w:rPr>
          <w:b/>
          <w:i/>
          <w:szCs w:val="24"/>
          <w:lang w:val="pt-PT" w:eastAsia="en-US"/>
        </w:rPr>
        <w:t>Komisijas Īstenošanas lēmumā (ES) 2020/1729, ar ko atceļ Īstenošanas lēmumu 2013/652/ES, ir izklāstīts regulējums attiecībā uz to, kā iegūt salīdzināmus un uzticamus datus par antimikrobiālo rezistenci Eiropas Savienībā, cita starpā uzraugot notekūdeņus no kautuvēm kā iespējamu pret antibiotikām rezistentu baktēriju avotu un tādējādi arī iespējamu vides piesārņojuma avotu. No kautuvēm novadītajā ūdenī ir konstatētas pret antibiotikām rezistentas baktērijas.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32]</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(10b)</w:t>
      </w:r>
      <w:r w:rsidRPr="003F33F9">
        <w:rPr>
          <w:szCs w:val="24"/>
          <w:lang w:val="pt-PT" w:eastAsia="en-US"/>
        </w:rPr>
        <w:tab/>
      </w:r>
      <w:r w:rsidRPr="003F33F9">
        <w:rPr>
          <w:b/>
          <w:i/>
          <w:szCs w:val="24"/>
          <w:lang w:val="pt-PT" w:eastAsia="en-US"/>
        </w:rPr>
        <w:t>Ir paustas bažas par sulfātu un ksantātu risku ūdens vidē. Sulfāti ne tikai pasliktina dzeramā ūdens kvalitāti, bet arī ietekmē oglekļa, slāpekļa un fosfora materiālu aprites ciklu. Tas cita starpā palielina barības vielu daudzumu ūdens objektos un līdz ar to — augu un aļģu augšanu, kā arī palielina ūdensorganismu apgādi ar barību un veicina skābekļa apjoma samazināšanos ūdenī. Sulfāti un to noārdīšanās produkti, īpaši sulfīdi, noteiktos apstākļos var būt toksiski ūdensorganismiem. Standarta testu rezultāti liecina, ka daži ksantāti un to noārdīšanās produkti ir toksiski ūdens bezmugurkaulniekiem un zivju sugām un ka ir iespējama to bioakumulācija. Sulfāti jau ir iekļauti gruntsūdeņu piesārņotāju sarakstā, taču līdz šim veiktais monitorings nav bijis pietiekams. Tāpēc sulfāti būtu jāiekļauj virszemes ūdeņu un gruntsūdeņu novērojamo vielu sarakstos. Ksantāti būtu jāiekļauj virszemes ūdeņu novērojamo vielu sarakstā.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33]</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(10c)</w:t>
      </w:r>
      <w:r w:rsidRPr="003F33F9">
        <w:rPr>
          <w:szCs w:val="24"/>
          <w:lang w:val="pt-PT" w:eastAsia="en-US"/>
        </w:rPr>
        <w:tab/>
      </w:r>
      <w:r w:rsidRPr="003F33F9">
        <w:rPr>
          <w:b/>
          <w:i/>
          <w:szCs w:val="24"/>
          <w:lang w:val="pt-PT" w:eastAsia="en-US"/>
        </w:rPr>
        <w:t>Tādas vielas kā mikroplastmasa nepārprotami apdraud sabiedrības veselību un vidi, kā arī tādas pamatdarbības kā lauksaimniecības attīstību. Šādu vielu un citu daļiņu klātbūtne var ietekmēt ne tikai lauksaimniecības dzīvniekiem un kultūraugiem piegādātā ūdens kvalitāti, bet arī augsnes auglību, tādējādi apdraudot pašreizējo un turpmāko kultūraugu veselību un labu attīstību</w:t>
      </w:r>
      <w:r w:rsidRPr="003F33F9">
        <w:rPr>
          <w:szCs w:val="24"/>
          <w:vertAlign w:val="superscript"/>
          <w:lang w:val="en-GB" w:eastAsia="en-US"/>
        </w:rPr>
        <w:footnoteReference w:id="41"/>
      </w:r>
      <w:r w:rsidRPr="003F33F9">
        <w:rPr>
          <w:b/>
          <w:i/>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34]</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(11)</w:t>
      </w:r>
      <w:r w:rsidRPr="003F33F9">
        <w:rPr>
          <w:szCs w:val="24"/>
          <w:lang w:val="pt-PT" w:eastAsia="en-US"/>
        </w:rPr>
        <w:tab/>
      </w:r>
      <w:r w:rsidRPr="003F33F9">
        <w:rPr>
          <w:b/>
          <w:i/>
          <w:szCs w:val="24"/>
          <w:lang w:val="pt-PT" w:eastAsia="en-US"/>
        </w:rPr>
        <w:t xml:space="preserve">Ar pašreizējām un vispārpieņemtajām ūdens objektu ķīmiskās kvalitātes rādītāju monitoringa metodēm kopumā nav iespējams noteikt kompleksu ķīmisko vielu maisījumu ietekmi uz ūdens kvalitāti. </w:t>
      </w:r>
      <w:r w:rsidRPr="003F33F9">
        <w:rPr>
          <w:szCs w:val="24"/>
          <w:lang w:val="pt-PT" w:eastAsia="en-US"/>
        </w:rPr>
        <w:t xml:space="preserve">Ņemot vērā augošo izpratni par maisījumu nozīmīgumu un līdz ar to par nozīmi, kāda ķīmiskās kvalitātes rādītāju noteikšanā ir uz ietekmi balstītam monitoringam, un ņemot vērā to, ka attiecībā uz estrogēnajām vielām jau pastāv pietiekami stabilas, uz ietekmi balstītas monitoringa metodes, dalībvalstīm vismaz divus gadus būtu šādas metodes jāizmanto, lai novērtētu estrogēno vielu kumulatīvo ietekmi virszemes ūdeņos. Tas ļaus uz ietekmi balstītos rezultātus, kas iegūti, monitorējot Direktīvas 2008/105/EK I pielikuma sarakstā minētās trīs estrogēnās vielas, salīdzināt ar ierasto metožu pielietošanas rezultātiem. </w:t>
      </w:r>
      <w:r w:rsidRPr="003F33F9">
        <w:rPr>
          <w:strike/>
          <w:szCs w:val="24"/>
          <w:lang w:val="pt-PT" w:eastAsia="en-US"/>
        </w:rPr>
        <w:t>Salīdzināšanu izmantos, lai novērtētu</w:t>
      </w:r>
      <w:r w:rsidRPr="003F33F9">
        <w:rPr>
          <w:b/>
          <w:i/>
          <w:szCs w:val="24"/>
          <w:lang w:val="pt-PT" w:eastAsia="en-US"/>
        </w:rPr>
        <w:t>Minētais salīdzinājums būtu jāiekļauj Komisijas publicētā novērtējuma ziņojumā, kurā Komisija izvērtē</w:t>
      </w:r>
      <w:r w:rsidRPr="003F33F9">
        <w:rPr>
          <w:szCs w:val="24"/>
          <w:lang w:val="pt-PT" w:eastAsia="en-US"/>
        </w:rPr>
        <w:t>, vai uz ietekmi balstītas monitoringa metodes</w:t>
      </w:r>
      <w:r w:rsidRPr="003F33F9">
        <w:rPr>
          <w:b/>
          <w:i/>
          <w:szCs w:val="24"/>
          <w:lang w:val="pt-PT" w:eastAsia="en-US"/>
        </w:rPr>
        <w:t xml:space="preserve"> sniedz pārliecinošus un precīzus datus un vai tās</w:t>
      </w:r>
      <w:r w:rsidRPr="003F33F9">
        <w:rPr>
          <w:szCs w:val="24"/>
          <w:lang w:val="pt-PT" w:eastAsia="en-US"/>
        </w:rPr>
        <w:t xml:space="preserve"> var izmantot par uzticamām skrīninga metodēm. Šādu skrīninga metožu izmantošanas priekšrocība būtu tāda, ka tiktu ņemta vērā ietekme, ko rada visas estrogēnās vielas ar līdzīgu iedarbību, nevis tikai tās, kas minētas Direktīvas 2008/105/EK I pielikuma sarakstā. </w:t>
      </w:r>
      <w:r w:rsidRPr="003F33F9">
        <w:rPr>
          <w:b/>
          <w:i/>
          <w:szCs w:val="24"/>
          <w:lang w:val="pt-PT" w:eastAsia="en-US"/>
        </w:rPr>
        <w:t xml:space="preserve">Komisija būtu jāpilnvaro pieņemt deleģētos aktus, lai papildinātu Direktīvu 2008/105/EK, nosakot kārtību, kādā dalībvalstīm jāizmanto uz ietekmi balstītas monitoringa metodes, lai novērtētu arī citu vielu klātbūtni ūdens objektos, līdz, iespējams, nākotnē tiks noteiktas uz ietekmi balstītas izraisītājvērtības. </w:t>
      </w:r>
      <w:r w:rsidRPr="003F33F9">
        <w:rPr>
          <w:szCs w:val="24"/>
          <w:lang w:val="pt-PT" w:eastAsia="en-US"/>
        </w:rPr>
        <w:t xml:space="preserve">VKS definīcija Direktīvā 2000/60/EK būtu jāgroza, lai nodrošinātu, ka nākotnē to var attiecināt arī uz izraisītājvērtībām, kādas var tikt noteiktas, lai novērtētu uz ietekmi balstīta monitoringa rezultātus.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35]</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(11a)</w:t>
      </w:r>
      <w:r w:rsidRPr="003F33F9">
        <w:rPr>
          <w:szCs w:val="24"/>
          <w:lang w:val="pt-PT" w:eastAsia="en-US"/>
        </w:rPr>
        <w:tab/>
      </w:r>
      <w:r w:rsidRPr="003F33F9">
        <w:rPr>
          <w:b/>
          <w:i/>
          <w:szCs w:val="24"/>
          <w:lang w:val="pt-PT" w:eastAsia="en-US"/>
        </w:rPr>
        <w:t>Būtu jānosaka stingrākas robežvērtības gadījumos, kad gruntsūdeņu kvalitātes standarti varētu neļaut sasniegt Direktīvā 2000/60/EK noteiktos vides aizsardzības mērķus attiecībā uz saistītiem ūdens objektiem, kā prasīts Direktīvā 2006/118/EK. Minētās Direktīvas 2006/118/EK prasības tvērums būtu vēl vairāk jāpaplašina, lai neaizsargātas teritorijas labāk aizsargātu pret piesārņojumu.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36]</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(12)</w:t>
      </w:r>
      <w:r w:rsidRPr="003F33F9">
        <w:rPr>
          <w:szCs w:val="24"/>
          <w:lang w:val="pt-PT" w:eastAsia="en-US"/>
        </w:rPr>
        <w:tab/>
        <w:t>Ar ūdeni saistīto Savienības tiesību aktu izvērtējumā</w:t>
      </w:r>
      <w:r w:rsidRPr="003F33F9">
        <w:rPr>
          <w:szCs w:val="24"/>
          <w:vertAlign w:val="superscript"/>
          <w:lang w:val="en-GB" w:eastAsia="en-US"/>
        </w:rPr>
        <w:footnoteReference w:id="42"/>
      </w:r>
      <w:r w:rsidRPr="003F33F9">
        <w:rPr>
          <w:szCs w:val="24"/>
          <w:lang w:val="pt-PT" w:eastAsia="en-US"/>
        </w:rPr>
        <w:t xml:space="preserve"> (“izvērtējums”) secināts, ka process, kurā identificē un attiecīgos sarakstos iekļauj virszemes ūdeņus un gruntsūdeņus ietekmējošas piesārņojošās vielas un, ņemot vērā jaunākās zinātnes atziņas, nosaka vai pārskata tām atbilstošos kvalitātes standartus, varētu būt ātrāks. </w:t>
      </w:r>
      <w:r w:rsidRPr="003F33F9">
        <w:rPr>
          <w:strike/>
          <w:szCs w:val="24"/>
          <w:lang w:val="pt-PT" w:eastAsia="en-US"/>
        </w:rPr>
        <w:t>Ja šos uzdevumus uzticētu Komisijai, nevis – kā to patlaban paredz</w:t>
      </w:r>
      <w:r w:rsidRPr="003F33F9">
        <w:rPr>
          <w:b/>
          <w:i/>
          <w:szCs w:val="24"/>
          <w:lang w:val="pt-PT" w:eastAsia="en-US"/>
        </w:rPr>
        <w:t>Tāpēc saskaņā ar jebkādu turpmāku</w:t>
      </w:r>
      <w:r w:rsidRPr="003F33F9">
        <w:rPr>
          <w:szCs w:val="24"/>
          <w:lang w:val="pt-PT" w:eastAsia="en-US"/>
        </w:rPr>
        <w:t xml:space="preserve"> Direktīvas </w:t>
      </w:r>
      <w:r w:rsidRPr="003F33F9">
        <w:rPr>
          <w:strike/>
          <w:szCs w:val="24"/>
          <w:lang w:val="pt-PT" w:eastAsia="en-US"/>
        </w:rPr>
        <w:t>2000/60/EK 16. un 17. pants</w:t>
      </w:r>
      <w:r w:rsidRPr="003F33F9">
        <w:rPr>
          <w:b/>
          <w:i/>
          <w:szCs w:val="24"/>
          <w:lang w:val="pt-PT" w:eastAsia="en-US"/>
        </w:rPr>
        <w:t>2008/105/EK I pielikuma (attiecībā uz prioritāro vielu sarakstu un attiecīgajiem VKS, kas iekļauti minētā pielikuma A daļā)</w:t>
      </w:r>
      <w:r w:rsidRPr="003F33F9">
        <w:rPr>
          <w:szCs w:val="24"/>
          <w:lang w:val="pt-PT" w:eastAsia="en-US"/>
        </w:rPr>
        <w:t xml:space="preserve"> un Direktīvas 2006/118/EK </w:t>
      </w:r>
      <w:r w:rsidRPr="003F33F9">
        <w:rPr>
          <w:strike/>
          <w:szCs w:val="24"/>
          <w:lang w:val="pt-PT" w:eastAsia="en-US"/>
        </w:rPr>
        <w:t>10. pants – veiktu saskaņā ar parasto likumdošanas procedūru, varētu uzlabot</w:t>
      </w:r>
      <w:r w:rsidRPr="003F33F9">
        <w:rPr>
          <w:b/>
          <w:i/>
          <w:szCs w:val="24"/>
          <w:lang w:val="pt-PT" w:eastAsia="en-US"/>
        </w:rPr>
        <w:t>I pielikuma pārskatīšanu būtu jāuzlabo</w:t>
      </w:r>
      <w:r w:rsidRPr="003F33F9">
        <w:rPr>
          <w:szCs w:val="24"/>
          <w:lang w:val="pt-PT" w:eastAsia="en-US"/>
        </w:rPr>
        <w:t xml:space="preserve"> virszemes ūdeņos un gruntsūdeņos novērojamo vielu saraksta </w:t>
      </w:r>
      <w:r w:rsidRPr="003F33F9">
        <w:rPr>
          <w:strike/>
          <w:szCs w:val="24"/>
          <w:lang w:val="pt-PT" w:eastAsia="en-US"/>
        </w:rPr>
        <w:t>mehānisma darbību</w:t>
      </w:r>
      <w:r w:rsidRPr="003F33F9">
        <w:rPr>
          <w:b/>
          <w:i/>
          <w:szCs w:val="24"/>
          <w:lang w:val="pt-PT" w:eastAsia="en-US"/>
        </w:rPr>
        <w:t>mehānismu darbība</w:t>
      </w:r>
      <w:r w:rsidRPr="003F33F9">
        <w:rPr>
          <w:szCs w:val="24"/>
          <w:lang w:val="pt-PT" w:eastAsia="en-US"/>
        </w:rPr>
        <w:t xml:space="preserve">, jo īpaši attiecībā uz vielu iekļaušanas laiku un secību, monitorēšanu un rezultātu novērtēšanu, </w:t>
      </w:r>
      <w:r w:rsidRPr="003F33F9">
        <w:rPr>
          <w:strike/>
          <w:szCs w:val="24"/>
          <w:lang w:val="pt-PT" w:eastAsia="en-US"/>
        </w:rPr>
        <w:t>varētu stiprināt</w:t>
      </w:r>
      <w:r w:rsidRPr="003F33F9">
        <w:rPr>
          <w:b/>
          <w:i/>
          <w:szCs w:val="24"/>
          <w:lang w:val="pt-PT" w:eastAsia="en-US"/>
        </w:rPr>
        <w:t>jāstiprina</w:t>
      </w:r>
      <w:r w:rsidRPr="003F33F9">
        <w:rPr>
          <w:szCs w:val="24"/>
          <w:lang w:val="pt-PT" w:eastAsia="en-US"/>
        </w:rPr>
        <w:t xml:space="preserve"> saiknes starp novērojamo vielu saraksta mehānismu un piesārņojošo vielu sarakstu pārskatīšanu un </w:t>
      </w:r>
      <w:r w:rsidRPr="003F33F9">
        <w:rPr>
          <w:strike/>
          <w:szCs w:val="24"/>
          <w:lang w:val="pt-PT" w:eastAsia="en-US"/>
        </w:rPr>
        <w:t>ar</w:t>
      </w:r>
      <w:r w:rsidRPr="003F33F9">
        <w:rPr>
          <w:b/>
          <w:i/>
          <w:szCs w:val="24"/>
          <w:lang w:val="pt-PT" w:eastAsia="en-US"/>
        </w:rPr>
        <w:t>jāpielāgo</w:t>
      </w:r>
      <w:r w:rsidRPr="003F33F9">
        <w:rPr>
          <w:szCs w:val="24"/>
          <w:lang w:val="pt-PT" w:eastAsia="en-US"/>
        </w:rPr>
        <w:t xml:space="preserve"> piesārņojošo vielu sarakstu </w:t>
      </w:r>
      <w:r w:rsidRPr="003F33F9">
        <w:rPr>
          <w:strike/>
          <w:szCs w:val="24"/>
          <w:lang w:val="pt-PT" w:eastAsia="en-US"/>
        </w:rPr>
        <w:t>izmaiņām varētu</w:t>
      </w:r>
      <w:r w:rsidRPr="003F33F9">
        <w:rPr>
          <w:b/>
          <w:i/>
          <w:szCs w:val="24"/>
          <w:lang w:val="pt-PT" w:eastAsia="en-US"/>
        </w:rPr>
        <w:t>pārskatīšanas periods, lai</w:t>
      </w:r>
      <w:r w:rsidRPr="003F33F9">
        <w:rPr>
          <w:szCs w:val="24"/>
          <w:lang w:val="pt-PT" w:eastAsia="en-US"/>
        </w:rPr>
        <w:t xml:space="preserve"> ātrāk </w:t>
      </w:r>
      <w:r w:rsidRPr="003F33F9">
        <w:rPr>
          <w:strike/>
          <w:szCs w:val="24"/>
          <w:lang w:val="pt-PT" w:eastAsia="en-US"/>
        </w:rPr>
        <w:t>ņemt</w:t>
      </w:r>
      <w:r w:rsidRPr="003F33F9">
        <w:rPr>
          <w:b/>
          <w:i/>
          <w:szCs w:val="24"/>
          <w:lang w:val="pt-PT" w:eastAsia="en-US"/>
        </w:rPr>
        <w:t>ņemtu</w:t>
      </w:r>
      <w:r w:rsidRPr="003F33F9">
        <w:rPr>
          <w:szCs w:val="24"/>
          <w:lang w:val="pt-PT" w:eastAsia="en-US"/>
        </w:rPr>
        <w:t xml:space="preserve"> vērā zinātnes attīstību</w:t>
      </w:r>
      <w:r w:rsidRPr="003F33F9">
        <w:rPr>
          <w:strike/>
          <w:szCs w:val="24"/>
          <w:lang w:val="pt-PT" w:eastAsia="en-US"/>
        </w:rPr>
        <w:t>. Tāpēc un ņemot vērā tūlītējo nepieciešamību piesārņojošo vielu sarakstus un to VKS grozīt, lai ņemtu vērā jaunākās zinātnes un tehnikas atziņas, būtu jādeleģē Komisijai pilnvaras saskanīgi ar LESD 290. pantu pieņemt aktus, ar kuriem Direktīvas 2008/105/EK I pielikumu groza attiecībā uz prioritāro vielu sarakstu un atbilstošajiem VKS, kas noteikti minētā pielikuma A daļā, un Direktīvas 2006/118/EK I pielikumu groza attiecībā uz minētajā pielikumā noteikto gruntsūdeņus piesārņojošo vielu sarakstu un kvalitātes standartiem</w:t>
      </w:r>
      <w:r w:rsidRPr="003F33F9">
        <w:rPr>
          <w:szCs w:val="24"/>
          <w:lang w:val="pt-PT" w:eastAsia="en-US"/>
        </w:rPr>
        <w:t>. Šajā sakarā Komisijai būtu jāņem vērā virszemes ūdeņos un gruntsūdeņos novērojamo vielu sarakstā iekļauto vielu monitoringa rezultāti. Rezultātā būtu jāsvītro Direktīvas 2000/60/EK 16. un 17. pants un X pielikums, kā arī Direktīvas 2006/118/EK 10. pants</w:t>
      </w:r>
      <w:r w:rsidRPr="003F33F9">
        <w:rPr>
          <w:b/>
          <w:i/>
          <w:szCs w:val="24"/>
          <w:lang w:val="pt-PT" w:eastAsia="en-US"/>
        </w:rPr>
        <w:t>, vienlaikus saglabājot pienākumu veikt pasākumus, kuru mērķis ir izbeigt vai pakāpeniski izbeigt prioritāro bīstamo vielu izplūdes, emisijas un zudumus</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37]</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(12a)</w:t>
      </w:r>
      <w:r w:rsidRPr="003F33F9">
        <w:rPr>
          <w:szCs w:val="24"/>
          <w:lang w:val="pt-PT" w:eastAsia="en-US"/>
        </w:rPr>
        <w:tab/>
      </w:r>
      <w:r w:rsidRPr="003F33F9">
        <w:rPr>
          <w:b/>
          <w:i/>
          <w:szCs w:val="24"/>
          <w:lang w:val="pt-PT" w:eastAsia="en-US"/>
        </w:rPr>
        <w:t>Atbilstības pārbaudē izdarītie secinājumi liecina, ka direktīvas kopumā atbilst to mērķim, tomēr tās iespējams uzlabot, cita starpā paātrinot direktīvu mērķu pienācīgu sasniegšanu, ko varētu panākt ar lielāku Savienības finansējumu. Novērtējums rāda, ka direktīvas līdz šim kopumā ir palīdzējušas paaugstināt ūdens objektu aizsardzības un plūdu riska pārvaldības līmeni.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38]</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(13)</w:t>
      </w:r>
      <w:r w:rsidRPr="003F33F9">
        <w:rPr>
          <w:szCs w:val="24"/>
          <w:lang w:val="pt-PT" w:eastAsia="en-US"/>
        </w:rPr>
        <w:tab/>
        <w:t>Vēl izvērtējumā secināts, ka starp dalībvalstīm pastāvošās atšķirības attiecībā uz kvalitātes standartiem un robežvērtībām, kas valsts līmenī noteikti attiecīgi upes baseinam specifiskām piesārņojošajām vielām un gruntsūdeņus piesārņojošajām vielām, ir pārāk lielas. Līdz šim uz upes baseinam specifiskām piesārņojošajām vielām, kuras nav saskanīgi ar Direktīvu 2000/60/EK identificētas par prioritārām vielām, attiecināja valstu noteiktos VKS un tās uzskatīja par fizikālķīmiskās kvalitātes faktoriem, kas izmantojami virszemes ūdeņu ekoloģiskās kvalitātes rādītāju novērtēšanā. Arī gruntsūdeņu jomā dalībvalstīm bija iespēja noteikt pašām savas robežvērtības, un tas attiecās pat uz sintētiskajām ķimikālijām. Šis elastīgums ir novedis pie suboptimāliem rezultātiem attiecībā uz ūdens objektu stāvokļa salīdzināmību starp dalībvalstīm un attiecībā uz vides aizsardzību. Tāpēc jānosaka procedūra, kura ļauj Savienības līmenī vienoties par VKS un robežvērtībām, kas jāpiemēro, ja minētās vielas ir identificētas par valsts mērogā problemātiskām vielām, un izveidot piemērojamo VKS un robežvērtību repozitorijus.</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br w:type="page"/>
      </w:r>
      <w:r w:rsidRPr="003F33F9">
        <w:rPr>
          <w:b/>
          <w:i/>
          <w:szCs w:val="24"/>
          <w:lang w:val="pt-PT" w:eastAsia="en-US"/>
        </w:rPr>
        <w:lastRenderedPageBreak/>
        <w:t>(13a)</w:t>
      </w:r>
      <w:r w:rsidRPr="003F33F9">
        <w:rPr>
          <w:szCs w:val="24"/>
          <w:lang w:val="pt-PT" w:eastAsia="en-US"/>
        </w:rPr>
        <w:tab/>
      </w:r>
      <w:r w:rsidRPr="003F33F9">
        <w:rPr>
          <w:b/>
          <w:i/>
          <w:szCs w:val="24"/>
          <w:lang w:val="pt-PT" w:eastAsia="en-US"/>
        </w:rPr>
        <w:t>Visiem lēmumiem par vielu atlasi, pārskatīšanu un VKS noteikšanu būtu jābalstās uz riska novērtējumu, un, tos pieņemot, būtu jāievēro samērīga, pārredzama un zinātniski pamatota pieeja un jāņem vērā Eiropas Parlamenta, dalībvalstu un attiecīgo ieinteresēto personu ieteikumi.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39]</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(13b)</w:t>
      </w:r>
      <w:r w:rsidRPr="003F33F9">
        <w:rPr>
          <w:szCs w:val="24"/>
          <w:lang w:val="pt-PT" w:eastAsia="en-US"/>
        </w:rPr>
        <w:tab/>
      </w:r>
      <w:r w:rsidRPr="003F33F9">
        <w:rPr>
          <w:b/>
          <w:i/>
          <w:szCs w:val="24"/>
          <w:lang w:val="pt-PT" w:eastAsia="en-US"/>
        </w:rPr>
        <w:t>Lai gan Direktīvā 2000/60/EK tika paredzēti ūdens kvantitātes un kvalitātes uzlabošanai nepieciešamie noteikumi, atbilstības pārbaude parādīja, ka lēno progresu šīs direktīvas mērķu sasniegšanā cita starpā var saistīt ar pietiekamu finanšu resursu trūkumu, kā arī ar regulējuma un ekoloģisko sarežģītību, tostarp ar potenciāli ilgo laiku, kas nepieciešams, lai gruntsūdeņi reaģētu uz veiktajiem pasākumiem, un ar ziņošanas grafikiem. Pasākumi, kas uzlabo ūdens objektu stāvokli, atjaunojot upes un ekosistēmu pakalpojumus, sniedz finansiālus ieguvumus, kas atsver izmaksas, un varētu dalībvalstīm samazināt nevajadzīgus izdevumus. Turklāt novērtējums liecina par nepilnīgu īstenošanu, nepietiekamu tvērumu un nepietiekamiem vai nepiemērotiem atjaunošanas pasākumiem, kam būtu jānodrošina hidroloģiska un ekoloģiska savienojamība</w:t>
      </w:r>
      <w:r w:rsidRPr="003F33F9">
        <w:rPr>
          <w:szCs w:val="24"/>
          <w:vertAlign w:val="superscript"/>
          <w:lang w:val="en-GB" w:eastAsia="en-US"/>
        </w:rPr>
        <w:footnoteReference w:id="43"/>
      </w:r>
      <w:r w:rsidRPr="003F33F9">
        <w:rPr>
          <w:b/>
          <w:i/>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40]</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(14)</w:t>
      </w:r>
      <w:r w:rsidRPr="003F33F9">
        <w:rPr>
          <w:szCs w:val="24"/>
          <w:lang w:val="pt-PT" w:eastAsia="en-US"/>
        </w:rPr>
        <w:tab/>
        <w:t>Turklāt upes baseinam specifisko piesārņojošo vielu iekļaušana virszemes ūdeņu ķīmiskās kvalitātes rādītāju definīcijā nodrošina koordinētāku, saskaņotāku un pārredzamāku pieeju attiecībā uz virszemes ūdens objektu ķīmiskās kvalitātes monitoringu un novērtēšanu, kā arī attiecībā uz sabiedrībai sniedzamo saistīto informāciju. Bez tam tas ļauj mērķtiecīgāk tuvoties tādu pasākumu apzināšanai un īstenošanai, ar kuriem var visaptverošāk, iedarbīgāk un rezultatīvāk risināt visus ar ķimikālijām saistītos jautājumus. Tāpēc būtu jāmaina ekoloģiskās kvalitātes rādītāju un ķīmiskās kvalitātes rādītāju definīcija un ķīmiskās kvalitātes rādītāju definīcijas tvērums jāpaplašina, lai aptvertu arī upes baseinam specifiskas piesārņojošās vielas, kas līdz šim bija iekļautas Direktīvas 2000/60/EK V pielikumā dotajā ekoloģiskās kvalitātes rādītāju definīcijā. Tāpēc Direktīvā 2008/105/EK būtu jāiekļauj VKS jēdziens attiecībā uz upes baseinam specifiskām piesārņojošajām vielām un ar to saistītās procedūras.</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t>(15)</w:t>
      </w:r>
      <w:r w:rsidRPr="003F33F9">
        <w:rPr>
          <w:szCs w:val="24"/>
          <w:lang w:val="pt-PT" w:eastAsia="en-US"/>
        </w:rPr>
        <w:tab/>
        <w:t xml:space="preserve">Lai nodrošinātu saskaņotu pieeju un vienlīdzīgus konkurences apstākļus Savienībā, būtu jādeleģē Komisijai pilnvaras pieņemt </w:t>
      </w:r>
      <w:r w:rsidRPr="003F33F9">
        <w:rPr>
          <w:b/>
          <w:i/>
          <w:szCs w:val="24"/>
          <w:lang w:val="pt-PT" w:eastAsia="en-US"/>
        </w:rPr>
        <w:t xml:space="preserve">aktus saskaņā </w:t>
      </w:r>
      <w:r w:rsidRPr="003F33F9">
        <w:rPr>
          <w:szCs w:val="24"/>
          <w:lang w:val="pt-PT" w:eastAsia="en-US"/>
        </w:rPr>
        <w:t xml:space="preserve">ar LESD 290. pantu </w:t>
      </w:r>
      <w:r w:rsidRPr="003F33F9">
        <w:rPr>
          <w:strike/>
          <w:szCs w:val="24"/>
          <w:lang w:val="pt-PT" w:eastAsia="en-US"/>
        </w:rPr>
        <w:t>saskanīgus aktus, ar kuriem</w:t>
      </w:r>
      <w:r w:rsidRPr="003F33F9">
        <w:rPr>
          <w:b/>
          <w:i/>
          <w:szCs w:val="24"/>
          <w:lang w:val="pt-PT" w:eastAsia="en-US"/>
        </w:rPr>
        <w:t>nolūkā grozīt</w:t>
      </w:r>
      <w:r w:rsidRPr="003F33F9">
        <w:rPr>
          <w:szCs w:val="24"/>
          <w:lang w:val="pt-PT" w:eastAsia="en-US"/>
        </w:rPr>
        <w:t xml:space="preserve"> Direktīvas 2006/118/EK II pielikuma B daļu</w:t>
      </w:r>
      <w:r w:rsidRPr="003F33F9">
        <w:rPr>
          <w:strike/>
          <w:szCs w:val="24"/>
          <w:lang w:val="pt-PT" w:eastAsia="en-US"/>
        </w:rPr>
        <w:t xml:space="preserve"> groza</w:t>
      </w:r>
      <w:r w:rsidRPr="003F33F9">
        <w:rPr>
          <w:szCs w:val="24"/>
          <w:lang w:val="pt-PT" w:eastAsia="en-US"/>
        </w:rPr>
        <w:t xml:space="preserve">, lai pielāgotu to piesārņojošo vielu sarakstu, attiecībā uz kurām dalībvalstīm </w:t>
      </w:r>
      <w:r w:rsidRPr="003F33F9">
        <w:rPr>
          <w:strike/>
          <w:szCs w:val="24"/>
          <w:lang w:val="pt-PT" w:eastAsia="en-US"/>
        </w:rPr>
        <w:t>jāapsver iespēja noteikt</w:t>
      </w:r>
      <w:r w:rsidRPr="003F33F9">
        <w:rPr>
          <w:b/>
          <w:i/>
          <w:szCs w:val="24"/>
          <w:lang w:val="pt-PT" w:eastAsia="en-US"/>
        </w:rPr>
        <w:t>jānosaka</w:t>
      </w:r>
      <w:r w:rsidRPr="003F33F9">
        <w:rPr>
          <w:szCs w:val="24"/>
          <w:lang w:val="pt-PT" w:eastAsia="en-US"/>
        </w:rPr>
        <w:t xml:space="preserve"> valsts robežvērtības.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41]</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(16)</w:t>
      </w:r>
      <w:r w:rsidRPr="003F33F9">
        <w:rPr>
          <w:szCs w:val="24"/>
          <w:lang w:val="pt-PT" w:eastAsia="en-US"/>
        </w:rPr>
        <w:tab/>
        <w:t>Ņemot vērā vajadzību ātri pielāgoties zinātnes un tehnikas atziņām un Savienībā nodrošināt saskaņotu pieeju un vienlīdzīgus konkurences apstākļus attiecībā uz upes baseinam specifiskām piesārņojošajām vielām, būtu jādeleģē Komisijai pilnvaras pieņemt ar LESD 290. pantu saskanīgus aktus, ar kuriem Direktīvas 2008/105/EK II pielikumu pielāgo attiecībā uz piesārņojošo vielu kategoriju sarakstu, kas noteikts minētā pielikuma A daļā, un II pielikuma C daļu pielāgo attiecībā uz saskaņotiem VKS, kas noteikti upes baseinam specifiskām piesārņojošajām vielām vai to grupām. Šie saskaņotie VKS dalībvalstīm būtu jāpiemēro, kad tās novērtē savu virszemes ūdens objektu stāvokli gadījumā, ja konstatēts minēto piesārņojošo vielu radīts risks.</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(17)</w:t>
      </w:r>
      <w:r w:rsidRPr="003F33F9">
        <w:rPr>
          <w:szCs w:val="24"/>
          <w:lang w:val="pt-PT" w:eastAsia="en-US"/>
        </w:rPr>
        <w:tab/>
        <w:t>Pārskatot Direktīvas 2008/105/EK I pielikuma A daļā doto prioritāro vielu sarakstu, ir secināts, ka vairākas prioritārās vielas Savienības mērogā vairs nav problemātiskas un tāpēc tām vairs nevajadzētu atrasties minētās direktīvas I pielikuma A daļas sarakstā. Minētās vielas būtu jāuzskata par upes baseinam specifiskām piesārņojošajām vielām un kopā ar atbilstošajiem VKS jāiekļauj Direktīvas 2008/105/EK II pielikuma C daļā. Tā kā minētās piesārņojošās vielas vairs netiek uzskatītas par tādām, kas ir problemātiskas Savienības mērogā, VKS piemērojami tikai tad, ja minētās vielas joprojām spēj radīt valsts vai reģionāla vai vietēja mēroga problēmas.</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(18)</w:t>
      </w:r>
      <w:r w:rsidRPr="003F33F9">
        <w:rPr>
          <w:szCs w:val="24"/>
          <w:lang w:val="pt-PT" w:eastAsia="en-US"/>
        </w:rPr>
        <w:tab/>
        <w:t>Lai nodrošinātu vienlīdzīgus konkurences apstākļus un ūdens objektu stāvokļa salīdzināmību starp dalībvalstīm, ir jāsaskaņo dažu gruntsūdeņus piesārņojošo vielu valsts robežvērtības. Tāpēc Direktīvas 2006/118/EK II pielikumā kā jauna D daļa būtu jāiekļauj saskaņoto robežvērtību repozitorijs attiecībā uz gruntsūdeņus piesārņojošām vielām, kas ir problemātiskas valsts, reģionālā vai vietējā mērogā. Minētajā repozitorijā noteiktās saskaņotās robežvērtības piemērojamas tikai tajās dalībvalstīs, kurās piesārņojošās vielas, uz kurām minētās robežvērtības attiecas, ietekmē gruntsūdeņu ķīmisko kvalitāti. Jāsaskaņo valstu robežvērtības attiecībā uz divu sintētisko piesārņojošo vielu – trihloretilēna un tetrahloretilēna – summu, un tas vajadzīgs tāpēc, ka ne visas dalībvalstis, kurās šīs piesārņojošās vielas ir aktuāla problēma, robežvērtību piemēro minēto piesārņojošo vielu summai un valsts noteiktās robežvērtības nav visās valstīs vienādas. Saskaņotajai robežvērtībai būtu jāatbilst parametriskajai vērtībai, kas minēto piesārņojošo vielu summai dzeramajā ūdenī noteikta saskaņā ar Direktīvu (ES) 2020/2184.</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(19)</w:t>
      </w:r>
      <w:r w:rsidRPr="003F33F9">
        <w:rPr>
          <w:szCs w:val="24"/>
          <w:lang w:val="pt-PT" w:eastAsia="en-US"/>
        </w:rPr>
        <w:tab/>
        <w:t>Lai nodrošinātu saskaņotu pieeju un vienlīdzīgus konkurences apstākļus Savienībā, būtu jādeleģē Komisijai pilnvaras pieņemt ar LESD 290. pantu saskanīgus aktus, ar kuriem Direktīvas 2006/118/EK II pielikuma D daļu groza, lai saskaņoto robežvērtību repozitoriju pielāgotu attiecībā uz tajā iekļautajām piesārņojošajām vielām un lai saskaņotās robežvērtības pielāgotu tehnikas un zinātnes attīstībai.</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(20)</w:t>
      </w:r>
      <w:r w:rsidRPr="003F33F9">
        <w:rPr>
          <w:szCs w:val="24"/>
          <w:lang w:val="pt-PT" w:eastAsia="en-US"/>
        </w:rPr>
        <w:tab/>
        <w:t>Visi Direktīvas 2006/118/EK noteikumi par gruntsūdeņu ķīmiskās kvalitātes novērtēšanu būtu jāpielāgo tam, ka papildus minētās direktīvas I pielikumā noteiktajiem kvalitātes standartiem un valstu robežvērtībām, kas noteiktas saskaņā ar minētās direktīvas II pielikuma A daļā izklāstīto metodiku, ar minētās direktīvas II pielikuma D daļu tiek ieviesta trešā saskaņoto robežvērtību kategorija.</w:t>
      </w:r>
    </w:p>
    <w:p w:rsidR="00CB6573" w:rsidRPr="003F33F9" w:rsidRDefault="00CB6573" w:rsidP="00CB6573">
      <w:pPr>
        <w:spacing w:before="120" w:after="120" w:line="360" w:lineRule="auto"/>
        <w:ind w:left="850" w:hanging="850"/>
        <w:rPr>
          <w:b/>
          <w:szCs w:val="24"/>
          <w:lang w:val="pt-PT" w:eastAsia="en-US"/>
        </w:rPr>
      </w:pPr>
      <w:r w:rsidRPr="003F33F9">
        <w:rPr>
          <w:b/>
          <w:i/>
          <w:szCs w:val="24"/>
          <w:lang w:val="pt-PT" w:eastAsia="en-US"/>
        </w:rPr>
        <w:t>(20a)</w:t>
      </w:r>
      <w:r w:rsidRPr="003F33F9">
        <w:rPr>
          <w:szCs w:val="24"/>
          <w:lang w:val="pt-PT" w:eastAsia="en-US"/>
        </w:rPr>
        <w:tab/>
      </w:r>
      <w:r w:rsidRPr="003F33F9">
        <w:rPr>
          <w:b/>
          <w:i/>
          <w:szCs w:val="24"/>
          <w:lang w:val="pt-PT" w:eastAsia="en-US"/>
        </w:rPr>
        <w:t>Lai nodrošinātu pienācīgus aizsardzības standartus teritorijām, kas ir ar augstu ekoloģisko vērtību, sevišķi neaizsargātas vai piesārņotas, piemēram, alām un karsta apgabaliem, un kas ietver ekosistēmas, kuras ir vienas no neaizsargātākajām pret kontamināciju un ir svarīgas dzeramā ūdens piegādes ziņā, kā arī agrākajiem rūpniecības objektiem un citām teritorijām, par ko zināms, ka tās ir kontaminētas, Komisijai būtu jāpublicē šādu teritoriju ķīmiskās kvalitātes rādītāju novērtējums un attiecīgā gadījumā jāiesniedz tiesību akta priekšlikums nolūkā attiecīgi pārskatīt Direktīvu 2006/118/EK.</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42]</w:t>
      </w:r>
    </w:p>
    <w:p w:rsidR="00CB6573" w:rsidRPr="003F33F9" w:rsidRDefault="00CB6573" w:rsidP="00CB6573">
      <w:pPr>
        <w:spacing w:before="120" w:after="120" w:line="360" w:lineRule="auto"/>
        <w:ind w:left="850" w:hanging="850"/>
        <w:rPr>
          <w:b/>
          <w:szCs w:val="24"/>
          <w:lang w:val="pt-PT" w:eastAsia="en-US"/>
        </w:rPr>
      </w:pPr>
      <w:r w:rsidRPr="003F33F9">
        <w:rPr>
          <w:szCs w:val="24"/>
          <w:lang w:val="pt-PT" w:eastAsia="en-US"/>
        </w:rPr>
        <w:br w:type="page"/>
      </w:r>
      <w:r w:rsidRPr="003F33F9">
        <w:rPr>
          <w:szCs w:val="24"/>
          <w:lang w:val="pt-PT" w:eastAsia="en-US"/>
        </w:rPr>
        <w:lastRenderedPageBreak/>
        <w:t>(21)</w:t>
      </w:r>
      <w:r w:rsidRPr="003F33F9">
        <w:rPr>
          <w:szCs w:val="24"/>
          <w:lang w:val="pt-PT" w:eastAsia="en-US"/>
        </w:rPr>
        <w:tab/>
        <w:t>Lai nodrošinātu efektīvu un saskaņotu lēmumu pieņemšanu un sinerģiju ar darbu, kas ķimikāliju jomā noris saistībā ar citiem Savienības tiesību aktiem, būtu Eiropas Ķimikāliju aģentūrai (ECHA) jāpiešķir pastāvīga un skaidri noteikta loma to vielu prioritizēšanā, kuras jāiekļauj novērojamo vielu sarakstos un vielu sarakstos, kas doti Direktīvas 2008/105/EK I un II pielikumā un Direktīvas 2006/118/EK I un II pielikumā, kā arī pienācīgu zinātniski pamatotu kvalitātes standartu izstrādē. ECHA Riska novērtēšanas komitejai (RAC) un Sociālekonomiskās analīzes komitejai (SEAC) būtu dažu ECHA uzticēto uzdevumu veikšana jāatvieglo, sniedzot atzinumus. Bez tam ECHA būtu jānodrošina labāka koordinācija starp dažādiem vides tiesību aktiem un šajā nolūkā, padarot publiski pieejamus attiecīgos zinātniskos ziņojumus, jāpalielina pārredzamība attiecībā uz novērojamo vielu sarakstā iekļautajām piesārņojošajām vielām vai jāizstrādā Savienības mēroga vai valstu VKS vai robežvērtības.</w:t>
      </w:r>
      <w:r w:rsidRPr="003F33F9">
        <w:rPr>
          <w:b/>
          <w:i/>
          <w:szCs w:val="24"/>
          <w:lang w:val="pt-PT" w:eastAsia="en-US"/>
        </w:rPr>
        <w:t xml:space="preserve"> Attiecībā uz robežvērtību noteikšanu zāļu vielām ECHA būtu jāsadarbojas ar Eiropas Zāļu aģentūru (EMA).</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43]</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(22)</w:t>
      </w:r>
      <w:r w:rsidRPr="003F33F9">
        <w:rPr>
          <w:szCs w:val="24"/>
          <w:lang w:val="pt-PT" w:eastAsia="en-US"/>
        </w:rPr>
        <w:tab/>
        <w:t>Izvērtējumā secināts, ka tālab, lai ūdens resursu jomā uzlabotu Savienības tiesību aktu īstenošanu un izpildes panākšanu, elektroniskajai ziņošanai jākļūst biežākai un racionālākai. Šādas biežākas un racionālākas dalībvalstu elektroniskās ziņošanas sekmētājai būtu jābūt Eiropas Vides aģentūrai (EVA), jo, kā aprakstīts Nulles piesārņojuma rīcības plānā, tai pienākas arī regulārāk uzraudzīt piesārņojuma stāvokli. Ir svarīgi, lai vidisko informāciju par Savienības virszemes ūdeņu un gruntsūdeņu stāvokli sabiedrība un Komisija saņemtu savlaicīgi. Tāpēc no dalībvalstīm būtu jāprasa, lai saskaņā ar Direktīvu 2000/60/EK savāktos monitoringa datus Komisijas un EVA rīcībā nodotu, izmantojot automatizētus ziņošanas un datu piegādes mehānismus, kuriem ir lietojumprogrammu saskarne, vai tiem līdzvērtīgus mehānismus. Paredzamais administratīvais slogs būs mazs, jo dalībvalstīm jau tagad ir pienākums publiskot telpisko datu tematus, kas ietilpst Eiropas Parlamenta un Padomes Direktīvas 2007/2/EK</w:t>
      </w:r>
      <w:r w:rsidRPr="003F33F9">
        <w:rPr>
          <w:szCs w:val="24"/>
          <w:vertAlign w:val="superscript"/>
          <w:lang w:val="en-GB" w:eastAsia="en-US"/>
        </w:rPr>
        <w:footnoteReference w:id="44"/>
      </w:r>
      <w:r w:rsidRPr="003F33F9">
        <w:rPr>
          <w:szCs w:val="24"/>
          <w:lang w:val="pt-PT" w:eastAsia="en-US"/>
        </w:rPr>
        <w:t xml:space="preserve"> un/vai Eiropas Parlamenta un Padomes Direktīvas (ES) 2019/1024</w:t>
      </w:r>
      <w:r w:rsidRPr="003F33F9">
        <w:rPr>
          <w:szCs w:val="24"/>
          <w:vertAlign w:val="superscript"/>
          <w:lang w:val="en-GB" w:eastAsia="en-US"/>
        </w:rPr>
        <w:footnoteReference w:id="45"/>
      </w:r>
      <w:r w:rsidRPr="003F33F9">
        <w:rPr>
          <w:szCs w:val="24"/>
          <w:lang w:val="pt-PT" w:eastAsia="en-US"/>
        </w:rPr>
        <w:t xml:space="preserve"> darbības jomā. Minētie telpisko datu temati aptver vides monitoringa iekārtu atrašanās vietu un darbību, saistītos emisiju mērījumus un vidisko aģentu stāvokli.</w:t>
      </w:r>
    </w:p>
    <w:p w:rsidR="00CB6573" w:rsidRPr="003F33F9" w:rsidRDefault="00CB6573" w:rsidP="00CB6573">
      <w:pPr>
        <w:spacing w:before="120" w:after="120" w:line="360" w:lineRule="auto"/>
        <w:ind w:left="850" w:hanging="850"/>
        <w:rPr>
          <w:b/>
          <w:szCs w:val="24"/>
          <w:lang w:val="pt-PT" w:eastAsia="en-US"/>
        </w:rPr>
      </w:pPr>
      <w:r w:rsidRPr="003F33F9">
        <w:rPr>
          <w:strike/>
          <w:szCs w:val="24"/>
          <w:lang w:val="pt-PT" w:eastAsia="en-US"/>
        </w:rPr>
        <w:br w:type="page"/>
      </w:r>
      <w:r w:rsidRPr="003F33F9">
        <w:rPr>
          <w:strike/>
          <w:szCs w:val="24"/>
          <w:lang w:val="pt-PT" w:eastAsia="en-US"/>
        </w:rPr>
        <w:lastRenderedPageBreak/>
        <w:t>(23)</w:t>
      </w:r>
      <w:r w:rsidRPr="003F33F9">
        <w:rPr>
          <w:szCs w:val="24"/>
          <w:lang w:val="pt-PT" w:eastAsia="en-US"/>
        </w:rPr>
        <w:tab/>
      </w:r>
      <w:r w:rsidRPr="003F33F9">
        <w:rPr>
          <w:strike/>
          <w:szCs w:val="24"/>
          <w:lang w:val="pt-PT" w:eastAsia="en-US"/>
        </w:rPr>
        <w:t>Labāk integrējot datu plūsmas, kuras EVA paziņotas saskaņā ar ūdens resursu jomā pieņemtajiem Savienības tiesību aktiem, un konkrēti Direktīvā 2008/105/EK prasītos emisiju inventarizācijas pārskatus integrējot datu plūsmās, kuras Rūpniecisko emisiju portālā paziņotas saskaņā ar Direktīvu 2010/75/ES un Eiropas Parlamenta un Padomes Regulu (EK) Nr. 166/2006</w:t>
      </w:r>
      <w:r w:rsidRPr="003F33F9">
        <w:rPr>
          <w:szCs w:val="24"/>
          <w:vertAlign w:val="superscript"/>
          <w:lang w:val="en-GB" w:eastAsia="en-US"/>
        </w:rPr>
        <w:footnoteReference w:id="46"/>
      </w:r>
      <w:r w:rsidRPr="003F33F9">
        <w:rPr>
          <w:strike/>
          <w:szCs w:val="24"/>
          <w:lang w:val="pt-PT" w:eastAsia="en-US"/>
        </w:rPr>
        <w:t>, tiks panākts tas, ka Direktīvas 2008/105/EK 5. pantā prasītā ziņošana par uzskaiti kļūs vienkāršāka un efektīvāka. Vienlaikus samazināsies administratīvais slogs un maksimālā darba slodze, kas saistīta ar upju baseinu apsaimniekošanas plānu gatavošanu. Kopā ar to, ka tiks atcelta savu efektivitāti nepierādījusī prasība sniegt starpposma ziņojumus par pasākumu programmu īstenošanas sekmēm, šī vienkāršotā ziņošanas procedūra dalībvalstīm ļaus vairāk pūļu veltīt to emisiju paziņošanai, uz kurām neattiecas tiesību akti par rūpnieciskajām emisijām, bet attiecas Direktīvas 2008/105/EK 5. panta prasības par emisiju paziņošanu.</w:t>
      </w:r>
      <w:r w:rsidRPr="003F33F9">
        <w:rPr>
          <w:b/>
          <w:strike/>
          <w:szCs w:val="24"/>
          <w:lang w:val="pt-PT" w:eastAsia="en-US"/>
        </w:rPr>
        <w:t xml:space="preserve"> </w:t>
      </w:r>
      <w:r w:rsidR="00D116DF" w:rsidRPr="003F33F9">
        <w:rPr>
          <w:b/>
          <w:szCs w:val="24"/>
          <w:lang w:val="pt-PT" w:eastAsia="en-US"/>
        </w:rPr>
        <w:t xml:space="preserve">[Gr. </w:t>
      </w:r>
      <w:r w:rsidRPr="003F33F9">
        <w:rPr>
          <w:b/>
          <w:szCs w:val="24"/>
          <w:lang w:val="pt-PT" w:eastAsia="en-US"/>
        </w:rPr>
        <w:t>44]</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(24)</w:t>
      </w:r>
      <w:r w:rsidRPr="003F33F9">
        <w:rPr>
          <w:szCs w:val="24"/>
          <w:lang w:val="pt-PT" w:eastAsia="en-US"/>
        </w:rPr>
        <w:tab/>
        <w:t>Ar Lisabonas līgumu ir ieviests nošķīrums starp Komisijai deleģētajām pilnvarām pieņemt vispārēji piemērojamus neleģislatīvus aktus, ar kuriem papildina vai groza dažus nebūtiskus leģislatīvu aktu elementus (deleģētie akti), un Komisijai piešķirtajām pilnvarām pieņemt aktus, ar kuriem nodrošina vienotus nosacījumus, kas nepieciešami juridiski saistošo Savienības aktu īstenošanai (īstenošanas akti). Direktīva 2000/60/EK un 2006/118/EK būtu jāpieskaņo ar Lisabonas līgumu ieviestajam tiesiskajam regulējumam.</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(25)</w:t>
      </w:r>
      <w:r w:rsidRPr="003F33F9">
        <w:rPr>
          <w:szCs w:val="24"/>
          <w:lang w:val="pt-PT" w:eastAsia="en-US"/>
        </w:rPr>
        <w:tab/>
        <w:t>Direktīvas 2000/60/EK 20. panta 1. punkta pirmajā daļā un V pielikuma 1.4.1. punkta ix) apakšpunktā noteiktie pilnvarojumi, kas paredz regulatīvās kontroles procedūras izmantošanu, attiecas uz minētās direktīvas pielikumu pielāgošanu un minēto direktīvu papildinošu noteikumu pieņemšanu un tādējādi atbilst LESD 290. panta 1. punkta kritērijiem. Tāpēc tie būtu jāpārveido par pilnvarojumiem, kas Komisijai ļauj pieņemt deleģētos aktus.</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(26)</w:t>
      </w:r>
      <w:r w:rsidRPr="003F33F9">
        <w:rPr>
          <w:szCs w:val="24"/>
          <w:lang w:val="pt-PT" w:eastAsia="en-US"/>
        </w:rPr>
        <w:tab/>
        <w:t>Direktīvas 2006/118/EK 8. pantā noteiktais pilnvarojums, kas paredz regulatīvās kontroles procedūras izmantošanu, attiecas uz minētās direktīvas pielikumu pielāgošanu un tādējādi atbilst LESD 290. panta 1. punkta kritērijiem. Tāpēc tas būtu jāpārveido par pilnvarojumu, kas Komisijai ļauj pieņemt deleģētos aktus.</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(27)</w:t>
      </w:r>
      <w:r w:rsidRPr="003F33F9">
        <w:rPr>
          <w:szCs w:val="24"/>
          <w:lang w:val="pt-PT" w:eastAsia="en-US"/>
        </w:rPr>
        <w:tab/>
        <w:t>Ir īpaši būtiski, lai Komisija, gatavodama deleģētos aktus un pati gatavodamās, rīkotu atbilstīgas apspriešanās, arī ekspertu līmenī, un lai minētās apspriešanās tiktu rīkotas saskaņā ar principiem, kas noteikti 2016. gada 13. aprīļa Iestāžu nolīgumā par labāku likumdošanas procesu. Konkrētāk,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(28)</w:t>
      </w:r>
      <w:r w:rsidRPr="003F33F9">
        <w:rPr>
          <w:szCs w:val="24"/>
          <w:lang w:val="pt-PT" w:eastAsia="en-US"/>
        </w:rPr>
        <w:tab/>
        <w:t>Direktīvas 2000/60/EK 8. panta 3. punktā noteiktais pilnvarojums, kas paredz regulatīvās kontroles procedūras izmantošanu, ir par tehnisko specifikāciju un standartizētu metožu pieņemšanu attiecībā uz ūdens stāvokļa analīzi un monitoringu un tātad tā mērķis ir nodrošināt vienotus nosacījumus, kuri ļaus minēto direktīvu īstenot saskaņoti, un tādējādi tas atbilst LESD 290. panta 2. punkta kritērijiem. Tāpēc tas būtu jāpārveido par pilnvarojumu, kas Komisijai ļauj pieņemt īstenošanas aktus.  Lai nodrošinātu datu salīdzināmību, pilnvarojums būtu jāpaplašina, aptverot arī formātu, kādā saskaņā ar 8. panta 4. punktu paziņojami monitoringa un stāvokļa dati. Komisijai piešķirtās pilnvaras būtu jāizmanto saskaņā ar Eiropas Parlamenta un Padomes Regulu (ES) Nr. 182/2011</w:t>
      </w:r>
      <w:r w:rsidRPr="003F33F9">
        <w:rPr>
          <w:szCs w:val="24"/>
          <w:vertAlign w:val="superscript"/>
          <w:lang w:val="en-GB" w:eastAsia="en-US"/>
        </w:rPr>
        <w:footnoteReference w:id="47"/>
      </w:r>
      <w:r w:rsidRPr="003F33F9">
        <w:rPr>
          <w:szCs w:val="24"/>
          <w:lang w:val="pt-PT" w:eastAsia="en-US"/>
        </w:rPr>
        <w:t>.</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(29)</w:t>
      </w:r>
      <w:r w:rsidRPr="003F33F9">
        <w:rPr>
          <w:szCs w:val="24"/>
          <w:lang w:val="pt-PT" w:eastAsia="en-US"/>
        </w:rPr>
        <w:tab/>
        <w:t>Lai Direktīvas 2000/60/EK īstenošanas nosacījumi būtu visiem vienādi, būtu jāpiešķir Komisijai īstenošanas pilnvaras, kas ļauj pieņemt tehniskos formātus, kādos saskaņā ar Direktīvas 2000/60/EK 8. panta 3. punktu paziņojami monitoringa un ūdens resursu stāvokļa dati. Šīs pilnvaras būtu jāizmanto saskaņā ar Regulu (ES) Nr. 182/2011.</w:t>
      </w:r>
    </w:p>
    <w:p w:rsidR="00CB6573" w:rsidRPr="003F33F9" w:rsidRDefault="00CB6573" w:rsidP="00CB6573">
      <w:pPr>
        <w:spacing w:before="120" w:after="120" w:line="360" w:lineRule="auto"/>
        <w:ind w:left="850" w:hanging="850"/>
        <w:rPr>
          <w:szCs w:val="24"/>
          <w:lang w:val="en-GB" w:eastAsia="en-US"/>
        </w:rPr>
      </w:pPr>
      <w:r w:rsidRPr="003F33F9">
        <w:rPr>
          <w:szCs w:val="24"/>
          <w:lang w:val="pt-PT" w:eastAsia="en-US"/>
        </w:rPr>
        <w:br w:type="page"/>
      </w:r>
      <w:r w:rsidRPr="003F33F9">
        <w:rPr>
          <w:szCs w:val="24"/>
          <w:lang w:val="pt-PT" w:eastAsia="en-US"/>
        </w:rPr>
        <w:lastRenderedPageBreak/>
        <w:t>(30)</w:t>
      </w:r>
      <w:r w:rsidRPr="003F33F9">
        <w:rPr>
          <w:szCs w:val="24"/>
          <w:lang w:val="pt-PT" w:eastAsia="en-US"/>
        </w:rPr>
        <w:tab/>
        <w:t>Lai Direktīvas 2008/105/EK īstenošanas nosacījumi būtu visiem vienādi, būtu jāpiešķir Komisijai īstenošanas pilnvaras, kas ļauj pieņemt standartizētus formātus, kādos Eiropas Vides aģentūrai paziņojamas punktveida avotu emisijas, uz kurām neattiecas Eiropas Parlamenta un Padomes Regula (ES) .../...</w:t>
      </w:r>
      <w:r w:rsidRPr="003F33F9">
        <w:rPr>
          <w:szCs w:val="24"/>
          <w:vertAlign w:val="superscript"/>
          <w:lang w:val="en-GB" w:eastAsia="en-US"/>
        </w:rPr>
        <w:footnoteReference w:id="48"/>
      </w:r>
      <w:r w:rsidRPr="003F33F9">
        <w:rPr>
          <w:szCs w:val="24"/>
          <w:lang w:val="en-GB" w:eastAsia="en-US"/>
        </w:rPr>
        <w:t>. Šīs pilnvaras būtu jāizmanto saskaņā ar Regulu (ES) Nr. 182/2011.</w:t>
      </w:r>
    </w:p>
    <w:p w:rsidR="00CB6573" w:rsidRPr="003F33F9" w:rsidRDefault="00CB6573" w:rsidP="00CB6573">
      <w:pPr>
        <w:spacing w:before="120" w:after="120" w:line="360" w:lineRule="auto"/>
        <w:ind w:left="850" w:hanging="850"/>
        <w:rPr>
          <w:b/>
          <w:szCs w:val="24"/>
          <w:lang w:val="en-GB" w:eastAsia="en-US"/>
        </w:rPr>
      </w:pPr>
      <w:r w:rsidRPr="003F33F9">
        <w:rPr>
          <w:szCs w:val="24"/>
          <w:lang w:val="en-GB" w:eastAsia="en-US"/>
        </w:rPr>
        <w:t>(31)</w:t>
      </w:r>
      <w:r w:rsidRPr="003F33F9">
        <w:rPr>
          <w:szCs w:val="24"/>
          <w:lang w:val="en-GB" w:eastAsia="en-US"/>
        </w:rPr>
        <w:tab/>
        <w:t>Ūdens objektu stāvokļa monitoringā, ko veic saskaņā ar Direktīvas 2000/60/EK V pielikumā noteiktajām monitoringa prasībām, jāņem vērā zinātnes un tehnikas attīstība</w:t>
      </w:r>
      <w:r w:rsidRPr="003F33F9">
        <w:rPr>
          <w:b/>
          <w:i/>
          <w:szCs w:val="24"/>
          <w:lang w:val="en-GB" w:eastAsia="en-US"/>
        </w:rPr>
        <w:t xml:space="preserve"> un labākās pieejamās metodes</w:t>
      </w:r>
      <w:r w:rsidRPr="003F33F9">
        <w:rPr>
          <w:szCs w:val="24"/>
          <w:lang w:val="en-GB" w:eastAsia="en-US"/>
        </w:rPr>
        <w:t>. Tāpēc būtu dalībvalstīm jāatļauj izmantot datus un pakalpojumus, ko nodrošina attālās uzrādes tehnoloģijas, Zemes novērošana (Copernicus pakalpojumi), in situ sensori un ierīces, vai amatierzinātnes datus un izmantot mākslīgā intelekta, progresīvas datu analīzes un apstrādes sniegtās iespējas.</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45]</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(31a)</w:t>
      </w:r>
      <w:r w:rsidRPr="003F33F9">
        <w:rPr>
          <w:szCs w:val="24"/>
          <w:lang w:val="en-GB" w:eastAsia="en-US"/>
        </w:rPr>
        <w:tab/>
      </w:r>
      <w:r w:rsidRPr="003F33F9">
        <w:rPr>
          <w:b/>
          <w:i/>
          <w:szCs w:val="24"/>
          <w:lang w:val="en-GB" w:eastAsia="en-US"/>
        </w:rPr>
        <w:t>Ar enerģētikas pārkārtošanu saistītās rūpnieciskās darbības var pastiprināt negatīvu ietekmi uz ūdens kvalitāti. Lai mazinātu šādu turpmāku ietekmi, piemēram, dabisko plūsmju modeļu un temperatūras izmaiņas un piesārņojumu, ir jāizvērtē viss iespējamo faktoru klāsts, kā arī pasākumi, kas jāveic, lai panāktu un saglabātu labu ūdens kvalitāti. Tādēļ dalībvalstīm būtu regulāri jāizvērtē ar enerģētikas pārkārtošanu saistīto rūpniecisko darbību ietekme uz ūdens kvalitāti un jāinformē Komisija par jauniem identificētiem apdraudējumiem, lai attiecīgi atjauninātu novērojamo vielu sarakstu. Izvērtējumam vajadzētu būt viegli pieejamam sabiedrībai, un, lai nepārtraukti uzlabotu ūdens kvalitātes novērtēšanu, būtu jāatļauj veikt atjaunināšanu ne tikai vispārējo atjaunināšanas ciklu ietvaros.</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46]</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(31b)</w:t>
      </w:r>
      <w:r w:rsidRPr="003F33F9">
        <w:rPr>
          <w:szCs w:val="24"/>
          <w:lang w:val="en-GB" w:eastAsia="en-US"/>
        </w:rPr>
        <w:tab/>
      </w:r>
      <w:r w:rsidRPr="003F33F9">
        <w:rPr>
          <w:b/>
          <w:i/>
          <w:szCs w:val="24"/>
          <w:lang w:val="en-GB" w:eastAsia="en-US"/>
        </w:rPr>
        <w:t>Komisija savā 2019. gada 11. decembra paziņojumā par Eiropas zaļo kursu un 2020. gada 14. oktobra paziņojumā par tiesu iestāžu pieejamības uzlabošanu saistībā ar vides jautājumiem apņēmās īstenot pasākumus, lai visās dalībvalstīs uzlabotu valstu tiesu iestāžu pieejamību iedzīvotājiem un nevalstiskajām vides organizācijām, kam ir konkrētas bažas par vidi ietekmējošu administratīvo aktu saderību ar vides tiesību aktiem. Otrajā no minētajiem paziņojumiem Komisija apstiprina, ka “tiesu iestāžu pieejamība vides lietās, vēršoties gan Eiropas Savienības Tiesā (EST), gan valstu tiesās kā Savienības tiesās, ir svarīgs atbalsta pasākums, kas palīdz sasniegt Eiropas zaļā kursa pārkārtošanās mērķus un nostiprināt pilsoniskās sabiedrības kā demokrātijas sargātājas lomu”. Minētā apņemšanās būtu jāīsteno arī Direktīvas 2000/60/EK ietvaros.</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47]</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(31c)</w:t>
      </w:r>
      <w:r w:rsidRPr="003F33F9">
        <w:rPr>
          <w:szCs w:val="24"/>
          <w:lang w:val="en-GB" w:eastAsia="en-US"/>
        </w:rPr>
        <w:tab/>
      </w:r>
      <w:r w:rsidRPr="003F33F9">
        <w:rPr>
          <w:b/>
          <w:i/>
          <w:szCs w:val="24"/>
          <w:lang w:val="en-GB" w:eastAsia="en-US"/>
        </w:rPr>
        <w:t>Kā to ir apstiprinājusi EST judikatūra</w:t>
      </w:r>
      <w:r w:rsidRPr="003F33F9">
        <w:rPr>
          <w:szCs w:val="24"/>
          <w:vertAlign w:val="superscript"/>
          <w:lang w:val="en-GB" w:eastAsia="en-US"/>
        </w:rPr>
        <w:footnoteReference w:id="49"/>
      </w:r>
      <w:r w:rsidRPr="003F33F9">
        <w:rPr>
          <w:b/>
          <w:i/>
          <w:szCs w:val="24"/>
          <w:lang w:val="en-GB" w:eastAsia="en-US"/>
        </w:rPr>
        <w:t>, būtu jānodrošina, ka nevalstiskajām vides organizācijām un tieši skartām privātpersonām ir juridisks pamats apstrīdēt tādus publiskas iestādes pieņemtus lēmumus, kas ir pretrunā ar Direktīvas 2000/60/EK 4. pantā minētajien mērķiem vides jomā. Lai Savienībā uzlabotu valstu tiesu iestāžu pieejamību saistībā ar attiecīgajiem jautājumiem un lai nevalstiskās vides organizācijas un tieši skartas privātpersonas varētu paļauties uz valstu tiesību aktiem, apstrīdot lēmumus, ar kuriem tiek pārkāpta Direktīva 2000/60/EK, Direktīvā 2000/60/EK būtu jāparedz noteikumi, kas garantē tiesu iestāžu pieejamību.</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48]</w:t>
      </w:r>
    </w:p>
    <w:p w:rsidR="00CB6573" w:rsidRPr="003F33F9" w:rsidRDefault="00CB6573" w:rsidP="00CB6573">
      <w:pPr>
        <w:spacing w:before="120" w:after="120" w:line="360" w:lineRule="auto"/>
        <w:ind w:left="850" w:hanging="850"/>
        <w:rPr>
          <w:b/>
          <w:szCs w:val="24"/>
          <w:lang w:val="en-GB" w:eastAsia="en-US"/>
        </w:rPr>
      </w:pPr>
      <w:r w:rsidRPr="003F33F9">
        <w:rPr>
          <w:szCs w:val="24"/>
          <w:lang w:val="en-GB" w:eastAsia="en-US"/>
        </w:rPr>
        <w:br w:type="page"/>
      </w:r>
      <w:r w:rsidRPr="003F33F9">
        <w:rPr>
          <w:szCs w:val="24"/>
          <w:lang w:val="en-GB" w:eastAsia="en-US"/>
        </w:rPr>
        <w:lastRenderedPageBreak/>
        <w:t>(32)</w:t>
      </w:r>
      <w:r w:rsidRPr="003F33F9">
        <w:rPr>
          <w:szCs w:val="24"/>
          <w:lang w:val="en-GB" w:eastAsia="en-US"/>
        </w:rPr>
        <w:tab/>
        <w:t xml:space="preserve">Aizvien biežāki kļūst neparedzami laikapstākļu notikumi – jo īpaši ekstremāli plūdi un ilgstošs sausums – un nopietni piesārņojoši incidenti, kas izraisa vai saasina </w:t>
      </w:r>
      <w:r w:rsidRPr="003F33F9">
        <w:rPr>
          <w:strike/>
          <w:szCs w:val="24"/>
          <w:lang w:val="en-GB" w:eastAsia="en-US"/>
        </w:rPr>
        <w:t xml:space="preserve">nejaušu </w:t>
      </w:r>
      <w:r w:rsidRPr="003F33F9">
        <w:rPr>
          <w:szCs w:val="24"/>
          <w:lang w:val="en-GB" w:eastAsia="en-US"/>
        </w:rPr>
        <w:t>pārrobežupiesārņojumu, un tāpēc dalībvalstīm būtu jānodrošina, ka par šādiem incidentiem tūlīt tiek informētas pārējās potenciāli skartās dalībvalstis un ka tās ar potenciāli skartajām dalībvalstīm faktiski sadarbojas, lai mīkstinātu attiecīgā notikuma vai incidenta sekas. Turklāt ir jāpastiprina dalībvalstu sadarbība un jāracionalizē pārrobežu sadarbības procedūras, kas Direktīvas 2000/60/EK 12. pantā paredzētas strukturālāku situāciju risināšanai, ar tādām saprotot pārrobežu situācijas, kuras nav izveidojušās nejauši, kuras turpinās ilgāku laiku, un kuras dalībvalstu līmenī atrisināt nevar. Ja vajadzīga Eiropas līmeņa palīdzība, valsts kompetentās iestādes var sūtīt palīdzības pieprasījumus Komisijas Ārkārtas reaģēšanas koordinācijas centram, kurš, izmantojot Savienības civilās aizsardzības mehānismu, iespējamos palīdzības piedāvājumus un spēju izvietošanu koordinēs saskaņā ar Eiropas Parlamenta un Padomes Lēmuma Nr. 1313/2013/ES</w:t>
      </w:r>
      <w:r w:rsidRPr="003F33F9">
        <w:rPr>
          <w:szCs w:val="24"/>
          <w:vertAlign w:val="superscript"/>
          <w:lang w:val="en-GB" w:eastAsia="en-US"/>
        </w:rPr>
        <w:footnoteReference w:id="50"/>
      </w:r>
      <w:r w:rsidRPr="003F33F9">
        <w:rPr>
          <w:szCs w:val="24"/>
          <w:lang w:val="en-GB" w:eastAsia="en-US"/>
        </w:rPr>
        <w:t xml:space="preserve"> 15. pantu.</w:t>
      </w:r>
      <w:r w:rsidRPr="003F33F9">
        <w:rPr>
          <w:b/>
          <w:i/>
          <w:szCs w:val="24"/>
          <w:lang w:val="en-GB" w:eastAsia="en-US"/>
        </w:rPr>
        <w:t xml:space="preserve"> Tā kā upju baseinu apgabali var sniegties arī ārpus Savienības teritorijas, Direktīvā 2000/60/EK izklāstītos mērķus attiecībā uz šiem konkrētajiem upju baseinu apgabaliem, kā minēts Direktīvas 2000/60/EK 3. panta 5. punktā, palīdzētu sasniegt arī tas, ja tiktu nodrošināta attiecīgo ūdens aizsardzības noteikumu, kas izklāstīti Direktīvā 2000/60/EK, efektīva īstenošana, kā arī atbilstīga koordinācija ar attiecīgajām trešām valstīm. Turklāt par ārkārtējiem notikumiem būtu jāuzskata arī bruņoti konflikti, kas notiek tiešā ģeogrāfiskā tuvumā Savienībai, ņemot vērā to plašo nelabvēlīgo ietekmi uz vidi pārrobežu mērogā, cita starpā gaisa, augsnes un ūdens piesārņojumu. Tā kā šādu konfliktu skartie upju baseini var iesniegties Savienības teritorijā, Komisijai un dalībvalstīm būtu jāpieliek lielākas pūles izveidot pienācīgu koordināciju ar attiecīgajām trešām valstīm, kā minēts Direktīvas 2000/60/EK 3. panta 5. punktā.</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49]</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(32a)</w:t>
      </w:r>
      <w:r w:rsidRPr="003F33F9">
        <w:rPr>
          <w:szCs w:val="24"/>
          <w:lang w:val="en-GB" w:eastAsia="en-US"/>
        </w:rPr>
        <w:tab/>
      </w:r>
      <w:r w:rsidRPr="003F33F9">
        <w:rPr>
          <w:b/>
          <w:i/>
          <w:szCs w:val="24"/>
          <w:lang w:val="en-GB" w:eastAsia="en-US"/>
        </w:rPr>
        <w:t>Eiropas Revīzijas palāta 2021. gada 19. maija ziņojumā “Princips “piesārņotājs maksā” ES vides politikas jomās un darbībās nav piemērots konsekventi” norāda, ka dalībvalstis jau patlaban tērē aptuveni 100 miljardus EUR gadā ūdensapgādei un sanitārijai un ir gaidāms, ka šie izdevumi palielināsies par vairāk nekā 25 %, lai sasniegtu ES tiesību aktos par notekūdeņu attīrīšanu un dzeramo ūdeni noteiktos mērķus, turklāt neietverot investīcijas, kas vajadzīgas, lai atjaunotu pašreizējo infrastruktūru vai lai sasniegtu Ūdens pamatdirektīvas un Plūdu direktīvas mērķus. Turklāt Savienībā vidēji 70 % no ūdens pakalpojumu sniegšanas izmaksām ūdens tarifu veidā sedz lietotāji, savukārt atlikušie 30 % tiek apmaksāti no publiskā budžeta, lai gan šajā ziņā reģionu un dalībvalstu starpā ir būtiskas atšķirības. Mājsaimniecības Savienībā parasti sedz lielāko daļu no ūdensapgādes un sanitārijas izmaksām, lai gan patērē tikai 10 % ūdens, kamēr ekonomikas nozares, kuras rada vislielāko spiedienu uz atjaunīgiem saldūdens resursiem, šo izmaksu segšanā piedalās vismazāk.</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50]</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(32b)</w:t>
      </w:r>
      <w:r w:rsidRPr="003F33F9">
        <w:rPr>
          <w:szCs w:val="24"/>
          <w:lang w:val="en-GB" w:eastAsia="en-US"/>
        </w:rPr>
        <w:tab/>
      </w:r>
      <w:r w:rsidRPr="003F33F9">
        <w:rPr>
          <w:b/>
          <w:i/>
          <w:szCs w:val="24"/>
          <w:lang w:val="en-GB" w:eastAsia="en-US"/>
        </w:rPr>
        <w:t>Virszemes ūdeņu un gruntsūdeņu stāvokļa noteikšanas nolūkā veikto monitoringa programmu izmaksas sedz tikai un vienīgi no dalībvalstu budžetiem. Ņemot vērā to, ka ūdens vidē atklāto ķimikāliju skaits pastāvīgi mainās, ka aizvien lielāks skaits potenciālu piesārņotāju ūdens vidē ir parādījušies tikai nesen, ka ir pastāvīgi jāuzlabo ķīmiskās analīzes metodes, lai atklātu šos potenciālos un jaunos piesārņotājus un lai pareizi novērtētu to ekoloģisko ietekmi, un ka ir arī jāizstrādā jaunas monitoringa metodes, lai labāk novērtētu ķīmisko vielu maisījumu ietekmi, ir sagaidāms, ka šīs monitoringa izmaksas pieaugs vēl vairāk. Minēto izmaksu segšanas nolūkā un saskaņā ar Līguma par Eiropas Savienības darbību (LESD) 191. panta 2. punktā noteikto principu “piesārņotājs maksā” ir ļoti svarīgi, lai ražotāji, kas Savienības tirgū laiž produktus, kuri satur vielas, kam ir pierādīta vai potenciāla nelabvēlīga ietekme uz cilvēka veselību un ūdens vidi, uzņemtos finansiālu atbildību par nepieciešamajiem pasākumiem nolūkā kontrolēt vielas, kuras radušās saistībā ar šo ražotāju komercdarbību un ir konstatētas virszemes ūdeņos un gruntsūdeņos. Piemērotākais līdzeklis, ar ko to sasniegt, visticamāk, ir paplašinātas ražotāja atbildības sistēma, jo tā ierobežotu nodokļu maksātāja finansiālo slogu un vienlaikus sniegtu stimulu izstrādāt zaļākus produktus. Tādēļ Komisijai būtu jāsagatavo ietekmes novērtējums, lai izskatītu iespēju Direktīvā 2006/118/EK un Direktīvā 2008/105/EK iekļaut paplašinātas ražotāja atbildības mehānismu, kas piemērojams saskaņā ar Direktīvu 2006/118/EK un Direktīvu 2008/105/EK noteiktajām prioritārajām vielām, kā arī potenciāliem un jauniem piesārņotājiem, kas noteikti Direktīvā 2006/118/EK un Direktīvā 2008/105/EK iekļautajos novērojamo vielu sarakstos. Ietekmes novērtējumam attiecīgā gadījumā būtu jāpievieno tiesību akta priekšlikums nolūkā pārskatīt Direktīvas 2006/118/EK un 2008/105/EK.</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51]</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(32c)</w:t>
      </w:r>
      <w:r w:rsidRPr="003F33F9">
        <w:rPr>
          <w:szCs w:val="24"/>
          <w:lang w:val="en-GB" w:eastAsia="en-US"/>
        </w:rPr>
        <w:tab/>
      </w:r>
      <w:r w:rsidRPr="003F33F9">
        <w:rPr>
          <w:b/>
          <w:i/>
          <w:szCs w:val="24"/>
          <w:lang w:val="en-GB" w:eastAsia="en-US"/>
        </w:rPr>
        <w:t>Lielāka skaita vielu vai vielu grupu monitorings nozīmē lielākas izmaksas, kā arī nepieciešamību pastiprināt administratīvo spēju dalībvalstīs, jo īpaši valstīs ar trūcīgākiem resursiem. Ņemot vērā iepriekš minēto, Komisijai būtu jāizveido vienots Eiropas monitoringa mehānisms, ar ko pēc dalībvalstu pieprasījuma tiktu pārvaldītas monitoringa prasības, tādējādi atvieglojot dalībvalstu finansiālo un administratīvo slogu. Komisijai būtu jānosaka monitoringa mehānisma darbības metodes. Šāda mehānisma izmantošanai vajadzētu būt brīvprātīgai un neskart pasākumus, ko dalībvalstis jau ir ieviesušas.</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52]</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(32d)</w:t>
      </w:r>
      <w:r w:rsidRPr="003F33F9">
        <w:rPr>
          <w:szCs w:val="24"/>
          <w:lang w:val="en-GB" w:eastAsia="en-US"/>
        </w:rPr>
        <w:tab/>
      </w:r>
      <w:r w:rsidRPr="003F33F9">
        <w:rPr>
          <w:b/>
          <w:i/>
          <w:szCs w:val="24"/>
          <w:lang w:val="en-GB" w:eastAsia="en-US"/>
        </w:rPr>
        <w:t>Pierādījumi liecina, ka ir jāveic investīcijas ūdens nozarē un Savienības finansējumam ir būtiska nozīme, lai atsevišķas dalībvalstis varētu izpildīt Direktīvās 2000/60/EK, 2008/105/EK un 2006/118/EK noteiktās juridiskās saistības. Lai sasniegtu Savienības ūdens standartus, visām dalībvalstīm ir jāpalielina izdevumi par vismaz 20 %, un kopējais finansējuma deficīts līdz 2030. gadam ir 289 miljardi EUR</w:t>
      </w:r>
      <w:r w:rsidRPr="003F33F9">
        <w:rPr>
          <w:szCs w:val="24"/>
          <w:vertAlign w:val="superscript"/>
          <w:lang w:val="en-GB" w:eastAsia="en-US"/>
        </w:rPr>
        <w:footnoteReference w:id="51"/>
      </w:r>
      <w:r w:rsidRPr="003F33F9">
        <w:rPr>
          <w:b/>
          <w:i/>
          <w:szCs w:val="24"/>
          <w:lang w:val="en-GB" w:eastAsia="en-US"/>
        </w:rPr>
        <w:t>. Tāpēc jānodrošina, lai visās dalībvalstīs būtu pietiekami finanšu resursi un cilvēkresursi ūdens objektu monitoringa un pārbaužu veikšanai, šajā nolūkā izmantojot arī attiecīgos Savienības struktūrfondus un programmas, kā arī privātā sektora ieguldījumu, cita starpā ar paplašinātas ražotāja atbildības mehānismu, kad tas būs ieviests.</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53]</w:t>
      </w:r>
    </w:p>
    <w:p w:rsidR="00CB6573" w:rsidRPr="003F33F9" w:rsidRDefault="00CB6573" w:rsidP="00CB6573">
      <w:pPr>
        <w:spacing w:before="120" w:after="120" w:line="360" w:lineRule="auto"/>
        <w:ind w:left="850" w:hanging="850"/>
        <w:rPr>
          <w:szCs w:val="24"/>
          <w:lang w:val="en-GB" w:eastAsia="en-US"/>
        </w:rPr>
      </w:pPr>
      <w:r w:rsidRPr="003F33F9">
        <w:rPr>
          <w:szCs w:val="24"/>
          <w:lang w:val="en-GB" w:eastAsia="en-US"/>
        </w:rPr>
        <w:t>(33)</w:t>
      </w:r>
      <w:r w:rsidRPr="003F33F9">
        <w:rPr>
          <w:szCs w:val="24"/>
          <w:lang w:val="en-GB" w:eastAsia="en-US"/>
        </w:rPr>
        <w:tab/>
        <w:t>Tāpēc Direktīva 2000/60/EK, 2006/118/EK un 2008/105/EK būtu attiecīgi jāgroza.</w:t>
      </w:r>
    </w:p>
    <w:p w:rsidR="00CB6573" w:rsidRPr="003F33F9" w:rsidRDefault="00CB6573" w:rsidP="00CB6573">
      <w:pPr>
        <w:spacing w:before="120" w:after="120" w:line="360" w:lineRule="auto"/>
        <w:ind w:left="850" w:hanging="850"/>
        <w:rPr>
          <w:szCs w:val="24"/>
          <w:lang w:val="en-GB" w:eastAsia="en-US"/>
        </w:rPr>
      </w:pPr>
      <w:r w:rsidRPr="003F33F9">
        <w:rPr>
          <w:szCs w:val="24"/>
          <w:lang w:val="en-GB" w:eastAsia="en-US"/>
        </w:rPr>
        <w:br w:type="page"/>
      </w:r>
      <w:r w:rsidRPr="003F33F9">
        <w:rPr>
          <w:szCs w:val="24"/>
          <w:lang w:val="en-GB" w:eastAsia="en-US"/>
        </w:rPr>
        <w:lastRenderedPageBreak/>
        <w:t>(34)</w:t>
      </w:r>
      <w:r w:rsidRPr="003F33F9">
        <w:rPr>
          <w:szCs w:val="24"/>
          <w:lang w:val="en-GB" w:eastAsia="en-US"/>
        </w:rPr>
        <w:tab/>
        <w:t>Šīs direktīvas mērķus, proti, nodrošināt augstu vides aizsardzības līmeni un uzlabot Eiropas saldūdeņu vidisko kvalitāti, dalībvalstis nevar pietiekami labi sasniegt katra atsevišķi – ūdens piesārņojuma pārrobežu rakstura dēļ tos var labāk sasniegt Savienības līmenī, tāpēc Savienība var pieņemt pasākumus saskaņā ar Līguma par Eiropas Savienību 5. pantā noteikto subsidiaritātes principu. Saskaņā ar minētajā pantā noteikto proporcionalitātes principu šī direktīva paredz vienīgi tos pasākumus, kas vajadzīgi minēto mērķu sasniegšanas labad,</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t>(34a)</w:t>
      </w:r>
      <w:r w:rsidRPr="003F33F9">
        <w:rPr>
          <w:szCs w:val="24"/>
          <w:lang w:val="en-GB" w:eastAsia="en-US"/>
        </w:rPr>
        <w:tab/>
      </w:r>
      <w:r w:rsidRPr="003F33F9">
        <w:rPr>
          <w:b/>
          <w:i/>
          <w:szCs w:val="24"/>
          <w:lang w:val="en-GB" w:eastAsia="en-US"/>
        </w:rPr>
        <w:t>Dalībvalstīm būtu jāveicina sinerģija starp attiecīgo direktīvu prasībām gan attiecībā uz datu vākšanu, gan uz digitālo rīku, tādu kā tālizpētes tehnoloģijas vai Zemes novērošana (Copernicus pakalpojumi), izmantošanu.</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54]</w:t>
      </w:r>
    </w:p>
    <w:p w:rsidR="00CB6573" w:rsidRPr="003F33F9" w:rsidRDefault="00CB6573" w:rsidP="00CB6573">
      <w:pPr>
        <w:spacing w:before="120" w:after="120" w:line="360" w:lineRule="auto"/>
        <w:ind w:left="850" w:hanging="850"/>
        <w:rPr>
          <w:b/>
          <w:szCs w:val="24"/>
          <w:lang w:val="en-GB" w:eastAsia="en-US"/>
        </w:rPr>
      </w:pPr>
      <w:r w:rsidRPr="003F33F9">
        <w:rPr>
          <w:b/>
          <w:i/>
          <w:szCs w:val="24"/>
          <w:lang w:val="en-GB" w:eastAsia="en-US"/>
        </w:rPr>
        <w:br w:type="page"/>
      </w:r>
      <w:r w:rsidRPr="003F33F9">
        <w:rPr>
          <w:b/>
          <w:i/>
          <w:szCs w:val="24"/>
          <w:lang w:val="en-GB" w:eastAsia="en-US"/>
        </w:rPr>
        <w:lastRenderedPageBreak/>
        <w:t>(34b)</w:t>
      </w:r>
      <w:r w:rsidRPr="003F33F9">
        <w:rPr>
          <w:szCs w:val="24"/>
          <w:lang w:val="en-GB" w:eastAsia="en-US"/>
        </w:rPr>
        <w:tab/>
      </w:r>
      <w:r w:rsidRPr="003F33F9">
        <w:rPr>
          <w:b/>
          <w:i/>
          <w:szCs w:val="24"/>
          <w:lang w:val="en-GB" w:eastAsia="en-US"/>
        </w:rPr>
        <w:t>Kompetentajām iestādēm būtu jāatbalsta apmācība, prasmju pilnveidošanas programmas un ieguldīšana cilvēkkapitālā, lai atbalstītu labāko tehnoloģiju un inovatīvu risinājumu efektīvu izmantošanu direktīvu ietvaros. Informācijai vajadzētu būt pieejamai dažādajās valstu valodās, lai visā Eiropā uzlabotu attiecīgo datu pieejamību attiecīgajiem vietējiem dalībniekiem un iedzīvotājiem.</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55]</w:t>
      </w:r>
    </w:p>
    <w:p w:rsidR="00CB6573" w:rsidRPr="003F33F9" w:rsidRDefault="00CB6573" w:rsidP="00CB6573">
      <w:pPr>
        <w:keepNext/>
        <w:widowControl/>
        <w:spacing w:before="120" w:after="120" w:line="360" w:lineRule="auto"/>
        <w:rPr>
          <w:szCs w:val="24"/>
          <w:lang w:val="en-GB" w:eastAsia="en-US"/>
        </w:rPr>
      </w:pPr>
      <w:r w:rsidRPr="003F33F9">
        <w:rPr>
          <w:szCs w:val="24"/>
          <w:lang w:val="en-GB" w:eastAsia="en-US"/>
        </w:rPr>
        <w:t>IR PIEŅĒMUŠI ŠO DIREKTĪVU.</w:t>
      </w:r>
    </w:p>
    <w:p w:rsidR="00CB6573" w:rsidRPr="003F33F9" w:rsidRDefault="00CB6573" w:rsidP="00CB6573">
      <w:pPr>
        <w:spacing w:before="120" w:after="120" w:line="360" w:lineRule="auto"/>
        <w:jc w:val="center"/>
        <w:rPr>
          <w:szCs w:val="24"/>
          <w:lang w:val="en-GB" w:eastAsia="en-US"/>
        </w:rPr>
      </w:pPr>
      <w:r w:rsidRPr="003F33F9">
        <w:rPr>
          <w:szCs w:val="24"/>
          <w:lang w:val="en-GB" w:eastAsia="en-US"/>
        </w:rPr>
        <w:br w:type="page"/>
      </w:r>
      <w:r w:rsidRPr="003F33F9">
        <w:rPr>
          <w:szCs w:val="24"/>
          <w:lang w:val="en-GB" w:eastAsia="en-US"/>
        </w:rPr>
        <w:lastRenderedPageBreak/>
        <w:t>1. pants</w:t>
      </w:r>
      <w:r w:rsidRPr="003F33F9">
        <w:rPr>
          <w:szCs w:val="24"/>
          <w:lang w:val="en-GB" w:eastAsia="en-US"/>
        </w:rPr>
        <w:br/>
        <w:t>Grozījumi Direktīvā 2000/60/EK</w:t>
      </w:r>
    </w:p>
    <w:p w:rsidR="00CB6573" w:rsidRPr="003F33F9" w:rsidRDefault="00CB6573" w:rsidP="00CB6573">
      <w:pPr>
        <w:spacing w:before="120" w:after="120" w:line="360" w:lineRule="auto"/>
        <w:rPr>
          <w:szCs w:val="24"/>
          <w:lang w:val="en-GB" w:eastAsia="en-US"/>
        </w:rPr>
      </w:pPr>
      <w:r w:rsidRPr="003F33F9">
        <w:rPr>
          <w:szCs w:val="24"/>
          <w:lang w:val="en-GB" w:eastAsia="en-US"/>
        </w:rPr>
        <w:t>Direktīvu 2000/60/EK groza šādi:</w:t>
      </w:r>
    </w:p>
    <w:p w:rsidR="00CB6573" w:rsidRPr="003F33F9" w:rsidRDefault="00CB6573" w:rsidP="00CB6573">
      <w:pPr>
        <w:spacing w:before="120" w:after="120" w:line="360" w:lineRule="auto"/>
        <w:ind w:left="850" w:hanging="850"/>
        <w:rPr>
          <w:b/>
          <w:szCs w:val="24"/>
          <w:lang w:val="en-GB" w:eastAsia="en-US"/>
        </w:rPr>
      </w:pPr>
      <w:r w:rsidRPr="003F33F9">
        <w:rPr>
          <w:szCs w:val="24"/>
          <w:lang w:val="en-GB" w:eastAsia="en-US"/>
        </w:rPr>
        <w:t>(1)</w:t>
      </w:r>
      <w:r w:rsidRPr="003F33F9">
        <w:rPr>
          <w:szCs w:val="24"/>
          <w:lang w:val="en-GB" w:eastAsia="en-US"/>
        </w:rPr>
        <w:tab/>
        <w:t>direktīvas 1. panta</w:t>
      </w:r>
      <w:r w:rsidRPr="003F33F9">
        <w:rPr>
          <w:b/>
          <w:i/>
          <w:szCs w:val="24"/>
          <w:lang w:val="en-GB" w:eastAsia="en-US"/>
        </w:rPr>
        <w:t xml:space="preserve"> e) punkta</w:t>
      </w:r>
      <w:r w:rsidRPr="003F33F9">
        <w:rPr>
          <w:szCs w:val="24"/>
          <w:lang w:val="en-GB" w:eastAsia="en-US"/>
        </w:rPr>
        <w:t xml:space="preserve"> ceturto ievilkumu aizstāj ar šādu:</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56]</w:t>
      </w:r>
    </w:p>
    <w:p w:rsidR="00CB6573" w:rsidRPr="003F33F9" w:rsidRDefault="00CB6573" w:rsidP="00CB6573">
      <w:pPr>
        <w:spacing w:before="120" w:after="120" w:line="360" w:lineRule="auto"/>
        <w:ind w:left="850"/>
        <w:rPr>
          <w:szCs w:val="24"/>
          <w:lang w:val="en-GB" w:eastAsia="en-US"/>
        </w:rPr>
      </w:pPr>
      <w:r w:rsidRPr="003F33F9">
        <w:rPr>
          <w:szCs w:val="24"/>
          <w:lang w:val="en-GB" w:eastAsia="en-US"/>
        </w:rPr>
        <w:t>“— sasniegt attiecīgu starptautisku nolīgumu mērķus, arī tos, kuri izvirzīti, lai nepieļautu un likvidētu jūras vides piesārņojumu, un to panākt, ar Savienības rīcību izbeidzot vai pakāpeniski izbeidzot prioritāru bīstamo vielu izplūdes, emisijas un zudumus un par virsmērķi nosakot fona līmenim tuvas dabā sastopamu vielu koncentrācijas sasniegšanu un nullei tuvas sintētisku ķimikāliju koncentrācijas sasniegšanu.;”</w:t>
      </w:r>
    </w:p>
    <w:p w:rsidR="00CB6573" w:rsidRPr="003F33F9" w:rsidRDefault="00CB6573" w:rsidP="00CB6573">
      <w:pPr>
        <w:spacing w:before="120" w:after="120" w:line="360" w:lineRule="auto"/>
        <w:ind w:left="850" w:hanging="850"/>
        <w:rPr>
          <w:szCs w:val="24"/>
          <w:lang w:val="en-GB" w:eastAsia="en-US"/>
        </w:rPr>
      </w:pPr>
      <w:r w:rsidRPr="003F33F9">
        <w:rPr>
          <w:szCs w:val="24"/>
          <w:lang w:val="en-GB" w:eastAsia="en-US"/>
        </w:rPr>
        <w:br w:type="page"/>
      </w:r>
      <w:r w:rsidRPr="003F33F9">
        <w:rPr>
          <w:szCs w:val="24"/>
          <w:lang w:val="en-GB" w:eastAsia="en-US"/>
        </w:rPr>
        <w:lastRenderedPageBreak/>
        <w:t>(2)</w:t>
      </w:r>
      <w:r w:rsidRPr="003F33F9">
        <w:rPr>
          <w:szCs w:val="24"/>
          <w:lang w:val="en-GB" w:eastAsia="en-US"/>
        </w:rPr>
        <w:tab/>
        <w:t>direktīvas 2. pantu groza šādi:</w:t>
      </w:r>
    </w:p>
    <w:p w:rsidR="00CB6573" w:rsidRPr="003F33F9" w:rsidRDefault="00CB6573" w:rsidP="00CB6573">
      <w:pPr>
        <w:spacing w:before="120" w:after="120" w:line="360" w:lineRule="auto"/>
        <w:ind w:left="1416" w:hanging="566"/>
        <w:rPr>
          <w:szCs w:val="24"/>
          <w:lang w:val="en-GB" w:eastAsia="en-US"/>
        </w:rPr>
      </w:pPr>
      <w:r w:rsidRPr="003F33F9">
        <w:rPr>
          <w:szCs w:val="24"/>
          <w:lang w:val="en-GB" w:eastAsia="en-US"/>
        </w:rPr>
        <w:t>a)</w:t>
      </w:r>
      <w:r w:rsidRPr="003F33F9">
        <w:rPr>
          <w:szCs w:val="24"/>
          <w:lang w:val="en-GB" w:eastAsia="en-US"/>
        </w:rPr>
        <w:tab/>
        <w:t>panta 24. punktu aizstāj ar šādu:</w:t>
      </w:r>
    </w:p>
    <w:p w:rsidR="00CB6573" w:rsidRPr="003F33F9" w:rsidRDefault="00CB6573" w:rsidP="00CB6573">
      <w:pPr>
        <w:spacing w:before="120" w:after="120" w:line="360" w:lineRule="auto"/>
        <w:ind w:left="1982" w:hanging="566"/>
        <w:rPr>
          <w:szCs w:val="24"/>
          <w:lang w:val="en-GB" w:eastAsia="en-US"/>
        </w:rPr>
      </w:pPr>
      <w:r w:rsidRPr="003F33F9">
        <w:rPr>
          <w:szCs w:val="24"/>
          <w:lang w:val="en-GB" w:eastAsia="en-US"/>
        </w:rPr>
        <w:t>“24.</w:t>
      </w:r>
      <w:r w:rsidRPr="003F33F9">
        <w:rPr>
          <w:szCs w:val="24"/>
          <w:lang w:val="en-GB" w:eastAsia="en-US"/>
        </w:rPr>
        <w:tab/>
        <w:t>“Labi virszemes ūdeņu ķīmiskās kvalitātes rādītāji” ir ķīmiskās kvalitātes rādītāji, kādi jānodrošina, lai sasniegtu šīs direktīvas 4. panta 1. punkta a) apakšpunktā virszemes ūdeņiem noteiktos vides aizsardzības mērķus, t. i., ķīmiskās kvalitātes rādītāji, kādus sasniedzis virszemes ūdens objekts, kurā piesārņojošo vielu koncentrācijas nepārsniedz vides kvalitātes standartus, kas attiecībā uz konkrētām prioritārajām vielām noteikti Eiropas Parlamenta un Padomes Direktīvas 2008/105/EK* I pielikuma A daļā, un vides kvalitātes standartus, kas attiecībā uz upes baseinam specifiskām piesārņojošajām vielām noteikti saskaņā ar minētās direktīvas 8. panta 2. punkta c) apakšpunktu un 8.d panta 1. punktu.;”</w:t>
      </w:r>
    </w:p>
    <w:p w:rsidR="00CB6573" w:rsidRPr="003F33F9" w:rsidRDefault="00CB6573" w:rsidP="00CB6573">
      <w:pPr>
        <w:spacing w:before="120" w:after="120" w:line="360" w:lineRule="auto"/>
        <w:ind w:left="1416" w:hanging="566"/>
        <w:rPr>
          <w:szCs w:val="24"/>
          <w:lang w:val="en-GB" w:eastAsia="en-US"/>
        </w:rPr>
      </w:pPr>
      <w:r w:rsidRPr="003F33F9">
        <w:rPr>
          <w:szCs w:val="24"/>
          <w:lang w:val="en-GB" w:eastAsia="en-US"/>
        </w:rPr>
        <w:t>b)</w:t>
      </w:r>
      <w:r w:rsidRPr="003F33F9">
        <w:rPr>
          <w:szCs w:val="24"/>
          <w:lang w:val="en-GB" w:eastAsia="en-US"/>
        </w:rPr>
        <w:tab/>
        <w:t>panta 30. punktu aizstāj ar šādu:</w:t>
      </w:r>
    </w:p>
    <w:p w:rsidR="00CB6573" w:rsidRPr="003F33F9" w:rsidRDefault="00CB6573" w:rsidP="00CB6573">
      <w:pPr>
        <w:spacing w:before="120" w:after="120" w:line="360" w:lineRule="auto"/>
        <w:ind w:left="1982" w:hanging="566"/>
        <w:rPr>
          <w:szCs w:val="24"/>
          <w:lang w:val="en-GB" w:eastAsia="en-US"/>
        </w:rPr>
      </w:pPr>
      <w:r w:rsidRPr="003F33F9">
        <w:rPr>
          <w:szCs w:val="24"/>
          <w:lang w:val="en-GB" w:eastAsia="en-US"/>
        </w:rPr>
        <w:t>“30.</w:t>
      </w:r>
      <w:r w:rsidRPr="003F33F9">
        <w:rPr>
          <w:szCs w:val="24"/>
          <w:lang w:val="en-GB" w:eastAsia="en-US"/>
        </w:rPr>
        <w:tab/>
        <w:t>“Prioritāras vielas” ir vielas, kas uzskaitītas Direktīvas 2008/105/EK I pielikuma A daļā, proti, vielas, kas lielā daļā dalībvalstu rada ievērojamu risku ūdens videi vai kas lielā daļā dalībvalstu ievērojamu risku rada ar ūdens vides starpniecību.;”</w:t>
      </w:r>
    </w:p>
    <w:p w:rsidR="00CB6573" w:rsidRPr="003F33F9" w:rsidRDefault="00CB6573" w:rsidP="00CB6573">
      <w:pPr>
        <w:spacing w:before="120" w:after="120" w:line="360" w:lineRule="auto"/>
        <w:ind w:left="1416" w:hanging="566"/>
        <w:rPr>
          <w:szCs w:val="24"/>
          <w:lang w:val="en-GB" w:eastAsia="en-US"/>
        </w:rPr>
      </w:pPr>
      <w:r w:rsidRPr="003F33F9">
        <w:rPr>
          <w:szCs w:val="24"/>
          <w:lang w:val="en-GB" w:eastAsia="en-US"/>
        </w:rPr>
        <w:br w:type="page"/>
      </w:r>
      <w:r w:rsidRPr="003F33F9">
        <w:rPr>
          <w:szCs w:val="24"/>
          <w:lang w:val="en-GB" w:eastAsia="en-US"/>
        </w:rPr>
        <w:lastRenderedPageBreak/>
        <w:t>c)</w:t>
      </w:r>
      <w:r w:rsidRPr="003F33F9">
        <w:rPr>
          <w:szCs w:val="24"/>
          <w:lang w:val="en-GB" w:eastAsia="en-US"/>
        </w:rPr>
        <w:tab/>
        <w:t>iekļauj šādu 30.a un 30.b punktu:</w:t>
      </w:r>
    </w:p>
    <w:p w:rsidR="00CB6573" w:rsidRPr="003F33F9" w:rsidRDefault="00CB6573" w:rsidP="00CB6573">
      <w:pPr>
        <w:spacing w:before="120" w:after="120" w:line="360" w:lineRule="auto"/>
        <w:ind w:left="1982" w:hanging="566"/>
        <w:rPr>
          <w:b/>
          <w:szCs w:val="24"/>
          <w:lang w:val="en-GB" w:eastAsia="en-US"/>
        </w:rPr>
      </w:pPr>
      <w:r w:rsidRPr="003F33F9">
        <w:rPr>
          <w:szCs w:val="24"/>
          <w:lang w:val="en-GB" w:eastAsia="en-US"/>
        </w:rPr>
        <w:t>“30.a</w:t>
      </w:r>
      <w:r w:rsidRPr="003F33F9">
        <w:rPr>
          <w:szCs w:val="24"/>
          <w:lang w:val="en-GB" w:eastAsia="en-US"/>
        </w:rPr>
        <w:tab/>
        <w:t xml:space="preserve">“Prioritāras bīstamās vielas” ir prioritāras vielas, kuras kā bīstamas atzīmētas, pamatojoties uz to, ka zinātniskos ziņojumos, attiecīgajos Savienības tiesību aktos vai attiecīgajos starptautiskajos nolīgumos tās ir atzītas par toksiskām, noturīgām un bioakumulatīvām </w:t>
      </w:r>
      <w:r w:rsidRPr="003F33F9">
        <w:rPr>
          <w:b/>
          <w:i/>
          <w:szCs w:val="24"/>
          <w:lang w:val="en-GB" w:eastAsia="en-US"/>
        </w:rPr>
        <w:t xml:space="preserve">(PBT) vai ļoti noturīgām un ļoti akumulatīvām (vPvB), vai noturīgām, mobilām un toksiskām (PMT), vai ļoti noturīgām un ļoti mobilām (vPvM), </w:t>
      </w:r>
      <w:r w:rsidRPr="003F33F9">
        <w:rPr>
          <w:szCs w:val="24"/>
          <w:lang w:val="en-GB" w:eastAsia="en-US"/>
        </w:rPr>
        <w:t>vai par tādām, kas saistībā ar ūdens vidi rada iepriekšminētajam līdzvērtīgas bažas</w:t>
      </w:r>
      <w:r w:rsidRPr="003F33F9">
        <w:rPr>
          <w:b/>
          <w:i/>
          <w:szCs w:val="24"/>
          <w:lang w:val="en-GB" w:eastAsia="en-US"/>
        </w:rPr>
        <w:t>, un attiecībā uz kurām jāveic pasākumi saskaņā ar 4</w:t>
      </w:r>
      <w:r w:rsidRPr="003F33F9">
        <w:rPr>
          <w:szCs w:val="24"/>
          <w:lang w:val="en-GB" w:eastAsia="en-US"/>
        </w:rPr>
        <w:t>.</w:t>
      </w:r>
      <w:r w:rsidRPr="003F33F9">
        <w:rPr>
          <w:b/>
          <w:i/>
          <w:szCs w:val="24"/>
          <w:lang w:val="en-GB" w:eastAsia="en-US"/>
        </w:rPr>
        <w:t xml:space="preserve"> panta 1. punkta a) apakšpunkta iv) punktu.</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57]</w:t>
      </w:r>
    </w:p>
    <w:p w:rsidR="00CB6573" w:rsidRPr="003F33F9" w:rsidRDefault="00CB6573" w:rsidP="00CB6573">
      <w:pPr>
        <w:spacing w:before="120" w:after="120" w:line="360" w:lineRule="auto"/>
        <w:ind w:left="1982" w:hanging="566"/>
        <w:rPr>
          <w:szCs w:val="24"/>
          <w:lang w:val="en-GB" w:eastAsia="en-US"/>
        </w:rPr>
      </w:pPr>
      <w:r w:rsidRPr="003F33F9">
        <w:rPr>
          <w:szCs w:val="24"/>
          <w:lang w:val="en-GB" w:eastAsia="en-US"/>
        </w:rPr>
        <w:t>30.b</w:t>
      </w:r>
      <w:r w:rsidRPr="003F33F9">
        <w:rPr>
          <w:szCs w:val="24"/>
          <w:lang w:val="en-GB" w:eastAsia="en-US"/>
        </w:rPr>
        <w:tab/>
        <w:t>“Upes baseinam specifiskas piesārņojošās vielas” ir piesārņojošas vielas, kuras netiek vai vairs netiek identificētas par prioritārām, bet kuras dalībvalstis, pamatojoties uz virszemes ūdens objektu noslogojuma un ietekmējuma novērtējumu, kas veikts saskaņā ar šīs direktīvas II pielikumu, ir identificējušas par piesārņojošām vielām, kuras minēto dalībvalstu teritorijā rada ievērojamu risku ūdens videi vai minēto dalībvalstu teritorijā ievērojamu risku rada ar ūdens vides starpniecību.;”</w:t>
      </w:r>
    </w:p>
    <w:p w:rsidR="00CB6573" w:rsidRPr="003F33F9" w:rsidRDefault="00CB6573" w:rsidP="00CB6573">
      <w:pPr>
        <w:spacing w:before="120" w:after="120" w:line="360" w:lineRule="auto"/>
        <w:ind w:left="1416" w:hanging="566"/>
        <w:rPr>
          <w:szCs w:val="24"/>
          <w:lang w:val="en-GB" w:eastAsia="en-US"/>
        </w:rPr>
      </w:pPr>
      <w:r w:rsidRPr="003F33F9">
        <w:rPr>
          <w:szCs w:val="24"/>
          <w:lang w:val="en-GB" w:eastAsia="en-US"/>
        </w:rPr>
        <w:br w:type="page"/>
      </w:r>
      <w:r w:rsidRPr="003F33F9">
        <w:rPr>
          <w:szCs w:val="24"/>
          <w:lang w:val="en-GB" w:eastAsia="en-US"/>
        </w:rPr>
        <w:lastRenderedPageBreak/>
        <w:t>d)</w:t>
      </w:r>
      <w:r w:rsidRPr="003F33F9">
        <w:rPr>
          <w:szCs w:val="24"/>
          <w:lang w:val="en-GB" w:eastAsia="en-US"/>
        </w:rPr>
        <w:tab/>
        <w:t>panta 35. punktu aizstāj ar šādu:</w:t>
      </w:r>
    </w:p>
    <w:p w:rsidR="00CB6573" w:rsidRPr="003F33F9" w:rsidRDefault="00CB6573" w:rsidP="00CB6573">
      <w:pPr>
        <w:spacing w:before="120" w:after="120" w:line="360" w:lineRule="auto"/>
        <w:ind w:left="1982" w:hanging="566"/>
        <w:rPr>
          <w:b/>
          <w:szCs w:val="24"/>
          <w:lang w:val="en-GB" w:eastAsia="en-US"/>
        </w:rPr>
      </w:pPr>
      <w:r w:rsidRPr="003F33F9">
        <w:rPr>
          <w:szCs w:val="24"/>
          <w:lang w:val="en-GB" w:eastAsia="en-US"/>
        </w:rPr>
        <w:t>“35.</w:t>
      </w:r>
      <w:r w:rsidRPr="003F33F9">
        <w:rPr>
          <w:szCs w:val="24"/>
          <w:lang w:val="en-GB" w:eastAsia="en-US"/>
        </w:rPr>
        <w:tab/>
        <w:t xml:space="preserve">“Vides kvalitātes standarts” ir kādas konkrētas piesārņojošas vielas vai piesārņojošu vielu grupas koncentrācija, ko cilvēka veselības un vides aizsardzības labad ūdenī, sedimentos vai biotā nedrīkst pārsniegt, vai vērtība, kas šādas vielas vai vielu grupas kaitīgo ietekmi uz cilvēka veselību vai vidi izraisa un ir izmērīta ar piemērotu un </w:t>
      </w:r>
      <w:r w:rsidRPr="003F33F9">
        <w:rPr>
          <w:b/>
          <w:i/>
          <w:szCs w:val="24"/>
          <w:lang w:val="en-GB" w:eastAsia="en-US"/>
        </w:rPr>
        <w:t xml:space="preserve">zinātniski noteiktu </w:t>
      </w:r>
      <w:r w:rsidRPr="003F33F9">
        <w:rPr>
          <w:szCs w:val="24"/>
          <w:lang w:val="en-GB" w:eastAsia="en-US"/>
        </w:rPr>
        <w:t>uz ietekmi balstītu metodi.”;</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58]</w:t>
      </w:r>
    </w:p>
    <w:p w:rsidR="00CB6573" w:rsidRPr="003F33F9" w:rsidRDefault="00CB6573" w:rsidP="00CB6573">
      <w:pPr>
        <w:spacing w:before="120" w:after="120" w:line="360" w:lineRule="auto"/>
        <w:ind w:left="1982"/>
        <w:rPr>
          <w:szCs w:val="24"/>
          <w:lang w:val="en-GB" w:eastAsia="en-US"/>
        </w:rPr>
      </w:pPr>
      <w:r w:rsidRPr="003F33F9">
        <w:rPr>
          <w:szCs w:val="24"/>
          <w:lang w:val="en-GB" w:eastAsia="en-US"/>
        </w:rPr>
        <w:t>* Eiropas Parlamenta un Padomes Direktīva 2008/105/EK par virszemes ūdeņu piesārņojuma novēršanu un ierobežošanu un ar ko groza un sekojoši atceļ Padomes Direktīvas 82/176/EEK, 83/513/EEK, 84/156/EEK, 84/491/EEK, 86/280/EEK, un ar ko groza Eiropas Parlamenta un Padomes Direktīvu 2000/60/EK (OV L 348, 24.12.2008., 84. lpp.).;”</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da)</w:t>
      </w:r>
      <w:r w:rsidRPr="003F33F9">
        <w:rPr>
          <w:szCs w:val="24"/>
          <w:lang w:val="pt-PT" w:eastAsia="en-US"/>
        </w:rPr>
        <w:tab/>
      </w:r>
      <w:r w:rsidRPr="003F33F9">
        <w:rPr>
          <w:b/>
          <w:i/>
          <w:szCs w:val="24"/>
          <w:lang w:val="pt-PT" w:eastAsia="en-US"/>
        </w:rPr>
        <w:t>panta 37. punktu aizstāj ar šādu:</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w:t>
      </w:r>
      <w:r w:rsidRPr="003F33F9">
        <w:rPr>
          <w:b/>
          <w:i/>
          <w:szCs w:val="24"/>
          <w:lang w:val="pt-PT" w:eastAsia="en-US"/>
        </w:rPr>
        <w:t>37.</w:t>
      </w:r>
      <w:r w:rsidRPr="003F33F9">
        <w:rPr>
          <w:b/>
          <w:i/>
          <w:szCs w:val="24"/>
          <w:lang w:val="pt-PT" w:eastAsia="en-US"/>
        </w:rPr>
        <w:tab/>
        <w:t>“Dzeramais ūdens” ir ar to pašu nozīmi kā Direktīvā (ES) 2020/2184.</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59]</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br w:type="page"/>
      </w:r>
      <w:r w:rsidRPr="003F33F9">
        <w:rPr>
          <w:b/>
          <w:i/>
          <w:szCs w:val="24"/>
          <w:lang w:val="pt-PT" w:eastAsia="en-US"/>
        </w:rPr>
        <w:lastRenderedPageBreak/>
        <w:t>db)</w:t>
      </w:r>
      <w:r w:rsidRPr="003F33F9">
        <w:rPr>
          <w:szCs w:val="24"/>
          <w:lang w:val="pt-PT" w:eastAsia="en-US"/>
        </w:rPr>
        <w:tab/>
      </w:r>
      <w:r w:rsidRPr="003F33F9">
        <w:rPr>
          <w:b/>
          <w:i/>
          <w:szCs w:val="24"/>
          <w:lang w:val="pt-PT" w:eastAsia="en-US"/>
        </w:rPr>
        <w:t>direktīvas 2. panta 40. punkta pirmo daļu aizstāj ar šādu:</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w:t>
      </w:r>
      <w:r w:rsidRPr="003F33F9">
        <w:rPr>
          <w:b/>
          <w:i/>
          <w:szCs w:val="24"/>
          <w:lang w:val="pt-PT" w:eastAsia="en-US"/>
        </w:rPr>
        <w:t>40.</w:t>
      </w:r>
      <w:r w:rsidRPr="003F33F9">
        <w:rPr>
          <w:b/>
          <w:i/>
          <w:szCs w:val="24"/>
          <w:lang w:val="pt-PT" w:eastAsia="en-US"/>
        </w:rPr>
        <w:tab/>
        <w:t>“Emisiju robežvērtības” ir kopums, kas izteikts ar konkrētiem rādītājiem, koncentrāciju un/vai emisijas līmeni un ko nedrīkst pārsniegt vienā vai vairākos laikposmos. Emisijas robežvērtības var noteikt arī konkrētām vielu grupām, saimēm vai veidiem, jo īpaši Direktīvas 2008/105/EK I pielikumā noteiktajām vielām.”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60]</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(3)</w:t>
      </w:r>
      <w:r w:rsidRPr="003F33F9">
        <w:rPr>
          <w:szCs w:val="24"/>
          <w:lang w:val="pt-PT" w:eastAsia="en-US"/>
        </w:rPr>
        <w:tab/>
        <w:t>direktīvas 3. pantā iekļauj šādu 4.a punktu: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“4.a</w:t>
      </w:r>
      <w:r w:rsidRPr="003F33F9">
        <w:rPr>
          <w:szCs w:val="24"/>
          <w:lang w:val="pt-PT" w:eastAsia="en-US"/>
        </w:rPr>
        <w:tab/>
        <w:t>Dabas parādību vai nepārvaramas varas radītos ārkārtas apstākļos, jo īpaši tādu ekstremālu plūdu un ilgstoša sausuma vai nopietna piesārņošanas incidenta gadījumā, kas varētu ietekmēt lejteces ūdens objektus, kuri atrodas citās dalībvalstīs, dalībvalstis nodrošina, ka šādu citu dalībvalstu lejteces ūdens objektu kompetentās iestādes, kā arī Komisija tiek nekavējoties informētas un ka notiek sadarbība, kas vajadzīga, lai izmeklētu ārkārtas apstākļu vai incidentu cēloņus un novērstu to sekas.;</w:t>
      </w:r>
    </w:p>
    <w:p w:rsidR="00CB6573" w:rsidRPr="003F33F9" w:rsidRDefault="00CB6573" w:rsidP="00CB6573">
      <w:pPr>
        <w:spacing w:before="120" w:after="120" w:line="360" w:lineRule="auto"/>
        <w:ind w:left="1416"/>
        <w:rPr>
          <w:szCs w:val="24"/>
          <w:lang w:val="pt-PT" w:eastAsia="en-US"/>
        </w:rPr>
      </w:pPr>
      <w:r w:rsidRPr="003F33F9">
        <w:rPr>
          <w:b/>
          <w:i/>
          <w:szCs w:val="24"/>
          <w:lang w:val="pt-PT" w:eastAsia="en-US"/>
        </w:rPr>
        <w:br w:type="page"/>
      </w:r>
      <w:r w:rsidRPr="003F33F9">
        <w:rPr>
          <w:b/>
          <w:i/>
          <w:szCs w:val="24"/>
          <w:lang w:val="pt-PT" w:eastAsia="en-US"/>
        </w:rPr>
        <w:lastRenderedPageBreak/>
        <w:t>Dalībvalstis informē citas dalībvalstis, ko varētu nelabvēlīgi ietekmēt attiecīgais piesārņošanas incidents.</w:t>
      </w:r>
    </w:p>
    <w:p w:rsidR="00CB6573" w:rsidRPr="003F33F9" w:rsidRDefault="00CB6573" w:rsidP="00CB6573">
      <w:pPr>
        <w:spacing w:before="120" w:after="120" w:line="360" w:lineRule="auto"/>
        <w:ind w:left="1416"/>
        <w:rPr>
          <w:b/>
          <w:szCs w:val="24"/>
          <w:lang w:val="pt-PT" w:eastAsia="en-US"/>
        </w:rPr>
      </w:pPr>
      <w:r w:rsidRPr="003F33F9">
        <w:rPr>
          <w:b/>
          <w:i/>
          <w:szCs w:val="24"/>
          <w:lang w:val="pt-PT" w:eastAsia="en-US"/>
        </w:rPr>
        <w:t>Lai vēl vairāk uzlabotu sadarbību un informācijas apmaiņu starptautiskajos upju baseinu apgabalos, visos starptautiskajos upju baseinu apgabalos jāievieš ārkārtas sakaru un reaģēšanas pasākumi.</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61]</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(4)</w:t>
      </w:r>
      <w:r w:rsidRPr="003F33F9">
        <w:rPr>
          <w:szCs w:val="24"/>
          <w:lang w:val="pt-PT" w:eastAsia="en-US"/>
        </w:rPr>
        <w:tab/>
        <w:t>direktīvas 4. panta 1. punktu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punkta a) apakšpunkta iv) punktu aizstāj ar šādu:</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“iv)</w:t>
      </w:r>
      <w:r w:rsidRPr="003F33F9">
        <w:rPr>
          <w:szCs w:val="24"/>
          <w:lang w:val="pt-PT" w:eastAsia="en-US"/>
        </w:rPr>
        <w:tab/>
        <w:t xml:space="preserve">dalībvalstis īsteno pasākumus, kas vajadzīgi, lai pakāpeniski samazinātu prioritāro vielu un upes baseinam specifisku piesārņojošo vielu </w:t>
      </w:r>
      <w:r w:rsidRPr="003F33F9">
        <w:rPr>
          <w:strike/>
          <w:szCs w:val="24"/>
          <w:lang w:val="pt-PT" w:eastAsia="en-US"/>
        </w:rPr>
        <w:t>radīto piesārņojumu</w:t>
      </w:r>
      <w:r w:rsidRPr="003F33F9">
        <w:rPr>
          <w:b/>
          <w:i/>
          <w:szCs w:val="24"/>
          <w:lang w:val="pt-PT" w:eastAsia="en-US"/>
        </w:rPr>
        <w:t>radītā piesārņojuma emisijas, izplūdes vai zudumus</w:t>
      </w:r>
      <w:r w:rsidRPr="003F33F9">
        <w:rPr>
          <w:szCs w:val="24"/>
          <w:lang w:val="pt-PT" w:eastAsia="en-US"/>
        </w:rPr>
        <w:t xml:space="preserve"> un izbeigtu vai pakāpeniski izbeigtu prioritāro bīstamo vielu emisijas, izplūdes vai zudumus</w:t>
      </w:r>
      <w:r w:rsidRPr="003F33F9">
        <w:rPr>
          <w:b/>
          <w:i/>
          <w:szCs w:val="24"/>
          <w:lang w:val="pt-PT" w:eastAsia="en-US"/>
        </w:rPr>
        <w:t xml:space="preserve"> atbilstīgā termiņā un jebkurā gadījumā ne vēlāk kā 20 gadu laikā pēc tam</w:t>
      </w:r>
      <w:r w:rsidRPr="003F33F9">
        <w:rPr>
          <w:szCs w:val="24"/>
          <w:lang w:val="pt-PT" w:eastAsia="en-US"/>
        </w:rPr>
        <w:t>,</w:t>
      </w:r>
      <w:r w:rsidRPr="003F33F9">
        <w:rPr>
          <w:strike/>
          <w:szCs w:val="24"/>
          <w:lang w:val="pt-PT" w:eastAsia="en-US"/>
        </w:rPr>
        <w:t>;</w:t>
      </w:r>
      <w:r w:rsidRPr="003F33F9">
        <w:rPr>
          <w:b/>
          <w:i/>
          <w:szCs w:val="24"/>
          <w:lang w:val="pt-PT" w:eastAsia="en-US"/>
        </w:rPr>
        <w:t xml:space="preserve"> kad konkrēta prioritārā viela tiek iekļauta bīstamo vielu sarakstā Direktīvas 2008/105/EK I pielikuma A daļā. Minēto termiņu piemēro, neskarot stingrāku termiņu piemērošanu saskaņā ar jebkādiem citiem piemērojamiem Savienības tiesību aktiem,</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62]</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br w:type="page"/>
      </w:r>
      <w:r w:rsidRPr="003F33F9">
        <w:rPr>
          <w:szCs w:val="24"/>
          <w:lang w:val="pt-PT" w:eastAsia="en-US"/>
        </w:rPr>
        <w:lastRenderedPageBreak/>
        <w:t>b)</w:t>
      </w:r>
      <w:r w:rsidRPr="003F33F9">
        <w:rPr>
          <w:szCs w:val="24"/>
          <w:lang w:val="pt-PT" w:eastAsia="en-US"/>
        </w:rPr>
        <w:tab/>
        <w:t>punkta b) apakšpunkta iii) punkta otro daļu aizstāj ar šādu: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“Pasākumus, kuru mērķis ir panākt piesārņojuma tendenču apvērsi, īsteno saskaņā ar Direktīvas 2006/118/EK 5. pantu un tās pašas direktīvas IV pielikumu un ievērojot šā panta 6. un 7. punktu un neierobežojot šā panta 8. punktu;”</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ba)</w:t>
      </w:r>
      <w:r w:rsidRPr="003F33F9">
        <w:rPr>
          <w:szCs w:val="24"/>
          <w:lang w:val="pt-PT" w:eastAsia="en-US"/>
        </w:rPr>
        <w:tab/>
      </w:r>
      <w:r w:rsidRPr="003F33F9">
        <w:rPr>
          <w:b/>
          <w:i/>
          <w:szCs w:val="24"/>
          <w:lang w:val="pt-PT" w:eastAsia="en-US"/>
        </w:rPr>
        <w:t>punkta c) apakšpunktam pievieno šādu 1.a daļu:</w:t>
      </w:r>
    </w:p>
    <w:p w:rsidR="00CB6573" w:rsidRPr="003F33F9" w:rsidRDefault="00CB6573" w:rsidP="00CB6573">
      <w:pPr>
        <w:spacing w:before="120" w:after="120" w:line="360" w:lineRule="auto"/>
        <w:ind w:left="1416"/>
        <w:rPr>
          <w:b/>
          <w:szCs w:val="24"/>
          <w:lang w:val="pt-PT" w:eastAsia="en-US"/>
        </w:rPr>
      </w:pPr>
      <w:r w:rsidRPr="003F33F9">
        <w:rPr>
          <w:szCs w:val="24"/>
          <w:lang w:val="pt-PT" w:eastAsia="en-US"/>
        </w:rPr>
        <w:t>“</w:t>
      </w:r>
      <w:r w:rsidRPr="003F33F9">
        <w:rPr>
          <w:b/>
          <w:i/>
          <w:szCs w:val="24"/>
          <w:lang w:val="pt-PT" w:eastAsia="en-US"/>
        </w:rPr>
        <w:t>Dalībvalstis nosaka stingrākus standartus vai robežvērtības, ja tas nepieciešams, lai pienācīgi aizsargātu šīs direktīvas IV pielikumā uzskaitītās teritorijas, tai skaitā īpaši aizsargājamas dabas teritorijas saskaņā ar Direktīvu 92/43/EEK. Programmas un pasākumi, kas nepieciešami saistībā ar šādām robežvērtībām, attiecas arī uz darbībām, kas ietilpst Direktīvas 91/676/EEK darbības jomā.</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63]</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(5)</w:t>
      </w:r>
      <w:r w:rsidRPr="003F33F9">
        <w:rPr>
          <w:szCs w:val="24"/>
          <w:lang w:val="pt-PT" w:eastAsia="en-US"/>
        </w:rPr>
        <w:tab/>
        <w:t>direktīvas 7. panta 2. punktu aizstāj ar šādu: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“2.</w:t>
      </w:r>
      <w:r w:rsidRPr="003F33F9">
        <w:rPr>
          <w:szCs w:val="24"/>
          <w:lang w:val="pt-PT" w:eastAsia="en-US"/>
        </w:rPr>
        <w:tab/>
        <w:t>Attiecībā uz katru 1. punktā identificēto ūdens objektu papildus 4. pantā izvirzīto mērķu sasniegšanai atbilstīgi šīs direktīvas prasībām, kas noteiktas virszemes ūdens objektiem, arī attiecībā uz kvalitātes standartiem, kas noteikti Savienības līmenī, dalībvalstis nodrošina, ka ar izmantoto ūdens attīrīšanas režīmu un Savienības tiesību aktiem saskanīgā veidā iegūtais ūdens atbilst Eiropas Parlamenta un Padomes Direktīvas (ES) 2020/2184* prasībām.</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Direktīva (ES) 2020/2184 (2020. gada 16. decembris) par dzeramā ūdens kvalitāti (OV L 435, 23.12.2020. 1. lpp.).;”</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(6)</w:t>
      </w:r>
      <w:r w:rsidRPr="003F33F9">
        <w:rPr>
          <w:szCs w:val="24"/>
          <w:lang w:val="pt-PT" w:eastAsia="en-US"/>
        </w:rPr>
        <w:tab/>
        <w:t>direktīvas 8. pantu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panta 3. punktu aizstāj ar šādu:</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“3.</w:t>
      </w:r>
      <w:r w:rsidRPr="003F33F9">
        <w:rPr>
          <w:szCs w:val="24"/>
          <w:lang w:val="pt-PT" w:eastAsia="en-US"/>
        </w:rPr>
        <w:tab/>
        <w:t xml:space="preserve">Komisija </w:t>
      </w:r>
      <w:r w:rsidRPr="003F33F9">
        <w:rPr>
          <w:strike/>
          <w:szCs w:val="24"/>
          <w:lang w:val="pt-PT" w:eastAsia="en-US"/>
        </w:rPr>
        <w:t>ir</w:t>
      </w:r>
      <w:r w:rsidRPr="003F33F9">
        <w:rPr>
          <w:b/>
          <w:i/>
          <w:szCs w:val="24"/>
          <w:lang w:val="pt-PT" w:eastAsia="en-US"/>
        </w:rPr>
        <w:t>tiek</w:t>
      </w:r>
      <w:r w:rsidRPr="003F33F9">
        <w:rPr>
          <w:szCs w:val="24"/>
          <w:lang w:val="pt-PT" w:eastAsia="en-US"/>
        </w:rPr>
        <w:t xml:space="preserve"> pilnvarota pieņemt </w:t>
      </w:r>
      <w:r w:rsidRPr="003F33F9">
        <w:rPr>
          <w:strike/>
          <w:szCs w:val="24"/>
          <w:lang w:val="pt-PT" w:eastAsia="en-US"/>
        </w:rPr>
        <w:t>īstenošanas</w:t>
      </w:r>
      <w:r w:rsidRPr="003F33F9">
        <w:rPr>
          <w:b/>
          <w:i/>
          <w:szCs w:val="24"/>
          <w:lang w:val="pt-PT" w:eastAsia="en-US"/>
        </w:rPr>
        <w:t>deleģētos</w:t>
      </w:r>
      <w:r w:rsidRPr="003F33F9">
        <w:rPr>
          <w:szCs w:val="24"/>
          <w:lang w:val="pt-PT" w:eastAsia="en-US"/>
        </w:rPr>
        <w:t xml:space="preserve"> aktus</w:t>
      </w:r>
      <w:r w:rsidRPr="003F33F9">
        <w:rPr>
          <w:strike/>
          <w:szCs w:val="24"/>
          <w:lang w:val="pt-PT" w:eastAsia="en-US"/>
        </w:rPr>
        <w:t>, ar kuriem nosaka</w:t>
      </w:r>
      <w:r w:rsidRPr="003F33F9">
        <w:rPr>
          <w:b/>
          <w:i/>
          <w:szCs w:val="24"/>
          <w:lang w:val="pt-PT" w:eastAsia="en-US"/>
        </w:rPr>
        <w:t xml:space="preserve"> saskaņā ar 20.a pantu, lai papildinātu šo direktīvu, nosakot</w:t>
      </w:r>
      <w:r w:rsidRPr="003F33F9">
        <w:rPr>
          <w:szCs w:val="24"/>
          <w:lang w:val="pt-PT" w:eastAsia="en-US"/>
        </w:rPr>
        <w:t xml:space="preserve"> tehniskās specifikācijas un standartizētas metodes ūdens resursu stāvokļa analīzei un monitoringam saskaņā ar V pielikumu</w:t>
      </w:r>
      <w:r w:rsidRPr="003F33F9">
        <w:rPr>
          <w:b/>
          <w:i/>
          <w:szCs w:val="24"/>
          <w:lang w:val="pt-PT" w:eastAsia="en-US"/>
        </w:rPr>
        <w:t>. Komisija tiek pilnvarota pieņemt īstenošanas aktus, ar kuriem nosaka</w:t>
      </w:r>
      <w:r w:rsidRPr="003F33F9">
        <w:rPr>
          <w:strike/>
          <w:szCs w:val="24"/>
          <w:lang w:val="pt-PT" w:eastAsia="en-US"/>
        </w:rPr>
        <w:t xml:space="preserve"> un</w:t>
      </w:r>
      <w:r w:rsidRPr="003F33F9">
        <w:rPr>
          <w:szCs w:val="24"/>
          <w:lang w:val="pt-PT" w:eastAsia="en-US"/>
        </w:rPr>
        <w:t xml:space="preserve"> formātus monitoringa un stāvokļa datu ziņošanai saskaņā ar 4. punktu. Šos īstenošanas aktus pieņem saskaņā ar 21. panta 2. punktā minēto pārbaudes procedūru.;”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64]</w:t>
      </w:r>
    </w:p>
    <w:p w:rsidR="00CB6573" w:rsidRPr="003F33F9" w:rsidRDefault="00CB6573" w:rsidP="00CB6573">
      <w:pPr>
        <w:spacing w:before="120" w:after="120" w:line="360" w:lineRule="auto"/>
        <w:ind w:left="1416" w:hanging="566"/>
        <w:rPr>
          <w:szCs w:val="24"/>
          <w:lang w:val="pl-PL" w:eastAsia="en-US"/>
        </w:rPr>
      </w:pPr>
      <w:r w:rsidRPr="006A19EE">
        <w:rPr>
          <w:b/>
          <w:i/>
          <w:szCs w:val="24"/>
          <w:lang w:val="pl-PL" w:eastAsia="en-US"/>
        </w:rPr>
        <w:br w:type="page"/>
      </w:r>
      <w:r w:rsidRPr="003F33F9">
        <w:rPr>
          <w:b/>
          <w:i/>
          <w:szCs w:val="24"/>
          <w:lang w:val="pl-PL" w:eastAsia="en-US"/>
        </w:rPr>
        <w:lastRenderedPageBreak/>
        <w:t>aa)</w:t>
      </w:r>
      <w:r w:rsidRPr="003F33F9">
        <w:rPr>
          <w:szCs w:val="24"/>
          <w:lang w:val="pl-PL" w:eastAsia="en-US"/>
        </w:rPr>
        <w:tab/>
      </w:r>
      <w:r w:rsidRPr="003F33F9">
        <w:rPr>
          <w:b/>
          <w:i/>
          <w:szCs w:val="24"/>
          <w:lang w:val="pl-PL" w:eastAsia="en-US"/>
        </w:rPr>
        <w:t>pievieno šādu punktu:</w:t>
      </w:r>
    </w:p>
    <w:p w:rsidR="00CB6573" w:rsidRPr="003F33F9" w:rsidRDefault="00CB6573" w:rsidP="00CB6573">
      <w:pPr>
        <w:spacing w:before="120" w:after="120" w:line="360" w:lineRule="auto"/>
        <w:ind w:left="1982" w:hanging="566"/>
        <w:rPr>
          <w:szCs w:val="24"/>
          <w:lang w:val="pl-PL" w:eastAsia="en-US"/>
        </w:rPr>
      </w:pPr>
      <w:r w:rsidRPr="003F33F9">
        <w:rPr>
          <w:szCs w:val="24"/>
          <w:lang w:val="pl-PL" w:eastAsia="en-US"/>
        </w:rPr>
        <w:t>“</w:t>
      </w:r>
      <w:r w:rsidRPr="003F33F9">
        <w:rPr>
          <w:b/>
          <w:i/>
          <w:szCs w:val="24"/>
          <w:lang w:val="pl-PL" w:eastAsia="en-US"/>
        </w:rPr>
        <w:t>3.a</w:t>
      </w:r>
      <w:r w:rsidRPr="003F33F9">
        <w:rPr>
          <w:szCs w:val="24"/>
          <w:lang w:val="pl-PL" w:eastAsia="en-US"/>
        </w:rPr>
        <w:tab/>
      </w:r>
      <w:r w:rsidRPr="003F33F9">
        <w:rPr>
          <w:b/>
          <w:i/>
          <w:szCs w:val="24"/>
          <w:lang w:val="pl-PL" w:eastAsia="en-US"/>
        </w:rPr>
        <w:t>Līdz ... [divi gadi pēc šīs direktīvas stāšanās spēkā] Komisija publicē visaptverošu novērtējumu par nepārtraukta, precīza un reāllaika (tiešsaistes) piesārņojuma monitoringa sistēmu iespējamu izmantošanu ūdens kvalitātes mērījumiem, cita starpā šādu sistēmu ekonomiskās un tehniskās realizējamības aspektiem attiecībā uz dalībvalstīm, kā arī par saskaņotu standartu izmantošanu.</w:t>
      </w:r>
    </w:p>
    <w:p w:rsidR="00CB6573" w:rsidRPr="003F33F9" w:rsidRDefault="00CB6573" w:rsidP="00CB6573">
      <w:pPr>
        <w:spacing w:before="120" w:after="120" w:line="360" w:lineRule="auto"/>
        <w:ind w:left="1982"/>
        <w:rPr>
          <w:b/>
          <w:szCs w:val="24"/>
          <w:lang w:val="pl-PL" w:eastAsia="en-US"/>
        </w:rPr>
      </w:pPr>
      <w:r w:rsidRPr="003F33F9">
        <w:rPr>
          <w:b/>
          <w:i/>
          <w:szCs w:val="24"/>
          <w:lang w:val="pl-PL" w:eastAsia="en-US"/>
        </w:rPr>
        <w:t>Attiecīgā gadījumā Komisija pieņem īstenošanas aktu saskaņā ar 21. panta 2. punktā minēto pārbaudes procedūru, lai noteiktu saskaņotus standartus tiešsaistes ūdens monitoringam.</w:t>
      </w:r>
      <w:r w:rsidRPr="003F33F9">
        <w:rPr>
          <w:szCs w:val="24"/>
          <w:lang w:val="pl-PL" w:eastAsia="en-US"/>
        </w:rPr>
        <w:t>”</w:t>
      </w:r>
      <w:r w:rsidRPr="003F33F9">
        <w:rPr>
          <w:b/>
          <w:szCs w:val="24"/>
          <w:lang w:val="pl-PL" w:eastAsia="en-US"/>
        </w:rPr>
        <w:t xml:space="preserve"> </w:t>
      </w:r>
      <w:r w:rsidR="00D116DF" w:rsidRPr="003F33F9">
        <w:rPr>
          <w:b/>
          <w:szCs w:val="24"/>
          <w:lang w:val="pl-PL" w:eastAsia="en-US"/>
        </w:rPr>
        <w:t xml:space="preserve">[Gr. </w:t>
      </w:r>
      <w:r w:rsidRPr="003F33F9">
        <w:rPr>
          <w:b/>
          <w:szCs w:val="24"/>
          <w:lang w:val="pl-PL" w:eastAsia="en-US"/>
        </w:rPr>
        <w:t>65]</w:t>
      </w:r>
    </w:p>
    <w:p w:rsidR="00CB6573" w:rsidRPr="003F33F9" w:rsidRDefault="00CB6573" w:rsidP="00CB6573">
      <w:pPr>
        <w:spacing w:before="120" w:after="120" w:line="360" w:lineRule="auto"/>
        <w:ind w:left="1416" w:hanging="566"/>
        <w:rPr>
          <w:szCs w:val="24"/>
          <w:lang w:val="pl-PL" w:eastAsia="en-US"/>
        </w:rPr>
      </w:pPr>
      <w:r w:rsidRPr="003F33F9">
        <w:rPr>
          <w:szCs w:val="24"/>
          <w:lang w:val="pl-PL" w:eastAsia="en-US"/>
        </w:rPr>
        <w:br w:type="page"/>
      </w:r>
      <w:r w:rsidRPr="003F33F9">
        <w:rPr>
          <w:szCs w:val="24"/>
          <w:lang w:val="pl-PL" w:eastAsia="en-US"/>
        </w:rPr>
        <w:lastRenderedPageBreak/>
        <w:t>b)</w:t>
      </w:r>
      <w:r w:rsidRPr="003F33F9">
        <w:rPr>
          <w:szCs w:val="24"/>
          <w:lang w:val="pl-PL" w:eastAsia="en-US"/>
        </w:rPr>
        <w:tab/>
        <w:t>pievieno šādu 4. un 5. punktu:</w:t>
      </w:r>
    </w:p>
    <w:p w:rsidR="00CB6573" w:rsidRPr="003F33F9" w:rsidRDefault="00CB6573" w:rsidP="00CB6573">
      <w:pPr>
        <w:spacing w:before="120" w:after="120" w:line="360" w:lineRule="auto"/>
        <w:ind w:left="1982" w:hanging="566"/>
        <w:rPr>
          <w:b/>
          <w:szCs w:val="24"/>
          <w:lang w:val="pl-PL" w:eastAsia="en-US"/>
        </w:rPr>
      </w:pPr>
      <w:r w:rsidRPr="003F33F9">
        <w:rPr>
          <w:szCs w:val="24"/>
          <w:lang w:val="pl-PL" w:eastAsia="en-US"/>
        </w:rPr>
        <w:t>“4.</w:t>
      </w:r>
      <w:r w:rsidRPr="003F33F9">
        <w:rPr>
          <w:szCs w:val="24"/>
          <w:lang w:val="pl-PL" w:eastAsia="en-US"/>
        </w:rPr>
        <w:tab/>
        <w:t xml:space="preserve">Dalībvalstis nodrošina, ka pieejamos individuālos monitoringa datus, kas savākti saskaņā ar V pielikuma 1.3.4. </w:t>
      </w:r>
      <w:r w:rsidRPr="003F33F9">
        <w:rPr>
          <w:b/>
          <w:i/>
          <w:szCs w:val="24"/>
          <w:lang w:val="pl-PL" w:eastAsia="en-US"/>
        </w:rPr>
        <w:t xml:space="preserve">un 2.4.3. </w:t>
      </w:r>
      <w:r w:rsidRPr="003F33F9">
        <w:rPr>
          <w:szCs w:val="24"/>
          <w:lang w:val="pl-PL" w:eastAsia="en-US"/>
        </w:rPr>
        <w:t>punktu, un</w:t>
      </w:r>
      <w:r w:rsidRPr="003F33F9">
        <w:rPr>
          <w:b/>
          <w:i/>
          <w:szCs w:val="24"/>
          <w:lang w:val="pl-PL" w:eastAsia="en-US"/>
        </w:rPr>
        <w:t xml:space="preserve"> informāciju par stāvokli, kas pēc tiem noteikts</w:t>
      </w:r>
      <w:r w:rsidRPr="003F33F9">
        <w:rPr>
          <w:szCs w:val="24"/>
          <w:lang w:val="pl-PL" w:eastAsia="en-US"/>
        </w:rPr>
        <w:t xml:space="preserve"> atbilstīgi V pielikumam</w:t>
      </w:r>
      <w:r w:rsidRPr="003F33F9">
        <w:rPr>
          <w:strike/>
          <w:szCs w:val="24"/>
          <w:lang w:val="pl-PL" w:eastAsia="en-US"/>
        </w:rPr>
        <w:t xml:space="preserve"> pēc tiem noteikto stāvokli</w:t>
      </w:r>
      <w:r w:rsidRPr="003F33F9">
        <w:rPr>
          <w:b/>
          <w:i/>
          <w:szCs w:val="24"/>
          <w:lang w:val="pl-PL" w:eastAsia="en-US"/>
        </w:rPr>
        <w:t>,</w:t>
      </w:r>
      <w:r w:rsidRPr="003F33F9">
        <w:rPr>
          <w:szCs w:val="24"/>
          <w:lang w:val="pl-PL" w:eastAsia="en-US"/>
        </w:rPr>
        <w:t xml:space="preserve"> vismaz reizi gadā</w:t>
      </w:r>
      <w:r w:rsidRPr="003F33F9">
        <w:rPr>
          <w:b/>
          <w:i/>
          <w:szCs w:val="24"/>
          <w:lang w:val="pl-PL" w:eastAsia="en-US"/>
        </w:rPr>
        <w:t xml:space="preserve"> elektroniski un</w:t>
      </w:r>
      <w:r w:rsidRPr="003F33F9">
        <w:rPr>
          <w:szCs w:val="24"/>
          <w:lang w:val="pl-PL" w:eastAsia="en-US"/>
        </w:rPr>
        <w:t xml:space="preserve"> mašīnlasāmā formātā dara </w:t>
      </w:r>
      <w:r w:rsidRPr="003F33F9">
        <w:rPr>
          <w:strike/>
          <w:szCs w:val="24"/>
          <w:lang w:val="pl-PL" w:eastAsia="en-US"/>
        </w:rPr>
        <w:t>sabiedrībai un</w:t>
      </w:r>
      <w:r w:rsidRPr="003F33F9">
        <w:rPr>
          <w:b/>
          <w:i/>
          <w:szCs w:val="24"/>
          <w:lang w:val="pl-PL" w:eastAsia="en-US"/>
        </w:rPr>
        <w:t>pieejamus</w:t>
      </w:r>
      <w:r w:rsidRPr="003F33F9">
        <w:rPr>
          <w:szCs w:val="24"/>
          <w:lang w:val="pl-PL" w:eastAsia="en-US"/>
        </w:rPr>
        <w:t xml:space="preserve"> Eiropas Vides aģentūrai (EVA) </w:t>
      </w:r>
      <w:r w:rsidRPr="003F33F9">
        <w:rPr>
          <w:strike/>
          <w:szCs w:val="24"/>
          <w:lang w:val="pl-PL" w:eastAsia="en-US"/>
        </w:rPr>
        <w:t>pieejamus</w:t>
      </w:r>
      <w:r w:rsidRPr="003F33F9">
        <w:rPr>
          <w:b/>
          <w:i/>
          <w:szCs w:val="24"/>
          <w:lang w:val="pl-PL" w:eastAsia="en-US"/>
        </w:rPr>
        <w:t>un bez liekas kavēšanās un viegli piekļūstamā veidā — sabiedrībai</w:t>
      </w:r>
      <w:r w:rsidRPr="003F33F9">
        <w:rPr>
          <w:szCs w:val="24"/>
          <w:lang w:val="pl-PL" w:eastAsia="en-US"/>
        </w:rPr>
        <w:t>, kā to prasa Eiropas Parlamenta un Padomes Direktīva 2003/4/EK*, Eiropas Parlamenta un Padomes Direktīva 2007/2/EK** un Eiropas Parlamenta un Padomes Direktīva (ES) 2019/1024***. Tālab dalībvalstis izmanto formātus, kas noteikti saskaņā ar šā panta 3. punktu.</w:t>
      </w:r>
      <w:r w:rsidRPr="003F33F9">
        <w:rPr>
          <w:b/>
          <w:szCs w:val="24"/>
          <w:lang w:val="pl-PL" w:eastAsia="en-US"/>
        </w:rPr>
        <w:t xml:space="preserve"> </w:t>
      </w:r>
      <w:r w:rsidR="00D116DF" w:rsidRPr="003F33F9">
        <w:rPr>
          <w:b/>
          <w:szCs w:val="24"/>
          <w:lang w:val="pl-PL" w:eastAsia="en-US"/>
        </w:rPr>
        <w:t xml:space="preserve">[Gr. </w:t>
      </w:r>
      <w:r w:rsidRPr="003F33F9">
        <w:rPr>
          <w:b/>
          <w:szCs w:val="24"/>
          <w:lang w:val="pl-PL" w:eastAsia="en-US"/>
        </w:rPr>
        <w:t>66]</w:t>
      </w:r>
    </w:p>
    <w:p w:rsidR="00CB6573" w:rsidRPr="003F33F9" w:rsidRDefault="00CB6573" w:rsidP="00CB6573">
      <w:pPr>
        <w:spacing w:before="120" w:after="120" w:line="360" w:lineRule="auto"/>
        <w:ind w:left="1982" w:hanging="566"/>
        <w:rPr>
          <w:szCs w:val="24"/>
          <w:lang w:val="pl-PL" w:eastAsia="en-US"/>
        </w:rPr>
      </w:pPr>
      <w:r w:rsidRPr="003F33F9">
        <w:rPr>
          <w:szCs w:val="24"/>
          <w:lang w:val="pl-PL" w:eastAsia="en-US"/>
        </w:rPr>
        <w:br w:type="page"/>
      </w:r>
      <w:r w:rsidRPr="003F33F9">
        <w:rPr>
          <w:szCs w:val="24"/>
          <w:lang w:val="pl-PL" w:eastAsia="en-US"/>
        </w:rPr>
        <w:lastRenderedPageBreak/>
        <w:t>5.</w:t>
      </w:r>
      <w:r w:rsidRPr="003F33F9">
        <w:rPr>
          <w:szCs w:val="24"/>
          <w:lang w:val="pl-PL" w:eastAsia="en-US"/>
        </w:rPr>
        <w:tab/>
        <w:t>EVA nodrošina, ka informāciju, kas darīta pieejama saskaņā ar 4. punktu, sistemātiski apstrādā un analizē, lai ar attiecīgo Savienības portālu starpniecību to darītu pieejamu atkalizmantošanai Komisijas un attiecīgo Savienības aģentūru vajadzībām un lai Komisija, dalībvalstis un plaša sabiedrība jo īpaši par ūdeņu stāvokli saņemtu atjauninātu, objektīvu, uzticamu un salīdzināmu informāciju, ko prasa Eiropas Parlamenta un Padomes Regula (EK) Nr. 401/2009****.</w:t>
      </w:r>
    </w:p>
    <w:p w:rsidR="00CB6573" w:rsidRPr="003F33F9" w:rsidRDefault="00CB6573" w:rsidP="00CB6573">
      <w:pPr>
        <w:spacing w:before="120" w:after="120" w:line="360" w:lineRule="auto"/>
        <w:ind w:left="1416"/>
        <w:rPr>
          <w:szCs w:val="24"/>
          <w:lang w:val="pl-PL" w:eastAsia="en-US"/>
        </w:rPr>
      </w:pPr>
      <w:r w:rsidRPr="003F33F9">
        <w:rPr>
          <w:szCs w:val="24"/>
          <w:lang w:val="pl-PL" w:eastAsia="en-US"/>
        </w:rPr>
        <w:t>* Eiropas Parlamenta un Padomes Direktīva 2003/4/EK (2003. gada 28. janvāris) par vides informācijas pieejamību sabiedrībai un par Padomes Direktīvas 90/313/EEK atcelšanu (OV L 41, 14.2.2003., 26. lpp.).</w:t>
      </w:r>
    </w:p>
    <w:p w:rsidR="00CB6573" w:rsidRPr="003F33F9" w:rsidRDefault="00CB6573" w:rsidP="00CB6573">
      <w:pPr>
        <w:spacing w:before="120" w:after="120" w:line="360" w:lineRule="auto"/>
        <w:ind w:left="1416"/>
        <w:rPr>
          <w:szCs w:val="24"/>
          <w:lang w:val="pl-PL" w:eastAsia="en-US"/>
        </w:rPr>
      </w:pPr>
      <w:r w:rsidRPr="003F33F9">
        <w:rPr>
          <w:szCs w:val="24"/>
          <w:lang w:val="pl-PL" w:eastAsia="en-US"/>
        </w:rPr>
        <w:t>** Eiropas Parlamenta un Padomes Direktīva 2007/2/EK (2007. gada 14. marts), ar ko izveido Telpiskās informācijas infrastruktūru Eiropas Kopienā (INSPIRE) (OV L 108, 25.4.2007., 1. lpp.).</w:t>
      </w:r>
    </w:p>
    <w:p w:rsidR="00CB6573" w:rsidRPr="003F33F9" w:rsidRDefault="00CB6573" w:rsidP="00CB6573">
      <w:pPr>
        <w:spacing w:before="120" w:after="120" w:line="360" w:lineRule="auto"/>
        <w:ind w:left="1416"/>
        <w:rPr>
          <w:szCs w:val="24"/>
          <w:lang w:val="pl-PL" w:eastAsia="en-US"/>
        </w:rPr>
      </w:pPr>
      <w:r w:rsidRPr="003F33F9">
        <w:rPr>
          <w:szCs w:val="24"/>
          <w:lang w:val="pl-PL" w:eastAsia="en-US"/>
        </w:rPr>
        <w:t>*** Eiropas Parlamenta un Padomes Direktīva (ES) 2019/1024 (2019. gada 20. jūnijs) par atvērtajiem datiem un publiskā sektora informācijas atkalizmantošanu (OV L 172, 26.6.2019., 56. lpp.).</w:t>
      </w:r>
    </w:p>
    <w:p w:rsidR="00CB6573" w:rsidRPr="003F33F9" w:rsidRDefault="00CB6573" w:rsidP="00CB6573">
      <w:pPr>
        <w:spacing w:before="120" w:after="120" w:line="360" w:lineRule="auto"/>
        <w:ind w:left="1416"/>
        <w:rPr>
          <w:szCs w:val="24"/>
          <w:lang w:val="pl-PL" w:eastAsia="en-US"/>
        </w:rPr>
      </w:pPr>
      <w:r w:rsidRPr="003F33F9">
        <w:rPr>
          <w:szCs w:val="24"/>
          <w:lang w:val="pl-PL" w:eastAsia="en-US"/>
        </w:rPr>
        <w:t>**** Eiropas Parlamenta un Padomes Regula (EK) Nr. 401/2009 (2009. gada 23. aprīlis) par Eiropas Vides aģentūru un Eiropas Vides informācijas un novērojumu tīklu (OV L 126, 21.5.2009., 13. lpp.).;”</w:t>
      </w:r>
    </w:p>
    <w:p w:rsidR="00CB6573" w:rsidRPr="003F33F9" w:rsidRDefault="00CB6573" w:rsidP="00CB6573">
      <w:pPr>
        <w:spacing w:before="120" w:after="120" w:line="360" w:lineRule="auto"/>
        <w:ind w:left="850" w:hanging="850"/>
        <w:rPr>
          <w:szCs w:val="24"/>
          <w:lang w:val="pl-PL" w:eastAsia="en-US"/>
        </w:rPr>
      </w:pPr>
      <w:r w:rsidRPr="003F33F9">
        <w:rPr>
          <w:szCs w:val="24"/>
          <w:lang w:val="pl-PL" w:eastAsia="en-US"/>
        </w:rPr>
        <w:br w:type="page"/>
      </w:r>
      <w:r w:rsidRPr="003F33F9">
        <w:rPr>
          <w:szCs w:val="24"/>
          <w:lang w:val="pl-PL" w:eastAsia="en-US"/>
        </w:rPr>
        <w:lastRenderedPageBreak/>
        <w:t>(7)</w:t>
      </w:r>
      <w:r w:rsidRPr="003F33F9">
        <w:rPr>
          <w:szCs w:val="24"/>
          <w:lang w:val="pl-PL" w:eastAsia="en-US"/>
        </w:rPr>
        <w:tab/>
        <w:t>direktīvas 10. pantu groza šādi:</w:t>
      </w:r>
    </w:p>
    <w:p w:rsidR="00CB6573" w:rsidRPr="003F33F9" w:rsidRDefault="00CB6573" w:rsidP="00CB6573">
      <w:pPr>
        <w:spacing w:before="120" w:after="120" w:line="360" w:lineRule="auto"/>
        <w:ind w:left="1416" w:hanging="566"/>
        <w:rPr>
          <w:szCs w:val="24"/>
          <w:lang w:val="pl-PL" w:eastAsia="en-US"/>
        </w:rPr>
      </w:pPr>
      <w:r w:rsidRPr="003F33F9">
        <w:rPr>
          <w:szCs w:val="24"/>
          <w:lang w:val="pl-PL" w:eastAsia="en-US"/>
        </w:rPr>
        <w:t>a)</w:t>
      </w:r>
      <w:r w:rsidRPr="003F33F9">
        <w:rPr>
          <w:szCs w:val="24"/>
          <w:lang w:val="pl-PL" w:eastAsia="en-US"/>
        </w:rPr>
        <w:tab/>
        <w:t>panta 2. punktu aizstāj ar šādu:</w:t>
      </w:r>
    </w:p>
    <w:p w:rsidR="00CB6573" w:rsidRPr="003F33F9" w:rsidRDefault="00CB6573" w:rsidP="00CB6573">
      <w:pPr>
        <w:spacing w:before="120" w:after="120" w:line="360" w:lineRule="auto"/>
        <w:ind w:left="1982" w:hanging="566"/>
        <w:rPr>
          <w:szCs w:val="24"/>
          <w:lang w:val="pl-PL" w:eastAsia="en-US"/>
        </w:rPr>
      </w:pPr>
      <w:r w:rsidRPr="003F33F9">
        <w:rPr>
          <w:szCs w:val="24"/>
          <w:lang w:val="pl-PL" w:eastAsia="en-US"/>
        </w:rPr>
        <w:t>“2.</w:t>
      </w:r>
      <w:r w:rsidRPr="003F33F9">
        <w:rPr>
          <w:szCs w:val="24"/>
          <w:lang w:val="pl-PL" w:eastAsia="en-US"/>
        </w:rPr>
        <w:tab/>
        <w:t>Lai sasniegtu saskaņā ar šo direktīvu noteiktos mērķus, kvalitātes standartus un robežvērtības, dalībvalstis nodrošina, ka tiek noteikta un īstenota:</w:t>
      </w:r>
    </w:p>
    <w:p w:rsidR="00CB6573" w:rsidRPr="003F33F9" w:rsidRDefault="00CB6573" w:rsidP="00CB6573">
      <w:pPr>
        <w:spacing w:before="120" w:after="120" w:line="360" w:lineRule="auto"/>
        <w:ind w:left="2548" w:hanging="566"/>
        <w:rPr>
          <w:szCs w:val="24"/>
          <w:lang w:val="pl-PL" w:eastAsia="en-US"/>
        </w:rPr>
      </w:pPr>
      <w:r w:rsidRPr="003F33F9">
        <w:rPr>
          <w:szCs w:val="24"/>
          <w:lang w:val="pl-PL" w:eastAsia="en-US"/>
        </w:rPr>
        <w:t>a)</w:t>
      </w:r>
      <w:r w:rsidRPr="003F33F9">
        <w:rPr>
          <w:szCs w:val="24"/>
          <w:lang w:val="pl-PL" w:eastAsia="en-US"/>
        </w:rPr>
        <w:tab/>
        <w:t>emisiju kontrole ar vislabākajiem pieejamajiem paņēmieniem;</w:t>
      </w:r>
    </w:p>
    <w:p w:rsidR="00CB6573" w:rsidRPr="003F33F9" w:rsidRDefault="00CB6573" w:rsidP="00CB6573">
      <w:pPr>
        <w:spacing w:before="120" w:after="120" w:line="360" w:lineRule="auto"/>
        <w:ind w:left="2548" w:hanging="566"/>
        <w:rPr>
          <w:szCs w:val="24"/>
          <w:lang w:val="pl-PL" w:eastAsia="en-US"/>
        </w:rPr>
      </w:pPr>
      <w:r w:rsidRPr="003F33F9">
        <w:rPr>
          <w:szCs w:val="24"/>
          <w:lang w:val="pl-PL" w:eastAsia="en-US"/>
        </w:rPr>
        <w:t>b)</w:t>
      </w:r>
      <w:r w:rsidRPr="003F33F9">
        <w:rPr>
          <w:szCs w:val="24"/>
          <w:lang w:val="pl-PL" w:eastAsia="en-US"/>
        </w:rPr>
        <w:tab/>
        <w:t>attiecīgas emisiju robežvērtības;</w:t>
      </w:r>
    </w:p>
    <w:p w:rsidR="00CB6573" w:rsidRPr="003F33F9" w:rsidRDefault="00CB6573" w:rsidP="00CB6573">
      <w:pPr>
        <w:spacing w:before="120" w:after="120" w:line="360" w:lineRule="auto"/>
        <w:ind w:left="2548" w:hanging="566"/>
        <w:rPr>
          <w:szCs w:val="24"/>
          <w:lang w:val="pl-PL" w:eastAsia="en-US"/>
        </w:rPr>
      </w:pPr>
      <w:r w:rsidRPr="003F33F9">
        <w:rPr>
          <w:szCs w:val="24"/>
          <w:lang w:val="pl-PL" w:eastAsia="en-US"/>
        </w:rPr>
        <w:br w:type="page"/>
      </w:r>
      <w:r w:rsidRPr="003F33F9">
        <w:rPr>
          <w:szCs w:val="24"/>
          <w:lang w:val="pl-PL" w:eastAsia="en-US"/>
        </w:rPr>
        <w:lastRenderedPageBreak/>
        <w:t>c)</w:t>
      </w:r>
      <w:r w:rsidRPr="003F33F9">
        <w:rPr>
          <w:szCs w:val="24"/>
          <w:lang w:val="pl-PL" w:eastAsia="en-US"/>
        </w:rPr>
        <w:tab/>
        <w:t>difūzas ietekmes gadījumā – kontrole, kas pēc vajadzības ietver vislabāko vidisko praksi, kādu nosaka:</w:t>
      </w:r>
    </w:p>
    <w:p w:rsidR="00CB6573" w:rsidRPr="003F33F9" w:rsidRDefault="00CB6573" w:rsidP="00CB6573">
      <w:pPr>
        <w:spacing w:before="120" w:after="120" w:line="360" w:lineRule="auto"/>
        <w:ind w:left="3114" w:hanging="566"/>
        <w:rPr>
          <w:szCs w:val="24"/>
          <w:lang w:val="pl-PL" w:eastAsia="en-US"/>
        </w:rPr>
      </w:pPr>
      <w:r w:rsidRPr="003F33F9">
        <w:rPr>
          <w:szCs w:val="24"/>
          <w:lang w:val="pl-PL" w:eastAsia="en-US"/>
        </w:rPr>
        <w:t>-</w:t>
      </w:r>
      <w:r w:rsidRPr="003F33F9">
        <w:rPr>
          <w:szCs w:val="24"/>
          <w:lang w:val="pl-PL" w:eastAsia="en-US"/>
        </w:rPr>
        <w:tab/>
        <w:t>Eiropas Parlamenta un Padomes Direktīva 2009/128/EK*;</w:t>
      </w:r>
    </w:p>
    <w:p w:rsidR="00CB6573" w:rsidRPr="003F33F9" w:rsidRDefault="00CB6573" w:rsidP="00CB6573">
      <w:pPr>
        <w:spacing w:before="120" w:after="120" w:line="360" w:lineRule="auto"/>
        <w:ind w:left="3114" w:hanging="566"/>
        <w:rPr>
          <w:szCs w:val="24"/>
          <w:lang w:val="pl-PL" w:eastAsia="en-US"/>
        </w:rPr>
      </w:pPr>
      <w:r w:rsidRPr="003F33F9">
        <w:rPr>
          <w:szCs w:val="24"/>
          <w:lang w:val="pl-PL" w:eastAsia="en-US"/>
        </w:rPr>
        <w:t>-</w:t>
      </w:r>
      <w:r w:rsidRPr="003F33F9">
        <w:rPr>
          <w:szCs w:val="24"/>
          <w:lang w:val="pl-PL" w:eastAsia="en-US"/>
        </w:rPr>
        <w:tab/>
        <w:t>Eiropas Parlamenta un Padomes Direktīva 2010/75/ES**;</w:t>
      </w:r>
    </w:p>
    <w:p w:rsidR="00CB6573" w:rsidRPr="003F33F9" w:rsidRDefault="00CB6573" w:rsidP="00CB6573">
      <w:pPr>
        <w:spacing w:before="120" w:after="120" w:line="360" w:lineRule="auto"/>
        <w:ind w:left="3114" w:hanging="566"/>
        <w:rPr>
          <w:szCs w:val="24"/>
          <w:lang w:val="pl-PL" w:eastAsia="en-US"/>
        </w:rPr>
      </w:pPr>
      <w:r w:rsidRPr="003F33F9">
        <w:rPr>
          <w:szCs w:val="24"/>
          <w:lang w:val="pl-PL" w:eastAsia="en-US"/>
        </w:rPr>
        <w:t>-</w:t>
      </w:r>
      <w:r w:rsidRPr="003F33F9">
        <w:rPr>
          <w:szCs w:val="24"/>
          <w:lang w:val="pl-PL" w:eastAsia="en-US"/>
        </w:rPr>
        <w:tab/>
        <w:t>Padomes Direktīva 91/271/EEK***;</w:t>
      </w:r>
    </w:p>
    <w:p w:rsidR="00CB6573" w:rsidRPr="003F33F9" w:rsidRDefault="00CB6573" w:rsidP="00CB6573">
      <w:pPr>
        <w:spacing w:before="120" w:after="120" w:line="360" w:lineRule="auto"/>
        <w:ind w:left="3114" w:hanging="566"/>
        <w:rPr>
          <w:szCs w:val="24"/>
          <w:lang w:val="pl-PL" w:eastAsia="en-US"/>
        </w:rPr>
      </w:pPr>
      <w:r w:rsidRPr="003F33F9">
        <w:rPr>
          <w:szCs w:val="24"/>
          <w:lang w:val="pl-PL" w:eastAsia="en-US"/>
        </w:rPr>
        <w:t>-</w:t>
      </w:r>
      <w:r w:rsidRPr="003F33F9">
        <w:rPr>
          <w:szCs w:val="24"/>
          <w:lang w:val="pl-PL" w:eastAsia="en-US"/>
        </w:rPr>
        <w:tab/>
        <w:t>Padomes Direktīva 91/676/EEK****;</w:t>
      </w:r>
    </w:p>
    <w:p w:rsidR="00CB6573" w:rsidRPr="003F33F9" w:rsidRDefault="00CB6573" w:rsidP="00CB6573">
      <w:pPr>
        <w:spacing w:before="120" w:after="120" w:line="360" w:lineRule="auto"/>
        <w:ind w:left="3114" w:hanging="566"/>
        <w:rPr>
          <w:szCs w:val="24"/>
          <w:lang w:val="pl-PL" w:eastAsia="en-US"/>
        </w:rPr>
      </w:pPr>
      <w:r w:rsidRPr="003F33F9">
        <w:rPr>
          <w:szCs w:val="24"/>
          <w:lang w:val="pl-PL" w:eastAsia="en-US"/>
        </w:rPr>
        <w:t>-</w:t>
      </w:r>
      <w:r w:rsidRPr="003F33F9">
        <w:rPr>
          <w:szCs w:val="24"/>
          <w:lang w:val="pl-PL" w:eastAsia="en-US"/>
        </w:rPr>
        <w:tab/>
        <w:t>citi Savienības tiesību akti, kas attiecas uz punktveida vai difūzā piesārņojuma novēršanu.</w:t>
      </w:r>
    </w:p>
    <w:p w:rsidR="00CB6573" w:rsidRPr="003F33F9" w:rsidRDefault="00CB6573" w:rsidP="00CB6573">
      <w:pPr>
        <w:spacing w:before="120" w:after="120" w:line="360" w:lineRule="auto"/>
        <w:ind w:left="2548"/>
        <w:rPr>
          <w:szCs w:val="24"/>
          <w:lang w:val="pl-PL" w:eastAsia="en-US"/>
        </w:rPr>
      </w:pPr>
      <w:r w:rsidRPr="003F33F9">
        <w:rPr>
          <w:szCs w:val="24"/>
          <w:lang w:val="pl-PL" w:eastAsia="en-US"/>
        </w:rPr>
        <w:t>* Eiropas Parlamenta un Padomes Direktīva 2009/128/EK (2009. gada 21. oktobris), ar kuru nosaka Kopienas sistēmu pesticīdu ilgtspējīgas lietošanas nodrošināšanai (OV L 309, 24.11.2009., 71. lpp.).</w:t>
      </w:r>
    </w:p>
    <w:p w:rsidR="00CB6573" w:rsidRPr="003F33F9" w:rsidRDefault="00CB6573" w:rsidP="00CB6573">
      <w:pPr>
        <w:spacing w:before="120" w:after="120" w:line="360" w:lineRule="auto"/>
        <w:ind w:left="2548"/>
        <w:rPr>
          <w:szCs w:val="24"/>
          <w:lang w:val="pl-PL" w:eastAsia="en-US"/>
        </w:rPr>
      </w:pPr>
      <w:r w:rsidRPr="003F33F9">
        <w:rPr>
          <w:szCs w:val="24"/>
          <w:lang w:val="pl-PL" w:eastAsia="en-US"/>
        </w:rPr>
        <w:t>** Eiropas Parlamenta un Padomes Direktīva 2010/75/ES (2010. gada 24. novembris) par rūpnieciskajām emisijām (OV L 334, 17.12.2010., 17. lpp.).</w:t>
      </w:r>
    </w:p>
    <w:p w:rsidR="00CB6573" w:rsidRPr="003F33F9" w:rsidRDefault="00CB6573" w:rsidP="00CB6573">
      <w:pPr>
        <w:spacing w:before="120" w:after="120" w:line="360" w:lineRule="auto"/>
        <w:ind w:left="2548"/>
        <w:rPr>
          <w:szCs w:val="24"/>
          <w:lang w:val="pl-PL" w:eastAsia="en-US"/>
        </w:rPr>
      </w:pPr>
      <w:r w:rsidRPr="003F33F9">
        <w:rPr>
          <w:szCs w:val="24"/>
          <w:lang w:val="pl-PL" w:eastAsia="en-US"/>
        </w:rPr>
        <w:t>*** Padomes Direktīva 91/271/EEK (1991. gada 21. maijs) par komunālo notekūdeņu attīrīšanu (OV L 135, 30.5.1991., 40. lpp.).</w:t>
      </w:r>
    </w:p>
    <w:p w:rsidR="00CB6573" w:rsidRPr="003F33F9" w:rsidRDefault="00CB6573" w:rsidP="00CB6573">
      <w:pPr>
        <w:spacing w:before="120" w:after="120" w:line="360" w:lineRule="auto"/>
        <w:ind w:left="2548"/>
        <w:rPr>
          <w:szCs w:val="24"/>
          <w:lang w:val="pl-PL" w:eastAsia="en-US"/>
        </w:rPr>
      </w:pPr>
      <w:r w:rsidRPr="003F33F9">
        <w:rPr>
          <w:szCs w:val="24"/>
          <w:lang w:val="pl-PL" w:eastAsia="en-US"/>
        </w:rPr>
        <w:t>**** Padomes Direktīva 91/676/EEK (1991. gada 12. decembris) attiecībā uz ūdeņu aizsardzību pret piesārņojumu, ko rada lauksaimnieciskas izcelsmes nitrāti (OV L 375, 31.12.1991., 1. lpp.).;”</w:t>
      </w:r>
    </w:p>
    <w:p w:rsidR="00CB6573" w:rsidRPr="003F33F9" w:rsidRDefault="00CB6573" w:rsidP="00CB6573">
      <w:pPr>
        <w:spacing w:before="120" w:after="120" w:line="360" w:lineRule="auto"/>
        <w:ind w:left="1416" w:hanging="566"/>
        <w:rPr>
          <w:szCs w:val="24"/>
          <w:lang w:val="pl-PL" w:eastAsia="en-US"/>
        </w:rPr>
      </w:pPr>
      <w:r w:rsidRPr="003F33F9">
        <w:rPr>
          <w:szCs w:val="24"/>
          <w:lang w:val="pl-PL" w:eastAsia="en-US"/>
        </w:rPr>
        <w:br w:type="page"/>
      </w:r>
      <w:r w:rsidRPr="003F33F9">
        <w:rPr>
          <w:szCs w:val="24"/>
          <w:lang w:val="pl-PL" w:eastAsia="en-US"/>
        </w:rPr>
        <w:lastRenderedPageBreak/>
        <w:t>b)</w:t>
      </w:r>
      <w:r w:rsidRPr="003F33F9">
        <w:rPr>
          <w:szCs w:val="24"/>
          <w:lang w:val="pl-PL" w:eastAsia="en-US"/>
        </w:rPr>
        <w:tab/>
        <w:t>panta 3. punktu aizstāj ar šādu:</w:t>
      </w:r>
    </w:p>
    <w:p w:rsidR="00CB6573" w:rsidRPr="003F33F9" w:rsidRDefault="00CB6573" w:rsidP="00CB6573">
      <w:pPr>
        <w:spacing w:before="120" w:after="120" w:line="360" w:lineRule="auto"/>
        <w:ind w:left="1982" w:hanging="566"/>
        <w:rPr>
          <w:szCs w:val="24"/>
          <w:lang w:val="pl-PL" w:eastAsia="en-US"/>
        </w:rPr>
      </w:pPr>
      <w:r w:rsidRPr="003F33F9">
        <w:rPr>
          <w:szCs w:val="24"/>
          <w:lang w:val="pl-PL" w:eastAsia="en-US"/>
        </w:rPr>
        <w:t>“3.</w:t>
      </w:r>
      <w:r w:rsidRPr="003F33F9">
        <w:rPr>
          <w:szCs w:val="24"/>
          <w:lang w:val="pl-PL" w:eastAsia="en-US"/>
        </w:rPr>
        <w:tab/>
        <w:t>Ja kvalitātes mērķis, kvalitātes standarts vai robežvērtība, kas noteikti, ievērojot šo direktīvu, Direktīvu 2006/118/EK vai Direktīvu 2008/105/EK vai ievērojot jebkādu citu Savienības tiesību aktu, nosaka stingrākus nosacījumus nekā tos, kas izrietētu no 2. punkta piemērošanas, attiecīgi emisijas kontrolē stingrāk.;”</w:t>
      </w:r>
    </w:p>
    <w:p w:rsidR="00CB6573" w:rsidRPr="003F33F9" w:rsidRDefault="00CB6573" w:rsidP="00CB6573">
      <w:pPr>
        <w:spacing w:before="120" w:after="120" w:line="360" w:lineRule="auto"/>
        <w:ind w:left="850" w:hanging="850"/>
        <w:rPr>
          <w:szCs w:val="24"/>
          <w:lang w:val="pt-PT" w:eastAsia="en-US"/>
        </w:rPr>
      </w:pPr>
      <w:r w:rsidRPr="006A19EE">
        <w:rPr>
          <w:b/>
          <w:i/>
          <w:szCs w:val="24"/>
          <w:lang w:val="pt-PT" w:eastAsia="en-US"/>
        </w:rPr>
        <w:br w:type="page"/>
      </w:r>
      <w:r w:rsidRPr="003F33F9">
        <w:rPr>
          <w:b/>
          <w:i/>
          <w:szCs w:val="24"/>
          <w:lang w:val="pt-PT" w:eastAsia="en-US"/>
        </w:rPr>
        <w:lastRenderedPageBreak/>
        <w:t>7a)</w:t>
      </w:r>
      <w:r w:rsidRPr="003F33F9">
        <w:rPr>
          <w:szCs w:val="24"/>
          <w:lang w:val="pt-PT" w:eastAsia="en-US"/>
        </w:rPr>
        <w:tab/>
      </w:r>
      <w:r w:rsidRPr="003F33F9">
        <w:rPr>
          <w:b/>
          <w:i/>
          <w:szCs w:val="24"/>
          <w:lang w:val="pt-PT" w:eastAsia="en-US"/>
        </w:rPr>
        <w:t>direktīvas 11. panta 1. punktu aizstāj ar šādu:</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w:t>
      </w:r>
      <w:r w:rsidRPr="003F33F9">
        <w:rPr>
          <w:b/>
          <w:i/>
          <w:szCs w:val="24"/>
          <w:lang w:val="pt-PT" w:eastAsia="en-US"/>
        </w:rPr>
        <w:t>1.</w:t>
      </w:r>
      <w:r w:rsidRPr="003F33F9">
        <w:rPr>
          <w:szCs w:val="24"/>
          <w:lang w:val="pt-PT" w:eastAsia="en-US"/>
        </w:rPr>
        <w:tab/>
      </w:r>
      <w:r w:rsidRPr="003F33F9">
        <w:rPr>
          <w:b/>
          <w:i/>
          <w:szCs w:val="24"/>
          <w:lang w:val="pt-PT" w:eastAsia="en-US"/>
        </w:rPr>
        <w:t>Visas dalībvalstis nodrošina, ka katrā upju baseinu apgabalā vai starptautiska upju baseina daļā, kas atrodas tās teritorijā, ņemot vērā 5. pantā paredzētās analīzes rezultātus, tiek īstenota pasākumu programma, lai sasniegtu 4. pantā noteiktos mērķus. Šādās pasākumu programmās prioritāti piešķir piesārņojuma avota kontroles pasākumiem saskaņā ar attiecīgajiem Savienības nozaru tiesību aktiem par piesārņojumu. Papildus piesārņojuma avota kontroles pasākumiem piemēro beidzamās izplūdes pasākumus, ja pastāv risks, ka ar piesārņojuma avota kontroles pasākumiem netiks panākts labs ūdens objektu stāvoklis. Pasākumu programmās var atsaukties uz pasākumiem, kas izriet no valstu līmenī pieņemtiem tiesību aktiem un attiecas uz visu dalībvalsts teritoriju. Attiecīgā gadījumā dalībvalsts var pieņemt pasākumus, kas piemērojami visiem upju baseinu apgabaliem un/vai starptautisku upju baseinu daļām, kas atrodas to teritorijā. Komisija izstrādā norādījumus par piesārņojuma avotu kontroles paraugpraksi un papildināmību ar beidzamās izplūdes pasākumiem.”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67]</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7b)</w:t>
      </w:r>
      <w:r w:rsidRPr="003F33F9">
        <w:rPr>
          <w:szCs w:val="24"/>
          <w:lang w:val="pt-PT" w:eastAsia="en-US"/>
        </w:rPr>
        <w:tab/>
      </w:r>
      <w:r w:rsidRPr="003F33F9">
        <w:rPr>
          <w:b/>
          <w:i/>
          <w:szCs w:val="24"/>
          <w:lang w:val="pt-PT" w:eastAsia="en-US"/>
        </w:rPr>
        <w:t>direktīvas 11. panta 3. punkta c) apakšpunktu aizstāj ar šādu:</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w:t>
      </w:r>
      <w:r w:rsidRPr="003F33F9">
        <w:rPr>
          <w:b/>
          <w:i/>
          <w:szCs w:val="24"/>
          <w:lang w:val="pt-PT" w:eastAsia="en-US"/>
        </w:rPr>
        <w:t>c)</w:t>
      </w:r>
      <w:r w:rsidRPr="003F33F9">
        <w:rPr>
          <w:szCs w:val="24"/>
          <w:lang w:val="pt-PT" w:eastAsia="en-US"/>
        </w:rPr>
        <w:tab/>
      </w:r>
      <w:r w:rsidRPr="003F33F9">
        <w:rPr>
          <w:b/>
          <w:i/>
          <w:szCs w:val="24"/>
          <w:lang w:val="pt-PT" w:eastAsia="en-US"/>
        </w:rPr>
        <w:t>pasākumi, ko veic nolūkā sekmēt lietderīgu un noturīgu ūdens resursu izmantošanu, cita starpā lauksaimniecībā, lai izvairītos no kavēkļiem 4. pantā izvirzīto mērķu sasniegšanai;</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68]</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(8)</w:t>
      </w:r>
      <w:r w:rsidRPr="003F33F9">
        <w:rPr>
          <w:szCs w:val="24"/>
          <w:lang w:val="pt-PT" w:eastAsia="en-US"/>
        </w:rPr>
        <w:tab/>
        <w:t>direktīvas 11. panta 3. punkta k) apakšpunktu aizstāj ar šādu: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“k)</w:t>
      </w:r>
      <w:r w:rsidRPr="003F33F9">
        <w:rPr>
          <w:szCs w:val="24"/>
          <w:lang w:val="pt-PT" w:eastAsia="en-US"/>
        </w:rPr>
        <w:tab/>
        <w:t>pasākumi, kas vajadzīgi, lai likvidētu virszemes ūdeņu piesārņojumu ar prioritārajām bīstamajām vielām un pakāpeniski samazinātu piesārņojumu ar citām vielām, kurš pretējā gadījumā dalībvalstīm neļautu sasniegt vidiskos mērķus, kas attiecībā uz virszemes ūdens objektiem izvirzīti 4. pantā;;”</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t>8a)</w:t>
      </w:r>
      <w:r w:rsidRPr="003F33F9">
        <w:rPr>
          <w:szCs w:val="24"/>
          <w:lang w:val="pt-PT" w:eastAsia="en-US"/>
        </w:rPr>
        <w:tab/>
      </w:r>
      <w:r w:rsidRPr="003F33F9">
        <w:rPr>
          <w:b/>
          <w:i/>
          <w:szCs w:val="24"/>
          <w:lang w:val="pt-PT" w:eastAsia="en-US"/>
        </w:rPr>
        <w:t>direktīvas 11. panta 5. punkta otro ievilkumu aizstāj ar šādu:</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w:t>
      </w:r>
      <w:r w:rsidRPr="003F33F9">
        <w:rPr>
          <w:b/>
          <w:i/>
          <w:szCs w:val="24"/>
          <w:lang w:val="pt-PT" w:eastAsia="en-US"/>
        </w:rPr>
        <w:t>-</w:t>
      </w:r>
      <w:r w:rsidRPr="003F33F9">
        <w:rPr>
          <w:szCs w:val="24"/>
          <w:lang w:val="pt-PT" w:eastAsia="en-US"/>
        </w:rPr>
        <w:tab/>
      </w:r>
      <w:r w:rsidRPr="003F33F9">
        <w:rPr>
          <w:b/>
          <w:i/>
          <w:szCs w:val="24"/>
          <w:lang w:val="pt-PT" w:eastAsia="en-US"/>
        </w:rPr>
        <w:t>pēc vajadzības tiek pārbaudītas un pārskatītas, un pienācīgi pamatotos gadījumos apturētas attiecīgās atļaujas un pilnvarojumi,”</w:t>
      </w:r>
      <w:r w:rsidRPr="003F33F9">
        <w:rPr>
          <w:szCs w:val="24"/>
          <w:lang w:val="pt-PT" w:eastAsia="en-US"/>
        </w:rPr>
        <w:t xml:space="preserve">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69]</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(9)</w:t>
      </w:r>
      <w:r w:rsidRPr="003F33F9">
        <w:rPr>
          <w:szCs w:val="24"/>
          <w:lang w:val="pt-PT" w:eastAsia="en-US"/>
        </w:rPr>
        <w:tab/>
        <w:t>direktīvas 12. pantu aizstāj ar šādu: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“12. pants</w:t>
      </w:r>
      <w:r w:rsidR="004476FE" w:rsidRPr="003F33F9">
        <w:rPr>
          <w:szCs w:val="24"/>
          <w:lang w:val="pt-PT" w:eastAsia="en-US"/>
        </w:rPr>
        <w:br/>
      </w:r>
      <w:r w:rsidRPr="003F33F9">
        <w:rPr>
          <w:szCs w:val="24"/>
          <w:lang w:val="pt-PT" w:eastAsia="en-US"/>
        </w:rPr>
        <w:t>Jautājumi, ko nevar atrisināt dalībvalsts līmenī</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1.</w:t>
      </w:r>
      <w:r w:rsidRPr="003F33F9">
        <w:rPr>
          <w:szCs w:val="24"/>
          <w:lang w:val="pt-PT" w:eastAsia="en-US"/>
        </w:rPr>
        <w:tab/>
        <w:t>Ja dalībvalsts identificē jautājumu, kurš ietekmē tās ūdens resursu apsaimniekošanu, bet dalībvalsts līmenī nav atrisināms, tā par šo jautājumu ziņo Komisijai un jebkādai citai attiecīgai dalībvalstij un iesaka iespējamos risinājumus.</w:t>
      </w:r>
    </w:p>
    <w:p w:rsidR="00CB6573" w:rsidRPr="003F33F9" w:rsidRDefault="00CB6573" w:rsidP="00CB6573">
      <w:pPr>
        <w:spacing w:before="120" w:after="120" w:line="360" w:lineRule="auto"/>
        <w:ind w:left="1416"/>
        <w:rPr>
          <w:b/>
          <w:szCs w:val="24"/>
          <w:lang w:val="pt-PT" w:eastAsia="en-US"/>
        </w:rPr>
      </w:pPr>
      <w:r w:rsidRPr="003F33F9">
        <w:rPr>
          <w:b/>
          <w:i/>
          <w:szCs w:val="24"/>
          <w:lang w:val="pt-PT" w:eastAsia="en-US"/>
        </w:rPr>
        <w:t>Komisija sešu mēnešu laikā sniedz atbildi uz visiem dalībvalstu paziņojumiem. Ja jautājums attiecas uz labu ķīmiskās kvalitātes rādītāju nesasniegšanu, Komisija rīkojas saskaņā ar Direktīvas 2008/105/EK 7.a pantu.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70]</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2.</w:t>
      </w:r>
      <w:r w:rsidRPr="003F33F9">
        <w:rPr>
          <w:szCs w:val="24"/>
          <w:lang w:val="pt-PT" w:eastAsia="en-US"/>
        </w:rPr>
        <w:tab/>
        <w:t>Attiecīgās dalībvalstis sadarbojas, lai noskaidrotu 1. punktā minēto jautājumu rašanās cēloņus un to, ar kādiem pasākumiem šie jautājumi jārisina.</w:t>
      </w:r>
    </w:p>
    <w:p w:rsidR="00CB6573" w:rsidRPr="003F33F9" w:rsidRDefault="00CB6573" w:rsidP="00CB6573">
      <w:pPr>
        <w:spacing w:before="120" w:after="120" w:line="360" w:lineRule="auto"/>
        <w:ind w:left="1416"/>
        <w:rPr>
          <w:b/>
          <w:szCs w:val="24"/>
          <w:lang w:val="pt-PT" w:eastAsia="en-US"/>
        </w:rPr>
      </w:pPr>
      <w:r w:rsidRPr="003F33F9">
        <w:rPr>
          <w:szCs w:val="24"/>
          <w:lang w:val="pt-PT" w:eastAsia="en-US"/>
        </w:rPr>
        <w:br w:type="page"/>
      </w:r>
      <w:r w:rsidRPr="003F33F9">
        <w:rPr>
          <w:szCs w:val="24"/>
          <w:lang w:val="pt-PT" w:eastAsia="en-US"/>
        </w:rPr>
        <w:lastRenderedPageBreak/>
        <w:t xml:space="preserve">Dalībvalstis cita citai atbild savlaicīgi un ne vēlāk kā </w:t>
      </w:r>
      <w:r w:rsidRPr="003F33F9">
        <w:rPr>
          <w:strike/>
          <w:szCs w:val="24"/>
          <w:lang w:val="pt-PT" w:eastAsia="en-US"/>
        </w:rPr>
        <w:t>trīs</w:t>
      </w:r>
      <w:r w:rsidRPr="003F33F9">
        <w:rPr>
          <w:b/>
          <w:i/>
          <w:szCs w:val="24"/>
          <w:lang w:val="pt-PT" w:eastAsia="en-US"/>
        </w:rPr>
        <w:t>divus</w:t>
      </w:r>
      <w:r w:rsidRPr="003F33F9">
        <w:rPr>
          <w:szCs w:val="24"/>
          <w:lang w:val="pt-PT" w:eastAsia="en-US"/>
        </w:rPr>
        <w:t xml:space="preserve"> mēnešus pēc tam, kad izdarīts ar 1. punktu saskanīgs paziņojums.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71]</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Komisiju informē par visiem 2. punktā minētās sadarbības pasākumiem un uzaicina tajos piedalīties. Attiecīgā gadījumā Komisija, ņemot vērā ziņojumus, kas sagatavoti saskaņā ar 13. pantu, apsver, vai ir vajadzīga tālāka Savienības līmeņa rīcība, kas mazinātu pārrobežu ietekmi uz ūdens objektiem.;”</w:t>
      </w:r>
    </w:p>
    <w:p w:rsidR="00CB6573" w:rsidRPr="003F33F9" w:rsidRDefault="004476FE" w:rsidP="00CB6573">
      <w:pPr>
        <w:spacing w:before="120" w:after="120" w:line="360" w:lineRule="auto"/>
        <w:ind w:left="850" w:hanging="850"/>
        <w:rPr>
          <w:szCs w:val="24"/>
          <w:lang w:val="pt-PT" w:eastAsia="en-US"/>
        </w:rPr>
      </w:pPr>
      <w:r w:rsidRPr="003F33F9">
        <w:rPr>
          <w:b/>
          <w:i/>
          <w:szCs w:val="24"/>
          <w:lang w:val="pt-PT" w:eastAsia="en-US"/>
        </w:rPr>
        <w:t>(</w:t>
      </w:r>
      <w:r w:rsidR="00CB6573" w:rsidRPr="003F33F9">
        <w:rPr>
          <w:b/>
          <w:i/>
          <w:szCs w:val="24"/>
          <w:lang w:val="pt-PT" w:eastAsia="en-US"/>
        </w:rPr>
        <w:t>9a)</w:t>
      </w:r>
      <w:r w:rsidR="00CB6573" w:rsidRPr="003F33F9">
        <w:rPr>
          <w:szCs w:val="24"/>
          <w:lang w:val="pt-PT" w:eastAsia="en-US"/>
        </w:rPr>
        <w:tab/>
      </w:r>
      <w:r w:rsidR="00CB6573" w:rsidRPr="003F33F9">
        <w:rPr>
          <w:b/>
          <w:i/>
          <w:szCs w:val="24"/>
          <w:lang w:val="pt-PT" w:eastAsia="en-US"/>
        </w:rPr>
        <w:t>direktīvas 13. pantā iekļauj šādu punktu:</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w:t>
      </w:r>
      <w:r w:rsidRPr="003F33F9">
        <w:rPr>
          <w:b/>
          <w:i/>
          <w:szCs w:val="24"/>
          <w:lang w:val="pt-PT" w:eastAsia="en-US"/>
        </w:rPr>
        <w:t>4.a.</w:t>
      </w:r>
      <w:r w:rsidRPr="003F33F9">
        <w:rPr>
          <w:szCs w:val="24"/>
          <w:lang w:val="pt-PT" w:eastAsia="en-US"/>
        </w:rPr>
        <w:tab/>
      </w:r>
      <w:r w:rsidRPr="003F33F9">
        <w:rPr>
          <w:b/>
          <w:i/>
          <w:szCs w:val="24"/>
          <w:lang w:val="pt-PT" w:eastAsia="en-US"/>
        </w:rPr>
        <w:t>Komisija noraida dalībvalstu iesniegtos upju baseinu apsaimniekošanas plānus, ja šie plāni neietver VII pielikumā norādītos elementus.</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72]</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004476FE" w:rsidRPr="003F33F9">
        <w:rPr>
          <w:b/>
          <w:i/>
          <w:szCs w:val="24"/>
          <w:lang w:val="pt-PT" w:eastAsia="en-US"/>
        </w:rPr>
        <w:lastRenderedPageBreak/>
        <w:t>(</w:t>
      </w:r>
      <w:r w:rsidRPr="003F33F9">
        <w:rPr>
          <w:b/>
          <w:i/>
          <w:szCs w:val="24"/>
          <w:lang w:val="pt-PT" w:eastAsia="en-US"/>
        </w:rPr>
        <w:t>9b)</w:t>
      </w:r>
      <w:r w:rsidRPr="003F33F9">
        <w:rPr>
          <w:szCs w:val="24"/>
          <w:lang w:val="pt-PT" w:eastAsia="en-US"/>
        </w:rPr>
        <w:tab/>
      </w:r>
      <w:r w:rsidRPr="003F33F9">
        <w:rPr>
          <w:b/>
          <w:i/>
          <w:szCs w:val="24"/>
          <w:lang w:val="pt-PT" w:eastAsia="en-US"/>
        </w:rPr>
        <w:t>iekļauj šādu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w:t>
      </w:r>
      <w:r w:rsidRPr="003F33F9">
        <w:rPr>
          <w:b/>
          <w:i/>
          <w:szCs w:val="24"/>
          <w:lang w:val="pt-PT" w:eastAsia="en-US"/>
        </w:rPr>
        <w:t>14.a pants</w:t>
      </w:r>
      <w:r w:rsidRPr="003F33F9">
        <w:rPr>
          <w:szCs w:val="24"/>
          <w:lang w:val="pt-PT" w:eastAsia="en-US"/>
        </w:rPr>
        <w:br/>
      </w:r>
      <w:r w:rsidRPr="003F33F9">
        <w:rPr>
          <w:b/>
          <w:i/>
          <w:szCs w:val="24"/>
          <w:lang w:val="pt-PT" w:eastAsia="en-US"/>
        </w:rPr>
        <w:t xml:space="preserve">Tiesu iestāžu pieejamība </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1.</w:t>
      </w:r>
      <w:r w:rsidRPr="003F33F9">
        <w:rPr>
          <w:szCs w:val="24"/>
          <w:lang w:val="pt-PT" w:eastAsia="en-US"/>
        </w:rPr>
        <w:tab/>
      </w:r>
      <w:r w:rsidRPr="003F33F9">
        <w:rPr>
          <w:b/>
          <w:i/>
          <w:szCs w:val="24"/>
          <w:lang w:val="pt-PT" w:eastAsia="en-US"/>
        </w:rPr>
        <w:t>Dalībvalstis nodrošina, ka sabiedrības locekļiem, kuriem ir pamatotas intereses vai kuri uzskata, ka ir aizskartas viņu tiesības, saskaņā ar valsts tiesību aktiem ir pieejama pārskatīšanas procedūra tiesā vai citā ar likumu izveidotā neatkarīgā un objektīvā struktūrā, lai apstrīdētu tādu jebkuru lēmumu, aktu vai nolaidību pēc būtības vai tā procesuālo likumību, uz kuru attiecas šī direktīva, cita starpā attiecībā uz:</w:t>
      </w:r>
    </w:p>
    <w:p w:rsidR="00CB6573" w:rsidRPr="003F33F9" w:rsidRDefault="00CB6573" w:rsidP="00CB6573">
      <w:pPr>
        <w:spacing w:before="120" w:after="120" w:line="360" w:lineRule="auto"/>
        <w:ind w:left="1982" w:hanging="566"/>
        <w:rPr>
          <w:szCs w:val="24"/>
          <w:lang w:val="pt-PT" w:eastAsia="en-US"/>
        </w:rPr>
      </w:pPr>
      <w:r w:rsidRPr="003F33F9">
        <w:rPr>
          <w:b/>
          <w:i/>
          <w:szCs w:val="24"/>
          <w:lang w:val="pt-PT" w:eastAsia="en-US"/>
        </w:rPr>
        <w:t>a)</w:t>
      </w:r>
      <w:r w:rsidRPr="003F33F9">
        <w:rPr>
          <w:szCs w:val="24"/>
          <w:lang w:val="pt-PT" w:eastAsia="en-US"/>
        </w:rPr>
        <w:tab/>
      </w:r>
      <w:r w:rsidRPr="003F33F9">
        <w:rPr>
          <w:b/>
          <w:i/>
          <w:szCs w:val="24"/>
          <w:lang w:val="pt-PT" w:eastAsia="en-US"/>
        </w:rPr>
        <w:t>plāniem un projektiem, kas var būt pretrunā ar 4. panta prasībām, tostarp nolūkā novērst ūdens objektu stāvokļa pasliktināšanos un sasniegt labu ūdens stāvokli, labu ekoloģisko potenciālu un/vai labus ūdens ķīmiskās kvalitātes rādītājus, ciktāl minētās prasības nav jau noteiktas Direktīvas 2011/92/ES 11. pantā;</w:t>
      </w:r>
    </w:p>
    <w:p w:rsidR="00CB6573" w:rsidRPr="003F33F9" w:rsidRDefault="00CB6573" w:rsidP="00CB6573">
      <w:pPr>
        <w:spacing w:before="120" w:after="120" w:line="360" w:lineRule="auto"/>
        <w:ind w:left="1982" w:hanging="566"/>
        <w:rPr>
          <w:szCs w:val="24"/>
          <w:lang w:val="pt-PT" w:eastAsia="en-US"/>
        </w:rPr>
      </w:pPr>
      <w:r w:rsidRPr="003F33F9">
        <w:rPr>
          <w:b/>
          <w:i/>
          <w:szCs w:val="24"/>
          <w:lang w:val="pt-PT" w:eastAsia="en-US"/>
        </w:rPr>
        <w:br w:type="page"/>
      </w:r>
      <w:r w:rsidRPr="003F33F9">
        <w:rPr>
          <w:b/>
          <w:i/>
          <w:szCs w:val="24"/>
          <w:lang w:val="pt-PT" w:eastAsia="en-US"/>
        </w:rPr>
        <w:lastRenderedPageBreak/>
        <w:t>b)</w:t>
      </w:r>
      <w:r w:rsidRPr="003F33F9">
        <w:rPr>
          <w:szCs w:val="24"/>
          <w:lang w:val="pt-PT" w:eastAsia="en-US"/>
        </w:rPr>
        <w:tab/>
      </w:r>
      <w:r w:rsidRPr="003F33F9">
        <w:rPr>
          <w:b/>
          <w:i/>
          <w:szCs w:val="24"/>
          <w:lang w:val="pt-PT" w:eastAsia="en-US"/>
        </w:rPr>
        <w:t>direktīvas 11. pantā minētajām pasākumu programmām, 13. panta 1. punktā minētajiem dalībvalstu upju baseinu apsaimniekošanas plāniem un dalībvalstu papildu programmām vai apsaimniekošanas plāniem, kā minēts 13. panta 5. punktā.</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2.</w:t>
      </w:r>
      <w:r w:rsidRPr="003F33F9">
        <w:rPr>
          <w:szCs w:val="24"/>
          <w:lang w:val="pt-PT" w:eastAsia="en-US"/>
        </w:rPr>
        <w:tab/>
      </w:r>
      <w:r w:rsidRPr="003F33F9">
        <w:rPr>
          <w:b/>
          <w:i/>
          <w:szCs w:val="24"/>
          <w:lang w:val="pt-PT" w:eastAsia="en-US"/>
        </w:rPr>
        <w:t>To, kas ir pamatotas intereses un tiesību aizskārums, dalībvalstis nosaka atbilstoši mērķim nodrošināt sabiedrībai plašas iespējas vērsties tiesā. Šā panta 1. punkta nolūkos uzskata, ka jebkurai nevalstiskajai organizācijai, kas veicina vides aizsardzību un atbilst visām attiecīgajām valsts tiesību aktu prasībām, ir tiesības, kuras var tikt aizskartas, un ka tās intereses ir pamatotas.</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3.</w:t>
      </w:r>
      <w:r w:rsidRPr="003F33F9">
        <w:rPr>
          <w:szCs w:val="24"/>
          <w:lang w:val="pt-PT" w:eastAsia="en-US"/>
        </w:rPr>
        <w:tab/>
      </w:r>
      <w:r w:rsidRPr="003F33F9">
        <w:rPr>
          <w:b/>
          <w:i/>
          <w:szCs w:val="24"/>
          <w:lang w:val="pt-PT" w:eastAsia="en-US"/>
        </w:rPr>
        <w:t>Panta 1. punktā minētās pārskatīšanas procedūras ir taisnīgas un objektīvas un tiek savlaicīgi pabeigtas, un nav pārmērīgi dārgas. Minētās procedūras arī ietver pienācīgus un efektīvus tiesiskās aizsardzības līdzekļus, citastarp attiecīgā gadījumā tiesas priekšrakstu.</w:t>
      </w:r>
    </w:p>
    <w:p w:rsidR="00CB6573" w:rsidRPr="003F33F9" w:rsidRDefault="00CB6573" w:rsidP="00CB6573">
      <w:pPr>
        <w:spacing w:before="120" w:after="120" w:line="360" w:lineRule="auto"/>
        <w:ind w:left="1416" w:hanging="566"/>
        <w:rPr>
          <w:b/>
          <w:szCs w:val="24"/>
          <w:lang w:val="pt-PT" w:eastAsia="en-US"/>
        </w:rPr>
      </w:pPr>
      <w:r w:rsidRPr="003F33F9">
        <w:rPr>
          <w:b/>
          <w:i/>
          <w:szCs w:val="24"/>
          <w:lang w:val="pt-PT" w:eastAsia="en-US"/>
        </w:rPr>
        <w:br w:type="page"/>
      </w:r>
      <w:r w:rsidRPr="003F33F9">
        <w:rPr>
          <w:b/>
          <w:i/>
          <w:szCs w:val="24"/>
          <w:lang w:val="pt-PT" w:eastAsia="en-US"/>
        </w:rPr>
        <w:lastRenderedPageBreak/>
        <w:t>4.</w:t>
      </w:r>
      <w:r w:rsidRPr="003F33F9">
        <w:rPr>
          <w:szCs w:val="24"/>
          <w:lang w:val="pt-PT" w:eastAsia="en-US"/>
        </w:rPr>
        <w:tab/>
      </w:r>
      <w:r w:rsidRPr="003F33F9">
        <w:rPr>
          <w:b/>
          <w:i/>
          <w:szCs w:val="24"/>
          <w:lang w:val="pt-PT" w:eastAsia="en-US"/>
        </w:rPr>
        <w:t>Dalībvalstis nodrošina, ka sabiedrībai ir pieejama praktiska informācija par piekļuvi šajā pantā minētajām administratīvajām un pārskatīšanas tiesā procedūrām.</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73]</w:t>
      </w:r>
    </w:p>
    <w:p w:rsidR="00CB6573" w:rsidRPr="003F33F9" w:rsidRDefault="00CB6573" w:rsidP="00CB6573">
      <w:pPr>
        <w:spacing w:before="120" w:after="120" w:line="360" w:lineRule="auto"/>
        <w:ind w:left="850" w:hanging="850"/>
        <w:rPr>
          <w:b/>
          <w:szCs w:val="24"/>
          <w:lang w:val="pt-PT" w:eastAsia="en-US"/>
        </w:rPr>
      </w:pPr>
      <w:r w:rsidRPr="003F33F9">
        <w:rPr>
          <w:strike/>
          <w:szCs w:val="24"/>
          <w:lang w:val="pt-PT" w:eastAsia="en-US"/>
        </w:rPr>
        <w:t>(10)</w:t>
      </w:r>
      <w:r w:rsidRPr="003F33F9">
        <w:rPr>
          <w:szCs w:val="24"/>
          <w:lang w:val="pt-PT" w:eastAsia="en-US"/>
        </w:rPr>
        <w:tab/>
      </w:r>
      <w:r w:rsidRPr="003F33F9">
        <w:rPr>
          <w:strike/>
          <w:szCs w:val="24"/>
          <w:lang w:val="pt-PT" w:eastAsia="en-US"/>
        </w:rPr>
        <w:t>direktīvas 15. panta 3. punktu svītro;</w:t>
      </w:r>
      <w:r w:rsidRPr="003F33F9">
        <w:rPr>
          <w:b/>
          <w:strike/>
          <w:szCs w:val="24"/>
          <w:lang w:val="pt-PT" w:eastAsia="en-US"/>
        </w:rPr>
        <w:t xml:space="preserve"> </w:t>
      </w:r>
      <w:r w:rsidR="00D116DF" w:rsidRPr="003F33F9">
        <w:rPr>
          <w:b/>
          <w:szCs w:val="24"/>
          <w:lang w:val="pt-PT" w:eastAsia="en-US"/>
        </w:rPr>
        <w:t xml:space="preserve">[Gr. </w:t>
      </w:r>
      <w:r w:rsidRPr="003F33F9">
        <w:rPr>
          <w:b/>
          <w:szCs w:val="24"/>
          <w:lang w:val="pt-PT" w:eastAsia="en-US"/>
        </w:rPr>
        <w:t>74]</w:t>
      </w:r>
    </w:p>
    <w:p w:rsidR="00CB6573" w:rsidRPr="003F33F9" w:rsidRDefault="004476FE" w:rsidP="00CB6573">
      <w:pPr>
        <w:spacing w:before="120" w:after="120" w:line="360" w:lineRule="auto"/>
        <w:ind w:left="850" w:hanging="850"/>
        <w:rPr>
          <w:szCs w:val="24"/>
          <w:lang w:val="pt-PT" w:eastAsia="en-US"/>
        </w:rPr>
      </w:pPr>
      <w:r w:rsidRPr="003F33F9">
        <w:rPr>
          <w:b/>
          <w:i/>
          <w:szCs w:val="24"/>
          <w:lang w:val="pt-PT" w:eastAsia="en-US"/>
        </w:rPr>
        <w:t>(</w:t>
      </w:r>
      <w:r w:rsidR="00CB6573" w:rsidRPr="003F33F9">
        <w:rPr>
          <w:b/>
          <w:i/>
          <w:szCs w:val="24"/>
          <w:lang w:val="pt-PT" w:eastAsia="en-US"/>
        </w:rPr>
        <w:t>10a)</w:t>
      </w:r>
      <w:r w:rsidR="00CB6573" w:rsidRPr="003F33F9">
        <w:rPr>
          <w:szCs w:val="24"/>
          <w:lang w:val="pt-PT" w:eastAsia="en-US"/>
        </w:rPr>
        <w:tab/>
      </w:r>
      <w:r w:rsidR="00CB6573" w:rsidRPr="003F33F9">
        <w:rPr>
          <w:b/>
          <w:i/>
          <w:szCs w:val="24"/>
          <w:lang w:val="pt-PT" w:eastAsia="en-US"/>
        </w:rPr>
        <w:t>direktīvas 15. panta 3. punktam pievieno šādu daļu:</w:t>
      </w:r>
    </w:p>
    <w:p w:rsidR="00CB6573" w:rsidRPr="003F33F9" w:rsidRDefault="00CB6573" w:rsidP="00CB6573">
      <w:pPr>
        <w:spacing w:before="120" w:after="120" w:line="360" w:lineRule="auto"/>
        <w:ind w:left="850"/>
        <w:rPr>
          <w:b/>
          <w:szCs w:val="24"/>
          <w:lang w:val="pt-PT" w:eastAsia="en-US"/>
        </w:rPr>
      </w:pPr>
      <w:r w:rsidRPr="003F33F9">
        <w:rPr>
          <w:szCs w:val="24"/>
          <w:lang w:val="pt-PT" w:eastAsia="en-US"/>
        </w:rPr>
        <w:t>“</w:t>
      </w:r>
      <w:r w:rsidRPr="003F33F9">
        <w:rPr>
          <w:b/>
          <w:i/>
          <w:szCs w:val="24"/>
          <w:lang w:val="pt-PT" w:eastAsia="en-US"/>
        </w:rPr>
        <w:t>Komisija ne vēlāk kā ...[seši mēneši pēc šīs direktīvas stāšanās spēkā] pieņem pamatnostādnes un veidnes attiecībā uz pirmajā daļā minēto starpposma ziņojumu saturu, struktūru un formātu.</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75]</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(11)</w:t>
      </w:r>
      <w:r w:rsidRPr="003F33F9">
        <w:rPr>
          <w:szCs w:val="24"/>
          <w:lang w:val="pt-PT" w:eastAsia="en-US"/>
        </w:rPr>
        <w:tab/>
        <w:t>direktīvas 16. un 17. pantu svītro;</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(12)</w:t>
      </w:r>
      <w:r w:rsidRPr="003F33F9">
        <w:rPr>
          <w:szCs w:val="24"/>
          <w:lang w:val="pt-PT" w:eastAsia="en-US"/>
        </w:rPr>
        <w:tab/>
        <w:t>direktīvas 18. pantu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panta 2. punkta e) apakšpunktu aizstāj ar šādu: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“e)</w:t>
      </w:r>
      <w:r w:rsidRPr="003F33F9">
        <w:rPr>
          <w:szCs w:val="24"/>
          <w:lang w:val="pt-PT" w:eastAsia="en-US"/>
        </w:rPr>
        <w:tab/>
        <w:t>to priekšlikumu, kontroles pasākumu un stratēģiju kopsavilkumu, kas izstrādāti, lai kontrolētu ķīmisko piesārņojumu vai izbeigtu vai pakāpeniski izbeigtu bīstamo vielu izmantošanu;;”</w:t>
      </w:r>
    </w:p>
    <w:p w:rsidR="00CB6573" w:rsidRPr="003F33F9" w:rsidRDefault="00CB6573" w:rsidP="00CB6573">
      <w:pPr>
        <w:spacing w:before="120" w:after="120" w:line="360" w:lineRule="auto"/>
        <w:rPr>
          <w:b/>
          <w:szCs w:val="24"/>
          <w:lang w:val="pl-PL" w:eastAsia="en-US"/>
        </w:rPr>
      </w:pPr>
      <w:r w:rsidRPr="003F33F9">
        <w:rPr>
          <w:strike/>
          <w:szCs w:val="24"/>
          <w:lang w:val="pl-PL" w:eastAsia="en-US"/>
        </w:rPr>
        <w:t>(b)</w:t>
      </w:r>
      <w:r w:rsidRPr="003F33F9">
        <w:rPr>
          <w:szCs w:val="24"/>
          <w:lang w:val="pl-PL" w:eastAsia="en-US"/>
        </w:rPr>
        <w:tab/>
      </w:r>
      <w:r w:rsidRPr="003F33F9">
        <w:rPr>
          <w:strike/>
          <w:szCs w:val="24"/>
          <w:lang w:val="pl-PL" w:eastAsia="en-US"/>
        </w:rPr>
        <w:t xml:space="preserve">panta 4. punktu svītro; </w:t>
      </w:r>
      <w:r w:rsidRPr="003F33F9">
        <w:rPr>
          <w:b/>
          <w:strike/>
          <w:szCs w:val="24"/>
          <w:lang w:val="pl-PL" w:eastAsia="en-US"/>
        </w:rPr>
        <w:t xml:space="preserve"> </w:t>
      </w:r>
      <w:r w:rsidR="00D116DF" w:rsidRPr="003F33F9">
        <w:rPr>
          <w:b/>
          <w:szCs w:val="24"/>
          <w:lang w:val="pl-PL" w:eastAsia="en-US"/>
        </w:rPr>
        <w:t xml:space="preserve">[Gr. </w:t>
      </w:r>
      <w:r w:rsidRPr="003F33F9">
        <w:rPr>
          <w:b/>
          <w:szCs w:val="24"/>
          <w:lang w:val="pl-PL" w:eastAsia="en-US"/>
        </w:rPr>
        <w:t>76]</w:t>
      </w:r>
    </w:p>
    <w:p w:rsidR="00CB6573" w:rsidRPr="003F33F9" w:rsidRDefault="00CB6573" w:rsidP="00CB6573">
      <w:pPr>
        <w:spacing w:before="120" w:after="120" w:line="360" w:lineRule="auto"/>
        <w:ind w:left="850" w:hanging="850"/>
        <w:rPr>
          <w:szCs w:val="24"/>
          <w:lang w:val="pt-PT" w:eastAsia="en-US"/>
        </w:rPr>
      </w:pPr>
      <w:r w:rsidRPr="006A19EE">
        <w:rPr>
          <w:szCs w:val="24"/>
          <w:lang w:val="pt-PT" w:eastAsia="en-US"/>
        </w:rPr>
        <w:br w:type="page"/>
      </w:r>
      <w:r w:rsidRPr="003F33F9">
        <w:rPr>
          <w:szCs w:val="24"/>
          <w:lang w:val="pt-PT" w:eastAsia="en-US"/>
        </w:rPr>
        <w:lastRenderedPageBreak/>
        <w:t>(13)</w:t>
      </w:r>
      <w:r w:rsidRPr="003F33F9">
        <w:rPr>
          <w:szCs w:val="24"/>
          <w:lang w:val="pt-PT" w:eastAsia="en-US"/>
        </w:rPr>
        <w:tab/>
        <w:t>direktīvas 20. pantu aizstāj ar šādu: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“20. pants</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Šīs direktīvas tehniskie pielāgojumi un īstenošana</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1.</w:t>
      </w:r>
      <w:r w:rsidRPr="003F33F9">
        <w:rPr>
          <w:szCs w:val="24"/>
          <w:lang w:val="pt-PT" w:eastAsia="en-US"/>
        </w:rPr>
        <w:tab/>
        <w:t>Komisija tiek pilnvarota pieņemt ar 20.a pantu saskanīgus deleģētos aktus, ar kuriem I un III pielikumu un V pielikuma 1.3.6. iedaļu groza, lai zinātnes un tehnikas attīstībai pielāgotu attiecīgi informēšanas prasības, kas saistītas ar kompetentajām iestādēm, ekonomiskās analīzes saturam izvirzītās prasības un atsevišķus monitoringa standartus.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2.</w:t>
      </w:r>
      <w:r w:rsidRPr="003F33F9">
        <w:rPr>
          <w:szCs w:val="24"/>
          <w:lang w:val="pt-PT" w:eastAsia="en-US"/>
        </w:rPr>
        <w:tab/>
        <w:t>Komisija tiek pilnvarota pieņemt ar 20.a pantu saskanīgus deleģētos aktus, ar kuriem šo direktīvu papildina, nosakot vērtības, kas dalībvalstu monitoringa sistēmu īstenotās klasificēšanas vajadzībām savukārt noteiktas, veicot V pielikuma 1.4.1. punktā paredzēto savstarpēji salīdzinošo kalibrēšanu.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Komisija tiek pilnvarota pieņemt īstenošanas aktus, ar kuriem nosaka tehniskos formātus, kādos nosūtāmi 8. panta 4. punktā minētie dati. Šos īstenošanas aktus pieņem saskaņā ar 21. panta 2. punktā minēto pārbaudes procedūru. Kad Komisija nosaka minētos formātus, vajadzības gadījumā tai palīdz EVA.;”</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(14)</w:t>
      </w:r>
      <w:r w:rsidRPr="003F33F9">
        <w:rPr>
          <w:szCs w:val="24"/>
          <w:lang w:val="pt-PT" w:eastAsia="en-US"/>
        </w:rPr>
        <w:tab/>
        <w:t>iekļauj šādu 20.a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“20.a pants</w:t>
      </w:r>
      <w:r w:rsidRPr="003F33F9">
        <w:rPr>
          <w:szCs w:val="24"/>
          <w:lang w:val="pt-PT" w:eastAsia="en-US"/>
        </w:rPr>
        <w:br/>
        <w:t>Deleģēšanas īstenošana</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1.</w:t>
      </w:r>
      <w:r w:rsidRPr="003F33F9">
        <w:rPr>
          <w:szCs w:val="24"/>
          <w:lang w:val="pt-PT" w:eastAsia="en-US"/>
        </w:rPr>
        <w:tab/>
        <w:t>Pilnvaras pieņemt deleģētos aktus Komisijai piešķir, ievērojot šajā pantā izklāstītos nosacījumus.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2.</w:t>
      </w:r>
      <w:r w:rsidRPr="003F33F9">
        <w:rPr>
          <w:szCs w:val="24"/>
          <w:lang w:val="pt-PT" w:eastAsia="en-US"/>
        </w:rPr>
        <w:tab/>
        <w:t>Pilnvaras pieņemt 20. panta 1. punktā minētos deleģētos aktus Komisijai piešķir uz nenoteiktu laiku no [Publikāciju birojs ieraksta šīs direktīvas spēkā stāšanās dienu].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 xml:space="preserve">Eiropas Parlaments vai Padome var jebkurā laikā atsaukt 20. panta 1. punktā minēto pilnvaru deleģēšanu. Ar lēmumu par atsaukšanu izbeidz tajā norādīto pilnvaru deleģēšanu. Lēmums stājas spēkā nākamajā dienā pēc tā publicēšanas </w:t>
      </w:r>
      <w:r w:rsidRPr="006A19EE">
        <w:rPr>
          <w:i/>
          <w:szCs w:val="24"/>
          <w:lang w:val="pt-PT" w:eastAsia="en-US"/>
        </w:rPr>
        <w:t>Eiropas Savienības Oficiālajā Vēstnesī</w:t>
      </w:r>
      <w:r w:rsidRPr="003F33F9">
        <w:rPr>
          <w:szCs w:val="24"/>
          <w:lang w:val="pt-PT" w:eastAsia="en-US"/>
        </w:rPr>
        <w:t xml:space="preserve"> vai vēlākā dienā, kas tajā norādīta. Tas neskar jau spēkā esošos deleģētos aktus.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br w:type="page"/>
      </w:r>
      <w:r w:rsidRPr="003F33F9">
        <w:rPr>
          <w:szCs w:val="24"/>
          <w:lang w:val="pt-PT" w:eastAsia="en-US"/>
        </w:rPr>
        <w:lastRenderedPageBreak/>
        <w:t>4.</w:t>
      </w:r>
      <w:r w:rsidRPr="003F33F9">
        <w:rPr>
          <w:szCs w:val="24"/>
          <w:lang w:val="pt-PT" w:eastAsia="en-US"/>
        </w:rPr>
        <w:tab/>
        <w:t>Pirms deleģēta akta pieņemšanas Komisija apspriežas ar katras dalībvalsts ieceltajiem ekspertiem saskaņā ar principiem, kas paredzēti 2016. gada 13. aprīļa Iestāžu nolīgumā par labāku likumdošanas procesu.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5.</w:t>
      </w:r>
      <w:r w:rsidRPr="003F33F9">
        <w:rPr>
          <w:szCs w:val="24"/>
          <w:lang w:val="pt-PT" w:eastAsia="en-US"/>
        </w:rPr>
        <w:tab/>
        <w:t>Tiklīdz Komisija pieņem deleģētu aktu, tā par to paziņo vienlaikus Eiropas Parlamentam un Padomei.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6.</w:t>
      </w:r>
      <w:r w:rsidRPr="003F33F9">
        <w:rPr>
          <w:szCs w:val="24"/>
          <w:lang w:val="pt-PT" w:eastAsia="en-US"/>
        </w:rPr>
        <w:tab/>
        <w:t>Saskaņā ar 20. panta 1.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(15)</w:t>
      </w:r>
      <w:r w:rsidRPr="003F33F9">
        <w:rPr>
          <w:szCs w:val="24"/>
          <w:lang w:val="pt-PT" w:eastAsia="en-US"/>
        </w:rPr>
        <w:tab/>
        <w:t>direktīvas 21. pantu aizstāj ar šādu: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“21. pants</w:t>
      </w:r>
      <w:r w:rsidRPr="003F33F9">
        <w:rPr>
          <w:szCs w:val="24"/>
          <w:lang w:val="fi-FI" w:eastAsia="en-US"/>
        </w:rPr>
        <w:br/>
        <w:t>Komiteju procedūra</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1.</w:t>
      </w:r>
      <w:r w:rsidRPr="003F33F9">
        <w:rPr>
          <w:szCs w:val="24"/>
          <w:lang w:val="fi-FI" w:eastAsia="en-US"/>
        </w:rPr>
        <w:tab/>
        <w:t>Komisijai palīdz komiteja. Minētā komiteja ir komiteja Eiropas Parlamenta un Padomes Regulas (ES) Nr. 182/2011* nozīmē.</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2.</w:t>
      </w:r>
      <w:r w:rsidRPr="003F33F9">
        <w:rPr>
          <w:szCs w:val="24"/>
          <w:lang w:val="fi-FI" w:eastAsia="en-US"/>
        </w:rPr>
        <w:tab/>
        <w:t>Ja ir atsauce uz šo punktu, piemēro Regulas (ES) Nr. 182/2011 5. pantu.</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Ja komiteja atzinumu nesniedz, Komisija īstenošanas akta projektu nepieņem un tiek piemērota Regulas (ES) Nr. 182/2011 5. panta 4. punkta trešā daļa.</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 Eiropas Parlamenta un Padomes Regula (ES) Nr. 182/2011 (2011. gada 16. februāris), ar ko nosaka normas un vispārīgus principus par dalībvalstu kontroles mehānismiem, kuri attiecas uz Komisijas īstenošanas pilnvaru izmantošanu (OV L 55, 28.2.2011., 13. lpp.).;”</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br w:type="page"/>
      </w:r>
      <w:r w:rsidRPr="003F33F9">
        <w:rPr>
          <w:szCs w:val="24"/>
          <w:lang w:val="fi-FI" w:eastAsia="en-US"/>
        </w:rPr>
        <w:lastRenderedPageBreak/>
        <w:t>(16)</w:t>
      </w:r>
      <w:r w:rsidRPr="003F33F9">
        <w:rPr>
          <w:szCs w:val="24"/>
          <w:lang w:val="fi-FI" w:eastAsia="en-US"/>
        </w:rPr>
        <w:tab/>
        <w:t>direktīvas 22. panta 4. punktu aizstāj ar šādu: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“4.</w:t>
      </w:r>
      <w:r w:rsidRPr="003F33F9">
        <w:rPr>
          <w:szCs w:val="24"/>
          <w:lang w:val="fi-FI" w:eastAsia="en-US"/>
        </w:rPr>
        <w:tab/>
        <w:t>Vides aizsardzības mērķus, kas noteikti 4. pantā, vides kvalitātes standartus, kas noteikti Direktīvas 2008/105/EK I pielikuma A daļā, un robežvērtības, kas upes baseinam specifiskām piesārņojošajām vielām noteiktas saskaņā ar minētās direktīvas 8. un 8.d pantu, uzskata par Direktīvas 2010/75/ES vajadzībām derīgiem vides kvalitātes standartiem.;”</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(17)</w:t>
      </w:r>
      <w:r w:rsidRPr="003F33F9">
        <w:rPr>
          <w:szCs w:val="24"/>
          <w:lang w:val="fi-FI" w:eastAsia="en-US"/>
        </w:rPr>
        <w:tab/>
        <w:t>direktīvas V pielikumu groza saskaņā ar šīs direktīvas I pielikumu;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(18)</w:t>
      </w:r>
      <w:r w:rsidRPr="003F33F9">
        <w:rPr>
          <w:szCs w:val="24"/>
          <w:lang w:val="fi-FI" w:eastAsia="en-US"/>
        </w:rPr>
        <w:tab/>
        <w:t>direktīvas VII pielikuma A daļas 7.7. punktu aizstāj ar šādu: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“7.7.</w:t>
      </w:r>
      <w:r w:rsidRPr="003F33F9">
        <w:rPr>
          <w:szCs w:val="24"/>
          <w:lang w:val="fi-FI" w:eastAsia="en-US"/>
        </w:rPr>
        <w:tab/>
        <w:t>kopsavilkums par pasākumiem, kas veikti, lai samazinātu prioritāro vielu emisijas un pakāpeniski izbeigtu prioritāro bīstamo vielu emitēšanu;;”</w:t>
      </w:r>
    </w:p>
    <w:p w:rsidR="00CB6573" w:rsidRPr="003F33F9" w:rsidRDefault="004476FE" w:rsidP="00CB6573">
      <w:pPr>
        <w:spacing w:before="120" w:after="120" w:line="360" w:lineRule="auto"/>
        <w:ind w:left="850" w:hanging="850"/>
        <w:rPr>
          <w:szCs w:val="24"/>
          <w:lang w:val="fi-FI" w:eastAsia="en-US"/>
        </w:rPr>
      </w:pPr>
      <w:r w:rsidRPr="003F33F9">
        <w:rPr>
          <w:b/>
          <w:i/>
          <w:szCs w:val="24"/>
          <w:lang w:val="fi-FI" w:eastAsia="en-US"/>
        </w:rPr>
        <w:t>(</w:t>
      </w:r>
      <w:r w:rsidR="00CB6573" w:rsidRPr="003F33F9">
        <w:rPr>
          <w:b/>
          <w:i/>
          <w:szCs w:val="24"/>
          <w:lang w:val="fi-FI" w:eastAsia="en-US"/>
        </w:rPr>
        <w:t>18a)</w:t>
      </w:r>
      <w:r w:rsidR="00CB6573" w:rsidRPr="003F33F9">
        <w:rPr>
          <w:szCs w:val="24"/>
          <w:lang w:val="fi-FI" w:eastAsia="en-US"/>
        </w:rPr>
        <w:tab/>
      </w:r>
      <w:r w:rsidR="00CB6573" w:rsidRPr="003F33F9">
        <w:rPr>
          <w:b/>
          <w:i/>
          <w:szCs w:val="24"/>
          <w:lang w:val="fi-FI" w:eastAsia="en-US"/>
        </w:rPr>
        <w:t>direktīvas VII pielikuma A daļā iekļauj šādu punktu:</w:t>
      </w:r>
    </w:p>
    <w:p w:rsidR="00CB6573" w:rsidRPr="003F33F9" w:rsidRDefault="00CB6573" w:rsidP="00CB6573">
      <w:pPr>
        <w:spacing w:before="120" w:after="120" w:line="360" w:lineRule="auto"/>
        <w:ind w:left="1416" w:hanging="566"/>
        <w:rPr>
          <w:b/>
          <w:szCs w:val="24"/>
          <w:lang w:val="fi-FI" w:eastAsia="en-US"/>
        </w:rPr>
      </w:pPr>
      <w:r w:rsidRPr="003F33F9">
        <w:rPr>
          <w:szCs w:val="24"/>
          <w:lang w:val="fi-FI" w:eastAsia="en-US"/>
        </w:rPr>
        <w:t>“</w:t>
      </w:r>
      <w:r w:rsidRPr="003F33F9">
        <w:rPr>
          <w:b/>
          <w:i/>
          <w:szCs w:val="24"/>
          <w:lang w:val="fi-FI" w:eastAsia="en-US"/>
        </w:rPr>
        <w:t>7.7a.</w:t>
      </w:r>
      <w:r w:rsidRPr="003F33F9">
        <w:rPr>
          <w:b/>
          <w:i/>
          <w:szCs w:val="24"/>
          <w:lang w:val="fi-FI" w:eastAsia="en-US"/>
        </w:rPr>
        <w:tab/>
      </w:r>
      <w:r w:rsidR="004476FE" w:rsidRPr="003F33F9">
        <w:rPr>
          <w:b/>
          <w:i/>
          <w:szCs w:val="24"/>
          <w:lang w:val="fi-FI" w:eastAsia="en-US"/>
        </w:rPr>
        <w:t xml:space="preserve"> </w:t>
      </w:r>
      <w:r w:rsidRPr="003F33F9">
        <w:rPr>
          <w:b/>
          <w:i/>
          <w:szCs w:val="24"/>
          <w:lang w:val="fi-FI" w:eastAsia="en-US"/>
        </w:rPr>
        <w:t>to pasākumu kopsavilkums, kuri veikti, lai digitalizētu ūdens nozares monitoringa aspektus;</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77]</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(19)</w:t>
      </w:r>
      <w:r w:rsidRPr="003F33F9">
        <w:rPr>
          <w:szCs w:val="24"/>
          <w:lang w:val="fi-FI" w:eastAsia="en-US"/>
        </w:rPr>
        <w:tab/>
        <w:t>direktīvas VIII pielikumu groza saskaņā ar šīs direktīvas II pielikumu;</w:t>
      </w:r>
    </w:p>
    <w:p w:rsidR="00CB6573" w:rsidRPr="003F33F9" w:rsidRDefault="00CB6573" w:rsidP="00CB6573">
      <w:pPr>
        <w:spacing w:before="120" w:after="120" w:line="360" w:lineRule="auto"/>
        <w:ind w:left="850" w:hanging="850"/>
        <w:rPr>
          <w:b/>
          <w:szCs w:val="24"/>
          <w:lang w:val="fi-FI" w:eastAsia="en-US"/>
        </w:rPr>
      </w:pPr>
      <w:r w:rsidRPr="003F33F9">
        <w:rPr>
          <w:szCs w:val="24"/>
          <w:lang w:val="fi-FI" w:eastAsia="en-US"/>
        </w:rPr>
        <w:t>(20)</w:t>
      </w:r>
      <w:r w:rsidRPr="003F33F9">
        <w:rPr>
          <w:szCs w:val="24"/>
          <w:lang w:val="fi-FI" w:eastAsia="en-US"/>
        </w:rPr>
        <w:tab/>
        <w:t>direktīvas</w:t>
      </w:r>
      <w:r w:rsidRPr="003F33F9">
        <w:rPr>
          <w:b/>
          <w:i/>
          <w:szCs w:val="24"/>
          <w:lang w:val="fi-FI" w:eastAsia="en-US"/>
        </w:rPr>
        <w:t xml:space="preserve"> IX un</w:t>
      </w:r>
      <w:r w:rsidRPr="003F33F9">
        <w:rPr>
          <w:szCs w:val="24"/>
          <w:lang w:val="fi-FI" w:eastAsia="en-US"/>
        </w:rPr>
        <w:t xml:space="preserve"> X pielikumu svītro.</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78]</w:t>
      </w:r>
    </w:p>
    <w:p w:rsidR="00CB6573" w:rsidRPr="003F33F9" w:rsidRDefault="00CB6573" w:rsidP="00CB6573">
      <w:pPr>
        <w:spacing w:before="120" w:after="120" w:line="360" w:lineRule="auto"/>
        <w:jc w:val="center"/>
        <w:rPr>
          <w:szCs w:val="24"/>
          <w:lang w:val="fi-FI" w:eastAsia="en-US"/>
        </w:rPr>
      </w:pPr>
      <w:r w:rsidRPr="003F33F9">
        <w:rPr>
          <w:szCs w:val="24"/>
          <w:lang w:val="fi-FI" w:eastAsia="en-US"/>
        </w:rPr>
        <w:br w:type="page"/>
      </w:r>
      <w:r w:rsidRPr="003F33F9">
        <w:rPr>
          <w:szCs w:val="24"/>
          <w:lang w:val="fi-FI" w:eastAsia="en-US"/>
        </w:rPr>
        <w:lastRenderedPageBreak/>
        <w:t>2. pants</w:t>
      </w:r>
      <w:r w:rsidRPr="003F33F9">
        <w:rPr>
          <w:szCs w:val="24"/>
          <w:lang w:val="fi-FI" w:eastAsia="en-US"/>
        </w:rPr>
        <w:br/>
        <w:t>Grozījumi Direktīvā 2006/118/EK</w:t>
      </w:r>
    </w:p>
    <w:p w:rsidR="00CB6573" w:rsidRPr="003F33F9" w:rsidRDefault="00CB6573" w:rsidP="00CB6573">
      <w:pPr>
        <w:spacing w:before="120" w:after="120" w:line="360" w:lineRule="auto"/>
        <w:rPr>
          <w:szCs w:val="24"/>
          <w:lang w:val="fi-FI" w:eastAsia="en-US"/>
        </w:rPr>
      </w:pPr>
      <w:r w:rsidRPr="003F33F9">
        <w:rPr>
          <w:szCs w:val="24"/>
          <w:lang w:val="fi-FI" w:eastAsia="en-US"/>
        </w:rPr>
        <w:t>Direktīvu 2006/118/EK groza šādi:</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w:t>
      </w:r>
      <w:r w:rsidRPr="003F33F9">
        <w:rPr>
          <w:szCs w:val="24"/>
          <w:lang w:val="fi-FI" w:eastAsia="en-US"/>
        </w:rPr>
        <w:tab/>
        <w:t>direktīvas nosaukumu aizstāj ar šādu: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“Eiropas Parlamenta un Padomes Direktīva 2006/118/EK (2006. gada 12. decembris) par gruntsūdeņu piesārņojuma novēršanu un ierobežošanu;”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(2)</w:t>
      </w:r>
      <w:r w:rsidRPr="003F33F9">
        <w:rPr>
          <w:szCs w:val="24"/>
          <w:lang w:val="fi-FI" w:eastAsia="en-US"/>
        </w:rPr>
        <w:tab/>
        <w:t>direktīvas 1. panta 1. punktu aizstāj ar šādu:</w:t>
      </w:r>
    </w:p>
    <w:p w:rsidR="00CB6573" w:rsidRPr="003F33F9" w:rsidRDefault="00CB6573" w:rsidP="00CB6573">
      <w:pPr>
        <w:spacing w:before="120" w:after="120" w:line="360" w:lineRule="auto"/>
        <w:ind w:left="1416" w:hanging="566"/>
        <w:rPr>
          <w:b/>
          <w:szCs w:val="24"/>
          <w:lang w:val="fi-FI" w:eastAsia="en-US"/>
        </w:rPr>
      </w:pPr>
      <w:r w:rsidRPr="003F33F9">
        <w:rPr>
          <w:szCs w:val="24"/>
          <w:lang w:val="fi-FI" w:eastAsia="en-US"/>
        </w:rPr>
        <w:t>“1.</w:t>
      </w:r>
      <w:r w:rsidRPr="003F33F9">
        <w:rPr>
          <w:szCs w:val="24"/>
          <w:lang w:val="fi-FI" w:eastAsia="en-US"/>
        </w:rPr>
        <w:tab/>
        <w:t xml:space="preserve">Šī direktīva nosaka īpašus gruntsūdeņu piesārņojuma novēršanas un ierobežošanas pasākumus, kuru mērķis ir sasniegt Direktīvas 2000/60/EK 4. panta 1. punkta b) apakšpunktā izvirzītos vides aizsardzības mērķus. </w:t>
      </w:r>
      <w:r w:rsidRPr="003F33F9">
        <w:rPr>
          <w:b/>
          <w:i/>
          <w:szCs w:val="24"/>
          <w:lang w:val="fi-FI" w:eastAsia="en-US"/>
        </w:rPr>
        <w:t xml:space="preserve">Veicamo pasākumu hierarhijā prioritāti piešķir ierobežojumiem un citiem piesārņojuma avota kontroles pasākumiem, attiecīgā gadījumā neskarot beidzamās izplūdes pasākumu nozīmību. </w:t>
      </w:r>
      <w:r w:rsidRPr="003F33F9">
        <w:rPr>
          <w:szCs w:val="24"/>
          <w:lang w:val="fi-FI" w:eastAsia="en-US"/>
        </w:rPr>
        <w:t>Minēto pasākumu vidū ir:</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79]</w:t>
      </w:r>
    </w:p>
    <w:p w:rsidR="00CB6573" w:rsidRPr="003F33F9" w:rsidRDefault="00CB6573" w:rsidP="00CB6573">
      <w:pPr>
        <w:spacing w:before="120" w:after="120" w:line="360" w:lineRule="auto"/>
        <w:ind w:left="1982" w:hanging="566"/>
        <w:rPr>
          <w:szCs w:val="24"/>
          <w:lang w:val="fi-FI" w:eastAsia="en-US"/>
        </w:rPr>
      </w:pPr>
      <w:r w:rsidRPr="003F33F9">
        <w:rPr>
          <w:szCs w:val="24"/>
          <w:lang w:val="fi-FI" w:eastAsia="en-US"/>
        </w:rPr>
        <w:t>a)</w:t>
      </w:r>
      <w:r w:rsidRPr="003F33F9">
        <w:rPr>
          <w:szCs w:val="24"/>
          <w:lang w:val="fi-FI" w:eastAsia="en-US"/>
        </w:rPr>
        <w:tab/>
        <w:t>kritēriji, pēc kādiem konstatē labu gruntsūdens ķīmisko kvalitāti;</w:t>
      </w:r>
    </w:p>
    <w:p w:rsidR="00CB6573" w:rsidRPr="003F33F9" w:rsidRDefault="00CB6573" w:rsidP="00CB6573">
      <w:pPr>
        <w:spacing w:before="120" w:after="120" w:line="360" w:lineRule="auto"/>
        <w:ind w:left="1982" w:hanging="566"/>
        <w:rPr>
          <w:szCs w:val="24"/>
          <w:lang w:val="fi-FI" w:eastAsia="en-US"/>
        </w:rPr>
      </w:pPr>
      <w:r w:rsidRPr="003F33F9">
        <w:rPr>
          <w:szCs w:val="24"/>
          <w:lang w:val="fi-FI" w:eastAsia="en-US"/>
        </w:rPr>
        <w:br w:type="page"/>
      </w:r>
      <w:r w:rsidRPr="003F33F9">
        <w:rPr>
          <w:szCs w:val="24"/>
          <w:lang w:val="fi-FI" w:eastAsia="en-US"/>
        </w:rPr>
        <w:lastRenderedPageBreak/>
        <w:t>b)</w:t>
      </w:r>
      <w:r w:rsidRPr="003F33F9">
        <w:rPr>
          <w:szCs w:val="24"/>
          <w:lang w:val="fi-FI" w:eastAsia="en-US"/>
        </w:rPr>
        <w:tab/>
        <w:t>kritēriji, pēc kādiem identificē ievērojamas un stabilas augšupejošas tendences un šo tendenču apvērsi, kā arī nosaka tendenču apvērses sākumpunktus.;</w:t>
      </w:r>
    </w:p>
    <w:p w:rsidR="00CB6573" w:rsidRPr="003F33F9" w:rsidRDefault="00CB6573" w:rsidP="00CB6573">
      <w:pPr>
        <w:spacing w:before="120" w:after="120" w:line="360" w:lineRule="auto"/>
        <w:ind w:left="1982" w:hanging="566"/>
        <w:rPr>
          <w:b/>
          <w:szCs w:val="24"/>
          <w:lang w:val="fi-FI" w:eastAsia="en-US"/>
        </w:rPr>
      </w:pPr>
      <w:r w:rsidRPr="003F33F9">
        <w:rPr>
          <w:b/>
          <w:i/>
          <w:szCs w:val="24"/>
          <w:lang w:val="fi-FI" w:eastAsia="en-US"/>
        </w:rPr>
        <w:t>ba)</w:t>
      </w:r>
      <w:r w:rsidRPr="003F33F9">
        <w:rPr>
          <w:szCs w:val="24"/>
          <w:lang w:val="fi-FI" w:eastAsia="en-US"/>
        </w:rPr>
        <w:tab/>
      </w:r>
      <w:r w:rsidRPr="003F33F9">
        <w:rPr>
          <w:b/>
          <w:i/>
          <w:szCs w:val="24"/>
          <w:lang w:val="fi-FI" w:eastAsia="en-US"/>
        </w:rPr>
        <w:t>kritērijus gruntsūdeņu laba ekoloģiskā stāvokļa novērtēšanai.</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80]</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(3)</w:t>
      </w:r>
      <w:r w:rsidRPr="003F33F9">
        <w:rPr>
          <w:szCs w:val="24"/>
          <w:lang w:val="fi-FI" w:eastAsia="en-US"/>
        </w:rPr>
        <w:tab/>
        <w:t>direktīvas 2. panta 2. punktu aizstāj ar šādu: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“2)</w:t>
      </w:r>
      <w:r w:rsidRPr="003F33F9">
        <w:rPr>
          <w:szCs w:val="24"/>
          <w:lang w:val="fi-FI" w:eastAsia="en-US"/>
        </w:rPr>
        <w:tab/>
        <w:t>“robežvērtība” ir gruntsūdeņu kvalitātes standarts, ko dalībvalstis noteikušas saskaņā ar 3. panta 1. punkta b) apakšpunktu vai – Savienības līmenī – saskaņā ar 8. panta 3. punktu.;”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(4)</w:t>
      </w:r>
      <w:r w:rsidRPr="003F33F9">
        <w:rPr>
          <w:szCs w:val="24"/>
          <w:lang w:val="fi-FI" w:eastAsia="en-US"/>
        </w:rPr>
        <w:tab/>
        <w:t>direktīvas 3. pantu groza šādi:</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a)</w:t>
      </w:r>
      <w:r w:rsidRPr="003F33F9">
        <w:rPr>
          <w:szCs w:val="24"/>
          <w:lang w:val="fi-FI" w:eastAsia="en-US"/>
        </w:rPr>
        <w:tab/>
        <w:t>panta 1. punkta pirmajā daļā pievieno šādu c) apakšpunktu:</w:t>
      </w:r>
    </w:p>
    <w:p w:rsidR="00CB6573" w:rsidRPr="003F33F9" w:rsidRDefault="00CB6573" w:rsidP="00CB6573">
      <w:pPr>
        <w:spacing w:before="120" w:after="120" w:line="360" w:lineRule="auto"/>
        <w:ind w:left="1982" w:hanging="566"/>
        <w:rPr>
          <w:szCs w:val="24"/>
          <w:lang w:val="fi-FI" w:eastAsia="en-US"/>
        </w:rPr>
      </w:pPr>
      <w:r w:rsidRPr="003F33F9">
        <w:rPr>
          <w:szCs w:val="24"/>
          <w:lang w:val="fi-FI" w:eastAsia="en-US"/>
        </w:rPr>
        <w:t>“c)</w:t>
      </w:r>
      <w:r w:rsidRPr="003F33F9">
        <w:rPr>
          <w:szCs w:val="24"/>
          <w:lang w:val="fi-FI" w:eastAsia="en-US"/>
        </w:rPr>
        <w:tab/>
        <w:t>robežvērtības, kas Savienības līmenī noteiktas saskaņā ar šīs direktīvas 8. panta 3. punktu un uzskaitītas II pielikuma D daļā.;”</w:t>
      </w:r>
    </w:p>
    <w:p w:rsidR="00CB6573" w:rsidRPr="003F33F9" w:rsidRDefault="00CB6573" w:rsidP="00CB6573">
      <w:pPr>
        <w:spacing w:before="120" w:after="120" w:line="360" w:lineRule="auto"/>
        <w:ind w:left="1416" w:hanging="566"/>
        <w:rPr>
          <w:szCs w:val="24"/>
          <w:lang w:val="fi-FI" w:eastAsia="en-US"/>
        </w:rPr>
      </w:pPr>
      <w:r w:rsidRPr="003F33F9">
        <w:rPr>
          <w:b/>
          <w:i/>
          <w:szCs w:val="24"/>
          <w:lang w:val="fi-FI" w:eastAsia="en-US"/>
        </w:rPr>
        <w:br w:type="page"/>
      </w:r>
      <w:r w:rsidRPr="003F33F9">
        <w:rPr>
          <w:b/>
          <w:i/>
          <w:szCs w:val="24"/>
          <w:lang w:val="fi-FI" w:eastAsia="en-US"/>
        </w:rPr>
        <w:lastRenderedPageBreak/>
        <w:t>aa)</w:t>
      </w:r>
      <w:r w:rsidRPr="003F33F9">
        <w:rPr>
          <w:szCs w:val="24"/>
          <w:lang w:val="fi-FI" w:eastAsia="en-US"/>
        </w:rPr>
        <w:tab/>
      </w:r>
      <w:r w:rsidRPr="003F33F9">
        <w:rPr>
          <w:b/>
          <w:i/>
          <w:szCs w:val="24"/>
          <w:lang w:val="fi-FI" w:eastAsia="en-US"/>
        </w:rPr>
        <w:t>panta 1. punktā iekļauj šādu daļu:</w:t>
      </w:r>
    </w:p>
    <w:p w:rsidR="00CB6573" w:rsidRPr="003F33F9" w:rsidRDefault="00CB6573" w:rsidP="00CB6573">
      <w:pPr>
        <w:spacing w:before="120" w:after="120" w:line="360" w:lineRule="auto"/>
        <w:ind w:left="1416"/>
        <w:rPr>
          <w:b/>
          <w:szCs w:val="24"/>
          <w:lang w:val="fi-FI" w:eastAsia="en-US"/>
        </w:rPr>
      </w:pPr>
      <w:r w:rsidRPr="003F33F9">
        <w:rPr>
          <w:szCs w:val="24"/>
          <w:lang w:val="fi-FI" w:eastAsia="en-US"/>
        </w:rPr>
        <w:t>“</w:t>
      </w:r>
      <w:r w:rsidRPr="003F33F9">
        <w:rPr>
          <w:b/>
          <w:i/>
          <w:szCs w:val="24"/>
          <w:lang w:val="fi-FI" w:eastAsia="en-US"/>
        </w:rPr>
        <w:t>Robežvērtības, ko piemēro gruntsūdeņiem, ir desmitreiz mazākas par attiecīgajiem vides kvalitātes standartiem, ko piemēro virszemes ūdeņiem, izņemot gadījumus, kad ir iespējams noteikt reālo risku gruntsūdeņu ekosistēmām un varētu būt piemēroti noteikt cita līmeņa robežvērtības gruntsūdeņiem.</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81]</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b)</w:t>
      </w:r>
      <w:r w:rsidRPr="003F33F9">
        <w:rPr>
          <w:szCs w:val="24"/>
          <w:lang w:val="fi-FI" w:eastAsia="en-US"/>
        </w:rPr>
        <w:tab/>
        <w:t>panta 2. punktu aizstāj ar šādu:</w:t>
      </w:r>
    </w:p>
    <w:p w:rsidR="00CB6573" w:rsidRPr="003F33F9" w:rsidRDefault="00CB6573" w:rsidP="00CB6573">
      <w:pPr>
        <w:spacing w:before="120" w:after="120" w:line="360" w:lineRule="auto"/>
        <w:ind w:left="1982" w:hanging="566"/>
        <w:rPr>
          <w:szCs w:val="24"/>
          <w:lang w:val="fi-FI" w:eastAsia="en-US"/>
        </w:rPr>
      </w:pPr>
      <w:r w:rsidRPr="003F33F9">
        <w:rPr>
          <w:szCs w:val="24"/>
          <w:lang w:val="fi-FI" w:eastAsia="en-US"/>
        </w:rPr>
        <w:t>“2.</w:t>
      </w:r>
      <w:r w:rsidRPr="003F33F9">
        <w:rPr>
          <w:szCs w:val="24"/>
          <w:lang w:val="fi-FI" w:eastAsia="en-US"/>
        </w:rPr>
        <w:tab/>
        <w:t>Šā panta 1. punkta b) apakšpunktā minētās robežvērtības var noteikt valsts līmenī, upes baseina apgabala līmenī vai starptautiska upes baseina apgabala daļā, kas atrodas dalībvalsts teritorijā, vai gruntsūdeņu objekta vai objektu grupas līmenī.;”</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br w:type="page"/>
      </w:r>
      <w:r w:rsidRPr="003F33F9">
        <w:rPr>
          <w:szCs w:val="24"/>
          <w:lang w:val="fi-FI" w:eastAsia="en-US"/>
        </w:rPr>
        <w:lastRenderedPageBreak/>
        <w:t>c)</w:t>
      </w:r>
      <w:r w:rsidRPr="003F33F9">
        <w:rPr>
          <w:szCs w:val="24"/>
          <w:lang w:val="fi-FI" w:eastAsia="en-US"/>
        </w:rPr>
        <w:tab/>
        <w:t>panta 5. punktu aizstāj ar šādu:</w:t>
      </w:r>
    </w:p>
    <w:p w:rsidR="00CB6573" w:rsidRPr="003F33F9" w:rsidRDefault="00CB6573" w:rsidP="00CB6573">
      <w:pPr>
        <w:spacing w:before="120" w:after="120" w:line="360" w:lineRule="auto"/>
        <w:ind w:left="1982" w:hanging="566"/>
        <w:rPr>
          <w:szCs w:val="24"/>
          <w:lang w:val="fi-FI" w:eastAsia="en-US"/>
        </w:rPr>
      </w:pPr>
      <w:r w:rsidRPr="003F33F9">
        <w:rPr>
          <w:szCs w:val="24"/>
          <w:lang w:val="fi-FI" w:eastAsia="en-US"/>
        </w:rPr>
        <w:t>“5.</w:t>
      </w:r>
      <w:r w:rsidRPr="003F33F9">
        <w:rPr>
          <w:szCs w:val="24"/>
          <w:lang w:val="fi-FI" w:eastAsia="en-US"/>
        </w:rPr>
        <w:tab/>
        <w:t>Visas 1. punktā minētās robežvērtības kopā ar šīs direktīvas II pielikuma C daļā izklāstītās informācijas kopsavilkumu publicē upju baseinu apsaimniekošanas plānos, kas sagatavoti saskaņā ar Direktīvas 2000/60/EK 13. pantu.</w:t>
      </w:r>
    </w:p>
    <w:p w:rsidR="00CB6573" w:rsidRPr="003F33F9" w:rsidRDefault="00CB6573" w:rsidP="00CB6573">
      <w:pPr>
        <w:spacing w:before="120" w:after="120" w:line="360" w:lineRule="auto"/>
        <w:ind w:left="1982"/>
        <w:rPr>
          <w:szCs w:val="24"/>
          <w:lang w:val="fi-FI" w:eastAsia="en-US"/>
        </w:rPr>
      </w:pPr>
      <w:r w:rsidRPr="003F33F9">
        <w:rPr>
          <w:szCs w:val="24"/>
          <w:lang w:val="fi-FI" w:eastAsia="en-US"/>
        </w:rPr>
        <w:t>Šā panta 1. punkta b) apakšpunktā minētās valstu robežvērtības dalībvalstis līdz [Publikāciju birojs ieraksta datumu, kas ir nākamā mēneša pirmā diena pēc tam, kad pēc šīs direktīvas spēkā stāšanās pagājuši 18 mēneši] dara zināmus Eiropas Ķimikāliju aģentūrai (ECHA). ECHA šo informāciju dara publiski pieejamu.;</w:t>
      </w:r>
    </w:p>
    <w:p w:rsidR="00CB6573" w:rsidRPr="003F33F9" w:rsidRDefault="00CB6573" w:rsidP="00CB6573">
      <w:pPr>
        <w:spacing w:before="120" w:after="120" w:line="360" w:lineRule="auto"/>
        <w:ind w:left="1418" w:hanging="567"/>
        <w:rPr>
          <w:b/>
          <w:i/>
          <w:szCs w:val="24"/>
          <w:lang w:val="fi-FI" w:eastAsia="en-US"/>
        </w:rPr>
      </w:pPr>
      <w:r w:rsidRPr="003F33F9">
        <w:rPr>
          <w:b/>
          <w:i/>
          <w:szCs w:val="24"/>
          <w:lang w:val="fi-FI" w:eastAsia="en-US"/>
        </w:rPr>
        <w:t>ca)</w:t>
      </w:r>
      <w:r w:rsidRPr="003F33F9">
        <w:rPr>
          <w:b/>
          <w:i/>
          <w:szCs w:val="24"/>
          <w:lang w:val="fi-FI" w:eastAsia="en-US"/>
        </w:rPr>
        <w:tab/>
        <w:t xml:space="preserve">panta 5. punktā iekļauj šādu daļu:  </w:t>
      </w:r>
    </w:p>
    <w:p w:rsidR="00CB6573" w:rsidRPr="003F33F9" w:rsidRDefault="00CB6573" w:rsidP="00CB6573">
      <w:pPr>
        <w:spacing w:before="120" w:after="120" w:line="360" w:lineRule="auto"/>
        <w:ind w:left="1418"/>
        <w:rPr>
          <w:b/>
          <w:szCs w:val="24"/>
          <w:lang w:val="fi-FI" w:eastAsia="en-US"/>
        </w:rPr>
      </w:pPr>
      <w:r w:rsidRPr="003F33F9">
        <w:rPr>
          <w:b/>
          <w:i/>
          <w:szCs w:val="24"/>
          <w:lang w:val="fi-FI" w:eastAsia="en-US"/>
        </w:rPr>
        <w:t>”Dalībvalstis nodrošina, ka attiecīgā upes baseina apgabala vai dalībvalsts teritorijā esoša starptautiskā upes baseina apgabala daļas iedzīvotāji tiek pienācīgi un laikus informēti.</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82]</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br w:type="page"/>
      </w:r>
      <w:r w:rsidRPr="003F33F9">
        <w:rPr>
          <w:szCs w:val="24"/>
          <w:lang w:val="fi-FI" w:eastAsia="en-US"/>
        </w:rPr>
        <w:lastRenderedPageBreak/>
        <w:t>d)</w:t>
      </w:r>
      <w:r w:rsidRPr="003F33F9">
        <w:rPr>
          <w:szCs w:val="24"/>
          <w:lang w:val="fi-FI" w:eastAsia="en-US"/>
        </w:rPr>
        <w:tab/>
        <w:t>panta 6. punkta pirmo daļu aizstāj ar šādu:</w:t>
      </w:r>
    </w:p>
    <w:p w:rsidR="00CB6573" w:rsidRPr="003F33F9" w:rsidRDefault="00CB6573" w:rsidP="00CB6573">
      <w:pPr>
        <w:spacing w:before="120" w:after="120" w:line="360" w:lineRule="auto"/>
        <w:ind w:left="1416"/>
        <w:rPr>
          <w:b/>
          <w:szCs w:val="24"/>
          <w:lang w:val="fi-FI" w:eastAsia="en-US"/>
        </w:rPr>
      </w:pPr>
      <w:r w:rsidRPr="003F33F9">
        <w:rPr>
          <w:szCs w:val="24"/>
          <w:lang w:val="fi-FI" w:eastAsia="en-US"/>
        </w:rPr>
        <w:t>“Dalībvalstis savā teritorijā piemēroto robežvērtību sarakstu groza ikreiz, kad jauna informācija par piesārņojošajām vielām, piesārņojošo vielu grupām vai piesārņojuma rādītājiem</w:t>
      </w:r>
      <w:r w:rsidRPr="003F33F9">
        <w:rPr>
          <w:b/>
          <w:i/>
          <w:szCs w:val="24"/>
          <w:lang w:val="fi-FI" w:eastAsia="en-US"/>
        </w:rPr>
        <w:t>, ņemot vērā arī piesardzības principu,</w:t>
      </w:r>
      <w:r w:rsidRPr="003F33F9">
        <w:rPr>
          <w:szCs w:val="24"/>
          <w:lang w:val="fi-FI" w:eastAsia="en-US"/>
        </w:rPr>
        <w:t xml:space="preserve"> liecina, ka jānosaka robežvērtība kādai papildu vielai, jāmaina kāda no pastāvošajām robežvērtībām vai sarakstā no jauna jāiekļauj robežvērtība, kas agrāk no tā tikusi izņemta. Ja attiecīgo robežvērtību noteikšana vai grozīšana notiek Savienības līmenī, dalībvalstis savā teritorijā piemēroto robežvērtību sarakstu pielāgo Savienības līmenī noteiktajām robežvērtībām. </w:t>
      </w:r>
      <w:r w:rsidRPr="003F33F9">
        <w:rPr>
          <w:strike/>
          <w:szCs w:val="24"/>
          <w:lang w:val="fi-FI" w:eastAsia="en-US"/>
        </w:rPr>
        <w:t>;</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83]</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e)</w:t>
      </w:r>
      <w:r w:rsidRPr="003F33F9">
        <w:rPr>
          <w:szCs w:val="24"/>
          <w:lang w:val="pt-PT" w:eastAsia="en-US"/>
        </w:rPr>
        <w:tab/>
      </w:r>
      <w:r w:rsidRPr="003F33F9">
        <w:rPr>
          <w:b/>
          <w:i/>
          <w:szCs w:val="24"/>
          <w:lang w:val="pt-PT" w:eastAsia="en-US"/>
        </w:rPr>
        <w:t>panta 7. punktu aizstāj ar šādu:</w:t>
      </w:r>
    </w:p>
    <w:p w:rsidR="00CB6573" w:rsidRPr="003F33F9" w:rsidRDefault="00CB6573" w:rsidP="00CB6573">
      <w:pPr>
        <w:spacing w:before="120" w:after="120" w:line="360" w:lineRule="auto"/>
        <w:ind w:left="1985" w:hanging="567"/>
        <w:rPr>
          <w:b/>
          <w:szCs w:val="24"/>
          <w:lang w:val="pt-PT" w:eastAsia="en-US"/>
        </w:rPr>
      </w:pPr>
      <w:r w:rsidRPr="003F33F9">
        <w:rPr>
          <w:szCs w:val="24"/>
          <w:lang w:val="pt-PT" w:eastAsia="en-US"/>
        </w:rPr>
        <w:t>“</w:t>
      </w:r>
      <w:r w:rsidRPr="003F33F9">
        <w:rPr>
          <w:b/>
          <w:i/>
          <w:szCs w:val="24"/>
          <w:lang w:val="pt-PT" w:eastAsia="en-US"/>
        </w:rPr>
        <w:t>7.</w:t>
      </w:r>
      <w:r w:rsidRPr="003F33F9">
        <w:rPr>
          <w:szCs w:val="24"/>
          <w:lang w:val="pt-PT" w:eastAsia="en-US"/>
        </w:rPr>
        <w:tab/>
      </w:r>
      <w:r w:rsidRPr="003F33F9">
        <w:rPr>
          <w:b/>
          <w:i/>
          <w:szCs w:val="24"/>
          <w:lang w:val="pt-PT" w:eastAsia="en-US"/>
        </w:rPr>
        <w:t>Komisija publicē ziņojumu par 1. punkta b) apakšpunktā minētajām valsts robežvērtībām viena gada laikā pēc tam, kad dalībvalstis minēto informāciju saskaņā ar 5. punktu ir sniegušas ECHA.</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84]</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(5)</w:t>
      </w:r>
      <w:r w:rsidRPr="003F33F9">
        <w:rPr>
          <w:szCs w:val="24"/>
          <w:lang w:val="pt-PT" w:eastAsia="en-US"/>
        </w:rPr>
        <w:tab/>
        <w:t>direktīvas 4. panta 2. punkta b) apakšpunktu aizstāj ar šādu: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“b)</w:t>
      </w:r>
      <w:r w:rsidRPr="003F33F9">
        <w:rPr>
          <w:szCs w:val="24"/>
          <w:lang w:val="pt-PT" w:eastAsia="en-US"/>
        </w:rPr>
        <w:tab/>
        <w:t>I pielikumā uzskaitītās gruntsūdeņu kvalitātes standartu vērtības un 3. panta 1. punkta b) un c) apakšpunktā minētās robežvērtības netiek pārsniegtas nevienā no attiecīgā gruntsūdeņu objekta vai objektu grupas monitoringa vietām, vai;”</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(6)</w:t>
      </w:r>
      <w:r w:rsidRPr="003F33F9">
        <w:rPr>
          <w:szCs w:val="24"/>
          <w:lang w:val="pt-PT" w:eastAsia="en-US"/>
        </w:rPr>
        <w:tab/>
        <w:t>iekļauj šādu 6.a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“6.a pants</w:t>
      </w:r>
      <w:r w:rsidRPr="003F33F9">
        <w:rPr>
          <w:szCs w:val="24"/>
          <w:lang w:val="pt-PT" w:eastAsia="en-US"/>
        </w:rPr>
        <w:br/>
        <w:t>Novērojamo vielu saraksts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1.</w:t>
      </w:r>
      <w:r w:rsidRPr="003F33F9">
        <w:rPr>
          <w:szCs w:val="24"/>
          <w:lang w:val="pt-PT" w:eastAsia="en-US"/>
        </w:rPr>
        <w:tab/>
        <w:t>Komisija tiek pilnvarota pieņemt īstenošanas aktus, ar kuriem, ņemot vērā ECHA sagatavotos zinātniskos ziņojumus, izveido novērojamo vielu sarakstu, proti, to vielu sarakstu, par kurām no dalībvalstīm jāsavāc Savienības mērogā veikta monitoringa dati, un nosaka formātus, kādi dalībvalstīm jāizmanto, lai minētā monitoringa rezultātus un ar tiem saistīto informāciju paziņotu Komisijai. Minētos īstenošanas aktus pieņem saskaņā ar 9. panta 2. punktā minēto pārbaudes procedūru.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br w:type="page"/>
      </w:r>
      <w:r w:rsidRPr="003F33F9">
        <w:rPr>
          <w:szCs w:val="24"/>
          <w:lang w:val="pt-PT" w:eastAsia="en-US"/>
        </w:rPr>
        <w:lastRenderedPageBreak/>
        <w:t xml:space="preserve">Novērojamo vielu sarakstā ir </w:t>
      </w:r>
      <w:r w:rsidRPr="003F33F9">
        <w:rPr>
          <w:strike/>
          <w:szCs w:val="24"/>
          <w:lang w:val="pt-PT" w:eastAsia="en-US"/>
        </w:rPr>
        <w:t>ne vairāk kā</w:t>
      </w:r>
      <w:r w:rsidRPr="003F33F9">
        <w:rPr>
          <w:b/>
          <w:i/>
          <w:szCs w:val="24"/>
          <w:lang w:val="pt-PT" w:eastAsia="en-US"/>
        </w:rPr>
        <w:t>vismaz</w:t>
      </w:r>
      <w:r w:rsidRPr="003F33F9">
        <w:rPr>
          <w:szCs w:val="24"/>
          <w:lang w:val="pt-PT" w:eastAsia="en-US"/>
        </w:rPr>
        <w:t xml:space="preserve"> piecas</w:t>
      </w:r>
      <w:r w:rsidRPr="003F33F9">
        <w:rPr>
          <w:b/>
          <w:i/>
          <w:szCs w:val="24"/>
          <w:lang w:val="pt-PT" w:eastAsia="en-US"/>
        </w:rPr>
        <w:t xml:space="preserve"> potenciāli problemātiskas</w:t>
      </w:r>
      <w:r w:rsidRPr="003F33F9">
        <w:rPr>
          <w:szCs w:val="24"/>
          <w:lang w:val="pt-PT" w:eastAsia="en-US"/>
        </w:rPr>
        <w:t xml:space="preserve"> vielas vai vielu grupas</w:t>
      </w:r>
      <w:r w:rsidRPr="003F33F9">
        <w:rPr>
          <w:strike/>
          <w:szCs w:val="24"/>
          <w:lang w:val="pt-PT" w:eastAsia="en-US"/>
        </w:rPr>
        <w:t xml:space="preserve"> un par katru vielu ir norādītas monitoringa matricas un iespējamās analīzes metodes. Minētās monitoringa matricas un metodes kompetentajām iestādēm nerada pārmērīgas izmaksas. Novērojamo vielu sarakstā iekļaujamās vielas</w:t>
      </w:r>
      <w:r w:rsidRPr="003F33F9">
        <w:rPr>
          <w:b/>
          <w:i/>
          <w:szCs w:val="24"/>
          <w:lang w:val="pt-PT" w:eastAsia="en-US"/>
        </w:rPr>
        <w:t>, ko</w:t>
      </w:r>
      <w:r w:rsidRPr="003F33F9">
        <w:rPr>
          <w:szCs w:val="24"/>
          <w:lang w:val="pt-PT" w:eastAsia="en-US"/>
        </w:rPr>
        <w:t xml:space="preserve"> izraugās no tām, par kurām pieejamā informācija</w:t>
      </w:r>
      <w:r w:rsidRPr="003F33F9">
        <w:rPr>
          <w:b/>
          <w:i/>
          <w:szCs w:val="24"/>
          <w:lang w:val="pt-PT" w:eastAsia="en-US"/>
        </w:rPr>
        <w:t xml:space="preserve"> (arī saskaņā ar turpmāko ceturto daļu)</w:t>
      </w:r>
      <w:r w:rsidRPr="003F33F9">
        <w:rPr>
          <w:szCs w:val="24"/>
          <w:lang w:val="pt-PT" w:eastAsia="en-US"/>
        </w:rPr>
        <w:t xml:space="preserve"> liecina, ka tās var radīt ievērojamu Savienības mēroga risku ūdens videi vai ievērojamu Savienības mēroga risku, kas rodas ar ūdens vides starpniecību, un par kurām nav pietiekamu monitoringa datu</w:t>
      </w:r>
      <w:r w:rsidRPr="003F33F9">
        <w:rPr>
          <w:strike/>
          <w:szCs w:val="24"/>
          <w:lang w:val="pt-PT" w:eastAsia="en-US"/>
        </w:rPr>
        <w:t>.</w:t>
      </w:r>
      <w:r w:rsidRPr="003F33F9">
        <w:rPr>
          <w:b/>
          <w:i/>
          <w:szCs w:val="24"/>
          <w:lang w:val="pt-PT" w:eastAsia="en-US"/>
        </w:rPr>
        <w:t>, izņemot, ja tādu izraugāmo vielu vai vielu grupu, par kurām pieejamā informācija liecina, ka tās var radīt ievērojamu risku ūdens videi vai ievērojamu risku, kas rodas ar ūdens vides starpniecību, skaits ir mazāks par pieci, un šādā gadījumā</w:t>
      </w:r>
      <w:r w:rsidRPr="003F33F9">
        <w:rPr>
          <w:szCs w:val="24"/>
          <w:lang w:val="pt-PT" w:eastAsia="en-US"/>
        </w:rPr>
        <w:t xml:space="preserve"> novērojamo vielu sarakstā iekļauj </w:t>
      </w:r>
      <w:r w:rsidRPr="003F33F9">
        <w:rPr>
          <w:strike/>
          <w:szCs w:val="24"/>
          <w:lang w:val="pt-PT" w:eastAsia="en-US"/>
        </w:rPr>
        <w:t>potenciāli problemātiskas</w:t>
      </w:r>
      <w:r w:rsidRPr="003F33F9">
        <w:rPr>
          <w:b/>
          <w:i/>
          <w:szCs w:val="24"/>
          <w:lang w:val="pt-PT" w:eastAsia="en-US"/>
        </w:rPr>
        <w:t>visas minētās</w:t>
      </w:r>
      <w:r w:rsidRPr="003F33F9">
        <w:rPr>
          <w:szCs w:val="24"/>
          <w:lang w:val="pt-PT" w:eastAsia="en-US"/>
        </w:rPr>
        <w:t xml:space="preserve"> vielas.</w:t>
      </w:r>
    </w:p>
    <w:p w:rsidR="00CB6573" w:rsidRPr="003F33F9" w:rsidRDefault="00CB6573" w:rsidP="00CB6573">
      <w:pPr>
        <w:spacing w:before="120" w:after="120" w:line="360" w:lineRule="auto"/>
        <w:ind w:left="1416"/>
        <w:rPr>
          <w:szCs w:val="24"/>
          <w:lang w:val="pt-PT" w:eastAsia="en-US"/>
        </w:rPr>
      </w:pPr>
      <w:r w:rsidRPr="003F33F9">
        <w:rPr>
          <w:b/>
          <w:i/>
          <w:szCs w:val="24"/>
          <w:lang w:val="pt-PT" w:eastAsia="en-US"/>
        </w:rPr>
        <w:t>Papildus minimālajam vielu vai vielu grupu skaitam novērojamo vielu saraksts var ietvert arī piesārņojuma rādītājus.</w:t>
      </w:r>
    </w:p>
    <w:p w:rsidR="00CB6573" w:rsidRPr="003F33F9" w:rsidRDefault="00CB6573" w:rsidP="00CB6573">
      <w:pPr>
        <w:spacing w:before="120" w:after="120" w:line="360" w:lineRule="auto"/>
        <w:ind w:left="1416"/>
        <w:rPr>
          <w:b/>
          <w:szCs w:val="24"/>
          <w:lang w:val="pt-PT" w:eastAsia="en-US"/>
        </w:rPr>
      </w:pPr>
      <w:r w:rsidRPr="003F33F9">
        <w:rPr>
          <w:b/>
          <w:i/>
          <w:szCs w:val="24"/>
          <w:lang w:val="pt-PT" w:eastAsia="en-US"/>
        </w:rPr>
        <w:br w:type="page"/>
      </w:r>
      <w:r w:rsidRPr="003F33F9">
        <w:rPr>
          <w:b/>
          <w:i/>
          <w:szCs w:val="24"/>
          <w:lang w:val="pt-PT" w:eastAsia="en-US"/>
        </w:rPr>
        <w:lastRenderedPageBreak/>
        <w:t>Novērojamo vielu sarakstā precizē monitoringa matricas un iespējamās analīzes metodes. Minētās monitoringa matricas un metodes kompetentajām iestādēm nerada pārmērīgas izmaksas.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85]</w:t>
      </w:r>
    </w:p>
    <w:p w:rsidR="00CB6573" w:rsidRPr="003F33F9" w:rsidRDefault="00CB6573" w:rsidP="00CB6573">
      <w:pPr>
        <w:spacing w:before="120" w:after="120" w:line="360" w:lineRule="auto"/>
        <w:ind w:left="1416"/>
        <w:rPr>
          <w:b/>
          <w:szCs w:val="24"/>
          <w:lang w:val="pt-PT" w:eastAsia="en-US"/>
        </w:rPr>
      </w:pPr>
      <w:r w:rsidRPr="003F33F9">
        <w:rPr>
          <w:b/>
          <w:i/>
          <w:szCs w:val="24"/>
          <w:lang w:val="pt-PT" w:eastAsia="en-US"/>
        </w:rPr>
        <w:t xml:space="preserve">Piemērotas monitoringa metodes mikroplastmasai un atsevišķiem antimikrobiālās rezistences gēniem identificē pēc iespējas ātrāk un ne vēlāk kā [pirmā mēneša diena pēc tam, kad pagājuši 18 mēneši pēc šīs grozījumu direktīvas stāšanās spēkā]. Saskaņā ar 6.a panta 2. punkta pirmo daļu </w:t>
      </w:r>
      <w:r w:rsidRPr="003F33F9">
        <w:rPr>
          <w:szCs w:val="24"/>
          <w:lang w:val="pt-PT" w:eastAsia="en-US"/>
        </w:rPr>
        <w:t xml:space="preserve">mikroplastmasu un atsevišķus antimikrobiālās rezistences gēnus novērojamo vielu sarakstā iekļauj, tiklīdz ir identificētas </w:t>
      </w:r>
      <w:r w:rsidRPr="003F33F9">
        <w:rPr>
          <w:strike/>
          <w:szCs w:val="24"/>
          <w:lang w:val="pt-PT" w:eastAsia="en-US"/>
        </w:rPr>
        <w:t>tiem piemērotas</w:t>
      </w:r>
      <w:r w:rsidRPr="003F33F9">
        <w:rPr>
          <w:b/>
          <w:i/>
          <w:szCs w:val="24"/>
          <w:lang w:val="pt-PT" w:eastAsia="en-US"/>
        </w:rPr>
        <w:t>minētās</w:t>
      </w:r>
      <w:r w:rsidRPr="003F33F9">
        <w:rPr>
          <w:szCs w:val="24"/>
          <w:lang w:val="pt-PT" w:eastAsia="en-US"/>
        </w:rPr>
        <w:t xml:space="preserve"> monitoringa metodes.</w:t>
      </w:r>
      <w:r w:rsidRPr="003F33F9">
        <w:rPr>
          <w:b/>
          <w:i/>
          <w:szCs w:val="24"/>
          <w:lang w:val="pt-PT" w:eastAsia="en-US"/>
        </w:rPr>
        <w:t xml:space="preserve"> Komisija arī apsver, vai pirmajā novērojamo vielu sarakstā ir jāiekļauj sulfāti, lai saistībā ar šīs direktīvas darbības jomu uzlabotu datu pieejamību par to klātbūtni.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86]</w:t>
      </w:r>
    </w:p>
    <w:p w:rsidR="00CB6573" w:rsidRPr="003F33F9" w:rsidRDefault="00CB6573" w:rsidP="00CB6573">
      <w:pPr>
        <w:spacing w:before="120" w:after="120" w:line="360" w:lineRule="auto"/>
        <w:rPr>
          <w:szCs w:val="24"/>
          <w:lang w:val="pt-PT" w:eastAsia="en-US"/>
        </w:rPr>
      </w:pPr>
    </w:p>
    <w:p w:rsidR="00CB6573" w:rsidRPr="003F33F9" w:rsidRDefault="00CB6573" w:rsidP="00CB6573">
      <w:pPr>
        <w:spacing w:before="120" w:after="120" w:line="360" w:lineRule="auto"/>
        <w:ind w:left="1416"/>
        <w:rPr>
          <w:b/>
          <w:szCs w:val="24"/>
          <w:lang w:val="pt-PT" w:eastAsia="en-US"/>
        </w:rPr>
      </w:pPr>
      <w:r w:rsidRPr="003F33F9">
        <w:rPr>
          <w:szCs w:val="24"/>
          <w:lang w:val="pt-PT" w:eastAsia="en-US"/>
        </w:rPr>
        <w:br w:type="page"/>
      </w:r>
      <w:r w:rsidRPr="003F33F9">
        <w:rPr>
          <w:szCs w:val="24"/>
          <w:lang w:val="pt-PT" w:eastAsia="en-US"/>
        </w:rPr>
        <w:lastRenderedPageBreak/>
        <w:t>ECHA sagatavo zinātniskus ziņojumus, kas Komisijai palīdz izraudzīties novērojamo vielu sarakstā iekļaujamās vielas</w:t>
      </w:r>
      <w:r w:rsidRPr="003F33F9">
        <w:rPr>
          <w:b/>
          <w:i/>
          <w:szCs w:val="24"/>
          <w:lang w:val="pt-PT" w:eastAsia="en-US"/>
        </w:rPr>
        <w:t xml:space="preserve"> un piesārņojuma rādītājus</w:t>
      </w:r>
      <w:r w:rsidRPr="003F33F9">
        <w:rPr>
          <w:szCs w:val="24"/>
          <w:lang w:val="pt-PT" w:eastAsia="en-US"/>
        </w:rPr>
        <w:t>, un tajos ņem vērā: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87]</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a)</w:t>
      </w:r>
      <w:r w:rsidRPr="003F33F9">
        <w:rPr>
          <w:szCs w:val="24"/>
          <w:lang w:val="pt-PT" w:eastAsia="en-US"/>
        </w:rPr>
        <w:tab/>
        <w:t>Eiropas Parlamenta un Padomes Direktīvas 2008/105/EK* I pielikumu un tā nesenākās pārskatīšanas rezultātus;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novērojamo vielu sarakstus, kas izveidoti saskaņā ar Direktīvu 2008/105/EK un Eiropas Parlamenta un Padomes Direktīvu (ES) 2020/2184**;</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c)</w:t>
      </w:r>
      <w:r w:rsidRPr="003F33F9">
        <w:rPr>
          <w:szCs w:val="24"/>
          <w:lang w:val="pt-PT" w:eastAsia="en-US"/>
        </w:rPr>
        <w:tab/>
        <w:t>augsnes piesārņojuma novēršanas prasības un arī saistītos monitoringa datus;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d)</w:t>
      </w:r>
      <w:r w:rsidRPr="003F33F9">
        <w:rPr>
          <w:szCs w:val="24"/>
          <w:lang w:val="pt-PT" w:eastAsia="en-US"/>
        </w:rPr>
        <w:tab/>
        <w:t>upju baseinu apgabalu raksturojumu, ko dalībvalstis sniedz saskaņā ar Direktīvas 2000/60/EK 5. pantu, un saskaņā ar minētās direktīvas 8. pantu izveidoto monitoringa programmu rezultātus;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e)</w:t>
      </w:r>
      <w:r w:rsidRPr="003F33F9">
        <w:rPr>
          <w:szCs w:val="24"/>
          <w:lang w:val="pt-PT" w:eastAsia="en-US"/>
        </w:rPr>
        <w:tab/>
        <w:t>informāciju par saražoto konkrētas vielas vai vielu grupas daudzumu, lietojuma modeļiem, raksturīgajām īpašībām (arī par mobilitāti augsnē un – attiecīgā gadījumā – par daļiņu izmēru), koncentrācijām vidē un nelabvēlīgo ietekmi uz cilvēka veselību un ūdens vidi. Te ietilpst arī informācija, kas savākta saskaņā ar Eiropas Parlamenta un Padomes Regulu (EK) Nr. 1907/2006***, Eiropas Parlamenta un Padomes Regulu (EK) Nr. 1107/2009****, Eiropas Parlamenta un Padomes Regulu (ES) Nr. 528/2012*****, Eiropas Parlamenta un Padomes Regulu (ES) 2019/6******, Eiropas Parlamenta un Padomes Direktīvu 2001/83/EK******* un Eiropas Parlamenta un Padomes Direktīvu 2009/128/EK********;</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br w:type="page"/>
      </w:r>
      <w:r w:rsidRPr="003F33F9">
        <w:rPr>
          <w:szCs w:val="24"/>
          <w:lang w:val="pt-PT" w:eastAsia="en-US"/>
        </w:rPr>
        <w:lastRenderedPageBreak/>
        <w:t>f)</w:t>
      </w:r>
      <w:r w:rsidRPr="003F33F9">
        <w:rPr>
          <w:szCs w:val="24"/>
          <w:lang w:val="pt-PT" w:eastAsia="en-US"/>
        </w:rPr>
        <w:tab/>
        <w:t>pētnieciskos projektus un zinātniskās publikācijas</w:t>
      </w:r>
      <w:r w:rsidRPr="003F33F9">
        <w:rPr>
          <w:b/>
          <w:i/>
          <w:szCs w:val="24"/>
          <w:lang w:val="pt-PT" w:eastAsia="en-US"/>
        </w:rPr>
        <w:t xml:space="preserve"> un pierādījumus</w:t>
      </w:r>
      <w:r w:rsidRPr="003F33F9">
        <w:rPr>
          <w:szCs w:val="24"/>
          <w:lang w:val="pt-PT" w:eastAsia="en-US"/>
        </w:rPr>
        <w:t xml:space="preserve">, arī informāciju par </w:t>
      </w:r>
      <w:r w:rsidRPr="003F33F9">
        <w:rPr>
          <w:strike/>
          <w:szCs w:val="24"/>
          <w:lang w:val="pt-PT" w:eastAsia="en-US"/>
        </w:rPr>
        <w:t>attīstības</w:t>
      </w:r>
      <w:r w:rsidRPr="003F33F9">
        <w:rPr>
          <w:b/>
          <w:i/>
          <w:szCs w:val="24"/>
          <w:lang w:val="pt-PT" w:eastAsia="en-US"/>
        </w:rPr>
        <w:t>materiālu un termisko piesārņotāju ietekmi, kā arī virszemes un pazemes ieguves darbību un ar infrastruktūru saistīto darbību ietekmi uz pazemes ūdeņu ekosistēmām un no pazemes ūdeņiem atkarīgām ekosistēmām, un to bioloģisko daudzveidību, informāciju par</w:t>
      </w:r>
      <w:r w:rsidRPr="003F33F9">
        <w:rPr>
          <w:szCs w:val="24"/>
          <w:lang w:val="pt-PT" w:eastAsia="en-US"/>
        </w:rPr>
        <w:t xml:space="preserve"> tendencēm un uz modelēšanu vai citiem prognostiskiem novērtējumiem balstītas prognozes, kā arī </w:t>
      </w:r>
      <w:r w:rsidRPr="003F33F9">
        <w:rPr>
          <w:strike/>
          <w:szCs w:val="24"/>
          <w:lang w:val="pt-PT" w:eastAsia="en-US"/>
        </w:rPr>
        <w:t xml:space="preserve">datus un </w:t>
      </w:r>
      <w:r w:rsidRPr="003F33F9">
        <w:rPr>
          <w:szCs w:val="24"/>
          <w:lang w:val="pt-PT" w:eastAsia="en-US"/>
        </w:rPr>
        <w:t>informāciju</w:t>
      </w:r>
      <w:r w:rsidRPr="003F33F9">
        <w:rPr>
          <w:b/>
          <w:i/>
          <w:szCs w:val="24"/>
          <w:lang w:val="pt-PT" w:eastAsia="en-US"/>
        </w:rPr>
        <w:t xml:space="preserve"> un datus, kas savākti, izmantojot tālizpētes</w:t>
      </w:r>
      <w:r w:rsidRPr="003F33F9">
        <w:rPr>
          <w:strike/>
          <w:szCs w:val="24"/>
          <w:lang w:val="pt-PT" w:eastAsia="en-US"/>
        </w:rPr>
        <w:t>, ko nodrošina attālās uzrādes</w:t>
      </w:r>
      <w:r w:rsidRPr="003F33F9">
        <w:rPr>
          <w:szCs w:val="24"/>
          <w:lang w:val="pt-PT" w:eastAsia="en-US"/>
        </w:rPr>
        <w:t xml:space="preserve"> tehnoloģijas, Zemes </w:t>
      </w:r>
      <w:r w:rsidRPr="003F33F9">
        <w:rPr>
          <w:strike/>
          <w:szCs w:val="24"/>
          <w:lang w:val="pt-PT" w:eastAsia="en-US"/>
        </w:rPr>
        <w:t>novērošana</w:t>
      </w:r>
      <w:r w:rsidRPr="003F33F9">
        <w:rPr>
          <w:b/>
          <w:i/>
          <w:szCs w:val="24"/>
          <w:lang w:val="pt-PT" w:eastAsia="en-US"/>
        </w:rPr>
        <w:t>novērošanu</w:t>
      </w:r>
      <w:r w:rsidRPr="003F33F9">
        <w:rPr>
          <w:szCs w:val="24"/>
          <w:lang w:val="pt-PT" w:eastAsia="en-US"/>
        </w:rPr>
        <w:t xml:space="preserve"> (Copernicus pakalpojumi), in situ </w:t>
      </w:r>
      <w:r w:rsidRPr="003F33F9">
        <w:rPr>
          <w:strike/>
          <w:szCs w:val="24"/>
          <w:lang w:val="pt-PT" w:eastAsia="en-US"/>
        </w:rPr>
        <w:t>sensori</w:t>
      </w:r>
      <w:r w:rsidRPr="003F33F9">
        <w:rPr>
          <w:b/>
          <w:i/>
          <w:szCs w:val="24"/>
          <w:lang w:val="pt-PT" w:eastAsia="en-US"/>
        </w:rPr>
        <w:t>sensorus</w:t>
      </w:r>
      <w:r w:rsidRPr="003F33F9">
        <w:rPr>
          <w:szCs w:val="24"/>
          <w:lang w:val="pt-PT" w:eastAsia="en-US"/>
        </w:rPr>
        <w:t xml:space="preserve"> un ierīces, vai amatierzinātnes datus</w:t>
      </w:r>
      <w:r w:rsidRPr="003F33F9">
        <w:rPr>
          <w:b/>
          <w:i/>
          <w:szCs w:val="24"/>
          <w:lang w:val="pt-PT" w:eastAsia="en-US"/>
        </w:rPr>
        <w:t>, izmantojot</w:t>
      </w:r>
      <w:r w:rsidRPr="003F33F9">
        <w:rPr>
          <w:strike/>
          <w:szCs w:val="24"/>
          <w:lang w:val="pt-PT" w:eastAsia="en-US"/>
        </w:rPr>
        <w:t xml:space="preserve"> un</w:t>
      </w:r>
      <w:r w:rsidRPr="003F33F9">
        <w:rPr>
          <w:szCs w:val="24"/>
          <w:lang w:val="pt-PT" w:eastAsia="en-US"/>
        </w:rPr>
        <w:t xml:space="preserve"> mākslīgā intelekta</w:t>
      </w:r>
      <w:r w:rsidRPr="003F33F9">
        <w:rPr>
          <w:strike/>
          <w:szCs w:val="24"/>
          <w:lang w:val="pt-PT" w:eastAsia="en-US"/>
        </w:rPr>
        <w:t>,</w:t>
      </w:r>
      <w:r w:rsidRPr="003F33F9">
        <w:rPr>
          <w:b/>
          <w:i/>
          <w:szCs w:val="24"/>
          <w:lang w:val="pt-PT" w:eastAsia="en-US"/>
        </w:rPr>
        <w:t xml:space="preserve"> un</w:t>
      </w:r>
      <w:r w:rsidRPr="003F33F9">
        <w:rPr>
          <w:szCs w:val="24"/>
          <w:lang w:val="pt-PT" w:eastAsia="en-US"/>
        </w:rPr>
        <w:t xml:space="preserve"> progresīvas datu analīzes un apstrādes </w:t>
      </w:r>
      <w:r w:rsidRPr="003F33F9">
        <w:rPr>
          <w:strike/>
          <w:szCs w:val="24"/>
          <w:lang w:val="pt-PT" w:eastAsia="en-US"/>
        </w:rPr>
        <w:t>sniegtās</w:t>
      </w:r>
      <w:r w:rsidRPr="003F33F9">
        <w:rPr>
          <w:b/>
          <w:i/>
          <w:szCs w:val="24"/>
          <w:lang w:val="pt-PT" w:eastAsia="en-US"/>
        </w:rPr>
        <w:t>pavērtās</w:t>
      </w:r>
      <w:r w:rsidRPr="003F33F9">
        <w:rPr>
          <w:szCs w:val="24"/>
          <w:lang w:val="pt-PT" w:eastAsia="en-US"/>
        </w:rPr>
        <w:t xml:space="preserve"> iespējas;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88]</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g)</w:t>
      </w:r>
      <w:r w:rsidRPr="003F33F9">
        <w:rPr>
          <w:szCs w:val="24"/>
          <w:lang w:val="pt-PT" w:eastAsia="en-US"/>
        </w:rPr>
        <w:tab/>
        <w:t>ieinteresēto personu ieteikumus.</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Reizi trijos gados ECHA sagatavo ziņojumu, kurā apkopoti saskaņā ar ceturto daļu sagatavoto zinātnisko ziņojumu konstatējumi, un šo ziņojumu dara publiski pieejamu. Pirmo ziņojumu dara pieejamu līdz ... [Publikāciju birojs ieraksta datumu, kas ir divdesmit pirmā mēneša pirmā diena pēc šīs direktīvas stāšanās spēkā].</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br w:type="page"/>
      </w:r>
      <w:r w:rsidRPr="003F33F9">
        <w:rPr>
          <w:szCs w:val="24"/>
          <w:lang w:val="pt-PT" w:eastAsia="en-US"/>
        </w:rPr>
        <w:lastRenderedPageBreak/>
        <w:t>2.</w:t>
      </w:r>
      <w:r w:rsidRPr="003F33F9">
        <w:rPr>
          <w:szCs w:val="24"/>
          <w:lang w:val="pt-PT" w:eastAsia="en-US"/>
        </w:rPr>
        <w:tab/>
        <w:t xml:space="preserve">Novērojamo vielu sarakstu pirmoreiz izveido līdz ... [Publikāciju birojs ieraksta datumu, kas ir nākamā mēneša pirmā diena pēc tam, kad pēc šīs direktīvas stāšanās spēkā pagājuši 24 mēneši]. Novērojamo vielu sarakstu atjaunina </w:t>
      </w:r>
      <w:r w:rsidRPr="003F33F9">
        <w:rPr>
          <w:b/>
          <w:i/>
          <w:szCs w:val="24"/>
          <w:lang w:val="pt-PT" w:eastAsia="en-US"/>
        </w:rPr>
        <w:t xml:space="preserve">vēlākais </w:t>
      </w:r>
      <w:r w:rsidRPr="003F33F9">
        <w:rPr>
          <w:szCs w:val="24"/>
          <w:lang w:val="pt-PT" w:eastAsia="en-US"/>
        </w:rPr>
        <w:t>ik pēc 36 mēnešiem</w:t>
      </w:r>
      <w:r w:rsidRPr="003F33F9">
        <w:rPr>
          <w:b/>
          <w:i/>
          <w:szCs w:val="24"/>
          <w:lang w:val="pt-PT" w:eastAsia="en-US"/>
        </w:rPr>
        <w:t xml:space="preserve"> vai biežāk, ja jauni zinātniskie pierādījumi liecina, ka saraksts jāatjaunina starpposmā starp atsevišķajām pārskatīšanas reizēm</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89]</w:t>
      </w:r>
    </w:p>
    <w:p w:rsidR="00CB6573" w:rsidRPr="003F33F9" w:rsidRDefault="00CB6573" w:rsidP="00CB6573">
      <w:pPr>
        <w:spacing w:before="120" w:after="120" w:line="360" w:lineRule="auto"/>
        <w:ind w:left="1416"/>
        <w:rPr>
          <w:b/>
          <w:szCs w:val="24"/>
          <w:lang w:val="pt-PT" w:eastAsia="en-US"/>
        </w:rPr>
      </w:pPr>
      <w:r w:rsidRPr="003F33F9">
        <w:rPr>
          <w:b/>
          <w:i/>
          <w:szCs w:val="24"/>
          <w:lang w:val="pt-PT" w:eastAsia="en-US"/>
        </w:rPr>
        <w:t>Dalībvalstis ik pēc diviem gadiem izvērtē ar enerģētikas pārkārtošanu saistīto rūpniecisko darbību ietekmi uz ūdens kvalitāti un informē Komisiju par jauniem identificētiem apdraudējumiem, lai tā varētu attiecīgi atjaunināt novērojamo vielu sarakstu. Izvērtējums ir viegli pieejams sabiedrībai.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90]</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br w:type="page"/>
      </w:r>
      <w:r w:rsidRPr="003F33F9">
        <w:rPr>
          <w:szCs w:val="24"/>
          <w:lang w:val="pt-PT" w:eastAsia="en-US"/>
        </w:rPr>
        <w:lastRenderedPageBreak/>
        <w:t>Kad Komisija atjaunina novērojamo vielu sarakstu, tā no pastāvošā saraksta izņem vielas vai vielu grupas, kuru radīto risku ūdens videi Komisijas ieskatā ir iespējams novērtēt bez papildu monitoringa datiem. Ja novērojamo vielu saraksta atjaunināšanas laikā tiek uzskatīts, ka kādas atsevišķas vielas vai vielu grupas radīto risku ūdens videi nevar novērtēt bez papildu monitoringa datiem, minēto vielu vai vielu grupu var sarakstā paturēt uz vēl vienu trīs gadus ilgu periodu. Atjauninātajā novērojamo vielu sarakstā papildus iekļauj arī vienu vai vairākas vielas, kuras Komisija, ņēmusi vērā ECHA zinātniskos ziņojumus, uzskata par tādām, kas var radīt risku ūdens videi.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Dalībvalstis īpaši izraudzītās reprezentatīvās monitoringa stacijās 24 mēnešus pēc kārtas veic katras novērojamo vielu sarakstā iekļautās vielas vai vielu grupas monitoringu. Monitoringa periods sākas sešu mēnešu laikā pēc novērojamo vielu saraksta izveidošanas.</w:t>
      </w:r>
    </w:p>
    <w:p w:rsidR="00CB6573" w:rsidRPr="003F33F9" w:rsidRDefault="00CB6573" w:rsidP="00CB6573">
      <w:pPr>
        <w:spacing w:before="120" w:after="120" w:line="360" w:lineRule="auto"/>
        <w:ind w:left="1416"/>
        <w:rPr>
          <w:b/>
          <w:szCs w:val="24"/>
          <w:lang w:val="pt-PT" w:eastAsia="en-US"/>
        </w:rPr>
      </w:pPr>
      <w:r w:rsidRPr="003F33F9">
        <w:rPr>
          <w:szCs w:val="24"/>
          <w:lang w:val="pt-PT" w:eastAsia="en-US"/>
        </w:rPr>
        <w:t xml:space="preserve">Katra dalībvalsts izraugās vismaz </w:t>
      </w:r>
      <w:r w:rsidRPr="003F33F9">
        <w:rPr>
          <w:strike/>
          <w:szCs w:val="24"/>
          <w:lang w:val="pt-PT" w:eastAsia="en-US"/>
        </w:rPr>
        <w:t>vienu</w:t>
      </w:r>
      <w:r w:rsidRPr="003F33F9">
        <w:rPr>
          <w:b/>
          <w:i/>
          <w:szCs w:val="24"/>
          <w:lang w:val="pt-PT" w:eastAsia="en-US"/>
        </w:rPr>
        <w:t>divas</w:t>
      </w:r>
      <w:r w:rsidRPr="003F33F9">
        <w:rPr>
          <w:szCs w:val="24"/>
          <w:lang w:val="pt-PT" w:eastAsia="en-US"/>
        </w:rPr>
        <w:t xml:space="preserve"> monitoringa </w:t>
      </w:r>
      <w:r w:rsidRPr="003F33F9">
        <w:rPr>
          <w:strike/>
          <w:szCs w:val="24"/>
          <w:lang w:val="pt-PT" w:eastAsia="en-US"/>
        </w:rPr>
        <w:t>staciju</w:t>
      </w:r>
      <w:r w:rsidRPr="003F33F9">
        <w:rPr>
          <w:b/>
          <w:i/>
          <w:szCs w:val="24"/>
          <w:lang w:val="pt-PT" w:eastAsia="en-US"/>
        </w:rPr>
        <w:t>stacijas</w:t>
      </w:r>
      <w:r w:rsidRPr="003F33F9">
        <w:rPr>
          <w:szCs w:val="24"/>
          <w:lang w:val="pt-PT" w:eastAsia="en-US"/>
        </w:rPr>
        <w:t xml:space="preserve"> un papildus vēl tādu skaitu staciju, kurš atbilst tās gruntsūdens objektu kopējai platībai, izteiktai kvadrātkilometros un dalītai ar </w:t>
      </w:r>
      <w:r w:rsidRPr="003F33F9">
        <w:rPr>
          <w:strike/>
          <w:szCs w:val="24"/>
          <w:lang w:val="pt-PT" w:eastAsia="en-US"/>
        </w:rPr>
        <w:t>60 000</w:t>
      </w:r>
      <w:r w:rsidRPr="003F33F9">
        <w:rPr>
          <w:b/>
          <w:i/>
          <w:szCs w:val="24"/>
          <w:lang w:val="pt-PT" w:eastAsia="en-US"/>
        </w:rPr>
        <w:t>30 000</w:t>
      </w:r>
      <w:r w:rsidRPr="003F33F9">
        <w:rPr>
          <w:szCs w:val="24"/>
          <w:lang w:val="pt-PT" w:eastAsia="en-US"/>
        </w:rPr>
        <w:t xml:space="preserve"> (noapaļojot līdz tuvākajam veselajam skaitlim).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91]</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br w:type="page"/>
      </w:r>
      <w:r w:rsidRPr="003F33F9">
        <w:rPr>
          <w:szCs w:val="24"/>
          <w:lang w:val="pt-PT" w:eastAsia="en-US"/>
        </w:rPr>
        <w:lastRenderedPageBreak/>
        <w:t>Kad dalībvalstis katrai vielai vai vielu grupai izvēlas reprezentatīvās monitoringa stacijas, monitoringa biežumu un sezonu, tās ņem vērā vielas vai vielu grupas lietojuma modeļus un iespējamo klātesību. Monitoringu veic ne retāk ka reizi gadā.</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Ja dalībvalsts spēj iegūt no pastāvošām monitoringa programmām vai pētījumiem ņemtus pietiekamus, salīdzināmus, reprezentatīvus un nesenus monitoringa datus par konkrētu vielu vai vielu grupu, tā var nolemt novērojamo vielu saraksta mehānismā paredzēto papildu monitoringu minētajai vielai vai vielu grupai neveikt, taču tad vielas vai vielu grupas pastāvošā monitoringa metodikai jāatbilst monitoringa matricām un analīzes metodēm, kuras minētas īstenošanas aktā, ar ko novērojamo vielu saraksts izveidots.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br w:type="page"/>
      </w:r>
      <w:r w:rsidRPr="003F33F9">
        <w:rPr>
          <w:szCs w:val="24"/>
          <w:lang w:val="pt-PT" w:eastAsia="en-US"/>
        </w:rPr>
        <w:lastRenderedPageBreak/>
        <w:t>4.</w:t>
      </w:r>
      <w:r w:rsidRPr="003F33F9">
        <w:rPr>
          <w:szCs w:val="24"/>
          <w:lang w:val="pt-PT" w:eastAsia="en-US"/>
        </w:rPr>
        <w:tab/>
        <w:t>Šā panta 3. punktā minētā monitoringa rezultātus dalībvalstis dara pieejamus saskaņā ar Direktīvas 2000/60/EK 8. panta 4. punktu un īstenošanas aktu, ar ko novērojamo vielu sarakstu izveido un kas pieņemts, izpildot 1. punktu. Papildus tās dara pieejamu informāciju par monitoringa staciju reprezentativitāti un monitoringa stratēģiju.</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5.</w:t>
      </w:r>
      <w:r w:rsidRPr="003F33F9">
        <w:rPr>
          <w:szCs w:val="24"/>
          <w:lang w:val="pt-PT" w:eastAsia="en-US"/>
        </w:rPr>
        <w:tab/>
        <w:t>Šā panta 3. punktā minētā 24 mēnešu perioda beigās ECHA pārskata monitoringa rezultātus un novērtē, kuru vielu vai vielu grupu monitorings jāturpina vēl 24 mēnešus un kuras tāpēc ir jāpatur novērojamo vielu sarakstā, un kuras vielas vai vielu grupas var no novērojamo vielu saraksta izņemt.</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Ja Komisija, ņemot vērā pirmajā daļā minēto ECHA novērtējumu, secina, ka ūdens videi radītā riska turpmākai novērtēšanai papildu monitorings nav vajadzīgs, minēto novērtējumu ņem vērā, kad saskaņā ar 8. pantu pārskata I vai II pielikumu.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br w:type="page"/>
      </w:r>
      <w:r w:rsidRPr="003F33F9">
        <w:rPr>
          <w:szCs w:val="24"/>
          <w:lang w:val="pt-PT" w:eastAsia="en-US"/>
        </w:rPr>
        <w:lastRenderedPageBreak/>
        <w:t>* Eiropas Parlamenta un Padomes Direktīva 2008/105/EK par virszemes ūdeņu piesārņojuma novēršanu un ierobežošanu un ar ko groza un sekojoši atceļ Padomes Direktīvas 82/176/EEK, 83/513/EEK, 84/156/EEK, 84/491/EEK, 86/280/EEK, un ar ko groza Eiropas Parlamenta un Padomes Direktīvu 2000/60/EK (OV L 348, 24.12.2008., 84.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Direktīva (ES) 2020/2184 (2020. gada 16. decembris) par dzeramā ūdens kvalitāti (OV L 435, 23.12.2020. 1.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Regula (EK) Nr. 1907/2006 (2006. gada 18. decembris) kas attiecas uz ķimikāliju reģistrēšanu, vērtēšanu, licencēšanu un ierobežošanu (OV L 396, 30.12.2006., 1.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Regula (EK) Nr. 1107/2009 (2009. gada 21. oktobris) par augu aizsardzības līdzekļu laišanu tirgū (OV L 309, 24.11.2009., 1.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br w:type="page"/>
      </w:r>
      <w:r w:rsidRPr="003F33F9">
        <w:rPr>
          <w:szCs w:val="24"/>
          <w:lang w:val="pt-PT" w:eastAsia="en-US"/>
        </w:rPr>
        <w:lastRenderedPageBreak/>
        <w:t>***** Eiropas Parlamenta un Padomes Regula (ES) Nr. 528/2012 (2012. gada 22. maijs) par biocīdu piedāvāšanu tirgū un lietošanu (OV L 167, 27.6.2012., 1.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Regula (ES) 2019/6 (2018. gada 11. decembris) par veterinārajām zālēm (OV L 4, 7.1.2019., 43.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Direktīva 2001/83/EK (2001. gada 6. novembris) par Kopienas kodeksu, kas attiecas uz cilvēkiem paredzētām zālēm (OV L 311, 28.11.2001., 67. lpp.).</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 Eiropas Parlamenta un Padomes Direktīva 2009/128/EK (2009. gada 21. oktobris), ar kuru nosaka Kopienas sistēmu pesticīdu ilgtspējīgas lietošanas nodrošināšanai (OV L 309, 24.11.2009., 71. lpp.).;”</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6a)</w:t>
      </w:r>
      <w:r w:rsidRPr="003F33F9">
        <w:rPr>
          <w:szCs w:val="24"/>
          <w:lang w:val="pt-PT" w:eastAsia="en-US"/>
        </w:rPr>
        <w:tab/>
      </w:r>
      <w:r w:rsidRPr="003F33F9">
        <w:rPr>
          <w:b/>
          <w:i/>
          <w:szCs w:val="24"/>
          <w:lang w:val="pt-PT" w:eastAsia="en-US"/>
        </w:rPr>
        <w:t>iekļauj šādu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w:t>
      </w:r>
      <w:r w:rsidRPr="003F33F9">
        <w:rPr>
          <w:b/>
          <w:i/>
          <w:szCs w:val="24"/>
          <w:lang w:val="pt-PT" w:eastAsia="en-US"/>
        </w:rPr>
        <w:t>6.aa pants</w:t>
      </w:r>
      <w:r w:rsidRPr="003F33F9">
        <w:rPr>
          <w:szCs w:val="24"/>
          <w:lang w:val="pt-PT" w:eastAsia="en-US"/>
        </w:rPr>
        <w:br/>
      </w:r>
      <w:r w:rsidRPr="003F33F9">
        <w:rPr>
          <w:b/>
          <w:i/>
          <w:szCs w:val="24"/>
          <w:lang w:val="pt-PT" w:eastAsia="en-US"/>
        </w:rPr>
        <w:t xml:space="preserve">Gruntsūdeņu ekosistēmu aizsardzības uzlabošana </w:t>
      </w:r>
    </w:p>
    <w:p w:rsidR="00CB6573" w:rsidRPr="003F33F9" w:rsidRDefault="00CB6573" w:rsidP="00CB6573">
      <w:pPr>
        <w:spacing w:before="120" w:after="120" w:line="360" w:lineRule="auto"/>
        <w:ind w:left="850"/>
        <w:rPr>
          <w:b/>
          <w:szCs w:val="24"/>
          <w:lang w:val="pt-PT" w:eastAsia="en-US"/>
        </w:rPr>
      </w:pPr>
      <w:r w:rsidRPr="003F33F9">
        <w:rPr>
          <w:b/>
          <w:i/>
          <w:szCs w:val="24"/>
          <w:lang w:val="pt-PT" w:eastAsia="en-US"/>
        </w:rPr>
        <w:t>Komisija ne vēlāk kā [Publikāciju birojs ieraksta datumu, kas ir diena, kurā pagājuši četri gadi pēc šīs direktīvas stāšanās spēkā] publicē novērtējumu par fizikālķīmisko elementu (piemēram, pH, bagātināšana ar skābekli un temperatūra) ietekmi uz gruntsūdeņu ekosistēmu veselību, attiecīgā gadījumā pievienojot tiesību akta priekšlikumu nolūkā attiecīgi pārskatīt šo direktīvu, lai noteiktu atbilstošus rādītājus un saskaņotas monitoringa metodes un definētu, kas gruntsūdeņu gadījumā ir “labs ekoloģiskais stāvoklis.”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92]</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6b)</w:t>
      </w:r>
      <w:r w:rsidRPr="003F33F9">
        <w:rPr>
          <w:szCs w:val="24"/>
          <w:lang w:val="pt-PT" w:eastAsia="en-US"/>
        </w:rPr>
        <w:tab/>
      </w:r>
      <w:r w:rsidRPr="003F33F9">
        <w:rPr>
          <w:b/>
          <w:i/>
          <w:szCs w:val="24"/>
          <w:lang w:val="pt-PT" w:eastAsia="en-US"/>
        </w:rPr>
        <w:t>iekļauj šādu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w:t>
      </w:r>
      <w:r w:rsidRPr="003F33F9">
        <w:rPr>
          <w:b/>
          <w:i/>
          <w:szCs w:val="24"/>
          <w:lang w:val="pt-PT" w:eastAsia="en-US"/>
        </w:rPr>
        <w:t>6.ab pants</w:t>
      </w:r>
      <w:r w:rsidRPr="003F33F9">
        <w:rPr>
          <w:szCs w:val="24"/>
          <w:lang w:val="pt-PT" w:eastAsia="en-US"/>
        </w:rPr>
        <w:br/>
      </w:r>
      <w:r w:rsidRPr="003F33F9">
        <w:rPr>
          <w:b/>
          <w:i/>
          <w:szCs w:val="24"/>
          <w:lang w:val="pt-PT" w:eastAsia="en-US"/>
        </w:rPr>
        <w:t xml:space="preserve">Īpaša kārtība attiecībā uz teritorijām ar augstu ekoloģisko vērtību un sevišķi neaizsargātām vai piesārņotām teritorijām </w:t>
      </w:r>
    </w:p>
    <w:p w:rsidR="00CB6573" w:rsidRPr="003F33F9" w:rsidRDefault="00CB6573" w:rsidP="00CB6573">
      <w:pPr>
        <w:spacing w:before="120" w:after="120" w:line="360" w:lineRule="auto"/>
        <w:ind w:left="850"/>
        <w:rPr>
          <w:b/>
          <w:szCs w:val="24"/>
          <w:lang w:val="pt-PT" w:eastAsia="en-US"/>
        </w:rPr>
      </w:pPr>
      <w:r w:rsidRPr="003F33F9">
        <w:rPr>
          <w:b/>
          <w:i/>
          <w:szCs w:val="24"/>
          <w:lang w:val="pt-PT" w:eastAsia="en-US"/>
        </w:rPr>
        <w:t>Komisija līdz ... [ne vēlāk kā četri gadi pēc šīs direktīvas stāšanās spēkā] publicē tādu teritoriju ķīmiskās kvalitātes rādītāju novērtējumu, kuras raksturo augsta ekoloģiskā vērtība, sevišķa neaizsargātība vai piesārņojums, piemēram, alas un karsta apgabali, agrākie rūpniecības objekti un citas teritorijas, par ko zināms, ka tās bijušas kontaminētas, un attiecīgā gadījumā tam pievieno tiesību akta priekšlikumu nolūkā pārskatīt šo direktīvu.</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93]</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6c)</w:t>
      </w:r>
      <w:r w:rsidRPr="003F33F9">
        <w:rPr>
          <w:szCs w:val="24"/>
          <w:lang w:val="pt-PT" w:eastAsia="en-US"/>
        </w:rPr>
        <w:tab/>
      </w:r>
      <w:r w:rsidRPr="003F33F9">
        <w:rPr>
          <w:b/>
          <w:i/>
          <w:szCs w:val="24"/>
          <w:lang w:val="pt-PT" w:eastAsia="en-US"/>
        </w:rPr>
        <w:t>iekļauj šādu pantu:</w:t>
      </w:r>
    </w:p>
    <w:p w:rsidR="00CB6573" w:rsidRPr="003F33F9" w:rsidRDefault="00CB6573" w:rsidP="00CB6573">
      <w:pPr>
        <w:spacing w:before="120" w:after="120" w:line="360" w:lineRule="auto"/>
        <w:ind w:left="850"/>
        <w:rPr>
          <w:b/>
          <w:szCs w:val="24"/>
          <w:lang w:val="pt-PT" w:eastAsia="en-US"/>
        </w:rPr>
      </w:pPr>
      <w:r w:rsidRPr="003F33F9">
        <w:rPr>
          <w:szCs w:val="24"/>
          <w:lang w:val="pt-PT" w:eastAsia="en-US"/>
        </w:rPr>
        <w:t>“</w:t>
      </w:r>
      <w:r w:rsidRPr="003F33F9">
        <w:rPr>
          <w:b/>
          <w:i/>
          <w:szCs w:val="24"/>
          <w:lang w:val="pt-PT" w:eastAsia="en-US"/>
        </w:rPr>
        <w:t>6.ac pants</w:t>
      </w:r>
      <w:r w:rsidRPr="003F33F9">
        <w:rPr>
          <w:szCs w:val="24"/>
          <w:lang w:val="pt-PT" w:eastAsia="en-US"/>
        </w:rPr>
        <w:br/>
      </w:r>
      <w:r w:rsidRPr="003F33F9">
        <w:rPr>
          <w:b/>
          <w:i/>
          <w:szCs w:val="24"/>
          <w:lang w:val="pt-PT" w:eastAsia="en-US"/>
        </w:rPr>
        <w:t>Komisija ne vēlāk kā ... [viens gads pēc šīs direktīvas spēkā stāšanās dienas] iesniedz ietekmes novērtējumu, kurā izskatīta iespēja šajā direktīvā iekļaut paplašinātas ražotāja atbildības mehānismu, kas nodrošina, ka ražotāji, kuri laiž tirgū produktus, kas satur jebkuru no I pielikumā norādītajām vielām vai maisījumiem, kā arī potenciāli problemātiskas vielas, kas iekļautas novērojamo vielu sarakstā atbilstīgi šai direktīvai, piedalās saskaņā ar Direktīvas 2000/60/EK 8. pantu izstrādāto monitoringa programmu izmaksu segšanā. Ietekmes novērtējumam attiecīgā gadījumā pievieno tiesību akta priekšlikumu nolūkā grozīt šo direktīvu.</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94]</w:t>
      </w:r>
    </w:p>
    <w:p w:rsidR="00CB6573" w:rsidRPr="003F33F9" w:rsidRDefault="00CB6573" w:rsidP="00CB6573">
      <w:pPr>
        <w:spacing w:before="120" w:after="120" w:line="360" w:lineRule="auto"/>
        <w:ind w:left="850" w:hanging="850"/>
        <w:rPr>
          <w:szCs w:val="24"/>
          <w:lang w:val="pt-PT" w:eastAsia="en-US"/>
        </w:rPr>
      </w:pPr>
      <w:r w:rsidRPr="003F33F9">
        <w:rPr>
          <w:b/>
          <w:i/>
          <w:szCs w:val="24"/>
          <w:lang w:val="pt-PT" w:eastAsia="en-US"/>
        </w:rPr>
        <w:br w:type="page"/>
      </w:r>
      <w:r w:rsidRPr="003F33F9">
        <w:rPr>
          <w:b/>
          <w:i/>
          <w:szCs w:val="24"/>
          <w:lang w:val="pt-PT" w:eastAsia="en-US"/>
        </w:rPr>
        <w:lastRenderedPageBreak/>
        <w:t>6d)</w:t>
      </w:r>
      <w:r w:rsidRPr="003F33F9">
        <w:rPr>
          <w:szCs w:val="24"/>
          <w:lang w:val="pt-PT" w:eastAsia="en-US"/>
        </w:rPr>
        <w:tab/>
      </w:r>
      <w:r w:rsidRPr="003F33F9">
        <w:rPr>
          <w:b/>
          <w:i/>
          <w:szCs w:val="24"/>
          <w:lang w:val="pt-PT" w:eastAsia="en-US"/>
        </w:rPr>
        <w:t>iekļauj šādu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w:t>
      </w:r>
      <w:r w:rsidRPr="003F33F9">
        <w:rPr>
          <w:b/>
          <w:i/>
          <w:szCs w:val="24"/>
          <w:lang w:val="pt-PT" w:eastAsia="en-US"/>
        </w:rPr>
        <w:t>6.ad pants</w:t>
      </w:r>
      <w:r w:rsidRPr="003F33F9">
        <w:rPr>
          <w:szCs w:val="24"/>
          <w:lang w:val="pt-PT" w:eastAsia="en-US"/>
        </w:rPr>
        <w:br/>
      </w:r>
      <w:r w:rsidRPr="003F33F9">
        <w:rPr>
          <w:b/>
          <w:i/>
          <w:szCs w:val="24"/>
          <w:lang w:val="pt-PT" w:eastAsia="en-US"/>
        </w:rPr>
        <w:t xml:space="preserve">Eiropas monitoringa mehānisms </w:t>
      </w:r>
    </w:p>
    <w:p w:rsidR="00CB6573" w:rsidRPr="003F33F9" w:rsidRDefault="00CB6573" w:rsidP="00CB6573">
      <w:pPr>
        <w:spacing w:before="120" w:after="120" w:line="360" w:lineRule="auto"/>
        <w:ind w:left="850"/>
        <w:rPr>
          <w:szCs w:val="24"/>
          <w:lang w:val="pt-PT" w:eastAsia="en-US"/>
        </w:rPr>
      </w:pPr>
      <w:r w:rsidRPr="003F33F9">
        <w:rPr>
          <w:b/>
          <w:i/>
          <w:szCs w:val="24"/>
          <w:lang w:val="pt-PT" w:eastAsia="en-US"/>
        </w:rPr>
        <w:t>Komisija līdz ...[viens gads pēc šīs direktīvas stāšanās spēkā] izveido vienotu monitoringa mehānismu monitoringa prasību pārvaldībai pēc dalībvalstu pieprasījuma.</w:t>
      </w:r>
    </w:p>
    <w:p w:rsidR="00CB6573" w:rsidRPr="003F33F9" w:rsidRDefault="00CB6573" w:rsidP="00CB6573">
      <w:pPr>
        <w:spacing w:before="120" w:after="120" w:line="360" w:lineRule="auto"/>
        <w:ind w:left="850"/>
        <w:rPr>
          <w:szCs w:val="24"/>
          <w:lang w:val="pt-PT" w:eastAsia="en-US"/>
        </w:rPr>
      </w:pPr>
      <w:r w:rsidRPr="003F33F9">
        <w:rPr>
          <w:b/>
          <w:i/>
          <w:szCs w:val="24"/>
          <w:lang w:val="pt-PT" w:eastAsia="en-US"/>
        </w:rPr>
        <w:t xml:space="preserve">Komisija nosaka monitoringa mehānisma darbību, kas cita starpā ietver šādus aspektus: </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a)</w:t>
      </w:r>
      <w:r w:rsidRPr="003F33F9">
        <w:rPr>
          <w:szCs w:val="24"/>
          <w:lang w:val="pt-PT" w:eastAsia="en-US"/>
        </w:rPr>
        <w:tab/>
      </w:r>
      <w:r w:rsidRPr="003F33F9">
        <w:rPr>
          <w:b/>
          <w:i/>
          <w:szCs w:val="24"/>
          <w:lang w:val="pt-PT" w:eastAsia="en-US"/>
        </w:rPr>
        <w:t xml:space="preserve">monitoringa mehānisma izmantošana ir brīvprātīga un neskar pasākumus, ko dalībvalstis jau ieviesušas; </w:t>
      </w:r>
    </w:p>
    <w:p w:rsidR="00CB6573" w:rsidRPr="003F33F9" w:rsidRDefault="00CB6573" w:rsidP="00CB6573">
      <w:pPr>
        <w:spacing w:before="120" w:after="120" w:line="360" w:lineRule="auto"/>
        <w:ind w:left="1416" w:hanging="566"/>
        <w:rPr>
          <w:szCs w:val="24"/>
          <w:lang w:val="pt-PT" w:eastAsia="en-US"/>
        </w:rPr>
      </w:pPr>
      <w:r w:rsidRPr="003F33F9">
        <w:rPr>
          <w:b/>
          <w:i/>
          <w:szCs w:val="24"/>
          <w:lang w:val="pt-PT" w:eastAsia="en-US"/>
        </w:rPr>
        <w:t>b)</w:t>
      </w:r>
      <w:r w:rsidRPr="003F33F9">
        <w:rPr>
          <w:szCs w:val="24"/>
          <w:lang w:val="pt-PT" w:eastAsia="en-US"/>
        </w:rPr>
        <w:tab/>
      </w:r>
      <w:r w:rsidRPr="003F33F9">
        <w:rPr>
          <w:b/>
          <w:i/>
          <w:szCs w:val="24"/>
          <w:lang w:val="pt-PT" w:eastAsia="en-US"/>
        </w:rPr>
        <w:t>darbības procedūras, ko piemēro dalībvalstis, kuras plāno izmantot monitoringa mehānismu, un kas cita starpā ietver paziņojumu Komisijai, kurā tām precīzi jānorāda savas monitoringa vajadzības vai spējas un paraugu pārvaldības protokoli, kā arī tas, cik ilgu laiku tās plāno piedalīties mehānismā;</w:t>
      </w:r>
    </w:p>
    <w:p w:rsidR="00CB6573" w:rsidRPr="003F33F9" w:rsidRDefault="00CB6573" w:rsidP="00CB6573">
      <w:pPr>
        <w:spacing w:before="120" w:after="120" w:line="360" w:lineRule="auto"/>
        <w:ind w:left="1416" w:hanging="566"/>
        <w:rPr>
          <w:b/>
          <w:szCs w:val="24"/>
          <w:lang w:val="pt-PT" w:eastAsia="en-US"/>
        </w:rPr>
      </w:pPr>
      <w:r w:rsidRPr="003F33F9">
        <w:rPr>
          <w:b/>
          <w:i/>
          <w:szCs w:val="24"/>
          <w:lang w:val="pt-PT" w:eastAsia="en-US"/>
        </w:rPr>
        <w:br w:type="page"/>
      </w:r>
      <w:r w:rsidRPr="003F33F9">
        <w:rPr>
          <w:b/>
          <w:i/>
          <w:szCs w:val="24"/>
          <w:lang w:val="pt-PT" w:eastAsia="en-US"/>
        </w:rPr>
        <w:lastRenderedPageBreak/>
        <w:t>c)</w:t>
      </w:r>
      <w:r w:rsidRPr="003F33F9">
        <w:rPr>
          <w:szCs w:val="24"/>
          <w:lang w:val="pt-PT" w:eastAsia="en-US"/>
        </w:rPr>
        <w:tab/>
      </w:r>
      <w:r w:rsidRPr="003F33F9">
        <w:rPr>
          <w:b/>
          <w:i/>
          <w:szCs w:val="24"/>
          <w:lang w:val="pt-PT" w:eastAsia="en-US"/>
        </w:rPr>
        <w:t>finansējuma avoti, kas var ietvert attiecīgos Savienības struktūrfondus un programmas, kā arī privātā sektora ieguldījumu, cita starpā paplašinātas ražotāja atbildības mehānisma satvarā, kad tas ieviests saskaņā ar 6.ac punktu.</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95]</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(7)</w:t>
      </w:r>
      <w:r w:rsidRPr="003F33F9">
        <w:rPr>
          <w:szCs w:val="24"/>
          <w:lang w:val="pt-PT" w:eastAsia="en-US"/>
        </w:rPr>
        <w:tab/>
        <w:t>direktīvas 8. pantu aizstāj ar šādu: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“8. pants</w:t>
      </w:r>
      <w:r w:rsidRPr="003F33F9">
        <w:rPr>
          <w:szCs w:val="24"/>
          <w:lang w:val="pt-PT" w:eastAsia="en-US"/>
        </w:rPr>
        <w:br/>
        <w:t xml:space="preserve">I līdz IV pielikuma pārskatīšana </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1.</w:t>
      </w:r>
      <w:r w:rsidRPr="003F33F9">
        <w:rPr>
          <w:szCs w:val="24"/>
          <w:lang w:val="pt-PT" w:eastAsia="en-US"/>
        </w:rPr>
        <w:tab/>
        <w:t xml:space="preserve">Komisija līdz ... [Publikāciju birojs ieraksta datumu, kas ir diena, kurā pagājuši </w:t>
      </w:r>
      <w:r w:rsidRPr="003F33F9">
        <w:rPr>
          <w:strike/>
          <w:szCs w:val="24"/>
          <w:lang w:val="pt-PT" w:eastAsia="en-US"/>
        </w:rPr>
        <w:t>seši</w:t>
      </w:r>
      <w:r w:rsidRPr="003F33F9">
        <w:rPr>
          <w:b/>
          <w:i/>
          <w:szCs w:val="24"/>
          <w:lang w:val="pt-PT" w:eastAsia="en-US"/>
        </w:rPr>
        <w:t>četri</w:t>
      </w:r>
      <w:r w:rsidRPr="003F33F9">
        <w:rPr>
          <w:szCs w:val="24"/>
          <w:lang w:val="pt-PT" w:eastAsia="en-US"/>
        </w:rPr>
        <w:t xml:space="preserve"> gadi pēc šīs direktīvas stāšanās spēkā] pirmo reizi pārskata I pielikumā doto piesārņojošo vielu sarakstu un turpat izklāstītos ar minētajām piesārņojošajām vielām saistītos kvalitātes standartus, kā arī II pielikumā doto piesārņojošo vielu un piesārņojuma rādītāju sarakstu, un turpmāk to dara reizi </w:t>
      </w:r>
      <w:r w:rsidRPr="003F33F9">
        <w:rPr>
          <w:strike/>
          <w:szCs w:val="24"/>
          <w:lang w:val="pt-PT" w:eastAsia="en-US"/>
        </w:rPr>
        <w:t>sešos</w:t>
      </w:r>
      <w:r w:rsidRPr="003F33F9">
        <w:rPr>
          <w:b/>
          <w:i/>
          <w:szCs w:val="24"/>
          <w:lang w:val="pt-PT" w:eastAsia="en-US"/>
        </w:rPr>
        <w:t>četros</w:t>
      </w:r>
      <w:r w:rsidRPr="003F33F9">
        <w:rPr>
          <w:szCs w:val="24"/>
          <w:lang w:val="pt-PT" w:eastAsia="en-US"/>
        </w:rPr>
        <w:t xml:space="preserve"> gados.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96]</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br w:type="page"/>
      </w:r>
      <w:r w:rsidRPr="003F33F9">
        <w:rPr>
          <w:szCs w:val="24"/>
          <w:lang w:val="pt-PT" w:eastAsia="en-US"/>
        </w:rPr>
        <w:lastRenderedPageBreak/>
        <w:t>2.</w:t>
      </w:r>
      <w:r w:rsidRPr="003F33F9">
        <w:rPr>
          <w:szCs w:val="24"/>
          <w:lang w:val="pt-PT" w:eastAsia="en-US"/>
        </w:rPr>
        <w:tab/>
      </w:r>
      <w:r w:rsidRPr="003F33F9">
        <w:rPr>
          <w:b/>
          <w:i/>
          <w:szCs w:val="24"/>
          <w:lang w:val="pt-PT" w:eastAsia="en-US"/>
        </w:rPr>
        <w:t xml:space="preserve">Pamatojoties uz pārskatu, </w:t>
      </w:r>
      <w:r w:rsidRPr="003F33F9">
        <w:rPr>
          <w:szCs w:val="24"/>
          <w:lang w:val="pt-PT" w:eastAsia="en-US"/>
        </w:rPr>
        <w:t xml:space="preserve">Komisija </w:t>
      </w:r>
      <w:r w:rsidRPr="003F33F9">
        <w:rPr>
          <w:strike/>
          <w:szCs w:val="24"/>
          <w:lang w:val="pt-PT" w:eastAsia="en-US"/>
        </w:rPr>
        <w:t>tiek pilnvarota pieņemt ar 8.a pantu saskanīgus deleģētos aktus, ar kuriem</w:t>
      </w:r>
      <w:r w:rsidRPr="003F33F9">
        <w:rPr>
          <w:b/>
          <w:i/>
          <w:szCs w:val="24"/>
          <w:lang w:val="pt-PT" w:eastAsia="en-US"/>
        </w:rPr>
        <w:t>attiecīgā gadījumā nāk klajā ar tiesību aktu priekšlikumiem nolūkā grozīt</w:t>
      </w:r>
      <w:r w:rsidRPr="003F33F9">
        <w:rPr>
          <w:szCs w:val="24"/>
          <w:lang w:val="pt-PT" w:eastAsia="en-US"/>
        </w:rPr>
        <w:t xml:space="preserve"> I pielikumu</w:t>
      </w:r>
      <w:r w:rsidRPr="003F33F9">
        <w:rPr>
          <w:strike/>
          <w:szCs w:val="24"/>
          <w:lang w:val="pt-PT" w:eastAsia="en-US"/>
        </w:rPr>
        <w:t xml:space="preserve"> groza</w:t>
      </w:r>
      <w:r w:rsidRPr="003F33F9">
        <w:rPr>
          <w:szCs w:val="24"/>
          <w:lang w:val="pt-PT" w:eastAsia="en-US"/>
        </w:rPr>
        <w:t>, lai to pielāgotu tehnikas un zinātnes attīstībai, minētajā pielikumā tālab pievienojot vai no tā izņemot gruntsūdeņus piesārņojošās vielas un tām atbilstošus kvalitātes standartus</w:t>
      </w:r>
      <w:r w:rsidRPr="003F33F9">
        <w:rPr>
          <w:strike/>
          <w:szCs w:val="24"/>
          <w:lang w:val="pt-PT" w:eastAsia="en-US"/>
        </w:rPr>
        <w:t>, un ar kuriem</w:t>
      </w:r>
      <w:r w:rsidRPr="003F33F9">
        <w:rPr>
          <w:b/>
          <w:i/>
          <w:szCs w:val="24"/>
          <w:lang w:val="pt-PT" w:eastAsia="en-US"/>
        </w:rPr>
        <w:t>. Komisija tiek pilnvarota saskaņā ar 8.a pantu pieņemt deleģētos aktus, lai grozītu II pielikuma</w:t>
      </w:r>
      <w:r w:rsidRPr="003F33F9">
        <w:rPr>
          <w:szCs w:val="24"/>
          <w:lang w:val="pt-PT" w:eastAsia="en-US"/>
        </w:rPr>
        <w:t xml:space="preserve"> B daļu </w:t>
      </w:r>
      <w:r w:rsidRPr="003F33F9">
        <w:rPr>
          <w:strike/>
          <w:szCs w:val="24"/>
          <w:lang w:val="pt-PT" w:eastAsia="en-US"/>
        </w:rPr>
        <w:t>groza, lai to pielāgotu tehnikas un zinātnes attīstībai</w:t>
      </w:r>
      <w:r w:rsidRPr="003F33F9">
        <w:rPr>
          <w:b/>
          <w:i/>
          <w:szCs w:val="24"/>
          <w:lang w:val="pt-PT" w:eastAsia="en-US"/>
        </w:rPr>
        <w:t>nolūkā to pielāgot tehniskajam un zinātniskajam progresam</w:t>
      </w:r>
      <w:r w:rsidRPr="003F33F9">
        <w:rPr>
          <w:szCs w:val="24"/>
          <w:lang w:val="pt-PT" w:eastAsia="en-US"/>
        </w:rPr>
        <w:t xml:space="preserve">, minētajā </w:t>
      </w:r>
      <w:r w:rsidRPr="003F33F9">
        <w:rPr>
          <w:strike/>
          <w:szCs w:val="24"/>
          <w:lang w:val="pt-PT" w:eastAsia="en-US"/>
        </w:rPr>
        <w:t>daļā tālab</w:t>
      </w:r>
      <w:r w:rsidRPr="003F33F9">
        <w:rPr>
          <w:b/>
          <w:i/>
          <w:szCs w:val="24"/>
          <w:lang w:val="pt-PT" w:eastAsia="en-US"/>
        </w:rPr>
        <w:t>pielikumā</w:t>
      </w:r>
      <w:r w:rsidRPr="003F33F9">
        <w:rPr>
          <w:szCs w:val="24"/>
          <w:lang w:val="pt-PT" w:eastAsia="en-US"/>
        </w:rPr>
        <w:t xml:space="preserve"> pievienojot </w:t>
      </w:r>
      <w:r w:rsidRPr="003F33F9">
        <w:rPr>
          <w:strike/>
          <w:szCs w:val="24"/>
          <w:lang w:val="pt-PT" w:eastAsia="en-US"/>
        </w:rPr>
        <w:t>piesārņojošās</w:t>
      </w:r>
      <w:r w:rsidRPr="003F33F9">
        <w:rPr>
          <w:b/>
          <w:i/>
          <w:szCs w:val="24"/>
          <w:lang w:val="pt-PT" w:eastAsia="en-US"/>
        </w:rPr>
        <w:t>piesārņojošas</w:t>
      </w:r>
      <w:r w:rsidRPr="003F33F9">
        <w:rPr>
          <w:szCs w:val="24"/>
          <w:lang w:val="pt-PT" w:eastAsia="en-US"/>
        </w:rPr>
        <w:t xml:space="preserve"> vielas vai</w:t>
      </w:r>
      <w:r w:rsidRPr="003F33F9">
        <w:rPr>
          <w:strike/>
          <w:szCs w:val="24"/>
          <w:lang w:val="pt-PT" w:eastAsia="en-US"/>
        </w:rPr>
        <w:t xml:space="preserve"> piesārņojuma</w:t>
      </w:r>
      <w:r w:rsidRPr="003F33F9">
        <w:rPr>
          <w:szCs w:val="24"/>
          <w:lang w:val="pt-PT" w:eastAsia="en-US"/>
        </w:rPr>
        <w:t xml:space="preserve"> rādītājus, attiecībā uz kuriem dalībvalstīm jāapsver </w:t>
      </w:r>
      <w:r w:rsidRPr="003F33F9">
        <w:rPr>
          <w:b/>
          <w:i/>
          <w:szCs w:val="24"/>
          <w:lang w:val="pt-PT" w:eastAsia="en-US"/>
        </w:rPr>
        <w:t xml:space="preserve">iespēja noteikt </w:t>
      </w:r>
      <w:r w:rsidRPr="003F33F9">
        <w:rPr>
          <w:szCs w:val="24"/>
          <w:lang w:val="pt-PT" w:eastAsia="en-US"/>
        </w:rPr>
        <w:t>valsts robežvērtību</w:t>
      </w:r>
      <w:r w:rsidRPr="003F33F9">
        <w:rPr>
          <w:strike/>
          <w:szCs w:val="24"/>
          <w:lang w:val="pt-PT" w:eastAsia="en-US"/>
        </w:rPr>
        <w:t xml:space="preserve"> noteikšanas iespēja</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97]</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Komisija tiek pilnvarota pieņemt ar 8.a pantu saskanīgus deleģētos aktus, ar kuriem II pielikuma D daļu groza, lai to pielāgotu zinātnes un tehnikas attīstībai, minētajā daļā tālab pievienojot vai grozot saskaņotās robežvērtības, kas noteiktas vienai vai vairākām minētā pielikuma B daļā uzskaitītajām piesārņojošajām vielām.</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4.</w:t>
      </w:r>
      <w:r w:rsidRPr="003F33F9">
        <w:rPr>
          <w:szCs w:val="24"/>
          <w:lang w:val="pt-PT" w:eastAsia="en-US"/>
        </w:rPr>
        <w:tab/>
        <w:t>Kad Komisija pieņem 2. un 3. punktā minētos</w:t>
      </w:r>
      <w:r w:rsidRPr="003F33F9">
        <w:rPr>
          <w:b/>
          <w:i/>
          <w:szCs w:val="24"/>
          <w:lang w:val="pt-PT" w:eastAsia="en-US"/>
        </w:rPr>
        <w:t xml:space="preserve"> tiesību aktu priekšlikumus un</w:t>
      </w:r>
      <w:r w:rsidRPr="003F33F9">
        <w:rPr>
          <w:szCs w:val="24"/>
          <w:lang w:val="pt-PT" w:eastAsia="en-US"/>
        </w:rPr>
        <w:t xml:space="preserve"> deleģētos aktus, tā ņem vērā zinātniskos ziņojumus, kurus ECHA sagatavojusi saskaņā ar šā panta 6. punktu.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98]</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br w:type="page"/>
      </w:r>
      <w:r w:rsidRPr="003F33F9">
        <w:rPr>
          <w:szCs w:val="24"/>
          <w:lang w:val="pt-PT" w:eastAsia="en-US"/>
        </w:rPr>
        <w:lastRenderedPageBreak/>
        <w:t>5.</w:t>
      </w:r>
      <w:r w:rsidRPr="003F33F9">
        <w:rPr>
          <w:szCs w:val="24"/>
          <w:lang w:val="pt-PT" w:eastAsia="en-US"/>
        </w:rPr>
        <w:tab/>
        <w:t>Komisija tiek pilnvarota pieņemt ar 8.a pantu saskanīgus deleģētos aktus, ar kuriem II pielikuma A un C daļu, kā arī III un IV pielikumu groza, lai tos pielāgotu zinātnes un tehnikas attīstībai.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6.</w:t>
      </w:r>
      <w:r w:rsidRPr="003F33F9">
        <w:rPr>
          <w:szCs w:val="24"/>
          <w:lang w:val="pt-PT" w:eastAsia="en-US"/>
        </w:rPr>
        <w:tab/>
        <w:t>Lai palīdzētu Komisijai pārskatīt I un II pielikumu, ECHA sagatavo zinātniskus ziņojumus. Minētajos ziņojumos ņem vērā:</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a)</w:t>
      </w:r>
      <w:r w:rsidRPr="003F33F9">
        <w:rPr>
          <w:szCs w:val="24"/>
          <w:lang w:val="pt-PT" w:eastAsia="en-US"/>
        </w:rPr>
        <w:tab/>
        <w:t>ECHA Riska novērtēšanas komitejas un Sociālekonomiskās analīzes komitejas atzinumu;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saskaņā ar Direktīvas 2000/60/EK 8. pantu izveidoto monitoringa programmu rezultātus;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c)</w:t>
      </w:r>
      <w:r w:rsidRPr="003F33F9">
        <w:rPr>
          <w:szCs w:val="24"/>
          <w:lang w:val="pt-PT" w:eastAsia="en-US"/>
        </w:rPr>
        <w:tab/>
        <w:t>monitoringa datus, kas savākti saskaņā ar šīs direktīvas 6.a panta 4. punktu;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d)</w:t>
      </w:r>
      <w:r w:rsidRPr="003F33F9">
        <w:rPr>
          <w:szCs w:val="24"/>
          <w:lang w:val="pt-PT" w:eastAsia="en-US"/>
        </w:rPr>
        <w:tab/>
        <w:t>Direktīvas 2008/105/EK un Direktīvas (ES) 2020/2184 pielikumu pārskatīšanas iznākumu;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e)</w:t>
      </w:r>
      <w:r w:rsidRPr="003F33F9">
        <w:rPr>
          <w:szCs w:val="24"/>
          <w:lang w:val="pt-PT" w:eastAsia="en-US"/>
        </w:rPr>
        <w:tab/>
        <w:t>ar augsnes piesārņojuma novēršanu saistītu informāciju un prasības;</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f)</w:t>
      </w:r>
      <w:r w:rsidRPr="003F33F9">
        <w:rPr>
          <w:szCs w:val="24"/>
          <w:lang w:val="pt-PT" w:eastAsia="en-US"/>
        </w:rPr>
        <w:tab/>
        <w:t>Savienības pētnieciskās programmas un zinātniskās publikācijas, arī</w:t>
      </w:r>
      <w:r w:rsidRPr="003F33F9">
        <w:rPr>
          <w:b/>
          <w:i/>
          <w:szCs w:val="24"/>
          <w:lang w:val="pt-PT" w:eastAsia="en-US"/>
        </w:rPr>
        <w:t xml:space="preserve"> atjauninātu</w:t>
      </w:r>
      <w:r w:rsidRPr="003F33F9">
        <w:rPr>
          <w:szCs w:val="24"/>
          <w:lang w:val="pt-PT" w:eastAsia="en-US"/>
        </w:rPr>
        <w:t xml:space="preserve"> informāciju, ko nodrošina attālās uzrādes tehnoloģijas, Zemes novērošana (Copernicus pakalpojumi), in situ sensori un ierīces, un/vai amatierzinātnes datus</w:t>
      </w:r>
      <w:r w:rsidRPr="003F33F9">
        <w:rPr>
          <w:strike/>
          <w:szCs w:val="24"/>
          <w:lang w:val="pt-PT" w:eastAsia="en-US"/>
        </w:rPr>
        <w:t xml:space="preserve"> un mākslīgā intelekta, progresīvas datu analīzes un apstrādes sniegtās</w:t>
      </w:r>
      <w:r w:rsidRPr="003F33F9">
        <w:rPr>
          <w:b/>
          <w:i/>
          <w:szCs w:val="24"/>
          <w:lang w:val="pt-PT" w:eastAsia="en-US"/>
        </w:rPr>
        <w:t>, maksimāli izmantojot</w:t>
      </w:r>
      <w:r w:rsidRPr="003F33F9">
        <w:rPr>
          <w:szCs w:val="24"/>
          <w:lang w:val="pt-PT" w:eastAsia="en-US"/>
        </w:rPr>
        <w:t xml:space="preserve"> iespējas</w:t>
      </w:r>
      <w:r w:rsidRPr="003F33F9">
        <w:rPr>
          <w:b/>
          <w:i/>
          <w:szCs w:val="24"/>
          <w:lang w:val="pt-PT" w:eastAsia="en-US"/>
        </w:rPr>
        <w:t>, kuras sniedz labākie pieejamie tehniskie paņēmieni, kas var ietvert mākslīgo intelektu, progresīvu datu analīzi un apstrādi</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99]</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g)</w:t>
      </w:r>
      <w:r w:rsidRPr="003F33F9">
        <w:rPr>
          <w:szCs w:val="24"/>
          <w:lang w:val="pt-PT" w:eastAsia="en-US"/>
        </w:rPr>
        <w:tab/>
      </w:r>
      <w:r w:rsidRPr="003F33F9">
        <w:rPr>
          <w:strike/>
          <w:szCs w:val="24"/>
          <w:lang w:val="pt-PT" w:eastAsia="en-US"/>
        </w:rPr>
        <w:t xml:space="preserve">attiecīgo ieinteresēto personu izteiktās </w:t>
      </w:r>
      <w:r w:rsidRPr="003F33F9">
        <w:rPr>
          <w:szCs w:val="24"/>
          <w:lang w:val="pt-PT" w:eastAsia="en-US"/>
        </w:rPr>
        <w:t xml:space="preserve">piezīmes un </w:t>
      </w:r>
      <w:r w:rsidRPr="003F33F9">
        <w:rPr>
          <w:strike/>
          <w:szCs w:val="24"/>
          <w:lang w:val="pt-PT" w:eastAsia="en-US"/>
        </w:rPr>
        <w:t xml:space="preserve">sniegto </w:t>
      </w:r>
      <w:r w:rsidRPr="003F33F9">
        <w:rPr>
          <w:szCs w:val="24"/>
          <w:lang w:val="pt-PT" w:eastAsia="en-US"/>
        </w:rPr>
        <w:t>informāciju</w:t>
      </w:r>
      <w:r w:rsidRPr="003F33F9">
        <w:rPr>
          <w:strike/>
          <w:szCs w:val="24"/>
          <w:lang w:val="pt-PT" w:eastAsia="en-US"/>
        </w:rPr>
        <w:t>.</w:t>
      </w:r>
      <w:r w:rsidRPr="003F33F9">
        <w:rPr>
          <w:b/>
          <w:i/>
          <w:szCs w:val="24"/>
          <w:lang w:val="pt-PT" w:eastAsia="en-US"/>
        </w:rPr>
        <w:t>, ko sniedz attiecīgās ieinteresētās personas, tai skaitā valstu regulatīvās iestādes un citas attiecīgās struktūras;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100]</w:t>
      </w:r>
    </w:p>
    <w:p w:rsidR="00CB6573" w:rsidRPr="003F33F9" w:rsidRDefault="00CB6573" w:rsidP="00CB6573">
      <w:pPr>
        <w:spacing w:before="120" w:after="120" w:line="360" w:lineRule="auto"/>
        <w:ind w:left="1416" w:hanging="566"/>
        <w:rPr>
          <w:b/>
          <w:szCs w:val="24"/>
          <w:lang w:val="pt-PT" w:eastAsia="en-US"/>
        </w:rPr>
      </w:pPr>
      <w:r w:rsidRPr="003F33F9">
        <w:rPr>
          <w:b/>
          <w:i/>
          <w:szCs w:val="24"/>
          <w:lang w:val="pt-PT" w:eastAsia="en-US"/>
        </w:rPr>
        <w:t>6a.</w:t>
      </w:r>
      <w:r w:rsidRPr="003F33F9">
        <w:rPr>
          <w:szCs w:val="24"/>
          <w:lang w:val="pt-PT" w:eastAsia="en-US"/>
        </w:rPr>
        <w:tab/>
      </w:r>
      <w:r w:rsidRPr="003F33F9">
        <w:rPr>
          <w:b/>
          <w:i/>
          <w:szCs w:val="24"/>
          <w:lang w:val="pt-PT" w:eastAsia="en-US"/>
        </w:rPr>
        <w:t>Līdz 2025. gada 12. janvārim Komisija izstrādā tehniskas pamatnostādnes par analīzes metodēm rādītājā “PFAS kopā” iekļauto perfluoralkilvielu un polifluoralkilvielu monitoringam. Komisija tiek pilnvarota pieņemt deleģētos aktus saskaņā ar 8.a pantu, lai grozītu šo direktīvu, nosakot kvalitātes standartu “PFAS kopā” un attiecīgi grozot I pielikumu. Komisija šos deleģētos aktus pieņem līdz 2026. gada 12. janvārim.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101]</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br w:type="page"/>
      </w:r>
      <w:r w:rsidRPr="003F33F9">
        <w:rPr>
          <w:szCs w:val="24"/>
          <w:lang w:val="pt-PT" w:eastAsia="en-US"/>
        </w:rPr>
        <w:lastRenderedPageBreak/>
        <w:t>7.</w:t>
      </w:r>
      <w:r w:rsidRPr="003F33F9">
        <w:rPr>
          <w:szCs w:val="24"/>
          <w:lang w:val="pt-PT" w:eastAsia="en-US"/>
        </w:rPr>
        <w:tab/>
        <w:t xml:space="preserve">Reizi </w:t>
      </w:r>
      <w:r w:rsidRPr="003F33F9">
        <w:rPr>
          <w:strike/>
          <w:szCs w:val="24"/>
          <w:lang w:val="pt-PT" w:eastAsia="en-US"/>
        </w:rPr>
        <w:t>sešos</w:t>
      </w:r>
      <w:r w:rsidRPr="003F33F9">
        <w:rPr>
          <w:b/>
          <w:i/>
          <w:szCs w:val="24"/>
          <w:lang w:val="pt-PT" w:eastAsia="en-US"/>
        </w:rPr>
        <w:t>četros</w:t>
      </w:r>
      <w:r w:rsidRPr="003F33F9">
        <w:rPr>
          <w:szCs w:val="24"/>
          <w:lang w:val="pt-PT" w:eastAsia="en-US"/>
        </w:rPr>
        <w:t xml:space="preserve"> gados ECHA sagatavo un dara publiski pieejamu ziņojumu, kurā apkopoti 2. un 3. punktā minētās pārskatīšanas konstatējumi. Pirmo ziņojumu Komisijai iesniedz ... [Publikāciju birojs ieraksta datumu, kas ir diena, kurā pagājuši </w:t>
      </w:r>
      <w:r w:rsidRPr="003F33F9">
        <w:rPr>
          <w:strike/>
          <w:szCs w:val="24"/>
          <w:lang w:val="pt-PT" w:eastAsia="en-US"/>
        </w:rPr>
        <w:t>pieci</w:t>
      </w:r>
      <w:r w:rsidRPr="003F33F9">
        <w:rPr>
          <w:b/>
          <w:i/>
          <w:szCs w:val="24"/>
          <w:lang w:val="pt-PT" w:eastAsia="en-US"/>
        </w:rPr>
        <w:t>trīs</w:t>
      </w:r>
      <w:r w:rsidRPr="003F33F9">
        <w:rPr>
          <w:szCs w:val="24"/>
          <w:lang w:val="pt-PT" w:eastAsia="en-US"/>
        </w:rPr>
        <w:t xml:space="preserve"> gadi pēc šīs direktīvas stāšanās spēkā].”</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102]</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(8)</w:t>
      </w:r>
      <w:r w:rsidRPr="003F33F9">
        <w:rPr>
          <w:szCs w:val="24"/>
          <w:lang w:val="pt-PT" w:eastAsia="en-US"/>
        </w:rPr>
        <w:tab/>
        <w:t>iekļauj šādu 8.a pantu: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“8.a pants</w:t>
      </w:r>
      <w:r w:rsidRPr="003F33F9">
        <w:rPr>
          <w:szCs w:val="24"/>
          <w:lang w:val="pt-PT" w:eastAsia="en-US"/>
        </w:rPr>
        <w:br/>
        <w:t>Deleģēšanas īstenošana</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1.</w:t>
      </w:r>
      <w:r w:rsidRPr="003F33F9">
        <w:rPr>
          <w:szCs w:val="24"/>
          <w:lang w:val="pt-PT" w:eastAsia="en-US"/>
        </w:rPr>
        <w:tab/>
        <w:t>Pilnvaras pieņemt deleģētos aktus Komisijai piešķir, ievērojot šajā pantā izklāstītos nosacījumus.</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2.</w:t>
      </w:r>
      <w:r w:rsidRPr="003F33F9">
        <w:rPr>
          <w:szCs w:val="24"/>
          <w:lang w:val="pt-PT" w:eastAsia="en-US"/>
        </w:rPr>
        <w:tab/>
        <w:t xml:space="preserve">Pilnvaras pieņemt 8. panta </w:t>
      </w:r>
      <w:r w:rsidRPr="003F33F9">
        <w:rPr>
          <w:strike/>
          <w:szCs w:val="24"/>
          <w:lang w:val="pt-PT" w:eastAsia="en-US"/>
        </w:rPr>
        <w:t>1. un 2</w:t>
      </w:r>
      <w:r w:rsidRPr="003F33F9">
        <w:rPr>
          <w:b/>
          <w:i/>
          <w:szCs w:val="24"/>
          <w:lang w:val="pt-PT" w:eastAsia="en-US"/>
        </w:rPr>
        <w:t>2., 3. un 6</w:t>
      </w:r>
      <w:r w:rsidRPr="003F33F9">
        <w:rPr>
          <w:szCs w:val="24"/>
          <w:lang w:val="pt-PT" w:eastAsia="en-US"/>
        </w:rPr>
        <w:t>.</w:t>
      </w:r>
      <w:r w:rsidRPr="003F33F9">
        <w:rPr>
          <w:b/>
          <w:i/>
          <w:szCs w:val="24"/>
          <w:lang w:val="pt-PT" w:eastAsia="en-US"/>
        </w:rPr>
        <w:t>a</w:t>
      </w:r>
      <w:r w:rsidRPr="003F33F9">
        <w:rPr>
          <w:szCs w:val="24"/>
          <w:lang w:val="pt-PT" w:eastAsia="en-US"/>
        </w:rPr>
        <w:t xml:space="preserve"> punktā minētos deleģētos aktus Komisijai piešķir uz </w:t>
      </w:r>
      <w:r w:rsidRPr="003F33F9">
        <w:rPr>
          <w:strike/>
          <w:szCs w:val="24"/>
          <w:lang w:val="pt-PT" w:eastAsia="en-US"/>
        </w:rPr>
        <w:t xml:space="preserve">nenoteiktu laiku no [Publikāciju birojs ieraksta </w:t>
      </w:r>
      <w:r w:rsidRPr="003F33F9">
        <w:rPr>
          <w:b/>
          <w:i/>
          <w:szCs w:val="24"/>
          <w:lang w:val="pt-PT" w:eastAsia="en-US"/>
        </w:rPr>
        <w:t>sešu gadu laikposmu no ... [</w:t>
      </w:r>
      <w:r w:rsidRPr="003F33F9">
        <w:rPr>
          <w:szCs w:val="24"/>
          <w:lang w:val="pt-PT" w:eastAsia="en-US"/>
        </w:rPr>
        <w:t xml:space="preserve">šīs direktīvas spēkā stāšanās </w:t>
      </w:r>
      <w:r w:rsidRPr="003F33F9">
        <w:rPr>
          <w:strike/>
          <w:szCs w:val="24"/>
          <w:lang w:val="pt-PT" w:eastAsia="en-US"/>
        </w:rPr>
        <w:t>dienu</w:t>
      </w:r>
      <w:r w:rsidRPr="003F33F9">
        <w:rPr>
          <w:b/>
          <w:i/>
          <w:szCs w:val="24"/>
          <w:lang w:val="pt-PT" w:eastAsia="en-US"/>
        </w:rPr>
        <w:t>datums</w:t>
      </w:r>
      <w:r w:rsidRPr="003F33F9">
        <w:rPr>
          <w:szCs w:val="24"/>
          <w:lang w:val="pt-PT" w:eastAsia="en-US"/>
        </w:rPr>
        <w:t>].</w:t>
      </w:r>
      <w:r w:rsidRPr="003F33F9">
        <w:rPr>
          <w:b/>
          <w:i/>
          <w:szCs w:val="24"/>
          <w:lang w:val="pt-PT" w:eastAsia="en-US"/>
        </w:rPr>
        <w:t xml:space="preserve"> Komisija sagatavo ziņojumu par pilnvaru deleģēšanu vēlākais deviņus mēnešus pirms sešu gadu laikposma beigām. Pilnvaru deleģēšana tiek automātiski pagarināta uz tāda paša ilguma laikposmiem, ja vien Eiropas Parlaments vai Padome neiebilst pret šādu pagarinājumu vēlākais trīs mēnešus pirms katra laikposma beigām.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103]</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br w:type="page"/>
      </w:r>
      <w:r w:rsidRPr="003F33F9">
        <w:rPr>
          <w:szCs w:val="24"/>
          <w:lang w:val="pt-PT" w:eastAsia="en-US"/>
        </w:rPr>
        <w:lastRenderedPageBreak/>
        <w:t>3.</w:t>
      </w:r>
      <w:r w:rsidRPr="003F33F9">
        <w:rPr>
          <w:szCs w:val="24"/>
          <w:lang w:val="pt-PT" w:eastAsia="en-US"/>
        </w:rPr>
        <w:tab/>
        <w:t xml:space="preserve">Eiropas Parlaments un Padome jebkurā laikā var atsaukt 8. panta </w:t>
      </w:r>
      <w:r w:rsidRPr="003F33F9">
        <w:rPr>
          <w:strike/>
          <w:szCs w:val="24"/>
          <w:lang w:val="pt-PT" w:eastAsia="en-US"/>
        </w:rPr>
        <w:t>1. un 2</w:t>
      </w:r>
      <w:r w:rsidRPr="003F33F9">
        <w:rPr>
          <w:b/>
          <w:i/>
          <w:szCs w:val="24"/>
          <w:lang w:val="pt-PT" w:eastAsia="en-US"/>
        </w:rPr>
        <w:t>2., 3. un 6</w:t>
      </w:r>
      <w:r w:rsidRPr="003F33F9">
        <w:rPr>
          <w:szCs w:val="24"/>
          <w:lang w:val="pt-PT" w:eastAsia="en-US"/>
        </w:rPr>
        <w:t>.</w:t>
      </w:r>
      <w:r w:rsidRPr="003F33F9">
        <w:rPr>
          <w:b/>
          <w:i/>
          <w:szCs w:val="24"/>
          <w:lang w:val="pt-PT" w:eastAsia="en-US"/>
        </w:rPr>
        <w:t>a</w:t>
      </w:r>
      <w:r w:rsidRPr="003F33F9">
        <w:rPr>
          <w:szCs w:val="24"/>
          <w:lang w:val="pt-PT" w:eastAsia="en-US"/>
        </w:rPr>
        <w:t xml:space="preserve"> punktā minēto pilnvaru deleģēšanu. Ar lēmumu par atsaukšanu izbeidz tajā norādīto pilnvaru deleģēšanu. Lēmums stājas spēkā nākamajā dienā pēc tā publicēšanas </w:t>
      </w:r>
      <w:r w:rsidRPr="006A19EE">
        <w:rPr>
          <w:i/>
          <w:szCs w:val="24"/>
          <w:lang w:val="pt-PT" w:eastAsia="en-US"/>
        </w:rPr>
        <w:t>Eiropas Savienības Oficiālajā Vēstnesī</w:t>
      </w:r>
      <w:r w:rsidRPr="003F33F9">
        <w:rPr>
          <w:szCs w:val="24"/>
          <w:lang w:val="pt-PT" w:eastAsia="en-US"/>
        </w:rPr>
        <w:t xml:space="preserve"> vai vēlākā dienā, kas tajā norādīta. Tas neskar jau spēkā esošos deleģētos aktus.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104]</w:t>
      </w:r>
    </w:p>
    <w:p w:rsidR="004476FE" w:rsidRPr="003F33F9" w:rsidRDefault="00CB6573" w:rsidP="004476FE">
      <w:pPr>
        <w:spacing w:before="120" w:after="120" w:line="360" w:lineRule="auto"/>
        <w:ind w:left="1416" w:hanging="566"/>
        <w:rPr>
          <w:b/>
          <w:szCs w:val="24"/>
          <w:lang w:val="pt-PT" w:eastAsia="en-US"/>
        </w:rPr>
      </w:pPr>
      <w:r w:rsidRPr="003F33F9">
        <w:rPr>
          <w:szCs w:val="24"/>
          <w:lang w:val="pt-PT" w:eastAsia="en-US"/>
        </w:rPr>
        <w:t>4.</w:t>
      </w:r>
      <w:r w:rsidRPr="003F33F9">
        <w:rPr>
          <w:szCs w:val="24"/>
          <w:lang w:val="pt-PT" w:eastAsia="en-US"/>
        </w:rPr>
        <w:tab/>
        <w:t>Pirms deleģētā akta pieņemšanas Komisija apspriežas ar katras dalībvalsts ieceltajiem ekspertiem saskaņā ar principiem, kas noteikti 2016. gada 13. aprīļa Iestāžu nolīgumā par labāku likumdošanas procesu.</w:t>
      </w:r>
      <w:r w:rsidR="004476FE" w:rsidRPr="003F33F9">
        <w:rPr>
          <w:szCs w:val="24"/>
          <w:lang w:val="pt-PT" w:eastAsia="en-US"/>
        </w:rPr>
        <w:t xml:space="preserve"> </w:t>
      </w:r>
      <w:r w:rsidR="004476FE" w:rsidRPr="003F33F9">
        <w:rPr>
          <w:b/>
          <w:szCs w:val="24"/>
          <w:lang w:val="pt-PT" w:eastAsia="en-US"/>
        </w:rPr>
        <w:t>[Gr. 104 neattiecas uz tekstu latviešu valodā].</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5.</w:t>
      </w:r>
      <w:r w:rsidRPr="003F33F9">
        <w:rPr>
          <w:szCs w:val="24"/>
          <w:lang w:val="pt-PT" w:eastAsia="en-US"/>
        </w:rPr>
        <w:tab/>
        <w:t>Tiklīdz Komisija pieņem deleģētu aktu, tā par to paziņo vienlaikus Eiropas Parlamentam un Padomei.</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br w:type="page"/>
      </w:r>
      <w:r w:rsidRPr="003F33F9">
        <w:rPr>
          <w:szCs w:val="24"/>
          <w:lang w:val="pt-PT" w:eastAsia="en-US"/>
        </w:rPr>
        <w:lastRenderedPageBreak/>
        <w:t>6.</w:t>
      </w:r>
      <w:r w:rsidRPr="003F33F9">
        <w:rPr>
          <w:szCs w:val="24"/>
          <w:lang w:val="pt-PT" w:eastAsia="en-US"/>
        </w:rPr>
        <w:tab/>
        <w:t xml:space="preserve">Saskaņā ar 8. panta </w:t>
      </w:r>
      <w:r w:rsidRPr="003F33F9">
        <w:rPr>
          <w:strike/>
          <w:szCs w:val="24"/>
          <w:lang w:val="pt-PT" w:eastAsia="en-US"/>
        </w:rPr>
        <w:t>1. vai 2</w:t>
      </w:r>
      <w:r w:rsidRPr="003F33F9">
        <w:rPr>
          <w:b/>
          <w:i/>
          <w:szCs w:val="24"/>
          <w:lang w:val="pt-PT" w:eastAsia="en-US"/>
        </w:rPr>
        <w:t>2., 3. vai 6</w:t>
      </w:r>
      <w:r w:rsidRPr="003F33F9">
        <w:rPr>
          <w:szCs w:val="24"/>
          <w:lang w:val="pt-PT" w:eastAsia="en-US"/>
        </w:rPr>
        <w:t>.</w:t>
      </w:r>
      <w:r w:rsidRPr="003F33F9">
        <w:rPr>
          <w:b/>
          <w:i/>
          <w:szCs w:val="24"/>
          <w:lang w:val="pt-PT" w:eastAsia="en-US"/>
        </w:rPr>
        <w:t>a</w:t>
      </w:r>
      <w:r w:rsidRPr="003F33F9">
        <w:rPr>
          <w:szCs w:val="24"/>
          <w:lang w:val="pt-PT" w:eastAsia="en-US"/>
        </w:rPr>
        <w:t xml:space="preserve">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Pr="003F33F9">
        <w:rPr>
          <w:strike/>
          <w:szCs w:val="24"/>
          <w:lang w:val="pt-PT" w:eastAsia="en-US"/>
        </w:rPr>
        <w:t>.;</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106]</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(9)</w:t>
      </w:r>
      <w:r w:rsidRPr="003F33F9">
        <w:rPr>
          <w:szCs w:val="24"/>
          <w:lang w:val="pt-PT" w:eastAsia="en-US"/>
        </w:rPr>
        <w:tab/>
        <w:t>direktīvas 9. pantu aizstāj ar šādu: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“9. pants</w:t>
      </w:r>
      <w:r w:rsidRPr="003F33F9">
        <w:rPr>
          <w:szCs w:val="24"/>
          <w:lang w:val="fi-FI" w:eastAsia="en-US"/>
        </w:rPr>
        <w:br/>
        <w:t>Komiteju procedūra</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1.</w:t>
      </w:r>
      <w:r w:rsidRPr="003F33F9">
        <w:rPr>
          <w:szCs w:val="24"/>
          <w:lang w:val="fi-FI" w:eastAsia="en-US"/>
        </w:rPr>
        <w:tab/>
        <w:t>Komisijai palīdz komiteja. Minētā komiteja ir komiteja Eiropas Parlamenta un Padomes Regulas (ES) Nr. 182/2011* nozīmē.</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br w:type="page"/>
      </w:r>
      <w:r w:rsidRPr="003F33F9">
        <w:rPr>
          <w:szCs w:val="24"/>
          <w:lang w:val="fi-FI" w:eastAsia="en-US"/>
        </w:rPr>
        <w:lastRenderedPageBreak/>
        <w:t>2.</w:t>
      </w:r>
      <w:r w:rsidRPr="003F33F9">
        <w:rPr>
          <w:szCs w:val="24"/>
          <w:lang w:val="fi-FI" w:eastAsia="en-US"/>
        </w:rPr>
        <w:tab/>
        <w:t>Ja ir atsauce uz šo punktu, piemēro Regulas (ES) Nr. 182/2011 5. pantu.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Ja komiteja atzinumu nesniedz, Komisija īstenošanas akta projektu nepieņem un tiek piemērota Regulas (ES) Nr. 182/2011 5. panta 4. punkta trešā daļa.</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 Eiropas Parlamenta un Padomes Regula (ES) Nr. 182/2011 (2011. gada 16. februāris), ar ko nosaka normas un vispārīgus principus par dalībvalstu kontroles mehānismiem, kuri attiecas uz Komisijas īstenošanas pilnvaru izmantošanu (OV L 55, 28.2.2011., 13. lpp.).;”</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(10)</w:t>
      </w:r>
      <w:r w:rsidRPr="003F33F9">
        <w:rPr>
          <w:szCs w:val="24"/>
          <w:lang w:val="fi-FI" w:eastAsia="en-US"/>
        </w:rPr>
        <w:tab/>
        <w:t>direktīvas 10. pantu svītro;</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(11)</w:t>
      </w:r>
      <w:r w:rsidRPr="003F33F9">
        <w:rPr>
          <w:szCs w:val="24"/>
          <w:lang w:val="fi-FI" w:eastAsia="en-US"/>
        </w:rPr>
        <w:tab/>
        <w:t>direktīvas I pielikumu aizstāj ar šīs direktīvas III pielikuma tekstu;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(12)</w:t>
      </w:r>
      <w:r w:rsidRPr="003F33F9">
        <w:rPr>
          <w:szCs w:val="24"/>
          <w:lang w:val="fi-FI" w:eastAsia="en-US"/>
        </w:rPr>
        <w:tab/>
        <w:t>direktīvas II pielikumu groza saskaņā ar šīs direktīvas IV pielikumu;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br w:type="page"/>
      </w:r>
      <w:r w:rsidRPr="003F33F9">
        <w:rPr>
          <w:szCs w:val="24"/>
          <w:lang w:val="fi-FI" w:eastAsia="en-US"/>
        </w:rPr>
        <w:lastRenderedPageBreak/>
        <w:t>(13)</w:t>
      </w:r>
      <w:r w:rsidRPr="003F33F9">
        <w:rPr>
          <w:szCs w:val="24"/>
          <w:lang w:val="fi-FI" w:eastAsia="en-US"/>
        </w:rPr>
        <w:tab/>
        <w:t>direktīvas III pielikuma 2. punkta c) apakšpunktu aizstāj ar šādu: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“c)</w:t>
      </w:r>
      <w:r w:rsidRPr="003F33F9">
        <w:rPr>
          <w:szCs w:val="24"/>
          <w:lang w:val="fi-FI" w:eastAsia="en-US"/>
        </w:rPr>
        <w:tab/>
        <w:t>jebkādu citu atbilstošu informāciju, kur ietverts salīdzinājums starp attiecīgo piesārņojošo vielu gada vidējo aritmētisko koncentrāciju monitoringa vietā un I pielikumā noteiktajiem gruntsūdeņu kvalitātes standartiem un 3. panta 1. punkta b) un c) apakšpunktā minētajām robežvērtībām.;”</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(14)</w:t>
      </w:r>
      <w:r w:rsidRPr="003F33F9">
        <w:rPr>
          <w:szCs w:val="24"/>
          <w:lang w:val="fi-FI" w:eastAsia="en-US"/>
        </w:rPr>
        <w:tab/>
        <w:t>direktīvas IV pielikuma B daļas 1. punkta ievadfrāzi aizstāj ar šādu:</w:t>
      </w:r>
    </w:p>
    <w:p w:rsidR="00CB6573" w:rsidRPr="003F33F9" w:rsidRDefault="00CB6573" w:rsidP="00CB6573">
      <w:pPr>
        <w:spacing w:before="120" w:after="120" w:line="360" w:lineRule="auto"/>
        <w:ind w:left="850"/>
        <w:rPr>
          <w:b/>
          <w:szCs w:val="24"/>
          <w:lang w:val="fi-FI" w:eastAsia="en-US"/>
        </w:rPr>
      </w:pPr>
      <w:r w:rsidRPr="003F33F9">
        <w:rPr>
          <w:szCs w:val="24"/>
          <w:lang w:val="fi-FI" w:eastAsia="en-US"/>
        </w:rPr>
        <w:t>“sākumpunkts pasākumu īstenošanai, lai apvērstu nozīmīgas un ilgstoši augšupejošas tendences</w:t>
      </w:r>
      <w:r w:rsidRPr="003F33F9">
        <w:rPr>
          <w:b/>
          <w:i/>
          <w:szCs w:val="24"/>
          <w:lang w:val="fi-FI" w:eastAsia="en-US"/>
        </w:rPr>
        <w:t>, ieskaitot sezonālu augšupejošu tendenci, ko cita starpā izraisījusi ūdensobjekta vāja notece</w:t>
      </w:r>
      <w:r w:rsidRPr="003F33F9">
        <w:rPr>
          <w:szCs w:val="24"/>
          <w:lang w:val="fi-FI" w:eastAsia="en-US"/>
        </w:rPr>
        <w:t>, ir brīdis, kad piesārņojošās vielas koncentrācija sasniedz 75 % no gruntsūdeņu kvalitātes standartu parametru vērtībām, kas izklāstītas I pielikumā, un no 3. panta 1. punkta b) un c) apakšpunktā minētajām robežvērtībām, ja vien:.”</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107]</w:t>
      </w:r>
    </w:p>
    <w:p w:rsidR="00CB6573" w:rsidRPr="003F33F9" w:rsidRDefault="00CB6573" w:rsidP="00CB6573">
      <w:pPr>
        <w:spacing w:before="120" w:after="120" w:line="360" w:lineRule="auto"/>
        <w:jc w:val="center"/>
        <w:rPr>
          <w:szCs w:val="24"/>
          <w:lang w:val="fi-FI" w:eastAsia="en-US"/>
        </w:rPr>
      </w:pPr>
      <w:r w:rsidRPr="003F33F9">
        <w:rPr>
          <w:szCs w:val="24"/>
          <w:lang w:val="fi-FI" w:eastAsia="en-US"/>
        </w:rPr>
        <w:br w:type="page"/>
      </w:r>
      <w:r w:rsidRPr="003F33F9">
        <w:rPr>
          <w:szCs w:val="24"/>
          <w:lang w:val="fi-FI" w:eastAsia="en-US"/>
        </w:rPr>
        <w:lastRenderedPageBreak/>
        <w:t>3. pants</w:t>
      </w:r>
      <w:r w:rsidRPr="003F33F9">
        <w:rPr>
          <w:szCs w:val="24"/>
          <w:lang w:val="fi-FI" w:eastAsia="en-US"/>
        </w:rPr>
        <w:br/>
        <w:t>Grozījumi Direktīvā 2008/105/EK</w:t>
      </w:r>
    </w:p>
    <w:p w:rsidR="00CB6573" w:rsidRPr="003F33F9" w:rsidRDefault="00CB6573" w:rsidP="00CB6573">
      <w:pPr>
        <w:spacing w:before="120" w:after="120" w:line="360" w:lineRule="auto"/>
        <w:rPr>
          <w:szCs w:val="24"/>
          <w:lang w:val="fi-FI" w:eastAsia="en-US"/>
        </w:rPr>
      </w:pPr>
      <w:r w:rsidRPr="003F33F9">
        <w:rPr>
          <w:szCs w:val="24"/>
          <w:lang w:val="fi-FI" w:eastAsia="en-US"/>
        </w:rPr>
        <w:t>Direktīvu 2008/105/EK groza šādi:</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w:t>
      </w:r>
      <w:r w:rsidRPr="003F33F9">
        <w:rPr>
          <w:szCs w:val="24"/>
          <w:lang w:val="fi-FI" w:eastAsia="en-US"/>
        </w:rPr>
        <w:tab/>
        <w:t>direktīvas nosaukumu aizstāj ar šādu: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“Eiropas Parlamenta un Padomes Direktīva 2008/105/EK (2008. gada 16. decembris) par virszemes ūdeņu piesārņojuma novēršanu un ierobežošanu un ar ko groza un sekojoši atceļ Padomes Direktīvas 82/176/EEK, 83/513/EEK, 84/156/EEK, 84/491/EEK, 86/280/EEK, un ar ko groza Eiropas Parlamenta un Padomes Direktīvu 2000/60/EK;”</w:t>
      </w:r>
    </w:p>
    <w:p w:rsidR="00CB6573" w:rsidRPr="003F33F9" w:rsidRDefault="004476FE" w:rsidP="00CB6573">
      <w:pPr>
        <w:spacing w:before="120" w:after="120" w:line="360" w:lineRule="auto"/>
        <w:ind w:left="850" w:hanging="850"/>
        <w:rPr>
          <w:szCs w:val="24"/>
          <w:lang w:val="pt-PT" w:eastAsia="en-US"/>
        </w:rPr>
      </w:pPr>
      <w:r w:rsidRPr="003F33F9">
        <w:rPr>
          <w:b/>
          <w:i/>
          <w:szCs w:val="24"/>
          <w:lang w:val="pt-PT" w:eastAsia="en-US"/>
        </w:rPr>
        <w:t>(</w:t>
      </w:r>
      <w:r w:rsidR="00CB6573" w:rsidRPr="003F33F9">
        <w:rPr>
          <w:b/>
          <w:i/>
          <w:szCs w:val="24"/>
          <w:lang w:val="pt-PT" w:eastAsia="en-US"/>
        </w:rPr>
        <w:t>1a)</w:t>
      </w:r>
      <w:r w:rsidR="00CB6573" w:rsidRPr="003F33F9">
        <w:rPr>
          <w:szCs w:val="24"/>
          <w:lang w:val="pt-PT" w:eastAsia="en-US"/>
        </w:rPr>
        <w:tab/>
      </w:r>
      <w:r w:rsidR="00CB6573" w:rsidRPr="003F33F9">
        <w:rPr>
          <w:b/>
          <w:i/>
          <w:szCs w:val="24"/>
          <w:lang w:val="pt-PT" w:eastAsia="en-US"/>
        </w:rPr>
        <w:t>direktīvas 1. pantu groza šādi:</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w:t>
      </w:r>
      <w:r w:rsidRPr="003F33F9">
        <w:rPr>
          <w:b/>
          <w:i/>
          <w:szCs w:val="24"/>
          <w:lang w:val="pt-PT" w:eastAsia="en-US"/>
        </w:rPr>
        <w:t>1. pants</w:t>
      </w:r>
      <w:r w:rsidRPr="003F33F9">
        <w:rPr>
          <w:szCs w:val="24"/>
          <w:lang w:val="pt-PT" w:eastAsia="en-US"/>
        </w:rPr>
        <w:br/>
      </w:r>
      <w:r w:rsidRPr="003F33F9">
        <w:rPr>
          <w:b/>
          <w:i/>
          <w:szCs w:val="24"/>
          <w:lang w:val="pt-PT" w:eastAsia="en-US"/>
        </w:rPr>
        <w:t xml:space="preserve">Priekšmets </w:t>
      </w:r>
    </w:p>
    <w:p w:rsidR="00CB6573" w:rsidRPr="003F33F9" w:rsidRDefault="00CB6573" w:rsidP="00CB6573">
      <w:pPr>
        <w:spacing w:before="120" w:after="120" w:line="360" w:lineRule="auto"/>
        <w:ind w:left="850"/>
        <w:rPr>
          <w:b/>
          <w:szCs w:val="24"/>
          <w:lang w:val="pt-PT" w:eastAsia="en-US"/>
        </w:rPr>
      </w:pPr>
      <w:r w:rsidRPr="003F33F9">
        <w:rPr>
          <w:b/>
          <w:i/>
          <w:szCs w:val="24"/>
          <w:lang w:val="pt-PT" w:eastAsia="en-US"/>
        </w:rPr>
        <w:t>Šajā direktīvā ir noteikti vides kvalitātes standarti (VKS) prioritārajām vielām un prioritārām bīstamām vielām, lai panāktu labu ķīmisko stāvokli virszemes ūdeņiem, un saskaņā ar Direktīvas 2000/60/EK 4. panta noteikumiem un mērķiem.</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108]</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(2)</w:t>
      </w:r>
      <w:r w:rsidRPr="003F33F9">
        <w:rPr>
          <w:szCs w:val="24"/>
          <w:lang w:val="pt-PT" w:eastAsia="en-US"/>
        </w:rPr>
        <w:tab/>
        <w:t>direktīvas 3. pantu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panta 1.a punkta pirmajā daļā pievieno šādu iii) apakšpunktu: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“iii)</w:t>
      </w:r>
      <w:r w:rsidRPr="003F33F9">
        <w:rPr>
          <w:szCs w:val="24"/>
          <w:lang w:val="pt-PT" w:eastAsia="en-US"/>
        </w:rPr>
        <w:tab/>
        <w:t>vielām, kuras I pielikuma A daļā iekļautas ar numuru 5, 9, 13, 15, 17, 21, 23, 24, 28, 30, 34, 37, 41, 44 un kurām ir noteikti pārskatīti VKS, un jaunidentificētām vielām, kuras I pielikuma A daļā iekļautas ar 46.–70. numuru, un to dara no [Publikāciju birojs ieraksta datumu, kas ir nākamā mēneša pirmā diena pēc tam, kad pēc šīs direktīvas stāšanās spēkā pagājuši 18 mēneši], un mērķis ir novērst virszemes ūdeņu ķīmiskā stāvokļa pasliktināšanos un panākt labu virszemes ūdeņu ķīmisko stāvokli attiecībā uz minētajām vielām.;”</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b)</w:t>
      </w:r>
      <w:r w:rsidRPr="003F33F9">
        <w:rPr>
          <w:szCs w:val="24"/>
          <w:lang w:val="pt-PT" w:eastAsia="en-US"/>
        </w:rPr>
        <w:tab/>
        <w:t>panta 2. punktu aizstāj ar šādu: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“2.</w:t>
      </w:r>
      <w:r w:rsidRPr="003F33F9">
        <w:rPr>
          <w:szCs w:val="24"/>
          <w:lang w:val="pt-PT" w:eastAsia="en-US"/>
        </w:rPr>
        <w:tab/>
        <w:t>Vielām, kam I pielikuma A daļā ir noteikts biotas VKS vai sedimentu VKS, dalībalstis piemēro šādus biotas VKS vai sedimentu VKS.</w:t>
      </w:r>
    </w:p>
    <w:p w:rsidR="00CB6573" w:rsidRPr="003F33F9" w:rsidRDefault="00CB6573" w:rsidP="00CB6573">
      <w:pPr>
        <w:spacing w:before="120" w:after="120" w:line="360" w:lineRule="auto"/>
        <w:ind w:left="1982"/>
        <w:rPr>
          <w:szCs w:val="24"/>
          <w:lang w:val="pt-PT" w:eastAsia="en-US"/>
        </w:rPr>
      </w:pPr>
      <w:r w:rsidRPr="003F33F9">
        <w:rPr>
          <w:szCs w:val="24"/>
          <w:lang w:val="pt-PT" w:eastAsia="en-US"/>
        </w:rPr>
        <w:t>Vielām, kas šā punkta pirmajā daļā nav minētas, dalībvalstis piemēro ūdeņu VKS, kas noteikti I pielikuma A daļā.;”</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br w:type="page"/>
      </w:r>
      <w:r w:rsidRPr="003F33F9">
        <w:rPr>
          <w:szCs w:val="24"/>
          <w:lang w:val="pt-PT" w:eastAsia="en-US"/>
        </w:rPr>
        <w:lastRenderedPageBreak/>
        <w:t>c)</w:t>
      </w:r>
      <w:r w:rsidRPr="003F33F9">
        <w:rPr>
          <w:szCs w:val="24"/>
          <w:lang w:val="pt-PT" w:eastAsia="en-US"/>
        </w:rPr>
        <w:tab/>
        <w:t>panta 6. punkta pirmās daļas pirmo teikumu aizstāj ar šādu: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“Dalībvalstis gādā, lai tiktu analizētas koncentrāciju ilgtermiņa tendences tām prioritārajām vielām, kuras I pielikuma A daļā identificētas par vielām, kas mēdz uzkrāties sedimentos un/vai biotā, un šo analīzi balsta uz sedimentu vai biotas monitoringu, ko veic saskaņā ar Direktīvas 2000/60/EK 8. pantu notiekošā virszemes ūdeņu stāvokļa monitoringa satvarā.;”</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d)</w:t>
      </w:r>
      <w:r w:rsidRPr="003F33F9">
        <w:rPr>
          <w:szCs w:val="24"/>
          <w:lang w:val="pt-PT" w:eastAsia="en-US"/>
        </w:rPr>
        <w:tab/>
        <w:t>panta 7. punktu svītro;</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e)</w:t>
      </w:r>
      <w:r w:rsidRPr="003F33F9">
        <w:rPr>
          <w:szCs w:val="24"/>
          <w:lang w:val="pt-PT" w:eastAsia="en-US"/>
        </w:rPr>
        <w:tab/>
        <w:t>panta 8. punktu aizstāj ar šādu: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“8.</w:t>
      </w:r>
      <w:r w:rsidRPr="003F33F9">
        <w:rPr>
          <w:szCs w:val="24"/>
          <w:lang w:val="pt-PT" w:eastAsia="en-US"/>
        </w:rPr>
        <w:tab/>
        <w:t>Komisija tiek pilnvarota pieņemt ar 9.a pantu saskanīgus deleģētos aktus, ar kuriem I pielikuma B daļas 3. punktu groza, lai to pielāgotu zinātnes un tehnikas attīstībai.;”</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(3)</w:t>
      </w:r>
      <w:r w:rsidRPr="003F33F9">
        <w:rPr>
          <w:szCs w:val="24"/>
          <w:lang w:val="pt-PT" w:eastAsia="en-US"/>
        </w:rPr>
        <w:tab/>
        <w:t>direktīvas 5. pantu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panta 1. punktu aizstāj ar šādu:</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“1.</w:t>
      </w:r>
      <w:r w:rsidRPr="003F33F9">
        <w:rPr>
          <w:szCs w:val="24"/>
          <w:lang w:val="pt-PT" w:eastAsia="en-US"/>
        </w:rPr>
        <w:tab/>
        <w:t>Pamatojoties uz informāciju, kas savākta saskaņā ar Direktīvas 2000/60/EK 5. un 8. pantu</w:t>
      </w:r>
      <w:r w:rsidRPr="003F33F9">
        <w:rPr>
          <w:b/>
          <w:i/>
          <w:szCs w:val="24"/>
          <w:lang w:val="pt-PT" w:eastAsia="en-US"/>
        </w:rPr>
        <w:t xml:space="preserve"> un ar Eiropas Parlamenta un Padomes Regulu (ES) .../...</w:t>
      </w:r>
      <w:r w:rsidRPr="003F33F9">
        <w:rPr>
          <w:b/>
          <w:i/>
          <w:szCs w:val="24"/>
          <w:vertAlign w:val="superscript"/>
          <w:lang w:val="pt-PT" w:eastAsia="en-US"/>
        </w:rPr>
        <w:t>1a</w:t>
      </w:r>
      <w:r w:rsidRPr="003F33F9">
        <w:rPr>
          <w:szCs w:val="24"/>
          <w:lang w:val="pt-PT" w:eastAsia="en-US"/>
        </w:rPr>
        <w:t>, kā arī uz citiem pieejamiem datiem, dalībvalstis katrā to teritorijā esošā upju baseinu apgabalā vai upju baseinu apgabala daļā veic visu šīs direktīvas I pielikuma A daļā uzskaitīto prioritāro vielu un visu šīs direktīvas II pielikuma A daļā uzskaitīto piesārņojošo vielu emisiju, izplūžu un zudumu uzskaiti, attiecīgā gadījumā norādot arī to koncentrāciju sedimentos un biotā, kā arī pievienojot kartes, ja tādas ir pieejamas.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109]</w:t>
      </w:r>
    </w:p>
    <w:p w:rsidR="00CB6573" w:rsidRPr="003F33F9" w:rsidRDefault="00CB6573" w:rsidP="00CB6573">
      <w:pPr>
        <w:spacing w:before="120" w:after="120" w:line="360" w:lineRule="auto"/>
        <w:ind w:left="1982" w:hanging="564"/>
        <w:rPr>
          <w:b/>
          <w:szCs w:val="24"/>
          <w:lang w:val="pt-PT" w:eastAsia="en-US"/>
        </w:rPr>
      </w:pPr>
      <w:r w:rsidRPr="003F33F9">
        <w:rPr>
          <w:b/>
          <w:szCs w:val="24"/>
          <w:lang w:val="pt-PT" w:eastAsia="en-US"/>
        </w:rPr>
        <w:t>___________________</w:t>
      </w:r>
    </w:p>
    <w:p w:rsidR="00CB6573" w:rsidRPr="003F33F9" w:rsidRDefault="00CB6573" w:rsidP="00CB6573">
      <w:pPr>
        <w:spacing w:before="120" w:after="120" w:line="360" w:lineRule="auto"/>
        <w:ind w:left="1982" w:hanging="566"/>
        <w:rPr>
          <w:b/>
          <w:i/>
          <w:szCs w:val="24"/>
          <w:lang w:val="pt-PT" w:eastAsia="en-US"/>
        </w:rPr>
      </w:pPr>
      <w:r w:rsidRPr="003F33F9">
        <w:rPr>
          <w:b/>
          <w:i/>
          <w:szCs w:val="24"/>
          <w:vertAlign w:val="superscript"/>
          <w:lang w:val="pt-PT" w:eastAsia="en-US"/>
        </w:rPr>
        <w:t>1a</w:t>
      </w:r>
      <w:r w:rsidRPr="003F33F9">
        <w:rPr>
          <w:b/>
          <w:szCs w:val="24"/>
          <w:lang w:val="pt-PT" w:eastAsia="en-US"/>
        </w:rPr>
        <w:t xml:space="preserve"> </w:t>
      </w:r>
      <w:r w:rsidRPr="003F33F9">
        <w:rPr>
          <w:b/>
          <w:szCs w:val="24"/>
          <w:lang w:val="pt-PT" w:eastAsia="en-US"/>
        </w:rPr>
        <w:tab/>
      </w:r>
      <w:r w:rsidRPr="003F33F9">
        <w:rPr>
          <w:b/>
          <w:i/>
          <w:szCs w:val="24"/>
          <w:lang w:val="pt-PT" w:eastAsia="en-US"/>
        </w:rPr>
        <w:t xml:space="preserve">OV: </w:t>
      </w:r>
      <w:r w:rsidR="00F80EF3" w:rsidRPr="003F33F9">
        <w:rPr>
          <w:b/>
          <w:i/>
          <w:szCs w:val="24"/>
          <w:lang w:val="pt-PT" w:eastAsia="en-US"/>
        </w:rPr>
        <w:t>lūgums tekstā ievietot dokumentā COM(2022) 157 ietvertās regulas numuru.</w:t>
      </w:r>
    </w:p>
    <w:p w:rsidR="00CB6573" w:rsidRPr="003F33F9" w:rsidRDefault="00CB6573" w:rsidP="00CB6573">
      <w:pPr>
        <w:spacing w:before="120" w:after="120" w:line="360" w:lineRule="auto"/>
        <w:ind w:left="1982"/>
        <w:rPr>
          <w:b/>
          <w:szCs w:val="24"/>
          <w:lang w:val="pt-PT" w:eastAsia="en-US"/>
        </w:rPr>
      </w:pPr>
      <w:r w:rsidRPr="003F33F9">
        <w:rPr>
          <w:b/>
          <w:i/>
          <w:szCs w:val="24"/>
          <w:lang w:val="pt-PT" w:eastAsia="en-US"/>
        </w:rPr>
        <w:t>Emisiju uzskaiti dara pieejamu elektroniskā datubāzē, ko regulāri atjaunina un kas ir viegli pieejama sabiedrībai.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110]</w:t>
      </w:r>
    </w:p>
    <w:p w:rsidR="00CB6573" w:rsidRPr="003F33F9" w:rsidRDefault="00CB6573" w:rsidP="00CB6573">
      <w:pPr>
        <w:spacing w:before="120" w:after="120" w:line="360" w:lineRule="auto"/>
        <w:ind w:left="1982"/>
        <w:rPr>
          <w:b/>
          <w:szCs w:val="24"/>
          <w:lang w:val="pt-PT" w:eastAsia="en-US"/>
        </w:rPr>
      </w:pPr>
      <w:r w:rsidRPr="003F33F9">
        <w:rPr>
          <w:strike/>
          <w:szCs w:val="24"/>
          <w:lang w:val="pt-PT" w:eastAsia="en-US"/>
        </w:rPr>
        <w:br w:type="page"/>
      </w:r>
      <w:r w:rsidRPr="003F33F9">
        <w:rPr>
          <w:strike/>
          <w:szCs w:val="24"/>
          <w:lang w:val="pt-PT" w:eastAsia="en-US"/>
        </w:rPr>
        <w:lastRenderedPageBreak/>
        <w:t>Šā punkta pirmo daļu nepiemēro emisijām, izplūdēm un zudumiem, kuri Komisijai elektroniski ziņojami saskaņā ar Eiropas Parlamenta un Padomes Regulu (ES) .../.... ;</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111]</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b)</w:t>
      </w:r>
      <w:r w:rsidRPr="003F33F9">
        <w:rPr>
          <w:szCs w:val="24"/>
          <w:lang w:val="it-IT" w:eastAsia="en-US"/>
        </w:rPr>
        <w:tab/>
        <w:t>panta 2. un 3. punktu svītro;</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c)</w:t>
      </w:r>
      <w:r w:rsidRPr="003F33F9">
        <w:rPr>
          <w:szCs w:val="24"/>
          <w:lang w:val="it-IT" w:eastAsia="en-US"/>
        </w:rPr>
        <w:tab/>
        <w:t>panta 4. punktu aizstāj ar šādu:</w:t>
      </w:r>
    </w:p>
    <w:p w:rsidR="00CB6573" w:rsidRPr="003F33F9" w:rsidRDefault="00CB6573" w:rsidP="00CB6573">
      <w:pPr>
        <w:spacing w:before="120" w:after="120" w:line="360" w:lineRule="auto"/>
        <w:ind w:left="1982" w:hanging="566"/>
        <w:rPr>
          <w:b/>
          <w:szCs w:val="24"/>
          <w:lang w:val="it-IT" w:eastAsia="en-US"/>
        </w:rPr>
      </w:pPr>
      <w:r w:rsidRPr="003F33F9">
        <w:rPr>
          <w:szCs w:val="24"/>
          <w:lang w:val="it-IT" w:eastAsia="en-US"/>
        </w:rPr>
        <w:t>“4.</w:t>
      </w:r>
      <w:r w:rsidRPr="003F33F9">
        <w:rPr>
          <w:szCs w:val="24"/>
          <w:lang w:val="it-IT" w:eastAsia="en-US"/>
        </w:rPr>
        <w:tab/>
        <w:t xml:space="preserve">Dalībvalstis savas uzskaites atjaunina Direktīvas 2000/60/EK 5. panta 2. punktā minētās pārskatīšanas ietvaros un nodrošina, ka emisijas, </w:t>
      </w:r>
      <w:r w:rsidRPr="003F33F9">
        <w:rPr>
          <w:b/>
          <w:i/>
          <w:szCs w:val="24"/>
          <w:lang w:val="it-IT" w:eastAsia="en-US"/>
        </w:rPr>
        <w:t xml:space="preserve">arī tās, </w:t>
      </w:r>
      <w:r w:rsidRPr="003F33F9">
        <w:rPr>
          <w:szCs w:val="24"/>
          <w:lang w:val="it-IT" w:eastAsia="en-US"/>
        </w:rPr>
        <w:t>par kurām</w:t>
      </w:r>
      <w:r w:rsidRPr="003F33F9">
        <w:rPr>
          <w:strike/>
          <w:szCs w:val="24"/>
          <w:lang w:val="it-IT" w:eastAsia="en-US"/>
        </w:rPr>
        <w:t xml:space="preserve"> nav</w:t>
      </w:r>
      <w:r w:rsidRPr="003F33F9">
        <w:rPr>
          <w:szCs w:val="24"/>
          <w:lang w:val="it-IT" w:eastAsia="en-US"/>
        </w:rPr>
        <w:t xml:space="preserve"> ziņots saskaņā ar Regulu (ES).../...++ izveidotajā Rūpniecisko emisiju portālā, tiek publicētas valsts upju baseinu apsaimniekošanas plānos, kas koriģēti saskaņā ar minētās direktīvas 13. panta 7. punktu.</w:t>
      </w:r>
      <w:r w:rsidRPr="003F33F9">
        <w:rPr>
          <w:b/>
          <w:szCs w:val="24"/>
          <w:lang w:val="it-IT" w:eastAsia="en-US"/>
        </w:rPr>
        <w:t xml:space="preserve"> </w:t>
      </w:r>
      <w:r w:rsidR="00D116DF" w:rsidRPr="003F33F9">
        <w:rPr>
          <w:b/>
          <w:szCs w:val="24"/>
          <w:lang w:val="it-IT" w:eastAsia="en-US"/>
        </w:rPr>
        <w:t xml:space="preserve">[Gr. </w:t>
      </w:r>
      <w:r w:rsidRPr="003F33F9">
        <w:rPr>
          <w:b/>
          <w:szCs w:val="24"/>
          <w:lang w:val="it-IT" w:eastAsia="en-US"/>
        </w:rPr>
        <w:t>112]</w:t>
      </w:r>
    </w:p>
    <w:p w:rsidR="00CB6573" w:rsidRPr="003F33F9" w:rsidRDefault="00CB6573" w:rsidP="00CB6573">
      <w:pPr>
        <w:spacing w:before="120" w:after="120" w:line="360" w:lineRule="auto"/>
        <w:ind w:left="1982"/>
        <w:rPr>
          <w:szCs w:val="24"/>
          <w:lang w:val="it-IT" w:eastAsia="en-US"/>
        </w:rPr>
      </w:pPr>
      <w:r w:rsidRPr="003F33F9">
        <w:rPr>
          <w:szCs w:val="24"/>
          <w:lang w:val="it-IT" w:eastAsia="en-US"/>
        </w:rPr>
        <w:t>Pārskata periods, ko izmanto, lai atjauninātajā uzskaitē noteiktu vērtību lielumu, ir iepriekšējais gads pirms pirmajā daļā minētās analīzes pabeigšanas.</w:t>
      </w:r>
    </w:p>
    <w:p w:rsidR="00CB6573" w:rsidRPr="003F33F9" w:rsidRDefault="00CB6573" w:rsidP="00CB6573">
      <w:pPr>
        <w:spacing w:before="120" w:after="120" w:line="360" w:lineRule="auto"/>
        <w:ind w:left="1982"/>
        <w:rPr>
          <w:b/>
          <w:szCs w:val="24"/>
          <w:lang w:val="it-IT" w:eastAsia="en-US"/>
        </w:rPr>
      </w:pPr>
      <w:r w:rsidRPr="003F33F9">
        <w:rPr>
          <w:strike/>
          <w:szCs w:val="24"/>
          <w:lang w:val="it-IT" w:eastAsia="en-US"/>
        </w:rPr>
        <w:br w:type="page"/>
      </w:r>
      <w:r w:rsidRPr="003F33F9">
        <w:rPr>
          <w:strike/>
          <w:szCs w:val="24"/>
          <w:lang w:val="it-IT" w:eastAsia="en-US"/>
        </w:rPr>
        <w:lastRenderedPageBreak/>
        <w:t>Tomēr prioritārajām vielām vai piesārņojošajām vielām, uz ko attiecas Regula (EK) Nr. 1107/2009, iekļaujamos datus var aprēķināt kā vidējo vērtību trīs gados pirms pirmajā daļā minētās analīzes pabeigšanas.</w:t>
      </w:r>
      <w:r w:rsidRPr="003F33F9">
        <w:rPr>
          <w:b/>
          <w:strike/>
          <w:szCs w:val="24"/>
          <w:lang w:val="it-IT" w:eastAsia="en-US"/>
        </w:rPr>
        <w:t xml:space="preserve"> q</w:t>
      </w:r>
    </w:p>
    <w:p w:rsidR="00CB6573" w:rsidRPr="003F33F9" w:rsidRDefault="00CB6573" w:rsidP="00CB6573">
      <w:pPr>
        <w:spacing w:before="120" w:after="120" w:line="360" w:lineRule="auto"/>
        <w:ind w:left="1982"/>
        <w:rPr>
          <w:szCs w:val="24"/>
          <w:lang w:val="it-IT" w:eastAsia="en-US"/>
        </w:rPr>
      </w:pPr>
      <w:r w:rsidRPr="003F33F9">
        <w:rPr>
          <w:szCs w:val="24"/>
          <w:lang w:val="it-IT" w:eastAsia="en-US"/>
        </w:rPr>
        <w:t>Attiecībā uz punktveida avotu emisijām, kuras neietilpst Regulas (ES) .../...+++ darbības jomā vai nesasniedz ziņošanas vajadzībām noteiktās gada robežvērtības un par kurām tāpēc nav ziņots saskanīgi ar minēto regulu, šā panta pirmajā daļā noteikto ziņošanas pienākumu izpilda, elektroniski ziņojot saskanīgi ar minēto regulu izveidotajā Rūpniecisko emisiju portālā.</w:t>
      </w:r>
    </w:p>
    <w:p w:rsidR="00CB6573" w:rsidRPr="003F33F9" w:rsidRDefault="00CB6573" w:rsidP="00CB6573">
      <w:pPr>
        <w:spacing w:before="120" w:after="120" w:line="360" w:lineRule="auto"/>
        <w:ind w:left="1982"/>
        <w:rPr>
          <w:szCs w:val="24"/>
          <w:lang w:val="it-IT" w:eastAsia="en-US"/>
        </w:rPr>
      </w:pPr>
      <w:r w:rsidRPr="003F33F9">
        <w:rPr>
          <w:szCs w:val="24"/>
          <w:lang w:val="it-IT" w:eastAsia="en-US"/>
        </w:rPr>
        <w:t>Komisija ar Eiropas Vides aģentūras palīdzību pieņem īstenošanas aktu, ar ko nosaka ceturtajā daļā minētās ziņošanas formātu, detalizācijas pakāpi un biežumu. Minēto īstenošanas aktu pieņem saskaņā ar 9. panta 2. punktā minēto pārbaudes procedūru.;”</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d)</w:t>
      </w:r>
      <w:r w:rsidRPr="003F33F9">
        <w:rPr>
          <w:szCs w:val="24"/>
          <w:lang w:val="it-IT" w:eastAsia="en-US"/>
        </w:rPr>
        <w:tab/>
        <w:t>panta 5. punktu svītro;</w:t>
      </w:r>
    </w:p>
    <w:p w:rsidR="00CB6573" w:rsidRPr="003F33F9" w:rsidRDefault="00CB6573" w:rsidP="00CB6573">
      <w:pPr>
        <w:spacing w:before="120" w:after="120" w:line="360" w:lineRule="auto"/>
        <w:ind w:left="850" w:hanging="850"/>
        <w:rPr>
          <w:szCs w:val="24"/>
          <w:lang w:val="it-IT" w:eastAsia="en-US"/>
        </w:rPr>
      </w:pPr>
      <w:r w:rsidRPr="003F33F9">
        <w:rPr>
          <w:szCs w:val="24"/>
          <w:lang w:val="it-IT" w:eastAsia="en-US"/>
        </w:rPr>
        <w:br w:type="page"/>
      </w:r>
      <w:r w:rsidRPr="003F33F9">
        <w:rPr>
          <w:szCs w:val="24"/>
          <w:lang w:val="it-IT" w:eastAsia="en-US"/>
        </w:rPr>
        <w:lastRenderedPageBreak/>
        <w:t>(4)</w:t>
      </w:r>
      <w:r w:rsidRPr="003F33F9">
        <w:rPr>
          <w:szCs w:val="24"/>
          <w:lang w:val="it-IT" w:eastAsia="en-US"/>
        </w:rPr>
        <w:tab/>
        <w:t>direktīvas 7.a panta 1. punkta pirmo daļu aizstāj ar šādu:</w:t>
      </w:r>
    </w:p>
    <w:p w:rsidR="00CB6573" w:rsidRPr="003F33F9" w:rsidRDefault="00CB6573" w:rsidP="00CB6573">
      <w:pPr>
        <w:spacing w:before="120" w:after="120" w:line="360" w:lineRule="auto"/>
        <w:ind w:left="1416" w:hanging="566"/>
        <w:rPr>
          <w:b/>
          <w:szCs w:val="24"/>
          <w:lang w:val="it-IT" w:eastAsia="en-US"/>
        </w:rPr>
      </w:pPr>
      <w:r w:rsidRPr="003F33F9">
        <w:rPr>
          <w:szCs w:val="24"/>
          <w:lang w:val="it-IT" w:eastAsia="en-US"/>
        </w:rPr>
        <w:t>“1.</w:t>
      </w:r>
      <w:r w:rsidRPr="003F33F9">
        <w:rPr>
          <w:szCs w:val="24"/>
          <w:lang w:val="it-IT" w:eastAsia="en-US"/>
        </w:rPr>
        <w:tab/>
        <w:t xml:space="preserve">Attiecībā uz prioritārajām vielām, kas ietilpst Regulas (EK) Nr. 1907/2006, Regulas (EK) Nr. 1107/2009, Regulas (ES) Nr. 528/2012 vai Eiropas Parlamenta un Padomes Regulas (ES) 2019/6* darbības jomā vai kas ietilpst Eiropas Parlamenta un Padomes Direktīvas 2001/83/EK**, Eiropas Parlamenta un Padomes Direktīvas 2009/128/EK*** vai Direktīvas 2010/75/ES darbības jomā, Komisija </w:t>
      </w:r>
      <w:r w:rsidRPr="003F33F9">
        <w:rPr>
          <w:strike/>
          <w:szCs w:val="24"/>
          <w:lang w:val="it-IT" w:eastAsia="en-US"/>
        </w:rPr>
        <w:t>Direktīvas 2000/60/EK 18. panta 1. punktā minētā ziņojuma sakarā</w:t>
      </w:r>
      <w:r w:rsidRPr="003F33F9">
        <w:rPr>
          <w:b/>
          <w:i/>
          <w:szCs w:val="24"/>
          <w:lang w:val="it-IT" w:eastAsia="en-US"/>
        </w:rPr>
        <w:t>reizi divos gados</w:t>
      </w:r>
      <w:r w:rsidRPr="003F33F9">
        <w:rPr>
          <w:szCs w:val="24"/>
          <w:lang w:val="it-IT" w:eastAsia="en-US"/>
        </w:rPr>
        <w:t xml:space="preserve"> novērtē, vai Savienības un dalībvalstu līmenī spēkā esošie pasākumi ir pietiekami, lai sasniegtu prioritāro vielu VKS, kā arī prioritāro bīstamo vielu izplūžu, emisiju un zudumu izbeigšanas vai pakāpeniskas izbeigšanas mērķi, kas noteikts saskaņā ar Direktīvas 2000/60/EK 4. panta 1. punkta a) apakšpunktu.</w:t>
      </w:r>
      <w:r w:rsidRPr="003F33F9">
        <w:rPr>
          <w:b/>
          <w:szCs w:val="24"/>
          <w:lang w:val="it-IT" w:eastAsia="en-US"/>
        </w:rPr>
        <w:t xml:space="preserve"> </w:t>
      </w:r>
      <w:r w:rsidR="00D116DF" w:rsidRPr="003F33F9">
        <w:rPr>
          <w:b/>
          <w:szCs w:val="24"/>
          <w:lang w:val="it-IT" w:eastAsia="en-US"/>
        </w:rPr>
        <w:t xml:space="preserve">[Gr. </w:t>
      </w:r>
      <w:r w:rsidRPr="003F33F9">
        <w:rPr>
          <w:b/>
          <w:szCs w:val="24"/>
          <w:lang w:val="it-IT" w:eastAsia="en-US"/>
        </w:rPr>
        <w:t>114]</w:t>
      </w:r>
    </w:p>
    <w:p w:rsidR="00CB6573" w:rsidRPr="003F33F9" w:rsidRDefault="00CB6573" w:rsidP="00CB6573">
      <w:pPr>
        <w:spacing w:before="120" w:after="120" w:line="360" w:lineRule="auto"/>
        <w:ind w:left="1416"/>
        <w:rPr>
          <w:b/>
          <w:szCs w:val="24"/>
          <w:lang w:val="it-IT" w:eastAsia="en-US"/>
        </w:rPr>
      </w:pPr>
      <w:r w:rsidRPr="003F33F9">
        <w:rPr>
          <w:b/>
          <w:i/>
          <w:szCs w:val="24"/>
          <w:lang w:val="it-IT" w:eastAsia="en-US"/>
        </w:rPr>
        <w:t>Veicamo pasākumu hierarhijā prioritāti piešķir ierobežojumiem un citiem piesārņojuma avota kontroles pasākumiem. Šajā sakarā Komisija attiecīgā gadījumā iesniedz priekšlikumus grozīt Savienības tiesību aktus, lai nodrošinātu prioritāro vielu izplūžu, emisiju un zudumu novēršanu to avotā.</w:t>
      </w:r>
      <w:r w:rsidRPr="003F33F9">
        <w:rPr>
          <w:b/>
          <w:szCs w:val="24"/>
          <w:lang w:val="it-IT" w:eastAsia="en-US"/>
        </w:rPr>
        <w:t xml:space="preserve"> </w:t>
      </w:r>
      <w:r w:rsidR="00D116DF" w:rsidRPr="003F33F9">
        <w:rPr>
          <w:b/>
          <w:szCs w:val="24"/>
          <w:lang w:val="it-IT" w:eastAsia="en-US"/>
        </w:rPr>
        <w:t xml:space="preserve">[Gr. </w:t>
      </w:r>
      <w:r w:rsidRPr="003F33F9">
        <w:rPr>
          <w:b/>
          <w:szCs w:val="24"/>
          <w:lang w:val="it-IT" w:eastAsia="en-US"/>
        </w:rPr>
        <w:t>115]</w:t>
      </w:r>
    </w:p>
    <w:p w:rsidR="00CB6573" w:rsidRPr="003F33F9" w:rsidRDefault="00CB6573" w:rsidP="00CB6573">
      <w:pPr>
        <w:spacing w:before="120" w:after="120" w:line="360" w:lineRule="auto"/>
        <w:ind w:left="850"/>
        <w:rPr>
          <w:szCs w:val="24"/>
          <w:lang w:val="it-IT" w:eastAsia="en-US"/>
        </w:rPr>
      </w:pPr>
      <w:r w:rsidRPr="003F33F9">
        <w:rPr>
          <w:szCs w:val="24"/>
          <w:lang w:val="it-IT" w:eastAsia="en-US"/>
        </w:rPr>
        <w:br w:type="page"/>
      </w:r>
      <w:r w:rsidRPr="003F33F9">
        <w:rPr>
          <w:szCs w:val="24"/>
          <w:lang w:val="it-IT" w:eastAsia="en-US"/>
        </w:rPr>
        <w:lastRenderedPageBreak/>
        <w:t>* Eiropas Parlamenta un Padomes Regula (ES) 2019/6 (2018. gada 11. decembris) par veterinārajām zālēm un ar ko atceļ Direktīvu 2001/82/EK (OV L 4, 7.1.2019., 43. lpp.).</w:t>
      </w:r>
    </w:p>
    <w:p w:rsidR="00CB6573" w:rsidRPr="003F33F9" w:rsidRDefault="00CB6573" w:rsidP="00CB6573">
      <w:pPr>
        <w:spacing w:before="120" w:after="120" w:line="360" w:lineRule="auto"/>
        <w:ind w:left="850"/>
        <w:rPr>
          <w:szCs w:val="24"/>
          <w:lang w:val="it-IT" w:eastAsia="en-US"/>
        </w:rPr>
      </w:pPr>
      <w:r w:rsidRPr="003F33F9">
        <w:rPr>
          <w:szCs w:val="24"/>
          <w:lang w:val="it-IT" w:eastAsia="en-US"/>
        </w:rPr>
        <w:t>** Eiropas Parlamenta un Padomes Direktīva 2001/83/EK (2001. gada 6. novembris) par Kopienas kodeksu, kas attiecas uz cilvēkiem paredzētām zālēm (OV L 311, 28.11.2001., 67. lpp.).</w:t>
      </w:r>
    </w:p>
    <w:p w:rsidR="00CB6573" w:rsidRPr="003F33F9" w:rsidRDefault="00CB6573" w:rsidP="00CB6573">
      <w:pPr>
        <w:spacing w:before="120" w:after="120" w:line="360" w:lineRule="auto"/>
        <w:ind w:left="850"/>
        <w:rPr>
          <w:szCs w:val="24"/>
          <w:lang w:val="it-IT" w:eastAsia="en-US"/>
        </w:rPr>
      </w:pPr>
      <w:r w:rsidRPr="003F33F9">
        <w:rPr>
          <w:szCs w:val="24"/>
          <w:lang w:val="it-IT" w:eastAsia="en-US"/>
        </w:rPr>
        <w:t>*** Eiropas Parlamenta un Padomes Direktīva 2009/128/EK (2009. gada 21. oktobris), ar kuru nosaka Kopienas sistēmu pesticīdu ilgtspējīgas lietošanas nodrošināšanai (OV L 309, 24.11.2009., 71. lpp.).;”</w:t>
      </w:r>
    </w:p>
    <w:p w:rsidR="00CB6573" w:rsidRPr="003F33F9" w:rsidRDefault="004476FE" w:rsidP="00CB6573">
      <w:pPr>
        <w:spacing w:before="120" w:after="120" w:line="360" w:lineRule="auto"/>
        <w:ind w:left="850" w:hanging="850"/>
        <w:rPr>
          <w:szCs w:val="24"/>
          <w:lang w:val="pt-PT" w:eastAsia="en-US"/>
        </w:rPr>
      </w:pPr>
      <w:r w:rsidRPr="003F33F9">
        <w:rPr>
          <w:b/>
          <w:i/>
          <w:szCs w:val="24"/>
          <w:lang w:val="pt-PT" w:eastAsia="en-US"/>
        </w:rPr>
        <w:t>(</w:t>
      </w:r>
      <w:r w:rsidR="00CB6573" w:rsidRPr="003F33F9">
        <w:rPr>
          <w:b/>
          <w:i/>
          <w:szCs w:val="24"/>
          <w:lang w:val="pt-PT" w:eastAsia="en-US"/>
        </w:rPr>
        <w:t>4a)</w:t>
      </w:r>
      <w:r w:rsidR="00CB6573" w:rsidRPr="003F33F9">
        <w:rPr>
          <w:szCs w:val="24"/>
          <w:lang w:val="pt-PT" w:eastAsia="en-US"/>
        </w:rPr>
        <w:tab/>
      </w:r>
      <w:r w:rsidR="00CB6573" w:rsidRPr="003F33F9">
        <w:rPr>
          <w:b/>
          <w:i/>
          <w:szCs w:val="24"/>
          <w:lang w:val="pt-PT" w:eastAsia="en-US"/>
        </w:rPr>
        <w:t>direktīvas 7.a panta 2. punktu aizstāj ar šādu:</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w:t>
      </w:r>
      <w:r w:rsidRPr="003F33F9">
        <w:rPr>
          <w:b/>
          <w:i/>
          <w:szCs w:val="24"/>
          <w:lang w:val="pt-PT" w:eastAsia="en-US"/>
        </w:rPr>
        <w:t>2.</w:t>
      </w:r>
      <w:r w:rsidRPr="003F33F9">
        <w:rPr>
          <w:szCs w:val="24"/>
          <w:lang w:val="pt-PT" w:eastAsia="en-US"/>
        </w:rPr>
        <w:tab/>
      </w:r>
      <w:r w:rsidRPr="003F33F9">
        <w:rPr>
          <w:b/>
          <w:i/>
          <w:szCs w:val="24"/>
          <w:lang w:val="pt-PT" w:eastAsia="en-US"/>
        </w:rPr>
        <w:t>Komisija ne vēlāk kā sešus mēnešus pēc novērtējuma veikšanas ziņo Eiropas Parlamentam un Padomei par šā panta 1. punktā minētā izvērtējuma rezultātiem un pievieno ziņojumam attiecīgus priekšlikumus, tostarp priekšlikumus kontroles pasākumiem.”</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116]</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br w:type="page"/>
      </w:r>
      <w:r w:rsidRPr="003F33F9">
        <w:rPr>
          <w:szCs w:val="24"/>
          <w:lang w:val="pt-PT" w:eastAsia="en-US"/>
        </w:rPr>
        <w:lastRenderedPageBreak/>
        <w:t>(5)</w:t>
      </w:r>
      <w:r w:rsidRPr="003F33F9">
        <w:rPr>
          <w:szCs w:val="24"/>
          <w:lang w:val="pt-PT" w:eastAsia="en-US"/>
        </w:rPr>
        <w:tab/>
        <w:t>direktīvas 8. pantu aizstāj ar šādu: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“8. pants</w:t>
      </w:r>
      <w:r w:rsidRPr="003F33F9">
        <w:rPr>
          <w:szCs w:val="24"/>
          <w:lang w:val="pt-PT" w:eastAsia="en-US"/>
        </w:rPr>
        <w:br/>
        <w:t>I un II pielikuma pārskatīšana</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1.</w:t>
      </w:r>
      <w:r w:rsidRPr="003F33F9">
        <w:rPr>
          <w:szCs w:val="24"/>
          <w:lang w:val="pt-PT" w:eastAsia="en-US"/>
        </w:rPr>
        <w:tab/>
        <w:t xml:space="preserve">Komisija līdz ... [Publikāciju birojs ieraksta datumu, kas ir diena, kurā pagājuši </w:t>
      </w:r>
      <w:r w:rsidRPr="003F33F9">
        <w:rPr>
          <w:strike/>
          <w:szCs w:val="24"/>
          <w:lang w:val="pt-PT" w:eastAsia="en-US"/>
        </w:rPr>
        <w:t>seši</w:t>
      </w:r>
      <w:r w:rsidRPr="003F33F9">
        <w:rPr>
          <w:b/>
          <w:i/>
          <w:szCs w:val="24"/>
          <w:lang w:val="pt-PT" w:eastAsia="en-US"/>
        </w:rPr>
        <w:t>četri</w:t>
      </w:r>
      <w:r w:rsidRPr="003F33F9">
        <w:rPr>
          <w:szCs w:val="24"/>
          <w:lang w:val="pt-PT" w:eastAsia="en-US"/>
        </w:rPr>
        <w:t xml:space="preserve"> gadi pēc šīs direktīvas stāšanās spēkā] pirmo reizi pārskata I pielikumā A daļā doto prioritāro vielu sarakstu un šīm vielām atbilstošos VKS, kā arī II pielikuma A daļā doto piesārņojošo vielu sarakstu, un turpmāk to dara reizi </w:t>
      </w:r>
      <w:r w:rsidRPr="003F33F9">
        <w:rPr>
          <w:strike/>
          <w:szCs w:val="24"/>
          <w:lang w:val="pt-PT" w:eastAsia="en-US"/>
        </w:rPr>
        <w:t>sešos</w:t>
      </w:r>
      <w:r w:rsidRPr="003F33F9">
        <w:rPr>
          <w:b/>
          <w:i/>
          <w:szCs w:val="24"/>
          <w:lang w:val="pt-PT" w:eastAsia="en-US"/>
        </w:rPr>
        <w:t>četros</w:t>
      </w:r>
      <w:r w:rsidRPr="003F33F9">
        <w:rPr>
          <w:szCs w:val="24"/>
          <w:lang w:val="pt-PT" w:eastAsia="en-US"/>
        </w:rPr>
        <w:t xml:space="preserve"> gados.</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117]</w:t>
      </w:r>
    </w:p>
    <w:p w:rsidR="00CB6573" w:rsidRPr="003F33F9" w:rsidRDefault="00CB6573" w:rsidP="00CB6573">
      <w:pPr>
        <w:spacing w:before="120" w:after="120" w:line="360" w:lineRule="auto"/>
        <w:ind w:left="1416" w:hanging="566"/>
        <w:rPr>
          <w:b/>
          <w:szCs w:val="24"/>
          <w:lang w:val="pt-PT" w:eastAsia="en-US"/>
        </w:rPr>
      </w:pPr>
      <w:r w:rsidRPr="003F33F9">
        <w:rPr>
          <w:szCs w:val="24"/>
          <w:lang w:val="pt-PT" w:eastAsia="en-US"/>
        </w:rPr>
        <w:t>2.</w:t>
      </w:r>
      <w:r w:rsidRPr="003F33F9">
        <w:rPr>
          <w:szCs w:val="24"/>
          <w:lang w:val="pt-PT" w:eastAsia="en-US"/>
        </w:rPr>
        <w:tab/>
      </w:r>
      <w:r w:rsidRPr="003F33F9">
        <w:rPr>
          <w:b/>
          <w:i/>
          <w:szCs w:val="24"/>
          <w:lang w:val="pt-PT" w:eastAsia="en-US"/>
        </w:rPr>
        <w:t xml:space="preserve">Pamatojoties uz pārskatu, </w:t>
      </w:r>
      <w:r w:rsidRPr="003F33F9">
        <w:rPr>
          <w:szCs w:val="24"/>
          <w:lang w:val="pt-PT" w:eastAsia="en-US"/>
        </w:rPr>
        <w:t xml:space="preserve">Komisija </w:t>
      </w:r>
      <w:r w:rsidRPr="003F33F9">
        <w:rPr>
          <w:strike/>
          <w:szCs w:val="24"/>
          <w:lang w:val="pt-PT" w:eastAsia="en-US"/>
        </w:rPr>
        <w:t>tiek pilnvarota pieņemt ar 9.a pantu saskanīgus deleģētos aktus</w:t>
      </w:r>
      <w:r w:rsidRPr="003F33F9">
        <w:rPr>
          <w:b/>
          <w:i/>
          <w:szCs w:val="24"/>
          <w:lang w:val="pt-PT" w:eastAsia="en-US"/>
        </w:rPr>
        <w:t>attiecīgā gadījumā nāk klajā ar tiesību aktu priekšlikumiem</w:t>
      </w:r>
      <w:r w:rsidRPr="003F33F9">
        <w:rPr>
          <w:szCs w:val="24"/>
          <w:lang w:val="pt-PT" w:eastAsia="en-US"/>
        </w:rPr>
        <w:t>, kuros tā ņem vērā zinātniskos ziņojumus, ko Eiropas Ķimikāliju aģentūra (ECHA) sagatavojusi saskaņā ar šā panta 6. punktu, un ar kuriem I pielikumu groza, lai to pielāgotu zinātnes un tehnoloģiju attīstībai, un konkrēti:</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118]</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a)</w:t>
      </w:r>
      <w:r w:rsidRPr="003F33F9">
        <w:rPr>
          <w:szCs w:val="24"/>
          <w:lang w:val="pt-PT" w:eastAsia="en-US"/>
        </w:rPr>
        <w:tab/>
        <w:t>prioritāro vielu sarakstā pievieno jaunas vielas vai no tā izņem kādas no sarakstā iekļautajām vielām;</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dažas minētajā sarakstā norādītās vielas nosaka vai arī vairs nenosaka par prioritārām bīstamām vielām un/vai par visuresošām noturīgām, bioakumulatīvām un toksiskām vielām (uPBT), un/vai par vielām, kas mēdz uzkrāties sedimentos un/vai biotā;</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c)</w:t>
      </w:r>
      <w:r w:rsidRPr="003F33F9">
        <w:rPr>
          <w:szCs w:val="24"/>
          <w:lang w:val="pt-PT" w:eastAsia="en-US"/>
        </w:rPr>
        <w:tab/>
        <w:t>pēc vajadzības nosaka atbilstošus virszemes ūdeņu, sedimentu vai biotas VKS.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3.</w:t>
      </w:r>
      <w:r w:rsidRPr="003F33F9">
        <w:rPr>
          <w:szCs w:val="24"/>
          <w:lang w:val="pt-PT" w:eastAsia="en-US"/>
        </w:rPr>
        <w:tab/>
        <w:t>Komisija tiek pilnvarota pieņemt ar 9.a pantu saskanīgus deleģētos aktus, kuros tā ņem vērā zinātniskos ziņojumus, ko ECHA sagatavojusi saskaņā ar šā panta 6. punktu, un ar kuriem II pielikumu groza, lai to pielāgotu zinātnes un tehnoloģiju attīstībai, un konkrēti:</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a)</w:t>
      </w:r>
      <w:r w:rsidRPr="003F33F9">
        <w:rPr>
          <w:szCs w:val="24"/>
          <w:lang w:val="pt-PT" w:eastAsia="en-US"/>
        </w:rPr>
        <w:tab/>
        <w:t>II pielikuma A daļā dotajā piesārņojošo vielu kategoriju sarakstā pievieno vai no saraksta izņem piesārņojošās vielas;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atjaunina II pielikuma B daļā izklāstīto metodiku;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c)</w:t>
      </w:r>
      <w:r w:rsidRPr="003F33F9">
        <w:rPr>
          <w:szCs w:val="24"/>
          <w:lang w:val="pt-PT" w:eastAsia="en-US"/>
        </w:rPr>
        <w:tab/>
        <w:t>šīs direktīvas II pielikuma C daļā iekļauj upes baseinam specifiskas piesārņojošās vielas, par kurām tā ir noteikusi, ka attiecīgā gadījumā piemērojami Savienības līmenī noteikti VKS, kas nodrošina saskaņotu un zinātniski pamatotu Direktīvas 2000/60/EK 4. pantā izklāstīto mērķu īstenošanu, un šīs direktīvas II pielikuma C daļā norāda minētajām piesārņojošām vielām atbilstošos VKS.</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4.</w:t>
      </w:r>
      <w:r w:rsidRPr="003F33F9">
        <w:rPr>
          <w:szCs w:val="24"/>
          <w:lang w:val="pt-PT" w:eastAsia="en-US"/>
        </w:rPr>
        <w:tab/>
        <w:t>Kad Komisija lemj, kurām upes baseinam specifiskajām piesārņojošajām vielām varētu būt vajadzīgs noteikt Savienības līmeņa VKS, tā ņem vērā šādus kritērijus:</w:t>
      </w:r>
    </w:p>
    <w:p w:rsidR="00CB6573" w:rsidRPr="003F33F9" w:rsidRDefault="00CB6573" w:rsidP="00CB6573">
      <w:pPr>
        <w:spacing w:before="120" w:after="120" w:line="360" w:lineRule="auto"/>
        <w:ind w:left="1982" w:hanging="566"/>
        <w:rPr>
          <w:b/>
          <w:szCs w:val="24"/>
          <w:lang w:val="pt-PT" w:eastAsia="en-US"/>
        </w:rPr>
      </w:pPr>
      <w:r w:rsidRPr="003F33F9">
        <w:rPr>
          <w:szCs w:val="24"/>
          <w:lang w:val="pt-PT" w:eastAsia="en-US"/>
        </w:rPr>
        <w:t>a)</w:t>
      </w:r>
      <w:r w:rsidRPr="003F33F9">
        <w:rPr>
          <w:szCs w:val="24"/>
          <w:lang w:val="pt-PT" w:eastAsia="en-US"/>
        </w:rPr>
        <w:tab/>
        <w:t>piesārņojošo vielu radītais risks, kas aptver arī vielas bīstamību, vidē sastopamās koncentrācijas</w:t>
      </w:r>
      <w:r w:rsidRPr="003F33F9">
        <w:rPr>
          <w:strike/>
          <w:szCs w:val="24"/>
          <w:lang w:val="pt-PT" w:eastAsia="en-US"/>
        </w:rPr>
        <w:t xml:space="preserve"> un</w:t>
      </w:r>
      <w:r w:rsidRPr="003F33F9">
        <w:rPr>
          <w:b/>
          <w:i/>
          <w:szCs w:val="24"/>
          <w:lang w:val="pt-PT" w:eastAsia="en-US"/>
        </w:rPr>
        <w:t>,</w:t>
      </w:r>
      <w:r w:rsidRPr="003F33F9">
        <w:rPr>
          <w:szCs w:val="24"/>
          <w:lang w:val="pt-PT" w:eastAsia="en-US"/>
        </w:rPr>
        <w:t xml:space="preserve"> koncentrāciju, kuras pārsniegšanas gadījumā varētu sagaidīt ietekmi</w:t>
      </w:r>
      <w:r w:rsidRPr="003F33F9">
        <w:rPr>
          <w:b/>
          <w:i/>
          <w:szCs w:val="24"/>
          <w:lang w:val="pt-PT" w:eastAsia="en-US"/>
        </w:rPr>
        <w:t>, un to kumulatīvo ietekmi</w:t>
      </w:r>
      <w:r w:rsidRPr="003F33F9">
        <w:rPr>
          <w:szCs w:val="24"/>
          <w:lang w:val="pt-PT" w:eastAsia="en-US"/>
        </w:rPr>
        <w:t>;</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119]</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atšķirības starp valstu VKS, kurus dažādas dalībvalstis noteikušas upes baseinam specifiskām piesārņojošajām vielām, un tas, cik lielā mērā šādas atšķirības ir pamatotas;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c)</w:t>
      </w:r>
      <w:r w:rsidRPr="003F33F9">
        <w:rPr>
          <w:szCs w:val="24"/>
          <w:lang w:val="pt-PT" w:eastAsia="en-US"/>
        </w:rPr>
        <w:tab/>
        <w:t>to dalībvalstu skaits, kuras jau īsteno VKS, kas noteikti izskatāmajām upes baseinam specifiskajām piesārņojošajām vielām.</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5.</w:t>
      </w:r>
      <w:r w:rsidRPr="003F33F9">
        <w:rPr>
          <w:szCs w:val="24"/>
          <w:lang w:val="pt-PT" w:eastAsia="en-US"/>
        </w:rPr>
        <w:tab/>
        <w:t>Prioritārās vielas, kas 1. punktā minētās pārskatīšanas rezultātā no prioritāro vielu saraksta izņemtas, jo tās vairs nerada Savienības mēroga risku, saskaņā ar 8.d pantu iekļauj II pielikuma C daļā, kurā uzskaita upes baseinam specifiskās piesārņojošās vielas un saistītos saskaņotos VKS, kas jāīsteno gadījumos, kad piesārņojošās vielas ir problemātiskas valsts vai reģionālā mērogā.</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6.</w:t>
      </w:r>
      <w:r w:rsidRPr="003F33F9">
        <w:rPr>
          <w:szCs w:val="24"/>
          <w:lang w:val="pt-PT" w:eastAsia="en-US"/>
        </w:rPr>
        <w:tab/>
        <w:t>Lai palīdzētu Komisijai pārskatīt I un II pielikumu, ECHA sagatavo zinātniskus ziņojumus. Minētajos zinātniskajos ziņojumos ņem vērā:</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a)</w:t>
      </w:r>
      <w:r w:rsidRPr="003F33F9">
        <w:rPr>
          <w:szCs w:val="24"/>
          <w:lang w:val="pt-PT" w:eastAsia="en-US"/>
        </w:rPr>
        <w:tab/>
        <w:t>ECHA Riska novērtēšanas komitejas un Sociālekonomiskās analīzes komitejas atzinumus;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b)</w:t>
      </w:r>
      <w:r w:rsidRPr="003F33F9">
        <w:rPr>
          <w:szCs w:val="24"/>
          <w:lang w:val="pt-PT" w:eastAsia="en-US"/>
        </w:rPr>
        <w:tab/>
        <w:t>saskaņā ar Direktīvas 2000/60/EK 8. pantu izveidoto monitoringa programmu rezultātus;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br w:type="page"/>
      </w:r>
      <w:r w:rsidRPr="003F33F9">
        <w:rPr>
          <w:szCs w:val="24"/>
          <w:lang w:val="pt-PT" w:eastAsia="en-US"/>
        </w:rPr>
        <w:lastRenderedPageBreak/>
        <w:t>c)</w:t>
      </w:r>
      <w:r w:rsidRPr="003F33F9">
        <w:rPr>
          <w:szCs w:val="24"/>
          <w:lang w:val="pt-PT" w:eastAsia="en-US"/>
        </w:rPr>
        <w:tab/>
        <w:t>monitoringa datus, kas savākti saskaņā ar šīs direktīvas 8.b panta 4. punktu;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d)</w:t>
      </w:r>
      <w:r w:rsidRPr="003F33F9">
        <w:rPr>
          <w:szCs w:val="24"/>
          <w:lang w:val="pt-PT" w:eastAsia="en-US"/>
        </w:rPr>
        <w:tab/>
        <w:t>Eiropas Parlamenta un Padomes Direktīvas 2006/118/EK* un Eiropas Parlamenta un Padomes Direktīvas (ES) 2020/2184** pielikumu pārskatīšanas iznākumu;</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e)</w:t>
      </w:r>
      <w:r w:rsidRPr="003F33F9">
        <w:rPr>
          <w:szCs w:val="24"/>
          <w:lang w:val="pt-PT" w:eastAsia="en-US"/>
        </w:rPr>
        <w:tab/>
        <w:t>augsnes piesārņojuma novēršanas prasības un arī saistītos monitoringa datus;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f)</w:t>
      </w:r>
      <w:r w:rsidRPr="003F33F9">
        <w:rPr>
          <w:szCs w:val="24"/>
          <w:lang w:val="pt-PT" w:eastAsia="en-US"/>
        </w:rPr>
        <w:tab/>
        <w:t>Savienības pētnieciskās programmas un zinātniskās publikācijas, arī informāciju, ko nodrošina attālās uzrādes tehnoloģijas, Zemes novērošana (Copernicus pakalpojumi), in situ sensori un ierīces, un/vai amatierzinātnes datus un mākslīgā intelekta, progresīvas datu analīzes un apstrādes sniegtās iespējas;</w:t>
      </w:r>
    </w:p>
    <w:p w:rsidR="00CB6573" w:rsidRPr="003F33F9" w:rsidRDefault="00CB6573" w:rsidP="00CB6573">
      <w:pPr>
        <w:spacing w:before="120" w:after="120" w:line="360" w:lineRule="auto"/>
        <w:ind w:left="1982" w:hanging="566"/>
        <w:rPr>
          <w:szCs w:val="24"/>
          <w:lang w:val="pt-PT" w:eastAsia="en-US"/>
        </w:rPr>
      </w:pPr>
      <w:r w:rsidRPr="003F33F9">
        <w:rPr>
          <w:szCs w:val="24"/>
          <w:lang w:val="pt-PT" w:eastAsia="en-US"/>
        </w:rPr>
        <w:t>g)</w:t>
      </w:r>
      <w:r w:rsidRPr="003F33F9">
        <w:rPr>
          <w:szCs w:val="24"/>
          <w:lang w:val="pt-PT" w:eastAsia="en-US"/>
        </w:rPr>
        <w:tab/>
        <w:t>attiecīgo ieinteresēto personu izteiktās piezīmes un sniegto informāciju.</w:t>
      </w:r>
    </w:p>
    <w:p w:rsidR="00CB6573" w:rsidRPr="003F33F9" w:rsidRDefault="00CB6573" w:rsidP="00CB6573">
      <w:pPr>
        <w:spacing w:before="120" w:after="120" w:line="360" w:lineRule="auto"/>
        <w:ind w:left="1416" w:hanging="566"/>
        <w:rPr>
          <w:b/>
          <w:szCs w:val="24"/>
          <w:lang w:val="pt-PT" w:eastAsia="en-US"/>
        </w:rPr>
      </w:pPr>
      <w:r w:rsidRPr="003F33F9">
        <w:rPr>
          <w:b/>
          <w:i/>
          <w:szCs w:val="24"/>
          <w:lang w:val="pt-PT" w:eastAsia="en-US"/>
        </w:rPr>
        <w:br w:type="page"/>
      </w:r>
      <w:r w:rsidRPr="003F33F9">
        <w:rPr>
          <w:b/>
          <w:i/>
          <w:szCs w:val="24"/>
          <w:lang w:val="pt-PT" w:eastAsia="en-US"/>
        </w:rPr>
        <w:lastRenderedPageBreak/>
        <w:t>6a.</w:t>
      </w:r>
      <w:r w:rsidRPr="003F33F9">
        <w:rPr>
          <w:szCs w:val="24"/>
          <w:lang w:val="pt-PT" w:eastAsia="en-US"/>
        </w:rPr>
        <w:tab/>
      </w:r>
      <w:r w:rsidRPr="003F33F9">
        <w:rPr>
          <w:b/>
          <w:i/>
          <w:szCs w:val="24"/>
          <w:lang w:val="pt-PT" w:eastAsia="en-US"/>
        </w:rPr>
        <w:t xml:space="preserve">Līdz 2025. gada 12. janvārim Komisija nosaka tehniskas pamatnostādnes par analīzes metodēm rādītājā “PFAS kopā” iekļauto perfluoralkilvielu un polifluoralkilvielu monitoringam. Līdz 2026. gada 12. janvārim Komisija pieņem deleģēto aktu saskaņā ar 9. pantu, lai grozītu šo direktīvu, nosakot kvalitātes standartu rādītājam “PFAS kopā” un attiecīgi grozot I pielikumu. </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120]</w:t>
      </w:r>
    </w:p>
    <w:p w:rsidR="00CB6573" w:rsidRPr="003F33F9" w:rsidRDefault="00CB6573" w:rsidP="00CB6573">
      <w:pPr>
        <w:spacing w:before="120" w:after="120" w:line="360" w:lineRule="auto"/>
        <w:ind w:left="1416" w:hanging="566"/>
        <w:rPr>
          <w:b/>
          <w:szCs w:val="24"/>
          <w:lang w:val="pt-PT" w:eastAsia="en-US"/>
        </w:rPr>
      </w:pPr>
      <w:r w:rsidRPr="003F33F9">
        <w:rPr>
          <w:b/>
          <w:i/>
          <w:szCs w:val="24"/>
          <w:lang w:val="pt-PT" w:eastAsia="en-US"/>
        </w:rPr>
        <w:t>6b.</w:t>
      </w:r>
      <w:r w:rsidRPr="003F33F9">
        <w:rPr>
          <w:szCs w:val="24"/>
          <w:lang w:val="pt-PT" w:eastAsia="en-US"/>
        </w:rPr>
        <w:tab/>
      </w:r>
      <w:r w:rsidRPr="003F33F9">
        <w:rPr>
          <w:b/>
          <w:i/>
          <w:szCs w:val="24"/>
          <w:lang w:val="pt-PT" w:eastAsia="en-US"/>
        </w:rPr>
        <w:t>Līdz ... [divi gadi pēc šīs direktīvas stāšanās spēkā] Komisija nosaka tehniskas pamatnostādnes par analīzes metodēm bisfenolu monitoringam, rādītājā “bisfenoli kopā” iekļaujot vismaz bisfenolu A, bisfenolu B un bisfenolu S. Līdz ... [trīs gadi pēc šīs direktīvas stāšanās spēkā] Komisija pieņem deleģēto aktu saskaņā ar 9. pantu, lai grozītu šo direktīvu, nosakot VKS rādītājam “bisfenoli kopā”, tam izmantojot relatīvās potences koeficientu, un attiecīgi grozot I pielikumu.</w:t>
      </w:r>
      <w:r w:rsidRPr="003F33F9">
        <w:rPr>
          <w:b/>
          <w:szCs w:val="24"/>
          <w:lang w:val="pt-PT" w:eastAsia="en-US"/>
        </w:rPr>
        <w:t xml:space="preserve"> </w:t>
      </w:r>
      <w:r w:rsidR="00D116DF" w:rsidRPr="003F33F9">
        <w:rPr>
          <w:b/>
          <w:szCs w:val="24"/>
          <w:lang w:val="pt-PT" w:eastAsia="en-US"/>
        </w:rPr>
        <w:t xml:space="preserve">[Gr. </w:t>
      </w:r>
      <w:r w:rsidRPr="003F33F9">
        <w:rPr>
          <w:b/>
          <w:szCs w:val="24"/>
          <w:lang w:val="pt-PT" w:eastAsia="en-US"/>
        </w:rPr>
        <w:t>121]</w:t>
      </w:r>
    </w:p>
    <w:p w:rsidR="00CB6573" w:rsidRPr="003F33F9" w:rsidRDefault="00CB6573" w:rsidP="00CB6573">
      <w:pPr>
        <w:spacing w:before="120" w:after="120" w:line="360" w:lineRule="auto"/>
        <w:ind w:left="1416" w:hanging="566"/>
        <w:rPr>
          <w:b/>
          <w:szCs w:val="24"/>
          <w:lang w:val="es-ES" w:eastAsia="en-US"/>
        </w:rPr>
      </w:pPr>
      <w:r w:rsidRPr="003F33F9">
        <w:rPr>
          <w:szCs w:val="24"/>
          <w:lang w:val="pt-PT" w:eastAsia="en-US"/>
        </w:rPr>
        <w:br w:type="page"/>
      </w:r>
      <w:r w:rsidRPr="003F33F9">
        <w:rPr>
          <w:szCs w:val="24"/>
          <w:lang w:val="pt-PT" w:eastAsia="en-US"/>
        </w:rPr>
        <w:lastRenderedPageBreak/>
        <w:t>7.</w:t>
      </w:r>
      <w:r w:rsidRPr="003F33F9">
        <w:rPr>
          <w:szCs w:val="24"/>
          <w:lang w:val="pt-PT" w:eastAsia="en-US"/>
        </w:rPr>
        <w:tab/>
        <w:t xml:space="preserve">Reizi </w:t>
      </w:r>
      <w:r w:rsidRPr="003F33F9">
        <w:rPr>
          <w:strike/>
          <w:szCs w:val="24"/>
          <w:lang w:val="pt-PT" w:eastAsia="en-US"/>
        </w:rPr>
        <w:t>sešos</w:t>
      </w:r>
      <w:r w:rsidRPr="003F33F9">
        <w:rPr>
          <w:b/>
          <w:i/>
          <w:szCs w:val="24"/>
          <w:lang w:val="pt-PT" w:eastAsia="en-US"/>
        </w:rPr>
        <w:t>četros</w:t>
      </w:r>
      <w:r w:rsidRPr="003F33F9">
        <w:rPr>
          <w:szCs w:val="24"/>
          <w:lang w:val="pt-PT" w:eastAsia="en-US"/>
        </w:rPr>
        <w:t xml:space="preserve"> gados ECHA sagatavo un dara publiski pieejamu ziņojumu, kurā apkopoti saskaņā ar 6. punktu sagatavoto zinātnisko ziņojumu konstatējumi. Pirmo ziņojumu Komisijai iesniedz ... [Publikāciju birojs ieraksta datumu, kas ir diena, kurā pagājuši </w:t>
      </w:r>
      <w:r w:rsidRPr="003F33F9">
        <w:rPr>
          <w:strike/>
          <w:szCs w:val="24"/>
          <w:lang w:val="pt-PT" w:eastAsia="en-US"/>
        </w:rPr>
        <w:t>pieci</w:t>
      </w:r>
      <w:r w:rsidRPr="003F33F9">
        <w:rPr>
          <w:b/>
          <w:i/>
          <w:szCs w:val="24"/>
          <w:lang w:val="pt-PT" w:eastAsia="en-US"/>
        </w:rPr>
        <w:t>trīs</w:t>
      </w:r>
      <w:r w:rsidRPr="003F33F9">
        <w:rPr>
          <w:szCs w:val="24"/>
          <w:lang w:val="pt-PT" w:eastAsia="en-US"/>
        </w:rPr>
        <w:t xml:space="preserve"> gadi pēc šīs direktīvas stāšanās spēkā].</w:t>
      </w:r>
      <w:r w:rsidRPr="003F33F9">
        <w:rPr>
          <w:b/>
          <w:szCs w:val="24"/>
          <w:lang w:val="pt-PT" w:eastAsia="en-US"/>
        </w:rPr>
        <w:t xml:space="preserve"> </w:t>
      </w:r>
      <w:r w:rsidR="00D116DF" w:rsidRPr="003F33F9">
        <w:rPr>
          <w:b/>
          <w:szCs w:val="24"/>
          <w:lang w:val="es-ES" w:eastAsia="en-US"/>
        </w:rPr>
        <w:t xml:space="preserve">[Gr. </w:t>
      </w:r>
      <w:r w:rsidRPr="003F33F9">
        <w:rPr>
          <w:b/>
          <w:szCs w:val="24"/>
          <w:lang w:val="es-ES" w:eastAsia="en-US"/>
        </w:rPr>
        <w:t>122]</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 Eiropas Parlamenta un Padomes Direktīva 2006/118/EK (2006. gada 12. decembris) par gruntsūdeņu piesārņojuma novēršanu un ierobežošanu (OV L 372, 27.12.2006., 19. lpp.).</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 Eiropas Parlamenta un Padomes Direktīva (ES) 2020/2184 (2020. gada 16. decembris) par dzeramā ūdens kvalitāti (OV L 435, 23.12.2020. 1. lpp.).;”</w:t>
      </w:r>
    </w:p>
    <w:p w:rsidR="00CB6573" w:rsidRPr="003F33F9" w:rsidRDefault="00CB6573" w:rsidP="00CB6573">
      <w:pPr>
        <w:spacing w:before="120" w:after="120" w:line="360" w:lineRule="auto"/>
        <w:ind w:left="850" w:hanging="850"/>
        <w:rPr>
          <w:szCs w:val="24"/>
          <w:lang w:val="es-ES" w:eastAsia="en-US"/>
        </w:rPr>
      </w:pPr>
      <w:r w:rsidRPr="003F33F9">
        <w:rPr>
          <w:szCs w:val="24"/>
          <w:lang w:val="es-ES" w:eastAsia="en-US"/>
        </w:rPr>
        <w:br w:type="page"/>
      </w:r>
      <w:r w:rsidRPr="003F33F9">
        <w:rPr>
          <w:szCs w:val="24"/>
          <w:lang w:val="es-ES" w:eastAsia="en-US"/>
        </w:rPr>
        <w:lastRenderedPageBreak/>
        <w:t>(6)</w:t>
      </w:r>
      <w:r w:rsidRPr="003F33F9">
        <w:rPr>
          <w:szCs w:val="24"/>
          <w:lang w:val="es-ES" w:eastAsia="en-US"/>
        </w:rPr>
        <w:tab/>
        <w:t>direktīvas 8.a pantu aizstāj ar šādu:</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“8.a pants</w:t>
      </w:r>
      <w:r w:rsidRPr="003F33F9">
        <w:rPr>
          <w:szCs w:val="24"/>
          <w:lang w:val="es-ES" w:eastAsia="en-US"/>
        </w:rPr>
        <w:br/>
        <w:t>Īpaši noteikumi par atsevišķām vielām</w:t>
      </w:r>
    </w:p>
    <w:p w:rsidR="00CB6573" w:rsidRPr="003F33F9" w:rsidRDefault="00CB6573" w:rsidP="00CB6573">
      <w:pPr>
        <w:spacing w:before="120" w:after="120" w:line="360" w:lineRule="auto"/>
        <w:ind w:left="1416" w:hanging="566"/>
        <w:rPr>
          <w:szCs w:val="24"/>
          <w:lang w:val="es-ES" w:eastAsia="en-US"/>
        </w:rPr>
      </w:pPr>
      <w:r w:rsidRPr="003F33F9">
        <w:rPr>
          <w:szCs w:val="24"/>
          <w:lang w:val="es-ES" w:eastAsia="en-US"/>
        </w:rPr>
        <w:t>1.</w:t>
      </w:r>
      <w:r w:rsidRPr="003F33F9">
        <w:rPr>
          <w:szCs w:val="24"/>
          <w:lang w:val="es-ES" w:eastAsia="en-US"/>
        </w:rPr>
        <w:tab/>
        <w:t>Neskarot Direktīvas 2000/60/EK V pielikuma 1.4.3. iedaļas prasības par vispārējo ķīmiskās kvalitātes rādītāju noformēšanu un mērķus un pienākumus, kuri noteikti minētās direktīvas 4. panta 1. punkta a) apakšpunktā, upju baseinu apsaimniekošanas plānos, kas sagatavoti saskaņā ar minētās direktīvas 13. pantu, dalībvalstis var paredzēt papildu kartes, kuras atsevišķi no informācijas par pārējām šīs direktīvas I pielikuma A daļā nosauktajām vielām satur ar ķīmisko stāvokli saistīto informāciju par vienu vai vairākām šādām vielām:</w:t>
      </w:r>
    </w:p>
    <w:p w:rsidR="00CB6573" w:rsidRPr="003F33F9" w:rsidRDefault="00CB6573" w:rsidP="00CB6573">
      <w:pPr>
        <w:spacing w:before="120" w:after="120" w:line="360" w:lineRule="auto"/>
        <w:ind w:left="1982" w:hanging="566"/>
        <w:rPr>
          <w:szCs w:val="24"/>
          <w:lang w:val="es-ES" w:eastAsia="en-US"/>
        </w:rPr>
      </w:pPr>
      <w:r w:rsidRPr="003F33F9">
        <w:rPr>
          <w:szCs w:val="24"/>
          <w:lang w:val="es-ES" w:eastAsia="en-US"/>
        </w:rPr>
        <w:t>a)</w:t>
      </w:r>
      <w:r w:rsidRPr="003F33F9">
        <w:rPr>
          <w:szCs w:val="24"/>
          <w:lang w:val="es-ES" w:eastAsia="en-US"/>
        </w:rPr>
        <w:tab/>
        <w:t>vielas, kuras I pielikuma A daļā identificētas par tādām, kas darbojas līdzīgi kā visuresošas PBT;</w:t>
      </w:r>
    </w:p>
    <w:p w:rsidR="00CB6573" w:rsidRPr="003F33F9" w:rsidRDefault="00CB6573" w:rsidP="00CB6573">
      <w:pPr>
        <w:spacing w:before="120" w:after="120" w:line="360" w:lineRule="auto"/>
        <w:ind w:left="1982" w:hanging="566"/>
        <w:rPr>
          <w:szCs w:val="24"/>
          <w:lang w:val="es-ES" w:eastAsia="en-US"/>
        </w:rPr>
      </w:pPr>
      <w:r w:rsidRPr="003F33F9">
        <w:rPr>
          <w:szCs w:val="24"/>
          <w:lang w:val="es-ES" w:eastAsia="en-US"/>
        </w:rPr>
        <w:t>b)</w:t>
      </w:r>
      <w:r w:rsidRPr="003F33F9">
        <w:rPr>
          <w:szCs w:val="24"/>
          <w:lang w:val="es-ES" w:eastAsia="en-US"/>
        </w:rPr>
        <w:tab/>
        <w:t>iepriekšējā saskanīgi ar 8. pantu veiktā pārskatīšanā jaunidentificētas vielas;</w:t>
      </w:r>
    </w:p>
    <w:p w:rsidR="00CB6573" w:rsidRPr="003F33F9" w:rsidRDefault="00CB6573" w:rsidP="00CB6573">
      <w:pPr>
        <w:spacing w:before="120" w:after="120" w:line="360" w:lineRule="auto"/>
        <w:ind w:left="1982" w:hanging="566"/>
        <w:rPr>
          <w:szCs w:val="24"/>
          <w:lang w:val="es-ES" w:eastAsia="en-US"/>
        </w:rPr>
      </w:pPr>
      <w:r w:rsidRPr="003F33F9">
        <w:rPr>
          <w:szCs w:val="24"/>
          <w:lang w:val="es-ES" w:eastAsia="en-US"/>
        </w:rPr>
        <w:br w:type="page"/>
      </w:r>
      <w:r w:rsidRPr="003F33F9">
        <w:rPr>
          <w:szCs w:val="24"/>
          <w:lang w:val="es-ES" w:eastAsia="en-US"/>
        </w:rPr>
        <w:lastRenderedPageBreak/>
        <w:t>c)</w:t>
      </w:r>
      <w:r w:rsidRPr="003F33F9">
        <w:rPr>
          <w:szCs w:val="24"/>
          <w:lang w:val="es-ES" w:eastAsia="en-US"/>
        </w:rPr>
        <w:tab/>
        <w:t>vielas, kurām iepriekšējā saskanīgi ar 8. pantu veiktā pārskatīšanā noteikti stingrāki VKS.</w:t>
      </w:r>
    </w:p>
    <w:p w:rsidR="00CB6573" w:rsidRPr="003F33F9" w:rsidRDefault="00CB6573" w:rsidP="00CB6573">
      <w:pPr>
        <w:spacing w:before="120" w:after="120" w:line="360" w:lineRule="auto"/>
        <w:ind w:left="1416"/>
        <w:rPr>
          <w:b/>
          <w:szCs w:val="24"/>
          <w:lang w:val="es-ES" w:eastAsia="en-US"/>
        </w:rPr>
      </w:pPr>
      <w:r w:rsidRPr="003F33F9">
        <w:rPr>
          <w:szCs w:val="24"/>
          <w:lang w:val="es-ES" w:eastAsia="en-US"/>
        </w:rPr>
        <w:t xml:space="preserve">Upju baseinu apsaimniekošanas plānos, kas sagatavoti saskaņā ar Direktīvas 2000/60/EK 13. pantu, dalībvalstis </w:t>
      </w:r>
      <w:r w:rsidRPr="003F33F9">
        <w:rPr>
          <w:strike/>
          <w:szCs w:val="24"/>
          <w:lang w:val="es-ES" w:eastAsia="en-US"/>
        </w:rPr>
        <w:t>var norādīt</w:t>
      </w:r>
      <w:r w:rsidRPr="003F33F9">
        <w:rPr>
          <w:b/>
          <w:i/>
          <w:szCs w:val="24"/>
          <w:lang w:val="es-ES" w:eastAsia="en-US"/>
        </w:rPr>
        <w:t>norāda</w:t>
      </w:r>
      <w:r w:rsidRPr="003F33F9">
        <w:rPr>
          <w:szCs w:val="24"/>
          <w:lang w:val="es-ES" w:eastAsia="en-US"/>
        </w:rPr>
        <w:t xml:space="preserve"> apmēru, kādā pieļaujams novirzīties no VKS vērtības, kura noteikta attiecībā uz pirmās daļas a), b) un c) apakšpunktā minētajām vielām. Dalībvalstis, kas paredzējušas pirmajā daļā minētās papildu kartes, cenšas nodrošināt šo karšu savstarpēju salīdzināmību upju baseinu un Savienības līmenī un datus dara pieejamus saskaņā ar Direktīvu 2003/4/EK, Eiropas Parlamenta un Padomes Direktīvu 2007/2/EK* un Eiropas Parlamenta un Padomes Direktīvu (ES) 2019/1024**.</w:t>
      </w:r>
      <w:r w:rsidRPr="003F33F9">
        <w:rPr>
          <w:b/>
          <w:szCs w:val="24"/>
          <w:lang w:val="es-ES" w:eastAsia="en-US"/>
        </w:rPr>
        <w:t xml:space="preserve"> </w:t>
      </w:r>
      <w:r w:rsidR="00D116DF" w:rsidRPr="003F33F9">
        <w:rPr>
          <w:b/>
          <w:szCs w:val="24"/>
          <w:lang w:val="es-ES" w:eastAsia="en-US"/>
        </w:rPr>
        <w:t xml:space="preserve">[Gr. </w:t>
      </w:r>
      <w:r w:rsidRPr="003F33F9">
        <w:rPr>
          <w:b/>
          <w:szCs w:val="24"/>
          <w:lang w:val="es-ES" w:eastAsia="en-US"/>
        </w:rPr>
        <w:t>123]</w:t>
      </w:r>
    </w:p>
    <w:p w:rsidR="00CB6573" w:rsidRPr="003F33F9" w:rsidRDefault="00CB6573" w:rsidP="00CB6573">
      <w:pPr>
        <w:spacing w:before="120" w:after="120" w:line="360" w:lineRule="auto"/>
        <w:ind w:left="1416" w:hanging="566"/>
        <w:rPr>
          <w:b/>
          <w:szCs w:val="24"/>
          <w:lang w:val="es-ES" w:eastAsia="en-US"/>
        </w:rPr>
      </w:pPr>
      <w:r w:rsidRPr="003F33F9">
        <w:rPr>
          <w:szCs w:val="24"/>
          <w:lang w:val="es-ES" w:eastAsia="en-US"/>
        </w:rPr>
        <w:br w:type="page"/>
      </w:r>
      <w:r w:rsidRPr="003F33F9">
        <w:rPr>
          <w:szCs w:val="24"/>
          <w:lang w:val="es-ES" w:eastAsia="en-US"/>
        </w:rPr>
        <w:lastRenderedPageBreak/>
        <w:t>2.</w:t>
      </w:r>
      <w:r w:rsidRPr="003F33F9">
        <w:rPr>
          <w:szCs w:val="24"/>
          <w:lang w:val="es-ES" w:eastAsia="en-US"/>
        </w:rPr>
        <w:tab/>
        <w:t>Vielas, kas I pielikuma A daļā identificētas par tādām, kas darbojas līdzīgi kā visuresošas PBT</w:t>
      </w:r>
      <w:r w:rsidRPr="003F33F9">
        <w:rPr>
          <w:b/>
          <w:i/>
          <w:szCs w:val="24"/>
          <w:lang w:val="es-ES" w:eastAsia="en-US"/>
        </w:rPr>
        <w:t>, un kas vairs nav atļautas un netiek izmantotas Savienībā</w:t>
      </w:r>
      <w:r w:rsidRPr="003F33F9">
        <w:rPr>
          <w:szCs w:val="24"/>
          <w:lang w:val="es-ES" w:eastAsia="en-US"/>
        </w:rPr>
        <w:t>, dalībvalstis drīkst monitorēt mazāk intensīvi, nekā prioritāro vielu ziņā prasīts šīs direktīvas 3. panta 4. punktā un Direktīvas 2000/60/EK V pielikumā, taču ar noteikumu, ka attiecībā uz pirmo minēto vielu klātesību ūdens vidē monitorings ir reprezentatīvs un ir pieejama statistiski stabila bāzes līnija. Principā saskaņā ar šīs direktīvas 3. panta 6. punkta otro daļu monitoringam būtu jānotiek reizi trijos gados, izņemot ja tehniskās zināšanas un ekspertu slēdziens pamato citu biežumu.</w:t>
      </w:r>
      <w:r w:rsidRPr="003F33F9">
        <w:rPr>
          <w:b/>
          <w:szCs w:val="24"/>
          <w:lang w:val="es-ES" w:eastAsia="en-US"/>
        </w:rPr>
        <w:t xml:space="preserve"> </w:t>
      </w:r>
      <w:r w:rsidR="00D116DF" w:rsidRPr="003F33F9">
        <w:rPr>
          <w:b/>
          <w:szCs w:val="24"/>
          <w:lang w:val="es-ES" w:eastAsia="en-US"/>
        </w:rPr>
        <w:t xml:space="preserve">[Gr. </w:t>
      </w:r>
      <w:r w:rsidRPr="003F33F9">
        <w:rPr>
          <w:b/>
          <w:szCs w:val="24"/>
          <w:lang w:val="es-ES" w:eastAsia="en-US"/>
        </w:rPr>
        <w:t>124]</w:t>
      </w:r>
    </w:p>
    <w:p w:rsidR="00CB6573" w:rsidRPr="003F33F9" w:rsidRDefault="00CB6573" w:rsidP="00CB6573">
      <w:pPr>
        <w:spacing w:before="120" w:after="120" w:line="360" w:lineRule="auto"/>
        <w:ind w:left="1416" w:hanging="566"/>
        <w:rPr>
          <w:szCs w:val="24"/>
          <w:lang w:val="es-ES" w:eastAsia="en-US"/>
        </w:rPr>
      </w:pPr>
      <w:r w:rsidRPr="003F33F9">
        <w:rPr>
          <w:szCs w:val="24"/>
          <w:lang w:val="es-ES" w:eastAsia="en-US"/>
        </w:rPr>
        <w:br w:type="page"/>
      </w:r>
      <w:r w:rsidRPr="003F33F9">
        <w:rPr>
          <w:szCs w:val="24"/>
          <w:lang w:val="es-ES" w:eastAsia="en-US"/>
        </w:rPr>
        <w:lastRenderedPageBreak/>
        <w:t>3.</w:t>
      </w:r>
      <w:r w:rsidRPr="003F33F9">
        <w:rPr>
          <w:szCs w:val="24"/>
          <w:lang w:val="es-ES" w:eastAsia="en-US"/>
        </w:rPr>
        <w:tab/>
        <w:t>Dalībvalstis no [Publikāciju birojs ieraksta datumu, kas ir nākamā mēneša pirmā diena pēc tam, kad pēc šīs direktīvas stāšanās spēkā pagājuši 18 mēneši] divus gadus monitorē estrogēno vielu klātesību ūdens objektos un tālab izmanto uz ietekmi balstītas monitoringa metodes. Katrā no abiem gadiem monitoringu veic vismaz četras reizes, un dalībvalstis to dara vietās, kur šīs direktīvas I pielikuma A daļā uzskaitītos trīs estrogēnos hormonus, proti, 7-beta-estradiolu (E2), estronu (E1) un alfa-etinilestradiolu (EE2) ar ierastajām analītiskajām metodēm monitorē saskaņā ar Direktīvas 2000/60/EK 8. pantu un minētās direktīvas V pielikumu. Dalībvalstis var izmantot monitoringa vietu tīklu, kas reprezentatīvu virszemes ūdens objektu uzraudzības monitoringa vajadzībām noteikts saskaņā ar Direktīvas 2000/60/EK V pielikuma 1.3.1. punktu.</w:t>
      </w:r>
    </w:p>
    <w:p w:rsidR="00CB6573" w:rsidRPr="003F33F9" w:rsidRDefault="00CB6573" w:rsidP="00CB6573">
      <w:pPr>
        <w:spacing w:before="120" w:after="120" w:line="360" w:lineRule="auto"/>
        <w:ind w:left="1416" w:hanging="566"/>
        <w:rPr>
          <w:szCs w:val="24"/>
          <w:lang w:val="es-ES" w:eastAsia="en-US"/>
        </w:rPr>
      </w:pPr>
      <w:r w:rsidRPr="003F33F9">
        <w:rPr>
          <w:b/>
          <w:i/>
          <w:szCs w:val="24"/>
          <w:lang w:val="es-ES" w:eastAsia="en-US"/>
        </w:rPr>
        <w:t>3a.</w:t>
      </w:r>
      <w:r w:rsidRPr="003F33F9">
        <w:rPr>
          <w:szCs w:val="24"/>
          <w:lang w:val="es-ES" w:eastAsia="en-US"/>
        </w:rPr>
        <w:tab/>
      </w:r>
      <w:r w:rsidRPr="003F33F9">
        <w:rPr>
          <w:b/>
          <w:i/>
          <w:szCs w:val="24"/>
          <w:lang w:val="es-ES" w:eastAsia="en-US"/>
        </w:rPr>
        <w:t>Komisija 12 mēnešu laikā pēc tam, kad ir pagājis 3. punktā minētais divu gadu periods, publicē ziņojumu par to metožu uzticamību, kuras balstītas uz ietekmi, un tajā salīdzina uz ietekmi balstītos rezultātus ar rezultātiem, kas gūti, izmantojot ierastās metodes, monitorējot trīs 3. punktā minētās estrogēnās vielas, līdz, iespējams, nākotnē tiks noteiktas uz ietekmi balstītas izraisītājvērtības.</w:t>
      </w:r>
    </w:p>
    <w:p w:rsidR="00CB6573" w:rsidRPr="003F33F9" w:rsidRDefault="00CB6573" w:rsidP="00CB6573">
      <w:pPr>
        <w:spacing w:before="120" w:after="120" w:line="360" w:lineRule="auto"/>
        <w:ind w:left="1416"/>
        <w:rPr>
          <w:b/>
          <w:szCs w:val="24"/>
          <w:lang w:val="es-ES" w:eastAsia="en-US"/>
        </w:rPr>
      </w:pPr>
      <w:r w:rsidRPr="003F33F9">
        <w:rPr>
          <w:b/>
          <w:i/>
          <w:szCs w:val="24"/>
          <w:lang w:val="es-ES" w:eastAsia="en-US"/>
        </w:rPr>
        <w:br w:type="page"/>
      </w:r>
      <w:r w:rsidRPr="003F33F9">
        <w:rPr>
          <w:b/>
          <w:i/>
          <w:szCs w:val="24"/>
          <w:lang w:val="es-ES" w:eastAsia="en-US"/>
        </w:rPr>
        <w:lastRenderedPageBreak/>
        <w:t>Kad uz ietekmi balstītās metodes ir gatavas izmantošanai arī attiecībā uz citām vielām, Komisija tiek pilnvarota pieņemt deleģētos aktus saskaņā ar 9.a pantu, lai papildinātu šo direktīvu, pievienojot prasību dalībvalstīm izmantot uz ietekmi balstītas metodes līdztekus ierastajām monitoringa metodēm, lai veiktu monitoringu ar mērķi novērtēt minēto vielu klātbūtni ūdens objektos.</w:t>
      </w:r>
      <w:r w:rsidRPr="003F33F9">
        <w:rPr>
          <w:b/>
          <w:szCs w:val="24"/>
          <w:lang w:val="es-ES" w:eastAsia="en-US"/>
        </w:rPr>
        <w:t xml:space="preserve"> </w:t>
      </w:r>
      <w:r w:rsidR="00D116DF" w:rsidRPr="003F33F9">
        <w:rPr>
          <w:b/>
          <w:szCs w:val="24"/>
          <w:lang w:val="es-ES" w:eastAsia="en-US"/>
        </w:rPr>
        <w:t xml:space="preserve">[Gr. </w:t>
      </w:r>
      <w:r w:rsidRPr="003F33F9">
        <w:rPr>
          <w:b/>
          <w:szCs w:val="24"/>
          <w:lang w:val="es-ES" w:eastAsia="en-US"/>
        </w:rPr>
        <w:t>125]</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 Eiropas Parlamenta un Padomes Direktīva 2007/2/EK (2007. gada 14. marts), ar ko izveido Telpiskās informācijas infrastruktūru Eiropas Kopienā (INSPIRE) (OV L 108, 25.4.2007., 1. lpp.).</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 Eiropas Parlamenta un Padomes Direktīva (ES) 2019/1024 (2019. gada 20. jūnijs) par atvērtajiem datiem un publiskā sektora informācijas atkalizmantošanu (OV L 172, 26.6.2019., 56. lpp.).;”</w:t>
      </w:r>
    </w:p>
    <w:p w:rsidR="00CB6573" w:rsidRPr="003F33F9" w:rsidRDefault="00CB6573" w:rsidP="00CB6573">
      <w:pPr>
        <w:spacing w:before="120" w:after="120" w:line="360" w:lineRule="auto"/>
        <w:ind w:left="850" w:hanging="850"/>
        <w:rPr>
          <w:szCs w:val="24"/>
          <w:lang w:val="es-ES" w:eastAsia="en-US"/>
        </w:rPr>
      </w:pPr>
      <w:r w:rsidRPr="003F33F9">
        <w:rPr>
          <w:szCs w:val="24"/>
          <w:lang w:val="es-ES" w:eastAsia="en-US"/>
        </w:rPr>
        <w:br w:type="page"/>
      </w:r>
      <w:r w:rsidRPr="003F33F9">
        <w:rPr>
          <w:szCs w:val="24"/>
          <w:lang w:val="es-ES" w:eastAsia="en-US"/>
        </w:rPr>
        <w:lastRenderedPageBreak/>
        <w:t>(7)</w:t>
      </w:r>
      <w:r w:rsidRPr="003F33F9">
        <w:rPr>
          <w:szCs w:val="24"/>
          <w:lang w:val="es-ES" w:eastAsia="en-US"/>
        </w:rPr>
        <w:tab/>
        <w:t>direktīvas 8.b pantu aizstāj ar šādu:</w:t>
      </w:r>
    </w:p>
    <w:p w:rsidR="00CB6573" w:rsidRPr="003F33F9" w:rsidRDefault="00CB6573" w:rsidP="00CB6573">
      <w:pPr>
        <w:spacing w:before="120" w:after="120" w:line="360" w:lineRule="auto"/>
        <w:ind w:left="850"/>
        <w:rPr>
          <w:szCs w:val="24"/>
          <w:lang w:val="es-ES" w:eastAsia="en-US"/>
        </w:rPr>
      </w:pPr>
      <w:r w:rsidRPr="003F33F9">
        <w:rPr>
          <w:szCs w:val="24"/>
          <w:lang w:val="es-ES" w:eastAsia="en-US"/>
        </w:rPr>
        <w:t>“8.b pants</w:t>
      </w:r>
      <w:r w:rsidRPr="003F33F9">
        <w:rPr>
          <w:szCs w:val="24"/>
          <w:lang w:val="es-ES" w:eastAsia="en-US"/>
        </w:rPr>
        <w:br/>
        <w:t>Novērojamo vielu saraksts</w:t>
      </w:r>
    </w:p>
    <w:p w:rsidR="00CB6573" w:rsidRPr="003F33F9" w:rsidRDefault="00CB6573" w:rsidP="00CB6573">
      <w:pPr>
        <w:spacing w:before="120" w:after="120" w:line="360" w:lineRule="auto"/>
        <w:ind w:left="1416" w:hanging="566"/>
        <w:rPr>
          <w:szCs w:val="24"/>
          <w:lang w:val="es-ES" w:eastAsia="en-US"/>
        </w:rPr>
      </w:pPr>
      <w:r w:rsidRPr="003F33F9">
        <w:rPr>
          <w:szCs w:val="24"/>
          <w:lang w:val="es-ES" w:eastAsia="en-US"/>
        </w:rPr>
        <w:t>1.</w:t>
      </w:r>
      <w:r w:rsidRPr="003F33F9">
        <w:rPr>
          <w:szCs w:val="24"/>
          <w:lang w:val="es-ES" w:eastAsia="en-US"/>
        </w:rPr>
        <w:tab/>
        <w:t>Komisija tiek pilnvarota pieņemt īstenošanas aktus, ar kuriem, ņemot vērā ECHA sagatavotos zinātniskos ziņojumus, izveido novērojamo vielu sarakstu, proti, to vielu sarakstu, par kurām no dalībvalstīm jāsavāc Savienības mērogā veikta monitoringa dati, un nosaka formātus, kādi dalībvalstīm jāizmanto, lai minētā monitoringa rezultātus un ar tiem saistīto informāciju paziņotu Komisijai. Minētos īstenošanas aktus pieņem saskaņā ar 9. panta 2. punktā minēto pārbaudes procedūru.</w:t>
      </w:r>
    </w:p>
    <w:p w:rsidR="00CB6573" w:rsidRPr="003F33F9" w:rsidRDefault="00CB6573" w:rsidP="00CB6573">
      <w:pPr>
        <w:spacing w:before="120" w:after="120" w:line="360" w:lineRule="auto"/>
        <w:ind w:left="1416"/>
        <w:rPr>
          <w:szCs w:val="24"/>
          <w:lang w:val="es-ES" w:eastAsia="en-US"/>
        </w:rPr>
      </w:pPr>
      <w:r w:rsidRPr="003F33F9">
        <w:rPr>
          <w:szCs w:val="24"/>
          <w:lang w:val="es-ES" w:eastAsia="en-US"/>
        </w:rPr>
        <w:br w:type="page"/>
      </w:r>
      <w:r w:rsidRPr="003F33F9">
        <w:rPr>
          <w:szCs w:val="24"/>
          <w:lang w:val="es-ES" w:eastAsia="en-US"/>
        </w:rPr>
        <w:lastRenderedPageBreak/>
        <w:t xml:space="preserve">Novērojamo vielu sarakstā ir </w:t>
      </w:r>
      <w:r w:rsidRPr="003F33F9">
        <w:rPr>
          <w:strike/>
          <w:szCs w:val="24"/>
          <w:lang w:val="es-ES" w:eastAsia="en-US"/>
        </w:rPr>
        <w:t>vienlaikus ne vairāk kā 10 vielu</w:t>
      </w:r>
      <w:r w:rsidRPr="003F33F9">
        <w:rPr>
          <w:b/>
          <w:i/>
          <w:szCs w:val="24"/>
          <w:lang w:val="es-ES" w:eastAsia="en-US"/>
        </w:rPr>
        <w:t>vismaz piecas potenciāli problemātiskas vielas</w:t>
      </w:r>
      <w:r w:rsidRPr="003F33F9">
        <w:rPr>
          <w:szCs w:val="24"/>
          <w:lang w:val="es-ES" w:eastAsia="en-US"/>
        </w:rPr>
        <w:t xml:space="preserve"> vai vielu </w:t>
      </w:r>
      <w:r w:rsidRPr="003F33F9">
        <w:rPr>
          <w:strike/>
          <w:szCs w:val="24"/>
          <w:lang w:val="es-ES" w:eastAsia="en-US"/>
        </w:rPr>
        <w:t>grupu un par katru vielu ir norādītas monitoringa matricas un iespējamās analīzes metodes. Minētās monitoringa matricas un metodes kompetentajām iestādēm nerada pārmērīgas izmaksas. Novērojamo vielu sarakstā iekļaujamās vielas</w:t>
      </w:r>
      <w:r w:rsidRPr="003F33F9">
        <w:rPr>
          <w:b/>
          <w:i/>
          <w:szCs w:val="24"/>
          <w:lang w:val="es-ES" w:eastAsia="en-US"/>
        </w:rPr>
        <w:t>grupas, ko</w:t>
      </w:r>
      <w:r w:rsidRPr="003F33F9">
        <w:rPr>
          <w:szCs w:val="24"/>
          <w:lang w:val="es-ES" w:eastAsia="en-US"/>
        </w:rPr>
        <w:t xml:space="preserve"> izraugās no tām, par kurām pieejamā informācija</w:t>
      </w:r>
      <w:r w:rsidRPr="003F33F9">
        <w:rPr>
          <w:b/>
          <w:i/>
          <w:szCs w:val="24"/>
          <w:lang w:val="es-ES" w:eastAsia="en-US"/>
        </w:rPr>
        <w:t xml:space="preserve"> (arī saskaņā ar ceturto daļu)</w:t>
      </w:r>
      <w:r w:rsidRPr="003F33F9">
        <w:rPr>
          <w:szCs w:val="24"/>
          <w:lang w:val="es-ES" w:eastAsia="en-US"/>
        </w:rPr>
        <w:t xml:space="preserve"> liecina, ka tās var radīt ievērojamu Savienības mēroga risku ūdens videi vai ievērojamu Savienības mēroga risku, kas rodas ar ūdens vides starpniecību, un par kurām nav pietiekamu monitoringa datu</w:t>
      </w:r>
      <w:r w:rsidRPr="003F33F9">
        <w:rPr>
          <w:strike/>
          <w:szCs w:val="24"/>
          <w:lang w:val="es-ES" w:eastAsia="en-US"/>
        </w:rPr>
        <w:t>.</w:t>
      </w:r>
      <w:r w:rsidRPr="003F33F9">
        <w:rPr>
          <w:b/>
          <w:i/>
          <w:szCs w:val="24"/>
          <w:lang w:val="es-ES" w:eastAsia="en-US"/>
        </w:rPr>
        <w:t>, izņemot, ja tādu izraugāmo vielu vai vielu grupu, par kurām pieejamā informācija liecina, ka tās var radīt ievērojamu risku ūdens videi vai ievērojamu risku, kas rodas ar ūdens vides starpniecību, skaits ir mazāks par pieci, un šādā gadījumā</w:t>
      </w:r>
      <w:r w:rsidRPr="003F33F9">
        <w:rPr>
          <w:szCs w:val="24"/>
          <w:lang w:val="es-ES" w:eastAsia="en-US"/>
        </w:rPr>
        <w:t xml:space="preserve"> novērojamo vielu sarakstā iekļauj </w:t>
      </w:r>
      <w:r w:rsidRPr="003F33F9">
        <w:rPr>
          <w:strike/>
          <w:szCs w:val="24"/>
          <w:lang w:val="es-ES" w:eastAsia="en-US"/>
        </w:rPr>
        <w:t>potenciāli problemātiskas</w:t>
      </w:r>
      <w:r w:rsidRPr="003F33F9">
        <w:rPr>
          <w:b/>
          <w:i/>
          <w:szCs w:val="24"/>
          <w:lang w:val="es-ES" w:eastAsia="en-US"/>
        </w:rPr>
        <w:t>visas minētās</w:t>
      </w:r>
      <w:r w:rsidRPr="003F33F9">
        <w:rPr>
          <w:szCs w:val="24"/>
          <w:lang w:val="es-ES" w:eastAsia="en-US"/>
        </w:rPr>
        <w:t xml:space="preserve"> vielas.</w:t>
      </w:r>
    </w:p>
    <w:p w:rsidR="00CB6573" w:rsidRPr="003F33F9" w:rsidRDefault="00CB6573" w:rsidP="00CB6573">
      <w:pPr>
        <w:spacing w:before="120" w:after="120" w:line="360" w:lineRule="auto"/>
        <w:ind w:left="1416"/>
        <w:rPr>
          <w:szCs w:val="24"/>
          <w:lang w:val="es-ES" w:eastAsia="en-US"/>
        </w:rPr>
      </w:pPr>
      <w:r w:rsidRPr="003F33F9">
        <w:rPr>
          <w:b/>
          <w:i/>
          <w:szCs w:val="24"/>
          <w:lang w:val="es-ES" w:eastAsia="en-US"/>
        </w:rPr>
        <w:t xml:space="preserve">Papildus minimālajam vielu vai vielu grupu skaitam novērojamo vielu saraksts var ietvert arī piesārņojuma rādītājus. </w:t>
      </w:r>
    </w:p>
    <w:p w:rsidR="00CB6573" w:rsidRPr="006A19EE" w:rsidRDefault="00CB6573" w:rsidP="00CB6573">
      <w:pPr>
        <w:spacing w:before="120" w:after="120" w:line="360" w:lineRule="auto"/>
        <w:ind w:left="1416"/>
        <w:rPr>
          <w:b/>
          <w:szCs w:val="24"/>
          <w:lang w:eastAsia="en-US"/>
        </w:rPr>
      </w:pPr>
      <w:r w:rsidRPr="003F33F9">
        <w:rPr>
          <w:b/>
          <w:i/>
          <w:szCs w:val="24"/>
          <w:lang w:val="es-ES" w:eastAsia="en-US"/>
        </w:rPr>
        <w:t xml:space="preserve">Novērojamo vielu sarakstā precizē </w:t>
      </w:r>
      <w:r w:rsidRPr="003F33F9">
        <w:rPr>
          <w:szCs w:val="24"/>
          <w:lang w:val="es-ES" w:eastAsia="en-US"/>
        </w:rPr>
        <w:t>monitoringa matricas un iespējamās analīzes metodes</w:t>
      </w:r>
      <w:r w:rsidR="003F33F9" w:rsidRPr="003F33F9">
        <w:rPr>
          <w:szCs w:val="24"/>
          <w:lang w:val="es-ES" w:eastAsia="en-US"/>
        </w:rPr>
        <w:t xml:space="preserve"> </w:t>
      </w:r>
      <w:r w:rsidRPr="003F33F9">
        <w:rPr>
          <w:szCs w:val="24"/>
          <w:lang w:val="es-ES" w:eastAsia="en-US"/>
        </w:rPr>
        <w:t>kompetentajām iestādēm nerada pārmērīgas izmaksas.</w:t>
      </w:r>
      <w:r w:rsidRPr="003F33F9">
        <w:rPr>
          <w:b/>
          <w:szCs w:val="24"/>
          <w:lang w:val="es-ES" w:eastAsia="en-US"/>
        </w:rPr>
        <w:t xml:space="preserve"> </w:t>
      </w:r>
      <w:r w:rsidR="003F33F9" w:rsidRPr="003F33F9">
        <w:rPr>
          <w:strike/>
          <w:noProof/>
        </w:rPr>
        <w:t xml:space="preserve">Novērojamo vielu sarakstā iekļaujamās vielas izraugās no tām, par kurām pieejamā informācija liecina, ka tās var radīt ievērojamu Savienības mēroga risku ūdens videi vai ievērojamu Savienības mēroga risku, kas rodas ar ūdens vides starpniecību, un par kurām nav pietiekamu monitoringa datu. </w:t>
      </w:r>
      <w:r w:rsidR="00D116DF" w:rsidRPr="006A19EE">
        <w:rPr>
          <w:b/>
          <w:szCs w:val="24"/>
          <w:lang w:eastAsia="en-US"/>
        </w:rPr>
        <w:t xml:space="preserve">[Gr. </w:t>
      </w:r>
      <w:r w:rsidRPr="006A19EE">
        <w:rPr>
          <w:b/>
          <w:szCs w:val="24"/>
          <w:lang w:eastAsia="en-US"/>
        </w:rPr>
        <w:t>126]</w:t>
      </w:r>
    </w:p>
    <w:p w:rsidR="00CB6573" w:rsidRPr="006A19EE" w:rsidRDefault="00CB6573" w:rsidP="00CB6573">
      <w:pPr>
        <w:spacing w:before="120" w:after="120" w:line="360" w:lineRule="auto"/>
        <w:ind w:left="1416"/>
        <w:rPr>
          <w:b/>
          <w:szCs w:val="24"/>
          <w:lang w:eastAsia="en-US"/>
        </w:rPr>
      </w:pPr>
      <w:r w:rsidRPr="006A19EE">
        <w:rPr>
          <w:b/>
          <w:i/>
          <w:szCs w:val="24"/>
          <w:lang w:eastAsia="en-US"/>
        </w:rPr>
        <w:br w:type="page"/>
      </w:r>
      <w:r w:rsidRPr="006A19EE">
        <w:rPr>
          <w:b/>
          <w:i/>
          <w:szCs w:val="24"/>
          <w:lang w:eastAsia="en-US"/>
        </w:rPr>
        <w:lastRenderedPageBreak/>
        <w:t xml:space="preserve">Piemērotas monitoringa metodes mikroplastmasai un atsevišķiem antimikrobiālās rezistences gēniem identificē pēc iespējas ātrāk un ne vēlāk kā [mēneša pirmā diena pēc tam, kad pagājuši 18 mēneši pēc šīs grozījumu direktīvas stāšanās spēkā]. Saskaņā ar 2. punktu </w:t>
      </w:r>
      <w:r w:rsidRPr="006A19EE">
        <w:rPr>
          <w:szCs w:val="24"/>
          <w:lang w:eastAsia="en-US"/>
        </w:rPr>
        <w:t xml:space="preserve">mikroplastmasu un atsevišķus antimikrobiālās rezistences gēnus novērojamo vielu sarakstā iekļauj, tiklīdz ir identificētas </w:t>
      </w:r>
      <w:r w:rsidRPr="006A19EE">
        <w:rPr>
          <w:strike/>
          <w:szCs w:val="24"/>
          <w:lang w:eastAsia="en-US"/>
        </w:rPr>
        <w:t>tiem piemērotas</w:t>
      </w:r>
      <w:r w:rsidRPr="006A19EE">
        <w:rPr>
          <w:b/>
          <w:i/>
          <w:szCs w:val="24"/>
          <w:lang w:eastAsia="en-US"/>
        </w:rPr>
        <w:t>minētās</w:t>
      </w:r>
      <w:r w:rsidRPr="006A19EE">
        <w:rPr>
          <w:szCs w:val="24"/>
          <w:lang w:eastAsia="en-US"/>
        </w:rPr>
        <w:t xml:space="preserve"> monitoringa metodes.</w:t>
      </w:r>
      <w:r w:rsidRPr="006A19EE">
        <w:rPr>
          <w:b/>
          <w:i/>
          <w:szCs w:val="24"/>
          <w:lang w:eastAsia="en-US"/>
        </w:rPr>
        <w:t xml:space="preserve"> Komisija arī apsver, vai novērojamo vielu sarakstā ir jāiekļauj sulfāti, ksantāti un nebūtiski pesticīdu metabolīti (nrMs), lai saistībā ar šīs direktīvas darbības jomu uzlabotu datu pieejamību par to klātbūtni.</w:t>
      </w:r>
      <w:r w:rsidRPr="006A19EE">
        <w:rPr>
          <w:b/>
          <w:szCs w:val="24"/>
          <w:lang w:eastAsia="en-US"/>
        </w:rPr>
        <w:t xml:space="preserve"> </w:t>
      </w:r>
      <w:r w:rsidR="00D116DF" w:rsidRPr="006A19EE">
        <w:rPr>
          <w:b/>
          <w:szCs w:val="24"/>
          <w:lang w:eastAsia="en-US"/>
        </w:rPr>
        <w:t xml:space="preserve">[Gr. </w:t>
      </w:r>
      <w:r w:rsidRPr="006A19EE">
        <w:rPr>
          <w:b/>
          <w:szCs w:val="24"/>
          <w:lang w:eastAsia="en-US"/>
        </w:rPr>
        <w:t>127]</w:t>
      </w:r>
    </w:p>
    <w:p w:rsidR="00CB6573" w:rsidRPr="006A19EE" w:rsidRDefault="00CB6573" w:rsidP="00CB6573">
      <w:pPr>
        <w:spacing w:before="120" w:after="120" w:line="360" w:lineRule="auto"/>
        <w:ind w:left="1416"/>
        <w:rPr>
          <w:b/>
          <w:szCs w:val="24"/>
          <w:lang w:eastAsia="en-US"/>
        </w:rPr>
      </w:pPr>
      <w:r w:rsidRPr="006A19EE">
        <w:rPr>
          <w:szCs w:val="24"/>
          <w:lang w:eastAsia="en-US"/>
        </w:rPr>
        <w:t>ECHA sagatavo zinātniskus ziņojumus, kas Komisijai palīdz izraudzīties novērojamo vielu sarakstā iekļaujamās vielas</w:t>
      </w:r>
      <w:r w:rsidRPr="006A19EE">
        <w:rPr>
          <w:b/>
          <w:i/>
          <w:szCs w:val="24"/>
          <w:lang w:eastAsia="en-US"/>
        </w:rPr>
        <w:t xml:space="preserve"> un piesārņojuma rādītājus</w:t>
      </w:r>
      <w:r w:rsidRPr="006A19EE">
        <w:rPr>
          <w:szCs w:val="24"/>
          <w:lang w:eastAsia="en-US"/>
        </w:rPr>
        <w:t>, un tajos ņem vērā:</w:t>
      </w:r>
      <w:r w:rsidRPr="006A19EE">
        <w:rPr>
          <w:b/>
          <w:szCs w:val="24"/>
          <w:lang w:eastAsia="en-US"/>
        </w:rPr>
        <w:t xml:space="preserve"> </w:t>
      </w:r>
      <w:r w:rsidR="00D116DF" w:rsidRPr="006A19EE">
        <w:rPr>
          <w:b/>
          <w:szCs w:val="24"/>
          <w:lang w:eastAsia="en-US"/>
        </w:rPr>
        <w:t xml:space="preserve">[Gr. </w:t>
      </w:r>
      <w:r w:rsidRPr="006A19EE">
        <w:rPr>
          <w:b/>
          <w:szCs w:val="24"/>
          <w:lang w:eastAsia="en-US"/>
        </w:rPr>
        <w:t>128]</w:t>
      </w:r>
    </w:p>
    <w:p w:rsidR="00CB6573" w:rsidRPr="006A19EE" w:rsidRDefault="00CB6573" w:rsidP="00CB6573">
      <w:pPr>
        <w:spacing w:before="120" w:after="120" w:line="360" w:lineRule="auto"/>
        <w:ind w:left="1982" w:hanging="566"/>
        <w:rPr>
          <w:szCs w:val="24"/>
          <w:lang w:eastAsia="en-US"/>
        </w:rPr>
      </w:pPr>
      <w:r w:rsidRPr="006A19EE">
        <w:rPr>
          <w:szCs w:val="24"/>
          <w:lang w:eastAsia="en-US"/>
        </w:rPr>
        <w:t>a)</w:t>
      </w:r>
      <w:r w:rsidRPr="006A19EE">
        <w:rPr>
          <w:szCs w:val="24"/>
          <w:lang w:eastAsia="en-US"/>
        </w:rPr>
        <w:tab/>
        <w:t>šīs direktīvas I pielikuma nesenākās regulārās pārskatīšanas rezultātus;</w:t>
      </w:r>
    </w:p>
    <w:p w:rsidR="00CB6573" w:rsidRPr="006A19EE" w:rsidRDefault="00CB6573" w:rsidP="00CB6573">
      <w:pPr>
        <w:spacing w:before="120" w:after="120" w:line="360" w:lineRule="auto"/>
        <w:ind w:left="1982" w:hanging="566"/>
        <w:rPr>
          <w:szCs w:val="24"/>
          <w:lang w:eastAsia="en-US"/>
        </w:rPr>
      </w:pPr>
      <w:r w:rsidRPr="006A19EE">
        <w:rPr>
          <w:szCs w:val="24"/>
          <w:lang w:eastAsia="en-US"/>
        </w:rPr>
        <w:t>b)</w:t>
      </w:r>
      <w:r w:rsidRPr="006A19EE">
        <w:rPr>
          <w:szCs w:val="24"/>
          <w:lang w:eastAsia="en-US"/>
        </w:rPr>
        <w:tab/>
        <w:t>ieinteresēto personu ieteikumus, kas minēti Direktīvas 2008/105/EK 8. pantā;</w:t>
      </w:r>
    </w:p>
    <w:p w:rsidR="00CB6573" w:rsidRPr="006A19EE" w:rsidRDefault="00CB6573" w:rsidP="00CB6573">
      <w:pPr>
        <w:spacing w:before="120" w:after="120" w:line="360" w:lineRule="auto"/>
        <w:ind w:left="1982" w:hanging="566"/>
        <w:rPr>
          <w:szCs w:val="24"/>
          <w:lang w:eastAsia="en-US"/>
        </w:rPr>
      </w:pPr>
      <w:r w:rsidRPr="006A19EE">
        <w:rPr>
          <w:szCs w:val="24"/>
          <w:lang w:eastAsia="en-US"/>
        </w:rPr>
        <w:br w:type="page"/>
      </w:r>
      <w:r w:rsidRPr="006A19EE">
        <w:rPr>
          <w:szCs w:val="24"/>
          <w:lang w:eastAsia="en-US"/>
        </w:rPr>
        <w:lastRenderedPageBreak/>
        <w:t>c)</w:t>
      </w:r>
      <w:r w:rsidRPr="006A19EE">
        <w:rPr>
          <w:szCs w:val="24"/>
          <w:lang w:eastAsia="en-US"/>
        </w:rPr>
        <w:tab/>
        <w:t>upju baseinu apgabalu raksturojumu, ko dalībvalstis sniedz saskaņā ar Direktīvas 2000/60/EK 5. pantu, un saskaņā ar minētās direktīvas 8. pantu izveidoto monitoringa programmu rezultātus;</w:t>
      </w:r>
    </w:p>
    <w:p w:rsidR="00CB6573" w:rsidRPr="006A19EE" w:rsidRDefault="00CB6573" w:rsidP="00CB6573">
      <w:pPr>
        <w:spacing w:before="120" w:after="120" w:line="360" w:lineRule="auto"/>
        <w:ind w:left="1982" w:hanging="566"/>
        <w:rPr>
          <w:szCs w:val="24"/>
          <w:lang w:eastAsia="en-US"/>
        </w:rPr>
      </w:pPr>
      <w:r w:rsidRPr="006A19EE">
        <w:rPr>
          <w:szCs w:val="24"/>
          <w:lang w:eastAsia="en-US"/>
        </w:rPr>
        <w:t>d)</w:t>
      </w:r>
      <w:r w:rsidRPr="006A19EE">
        <w:rPr>
          <w:szCs w:val="24"/>
          <w:lang w:eastAsia="en-US"/>
        </w:rPr>
        <w:tab/>
        <w:t>informāciju par saražoto vielas daudzumu, lietojuma modeļiem, raksturīgajām īpašībām (attiecīgā gadījumā arī par daļiņu izmēru), koncentrācijām vidē un nelabvēlīgo ietekmi uz cilvēka veselību un ūdens vidi. Te ietilpst arī informācija, kas savākta saskaņā ar Regulu (EK) Nr. 1907/2006, Regulu (EK) Nr. 1107/2009, Regulu (ES) Nr. 528/2012, Regulu (ES) 2019/6, Direktīvu 2001/83/EK un Direktīvu 2009/128/EK;</w:t>
      </w:r>
    </w:p>
    <w:p w:rsidR="00CB6573" w:rsidRPr="006A19EE" w:rsidRDefault="00CB6573" w:rsidP="00CB6573">
      <w:pPr>
        <w:spacing w:before="120" w:after="120" w:line="360" w:lineRule="auto"/>
        <w:ind w:left="1982" w:hanging="566"/>
        <w:rPr>
          <w:b/>
          <w:szCs w:val="24"/>
          <w:lang w:eastAsia="en-US"/>
        </w:rPr>
      </w:pPr>
      <w:r w:rsidRPr="006A19EE">
        <w:rPr>
          <w:szCs w:val="24"/>
          <w:lang w:eastAsia="en-US"/>
        </w:rPr>
        <w:t>e)</w:t>
      </w:r>
      <w:r w:rsidRPr="006A19EE">
        <w:rPr>
          <w:szCs w:val="24"/>
          <w:lang w:eastAsia="en-US"/>
        </w:rPr>
        <w:tab/>
        <w:t>pētnieciskos projektus un zinātniskās publikācijas</w:t>
      </w:r>
      <w:r w:rsidRPr="006A19EE">
        <w:rPr>
          <w:b/>
          <w:i/>
          <w:szCs w:val="24"/>
          <w:lang w:eastAsia="en-US"/>
        </w:rPr>
        <w:t xml:space="preserve"> un pierādījumus</w:t>
      </w:r>
      <w:r w:rsidRPr="006A19EE">
        <w:rPr>
          <w:szCs w:val="24"/>
          <w:lang w:eastAsia="en-US"/>
        </w:rPr>
        <w:t>, arī informāciju par</w:t>
      </w:r>
      <w:r w:rsidRPr="006A19EE">
        <w:rPr>
          <w:strike/>
          <w:szCs w:val="24"/>
          <w:lang w:eastAsia="en-US"/>
        </w:rPr>
        <w:t xml:space="preserve"> attīstības</w:t>
      </w:r>
      <w:r w:rsidRPr="006A19EE">
        <w:rPr>
          <w:szCs w:val="24"/>
          <w:lang w:eastAsia="en-US"/>
        </w:rPr>
        <w:t xml:space="preserve"> tendencēm un uz modelēšanu vai citiem prognostiskiem novērtējumiem balstītas prognozes, kā arī </w:t>
      </w:r>
      <w:r w:rsidRPr="006A19EE">
        <w:rPr>
          <w:strike/>
          <w:szCs w:val="24"/>
          <w:lang w:eastAsia="en-US"/>
        </w:rPr>
        <w:t xml:space="preserve">datus un </w:t>
      </w:r>
      <w:r w:rsidRPr="006A19EE">
        <w:rPr>
          <w:szCs w:val="24"/>
          <w:lang w:eastAsia="en-US"/>
        </w:rPr>
        <w:t>informāciju</w:t>
      </w:r>
      <w:r w:rsidRPr="006A19EE">
        <w:rPr>
          <w:b/>
          <w:i/>
          <w:szCs w:val="24"/>
          <w:lang w:eastAsia="en-US"/>
        </w:rPr>
        <w:t xml:space="preserve"> un datus, kas savākti, izmantojot tālizpētes</w:t>
      </w:r>
      <w:r w:rsidRPr="006A19EE">
        <w:rPr>
          <w:strike/>
          <w:szCs w:val="24"/>
          <w:lang w:eastAsia="en-US"/>
        </w:rPr>
        <w:t>, ko nodrošina attālās uzrādes</w:t>
      </w:r>
      <w:r w:rsidRPr="006A19EE">
        <w:rPr>
          <w:szCs w:val="24"/>
          <w:lang w:eastAsia="en-US"/>
        </w:rPr>
        <w:t xml:space="preserve"> tehnoloģijas, Zemes </w:t>
      </w:r>
      <w:r w:rsidRPr="006A19EE">
        <w:rPr>
          <w:strike/>
          <w:szCs w:val="24"/>
          <w:lang w:eastAsia="en-US"/>
        </w:rPr>
        <w:t>novērošana</w:t>
      </w:r>
      <w:r w:rsidRPr="006A19EE">
        <w:rPr>
          <w:b/>
          <w:i/>
          <w:szCs w:val="24"/>
          <w:lang w:eastAsia="en-US"/>
        </w:rPr>
        <w:t>novērošanu</w:t>
      </w:r>
      <w:r w:rsidRPr="006A19EE">
        <w:rPr>
          <w:szCs w:val="24"/>
          <w:lang w:eastAsia="en-US"/>
        </w:rPr>
        <w:t xml:space="preserve"> (Copernicus pakalpojumi), in situ </w:t>
      </w:r>
      <w:r w:rsidRPr="006A19EE">
        <w:rPr>
          <w:strike/>
          <w:szCs w:val="24"/>
          <w:lang w:eastAsia="en-US"/>
        </w:rPr>
        <w:t>sensori</w:t>
      </w:r>
      <w:r w:rsidRPr="006A19EE">
        <w:rPr>
          <w:b/>
          <w:i/>
          <w:szCs w:val="24"/>
          <w:lang w:eastAsia="en-US"/>
        </w:rPr>
        <w:t>sensorus</w:t>
      </w:r>
      <w:r w:rsidRPr="006A19EE">
        <w:rPr>
          <w:szCs w:val="24"/>
          <w:lang w:eastAsia="en-US"/>
        </w:rPr>
        <w:t xml:space="preserve"> un ierīces, vai amatierzinātnes datus</w:t>
      </w:r>
      <w:r w:rsidRPr="006A19EE">
        <w:rPr>
          <w:b/>
          <w:i/>
          <w:szCs w:val="24"/>
          <w:lang w:eastAsia="en-US"/>
        </w:rPr>
        <w:t>, izmantojot</w:t>
      </w:r>
      <w:r w:rsidRPr="006A19EE">
        <w:rPr>
          <w:strike/>
          <w:szCs w:val="24"/>
          <w:lang w:eastAsia="en-US"/>
        </w:rPr>
        <w:t xml:space="preserve"> un</w:t>
      </w:r>
      <w:r w:rsidRPr="006A19EE">
        <w:rPr>
          <w:szCs w:val="24"/>
          <w:lang w:eastAsia="en-US"/>
        </w:rPr>
        <w:t xml:space="preserve"> mākslīgā intelekta</w:t>
      </w:r>
      <w:r w:rsidRPr="006A19EE">
        <w:rPr>
          <w:strike/>
          <w:szCs w:val="24"/>
          <w:lang w:eastAsia="en-US"/>
        </w:rPr>
        <w:t>,</w:t>
      </w:r>
      <w:r w:rsidRPr="006A19EE">
        <w:rPr>
          <w:b/>
          <w:i/>
          <w:szCs w:val="24"/>
          <w:lang w:eastAsia="en-US"/>
        </w:rPr>
        <w:t xml:space="preserve"> un</w:t>
      </w:r>
      <w:r w:rsidRPr="006A19EE">
        <w:rPr>
          <w:szCs w:val="24"/>
          <w:lang w:eastAsia="en-US"/>
        </w:rPr>
        <w:t xml:space="preserve"> progresīvas datu analīzes un apstrādes sniegtās iespējas.</w:t>
      </w:r>
      <w:r w:rsidRPr="006A19EE">
        <w:rPr>
          <w:b/>
          <w:szCs w:val="24"/>
          <w:lang w:eastAsia="en-US"/>
        </w:rPr>
        <w:t xml:space="preserve"> </w:t>
      </w:r>
      <w:r w:rsidR="00D116DF" w:rsidRPr="006A19EE">
        <w:rPr>
          <w:b/>
          <w:szCs w:val="24"/>
          <w:lang w:eastAsia="en-US"/>
        </w:rPr>
        <w:t xml:space="preserve">[Gr. </w:t>
      </w:r>
      <w:r w:rsidRPr="006A19EE">
        <w:rPr>
          <w:b/>
          <w:szCs w:val="24"/>
          <w:lang w:eastAsia="en-US"/>
        </w:rPr>
        <w:t>129]</w:t>
      </w:r>
    </w:p>
    <w:p w:rsidR="00CB6573" w:rsidRPr="006A19EE" w:rsidRDefault="00CB6573" w:rsidP="00CB6573">
      <w:pPr>
        <w:spacing w:before="120" w:after="120" w:line="360" w:lineRule="auto"/>
        <w:ind w:left="1416"/>
        <w:rPr>
          <w:szCs w:val="24"/>
          <w:lang w:eastAsia="en-US"/>
        </w:rPr>
      </w:pPr>
      <w:r w:rsidRPr="006A19EE">
        <w:rPr>
          <w:szCs w:val="24"/>
          <w:lang w:eastAsia="en-US"/>
        </w:rPr>
        <w:br w:type="page"/>
      </w:r>
      <w:r w:rsidRPr="006A19EE">
        <w:rPr>
          <w:szCs w:val="24"/>
          <w:lang w:eastAsia="en-US"/>
        </w:rPr>
        <w:lastRenderedPageBreak/>
        <w:t>Reizi trijos gados ECHA sagatavo ziņojumu, kurā apkopoti saskaņā ar ceturto daļu sagatavoto zinātnisko ziņojumu konstatējumi, un šo ziņojumu dara publiski pieejamu. Pirmo ECHA ziņojumu dara pieejamu līdz ... [Publikāciju birojs ieraksta datumu, kas ir divdesmit pirmā mēneša pirmā diena pēc šīs direktīvas stāšanās spēkā].</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2.</w:t>
      </w:r>
      <w:r w:rsidRPr="003F33F9">
        <w:rPr>
          <w:szCs w:val="24"/>
          <w:lang w:val="fi-FI" w:eastAsia="en-US"/>
        </w:rPr>
        <w:tab/>
        <w:t xml:space="preserve">Novērojamo vielu sarakstu atjaunina līdz ... [Publikāciju birojs ieraksta datumu, kas ir divdesmit trešā mēneša pēdējā diena pēc šīs direktīvas stāšanās spēkā] un pēc tam </w:t>
      </w:r>
      <w:r w:rsidRPr="003F33F9">
        <w:rPr>
          <w:b/>
          <w:i/>
          <w:szCs w:val="24"/>
          <w:lang w:val="fi-FI" w:eastAsia="en-US"/>
        </w:rPr>
        <w:t xml:space="preserve">vēlākais </w:t>
      </w:r>
      <w:r w:rsidRPr="003F33F9">
        <w:rPr>
          <w:szCs w:val="24"/>
          <w:lang w:val="fi-FI" w:eastAsia="en-US"/>
        </w:rPr>
        <w:t>ik pēc 36 mēnešiem</w:t>
      </w:r>
      <w:r w:rsidRPr="003F33F9">
        <w:rPr>
          <w:strike/>
          <w:szCs w:val="24"/>
          <w:lang w:val="fi-FI" w:eastAsia="en-US"/>
        </w:rPr>
        <w:t xml:space="preserve"> </w:t>
      </w:r>
      <w:r w:rsidRPr="003F33F9">
        <w:rPr>
          <w:b/>
          <w:i/>
          <w:szCs w:val="24"/>
          <w:lang w:val="fi-FI" w:eastAsia="en-US"/>
        </w:rPr>
        <w:t>vai biežāk, ja jauni</w:t>
      </w:r>
      <w:r w:rsidRPr="003F33F9">
        <w:rPr>
          <w:szCs w:val="24"/>
          <w:lang w:val="fi-FI" w:eastAsia="en-US"/>
        </w:rPr>
        <w:t xml:space="preserve"> </w:t>
      </w:r>
      <w:r w:rsidRPr="003F33F9">
        <w:rPr>
          <w:b/>
          <w:i/>
          <w:szCs w:val="24"/>
          <w:lang w:val="fi-FI" w:eastAsia="en-US"/>
        </w:rPr>
        <w:t>zinātniskie pierādījumi liecina, ka saraksts jāatjaunina starpposmā starp atsevišķajām pārskatīšanas reizēm</w:t>
      </w:r>
      <w:r w:rsidRPr="003F33F9">
        <w:rPr>
          <w:szCs w:val="24"/>
          <w:lang w:val="fi-FI" w:eastAsia="en-US"/>
        </w:rPr>
        <w:t>.</w:t>
      </w:r>
    </w:p>
    <w:p w:rsidR="00CB6573" w:rsidRPr="003F33F9" w:rsidRDefault="00CB6573" w:rsidP="00CB6573">
      <w:pPr>
        <w:spacing w:before="120" w:after="120" w:line="360" w:lineRule="auto"/>
        <w:ind w:left="1416"/>
        <w:rPr>
          <w:szCs w:val="24"/>
          <w:lang w:val="fi-FI" w:eastAsia="en-US"/>
        </w:rPr>
      </w:pPr>
      <w:r w:rsidRPr="003F33F9">
        <w:rPr>
          <w:b/>
          <w:i/>
          <w:szCs w:val="24"/>
          <w:lang w:val="fi-FI" w:eastAsia="en-US"/>
        </w:rPr>
        <w:t>Dalībvalstis ik pēc diviem gadiem izvērtē ar enerģētikas pārkārtošanu saistīto rūpniecisko darbību ietekmi uz ūdens kvalitāti un informē Komisiju par jauniem identificētiem apdraudējumiem, lai tā var attiecīgi atjaunināt novērojamo vielu sarakstu. Izvērtējums ir viegli pieejams sabiedrībai.</w:t>
      </w:r>
    </w:p>
    <w:p w:rsidR="00CB6573" w:rsidRPr="003F33F9" w:rsidRDefault="00CB6573" w:rsidP="00CB6573">
      <w:pPr>
        <w:spacing w:before="120" w:after="120" w:line="360" w:lineRule="auto"/>
        <w:ind w:left="1416"/>
        <w:rPr>
          <w:b/>
          <w:szCs w:val="24"/>
          <w:lang w:val="fi-FI" w:eastAsia="en-US"/>
        </w:rPr>
      </w:pPr>
      <w:r w:rsidRPr="003F33F9">
        <w:rPr>
          <w:b/>
          <w:i/>
          <w:szCs w:val="24"/>
          <w:lang w:val="fi-FI" w:eastAsia="en-US"/>
        </w:rPr>
        <w:br w:type="page"/>
      </w:r>
      <w:r w:rsidRPr="003F33F9">
        <w:rPr>
          <w:szCs w:val="24"/>
          <w:lang w:val="fi-FI" w:eastAsia="en-US"/>
        </w:rPr>
        <w:lastRenderedPageBreak/>
        <w:t>Kad Komisija atjaunina novērojamo vielu sarakstu, tā no pastāvošā saraksta izņem vielas, kuru radīto risku ūdens videi Komisijas ieskatā ir iespējams novērtēt bez papildu monitoringa datiem. Ja novērojamo vielu saraksta atjaunināšanas laikā tiek uzskatīts, ka kādas atsevišķas vielas vai vielu grupas radīto risku ūdens videi nevar novērtēt bez papildu monitoringa datiem, minēto vielu vai vielu grupu var sarakstā paturēt vēl uz vienu periodu, kas nav ilgāks par trim gadiem. Katrā atjauninātajā novērojamo vielu sarakstā iekļauj arī vienu vai vairākas jaunas vielas, kuras Komisijas ieskatā, ko pamato ECHA zinātniskie ziņojumi, rada risku ūdens videi.</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130]</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3.</w:t>
      </w:r>
      <w:r w:rsidRPr="003F33F9">
        <w:rPr>
          <w:szCs w:val="24"/>
          <w:lang w:val="fi-FI" w:eastAsia="en-US"/>
        </w:rPr>
        <w:tab/>
        <w:t>Dalībvalstis īpaši izraudzītās reprezentatīvās monitoringa stacijās 24 mēnešus pēc kārtas veic katras novērojamo vielu sarakstā iekļautās vielas vai vielu grupas monitoringu. Monitoringa periods sākas sešu mēnešu laikā pēc vielas iekļaušanas sarakstā.</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Katra dalībvalsts izraugās vismaz vienu monitoringa staciju un, ja valstī ir vairāk nekā miljons iedzīvotāju, papildus vēl vienu staciju, un papildus vēl tādu skaitu staciju, kurš atbilst valsts ģeogrāfiskajai platībai, izteiktai kvadrātkilometros un dalītai ar 60 000 (noapaļojot līdz tuvākajam veselajam skaitlim), un papildus vēl tādu skaitu staciju, kurš atbilst valsts iedzīvotāju skaitam, dalītam ar pieciem miljoniem (noapaļojot līdz tuvākajam veselajam skaitlim).</w:t>
      </w:r>
    </w:p>
    <w:p w:rsidR="00CB6573" w:rsidRPr="003F33F9" w:rsidRDefault="00CB6573" w:rsidP="00CB6573">
      <w:pPr>
        <w:spacing w:before="120" w:after="120" w:line="360" w:lineRule="auto"/>
        <w:ind w:left="1416"/>
        <w:rPr>
          <w:b/>
          <w:szCs w:val="24"/>
          <w:lang w:val="fi-FI" w:eastAsia="en-US"/>
        </w:rPr>
      </w:pPr>
      <w:r w:rsidRPr="003F33F9">
        <w:rPr>
          <w:szCs w:val="24"/>
          <w:lang w:val="fi-FI" w:eastAsia="en-US"/>
        </w:rPr>
        <w:br w:type="page"/>
      </w:r>
      <w:r w:rsidRPr="003F33F9">
        <w:rPr>
          <w:szCs w:val="24"/>
          <w:lang w:val="fi-FI" w:eastAsia="en-US"/>
        </w:rPr>
        <w:lastRenderedPageBreak/>
        <w:t xml:space="preserve">Kad dalībvalstis katrai vielai vai vielu grupai izvēlas reprezentatīvās monitoringa stacijas, monitoringa biežumu un sezonu, tās ņem vērā vielas vai vielu grupas lietojuma modeļus un iespējamo klātesību. </w:t>
      </w:r>
      <w:r w:rsidRPr="003F33F9">
        <w:rPr>
          <w:strike/>
          <w:szCs w:val="24"/>
          <w:lang w:val="fi-FI" w:eastAsia="en-US"/>
        </w:rPr>
        <w:t>Monitoringa biežums nav mazāks par divām reizēm gadā, izņemot</w:t>
      </w:r>
      <w:r w:rsidRPr="003F33F9">
        <w:rPr>
          <w:b/>
          <w:i/>
          <w:szCs w:val="24"/>
          <w:lang w:val="fi-FI" w:eastAsia="en-US"/>
        </w:rPr>
        <w:t>Monitoringu veic ne retāk kā divas reizes gadā. Kā noteikts saskaņā ar 1. punktu pieņemtajā īstenošanas aktā, ar kuru izveido novērojamo vielu sarakstu, monitoringu veic biežāk attiecībā uz</w:t>
      </w:r>
      <w:r w:rsidRPr="003F33F9">
        <w:rPr>
          <w:szCs w:val="24"/>
          <w:lang w:val="fi-FI" w:eastAsia="en-US"/>
        </w:rPr>
        <w:t xml:space="preserve"> vielām, kas jutīgi reaģē uz klimatiskajām </w:t>
      </w:r>
      <w:r w:rsidRPr="003F33F9">
        <w:rPr>
          <w:strike/>
          <w:szCs w:val="24"/>
          <w:lang w:val="fi-FI" w:eastAsia="en-US"/>
        </w:rPr>
        <w:t xml:space="preserve">vai sezonālajām </w:t>
      </w:r>
      <w:r w:rsidRPr="003F33F9">
        <w:rPr>
          <w:szCs w:val="24"/>
          <w:lang w:val="fi-FI" w:eastAsia="en-US"/>
        </w:rPr>
        <w:t>svārstībām</w:t>
      </w:r>
      <w:r w:rsidRPr="003F33F9">
        <w:rPr>
          <w:strike/>
          <w:szCs w:val="24"/>
          <w:lang w:val="fi-FI" w:eastAsia="en-US"/>
        </w:rPr>
        <w:t>: tām monitoringu veic biežāk un tā</w:t>
      </w:r>
      <w:r w:rsidRPr="003F33F9">
        <w:rPr>
          <w:b/>
          <w:i/>
          <w:szCs w:val="24"/>
          <w:lang w:val="fi-FI" w:eastAsia="en-US"/>
        </w:rPr>
        <w:t>, arī nokrišņu daudzumu, un vielām</w:t>
      </w:r>
      <w:r w:rsidRPr="003F33F9">
        <w:rPr>
          <w:szCs w:val="24"/>
          <w:lang w:val="fi-FI" w:eastAsia="en-US"/>
        </w:rPr>
        <w:t>,</w:t>
      </w:r>
      <w:r w:rsidRPr="003F33F9">
        <w:rPr>
          <w:strike/>
          <w:szCs w:val="24"/>
          <w:lang w:val="fi-FI" w:eastAsia="en-US"/>
        </w:rPr>
        <w:t xml:space="preserve"> kā noteikts īstenošanas aktā, ar kuru novērojamo vielu sarakstu izveido un kas pieņemts, izpildot 1. punktu</w:t>
      </w:r>
      <w:r w:rsidRPr="003F33F9">
        <w:rPr>
          <w:b/>
          <w:i/>
          <w:szCs w:val="24"/>
          <w:lang w:val="fi-FI" w:eastAsia="en-US"/>
        </w:rPr>
        <w:t xml:space="preserve"> kuru koncentrācija var īsā laikā strauji palielināties to izmantošanas sezonālo svārstību dēļ</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131]</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br w:type="page"/>
      </w:r>
      <w:r w:rsidRPr="003F33F9">
        <w:rPr>
          <w:szCs w:val="24"/>
          <w:lang w:val="fi-FI" w:eastAsia="en-US"/>
        </w:rPr>
        <w:lastRenderedPageBreak/>
        <w:t>Ja dalībvalsts spēj iegūt un Komisijai iesniegt no pastāvošām monitoringa programmām vai pētījumiem ņemtus pietiekamus, salīdzināmus, reprezentatīvus un nesenus monitoringa datus par konkrētu vielu vai vielu grupu, tā var nolemt novērojamo vielu saraksta mehānismā paredzēto papildu monitoringu minētajai vielai vai vielu grupai neveikt, taču tad vielas vai vielu grupas pastāvošā monitoringa metodikai jāatbilst monitoringa matricām un analīzes metodēm, kuras minētas īstenošanas aktā, ar ko novērojamo vielu saraksts izveidots, kā arī jāatbilst Direktīvas 2009/90/EK* prasībām.</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4.</w:t>
      </w:r>
      <w:r w:rsidRPr="003F33F9">
        <w:rPr>
          <w:szCs w:val="24"/>
          <w:lang w:val="fi-FI" w:eastAsia="en-US"/>
        </w:rPr>
        <w:tab/>
        <w:t>Šā panta 3. punktā minētā monitoringa rezultātus dalībvalstis dara pieejamus saskaņā ar Direktīvas 2000/60/EK 8. panta 4. punktu un īstenošanas aktu, ar ko novērojamo vielu sarakstu izveido un kas pieņemts, izpildot 1. punktu. Papildus tās dara pieejamu informāciju par monitoringa staciju reprezentativitāti un monitoringa stratēģiju.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br w:type="page"/>
      </w:r>
      <w:r w:rsidRPr="003F33F9">
        <w:rPr>
          <w:szCs w:val="24"/>
          <w:lang w:val="fi-FI" w:eastAsia="en-US"/>
        </w:rPr>
        <w:lastRenderedPageBreak/>
        <w:t>5.</w:t>
      </w:r>
      <w:r w:rsidRPr="003F33F9">
        <w:rPr>
          <w:szCs w:val="24"/>
          <w:lang w:val="fi-FI" w:eastAsia="en-US"/>
        </w:rPr>
        <w:tab/>
        <w:t>Šā panta 3. punktā minētā 24 mēnešu perioda beigās ECHA pārskata monitoringa rezultātus un novērtē, kuru vielu vai vielu grupu monitorings jāturpina vēl 24 mēnešus un kuras tāpēc ir jāpatur novērojamo vielu sarakstā, un kuras vielas vai vielu grupas var no novērojamo vielu saraksta izņemt.</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Ja Komisija, ņemot vērā pirmajā daļā minēto ECHA novērtējumu, secina, ka ūdens videi radītā riska turpmākai novērtēšanai papildu monitorings nav vajadzīgs, minēto novērtējumu ņem vērā, kad saskaņā ar 8. pantu pārskata I vai II pielikumu.</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 Komisijas Direktīva 2009/90/EK (2009. gada 31. jūlijs), ar ko atbilstoši Eiropas Parlamenta un Padomes Direktīvai 2000/60/EK nosaka tehniskās specifikācijas ūdens stāvokļa ķīmiskajām analīzēm un monitoringam (OV L 201, 1.8.2009., 36. lpp.).;”</w:t>
      </w:r>
    </w:p>
    <w:p w:rsidR="00CB6573" w:rsidRPr="003F33F9" w:rsidRDefault="00CB6573" w:rsidP="00CB6573">
      <w:pPr>
        <w:spacing w:before="120" w:after="120" w:line="360" w:lineRule="auto"/>
        <w:ind w:left="850" w:hanging="850"/>
        <w:rPr>
          <w:szCs w:val="24"/>
          <w:lang w:val="fi-FI" w:eastAsia="en-US"/>
        </w:rPr>
      </w:pPr>
      <w:r w:rsidRPr="003F33F9">
        <w:rPr>
          <w:b/>
          <w:i/>
          <w:szCs w:val="24"/>
          <w:lang w:val="fi-FI" w:eastAsia="en-US"/>
        </w:rPr>
        <w:br w:type="page"/>
      </w:r>
      <w:r w:rsidRPr="003F33F9">
        <w:rPr>
          <w:b/>
          <w:i/>
          <w:szCs w:val="24"/>
          <w:lang w:val="fi-FI" w:eastAsia="en-US"/>
        </w:rPr>
        <w:lastRenderedPageBreak/>
        <w:t>7a)</w:t>
      </w:r>
      <w:r w:rsidRPr="003F33F9">
        <w:rPr>
          <w:szCs w:val="24"/>
          <w:lang w:val="fi-FI" w:eastAsia="en-US"/>
        </w:rPr>
        <w:tab/>
      </w:r>
      <w:r w:rsidRPr="003F33F9">
        <w:rPr>
          <w:b/>
          <w:i/>
          <w:szCs w:val="24"/>
          <w:lang w:val="fi-FI" w:eastAsia="en-US"/>
        </w:rPr>
        <w:t>direktīvā iekļauj šādu 8.ba pantu: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w:t>
      </w:r>
      <w:r w:rsidRPr="003F33F9">
        <w:rPr>
          <w:b/>
          <w:i/>
          <w:szCs w:val="24"/>
          <w:lang w:val="fi-FI" w:eastAsia="en-US"/>
        </w:rPr>
        <w:t>8.ba pants</w:t>
      </w:r>
    </w:p>
    <w:p w:rsidR="00CB6573" w:rsidRPr="003F33F9" w:rsidRDefault="00CB6573" w:rsidP="00CB6573">
      <w:pPr>
        <w:spacing w:before="120" w:after="120" w:line="360" w:lineRule="auto"/>
        <w:ind w:left="850"/>
        <w:rPr>
          <w:b/>
          <w:szCs w:val="24"/>
          <w:lang w:val="fi-FI" w:eastAsia="en-US"/>
        </w:rPr>
      </w:pPr>
      <w:r w:rsidRPr="003F33F9">
        <w:rPr>
          <w:b/>
          <w:i/>
          <w:szCs w:val="24"/>
          <w:lang w:val="fi-FI" w:eastAsia="en-US"/>
        </w:rPr>
        <w:t>Komisija ne vēlāk kā... [viens gads pēc šīs direktīvas stāšanās spēkā] iesniedz ietekmes novērtējumu, kurā izskatīta iespēja šajā direktīvā iekļaut paplašinātas ražotāja atbildības mehānismu, kas nodrošina, ka ražotāji, kuri laiž tirgū produktus, kas satur jebkuru no I pielikumā norādītajām vielām vai maisījumiem, kā arī potenciāli problemātiskas vielas, kas iekļautas novērojamo vielu sarakstā atbilstīgi šai direktīvai, piedalās saskaņā ar Direktīvas 2000/60/EK 8. pantu izstrādāto monitoringa programmu izmaksu segšanā. Ietekmes novērtējumam attiecīgā gadījumā pievieno tiesību akta priekšlikumu nolūkā grozīt šo direktīvu.</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132]</w:t>
      </w:r>
    </w:p>
    <w:p w:rsidR="00CB6573" w:rsidRPr="003F33F9" w:rsidRDefault="00CB6573" w:rsidP="00CB6573">
      <w:pPr>
        <w:spacing w:before="120" w:after="120" w:line="360" w:lineRule="auto"/>
        <w:ind w:left="850" w:hanging="850"/>
        <w:rPr>
          <w:szCs w:val="24"/>
          <w:lang w:val="fi-FI" w:eastAsia="en-US"/>
        </w:rPr>
      </w:pPr>
      <w:r w:rsidRPr="003F33F9">
        <w:rPr>
          <w:b/>
          <w:i/>
          <w:szCs w:val="24"/>
          <w:lang w:val="fi-FI" w:eastAsia="en-US"/>
        </w:rPr>
        <w:br w:type="page"/>
      </w:r>
      <w:r w:rsidRPr="003F33F9">
        <w:rPr>
          <w:b/>
          <w:i/>
          <w:szCs w:val="24"/>
          <w:lang w:val="fi-FI" w:eastAsia="en-US"/>
        </w:rPr>
        <w:lastRenderedPageBreak/>
        <w:t>7b)</w:t>
      </w:r>
      <w:r w:rsidRPr="003F33F9">
        <w:rPr>
          <w:szCs w:val="24"/>
          <w:lang w:val="fi-FI" w:eastAsia="en-US"/>
        </w:rPr>
        <w:tab/>
      </w:r>
      <w:r w:rsidRPr="003F33F9">
        <w:rPr>
          <w:b/>
          <w:i/>
          <w:szCs w:val="24"/>
          <w:lang w:val="fi-FI" w:eastAsia="en-US"/>
        </w:rPr>
        <w:t>iekļauj šādu pantu: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w:t>
      </w:r>
      <w:r w:rsidRPr="003F33F9">
        <w:rPr>
          <w:b/>
          <w:i/>
          <w:szCs w:val="24"/>
          <w:lang w:val="fi-FI" w:eastAsia="en-US"/>
        </w:rPr>
        <w:t>8.bb pant</w:t>
      </w:r>
      <w:r w:rsidR="008347B2" w:rsidRPr="003F33F9">
        <w:rPr>
          <w:b/>
          <w:i/>
          <w:szCs w:val="24"/>
          <w:lang w:val="fi-FI" w:eastAsia="en-US"/>
        </w:rPr>
        <w:t>s</w:t>
      </w:r>
      <w:r w:rsidRPr="003F33F9">
        <w:rPr>
          <w:szCs w:val="24"/>
          <w:lang w:val="fi-FI" w:eastAsia="en-US"/>
        </w:rPr>
        <w:br/>
      </w:r>
      <w:r w:rsidRPr="003F33F9">
        <w:rPr>
          <w:b/>
          <w:i/>
          <w:szCs w:val="24"/>
          <w:lang w:val="fi-FI" w:eastAsia="en-US"/>
        </w:rPr>
        <w:t xml:space="preserve">Eiropas monitoringa mehānisms </w:t>
      </w:r>
    </w:p>
    <w:p w:rsidR="00CB6573" w:rsidRPr="003F33F9" w:rsidRDefault="00CB6573" w:rsidP="00CB6573">
      <w:pPr>
        <w:spacing w:before="120" w:after="120" w:line="360" w:lineRule="auto"/>
        <w:ind w:left="850"/>
        <w:rPr>
          <w:szCs w:val="24"/>
          <w:lang w:val="fi-FI" w:eastAsia="en-US"/>
        </w:rPr>
      </w:pPr>
      <w:r w:rsidRPr="003F33F9">
        <w:rPr>
          <w:b/>
          <w:i/>
          <w:szCs w:val="24"/>
          <w:lang w:val="fi-FI" w:eastAsia="en-US"/>
        </w:rPr>
        <w:t>Komisija līdz ... [viens gads pēc šīs direktīvas stāšanās spēkā] izveido vienotu monitoringa mehānismu monitoringa prasību pārvaldībai pēc dalībvalstu pieprasījuma.</w:t>
      </w:r>
    </w:p>
    <w:p w:rsidR="00CB6573" w:rsidRPr="003F33F9" w:rsidRDefault="00CB6573" w:rsidP="00CB6573">
      <w:pPr>
        <w:spacing w:before="120" w:after="120" w:line="360" w:lineRule="auto"/>
        <w:ind w:left="850"/>
        <w:rPr>
          <w:szCs w:val="24"/>
          <w:lang w:val="fi-FI" w:eastAsia="en-US"/>
        </w:rPr>
      </w:pPr>
      <w:r w:rsidRPr="003F33F9">
        <w:rPr>
          <w:b/>
          <w:i/>
          <w:szCs w:val="24"/>
          <w:lang w:val="fi-FI" w:eastAsia="en-US"/>
        </w:rPr>
        <w:t>Komisija nosaka monitoringa mehānisma darbību, kas cita starpā ietver šādus aspektus:</w:t>
      </w:r>
    </w:p>
    <w:p w:rsidR="00CB6573" w:rsidRPr="003F33F9" w:rsidRDefault="00CB6573" w:rsidP="00CB6573">
      <w:pPr>
        <w:spacing w:before="120" w:after="120" w:line="360" w:lineRule="auto"/>
        <w:ind w:left="1416" w:hanging="566"/>
        <w:rPr>
          <w:szCs w:val="24"/>
          <w:lang w:val="fi-FI" w:eastAsia="en-US"/>
        </w:rPr>
      </w:pPr>
      <w:r w:rsidRPr="003F33F9">
        <w:rPr>
          <w:b/>
          <w:i/>
          <w:szCs w:val="24"/>
          <w:lang w:val="fi-FI" w:eastAsia="en-US"/>
        </w:rPr>
        <w:t>a)</w:t>
      </w:r>
      <w:r w:rsidRPr="003F33F9">
        <w:rPr>
          <w:szCs w:val="24"/>
          <w:lang w:val="fi-FI" w:eastAsia="en-US"/>
        </w:rPr>
        <w:tab/>
      </w:r>
      <w:r w:rsidRPr="003F33F9">
        <w:rPr>
          <w:b/>
          <w:i/>
          <w:szCs w:val="24"/>
          <w:lang w:val="fi-FI" w:eastAsia="en-US"/>
        </w:rPr>
        <w:t>monitoringa mehānisma izmantošana ir brīvprātīga un neskar pasākumus, ko dalībvalstis jau ieviesušas;</w:t>
      </w:r>
    </w:p>
    <w:p w:rsidR="00CB6573" w:rsidRPr="003F33F9" w:rsidRDefault="00CB6573" w:rsidP="00CB6573">
      <w:pPr>
        <w:spacing w:before="120" w:after="120" w:line="360" w:lineRule="auto"/>
        <w:ind w:left="1416" w:hanging="566"/>
        <w:rPr>
          <w:szCs w:val="24"/>
          <w:lang w:val="fi-FI" w:eastAsia="en-US"/>
        </w:rPr>
      </w:pPr>
      <w:r w:rsidRPr="003F33F9">
        <w:rPr>
          <w:b/>
          <w:i/>
          <w:szCs w:val="24"/>
          <w:lang w:val="fi-FI" w:eastAsia="en-US"/>
        </w:rPr>
        <w:t>b)</w:t>
      </w:r>
      <w:r w:rsidRPr="003F33F9">
        <w:rPr>
          <w:szCs w:val="24"/>
          <w:lang w:val="fi-FI" w:eastAsia="en-US"/>
        </w:rPr>
        <w:tab/>
      </w:r>
      <w:r w:rsidRPr="003F33F9">
        <w:rPr>
          <w:b/>
          <w:i/>
          <w:szCs w:val="24"/>
          <w:lang w:val="fi-FI" w:eastAsia="en-US"/>
        </w:rPr>
        <w:t>darbības procedūras, ko piemēro dalībvalstis, kuras plāno izmantot monitoringa mehānismu, un kas cita starpā ietver paziņojumu Komisijai, kurā tām precīzi jānorāda savas monitoringa vajadzības vai spējas un paraugu pārvaldības protokoli, kā arī tas, cik ilgu laiku tās plāno piedalīties mehānismā;</w:t>
      </w:r>
    </w:p>
    <w:p w:rsidR="00CB6573" w:rsidRPr="003F33F9" w:rsidRDefault="00CB6573" w:rsidP="00CB6573">
      <w:pPr>
        <w:spacing w:before="120" w:after="120" w:line="360" w:lineRule="auto"/>
        <w:ind w:left="1416" w:hanging="566"/>
        <w:rPr>
          <w:b/>
          <w:szCs w:val="24"/>
          <w:lang w:val="fi-FI" w:eastAsia="en-US"/>
        </w:rPr>
      </w:pPr>
      <w:r w:rsidRPr="003F33F9">
        <w:rPr>
          <w:b/>
          <w:i/>
          <w:szCs w:val="24"/>
          <w:lang w:val="fi-FI" w:eastAsia="en-US"/>
        </w:rPr>
        <w:br w:type="page"/>
      </w:r>
      <w:r w:rsidRPr="003F33F9">
        <w:rPr>
          <w:b/>
          <w:i/>
          <w:szCs w:val="24"/>
          <w:lang w:val="fi-FI" w:eastAsia="en-US"/>
        </w:rPr>
        <w:lastRenderedPageBreak/>
        <w:t>c)</w:t>
      </w:r>
      <w:r w:rsidRPr="003F33F9">
        <w:rPr>
          <w:szCs w:val="24"/>
          <w:lang w:val="fi-FI" w:eastAsia="en-US"/>
        </w:rPr>
        <w:tab/>
      </w:r>
      <w:r w:rsidRPr="003F33F9">
        <w:rPr>
          <w:b/>
          <w:i/>
          <w:szCs w:val="24"/>
          <w:lang w:val="fi-FI" w:eastAsia="en-US"/>
        </w:rPr>
        <w:t>finansējuma avoti, kas var ietvert attiecīgos Savienības struktūrfondus un programmas, kā arī privātā sektora ieguldījumu, cita starpā paplašinātas ražotāja atbildības mehānisma satvarā, kad tas ieviests saskaņā ar 8.ba punktu.</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133]</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(8)</w:t>
      </w:r>
      <w:r w:rsidRPr="003F33F9">
        <w:rPr>
          <w:szCs w:val="24"/>
          <w:lang w:val="fi-FI" w:eastAsia="en-US"/>
        </w:rPr>
        <w:tab/>
        <w:t>iekļauj šādu 8.d pantu:</w:t>
      </w:r>
    </w:p>
    <w:p w:rsidR="00CB6573" w:rsidRPr="003F33F9" w:rsidRDefault="00CB6573" w:rsidP="00CB6573">
      <w:pPr>
        <w:spacing w:before="120" w:after="120" w:line="360" w:lineRule="auto"/>
        <w:ind w:left="850"/>
        <w:rPr>
          <w:szCs w:val="24"/>
          <w:lang w:val="fi-FI" w:eastAsia="en-US"/>
        </w:rPr>
      </w:pPr>
      <w:r w:rsidRPr="003F33F9">
        <w:rPr>
          <w:szCs w:val="24"/>
          <w:lang w:val="fi-FI" w:eastAsia="en-US"/>
        </w:rPr>
        <w:t>“8.d pants</w:t>
      </w:r>
      <w:r w:rsidRPr="003F33F9">
        <w:rPr>
          <w:szCs w:val="24"/>
          <w:lang w:val="fi-FI" w:eastAsia="en-US"/>
        </w:rPr>
        <w:br/>
        <w:t>Upes baseinam specifiskas piesārņojošās vielas</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1.</w:t>
      </w:r>
      <w:r w:rsidRPr="003F33F9">
        <w:rPr>
          <w:szCs w:val="24"/>
          <w:lang w:val="fi-FI" w:eastAsia="en-US"/>
        </w:rPr>
        <w:tab/>
        <w:t>Šīs direktīvas II pielikuma A daļā uzskaitītajās kategorijās ietilpstošu upes baseinam specifisku piesārņojošo vielu VKS dalībvalstis nosaka saskaņā ar šīs direktīvas II pielikuma B daļā izklāstīto procedūru un piemēro tad, ja, pamatojoties uz analīzēm un pārskatiem, kas sagatavoti saskaņā ar Direktīvas 2000/60/ES 5. pantu, ir konstatēts, ka minētās piesārņojošās vielas rada risku ūdens objektiem vienā vai vairākos savas upes baseina apgabalos.</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Pirmajā daļā minētos VKS dalībvalstis līdz [Publikāciju birojs ieraksta datumu, kas ir nākamā mēneša pirmā diena pēc tam, kad pēc šīs direktīvas stāšanās spēkā pagājuši 18 mēneši] dara zināmus ECHA. ECHA šo informāciju dara publiski pieejamu.</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br w:type="page"/>
      </w:r>
      <w:r w:rsidRPr="003F33F9">
        <w:rPr>
          <w:szCs w:val="24"/>
          <w:lang w:val="fi-FI" w:eastAsia="en-US"/>
        </w:rPr>
        <w:lastRenderedPageBreak/>
        <w:t>2.</w:t>
      </w:r>
      <w:r w:rsidRPr="003F33F9">
        <w:rPr>
          <w:szCs w:val="24"/>
          <w:lang w:val="fi-FI" w:eastAsia="en-US"/>
        </w:rPr>
        <w:tab/>
        <w:t>Ja upes baseinam specifisku piesārņojošo vielu VKS ir saskaņā ar 8. pantu noteikti Savienības līmenī un norādīti II pielikuma C daļas sarakstā, minētie VKS ir pārāki par upes baseinam specifisku piesārņojošo vielu VKS, kuri saskaņā ar 1. punktu noteikti valsts līmenī. Minētos Savienības līmenī noteiktos VKS dalībvalstis piemēro arī tālab, lai noteiktu, vai upes baseinam specifiskās piesārņojošās vielas, kas uzskaitītas II pielikuma C daļā, ir riska faktors.</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3.</w:t>
      </w:r>
      <w:r w:rsidRPr="003F33F9">
        <w:rPr>
          <w:szCs w:val="24"/>
          <w:lang w:val="fi-FI" w:eastAsia="en-US"/>
        </w:rPr>
        <w:tab/>
        <w:t>Lai ūdens objekta ķīmisko stāvokli varētu uzskatīt par labu un tādu, kas atbilst Direktīvas 2000/60/EK 2. panta 24. punkta definīcijai, piemērojamajiem VKS, kuri noteikti valsts vai – attiecīgā gadījumā – Savienības līmenī, ir jābūt izpildītiem.;</w:t>
      </w:r>
    </w:p>
    <w:p w:rsidR="00CB6573" w:rsidRPr="003F33F9" w:rsidRDefault="00CB6573" w:rsidP="00CB6573">
      <w:pPr>
        <w:spacing w:before="120" w:after="120" w:line="360" w:lineRule="auto"/>
        <w:ind w:left="1416" w:hanging="566"/>
        <w:rPr>
          <w:b/>
          <w:szCs w:val="24"/>
          <w:lang w:val="fi-FI" w:eastAsia="en-US"/>
        </w:rPr>
      </w:pPr>
      <w:r w:rsidRPr="003F33F9">
        <w:rPr>
          <w:b/>
          <w:i/>
          <w:szCs w:val="24"/>
          <w:lang w:val="fi-FI" w:eastAsia="en-US"/>
        </w:rPr>
        <w:t>3a.</w:t>
      </w:r>
      <w:r w:rsidRPr="003F33F9">
        <w:rPr>
          <w:szCs w:val="24"/>
          <w:lang w:val="fi-FI" w:eastAsia="en-US"/>
        </w:rPr>
        <w:tab/>
      </w:r>
      <w:r w:rsidRPr="003F33F9">
        <w:rPr>
          <w:b/>
          <w:i/>
          <w:szCs w:val="24"/>
          <w:lang w:val="fi-FI" w:eastAsia="en-US"/>
        </w:rPr>
        <w:t>Nosakot un piemērojot VKS upju baseiniem specifiskām piesārņojošām vielām, dalībvalstis var ņemt vērā metālu bioloģisko pieejamību.</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134]</w:t>
      </w:r>
    </w:p>
    <w:p w:rsidR="00CB6573" w:rsidRPr="003F33F9" w:rsidRDefault="00CB6573" w:rsidP="00CB6573">
      <w:pPr>
        <w:spacing w:before="120" w:after="120" w:line="360" w:lineRule="auto"/>
        <w:ind w:left="850" w:hanging="850"/>
        <w:rPr>
          <w:szCs w:val="24"/>
          <w:lang w:val="fi-FI" w:eastAsia="en-US"/>
        </w:rPr>
      </w:pPr>
      <w:r w:rsidRPr="003F33F9">
        <w:rPr>
          <w:b/>
          <w:i/>
          <w:szCs w:val="24"/>
          <w:lang w:val="fi-FI" w:eastAsia="en-US"/>
        </w:rPr>
        <w:br w:type="page"/>
      </w:r>
      <w:r w:rsidR="008347B2" w:rsidRPr="003F33F9">
        <w:rPr>
          <w:b/>
          <w:i/>
          <w:szCs w:val="24"/>
          <w:lang w:val="fi-FI" w:eastAsia="en-US"/>
        </w:rPr>
        <w:lastRenderedPageBreak/>
        <w:t>(</w:t>
      </w:r>
      <w:r w:rsidRPr="003F33F9">
        <w:rPr>
          <w:b/>
          <w:i/>
          <w:szCs w:val="24"/>
          <w:lang w:val="fi-FI" w:eastAsia="en-US"/>
        </w:rPr>
        <w:t>8a)</w:t>
      </w:r>
      <w:r w:rsidRPr="003F33F9">
        <w:rPr>
          <w:szCs w:val="24"/>
          <w:lang w:val="fi-FI" w:eastAsia="en-US"/>
        </w:rPr>
        <w:tab/>
      </w:r>
      <w:r w:rsidRPr="003F33F9">
        <w:rPr>
          <w:b/>
          <w:i/>
          <w:szCs w:val="24"/>
          <w:lang w:val="fi-FI" w:eastAsia="en-US"/>
        </w:rPr>
        <w:t>direktīvas 9.a panta 2. punktu groza šādi:</w:t>
      </w:r>
    </w:p>
    <w:p w:rsidR="00CB6573" w:rsidRPr="003F33F9" w:rsidRDefault="00CB6573" w:rsidP="00CB6573">
      <w:pPr>
        <w:spacing w:before="120" w:after="120" w:line="360" w:lineRule="auto"/>
        <w:ind w:left="1416" w:hanging="566"/>
        <w:rPr>
          <w:b/>
          <w:szCs w:val="24"/>
          <w:lang w:val="fi-FI" w:eastAsia="en-US"/>
        </w:rPr>
      </w:pPr>
      <w:r w:rsidRPr="003F33F9">
        <w:rPr>
          <w:szCs w:val="24"/>
          <w:lang w:val="fi-FI" w:eastAsia="en-US"/>
        </w:rPr>
        <w:t>“</w:t>
      </w:r>
      <w:r w:rsidRPr="003F33F9">
        <w:rPr>
          <w:b/>
          <w:i/>
          <w:szCs w:val="24"/>
          <w:lang w:val="fi-FI" w:eastAsia="en-US"/>
        </w:rPr>
        <w:t>2.</w:t>
      </w:r>
      <w:r w:rsidRPr="003F33F9">
        <w:rPr>
          <w:b/>
          <w:i/>
          <w:szCs w:val="24"/>
          <w:lang w:val="fi-FI" w:eastAsia="en-US"/>
        </w:rPr>
        <w:tab/>
        <w:t xml:space="preserve"> Pilnvaras pieņemt 3. panta 8. punktā, 8. panta 3., 6.a un 6.b punktā un 8.a panta 3.a punktā minētos deleģētos aktus Komisijai piešķir uz sešu gadu laikposmu no [Publikāciju birojs ieraksta šīs direktīvas spēkā stāšanās dienu]. Komisija sagatavo ziņojumu par pilnvaru deleģēšanu vēlākais deviņus mēnešus pirms sešu gadu laikposma beigām. Pilnvaru deleģēšana tiek automātiski pagarināta uz tāda paša ilguma laikposmiem, ja vien Eiropas Parlaments vai Padome neiebilst pret šādu pagarinājumu vēlākais trīs mēnešus pirms katra laikposma beigām.</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135]</w:t>
      </w:r>
    </w:p>
    <w:p w:rsidR="00CB6573" w:rsidRPr="003F33F9" w:rsidRDefault="008347B2" w:rsidP="00CB6573">
      <w:pPr>
        <w:spacing w:before="120" w:after="120" w:line="360" w:lineRule="auto"/>
        <w:ind w:left="850" w:hanging="850"/>
        <w:rPr>
          <w:szCs w:val="24"/>
          <w:lang w:val="fi-FI" w:eastAsia="en-US"/>
        </w:rPr>
      </w:pPr>
      <w:r w:rsidRPr="003F33F9">
        <w:rPr>
          <w:b/>
          <w:i/>
          <w:szCs w:val="24"/>
          <w:lang w:val="fi-FI" w:eastAsia="en-US"/>
        </w:rPr>
        <w:t>(</w:t>
      </w:r>
      <w:r w:rsidR="00CB6573" w:rsidRPr="003F33F9">
        <w:rPr>
          <w:b/>
          <w:i/>
          <w:szCs w:val="24"/>
          <w:lang w:val="fi-FI" w:eastAsia="en-US"/>
        </w:rPr>
        <w:t>8b)</w:t>
      </w:r>
      <w:r w:rsidR="00CB6573" w:rsidRPr="003F33F9">
        <w:rPr>
          <w:szCs w:val="24"/>
          <w:lang w:val="fi-FI" w:eastAsia="en-US"/>
        </w:rPr>
        <w:tab/>
      </w:r>
      <w:r w:rsidR="00CB6573" w:rsidRPr="003F33F9">
        <w:rPr>
          <w:b/>
          <w:i/>
          <w:szCs w:val="24"/>
          <w:lang w:val="fi-FI" w:eastAsia="en-US"/>
        </w:rPr>
        <w:t>direktīvas 9.a panta 3. punktu groza šādi:</w:t>
      </w:r>
    </w:p>
    <w:p w:rsidR="00CB6573" w:rsidRPr="003F33F9" w:rsidRDefault="00CB6573" w:rsidP="00CB6573">
      <w:pPr>
        <w:spacing w:before="120" w:after="120" w:line="360" w:lineRule="auto"/>
        <w:ind w:left="1416" w:hanging="566"/>
        <w:rPr>
          <w:b/>
          <w:szCs w:val="24"/>
          <w:lang w:val="fi-FI" w:eastAsia="en-US"/>
        </w:rPr>
      </w:pPr>
      <w:r w:rsidRPr="003F33F9">
        <w:rPr>
          <w:szCs w:val="24"/>
          <w:lang w:val="fi-FI" w:eastAsia="en-US"/>
        </w:rPr>
        <w:t>“</w:t>
      </w:r>
      <w:r w:rsidRPr="003F33F9">
        <w:rPr>
          <w:b/>
          <w:i/>
          <w:szCs w:val="24"/>
          <w:lang w:val="fi-FI" w:eastAsia="en-US"/>
        </w:rPr>
        <w:t>3.</w:t>
      </w:r>
      <w:r w:rsidRPr="003F33F9">
        <w:rPr>
          <w:b/>
          <w:i/>
          <w:szCs w:val="24"/>
          <w:lang w:val="fi-FI" w:eastAsia="en-US"/>
        </w:rPr>
        <w:tab/>
        <w:t>Eiropas Parlaments vai Padome jebkurā laikā var atsaukt 3. panta 8. punktā, 8. panta 3., 6.a un 6.b punktā un 8.a panta 3.a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136]</w:t>
      </w:r>
    </w:p>
    <w:p w:rsidR="00CB6573" w:rsidRPr="003F33F9" w:rsidRDefault="00CB6573" w:rsidP="00CB6573">
      <w:pPr>
        <w:spacing w:before="120" w:after="120" w:line="360" w:lineRule="auto"/>
        <w:ind w:left="850" w:hanging="850"/>
        <w:rPr>
          <w:szCs w:val="24"/>
          <w:lang w:val="fi-FI" w:eastAsia="en-US"/>
        </w:rPr>
      </w:pPr>
      <w:r w:rsidRPr="003F33F9">
        <w:rPr>
          <w:b/>
          <w:i/>
          <w:szCs w:val="24"/>
          <w:lang w:val="fi-FI" w:eastAsia="en-US"/>
        </w:rPr>
        <w:br w:type="page"/>
      </w:r>
      <w:r w:rsidR="008347B2" w:rsidRPr="003F33F9">
        <w:rPr>
          <w:b/>
          <w:i/>
          <w:szCs w:val="24"/>
          <w:lang w:val="fi-FI" w:eastAsia="en-US"/>
        </w:rPr>
        <w:lastRenderedPageBreak/>
        <w:t>(</w:t>
      </w:r>
      <w:r w:rsidRPr="003F33F9">
        <w:rPr>
          <w:b/>
          <w:i/>
          <w:szCs w:val="24"/>
          <w:lang w:val="fi-FI" w:eastAsia="en-US"/>
        </w:rPr>
        <w:t>8c)</w:t>
      </w:r>
      <w:r w:rsidRPr="003F33F9">
        <w:rPr>
          <w:szCs w:val="24"/>
          <w:lang w:val="fi-FI" w:eastAsia="en-US"/>
        </w:rPr>
        <w:tab/>
      </w:r>
      <w:r w:rsidRPr="003F33F9">
        <w:rPr>
          <w:b/>
          <w:i/>
          <w:szCs w:val="24"/>
          <w:lang w:val="fi-FI" w:eastAsia="en-US"/>
        </w:rPr>
        <w:t>direktīvas 9.a pantā iekļauj šādu 3.a punktu:</w:t>
      </w:r>
    </w:p>
    <w:p w:rsidR="00CB6573" w:rsidRPr="003F33F9" w:rsidRDefault="00CB6573" w:rsidP="00CB6573">
      <w:pPr>
        <w:spacing w:before="120" w:after="120" w:line="360" w:lineRule="auto"/>
        <w:ind w:left="1416" w:hanging="566"/>
        <w:rPr>
          <w:b/>
          <w:szCs w:val="24"/>
          <w:lang w:val="fi-FI" w:eastAsia="en-US"/>
        </w:rPr>
      </w:pPr>
      <w:r w:rsidRPr="003F33F9">
        <w:rPr>
          <w:szCs w:val="24"/>
          <w:lang w:val="fi-FI" w:eastAsia="en-US"/>
        </w:rPr>
        <w:t>“</w:t>
      </w:r>
      <w:r w:rsidRPr="003F33F9">
        <w:rPr>
          <w:b/>
          <w:i/>
          <w:szCs w:val="24"/>
          <w:lang w:val="fi-FI" w:eastAsia="en-US"/>
        </w:rPr>
        <w:t>3.a</w:t>
      </w:r>
      <w:r w:rsidRPr="003F33F9">
        <w:rPr>
          <w:b/>
          <w:i/>
          <w:szCs w:val="24"/>
          <w:lang w:val="fi-FI" w:eastAsia="en-US"/>
        </w:rPr>
        <w:tab/>
        <w:t>Pirms deleģētā akta pieņemšanas Komisija apspriežas ar katras dalībvalsts ieceltajiem ekspertiem saskaņā ar principiem, kas noteikti 2016. gada 13. aprīļa Iestāžu nolīgumā par labāku likumdošanas procesu.”</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137]</w:t>
      </w:r>
    </w:p>
    <w:p w:rsidR="00CB6573" w:rsidRPr="003F33F9" w:rsidRDefault="008347B2" w:rsidP="00CB6573">
      <w:pPr>
        <w:spacing w:before="120" w:after="120" w:line="360" w:lineRule="auto"/>
        <w:ind w:left="850" w:hanging="850"/>
        <w:rPr>
          <w:szCs w:val="24"/>
          <w:lang w:val="fi-FI" w:eastAsia="en-US"/>
        </w:rPr>
      </w:pPr>
      <w:r w:rsidRPr="003F33F9">
        <w:rPr>
          <w:b/>
          <w:i/>
          <w:szCs w:val="24"/>
          <w:lang w:val="fi-FI" w:eastAsia="en-US"/>
        </w:rPr>
        <w:t>(</w:t>
      </w:r>
      <w:r w:rsidR="00CB6573" w:rsidRPr="003F33F9">
        <w:rPr>
          <w:b/>
          <w:i/>
          <w:szCs w:val="24"/>
          <w:lang w:val="fi-FI" w:eastAsia="en-US"/>
        </w:rPr>
        <w:t>8d)</w:t>
      </w:r>
      <w:r w:rsidR="00CB6573" w:rsidRPr="003F33F9">
        <w:rPr>
          <w:szCs w:val="24"/>
          <w:lang w:val="fi-FI" w:eastAsia="en-US"/>
        </w:rPr>
        <w:tab/>
      </w:r>
      <w:r w:rsidR="00CB6573" w:rsidRPr="003F33F9">
        <w:rPr>
          <w:b/>
          <w:i/>
          <w:szCs w:val="24"/>
          <w:lang w:val="fi-FI" w:eastAsia="en-US"/>
        </w:rPr>
        <w:t>direktīvas 9.a panta 5. punktu groza šādi:</w:t>
      </w:r>
    </w:p>
    <w:p w:rsidR="00CB6573" w:rsidRPr="003F33F9" w:rsidRDefault="00CB6573" w:rsidP="00CB6573">
      <w:pPr>
        <w:spacing w:before="120" w:after="120" w:line="360" w:lineRule="auto"/>
        <w:ind w:left="1416" w:hanging="566"/>
        <w:rPr>
          <w:b/>
          <w:szCs w:val="24"/>
          <w:lang w:val="fi-FI" w:eastAsia="en-US"/>
        </w:rPr>
      </w:pPr>
      <w:r w:rsidRPr="003F33F9">
        <w:rPr>
          <w:b/>
          <w:i/>
          <w:szCs w:val="24"/>
          <w:lang w:val="fi-FI" w:eastAsia="en-US"/>
        </w:rPr>
        <w:t>“5.</w:t>
      </w:r>
      <w:r w:rsidRPr="003F33F9">
        <w:rPr>
          <w:b/>
          <w:i/>
          <w:szCs w:val="24"/>
          <w:lang w:val="fi-FI" w:eastAsia="en-US"/>
        </w:rPr>
        <w:tab/>
        <w:t>Saskaņā ar 3. panta 8. punktu, 8. panta 3., 6.a vai 6.b punktu vai 8.a panta 3.a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Pr="003F33F9">
        <w:rPr>
          <w:szCs w:val="24"/>
          <w:lang w:val="fi-FI" w:eastAsia="en-US"/>
        </w:rPr>
        <w:t>”▌</w:t>
      </w:r>
      <w:r w:rsidRPr="003F33F9">
        <w:rPr>
          <w:b/>
          <w:szCs w:val="24"/>
          <w:lang w:val="fi-FI" w:eastAsia="en-US"/>
        </w:rPr>
        <w:t xml:space="preserve"> </w:t>
      </w:r>
      <w:r w:rsidR="00D116DF" w:rsidRPr="003F33F9">
        <w:rPr>
          <w:b/>
          <w:szCs w:val="24"/>
          <w:lang w:val="fi-FI" w:eastAsia="en-US"/>
        </w:rPr>
        <w:t xml:space="preserve">[Gr. </w:t>
      </w:r>
      <w:r w:rsidRPr="003F33F9">
        <w:rPr>
          <w:b/>
          <w:szCs w:val="24"/>
          <w:lang w:val="fi-FI" w:eastAsia="en-US"/>
        </w:rPr>
        <w:t>138]</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br w:type="page"/>
      </w:r>
      <w:r w:rsidRPr="003F33F9">
        <w:rPr>
          <w:szCs w:val="24"/>
          <w:lang w:val="fi-FI" w:eastAsia="en-US"/>
        </w:rPr>
        <w:lastRenderedPageBreak/>
        <w:t>(9)</w:t>
      </w:r>
      <w:r w:rsidRPr="003F33F9">
        <w:rPr>
          <w:szCs w:val="24"/>
          <w:lang w:val="fi-FI" w:eastAsia="en-US"/>
        </w:rPr>
        <w:tab/>
        <w:t>direktīvas 10. pantu svītro;</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(10)</w:t>
      </w:r>
      <w:r w:rsidRPr="003F33F9">
        <w:rPr>
          <w:szCs w:val="24"/>
          <w:lang w:val="fi-FI" w:eastAsia="en-US"/>
        </w:rPr>
        <w:tab/>
        <w:t>direktīvas I pielikumu groza saskaņā ar šīs direktīvas V pielikumu;</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(11)</w:t>
      </w:r>
      <w:r w:rsidRPr="003F33F9">
        <w:rPr>
          <w:szCs w:val="24"/>
          <w:lang w:val="fi-FI" w:eastAsia="en-US"/>
        </w:rPr>
        <w:tab/>
        <w:t>pievieno II pielikumu, kas dots šīs regulas VI pielikumā.</w:t>
      </w:r>
    </w:p>
    <w:p w:rsidR="00CB6573" w:rsidRPr="003F33F9" w:rsidRDefault="00CB6573" w:rsidP="00CB6573">
      <w:pPr>
        <w:spacing w:before="120" w:after="120" w:line="360" w:lineRule="auto"/>
        <w:jc w:val="center"/>
        <w:rPr>
          <w:szCs w:val="24"/>
          <w:lang w:val="fi-FI" w:eastAsia="en-US"/>
        </w:rPr>
      </w:pPr>
      <w:r w:rsidRPr="003F33F9">
        <w:rPr>
          <w:szCs w:val="24"/>
          <w:lang w:val="fi-FI" w:eastAsia="en-US"/>
        </w:rPr>
        <w:t>4. pants</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w:t>
      </w:r>
      <w:r w:rsidRPr="003F33F9">
        <w:rPr>
          <w:szCs w:val="24"/>
          <w:lang w:val="fi-FI" w:eastAsia="en-US"/>
        </w:rPr>
        <w:tab/>
        <w:t>Dalībvalstīs stājas spēkā normatīvie un administratīvie akti, kas vajadzīgi, lai izpildītu šīs direktīvas prasības līdz [Publikāciju birojs ieraksta datumu, kas ir nākamā mēneša pirmā diena pēc tam, kad pēc šīs direktīvas stāšanās spēkā pagājuši 18 mēneši].</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2.</w:t>
      </w:r>
      <w:r w:rsidRPr="003F33F9">
        <w:rPr>
          <w:szCs w:val="24"/>
          <w:lang w:val="fi-FI" w:eastAsia="en-US"/>
        </w:rPr>
        <w:tab/>
        <w:t>Dalībvalstis tūlīt dara zināmus Komisijai minēto noteikumu tekstus. Kad dalībvalstis pieņem minētos noteikumus, tajos ietver atsauci uz šo direktīvu vai šādu atsauci pievieno to oficiālajai publikācijai. Dalībvalstis nosaka, kā izdarāma šāda atsauce. Dalībvalstis dara Komisijai zināmus to tiesību aktu galvenos noteikumus, ko tās pieņem jomā, uz kuru attiecas šī direktīva.</w:t>
      </w:r>
    </w:p>
    <w:p w:rsidR="00CB6573" w:rsidRPr="003F33F9" w:rsidRDefault="00CB6573" w:rsidP="00CB6573">
      <w:pPr>
        <w:spacing w:before="120" w:after="120" w:line="360" w:lineRule="auto"/>
        <w:jc w:val="center"/>
        <w:rPr>
          <w:szCs w:val="24"/>
          <w:lang w:val="fi-FI" w:eastAsia="en-US"/>
        </w:rPr>
      </w:pPr>
      <w:r w:rsidRPr="003F33F9">
        <w:rPr>
          <w:szCs w:val="24"/>
          <w:lang w:val="fi-FI" w:eastAsia="en-US"/>
        </w:rPr>
        <w:br w:type="page"/>
      </w:r>
      <w:r w:rsidRPr="003F33F9">
        <w:rPr>
          <w:szCs w:val="24"/>
          <w:lang w:val="fi-FI" w:eastAsia="en-US"/>
        </w:rPr>
        <w:lastRenderedPageBreak/>
        <w:t>5. pants</w:t>
      </w:r>
    </w:p>
    <w:p w:rsidR="00CB6573" w:rsidRPr="003F33F9" w:rsidRDefault="00CB6573" w:rsidP="00CB6573">
      <w:pPr>
        <w:spacing w:before="120" w:after="120" w:line="360" w:lineRule="auto"/>
        <w:rPr>
          <w:szCs w:val="24"/>
          <w:lang w:val="fi-FI" w:eastAsia="en-US"/>
        </w:rPr>
      </w:pPr>
      <w:r w:rsidRPr="003F33F9">
        <w:rPr>
          <w:szCs w:val="24"/>
          <w:lang w:val="fi-FI" w:eastAsia="en-US"/>
        </w:rPr>
        <w:t xml:space="preserve">Šī direktīva stājas spēkā divdesmitajā dienā pēc tās publicēšanas </w:t>
      </w:r>
      <w:r w:rsidRPr="006A19EE">
        <w:rPr>
          <w:i/>
          <w:szCs w:val="24"/>
          <w:lang w:val="fi-FI" w:eastAsia="en-US"/>
        </w:rPr>
        <w:t>Eiropas Savienības Oficiālajā Vēstnesī</w:t>
      </w:r>
      <w:r w:rsidRPr="003F33F9">
        <w:rPr>
          <w:szCs w:val="24"/>
          <w:lang w:val="fi-FI" w:eastAsia="en-US"/>
        </w:rPr>
        <w:t>.</w:t>
      </w:r>
    </w:p>
    <w:p w:rsidR="00CB6573" w:rsidRPr="003F33F9" w:rsidRDefault="00CB6573" w:rsidP="00CB6573">
      <w:pPr>
        <w:spacing w:before="120" w:after="120" w:line="360" w:lineRule="auto"/>
        <w:jc w:val="center"/>
        <w:rPr>
          <w:szCs w:val="24"/>
          <w:lang w:val="fi-FI" w:eastAsia="en-US"/>
        </w:rPr>
      </w:pPr>
      <w:r w:rsidRPr="003F33F9">
        <w:rPr>
          <w:szCs w:val="24"/>
          <w:lang w:val="fi-FI" w:eastAsia="en-US"/>
        </w:rPr>
        <w:t>6. pants</w:t>
      </w:r>
    </w:p>
    <w:p w:rsidR="00CB6573" w:rsidRPr="003F33F9" w:rsidRDefault="00CB6573" w:rsidP="00CB6573">
      <w:pPr>
        <w:spacing w:before="120" w:after="120" w:line="360" w:lineRule="auto"/>
        <w:rPr>
          <w:szCs w:val="24"/>
          <w:lang w:val="fi-FI" w:eastAsia="en-US"/>
        </w:rPr>
      </w:pPr>
      <w:r w:rsidRPr="003F33F9">
        <w:rPr>
          <w:szCs w:val="24"/>
          <w:lang w:val="fi-FI" w:eastAsia="en-US"/>
        </w:rPr>
        <w:t>Šī direktīva ir adresēta dalībvalstīm.</w:t>
      </w:r>
    </w:p>
    <w:p w:rsidR="00CB6573" w:rsidRPr="003F33F9" w:rsidRDefault="006A19EE" w:rsidP="00CB6573">
      <w:pPr>
        <w:keepNext/>
        <w:widowControl/>
        <w:spacing w:before="120" w:line="360" w:lineRule="auto"/>
        <w:rPr>
          <w:szCs w:val="24"/>
          <w:lang w:val="fi-FI" w:eastAsia="en-US"/>
        </w:rPr>
      </w:pPr>
      <w:r>
        <w:rPr>
          <w:szCs w:val="24"/>
          <w:lang w:val="fi-FI" w:eastAsia="en-US"/>
        </w:rPr>
        <w:t>…</w:t>
      </w:r>
      <w:r w:rsidR="00CB6573" w:rsidRPr="003F33F9">
        <w:rPr>
          <w:szCs w:val="24"/>
          <w:lang w:val="fi-FI" w:eastAsia="en-US"/>
        </w:rPr>
        <w:t>,</w:t>
      </w:r>
    </w:p>
    <w:p w:rsidR="00CB6573" w:rsidRPr="003F33F9" w:rsidRDefault="00CB6573" w:rsidP="00CB6573">
      <w:pPr>
        <w:keepNext/>
        <w:widowControl/>
        <w:tabs>
          <w:tab w:val="left" w:pos="4252"/>
        </w:tabs>
        <w:spacing w:before="720" w:after="100" w:line="360" w:lineRule="auto"/>
        <w:jc w:val="both"/>
        <w:rPr>
          <w:i/>
          <w:szCs w:val="24"/>
          <w:lang w:val="fi-FI" w:eastAsia="en-US"/>
        </w:rPr>
      </w:pPr>
      <w:r w:rsidRPr="003F33F9">
        <w:rPr>
          <w:i/>
          <w:szCs w:val="24"/>
          <w:lang w:val="fi-FI" w:eastAsia="en-US"/>
        </w:rPr>
        <w:t>Eiropas Parlamenta vārdā –</w:t>
      </w:r>
      <w:r w:rsidRPr="003F33F9">
        <w:rPr>
          <w:i/>
          <w:szCs w:val="24"/>
          <w:lang w:val="fi-FI" w:eastAsia="en-US"/>
        </w:rPr>
        <w:tab/>
        <w:t>Padomes vārdā –</w:t>
      </w:r>
    </w:p>
    <w:p w:rsidR="00CB6573" w:rsidRPr="003F33F9" w:rsidRDefault="00CB6573" w:rsidP="00CB6573">
      <w:pPr>
        <w:widowControl/>
        <w:tabs>
          <w:tab w:val="left" w:pos="4252"/>
        </w:tabs>
        <w:spacing w:line="360" w:lineRule="auto"/>
        <w:rPr>
          <w:i/>
          <w:szCs w:val="24"/>
          <w:lang w:val="fi-FI" w:eastAsia="en-US"/>
        </w:rPr>
      </w:pPr>
      <w:r w:rsidRPr="003F33F9">
        <w:rPr>
          <w:i/>
          <w:szCs w:val="24"/>
          <w:lang w:val="fi-FI" w:eastAsia="en-US"/>
        </w:rPr>
        <w:t>priekšsēdētāja</w:t>
      </w:r>
      <w:r w:rsidRPr="003F33F9">
        <w:rPr>
          <w:i/>
          <w:szCs w:val="24"/>
          <w:lang w:val="fi-FI" w:eastAsia="en-US"/>
        </w:rPr>
        <w:tab/>
        <w:t>priekšsēdētājs / priekšsēdētāja</w:t>
      </w:r>
    </w:p>
    <w:p w:rsidR="00CB6573" w:rsidRPr="003F33F9" w:rsidRDefault="00CB6573" w:rsidP="00CB6573">
      <w:pPr>
        <w:spacing w:before="120" w:after="120" w:line="360" w:lineRule="auto"/>
        <w:rPr>
          <w:szCs w:val="24"/>
          <w:lang w:val="fi-FI" w:eastAsia="en-US"/>
        </w:rPr>
        <w:sectPr w:rsidR="00CB6573" w:rsidRPr="003F33F9">
          <w:footerReference w:type="even" r:id="rId15"/>
          <w:footerReference w:type="first" r:id="rId16"/>
          <w:footnotePr>
            <w:numRestart w:val="eachSect"/>
          </w:footnotePr>
          <w:pgSz w:w="11909" w:h="16834"/>
          <w:pgMar w:top="1134" w:right="1417" w:bottom="1417" w:left="1417" w:header="1134" w:footer="567" w:gutter="0"/>
          <w:cols w:space="720"/>
        </w:sectPr>
      </w:pPr>
    </w:p>
    <w:p w:rsidR="00CB6573" w:rsidRPr="003F33F9" w:rsidRDefault="00CB6573" w:rsidP="00CB6573">
      <w:pPr>
        <w:spacing w:before="120" w:after="120" w:line="360" w:lineRule="auto"/>
        <w:jc w:val="center"/>
        <w:rPr>
          <w:lang w:val="fi-FI" w:eastAsia="en-US"/>
        </w:rPr>
      </w:pPr>
      <w:r w:rsidRPr="003F33F9">
        <w:rPr>
          <w:lang w:val="fi-FI" w:eastAsia="en-US"/>
        </w:rPr>
        <w:lastRenderedPageBreak/>
        <w:t>I PIELIKUMS</w:t>
      </w:r>
    </w:p>
    <w:p w:rsidR="00CB6573" w:rsidRPr="003F33F9" w:rsidRDefault="00CB6573" w:rsidP="00CB6573">
      <w:pPr>
        <w:spacing w:before="120" w:after="120" w:line="360" w:lineRule="auto"/>
        <w:rPr>
          <w:szCs w:val="24"/>
          <w:lang w:val="fi-FI" w:eastAsia="en-US"/>
        </w:rPr>
      </w:pPr>
      <w:r w:rsidRPr="003F33F9">
        <w:rPr>
          <w:szCs w:val="24"/>
          <w:lang w:val="fi-FI" w:eastAsia="en-US"/>
        </w:rPr>
        <w:t>Direktīvas 2000/60/EK V pielikumu groza šādi:</w:t>
      </w:r>
    </w:p>
    <w:p w:rsidR="00CB6573" w:rsidRPr="003F33F9" w:rsidRDefault="00CB6573" w:rsidP="00CB6573">
      <w:pPr>
        <w:spacing w:before="120" w:after="120" w:line="360" w:lineRule="auto"/>
        <w:ind w:left="850" w:hanging="850"/>
        <w:rPr>
          <w:szCs w:val="24"/>
          <w:lang w:val="fi-FI" w:eastAsia="en-US"/>
        </w:rPr>
      </w:pPr>
      <w:r w:rsidRPr="003F33F9">
        <w:rPr>
          <w:szCs w:val="24"/>
          <w:lang w:val="fi-FI" w:eastAsia="en-US"/>
        </w:rPr>
        <w:t>(1)</w:t>
      </w:r>
      <w:r w:rsidRPr="003F33F9">
        <w:rPr>
          <w:szCs w:val="24"/>
          <w:lang w:val="fi-FI" w:eastAsia="en-US"/>
        </w:rPr>
        <w:tab/>
        <w:t>pielikuma 1.1.1.–1.1.4. punktu aizstāj ar šādiem:</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“1.1.1.</w:t>
      </w:r>
      <w:r w:rsidRPr="003F33F9">
        <w:rPr>
          <w:szCs w:val="24"/>
          <w:lang w:val="fi-FI" w:eastAsia="en-US"/>
        </w:rPr>
        <w:tab/>
        <w:t>“Upes</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Bioloģiskie faktori</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Ūdensaugu sastāvs un summārie rādītāji</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Bentisko bezmugurkaulnieku sastāvs un summārie rādītāji</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Ihtiofaunas sastāvs, summārie rādītāji un vecuma struktūra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Hidromorfoloģiskie faktori, kas papildina bioloģiskos faktorus</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Hidroloģiskais režīms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ūdens tecējuma daudzums un dinamika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saistība ar gruntsūdens objektiem</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Upju nepārtrauktība</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br w:type="page"/>
      </w:r>
      <w:r w:rsidRPr="003F33F9">
        <w:rPr>
          <w:szCs w:val="24"/>
          <w:lang w:val="sv-SE" w:eastAsia="en-US"/>
        </w:rPr>
        <w:lastRenderedPageBreak/>
        <w:t>Morfoloģiskie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upju dziļuma un platuma izmaiņas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gultņu struktūra un substrāts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krasta zonas struktūra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Vispārējie fizikālķīmiskie faktori, kas papildina bioloģiskos faktorus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Termiskie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Bagātināšanās ar skābekli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Sāļums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Paskābināšanās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Stāvoklis ar barības vielām</w:t>
      </w:r>
    </w:p>
    <w:p w:rsidR="00CB6573" w:rsidRPr="003F33F9" w:rsidRDefault="00CB6573" w:rsidP="00CB6573">
      <w:pPr>
        <w:spacing w:before="120" w:after="120" w:line="360" w:lineRule="auto"/>
        <w:ind w:left="1416" w:hanging="566"/>
        <w:rPr>
          <w:szCs w:val="24"/>
          <w:lang w:val="sv-SE" w:eastAsia="en-US"/>
        </w:rPr>
      </w:pPr>
      <w:r w:rsidRPr="003F33F9">
        <w:rPr>
          <w:szCs w:val="24"/>
          <w:lang w:val="sv-SE" w:eastAsia="en-US"/>
        </w:rPr>
        <w:t>1.1.2.</w:t>
      </w:r>
      <w:r w:rsidRPr="003F33F9">
        <w:rPr>
          <w:szCs w:val="24"/>
          <w:lang w:val="sv-SE" w:eastAsia="en-US"/>
        </w:rPr>
        <w:tab/>
        <w:t xml:space="preserve"> Ezeri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Bioloģiskie faktori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br w:type="page"/>
      </w:r>
      <w:r w:rsidRPr="003F33F9">
        <w:rPr>
          <w:szCs w:val="24"/>
          <w:lang w:val="sv-SE" w:eastAsia="en-US"/>
        </w:rPr>
        <w:lastRenderedPageBreak/>
        <w:t>Fitoplanktona sastāvs, summārie rādītāji un biomasa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Pārējo ūdensaugu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Bentisko bezmugurkaulnieku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Ihtiofaunas sastāvs, summārie rādītāji un vecuma struktūra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Hidromorfoloģiskie faktori, kas papildina bioloģiskos faktorus</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Hidroloģiskais režīms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ūdens tecējuma daudzums un dinamika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ūdens apmaiņas periods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saistība ar gruntsūdens objektu</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Morfoloģiskie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ezera dziļuma izmaiņas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ezera gultnes apjoms, struktūra un substrāts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ezera krasta struktūra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br w:type="page"/>
      </w:r>
      <w:r w:rsidRPr="003F33F9">
        <w:rPr>
          <w:szCs w:val="24"/>
          <w:lang w:val="sv-SE" w:eastAsia="en-US"/>
        </w:rPr>
        <w:lastRenderedPageBreak/>
        <w:t>Vispārējie fizikālķīmiskie faktori, kas papildina bioloģiskos faktorus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Caurredzamība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Termiskie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Bagātināšanās ar skābekli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Sāļums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Paskābināšanās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Stāvoklis ar barības vielām</w:t>
      </w:r>
    </w:p>
    <w:p w:rsidR="00CB6573" w:rsidRPr="003F33F9" w:rsidRDefault="00CB6573" w:rsidP="00CB6573">
      <w:pPr>
        <w:spacing w:before="120" w:after="120" w:line="360" w:lineRule="auto"/>
        <w:ind w:left="1416" w:hanging="566"/>
        <w:rPr>
          <w:szCs w:val="24"/>
          <w:lang w:val="sv-SE" w:eastAsia="en-US"/>
        </w:rPr>
      </w:pPr>
      <w:r w:rsidRPr="003F33F9">
        <w:rPr>
          <w:szCs w:val="24"/>
          <w:lang w:val="sv-SE" w:eastAsia="en-US"/>
        </w:rPr>
        <w:t>1.1.3.</w:t>
      </w:r>
      <w:r w:rsidRPr="003F33F9">
        <w:rPr>
          <w:szCs w:val="24"/>
          <w:lang w:val="sv-SE" w:eastAsia="en-US"/>
        </w:rPr>
        <w:tab/>
        <w:t>Pārejas ūdeņi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Bioloģiskie faktori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Fitoplanktona sastāvs, summārie rādītāji un biomasa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Pārējo ūdensaugu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Bentisko bezmugurkaulnieku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Ihtiofaunas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br w:type="page"/>
      </w:r>
      <w:r w:rsidRPr="003F33F9">
        <w:rPr>
          <w:szCs w:val="24"/>
          <w:lang w:val="sv-SE" w:eastAsia="en-US"/>
        </w:rPr>
        <w:lastRenderedPageBreak/>
        <w:t>Hidromorfoloģiskie faktori, kas papildina bioloģiskos faktorus</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Morfoloģiskie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dziļuma izmaiņas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gultnes apjoms, struktūra un substrāts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paisuma–bēguma zonas struktūra</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Plūdmaiņu režīms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saldūdens plūsma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pakļaušana viļņu iedarbībai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Vispārējie fizikālķīmiskie faktori, kas papildina bioloģiskos faktorus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Caurredzamība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Termiskie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Bagātināšanās ar skābekli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br w:type="page"/>
      </w:r>
      <w:r w:rsidRPr="003F33F9">
        <w:rPr>
          <w:szCs w:val="24"/>
          <w:lang w:val="sv-SE" w:eastAsia="en-US"/>
        </w:rPr>
        <w:lastRenderedPageBreak/>
        <w:t>Sāļums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Stāvoklis ar barības vielām</w:t>
      </w:r>
    </w:p>
    <w:p w:rsidR="00CB6573" w:rsidRPr="003F33F9" w:rsidRDefault="00CB6573" w:rsidP="00CB6573">
      <w:pPr>
        <w:spacing w:before="120" w:after="120" w:line="360" w:lineRule="auto"/>
        <w:ind w:left="1416" w:hanging="566"/>
        <w:rPr>
          <w:szCs w:val="24"/>
          <w:lang w:val="sv-SE" w:eastAsia="en-US"/>
        </w:rPr>
      </w:pPr>
      <w:r w:rsidRPr="003F33F9">
        <w:rPr>
          <w:szCs w:val="24"/>
          <w:lang w:val="sv-SE" w:eastAsia="en-US"/>
        </w:rPr>
        <w:t>1.1.4.</w:t>
      </w:r>
      <w:r w:rsidRPr="003F33F9">
        <w:rPr>
          <w:szCs w:val="24"/>
          <w:lang w:val="sv-SE" w:eastAsia="en-US"/>
        </w:rPr>
        <w:tab/>
        <w:t xml:space="preserve"> Piekrastes ūdeņi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Bioloģiskie faktori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Fitoplanktona sastāvs, summārie rādītāji un biomasa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Pārējo ūdensaugu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Bentisko bezmugurkaulnieku sastāvs un summārie rādītāji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Hidromorfoloģiskie faktori, kas papildina bioloģiskos faktorus</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t>Morfoloģiskie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dziļuma izmaiņas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krasta gultnes struktūra un substrāts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paisuma–bēguma zonas struktūra</w:t>
      </w:r>
    </w:p>
    <w:p w:rsidR="00CB6573" w:rsidRPr="003F33F9" w:rsidRDefault="00CB6573" w:rsidP="00CB6573">
      <w:pPr>
        <w:spacing w:before="120" w:after="120" w:line="360" w:lineRule="auto"/>
        <w:ind w:left="850"/>
        <w:rPr>
          <w:szCs w:val="24"/>
          <w:lang w:val="sv-SE" w:eastAsia="en-US"/>
        </w:rPr>
      </w:pPr>
      <w:r w:rsidRPr="003F33F9">
        <w:rPr>
          <w:szCs w:val="24"/>
          <w:lang w:val="sv-SE" w:eastAsia="en-US"/>
        </w:rPr>
        <w:br w:type="page"/>
      </w:r>
      <w:r w:rsidRPr="003F33F9">
        <w:rPr>
          <w:szCs w:val="24"/>
          <w:lang w:val="sv-SE" w:eastAsia="en-US"/>
        </w:rPr>
        <w:lastRenderedPageBreak/>
        <w:t>Plūdmaiņu režīms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valdošo straumju virziens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pakļaušana viļņu iedarbībai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Vispārējie fizikālķīmiskie faktori, kas papildina bioloģiskos faktorus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Caurredzamība</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Termiskie apstākļi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Bagātināšanās ar skābekli</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Sāļums</w:t>
      </w:r>
    </w:p>
    <w:p w:rsidR="00CB6573" w:rsidRPr="003F33F9" w:rsidRDefault="00CB6573" w:rsidP="00CB6573">
      <w:pPr>
        <w:spacing w:before="120" w:after="120" w:line="360" w:lineRule="auto"/>
        <w:ind w:left="1416"/>
        <w:rPr>
          <w:szCs w:val="24"/>
          <w:lang w:val="sv-SE" w:eastAsia="en-US"/>
        </w:rPr>
      </w:pPr>
      <w:r w:rsidRPr="003F33F9">
        <w:rPr>
          <w:szCs w:val="24"/>
          <w:lang w:val="sv-SE" w:eastAsia="en-US"/>
        </w:rPr>
        <w:t>Stāvoklis ar barības vielām;”</w:t>
      </w:r>
    </w:p>
    <w:p w:rsidR="00CB6573" w:rsidRPr="003F33F9" w:rsidRDefault="00CB6573" w:rsidP="00CB6573">
      <w:pPr>
        <w:spacing w:before="120" w:after="120" w:line="360" w:lineRule="auto"/>
        <w:ind w:left="850" w:hanging="850"/>
        <w:rPr>
          <w:szCs w:val="24"/>
          <w:lang w:val="sv-SE" w:eastAsia="en-US"/>
        </w:rPr>
      </w:pPr>
      <w:r w:rsidRPr="003F33F9">
        <w:rPr>
          <w:szCs w:val="24"/>
          <w:lang w:val="sv-SE" w:eastAsia="en-US"/>
        </w:rPr>
        <w:t>(2)</w:t>
      </w:r>
      <w:r w:rsidRPr="003F33F9">
        <w:rPr>
          <w:szCs w:val="24"/>
          <w:lang w:val="sv-SE" w:eastAsia="en-US"/>
        </w:rPr>
        <w:tab/>
        <w:t>pielikuma 1.2.1. punktā tabulu “Fizikālķīmiskās kvalitātes faktori” aizstāj ar šādu:</w:t>
      </w:r>
    </w:p>
    <w:p w:rsidR="00CB6573" w:rsidRPr="003F33F9" w:rsidRDefault="00CB6573" w:rsidP="00CB6573">
      <w:pPr>
        <w:spacing w:before="120" w:after="120" w:line="360" w:lineRule="auto"/>
        <w:ind w:left="850"/>
        <w:rPr>
          <w:szCs w:val="24"/>
          <w:lang w:val="en-GB" w:eastAsia="en-US"/>
        </w:rPr>
      </w:pPr>
      <w:r w:rsidRPr="003F33F9">
        <w:rPr>
          <w:szCs w:val="24"/>
          <w:lang w:val="en-GB" w:eastAsia="en-US"/>
        </w:rPr>
        <w:t>“Vispārējie fizikālķīmiskās kvalitātes faktori</w:t>
      </w:r>
    </w:p>
    <w:p w:rsidR="00CB6573" w:rsidRPr="003F33F9" w:rsidRDefault="00CB6573" w:rsidP="00CB6573">
      <w:pPr>
        <w:spacing w:before="120" w:after="120" w:line="360" w:lineRule="auto"/>
        <w:rPr>
          <w:szCs w:val="24"/>
          <w:lang w:val="en-GB" w:eastAsia="en-US"/>
        </w:rPr>
      </w:pPr>
      <w:r w:rsidRPr="003F33F9">
        <w:rPr>
          <w:szCs w:val="24"/>
          <w:lang w:val="en-GB"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2"/>
        <w:gridCol w:w="2665"/>
        <w:gridCol w:w="2638"/>
        <w:gridCol w:w="2080"/>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Faktors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Ļoti 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Vidēji rādītāji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Vispārējie apstākļi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Vispārējo fizikālķīmisko faktoru vērtības pilnīgi vai gandrīz pilnīgi atbilst neskartiem apstākļiem. Barības vielu koncentrācijas saglabājas diapazonā, kas parasti raksturīgs neskartiem apstākļiem. Sāļuma, pH, skābekļa bilances, skābju neitralizēšanas spējas un temperatūru līmeņi neliecina par antropogēniem traucējumiem un saglabājas diapazonā, ko parasti saista ar neskartiem apstākļiem.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Temperatūra, skābekļa bilance, pH, skābju neitralizēšanas spēja un sāļums nesasniedz līmeņus, kuri ir ārpus diapazona, kas noteikts, lai nodrošinātu tipam raksturīgās ekosistēmas darbību un to vērtību sasniegšanu, kuras iepriekš precizētas attiecībā uz bioloģiskās kvalitātes faktoriem. Barības vielu koncentrācijas nepārsniedz līmeņus, kas noteikti, lai nodrošinātu tipam raksturīgās ekosistēmas darbību un to vērtību sasniegšanu, kuras iepriekš precizētas attiecībā uz bioloģiskās </w:t>
            </w:r>
            <w:r w:rsidRPr="003F33F9">
              <w:rPr>
                <w:szCs w:val="24"/>
                <w:lang w:val="en-GB" w:eastAsia="en-US"/>
              </w:rPr>
              <w:lastRenderedPageBreak/>
              <w:t>kvalitātes faktoriem.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Apstākļi ir savienojami ar to vērtību sasniegšanu, kuras iepriekš precizētas attiecībā uz bioloģiskās kvalitātes faktoriem.”;</w:t>
            </w:r>
          </w:p>
        </w:tc>
      </w:tr>
    </w:tbl>
    <w:p w:rsidR="00CB6573" w:rsidRPr="003F33F9" w:rsidRDefault="00CB6573" w:rsidP="00CB6573">
      <w:pPr>
        <w:spacing w:before="120" w:after="120" w:line="360" w:lineRule="auto"/>
        <w:ind w:left="850" w:hanging="850"/>
        <w:rPr>
          <w:szCs w:val="24"/>
          <w:lang w:eastAsia="en-US"/>
        </w:rPr>
      </w:pPr>
      <w:r w:rsidRPr="003F33F9">
        <w:rPr>
          <w:szCs w:val="24"/>
          <w:lang w:eastAsia="en-US"/>
        </w:rPr>
        <w:t>(3)</w:t>
      </w:r>
      <w:r w:rsidRPr="003F33F9">
        <w:rPr>
          <w:szCs w:val="24"/>
          <w:lang w:eastAsia="en-US"/>
        </w:rPr>
        <w:tab/>
        <w:t>pielikuma 1.2.2. punktā tabulu “Fizikālķīmiskās kvalitātes faktori” aizstāj ar šādu:</w:t>
      </w:r>
    </w:p>
    <w:p w:rsidR="00CB6573" w:rsidRPr="003F33F9" w:rsidRDefault="00CB6573" w:rsidP="00CB6573">
      <w:pPr>
        <w:spacing w:before="120" w:after="120" w:line="360" w:lineRule="auto"/>
        <w:ind w:left="850"/>
        <w:rPr>
          <w:szCs w:val="24"/>
          <w:lang w:val="en-GB" w:eastAsia="en-US"/>
        </w:rPr>
      </w:pPr>
      <w:r w:rsidRPr="003F33F9">
        <w:rPr>
          <w:szCs w:val="24"/>
          <w:lang w:val="en-GB" w:eastAsia="en-US"/>
        </w:rPr>
        <w:t>“Vispārējie fizikālķīmiskās kvalitātes faktori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2"/>
        <w:gridCol w:w="2702"/>
        <w:gridCol w:w="2611"/>
        <w:gridCol w:w="2070"/>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Faktors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Ļoti 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Vidēji rādītāji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Vispārējie apstākļi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Vispārējo fizikālķīmisko faktoru vērtības pilnīgi vai gandrīz pilnīgi atbilst neskartiem apstākļiem. Barības vielu koncentrācijas saglabājas diapazonā, kas parasti raksturīgs neskartiem apstākļiem. Sāļuma, pH, skābekļa bilances, skābju neitralizēšanas spējas, caurredzamības un temperatūras līmeņi neliecina par antropogēniem traucējumiem un saglabājas diapazonā, ko parasti saista ar </w:t>
            </w:r>
            <w:r w:rsidRPr="003F33F9">
              <w:rPr>
                <w:szCs w:val="24"/>
                <w:lang w:val="en-GB" w:eastAsia="en-US"/>
              </w:rPr>
              <w:lastRenderedPageBreak/>
              <w:t>neskartiem apstākļiem.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 xml:space="preserve">Temperatūra, skābekļa bilance, pH, skābju neitralizēšanas spēja, caurredzamība un sāļums nesasniedz līmeņus, kuri ir ārpus diapazona, kas noteikts, lai nodrošinātu ekosistēmas darbību un to vērtību sasniegšanu, kuras iepriekš precizētas attiecībā uz bioloģiskās kvalitātes faktoriem. Barības vielu koncentrācijas nepārsniedz līmeņus, kas noteikti, lai nodrošinātu tipam </w:t>
            </w:r>
            <w:r w:rsidRPr="003F33F9">
              <w:rPr>
                <w:szCs w:val="24"/>
                <w:lang w:val="en-GB" w:eastAsia="en-US"/>
              </w:rPr>
              <w:lastRenderedPageBreak/>
              <w:t>raksturīgās ekosistēmas darbību un to vērtību sasniegšanu, kuras iepriekš precizētas attiecībā uz bioloģiskās kvalitātes faktoriem.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Apstākļi ir savienojami ar to vērtību sasniegšanu, kuras iepriekš precizētas attiecībā uz bioloģiskās kvalitātes faktoriem.”;</w:t>
            </w:r>
          </w:p>
        </w:tc>
      </w:tr>
    </w:tbl>
    <w:p w:rsidR="00CB6573" w:rsidRPr="003F33F9" w:rsidRDefault="00CB6573" w:rsidP="00CB6573">
      <w:pPr>
        <w:spacing w:before="120" w:after="120" w:line="360" w:lineRule="auto"/>
        <w:ind w:left="850" w:hanging="850"/>
        <w:rPr>
          <w:szCs w:val="24"/>
          <w:lang w:eastAsia="en-US"/>
        </w:rPr>
      </w:pPr>
      <w:r w:rsidRPr="003F33F9">
        <w:rPr>
          <w:szCs w:val="24"/>
          <w:lang w:eastAsia="en-US"/>
        </w:rPr>
        <w:t>(4)</w:t>
      </w:r>
      <w:r w:rsidRPr="003F33F9">
        <w:rPr>
          <w:szCs w:val="24"/>
          <w:lang w:eastAsia="en-US"/>
        </w:rPr>
        <w:tab/>
        <w:t>pielikuma 1.2.3. punktā tabulu “Fizikālķīmiskās kvalitātes faktori” aizstāj ar šādu:</w:t>
      </w:r>
    </w:p>
    <w:p w:rsidR="00CB6573" w:rsidRPr="003F33F9" w:rsidRDefault="00CB6573" w:rsidP="00CB6573">
      <w:pPr>
        <w:spacing w:before="120" w:after="120" w:line="360" w:lineRule="auto"/>
        <w:ind w:left="850"/>
        <w:rPr>
          <w:szCs w:val="24"/>
          <w:lang w:val="en-GB" w:eastAsia="en-US"/>
        </w:rPr>
      </w:pPr>
      <w:r w:rsidRPr="003F33F9">
        <w:rPr>
          <w:szCs w:val="24"/>
          <w:lang w:val="en-GB" w:eastAsia="en-US"/>
        </w:rPr>
        <w:t>“Vispārējie fizikālķīmiskās kvalitātes faktori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2"/>
        <w:gridCol w:w="2665"/>
        <w:gridCol w:w="2638"/>
        <w:gridCol w:w="2080"/>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Faktors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Ļoti 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Vidēji rādītāji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Vispārējie apstākļi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Vispārējie fizikālķīmiskie faktori pilnīgi vai gandrīz pilnīgi atbilst neskartiem apstākļiem. Barības vielu koncentrācijas saglabājas diapazonā, kas parasti raksturīgs neskartiem apstākļiem. Temperatūra, skābekļa bilance un caurredzamība neliecina par antropogēniem </w:t>
            </w:r>
            <w:r w:rsidRPr="003F33F9">
              <w:rPr>
                <w:szCs w:val="24"/>
                <w:lang w:val="en-GB" w:eastAsia="en-US"/>
              </w:rPr>
              <w:lastRenderedPageBreak/>
              <w:t>traucējumiem un saglabājas diapazonā, ko parasti saista ar neskartiem apstākļiem.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 xml:space="preserve">Temperatūra, skābekļa bilance un caurredzamība nesasniedz līmeņus, kas neiekļaujas diapazonos, kuri noteikti, lai nodrošinātu ekosistēmas darbību un to vērtību sasniegšanu, kuras iepriekš precizētas attiecībā uz bioloģiskās kvalitātes faktoriem. Barības vielu koncentrācijas </w:t>
            </w:r>
            <w:r w:rsidRPr="003F33F9">
              <w:rPr>
                <w:szCs w:val="24"/>
                <w:lang w:val="en-GB" w:eastAsia="en-US"/>
              </w:rPr>
              <w:lastRenderedPageBreak/>
              <w:t>nepārsniedz līmeņus, kas noteikti, lai nodrošinātu tipam raksturīgās ekosistēmas darbību un to vērtību sasniegšanu, kuras iepriekš precizētas attiecībā uz bioloģiskās kvalitātes faktoriem.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Apstākļi ir savienojami ar to vērtību sasniegšanu, kuras iepriekš precizētas attiecībā uz bioloģiskās kvalitātes faktoriem.”;</w:t>
            </w:r>
          </w:p>
        </w:tc>
      </w:tr>
    </w:tbl>
    <w:p w:rsidR="00CB6573" w:rsidRPr="003F33F9" w:rsidRDefault="00CB6573" w:rsidP="00CB6573">
      <w:pPr>
        <w:spacing w:before="120" w:after="120" w:line="360" w:lineRule="auto"/>
        <w:ind w:left="850" w:hanging="850"/>
        <w:rPr>
          <w:szCs w:val="24"/>
          <w:lang w:eastAsia="en-US"/>
        </w:rPr>
      </w:pPr>
      <w:r w:rsidRPr="003F33F9">
        <w:rPr>
          <w:szCs w:val="24"/>
          <w:lang w:eastAsia="en-US"/>
        </w:rPr>
        <w:t>(5)</w:t>
      </w:r>
      <w:r w:rsidRPr="003F33F9">
        <w:rPr>
          <w:szCs w:val="24"/>
          <w:lang w:eastAsia="en-US"/>
        </w:rPr>
        <w:tab/>
        <w:t>pielikuma 1.2.4. punktā tabulu “Fizikālķīmiskās kvalitātes faktori” aizstāj ar šādu:</w:t>
      </w:r>
    </w:p>
    <w:p w:rsidR="00CB6573" w:rsidRPr="003F33F9" w:rsidRDefault="00CB6573" w:rsidP="00CB6573">
      <w:pPr>
        <w:spacing w:before="120" w:after="120" w:line="360" w:lineRule="auto"/>
        <w:ind w:left="850"/>
        <w:rPr>
          <w:szCs w:val="24"/>
          <w:lang w:val="en-GB" w:eastAsia="en-US"/>
        </w:rPr>
      </w:pPr>
      <w:r w:rsidRPr="003F33F9">
        <w:rPr>
          <w:szCs w:val="24"/>
          <w:lang w:val="en-GB" w:eastAsia="en-US"/>
        </w:rPr>
        <w:t>“Vispārējie fizikālķīmiskās kvalitātes faktori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82"/>
        <w:gridCol w:w="2665"/>
        <w:gridCol w:w="2638"/>
        <w:gridCol w:w="2080"/>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Faktors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Ļoti 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Labi rādītāji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Vidēji rādītāji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Vispārējie apstākļi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Vispārējie fizikālķīmiskie faktori pilnīgi vai gandrīz pilnīgi atbilst neskartiem apstākļiem. Barības vielu koncentrācijas saglabājas diapazonā, kas parasti raksturīgs neskartiem apstākļiem. Temperatūra, skābekļa bilance un </w:t>
            </w:r>
            <w:r w:rsidRPr="003F33F9">
              <w:rPr>
                <w:szCs w:val="24"/>
                <w:lang w:val="en-GB" w:eastAsia="en-US"/>
              </w:rPr>
              <w:lastRenderedPageBreak/>
              <w:t>caurredzamība neliecina par antropogēna rakstura traucējumiem un iekļaujas diapazonos, kas parasti raksturīgi neskartiem apstākļiem.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 xml:space="preserve">Temperatūra, skābekļa bilance un caurredzamība nesasniedz līmeņus, kas neiekļaujas diapazonos, kuri noteikti, lai nodrošinātu ekosistēmas darbību un to vērtību sasniegšanu, kuras iepriekš precizētas attiecībā uz bioloģiskās </w:t>
            </w:r>
            <w:r w:rsidRPr="003F33F9">
              <w:rPr>
                <w:szCs w:val="24"/>
                <w:lang w:val="en-GB" w:eastAsia="en-US"/>
              </w:rPr>
              <w:lastRenderedPageBreak/>
              <w:t>kvalitātes faktoriem. Barības vielu koncentrācijas nepārsniedz līmeņus, kas noteikti, lai nodrošinātu tipam raksturīgās ekosistēmas darbību un to vērtību sasniegšanu, kuras iepriekš precizētas attiecībā uz bioloģiskās kvalitātes faktoriem.</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Apstākļi ir savienojami ar to vērtību sasniegšanu, kuras iepriekš precizētas attiecībā uz bioloģiskās kvalitātes faktoriem.”;</w:t>
            </w:r>
          </w:p>
        </w:tc>
      </w:tr>
    </w:tbl>
    <w:p w:rsidR="00CB6573" w:rsidRPr="003F33F9" w:rsidRDefault="00CB6573" w:rsidP="00CB6573">
      <w:pPr>
        <w:spacing w:before="120" w:after="120" w:line="360" w:lineRule="auto"/>
        <w:ind w:left="850" w:hanging="850"/>
        <w:rPr>
          <w:szCs w:val="24"/>
          <w:lang w:eastAsia="en-US"/>
        </w:rPr>
      </w:pPr>
      <w:r w:rsidRPr="003F33F9">
        <w:rPr>
          <w:szCs w:val="24"/>
          <w:lang w:eastAsia="en-US"/>
        </w:rPr>
        <w:br w:type="page"/>
      </w:r>
      <w:r w:rsidRPr="003F33F9">
        <w:rPr>
          <w:szCs w:val="24"/>
          <w:lang w:eastAsia="en-US"/>
        </w:rPr>
        <w:lastRenderedPageBreak/>
        <w:t>(6)</w:t>
      </w:r>
      <w:r w:rsidRPr="003F33F9">
        <w:rPr>
          <w:szCs w:val="24"/>
          <w:lang w:eastAsia="en-US"/>
        </w:rPr>
        <w:tab/>
        <w:t>pielikuma 1.2.5. punktā tabulu groza šādi:</w:t>
      </w:r>
    </w:p>
    <w:p w:rsidR="00CB6573" w:rsidRPr="003F33F9" w:rsidRDefault="00CB6573" w:rsidP="00CB6573">
      <w:pPr>
        <w:spacing w:before="120" w:after="120" w:line="360" w:lineRule="auto"/>
        <w:ind w:left="1416" w:hanging="566"/>
        <w:rPr>
          <w:szCs w:val="24"/>
          <w:lang w:eastAsia="en-US"/>
        </w:rPr>
      </w:pPr>
      <w:r w:rsidRPr="003F33F9">
        <w:rPr>
          <w:szCs w:val="24"/>
          <w:lang w:eastAsia="en-US"/>
        </w:rPr>
        <w:t>a)</w:t>
      </w:r>
      <w:r w:rsidRPr="003F33F9">
        <w:rPr>
          <w:szCs w:val="24"/>
          <w:lang w:eastAsia="en-US"/>
        </w:rPr>
        <w:tab/>
        <w:t>piekto rindu ar ierakstu “Īpašas sintētiskas piesārņojošas vielas” svītro;</w:t>
      </w:r>
    </w:p>
    <w:p w:rsidR="00CB6573" w:rsidRPr="003F33F9" w:rsidRDefault="00CB6573" w:rsidP="00CB6573">
      <w:pPr>
        <w:spacing w:before="120" w:after="120" w:line="360" w:lineRule="auto"/>
        <w:ind w:left="1416" w:hanging="566"/>
        <w:rPr>
          <w:szCs w:val="24"/>
          <w:lang w:eastAsia="en-US"/>
        </w:rPr>
      </w:pPr>
      <w:r w:rsidRPr="003F33F9">
        <w:rPr>
          <w:szCs w:val="24"/>
          <w:lang w:eastAsia="en-US"/>
        </w:rPr>
        <w:t>b)</w:t>
      </w:r>
      <w:r w:rsidRPr="003F33F9">
        <w:rPr>
          <w:szCs w:val="24"/>
          <w:lang w:eastAsia="en-US"/>
        </w:rPr>
        <w:tab/>
        <w:t>sesto rindu ar ierakstu “Īpašas nesintētiskas piesārņojošas vielas” svītro;</w:t>
      </w:r>
    </w:p>
    <w:p w:rsidR="00CB6573" w:rsidRPr="003F33F9" w:rsidRDefault="00CB6573" w:rsidP="00CB6573">
      <w:pPr>
        <w:spacing w:before="120" w:after="120" w:line="360" w:lineRule="auto"/>
        <w:ind w:left="1416" w:hanging="566"/>
        <w:rPr>
          <w:szCs w:val="24"/>
          <w:lang w:eastAsia="en-US"/>
        </w:rPr>
      </w:pPr>
      <w:r w:rsidRPr="003F33F9">
        <w:rPr>
          <w:szCs w:val="24"/>
          <w:lang w:eastAsia="en-US"/>
        </w:rPr>
        <w:t>c)</w:t>
      </w:r>
      <w:r w:rsidRPr="003F33F9">
        <w:rPr>
          <w:szCs w:val="24"/>
          <w:lang w:eastAsia="en-US"/>
        </w:rPr>
        <w:tab/>
        <w:t>septīto rindu ar 1. piezīmi svītro;</w:t>
      </w:r>
    </w:p>
    <w:p w:rsidR="00CB6573" w:rsidRPr="003F33F9" w:rsidRDefault="00CB6573" w:rsidP="00CB6573">
      <w:pPr>
        <w:spacing w:before="120" w:after="120" w:line="360" w:lineRule="auto"/>
        <w:ind w:left="850" w:hanging="850"/>
        <w:rPr>
          <w:szCs w:val="24"/>
          <w:lang w:eastAsia="en-US"/>
        </w:rPr>
      </w:pPr>
      <w:r w:rsidRPr="003F33F9">
        <w:rPr>
          <w:szCs w:val="24"/>
          <w:lang w:eastAsia="en-US"/>
        </w:rPr>
        <w:t>(7)</w:t>
      </w:r>
      <w:r w:rsidRPr="003F33F9">
        <w:rPr>
          <w:szCs w:val="24"/>
          <w:lang w:eastAsia="en-US"/>
        </w:rPr>
        <w:tab/>
        <w:t>pielikuma 1.2.6. punktu svītro;</w:t>
      </w:r>
    </w:p>
    <w:p w:rsidR="00CB6573" w:rsidRPr="003F33F9" w:rsidRDefault="00CB6573" w:rsidP="00CB6573">
      <w:pPr>
        <w:spacing w:before="120" w:after="120" w:line="360" w:lineRule="auto"/>
        <w:ind w:left="850" w:hanging="850"/>
        <w:rPr>
          <w:szCs w:val="24"/>
          <w:lang w:eastAsia="en-US"/>
        </w:rPr>
      </w:pPr>
      <w:r w:rsidRPr="003F33F9">
        <w:rPr>
          <w:szCs w:val="24"/>
          <w:lang w:eastAsia="en-US"/>
        </w:rPr>
        <w:t>(8)</w:t>
      </w:r>
      <w:r w:rsidRPr="003F33F9">
        <w:rPr>
          <w:szCs w:val="24"/>
          <w:lang w:eastAsia="en-US"/>
        </w:rPr>
        <w:tab/>
        <w:t>pielikuma 1.3. punktā pievieno šādu ceturto un piekto daļu:</w:t>
      </w:r>
    </w:p>
    <w:p w:rsidR="00CB6573" w:rsidRPr="003F33F9" w:rsidRDefault="00CB6573" w:rsidP="00CB6573">
      <w:pPr>
        <w:spacing w:before="120" w:after="120" w:line="360" w:lineRule="auto"/>
        <w:ind w:left="850"/>
        <w:rPr>
          <w:szCs w:val="24"/>
          <w:lang w:eastAsia="en-US"/>
        </w:rPr>
      </w:pPr>
      <w:r w:rsidRPr="003F33F9">
        <w:rPr>
          <w:szCs w:val="24"/>
          <w:lang w:eastAsia="en-US"/>
        </w:rPr>
        <w:t>“Ja monitoringa tīkls ietver zemes novērošanu un attālo uzrādi, nevis vietējus paraugu ņemšanas punktus, vai ietver citus novatoriskus paņēmienus, monitoringa tīkla kartē iekļauj informāciju par kvalitātes faktoriem un ūdens objektiem vai ūdens objektu grupām, kas ar šādām metodēm monitorēti. Norāda, kādi CEN, ISO vai citi starptautiski vai nacionāli standarti pielietoti, lai nodrošinātu, ka iegūtie laiciskie un telpiskie dati ir tikpat ticami kā tie, kas ar ierastām monitoringa metodēm iegūti vietējos paraugu ņemšanas punktos.</w:t>
      </w:r>
    </w:p>
    <w:p w:rsidR="00CB6573" w:rsidRPr="003F33F9" w:rsidRDefault="00CB6573" w:rsidP="00CB6573">
      <w:pPr>
        <w:spacing w:before="120" w:after="120" w:line="360" w:lineRule="auto"/>
        <w:ind w:left="850"/>
        <w:rPr>
          <w:szCs w:val="24"/>
          <w:lang w:eastAsia="en-US"/>
        </w:rPr>
      </w:pPr>
      <w:r w:rsidRPr="003F33F9">
        <w:rPr>
          <w:szCs w:val="24"/>
          <w:lang w:eastAsia="en-US"/>
        </w:rPr>
        <w:br w:type="page"/>
      </w:r>
      <w:r w:rsidRPr="003F33F9">
        <w:rPr>
          <w:szCs w:val="24"/>
          <w:lang w:eastAsia="en-US"/>
        </w:rPr>
        <w:lastRenderedPageBreak/>
        <w:t>Ķīmisko piesārņotāju monitoringā un jo īpaši skrīningā dalībvalstis vajadzības gadījumā var pielietot pasīvas paraugu ņemšanas metodes ar nosacījumu, ka ar tām netiek pārāk zemu novērtēta to piesārņojošo vielu koncentrācija, kurām piemēro vides kvalitātes standartus, un tādējādi tiek ticami identificēta “laba stāvokļa nesasniegšana” un ka piemērotajiem vides kvalitātes standartiem atbilstošu ūdens, biotas vai sedimentu paraugu ķīmisko analīzi veic ikreiz, kad šādu nesasniegšanu konstatē. Ar tādiem pašiem nosacījumiem dalībvalstis var piemērot arī uz ietekmi balstītas paraugu ņemšanas metodes.;”</w:t>
      </w:r>
    </w:p>
    <w:p w:rsidR="00CB6573" w:rsidRPr="003F33F9" w:rsidRDefault="00CB6573" w:rsidP="00CB6573">
      <w:pPr>
        <w:spacing w:before="120" w:after="120" w:line="360" w:lineRule="auto"/>
        <w:ind w:left="850" w:hanging="850"/>
        <w:rPr>
          <w:szCs w:val="24"/>
          <w:lang w:eastAsia="en-US"/>
        </w:rPr>
      </w:pPr>
      <w:r w:rsidRPr="003F33F9">
        <w:rPr>
          <w:szCs w:val="24"/>
          <w:lang w:eastAsia="en-US"/>
        </w:rPr>
        <w:t>(9)</w:t>
      </w:r>
      <w:r w:rsidRPr="003F33F9">
        <w:rPr>
          <w:szCs w:val="24"/>
          <w:lang w:eastAsia="en-US"/>
        </w:rPr>
        <w:tab/>
        <w:t>pielikuma 1.3.1. punktā pēdējo daļu “Kvalitātes faktoru izvēle” aizstāj ar šādu:</w:t>
      </w:r>
    </w:p>
    <w:p w:rsidR="00CB6573" w:rsidRPr="003F33F9" w:rsidRDefault="00CB6573" w:rsidP="00CB6573">
      <w:pPr>
        <w:spacing w:before="120" w:after="120" w:line="360" w:lineRule="auto"/>
        <w:ind w:left="850"/>
        <w:rPr>
          <w:szCs w:val="24"/>
          <w:lang w:eastAsia="en-US"/>
        </w:rPr>
      </w:pPr>
      <w:r w:rsidRPr="003F33F9">
        <w:rPr>
          <w:szCs w:val="24"/>
          <w:lang w:eastAsia="en-US"/>
        </w:rPr>
        <w:t>“Kvalitātes faktoru izvēle</w:t>
      </w:r>
    </w:p>
    <w:p w:rsidR="00CB6573" w:rsidRPr="003F33F9" w:rsidRDefault="00CB6573" w:rsidP="00CB6573">
      <w:pPr>
        <w:spacing w:before="120" w:after="120" w:line="360" w:lineRule="auto"/>
        <w:ind w:left="850"/>
        <w:rPr>
          <w:szCs w:val="24"/>
          <w:lang w:eastAsia="en-US"/>
        </w:rPr>
      </w:pPr>
      <w:r w:rsidRPr="003F33F9">
        <w:rPr>
          <w:szCs w:val="24"/>
          <w:lang w:eastAsia="en-US"/>
        </w:rPr>
        <w:t>Uzraudzības monitoringu veic katrai monitoringa vietai vienu gadu laika posmā, uz ko attiecas upes baseina apsaimniekošanas plāns. Uzraudzības monitorings aptver:</w:t>
      </w:r>
    </w:p>
    <w:p w:rsidR="00CB6573" w:rsidRPr="003F33F9" w:rsidRDefault="00CB6573" w:rsidP="00CB6573">
      <w:pPr>
        <w:spacing w:before="120" w:after="120" w:line="360" w:lineRule="auto"/>
        <w:ind w:left="1416" w:hanging="566"/>
        <w:rPr>
          <w:szCs w:val="24"/>
          <w:lang w:eastAsia="en-US"/>
        </w:rPr>
      </w:pPr>
      <w:r w:rsidRPr="003F33F9">
        <w:rPr>
          <w:szCs w:val="24"/>
          <w:lang w:eastAsia="en-US"/>
        </w:rPr>
        <w:t>a)</w:t>
      </w:r>
      <w:r w:rsidRPr="003F33F9">
        <w:rPr>
          <w:szCs w:val="24"/>
          <w:lang w:eastAsia="en-US"/>
        </w:rPr>
        <w:tab/>
        <w:t>parametrus, kas uzrāda visus bioloģiskās kvalitātes faktorus;</w:t>
      </w:r>
    </w:p>
    <w:p w:rsidR="00CB6573" w:rsidRPr="003F33F9" w:rsidRDefault="00CB6573" w:rsidP="00CB6573">
      <w:pPr>
        <w:spacing w:before="120" w:after="120" w:line="360" w:lineRule="auto"/>
        <w:ind w:left="1416" w:hanging="566"/>
        <w:rPr>
          <w:szCs w:val="24"/>
          <w:lang w:eastAsia="en-US"/>
        </w:rPr>
      </w:pPr>
      <w:r w:rsidRPr="003F33F9">
        <w:rPr>
          <w:szCs w:val="24"/>
          <w:lang w:eastAsia="en-US"/>
        </w:rPr>
        <w:br w:type="page"/>
      </w:r>
      <w:r w:rsidRPr="003F33F9">
        <w:rPr>
          <w:szCs w:val="24"/>
          <w:lang w:eastAsia="en-US"/>
        </w:rPr>
        <w:lastRenderedPageBreak/>
        <w:t>b)</w:t>
      </w:r>
      <w:r w:rsidRPr="003F33F9">
        <w:rPr>
          <w:szCs w:val="24"/>
          <w:lang w:eastAsia="en-US"/>
        </w:rPr>
        <w:tab/>
        <w:t>parametrus, kas uzrāda visus hidromorfoloģiskās kvalitātes faktorus;</w:t>
      </w:r>
    </w:p>
    <w:p w:rsidR="00CB6573" w:rsidRPr="003F33F9" w:rsidRDefault="00CB6573" w:rsidP="00CB6573">
      <w:pPr>
        <w:spacing w:before="120" w:after="120" w:line="360" w:lineRule="auto"/>
        <w:ind w:left="1416" w:hanging="566"/>
        <w:rPr>
          <w:szCs w:val="24"/>
          <w:lang w:eastAsia="en-US"/>
        </w:rPr>
      </w:pPr>
      <w:r w:rsidRPr="003F33F9">
        <w:rPr>
          <w:szCs w:val="24"/>
          <w:lang w:eastAsia="en-US"/>
        </w:rPr>
        <w:t>c)</w:t>
      </w:r>
      <w:r w:rsidRPr="003F33F9">
        <w:rPr>
          <w:szCs w:val="24"/>
          <w:lang w:eastAsia="en-US"/>
        </w:rPr>
        <w:tab/>
        <w:t>parametrus, kas uzrāda visus vispārējās fizikālķīmiskās kvalitātes faktorus;</w:t>
      </w:r>
    </w:p>
    <w:p w:rsidR="00CB6573" w:rsidRPr="003F33F9" w:rsidRDefault="00CB6573" w:rsidP="00CB6573">
      <w:pPr>
        <w:spacing w:before="120" w:after="120" w:line="360" w:lineRule="auto"/>
        <w:ind w:left="1416" w:hanging="566"/>
        <w:rPr>
          <w:szCs w:val="24"/>
          <w:lang w:eastAsia="en-US"/>
        </w:rPr>
      </w:pPr>
      <w:r w:rsidRPr="003F33F9">
        <w:rPr>
          <w:szCs w:val="24"/>
          <w:lang w:eastAsia="en-US"/>
        </w:rPr>
        <w:t>d)</w:t>
      </w:r>
      <w:r w:rsidRPr="003F33F9">
        <w:rPr>
          <w:szCs w:val="24"/>
          <w:lang w:eastAsia="en-US"/>
        </w:rPr>
        <w:tab/>
        <w:t>prioritārā saraksta piesārņojošās vielas, kas tiek novadītas vai citādā veidā ienestas upes baseinā vai apakšbaseinā;</w:t>
      </w:r>
    </w:p>
    <w:p w:rsidR="00CB6573" w:rsidRPr="003F33F9" w:rsidRDefault="00CB6573" w:rsidP="00CB6573">
      <w:pPr>
        <w:spacing w:before="120" w:after="120" w:line="360" w:lineRule="auto"/>
        <w:ind w:left="1416" w:hanging="566"/>
        <w:rPr>
          <w:szCs w:val="24"/>
          <w:lang w:eastAsia="en-US"/>
        </w:rPr>
      </w:pPr>
      <w:r w:rsidRPr="003F33F9">
        <w:rPr>
          <w:szCs w:val="24"/>
          <w:lang w:eastAsia="en-US"/>
        </w:rPr>
        <w:t>e)</w:t>
      </w:r>
      <w:r w:rsidRPr="003F33F9">
        <w:rPr>
          <w:szCs w:val="24"/>
          <w:lang w:eastAsia="en-US"/>
        </w:rPr>
        <w:tab/>
        <w:t>citas piesārņojošas vielas, kas ievērojamos daudzumos tiek novadītas vai citādā veidā ienestas upes baseinā vai apakšbaseinā.</w:t>
      </w:r>
    </w:p>
    <w:p w:rsidR="00CB6573" w:rsidRPr="003F33F9" w:rsidRDefault="00CB6573" w:rsidP="00CB6573">
      <w:pPr>
        <w:spacing w:before="120" w:after="120" w:line="360" w:lineRule="auto"/>
        <w:ind w:left="850"/>
        <w:rPr>
          <w:szCs w:val="24"/>
          <w:lang w:eastAsia="en-US"/>
        </w:rPr>
      </w:pPr>
      <w:r w:rsidRPr="003F33F9">
        <w:rPr>
          <w:szCs w:val="24"/>
          <w:lang w:eastAsia="en-US"/>
        </w:rPr>
        <w:t>Tomēr, ja iepriekšējais uzraudzības monitorings parādījis, ka attiecīgā ūdenstilpe ir sasniegusi labu stāvokli, un, izskatot II pielikumā minēto cilvēka darbības ietekmi, nav pierādījies, ka ūdenstilpi skarošās ietekmes ir mainījušās, uzraudzības monitoringu veic par vienu no katriem trim upes baseina apsaimniekošanas plāniem.;”</w:t>
      </w:r>
    </w:p>
    <w:p w:rsidR="00CB6573" w:rsidRPr="003F33F9" w:rsidRDefault="00CB6573" w:rsidP="00CB6573">
      <w:pPr>
        <w:spacing w:before="120" w:after="120" w:line="360" w:lineRule="auto"/>
        <w:ind w:left="850" w:hanging="850"/>
        <w:rPr>
          <w:szCs w:val="24"/>
          <w:lang w:eastAsia="en-US"/>
        </w:rPr>
      </w:pPr>
      <w:r w:rsidRPr="003F33F9">
        <w:rPr>
          <w:szCs w:val="24"/>
          <w:lang w:eastAsia="en-US"/>
        </w:rPr>
        <w:t>(10)</w:t>
      </w:r>
      <w:r w:rsidRPr="003F33F9">
        <w:rPr>
          <w:szCs w:val="24"/>
          <w:lang w:eastAsia="en-US"/>
        </w:rPr>
        <w:tab/>
        <w:t>pielikuma 1.3.2. punktu groza šādi:</w:t>
      </w:r>
    </w:p>
    <w:p w:rsidR="00CB6573" w:rsidRPr="003F33F9" w:rsidRDefault="00CB6573" w:rsidP="00CB6573">
      <w:pPr>
        <w:spacing w:before="120" w:after="120" w:line="360" w:lineRule="auto"/>
        <w:ind w:left="1416" w:hanging="566"/>
        <w:rPr>
          <w:szCs w:val="24"/>
          <w:lang w:eastAsia="en-US"/>
        </w:rPr>
      </w:pPr>
      <w:r w:rsidRPr="003F33F9">
        <w:rPr>
          <w:szCs w:val="24"/>
          <w:lang w:eastAsia="en-US"/>
        </w:rPr>
        <w:t>“a)</w:t>
      </w:r>
      <w:r w:rsidRPr="003F33F9">
        <w:rPr>
          <w:szCs w:val="24"/>
          <w:lang w:eastAsia="en-US"/>
        </w:rPr>
        <w:tab/>
        <w:t>trešajā daļā “Monitoringa vietu izvēle” pirmo teikumu aizstāj ar šādu:</w:t>
      </w:r>
    </w:p>
    <w:p w:rsidR="00CB6573" w:rsidRPr="003F33F9" w:rsidRDefault="00CB6573" w:rsidP="00CB6573">
      <w:pPr>
        <w:spacing w:before="120" w:after="120" w:line="360" w:lineRule="auto"/>
        <w:ind w:left="1416"/>
        <w:rPr>
          <w:szCs w:val="24"/>
          <w:lang w:eastAsia="en-US"/>
        </w:rPr>
      </w:pPr>
      <w:r w:rsidRPr="003F33F9">
        <w:rPr>
          <w:szCs w:val="24"/>
          <w:lang w:eastAsia="en-US"/>
        </w:rPr>
        <w:br w:type="page"/>
      </w:r>
      <w:r w:rsidRPr="003F33F9">
        <w:rPr>
          <w:szCs w:val="24"/>
          <w:lang w:eastAsia="en-US"/>
        </w:rPr>
        <w:lastRenderedPageBreak/>
        <w:t>“Operatīvo monitoringu veic visām ūdenstilpēm, kuras, pamatojoties vai nu uz ietekmes novērtējumu, ko veic saskaņā ar II pielikumu, vai uzraudzības monitoringu, identificē par tādām, kurās pastāv risks, ka tās var neatbilst 4. pantā noteiktajiem vides aizsardzības mērķiem, kā arī tām ūdenstilpēm, kurās tiek novadītas vai citādā veidā ienestas prioritārā saraksta vielas vai kurās ievērojamos daudzumos tiek novadītas vai citādā veidā ienestas upes baseinam specifiskas piesārņojošās vielas.”;</w:t>
      </w:r>
    </w:p>
    <w:p w:rsidR="00CB6573" w:rsidRPr="003F33F9" w:rsidRDefault="00CB6573" w:rsidP="00CB6573">
      <w:pPr>
        <w:spacing w:before="120" w:after="120" w:line="360" w:lineRule="auto"/>
        <w:ind w:left="1416" w:hanging="566"/>
        <w:rPr>
          <w:szCs w:val="24"/>
          <w:lang w:eastAsia="en-US"/>
        </w:rPr>
      </w:pPr>
      <w:r w:rsidRPr="003F33F9">
        <w:rPr>
          <w:szCs w:val="24"/>
          <w:lang w:eastAsia="en-US"/>
        </w:rPr>
        <w:t>b)</w:t>
      </w:r>
      <w:r w:rsidRPr="003F33F9">
        <w:rPr>
          <w:szCs w:val="24"/>
          <w:lang w:eastAsia="en-US"/>
        </w:rPr>
        <w:tab/>
        <w:t>ceturtajā daļā “Kvalitātes faktoru izvēle” otro ievilkumu aizstāj ar šādu:</w:t>
      </w:r>
    </w:p>
    <w:p w:rsidR="00CB6573" w:rsidRPr="003F33F9" w:rsidRDefault="00CB6573" w:rsidP="00CB6573">
      <w:pPr>
        <w:spacing w:before="120" w:after="120" w:line="360" w:lineRule="auto"/>
        <w:ind w:left="1416"/>
        <w:rPr>
          <w:szCs w:val="24"/>
          <w:lang w:eastAsia="en-US"/>
        </w:rPr>
      </w:pPr>
      <w:r w:rsidRPr="003F33F9">
        <w:rPr>
          <w:szCs w:val="24"/>
          <w:lang w:eastAsia="en-US"/>
        </w:rPr>
        <w:t>“– visas prioritārās vielas, kas tiek novadītas vai citādā veidā ienestas ūdens objektos, un visas upes baseinam specifiskas piesārņojošās vielas, kas ievērojamos daudzumos tiek novadītas vai citādā veidā ienestas ūdens objektos,;”</w:t>
      </w:r>
    </w:p>
    <w:p w:rsidR="00CB6573" w:rsidRPr="003F33F9" w:rsidRDefault="00CB6573" w:rsidP="00CB6573">
      <w:pPr>
        <w:spacing w:before="120" w:after="120" w:line="360" w:lineRule="auto"/>
        <w:ind w:left="850" w:hanging="850"/>
        <w:rPr>
          <w:szCs w:val="24"/>
          <w:lang w:eastAsia="en-US"/>
        </w:rPr>
      </w:pPr>
      <w:r w:rsidRPr="003F33F9">
        <w:rPr>
          <w:b/>
          <w:i/>
          <w:szCs w:val="24"/>
          <w:lang w:eastAsia="en-US"/>
        </w:rPr>
        <w:br w:type="page"/>
      </w:r>
      <w:r w:rsidR="008347B2" w:rsidRPr="003F33F9">
        <w:rPr>
          <w:b/>
          <w:i/>
          <w:szCs w:val="24"/>
          <w:lang w:eastAsia="en-US"/>
        </w:rPr>
        <w:lastRenderedPageBreak/>
        <w:t>(</w:t>
      </w:r>
      <w:r w:rsidRPr="003F33F9">
        <w:rPr>
          <w:b/>
          <w:i/>
          <w:szCs w:val="24"/>
          <w:lang w:eastAsia="en-US"/>
        </w:rPr>
        <w:t>1</w:t>
      </w:r>
      <w:r w:rsidR="008347B2" w:rsidRPr="003F33F9">
        <w:rPr>
          <w:b/>
          <w:i/>
          <w:szCs w:val="24"/>
          <w:lang w:eastAsia="en-US"/>
        </w:rPr>
        <w:t>0a)</w:t>
      </w:r>
      <w:r w:rsidRPr="003F33F9">
        <w:rPr>
          <w:szCs w:val="24"/>
          <w:lang w:eastAsia="en-US"/>
        </w:rPr>
        <w:tab/>
      </w:r>
      <w:r w:rsidRPr="003F33F9">
        <w:rPr>
          <w:b/>
          <w:i/>
          <w:szCs w:val="24"/>
          <w:lang w:eastAsia="en-US"/>
        </w:rPr>
        <w:t>pielikuma 1.3.4. punkta 4. daļu groza šādi:</w:t>
      </w:r>
    </w:p>
    <w:p w:rsidR="00CB6573" w:rsidRPr="003F33F9" w:rsidRDefault="00CB6573" w:rsidP="00CB6573">
      <w:pPr>
        <w:spacing w:before="120" w:after="120" w:line="360" w:lineRule="auto"/>
        <w:ind w:left="850"/>
        <w:rPr>
          <w:b/>
          <w:szCs w:val="24"/>
          <w:lang w:eastAsia="en-US"/>
        </w:rPr>
      </w:pPr>
      <w:r w:rsidRPr="003F33F9">
        <w:rPr>
          <w:b/>
          <w:i/>
          <w:szCs w:val="24"/>
          <w:lang w:eastAsia="en-US"/>
        </w:rPr>
        <w:t>“Monitoringa biežumu izvēlas un vajadzības gadījumā palielina, ņemot vērā parametru mainīgumu, kā pamatā ir gan dabīgi, gan antropogēni nosacījumi. Turklāt laiku, kad veic monitoringu, izvēlas tā, lai ņemtu vērā gadalaiku svārstību (vielu izmantošanas un ūdens līmeņa izmaiņu ziņā) ietekmi uz stāvokļa novērtējumu un tādējādi nodrošinātu, ka rezultāti atspoguļo antropogēnā spiediena un klimatisko svārstību izraisītās izmaiņas ūdenstilpē. Attiecībā uz prioritārajām vielām, kuras jutīgi reaģē uz klimatiskajām svārstībām, un prioritārajām vielām, kuru koncentrācija var īsā laikā strauji palielināties to izmantošanas sezonālo svārstību dēļ, monitoringu veic biežāk nekā citām vielām.”</w:t>
      </w:r>
      <w:r w:rsidRPr="003F33F9">
        <w:rPr>
          <w:b/>
          <w:szCs w:val="24"/>
          <w:lang w:eastAsia="en-US"/>
        </w:rPr>
        <w:t xml:space="preserve"> </w:t>
      </w:r>
      <w:r w:rsidR="00D116DF" w:rsidRPr="003F33F9">
        <w:rPr>
          <w:b/>
          <w:szCs w:val="24"/>
          <w:lang w:eastAsia="en-US"/>
        </w:rPr>
        <w:t xml:space="preserve">[Gr. </w:t>
      </w:r>
      <w:r w:rsidRPr="003F33F9">
        <w:rPr>
          <w:b/>
          <w:szCs w:val="24"/>
          <w:lang w:eastAsia="en-US"/>
        </w:rPr>
        <w:t>139]</w:t>
      </w:r>
    </w:p>
    <w:p w:rsidR="00CB6573" w:rsidRPr="003F33F9" w:rsidRDefault="00CB6573" w:rsidP="00CB6573">
      <w:pPr>
        <w:spacing w:before="120" w:after="120" w:line="360" w:lineRule="auto"/>
        <w:ind w:left="850" w:hanging="850"/>
        <w:rPr>
          <w:szCs w:val="24"/>
          <w:lang w:eastAsia="en-US"/>
        </w:rPr>
      </w:pPr>
      <w:r w:rsidRPr="003F33F9">
        <w:rPr>
          <w:szCs w:val="24"/>
          <w:lang w:eastAsia="en-US"/>
        </w:rPr>
        <w:t>(11)</w:t>
      </w:r>
      <w:r w:rsidRPr="003F33F9">
        <w:rPr>
          <w:szCs w:val="24"/>
          <w:lang w:eastAsia="en-US"/>
        </w:rPr>
        <w:tab/>
        <w:t>pielikuma 1.3.4. punkta tabulā zem virsraksta “Fizikālķīmiskās kvalitātes faktors” sestajā rindā vārdus “Citas piesārņojošās vielas” aizstāj ar vārdiem “Upes baseinam specifiskas piesārņojošās vielas”;</w:t>
      </w:r>
    </w:p>
    <w:p w:rsidR="00CB6573" w:rsidRPr="003F33F9" w:rsidRDefault="00CB6573" w:rsidP="00CB6573">
      <w:pPr>
        <w:spacing w:before="120" w:after="120" w:line="360" w:lineRule="auto"/>
        <w:ind w:left="850" w:hanging="850"/>
        <w:rPr>
          <w:szCs w:val="24"/>
          <w:lang w:eastAsia="en-US"/>
        </w:rPr>
      </w:pPr>
      <w:r w:rsidRPr="003F33F9">
        <w:rPr>
          <w:szCs w:val="24"/>
          <w:lang w:eastAsia="en-US"/>
        </w:rPr>
        <w:br w:type="page"/>
      </w:r>
      <w:r w:rsidRPr="003F33F9">
        <w:rPr>
          <w:szCs w:val="24"/>
          <w:lang w:eastAsia="en-US"/>
        </w:rPr>
        <w:lastRenderedPageBreak/>
        <w:t>(12)</w:t>
      </w:r>
      <w:r w:rsidRPr="003F33F9">
        <w:rPr>
          <w:szCs w:val="24"/>
          <w:lang w:eastAsia="en-US"/>
        </w:rPr>
        <w:tab/>
        <w:t>pielikuma 1.4.1. punktu groza šādi:</w:t>
      </w:r>
    </w:p>
    <w:p w:rsidR="00CB6573" w:rsidRPr="003F33F9" w:rsidRDefault="00CB6573" w:rsidP="00CB6573">
      <w:pPr>
        <w:spacing w:before="120" w:after="120" w:line="360" w:lineRule="auto"/>
        <w:ind w:left="1416" w:hanging="566"/>
        <w:rPr>
          <w:szCs w:val="24"/>
          <w:lang w:eastAsia="en-US"/>
        </w:rPr>
      </w:pPr>
      <w:r w:rsidRPr="003F33F9">
        <w:rPr>
          <w:szCs w:val="24"/>
          <w:lang w:eastAsia="en-US"/>
        </w:rPr>
        <w:t>a)</w:t>
      </w:r>
      <w:r w:rsidRPr="003F33F9">
        <w:rPr>
          <w:szCs w:val="24"/>
          <w:lang w:eastAsia="en-US"/>
        </w:rPr>
        <w:tab/>
        <w:t>punkta vii) apakšpunktā svītro otro teikumu;</w:t>
      </w:r>
    </w:p>
    <w:p w:rsidR="00CB6573" w:rsidRPr="003F33F9" w:rsidRDefault="00CB6573" w:rsidP="00CB6573">
      <w:pPr>
        <w:spacing w:before="120" w:after="120" w:line="360" w:lineRule="auto"/>
        <w:ind w:left="1416" w:hanging="566"/>
        <w:rPr>
          <w:szCs w:val="24"/>
          <w:lang w:eastAsia="en-US"/>
        </w:rPr>
      </w:pPr>
      <w:r w:rsidRPr="003F33F9">
        <w:rPr>
          <w:szCs w:val="24"/>
          <w:lang w:eastAsia="en-US"/>
        </w:rPr>
        <w:t>b)</w:t>
      </w:r>
      <w:r w:rsidRPr="003F33F9">
        <w:rPr>
          <w:szCs w:val="24"/>
          <w:lang w:eastAsia="en-US"/>
        </w:rPr>
        <w:tab/>
        <w:t>punkta viii) apakšpunktu svītro;</w:t>
      </w:r>
    </w:p>
    <w:p w:rsidR="00CB6573" w:rsidRPr="003F33F9" w:rsidRDefault="00CB6573" w:rsidP="00CB6573">
      <w:pPr>
        <w:spacing w:before="120" w:after="120" w:line="360" w:lineRule="auto"/>
        <w:ind w:left="1416" w:hanging="566"/>
        <w:rPr>
          <w:szCs w:val="24"/>
          <w:lang w:eastAsia="en-US"/>
        </w:rPr>
      </w:pPr>
      <w:r w:rsidRPr="003F33F9">
        <w:rPr>
          <w:szCs w:val="24"/>
          <w:lang w:eastAsia="en-US"/>
        </w:rPr>
        <w:t>c)</w:t>
      </w:r>
      <w:r w:rsidRPr="003F33F9">
        <w:rPr>
          <w:szCs w:val="24"/>
          <w:lang w:eastAsia="en-US"/>
        </w:rPr>
        <w:tab/>
        <w:t>punkta ix) apakšpunktu aizstāj ar šādu:</w:t>
      </w:r>
    </w:p>
    <w:p w:rsidR="00CB6573" w:rsidRPr="003F33F9" w:rsidRDefault="00CB6573" w:rsidP="00CB6573">
      <w:pPr>
        <w:spacing w:before="120" w:after="120" w:line="360" w:lineRule="auto"/>
        <w:ind w:left="1982" w:hanging="566"/>
        <w:rPr>
          <w:szCs w:val="24"/>
          <w:lang w:eastAsia="en-US"/>
        </w:rPr>
      </w:pPr>
      <w:r w:rsidRPr="003F33F9">
        <w:rPr>
          <w:szCs w:val="24"/>
          <w:lang w:eastAsia="en-US"/>
        </w:rPr>
        <w:t>“ix)</w:t>
      </w:r>
      <w:r w:rsidRPr="003F33F9">
        <w:rPr>
          <w:szCs w:val="24"/>
          <w:lang w:eastAsia="en-US"/>
        </w:rPr>
        <w:tab/>
        <w:t>Savstarpēji salīdzinošās kalibrēšanas rezultātus, kā arī vērtības, kas dalībvalstu monitoringa sistēmu klasificēšanas vajadzībām noteiktas saskaņā ar i)–viii) punktu, publicē sešu mēnešu laikā pēc tam, kad saskaņā ar 20. pantu pieņemts deleģētais akts.;”</w:t>
      </w:r>
    </w:p>
    <w:p w:rsidR="00CB6573" w:rsidRPr="003F33F9" w:rsidRDefault="00CB6573" w:rsidP="00CB6573">
      <w:pPr>
        <w:spacing w:before="120" w:after="120" w:line="360" w:lineRule="auto"/>
        <w:ind w:left="850" w:hanging="850"/>
        <w:rPr>
          <w:szCs w:val="24"/>
          <w:lang w:eastAsia="en-US"/>
        </w:rPr>
      </w:pPr>
      <w:r w:rsidRPr="003F33F9">
        <w:rPr>
          <w:szCs w:val="24"/>
          <w:lang w:eastAsia="en-US"/>
        </w:rPr>
        <w:t>(13)</w:t>
      </w:r>
      <w:r w:rsidRPr="003F33F9">
        <w:rPr>
          <w:szCs w:val="24"/>
          <w:lang w:eastAsia="en-US"/>
        </w:rPr>
        <w:tab/>
        <w:t>pielikuma 1.4.2. punktā svītro iii) apakšpunktu;</w:t>
      </w:r>
    </w:p>
    <w:p w:rsidR="00CB6573" w:rsidRPr="003F33F9" w:rsidRDefault="00CB6573" w:rsidP="00CB6573">
      <w:pPr>
        <w:spacing w:before="120" w:after="120" w:line="360" w:lineRule="auto"/>
        <w:ind w:left="850" w:hanging="850"/>
        <w:rPr>
          <w:szCs w:val="24"/>
          <w:lang w:eastAsia="en-US"/>
        </w:rPr>
      </w:pPr>
      <w:r w:rsidRPr="003F33F9">
        <w:rPr>
          <w:szCs w:val="24"/>
          <w:lang w:eastAsia="en-US"/>
        </w:rPr>
        <w:t>(14)</w:t>
      </w:r>
      <w:r w:rsidRPr="003F33F9">
        <w:rPr>
          <w:szCs w:val="24"/>
          <w:lang w:eastAsia="en-US"/>
        </w:rPr>
        <w:tab/>
        <w:t>pielikuma 1.4.3. punkta pirmās daļas pirmo teikumu aizstāj ar šādu:</w:t>
      </w:r>
    </w:p>
    <w:p w:rsidR="00CB6573" w:rsidRPr="003F33F9" w:rsidRDefault="00CB6573" w:rsidP="00CB6573">
      <w:pPr>
        <w:spacing w:before="120" w:after="120" w:line="360" w:lineRule="auto"/>
        <w:ind w:left="850"/>
        <w:rPr>
          <w:szCs w:val="24"/>
          <w:lang w:eastAsia="en-US"/>
        </w:rPr>
      </w:pPr>
      <w:r w:rsidRPr="003F33F9">
        <w:rPr>
          <w:szCs w:val="24"/>
          <w:lang w:eastAsia="en-US"/>
        </w:rPr>
        <w:t>“Ja ūdens objekts atbilst visiem vides kvalitātes standartiem, kas noteikti Direktīvas 2008/105/EK I pielikuma A daļā, un vides kvalitātes standartiem, kas noteikti saskaņā ar minētās direktīvas 8. un 8.d pantu, šo ūdens objektu reģistrē kā tādu, kas ir sasniedzis labus ķīmiskās kvalitātes rādītājus.;”</w:t>
      </w:r>
    </w:p>
    <w:p w:rsidR="00CB6573" w:rsidRPr="003F33F9" w:rsidRDefault="00CB6573" w:rsidP="00CB6573">
      <w:pPr>
        <w:spacing w:before="120" w:after="120" w:line="360" w:lineRule="auto"/>
        <w:ind w:left="850" w:hanging="850"/>
        <w:rPr>
          <w:szCs w:val="24"/>
          <w:lang w:eastAsia="en-US"/>
        </w:rPr>
      </w:pPr>
      <w:r w:rsidRPr="003F33F9">
        <w:rPr>
          <w:szCs w:val="24"/>
          <w:lang w:eastAsia="en-US"/>
        </w:rPr>
        <w:br w:type="page"/>
      </w:r>
      <w:r w:rsidRPr="003F33F9">
        <w:rPr>
          <w:szCs w:val="24"/>
          <w:lang w:eastAsia="en-US"/>
        </w:rPr>
        <w:lastRenderedPageBreak/>
        <w:t>(15)</w:t>
      </w:r>
      <w:r w:rsidRPr="003F33F9">
        <w:rPr>
          <w:szCs w:val="24"/>
          <w:lang w:eastAsia="en-US"/>
        </w:rPr>
        <w:tab/>
        <w:t>pielikuma 2.2.1. punktā pievieno šādu daļu:</w:t>
      </w:r>
    </w:p>
    <w:p w:rsidR="00CB6573" w:rsidRPr="003F33F9" w:rsidRDefault="00CB6573" w:rsidP="00CB6573">
      <w:pPr>
        <w:spacing w:before="120" w:after="120" w:line="360" w:lineRule="auto"/>
        <w:ind w:left="850"/>
        <w:rPr>
          <w:szCs w:val="24"/>
          <w:lang w:eastAsia="en-US"/>
        </w:rPr>
      </w:pPr>
      <w:r w:rsidRPr="003F33F9">
        <w:rPr>
          <w:szCs w:val="24"/>
          <w:lang w:eastAsia="en-US"/>
        </w:rPr>
        <w:t>“Ja vietēju paraugu ņemšanas punktu vietā monitoringa tīkls paredz izmantot zemes novērošanas metodes vai attālo uzrādi, vai citus novatoriskus paņēmienus, jānorāda, kādi CEN, ISO vai citi starptautiski vai nacionāli standarti pielietoti, lai nodrošinātu, ka iegūtie laiciskie un telpiskie dati ir tikpat ticami kā tie, kas ar ierastām monitoringa metodēm iegūti vietējos paraugu ņemšanas punktos.;”</w:t>
      </w:r>
    </w:p>
    <w:p w:rsidR="00CB6573" w:rsidRPr="003F33F9" w:rsidRDefault="00CB6573" w:rsidP="00CB6573">
      <w:pPr>
        <w:spacing w:before="120" w:after="120" w:line="360" w:lineRule="auto"/>
        <w:ind w:left="850" w:hanging="850"/>
        <w:rPr>
          <w:szCs w:val="24"/>
          <w:lang w:eastAsia="en-US"/>
        </w:rPr>
      </w:pPr>
      <w:r w:rsidRPr="003F33F9">
        <w:rPr>
          <w:szCs w:val="24"/>
          <w:lang w:eastAsia="en-US"/>
        </w:rPr>
        <w:br w:type="page"/>
      </w:r>
      <w:r w:rsidRPr="003F33F9">
        <w:rPr>
          <w:szCs w:val="24"/>
          <w:lang w:eastAsia="en-US"/>
        </w:rPr>
        <w:lastRenderedPageBreak/>
        <w:t>(16)</w:t>
      </w:r>
      <w:r w:rsidRPr="003F33F9">
        <w:rPr>
          <w:szCs w:val="24"/>
          <w:lang w:eastAsia="en-US"/>
        </w:rPr>
        <w:tab/>
        <w:t>pielikuma 2.3.2. punktu aizstāj ar šādu:</w:t>
      </w:r>
    </w:p>
    <w:p w:rsidR="00CB6573" w:rsidRPr="003F33F9" w:rsidRDefault="00CB6573" w:rsidP="00CB6573">
      <w:pPr>
        <w:spacing w:before="120" w:after="120" w:line="360" w:lineRule="auto"/>
        <w:ind w:left="1416" w:hanging="566"/>
        <w:rPr>
          <w:szCs w:val="24"/>
          <w:lang w:eastAsia="en-US"/>
        </w:rPr>
      </w:pPr>
      <w:r w:rsidRPr="003F33F9">
        <w:rPr>
          <w:szCs w:val="24"/>
          <w:lang w:eastAsia="en-US"/>
        </w:rPr>
        <w:t>“2.3.2.</w:t>
      </w:r>
      <w:r w:rsidRPr="003F33F9">
        <w:rPr>
          <w:szCs w:val="24"/>
          <w:lang w:eastAsia="en-US"/>
        </w:rPr>
        <w:tab/>
        <w:t>“Labu gruntsūdeņu ķīmiskās kvalitātes rādītāju definīcija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39"/>
        <w:gridCol w:w="7226"/>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Faktori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Labi rādītāji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Vispārējie apstākļi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Gruntsūdens objekta ķīmiskais sastāvs ir tāds, ka piesārņojošo vielu koncentrācijas: – kā precizēts tālāk, nerada sālsūdens vai citu vielu ieplūšanas sekas, – nepārsniedz gruntsūdeņu kvalitātes standartus, kas norādīti Direktīvas 2006/118/EK I pielikumā, gruntsūdeņus piesārņojošo vielu robežvērtības un piesārņojuma rādītājus, kas noteikti saskaņā ar minētās direktīvas 3. panta 1. punkta b) apakšpunktu, un Savienības mēroga robežvērtības, kas noteiktas saskaņā ar minētās direktīvas 8. panta 3. punktu, – nav tādas, kuru rezultātā nebūtu iespējams sasniegt vides aizsardzības mērķus, kas 4. pantā precizēti attiecībā uz saistītiem virszemes ūdeņiem, nedz arī izraisa jebkādu būtisku šādu gruntsūdens objektu ekoloģiskās vai ķīmiskās kvalitātes rādītāju pazemināšanos vai jebkādu būtisku kaitējumu sauszemes ekosistēmām, kuras no konkrētā gruntsūdens objekta ir tiešā veidā atkarīgas.</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Vadītspēja</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Vadītspējas izmaiņas neuzrāda sāļu vai citu vielu iekļūšanu gruntsūdens objektā”;</w:t>
            </w:r>
          </w:p>
        </w:tc>
      </w:tr>
    </w:tbl>
    <w:p w:rsidR="00CB6573" w:rsidRPr="003F33F9" w:rsidRDefault="00CB6573" w:rsidP="00CB6573">
      <w:pPr>
        <w:spacing w:before="120" w:after="120" w:line="360" w:lineRule="auto"/>
        <w:ind w:left="850" w:hanging="850"/>
        <w:rPr>
          <w:szCs w:val="24"/>
          <w:lang w:eastAsia="en-US"/>
        </w:rPr>
      </w:pPr>
      <w:r w:rsidRPr="003F33F9">
        <w:rPr>
          <w:szCs w:val="24"/>
          <w:lang w:eastAsia="en-US"/>
        </w:rPr>
        <w:br w:type="page"/>
      </w:r>
      <w:r w:rsidRPr="003F33F9">
        <w:rPr>
          <w:szCs w:val="24"/>
          <w:lang w:eastAsia="en-US"/>
        </w:rPr>
        <w:lastRenderedPageBreak/>
        <w:t>(17)</w:t>
      </w:r>
      <w:r w:rsidRPr="003F33F9">
        <w:rPr>
          <w:szCs w:val="24"/>
          <w:lang w:eastAsia="en-US"/>
        </w:rPr>
        <w:tab/>
        <w:t>pielikuma 2.4.1. punktā pievieno šādu daļu:</w:t>
      </w:r>
    </w:p>
    <w:p w:rsidR="00CB6573" w:rsidRPr="003F33F9" w:rsidRDefault="00CB6573" w:rsidP="00CB6573">
      <w:pPr>
        <w:spacing w:before="120" w:after="120" w:line="360" w:lineRule="auto"/>
        <w:ind w:left="850"/>
        <w:rPr>
          <w:szCs w:val="24"/>
          <w:lang w:eastAsia="en-US"/>
        </w:rPr>
      </w:pPr>
      <w:r w:rsidRPr="003F33F9">
        <w:rPr>
          <w:szCs w:val="24"/>
          <w:lang w:eastAsia="en-US"/>
        </w:rPr>
        <w:t>“Ja vietēju paraugu ņemšanas punktu vietā monitoringa tīkls paredz izmantot zemes novērošanu vai attālo uzrādi, vai citus novatoriskus paņēmienus, jānorāda, kādi CEN, ISO vai citi starptautiski vai nacionāli standarti pielietoti, lai nodrošinātu, ka iegūtie laiciskie un telpiskie dati ir tikpat ticami kā tie, kas ar ierastām monitoringa metodēm iegūti vietējos paraugu ņemšanas punktos.;”</w:t>
      </w:r>
    </w:p>
    <w:p w:rsidR="00CB6573" w:rsidRPr="003F33F9" w:rsidRDefault="00CB6573" w:rsidP="00CB6573">
      <w:pPr>
        <w:spacing w:before="120" w:after="120" w:line="360" w:lineRule="auto"/>
        <w:ind w:left="850" w:hanging="850"/>
        <w:rPr>
          <w:szCs w:val="24"/>
          <w:lang w:eastAsia="en-US"/>
        </w:rPr>
      </w:pPr>
      <w:r w:rsidRPr="003F33F9">
        <w:rPr>
          <w:szCs w:val="24"/>
          <w:lang w:eastAsia="en-US"/>
        </w:rPr>
        <w:t>(18)</w:t>
      </w:r>
      <w:r w:rsidRPr="003F33F9">
        <w:rPr>
          <w:szCs w:val="24"/>
          <w:lang w:eastAsia="en-US"/>
        </w:rPr>
        <w:tab/>
        <w:t>pielikuma 2.4.5. punktu aizstāj ar šādu:</w:t>
      </w:r>
    </w:p>
    <w:p w:rsidR="00CB6573" w:rsidRPr="003F33F9" w:rsidRDefault="00CB6573" w:rsidP="00CB6573">
      <w:pPr>
        <w:spacing w:before="120" w:after="120" w:line="360" w:lineRule="auto"/>
        <w:ind w:left="1416" w:hanging="566"/>
        <w:rPr>
          <w:szCs w:val="24"/>
          <w:lang w:eastAsia="en-US"/>
        </w:rPr>
      </w:pPr>
      <w:r w:rsidRPr="003F33F9">
        <w:rPr>
          <w:szCs w:val="24"/>
          <w:lang w:eastAsia="en-US"/>
        </w:rPr>
        <w:t>“2.4.5.</w:t>
      </w:r>
      <w:r w:rsidRPr="003F33F9">
        <w:rPr>
          <w:szCs w:val="24"/>
          <w:lang w:eastAsia="en-US"/>
        </w:rPr>
        <w:tab/>
        <w:t>Gruntsūdeņu ķīmiskās kvalitātes rādītāju interpretēšana un noformēšana</w:t>
      </w:r>
    </w:p>
    <w:p w:rsidR="00CB6573" w:rsidRPr="003F33F9" w:rsidRDefault="00CB6573" w:rsidP="00CB6573">
      <w:pPr>
        <w:spacing w:before="120" w:after="120" w:line="360" w:lineRule="auto"/>
        <w:ind w:left="1416"/>
        <w:rPr>
          <w:szCs w:val="24"/>
          <w:lang w:eastAsia="en-US"/>
        </w:rPr>
      </w:pPr>
      <w:r w:rsidRPr="003F33F9">
        <w:rPr>
          <w:szCs w:val="24"/>
          <w:lang w:eastAsia="en-US"/>
        </w:rPr>
        <w:t>Kad novērtē gruntsūdeņu ķīmiskās kvalitātes rādītājus, individuālu gruntsūdens objekta monitoringa punktu rezultātus agregē par objektu kopumā. Monitoringa rezultātu vidējo vērtību katram gruntsūdens objekta vai objektu grupas punktam aprēķina šādiem parametriem:</w:t>
      </w:r>
    </w:p>
    <w:p w:rsidR="00CB6573" w:rsidRPr="003F33F9" w:rsidRDefault="00CB6573" w:rsidP="00CB6573">
      <w:pPr>
        <w:spacing w:before="120" w:after="120" w:line="360" w:lineRule="auto"/>
        <w:ind w:left="1982" w:hanging="566"/>
        <w:rPr>
          <w:szCs w:val="24"/>
          <w:lang w:eastAsia="en-US"/>
        </w:rPr>
      </w:pPr>
      <w:r w:rsidRPr="003F33F9">
        <w:rPr>
          <w:szCs w:val="24"/>
          <w:lang w:eastAsia="en-US"/>
        </w:rPr>
        <w:br w:type="page"/>
      </w:r>
      <w:r w:rsidRPr="003F33F9">
        <w:rPr>
          <w:szCs w:val="24"/>
          <w:lang w:eastAsia="en-US"/>
        </w:rPr>
        <w:lastRenderedPageBreak/>
        <w:t>a)</w:t>
      </w:r>
      <w:r w:rsidRPr="003F33F9">
        <w:rPr>
          <w:szCs w:val="24"/>
          <w:lang w:eastAsia="en-US"/>
        </w:rPr>
        <w:tab/>
        <w:t>ķīmiskie parametri, kuru kvalitātes standarti noteikti Direktīvas 2006/118/EK I pielikumā;</w:t>
      </w:r>
    </w:p>
    <w:p w:rsidR="00CB6573" w:rsidRPr="003F33F9" w:rsidRDefault="00CB6573" w:rsidP="00CB6573">
      <w:pPr>
        <w:spacing w:before="120" w:after="120" w:line="360" w:lineRule="auto"/>
        <w:ind w:left="1982" w:hanging="566"/>
        <w:rPr>
          <w:szCs w:val="24"/>
          <w:lang w:eastAsia="en-US"/>
        </w:rPr>
      </w:pPr>
      <w:r w:rsidRPr="003F33F9">
        <w:rPr>
          <w:szCs w:val="24"/>
          <w:lang w:eastAsia="en-US"/>
        </w:rPr>
        <w:t>b)</w:t>
      </w:r>
      <w:r w:rsidRPr="003F33F9">
        <w:rPr>
          <w:szCs w:val="24"/>
          <w:lang w:eastAsia="en-US"/>
        </w:rPr>
        <w:tab/>
        <w:t>ķīmiskie parametri, kuriem ir saskaņā ar Direktīvas 2006/118/EK 3. panta 1. punkta b) apakšpunktu noteiktas valsts robežvērtības;</w:t>
      </w:r>
    </w:p>
    <w:p w:rsidR="00CB6573" w:rsidRPr="003F33F9" w:rsidRDefault="00CB6573" w:rsidP="00CB6573">
      <w:pPr>
        <w:spacing w:before="120" w:after="120" w:line="360" w:lineRule="auto"/>
        <w:ind w:left="1982" w:hanging="566"/>
        <w:rPr>
          <w:szCs w:val="24"/>
          <w:lang w:eastAsia="en-US"/>
        </w:rPr>
      </w:pPr>
      <w:r w:rsidRPr="003F33F9">
        <w:rPr>
          <w:szCs w:val="24"/>
          <w:lang w:eastAsia="en-US"/>
        </w:rPr>
        <w:t>c)</w:t>
      </w:r>
      <w:r w:rsidRPr="003F33F9">
        <w:rPr>
          <w:szCs w:val="24"/>
          <w:lang w:eastAsia="en-US"/>
        </w:rPr>
        <w:tab/>
        <w:t>ķīmiskie parametri, kuriem ir saskaņā ar Direktīvas 2006/118/EK 8. panta 3. punktu noteiktas Savienības mēroga robežvērtības.</w:t>
      </w:r>
    </w:p>
    <w:p w:rsidR="00CB6573" w:rsidRPr="003F33F9" w:rsidRDefault="00CB6573" w:rsidP="00CB6573">
      <w:pPr>
        <w:spacing w:before="120" w:after="120" w:line="360" w:lineRule="auto"/>
        <w:ind w:left="1416"/>
        <w:rPr>
          <w:szCs w:val="24"/>
          <w:lang w:eastAsia="en-US"/>
        </w:rPr>
      </w:pPr>
      <w:r w:rsidRPr="003F33F9">
        <w:rPr>
          <w:szCs w:val="24"/>
          <w:lang w:eastAsia="en-US"/>
        </w:rPr>
        <w:t>Pirmajā daļā minētās vidējās vērtības izmanto, lai pierādītu atbilstību labiem gruntsūdeņu ķīmiskās kvalitātes rādītājiem, kas noteikti ar atsauci uz pirmajā daļā minētajiem kvalitātes standartiem un robežvērtībām.</w:t>
      </w:r>
    </w:p>
    <w:p w:rsidR="00CB6573" w:rsidRPr="003F33F9" w:rsidRDefault="00CB6573" w:rsidP="00CB6573">
      <w:pPr>
        <w:spacing w:before="120" w:after="120" w:line="360" w:lineRule="auto"/>
        <w:ind w:left="1416"/>
        <w:rPr>
          <w:szCs w:val="24"/>
          <w:lang w:eastAsia="en-US"/>
        </w:rPr>
      </w:pPr>
      <w:r w:rsidRPr="003F33F9">
        <w:rPr>
          <w:szCs w:val="24"/>
          <w:lang w:eastAsia="en-US"/>
        </w:rPr>
        <w:t>Pildot 2.5. punkta prasību, dalībvalstis iesniedz gruntsūdeņu ķīmiskās kvalitātes rādītāju karti, kurā izmantots tālāk norādītais krāsu kods.</w:t>
      </w:r>
    </w:p>
    <w:p w:rsidR="00CB6573" w:rsidRPr="003F33F9" w:rsidRDefault="00CB6573" w:rsidP="00CB6573">
      <w:pPr>
        <w:spacing w:before="120" w:after="120" w:line="360" w:lineRule="auto"/>
        <w:ind w:left="1416"/>
        <w:rPr>
          <w:szCs w:val="24"/>
          <w:lang w:eastAsia="en-US"/>
        </w:rPr>
      </w:pPr>
      <w:r w:rsidRPr="003F33F9">
        <w:rPr>
          <w:szCs w:val="24"/>
          <w:lang w:eastAsia="en-US"/>
        </w:rPr>
        <w:t>Labi rādītāji: zaļš</w:t>
      </w:r>
    </w:p>
    <w:p w:rsidR="00CB6573" w:rsidRPr="003F33F9" w:rsidRDefault="00CB6573" w:rsidP="00CB6573">
      <w:pPr>
        <w:spacing w:before="120" w:after="120" w:line="360" w:lineRule="auto"/>
        <w:ind w:left="1416"/>
        <w:rPr>
          <w:szCs w:val="24"/>
          <w:lang w:eastAsia="en-US"/>
        </w:rPr>
      </w:pPr>
      <w:r w:rsidRPr="003F33F9">
        <w:rPr>
          <w:szCs w:val="24"/>
          <w:lang w:eastAsia="en-US"/>
        </w:rPr>
        <w:t>Vāji rādītāji: sarkans</w:t>
      </w:r>
    </w:p>
    <w:p w:rsidR="00CB6573" w:rsidRPr="003F33F9" w:rsidRDefault="00CB6573" w:rsidP="00CB6573">
      <w:pPr>
        <w:spacing w:before="120" w:after="120" w:line="360" w:lineRule="auto"/>
        <w:ind w:left="1416"/>
        <w:rPr>
          <w:b/>
          <w:szCs w:val="24"/>
          <w:lang w:eastAsia="en-US"/>
        </w:rPr>
      </w:pPr>
      <w:r w:rsidRPr="003F33F9">
        <w:rPr>
          <w:strike/>
          <w:szCs w:val="24"/>
          <w:lang w:eastAsia="en-US"/>
        </w:rPr>
        <w:br w:type="page"/>
      </w:r>
      <w:r w:rsidRPr="003F33F9">
        <w:rPr>
          <w:strike/>
          <w:szCs w:val="24"/>
          <w:lang w:eastAsia="en-US"/>
        </w:rPr>
        <w:lastRenderedPageBreak/>
        <w:t>Ar melnu punktu</w:t>
      </w:r>
      <w:r w:rsidRPr="003F33F9">
        <w:rPr>
          <w:b/>
          <w:i/>
          <w:szCs w:val="24"/>
          <w:lang w:eastAsia="en-US"/>
        </w:rPr>
        <w:t>Turklāt</w:t>
      </w:r>
      <w:r w:rsidRPr="003F33F9">
        <w:rPr>
          <w:szCs w:val="24"/>
          <w:lang w:eastAsia="en-US"/>
        </w:rPr>
        <w:t xml:space="preserve"> dalībvalstis kartē </w:t>
      </w:r>
      <w:r w:rsidRPr="003F33F9">
        <w:rPr>
          <w:strike/>
          <w:szCs w:val="24"/>
          <w:lang w:eastAsia="en-US"/>
        </w:rPr>
        <w:t>turklāt</w:t>
      </w:r>
      <w:r w:rsidRPr="003F33F9">
        <w:rPr>
          <w:b/>
          <w:i/>
          <w:szCs w:val="24"/>
          <w:lang w:eastAsia="en-US"/>
        </w:rPr>
        <w:t>ar melnu punktu</w:t>
      </w:r>
      <w:r w:rsidRPr="003F33F9">
        <w:rPr>
          <w:szCs w:val="24"/>
          <w:lang w:eastAsia="en-US"/>
        </w:rPr>
        <w:t xml:space="preserve"> atzīmē gruntsūdens objektus, kuros konstatēta būtiska un stabila jebkādu piesārņojošu vielu koncentrācijas palielināšanās tendence</w:t>
      </w:r>
      <w:r w:rsidRPr="003F33F9">
        <w:rPr>
          <w:b/>
          <w:i/>
          <w:szCs w:val="24"/>
          <w:lang w:eastAsia="en-US"/>
        </w:rPr>
        <w:t xml:space="preserve"> (arī sezonāla augšupēja tendence, kuru cita starpā izraisījusi vāja ūdenstilpes notece)</w:t>
      </w:r>
      <w:r w:rsidRPr="003F33F9">
        <w:rPr>
          <w:szCs w:val="24"/>
          <w:lang w:eastAsia="en-US"/>
        </w:rPr>
        <w:t>, ko izraisījusi cilvēka darbības ietekme. Tendences mazināšanos kartē norāda ar zilu punktu.</w:t>
      </w:r>
      <w:r w:rsidRPr="003F33F9">
        <w:rPr>
          <w:b/>
          <w:szCs w:val="24"/>
          <w:lang w:eastAsia="en-US"/>
        </w:rPr>
        <w:t xml:space="preserve"> </w:t>
      </w:r>
      <w:r w:rsidR="00D116DF" w:rsidRPr="003F33F9">
        <w:rPr>
          <w:b/>
          <w:szCs w:val="24"/>
          <w:lang w:eastAsia="en-US"/>
        </w:rPr>
        <w:t xml:space="preserve">[Gr. </w:t>
      </w:r>
      <w:r w:rsidRPr="003F33F9">
        <w:rPr>
          <w:b/>
          <w:szCs w:val="24"/>
          <w:lang w:eastAsia="en-US"/>
        </w:rPr>
        <w:t>140]</w:t>
      </w:r>
    </w:p>
    <w:p w:rsidR="00CB6573" w:rsidRPr="003F33F9" w:rsidRDefault="00CB6573" w:rsidP="00CB6573">
      <w:pPr>
        <w:spacing w:before="120" w:after="120" w:line="360" w:lineRule="auto"/>
        <w:ind w:left="1416"/>
        <w:rPr>
          <w:szCs w:val="24"/>
          <w:lang w:eastAsia="en-US"/>
        </w:rPr>
      </w:pPr>
      <w:r w:rsidRPr="003F33F9">
        <w:rPr>
          <w:szCs w:val="24"/>
          <w:lang w:eastAsia="en-US"/>
        </w:rPr>
        <w:t>Šīs kartes iekļauj upes baseina apsaimniekošanas plānos..”</w:t>
      </w:r>
    </w:p>
    <w:p w:rsidR="00CB6573" w:rsidRPr="003F33F9" w:rsidRDefault="00CB6573" w:rsidP="00CB6573">
      <w:pPr>
        <w:spacing w:before="120" w:after="120" w:line="360" w:lineRule="auto"/>
        <w:rPr>
          <w:szCs w:val="24"/>
          <w:lang w:eastAsia="en-US"/>
        </w:rPr>
        <w:sectPr w:rsidR="00CB6573" w:rsidRPr="003F33F9" w:rsidSect="008347B2">
          <w:pgSz w:w="11909" w:h="16834"/>
          <w:pgMar w:top="1134" w:right="1417" w:bottom="1417" w:left="1417" w:header="1134" w:footer="567" w:gutter="0"/>
          <w:cols w:space="720"/>
          <w:docGrid w:linePitch="326"/>
        </w:sectPr>
      </w:pPr>
    </w:p>
    <w:p w:rsidR="00CB6573" w:rsidRPr="003F33F9" w:rsidRDefault="00CB6573" w:rsidP="00CB6573">
      <w:pPr>
        <w:spacing w:before="120" w:after="120" w:line="360" w:lineRule="auto"/>
        <w:rPr>
          <w:szCs w:val="24"/>
          <w:lang w:eastAsia="en-US"/>
        </w:rPr>
      </w:pPr>
    </w:p>
    <w:p w:rsidR="00CB6573" w:rsidRPr="003F33F9" w:rsidRDefault="00CB6573" w:rsidP="00CB6573">
      <w:pPr>
        <w:spacing w:before="120" w:after="120" w:line="360" w:lineRule="auto"/>
        <w:jc w:val="center"/>
        <w:rPr>
          <w:lang w:eastAsia="en-US"/>
        </w:rPr>
      </w:pPr>
      <w:r w:rsidRPr="003F33F9">
        <w:rPr>
          <w:lang w:eastAsia="en-US"/>
        </w:rPr>
        <w:t>II PIELIKUMS</w:t>
      </w:r>
    </w:p>
    <w:p w:rsidR="00CB6573" w:rsidRPr="003F33F9" w:rsidRDefault="00CB6573" w:rsidP="00CB6573">
      <w:pPr>
        <w:spacing w:before="120" w:after="120" w:line="360" w:lineRule="auto"/>
        <w:rPr>
          <w:szCs w:val="24"/>
          <w:lang w:eastAsia="en-US"/>
        </w:rPr>
      </w:pPr>
      <w:r w:rsidRPr="003F33F9">
        <w:rPr>
          <w:szCs w:val="24"/>
          <w:lang w:eastAsia="en-US"/>
        </w:rPr>
        <w:t>Direktīvas 2000/60/EK VIII pielikumu groza šādi:</w:t>
      </w:r>
    </w:p>
    <w:p w:rsidR="00CB6573" w:rsidRPr="003F33F9" w:rsidRDefault="00CB6573" w:rsidP="00CB6573">
      <w:pPr>
        <w:spacing w:before="120" w:after="120" w:line="360" w:lineRule="auto"/>
        <w:ind w:left="850" w:hanging="850"/>
        <w:rPr>
          <w:szCs w:val="24"/>
          <w:lang w:eastAsia="en-US"/>
        </w:rPr>
      </w:pPr>
      <w:r w:rsidRPr="003F33F9">
        <w:rPr>
          <w:szCs w:val="24"/>
          <w:lang w:eastAsia="en-US"/>
        </w:rPr>
        <w:t>1)</w:t>
      </w:r>
      <w:r w:rsidRPr="003F33F9">
        <w:rPr>
          <w:szCs w:val="24"/>
          <w:lang w:eastAsia="en-US"/>
        </w:rPr>
        <w:tab/>
        <w:t>pielikuma 10. punktu aizstāj ar šādu:</w:t>
      </w:r>
    </w:p>
    <w:p w:rsidR="00CB6573" w:rsidRPr="003F33F9" w:rsidRDefault="00CB6573" w:rsidP="00CB6573">
      <w:pPr>
        <w:spacing w:before="120" w:after="120" w:line="360" w:lineRule="auto"/>
        <w:ind w:left="1416" w:hanging="566"/>
        <w:rPr>
          <w:b/>
          <w:szCs w:val="24"/>
          <w:lang w:eastAsia="en-US"/>
        </w:rPr>
      </w:pPr>
      <w:r w:rsidRPr="003F33F9">
        <w:rPr>
          <w:szCs w:val="24"/>
          <w:lang w:eastAsia="en-US"/>
        </w:rPr>
        <w:t>“10.</w:t>
      </w:r>
      <w:r w:rsidRPr="003F33F9">
        <w:rPr>
          <w:szCs w:val="24"/>
          <w:lang w:eastAsia="en-US"/>
        </w:rPr>
        <w:tab/>
        <w:t xml:space="preserve"> Suspendēti materiāli, arī mikro/nanoplastmasa</w:t>
      </w:r>
      <w:r w:rsidRPr="003F33F9">
        <w:rPr>
          <w:strike/>
          <w:szCs w:val="24"/>
          <w:lang w:eastAsia="en-US"/>
        </w:rPr>
        <w:t>.</w:t>
      </w:r>
      <w:r w:rsidRPr="003F33F9">
        <w:rPr>
          <w:b/>
          <w:i/>
          <w:szCs w:val="24"/>
          <w:lang w:eastAsia="en-US"/>
        </w:rPr>
        <w:t>, kā arī materiāli, par kuriem zināms, ka no tiem rodas mikroplastmasa vai nanoplastmasa</w:t>
      </w:r>
      <w:r w:rsidRPr="003F33F9">
        <w:rPr>
          <w:szCs w:val="24"/>
          <w:lang w:eastAsia="en-US"/>
        </w:rPr>
        <w:t>;”</w:t>
      </w:r>
      <w:r w:rsidRPr="003F33F9">
        <w:rPr>
          <w:b/>
          <w:szCs w:val="24"/>
          <w:lang w:eastAsia="en-US"/>
        </w:rPr>
        <w:t xml:space="preserve"> </w:t>
      </w:r>
      <w:r w:rsidR="00D116DF" w:rsidRPr="003F33F9">
        <w:rPr>
          <w:b/>
          <w:szCs w:val="24"/>
          <w:lang w:eastAsia="en-US"/>
        </w:rPr>
        <w:t xml:space="preserve">[Gr. </w:t>
      </w:r>
      <w:r w:rsidRPr="003F33F9">
        <w:rPr>
          <w:b/>
          <w:szCs w:val="24"/>
          <w:lang w:eastAsia="en-US"/>
        </w:rPr>
        <w:t>141]</w:t>
      </w:r>
    </w:p>
    <w:p w:rsidR="00CB6573" w:rsidRPr="003F33F9" w:rsidRDefault="00CB6573" w:rsidP="00CB6573">
      <w:pPr>
        <w:spacing w:before="120" w:after="120" w:line="360" w:lineRule="auto"/>
        <w:ind w:left="850" w:hanging="850"/>
        <w:rPr>
          <w:szCs w:val="24"/>
          <w:lang w:eastAsia="en-US"/>
        </w:rPr>
      </w:pPr>
      <w:r w:rsidRPr="003F33F9">
        <w:rPr>
          <w:szCs w:val="24"/>
          <w:lang w:eastAsia="en-US"/>
        </w:rPr>
        <w:t>2)</w:t>
      </w:r>
      <w:r w:rsidRPr="003F33F9">
        <w:rPr>
          <w:szCs w:val="24"/>
          <w:lang w:eastAsia="en-US"/>
        </w:rPr>
        <w:tab/>
        <w:t>pievieno šādu 13. punktu:</w:t>
      </w:r>
    </w:p>
    <w:p w:rsidR="00CB6573" w:rsidRPr="003F33F9" w:rsidRDefault="00CB6573" w:rsidP="00CB6573">
      <w:pPr>
        <w:spacing w:before="120" w:after="120" w:line="360" w:lineRule="auto"/>
        <w:ind w:left="1416" w:hanging="566"/>
        <w:rPr>
          <w:szCs w:val="24"/>
          <w:lang w:eastAsia="en-US"/>
        </w:rPr>
      </w:pPr>
      <w:r w:rsidRPr="003F33F9">
        <w:rPr>
          <w:szCs w:val="24"/>
          <w:lang w:eastAsia="en-US"/>
        </w:rPr>
        <w:t>“13.</w:t>
      </w:r>
      <w:r w:rsidRPr="003F33F9">
        <w:rPr>
          <w:szCs w:val="24"/>
          <w:lang w:eastAsia="en-US"/>
        </w:rPr>
        <w:tab/>
        <w:t>Mikroorganismi, gēni vai ģenētiskais materiāls, kas uzrāda pret antimikrobiāliem līdzekļiem rezistentu mikroorganismu klātbūtni un it sevišķi cilvēkam vai lauksaimniecības dzīvniekiem patogēnu mikroorganismu klātbūtni..”</w:t>
      </w:r>
    </w:p>
    <w:p w:rsidR="00CB6573" w:rsidRPr="003F33F9" w:rsidRDefault="00CB6573" w:rsidP="00CB6573">
      <w:pPr>
        <w:spacing w:before="120" w:after="120" w:line="360" w:lineRule="auto"/>
        <w:rPr>
          <w:szCs w:val="24"/>
          <w:lang w:eastAsia="en-US"/>
        </w:rPr>
        <w:sectPr w:rsidR="00CB6573" w:rsidRPr="003F33F9" w:rsidSect="008347B2">
          <w:pgSz w:w="16834" w:h="11909" w:orient="landscape"/>
          <w:pgMar w:top="1417" w:right="1134" w:bottom="1417" w:left="1417" w:header="1134" w:footer="567" w:gutter="0"/>
          <w:cols w:space="720"/>
          <w:docGrid w:linePitch="326"/>
        </w:sectPr>
      </w:pPr>
    </w:p>
    <w:p w:rsidR="00CB6573" w:rsidRPr="003F33F9" w:rsidRDefault="00CB6573" w:rsidP="00CB6573">
      <w:pPr>
        <w:spacing w:before="120" w:after="120" w:line="360" w:lineRule="auto"/>
        <w:jc w:val="center"/>
        <w:rPr>
          <w:lang w:eastAsia="en-US"/>
        </w:rPr>
      </w:pPr>
      <w:r w:rsidRPr="003F33F9">
        <w:rPr>
          <w:lang w:eastAsia="en-US"/>
        </w:rPr>
        <w:lastRenderedPageBreak/>
        <w:t>III PIELIKUMS</w:t>
      </w:r>
    </w:p>
    <w:p w:rsidR="00CB6573" w:rsidRPr="003F33F9" w:rsidRDefault="00CB6573" w:rsidP="00CB6573">
      <w:pPr>
        <w:spacing w:before="120" w:after="120" w:line="360" w:lineRule="auto"/>
        <w:ind w:left="850"/>
        <w:rPr>
          <w:szCs w:val="24"/>
          <w:lang w:eastAsia="en-US"/>
        </w:rPr>
      </w:pPr>
      <w:r w:rsidRPr="003F33F9">
        <w:rPr>
          <w:szCs w:val="24"/>
          <w:lang w:eastAsia="en-US"/>
        </w:rPr>
        <w:t>“I PIELIKUMS</w:t>
      </w:r>
    </w:p>
    <w:p w:rsidR="00CB6573" w:rsidRPr="003F33F9" w:rsidRDefault="00CB6573" w:rsidP="00CB6573">
      <w:pPr>
        <w:spacing w:before="120" w:after="120" w:line="360" w:lineRule="auto"/>
        <w:ind w:left="850"/>
        <w:rPr>
          <w:szCs w:val="24"/>
          <w:lang w:eastAsia="en-US"/>
        </w:rPr>
      </w:pPr>
      <w:r w:rsidRPr="003F33F9">
        <w:rPr>
          <w:szCs w:val="24"/>
          <w:lang w:eastAsia="en-US"/>
        </w:rPr>
        <w:t>GRUNTSŪDEŅU KVALITĀTES STANDARTI</w:t>
      </w:r>
    </w:p>
    <w:p w:rsidR="00CB6573" w:rsidRPr="003F33F9" w:rsidRDefault="00CB6573" w:rsidP="00CB6573">
      <w:pPr>
        <w:spacing w:before="120" w:after="120" w:line="360" w:lineRule="auto"/>
        <w:ind w:left="850"/>
        <w:rPr>
          <w:b/>
          <w:szCs w:val="24"/>
          <w:lang w:eastAsia="en-US"/>
        </w:rPr>
      </w:pPr>
      <w:r w:rsidRPr="003F33F9">
        <w:rPr>
          <w:szCs w:val="24"/>
          <w:lang w:eastAsia="en-US"/>
        </w:rPr>
        <w:t>1. piezīme</w:t>
      </w:r>
      <w:r w:rsidRPr="003F33F9">
        <w:rPr>
          <w:strike/>
          <w:szCs w:val="24"/>
          <w:lang w:eastAsia="en-US"/>
        </w:rPr>
        <w:t>.</w:t>
      </w:r>
      <w:r w:rsidRPr="003F33F9">
        <w:rPr>
          <w:b/>
          <w:i/>
          <w:szCs w:val="24"/>
          <w:lang w:eastAsia="en-US"/>
        </w:rPr>
        <w:t>:</w:t>
      </w:r>
      <w:r w:rsidRPr="003F33F9">
        <w:rPr>
          <w:szCs w:val="24"/>
          <w:lang w:eastAsia="en-US"/>
        </w:rPr>
        <w:t xml:space="preserve"> Zemāk 3.–7. ierakstā uzskaitīto piesārņojošo vielu kvalitātes standartus piemēro no ... [Publikāciju birojs ieraksta datumu, kas ir nākamā mēneša pirmā diena pēc tam, kad pagājuši </w:t>
      </w:r>
      <w:r w:rsidRPr="003F33F9">
        <w:rPr>
          <w:strike/>
          <w:szCs w:val="24"/>
          <w:lang w:eastAsia="en-US"/>
        </w:rPr>
        <w:t>18</w:t>
      </w:r>
      <w:r w:rsidRPr="003F33F9">
        <w:rPr>
          <w:b/>
          <w:i/>
          <w:szCs w:val="24"/>
          <w:lang w:eastAsia="en-US"/>
        </w:rPr>
        <w:t>seši</w:t>
      </w:r>
      <w:r w:rsidRPr="003F33F9">
        <w:rPr>
          <w:szCs w:val="24"/>
          <w:lang w:eastAsia="en-US"/>
        </w:rPr>
        <w:t xml:space="preserve"> mēneši pēc šīs grozošās direktīvas stāšanās spēkā], un mērķis ir labu ūdens ķīmiskās kvalitātes stāvokli panākt vēlākais līdz 2033. gada 22. decembrim.</w:t>
      </w:r>
      <w:r w:rsidRPr="003F33F9">
        <w:rPr>
          <w:b/>
          <w:szCs w:val="24"/>
          <w:lang w:eastAsia="en-US"/>
        </w:rPr>
        <w:t xml:space="preserve"> </w:t>
      </w:r>
      <w:r w:rsidR="00D116DF" w:rsidRPr="003F33F9">
        <w:rPr>
          <w:b/>
          <w:szCs w:val="24"/>
          <w:lang w:eastAsia="en-US"/>
        </w:rPr>
        <w:t xml:space="preserve">[Gr. </w:t>
      </w:r>
      <w:r w:rsidRPr="003F33F9">
        <w:rPr>
          <w:b/>
          <w:szCs w:val="24"/>
          <w:lang w:eastAsia="en-US"/>
        </w:rPr>
        <w:t>142]</w:t>
      </w:r>
    </w:p>
    <w:p w:rsidR="00CB6573" w:rsidRPr="003F33F9" w:rsidRDefault="00CB6573" w:rsidP="00CB6573">
      <w:pPr>
        <w:spacing w:before="120" w:after="120" w:line="360" w:lineRule="auto"/>
        <w:ind w:left="850"/>
        <w:rPr>
          <w:b/>
          <w:szCs w:val="24"/>
          <w:lang w:val="en-GB" w:eastAsia="en-US"/>
        </w:rPr>
      </w:pPr>
      <w:r w:rsidRPr="003F33F9">
        <w:rPr>
          <w:b/>
          <w:i/>
          <w:szCs w:val="24"/>
          <w:lang w:eastAsia="en-US"/>
        </w:rPr>
        <w:t>Ja konkrēta gruntsūdeņu objekta gadījumā, jo īpaši tāda, kas atrodas īpaši aizsargājamo dabas teritoriju ekoloģiskajā tīklā atbilstīgi Padomes Direktīvai 92/43/EEK, uzskata, ka gruntsūdeņu kvalitātes standarti varētu neļaut sasniegt Direktīvas 2000/60/EK 4. pantā precizētos vides aizsardzības mērķus attiecībā uz saistītajiem virszemes ūdeņu objektiem, vai to dēļ varētu būtiski pasliktināties šādu objektu ekoloģiskā vai ķīmiskā kvalitāte vai rasties jebkāds būtisks kaitējums pazemes ūdeņu vai sauszemes ekosistēmām, kuras ir tieši atkarīgas no minētā gruntsūdeņu objekta, nosaka stingrākas robežvērtības saskaņā ar šīs direktīvas 3. pantu un II pielikumu. Programmas un pasākumi, kas nepieciešami saistībā ar šādām robežvērtībām, attiecas arī uz darbībām, kas ietilpst Direktīvas 91/676/EEK darbības jomā.</w:t>
      </w:r>
      <w:r w:rsidRPr="003F33F9">
        <w:rPr>
          <w:b/>
          <w:szCs w:val="24"/>
          <w:lang w:eastAsia="en-US"/>
        </w:rPr>
        <w:t xml:space="preserve"> </w:t>
      </w:r>
      <w:r w:rsidR="00D116DF" w:rsidRPr="003F33F9">
        <w:rPr>
          <w:b/>
          <w:szCs w:val="24"/>
          <w:lang w:val="en-GB" w:eastAsia="en-US"/>
        </w:rPr>
        <w:t xml:space="preserve">[Gr. </w:t>
      </w:r>
      <w:r w:rsidRPr="003F33F9">
        <w:rPr>
          <w:b/>
          <w:szCs w:val="24"/>
          <w:lang w:val="en-GB" w:eastAsia="en-US"/>
        </w:rPr>
        <w:t>143]</w:t>
      </w:r>
    </w:p>
    <w:p w:rsidR="00CB6573" w:rsidRPr="003F33F9" w:rsidRDefault="00CB6573" w:rsidP="00CB6573">
      <w:pPr>
        <w:spacing w:before="120" w:after="120" w:line="360" w:lineRule="auto"/>
        <w:rPr>
          <w:szCs w:val="24"/>
          <w:lang w:val="en-GB" w:eastAsia="en-US"/>
        </w:rPr>
      </w:pPr>
      <w:r w:rsidRPr="003F33F9">
        <w:rPr>
          <w:szCs w:val="24"/>
          <w:lang w:val="en-GB" w:eastAsia="en-US"/>
        </w:rPr>
        <w:br w:type="page"/>
      </w:r>
    </w:p>
    <w:tbl>
      <w:tblPr>
        <w:tblW w:w="5808" w:type="pct"/>
        <w:tblInd w:w="-1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54"/>
        <w:gridCol w:w="4516"/>
        <w:gridCol w:w="2172"/>
        <w:gridCol w:w="2371"/>
        <w:gridCol w:w="2371"/>
        <w:gridCol w:w="3296"/>
      </w:tblGrid>
      <w:tr w:rsidR="00CB6573" w:rsidRPr="003F33F9" w:rsidTr="005909BF">
        <w:trPr>
          <w:tblHeader/>
        </w:trPr>
        <w:tc>
          <w:tcPr>
            <w:tcW w:w="559" w:type="pct"/>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(1)</w:t>
            </w:r>
          </w:p>
        </w:tc>
        <w:tc>
          <w:tcPr>
            <w:tcW w:w="1362" w:type="pct"/>
          </w:tcPr>
          <w:p w:rsidR="00CB6573" w:rsidRPr="003F33F9" w:rsidRDefault="00CB6573" w:rsidP="00CB6573">
            <w:pPr>
              <w:spacing w:before="120" w:after="120" w:line="360" w:lineRule="auto"/>
              <w:rPr>
                <w:szCs w:val="24"/>
                <w:lang w:val="en-GB" w:eastAsia="en-US"/>
              </w:rPr>
            </w:pPr>
            <w:r w:rsidRPr="003F33F9">
              <w:rPr>
                <w:szCs w:val="24"/>
                <w:lang w:val="en-GB" w:eastAsia="en-US"/>
              </w:rPr>
              <w:t>(2)</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(3)</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(4)</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(5)</w:t>
            </w:r>
          </w:p>
        </w:tc>
        <w:tc>
          <w:tcPr>
            <w:tcW w:w="994" w:type="pct"/>
          </w:tcPr>
          <w:p w:rsidR="00CB6573" w:rsidRPr="003F33F9" w:rsidRDefault="00CB6573" w:rsidP="00CB6573">
            <w:pPr>
              <w:spacing w:before="120" w:after="120" w:line="360" w:lineRule="auto"/>
              <w:rPr>
                <w:szCs w:val="24"/>
                <w:lang w:val="en-GB" w:eastAsia="en-US"/>
              </w:rPr>
            </w:pPr>
            <w:r w:rsidRPr="003F33F9">
              <w:rPr>
                <w:szCs w:val="24"/>
                <w:lang w:val="en-GB" w:eastAsia="en-US"/>
              </w:rPr>
              <w:t>(6)</w:t>
            </w:r>
          </w:p>
        </w:tc>
      </w:tr>
      <w:tr w:rsidR="00CB6573" w:rsidRPr="003F33F9" w:rsidTr="005909BF">
        <w:tc>
          <w:tcPr>
            <w:tcW w:w="559" w:type="pct"/>
          </w:tcPr>
          <w:p w:rsidR="00CB6573" w:rsidRPr="003F33F9" w:rsidRDefault="00CB6573" w:rsidP="00CB6573">
            <w:pPr>
              <w:spacing w:before="120" w:after="120" w:line="360" w:lineRule="auto"/>
              <w:rPr>
                <w:szCs w:val="24"/>
                <w:lang w:val="en-GB" w:eastAsia="en-US"/>
              </w:rPr>
            </w:pPr>
            <w:r w:rsidRPr="003F33F9">
              <w:rPr>
                <w:szCs w:val="24"/>
                <w:lang w:val="en-GB" w:eastAsia="en-US"/>
              </w:rPr>
              <w:t>[Ieraksts] Nr.o</w:t>
            </w:r>
          </w:p>
        </w:tc>
        <w:tc>
          <w:tcPr>
            <w:tcW w:w="1362" w:type="pct"/>
          </w:tcPr>
          <w:p w:rsidR="00CB6573" w:rsidRPr="003F33F9" w:rsidRDefault="00CB6573" w:rsidP="00CB6573">
            <w:pPr>
              <w:spacing w:before="120" w:after="120" w:line="360" w:lineRule="auto"/>
              <w:rPr>
                <w:szCs w:val="24"/>
                <w:lang w:val="en-GB" w:eastAsia="en-US"/>
              </w:rPr>
            </w:pPr>
            <w:r w:rsidRPr="003F33F9">
              <w:rPr>
                <w:szCs w:val="24"/>
                <w:lang w:val="en-GB" w:eastAsia="en-US"/>
              </w:rPr>
              <w:t>Vielas nosaukums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Vielu kategorija</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CAS numurs (1)</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ES numurs (2)</w:t>
            </w:r>
          </w:p>
        </w:tc>
        <w:tc>
          <w:tcPr>
            <w:tcW w:w="994" w:type="pct"/>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Kvalitātes standarts </w:t>
            </w:r>
            <w:r w:rsidRPr="003F33F9">
              <w:rPr>
                <w:szCs w:val="24"/>
                <w:vertAlign w:val="superscript"/>
                <w:lang w:val="en-GB" w:eastAsia="en-US"/>
              </w:rPr>
              <w:t>(3)</w:t>
            </w:r>
            <w:r w:rsidRPr="003F33F9">
              <w:rPr>
                <w:szCs w:val="24"/>
                <w:lang w:val="en-GB" w:eastAsia="en-US"/>
              </w:rPr>
              <w:t xml:space="preserve"> [µg/l, ja nav norādīts citādi]</w:t>
            </w:r>
          </w:p>
        </w:tc>
      </w:tr>
      <w:tr w:rsidR="00CB6573" w:rsidRPr="003F33F9" w:rsidTr="005909BF">
        <w:tc>
          <w:tcPr>
            <w:tcW w:w="559" w:type="pct"/>
          </w:tcPr>
          <w:p w:rsidR="00CB6573" w:rsidRPr="003F33F9" w:rsidRDefault="00CB6573" w:rsidP="00CB6573">
            <w:pPr>
              <w:spacing w:before="120" w:after="120" w:line="360" w:lineRule="auto"/>
              <w:rPr>
                <w:szCs w:val="24"/>
                <w:lang w:val="en-GB" w:eastAsia="en-US"/>
              </w:rPr>
            </w:pPr>
            <w:r w:rsidRPr="003F33F9">
              <w:rPr>
                <w:szCs w:val="24"/>
                <w:lang w:val="en-GB" w:eastAsia="en-US"/>
              </w:rPr>
              <w:t>1</w:t>
            </w:r>
          </w:p>
        </w:tc>
        <w:tc>
          <w:tcPr>
            <w:tcW w:w="1362" w:type="pct"/>
          </w:tcPr>
          <w:p w:rsidR="00CB6573" w:rsidRPr="003F33F9" w:rsidRDefault="00CB6573" w:rsidP="00CB6573">
            <w:pPr>
              <w:spacing w:before="120" w:after="120" w:line="360" w:lineRule="auto"/>
              <w:rPr>
                <w:szCs w:val="24"/>
                <w:lang w:val="en-GB" w:eastAsia="en-US"/>
              </w:rPr>
            </w:pPr>
            <w:r w:rsidRPr="003F33F9">
              <w:rPr>
                <w:szCs w:val="24"/>
                <w:lang w:val="en-GB" w:eastAsia="en-US"/>
              </w:rPr>
              <w:t>Nitrāti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Barības vielas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994" w:type="pct"/>
          </w:tcPr>
          <w:p w:rsidR="00CB6573" w:rsidRPr="003F33F9" w:rsidRDefault="00CB6573" w:rsidP="00CB6573">
            <w:pPr>
              <w:spacing w:before="120" w:after="120" w:line="360" w:lineRule="auto"/>
              <w:rPr>
                <w:szCs w:val="24"/>
                <w:lang w:val="en-GB" w:eastAsia="en-US"/>
              </w:rPr>
            </w:pPr>
            <w:r w:rsidRPr="003F33F9">
              <w:rPr>
                <w:szCs w:val="24"/>
                <w:lang w:val="en-GB" w:eastAsia="en-US"/>
              </w:rPr>
              <w:t>50 mg/l</w:t>
            </w:r>
          </w:p>
        </w:tc>
      </w:tr>
      <w:tr w:rsidR="00CB6573" w:rsidRPr="003F33F9" w:rsidTr="005909BF">
        <w:tc>
          <w:tcPr>
            <w:tcW w:w="559" w:type="pct"/>
            <w:vMerge w:val="restart"/>
          </w:tcPr>
          <w:p w:rsidR="00CB6573" w:rsidRPr="003F33F9" w:rsidRDefault="00CB6573" w:rsidP="00CB6573">
            <w:pPr>
              <w:spacing w:before="120" w:after="120" w:line="360" w:lineRule="auto"/>
              <w:rPr>
                <w:b/>
                <w:szCs w:val="24"/>
                <w:lang w:val="en-GB" w:eastAsia="en-US"/>
              </w:rPr>
            </w:pPr>
            <w:r w:rsidRPr="003F33F9">
              <w:rPr>
                <w:szCs w:val="24"/>
                <w:lang w:val="en-GB" w:eastAsia="en-US"/>
              </w:rPr>
              <w:t>2</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144]</w:t>
            </w:r>
          </w:p>
        </w:tc>
        <w:tc>
          <w:tcPr>
            <w:tcW w:w="1362" w:type="pct"/>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Aktīvās vielas pesticīdos, arī attiecīgajos metabolītos un sadalīšanās un ķīmiskās reakcijas produktos (4)</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Pesticīdi</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994" w:type="pct"/>
          </w:tcPr>
          <w:p w:rsidR="008347B2" w:rsidRPr="003F33F9" w:rsidRDefault="008347B2" w:rsidP="008347B2">
            <w:pPr>
              <w:tabs>
                <w:tab w:val="left" w:pos="1768"/>
              </w:tabs>
              <w:spacing w:before="120" w:after="120" w:line="360" w:lineRule="auto"/>
              <w:rPr>
                <w:szCs w:val="24"/>
                <w:lang w:val="en-GB" w:eastAsia="en-US"/>
              </w:rPr>
            </w:pPr>
            <w:r w:rsidRPr="003F33F9">
              <w:rPr>
                <w:strike/>
              </w:rPr>
              <w:t>0,1</w:t>
            </w:r>
            <w:r w:rsidRPr="003F33F9">
              <w:rPr>
                <w:b/>
                <w:i/>
              </w:rPr>
              <w:t>0,05</w:t>
            </w:r>
            <w:r w:rsidRPr="003F33F9">
              <w:t xml:space="preserve"> </w:t>
            </w:r>
            <w:r w:rsidR="00CB6573" w:rsidRPr="003F33F9">
              <w:rPr>
                <w:szCs w:val="24"/>
                <w:lang w:val="en-GB" w:eastAsia="en-US"/>
              </w:rPr>
              <w:t>(individuāli</w:t>
            </w:r>
            <w:r w:rsidRPr="003F33F9">
              <w:rPr>
                <w:szCs w:val="24"/>
                <w:lang w:val="en-GB" w:eastAsia="en-US"/>
              </w:rPr>
              <w:t>)</w:t>
            </w:r>
          </w:p>
          <w:p w:rsidR="00CB6573" w:rsidRPr="003F33F9" w:rsidRDefault="008347B2" w:rsidP="008347B2">
            <w:pPr>
              <w:spacing w:before="120" w:after="120" w:line="360" w:lineRule="auto"/>
              <w:rPr>
                <w:szCs w:val="24"/>
                <w:lang w:val="en-GB" w:eastAsia="en-US"/>
              </w:rPr>
            </w:pPr>
            <w:r w:rsidRPr="003F33F9">
              <w:rPr>
                <w:b/>
                <w:i/>
                <w:vertAlign w:val="superscript"/>
              </w:rPr>
              <w:t>(4a)</w:t>
            </w:r>
          </w:p>
        </w:tc>
      </w:tr>
      <w:tr w:rsidR="00CB6573" w:rsidRPr="003F33F9" w:rsidTr="005909BF">
        <w:tc>
          <w:tcPr>
            <w:tcW w:w="559" w:type="pct"/>
            <w:vMerge/>
          </w:tcPr>
          <w:p w:rsidR="00CB6573" w:rsidRPr="003F33F9" w:rsidRDefault="00CB6573" w:rsidP="00CB6573">
            <w:pPr>
              <w:spacing w:before="120" w:after="120" w:line="360" w:lineRule="auto"/>
              <w:rPr>
                <w:szCs w:val="24"/>
                <w:lang w:val="en-GB" w:eastAsia="en-US"/>
              </w:rPr>
            </w:pPr>
          </w:p>
        </w:tc>
        <w:tc>
          <w:tcPr>
            <w:tcW w:w="1362" w:type="pct"/>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994" w:type="pct"/>
          </w:tcPr>
          <w:p w:rsidR="00CB6573" w:rsidRPr="003F33F9" w:rsidRDefault="008347B2" w:rsidP="00CB6573">
            <w:pPr>
              <w:spacing w:before="120" w:after="120" w:line="360" w:lineRule="auto"/>
              <w:rPr>
                <w:szCs w:val="24"/>
                <w:lang w:val="en-GB" w:eastAsia="en-US"/>
              </w:rPr>
            </w:pPr>
            <w:r w:rsidRPr="003F33F9">
              <w:rPr>
                <w:strike/>
              </w:rPr>
              <w:t>0,5</w:t>
            </w:r>
            <w:r w:rsidRPr="003F33F9">
              <w:rPr>
                <w:b/>
                <w:i/>
              </w:rPr>
              <w:t>0,25</w:t>
            </w:r>
            <w:r w:rsidR="00CB6573" w:rsidRPr="003F33F9">
              <w:rPr>
                <w:szCs w:val="24"/>
                <w:lang w:val="en-GB" w:eastAsia="en-US"/>
              </w:rPr>
              <w:t xml:space="preserve">(kopā) </w:t>
            </w:r>
            <w:r w:rsidR="00CB6573" w:rsidRPr="003F33F9">
              <w:rPr>
                <w:szCs w:val="24"/>
                <w:vertAlign w:val="superscript"/>
                <w:lang w:val="en-GB" w:eastAsia="en-US"/>
              </w:rPr>
              <w:t>(5)</w:t>
            </w:r>
          </w:p>
        </w:tc>
      </w:tr>
      <w:tr w:rsidR="00CB6573" w:rsidRPr="003F33F9" w:rsidTr="005909BF">
        <w:tc>
          <w:tcPr>
            <w:tcW w:w="559" w:type="pct"/>
          </w:tcPr>
          <w:p w:rsidR="00CB6573" w:rsidRPr="003F33F9" w:rsidRDefault="00CB6573" w:rsidP="00CB6573">
            <w:pPr>
              <w:spacing w:before="120" w:after="120" w:line="360" w:lineRule="auto"/>
              <w:rPr>
                <w:szCs w:val="24"/>
                <w:lang w:val="en-GB" w:eastAsia="en-US"/>
              </w:rPr>
            </w:pPr>
            <w:r w:rsidRPr="003F33F9">
              <w:rPr>
                <w:szCs w:val="24"/>
                <w:lang w:val="en-GB" w:eastAsia="en-US"/>
              </w:rPr>
              <w:t>3</w:t>
            </w:r>
          </w:p>
        </w:tc>
        <w:tc>
          <w:tcPr>
            <w:tcW w:w="1362" w:type="pct"/>
          </w:tcPr>
          <w:p w:rsidR="00CB6573" w:rsidRPr="003F33F9" w:rsidRDefault="00CB6573" w:rsidP="00CB6573">
            <w:pPr>
              <w:spacing w:before="120" w:after="120" w:line="360" w:lineRule="auto"/>
              <w:rPr>
                <w:szCs w:val="24"/>
                <w:lang w:val="en-GB" w:eastAsia="en-US"/>
              </w:rPr>
            </w:pPr>
            <w:r w:rsidRPr="003F33F9">
              <w:rPr>
                <w:szCs w:val="24"/>
                <w:lang w:val="en-GB" w:eastAsia="en-US"/>
              </w:rPr>
              <w:t>Perfluorētas un polifluorētas alkilvielas (PFAS): 24 koncentrāciju summa (6)</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Rūpniecībā lietotas vielas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Sk. tabulas 6. zemsvītras piezīmi.</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Sk. tabulas 6. zemsvītras piezīmi.</w:t>
            </w:r>
          </w:p>
        </w:tc>
        <w:tc>
          <w:tcPr>
            <w:tcW w:w="994" w:type="pct"/>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0,0044 </w:t>
            </w:r>
            <w:r w:rsidRPr="003F33F9">
              <w:rPr>
                <w:szCs w:val="24"/>
                <w:vertAlign w:val="superscript"/>
                <w:lang w:val="en-GB" w:eastAsia="en-US"/>
              </w:rPr>
              <w:t>(7)</w:t>
            </w:r>
          </w:p>
        </w:tc>
      </w:tr>
      <w:tr w:rsidR="005909BF" w:rsidRPr="003F33F9" w:rsidTr="005909BF">
        <w:tc>
          <w:tcPr>
            <w:tcW w:w="559" w:type="pct"/>
          </w:tcPr>
          <w:p w:rsidR="005909BF" w:rsidRPr="003F33F9" w:rsidRDefault="005909BF" w:rsidP="005909BF">
            <w:pPr>
              <w:rPr>
                <w:b/>
                <w:noProof/>
                <w:sz w:val="22"/>
              </w:rPr>
            </w:pPr>
            <w:r w:rsidRPr="003F33F9">
              <w:rPr>
                <w:b/>
                <w:i/>
                <w:szCs w:val="24"/>
                <w:lang w:val="en-GB" w:eastAsia="en-US"/>
              </w:rPr>
              <w:t>3.a</w:t>
            </w:r>
            <w:r w:rsidRPr="003F33F9">
              <w:rPr>
                <w:szCs w:val="24"/>
                <w:lang w:val="en-GB" w:eastAsia="en-US"/>
              </w:rPr>
              <w:t xml:space="preserve"> </w:t>
            </w:r>
            <w:r w:rsidRPr="003F33F9">
              <w:rPr>
                <w:b/>
                <w:sz w:val="22"/>
              </w:rPr>
              <w:t>[Gr. 145]</w:t>
            </w:r>
          </w:p>
        </w:tc>
        <w:tc>
          <w:tcPr>
            <w:tcW w:w="1362" w:type="pct"/>
          </w:tcPr>
          <w:p w:rsidR="005909BF" w:rsidRPr="003F33F9" w:rsidRDefault="005909BF" w:rsidP="005909BF">
            <w:pPr>
              <w:rPr>
                <w:b/>
                <w:i/>
                <w:noProof/>
                <w:sz w:val="22"/>
              </w:rPr>
            </w:pPr>
            <w:r w:rsidRPr="003F33F9">
              <w:rPr>
                <w:b/>
                <w:i/>
                <w:sz w:val="22"/>
              </w:rPr>
              <w:t>PFAS kopā</w:t>
            </w:r>
          </w:p>
        </w:tc>
        <w:tc>
          <w:tcPr>
            <w:tcW w:w="0" w:type="auto"/>
          </w:tcPr>
          <w:p w:rsidR="005909BF" w:rsidRPr="003F33F9" w:rsidRDefault="005909BF" w:rsidP="005909BF">
            <w:pPr>
              <w:rPr>
                <w:b/>
                <w:i/>
                <w:noProof/>
                <w:sz w:val="22"/>
              </w:rPr>
            </w:pPr>
            <w:r w:rsidRPr="003F33F9">
              <w:rPr>
                <w:b/>
                <w:i/>
                <w:sz w:val="22"/>
              </w:rPr>
              <w:t>Rūpniecībā lietotas vielas</w:t>
            </w:r>
          </w:p>
        </w:tc>
        <w:tc>
          <w:tcPr>
            <w:tcW w:w="0" w:type="auto"/>
          </w:tcPr>
          <w:p w:rsidR="005909BF" w:rsidRPr="003F33F9" w:rsidRDefault="005909BF" w:rsidP="005909BF">
            <w:pPr>
              <w:rPr>
                <w:b/>
                <w:i/>
                <w:noProof/>
                <w:sz w:val="22"/>
              </w:rPr>
            </w:pPr>
            <w:r w:rsidRPr="003F33F9">
              <w:rPr>
                <w:b/>
                <w:i/>
                <w:sz w:val="22"/>
              </w:rPr>
              <w:t>Nepiemēro</w:t>
            </w:r>
          </w:p>
        </w:tc>
        <w:tc>
          <w:tcPr>
            <w:tcW w:w="0" w:type="auto"/>
          </w:tcPr>
          <w:p w:rsidR="005909BF" w:rsidRPr="003F33F9" w:rsidRDefault="005909BF" w:rsidP="005909BF">
            <w:pPr>
              <w:rPr>
                <w:b/>
                <w:i/>
                <w:noProof/>
                <w:sz w:val="22"/>
              </w:rPr>
            </w:pPr>
            <w:r w:rsidRPr="003F33F9">
              <w:rPr>
                <w:b/>
                <w:i/>
                <w:sz w:val="22"/>
              </w:rPr>
              <w:t>Nepiemēro</w:t>
            </w:r>
          </w:p>
        </w:tc>
        <w:tc>
          <w:tcPr>
            <w:tcW w:w="994" w:type="pct"/>
          </w:tcPr>
          <w:p w:rsidR="005909BF" w:rsidRPr="003F33F9" w:rsidRDefault="005909BF" w:rsidP="005909BF">
            <w:pPr>
              <w:rPr>
                <w:b/>
                <w:i/>
                <w:noProof/>
                <w:sz w:val="22"/>
              </w:rPr>
            </w:pPr>
            <w:r w:rsidRPr="003F33F9">
              <w:rPr>
                <w:b/>
                <w:i/>
                <w:sz w:val="22"/>
              </w:rPr>
              <w:t>(</w:t>
            </w:r>
            <w:r w:rsidRPr="003F33F9">
              <w:rPr>
                <w:b/>
                <w:i/>
                <w:sz w:val="22"/>
                <w:vertAlign w:val="superscript"/>
              </w:rPr>
              <w:t>7a</w:t>
            </w:r>
            <w:r w:rsidRPr="003F33F9">
              <w:rPr>
                <w:b/>
                <w:i/>
                <w:sz w:val="22"/>
              </w:rPr>
              <w:t>)</w:t>
            </w:r>
          </w:p>
        </w:tc>
      </w:tr>
      <w:tr w:rsidR="00CB6573" w:rsidRPr="003F33F9" w:rsidTr="005909BF">
        <w:tc>
          <w:tcPr>
            <w:tcW w:w="559" w:type="pct"/>
          </w:tcPr>
          <w:p w:rsidR="00CB6573" w:rsidRPr="003F33F9" w:rsidRDefault="00CB6573" w:rsidP="00CB6573">
            <w:pPr>
              <w:spacing w:before="120" w:after="120" w:line="360" w:lineRule="auto"/>
              <w:rPr>
                <w:b/>
                <w:szCs w:val="24"/>
                <w:lang w:val="en-GB" w:eastAsia="en-US"/>
              </w:rPr>
            </w:pPr>
            <w:r w:rsidRPr="003F33F9">
              <w:rPr>
                <w:szCs w:val="24"/>
                <w:lang w:val="en-GB" w:eastAsia="en-US"/>
              </w:rPr>
              <w:t>4</w:t>
            </w:r>
            <w:r w:rsidRPr="003F33F9">
              <w:rPr>
                <w:b/>
                <w:szCs w:val="24"/>
                <w:lang w:val="en-GB" w:eastAsia="en-US"/>
              </w:rPr>
              <w:t xml:space="preserve"> </w:t>
            </w:r>
            <w:r w:rsidR="00D116DF" w:rsidRPr="003F33F9">
              <w:rPr>
                <w:b/>
                <w:szCs w:val="24"/>
                <w:lang w:val="en-GB" w:eastAsia="en-US"/>
              </w:rPr>
              <w:t xml:space="preserve">[Gr. </w:t>
            </w:r>
            <w:r w:rsidRPr="003F33F9">
              <w:rPr>
                <w:b/>
                <w:szCs w:val="24"/>
                <w:lang w:val="en-GB" w:eastAsia="en-US"/>
              </w:rPr>
              <w:t>146]</w:t>
            </w:r>
          </w:p>
        </w:tc>
        <w:tc>
          <w:tcPr>
            <w:tcW w:w="1362" w:type="pct"/>
          </w:tcPr>
          <w:p w:rsidR="00CB6573" w:rsidRPr="003F33F9" w:rsidRDefault="00CB6573" w:rsidP="00CB6573">
            <w:pPr>
              <w:spacing w:before="120" w:after="120" w:line="360" w:lineRule="auto"/>
              <w:rPr>
                <w:szCs w:val="24"/>
                <w:lang w:val="en-GB" w:eastAsia="en-US"/>
              </w:rPr>
            </w:pPr>
            <w:r w:rsidRPr="003F33F9">
              <w:rPr>
                <w:szCs w:val="24"/>
                <w:lang w:val="en-GB" w:eastAsia="en-US"/>
              </w:rPr>
              <w:t>Karbamazepīns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Zāles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298-46-4</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994" w:type="pct"/>
          </w:tcPr>
          <w:p w:rsidR="00CB6573" w:rsidRPr="003F33F9" w:rsidRDefault="008347B2" w:rsidP="00CB6573">
            <w:pPr>
              <w:spacing w:before="120" w:after="120" w:line="360" w:lineRule="auto"/>
              <w:rPr>
                <w:szCs w:val="24"/>
                <w:lang w:val="en-GB" w:eastAsia="en-US"/>
              </w:rPr>
            </w:pPr>
            <w:r w:rsidRPr="003F33F9">
              <w:rPr>
                <w:strike/>
              </w:rPr>
              <w:t>0,25</w:t>
            </w:r>
            <w:r w:rsidRPr="003F33F9">
              <w:rPr>
                <w:b/>
                <w:i/>
              </w:rPr>
              <w:t>0,025</w:t>
            </w:r>
            <w:r w:rsidRPr="003F33F9">
              <w:rPr>
                <w:b/>
              </w:rPr>
              <w:t xml:space="preserve"> </w:t>
            </w:r>
          </w:p>
        </w:tc>
      </w:tr>
    </w:tbl>
    <w:p w:rsidR="00CB6573" w:rsidRPr="003F33F9" w:rsidRDefault="00CB6573" w:rsidP="00CB6573">
      <w:pPr>
        <w:spacing w:before="120" w:after="120" w:line="360" w:lineRule="auto"/>
        <w:rPr>
          <w:szCs w:val="24"/>
          <w:lang w:val="en-GB" w:eastAsia="en-US"/>
        </w:rPr>
      </w:pPr>
      <w:r w:rsidRPr="003F33F9">
        <w:rPr>
          <w:szCs w:val="24"/>
          <w:lang w:val="en-GB" w:eastAsia="en-US"/>
        </w:rPr>
        <w:br w:type="page"/>
      </w:r>
    </w:p>
    <w:tbl>
      <w:tblPr>
        <w:tblW w:w="5694" w:type="pct"/>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94"/>
        <w:gridCol w:w="4421"/>
        <w:gridCol w:w="1507"/>
        <w:gridCol w:w="1747"/>
        <w:gridCol w:w="1747"/>
        <w:gridCol w:w="5138"/>
      </w:tblGrid>
      <w:tr w:rsidR="00CB6573" w:rsidRPr="003F33F9" w:rsidTr="005909BF">
        <w:tc>
          <w:tcPr>
            <w:tcW w:w="521" w:type="pct"/>
          </w:tcPr>
          <w:p w:rsidR="00CB6573" w:rsidRPr="003F33F9" w:rsidRDefault="00CB6573" w:rsidP="00CB6573">
            <w:pPr>
              <w:spacing w:before="120" w:after="120" w:line="360" w:lineRule="auto"/>
              <w:rPr>
                <w:szCs w:val="24"/>
                <w:lang w:val="en-GB" w:eastAsia="en-US"/>
              </w:rPr>
            </w:pPr>
            <w:r w:rsidRPr="003F33F9">
              <w:rPr>
                <w:szCs w:val="24"/>
                <w:lang w:val="en-GB" w:eastAsia="en-US"/>
              </w:rPr>
              <w:lastRenderedPageBreak/>
              <w:t>5</w:t>
            </w:r>
          </w:p>
        </w:tc>
        <w:tc>
          <w:tcPr>
            <w:tcW w:w="1360" w:type="pct"/>
          </w:tcPr>
          <w:p w:rsidR="00CB6573" w:rsidRPr="003F33F9" w:rsidRDefault="00CB6573" w:rsidP="00CB6573">
            <w:pPr>
              <w:spacing w:before="120" w:after="120" w:line="360" w:lineRule="auto"/>
              <w:rPr>
                <w:szCs w:val="24"/>
                <w:lang w:val="en-GB" w:eastAsia="en-US"/>
              </w:rPr>
            </w:pPr>
            <w:r w:rsidRPr="003F33F9">
              <w:rPr>
                <w:szCs w:val="24"/>
                <w:lang w:val="en-GB" w:eastAsia="en-US"/>
              </w:rPr>
              <w:t>Sulfametoksazols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Zāles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723-46-6</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0,01</w:t>
            </w:r>
          </w:p>
        </w:tc>
      </w:tr>
      <w:tr w:rsidR="00CB6573" w:rsidRPr="003F33F9" w:rsidTr="005909BF">
        <w:tc>
          <w:tcPr>
            <w:tcW w:w="521" w:type="pct"/>
          </w:tcPr>
          <w:p w:rsidR="005909BF" w:rsidRPr="003F33F9" w:rsidRDefault="00CB6573" w:rsidP="00CB6573">
            <w:pPr>
              <w:spacing w:before="120" w:after="120" w:line="360" w:lineRule="auto"/>
              <w:rPr>
                <w:b/>
                <w:szCs w:val="24"/>
                <w:lang w:val="en-GB" w:eastAsia="en-US"/>
              </w:rPr>
            </w:pPr>
            <w:r w:rsidRPr="003F33F9">
              <w:rPr>
                <w:szCs w:val="24"/>
                <w:lang w:val="en-GB" w:eastAsia="en-US"/>
              </w:rPr>
              <w:t>6</w:t>
            </w:r>
            <w:r w:rsidRPr="003F33F9">
              <w:rPr>
                <w:b/>
                <w:szCs w:val="24"/>
                <w:lang w:val="en-GB" w:eastAsia="en-US"/>
              </w:rPr>
              <w:t xml:space="preserve"> </w:t>
            </w:r>
          </w:p>
          <w:p w:rsidR="00CB6573" w:rsidRPr="003F33F9" w:rsidRDefault="00D116DF" w:rsidP="00CB6573">
            <w:pPr>
              <w:spacing w:before="120" w:after="120" w:line="360" w:lineRule="auto"/>
              <w:rPr>
                <w:b/>
                <w:szCs w:val="24"/>
                <w:lang w:val="en-GB" w:eastAsia="en-US"/>
              </w:rPr>
            </w:pPr>
            <w:r w:rsidRPr="003F33F9">
              <w:rPr>
                <w:b/>
                <w:szCs w:val="24"/>
                <w:lang w:val="en-GB" w:eastAsia="en-US"/>
              </w:rPr>
              <w:t xml:space="preserve">[Gr. </w:t>
            </w:r>
            <w:r w:rsidR="00CB6573" w:rsidRPr="003F33F9">
              <w:rPr>
                <w:b/>
                <w:szCs w:val="24"/>
                <w:lang w:val="en-GB" w:eastAsia="en-US"/>
              </w:rPr>
              <w:t>147]</w:t>
            </w:r>
          </w:p>
        </w:tc>
        <w:tc>
          <w:tcPr>
            <w:tcW w:w="1360" w:type="pct"/>
          </w:tcPr>
          <w:p w:rsidR="00CB6573" w:rsidRPr="003F33F9" w:rsidRDefault="00CB6573" w:rsidP="00CB6573">
            <w:pPr>
              <w:spacing w:before="120" w:after="120" w:line="360" w:lineRule="auto"/>
              <w:rPr>
                <w:szCs w:val="24"/>
                <w:lang w:val="en-GB" w:eastAsia="en-US"/>
              </w:rPr>
            </w:pPr>
            <w:r w:rsidRPr="003F33F9">
              <w:rPr>
                <w:szCs w:val="24"/>
                <w:lang w:val="en-GB" w:eastAsia="en-US"/>
              </w:rPr>
              <w:t>Zāļu aktīvās vielas: kopā (8)</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Zāles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tcPr>
          <w:p w:rsidR="00CB6573" w:rsidRPr="003F33F9" w:rsidRDefault="008347B2" w:rsidP="00CB6573">
            <w:pPr>
              <w:spacing w:before="120" w:after="120" w:line="360" w:lineRule="auto"/>
              <w:rPr>
                <w:szCs w:val="24"/>
                <w:lang w:val="en-GB" w:eastAsia="en-US"/>
              </w:rPr>
            </w:pPr>
            <w:r w:rsidRPr="003F33F9">
              <w:rPr>
                <w:strike/>
              </w:rPr>
              <w:t>0,25</w:t>
            </w:r>
            <w:r w:rsidRPr="003F33F9">
              <w:rPr>
                <w:b/>
                <w:i/>
              </w:rPr>
              <w:t>0,025</w:t>
            </w:r>
          </w:p>
        </w:tc>
      </w:tr>
      <w:tr w:rsidR="00CB6573" w:rsidRPr="003F33F9" w:rsidTr="005909BF">
        <w:tc>
          <w:tcPr>
            <w:tcW w:w="521" w:type="pct"/>
            <w:vMerge w:val="restart"/>
          </w:tcPr>
          <w:p w:rsidR="005909BF" w:rsidRPr="003F33F9" w:rsidRDefault="00CB6573" w:rsidP="00CB6573">
            <w:pPr>
              <w:spacing w:before="120" w:after="120" w:line="360" w:lineRule="auto"/>
              <w:rPr>
                <w:b/>
                <w:szCs w:val="24"/>
                <w:lang w:val="en-GB" w:eastAsia="en-US"/>
              </w:rPr>
            </w:pPr>
            <w:r w:rsidRPr="003F33F9">
              <w:rPr>
                <w:szCs w:val="24"/>
                <w:lang w:val="en-GB" w:eastAsia="en-US"/>
              </w:rPr>
              <w:t>7</w:t>
            </w:r>
            <w:r w:rsidRPr="003F33F9">
              <w:rPr>
                <w:b/>
                <w:szCs w:val="24"/>
                <w:lang w:val="en-GB" w:eastAsia="en-US"/>
              </w:rPr>
              <w:t xml:space="preserve"> </w:t>
            </w:r>
          </w:p>
          <w:p w:rsidR="00CB6573" w:rsidRPr="003F33F9" w:rsidRDefault="005909BF" w:rsidP="00CB6573">
            <w:pPr>
              <w:spacing w:before="120" w:after="120" w:line="360" w:lineRule="auto"/>
              <w:rPr>
                <w:b/>
                <w:szCs w:val="24"/>
                <w:lang w:val="en-GB" w:eastAsia="en-US"/>
              </w:rPr>
            </w:pPr>
            <w:r w:rsidRPr="003F33F9">
              <w:rPr>
                <w:b/>
                <w:szCs w:val="24"/>
                <w:lang w:val="en-GB" w:eastAsia="en-US"/>
              </w:rPr>
              <w:t xml:space="preserve">[Gr. </w:t>
            </w:r>
            <w:r w:rsidR="00CB6573" w:rsidRPr="003F33F9">
              <w:rPr>
                <w:b/>
                <w:szCs w:val="24"/>
                <w:lang w:val="en-GB" w:eastAsia="en-US"/>
              </w:rPr>
              <w:t>148]</w:t>
            </w:r>
          </w:p>
        </w:tc>
        <w:tc>
          <w:tcPr>
            <w:tcW w:w="1360" w:type="pct"/>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Maznozīmīgi pesticīdu metabolīti (nrM)</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Pesticīdi</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vMerge w:val="restart"/>
          </w:tcPr>
          <w:p w:rsidR="00CB6573" w:rsidRPr="003F33F9" w:rsidRDefault="00CB6573" w:rsidP="00CB6573">
            <w:pPr>
              <w:spacing w:before="120" w:after="120" w:line="360" w:lineRule="auto"/>
              <w:rPr>
                <w:szCs w:val="24"/>
                <w:lang w:val="en-GB" w:eastAsia="en-US"/>
              </w:rPr>
            </w:pPr>
            <w:r w:rsidRPr="003F33F9">
              <w:rPr>
                <w:szCs w:val="24"/>
                <w:lang w:val="en-GB" w:eastAsia="en-US"/>
              </w:rPr>
              <w:t>Nepiemēro</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 xml:space="preserve">0,1 (9) vai 1 (10), vai 2,5 vai 5 </w:t>
            </w:r>
            <w:r w:rsidRPr="003F33F9">
              <w:rPr>
                <w:szCs w:val="24"/>
                <w:vertAlign w:val="superscript"/>
                <w:lang w:val="en-GB" w:eastAsia="en-US"/>
              </w:rPr>
              <w:t>(11)</w:t>
            </w:r>
            <w:r w:rsidRPr="003F33F9">
              <w:rPr>
                <w:szCs w:val="24"/>
                <w:lang w:val="en-GB" w:eastAsia="en-US"/>
              </w:rPr>
              <w:t xml:space="preserve"> (individuāli)</w:t>
            </w:r>
          </w:p>
        </w:tc>
      </w:tr>
      <w:tr w:rsidR="00CB6573" w:rsidRPr="003F33F9" w:rsidTr="005909BF">
        <w:tc>
          <w:tcPr>
            <w:tcW w:w="521" w:type="pct"/>
            <w:vMerge/>
          </w:tcPr>
          <w:p w:rsidR="00CB6573" w:rsidRPr="003F33F9" w:rsidRDefault="00CB6573" w:rsidP="00CB6573">
            <w:pPr>
              <w:spacing w:before="120" w:after="120" w:line="360" w:lineRule="auto"/>
              <w:rPr>
                <w:szCs w:val="24"/>
                <w:lang w:val="en-GB" w:eastAsia="en-US"/>
              </w:rPr>
            </w:pPr>
          </w:p>
        </w:tc>
        <w:tc>
          <w:tcPr>
            <w:tcW w:w="1360" w:type="pct"/>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0" w:type="auto"/>
            <w:vMerge/>
          </w:tcPr>
          <w:p w:rsidR="00CB6573" w:rsidRPr="003F33F9" w:rsidRDefault="00CB6573" w:rsidP="00CB6573">
            <w:pPr>
              <w:spacing w:before="120" w:after="120" w:line="360" w:lineRule="auto"/>
              <w:rPr>
                <w:szCs w:val="24"/>
                <w:lang w:val="en-GB" w:eastAsia="en-US"/>
              </w:rPr>
            </w:pPr>
          </w:p>
        </w:tc>
        <w:tc>
          <w:tcPr>
            <w:tcW w:w="0" w:type="auto"/>
          </w:tcPr>
          <w:p w:rsidR="00CB6573" w:rsidRPr="003F33F9" w:rsidRDefault="008347B2" w:rsidP="008347B2">
            <w:pPr>
              <w:spacing w:before="120" w:after="120" w:line="360" w:lineRule="auto"/>
              <w:rPr>
                <w:szCs w:val="24"/>
                <w:lang w:val="en-GB" w:eastAsia="en-US"/>
              </w:rPr>
            </w:pPr>
            <w:r w:rsidRPr="003F33F9">
              <w:t>0,1</w:t>
            </w:r>
            <w:r w:rsidRPr="003F33F9">
              <w:rPr>
                <w:strike/>
              </w:rPr>
              <w:t xml:space="preserve"> (</w:t>
            </w:r>
            <w:r w:rsidRPr="003F33F9">
              <w:rPr>
                <w:strike/>
                <w:vertAlign w:val="superscript"/>
              </w:rPr>
              <w:t>9</w:t>
            </w:r>
            <w:r w:rsidRPr="003F33F9">
              <w:rPr>
                <w:strike/>
              </w:rPr>
              <w:t>) or 1 (</w:t>
            </w:r>
            <w:r w:rsidRPr="003F33F9">
              <w:rPr>
                <w:strike/>
                <w:vertAlign w:val="superscript"/>
              </w:rPr>
              <w:t>10</w:t>
            </w:r>
            <w:r w:rsidRPr="003F33F9">
              <w:rPr>
                <w:strike/>
              </w:rPr>
              <w:t xml:space="preserve">) vai 2,5 or 5 </w:t>
            </w:r>
            <w:r w:rsidR="00CB6573" w:rsidRPr="003F33F9">
              <w:rPr>
                <w:szCs w:val="24"/>
                <w:vertAlign w:val="superscript"/>
                <w:lang w:val="en-GB" w:eastAsia="en-US"/>
              </w:rPr>
              <w:t>(12)</w:t>
            </w:r>
          </w:p>
        </w:tc>
      </w:tr>
    </w:tbl>
    <w:p w:rsidR="00CB6573" w:rsidRPr="003F33F9" w:rsidRDefault="00CB6573" w:rsidP="005909BF">
      <w:pPr>
        <w:spacing w:before="120" w:after="120" w:line="360" w:lineRule="auto"/>
        <w:ind w:left="1416" w:hanging="566"/>
        <w:rPr>
          <w:szCs w:val="24"/>
          <w:lang w:val="fr-FR" w:eastAsia="en-US"/>
        </w:rPr>
      </w:pPr>
      <w:r w:rsidRPr="003F33F9">
        <w:rPr>
          <w:szCs w:val="24"/>
          <w:vertAlign w:val="superscript"/>
          <w:lang w:val="fr-FR" w:eastAsia="en-US"/>
        </w:rPr>
        <w:t>(1)</w:t>
      </w:r>
      <w:r w:rsidRPr="003F33F9">
        <w:rPr>
          <w:szCs w:val="24"/>
          <w:lang w:val="fr-FR" w:eastAsia="en-US"/>
        </w:rPr>
        <w:tab/>
        <w:t>CAS – Informatīvais ķīmijas dienests [Chemical Abstracts Service].</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(2)</w:t>
      </w:r>
      <w:r w:rsidRPr="003F33F9">
        <w:rPr>
          <w:szCs w:val="24"/>
          <w:lang w:val="fr-FR" w:eastAsia="en-US"/>
        </w:rPr>
        <w:tab/>
        <w:t>ES numurs – Eiropas ķīmisko komercvielu saraksta (EINECS) vai Eiropā reģistrēto ķīmisko vielu saraksta (ELINCS) numurs.</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(3)</w:t>
      </w:r>
      <w:r w:rsidRPr="003F33F9">
        <w:rPr>
          <w:szCs w:val="24"/>
          <w:lang w:val="fr-FR" w:eastAsia="en-US"/>
        </w:rPr>
        <w:tab/>
        <w:t>Šis parametrs ir kvalitātes standarts, kas izteikts ar gada vidējo vērtību. Ja nav citu norādījumu, tas attiecas uz visu vielu un izomēru kopējo koncentrāciju.</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(4)</w:t>
      </w:r>
      <w:r w:rsidRPr="003F33F9">
        <w:rPr>
          <w:szCs w:val="24"/>
          <w:lang w:val="fr-FR" w:eastAsia="en-US"/>
        </w:rPr>
        <w:tab/>
        <w:t>“Pesticīdi” ir augu aizsardzības līdzekļi un biocīdi, kas minēti attiecīgi 2. pantā Eiropas Parlamenta un Padomes Regulā (EK) Nr. 1107/2009 (2009. gada 21. oktobris) par augu aizsardzības līdzekļu laišanu tirgū un 3. pantā Eiropas Parlamenta un Padomes Regulā (ES) Nr. 528/2012 (2012. gada 22. maijs) par biocīdu piedāvāšanu tirgū un lietošanu.</w:t>
      </w:r>
    </w:p>
    <w:p w:rsidR="00CB6573" w:rsidRPr="003F33F9" w:rsidRDefault="00CB6573" w:rsidP="00CB6573">
      <w:pPr>
        <w:spacing w:before="120" w:after="120" w:line="360" w:lineRule="auto"/>
        <w:ind w:left="1416" w:hanging="566"/>
        <w:rPr>
          <w:szCs w:val="24"/>
          <w:lang w:val="fr-FR" w:eastAsia="en-US"/>
        </w:rPr>
      </w:pPr>
      <w:r w:rsidRPr="003F33F9">
        <w:rPr>
          <w:b/>
          <w:i/>
          <w:szCs w:val="24"/>
          <w:vertAlign w:val="superscript"/>
          <w:lang w:val="fr-FR" w:eastAsia="en-US"/>
        </w:rPr>
        <w:t>(4a)</w:t>
      </w:r>
      <w:r w:rsidRPr="003F33F9">
        <w:rPr>
          <w:szCs w:val="24"/>
          <w:lang w:val="fr-FR" w:eastAsia="en-US"/>
        </w:rPr>
        <w:tab/>
      </w:r>
      <w:r w:rsidRPr="003F33F9">
        <w:rPr>
          <w:b/>
          <w:i/>
          <w:szCs w:val="24"/>
          <w:lang w:val="fr-FR" w:eastAsia="en-US"/>
        </w:rPr>
        <w:t xml:space="preserve">Šo robežvērtību piemēro tikai līdz brīdim, kad Komisija veic pārskatīšanu. </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(5)</w:t>
      </w:r>
      <w:r w:rsidRPr="003F33F9">
        <w:rPr>
          <w:szCs w:val="24"/>
          <w:lang w:val="fr-FR" w:eastAsia="en-US"/>
        </w:rPr>
        <w:tab/>
        <w:t>Ar “kopā” saprot visu individuālo monitoringa procedūrā konstatēto un kvantitatīvi noteikto pesticīdu (arī attiecīgo metabolītu un noārdīšanās un ķīmiskās reakcijas produktu) koncentrāciju summu.</w:t>
      </w:r>
      <w:r w:rsidRPr="003F33F9">
        <w:rPr>
          <w:b/>
          <w:i/>
          <w:szCs w:val="24"/>
          <w:lang w:val="fr-FR" w:eastAsia="en-US"/>
        </w:rPr>
        <w:t xml:space="preserve"> Robežvērtību, kas noteikta visu atsevišķo pesticīdu summai, piemēro tikai līdz brīdim, kad Komisija veic pārskatīšanu.</w:t>
      </w:r>
    </w:p>
    <w:p w:rsidR="00CB6573" w:rsidRPr="003F33F9" w:rsidRDefault="00CB6573" w:rsidP="00CB6573">
      <w:pPr>
        <w:spacing w:before="120" w:after="120" w:line="360" w:lineRule="auto"/>
        <w:ind w:left="1416" w:hanging="566"/>
        <w:rPr>
          <w:szCs w:val="24"/>
          <w:lang w:val="fr-FR" w:eastAsia="en-US"/>
        </w:rPr>
      </w:pPr>
      <w:r w:rsidRPr="003F33F9">
        <w:rPr>
          <w:szCs w:val="24"/>
          <w:lang w:val="fr-FR" w:eastAsia="en-US"/>
        </w:rPr>
        <w:br w:type="page"/>
      </w:r>
      <w:r w:rsidRPr="003F33F9">
        <w:rPr>
          <w:szCs w:val="24"/>
          <w:vertAlign w:val="superscript"/>
          <w:lang w:val="fr-FR" w:eastAsia="en-US"/>
        </w:rPr>
        <w:lastRenderedPageBreak/>
        <w:t>(6)</w:t>
      </w:r>
      <w:r w:rsidRPr="003F33F9">
        <w:rPr>
          <w:szCs w:val="24"/>
          <w:vertAlign w:val="superscript"/>
          <w:lang w:val="fr-FR" w:eastAsia="en-US"/>
        </w:rPr>
        <w:tab/>
      </w:r>
      <w:r w:rsidRPr="003F33F9">
        <w:rPr>
          <w:szCs w:val="24"/>
          <w:lang w:val="fr-FR" w:eastAsia="en-US"/>
        </w:rPr>
        <w:t>Attiecas uz šādiem savienojumiem (norādīts arī to CAS numurs, ES numurs un RPF jeb relatīvās potences koeficients): perfluoroktānskābe (PFOA) (CAS 335-67-1, EU 206-397-9) (RPF 1), perfluoroktānsulfoskābe (PFOS) (CAS 1763-23-1, EU 217-179-8) (RPF 2),perfluorheksānsulfoskābe (PFHxS) (CAS 355-46-4, EU 206-587-1) (RPF 0,6)), perfluornonānskābe (PFNA) (CAS 375-95-1, EU 206-801-3) (RPF 10), perfluorbutānsulfoskābe (PFBS) (CAS 375-73-5, EU 206-793-1) (RPF 0,001), perfluorheksānskābe (PFHxA) (CAS 307-24-4, EU 206-196-6) (RPF 0,01), perfluorbutānskābe (PFBA) (CAS 375-22-4, EU 206-786-3) (RPF 0,05), perfluorpentānskābe (PFPeA) (CAS 2706-90-3, EU 220-300-7) (RPF 0,03), perfluorpentānsulfoskābe (PFPeS) (CAS 2706-91-4, EU 220-301-2) (RPF 0,3005), perfluordekānskābe (PFDA) (CAS 335-76-2, EU 206-400-3) (RPF 7), perfluordodekānskābe (PFDoDA jeb PFDoA) (CAS 307-55-1, EU 206-203-2) (RPF 3), perfluorundekānskābe (PFUnDA jeb PFUnA) (CAS 2058-94-8, EU 218-165-4) (RPF 4), perfluorheptānskābe (PFHpA) (CAS 375-85-9, EU 206-798-9) (RPF 0,505), perfluortridekānskābe (PFTrDA) (CAS 72629-94-8, EU 276-745-2) (RPF 1,65), perfluorheptānsulfoskābe (PFHpS) (CAS 375-92-8, EU 206-800-8) (RPF 1,3), perfluordekānsulfoskābe (PFDS) (CAS 335-77-3, EU 206-401-9) (RPF 2), perfluortetradekānskābe (PFTeDA) (CAS 376-06-7, EU 206-803-4) (RPF 0,3), perfluorheksadekānskābe (PFHxDA) (CAS 67905-19-5, EU 267-638-1) (RPF 0,02), perfluoroktadekānskābe (PFODA) (CAS 16517-11-6, EU 240-582-5) (RPF 0,02), amonija perfluor-(2-metil-3-oksaheksanoāts) (HFPO-DA jeb Gen X) (CAS 62037-80-3) (RPF 0,06), propānskābe / amonija 2,2,3-trifluor-3-(1,1,2,2,3,3-heksafluor-3-(trifluormetoksi)propoksi)propanoāts (ADONA) (CAS 958445-44-8) (RPF 0,03), 2- (perfluorheksil)etilspirts (6:2 FTOH) (CAS 647-42-7, EU 211-477-1) (RPF 0,02), 2-(perfluoroktil)etanols (8:2 FTOH) (CAS 678-39-7, EU 211-648-0) (RPF 0,04) un etiķskābe / 2,2-difluor-2-((2,2,4,5-tetrafluor-5-(trifluormetoksi)-1,3-dioksolān-4-il)oksi)- (C6O4) (CAS 1190931-41-9) (RPF 0,06).</w:t>
      </w:r>
    </w:p>
    <w:p w:rsidR="00CB6573" w:rsidRPr="003F33F9" w:rsidRDefault="00CB6573" w:rsidP="00CB6573">
      <w:pPr>
        <w:spacing w:before="120" w:after="120" w:line="360" w:lineRule="auto"/>
        <w:ind w:left="1416" w:hanging="566"/>
        <w:rPr>
          <w:szCs w:val="24"/>
          <w:lang w:val="fr-FR" w:eastAsia="en-US"/>
        </w:rPr>
      </w:pPr>
      <w:r w:rsidRPr="003F33F9">
        <w:rPr>
          <w:szCs w:val="24"/>
          <w:lang w:val="fr-FR" w:eastAsia="en-US"/>
        </w:rPr>
        <w:br w:type="page"/>
      </w:r>
      <w:r w:rsidRPr="003F33F9">
        <w:rPr>
          <w:szCs w:val="24"/>
          <w:vertAlign w:val="superscript"/>
          <w:lang w:val="fr-FR" w:eastAsia="en-US"/>
        </w:rPr>
        <w:lastRenderedPageBreak/>
        <w:t>(7)</w:t>
      </w:r>
      <w:r w:rsidRPr="003F33F9">
        <w:rPr>
          <w:szCs w:val="24"/>
          <w:lang w:val="fr-FR" w:eastAsia="en-US"/>
        </w:rPr>
        <w:tab/>
        <w:t>Šis kvalitātes standarts ir summa, ko veido visu 6. zemsvītras piezīmē uzskaitīto 24 PFAS koncentrācijas, izteiktas ar 6. zemsvītras piezīmē norādītajiem RPF, proti, ar PFOA ekvivalentiem, kuri raksturo attiecīgās vielas potenci salīdzinājumā ar PFOA potenci.</w:t>
      </w:r>
    </w:p>
    <w:p w:rsidR="00CB6573" w:rsidRPr="003F33F9" w:rsidRDefault="00CB6573" w:rsidP="00CB6573">
      <w:pPr>
        <w:spacing w:before="120" w:after="120" w:line="360" w:lineRule="auto"/>
        <w:ind w:left="1416" w:hanging="566"/>
        <w:rPr>
          <w:szCs w:val="24"/>
          <w:lang w:val="fr-FR" w:eastAsia="en-US"/>
        </w:rPr>
      </w:pPr>
      <w:r w:rsidRPr="003F33F9">
        <w:rPr>
          <w:b/>
          <w:i/>
          <w:szCs w:val="24"/>
          <w:vertAlign w:val="superscript"/>
          <w:lang w:val="fr-FR" w:eastAsia="en-US"/>
        </w:rPr>
        <w:t>(7a)</w:t>
      </w:r>
      <w:r w:rsidRPr="003F33F9">
        <w:rPr>
          <w:szCs w:val="24"/>
          <w:lang w:val="fr-FR" w:eastAsia="en-US"/>
        </w:rPr>
        <w:tab/>
      </w:r>
      <w:r w:rsidRPr="003F33F9">
        <w:rPr>
          <w:b/>
          <w:i/>
          <w:szCs w:val="24"/>
          <w:lang w:val="fr-FR" w:eastAsia="en-US"/>
        </w:rPr>
        <w:t>Kvalitātes standartu nosaka Komisija ar deleģēto aktu.</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(8)</w:t>
      </w:r>
      <w:r w:rsidRPr="003F33F9">
        <w:rPr>
          <w:szCs w:val="24"/>
          <w:lang w:val="fr-FR" w:eastAsia="en-US"/>
        </w:rPr>
        <w:tab/>
        <w:t>Ar “kopā” saprot visu individuālo monitoringa procedūrā konstatēto un kvantitatīvi noteikto zāļu (arī attiecīgo metabolītu un noārdīšanās produktu) koncentrāciju summu.</w:t>
      </w:r>
    </w:p>
    <w:p w:rsidR="00CB6573" w:rsidRPr="003F33F9" w:rsidRDefault="00CB6573" w:rsidP="00CB6573">
      <w:pPr>
        <w:spacing w:before="120" w:after="120" w:line="360" w:lineRule="auto"/>
        <w:ind w:left="1416" w:hanging="566"/>
        <w:rPr>
          <w:szCs w:val="24"/>
          <w:lang w:val="fr-FR" w:eastAsia="en-US"/>
        </w:rPr>
      </w:pPr>
      <w:r w:rsidRPr="003F33F9">
        <w:rPr>
          <w:strike/>
          <w:szCs w:val="24"/>
          <w:vertAlign w:val="superscript"/>
          <w:lang w:val="fr-FR" w:eastAsia="en-US"/>
        </w:rPr>
        <w:t>(9)</w:t>
      </w:r>
      <w:r w:rsidRPr="003F33F9">
        <w:rPr>
          <w:szCs w:val="24"/>
          <w:lang w:val="fr-FR" w:eastAsia="en-US"/>
        </w:rPr>
        <w:tab/>
      </w:r>
      <w:r w:rsidRPr="003F33F9">
        <w:rPr>
          <w:strike/>
          <w:szCs w:val="24"/>
          <w:lang w:val="fr-FR" w:eastAsia="en-US"/>
        </w:rPr>
        <w:t>Piemēro nrM, par kuriem ir maz datu, proti, tādiem nrM, par kuriem nav pieejami uzticami eksperimentālie dati, kas raksturo hronisko vai akūto ietekmi, kādu konkrētais nrM atstāj uz taksonomisko grupu, kuras sensitivitāte ticami prognozēta kā vislielākā.</w:t>
      </w:r>
    </w:p>
    <w:p w:rsidR="00CB6573" w:rsidRPr="003F33F9" w:rsidRDefault="00CB6573" w:rsidP="00CB6573">
      <w:pPr>
        <w:spacing w:before="120" w:after="120" w:line="360" w:lineRule="auto"/>
        <w:ind w:left="1416" w:hanging="566"/>
        <w:rPr>
          <w:szCs w:val="24"/>
          <w:lang w:val="fr-FR" w:eastAsia="en-US"/>
        </w:rPr>
      </w:pPr>
      <w:r w:rsidRPr="003F33F9">
        <w:rPr>
          <w:strike/>
          <w:szCs w:val="24"/>
          <w:vertAlign w:val="superscript"/>
          <w:lang w:val="fr-FR" w:eastAsia="en-US"/>
        </w:rPr>
        <w:t>(10)</w:t>
      </w:r>
      <w:r w:rsidRPr="003F33F9">
        <w:rPr>
          <w:szCs w:val="24"/>
          <w:lang w:val="fr-FR" w:eastAsia="en-US"/>
        </w:rPr>
        <w:tab/>
      </w:r>
      <w:r w:rsidRPr="003F33F9">
        <w:rPr>
          <w:strike/>
          <w:szCs w:val="24"/>
          <w:lang w:val="fr-FR" w:eastAsia="en-US"/>
        </w:rPr>
        <w:t>Piemēro nrM, par kuriem ir mēreni daudz datu, proti, tādiem nrM, par kuriem ir pieejami uzticami eksperimentālie dati, kas raksturo hronisko vai akūto ietekmi, kādu konkrētais nrM atstāj uz taksonomisko grupu, kuras sensitivitāte ticami prognozēta kā vislielākā, bet datu daudzums nav pietiekams, lai vielas ierindotu pie tādām, par kurām ir daudz datu.</w:t>
      </w:r>
    </w:p>
    <w:p w:rsidR="00CB6573" w:rsidRPr="003F33F9" w:rsidRDefault="00CB6573" w:rsidP="00CB6573">
      <w:pPr>
        <w:spacing w:before="120" w:after="120" w:line="360" w:lineRule="auto"/>
        <w:ind w:left="1416" w:hanging="566"/>
        <w:rPr>
          <w:szCs w:val="24"/>
          <w:lang w:val="fr-FR" w:eastAsia="en-US"/>
        </w:rPr>
      </w:pPr>
      <w:r w:rsidRPr="003F33F9">
        <w:rPr>
          <w:strike/>
          <w:szCs w:val="24"/>
          <w:vertAlign w:val="superscript"/>
          <w:lang w:val="fr-FR" w:eastAsia="en-US"/>
        </w:rPr>
        <w:t>(11)</w:t>
      </w:r>
      <w:r w:rsidRPr="003F33F9">
        <w:rPr>
          <w:szCs w:val="24"/>
          <w:lang w:val="fr-FR" w:eastAsia="en-US"/>
        </w:rPr>
        <w:tab/>
      </w:r>
      <w:r w:rsidRPr="003F33F9">
        <w:rPr>
          <w:strike/>
          <w:szCs w:val="24"/>
          <w:lang w:val="fr-FR" w:eastAsia="en-US"/>
        </w:rPr>
        <w:t>Piemēro nrM, par kuriem ir daudz datu, proti, tādiem nrM, par kuriem ir pieejami uzticami eksperimentālie dati vai vienlīdz uzticami dati, kas iegūti ar alternatīvām zinātniski validētām metodēm, un minētie dati raksturo hronisko vai akūto ietekmi, kādu konkrētais nrM atstāj uz vismaz vienas sugas aļģēm, bezmugurkaulniekiem un zivīm, tādējādi ļaujot pārliecinoši noteikt, kuras taksonomiskās grupas sensitivitāte ir vislielākā, un kuriem kvalitātes standartu var aprēķināt, izmantojot deterministisku pieeju un uzticamus datus par hronisku eksperimentālu toksicitāti minētajā taksonomiskajā grupā. Tālab dalībvalstis var piemērot jaunākos norādījumus, kas izstrādāti saistībā ar kopējo Direktīvas 2000/60/EK īstenošanas stratēģiju (atjauninātie norādījumi Nr. 27). Individuāla nrM kvalitātes standarts ir 2,5, izņemot ja ar deterministisko pieeju aprēķinātais kvalitātes standarts ir augstāks, un tādā gadījumā piemērotais kvalitātes standarts ir 5.</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(12)</w:t>
      </w:r>
      <w:r w:rsidRPr="003F33F9">
        <w:rPr>
          <w:szCs w:val="24"/>
          <w:lang w:val="fr-FR" w:eastAsia="en-US"/>
        </w:rPr>
        <w:tab/>
        <w:t>Ar “kopā”saprot visu individuālo monitoringa procedūrā konstatēto un kvantitatīvi noteikto nrM koncentrāciju summu katrā datu kategorijā.”</w:t>
      </w:r>
    </w:p>
    <w:p w:rsidR="00CB6573" w:rsidRPr="003F33F9" w:rsidRDefault="00CB6573" w:rsidP="00CB6573">
      <w:pPr>
        <w:spacing w:before="120" w:after="120" w:line="360" w:lineRule="auto"/>
        <w:rPr>
          <w:szCs w:val="24"/>
          <w:lang w:val="fr-FR" w:eastAsia="en-US"/>
        </w:rPr>
        <w:sectPr w:rsidR="00CB6573" w:rsidRPr="003F33F9" w:rsidSect="008347B2">
          <w:pgSz w:w="16834" w:h="11909" w:orient="landscape"/>
          <w:pgMar w:top="1417" w:right="1134" w:bottom="1417" w:left="1417" w:header="1134" w:footer="567" w:gutter="0"/>
          <w:cols w:space="720"/>
          <w:docGrid w:linePitch="326"/>
        </w:sectPr>
      </w:pPr>
    </w:p>
    <w:p w:rsidR="00CB6573" w:rsidRPr="003F33F9" w:rsidRDefault="00CB6573" w:rsidP="00CB6573">
      <w:pPr>
        <w:spacing w:before="120" w:after="120" w:line="360" w:lineRule="auto"/>
        <w:jc w:val="center"/>
        <w:rPr>
          <w:lang w:val="fr-FR" w:eastAsia="en-US"/>
        </w:rPr>
      </w:pPr>
      <w:r w:rsidRPr="003F33F9">
        <w:rPr>
          <w:lang w:val="fr-FR" w:eastAsia="en-US"/>
        </w:rPr>
        <w:lastRenderedPageBreak/>
        <w:t>IV PIELIKUMS</w:t>
      </w:r>
    </w:p>
    <w:p w:rsidR="00CB6573" w:rsidRPr="003F33F9" w:rsidRDefault="00CB6573" w:rsidP="00CB6573">
      <w:pPr>
        <w:spacing w:before="120" w:after="120" w:line="360" w:lineRule="auto"/>
        <w:rPr>
          <w:szCs w:val="24"/>
          <w:lang w:val="fr-FR" w:eastAsia="en-US"/>
        </w:rPr>
      </w:pPr>
      <w:r w:rsidRPr="003F33F9">
        <w:rPr>
          <w:szCs w:val="24"/>
          <w:lang w:val="fr-FR" w:eastAsia="en-US"/>
        </w:rPr>
        <w:t>Direktīvas 2006/118/EK II pielikumu groza šādi:</w:t>
      </w:r>
    </w:p>
    <w:p w:rsidR="00CB6573" w:rsidRPr="003F33F9" w:rsidRDefault="00CB6573" w:rsidP="00CB6573">
      <w:pPr>
        <w:spacing w:before="120" w:after="120" w:line="360" w:lineRule="auto"/>
        <w:ind w:left="850" w:hanging="850"/>
        <w:rPr>
          <w:szCs w:val="24"/>
          <w:lang w:val="fr-FR" w:eastAsia="en-US"/>
        </w:rPr>
      </w:pPr>
      <w:r w:rsidRPr="003F33F9">
        <w:rPr>
          <w:szCs w:val="24"/>
          <w:lang w:val="fr-FR" w:eastAsia="en-US"/>
        </w:rPr>
        <w:t>(1)</w:t>
      </w:r>
      <w:r w:rsidRPr="003F33F9">
        <w:rPr>
          <w:szCs w:val="24"/>
          <w:lang w:val="fr-FR" w:eastAsia="en-US"/>
        </w:rPr>
        <w:tab/>
        <w:t>pielikuma A daļā pēc pirmās daļas iekļauj šādu daļu:</w:t>
      </w:r>
    </w:p>
    <w:p w:rsidR="00CB6573" w:rsidRPr="003F33F9" w:rsidRDefault="00CB6573" w:rsidP="00CB6573">
      <w:pPr>
        <w:spacing w:before="120" w:after="120" w:line="360" w:lineRule="auto"/>
        <w:ind w:left="850"/>
        <w:rPr>
          <w:szCs w:val="24"/>
          <w:lang w:val="fr-FR" w:eastAsia="en-US"/>
        </w:rPr>
      </w:pPr>
      <w:r w:rsidRPr="003F33F9">
        <w:rPr>
          <w:szCs w:val="24"/>
          <w:lang w:val="fr-FR" w:eastAsia="en-US"/>
        </w:rPr>
        <w:t>“Dalībvalstis nodrošina to, ka par piesārņojošo vielu un piesārņojuma rādītāju robežvērtībām kompetentās iestādes informē Eiropas Ķimikāliju aģentūru (ECHA). Saņemto informāciju ECHA nekavējoties publicē.;”</w:t>
      </w:r>
    </w:p>
    <w:p w:rsidR="00CB6573" w:rsidRPr="003F33F9" w:rsidRDefault="005909BF" w:rsidP="00CB6573">
      <w:pPr>
        <w:spacing w:before="120" w:after="120" w:line="360" w:lineRule="auto"/>
        <w:ind w:left="850" w:hanging="850"/>
        <w:rPr>
          <w:szCs w:val="24"/>
          <w:lang w:val="fr-FR" w:eastAsia="en-US"/>
        </w:rPr>
      </w:pPr>
      <w:r w:rsidRPr="003F33F9">
        <w:rPr>
          <w:b/>
          <w:i/>
          <w:szCs w:val="24"/>
          <w:lang w:val="fr-FR" w:eastAsia="en-US"/>
        </w:rPr>
        <w:t>(1</w:t>
      </w:r>
      <w:r w:rsidR="00CB6573" w:rsidRPr="003F33F9">
        <w:rPr>
          <w:b/>
          <w:i/>
          <w:szCs w:val="24"/>
          <w:lang w:val="fr-FR" w:eastAsia="en-US"/>
        </w:rPr>
        <w:t>a)</w:t>
      </w:r>
      <w:r w:rsidR="00CB6573" w:rsidRPr="003F33F9">
        <w:rPr>
          <w:b/>
          <w:i/>
          <w:szCs w:val="24"/>
          <w:lang w:val="fr-FR" w:eastAsia="en-US"/>
        </w:rPr>
        <w:tab/>
        <w:t>pielikuma B daļas virsrakstu aizstāj ar šādu:</w:t>
      </w:r>
    </w:p>
    <w:p w:rsidR="00CB6573" w:rsidRPr="003F33F9" w:rsidRDefault="00CB6573" w:rsidP="00CB6573">
      <w:pPr>
        <w:spacing w:before="120" w:after="120" w:line="360" w:lineRule="auto"/>
        <w:ind w:left="850"/>
        <w:rPr>
          <w:b/>
          <w:szCs w:val="24"/>
          <w:lang w:val="fr-FR" w:eastAsia="en-US"/>
        </w:rPr>
      </w:pPr>
      <w:r w:rsidRPr="003F33F9">
        <w:rPr>
          <w:szCs w:val="24"/>
          <w:lang w:val="fr-FR" w:eastAsia="en-US"/>
        </w:rPr>
        <w:t>“</w:t>
      </w:r>
      <w:r w:rsidRPr="003F33F9">
        <w:rPr>
          <w:b/>
          <w:i/>
          <w:szCs w:val="24"/>
          <w:lang w:val="fr-FR" w:eastAsia="en-US"/>
        </w:rPr>
        <w:t>To piesārņojošo vielu un rādītāju obligātais saraksts, attiecībā uz kuriem dalībvalstīm saskaņā ar 3. pantu ir jānosaka robežvērtības</w:t>
      </w:r>
      <w:r w:rsidRPr="003F33F9">
        <w:rPr>
          <w:szCs w:val="24"/>
          <w:lang w:val="fr-FR" w:eastAsia="en-US"/>
        </w:rPr>
        <w:t>”</w:t>
      </w:r>
      <w:r w:rsidRPr="003F33F9">
        <w:rPr>
          <w:b/>
          <w:szCs w:val="24"/>
          <w:lang w:val="fr-FR" w:eastAsia="en-US"/>
        </w:rPr>
        <w:t xml:space="preserve"> </w:t>
      </w:r>
      <w:r w:rsidR="00D116DF" w:rsidRPr="003F33F9">
        <w:rPr>
          <w:b/>
          <w:szCs w:val="24"/>
          <w:lang w:val="fr-FR" w:eastAsia="en-US"/>
        </w:rPr>
        <w:t xml:space="preserve">[Gr. </w:t>
      </w:r>
      <w:r w:rsidRPr="003F33F9">
        <w:rPr>
          <w:b/>
          <w:szCs w:val="24"/>
          <w:lang w:val="fr-FR" w:eastAsia="en-US"/>
        </w:rPr>
        <w:t>149]</w:t>
      </w:r>
    </w:p>
    <w:p w:rsidR="005909BF" w:rsidRPr="003F33F9" w:rsidRDefault="005909BF">
      <w:pPr>
        <w:widowControl/>
        <w:rPr>
          <w:szCs w:val="24"/>
          <w:lang w:val="fr-FR" w:eastAsia="en-US"/>
        </w:rPr>
      </w:pPr>
      <w:r w:rsidRPr="003F33F9">
        <w:rPr>
          <w:szCs w:val="24"/>
          <w:lang w:val="fr-FR" w:eastAsia="en-US"/>
        </w:rPr>
        <w:br w:type="page"/>
      </w:r>
    </w:p>
    <w:p w:rsidR="00CB6573" w:rsidRPr="003F33F9" w:rsidRDefault="00CB6573" w:rsidP="00CB6573">
      <w:pPr>
        <w:spacing w:before="120" w:after="120" w:line="360" w:lineRule="auto"/>
        <w:ind w:left="850" w:hanging="850"/>
        <w:rPr>
          <w:szCs w:val="24"/>
          <w:lang w:val="fr-FR" w:eastAsia="en-US"/>
        </w:rPr>
      </w:pPr>
      <w:r w:rsidRPr="003F33F9">
        <w:rPr>
          <w:szCs w:val="24"/>
          <w:lang w:val="fr-FR" w:eastAsia="en-US"/>
        </w:rPr>
        <w:lastRenderedPageBreak/>
        <w:t>(2)</w:t>
      </w:r>
      <w:r w:rsidRPr="003F33F9">
        <w:rPr>
          <w:szCs w:val="24"/>
          <w:lang w:val="fr-FR" w:eastAsia="en-US"/>
        </w:rPr>
        <w:tab/>
        <w:t>pielikuma B daļas 2. punktu aizstāj ar šādu:</w:t>
      </w:r>
    </w:p>
    <w:p w:rsidR="00CB6573" w:rsidRPr="003F33F9" w:rsidRDefault="00CB6573" w:rsidP="00CB6573">
      <w:pPr>
        <w:spacing w:before="120" w:after="120" w:line="360" w:lineRule="auto"/>
        <w:ind w:left="1416" w:hanging="566"/>
        <w:rPr>
          <w:szCs w:val="24"/>
          <w:lang w:val="fr-FR" w:eastAsia="en-US"/>
        </w:rPr>
      </w:pPr>
      <w:r w:rsidRPr="003F33F9">
        <w:rPr>
          <w:szCs w:val="24"/>
          <w:lang w:val="fr-FR" w:eastAsia="en-US"/>
        </w:rPr>
        <w:t>“2.</w:t>
      </w:r>
      <w:r w:rsidRPr="003F33F9">
        <w:rPr>
          <w:szCs w:val="24"/>
          <w:lang w:val="fr-FR" w:eastAsia="en-US"/>
        </w:rPr>
        <w:tab/>
        <w:t>Sintētiskas ķimikālijas</w:t>
      </w:r>
    </w:p>
    <w:p w:rsidR="00CB6573" w:rsidRPr="003F33F9" w:rsidRDefault="00CB6573" w:rsidP="00CB6573">
      <w:pPr>
        <w:spacing w:before="120" w:after="120" w:line="360" w:lineRule="auto"/>
        <w:ind w:left="1416"/>
        <w:rPr>
          <w:szCs w:val="24"/>
          <w:lang w:val="fr-FR" w:eastAsia="en-US"/>
        </w:rPr>
      </w:pPr>
      <w:r w:rsidRPr="003F33F9">
        <w:rPr>
          <w:szCs w:val="24"/>
          <w:lang w:val="fr-FR" w:eastAsia="en-US"/>
        </w:rPr>
        <w:t>Primidons</w:t>
      </w:r>
    </w:p>
    <w:p w:rsidR="00CB6573" w:rsidRPr="003F33F9" w:rsidRDefault="00CB6573" w:rsidP="00CB6573">
      <w:pPr>
        <w:spacing w:before="120" w:after="120" w:line="360" w:lineRule="auto"/>
        <w:ind w:left="1416"/>
        <w:rPr>
          <w:szCs w:val="24"/>
          <w:lang w:val="fr-FR" w:eastAsia="en-US"/>
        </w:rPr>
      </w:pPr>
      <w:r w:rsidRPr="003F33F9">
        <w:rPr>
          <w:szCs w:val="24"/>
          <w:lang w:val="fr-FR" w:eastAsia="en-US"/>
        </w:rPr>
        <w:t>Trihloretilēns</w:t>
      </w:r>
    </w:p>
    <w:p w:rsidR="00CB6573" w:rsidRPr="003F33F9" w:rsidRDefault="00CB6573" w:rsidP="00CB6573">
      <w:pPr>
        <w:spacing w:before="120" w:after="120" w:line="360" w:lineRule="auto"/>
        <w:ind w:left="1416"/>
        <w:rPr>
          <w:szCs w:val="24"/>
          <w:lang w:val="fr-FR" w:eastAsia="en-US"/>
        </w:rPr>
      </w:pPr>
      <w:r w:rsidRPr="003F33F9">
        <w:rPr>
          <w:szCs w:val="24"/>
          <w:lang w:val="fr-FR" w:eastAsia="en-US"/>
        </w:rPr>
        <w:t>Tetrahloretilēns;”</w:t>
      </w:r>
    </w:p>
    <w:p w:rsidR="00CB6573" w:rsidRPr="003F33F9" w:rsidRDefault="00CB6573" w:rsidP="00CB6573">
      <w:pPr>
        <w:spacing w:before="120" w:after="120" w:line="360" w:lineRule="auto"/>
        <w:ind w:left="850" w:hanging="850"/>
        <w:rPr>
          <w:szCs w:val="24"/>
          <w:lang w:val="fr-FR" w:eastAsia="en-US"/>
        </w:rPr>
      </w:pPr>
      <w:r w:rsidRPr="003F33F9">
        <w:rPr>
          <w:szCs w:val="24"/>
          <w:lang w:val="fr-FR" w:eastAsia="en-US"/>
        </w:rPr>
        <w:t>(3)</w:t>
      </w:r>
      <w:r w:rsidRPr="003F33F9">
        <w:rPr>
          <w:szCs w:val="24"/>
          <w:lang w:val="fr-FR" w:eastAsia="en-US"/>
        </w:rPr>
        <w:tab/>
        <w:t>pielikuma C daļas nosaukumu aizstāj ar šādu:</w:t>
      </w:r>
    </w:p>
    <w:p w:rsidR="00CB6573" w:rsidRPr="003F33F9" w:rsidRDefault="00CB6573" w:rsidP="00CB6573">
      <w:pPr>
        <w:spacing w:before="120" w:after="120" w:line="360" w:lineRule="auto"/>
        <w:ind w:left="850"/>
        <w:rPr>
          <w:szCs w:val="24"/>
          <w:lang w:val="fr-FR" w:eastAsia="en-US"/>
        </w:rPr>
      </w:pPr>
      <w:r w:rsidRPr="003F33F9">
        <w:rPr>
          <w:szCs w:val="24"/>
          <w:lang w:val="fr-FR" w:eastAsia="en-US"/>
        </w:rPr>
        <w:t>“Informācija, kuru dalībvalstīm ir pienākums sniegt saistībā ar tām piesārņojošajām vielām un tiem piesārņojuma rādītājiem, kam dalībvalstis ir noteikušas robežvērtības;”</w:t>
      </w:r>
    </w:p>
    <w:p w:rsidR="00CB6573" w:rsidRPr="003F33F9" w:rsidRDefault="00CB6573" w:rsidP="00CB6573">
      <w:pPr>
        <w:spacing w:before="120" w:after="120" w:line="360" w:lineRule="auto"/>
        <w:ind w:left="850" w:hanging="850"/>
        <w:rPr>
          <w:szCs w:val="24"/>
          <w:lang w:val="fr-FR" w:eastAsia="en-US"/>
        </w:rPr>
      </w:pPr>
      <w:r w:rsidRPr="003F33F9">
        <w:rPr>
          <w:szCs w:val="24"/>
          <w:lang w:val="fr-FR" w:eastAsia="en-US"/>
        </w:rPr>
        <w:br w:type="page"/>
      </w:r>
      <w:r w:rsidRPr="003F33F9">
        <w:rPr>
          <w:szCs w:val="24"/>
          <w:lang w:val="fr-FR" w:eastAsia="en-US"/>
        </w:rPr>
        <w:lastRenderedPageBreak/>
        <w:t>(4)</w:t>
      </w:r>
      <w:r w:rsidRPr="003F33F9">
        <w:rPr>
          <w:szCs w:val="24"/>
          <w:lang w:val="fr-FR" w:eastAsia="en-US"/>
        </w:rPr>
        <w:tab/>
        <w:t>pievieno šādu D daļu:</w:t>
      </w:r>
    </w:p>
    <w:p w:rsidR="00CB6573" w:rsidRPr="003F33F9" w:rsidRDefault="00CB6573" w:rsidP="00CB6573">
      <w:pPr>
        <w:spacing w:before="120" w:after="120" w:line="360" w:lineRule="auto"/>
        <w:ind w:left="850"/>
        <w:rPr>
          <w:szCs w:val="24"/>
          <w:lang w:val="fr-FR" w:eastAsia="en-US"/>
        </w:rPr>
      </w:pPr>
      <w:r w:rsidRPr="003F33F9">
        <w:rPr>
          <w:szCs w:val="24"/>
          <w:lang w:val="fr-FR" w:eastAsia="en-US"/>
        </w:rPr>
        <w:t>“D daļa</w:t>
      </w:r>
    </w:p>
    <w:p w:rsidR="00CB6573" w:rsidRPr="003F33F9" w:rsidRDefault="00CB6573" w:rsidP="00CB6573">
      <w:pPr>
        <w:spacing w:before="120" w:after="120" w:line="360" w:lineRule="auto"/>
        <w:ind w:left="850"/>
        <w:rPr>
          <w:szCs w:val="24"/>
          <w:lang w:val="fr-FR" w:eastAsia="en-US"/>
        </w:rPr>
      </w:pPr>
      <w:r w:rsidRPr="003F33F9">
        <w:rPr>
          <w:szCs w:val="24"/>
          <w:lang w:val="fr-FR" w:eastAsia="en-US"/>
        </w:rPr>
        <w:t>Valsts, reģionālā vai vietējā mērogā problemātiskas gruntsūdeņus piesārņojošās vielas: saskaņoto robežvērtību repozitorijs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72"/>
        <w:gridCol w:w="1778"/>
        <w:gridCol w:w="1515"/>
        <w:gridCol w:w="1372"/>
        <w:gridCol w:w="1372"/>
        <w:gridCol w:w="1656"/>
      </w:tblGrid>
      <w:tr w:rsidR="00CB6573" w:rsidRPr="003F33F9" w:rsidTr="00CB6573">
        <w:trPr>
          <w:tblHeader/>
        </w:trPr>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(1)</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(2)</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(3)</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(4)</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(5)</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(6)</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[Ieraksts] Nr.o</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Vielas nosaukums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Vielu kategorija</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CAS numurs</w:t>
            </w:r>
            <w:r w:rsidRPr="003F33F9">
              <w:rPr>
                <w:szCs w:val="24"/>
                <w:vertAlign w:val="superscript"/>
                <w:lang w:val="en-GB" w:eastAsia="en-US"/>
              </w:rPr>
              <w:t>(1)</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ES numurs</w:t>
            </w:r>
            <w:r w:rsidRPr="003F33F9">
              <w:rPr>
                <w:szCs w:val="24"/>
                <w:vertAlign w:val="superscript"/>
                <w:lang w:val="en-GB" w:eastAsia="en-US"/>
              </w:rPr>
              <w:t>(2)</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Robežvērtība [µg/l, ja nav norādīts citādi]</w:t>
            </w:r>
          </w:p>
        </w:tc>
      </w:tr>
      <w:tr w:rsidR="00CB6573" w:rsidRPr="003F33F9" w:rsidTr="00CB6573">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1</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Trihloretilēns un tetrahloretilēns (abu summa)</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Rūpniecībā lietotas vielas</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79-01-6 un 127-18-4</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201-167-4 un 204-825-9</w:t>
            </w:r>
          </w:p>
        </w:tc>
        <w:tc>
          <w:tcPr>
            <w:tcW w:w="0" w:type="auto"/>
          </w:tcPr>
          <w:p w:rsidR="00CB6573" w:rsidRPr="003F33F9" w:rsidRDefault="00CB6573" w:rsidP="00CB6573">
            <w:pPr>
              <w:spacing w:before="120" w:after="120" w:line="360" w:lineRule="auto"/>
              <w:rPr>
                <w:szCs w:val="24"/>
                <w:lang w:val="en-GB" w:eastAsia="en-US"/>
              </w:rPr>
            </w:pPr>
            <w:r w:rsidRPr="003F33F9">
              <w:rPr>
                <w:szCs w:val="24"/>
                <w:lang w:val="en-GB" w:eastAsia="en-US"/>
              </w:rPr>
              <w:t>10 (kopā)</w:t>
            </w:r>
            <w:r w:rsidRPr="003F33F9">
              <w:rPr>
                <w:szCs w:val="24"/>
                <w:vertAlign w:val="superscript"/>
                <w:lang w:val="en-GB" w:eastAsia="en-US"/>
              </w:rPr>
              <w:t>(3)</w:t>
            </w:r>
          </w:p>
        </w:tc>
      </w:tr>
    </w:tbl>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(1)</w:t>
      </w:r>
      <w:r w:rsidRPr="003F33F9">
        <w:rPr>
          <w:szCs w:val="24"/>
          <w:lang w:val="fr-FR" w:eastAsia="en-US"/>
        </w:rPr>
        <w:tab/>
        <w:t>CAS – Informatīvais ķīmijas dienests [Chemical Abstracts Service].</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(2)</w:t>
      </w:r>
      <w:r w:rsidRPr="003F33F9">
        <w:rPr>
          <w:szCs w:val="24"/>
          <w:lang w:val="fr-FR" w:eastAsia="en-US"/>
        </w:rPr>
        <w:tab/>
        <w:t>ES numurs – Eiropas ķīmisko komercvielu saraksta (EINECS) vai Eiropā reģistrēto ķīmisko vielu saraksta (ELINCS) numurs.</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(3)</w:t>
      </w:r>
      <w:r w:rsidRPr="003F33F9">
        <w:rPr>
          <w:szCs w:val="24"/>
          <w:lang w:val="fr-FR" w:eastAsia="en-US"/>
        </w:rPr>
        <w:tab/>
        <w:t>Ar “kopā” saprot trihloretilēna un tetrahloretilēna koncentrāciju summu.”</w:t>
      </w:r>
    </w:p>
    <w:p w:rsidR="00CB6573" w:rsidRPr="003F33F9" w:rsidRDefault="00CB6573" w:rsidP="00CB6573">
      <w:pPr>
        <w:spacing w:before="120" w:after="120" w:line="360" w:lineRule="auto"/>
        <w:rPr>
          <w:szCs w:val="24"/>
          <w:lang w:val="fr-FR" w:eastAsia="en-US"/>
        </w:rPr>
        <w:sectPr w:rsidR="00CB6573" w:rsidRPr="003F33F9">
          <w:pgSz w:w="11909" w:h="16834"/>
          <w:pgMar w:top="1134" w:right="1417" w:bottom="1417" w:left="1417" w:header="1134" w:footer="567" w:gutter="0"/>
          <w:cols w:space="720"/>
        </w:sectPr>
      </w:pPr>
    </w:p>
    <w:p w:rsidR="00CB6573" w:rsidRPr="003F33F9" w:rsidRDefault="00CB6573" w:rsidP="00CB6573">
      <w:pPr>
        <w:spacing w:before="120" w:after="120" w:line="360" w:lineRule="auto"/>
        <w:rPr>
          <w:szCs w:val="24"/>
          <w:lang w:val="fr-FR" w:eastAsia="en-US"/>
        </w:rPr>
      </w:pPr>
    </w:p>
    <w:p w:rsidR="00CB6573" w:rsidRPr="003F33F9" w:rsidRDefault="00CB6573" w:rsidP="00CB6573">
      <w:pPr>
        <w:spacing w:before="120" w:after="120" w:line="360" w:lineRule="auto"/>
        <w:jc w:val="center"/>
        <w:rPr>
          <w:lang w:val="fr-FR" w:eastAsia="en-US"/>
        </w:rPr>
      </w:pPr>
      <w:r w:rsidRPr="003F33F9">
        <w:rPr>
          <w:lang w:val="fr-FR" w:eastAsia="en-US"/>
        </w:rPr>
        <w:t>V PIELIKUMS</w:t>
      </w:r>
    </w:p>
    <w:p w:rsidR="00CB6573" w:rsidRPr="003F33F9" w:rsidRDefault="00CB6573" w:rsidP="00CB6573">
      <w:pPr>
        <w:spacing w:before="120" w:after="120" w:line="360" w:lineRule="auto"/>
        <w:rPr>
          <w:szCs w:val="24"/>
          <w:lang w:val="fr-FR" w:eastAsia="en-US"/>
        </w:rPr>
      </w:pPr>
      <w:r w:rsidRPr="003F33F9">
        <w:rPr>
          <w:szCs w:val="24"/>
          <w:lang w:val="fr-FR" w:eastAsia="en-US"/>
        </w:rPr>
        <w:t>Direktīvas 2008/105/EK I pielikumu groza šādi:</w:t>
      </w:r>
    </w:p>
    <w:p w:rsidR="00CB6573" w:rsidRPr="003F33F9" w:rsidRDefault="00CB6573" w:rsidP="00CB6573">
      <w:pPr>
        <w:spacing w:before="120" w:after="120" w:line="360" w:lineRule="auto"/>
        <w:ind w:left="850" w:hanging="850"/>
        <w:rPr>
          <w:szCs w:val="24"/>
          <w:lang w:val="fr-FR" w:eastAsia="en-US"/>
        </w:rPr>
      </w:pPr>
      <w:r w:rsidRPr="003F33F9">
        <w:rPr>
          <w:szCs w:val="24"/>
          <w:lang w:val="fr-FR" w:eastAsia="en-US"/>
        </w:rPr>
        <w:t>(1)</w:t>
      </w:r>
      <w:r w:rsidRPr="003F33F9">
        <w:rPr>
          <w:szCs w:val="24"/>
          <w:lang w:val="fr-FR" w:eastAsia="en-US"/>
        </w:rPr>
        <w:tab/>
        <w:t>pielikuma nosaukumu aizstāj ar šādu:</w:t>
      </w:r>
    </w:p>
    <w:p w:rsidR="00CB6573" w:rsidRPr="003F33F9" w:rsidRDefault="00CB6573" w:rsidP="00CB6573">
      <w:pPr>
        <w:spacing w:before="120" w:after="120" w:line="360" w:lineRule="auto"/>
        <w:ind w:left="850"/>
        <w:rPr>
          <w:szCs w:val="24"/>
          <w:lang w:val="fr-FR" w:eastAsia="en-US"/>
        </w:rPr>
      </w:pPr>
      <w:r w:rsidRPr="003F33F9">
        <w:rPr>
          <w:szCs w:val="24"/>
          <w:lang w:val="fr-FR" w:eastAsia="en-US"/>
        </w:rPr>
        <w:t>“VIDES KVALITĀTES STANDARTI (VKS) PRIORITĀRAJĀM VIELĀM VIRSZEMES ŪDEŅOS;”</w:t>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t>(2)</w:t>
      </w:r>
      <w:r w:rsidRPr="003F33F9">
        <w:rPr>
          <w:szCs w:val="24"/>
          <w:lang w:val="pt-PT" w:eastAsia="en-US"/>
        </w:rPr>
        <w:tab/>
        <w:t>pielikuma A daļu aizstāj ar šādu:</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“A DAĻA: VIDES KVALITĀTES STANDARTI</w:t>
      </w:r>
    </w:p>
    <w:p w:rsidR="00133A36" w:rsidRPr="003F33F9" w:rsidRDefault="00CB6573" w:rsidP="00133A36">
      <w:pPr>
        <w:spacing w:before="120" w:after="120" w:line="360" w:lineRule="auto"/>
        <w:ind w:left="850"/>
        <w:rPr>
          <w:szCs w:val="24"/>
          <w:lang w:val="pt-PT" w:eastAsia="en-US"/>
        </w:rPr>
      </w:pPr>
      <w:r w:rsidRPr="003F33F9">
        <w:rPr>
          <w:szCs w:val="24"/>
          <w:lang w:val="pt-PT" w:eastAsia="en-US"/>
        </w:rPr>
        <w:t>1. piezīme. Ja VKS norādīts kvadrātiekavās, tas nozīmē, ka attiecīgā vērtība vēl jāapstiprina, ņemot vērā Veselības, vidisko un jauno risku zinātniskās komitejas atzinumu.</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800"/>
        <w:gridCol w:w="2010"/>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A84C16" w:rsidRPr="003F33F9" w:rsidTr="00A84C16">
        <w:trPr>
          <w:gridBefore w:val="1"/>
          <w:wBefore w:w="12" w:type="dxa"/>
          <w:cantSplit/>
          <w:trHeight w:val="309"/>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(1)</w:t>
            </w:r>
          </w:p>
        </w:tc>
        <w:tc>
          <w:tcPr>
            <w:tcW w:w="20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w:t>
            </w:r>
          </w:p>
        </w:tc>
        <w:tc>
          <w:tcPr>
            <w:tcW w:w="1278" w:type="dxa"/>
            <w:gridSpan w:val="3"/>
            <w:tcMar>
              <w:left w:w="28" w:type="dxa"/>
              <w:right w:w="28" w:type="dxa"/>
            </w:tcMar>
          </w:tcPr>
          <w:p w:rsidR="00A84C16" w:rsidRPr="003F33F9" w:rsidRDefault="00A84C16" w:rsidP="00A84C16">
            <w:pPr>
              <w:spacing w:before="40" w:after="40"/>
              <w:rPr>
                <w:noProof/>
                <w:sz w:val="22"/>
              </w:rPr>
            </w:pPr>
            <w:r w:rsidRPr="003F33F9">
              <w:rPr>
                <w:noProof/>
                <w:sz w:val="22"/>
              </w:rPr>
              <w:t>(3)</w:t>
            </w:r>
          </w:p>
        </w:tc>
        <w:tc>
          <w:tcPr>
            <w:tcW w:w="1015"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w:t>
            </w:r>
          </w:p>
        </w:tc>
        <w:tc>
          <w:tcPr>
            <w:tcW w:w="1257" w:type="dxa"/>
            <w:gridSpan w:val="3"/>
          </w:tcPr>
          <w:p w:rsidR="00A84C16" w:rsidRPr="003F33F9" w:rsidRDefault="00A84C16" w:rsidP="00A84C16">
            <w:pPr>
              <w:spacing w:before="40" w:after="40"/>
              <w:rPr>
                <w:noProof/>
                <w:sz w:val="22"/>
              </w:rPr>
            </w:pPr>
            <w:r w:rsidRPr="003F33F9">
              <w:rPr>
                <w:noProof/>
                <w:sz w:val="22"/>
              </w:rPr>
              <w:t>(5)</w:t>
            </w:r>
          </w:p>
        </w:tc>
        <w:tc>
          <w:tcPr>
            <w:tcW w:w="125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w:t>
            </w:r>
          </w:p>
        </w:tc>
        <w:tc>
          <w:tcPr>
            <w:tcW w:w="1351"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w:t>
            </w:r>
          </w:p>
        </w:tc>
        <w:tc>
          <w:tcPr>
            <w:tcW w:w="124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w:t>
            </w:r>
          </w:p>
        </w:tc>
        <w:tc>
          <w:tcPr>
            <w:tcW w:w="123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(9)</w:t>
            </w:r>
          </w:p>
        </w:tc>
        <w:tc>
          <w:tcPr>
            <w:tcW w:w="1087" w:type="dxa"/>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(11)</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(13)</w:t>
            </w:r>
          </w:p>
        </w:tc>
      </w:tr>
      <w:tr w:rsidR="00A84C16" w:rsidRPr="003F33F9" w:rsidTr="00A84C16">
        <w:trPr>
          <w:gridBefore w:val="1"/>
          <w:wBefore w:w="12" w:type="dxa"/>
          <w:cantSplit/>
          <w:trHeight w:val="1020"/>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[Ieraksts] Nr.</w:t>
            </w:r>
          </w:p>
        </w:tc>
        <w:tc>
          <w:tcPr>
            <w:tcW w:w="20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Vielas nosaukums</w:t>
            </w:r>
          </w:p>
        </w:tc>
        <w:tc>
          <w:tcPr>
            <w:tcW w:w="1278"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Vielu kategorija</w:t>
            </w:r>
          </w:p>
        </w:tc>
        <w:tc>
          <w:tcPr>
            <w:tcW w:w="1015"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i/>
                <w:iCs/>
                <w:noProof/>
                <w:sz w:val="22"/>
              </w:rPr>
              <w:t>CAS</w:t>
            </w:r>
            <w:r w:rsidRPr="003F33F9">
              <w:rPr>
                <w:noProof/>
                <w:sz w:val="22"/>
              </w:rPr>
              <w:t xml:space="preserve"> numurs (</w:t>
            </w:r>
            <w:r w:rsidRPr="003F33F9">
              <w:rPr>
                <w:noProof/>
                <w:sz w:val="22"/>
                <w:vertAlign w:val="superscript"/>
              </w:rPr>
              <w:t>1</w:t>
            </w:r>
            <w:r w:rsidRPr="003F33F9">
              <w:rPr>
                <w:noProof/>
                <w:sz w:val="22"/>
              </w:rPr>
              <w:t>)</w:t>
            </w:r>
            <w:bookmarkStart w:id="8" w:name="_DV_M292"/>
            <w:bookmarkEnd w:id="8"/>
          </w:p>
        </w:tc>
        <w:tc>
          <w:tcPr>
            <w:tcW w:w="1257" w:type="dxa"/>
            <w:gridSpan w:val="3"/>
          </w:tcPr>
          <w:p w:rsidR="00A84C16" w:rsidRPr="003F33F9" w:rsidRDefault="00A84C16" w:rsidP="00A84C16">
            <w:pPr>
              <w:spacing w:before="40" w:after="40"/>
              <w:rPr>
                <w:noProof/>
                <w:sz w:val="22"/>
              </w:rPr>
            </w:pPr>
            <w:r w:rsidRPr="003F33F9">
              <w:rPr>
                <w:noProof/>
                <w:sz w:val="22"/>
              </w:rPr>
              <w:t>ES numurs (</w:t>
            </w:r>
            <w:r w:rsidRPr="003F33F9">
              <w:rPr>
                <w:noProof/>
                <w:sz w:val="22"/>
                <w:vertAlign w:val="superscript"/>
              </w:rPr>
              <w:t>2</w:t>
            </w:r>
            <w:r w:rsidRPr="003F33F9">
              <w:rPr>
                <w:noProof/>
                <w:sz w:val="22"/>
              </w:rPr>
              <w:t>)</w:t>
            </w:r>
          </w:p>
        </w:tc>
        <w:tc>
          <w:tcPr>
            <w:tcW w:w="1257" w:type="dxa"/>
            <w:gridSpan w:val="2"/>
            <w:tcMar>
              <w:left w:w="28" w:type="dxa"/>
              <w:right w:w="28" w:type="dxa"/>
            </w:tcMar>
          </w:tcPr>
          <w:p w:rsidR="00A84C16" w:rsidRPr="003F33F9" w:rsidRDefault="00A84C16" w:rsidP="00A84C16">
            <w:pPr>
              <w:spacing w:before="40" w:after="40"/>
              <w:rPr>
                <w:noProof/>
                <w:sz w:val="22"/>
                <w:vertAlign w:val="superscript"/>
              </w:rPr>
            </w:pPr>
            <w:bookmarkStart w:id="9" w:name="_Hlk115349616"/>
            <w:bookmarkStart w:id="10" w:name="_Hlk115803578"/>
            <w:r w:rsidRPr="003F33F9">
              <w:rPr>
                <w:noProof/>
                <w:sz w:val="22"/>
              </w:rPr>
              <w:t xml:space="preserve">GVL-VKS </w:t>
            </w:r>
            <w:bookmarkEnd w:id="9"/>
            <w:r w:rsidRPr="003F33F9">
              <w:rPr>
                <w:noProof/>
                <w:sz w:val="22"/>
              </w:rPr>
              <w:t>(</w:t>
            </w:r>
            <w:r w:rsidRPr="003F33F9">
              <w:rPr>
                <w:noProof/>
                <w:sz w:val="22"/>
                <w:vertAlign w:val="superscript"/>
              </w:rPr>
              <w:t>3</w:t>
            </w:r>
            <w:r w:rsidRPr="003F33F9">
              <w:rPr>
                <w:noProof/>
                <w:sz w:val="22"/>
              </w:rPr>
              <w:t xml:space="preserve">) </w:t>
            </w:r>
            <w:bookmarkStart w:id="11" w:name="_DV_M293"/>
            <w:bookmarkEnd w:id="11"/>
            <w:r w:rsidRPr="003F33F9">
              <w:rPr>
                <w:noProof/>
                <w:sz w:val="22"/>
              </w:rPr>
              <w:t xml:space="preserve">iekšējiem virszemes ūdeņiem </w:t>
            </w:r>
            <w:bookmarkEnd w:id="10"/>
            <w:r w:rsidRPr="003F33F9">
              <w:rPr>
                <w:noProof/>
                <w:sz w:val="22"/>
              </w:rPr>
              <w:t>(</w:t>
            </w:r>
            <w:r w:rsidRPr="003F33F9">
              <w:rPr>
                <w:noProof/>
                <w:sz w:val="22"/>
                <w:vertAlign w:val="superscript"/>
              </w:rPr>
              <w:t>4</w:t>
            </w:r>
            <w:r w:rsidRPr="003F33F9">
              <w:rPr>
                <w:noProof/>
                <w:sz w:val="22"/>
              </w:rPr>
              <w:t>)</w:t>
            </w:r>
            <w:bookmarkStart w:id="12" w:name="_DV_M294"/>
            <w:bookmarkEnd w:id="12"/>
          </w:p>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[µg/l]</w:t>
            </w:r>
          </w:p>
        </w:tc>
        <w:tc>
          <w:tcPr>
            <w:tcW w:w="1351" w:type="dxa"/>
            <w:gridSpan w:val="2"/>
            <w:tcMar>
              <w:left w:w="28" w:type="dxa"/>
              <w:right w:w="28" w:type="dxa"/>
            </w:tcMar>
          </w:tcPr>
          <w:p w:rsidR="00A84C16" w:rsidRPr="003F33F9" w:rsidRDefault="00A84C16" w:rsidP="00A84C16">
            <w:pPr>
              <w:spacing w:before="40" w:after="40"/>
              <w:rPr>
                <w:noProof/>
                <w:sz w:val="22"/>
              </w:rPr>
            </w:pPr>
            <w:r w:rsidRPr="003F33F9">
              <w:rPr>
                <w:noProof/>
                <w:sz w:val="22"/>
              </w:rPr>
              <w:t>GVL-VKS</w:t>
            </w:r>
            <w:bookmarkStart w:id="13" w:name="_DV_M295"/>
            <w:bookmarkEnd w:id="13"/>
            <w:r w:rsidRPr="003F33F9">
              <w:rPr>
                <w:noProof/>
                <w:sz w:val="22"/>
              </w:rPr>
              <w:t xml:space="preserve"> (</w:t>
            </w:r>
            <w:r w:rsidRPr="003F33F9">
              <w:rPr>
                <w:noProof/>
                <w:sz w:val="22"/>
                <w:vertAlign w:val="superscript"/>
              </w:rPr>
              <w:t>3</w:t>
            </w:r>
            <w:r w:rsidRPr="003F33F9">
              <w:rPr>
                <w:noProof/>
                <w:sz w:val="22"/>
              </w:rPr>
              <w:t>)</w:t>
            </w:r>
          </w:p>
          <w:p w:rsidR="00A84C16" w:rsidRPr="003F33F9" w:rsidRDefault="00A84C16" w:rsidP="00A84C16">
            <w:pPr>
              <w:spacing w:before="40" w:after="40"/>
              <w:rPr>
                <w:noProof/>
                <w:sz w:val="22"/>
              </w:rPr>
            </w:pPr>
            <w:r w:rsidRPr="003F33F9">
              <w:rPr>
                <w:noProof/>
                <w:sz w:val="22"/>
              </w:rPr>
              <w:t>citiem virszemes ūdeņiem</w:t>
            </w:r>
          </w:p>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[µg/l]</w:t>
            </w:r>
          </w:p>
        </w:tc>
        <w:tc>
          <w:tcPr>
            <w:tcW w:w="1246" w:type="dxa"/>
            <w:gridSpan w:val="2"/>
            <w:tcMar>
              <w:left w:w="28" w:type="dxa"/>
              <w:right w:w="28" w:type="dxa"/>
            </w:tcMar>
          </w:tcPr>
          <w:p w:rsidR="00A84C16" w:rsidRPr="003F33F9" w:rsidRDefault="00A84C16" w:rsidP="00A84C16">
            <w:pPr>
              <w:spacing w:before="40" w:after="40"/>
              <w:rPr>
                <w:noProof/>
                <w:sz w:val="22"/>
              </w:rPr>
            </w:pPr>
            <w:bookmarkStart w:id="14" w:name="_Hlk115349625"/>
            <w:r w:rsidRPr="003F33F9">
              <w:rPr>
                <w:noProof/>
                <w:sz w:val="22"/>
              </w:rPr>
              <w:t xml:space="preserve">MPK-VKS </w:t>
            </w:r>
            <w:bookmarkEnd w:id="14"/>
            <w:r w:rsidRPr="003F33F9">
              <w:rPr>
                <w:noProof/>
                <w:sz w:val="22"/>
              </w:rPr>
              <w:t>(</w:t>
            </w:r>
            <w:r w:rsidRPr="003F33F9">
              <w:rPr>
                <w:noProof/>
                <w:sz w:val="22"/>
                <w:vertAlign w:val="superscript"/>
              </w:rPr>
              <w:t>5</w:t>
            </w:r>
            <w:r w:rsidRPr="003F33F9">
              <w:rPr>
                <w:noProof/>
                <w:sz w:val="22"/>
              </w:rPr>
              <w:t>)</w:t>
            </w:r>
            <w:bookmarkStart w:id="15" w:name="_DV_M296"/>
            <w:bookmarkEnd w:id="15"/>
          </w:p>
          <w:p w:rsidR="00A84C16" w:rsidRPr="003F33F9" w:rsidRDefault="00A84C16" w:rsidP="00A84C16">
            <w:pPr>
              <w:spacing w:before="40" w:after="40"/>
              <w:rPr>
                <w:noProof/>
                <w:sz w:val="22"/>
                <w:vertAlign w:val="superscript"/>
              </w:rPr>
            </w:pPr>
            <w:r w:rsidRPr="003F33F9">
              <w:rPr>
                <w:noProof/>
                <w:sz w:val="22"/>
              </w:rPr>
              <w:t xml:space="preserve">iekšējiem virszemes ūdeņiem </w:t>
            </w:r>
            <w:bookmarkStart w:id="16" w:name="_DV_M297"/>
            <w:bookmarkEnd w:id="16"/>
            <w:r w:rsidRPr="003F33F9">
              <w:rPr>
                <w:noProof/>
                <w:sz w:val="22"/>
              </w:rPr>
              <w:t>(</w:t>
            </w:r>
            <w:r w:rsidRPr="003F33F9">
              <w:rPr>
                <w:noProof/>
                <w:sz w:val="22"/>
                <w:vertAlign w:val="superscript"/>
              </w:rPr>
              <w:t>4</w:t>
            </w:r>
            <w:r w:rsidRPr="003F33F9">
              <w:rPr>
                <w:noProof/>
                <w:sz w:val="22"/>
              </w:rPr>
              <w:t>)</w:t>
            </w:r>
          </w:p>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[µg/l]</w:t>
            </w:r>
          </w:p>
        </w:tc>
        <w:tc>
          <w:tcPr>
            <w:tcW w:w="123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MPK-VKS (</w:t>
            </w:r>
            <w:r w:rsidRPr="003F33F9">
              <w:rPr>
                <w:noProof/>
                <w:sz w:val="22"/>
                <w:vertAlign w:val="superscript"/>
              </w:rPr>
              <w:t>5</w:t>
            </w:r>
            <w:r w:rsidRPr="003F33F9">
              <w:rPr>
                <w:noProof/>
                <w:sz w:val="22"/>
              </w:rPr>
              <w:t>)</w:t>
            </w:r>
            <w:bookmarkStart w:id="17" w:name="_DV_M298"/>
            <w:bookmarkEnd w:id="17"/>
          </w:p>
          <w:p w:rsidR="00A84C16" w:rsidRPr="003F33F9" w:rsidRDefault="00A84C16" w:rsidP="00A84C16">
            <w:pPr>
              <w:spacing w:before="40" w:after="40"/>
              <w:rPr>
                <w:noProof/>
                <w:sz w:val="22"/>
              </w:rPr>
            </w:pPr>
            <w:r w:rsidRPr="003F33F9">
              <w:rPr>
                <w:noProof/>
                <w:sz w:val="22"/>
              </w:rPr>
              <w:t>citiem virszemes ūdeņiem</w:t>
            </w:r>
          </w:p>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[µg/l]</w:t>
            </w:r>
          </w:p>
        </w:tc>
        <w:tc>
          <w:tcPr>
            <w:tcW w:w="1087" w:type="dxa"/>
            <w:tcMar>
              <w:left w:w="28" w:type="dxa"/>
              <w:right w:w="28" w:type="dxa"/>
            </w:tcMar>
          </w:tcPr>
          <w:p w:rsidR="00A84C16" w:rsidRPr="003F33F9" w:rsidRDefault="00A84C16" w:rsidP="00A84C16">
            <w:pPr>
              <w:spacing w:before="40" w:after="40"/>
              <w:rPr>
                <w:noProof/>
                <w:sz w:val="22"/>
              </w:rPr>
            </w:pPr>
            <w:r w:rsidRPr="003F33F9">
              <w:rPr>
                <w:noProof/>
                <w:sz w:val="22"/>
              </w:rPr>
              <w:t>VKS</w:t>
            </w:r>
          </w:p>
          <w:p w:rsidR="00A84C16" w:rsidRPr="003F33F9" w:rsidRDefault="00A84C16" w:rsidP="00A84C16">
            <w:pPr>
              <w:spacing w:before="40" w:after="40"/>
              <w:rPr>
                <w:noProof/>
                <w:sz w:val="22"/>
              </w:rPr>
            </w:pPr>
            <w:r w:rsidRPr="003F33F9">
              <w:rPr>
                <w:noProof/>
                <w:sz w:val="22"/>
              </w:rPr>
              <w:t xml:space="preserve">biotai </w:t>
            </w:r>
            <w:bookmarkStart w:id="18" w:name="_DV_M299"/>
            <w:bookmarkEnd w:id="18"/>
            <w:r w:rsidRPr="003F33F9">
              <w:rPr>
                <w:noProof/>
                <w:sz w:val="22"/>
              </w:rPr>
              <w:t>(</w:t>
            </w:r>
            <w:r w:rsidRPr="003F33F9">
              <w:rPr>
                <w:noProof/>
                <w:sz w:val="22"/>
                <w:vertAlign w:val="superscript"/>
              </w:rPr>
              <w:t>6</w:t>
            </w:r>
            <w:r w:rsidRPr="003F33F9">
              <w:rPr>
                <w:noProof/>
                <w:sz w:val="22"/>
              </w:rPr>
              <w:t>)</w:t>
            </w:r>
          </w:p>
          <w:p w:rsidR="00A84C16" w:rsidRPr="003F33F9" w:rsidRDefault="00A84C16" w:rsidP="00A84C16">
            <w:pPr>
              <w:spacing w:before="40" w:after="40"/>
              <w:rPr>
                <w:noProof/>
                <w:sz w:val="22"/>
              </w:rPr>
            </w:pPr>
            <w:r w:rsidRPr="003F33F9">
              <w:rPr>
                <w:noProof/>
                <w:sz w:val="22"/>
              </w:rPr>
              <w:t xml:space="preserve">[μg/kg mitrā svara] </w:t>
            </w:r>
          </w:p>
          <w:p w:rsidR="00A84C16" w:rsidRPr="003F33F9" w:rsidRDefault="00A84C16" w:rsidP="00A84C16">
            <w:pPr>
              <w:spacing w:before="40" w:after="40"/>
              <w:rPr>
                <w:noProof/>
                <w:sz w:val="22"/>
              </w:rPr>
            </w:pPr>
            <w:r w:rsidRPr="003F33F9">
              <w:rPr>
                <w:noProof/>
                <w:sz w:val="22"/>
              </w:rPr>
              <w:t>vai VKS sedimentiem [µg/kg sausā svara], ja tā norādīts</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 xml:space="preserve">Identificēta par prioritāru bīstamo vielu </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Identificēta par visuresošu noturīgu, bioakumulatīvu un toksisku (uPBT) vielu</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 xml:space="preserve">Identificēta par vielu, kas mēdz uzkrāties sedimentos un/vai biotā </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w:t>
            </w:r>
          </w:p>
        </w:tc>
        <w:tc>
          <w:tcPr>
            <w:tcW w:w="15192" w:type="dxa"/>
            <w:gridSpan w:val="23"/>
            <w:tcMar>
              <w:left w:w="28" w:type="dxa"/>
              <w:right w:w="28" w:type="dxa"/>
            </w:tcMar>
          </w:tcPr>
          <w:p w:rsidR="00A84C16" w:rsidRPr="003F33F9" w:rsidRDefault="00A84C16" w:rsidP="00A84C16">
            <w:pPr>
              <w:spacing w:before="40" w:after="40"/>
              <w:rPr>
                <w:noProof/>
                <w:sz w:val="22"/>
              </w:rPr>
            </w:pPr>
            <w:r w:rsidRPr="003F33F9">
              <w:rPr>
                <w:noProof/>
                <w:sz w:val="22"/>
              </w:rPr>
              <w:t xml:space="preserve">Ieraksts par alahloru ir pārvietots uz II pielikuma C daļu. </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Antracēns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 xml:space="preserve">Rūpniecībā lietotas vielas </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120-12-7</w:t>
            </w:r>
          </w:p>
        </w:tc>
        <w:tc>
          <w:tcPr>
            <w:tcW w:w="1134" w:type="dxa"/>
          </w:tcPr>
          <w:p w:rsidR="00A84C16" w:rsidRPr="003F33F9" w:rsidRDefault="00A84C16" w:rsidP="00A84C16">
            <w:pPr>
              <w:spacing w:before="40" w:after="40"/>
              <w:rPr>
                <w:noProof/>
                <w:sz w:val="22"/>
              </w:rPr>
            </w:pPr>
            <w:r w:rsidRPr="003F33F9">
              <w:rPr>
                <w:noProof/>
                <w:sz w:val="22"/>
              </w:rPr>
              <w:t>204-371-1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b/>
                <w:noProof/>
                <w:sz w:val="22"/>
              </w:rPr>
            </w:pPr>
            <w:r w:rsidRPr="003F33F9">
              <w:rPr>
                <w:noProof/>
                <w:sz w:val="22"/>
              </w:rPr>
              <w:t>(3)</w:t>
            </w:r>
            <w:r w:rsidRPr="003F33F9">
              <w:rPr>
                <w:b/>
                <w:noProof/>
                <w:sz w:val="22"/>
              </w:rPr>
              <w:t xml:space="preserve"> [Gr.</w:t>
            </w:r>
          </w:p>
          <w:p w:rsidR="00A84C16" w:rsidRPr="003F33F9" w:rsidRDefault="00A84C16" w:rsidP="00A84C16">
            <w:pPr>
              <w:spacing w:before="40" w:after="40"/>
              <w:rPr>
                <w:b/>
                <w:noProof/>
                <w:sz w:val="22"/>
              </w:rPr>
            </w:pPr>
            <w:r w:rsidRPr="003F33F9">
              <w:rPr>
                <w:b/>
                <w:noProof/>
                <w:sz w:val="22"/>
              </w:rPr>
              <w:t>150]</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Atrazīns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1912-24-9</w:t>
            </w:r>
          </w:p>
        </w:tc>
        <w:tc>
          <w:tcPr>
            <w:tcW w:w="1134" w:type="dxa"/>
          </w:tcPr>
          <w:p w:rsidR="00A84C16" w:rsidRPr="003F33F9" w:rsidRDefault="00A84C16" w:rsidP="00A84C16">
            <w:pPr>
              <w:spacing w:before="40" w:after="40"/>
              <w:rPr>
                <w:noProof/>
                <w:sz w:val="22"/>
              </w:rPr>
            </w:pPr>
            <w:r w:rsidRPr="003F33F9">
              <w:rPr>
                <w:noProof/>
                <w:sz w:val="22"/>
              </w:rPr>
              <w:t>217-617-8</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rFonts w:eastAsia="Calibri"/>
                <w:strike/>
                <w:noProof/>
                <w:sz w:val="22"/>
                <w:szCs w:val="22"/>
              </w:rPr>
              <w:t>0,6</w:t>
            </w:r>
            <w:r w:rsidRPr="003F33F9">
              <w:rPr>
                <w:rFonts w:eastAsia="Calibri"/>
                <w:noProof/>
                <w:sz w:val="22"/>
                <w:szCs w:val="22"/>
              </w:rPr>
              <w:t xml:space="preserve"> </w:t>
            </w:r>
            <w:r w:rsidRPr="003F33F9">
              <w:rPr>
                <w:rFonts w:eastAsia="Calibri"/>
                <w:b/>
                <w:i/>
                <w:noProof/>
                <w:sz w:val="22"/>
                <w:szCs w:val="22"/>
              </w:rPr>
              <w:t>0,1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rFonts w:eastAsia="Calibri"/>
                <w:strike/>
                <w:noProof/>
                <w:sz w:val="22"/>
                <w:szCs w:val="22"/>
              </w:rPr>
              <w:t>0,6</w:t>
            </w:r>
            <w:r w:rsidRPr="003F33F9">
              <w:rPr>
                <w:rFonts w:eastAsia="Calibri"/>
                <w:noProof/>
                <w:sz w:val="22"/>
                <w:szCs w:val="22"/>
              </w:rPr>
              <w:t xml:space="preserve"> </w:t>
            </w:r>
            <w:r w:rsidRPr="003F33F9">
              <w:rPr>
                <w:rFonts w:eastAsia="Calibri"/>
                <w:b/>
                <w:i/>
                <w:noProof/>
                <w:sz w:val="22"/>
                <w:szCs w:val="22"/>
              </w:rPr>
              <w:t>0,01</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71-43-2</w:t>
            </w:r>
          </w:p>
        </w:tc>
        <w:tc>
          <w:tcPr>
            <w:tcW w:w="1134" w:type="dxa"/>
          </w:tcPr>
          <w:p w:rsidR="00A84C16" w:rsidRPr="003F33F9" w:rsidRDefault="00A84C16" w:rsidP="00A84C16">
            <w:pPr>
              <w:spacing w:before="40" w:after="40"/>
              <w:rPr>
                <w:noProof/>
                <w:sz w:val="22"/>
              </w:rPr>
            </w:pPr>
            <w:r w:rsidRPr="003F33F9">
              <w:rPr>
                <w:noProof/>
                <w:sz w:val="22"/>
              </w:rPr>
              <w:t>200-753-7</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50</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50</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rHeight w:val="567"/>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w:t>
            </w:r>
          </w:p>
        </w:tc>
        <w:tc>
          <w:tcPr>
            <w:tcW w:w="2103" w:type="dxa"/>
            <w:gridSpan w:val="3"/>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Brominēti difenilēteri</w:t>
            </w:r>
            <w:bookmarkStart w:id="19" w:name="_DV_M300"/>
            <w:bookmarkEnd w:id="19"/>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0,14 (</w:t>
            </w:r>
            <w:r w:rsidRPr="003F33F9">
              <w:rPr>
                <w:noProof/>
                <w:sz w:val="22"/>
                <w:vertAlign w:val="superscript"/>
              </w:rPr>
              <w:t>7</w:t>
            </w:r>
            <w:r w:rsidRPr="003F33F9">
              <w:rPr>
                <w:noProof/>
                <w:sz w:val="22"/>
              </w:rPr>
              <w:t>)</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0,014 (</w:t>
            </w:r>
            <w:r w:rsidRPr="003F33F9">
              <w:rPr>
                <w:noProof/>
                <w:sz w:val="22"/>
                <w:vertAlign w:val="superscript"/>
              </w:rPr>
              <w:t>7</w:t>
            </w:r>
            <w:r w:rsidRPr="003F33F9">
              <w:rPr>
                <w:noProof/>
                <w:sz w:val="22"/>
              </w:rPr>
              <w:t>)</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[0,00028] (</w:t>
            </w:r>
            <w:r w:rsidRPr="003F33F9">
              <w:rPr>
                <w:noProof/>
                <w:sz w:val="22"/>
                <w:vertAlign w:val="superscript"/>
              </w:rPr>
              <w:t>7</w:t>
            </w:r>
            <w:r w:rsidRPr="003F33F9">
              <w:rPr>
                <w:noProof/>
                <w:sz w:val="22"/>
              </w:rPr>
              <w:t>)</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 (</w:t>
            </w:r>
            <w:r w:rsidRPr="003F33F9">
              <w:rPr>
                <w:noProof/>
                <w:sz w:val="22"/>
                <w:vertAlign w:val="superscript"/>
              </w:rPr>
              <w:t>8</w:t>
            </w:r>
            <w:r w:rsidRPr="003F33F9">
              <w:rPr>
                <w:noProof/>
                <w:sz w:val="22"/>
              </w:rPr>
              <w:t>)</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(6)</w:t>
            </w:r>
          </w:p>
        </w:tc>
        <w:tc>
          <w:tcPr>
            <w:tcW w:w="2103"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Kadmijs un tā savienojumi</w:t>
            </w:r>
          </w:p>
          <w:p w:rsidR="00A84C16" w:rsidRPr="003F33F9" w:rsidRDefault="00A84C16" w:rsidP="00A84C16">
            <w:pPr>
              <w:keepNext/>
              <w:spacing w:before="40" w:after="40"/>
              <w:rPr>
                <w:noProof/>
                <w:sz w:val="22"/>
                <w:vertAlign w:val="superscript"/>
              </w:rPr>
            </w:pPr>
            <w:r w:rsidRPr="003F33F9">
              <w:rPr>
                <w:noProof/>
                <w:sz w:val="22"/>
              </w:rPr>
              <w:t>(atkarībā no ūdens cietības pakāpes) (</w:t>
            </w:r>
            <w:r w:rsidRPr="003F33F9">
              <w:rPr>
                <w:noProof/>
                <w:sz w:val="22"/>
                <w:vertAlign w:val="superscript"/>
              </w:rPr>
              <w:t>9</w:t>
            </w:r>
            <w:r w:rsidRPr="003F33F9">
              <w:rPr>
                <w:noProof/>
                <w:sz w:val="22"/>
              </w:rPr>
              <w:t>)</w:t>
            </w:r>
          </w:p>
        </w:tc>
        <w:tc>
          <w:tcPr>
            <w:tcW w:w="1329"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Metāli</w:t>
            </w:r>
          </w:p>
        </w:tc>
        <w:tc>
          <w:tcPr>
            <w:tcW w:w="992"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7440-43-9</w:t>
            </w:r>
          </w:p>
        </w:tc>
        <w:tc>
          <w:tcPr>
            <w:tcW w:w="1134" w:type="dxa"/>
          </w:tcPr>
          <w:p w:rsidR="00A84C16" w:rsidRPr="003F33F9" w:rsidRDefault="00A84C16" w:rsidP="00A84C16">
            <w:pPr>
              <w:keepNext/>
              <w:spacing w:before="40" w:after="40"/>
              <w:rPr>
                <w:noProof/>
                <w:sz w:val="22"/>
              </w:rPr>
            </w:pPr>
            <w:r w:rsidRPr="003F33F9">
              <w:rPr>
                <w:noProof/>
                <w:sz w:val="22"/>
              </w:rPr>
              <w:t>231-152-8</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 0,08 (1. pakāpe)</w:t>
            </w:r>
          </w:p>
          <w:p w:rsidR="00A84C16" w:rsidRPr="003F33F9" w:rsidRDefault="00A84C16" w:rsidP="00A84C16">
            <w:pPr>
              <w:keepNext/>
              <w:spacing w:before="40" w:after="40"/>
              <w:rPr>
                <w:noProof/>
                <w:sz w:val="22"/>
              </w:rPr>
            </w:pPr>
            <w:r w:rsidRPr="003F33F9">
              <w:rPr>
                <w:noProof/>
                <w:sz w:val="22"/>
              </w:rPr>
              <w:t>0,08 (2. pakāpe)</w:t>
            </w:r>
          </w:p>
          <w:p w:rsidR="00A84C16" w:rsidRPr="003F33F9" w:rsidRDefault="00A84C16" w:rsidP="00A84C16">
            <w:pPr>
              <w:keepNext/>
              <w:spacing w:before="40" w:after="40"/>
              <w:rPr>
                <w:noProof/>
                <w:sz w:val="22"/>
              </w:rPr>
            </w:pPr>
            <w:r w:rsidRPr="003F33F9">
              <w:rPr>
                <w:noProof/>
                <w:sz w:val="22"/>
              </w:rPr>
              <w:t>0,09 (3. pakāpe)</w:t>
            </w:r>
          </w:p>
          <w:p w:rsidR="00A84C16" w:rsidRPr="003F33F9" w:rsidRDefault="00A84C16" w:rsidP="00A84C16">
            <w:pPr>
              <w:keepNext/>
              <w:spacing w:before="40" w:after="40"/>
              <w:rPr>
                <w:noProof/>
                <w:sz w:val="22"/>
              </w:rPr>
            </w:pPr>
            <w:r w:rsidRPr="003F33F9">
              <w:rPr>
                <w:noProof/>
                <w:sz w:val="22"/>
              </w:rPr>
              <w:t>0,15 (4. pakāpe)</w:t>
            </w:r>
          </w:p>
          <w:p w:rsidR="00A84C16" w:rsidRPr="003F33F9" w:rsidRDefault="00A84C16" w:rsidP="00A84C16">
            <w:pPr>
              <w:keepNext/>
              <w:spacing w:before="40" w:after="40"/>
              <w:rPr>
                <w:noProof/>
                <w:sz w:val="22"/>
              </w:rPr>
            </w:pPr>
            <w:r w:rsidRPr="003F33F9">
              <w:rPr>
                <w:noProof/>
                <w:sz w:val="22"/>
              </w:rPr>
              <w:t>0,25 (5. pakāpe)</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0,2</w:t>
            </w:r>
          </w:p>
        </w:tc>
        <w:tc>
          <w:tcPr>
            <w:tcW w:w="1278"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 0,45 (1. pakāpe)</w:t>
            </w:r>
          </w:p>
          <w:p w:rsidR="00A84C16" w:rsidRPr="003F33F9" w:rsidRDefault="00A84C16" w:rsidP="00A84C16">
            <w:pPr>
              <w:keepNext/>
              <w:spacing w:before="40" w:after="40"/>
              <w:rPr>
                <w:noProof/>
                <w:sz w:val="22"/>
              </w:rPr>
            </w:pPr>
            <w:r w:rsidRPr="003F33F9">
              <w:rPr>
                <w:noProof/>
                <w:sz w:val="22"/>
              </w:rPr>
              <w:t>0,45 (2. pakāpe)</w:t>
            </w:r>
          </w:p>
          <w:p w:rsidR="00A84C16" w:rsidRPr="003F33F9" w:rsidRDefault="00A84C16" w:rsidP="00A84C16">
            <w:pPr>
              <w:keepNext/>
              <w:spacing w:before="40" w:after="40"/>
              <w:rPr>
                <w:noProof/>
                <w:sz w:val="22"/>
              </w:rPr>
            </w:pPr>
            <w:r w:rsidRPr="003F33F9">
              <w:rPr>
                <w:noProof/>
                <w:sz w:val="22"/>
              </w:rPr>
              <w:t>0,6 (3. pakāpe)</w:t>
            </w:r>
          </w:p>
          <w:p w:rsidR="00A84C16" w:rsidRPr="003F33F9" w:rsidRDefault="00A84C16" w:rsidP="00A84C16">
            <w:pPr>
              <w:keepNext/>
              <w:spacing w:before="40" w:after="40"/>
              <w:rPr>
                <w:noProof/>
                <w:sz w:val="22"/>
              </w:rPr>
            </w:pPr>
            <w:r w:rsidRPr="003F33F9">
              <w:rPr>
                <w:noProof/>
                <w:sz w:val="22"/>
              </w:rPr>
              <w:t>0,9 (4. pakāpe)</w:t>
            </w:r>
          </w:p>
          <w:p w:rsidR="00A84C16" w:rsidRPr="003F33F9" w:rsidRDefault="00A84C16" w:rsidP="00A84C16">
            <w:pPr>
              <w:keepNext/>
              <w:spacing w:before="40" w:after="40"/>
              <w:rPr>
                <w:noProof/>
                <w:sz w:val="22"/>
              </w:rPr>
            </w:pPr>
            <w:r w:rsidRPr="003F33F9">
              <w:rPr>
                <w:noProof/>
                <w:sz w:val="22"/>
              </w:rPr>
              <w:t>1,5 (5. pakāpe)</w:t>
            </w:r>
          </w:p>
        </w:tc>
        <w:tc>
          <w:tcPr>
            <w:tcW w:w="1277"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 0,45 (1. pakāpe)</w:t>
            </w:r>
          </w:p>
          <w:p w:rsidR="00A84C16" w:rsidRPr="003F33F9" w:rsidRDefault="00A84C16" w:rsidP="00A84C16">
            <w:pPr>
              <w:keepNext/>
              <w:spacing w:before="40" w:after="40"/>
              <w:rPr>
                <w:noProof/>
                <w:sz w:val="22"/>
              </w:rPr>
            </w:pPr>
            <w:r w:rsidRPr="003F33F9">
              <w:rPr>
                <w:noProof/>
                <w:sz w:val="22"/>
              </w:rPr>
              <w:t>0,45 (2. pakāpe)</w:t>
            </w:r>
          </w:p>
          <w:p w:rsidR="00A84C16" w:rsidRPr="003F33F9" w:rsidRDefault="00A84C16" w:rsidP="00A84C16">
            <w:pPr>
              <w:keepNext/>
              <w:spacing w:before="40" w:after="40"/>
              <w:rPr>
                <w:noProof/>
                <w:sz w:val="22"/>
              </w:rPr>
            </w:pPr>
            <w:r w:rsidRPr="003F33F9">
              <w:rPr>
                <w:noProof/>
                <w:sz w:val="22"/>
              </w:rPr>
              <w:t>0,6 (3. pakāpe)</w:t>
            </w:r>
          </w:p>
          <w:p w:rsidR="00A84C16" w:rsidRPr="003F33F9" w:rsidRDefault="00A84C16" w:rsidP="00A84C16">
            <w:pPr>
              <w:keepNext/>
              <w:spacing w:before="40" w:after="40"/>
              <w:rPr>
                <w:noProof/>
                <w:sz w:val="22"/>
              </w:rPr>
            </w:pPr>
            <w:r w:rsidRPr="003F33F9">
              <w:rPr>
                <w:noProof/>
                <w:sz w:val="22"/>
              </w:rPr>
              <w:t>0,9 (4. pakāpe)</w:t>
            </w:r>
          </w:p>
          <w:p w:rsidR="00A84C16" w:rsidRPr="003F33F9" w:rsidRDefault="00A84C16" w:rsidP="00A84C16">
            <w:pPr>
              <w:keepNext/>
              <w:spacing w:before="40" w:after="40"/>
              <w:rPr>
                <w:noProof/>
                <w:sz w:val="22"/>
              </w:rPr>
            </w:pPr>
            <w:r w:rsidRPr="003F33F9">
              <w:rPr>
                <w:noProof/>
                <w:sz w:val="22"/>
              </w:rPr>
              <w:t>1,5 (5. pakāpe)</w:t>
            </w:r>
          </w:p>
        </w:tc>
        <w:tc>
          <w:tcPr>
            <w:tcW w:w="1136" w:type="dxa"/>
            <w:gridSpan w:val="2"/>
            <w:tcMar>
              <w:left w:w="28" w:type="dxa"/>
              <w:right w:w="28" w:type="dxa"/>
            </w:tcMar>
          </w:tcPr>
          <w:p w:rsidR="00A84C16" w:rsidRPr="003F33F9" w:rsidRDefault="00A84C16" w:rsidP="00A84C16">
            <w:pPr>
              <w:keepNext/>
              <w:spacing w:before="40" w:after="40"/>
              <w:rPr>
                <w:noProof/>
                <w:sz w:val="22"/>
              </w:rPr>
            </w:pPr>
          </w:p>
        </w:tc>
        <w:tc>
          <w:tcPr>
            <w:tcW w:w="1262" w:type="dxa"/>
            <w:tcMar>
              <w:left w:w="28" w:type="dxa"/>
              <w:right w:w="28" w:type="dxa"/>
            </w:tcMar>
          </w:tcPr>
          <w:p w:rsidR="00A84C16" w:rsidRPr="003F33F9" w:rsidRDefault="00A84C16" w:rsidP="00A84C16">
            <w:pPr>
              <w:keepNext/>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keepNext/>
              <w:spacing w:before="40" w:after="40"/>
              <w:rPr>
                <w:noProof/>
                <w:sz w:val="22"/>
              </w:rPr>
            </w:pPr>
          </w:p>
        </w:tc>
        <w:tc>
          <w:tcPr>
            <w:tcW w:w="970" w:type="dxa"/>
            <w:tcMar>
              <w:left w:w="28" w:type="dxa"/>
              <w:right w:w="28" w:type="dxa"/>
            </w:tcMar>
          </w:tcPr>
          <w:p w:rsidR="00A84C16" w:rsidRPr="003F33F9" w:rsidRDefault="00A84C16" w:rsidP="00A84C16">
            <w:pPr>
              <w:keepNext/>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(6a)</w:t>
            </w:r>
          </w:p>
        </w:tc>
        <w:tc>
          <w:tcPr>
            <w:tcW w:w="15192" w:type="dxa"/>
            <w:gridSpan w:val="23"/>
            <w:tcMar>
              <w:left w:w="28" w:type="dxa"/>
              <w:right w:w="28" w:type="dxa"/>
            </w:tcMar>
          </w:tcPr>
          <w:p w:rsidR="00A84C16" w:rsidRPr="003F33F9" w:rsidRDefault="00A84C16" w:rsidP="00A84C16">
            <w:pPr>
              <w:spacing w:before="40" w:after="40"/>
              <w:rPr>
                <w:noProof/>
                <w:sz w:val="22"/>
              </w:rPr>
            </w:pPr>
            <w:r w:rsidRPr="003F33F9">
              <w:rPr>
                <w:noProof/>
                <w:sz w:val="22"/>
              </w:rPr>
              <w:t xml:space="preserve">Ieraksts par tetrahloroglekli ir pārvietots uz II pielikuma C daļu. </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w:t>
            </w:r>
          </w:p>
        </w:tc>
        <w:tc>
          <w:tcPr>
            <w:tcW w:w="2103" w:type="dxa"/>
            <w:gridSpan w:val="3"/>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C</w:t>
            </w:r>
            <w:r w:rsidRPr="003F33F9">
              <w:rPr>
                <w:noProof/>
                <w:sz w:val="22"/>
                <w:vertAlign w:val="subscript"/>
              </w:rPr>
              <w:t xml:space="preserve">10-13 </w:t>
            </w:r>
            <w:r w:rsidRPr="003F33F9">
              <w:rPr>
                <w:noProof/>
                <w:sz w:val="22"/>
              </w:rPr>
              <w:t>hloralkāni (</w:t>
            </w:r>
            <w:r w:rsidRPr="003F33F9">
              <w:rPr>
                <w:noProof/>
                <w:sz w:val="22"/>
                <w:vertAlign w:val="superscript"/>
              </w:rPr>
              <w:t>10</w:t>
            </w:r>
            <w:r w:rsidRPr="003F33F9">
              <w:rPr>
                <w:noProof/>
                <w:sz w:val="22"/>
              </w:rPr>
              <w:t>)</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85535-84-8</w:t>
            </w:r>
          </w:p>
        </w:tc>
        <w:tc>
          <w:tcPr>
            <w:tcW w:w="1134" w:type="dxa"/>
          </w:tcPr>
          <w:p w:rsidR="00A84C16" w:rsidRPr="003F33F9" w:rsidRDefault="00A84C16" w:rsidP="00A84C16">
            <w:pPr>
              <w:spacing w:before="40" w:after="40"/>
              <w:rPr>
                <w:noProof/>
                <w:sz w:val="22"/>
              </w:rPr>
            </w:pPr>
            <w:r w:rsidRPr="003F33F9">
              <w:rPr>
                <w:noProof/>
                <w:sz w:val="22"/>
              </w:rPr>
              <w:t>287-476-5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0,4 </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0,4</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1,4</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w:t>
            </w:r>
          </w:p>
        </w:tc>
        <w:tc>
          <w:tcPr>
            <w:tcW w:w="15192" w:type="dxa"/>
            <w:gridSpan w:val="23"/>
            <w:tcMar>
              <w:left w:w="28" w:type="dxa"/>
              <w:right w:w="28" w:type="dxa"/>
            </w:tcMar>
          </w:tcPr>
          <w:p w:rsidR="00A84C16" w:rsidRPr="003F33F9" w:rsidRDefault="00A84C16" w:rsidP="00A84C16">
            <w:pPr>
              <w:spacing w:before="40" w:after="40"/>
              <w:rPr>
                <w:noProof/>
                <w:sz w:val="22"/>
              </w:rPr>
            </w:pPr>
            <w:r w:rsidRPr="003F33F9">
              <w:rPr>
                <w:noProof/>
                <w:sz w:val="22"/>
              </w:rPr>
              <w:t xml:space="preserve">Ieraksts par hlorfenvinfosu ir pārvietots uz II pielikuma C daļu. </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(9)</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Hlorpirifoss (etilhlorpirifoss)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Fosfororganiskie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2921-88-2</w:t>
            </w:r>
          </w:p>
        </w:tc>
        <w:tc>
          <w:tcPr>
            <w:tcW w:w="1134" w:type="dxa"/>
          </w:tcPr>
          <w:p w:rsidR="00A84C16" w:rsidRPr="003F33F9" w:rsidRDefault="00A84C16" w:rsidP="00A84C16">
            <w:pPr>
              <w:spacing w:before="40" w:after="40"/>
              <w:rPr>
                <w:noProof/>
                <w:sz w:val="22"/>
              </w:rPr>
            </w:pPr>
            <w:r w:rsidRPr="003F33F9">
              <w:rPr>
                <w:noProof/>
                <w:sz w:val="22"/>
              </w:rPr>
              <w:t>220-864-4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4,6 × 10</w:t>
            </w:r>
            <w:r w:rsidRPr="003F33F9">
              <w:rPr>
                <w:noProof/>
                <w:sz w:val="22"/>
                <w:vertAlign w:val="superscript"/>
              </w:rPr>
              <w:t>-4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4,6 × 10</w:t>
            </w:r>
            <w:r w:rsidRPr="003F33F9">
              <w:rPr>
                <w:noProof/>
                <w:sz w:val="22"/>
                <w:vertAlign w:val="superscript"/>
              </w:rPr>
              <w:t>-5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0,0026</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5,2 × 10</w:t>
            </w:r>
            <w:r w:rsidRPr="003F33F9">
              <w:rPr>
                <w:noProof/>
                <w:sz w:val="22"/>
                <w:vertAlign w:val="superscript"/>
              </w:rPr>
              <w:t>-4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br w:type="page"/>
              <w:t>(9a)</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Ciklodiēna pesticīdi:</w:t>
            </w:r>
          </w:p>
          <w:p w:rsidR="00A84C16" w:rsidRPr="003F33F9" w:rsidRDefault="00A84C16" w:rsidP="00A84C16">
            <w:pPr>
              <w:spacing w:before="40" w:after="40"/>
              <w:rPr>
                <w:noProof/>
                <w:sz w:val="22"/>
              </w:rPr>
            </w:pPr>
            <w:r w:rsidRPr="003F33F9">
              <w:rPr>
                <w:noProof/>
                <w:sz w:val="22"/>
              </w:rPr>
              <w:t xml:space="preserve">aldrīns </w:t>
            </w:r>
            <w:bookmarkStart w:id="20" w:name="_DV_M301"/>
            <w:bookmarkEnd w:id="20"/>
          </w:p>
          <w:p w:rsidR="00A84C16" w:rsidRPr="003F33F9" w:rsidRDefault="00A84C16" w:rsidP="00A84C16">
            <w:pPr>
              <w:spacing w:before="40" w:after="40"/>
              <w:rPr>
                <w:noProof/>
                <w:sz w:val="22"/>
              </w:rPr>
            </w:pPr>
            <w:r w:rsidRPr="003F33F9">
              <w:rPr>
                <w:noProof/>
                <w:sz w:val="22"/>
              </w:rPr>
              <w:t xml:space="preserve">dieldrīns </w:t>
            </w:r>
            <w:bookmarkStart w:id="21" w:name="_DV_M302"/>
            <w:bookmarkEnd w:id="21"/>
          </w:p>
          <w:p w:rsidR="00A84C16" w:rsidRPr="003F33F9" w:rsidRDefault="00A84C16" w:rsidP="00A84C16">
            <w:pPr>
              <w:spacing w:before="40" w:after="40"/>
              <w:rPr>
                <w:noProof/>
                <w:sz w:val="22"/>
              </w:rPr>
            </w:pPr>
            <w:r w:rsidRPr="003F33F9">
              <w:rPr>
                <w:noProof/>
                <w:sz w:val="22"/>
              </w:rPr>
              <w:t xml:space="preserve">endrīns </w:t>
            </w:r>
            <w:bookmarkStart w:id="22" w:name="_DV_M303"/>
            <w:bookmarkEnd w:id="22"/>
          </w:p>
          <w:p w:rsidR="00A84C16" w:rsidRPr="003F33F9" w:rsidRDefault="00A84C16" w:rsidP="00A84C16">
            <w:pPr>
              <w:spacing w:before="40" w:after="40"/>
              <w:rPr>
                <w:noProof/>
                <w:sz w:val="22"/>
                <w:vertAlign w:val="superscript"/>
              </w:rPr>
            </w:pPr>
            <w:r w:rsidRPr="003F33F9">
              <w:rPr>
                <w:noProof/>
                <w:sz w:val="22"/>
              </w:rPr>
              <w:t xml:space="preserve">izodrīns </w:t>
            </w:r>
            <w:bookmarkStart w:id="23" w:name="_DV_M304"/>
            <w:bookmarkEnd w:id="23"/>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309-00-2</w:t>
            </w:r>
          </w:p>
          <w:p w:rsidR="00A84C16" w:rsidRPr="003F33F9" w:rsidRDefault="00A84C16" w:rsidP="00A84C16">
            <w:pPr>
              <w:spacing w:before="40" w:after="40"/>
              <w:rPr>
                <w:noProof/>
                <w:sz w:val="22"/>
              </w:rPr>
            </w:pPr>
            <w:r w:rsidRPr="003F33F9">
              <w:rPr>
                <w:noProof/>
                <w:sz w:val="22"/>
              </w:rPr>
              <w:t>60-57-1</w:t>
            </w:r>
          </w:p>
          <w:p w:rsidR="00A84C16" w:rsidRPr="003F33F9" w:rsidRDefault="00A84C16" w:rsidP="00A84C16">
            <w:pPr>
              <w:spacing w:before="40" w:after="40"/>
              <w:rPr>
                <w:noProof/>
                <w:sz w:val="22"/>
              </w:rPr>
            </w:pPr>
            <w:r w:rsidRPr="003F33F9">
              <w:rPr>
                <w:noProof/>
                <w:sz w:val="22"/>
              </w:rPr>
              <w:t>72-20-8</w:t>
            </w:r>
          </w:p>
          <w:p w:rsidR="00A84C16" w:rsidRPr="003F33F9" w:rsidRDefault="00A84C16" w:rsidP="00A84C16">
            <w:pPr>
              <w:spacing w:before="40" w:after="40"/>
              <w:rPr>
                <w:noProof/>
                <w:sz w:val="22"/>
              </w:rPr>
            </w:pPr>
            <w:r w:rsidRPr="003F33F9">
              <w:rPr>
                <w:noProof/>
                <w:sz w:val="22"/>
              </w:rPr>
              <w:t>465-73-6</w:t>
            </w:r>
          </w:p>
        </w:tc>
        <w:tc>
          <w:tcPr>
            <w:tcW w:w="1134" w:type="dxa"/>
          </w:tcPr>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r w:rsidRPr="003F33F9">
              <w:rPr>
                <w:noProof/>
                <w:sz w:val="22"/>
              </w:rPr>
              <w:t>206-215-8</w:t>
            </w:r>
          </w:p>
          <w:p w:rsidR="00A84C16" w:rsidRPr="003F33F9" w:rsidRDefault="00A84C16" w:rsidP="00A84C16">
            <w:pPr>
              <w:spacing w:before="40" w:after="40"/>
              <w:rPr>
                <w:noProof/>
                <w:sz w:val="22"/>
              </w:rPr>
            </w:pPr>
            <w:r w:rsidRPr="003F33F9">
              <w:rPr>
                <w:noProof/>
                <w:sz w:val="22"/>
              </w:rPr>
              <w:t>200-484-5</w:t>
            </w:r>
          </w:p>
          <w:p w:rsidR="00A84C16" w:rsidRPr="003F33F9" w:rsidRDefault="00A84C16" w:rsidP="00A84C16">
            <w:pPr>
              <w:spacing w:before="40" w:after="40"/>
              <w:rPr>
                <w:noProof/>
                <w:sz w:val="22"/>
              </w:rPr>
            </w:pPr>
            <w:r w:rsidRPr="003F33F9">
              <w:rPr>
                <w:noProof/>
                <w:sz w:val="22"/>
              </w:rPr>
              <w:t>200-775-7</w:t>
            </w:r>
          </w:p>
          <w:p w:rsidR="00A84C16" w:rsidRPr="003F33F9" w:rsidRDefault="00A84C16" w:rsidP="00A84C16">
            <w:pPr>
              <w:spacing w:before="40" w:after="40"/>
              <w:rPr>
                <w:noProof/>
                <w:sz w:val="22"/>
              </w:rPr>
            </w:pPr>
            <w:r w:rsidRPr="003F33F9">
              <w:rPr>
                <w:noProof/>
                <w:sz w:val="22"/>
              </w:rPr>
              <w:t>207-366-2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Σ = 0,01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Σ = 0,005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p>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(9b)</w:t>
            </w:r>
          </w:p>
        </w:tc>
        <w:tc>
          <w:tcPr>
            <w:tcW w:w="2103" w:type="dxa"/>
            <w:gridSpan w:val="3"/>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DDT kopā (</w:t>
            </w:r>
            <w:r w:rsidRPr="003F33F9">
              <w:rPr>
                <w:noProof/>
                <w:sz w:val="22"/>
                <w:vertAlign w:val="superscript"/>
              </w:rPr>
              <w:t>11</w:t>
            </w:r>
            <w:r w:rsidRPr="003F33F9">
              <w:rPr>
                <w:noProof/>
                <w:sz w:val="22"/>
              </w:rPr>
              <w:t>)</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0,025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0,025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para-para-DDT</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50-29-3</w:t>
            </w:r>
          </w:p>
        </w:tc>
        <w:tc>
          <w:tcPr>
            <w:tcW w:w="1134" w:type="dxa"/>
          </w:tcPr>
          <w:p w:rsidR="00A84C16" w:rsidRPr="003F33F9" w:rsidRDefault="00A84C16" w:rsidP="00A84C16">
            <w:pPr>
              <w:spacing w:before="40" w:after="40"/>
              <w:rPr>
                <w:noProof/>
                <w:sz w:val="22"/>
              </w:rPr>
            </w:pPr>
            <w:r w:rsidRPr="003F33F9">
              <w:rPr>
                <w:noProof/>
                <w:sz w:val="22"/>
              </w:rPr>
              <w:t>200-024-3</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Del="004E5B33"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1,2-Dihloretāns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107-06-2</w:t>
            </w:r>
          </w:p>
        </w:tc>
        <w:tc>
          <w:tcPr>
            <w:tcW w:w="1134" w:type="dxa"/>
          </w:tcPr>
          <w:p w:rsidR="00A84C16" w:rsidRPr="003F33F9" w:rsidRDefault="00A84C16" w:rsidP="00A84C16">
            <w:pPr>
              <w:spacing w:before="40" w:after="40"/>
              <w:rPr>
                <w:noProof/>
                <w:sz w:val="22"/>
              </w:rPr>
            </w:pPr>
            <w:r w:rsidRPr="003F33F9">
              <w:rPr>
                <w:noProof/>
                <w:sz w:val="22"/>
              </w:rPr>
              <w:t>203-458-1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10 </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10 </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(11)</w:t>
            </w:r>
          </w:p>
        </w:tc>
        <w:tc>
          <w:tcPr>
            <w:tcW w:w="2103"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Dihlormetāns</w:t>
            </w:r>
          </w:p>
        </w:tc>
        <w:tc>
          <w:tcPr>
            <w:tcW w:w="1329"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75-09-2</w:t>
            </w:r>
          </w:p>
        </w:tc>
        <w:tc>
          <w:tcPr>
            <w:tcW w:w="1134" w:type="dxa"/>
          </w:tcPr>
          <w:p w:rsidR="00A84C16" w:rsidRPr="003F33F9" w:rsidRDefault="00A84C16" w:rsidP="00A84C16">
            <w:pPr>
              <w:keepNext/>
              <w:spacing w:before="40" w:after="40"/>
              <w:rPr>
                <w:noProof/>
                <w:sz w:val="22"/>
              </w:rPr>
            </w:pPr>
            <w:r w:rsidRPr="003F33F9">
              <w:rPr>
                <w:noProof/>
                <w:sz w:val="22"/>
              </w:rPr>
              <w:t>200-838-9</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20</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20</w:t>
            </w:r>
          </w:p>
        </w:tc>
        <w:tc>
          <w:tcPr>
            <w:tcW w:w="1278"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keepNext/>
              <w:spacing w:before="40" w:after="40"/>
              <w:rPr>
                <w:noProof/>
                <w:sz w:val="22"/>
              </w:rPr>
            </w:pPr>
          </w:p>
        </w:tc>
        <w:tc>
          <w:tcPr>
            <w:tcW w:w="1262" w:type="dxa"/>
            <w:tcMar>
              <w:left w:w="28" w:type="dxa"/>
              <w:right w:w="28" w:type="dxa"/>
            </w:tcMar>
          </w:tcPr>
          <w:p w:rsidR="00A84C16" w:rsidRPr="003F33F9" w:rsidRDefault="00A84C16" w:rsidP="00A84C16">
            <w:pPr>
              <w:keepNext/>
              <w:spacing w:before="40" w:after="40"/>
              <w:rPr>
                <w:noProof/>
                <w:sz w:val="22"/>
              </w:rPr>
            </w:pPr>
          </w:p>
        </w:tc>
        <w:tc>
          <w:tcPr>
            <w:tcW w:w="1153" w:type="dxa"/>
            <w:gridSpan w:val="2"/>
            <w:tcMar>
              <w:left w:w="28" w:type="dxa"/>
              <w:right w:w="28" w:type="dxa"/>
            </w:tcMar>
          </w:tcPr>
          <w:p w:rsidR="00A84C16" w:rsidRPr="003F33F9" w:rsidRDefault="00A84C16" w:rsidP="00A84C16">
            <w:pPr>
              <w:keepNext/>
              <w:spacing w:before="40" w:after="40"/>
              <w:rPr>
                <w:noProof/>
                <w:sz w:val="22"/>
              </w:rPr>
            </w:pPr>
          </w:p>
        </w:tc>
        <w:tc>
          <w:tcPr>
            <w:tcW w:w="970" w:type="dxa"/>
            <w:tcMar>
              <w:left w:w="28" w:type="dxa"/>
              <w:right w:w="28" w:type="dxa"/>
            </w:tcMar>
          </w:tcPr>
          <w:p w:rsidR="00A84C16" w:rsidRPr="003F33F9" w:rsidRDefault="00A84C16" w:rsidP="00A84C16">
            <w:pPr>
              <w:keepNext/>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Di(2-etilheksil)-ftalāts (DEHP)</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117-81-7</w:t>
            </w:r>
          </w:p>
        </w:tc>
        <w:tc>
          <w:tcPr>
            <w:tcW w:w="1134" w:type="dxa"/>
          </w:tcPr>
          <w:p w:rsidR="00A84C16" w:rsidRPr="003F33F9" w:rsidRDefault="00A84C16" w:rsidP="00A84C16">
            <w:pPr>
              <w:spacing w:before="40" w:after="40"/>
              <w:rPr>
                <w:noProof/>
                <w:sz w:val="22"/>
              </w:rPr>
            </w:pPr>
            <w:r w:rsidRPr="003F33F9">
              <w:rPr>
                <w:noProof/>
                <w:sz w:val="22"/>
              </w:rPr>
              <w:t>204-211-0</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Diurons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330-54-1</w:t>
            </w:r>
          </w:p>
        </w:tc>
        <w:tc>
          <w:tcPr>
            <w:tcW w:w="1134" w:type="dxa"/>
          </w:tcPr>
          <w:p w:rsidR="00A84C16" w:rsidRPr="003F33F9" w:rsidRDefault="00A84C16" w:rsidP="00A84C16">
            <w:pPr>
              <w:spacing w:before="40" w:after="40"/>
              <w:rPr>
                <w:strike/>
                <w:noProof/>
                <w:sz w:val="22"/>
              </w:rPr>
            </w:pPr>
            <w:r w:rsidRPr="003F33F9">
              <w:rPr>
                <w:noProof/>
                <w:sz w:val="22"/>
              </w:rPr>
              <w:t>206-354-4</w:t>
            </w:r>
          </w:p>
        </w:tc>
        <w:tc>
          <w:tcPr>
            <w:tcW w:w="1279" w:type="dxa"/>
            <w:gridSpan w:val="2"/>
            <w:tcMar>
              <w:left w:w="28" w:type="dxa"/>
              <w:right w:w="28" w:type="dxa"/>
            </w:tcMar>
          </w:tcPr>
          <w:p w:rsidR="00A84C16" w:rsidRPr="003F33F9" w:rsidRDefault="00A84C16" w:rsidP="00A84C16">
            <w:pPr>
              <w:spacing w:before="40" w:after="40"/>
              <w:rPr>
                <w:strike/>
                <w:noProof/>
                <w:sz w:val="22"/>
              </w:rPr>
            </w:pPr>
            <w:r w:rsidRPr="003F33F9">
              <w:rPr>
                <w:noProof/>
                <w:sz w:val="22"/>
              </w:rPr>
              <w:t>0,049</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0,0049</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0,27</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0,054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(14)</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Endosulfāns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115-29-7</w:t>
            </w:r>
          </w:p>
        </w:tc>
        <w:tc>
          <w:tcPr>
            <w:tcW w:w="1134" w:type="dxa"/>
          </w:tcPr>
          <w:p w:rsidR="00A84C16" w:rsidRPr="003F33F9" w:rsidRDefault="00A84C16" w:rsidP="00A84C16">
            <w:pPr>
              <w:spacing w:before="40" w:after="40"/>
              <w:rPr>
                <w:noProof/>
                <w:sz w:val="22"/>
              </w:rPr>
            </w:pPr>
            <w:r w:rsidRPr="003F33F9">
              <w:rPr>
                <w:noProof/>
                <w:sz w:val="22"/>
              </w:rPr>
              <w:t>204-079-4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0,0005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(15)</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Fluorantēns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 xml:space="preserve">Rūpniecībā lietotas vielas </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206-44-0</w:t>
            </w:r>
          </w:p>
        </w:tc>
        <w:tc>
          <w:tcPr>
            <w:tcW w:w="1134" w:type="dxa"/>
          </w:tcPr>
          <w:p w:rsidR="00A84C16" w:rsidRPr="003F33F9" w:rsidRDefault="00A84C16" w:rsidP="00A84C16">
            <w:pPr>
              <w:spacing w:before="40" w:after="40"/>
              <w:rPr>
                <w:strike/>
                <w:noProof/>
                <w:sz w:val="22"/>
              </w:rPr>
            </w:pPr>
            <w:r w:rsidRPr="003F33F9">
              <w:rPr>
                <w:noProof/>
                <w:sz w:val="22"/>
              </w:rPr>
              <w:t>205-912-4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7,62 × 10</w:t>
            </w:r>
            <w:r w:rsidRPr="003F33F9">
              <w:rPr>
                <w:noProof/>
                <w:sz w:val="22"/>
                <w:vertAlign w:val="superscript"/>
              </w:rPr>
              <w:t>-4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7,62 × 10</w:t>
            </w:r>
            <w:r w:rsidRPr="003F33F9">
              <w:rPr>
                <w:noProof/>
                <w:sz w:val="22"/>
                <w:vertAlign w:val="superscript"/>
              </w:rPr>
              <w:t>-4</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0,12</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0,012</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6,1</w:t>
            </w:r>
          </w:p>
        </w:tc>
        <w:tc>
          <w:tcPr>
            <w:tcW w:w="1262" w:type="dxa"/>
            <w:tcMar>
              <w:left w:w="28" w:type="dxa"/>
              <w:right w:w="28" w:type="dxa"/>
            </w:tcMar>
          </w:tcPr>
          <w:p w:rsidR="00A84C16" w:rsidRPr="003F33F9" w:rsidRDefault="00A84C16" w:rsidP="00A84C16">
            <w:pPr>
              <w:spacing w:before="40" w:after="40"/>
              <w:rPr>
                <w:strike/>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(16)</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Heksahlorbenzols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118-74-1</w:t>
            </w:r>
          </w:p>
        </w:tc>
        <w:tc>
          <w:tcPr>
            <w:tcW w:w="1134" w:type="dxa"/>
          </w:tcPr>
          <w:p w:rsidR="00A84C16" w:rsidRPr="003F33F9" w:rsidRDefault="00A84C16" w:rsidP="00A84C16">
            <w:pPr>
              <w:spacing w:before="40" w:after="40"/>
              <w:rPr>
                <w:noProof/>
                <w:sz w:val="22"/>
              </w:rPr>
            </w:pPr>
            <w:r w:rsidRPr="003F33F9">
              <w:rPr>
                <w:noProof/>
                <w:sz w:val="22"/>
              </w:rPr>
              <w:t>204-273-9</w:t>
            </w: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0,5</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0,05</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(17)</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Heksahlorbutadiēns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 (šķīdinātāji)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87-68-3</w:t>
            </w:r>
          </w:p>
        </w:tc>
        <w:tc>
          <w:tcPr>
            <w:tcW w:w="1134" w:type="dxa"/>
          </w:tcPr>
          <w:p w:rsidR="00A84C16" w:rsidRPr="003F33F9" w:rsidRDefault="00A84C16" w:rsidP="00A84C16">
            <w:pPr>
              <w:spacing w:before="40" w:after="40"/>
              <w:rPr>
                <w:noProof/>
                <w:sz w:val="22"/>
              </w:rPr>
            </w:pPr>
            <w:r w:rsidRPr="003F33F9">
              <w:rPr>
                <w:noProof/>
                <w:sz w:val="22"/>
              </w:rPr>
              <w:t>201-765-5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9 × 10</w:t>
            </w:r>
            <w:r w:rsidRPr="003F33F9">
              <w:rPr>
                <w:noProof/>
                <w:sz w:val="22"/>
                <w:vertAlign w:val="superscript"/>
              </w:rPr>
              <w:t>-4</w:t>
            </w: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0,6</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0,6</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21</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(18)</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Heksahlorcikloheksāns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Insekticīdi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608-73-1</w:t>
            </w:r>
          </w:p>
        </w:tc>
        <w:tc>
          <w:tcPr>
            <w:tcW w:w="1134" w:type="dxa"/>
          </w:tcPr>
          <w:p w:rsidR="00A84C16" w:rsidRPr="003F33F9" w:rsidRDefault="00A84C16" w:rsidP="00A84C16">
            <w:pPr>
              <w:spacing w:before="40" w:after="40"/>
              <w:rPr>
                <w:noProof/>
                <w:sz w:val="22"/>
              </w:rPr>
            </w:pPr>
            <w:r w:rsidRPr="003F33F9">
              <w:rPr>
                <w:noProof/>
                <w:sz w:val="22"/>
              </w:rPr>
              <w:t>210-168-9</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0,002</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0,04</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0,02</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(19)</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Izoproturons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34123-59-6</w:t>
            </w:r>
          </w:p>
        </w:tc>
        <w:tc>
          <w:tcPr>
            <w:tcW w:w="1134" w:type="dxa"/>
          </w:tcPr>
          <w:p w:rsidR="00A84C16" w:rsidRPr="003F33F9" w:rsidRDefault="00A84C16" w:rsidP="00A84C16">
            <w:pPr>
              <w:spacing w:before="40" w:after="40"/>
              <w:rPr>
                <w:noProof/>
                <w:sz w:val="22"/>
              </w:rPr>
            </w:pPr>
            <w:r w:rsidRPr="003F33F9">
              <w:rPr>
                <w:noProof/>
                <w:sz w:val="22"/>
              </w:rPr>
              <w:t>251-835-4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0,3</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0,3</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Svins un tā savienojumi</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Metāli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7439-92-1</w:t>
            </w:r>
          </w:p>
        </w:tc>
        <w:tc>
          <w:tcPr>
            <w:tcW w:w="1134" w:type="dxa"/>
          </w:tcPr>
          <w:p w:rsidR="00A84C16" w:rsidRPr="003F33F9" w:rsidRDefault="00A84C16" w:rsidP="00A84C16">
            <w:pPr>
              <w:spacing w:before="40" w:after="40"/>
              <w:rPr>
                <w:rStyle w:val="DeltaViewInsertion"/>
                <w:b w:val="0"/>
                <w:bCs/>
                <w:i w:val="0"/>
                <w:iCs/>
                <w:noProof/>
                <w:sz w:val="22"/>
              </w:rPr>
            </w:pPr>
            <w:r w:rsidRPr="003F33F9">
              <w:rPr>
                <w:noProof/>
                <w:sz w:val="22"/>
              </w:rPr>
              <w:t>231-100-4</w:t>
            </w:r>
          </w:p>
        </w:tc>
        <w:tc>
          <w:tcPr>
            <w:tcW w:w="1279" w:type="dxa"/>
            <w:gridSpan w:val="2"/>
            <w:tcMar>
              <w:left w:w="28" w:type="dxa"/>
              <w:right w:w="28" w:type="dxa"/>
            </w:tcMar>
          </w:tcPr>
          <w:p w:rsidR="00A84C16" w:rsidRPr="003F33F9" w:rsidRDefault="00A84C16" w:rsidP="00A84C16">
            <w:pPr>
              <w:spacing w:before="40" w:after="40"/>
              <w:rPr>
                <w:i/>
                <w:noProof/>
                <w:sz w:val="22"/>
                <w:vertAlign w:val="superscript"/>
              </w:rPr>
            </w:pPr>
            <w:bookmarkStart w:id="24" w:name="_DV_C331"/>
            <w:r w:rsidRPr="003F33F9">
              <w:rPr>
                <w:rStyle w:val="DeltaViewInsertion"/>
                <w:noProof/>
                <w:sz w:val="22"/>
              </w:rPr>
              <w:t xml:space="preserve">1,2 </w:t>
            </w:r>
            <w:r w:rsidRPr="003F33F9">
              <w:rPr>
                <w:rStyle w:val="DeltaViewInsertion"/>
                <w:noProof/>
                <w:sz w:val="22"/>
                <w:vertAlign w:val="superscript"/>
              </w:rPr>
              <w:t>(12)</w:t>
            </w:r>
            <w:bookmarkEnd w:id="24"/>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14</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(21)</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Dzīvsudrabs un tā savienojumi</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Metāli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7439-97-6</w:t>
            </w:r>
          </w:p>
        </w:tc>
        <w:tc>
          <w:tcPr>
            <w:tcW w:w="1134" w:type="dxa"/>
          </w:tcPr>
          <w:p w:rsidR="00A84C16" w:rsidRPr="003F33F9" w:rsidRDefault="00A84C16" w:rsidP="00A84C16">
            <w:pPr>
              <w:spacing w:before="40" w:after="40"/>
              <w:rPr>
                <w:noProof/>
                <w:sz w:val="22"/>
              </w:rPr>
            </w:pPr>
            <w:r w:rsidRPr="003F33F9">
              <w:rPr>
                <w:noProof/>
                <w:sz w:val="22"/>
              </w:rPr>
              <w:t>231-106-7</w:t>
            </w: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0,07</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0,07</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 (</w:t>
            </w:r>
            <w:r w:rsidRPr="003F33F9">
              <w:rPr>
                <w:noProof/>
                <w:sz w:val="22"/>
                <w:vertAlign w:val="superscript"/>
              </w:rPr>
              <w:t>13</w:t>
            </w:r>
            <w:r w:rsidRPr="003F33F9">
              <w:rPr>
                <w:noProof/>
                <w:sz w:val="22"/>
              </w:rPr>
              <w:t>)</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(22)</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Naftalīns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 xml:space="preserve">Rūpniecībā lietotas vielas </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91-20-3</w:t>
            </w:r>
          </w:p>
        </w:tc>
        <w:tc>
          <w:tcPr>
            <w:tcW w:w="1134" w:type="dxa"/>
          </w:tcPr>
          <w:p w:rsidR="00A84C16" w:rsidRPr="003F33F9" w:rsidRDefault="00A84C16" w:rsidP="00A84C16">
            <w:pPr>
              <w:spacing w:before="40" w:after="40"/>
              <w:rPr>
                <w:noProof/>
                <w:sz w:val="22"/>
              </w:rPr>
            </w:pPr>
            <w:r w:rsidRPr="003F33F9">
              <w:rPr>
                <w:noProof/>
                <w:sz w:val="22"/>
              </w:rPr>
              <w:t>202-049-5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130</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130</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(23)</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Niķelis un tā savienojumi</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Metāli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7440-02-0</w:t>
            </w:r>
          </w:p>
        </w:tc>
        <w:tc>
          <w:tcPr>
            <w:tcW w:w="1134" w:type="dxa"/>
          </w:tcPr>
          <w:p w:rsidR="00A84C16" w:rsidRPr="003F33F9" w:rsidDel="00EC120E" w:rsidRDefault="00A84C16" w:rsidP="00A84C16">
            <w:pPr>
              <w:spacing w:before="40" w:after="40"/>
              <w:rPr>
                <w:strike/>
                <w:noProof/>
                <w:sz w:val="22"/>
              </w:rPr>
            </w:pPr>
            <w:r w:rsidRPr="003F33F9">
              <w:rPr>
                <w:noProof/>
                <w:sz w:val="22"/>
              </w:rPr>
              <w:t>231-111-4</w:t>
            </w:r>
          </w:p>
        </w:tc>
        <w:tc>
          <w:tcPr>
            <w:tcW w:w="1279"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2 (</w:t>
            </w:r>
            <w:r w:rsidRPr="003F33F9">
              <w:rPr>
                <w:noProof/>
                <w:sz w:val="22"/>
                <w:vertAlign w:val="superscript"/>
              </w:rPr>
              <w:t>12</w:t>
            </w:r>
            <w:r w:rsidRPr="003F33F9">
              <w:rPr>
                <w:noProof/>
                <w:sz w:val="22"/>
              </w:rPr>
              <w:t>)</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3,1</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8,2</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8,2</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vertAlign w:val="superscript"/>
              </w:rPr>
            </w:pPr>
          </w:p>
        </w:tc>
        <w:tc>
          <w:tcPr>
            <w:tcW w:w="1153" w:type="dxa"/>
            <w:gridSpan w:val="2"/>
            <w:tcMar>
              <w:left w:w="28" w:type="dxa"/>
              <w:right w:w="28" w:type="dxa"/>
            </w:tcMar>
          </w:tcPr>
          <w:p w:rsidR="00A84C16" w:rsidRPr="003F33F9" w:rsidRDefault="00A84C16" w:rsidP="00A84C16">
            <w:pPr>
              <w:spacing w:before="40" w:after="40"/>
              <w:rPr>
                <w:noProof/>
                <w:sz w:val="22"/>
                <w:vertAlign w:val="superscript"/>
              </w:rPr>
            </w:pPr>
          </w:p>
        </w:tc>
        <w:tc>
          <w:tcPr>
            <w:tcW w:w="970" w:type="dxa"/>
            <w:tcMar>
              <w:left w:w="28" w:type="dxa"/>
              <w:right w:w="28" w:type="dxa"/>
            </w:tcMar>
          </w:tcPr>
          <w:p w:rsidR="00A84C16" w:rsidRPr="003F33F9" w:rsidRDefault="00A84C16" w:rsidP="00A84C16">
            <w:pPr>
              <w:spacing w:before="40" w:after="40"/>
              <w:rPr>
                <w:noProof/>
                <w:sz w:val="22"/>
                <w:vertAlign w:val="superscript"/>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(24)</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Nonilfenoli (</w:t>
            </w:r>
            <w:r w:rsidRPr="003F33F9">
              <w:rPr>
                <w:noProof/>
                <w:sz w:val="22"/>
                <w:vertAlign w:val="superscript"/>
              </w:rPr>
              <w:t>14</w:t>
            </w:r>
            <w:r w:rsidRPr="003F33F9">
              <w:rPr>
                <w:noProof/>
                <w:sz w:val="22"/>
              </w:rPr>
              <w:t>)</w:t>
            </w:r>
            <w:r w:rsidRPr="003F33F9">
              <w:rPr>
                <w:noProof/>
              </w:rPr>
              <w:t xml:space="preserve"> </w:t>
            </w:r>
            <w:r w:rsidRPr="003F33F9">
              <w:rPr>
                <w:noProof/>
              </w:rPr>
              <w:br/>
            </w:r>
            <w:r w:rsidRPr="003F33F9">
              <w:rPr>
                <w:noProof/>
                <w:sz w:val="22"/>
              </w:rPr>
              <w:t>(4-nonilfenols)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84852-15-3</w:t>
            </w:r>
          </w:p>
        </w:tc>
        <w:tc>
          <w:tcPr>
            <w:tcW w:w="1134" w:type="dxa"/>
          </w:tcPr>
          <w:p w:rsidR="00A84C16" w:rsidRPr="003F33F9" w:rsidRDefault="00A84C16" w:rsidP="00A84C16">
            <w:pPr>
              <w:spacing w:before="40" w:after="40"/>
              <w:rPr>
                <w:noProof/>
                <w:sz w:val="22"/>
              </w:rPr>
            </w:pPr>
            <w:r w:rsidRPr="003F33F9">
              <w:rPr>
                <w:noProof/>
                <w:sz w:val="22"/>
              </w:rPr>
              <w:t>284-325-5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0,037</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0,0018</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2,1</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0,17</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(25)</w:t>
            </w:r>
          </w:p>
        </w:tc>
        <w:tc>
          <w:tcPr>
            <w:tcW w:w="2103"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Oktilfenoli (</w:t>
            </w:r>
            <w:r w:rsidRPr="003F33F9">
              <w:rPr>
                <w:noProof/>
                <w:sz w:val="22"/>
                <w:vertAlign w:val="superscript"/>
              </w:rPr>
              <w:t>15</w:t>
            </w:r>
            <w:r w:rsidRPr="003F33F9">
              <w:rPr>
                <w:noProof/>
                <w:sz w:val="22"/>
              </w:rPr>
              <w:t xml:space="preserve">) </w:t>
            </w:r>
            <w:r w:rsidRPr="003F33F9">
              <w:rPr>
                <w:noProof/>
              </w:rPr>
              <w:t xml:space="preserve"> </w:t>
            </w:r>
            <w:r w:rsidRPr="003F33F9">
              <w:rPr>
                <w:noProof/>
              </w:rPr>
              <w:br/>
            </w:r>
            <w:r w:rsidRPr="003F33F9">
              <w:rPr>
                <w:noProof/>
                <w:sz w:val="22"/>
              </w:rPr>
              <w:t>((4-(1,1',3,3'-tetrametilbutil)-fenols))</w:t>
            </w:r>
          </w:p>
        </w:tc>
        <w:tc>
          <w:tcPr>
            <w:tcW w:w="1329"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140-66-9</w:t>
            </w:r>
          </w:p>
        </w:tc>
        <w:tc>
          <w:tcPr>
            <w:tcW w:w="1134" w:type="dxa"/>
          </w:tcPr>
          <w:p w:rsidR="00A84C16" w:rsidRPr="003F33F9" w:rsidRDefault="00A84C16" w:rsidP="00A84C16">
            <w:pPr>
              <w:keepNext/>
              <w:spacing w:before="40" w:after="40"/>
              <w:rPr>
                <w:noProof/>
                <w:sz w:val="22"/>
              </w:rPr>
            </w:pPr>
            <w:r w:rsidRPr="003F33F9">
              <w:rPr>
                <w:noProof/>
                <w:sz w:val="22"/>
              </w:rPr>
              <w:t>205-426-2</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0,1</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0,01</w:t>
            </w:r>
          </w:p>
        </w:tc>
        <w:tc>
          <w:tcPr>
            <w:tcW w:w="1278"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keepNext/>
              <w:spacing w:before="40" w:after="40"/>
              <w:rPr>
                <w:noProof/>
                <w:sz w:val="22"/>
              </w:rPr>
            </w:pPr>
          </w:p>
        </w:tc>
        <w:tc>
          <w:tcPr>
            <w:tcW w:w="1262" w:type="dxa"/>
            <w:tcMar>
              <w:left w:w="28" w:type="dxa"/>
              <w:right w:w="28" w:type="dxa"/>
            </w:tcMar>
          </w:tcPr>
          <w:p w:rsidR="00A84C16" w:rsidRPr="003F33F9" w:rsidRDefault="00A84C16" w:rsidP="00A84C16">
            <w:pPr>
              <w:keepNext/>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keepNext/>
              <w:spacing w:before="40" w:after="40"/>
              <w:rPr>
                <w:noProof/>
                <w:sz w:val="22"/>
              </w:rPr>
            </w:pPr>
          </w:p>
        </w:tc>
        <w:tc>
          <w:tcPr>
            <w:tcW w:w="970" w:type="dxa"/>
            <w:tcMar>
              <w:left w:w="28" w:type="dxa"/>
              <w:right w:w="28" w:type="dxa"/>
            </w:tcMar>
          </w:tcPr>
          <w:p w:rsidR="00A84C16" w:rsidRPr="003F33F9" w:rsidRDefault="00A84C16" w:rsidP="00A84C16">
            <w:pPr>
              <w:keepNext/>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(26)</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Pentahlorbenzols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608-93-5</w:t>
            </w:r>
          </w:p>
        </w:tc>
        <w:tc>
          <w:tcPr>
            <w:tcW w:w="1134" w:type="dxa"/>
          </w:tcPr>
          <w:p w:rsidR="00A84C16" w:rsidRPr="003F33F9" w:rsidRDefault="00A84C16" w:rsidP="00A84C16">
            <w:pPr>
              <w:spacing w:before="40" w:after="40"/>
              <w:rPr>
                <w:noProof/>
                <w:sz w:val="22"/>
              </w:rPr>
            </w:pPr>
            <w:r w:rsidRPr="003F33F9">
              <w:rPr>
                <w:noProof/>
                <w:sz w:val="22"/>
              </w:rPr>
              <w:t>210-172-0</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0,007</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0,0007</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(27)</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Pentahlorfenols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87-86-5</w:t>
            </w:r>
          </w:p>
        </w:tc>
        <w:tc>
          <w:tcPr>
            <w:tcW w:w="1134" w:type="dxa"/>
          </w:tcPr>
          <w:p w:rsidR="00A84C16" w:rsidRPr="003F33F9" w:rsidRDefault="00A84C16" w:rsidP="00A84C16">
            <w:pPr>
              <w:spacing w:before="40" w:after="40"/>
              <w:rPr>
                <w:noProof/>
                <w:sz w:val="22"/>
              </w:rPr>
            </w:pPr>
            <w:r w:rsidRPr="003F33F9">
              <w:rPr>
                <w:noProof/>
                <w:sz w:val="22"/>
              </w:rPr>
              <w:t>201-778-6</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0,4</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(28)</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Poliaromātiskie ogļūdeņraži (PAH) (</w:t>
            </w:r>
            <w:r w:rsidRPr="003F33F9">
              <w:rPr>
                <w:noProof/>
                <w:sz w:val="22"/>
                <w:vertAlign w:val="superscript"/>
              </w:rPr>
              <w:t>16</w:t>
            </w:r>
            <w:r w:rsidRPr="003F33F9">
              <w:rPr>
                <w:noProof/>
                <w:sz w:val="22"/>
              </w:rPr>
              <w:t>)</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Sadegšanas produkti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Benz(a)pirēna ekvivalentu summa [0,6]</w:t>
            </w:r>
            <w:r w:rsidRPr="003F33F9">
              <w:rPr>
                <w:rStyle w:val="FootnoteReference"/>
                <w:noProof/>
                <w:sz w:val="22"/>
              </w:rPr>
              <w:t xml:space="preserve"> </w:t>
            </w:r>
            <w:r w:rsidRPr="003F33F9">
              <w:rPr>
                <w:noProof/>
                <w:sz w:val="22"/>
              </w:rPr>
              <w:t>(</w:t>
            </w:r>
            <w:r w:rsidRPr="003F33F9">
              <w:rPr>
                <w:noProof/>
                <w:sz w:val="22"/>
                <w:vertAlign w:val="superscript"/>
              </w:rPr>
              <w:t>17</w:t>
            </w:r>
            <w:r w:rsidRPr="003F33F9">
              <w:rPr>
                <w:noProof/>
                <w:sz w:val="22"/>
              </w:rPr>
              <w:t>)</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 xml:space="preserve">X </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vMerge w:val="restart"/>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Benz(a)pirēns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50-32-8</w:t>
            </w:r>
          </w:p>
        </w:tc>
        <w:tc>
          <w:tcPr>
            <w:tcW w:w="1134" w:type="dxa"/>
            <w:shd w:val="clear" w:color="auto" w:fill="auto"/>
          </w:tcPr>
          <w:p w:rsidR="00A84C16" w:rsidRPr="003F33F9" w:rsidRDefault="00A84C16" w:rsidP="00A84C16">
            <w:pPr>
              <w:spacing w:before="40" w:after="40"/>
              <w:rPr>
                <w:bCs/>
                <w:noProof/>
                <w:sz w:val="22"/>
              </w:rPr>
            </w:pPr>
            <w:r w:rsidRPr="003F33F9">
              <w:rPr>
                <w:noProof/>
                <w:sz w:val="22"/>
              </w:rPr>
              <w:t>200-028-5</w:t>
            </w:r>
          </w:p>
        </w:tc>
        <w:tc>
          <w:tcPr>
            <w:tcW w:w="1279" w:type="dxa"/>
            <w:gridSpan w:val="2"/>
            <w:shd w:val="clear" w:color="auto" w:fill="auto"/>
            <w:tcMar>
              <w:left w:w="28" w:type="dxa"/>
              <w:right w:w="28" w:type="dxa"/>
            </w:tcMar>
          </w:tcPr>
          <w:p w:rsidR="00A84C16" w:rsidRPr="003F33F9" w:rsidRDefault="00A84C16" w:rsidP="00A84C16">
            <w:pPr>
              <w:spacing w:before="40" w:after="40"/>
              <w:rPr>
                <w:bCs/>
                <w:noProof/>
                <w:sz w:val="22"/>
                <w:vertAlign w:val="superscript"/>
              </w:rPr>
            </w:pPr>
          </w:p>
        </w:tc>
        <w:tc>
          <w:tcPr>
            <w:tcW w:w="1279" w:type="dxa"/>
            <w:gridSpan w:val="2"/>
            <w:shd w:val="clear" w:color="auto" w:fill="auto"/>
            <w:tcMar>
              <w:left w:w="28" w:type="dxa"/>
              <w:right w:w="28" w:type="dxa"/>
            </w:tcMar>
          </w:tcPr>
          <w:p w:rsidR="00A84C16" w:rsidRPr="003F33F9" w:rsidRDefault="00A84C16" w:rsidP="00A84C16">
            <w:pPr>
              <w:spacing w:before="40" w:after="40"/>
              <w:rPr>
                <w:bCs/>
                <w:noProof/>
                <w:sz w:val="22"/>
              </w:rPr>
            </w:pPr>
          </w:p>
        </w:tc>
        <w:tc>
          <w:tcPr>
            <w:tcW w:w="1278" w:type="dxa"/>
            <w:gridSpan w:val="2"/>
            <w:tcMar>
              <w:left w:w="28" w:type="dxa"/>
              <w:right w:w="28" w:type="dxa"/>
            </w:tcMar>
          </w:tcPr>
          <w:p w:rsidR="00A84C16" w:rsidRPr="003F33F9" w:rsidRDefault="00A84C16" w:rsidP="00A84C16">
            <w:pPr>
              <w:spacing w:before="40" w:after="40"/>
              <w:rPr>
                <w:bCs/>
                <w:noProof/>
                <w:sz w:val="22"/>
              </w:rPr>
            </w:pPr>
            <w:r w:rsidRPr="003F33F9">
              <w:rPr>
                <w:noProof/>
                <w:sz w:val="22"/>
              </w:rPr>
              <w:t>0,27</w:t>
            </w:r>
          </w:p>
        </w:tc>
        <w:tc>
          <w:tcPr>
            <w:tcW w:w="1277" w:type="dxa"/>
            <w:gridSpan w:val="2"/>
            <w:tcMar>
              <w:left w:w="28" w:type="dxa"/>
              <w:right w:w="28" w:type="dxa"/>
            </w:tcMar>
          </w:tcPr>
          <w:p w:rsidR="00A84C16" w:rsidRPr="003F33F9" w:rsidRDefault="00A84C16" w:rsidP="00A84C16">
            <w:pPr>
              <w:spacing w:before="40" w:after="40"/>
              <w:rPr>
                <w:bCs/>
                <w:noProof/>
                <w:sz w:val="22"/>
              </w:rPr>
            </w:pPr>
            <w:r w:rsidRPr="003F33F9">
              <w:rPr>
                <w:noProof/>
                <w:sz w:val="22"/>
              </w:rPr>
              <w:t>0,027</w:t>
            </w:r>
          </w:p>
        </w:tc>
        <w:tc>
          <w:tcPr>
            <w:tcW w:w="1136" w:type="dxa"/>
            <w:gridSpan w:val="2"/>
            <w:tcMar>
              <w:left w:w="28" w:type="dxa"/>
              <w:right w:w="28" w:type="dxa"/>
            </w:tcMar>
          </w:tcPr>
          <w:p w:rsidR="00A84C16" w:rsidRPr="003F33F9" w:rsidRDefault="00A84C16" w:rsidP="00A84C16">
            <w:pPr>
              <w:spacing w:before="40" w:after="40"/>
              <w:rPr>
                <w:bCs/>
                <w:noProof/>
                <w:sz w:val="22"/>
              </w:rPr>
            </w:pPr>
            <w:bookmarkStart w:id="25" w:name="_DV_C335"/>
            <w:r w:rsidRPr="003F33F9">
              <w:rPr>
                <w:rStyle w:val="DeltaViewInsertion"/>
                <w:b w:val="0"/>
                <w:i w:val="0"/>
                <w:noProof/>
                <w:sz w:val="22"/>
              </w:rPr>
              <w:t>[0,6</w:t>
            </w:r>
            <w:bookmarkEnd w:id="25"/>
            <w:r w:rsidRPr="003F33F9">
              <w:rPr>
                <w:rStyle w:val="DeltaViewInsertion"/>
                <w:b w:val="0"/>
                <w:i w:val="0"/>
                <w:noProof/>
                <w:sz w:val="22"/>
              </w:rPr>
              <w:t>]</w:t>
            </w:r>
          </w:p>
        </w:tc>
        <w:tc>
          <w:tcPr>
            <w:tcW w:w="1262" w:type="dxa"/>
            <w:tcMar>
              <w:left w:w="28" w:type="dxa"/>
              <w:right w:w="28" w:type="dxa"/>
            </w:tcMar>
          </w:tcPr>
          <w:p w:rsidR="00A84C16" w:rsidRPr="003F33F9" w:rsidRDefault="00A84C16" w:rsidP="00A84C16">
            <w:pPr>
              <w:spacing w:before="40" w:after="40"/>
              <w:rPr>
                <w:rStyle w:val="DeltaViewInsertion"/>
                <w:b w:val="0"/>
                <w:bCs/>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bCs/>
                <w:i w:val="0"/>
                <w:iCs/>
                <w:strike/>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bCs/>
                <w:i w:val="0"/>
                <w:iCs/>
                <w:strike/>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Benz(b)fluorantēns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205-99-2</w:t>
            </w:r>
          </w:p>
        </w:tc>
        <w:tc>
          <w:tcPr>
            <w:tcW w:w="1134" w:type="dxa"/>
          </w:tcPr>
          <w:p w:rsidR="00A84C16" w:rsidRPr="003F33F9" w:rsidDel="00BD2DD7" w:rsidRDefault="00A84C16" w:rsidP="00A84C16">
            <w:pPr>
              <w:spacing w:before="40" w:after="40"/>
              <w:rPr>
                <w:rStyle w:val="DeltaViewInsertion"/>
                <w:b w:val="0"/>
                <w:i w:val="0"/>
                <w:iCs/>
                <w:noProof/>
                <w:sz w:val="22"/>
              </w:rPr>
            </w:pPr>
            <w:r w:rsidRPr="003F33F9">
              <w:rPr>
                <w:rStyle w:val="DeltaViewInsertion"/>
                <w:b w:val="0"/>
                <w:i w:val="0"/>
                <w:noProof/>
                <w:sz w:val="22"/>
              </w:rPr>
              <w:t>205-911-9</w:t>
            </w: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0,017</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0,017</w:t>
            </w:r>
          </w:p>
        </w:tc>
        <w:tc>
          <w:tcPr>
            <w:tcW w:w="1136" w:type="dxa"/>
            <w:gridSpan w:val="2"/>
            <w:tcMar>
              <w:left w:w="28" w:type="dxa"/>
              <w:right w:w="28" w:type="dxa"/>
            </w:tcMar>
          </w:tcPr>
          <w:p w:rsidR="00A84C16" w:rsidRPr="003F33F9" w:rsidRDefault="00A84C16" w:rsidP="00A84C16">
            <w:pPr>
              <w:spacing w:before="40" w:after="40"/>
              <w:rPr>
                <w:noProof/>
                <w:sz w:val="22"/>
              </w:rPr>
            </w:pPr>
            <w:bookmarkStart w:id="26" w:name="_DV_C338"/>
            <w:r w:rsidRPr="003F33F9">
              <w:rPr>
                <w:rStyle w:val="DeltaViewInsertion"/>
                <w:b w:val="0"/>
                <w:i w:val="0"/>
                <w:noProof/>
                <w:sz w:val="22"/>
              </w:rPr>
              <w:t xml:space="preserve">Sk. 17. zemsvītras </w:t>
            </w:r>
            <w:bookmarkEnd w:id="26"/>
            <w:r w:rsidRPr="003F33F9">
              <w:rPr>
                <w:rStyle w:val="DeltaViewInsertion"/>
                <w:b w:val="0"/>
                <w:i w:val="0"/>
                <w:noProof/>
                <w:sz w:val="22"/>
              </w:rPr>
              <w:t>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Benz(k)fluorantēns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207-08-9</w:t>
            </w:r>
          </w:p>
        </w:tc>
        <w:tc>
          <w:tcPr>
            <w:tcW w:w="1134" w:type="dxa"/>
          </w:tcPr>
          <w:p w:rsidR="00A84C16" w:rsidRPr="003F33F9" w:rsidDel="00BD2DD7" w:rsidRDefault="00A84C16" w:rsidP="00A84C16">
            <w:pPr>
              <w:spacing w:before="40" w:after="40"/>
              <w:rPr>
                <w:rStyle w:val="DeltaViewInsertion"/>
                <w:b w:val="0"/>
                <w:i w:val="0"/>
                <w:iCs/>
                <w:noProof/>
                <w:sz w:val="22"/>
              </w:rPr>
            </w:pPr>
            <w:r w:rsidRPr="003F33F9">
              <w:rPr>
                <w:rStyle w:val="DeltaViewInsertion"/>
                <w:b w:val="0"/>
                <w:i w:val="0"/>
                <w:noProof/>
                <w:sz w:val="22"/>
              </w:rPr>
              <w:t>205-916-6</w:t>
            </w: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0,017</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0,017</w:t>
            </w:r>
          </w:p>
        </w:tc>
        <w:tc>
          <w:tcPr>
            <w:tcW w:w="1136" w:type="dxa"/>
            <w:gridSpan w:val="2"/>
            <w:tcMar>
              <w:left w:w="28" w:type="dxa"/>
              <w:right w:w="28" w:type="dxa"/>
            </w:tcMar>
          </w:tcPr>
          <w:p w:rsidR="00A84C16" w:rsidRPr="003F33F9" w:rsidRDefault="00A84C16" w:rsidP="00A84C16">
            <w:pPr>
              <w:spacing w:before="40" w:after="40"/>
              <w:rPr>
                <w:noProof/>
                <w:sz w:val="22"/>
              </w:rPr>
            </w:pPr>
            <w:bookmarkStart w:id="27" w:name="_DV_C341"/>
            <w:r w:rsidRPr="003F33F9">
              <w:rPr>
                <w:rStyle w:val="DeltaViewInsertion"/>
                <w:b w:val="0"/>
                <w:i w:val="0"/>
                <w:noProof/>
                <w:sz w:val="22"/>
              </w:rPr>
              <w:t xml:space="preserve">Sk. 17. zemsvītras </w:t>
            </w:r>
            <w:bookmarkEnd w:id="27"/>
            <w:r w:rsidRPr="003F33F9">
              <w:rPr>
                <w:rStyle w:val="DeltaViewInsertion"/>
                <w:b w:val="0"/>
                <w:i w:val="0"/>
                <w:noProof/>
                <w:sz w:val="22"/>
              </w:rPr>
              <w:t>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Benz(g,h,i)perilēns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191-24-2</w:t>
            </w:r>
          </w:p>
        </w:tc>
        <w:tc>
          <w:tcPr>
            <w:tcW w:w="1134" w:type="dxa"/>
          </w:tcPr>
          <w:p w:rsidR="00A84C16" w:rsidRPr="003F33F9" w:rsidDel="00BD2DD7" w:rsidRDefault="00A84C16" w:rsidP="00A84C16">
            <w:pPr>
              <w:spacing w:before="40" w:after="40"/>
              <w:rPr>
                <w:rStyle w:val="DeltaViewInsertion"/>
                <w:b w:val="0"/>
                <w:i w:val="0"/>
                <w:iCs/>
                <w:noProof/>
                <w:sz w:val="22"/>
              </w:rPr>
            </w:pPr>
            <w:r w:rsidRPr="003F33F9">
              <w:rPr>
                <w:rStyle w:val="DeltaViewInsertion"/>
                <w:b w:val="0"/>
                <w:i w:val="0"/>
                <w:noProof/>
                <w:sz w:val="22"/>
              </w:rPr>
              <w:t>205-883-8</w:t>
            </w: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8"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8,2 × 10</w:t>
            </w:r>
            <w:r w:rsidRPr="003F33F9">
              <w:rPr>
                <w:noProof/>
                <w:sz w:val="22"/>
                <w:vertAlign w:val="superscript"/>
              </w:rPr>
              <w:t>-3</w:t>
            </w:r>
          </w:p>
        </w:tc>
        <w:tc>
          <w:tcPr>
            <w:tcW w:w="1277"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8,2 × 10</w:t>
            </w:r>
            <w:r w:rsidRPr="003F33F9">
              <w:rPr>
                <w:noProof/>
                <w:sz w:val="22"/>
                <w:vertAlign w:val="superscript"/>
              </w:rPr>
              <w:t>-4</w:t>
            </w:r>
          </w:p>
        </w:tc>
        <w:tc>
          <w:tcPr>
            <w:tcW w:w="1136" w:type="dxa"/>
            <w:gridSpan w:val="2"/>
            <w:tcMar>
              <w:left w:w="28" w:type="dxa"/>
              <w:right w:w="28" w:type="dxa"/>
            </w:tcMar>
          </w:tcPr>
          <w:p w:rsidR="00A84C16" w:rsidRPr="003F33F9" w:rsidRDefault="00A84C16" w:rsidP="00A84C16">
            <w:pPr>
              <w:spacing w:before="40" w:after="40"/>
              <w:rPr>
                <w:noProof/>
                <w:sz w:val="22"/>
              </w:rPr>
            </w:pPr>
            <w:bookmarkStart w:id="28" w:name="_DV_C344"/>
            <w:r w:rsidRPr="003F33F9">
              <w:rPr>
                <w:rStyle w:val="DeltaViewInsertion"/>
                <w:b w:val="0"/>
                <w:i w:val="0"/>
                <w:noProof/>
                <w:sz w:val="22"/>
              </w:rPr>
              <w:t xml:space="preserve">Sk. 17. zemsvītras </w:t>
            </w:r>
            <w:bookmarkEnd w:id="28"/>
            <w:r w:rsidRPr="003F33F9">
              <w:rPr>
                <w:rStyle w:val="DeltaViewInsertion"/>
                <w:b w:val="0"/>
                <w:i w:val="0"/>
                <w:noProof/>
                <w:sz w:val="22"/>
              </w:rPr>
              <w:t>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Indeno(1,2,3-cd)pirēns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193-39-5</w:t>
            </w:r>
          </w:p>
        </w:tc>
        <w:tc>
          <w:tcPr>
            <w:tcW w:w="1134" w:type="dxa"/>
          </w:tcPr>
          <w:p w:rsidR="00A84C16" w:rsidRPr="003F33F9" w:rsidDel="00BD2DD7" w:rsidRDefault="00A84C16" w:rsidP="00A84C16">
            <w:pPr>
              <w:spacing w:before="40" w:after="40"/>
              <w:rPr>
                <w:rStyle w:val="DeltaViewInsertion"/>
                <w:b w:val="0"/>
                <w:i w:val="0"/>
                <w:iCs/>
                <w:noProof/>
                <w:sz w:val="22"/>
              </w:rPr>
            </w:pPr>
            <w:r w:rsidRPr="003F33F9">
              <w:rPr>
                <w:rStyle w:val="DeltaViewInsertion"/>
                <w:b w:val="0"/>
                <w:i w:val="0"/>
                <w:noProof/>
                <w:sz w:val="22"/>
              </w:rPr>
              <w:t>205-893-2</w:t>
            </w: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9" w:type="dxa"/>
            <w:gridSpan w:val="2"/>
            <w:tcMar>
              <w:left w:w="28" w:type="dxa"/>
              <w:right w:w="28" w:type="dxa"/>
            </w:tcMar>
          </w:tcPr>
          <w:p w:rsidR="00A84C16" w:rsidRPr="003F33F9" w:rsidRDefault="00A84C16" w:rsidP="00A84C16">
            <w:pPr>
              <w:spacing w:before="40" w:after="40"/>
              <w:rPr>
                <w:b/>
                <w:i/>
                <w:noProof/>
                <w:sz w:val="22"/>
              </w:rPr>
            </w:pPr>
          </w:p>
        </w:tc>
        <w:tc>
          <w:tcPr>
            <w:tcW w:w="1278" w:type="dxa"/>
            <w:gridSpan w:val="2"/>
            <w:tcMar>
              <w:left w:w="28" w:type="dxa"/>
              <w:right w:w="28" w:type="dxa"/>
            </w:tcMar>
          </w:tcPr>
          <w:p w:rsidR="00A84C16" w:rsidRPr="003F33F9" w:rsidRDefault="00A84C16" w:rsidP="00A84C16">
            <w:pPr>
              <w:spacing w:before="40" w:after="40"/>
              <w:rPr>
                <w:b/>
                <w:i/>
                <w:noProof/>
                <w:sz w:val="22"/>
              </w:rPr>
            </w:pPr>
            <w:bookmarkStart w:id="29" w:name="_DV_C347"/>
            <w:r w:rsidRPr="003F33F9">
              <w:rPr>
                <w:rStyle w:val="DeltaViewInsertion"/>
                <w:b w:val="0"/>
                <w:i w:val="0"/>
                <w:noProof/>
                <w:sz w:val="22"/>
              </w:rPr>
              <w:t>Nepiemēro</w:t>
            </w:r>
            <w:bookmarkEnd w:id="29"/>
          </w:p>
        </w:tc>
        <w:tc>
          <w:tcPr>
            <w:tcW w:w="1277" w:type="dxa"/>
            <w:gridSpan w:val="2"/>
            <w:tcMar>
              <w:left w:w="28" w:type="dxa"/>
              <w:right w:w="28" w:type="dxa"/>
            </w:tcMar>
          </w:tcPr>
          <w:p w:rsidR="00A84C16" w:rsidRPr="003F33F9" w:rsidRDefault="00A84C16" w:rsidP="00A84C16">
            <w:pPr>
              <w:spacing w:before="40" w:after="40"/>
              <w:rPr>
                <w:b/>
                <w:i/>
                <w:noProof/>
                <w:sz w:val="22"/>
              </w:rPr>
            </w:pPr>
            <w:bookmarkStart w:id="30" w:name="_DV_C348"/>
            <w:r w:rsidRPr="003F33F9">
              <w:rPr>
                <w:rStyle w:val="DeltaViewInsertion"/>
                <w:b w:val="0"/>
                <w:i w:val="0"/>
                <w:noProof/>
                <w:sz w:val="22"/>
              </w:rPr>
              <w:t>Nepiemēro</w:t>
            </w:r>
            <w:bookmarkEnd w:id="30"/>
          </w:p>
        </w:tc>
        <w:tc>
          <w:tcPr>
            <w:tcW w:w="1136" w:type="dxa"/>
            <w:gridSpan w:val="2"/>
            <w:tcMar>
              <w:left w:w="28" w:type="dxa"/>
              <w:right w:w="28" w:type="dxa"/>
            </w:tcMar>
          </w:tcPr>
          <w:p w:rsidR="00A84C16" w:rsidRPr="003F33F9" w:rsidRDefault="00A84C16" w:rsidP="00A84C16">
            <w:pPr>
              <w:spacing w:before="40" w:after="40"/>
              <w:rPr>
                <w:b/>
                <w:i/>
                <w:noProof/>
                <w:sz w:val="22"/>
              </w:rPr>
            </w:pPr>
            <w:bookmarkStart w:id="31" w:name="_DV_C349"/>
            <w:r w:rsidRPr="003F33F9">
              <w:rPr>
                <w:rStyle w:val="DeltaViewInsertion"/>
                <w:b w:val="0"/>
                <w:i w:val="0"/>
                <w:noProof/>
                <w:sz w:val="22"/>
              </w:rPr>
              <w:t xml:space="preserve">Sk. 17. zemsvītras </w:t>
            </w:r>
            <w:bookmarkEnd w:id="31"/>
            <w:r w:rsidRPr="003F33F9">
              <w:rPr>
                <w:rStyle w:val="DeltaViewInsertion"/>
                <w:b w:val="0"/>
                <w:i w:val="0"/>
                <w:noProof/>
                <w:sz w:val="22"/>
              </w:rPr>
              <w:t>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bookmarkStart w:id="32" w:name="_Hlk115700632"/>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Krizēns</w:t>
            </w:r>
          </w:p>
        </w:tc>
        <w:tc>
          <w:tcPr>
            <w:tcW w:w="1329" w:type="dxa"/>
            <w:gridSpan w:val="3"/>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218-01-9</w:t>
            </w:r>
          </w:p>
        </w:tc>
        <w:tc>
          <w:tcPr>
            <w:tcW w:w="1134" w:type="dxa"/>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205-923-4</w:t>
            </w: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8"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0,07</w:t>
            </w:r>
          </w:p>
        </w:tc>
        <w:tc>
          <w:tcPr>
            <w:tcW w:w="1277"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0,007</w:t>
            </w:r>
          </w:p>
        </w:tc>
        <w:tc>
          <w:tcPr>
            <w:tcW w:w="1136"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Sk. 17. zemsvītras 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Benz(a)antracēns</w:t>
            </w:r>
          </w:p>
        </w:tc>
        <w:tc>
          <w:tcPr>
            <w:tcW w:w="1329" w:type="dxa"/>
            <w:gridSpan w:val="3"/>
            <w:vMerge w:val="restart"/>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56-55-3</w:t>
            </w:r>
          </w:p>
        </w:tc>
        <w:tc>
          <w:tcPr>
            <w:tcW w:w="1134" w:type="dxa"/>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200-280-6</w:t>
            </w: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8"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0,1</w:t>
            </w:r>
          </w:p>
        </w:tc>
        <w:tc>
          <w:tcPr>
            <w:tcW w:w="1277"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0,01</w:t>
            </w:r>
          </w:p>
        </w:tc>
        <w:tc>
          <w:tcPr>
            <w:tcW w:w="1136"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Sk. 17. zemsvītras 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vMerge/>
            <w:tcMar>
              <w:left w:w="28" w:type="dxa"/>
              <w:right w:w="28" w:type="dxa"/>
            </w:tcMar>
          </w:tcPr>
          <w:p w:rsidR="00A84C16" w:rsidRPr="003F33F9" w:rsidRDefault="00A84C16" w:rsidP="00A84C16">
            <w:pPr>
              <w:spacing w:before="40" w:after="40"/>
              <w:rPr>
                <w:noProof/>
                <w:sz w:val="22"/>
              </w:rPr>
            </w:pP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Dibenz(a,h)antracēns</w:t>
            </w:r>
          </w:p>
        </w:tc>
        <w:tc>
          <w:tcPr>
            <w:tcW w:w="1329" w:type="dxa"/>
            <w:gridSpan w:val="3"/>
            <w:vMerge/>
            <w:tcMar>
              <w:left w:w="28" w:type="dxa"/>
              <w:right w:w="28" w:type="dxa"/>
            </w:tcMar>
          </w:tcPr>
          <w:p w:rsidR="00A84C16" w:rsidRPr="003F33F9" w:rsidRDefault="00A84C16" w:rsidP="00A84C16">
            <w:pPr>
              <w:spacing w:before="40" w:after="40"/>
              <w:rPr>
                <w:noProof/>
                <w:sz w:val="22"/>
              </w:rPr>
            </w:pP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53-70-3</w:t>
            </w:r>
          </w:p>
        </w:tc>
        <w:tc>
          <w:tcPr>
            <w:tcW w:w="1134" w:type="dxa"/>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200-181-8</w:t>
            </w: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9"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1278"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0,014</w:t>
            </w:r>
          </w:p>
        </w:tc>
        <w:tc>
          <w:tcPr>
            <w:tcW w:w="1277"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0,0014</w:t>
            </w:r>
          </w:p>
        </w:tc>
        <w:tc>
          <w:tcPr>
            <w:tcW w:w="1136" w:type="dxa"/>
            <w:gridSpan w:val="2"/>
            <w:tcMar>
              <w:left w:w="28" w:type="dxa"/>
              <w:right w:w="28" w:type="dxa"/>
            </w:tcMar>
          </w:tcPr>
          <w:p w:rsidR="00A84C16" w:rsidRPr="003F33F9" w:rsidRDefault="00A84C16" w:rsidP="00A84C16">
            <w:pPr>
              <w:spacing w:before="40" w:after="40"/>
              <w:rPr>
                <w:rStyle w:val="DeltaViewInsertion"/>
                <w:b w:val="0"/>
                <w:i w:val="0"/>
                <w:iCs/>
                <w:noProof/>
                <w:sz w:val="22"/>
              </w:rPr>
            </w:pPr>
            <w:r w:rsidRPr="003F33F9">
              <w:rPr>
                <w:rStyle w:val="DeltaViewInsertion"/>
                <w:b w:val="0"/>
                <w:i w:val="0"/>
                <w:noProof/>
                <w:sz w:val="22"/>
              </w:rPr>
              <w:t>Sk. 17. zemsvītras piezīmi</w:t>
            </w:r>
          </w:p>
        </w:tc>
        <w:tc>
          <w:tcPr>
            <w:tcW w:w="1262" w:type="dxa"/>
            <w:tcMar>
              <w:left w:w="28" w:type="dxa"/>
              <w:right w:w="28" w:type="dxa"/>
            </w:tcMar>
          </w:tcPr>
          <w:p w:rsidR="00A84C16" w:rsidRPr="003F33F9" w:rsidRDefault="00A84C16" w:rsidP="00A84C16">
            <w:pPr>
              <w:spacing w:before="40" w:after="40"/>
              <w:rPr>
                <w:rStyle w:val="DeltaViewInsertion"/>
                <w:b w:val="0"/>
                <w:i w:val="0"/>
                <w:iCs/>
                <w:noProof/>
                <w:sz w:val="22"/>
              </w:rPr>
            </w:pPr>
          </w:p>
        </w:tc>
        <w:tc>
          <w:tcPr>
            <w:tcW w:w="1153" w:type="dxa"/>
            <w:gridSpan w:val="2"/>
            <w:tcMar>
              <w:left w:w="28" w:type="dxa"/>
              <w:right w:w="28" w:type="dxa"/>
            </w:tcMar>
          </w:tcPr>
          <w:p w:rsidR="00A84C16" w:rsidRPr="003F33F9" w:rsidRDefault="00A84C16" w:rsidP="00A84C16">
            <w:pPr>
              <w:spacing w:before="40" w:after="40"/>
              <w:rPr>
                <w:rStyle w:val="DeltaViewInsertion"/>
                <w:b w:val="0"/>
                <w:iCs/>
                <w:noProof/>
                <w:sz w:val="22"/>
              </w:rPr>
            </w:pPr>
          </w:p>
        </w:tc>
        <w:tc>
          <w:tcPr>
            <w:tcW w:w="970" w:type="dxa"/>
            <w:tcMar>
              <w:left w:w="28" w:type="dxa"/>
              <w:right w:w="28" w:type="dxa"/>
            </w:tcMar>
          </w:tcPr>
          <w:p w:rsidR="00A84C16" w:rsidRPr="003F33F9" w:rsidRDefault="00A84C16" w:rsidP="00A84C16">
            <w:pPr>
              <w:spacing w:before="40" w:after="40"/>
              <w:rPr>
                <w:rStyle w:val="DeltaViewInsertion"/>
                <w:b w:val="0"/>
                <w:iCs/>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(29)</w:t>
            </w:r>
          </w:p>
        </w:tc>
        <w:tc>
          <w:tcPr>
            <w:tcW w:w="15192" w:type="dxa"/>
            <w:gridSpan w:val="23"/>
            <w:tcMar>
              <w:left w:w="28" w:type="dxa"/>
              <w:right w:w="28" w:type="dxa"/>
            </w:tcMar>
          </w:tcPr>
          <w:p w:rsidR="00A84C16" w:rsidRPr="003F33F9" w:rsidRDefault="00A84C16" w:rsidP="00A84C16">
            <w:pPr>
              <w:spacing w:before="40" w:after="40"/>
              <w:rPr>
                <w:noProof/>
                <w:sz w:val="22"/>
              </w:rPr>
            </w:pPr>
            <w:r w:rsidRPr="003F33F9">
              <w:rPr>
                <w:noProof/>
                <w:sz w:val="22"/>
              </w:rPr>
              <w:t xml:space="preserve">Ieraksts par simazīnu ir pārvietots uz II pielikuma C daļu. </w:t>
            </w:r>
          </w:p>
        </w:tc>
      </w:tr>
      <w:bookmarkEnd w:id="32"/>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(29a)</w:t>
            </w:r>
          </w:p>
        </w:tc>
        <w:tc>
          <w:tcPr>
            <w:tcW w:w="2103" w:type="dxa"/>
            <w:gridSpan w:val="3"/>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 xml:space="preserve">Tetrahloretilēns </w:t>
            </w:r>
            <w:bookmarkStart w:id="33" w:name="_DV_M305"/>
            <w:bookmarkEnd w:id="33"/>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127-18-4</w:t>
            </w:r>
          </w:p>
        </w:tc>
        <w:tc>
          <w:tcPr>
            <w:tcW w:w="1134" w:type="dxa"/>
          </w:tcPr>
          <w:p w:rsidR="00A84C16" w:rsidRPr="003F33F9" w:rsidRDefault="00A84C16" w:rsidP="00A84C16">
            <w:pPr>
              <w:spacing w:before="40" w:after="40"/>
              <w:rPr>
                <w:noProof/>
                <w:sz w:val="22"/>
              </w:rPr>
            </w:pPr>
            <w:r w:rsidRPr="003F33F9">
              <w:rPr>
                <w:noProof/>
                <w:sz w:val="22"/>
              </w:rPr>
              <w:t>204-825-9</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10</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(29b)</w:t>
            </w:r>
          </w:p>
        </w:tc>
        <w:tc>
          <w:tcPr>
            <w:tcW w:w="2103" w:type="dxa"/>
            <w:gridSpan w:val="3"/>
            <w:tcMar>
              <w:left w:w="28" w:type="dxa"/>
              <w:right w:w="28" w:type="dxa"/>
            </w:tcMar>
          </w:tcPr>
          <w:p w:rsidR="00A84C16" w:rsidRPr="003F33F9" w:rsidRDefault="00A84C16" w:rsidP="00A84C16">
            <w:pPr>
              <w:keepNext/>
              <w:spacing w:before="40" w:after="40"/>
              <w:rPr>
                <w:noProof/>
                <w:sz w:val="22"/>
                <w:vertAlign w:val="superscript"/>
              </w:rPr>
            </w:pPr>
            <w:r w:rsidRPr="003F33F9">
              <w:rPr>
                <w:noProof/>
                <w:sz w:val="22"/>
              </w:rPr>
              <w:t xml:space="preserve">Trihloretilēns </w:t>
            </w:r>
            <w:bookmarkStart w:id="34" w:name="_DV_M306"/>
            <w:bookmarkEnd w:id="34"/>
          </w:p>
        </w:tc>
        <w:tc>
          <w:tcPr>
            <w:tcW w:w="1329" w:type="dxa"/>
            <w:gridSpan w:val="3"/>
            <w:tcMar>
              <w:left w:w="28" w:type="dxa"/>
              <w:right w:w="28" w:type="dxa"/>
            </w:tcMar>
          </w:tcPr>
          <w:p w:rsidR="00A84C16" w:rsidRPr="003F33F9" w:rsidRDefault="00A84C16" w:rsidP="00A84C16">
            <w:pPr>
              <w:keepNext/>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79-01-6</w:t>
            </w:r>
          </w:p>
        </w:tc>
        <w:tc>
          <w:tcPr>
            <w:tcW w:w="1134" w:type="dxa"/>
          </w:tcPr>
          <w:p w:rsidR="00A84C16" w:rsidRPr="003F33F9" w:rsidRDefault="00A84C16" w:rsidP="00A84C16">
            <w:pPr>
              <w:keepNext/>
              <w:spacing w:before="40" w:after="40"/>
              <w:rPr>
                <w:noProof/>
                <w:sz w:val="22"/>
              </w:rPr>
            </w:pPr>
            <w:r w:rsidRPr="003F33F9">
              <w:rPr>
                <w:noProof/>
                <w:sz w:val="22"/>
              </w:rPr>
              <w:t>201-167-4</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10</w:t>
            </w:r>
          </w:p>
        </w:tc>
        <w:tc>
          <w:tcPr>
            <w:tcW w:w="1279"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10</w:t>
            </w:r>
          </w:p>
        </w:tc>
        <w:tc>
          <w:tcPr>
            <w:tcW w:w="1278"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keepNext/>
              <w:spacing w:before="40" w:after="40"/>
              <w:rPr>
                <w:noProof/>
                <w:sz w:val="22"/>
              </w:rPr>
            </w:pPr>
          </w:p>
        </w:tc>
        <w:tc>
          <w:tcPr>
            <w:tcW w:w="1262" w:type="dxa"/>
            <w:tcMar>
              <w:left w:w="28" w:type="dxa"/>
              <w:right w:w="28" w:type="dxa"/>
            </w:tcMar>
          </w:tcPr>
          <w:p w:rsidR="00A84C16" w:rsidRPr="003F33F9" w:rsidRDefault="00A84C16" w:rsidP="00A84C16">
            <w:pPr>
              <w:keepNext/>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keepNext/>
              <w:spacing w:before="40" w:after="40"/>
              <w:rPr>
                <w:noProof/>
                <w:sz w:val="22"/>
              </w:rPr>
            </w:pPr>
          </w:p>
        </w:tc>
        <w:tc>
          <w:tcPr>
            <w:tcW w:w="970" w:type="dxa"/>
            <w:tcMar>
              <w:left w:w="28" w:type="dxa"/>
              <w:right w:w="28" w:type="dxa"/>
            </w:tcMar>
          </w:tcPr>
          <w:p w:rsidR="00A84C16" w:rsidRPr="003F33F9" w:rsidRDefault="00A84C16" w:rsidP="00A84C16">
            <w:pPr>
              <w:keepNext/>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(30)</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Tributilalvas savienojumi (</w:t>
            </w:r>
            <w:r w:rsidRPr="003F33F9">
              <w:rPr>
                <w:noProof/>
                <w:sz w:val="22"/>
                <w:vertAlign w:val="superscript"/>
              </w:rPr>
              <w:t>18</w:t>
            </w:r>
            <w:r w:rsidRPr="003F33F9">
              <w:rPr>
                <w:noProof/>
                <w:sz w:val="22"/>
              </w:rPr>
              <w:t>) (</w:t>
            </w:r>
            <w:bookmarkStart w:id="35" w:name="_DV_C351"/>
            <w:r w:rsidRPr="003F33F9">
              <w:rPr>
                <w:rStyle w:val="DeltaViewInsertion"/>
                <w:noProof/>
                <w:sz w:val="22"/>
              </w:rPr>
              <w:t>tributilalvas</w:t>
            </w:r>
            <w:bookmarkStart w:id="36" w:name="_DV_M307"/>
            <w:bookmarkEnd w:id="35"/>
            <w:bookmarkEnd w:id="36"/>
            <w:r w:rsidRPr="003F33F9">
              <w:rPr>
                <w:noProof/>
                <w:sz w:val="22"/>
              </w:rPr>
              <w:t xml:space="preserve"> katjons)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Biocīdi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36643-28-4</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0,0002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0,0002</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0,0015</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0,0015</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[1,3] (</w:t>
            </w:r>
            <w:r w:rsidRPr="003F33F9">
              <w:rPr>
                <w:noProof/>
                <w:sz w:val="22"/>
                <w:vertAlign w:val="superscript"/>
              </w:rPr>
              <w:t>19</w:t>
            </w:r>
            <w:r w:rsidRPr="003F33F9">
              <w:rPr>
                <w:noProof/>
                <w:sz w:val="22"/>
              </w:rPr>
              <w:t>)</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 xml:space="preserve">X </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(31)</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Trihlorbenzoli</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 (šķīdinātāji)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12002-48-1</w:t>
            </w:r>
          </w:p>
        </w:tc>
        <w:tc>
          <w:tcPr>
            <w:tcW w:w="1134" w:type="dxa"/>
          </w:tcPr>
          <w:p w:rsidR="00A84C16" w:rsidRPr="003F33F9" w:rsidRDefault="00A84C16" w:rsidP="00A84C16">
            <w:pPr>
              <w:spacing w:before="40" w:after="40"/>
              <w:rPr>
                <w:noProof/>
                <w:sz w:val="22"/>
              </w:rPr>
            </w:pPr>
            <w:r w:rsidRPr="003F33F9">
              <w:rPr>
                <w:noProof/>
                <w:sz w:val="22"/>
              </w:rPr>
              <w:t>234-413-4</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0,4 </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0,4</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(32)</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Trihlormetāns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67-66-3</w:t>
            </w:r>
          </w:p>
        </w:tc>
        <w:tc>
          <w:tcPr>
            <w:tcW w:w="1134" w:type="dxa"/>
          </w:tcPr>
          <w:p w:rsidR="00A84C16" w:rsidRPr="003F33F9" w:rsidRDefault="00A84C16" w:rsidP="00A84C16">
            <w:pPr>
              <w:spacing w:before="40" w:after="40"/>
              <w:rPr>
                <w:noProof/>
                <w:sz w:val="22"/>
              </w:rPr>
            </w:pPr>
            <w:r w:rsidRPr="003F33F9">
              <w:rPr>
                <w:noProof/>
                <w:sz w:val="22"/>
              </w:rPr>
              <w:t>200-663-8</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2,5 </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 xml:space="preserve">2,5 </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(33)</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Trifluralīns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1582-09-8</w:t>
            </w:r>
          </w:p>
        </w:tc>
        <w:tc>
          <w:tcPr>
            <w:tcW w:w="1134" w:type="dxa"/>
          </w:tcPr>
          <w:p w:rsidR="00A84C16" w:rsidRPr="003F33F9" w:rsidRDefault="00A84C16" w:rsidP="00A84C16">
            <w:pPr>
              <w:spacing w:before="40" w:after="40"/>
              <w:rPr>
                <w:noProof/>
                <w:sz w:val="22"/>
              </w:rPr>
            </w:pPr>
            <w:r w:rsidRPr="003F33F9">
              <w:rPr>
                <w:noProof/>
                <w:sz w:val="22"/>
              </w:rPr>
              <w:t>216-428-8</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0,03</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0,03</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(34)</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Dikofols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115-32-2</w:t>
            </w:r>
          </w:p>
        </w:tc>
        <w:tc>
          <w:tcPr>
            <w:tcW w:w="1134" w:type="dxa"/>
          </w:tcPr>
          <w:p w:rsidR="00A84C16" w:rsidRPr="003F33F9" w:rsidRDefault="00A84C16" w:rsidP="00A84C16">
            <w:pPr>
              <w:spacing w:before="40" w:after="40"/>
              <w:rPr>
                <w:strike/>
                <w:noProof/>
                <w:sz w:val="22"/>
              </w:rPr>
            </w:pPr>
            <w:r w:rsidRPr="003F33F9">
              <w:rPr>
                <w:noProof/>
                <w:sz w:val="22"/>
              </w:rPr>
              <w:t>204-082-0</w:t>
            </w:r>
          </w:p>
        </w:tc>
        <w:tc>
          <w:tcPr>
            <w:tcW w:w="1279"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[4,45 × 10</w:t>
            </w:r>
            <w:r w:rsidRPr="003F33F9">
              <w:rPr>
                <w:noProof/>
                <w:sz w:val="22"/>
                <w:vertAlign w:val="superscript"/>
              </w:rPr>
              <w:t>-3</w:t>
            </w:r>
            <w:r w:rsidRPr="003F33F9">
              <w:rPr>
                <w:noProof/>
                <w:sz w:val="22"/>
              </w:rPr>
              <w:t>]</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[0,185 × 10</w:t>
            </w:r>
            <w:r w:rsidRPr="003F33F9">
              <w:rPr>
                <w:noProof/>
                <w:sz w:val="22"/>
                <w:vertAlign w:val="superscript"/>
              </w:rPr>
              <w:t>-3</w:t>
            </w:r>
            <w:r w:rsidRPr="003F33F9">
              <w:rPr>
                <w:noProof/>
                <w:sz w:val="22"/>
              </w:rPr>
              <w:t>]</w:t>
            </w:r>
          </w:p>
        </w:tc>
        <w:tc>
          <w:tcPr>
            <w:tcW w:w="1278"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 xml:space="preserve">Nepiemēro </w:t>
            </w:r>
            <w:bookmarkStart w:id="37" w:name="_DV_M308"/>
            <w:bookmarkStart w:id="38" w:name="_Ref101447957"/>
            <w:bookmarkEnd w:id="37"/>
            <w:r w:rsidRPr="003F33F9">
              <w:rPr>
                <w:noProof/>
                <w:sz w:val="22"/>
              </w:rPr>
              <w:t>(</w:t>
            </w:r>
            <w:r w:rsidRPr="003F33F9">
              <w:rPr>
                <w:noProof/>
                <w:sz w:val="22"/>
                <w:vertAlign w:val="superscript"/>
              </w:rPr>
              <w:t>20</w:t>
            </w:r>
            <w:r w:rsidRPr="003F33F9">
              <w:rPr>
                <w:noProof/>
                <w:sz w:val="22"/>
              </w:rPr>
              <w:t>)</w:t>
            </w:r>
            <w:bookmarkEnd w:id="38"/>
          </w:p>
        </w:tc>
        <w:tc>
          <w:tcPr>
            <w:tcW w:w="1277"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Nepiemēro (</w:t>
            </w:r>
            <w:r w:rsidRPr="003F33F9">
              <w:rPr>
                <w:noProof/>
                <w:sz w:val="22"/>
                <w:vertAlign w:val="superscript"/>
              </w:rPr>
              <w:t>20</w:t>
            </w:r>
            <w:r w:rsidRPr="003F33F9">
              <w:rPr>
                <w:noProof/>
                <w:sz w:val="22"/>
              </w:rPr>
              <w:t>)</w:t>
            </w:r>
            <w:bookmarkStart w:id="39" w:name="_DV_M309"/>
            <w:bookmarkEnd w:id="39"/>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[5.45]</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(35)</w:t>
            </w:r>
          </w:p>
        </w:tc>
        <w:tc>
          <w:tcPr>
            <w:tcW w:w="2103" w:type="dxa"/>
            <w:gridSpan w:val="3"/>
            <w:tcMar>
              <w:left w:w="28" w:type="dxa"/>
              <w:right w:w="28" w:type="dxa"/>
            </w:tcMar>
          </w:tcPr>
          <w:p w:rsidR="00A84C16" w:rsidRPr="003F33F9" w:rsidRDefault="00A84C16" w:rsidP="00A84C16">
            <w:pPr>
              <w:pageBreakBefore/>
              <w:spacing w:before="40" w:after="40"/>
              <w:rPr>
                <w:noProof/>
                <w:sz w:val="22"/>
              </w:rPr>
            </w:pPr>
            <w:r w:rsidRPr="003F33F9">
              <w:rPr>
                <w:noProof/>
                <w:sz w:val="22"/>
              </w:rPr>
              <w:t>Perfluoroktānsulfoskābe un tās atvasinājumi (PFOS)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1763-23-1</w:t>
            </w:r>
          </w:p>
        </w:tc>
        <w:tc>
          <w:tcPr>
            <w:tcW w:w="1134" w:type="dxa"/>
          </w:tcPr>
          <w:p w:rsidR="00A84C16" w:rsidRPr="003F33F9" w:rsidRDefault="00A84C16" w:rsidP="00A84C16">
            <w:pPr>
              <w:spacing w:before="40" w:after="40"/>
              <w:rPr>
                <w:noProof/>
                <w:sz w:val="22"/>
              </w:rPr>
            </w:pPr>
            <w:r w:rsidRPr="003F33F9">
              <w:rPr>
                <w:noProof/>
                <w:sz w:val="22"/>
              </w:rPr>
              <w:t>217-179-8</w:t>
            </w:r>
          </w:p>
        </w:tc>
        <w:tc>
          <w:tcPr>
            <w:tcW w:w="9634" w:type="dxa"/>
            <w:gridSpan w:val="14"/>
            <w:tcMar>
              <w:left w:w="28" w:type="dxa"/>
              <w:right w:w="28" w:type="dxa"/>
            </w:tcMar>
          </w:tcPr>
          <w:p w:rsidR="00A84C16" w:rsidRPr="003F33F9" w:rsidRDefault="00A84C16" w:rsidP="00A84C16">
            <w:pPr>
              <w:spacing w:before="40" w:after="40"/>
              <w:rPr>
                <w:noProof/>
                <w:sz w:val="22"/>
              </w:rPr>
            </w:pPr>
            <w:r w:rsidRPr="003F33F9">
              <w:rPr>
                <w:noProof/>
                <w:sz w:val="22"/>
              </w:rPr>
              <w:t>Ietilpst 65. vielu grupā (</w:t>
            </w:r>
            <w:r w:rsidRPr="003F33F9">
              <w:rPr>
                <w:noProof/>
                <w:color w:val="000000"/>
                <w:sz w:val="22"/>
              </w:rPr>
              <w:t>Perfluorētas un polifluorētas alkilvielas (PFAS): 24 koncentrāciju summa</w:t>
            </w:r>
            <w:r w:rsidRPr="003F33F9">
              <w:rPr>
                <w:noProof/>
                <w:sz w:val="22"/>
              </w:rPr>
              <w:t>).</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(36)</w:t>
            </w:r>
          </w:p>
        </w:tc>
        <w:tc>
          <w:tcPr>
            <w:tcW w:w="2103" w:type="dxa"/>
            <w:gridSpan w:val="3"/>
            <w:tcMar>
              <w:left w:w="28" w:type="dxa"/>
              <w:right w:w="28" w:type="dxa"/>
            </w:tcMar>
          </w:tcPr>
          <w:p w:rsidR="00A84C16" w:rsidRPr="003F33F9" w:rsidRDefault="00A84C16" w:rsidP="00A84C16">
            <w:pPr>
              <w:pageBreakBefore/>
              <w:spacing w:before="40" w:after="40"/>
              <w:rPr>
                <w:noProof/>
                <w:sz w:val="22"/>
              </w:rPr>
            </w:pPr>
            <w:r w:rsidRPr="003F33F9">
              <w:rPr>
                <w:noProof/>
                <w:sz w:val="22"/>
              </w:rPr>
              <w:t>Hinoksifēns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Augu aizsardzības līdzekļi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124495-18-7</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2,7</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0,54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cantSplit/>
          <w:tblHeader/>
          <w:jc w:val="center"/>
        </w:trPr>
        <w:tc>
          <w:tcPr>
            <w:tcW w:w="846" w:type="dxa"/>
            <w:gridSpan w:val="3"/>
            <w:tcMar>
              <w:left w:w="28" w:type="dxa"/>
              <w:right w:w="28" w:type="dxa"/>
            </w:tcMar>
          </w:tcPr>
          <w:p w:rsidR="00A84C16" w:rsidRPr="003F33F9" w:rsidRDefault="00A84C16" w:rsidP="00A84C16">
            <w:pPr>
              <w:spacing w:before="40" w:after="40"/>
              <w:rPr>
                <w:noProof/>
                <w:sz w:val="22"/>
              </w:rPr>
            </w:pPr>
            <w:r w:rsidRPr="003F33F9">
              <w:rPr>
                <w:noProof/>
                <w:sz w:val="22"/>
              </w:rPr>
              <w:t>(37)</w:t>
            </w:r>
          </w:p>
        </w:tc>
        <w:tc>
          <w:tcPr>
            <w:tcW w:w="2010" w:type="dxa"/>
            <w:tcMar>
              <w:left w:w="28" w:type="dxa"/>
              <w:right w:w="28" w:type="dxa"/>
            </w:tcMar>
          </w:tcPr>
          <w:p w:rsidR="00A84C16" w:rsidRPr="003F33F9" w:rsidRDefault="00A84C16" w:rsidP="00A84C16">
            <w:pPr>
              <w:spacing w:before="40" w:after="40"/>
              <w:rPr>
                <w:noProof/>
                <w:color w:val="70AD47" w:themeColor="accent6"/>
                <w:sz w:val="22"/>
              </w:rPr>
            </w:pPr>
            <w:r w:rsidRPr="003F33F9">
              <w:rPr>
                <w:noProof/>
                <w:sz w:val="22"/>
              </w:rPr>
              <w:t>Dioksīni un dioksīniem līdzīgie savienojumi (</w:t>
            </w:r>
            <w:r w:rsidRPr="003F33F9">
              <w:rPr>
                <w:noProof/>
                <w:sz w:val="22"/>
                <w:vertAlign w:val="superscript"/>
              </w:rPr>
              <w:t>21</w:t>
            </w:r>
            <w:r w:rsidRPr="003F33F9">
              <w:rPr>
                <w:noProof/>
                <w:sz w:val="22"/>
              </w:rPr>
              <w:t>)</w:t>
            </w:r>
          </w:p>
        </w:tc>
        <w:tc>
          <w:tcPr>
            <w:tcW w:w="1422" w:type="dxa"/>
            <w:gridSpan w:val="5"/>
            <w:tcMar>
              <w:left w:w="28" w:type="dxa"/>
              <w:right w:w="28" w:type="dxa"/>
            </w:tcMar>
          </w:tcPr>
          <w:p w:rsidR="00A84C16" w:rsidRPr="003F33F9" w:rsidRDefault="00A84C16" w:rsidP="00A84C16">
            <w:pPr>
              <w:spacing w:before="40" w:after="40"/>
              <w:rPr>
                <w:noProof/>
                <w:sz w:val="22"/>
              </w:rPr>
            </w:pPr>
            <w:r w:rsidRPr="003F33F9">
              <w:rPr>
                <w:noProof/>
                <w:sz w:val="22"/>
              </w:rPr>
              <w:t>Rūpnieciskie blakusprodukti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Nepiemēro</w:t>
            </w:r>
          </w:p>
        </w:tc>
        <w:tc>
          <w:tcPr>
            <w:tcW w:w="1134" w:type="dxa"/>
          </w:tcPr>
          <w:p w:rsidR="00A84C16" w:rsidRPr="003F33F9" w:rsidRDefault="00A84C16" w:rsidP="00A84C16">
            <w:pPr>
              <w:spacing w:before="40" w:after="40"/>
              <w:rPr>
                <w:noProof/>
                <w:sz w:val="22"/>
              </w:rPr>
            </w:pPr>
            <w:r w:rsidRPr="003F33F9">
              <w:rPr>
                <w:noProof/>
                <w:sz w:val="22"/>
              </w:rPr>
              <w:t>Nepiemēro</w:t>
            </w: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9" w:type="dxa"/>
            <w:gridSpan w:val="2"/>
            <w:tcMar>
              <w:left w:w="28" w:type="dxa"/>
              <w:right w:w="28" w:type="dxa"/>
            </w:tcMar>
          </w:tcPr>
          <w:p w:rsidR="00A84C16" w:rsidRPr="003F33F9" w:rsidRDefault="00A84C16" w:rsidP="00A84C16">
            <w:pPr>
              <w:spacing w:before="40" w:after="40"/>
              <w:rPr>
                <w:noProof/>
                <w:sz w:val="22"/>
              </w:rPr>
            </w:pPr>
          </w:p>
        </w:tc>
        <w:tc>
          <w:tcPr>
            <w:tcW w:w="1278" w:type="dxa"/>
            <w:gridSpan w:val="2"/>
            <w:tcMar>
              <w:left w:w="28" w:type="dxa"/>
              <w:right w:w="28" w:type="dxa"/>
            </w:tcMar>
          </w:tcPr>
          <w:p w:rsidR="00A84C16" w:rsidRPr="003F33F9" w:rsidRDefault="00A84C16" w:rsidP="00A84C16">
            <w:pPr>
              <w:spacing w:before="40" w:after="40"/>
              <w:rPr>
                <w:b/>
                <w:noProof/>
                <w:sz w:val="22"/>
              </w:rPr>
            </w:pPr>
            <w:bookmarkStart w:id="40" w:name="_DV_C352"/>
            <w:r w:rsidRPr="003F33F9">
              <w:rPr>
                <w:rStyle w:val="DeltaViewInsertion"/>
                <w:b w:val="0"/>
                <w:i w:val="0"/>
                <w:noProof/>
                <w:sz w:val="22"/>
              </w:rPr>
              <w:t>Nepiemēro</w:t>
            </w:r>
            <w:bookmarkEnd w:id="40"/>
          </w:p>
        </w:tc>
        <w:tc>
          <w:tcPr>
            <w:tcW w:w="1277" w:type="dxa"/>
            <w:gridSpan w:val="2"/>
            <w:tcMar>
              <w:left w:w="28" w:type="dxa"/>
              <w:right w:w="28" w:type="dxa"/>
            </w:tcMar>
          </w:tcPr>
          <w:p w:rsidR="00A84C16" w:rsidRPr="003F33F9" w:rsidRDefault="00A84C16" w:rsidP="00A84C16">
            <w:pPr>
              <w:spacing w:before="40" w:after="40"/>
              <w:rPr>
                <w:b/>
                <w:noProof/>
                <w:sz w:val="22"/>
              </w:rPr>
            </w:pPr>
            <w:bookmarkStart w:id="41" w:name="_DV_C353"/>
            <w:r w:rsidRPr="003F33F9">
              <w:rPr>
                <w:rStyle w:val="DeltaViewInsertion"/>
                <w:b w:val="0"/>
                <w:i w:val="0"/>
                <w:noProof/>
                <w:sz w:val="22"/>
              </w:rPr>
              <w:t>Nepiemēro</w:t>
            </w:r>
            <w:bookmarkEnd w:id="41"/>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Summa: PCDD+ PCDF+ PCB-DL</w:t>
            </w:r>
          </w:p>
          <w:p w:rsidR="00A84C16" w:rsidRPr="003F33F9" w:rsidRDefault="00A84C16" w:rsidP="00A84C16">
            <w:pPr>
              <w:spacing w:before="40" w:after="40"/>
              <w:rPr>
                <w:noProof/>
                <w:sz w:val="22"/>
                <w:vertAlign w:val="superscript"/>
              </w:rPr>
            </w:pPr>
            <w:r w:rsidRPr="003F33F9">
              <w:rPr>
                <w:noProof/>
                <w:sz w:val="22"/>
              </w:rPr>
              <w:t>ekvivalenti [3,5 10</w:t>
            </w:r>
            <w:r w:rsidRPr="003F33F9">
              <w:rPr>
                <w:noProof/>
                <w:sz w:val="22"/>
                <w:vertAlign w:val="superscript"/>
              </w:rPr>
              <w:t>-5</w:t>
            </w:r>
            <w:r w:rsidRPr="003F33F9">
              <w:rPr>
                <w:noProof/>
                <w:sz w:val="22"/>
              </w:rPr>
              <w:t>] (</w:t>
            </w:r>
            <w:r w:rsidRPr="003F33F9">
              <w:rPr>
                <w:noProof/>
                <w:sz w:val="22"/>
                <w:vertAlign w:val="superscript"/>
              </w:rPr>
              <w:t>22</w:t>
            </w:r>
            <w:r w:rsidRPr="003F33F9">
              <w:rPr>
                <w:noProof/>
                <w:sz w:val="22"/>
              </w:rPr>
              <w:t>)</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(38)</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Aklonifēns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74070-46-5</w:t>
            </w:r>
          </w:p>
        </w:tc>
        <w:tc>
          <w:tcPr>
            <w:tcW w:w="1134" w:type="dxa"/>
          </w:tcPr>
          <w:p w:rsidR="00A84C16" w:rsidRPr="003F33F9" w:rsidRDefault="00A84C16" w:rsidP="00A84C16">
            <w:pPr>
              <w:spacing w:before="40" w:after="40"/>
              <w:rPr>
                <w:noProof/>
                <w:sz w:val="22"/>
              </w:rPr>
            </w:pPr>
            <w:r w:rsidRPr="003F33F9">
              <w:rPr>
                <w:noProof/>
                <w:sz w:val="22"/>
              </w:rPr>
              <w:t>277-704-1</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0,012</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0,12</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0,012</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(39)</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Bifenokss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42576-02-3</w:t>
            </w:r>
          </w:p>
        </w:tc>
        <w:tc>
          <w:tcPr>
            <w:tcW w:w="1134" w:type="dxa"/>
          </w:tcPr>
          <w:p w:rsidR="00A84C16" w:rsidRPr="003F33F9" w:rsidRDefault="00A84C16" w:rsidP="00A84C16">
            <w:pPr>
              <w:spacing w:before="40" w:after="40"/>
              <w:rPr>
                <w:noProof/>
                <w:sz w:val="22"/>
              </w:rPr>
            </w:pPr>
            <w:r w:rsidRPr="003F33F9">
              <w:rPr>
                <w:noProof/>
                <w:sz w:val="22"/>
              </w:rPr>
              <w:t>255-894-7</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0,012</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0,0012</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0,04</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(40)</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Cibutrīns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Biocīdi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28159-98-0</w:t>
            </w:r>
          </w:p>
        </w:tc>
        <w:tc>
          <w:tcPr>
            <w:tcW w:w="1134" w:type="dxa"/>
          </w:tcPr>
          <w:p w:rsidR="00A84C16" w:rsidRPr="003F33F9" w:rsidRDefault="00A84C16" w:rsidP="00A84C16">
            <w:pPr>
              <w:spacing w:before="40" w:after="40"/>
              <w:rPr>
                <w:noProof/>
                <w:sz w:val="22"/>
              </w:rPr>
            </w:pPr>
            <w:r w:rsidRPr="003F33F9">
              <w:rPr>
                <w:noProof/>
                <w:sz w:val="22"/>
              </w:rPr>
              <w:t>248-872-3</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0,0025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0,0025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0,016</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0,016</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(41)</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Cipermetrīns (</w:t>
            </w:r>
            <w:r w:rsidRPr="003F33F9">
              <w:rPr>
                <w:noProof/>
                <w:sz w:val="22"/>
                <w:vertAlign w:val="superscript"/>
              </w:rPr>
              <w:t>23</w:t>
            </w:r>
            <w:r w:rsidRPr="003F33F9">
              <w:rPr>
                <w:noProof/>
                <w:sz w:val="22"/>
              </w:rPr>
              <w:t>)</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Piretroīdie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52315-07-8</w:t>
            </w:r>
          </w:p>
        </w:tc>
        <w:tc>
          <w:tcPr>
            <w:tcW w:w="1134" w:type="dxa"/>
          </w:tcPr>
          <w:p w:rsidR="00A84C16" w:rsidRPr="003F33F9" w:rsidRDefault="00A84C16" w:rsidP="00A84C16">
            <w:pPr>
              <w:spacing w:before="40" w:after="40"/>
              <w:rPr>
                <w:strike/>
                <w:noProof/>
                <w:sz w:val="22"/>
              </w:rPr>
            </w:pPr>
            <w:r w:rsidRPr="003F33F9">
              <w:rPr>
                <w:noProof/>
                <w:sz w:val="22"/>
              </w:rPr>
              <w:t>257-842-9</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 × 10</w:t>
            </w:r>
            <w:r w:rsidRPr="003F33F9">
              <w:rPr>
                <w:noProof/>
                <w:sz w:val="22"/>
                <w:vertAlign w:val="superscript"/>
              </w:rPr>
              <w:t>-5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 × 10</w:t>
            </w:r>
            <w:r w:rsidRPr="003F33F9">
              <w:rPr>
                <w:noProof/>
                <w:sz w:val="22"/>
                <w:vertAlign w:val="superscript"/>
              </w:rPr>
              <w:t>-6</w:t>
            </w:r>
          </w:p>
        </w:tc>
        <w:tc>
          <w:tcPr>
            <w:tcW w:w="1278"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6 × 10</w:t>
            </w:r>
            <w:r w:rsidRPr="003F33F9">
              <w:rPr>
                <w:noProof/>
                <w:sz w:val="22"/>
                <w:vertAlign w:val="superscript"/>
              </w:rPr>
              <w:t>-4</w:t>
            </w:r>
          </w:p>
        </w:tc>
        <w:tc>
          <w:tcPr>
            <w:tcW w:w="1277"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6 × 10</w:t>
            </w:r>
            <w:r w:rsidRPr="003F33F9">
              <w:rPr>
                <w:noProof/>
                <w:sz w:val="22"/>
                <w:vertAlign w:val="superscript"/>
              </w:rPr>
              <w:t>-5</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vertAlign w:val="superscript"/>
              </w:rPr>
            </w:pPr>
          </w:p>
        </w:tc>
        <w:tc>
          <w:tcPr>
            <w:tcW w:w="1153" w:type="dxa"/>
            <w:gridSpan w:val="2"/>
            <w:tcMar>
              <w:left w:w="28" w:type="dxa"/>
              <w:right w:w="28" w:type="dxa"/>
            </w:tcMar>
          </w:tcPr>
          <w:p w:rsidR="00A84C16" w:rsidRPr="003F33F9" w:rsidRDefault="00A84C16" w:rsidP="00A84C16">
            <w:pPr>
              <w:spacing w:before="40" w:after="40"/>
              <w:rPr>
                <w:noProof/>
                <w:sz w:val="22"/>
                <w:vertAlign w:val="superscript"/>
              </w:rPr>
            </w:pPr>
          </w:p>
        </w:tc>
        <w:tc>
          <w:tcPr>
            <w:tcW w:w="970" w:type="dxa"/>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(42)</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Dihlorvoss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Fosfororganiskie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62-73-7</w:t>
            </w:r>
          </w:p>
        </w:tc>
        <w:tc>
          <w:tcPr>
            <w:tcW w:w="1134" w:type="dxa"/>
          </w:tcPr>
          <w:p w:rsidR="00A84C16" w:rsidRPr="003F33F9" w:rsidRDefault="00A84C16" w:rsidP="00A84C16">
            <w:pPr>
              <w:spacing w:before="40" w:after="40"/>
              <w:rPr>
                <w:noProof/>
                <w:sz w:val="22"/>
              </w:rPr>
            </w:pPr>
            <w:r w:rsidRPr="003F33F9">
              <w:rPr>
                <w:noProof/>
                <w:sz w:val="22"/>
              </w:rPr>
              <w:t>200-547-7</w:t>
            </w:r>
          </w:p>
        </w:tc>
        <w:tc>
          <w:tcPr>
            <w:tcW w:w="1279"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6 × 10</w:t>
            </w:r>
            <w:r w:rsidRPr="003F33F9">
              <w:rPr>
                <w:noProof/>
                <w:sz w:val="22"/>
                <w:vertAlign w:val="superscript"/>
              </w:rPr>
              <w:t>-4</w:t>
            </w:r>
          </w:p>
        </w:tc>
        <w:tc>
          <w:tcPr>
            <w:tcW w:w="1279"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6 × 10</w:t>
            </w:r>
            <w:r w:rsidRPr="003F33F9">
              <w:rPr>
                <w:noProof/>
                <w:sz w:val="22"/>
                <w:vertAlign w:val="superscript"/>
              </w:rPr>
              <w:t>-5</w:t>
            </w:r>
          </w:p>
        </w:tc>
        <w:tc>
          <w:tcPr>
            <w:tcW w:w="1278"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7 × 10</w:t>
            </w:r>
            <w:r w:rsidRPr="003F33F9">
              <w:rPr>
                <w:noProof/>
                <w:sz w:val="22"/>
                <w:vertAlign w:val="superscript"/>
              </w:rPr>
              <w:t>-4</w:t>
            </w:r>
          </w:p>
        </w:tc>
        <w:tc>
          <w:tcPr>
            <w:tcW w:w="1277"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7 × 10</w:t>
            </w:r>
            <w:r w:rsidRPr="003F33F9">
              <w:rPr>
                <w:noProof/>
                <w:sz w:val="22"/>
                <w:vertAlign w:val="superscript"/>
              </w:rPr>
              <w:t>-5</w:t>
            </w:r>
          </w:p>
        </w:tc>
        <w:tc>
          <w:tcPr>
            <w:tcW w:w="1136" w:type="dxa"/>
            <w:gridSpan w:val="2"/>
            <w:tcMar>
              <w:left w:w="28" w:type="dxa"/>
              <w:right w:w="28" w:type="dxa"/>
            </w:tcMar>
          </w:tcPr>
          <w:p w:rsidR="00A84C16" w:rsidRPr="003F33F9" w:rsidRDefault="00A84C16" w:rsidP="00A84C16">
            <w:pPr>
              <w:spacing w:before="40" w:after="40"/>
              <w:rPr>
                <w:noProof/>
                <w:sz w:val="22"/>
                <w:vertAlign w:val="superscript"/>
              </w:rPr>
            </w:pPr>
          </w:p>
        </w:tc>
        <w:tc>
          <w:tcPr>
            <w:tcW w:w="1262" w:type="dxa"/>
            <w:tcMar>
              <w:left w:w="28" w:type="dxa"/>
              <w:right w:w="28" w:type="dxa"/>
            </w:tcMar>
          </w:tcPr>
          <w:p w:rsidR="00A84C16" w:rsidRPr="003F33F9" w:rsidRDefault="00A84C16" w:rsidP="00A84C16">
            <w:pPr>
              <w:spacing w:before="40" w:after="40"/>
              <w:rPr>
                <w:noProof/>
                <w:sz w:val="22"/>
                <w:vertAlign w:val="superscript"/>
              </w:rPr>
            </w:pPr>
          </w:p>
        </w:tc>
        <w:tc>
          <w:tcPr>
            <w:tcW w:w="1153" w:type="dxa"/>
            <w:gridSpan w:val="2"/>
            <w:tcMar>
              <w:left w:w="28" w:type="dxa"/>
              <w:right w:w="28" w:type="dxa"/>
            </w:tcMar>
          </w:tcPr>
          <w:p w:rsidR="00A84C16" w:rsidRPr="003F33F9" w:rsidRDefault="00A84C16" w:rsidP="00A84C16">
            <w:pPr>
              <w:spacing w:before="40" w:after="40"/>
              <w:rPr>
                <w:noProof/>
                <w:sz w:val="22"/>
                <w:vertAlign w:val="superscript"/>
              </w:rPr>
            </w:pPr>
          </w:p>
        </w:tc>
        <w:tc>
          <w:tcPr>
            <w:tcW w:w="970" w:type="dxa"/>
            <w:tcMar>
              <w:left w:w="28" w:type="dxa"/>
              <w:right w:w="28" w:type="dxa"/>
            </w:tcMar>
          </w:tcPr>
          <w:p w:rsidR="00A84C16" w:rsidRPr="003F33F9" w:rsidRDefault="00A84C16" w:rsidP="00A84C16">
            <w:pPr>
              <w:spacing w:before="40" w:after="40"/>
              <w:rPr>
                <w:noProof/>
                <w:sz w:val="22"/>
                <w:vertAlign w:val="superscript"/>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(43)</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Heksabromciklododekāns (HBCDD) (</w:t>
            </w:r>
            <w:r w:rsidRPr="003F33F9">
              <w:rPr>
                <w:noProof/>
                <w:sz w:val="22"/>
                <w:vertAlign w:val="superscript"/>
              </w:rPr>
              <w:t>24</w:t>
            </w:r>
            <w:r w:rsidRPr="003F33F9">
              <w:rPr>
                <w:noProof/>
                <w:sz w:val="22"/>
              </w:rPr>
              <w:t>)</w:t>
            </w:r>
            <w:r w:rsidRPr="003F33F9">
              <w:rPr>
                <w:noProof/>
                <w:u w:val="single"/>
              </w:rPr>
              <w:t xml:space="preserve"> </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Rūpniecībā lietotas vielas</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Sk. 24. zemsvītras piezīmi</w:t>
            </w:r>
          </w:p>
        </w:tc>
        <w:tc>
          <w:tcPr>
            <w:tcW w:w="1134" w:type="dxa"/>
          </w:tcPr>
          <w:p w:rsidR="00A84C16" w:rsidRPr="003F33F9" w:rsidRDefault="00A84C16" w:rsidP="00A84C16">
            <w:pPr>
              <w:spacing w:before="40" w:after="40"/>
              <w:rPr>
                <w:noProof/>
                <w:sz w:val="22"/>
              </w:rPr>
            </w:pPr>
            <w:r w:rsidRPr="003F33F9">
              <w:rPr>
                <w:noProof/>
                <w:sz w:val="22"/>
              </w:rPr>
              <w:t>Sk. 24. zemsvītras piezīmi</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[4,6 × 10</w:t>
            </w:r>
            <w:r w:rsidRPr="003F33F9">
              <w:rPr>
                <w:noProof/>
                <w:sz w:val="22"/>
                <w:vertAlign w:val="superscript"/>
              </w:rPr>
              <w:t>-4</w:t>
            </w:r>
            <w:r w:rsidRPr="003F33F9">
              <w:rPr>
                <w:noProof/>
                <w:sz w:val="22"/>
              </w:rPr>
              <w:t>]</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[2 × 10</w:t>
            </w:r>
            <w:r w:rsidRPr="003F33F9">
              <w:rPr>
                <w:noProof/>
                <w:sz w:val="22"/>
                <w:vertAlign w:val="superscript"/>
              </w:rPr>
              <w:t>-5</w:t>
            </w:r>
            <w:r w:rsidRPr="003F33F9">
              <w:rPr>
                <w:noProof/>
                <w:sz w:val="22"/>
              </w:rPr>
              <w:t>]</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0,5</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0,05</w:t>
            </w:r>
          </w:p>
        </w:tc>
        <w:tc>
          <w:tcPr>
            <w:tcW w:w="1136" w:type="dxa"/>
            <w:gridSpan w:val="2"/>
            <w:tcMar>
              <w:left w:w="28" w:type="dxa"/>
              <w:right w:w="28" w:type="dxa"/>
            </w:tcMar>
          </w:tcPr>
          <w:p w:rsidR="00A84C16" w:rsidRPr="003F33F9" w:rsidRDefault="00A84C16" w:rsidP="00A84C16">
            <w:pPr>
              <w:spacing w:before="40" w:after="40"/>
              <w:rPr>
                <w:noProof/>
                <w:sz w:val="22"/>
              </w:rPr>
            </w:pPr>
            <w:r w:rsidRPr="003F33F9">
              <w:rPr>
                <w:noProof/>
                <w:sz w:val="22"/>
              </w:rPr>
              <w:t>[3,5]</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(44)</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Heptahlors un heptahlorepoksīds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Hlororganiskie pesticīdi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76-44-8 / 1024-57-3</w:t>
            </w:r>
          </w:p>
        </w:tc>
        <w:tc>
          <w:tcPr>
            <w:tcW w:w="1134" w:type="dxa"/>
          </w:tcPr>
          <w:p w:rsidR="00A84C16" w:rsidRPr="003F33F9" w:rsidRDefault="00A84C16" w:rsidP="00A84C16">
            <w:pPr>
              <w:spacing w:before="40" w:after="40"/>
              <w:rPr>
                <w:strike/>
                <w:noProof/>
                <w:sz w:val="22"/>
              </w:rPr>
            </w:pPr>
            <w:r w:rsidRPr="003F33F9">
              <w:rPr>
                <w:noProof/>
                <w:sz w:val="22"/>
              </w:rPr>
              <w:t>200-962-3/ 213-831-0</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[1,7 × 10</w:t>
            </w:r>
            <w:r w:rsidRPr="003F33F9">
              <w:rPr>
                <w:noProof/>
                <w:sz w:val="22"/>
                <w:vertAlign w:val="superscript"/>
              </w:rPr>
              <w:t>-7</w:t>
            </w:r>
            <w:r w:rsidRPr="003F33F9">
              <w:rPr>
                <w:noProof/>
                <w:sz w:val="22"/>
              </w:rPr>
              <w:t>]</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[1,7 × 10</w:t>
            </w:r>
            <w:r w:rsidRPr="003F33F9">
              <w:rPr>
                <w:noProof/>
                <w:sz w:val="22"/>
                <w:vertAlign w:val="superscript"/>
              </w:rPr>
              <w:t>-7</w:t>
            </w:r>
            <w:r w:rsidRPr="003F33F9">
              <w:rPr>
                <w:noProof/>
                <w:sz w:val="22"/>
              </w:rPr>
              <w:t>]</w:t>
            </w:r>
          </w:p>
        </w:tc>
        <w:tc>
          <w:tcPr>
            <w:tcW w:w="1278"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3 × 10</w:t>
            </w:r>
            <w:r w:rsidRPr="003F33F9">
              <w:rPr>
                <w:noProof/>
                <w:sz w:val="22"/>
                <w:vertAlign w:val="superscript"/>
              </w:rPr>
              <w:t>-4</w:t>
            </w:r>
          </w:p>
        </w:tc>
        <w:tc>
          <w:tcPr>
            <w:tcW w:w="1277"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rPr>
              <w:t>3 × 10</w:t>
            </w:r>
            <w:r w:rsidRPr="003F33F9">
              <w:rPr>
                <w:noProof/>
                <w:sz w:val="22"/>
                <w:vertAlign w:val="superscript"/>
              </w:rPr>
              <w:t>-5</w:t>
            </w:r>
          </w:p>
        </w:tc>
        <w:tc>
          <w:tcPr>
            <w:tcW w:w="1136" w:type="dxa"/>
            <w:gridSpan w:val="2"/>
            <w:tcMar>
              <w:left w:w="28" w:type="dxa"/>
              <w:right w:w="28" w:type="dxa"/>
            </w:tcMar>
          </w:tcPr>
          <w:p w:rsidR="00A84C16" w:rsidRPr="003F33F9" w:rsidRDefault="00A84C16" w:rsidP="00A84C16">
            <w:pPr>
              <w:spacing w:before="40" w:after="40"/>
              <w:rPr>
                <w:noProof/>
                <w:sz w:val="22"/>
                <w:vertAlign w:val="superscript"/>
              </w:rPr>
            </w:pPr>
            <w:r w:rsidRPr="003F33F9">
              <w:rPr>
                <w:noProof/>
                <w:sz w:val="22"/>
                <w:vertAlign w:val="superscript"/>
              </w:rPr>
              <w:t xml:space="preserve"> </w:t>
            </w:r>
            <w:r w:rsidRPr="003F33F9">
              <w:rPr>
                <w:noProof/>
                <w:sz w:val="22"/>
              </w:rPr>
              <w:t>[0,013]</w:t>
            </w:r>
          </w:p>
        </w:tc>
        <w:tc>
          <w:tcPr>
            <w:tcW w:w="1262" w:type="dxa"/>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1153" w:type="dxa"/>
            <w:gridSpan w:val="2"/>
            <w:tcMar>
              <w:left w:w="28" w:type="dxa"/>
              <w:right w:w="28" w:type="dxa"/>
            </w:tcMar>
          </w:tcPr>
          <w:p w:rsidR="00A84C16" w:rsidRPr="003F33F9" w:rsidRDefault="00A84C16" w:rsidP="00A84C16">
            <w:pPr>
              <w:spacing w:before="40" w:after="40"/>
              <w:rPr>
                <w:noProof/>
                <w:sz w:val="22"/>
              </w:rPr>
            </w:pPr>
            <w:r w:rsidRPr="003F33F9">
              <w:rPr>
                <w:noProof/>
                <w:sz w:val="22"/>
              </w:rPr>
              <w:t>X</w:t>
            </w: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(45)</w:t>
            </w:r>
          </w:p>
        </w:tc>
        <w:tc>
          <w:tcPr>
            <w:tcW w:w="2103" w:type="dxa"/>
            <w:gridSpan w:val="3"/>
            <w:tcMar>
              <w:left w:w="28" w:type="dxa"/>
              <w:right w:w="28" w:type="dxa"/>
            </w:tcMar>
          </w:tcPr>
          <w:p w:rsidR="00A84C16" w:rsidRPr="003F33F9" w:rsidRDefault="00A84C16" w:rsidP="00A84C16">
            <w:pPr>
              <w:spacing w:before="40" w:after="40"/>
              <w:rPr>
                <w:noProof/>
                <w:sz w:val="22"/>
              </w:rPr>
            </w:pPr>
            <w:r w:rsidRPr="003F33F9">
              <w:rPr>
                <w:noProof/>
                <w:sz w:val="22"/>
              </w:rPr>
              <w:t>Terbutrīns</w:t>
            </w:r>
          </w:p>
        </w:tc>
        <w:tc>
          <w:tcPr>
            <w:tcW w:w="1329" w:type="dxa"/>
            <w:gridSpan w:val="3"/>
            <w:tcMar>
              <w:left w:w="28" w:type="dxa"/>
              <w:right w:w="28" w:type="dxa"/>
            </w:tcMar>
          </w:tcPr>
          <w:p w:rsidR="00A84C16" w:rsidRPr="003F33F9" w:rsidRDefault="00A84C16" w:rsidP="00A84C16">
            <w:pPr>
              <w:spacing w:before="40" w:after="40"/>
              <w:rPr>
                <w:noProof/>
                <w:sz w:val="22"/>
              </w:rPr>
            </w:pPr>
            <w:r w:rsidRPr="003F33F9">
              <w:rPr>
                <w:noProof/>
                <w:sz w:val="22"/>
              </w:rPr>
              <w:t>Herbicīdi</w:t>
            </w:r>
          </w:p>
        </w:tc>
        <w:tc>
          <w:tcPr>
            <w:tcW w:w="992" w:type="dxa"/>
            <w:gridSpan w:val="2"/>
            <w:tcMar>
              <w:left w:w="28" w:type="dxa"/>
              <w:right w:w="28" w:type="dxa"/>
            </w:tcMar>
          </w:tcPr>
          <w:p w:rsidR="00A84C16" w:rsidRPr="003F33F9" w:rsidRDefault="00A84C16" w:rsidP="00A84C16">
            <w:pPr>
              <w:spacing w:before="40" w:after="40"/>
              <w:rPr>
                <w:noProof/>
                <w:sz w:val="22"/>
              </w:rPr>
            </w:pPr>
            <w:r w:rsidRPr="003F33F9">
              <w:rPr>
                <w:noProof/>
                <w:sz w:val="22"/>
              </w:rPr>
              <w:t>886-50-0</w:t>
            </w:r>
          </w:p>
        </w:tc>
        <w:tc>
          <w:tcPr>
            <w:tcW w:w="1134" w:type="dxa"/>
          </w:tcPr>
          <w:p w:rsidR="00A84C16" w:rsidRPr="003F33F9" w:rsidRDefault="00A84C16" w:rsidP="00A84C16">
            <w:pPr>
              <w:spacing w:before="40" w:after="40"/>
              <w:rPr>
                <w:noProof/>
                <w:sz w:val="22"/>
              </w:rPr>
            </w:pPr>
            <w:r w:rsidRPr="003F33F9">
              <w:rPr>
                <w:noProof/>
                <w:sz w:val="22"/>
              </w:rPr>
              <w:t>212-950-5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0,065</w:t>
            </w:r>
          </w:p>
        </w:tc>
        <w:tc>
          <w:tcPr>
            <w:tcW w:w="1279"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0,0065</w:t>
            </w:r>
          </w:p>
        </w:tc>
        <w:tc>
          <w:tcPr>
            <w:tcW w:w="1278"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0,34</w:t>
            </w:r>
          </w:p>
        </w:tc>
        <w:tc>
          <w:tcPr>
            <w:tcW w:w="1277" w:type="dxa"/>
            <w:gridSpan w:val="2"/>
            <w:tcMar>
              <w:left w:w="28" w:type="dxa"/>
              <w:right w:w="28" w:type="dxa"/>
            </w:tcMar>
          </w:tcPr>
          <w:p w:rsidR="00A84C16" w:rsidRPr="003F33F9" w:rsidRDefault="00A84C16" w:rsidP="00A84C16">
            <w:pPr>
              <w:spacing w:before="40" w:after="40"/>
              <w:rPr>
                <w:noProof/>
                <w:sz w:val="22"/>
              </w:rPr>
            </w:pPr>
            <w:r w:rsidRPr="003F33F9">
              <w:rPr>
                <w:noProof/>
                <w:sz w:val="22"/>
              </w:rPr>
              <w:t>0,034</w:t>
            </w:r>
          </w:p>
        </w:tc>
        <w:tc>
          <w:tcPr>
            <w:tcW w:w="1136" w:type="dxa"/>
            <w:gridSpan w:val="2"/>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(46)</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17-alfa-etinilestradiols (EE2)</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(estrogēnie hormoni)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57-63-6</w:t>
            </w:r>
          </w:p>
        </w:tc>
        <w:tc>
          <w:tcPr>
            <w:tcW w:w="1134" w:type="dxa"/>
          </w:tcPr>
          <w:p w:rsidR="00A84C16" w:rsidRPr="003F33F9" w:rsidRDefault="00A84C16" w:rsidP="00A84C16">
            <w:pPr>
              <w:spacing w:before="40" w:after="40"/>
              <w:rPr>
                <w:noProof/>
                <w:sz w:val="22"/>
              </w:rPr>
            </w:pPr>
            <w:r w:rsidRPr="003F33F9">
              <w:rPr>
                <w:noProof/>
                <w:color w:val="000000"/>
                <w:sz w:val="22"/>
              </w:rPr>
              <w:t>200-342-2</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1,6 × 10</w:t>
            </w:r>
            <w:r w:rsidRPr="003F33F9">
              <w:rPr>
                <w:noProof/>
                <w:color w:val="000000"/>
                <w:sz w:val="22"/>
                <w:vertAlign w:val="superscript"/>
              </w:rPr>
              <w:t>-6</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Standarts nav iegūts</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Standarts nav iegūts</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(47)</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17-beta-estradiols (E2)</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(estrogēnie hormoni)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50-28-2</w:t>
            </w:r>
          </w:p>
        </w:tc>
        <w:tc>
          <w:tcPr>
            <w:tcW w:w="1134" w:type="dxa"/>
          </w:tcPr>
          <w:p w:rsidR="00A84C16" w:rsidRPr="003F33F9" w:rsidRDefault="00A84C16" w:rsidP="00A84C16">
            <w:pPr>
              <w:spacing w:before="40" w:after="40"/>
              <w:rPr>
                <w:noProof/>
                <w:sz w:val="22"/>
              </w:rPr>
            </w:pPr>
            <w:r w:rsidRPr="003F33F9">
              <w:rPr>
                <w:noProof/>
                <w:color w:val="000000"/>
                <w:sz w:val="22"/>
              </w:rPr>
              <w:t>200-023-8</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0,00018</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9 × 10</w:t>
            </w:r>
            <w:r w:rsidRPr="003F33F9">
              <w:rPr>
                <w:noProof/>
                <w:color w:val="000000"/>
                <w:sz w:val="22"/>
                <w:vertAlign w:val="superscript"/>
              </w:rPr>
              <w:t>-6</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Standarts nav iegūts</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Standarts nav iegūts</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(48)</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Acetamiprīds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Neonikotinoīdie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135410-20-7 / 160430-64-8</w:t>
            </w:r>
          </w:p>
        </w:tc>
        <w:tc>
          <w:tcPr>
            <w:tcW w:w="1134" w:type="dxa"/>
          </w:tcPr>
          <w:p w:rsidR="00A84C16" w:rsidRPr="003F33F9" w:rsidRDefault="00A84C16" w:rsidP="00A84C16">
            <w:pPr>
              <w:spacing w:before="40" w:after="40"/>
              <w:rPr>
                <w:noProof/>
                <w:sz w:val="22"/>
              </w:rPr>
            </w:pPr>
            <w:r w:rsidRPr="003F33F9">
              <w:rPr>
                <w:noProof/>
                <w:sz w:val="22"/>
              </w:rPr>
              <w:t>603-921-1</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0,037</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0,0037</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0,16</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0,016</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(49)</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Azitromicīns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(makrolīdu grupas antibiotikas)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83905-01-5</w:t>
            </w:r>
          </w:p>
        </w:tc>
        <w:tc>
          <w:tcPr>
            <w:tcW w:w="1134" w:type="dxa"/>
          </w:tcPr>
          <w:p w:rsidR="00A84C16" w:rsidRPr="003F33F9" w:rsidRDefault="00A84C16" w:rsidP="00A84C16">
            <w:pPr>
              <w:spacing w:before="40" w:after="40"/>
              <w:rPr>
                <w:noProof/>
                <w:sz w:val="22"/>
              </w:rPr>
            </w:pPr>
            <w:r w:rsidRPr="003F33F9">
              <w:rPr>
                <w:noProof/>
                <w:sz w:val="22"/>
              </w:rPr>
              <w:t>617-500-5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0,019</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0,0019</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0,18</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0,018</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sz w:val="22"/>
              </w:rPr>
            </w:pPr>
          </w:p>
        </w:tc>
        <w:tc>
          <w:tcPr>
            <w:tcW w:w="1153" w:type="dxa"/>
            <w:gridSpan w:val="2"/>
            <w:tcMar>
              <w:left w:w="28" w:type="dxa"/>
              <w:right w:w="28" w:type="dxa"/>
            </w:tcMar>
          </w:tcPr>
          <w:p w:rsidR="00A84C16" w:rsidRPr="003F33F9" w:rsidRDefault="00A84C16" w:rsidP="00A84C16">
            <w:pPr>
              <w:spacing w:before="40" w:after="40"/>
              <w:rPr>
                <w:noProof/>
                <w:sz w:val="22"/>
              </w:rPr>
            </w:pPr>
          </w:p>
        </w:tc>
        <w:tc>
          <w:tcPr>
            <w:tcW w:w="970" w:type="dxa"/>
            <w:tcMar>
              <w:left w:w="28" w:type="dxa"/>
              <w:right w:w="28" w:type="dxa"/>
            </w:tcMar>
          </w:tcPr>
          <w:p w:rsidR="00A84C16" w:rsidRPr="003F33F9" w:rsidRDefault="00A84C16" w:rsidP="00A84C16">
            <w:pPr>
              <w:spacing w:before="40" w:after="40"/>
              <w:rPr>
                <w:noProof/>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(50)</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Bifentrīns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Piretroīdie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82657-04-3</w:t>
            </w:r>
          </w:p>
        </w:tc>
        <w:tc>
          <w:tcPr>
            <w:tcW w:w="1134" w:type="dxa"/>
          </w:tcPr>
          <w:p w:rsidR="00A84C16" w:rsidRPr="003F33F9" w:rsidRDefault="00A84C16" w:rsidP="00A84C16">
            <w:pPr>
              <w:spacing w:before="40" w:after="40"/>
              <w:rPr>
                <w:noProof/>
                <w:sz w:val="22"/>
              </w:rPr>
            </w:pPr>
            <w:r w:rsidRPr="003F33F9">
              <w:rPr>
                <w:noProof/>
                <w:sz w:val="22"/>
              </w:rPr>
              <w:t>617-373-6</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9,5 × 10</w:t>
            </w:r>
            <w:r w:rsidRPr="003F33F9">
              <w:rPr>
                <w:noProof/>
                <w:color w:val="000000"/>
                <w:sz w:val="22"/>
                <w:vertAlign w:val="superscript"/>
              </w:rPr>
              <w:t>-5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9,5 × 10</w:t>
            </w:r>
            <w:r w:rsidRPr="003F33F9">
              <w:rPr>
                <w:noProof/>
                <w:color w:val="000000"/>
                <w:sz w:val="22"/>
                <w:vertAlign w:val="superscript"/>
              </w:rPr>
              <w:t>-6</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0,011</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0,001</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t>(51)</w:t>
            </w:r>
          </w:p>
        </w:tc>
        <w:tc>
          <w:tcPr>
            <w:tcW w:w="2103" w:type="dxa"/>
            <w:gridSpan w:val="3"/>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Bisfenols-A (BPA)</w:t>
            </w:r>
          </w:p>
        </w:tc>
        <w:tc>
          <w:tcPr>
            <w:tcW w:w="1329" w:type="dxa"/>
            <w:gridSpan w:val="3"/>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Rūpniecībā lietotas vielas</w:t>
            </w:r>
          </w:p>
        </w:tc>
        <w:tc>
          <w:tcPr>
            <w:tcW w:w="992"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80-05-7</w:t>
            </w:r>
          </w:p>
        </w:tc>
        <w:tc>
          <w:tcPr>
            <w:tcW w:w="1134" w:type="dxa"/>
          </w:tcPr>
          <w:p w:rsidR="00A84C16" w:rsidRPr="003F33F9" w:rsidDel="00E110E0" w:rsidRDefault="00A84C16" w:rsidP="00A84C16">
            <w:pPr>
              <w:keepNext/>
              <w:spacing w:before="40" w:after="40"/>
              <w:rPr>
                <w:noProof/>
                <w:sz w:val="22"/>
              </w:rPr>
            </w:pPr>
            <w:r w:rsidRPr="003F33F9">
              <w:rPr>
                <w:noProof/>
                <w:color w:val="000000"/>
                <w:sz w:val="22"/>
              </w:rPr>
              <w:t>201-245-8</w:t>
            </w:r>
          </w:p>
        </w:tc>
        <w:tc>
          <w:tcPr>
            <w:tcW w:w="1279"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3,4 × 10</w:t>
            </w:r>
            <w:r w:rsidRPr="003F33F9">
              <w:rPr>
                <w:noProof/>
                <w:color w:val="000000"/>
                <w:sz w:val="22"/>
                <w:vertAlign w:val="superscript"/>
              </w:rPr>
              <w:t>-5</w:t>
            </w:r>
            <w:r w:rsidRPr="003F33F9">
              <w:rPr>
                <w:noProof/>
                <w:color w:val="000000"/>
                <w:sz w:val="22"/>
              </w:rPr>
              <w:t xml:space="preserve"> </w:t>
            </w:r>
          </w:p>
        </w:tc>
        <w:tc>
          <w:tcPr>
            <w:tcW w:w="1279"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3,4 × 10</w:t>
            </w:r>
            <w:r w:rsidRPr="003F33F9">
              <w:rPr>
                <w:noProof/>
                <w:color w:val="000000"/>
                <w:sz w:val="22"/>
                <w:vertAlign w:val="superscript"/>
              </w:rPr>
              <w:t>-5</w:t>
            </w:r>
            <w:r w:rsidRPr="003F33F9">
              <w:rPr>
                <w:noProof/>
                <w:color w:val="000000"/>
                <w:sz w:val="22"/>
              </w:rPr>
              <w:t xml:space="preserve"> </w:t>
            </w:r>
          </w:p>
        </w:tc>
        <w:tc>
          <w:tcPr>
            <w:tcW w:w="1278"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130</w:t>
            </w:r>
          </w:p>
        </w:tc>
        <w:tc>
          <w:tcPr>
            <w:tcW w:w="1277"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51</w:t>
            </w:r>
          </w:p>
        </w:tc>
        <w:tc>
          <w:tcPr>
            <w:tcW w:w="1136"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sz w:val="22"/>
              </w:rPr>
              <w:t>0,005</w:t>
            </w:r>
          </w:p>
        </w:tc>
        <w:tc>
          <w:tcPr>
            <w:tcW w:w="1262" w:type="dxa"/>
            <w:tcMar>
              <w:left w:w="28" w:type="dxa"/>
              <w:right w:w="28" w:type="dxa"/>
            </w:tcMar>
          </w:tcPr>
          <w:p w:rsidR="00A84C16" w:rsidRPr="003F33F9" w:rsidRDefault="00A84C16" w:rsidP="00A84C16">
            <w:pPr>
              <w:keepNext/>
              <w:spacing w:before="40" w:after="40"/>
              <w:rPr>
                <w:noProof/>
                <w:color w:val="000000"/>
                <w:sz w:val="22"/>
              </w:rPr>
            </w:pPr>
            <w:r w:rsidRPr="003F33F9">
              <w:rPr>
                <w:noProof/>
                <w:sz w:val="22"/>
              </w:rPr>
              <w:t>X</w:t>
            </w:r>
          </w:p>
        </w:tc>
        <w:tc>
          <w:tcPr>
            <w:tcW w:w="1153" w:type="dxa"/>
            <w:gridSpan w:val="2"/>
            <w:tcMar>
              <w:left w:w="28" w:type="dxa"/>
              <w:right w:w="28" w:type="dxa"/>
            </w:tcMar>
          </w:tcPr>
          <w:p w:rsidR="00A84C16" w:rsidRPr="003F33F9" w:rsidRDefault="00A84C16" w:rsidP="00A84C16">
            <w:pPr>
              <w:keepNext/>
              <w:spacing w:before="40" w:after="40"/>
              <w:rPr>
                <w:noProof/>
                <w:color w:val="000000"/>
                <w:sz w:val="22"/>
              </w:rPr>
            </w:pPr>
          </w:p>
        </w:tc>
        <w:tc>
          <w:tcPr>
            <w:tcW w:w="970" w:type="dxa"/>
            <w:tcMar>
              <w:left w:w="28" w:type="dxa"/>
              <w:right w:w="28" w:type="dxa"/>
            </w:tcMar>
          </w:tcPr>
          <w:p w:rsidR="00A84C16" w:rsidRPr="003F33F9" w:rsidRDefault="00A84C16" w:rsidP="00A84C16">
            <w:pPr>
              <w:keepNext/>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(52)</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Karbamazepīns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298-46-4</w:t>
            </w:r>
          </w:p>
        </w:tc>
        <w:tc>
          <w:tcPr>
            <w:tcW w:w="1134" w:type="dxa"/>
          </w:tcPr>
          <w:p w:rsidR="00A84C16" w:rsidRPr="003F33F9" w:rsidDel="00F376D5" w:rsidRDefault="00A84C16" w:rsidP="00A84C16">
            <w:pPr>
              <w:spacing w:before="40" w:after="40"/>
              <w:rPr>
                <w:noProof/>
                <w:sz w:val="22"/>
              </w:rPr>
            </w:pPr>
            <w:r w:rsidRPr="003F33F9">
              <w:rPr>
                <w:noProof/>
                <w:color w:val="000000"/>
                <w:sz w:val="22"/>
              </w:rPr>
              <w:t>206-062-7</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0,25</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1,6 × 10</w:t>
            </w:r>
            <w:r w:rsidRPr="003F33F9">
              <w:rPr>
                <w:noProof/>
                <w:color w:val="000000"/>
                <w:sz w:val="22"/>
                <w:vertAlign w:val="superscript"/>
              </w:rPr>
              <w:t>3</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160</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(53)</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Klaritromicīns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(makrolīdu grupas antibiotikas)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81103-11-9</w:t>
            </w:r>
          </w:p>
        </w:tc>
        <w:tc>
          <w:tcPr>
            <w:tcW w:w="1134" w:type="dxa"/>
          </w:tcPr>
          <w:p w:rsidR="00A84C16" w:rsidRPr="003F33F9" w:rsidRDefault="00A84C16" w:rsidP="00A84C16">
            <w:pPr>
              <w:spacing w:before="40" w:after="40"/>
              <w:rPr>
                <w:noProof/>
                <w:sz w:val="22"/>
              </w:rPr>
            </w:pPr>
            <w:r w:rsidRPr="003F33F9">
              <w:rPr>
                <w:noProof/>
                <w:sz w:val="22"/>
              </w:rPr>
              <w:t>658-034-2</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0,13</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0,013</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0,13</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0,013</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lastRenderedPageBreak/>
              <w:t>(54)</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Klotianidīns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Neonikotinoīdie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210880-92-5</w:t>
            </w:r>
          </w:p>
        </w:tc>
        <w:tc>
          <w:tcPr>
            <w:tcW w:w="1134" w:type="dxa"/>
          </w:tcPr>
          <w:p w:rsidR="00A84C16" w:rsidRPr="003F33F9" w:rsidRDefault="00A84C16" w:rsidP="00A84C16">
            <w:pPr>
              <w:spacing w:before="40" w:after="40"/>
              <w:rPr>
                <w:noProof/>
                <w:sz w:val="22"/>
              </w:rPr>
            </w:pPr>
            <w:r w:rsidRPr="003F33F9">
              <w:rPr>
                <w:noProof/>
                <w:color w:val="000000"/>
                <w:sz w:val="22"/>
              </w:rPr>
              <w:t>433-460-1</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0,001</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0,34</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0,034</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(55)</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Deltametrīns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Piretroīdie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52918-63-5</w:t>
            </w:r>
          </w:p>
        </w:tc>
        <w:tc>
          <w:tcPr>
            <w:tcW w:w="1134" w:type="dxa"/>
          </w:tcPr>
          <w:p w:rsidR="00A84C16" w:rsidRPr="003F33F9" w:rsidRDefault="00A84C16" w:rsidP="00A84C16">
            <w:pPr>
              <w:spacing w:before="40" w:after="40"/>
              <w:rPr>
                <w:noProof/>
                <w:sz w:val="22"/>
              </w:rPr>
            </w:pPr>
            <w:r w:rsidRPr="003F33F9">
              <w:rPr>
                <w:noProof/>
                <w:color w:val="000000"/>
                <w:sz w:val="22"/>
              </w:rPr>
              <w:t>258-256-6</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-6</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-7</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-5</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3,4 × 10</w:t>
            </w:r>
            <w:r w:rsidRPr="003F33F9">
              <w:rPr>
                <w:noProof/>
                <w:color w:val="000000"/>
                <w:sz w:val="22"/>
                <w:vertAlign w:val="superscript"/>
              </w:rPr>
              <w:t>-6</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970" w:type="dxa"/>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(56)</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Diklofenaks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 xml:space="preserve">15307-86-5 / 15307-79-6 </w:t>
            </w:r>
          </w:p>
        </w:tc>
        <w:tc>
          <w:tcPr>
            <w:tcW w:w="1134" w:type="dxa"/>
          </w:tcPr>
          <w:p w:rsidR="00A84C16" w:rsidRPr="003F33F9" w:rsidRDefault="00A84C16" w:rsidP="00A84C16">
            <w:pPr>
              <w:spacing w:before="40" w:after="40"/>
              <w:rPr>
                <w:noProof/>
                <w:sz w:val="22"/>
              </w:rPr>
            </w:pPr>
            <w:r w:rsidRPr="003F33F9">
              <w:rPr>
                <w:noProof/>
                <w:color w:val="000000"/>
                <w:sz w:val="22"/>
              </w:rPr>
              <w:t>239-348-5 / 239-346-4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0,004</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250</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25</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970" w:type="dxa"/>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(57)</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Eritromicīns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(makrolīdu grupas antibiotikas)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114-07-8</w:t>
            </w:r>
          </w:p>
        </w:tc>
        <w:tc>
          <w:tcPr>
            <w:tcW w:w="1134" w:type="dxa"/>
          </w:tcPr>
          <w:p w:rsidR="00A84C16" w:rsidRPr="003F33F9" w:rsidRDefault="00A84C16" w:rsidP="00A84C16">
            <w:pPr>
              <w:spacing w:before="40" w:after="40"/>
              <w:rPr>
                <w:noProof/>
                <w:sz w:val="22"/>
              </w:rPr>
            </w:pPr>
            <w:r w:rsidRPr="003F33F9">
              <w:rPr>
                <w:noProof/>
                <w:color w:val="000000"/>
                <w:sz w:val="22"/>
              </w:rPr>
              <w:t>204-040-1</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0,05</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0,1</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970" w:type="dxa"/>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(58)</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Esfenvalerāts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Piretroīdie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66230-04-4</w:t>
            </w:r>
          </w:p>
        </w:tc>
        <w:tc>
          <w:tcPr>
            <w:tcW w:w="1134" w:type="dxa"/>
          </w:tcPr>
          <w:p w:rsidR="00A84C16" w:rsidRPr="003F33F9" w:rsidRDefault="00A84C16" w:rsidP="00A84C16">
            <w:pPr>
              <w:spacing w:before="40" w:after="40"/>
              <w:rPr>
                <w:noProof/>
                <w:sz w:val="22"/>
              </w:rPr>
            </w:pPr>
            <w:r w:rsidRPr="003F33F9">
              <w:rPr>
                <w:noProof/>
                <w:sz w:val="22"/>
              </w:rPr>
              <w:t>613-911-9</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1,7 × 10</w:t>
            </w:r>
            <w:r w:rsidRPr="003F33F9">
              <w:rPr>
                <w:noProof/>
                <w:color w:val="000000"/>
                <w:sz w:val="22"/>
                <w:vertAlign w:val="superscript"/>
              </w:rPr>
              <w:t>-6</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0,0085</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0,00085</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970" w:type="dxa"/>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(59)</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Estrons (E1)</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 (estrogēnie hormoni)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53-16-7</w:t>
            </w:r>
          </w:p>
        </w:tc>
        <w:tc>
          <w:tcPr>
            <w:tcW w:w="1134" w:type="dxa"/>
          </w:tcPr>
          <w:p w:rsidR="00A84C16" w:rsidRPr="003F33F9" w:rsidRDefault="00A84C16" w:rsidP="00A84C16">
            <w:pPr>
              <w:spacing w:before="40" w:after="40"/>
              <w:rPr>
                <w:noProof/>
                <w:sz w:val="22"/>
              </w:rPr>
            </w:pPr>
            <w:r w:rsidRPr="003F33F9">
              <w:rPr>
                <w:noProof/>
                <w:color w:val="000000"/>
                <w:sz w:val="22"/>
              </w:rPr>
              <w:t>200-164-5</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3,6 × 10</w:t>
            </w:r>
            <w:r w:rsidRPr="003F33F9">
              <w:rPr>
                <w:noProof/>
                <w:color w:val="000000"/>
                <w:sz w:val="22"/>
                <w:vertAlign w:val="superscript"/>
              </w:rPr>
              <w:t>-4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1,8 × 10</w:t>
            </w:r>
            <w:r w:rsidRPr="003F33F9">
              <w:rPr>
                <w:noProof/>
                <w:color w:val="000000"/>
                <w:sz w:val="22"/>
                <w:vertAlign w:val="superscript"/>
              </w:rPr>
              <w:t>-5</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Standarts nav iegūts</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Standarts nav iegūts</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b/>
                <w:noProof/>
                <w:sz w:val="22"/>
              </w:rPr>
            </w:pPr>
            <w:r w:rsidRPr="003F33F9">
              <w:rPr>
                <w:noProof/>
                <w:sz w:val="22"/>
              </w:rPr>
              <w:t>(60)</w:t>
            </w:r>
            <w:r w:rsidRPr="003F33F9">
              <w:rPr>
                <w:b/>
                <w:noProof/>
                <w:sz w:val="22"/>
              </w:rPr>
              <w:t xml:space="preserve"> [Gr. </w:t>
            </w:r>
          </w:p>
          <w:p w:rsidR="00A84C16" w:rsidRPr="003F33F9" w:rsidRDefault="00A84C16" w:rsidP="00A84C16">
            <w:pPr>
              <w:spacing w:before="40" w:after="40"/>
              <w:rPr>
                <w:b/>
                <w:noProof/>
                <w:sz w:val="22"/>
              </w:rPr>
            </w:pPr>
            <w:r w:rsidRPr="003F33F9">
              <w:rPr>
                <w:b/>
                <w:noProof/>
                <w:sz w:val="22"/>
              </w:rPr>
              <w:t>151]</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Glifozāts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Herbicīdi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1071-83-6</w:t>
            </w:r>
          </w:p>
        </w:tc>
        <w:tc>
          <w:tcPr>
            <w:tcW w:w="1134" w:type="dxa"/>
          </w:tcPr>
          <w:p w:rsidR="00A84C16" w:rsidRPr="003F33F9" w:rsidRDefault="00A84C16" w:rsidP="00A84C16">
            <w:pPr>
              <w:spacing w:before="40" w:after="40"/>
              <w:rPr>
                <w:noProof/>
                <w:sz w:val="22"/>
              </w:rPr>
            </w:pPr>
            <w:r w:rsidRPr="003F33F9">
              <w:rPr>
                <w:noProof/>
                <w:color w:val="000000"/>
                <w:sz w:val="22"/>
              </w:rPr>
              <w:t>213-997-4</w:t>
            </w:r>
          </w:p>
        </w:tc>
        <w:tc>
          <w:tcPr>
            <w:tcW w:w="1279" w:type="dxa"/>
            <w:gridSpan w:val="2"/>
            <w:shd w:val="clear" w:color="auto" w:fill="auto"/>
            <w:tcMar>
              <w:left w:w="28" w:type="dxa"/>
              <w:right w:w="28" w:type="dxa"/>
            </w:tcMar>
          </w:tcPr>
          <w:p w:rsidR="00A84C16" w:rsidRPr="003F33F9" w:rsidRDefault="00A84C16" w:rsidP="00A84C16">
            <w:pPr>
              <w:widowControl/>
              <w:spacing w:before="40" w:after="40"/>
              <w:rPr>
                <w:rFonts w:eastAsia="Calibri"/>
                <w:strike/>
                <w:noProof/>
                <w:color w:val="000000"/>
                <w:sz w:val="22"/>
                <w:szCs w:val="22"/>
              </w:rPr>
            </w:pPr>
            <w:r w:rsidRPr="003F33F9">
              <w:rPr>
                <w:rFonts w:eastAsia="Calibri"/>
                <w:noProof/>
                <w:color w:val="000000"/>
                <w:sz w:val="22"/>
                <w:szCs w:val="22"/>
              </w:rPr>
              <w:t xml:space="preserve">0,1 </w:t>
            </w:r>
            <w:r w:rsidRPr="003F33F9">
              <w:rPr>
                <w:rFonts w:eastAsia="Calibri"/>
                <w:strike/>
                <w:noProof/>
                <w:color w:val="000000"/>
                <w:sz w:val="22"/>
                <w:szCs w:val="22"/>
              </w:rPr>
              <w:t>(</w:t>
            </w:r>
            <w:r w:rsidRPr="003F33F9">
              <w:rPr>
                <w:rFonts w:eastAsia="Calibri"/>
                <w:strike/>
                <w:noProof/>
                <w:color w:val="000000"/>
                <w:sz w:val="22"/>
                <w:szCs w:val="22"/>
                <w:vertAlign w:val="superscript"/>
              </w:rPr>
              <w:t>25</w:t>
            </w:r>
            <w:r w:rsidRPr="003F33F9">
              <w:rPr>
                <w:rFonts w:eastAsia="Calibri"/>
                <w:strike/>
                <w:noProof/>
                <w:color w:val="000000"/>
                <w:sz w:val="22"/>
                <w:szCs w:val="22"/>
              </w:rPr>
              <w:t>)</w:t>
            </w:r>
          </w:p>
          <w:p w:rsidR="00A84C16" w:rsidRPr="003F33F9" w:rsidRDefault="00A84C16" w:rsidP="00A84C16">
            <w:pPr>
              <w:spacing w:before="40" w:after="40"/>
              <w:rPr>
                <w:noProof/>
                <w:sz w:val="22"/>
              </w:rPr>
            </w:pPr>
            <w:r w:rsidRPr="003F33F9">
              <w:rPr>
                <w:rFonts w:eastAsia="Calibri"/>
                <w:strike/>
                <w:noProof/>
                <w:color w:val="000000"/>
                <w:sz w:val="22"/>
                <w:szCs w:val="22"/>
              </w:rPr>
              <w:t>86,7 (</w:t>
            </w:r>
            <w:r w:rsidRPr="003F33F9">
              <w:rPr>
                <w:rFonts w:eastAsia="Calibri"/>
                <w:strike/>
                <w:noProof/>
                <w:color w:val="000000"/>
                <w:sz w:val="22"/>
                <w:szCs w:val="22"/>
                <w:vertAlign w:val="superscript"/>
              </w:rPr>
              <w:t>26</w:t>
            </w:r>
            <w:r w:rsidRPr="003F33F9">
              <w:rPr>
                <w:rFonts w:eastAsia="Calibri"/>
                <w:strike/>
                <w:noProof/>
                <w:color w:val="000000"/>
                <w:sz w:val="22"/>
                <w:szCs w:val="22"/>
              </w:rPr>
              <w:t>)</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rFonts w:eastAsia="Calibri"/>
                <w:strike/>
                <w:noProof/>
                <w:color w:val="000000"/>
                <w:sz w:val="22"/>
                <w:szCs w:val="22"/>
              </w:rPr>
              <w:t>8,67</w:t>
            </w:r>
            <w:r w:rsidRPr="003F33F9">
              <w:rPr>
                <w:rFonts w:eastAsia="Calibri"/>
                <w:noProof/>
                <w:color w:val="000000"/>
                <w:sz w:val="22"/>
                <w:szCs w:val="22"/>
              </w:rPr>
              <w:t xml:space="preserve"> </w:t>
            </w:r>
            <w:r w:rsidRPr="003F33F9">
              <w:rPr>
                <w:rFonts w:eastAsia="Calibri"/>
                <w:b/>
                <w:i/>
                <w:noProof/>
                <w:color w:val="000000"/>
                <w:sz w:val="22"/>
                <w:szCs w:val="22"/>
              </w:rPr>
              <w:t>0,01</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398,6</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39,86</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2"/>
          <w:wBefore w:w="46" w:type="dxa"/>
          <w:cantSplit/>
          <w:tblHeader/>
          <w:jc w:val="center"/>
        </w:trPr>
        <w:tc>
          <w:tcPr>
            <w:tcW w:w="800" w:type="dxa"/>
            <w:tcMar>
              <w:left w:w="28" w:type="dxa"/>
              <w:right w:w="28" w:type="dxa"/>
            </w:tcMar>
          </w:tcPr>
          <w:p w:rsidR="00A84C16" w:rsidRPr="003F33F9" w:rsidRDefault="00A84C16" w:rsidP="00A84C16">
            <w:pPr>
              <w:spacing w:before="40" w:after="40"/>
              <w:rPr>
                <w:noProof/>
                <w:sz w:val="22"/>
              </w:rPr>
            </w:pPr>
            <w:r w:rsidRPr="003F33F9">
              <w:rPr>
                <w:noProof/>
                <w:sz w:val="22"/>
              </w:rPr>
              <w:t>(61)</w:t>
            </w:r>
          </w:p>
        </w:tc>
        <w:tc>
          <w:tcPr>
            <w:tcW w:w="2120" w:type="dxa"/>
            <w:gridSpan w:val="4"/>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Ibuprofēns</w:t>
            </w:r>
          </w:p>
        </w:tc>
        <w:tc>
          <w:tcPr>
            <w:tcW w:w="131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Zāles</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15687-27-1</w:t>
            </w:r>
          </w:p>
        </w:tc>
        <w:tc>
          <w:tcPr>
            <w:tcW w:w="1134" w:type="dxa"/>
          </w:tcPr>
          <w:p w:rsidR="00A84C16" w:rsidRPr="003F33F9" w:rsidRDefault="00A84C16" w:rsidP="00A84C16">
            <w:pPr>
              <w:spacing w:before="40" w:after="40"/>
              <w:rPr>
                <w:noProof/>
                <w:sz w:val="22"/>
              </w:rPr>
            </w:pPr>
            <w:r w:rsidRPr="003F33F9">
              <w:rPr>
                <w:noProof/>
                <w:color w:val="000000"/>
                <w:sz w:val="22"/>
              </w:rPr>
              <w:t>239-784-6</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0,22</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0,022</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79" w:type="dxa"/>
            <w:gridSpan w:val="2"/>
            <w:tcMar>
              <w:left w:w="28" w:type="dxa"/>
              <w:right w:w="28" w:type="dxa"/>
            </w:tcMar>
          </w:tcPr>
          <w:p w:rsidR="00A84C16" w:rsidRPr="003F33F9" w:rsidRDefault="00A84C16" w:rsidP="00A84C16">
            <w:pPr>
              <w:spacing w:before="40" w:after="40"/>
              <w:rPr>
                <w:noProof/>
                <w:color w:val="000000"/>
                <w:sz w:val="22"/>
              </w:rPr>
            </w:pPr>
          </w:p>
        </w:tc>
        <w:tc>
          <w:tcPr>
            <w:tcW w:w="1136" w:type="dxa"/>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(62)</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Imidakloprīds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Neonikotinoīdie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138261-41-3 / 105827-78-9</w:t>
            </w:r>
          </w:p>
        </w:tc>
        <w:tc>
          <w:tcPr>
            <w:tcW w:w="1134" w:type="dxa"/>
          </w:tcPr>
          <w:p w:rsidR="00A84C16" w:rsidRPr="003F33F9" w:rsidRDefault="00A84C16" w:rsidP="00A84C16">
            <w:pPr>
              <w:spacing w:before="40" w:after="40"/>
              <w:rPr>
                <w:noProof/>
                <w:sz w:val="22"/>
              </w:rPr>
            </w:pPr>
            <w:r w:rsidRPr="003F33F9">
              <w:rPr>
                <w:noProof/>
                <w:color w:val="000000"/>
                <w:sz w:val="22"/>
              </w:rPr>
              <w:t>428-040-8</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0,0068</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6,8 × 10</w:t>
            </w:r>
            <w:r w:rsidRPr="003F33F9">
              <w:rPr>
                <w:noProof/>
                <w:color w:val="000000"/>
                <w:sz w:val="22"/>
                <w:vertAlign w:val="superscript"/>
              </w:rPr>
              <w:t>-4</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0,057</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0,0057</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(63)</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Nikosulfurons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Herbicīdi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111991-09-4</w:t>
            </w:r>
          </w:p>
        </w:tc>
        <w:tc>
          <w:tcPr>
            <w:tcW w:w="1134" w:type="dxa"/>
          </w:tcPr>
          <w:p w:rsidR="00A84C16" w:rsidRPr="003F33F9" w:rsidRDefault="00A84C16" w:rsidP="00A84C16">
            <w:pPr>
              <w:spacing w:before="40" w:after="40"/>
              <w:rPr>
                <w:noProof/>
                <w:sz w:val="22"/>
              </w:rPr>
            </w:pPr>
            <w:r w:rsidRPr="003F33F9">
              <w:rPr>
                <w:noProof/>
                <w:sz w:val="22"/>
              </w:rPr>
              <w:t>601-148-4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0,0087</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8,7 × 10</w:t>
            </w:r>
            <w:r w:rsidRPr="003F33F9">
              <w:rPr>
                <w:noProof/>
                <w:color w:val="000000"/>
                <w:sz w:val="22"/>
                <w:vertAlign w:val="superscript"/>
              </w:rPr>
              <w:t>-4</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0,23</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0,023</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(64)</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Permetrīns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Piretroīdie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52645-53-1</w:t>
            </w:r>
          </w:p>
        </w:tc>
        <w:tc>
          <w:tcPr>
            <w:tcW w:w="1134" w:type="dxa"/>
          </w:tcPr>
          <w:p w:rsidR="00A84C16" w:rsidRPr="003F33F9" w:rsidRDefault="00A84C16" w:rsidP="00A84C16">
            <w:pPr>
              <w:spacing w:before="40" w:after="40"/>
              <w:rPr>
                <w:noProof/>
                <w:sz w:val="22"/>
              </w:rPr>
            </w:pPr>
            <w:r w:rsidRPr="003F33F9">
              <w:rPr>
                <w:noProof/>
                <w:color w:val="000000"/>
                <w:sz w:val="22"/>
              </w:rPr>
              <w:t>258-067-9</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2,7× 10</w:t>
            </w:r>
            <w:r w:rsidRPr="003F33F9">
              <w:rPr>
                <w:noProof/>
                <w:color w:val="000000"/>
                <w:sz w:val="22"/>
                <w:vertAlign w:val="superscript"/>
              </w:rPr>
              <w:t>-4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2.7 × 10</w:t>
            </w:r>
            <w:r w:rsidRPr="003F33F9">
              <w:rPr>
                <w:noProof/>
                <w:color w:val="000000"/>
                <w:sz w:val="22"/>
                <w:vertAlign w:val="superscript"/>
              </w:rPr>
              <w:t>-5</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0,0025</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2,5 × 10</w:t>
            </w:r>
            <w:r w:rsidRPr="003F33F9">
              <w:rPr>
                <w:noProof/>
                <w:color w:val="000000"/>
                <w:sz w:val="22"/>
                <w:vertAlign w:val="superscript"/>
              </w:rPr>
              <w:t>-4</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r w:rsidRPr="003F33F9">
              <w:rPr>
                <w:noProof/>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keepNext/>
              <w:spacing w:before="40" w:after="40"/>
              <w:rPr>
                <w:noProof/>
                <w:sz w:val="22"/>
              </w:rPr>
            </w:pPr>
            <w:r w:rsidRPr="003F33F9">
              <w:rPr>
                <w:noProof/>
                <w:sz w:val="22"/>
              </w:rPr>
              <w:lastRenderedPageBreak/>
              <w:t>(65)</w:t>
            </w:r>
          </w:p>
        </w:tc>
        <w:tc>
          <w:tcPr>
            <w:tcW w:w="2103" w:type="dxa"/>
            <w:gridSpan w:val="3"/>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Perfluorētas un polifluorētas alkilvielas (PFAS): 24 koncentrāciju summa</w:t>
            </w:r>
            <w:bookmarkStart w:id="42" w:name="_Ref101448197"/>
            <w:r w:rsidRPr="003F33F9">
              <w:rPr>
                <w:noProof/>
                <w:color w:val="000000"/>
                <w:sz w:val="22"/>
              </w:rPr>
              <w:t xml:space="preserve"> (</w:t>
            </w:r>
            <w:r w:rsidRPr="003F33F9">
              <w:rPr>
                <w:noProof/>
                <w:color w:val="000000"/>
                <w:sz w:val="22"/>
                <w:vertAlign w:val="superscript"/>
              </w:rPr>
              <w:t>27</w:t>
            </w:r>
            <w:r w:rsidRPr="003F33F9">
              <w:rPr>
                <w:noProof/>
                <w:color w:val="000000"/>
                <w:sz w:val="22"/>
              </w:rPr>
              <w:t>)</w:t>
            </w:r>
            <w:bookmarkEnd w:id="42"/>
          </w:p>
        </w:tc>
        <w:tc>
          <w:tcPr>
            <w:tcW w:w="1329" w:type="dxa"/>
            <w:gridSpan w:val="3"/>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Rūpniecībā lietotas vielas</w:t>
            </w:r>
          </w:p>
        </w:tc>
        <w:tc>
          <w:tcPr>
            <w:tcW w:w="992"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134" w:type="dxa"/>
          </w:tcPr>
          <w:p w:rsidR="00A84C16" w:rsidRPr="003F33F9" w:rsidRDefault="00A84C16" w:rsidP="00A84C16">
            <w:pPr>
              <w:keepNext/>
              <w:spacing w:before="40" w:after="40"/>
              <w:rPr>
                <w:noProof/>
                <w:sz w:val="22"/>
              </w:rPr>
            </w:pPr>
            <w:r w:rsidRPr="003F33F9">
              <w:rPr>
                <w:noProof/>
                <w:sz w:val="22"/>
              </w:rPr>
              <w:t>Nepiemēro</w:t>
            </w:r>
          </w:p>
        </w:tc>
        <w:tc>
          <w:tcPr>
            <w:tcW w:w="1279"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 xml:space="preserve">PFOA ekvivalentu summa 0,0044 </w:t>
            </w:r>
            <w:bookmarkStart w:id="43" w:name="_Ref101448285"/>
            <w:r w:rsidRPr="003F33F9">
              <w:rPr>
                <w:noProof/>
                <w:color w:val="000000"/>
                <w:sz w:val="22"/>
              </w:rPr>
              <w:t>(</w:t>
            </w:r>
            <w:r w:rsidRPr="003F33F9">
              <w:rPr>
                <w:noProof/>
                <w:color w:val="000000"/>
                <w:sz w:val="22"/>
                <w:vertAlign w:val="superscript"/>
              </w:rPr>
              <w:t>28</w:t>
            </w:r>
            <w:r w:rsidRPr="003F33F9">
              <w:rPr>
                <w:noProof/>
                <w:color w:val="000000"/>
                <w:sz w:val="22"/>
              </w:rPr>
              <w:t>)</w:t>
            </w:r>
            <w:bookmarkEnd w:id="43"/>
          </w:p>
        </w:tc>
        <w:tc>
          <w:tcPr>
            <w:tcW w:w="1279"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PFOA ekvivalentu summa 0,0044 (</w:t>
            </w:r>
            <w:r w:rsidRPr="003F33F9">
              <w:rPr>
                <w:noProof/>
                <w:color w:val="000000"/>
                <w:sz w:val="22"/>
                <w:vertAlign w:val="superscript"/>
              </w:rPr>
              <w:t>28</w:t>
            </w:r>
            <w:r w:rsidRPr="003F33F9">
              <w:rPr>
                <w:noProof/>
                <w:color w:val="000000"/>
                <w:sz w:val="22"/>
              </w:rPr>
              <w:t>)</w:t>
            </w:r>
          </w:p>
        </w:tc>
        <w:tc>
          <w:tcPr>
            <w:tcW w:w="1278"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277"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sz w:val="22"/>
              </w:rPr>
              <w:t>Nepiemēro</w:t>
            </w:r>
          </w:p>
        </w:tc>
        <w:tc>
          <w:tcPr>
            <w:tcW w:w="1136" w:type="dxa"/>
            <w:gridSpan w:val="2"/>
            <w:shd w:val="clear" w:color="auto" w:fill="auto"/>
            <w:tcMar>
              <w:left w:w="28" w:type="dxa"/>
              <w:right w:w="28" w:type="dxa"/>
            </w:tcMar>
          </w:tcPr>
          <w:p w:rsidR="00A84C16" w:rsidRPr="003F33F9" w:rsidRDefault="00A84C16" w:rsidP="00A84C16">
            <w:pPr>
              <w:keepNext/>
              <w:spacing w:before="40" w:after="40"/>
              <w:rPr>
                <w:noProof/>
                <w:sz w:val="22"/>
              </w:rPr>
            </w:pPr>
            <w:r w:rsidRPr="003F33F9">
              <w:rPr>
                <w:noProof/>
                <w:color w:val="000000"/>
                <w:sz w:val="22"/>
              </w:rPr>
              <w:t>PFOA ekvivalentu summa 0,077 (</w:t>
            </w:r>
            <w:r w:rsidRPr="003F33F9">
              <w:rPr>
                <w:noProof/>
                <w:color w:val="000000"/>
                <w:sz w:val="22"/>
                <w:vertAlign w:val="superscript"/>
              </w:rPr>
              <w:t>28</w:t>
            </w:r>
            <w:r w:rsidRPr="003F33F9">
              <w:rPr>
                <w:noProof/>
                <w:color w:val="000000"/>
                <w:sz w:val="22"/>
              </w:rPr>
              <w:t xml:space="preserve">) </w:t>
            </w:r>
          </w:p>
        </w:tc>
        <w:tc>
          <w:tcPr>
            <w:tcW w:w="1262" w:type="dxa"/>
            <w:tcMar>
              <w:left w:w="28" w:type="dxa"/>
              <w:right w:w="28" w:type="dxa"/>
            </w:tcMar>
          </w:tcPr>
          <w:p w:rsidR="00A84C16" w:rsidRPr="003F33F9" w:rsidRDefault="00A84C16" w:rsidP="00A84C16">
            <w:pPr>
              <w:keepNext/>
              <w:spacing w:before="40" w:after="40"/>
              <w:rPr>
                <w:noProof/>
                <w:color w:val="000000"/>
                <w:sz w:val="22"/>
              </w:rPr>
            </w:pPr>
            <w:r w:rsidRPr="003F33F9">
              <w:rPr>
                <w:noProof/>
                <w:color w:val="000000"/>
                <w:sz w:val="22"/>
              </w:rPr>
              <w:t>X</w:t>
            </w:r>
          </w:p>
        </w:tc>
        <w:tc>
          <w:tcPr>
            <w:tcW w:w="1153" w:type="dxa"/>
            <w:gridSpan w:val="2"/>
            <w:tcMar>
              <w:left w:w="28" w:type="dxa"/>
              <w:right w:w="28" w:type="dxa"/>
            </w:tcMar>
          </w:tcPr>
          <w:p w:rsidR="00A84C16" w:rsidRPr="003F33F9" w:rsidRDefault="00A84C16" w:rsidP="00A84C16">
            <w:pPr>
              <w:keepNext/>
              <w:spacing w:before="40" w:after="40"/>
              <w:rPr>
                <w:noProof/>
                <w:color w:val="000000"/>
                <w:sz w:val="22"/>
              </w:rPr>
            </w:pPr>
            <w:r w:rsidRPr="003F33F9">
              <w:rPr>
                <w:noProof/>
                <w:color w:val="000000"/>
                <w:sz w:val="22"/>
              </w:rPr>
              <w:t>X</w:t>
            </w:r>
          </w:p>
        </w:tc>
        <w:tc>
          <w:tcPr>
            <w:tcW w:w="970" w:type="dxa"/>
            <w:tcMar>
              <w:left w:w="28" w:type="dxa"/>
              <w:right w:w="28" w:type="dxa"/>
            </w:tcMar>
          </w:tcPr>
          <w:p w:rsidR="00A84C16" w:rsidRPr="003F33F9" w:rsidRDefault="00A84C16" w:rsidP="00A84C16">
            <w:pPr>
              <w:keepNext/>
              <w:spacing w:before="40" w:after="40"/>
              <w:rPr>
                <w:noProof/>
                <w:color w:val="000000"/>
                <w:sz w:val="22"/>
              </w:rPr>
            </w:pPr>
            <w:r w:rsidRPr="003F33F9">
              <w:rPr>
                <w:noProof/>
                <w:color w:val="000000"/>
                <w:sz w:val="22"/>
              </w:rPr>
              <w:t>X</w:t>
            </w: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(66)</w:t>
            </w:r>
          </w:p>
        </w:tc>
        <w:tc>
          <w:tcPr>
            <w:tcW w:w="2103" w:type="dxa"/>
            <w:gridSpan w:val="3"/>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Sudrabs</w:t>
            </w:r>
          </w:p>
        </w:tc>
        <w:tc>
          <w:tcPr>
            <w:tcW w:w="1329" w:type="dxa"/>
            <w:gridSpan w:val="3"/>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sz w:val="22"/>
              </w:rPr>
              <w:t>Metāli</w:t>
            </w:r>
          </w:p>
        </w:tc>
        <w:tc>
          <w:tcPr>
            <w:tcW w:w="992"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7440-22-4</w:t>
            </w:r>
          </w:p>
        </w:tc>
        <w:tc>
          <w:tcPr>
            <w:tcW w:w="1134" w:type="dxa"/>
          </w:tcPr>
          <w:p w:rsidR="00A84C16" w:rsidRPr="003F33F9" w:rsidRDefault="00A84C16" w:rsidP="00A84C16">
            <w:pPr>
              <w:spacing w:before="40" w:after="40"/>
              <w:rPr>
                <w:noProof/>
                <w:sz w:val="22"/>
              </w:rPr>
            </w:pPr>
            <w:r w:rsidRPr="003F33F9">
              <w:rPr>
                <w:noProof/>
                <w:sz w:val="22"/>
              </w:rPr>
              <w:t>231-131-3</w:t>
            </w:r>
          </w:p>
        </w:tc>
        <w:tc>
          <w:tcPr>
            <w:tcW w:w="1279"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0,01</w:t>
            </w:r>
          </w:p>
        </w:tc>
        <w:tc>
          <w:tcPr>
            <w:tcW w:w="1279"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0,006 (10 ‰ sāļums)</w:t>
            </w:r>
            <w:r w:rsidRPr="003F33F9">
              <w:rPr>
                <w:noProof/>
              </w:rPr>
              <w:t xml:space="preserve"> </w:t>
            </w:r>
            <w:r w:rsidRPr="003F33F9">
              <w:rPr>
                <w:noProof/>
              </w:rPr>
              <w:br/>
            </w:r>
            <w:r w:rsidRPr="003F33F9">
              <w:rPr>
                <w:noProof/>
                <w:color w:val="000000"/>
                <w:sz w:val="22"/>
              </w:rPr>
              <w:t>0,17 (30 ‰ sāļums)</w:t>
            </w:r>
          </w:p>
        </w:tc>
        <w:tc>
          <w:tcPr>
            <w:tcW w:w="1278"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0,022</w:t>
            </w:r>
          </w:p>
        </w:tc>
        <w:tc>
          <w:tcPr>
            <w:tcW w:w="1277"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Standarts nav iegūts</w:t>
            </w:r>
          </w:p>
        </w:tc>
        <w:tc>
          <w:tcPr>
            <w:tcW w:w="1136" w:type="dxa"/>
            <w:gridSpan w:val="2"/>
            <w:shd w:val="clear" w:color="auto" w:fill="auto"/>
            <w:tcMar>
              <w:left w:w="28" w:type="dxa"/>
              <w:right w:w="28" w:type="dxa"/>
            </w:tcMar>
          </w:tcPr>
          <w:p w:rsidR="00A84C16" w:rsidRPr="003F33F9" w:rsidDel="00974569" w:rsidRDefault="00A84C16" w:rsidP="00A84C16">
            <w:pPr>
              <w:spacing w:before="40" w:after="40"/>
              <w:rPr>
                <w:noProof/>
                <w:color w:val="000000"/>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(67)</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Tiakloprīds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Neonikotinoīdie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111988-49-9</w:t>
            </w:r>
          </w:p>
        </w:tc>
        <w:tc>
          <w:tcPr>
            <w:tcW w:w="1134" w:type="dxa"/>
          </w:tcPr>
          <w:p w:rsidR="00A84C16" w:rsidRPr="003F33F9" w:rsidRDefault="00A84C16" w:rsidP="00A84C16">
            <w:pPr>
              <w:spacing w:before="40" w:after="40"/>
              <w:rPr>
                <w:noProof/>
                <w:sz w:val="22"/>
              </w:rPr>
            </w:pPr>
            <w:r w:rsidRPr="003F33F9">
              <w:rPr>
                <w:noProof/>
                <w:sz w:val="22"/>
              </w:rPr>
              <w:t>601-147-9</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0,01</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0,001</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0,05</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0,005</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(68)</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Tiametoksāms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sz w:val="22"/>
              </w:rPr>
              <w:t>Neonikotinoīdie pesticīdi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153719-23-4</w:t>
            </w:r>
          </w:p>
        </w:tc>
        <w:tc>
          <w:tcPr>
            <w:tcW w:w="1134" w:type="dxa"/>
          </w:tcPr>
          <w:p w:rsidR="00A84C16" w:rsidRPr="003F33F9" w:rsidRDefault="00A84C16" w:rsidP="00A84C16">
            <w:pPr>
              <w:spacing w:before="40" w:after="40"/>
              <w:rPr>
                <w:noProof/>
                <w:sz w:val="22"/>
              </w:rPr>
            </w:pPr>
            <w:r w:rsidRPr="003F33F9">
              <w:rPr>
                <w:noProof/>
                <w:color w:val="000000"/>
                <w:sz w:val="22"/>
              </w:rPr>
              <w:t>428-650-4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0,04</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0,004</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0,77</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0,077</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(69)</w:t>
            </w:r>
          </w:p>
        </w:tc>
        <w:tc>
          <w:tcPr>
            <w:tcW w:w="2103"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Triklozāns</w:t>
            </w:r>
          </w:p>
        </w:tc>
        <w:tc>
          <w:tcPr>
            <w:tcW w:w="1329" w:type="dxa"/>
            <w:gridSpan w:val="3"/>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Biocīdi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3380-34-5</w:t>
            </w:r>
          </w:p>
        </w:tc>
        <w:tc>
          <w:tcPr>
            <w:tcW w:w="1134" w:type="dxa"/>
          </w:tcPr>
          <w:p w:rsidR="00A84C16" w:rsidRPr="003F33F9" w:rsidRDefault="00A84C16" w:rsidP="00A84C16">
            <w:pPr>
              <w:spacing w:before="40" w:after="40"/>
              <w:rPr>
                <w:noProof/>
                <w:sz w:val="22"/>
              </w:rPr>
            </w:pPr>
            <w:r w:rsidRPr="003F33F9">
              <w:rPr>
                <w:noProof/>
                <w:color w:val="000000"/>
                <w:sz w:val="22"/>
              </w:rPr>
              <w:t>222-182-2</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0,02</w:t>
            </w:r>
          </w:p>
        </w:tc>
        <w:tc>
          <w:tcPr>
            <w:tcW w:w="1279"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0,002</w:t>
            </w:r>
          </w:p>
        </w:tc>
        <w:tc>
          <w:tcPr>
            <w:tcW w:w="1278"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0,02</w:t>
            </w:r>
          </w:p>
        </w:tc>
        <w:tc>
          <w:tcPr>
            <w:tcW w:w="1277" w:type="dxa"/>
            <w:gridSpan w:val="2"/>
            <w:shd w:val="clear" w:color="auto" w:fill="auto"/>
            <w:tcMar>
              <w:left w:w="28" w:type="dxa"/>
              <w:right w:w="28" w:type="dxa"/>
            </w:tcMar>
          </w:tcPr>
          <w:p w:rsidR="00A84C16" w:rsidRPr="003F33F9" w:rsidRDefault="00A84C16" w:rsidP="00A84C16">
            <w:pPr>
              <w:spacing w:before="40" w:after="40"/>
              <w:rPr>
                <w:noProof/>
                <w:sz w:val="22"/>
              </w:rPr>
            </w:pPr>
            <w:r w:rsidRPr="003F33F9">
              <w:rPr>
                <w:noProof/>
                <w:color w:val="000000"/>
                <w:sz w:val="22"/>
              </w:rPr>
              <w:t>0,002</w:t>
            </w:r>
          </w:p>
        </w:tc>
        <w:tc>
          <w:tcPr>
            <w:tcW w:w="1136" w:type="dxa"/>
            <w:gridSpan w:val="2"/>
            <w:shd w:val="clear" w:color="auto" w:fill="auto"/>
            <w:tcMar>
              <w:left w:w="28" w:type="dxa"/>
              <w:right w:w="28" w:type="dxa"/>
            </w:tcMar>
          </w:tcPr>
          <w:p w:rsidR="00A84C16" w:rsidRPr="003F33F9" w:rsidRDefault="00A84C16" w:rsidP="00A84C16">
            <w:pPr>
              <w:spacing w:before="40" w:after="40"/>
              <w:rPr>
                <w:noProof/>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noProof/>
                <w:sz w:val="22"/>
              </w:rPr>
            </w:pPr>
            <w:r w:rsidRPr="003F33F9">
              <w:rPr>
                <w:noProof/>
                <w:sz w:val="22"/>
              </w:rPr>
              <w:t>(70)</w:t>
            </w:r>
          </w:p>
        </w:tc>
        <w:tc>
          <w:tcPr>
            <w:tcW w:w="2103" w:type="dxa"/>
            <w:gridSpan w:val="3"/>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Kopā visas aktīvās vielas pesticīdos, arī attiecīgajos metabolītos un sadalīšanās un ķīmiskās reakcijas produktos (</w:t>
            </w:r>
            <w:r w:rsidRPr="003F33F9">
              <w:rPr>
                <w:noProof/>
                <w:color w:val="000000"/>
                <w:sz w:val="22"/>
                <w:vertAlign w:val="superscript"/>
              </w:rPr>
              <w:t>29</w:t>
            </w:r>
            <w:r w:rsidRPr="003F33F9">
              <w:rPr>
                <w:noProof/>
                <w:color w:val="000000"/>
                <w:sz w:val="22"/>
              </w:rPr>
              <w:t>)</w:t>
            </w:r>
          </w:p>
        </w:tc>
        <w:tc>
          <w:tcPr>
            <w:tcW w:w="1329" w:type="dxa"/>
            <w:gridSpan w:val="3"/>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Augu aizsardzības līdzekļi un biocīdi</w:t>
            </w:r>
          </w:p>
        </w:tc>
        <w:tc>
          <w:tcPr>
            <w:tcW w:w="992"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134" w:type="dxa"/>
          </w:tcPr>
          <w:p w:rsidR="00A84C16" w:rsidRPr="003F33F9" w:rsidRDefault="00A84C16" w:rsidP="00A84C16">
            <w:pPr>
              <w:spacing w:before="40" w:after="40"/>
              <w:rPr>
                <w:noProof/>
                <w:sz w:val="22"/>
              </w:rPr>
            </w:pPr>
          </w:p>
        </w:tc>
        <w:tc>
          <w:tcPr>
            <w:tcW w:w="1279"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0,5 (</w:t>
            </w:r>
            <w:r w:rsidRPr="003F33F9">
              <w:rPr>
                <w:noProof/>
                <w:color w:val="000000"/>
                <w:sz w:val="22"/>
                <w:vertAlign w:val="superscript"/>
              </w:rPr>
              <w:t>30</w:t>
            </w:r>
            <w:r w:rsidRPr="003F33F9">
              <w:rPr>
                <w:noProof/>
                <w:color w:val="000000"/>
                <w:sz w:val="22"/>
              </w:rPr>
              <w:t>)</w:t>
            </w:r>
          </w:p>
        </w:tc>
        <w:tc>
          <w:tcPr>
            <w:tcW w:w="1279"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r w:rsidRPr="003F33F9">
              <w:rPr>
                <w:noProof/>
                <w:color w:val="000000"/>
                <w:sz w:val="22"/>
              </w:rPr>
              <w:t>0,5 (</w:t>
            </w:r>
            <w:r w:rsidRPr="003F33F9">
              <w:rPr>
                <w:noProof/>
                <w:color w:val="000000"/>
                <w:sz w:val="22"/>
                <w:vertAlign w:val="superscript"/>
              </w:rPr>
              <w:t>30</w:t>
            </w:r>
            <w:r w:rsidRPr="003F33F9">
              <w:rPr>
                <w:noProof/>
                <w:color w:val="000000"/>
                <w:sz w:val="22"/>
              </w:rPr>
              <w:t>)</w:t>
            </w:r>
          </w:p>
        </w:tc>
        <w:tc>
          <w:tcPr>
            <w:tcW w:w="1278"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77"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136"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b/>
                <w:noProof/>
                <w:sz w:val="22"/>
              </w:rPr>
            </w:pPr>
            <w:r w:rsidRPr="003F33F9">
              <w:rPr>
                <w:b/>
                <w:i/>
                <w:noProof/>
                <w:sz w:val="22"/>
              </w:rPr>
              <w:t>(70a)</w:t>
            </w:r>
            <w:r w:rsidRPr="003F33F9">
              <w:rPr>
                <w:b/>
                <w:noProof/>
                <w:sz w:val="22"/>
              </w:rPr>
              <w:t xml:space="preserve"> [Gr. </w:t>
            </w:r>
          </w:p>
          <w:p w:rsidR="00A84C16" w:rsidRPr="003F33F9" w:rsidRDefault="00A84C16" w:rsidP="00A84C16">
            <w:pPr>
              <w:spacing w:before="40" w:after="40"/>
              <w:rPr>
                <w:b/>
                <w:noProof/>
                <w:sz w:val="22"/>
              </w:rPr>
            </w:pPr>
            <w:r w:rsidRPr="003F33F9">
              <w:rPr>
                <w:b/>
                <w:noProof/>
                <w:sz w:val="22"/>
              </w:rPr>
              <w:t>152]</w:t>
            </w:r>
          </w:p>
        </w:tc>
        <w:tc>
          <w:tcPr>
            <w:tcW w:w="2103"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Bisfenoli</w:t>
            </w:r>
          </w:p>
        </w:tc>
        <w:tc>
          <w:tcPr>
            <w:tcW w:w="1329"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Rūpnieciskas ķīmiskās vielas</w:t>
            </w:r>
          </w:p>
        </w:tc>
        <w:tc>
          <w:tcPr>
            <w:tcW w:w="992" w:type="dxa"/>
            <w:gridSpan w:val="2"/>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134" w:type="dxa"/>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279" w:type="dxa"/>
            <w:gridSpan w:val="2"/>
            <w:shd w:val="clear" w:color="auto" w:fill="auto"/>
            <w:tcMar>
              <w:left w:w="28" w:type="dxa"/>
              <w:right w:w="28" w:type="dxa"/>
            </w:tcMar>
          </w:tcPr>
          <w:p w:rsidR="00A84C16" w:rsidRPr="003F33F9" w:rsidRDefault="00A84C16" w:rsidP="00A84C16">
            <w:pPr>
              <w:widowControl/>
              <w:spacing w:before="40" w:after="40"/>
              <w:rPr>
                <w:rFonts w:eastAsia="Calibri"/>
                <w:noProof/>
                <w:color w:val="000000"/>
                <w:sz w:val="22"/>
                <w:szCs w:val="22"/>
              </w:rPr>
            </w:pPr>
            <w:r w:rsidRPr="003F33F9">
              <w:rPr>
                <w:b/>
                <w:i/>
                <w:noProof/>
                <w:sz w:val="22"/>
                <w:szCs w:val="22"/>
              </w:rPr>
              <w:t>*</w:t>
            </w:r>
          </w:p>
        </w:tc>
        <w:tc>
          <w:tcPr>
            <w:tcW w:w="1279" w:type="dxa"/>
            <w:gridSpan w:val="2"/>
            <w:shd w:val="clear" w:color="auto" w:fill="auto"/>
            <w:tcMar>
              <w:left w:w="28" w:type="dxa"/>
              <w:right w:w="28" w:type="dxa"/>
            </w:tcMar>
          </w:tcPr>
          <w:p w:rsidR="00A84C16" w:rsidRPr="003F33F9" w:rsidRDefault="00A84C16" w:rsidP="00A84C16">
            <w:pPr>
              <w:widowControl/>
              <w:spacing w:before="40" w:after="40"/>
              <w:rPr>
                <w:rFonts w:eastAsia="Calibri"/>
                <w:noProof/>
                <w:color w:val="000000"/>
                <w:sz w:val="22"/>
                <w:szCs w:val="22"/>
              </w:rPr>
            </w:pPr>
            <w:r w:rsidRPr="003F33F9">
              <w:rPr>
                <w:b/>
                <w:i/>
                <w:noProof/>
                <w:sz w:val="22"/>
                <w:szCs w:val="22"/>
              </w:rPr>
              <w:t>*</w:t>
            </w:r>
          </w:p>
        </w:tc>
        <w:tc>
          <w:tcPr>
            <w:tcW w:w="1278" w:type="dxa"/>
            <w:gridSpan w:val="2"/>
            <w:shd w:val="clear" w:color="auto" w:fill="auto"/>
            <w:tcMar>
              <w:left w:w="28" w:type="dxa"/>
              <w:right w:w="28" w:type="dxa"/>
            </w:tcMar>
          </w:tcPr>
          <w:p w:rsidR="00A84C16" w:rsidRPr="003F33F9" w:rsidRDefault="00A84C16" w:rsidP="00A84C16">
            <w:pPr>
              <w:widowControl/>
              <w:spacing w:before="40" w:after="40"/>
              <w:rPr>
                <w:rFonts w:eastAsia="Calibri"/>
                <w:noProof/>
                <w:color w:val="000000"/>
                <w:sz w:val="22"/>
                <w:szCs w:val="22"/>
              </w:rPr>
            </w:pPr>
            <w:r w:rsidRPr="003F33F9">
              <w:rPr>
                <w:b/>
                <w:i/>
                <w:noProof/>
                <w:sz w:val="22"/>
                <w:szCs w:val="22"/>
              </w:rPr>
              <w:t>*</w:t>
            </w:r>
          </w:p>
        </w:tc>
        <w:tc>
          <w:tcPr>
            <w:tcW w:w="1277" w:type="dxa"/>
            <w:gridSpan w:val="2"/>
            <w:shd w:val="clear" w:color="auto" w:fill="auto"/>
            <w:tcMar>
              <w:left w:w="28" w:type="dxa"/>
              <w:right w:w="28" w:type="dxa"/>
            </w:tcMar>
          </w:tcPr>
          <w:p w:rsidR="00A84C16" w:rsidRPr="003F33F9" w:rsidRDefault="00A84C16" w:rsidP="00A84C16">
            <w:pPr>
              <w:widowControl/>
              <w:spacing w:before="40" w:after="40"/>
              <w:rPr>
                <w:rFonts w:eastAsia="Calibri"/>
                <w:noProof/>
                <w:color w:val="000000"/>
                <w:sz w:val="22"/>
                <w:szCs w:val="22"/>
              </w:rPr>
            </w:pPr>
            <w:r w:rsidRPr="003F33F9">
              <w:rPr>
                <w:b/>
                <w:i/>
                <w:noProof/>
                <w:sz w:val="22"/>
                <w:szCs w:val="22"/>
              </w:rPr>
              <w:t>*</w:t>
            </w:r>
          </w:p>
        </w:tc>
        <w:tc>
          <w:tcPr>
            <w:tcW w:w="1136"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b/>
                <w:i/>
                <w:noProof/>
                <w:sz w:val="22"/>
              </w:rPr>
            </w:pPr>
            <w:r w:rsidRPr="003F33F9">
              <w:rPr>
                <w:b/>
                <w:i/>
                <w:noProof/>
                <w:sz w:val="22"/>
              </w:rPr>
              <w:t>(70b) [Gr. </w:t>
            </w:r>
          </w:p>
          <w:p w:rsidR="00A84C16" w:rsidRPr="003F33F9" w:rsidRDefault="00A84C16" w:rsidP="00A84C16">
            <w:pPr>
              <w:spacing w:before="40" w:after="40"/>
              <w:rPr>
                <w:b/>
                <w:i/>
                <w:noProof/>
                <w:sz w:val="22"/>
              </w:rPr>
            </w:pPr>
            <w:r w:rsidRPr="003F33F9">
              <w:rPr>
                <w:b/>
                <w:i/>
                <w:noProof/>
                <w:sz w:val="22"/>
              </w:rPr>
              <w:t>153]</w:t>
            </w:r>
          </w:p>
        </w:tc>
        <w:tc>
          <w:tcPr>
            <w:tcW w:w="2103"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PFAS kopā</w:t>
            </w:r>
          </w:p>
        </w:tc>
        <w:tc>
          <w:tcPr>
            <w:tcW w:w="1329"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Rūpnieciskas ķīmiskās vielas</w:t>
            </w:r>
          </w:p>
        </w:tc>
        <w:tc>
          <w:tcPr>
            <w:tcW w:w="992" w:type="dxa"/>
            <w:gridSpan w:val="2"/>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134" w:type="dxa"/>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279" w:type="dxa"/>
            <w:gridSpan w:val="2"/>
            <w:shd w:val="clear" w:color="auto" w:fill="auto"/>
            <w:tcMar>
              <w:left w:w="28" w:type="dxa"/>
              <w:right w:w="28" w:type="dxa"/>
            </w:tcMar>
          </w:tcPr>
          <w:p w:rsidR="00A84C16" w:rsidRPr="003F33F9" w:rsidRDefault="00A84C16" w:rsidP="00A84C16">
            <w:pPr>
              <w:widowControl/>
              <w:spacing w:before="40" w:after="40"/>
              <w:rPr>
                <w:b/>
                <w:i/>
                <w:noProof/>
              </w:rPr>
            </w:pPr>
            <w:r w:rsidRPr="003F33F9">
              <w:rPr>
                <w:b/>
                <w:i/>
                <w:noProof/>
              </w:rPr>
              <w:t>*</w:t>
            </w:r>
          </w:p>
        </w:tc>
        <w:tc>
          <w:tcPr>
            <w:tcW w:w="1279" w:type="dxa"/>
            <w:gridSpan w:val="2"/>
            <w:shd w:val="clear" w:color="auto" w:fill="auto"/>
            <w:tcMar>
              <w:left w:w="28" w:type="dxa"/>
              <w:right w:w="28" w:type="dxa"/>
            </w:tcMar>
          </w:tcPr>
          <w:p w:rsidR="00A84C16" w:rsidRPr="003F33F9" w:rsidRDefault="00A84C16" w:rsidP="00A84C16">
            <w:pPr>
              <w:widowControl/>
              <w:spacing w:before="40" w:after="40"/>
              <w:rPr>
                <w:b/>
                <w:i/>
                <w:noProof/>
              </w:rPr>
            </w:pPr>
            <w:r w:rsidRPr="003F33F9">
              <w:rPr>
                <w:b/>
                <w:i/>
                <w:noProof/>
              </w:rPr>
              <w:t>*</w:t>
            </w:r>
          </w:p>
        </w:tc>
        <w:tc>
          <w:tcPr>
            <w:tcW w:w="1278" w:type="dxa"/>
            <w:gridSpan w:val="2"/>
            <w:shd w:val="clear" w:color="auto" w:fill="auto"/>
            <w:tcMar>
              <w:left w:w="28" w:type="dxa"/>
              <w:right w:w="28" w:type="dxa"/>
            </w:tcMar>
          </w:tcPr>
          <w:p w:rsidR="00A84C16" w:rsidRPr="003F33F9" w:rsidRDefault="00A84C16" w:rsidP="00A84C16">
            <w:pPr>
              <w:widowControl/>
              <w:spacing w:before="40" w:after="40"/>
              <w:rPr>
                <w:b/>
                <w:i/>
                <w:noProof/>
              </w:rPr>
            </w:pPr>
            <w:r w:rsidRPr="003F33F9">
              <w:rPr>
                <w:b/>
                <w:i/>
                <w:noProof/>
              </w:rPr>
              <w:t>*</w:t>
            </w:r>
          </w:p>
        </w:tc>
        <w:tc>
          <w:tcPr>
            <w:tcW w:w="1277" w:type="dxa"/>
            <w:gridSpan w:val="2"/>
            <w:shd w:val="clear" w:color="auto" w:fill="auto"/>
            <w:tcMar>
              <w:left w:w="28" w:type="dxa"/>
              <w:right w:w="28" w:type="dxa"/>
            </w:tcMar>
          </w:tcPr>
          <w:p w:rsidR="00A84C16" w:rsidRPr="003F33F9" w:rsidRDefault="00A84C16" w:rsidP="00A84C16">
            <w:pPr>
              <w:widowControl/>
              <w:spacing w:before="40" w:after="40"/>
              <w:rPr>
                <w:b/>
                <w:i/>
                <w:noProof/>
              </w:rPr>
            </w:pPr>
            <w:r w:rsidRPr="003F33F9">
              <w:rPr>
                <w:b/>
                <w:i/>
                <w:noProof/>
              </w:rPr>
              <w:t>*</w:t>
            </w:r>
          </w:p>
        </w:tc>
        <w:tc>
          <w:tcPr>
            <w:tcW w:w="1136"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r w:rsidR="00A84C16" w:rsidRPr="003F33F9" w:rsidTr="00A84C16">
        <w:trPr>
          <w:gridBefore w:val="1"/>
          <w:wBefore w:w="12" w:type="dxa"/>
          <w:cantSplit/>
          <w:tblHeader/>
          <w:jc w:val="center"/>
        </w:trPr>
        <w:tc>
          <w:tcPr>
            <w:tcW w:w="834" w:type="dxa"/>
            <w:gridSpan w:val="2"/>
            <w:tcMar>
              <w:left w:w="28" w:type="dxa"/>
              <w:right w:w="28" w:type="dxa"/>
            </w:tcMar>
          </w:tcPr>
          <w:p w:rsidR="00A84C16" w:rsidRPr="003F33F9" w:rsidRDefault="00A84C16" w:rsidP="00A84C16">
            <w:pPr>
              <w:spacing w:before="40" w:after="40"/>
              <w:rPr>
                <w:b/>
                <w:noProof/>
                <w:sz w:val="22"/>
              </w:rPr>
            </w:pPr>
            <w:r w:rsidRPr="003F33F9">
              <w:rPr>
                <w:b/>
                <w:i/>
                <w:noProof/>
                <w:sz w:val="22"/>
              </w:rPr>
              <w:t>(70c)</w:t>
            </w:r>
            <w:r w:rsidRPr="003F33F9">
              <w:rPr>
                <w:b/>
                <w:noProof/>
                <w:sz w:val="22"/>
              </w:rPr>
              <w:t xml:space="preserve"> [Gr. </w:t>
            </w:r>
          </w:p>
          <w:p w:rsidR="00A84C16" w:rsidRPr="003F33F9" w:rsidRDefault="00A84C16" w:rsidP="00A84C16">
            <w:pPr>
              <w:spacing w:before="40" w:after="40"/>
              <w:rPr>
                <w:b/>
                <w:noProof/>
                <w:sz w:val="22"/>
              </w:rPr>
            </w:pPr>
            <w:r w:rsidRPr="003F33F9">
              <w:rPr>
                <w:b/>
                <w:noProof/>
                <w:sz w:val="22"/>
              </w:rPr>
              <w:t>154]</w:t>
            </w:r>
          </w:p>
        </w:tc>
        <w:tc>
          <w:tcPr>
            <w:tcW w:w="2103"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Zāļu aktīvās vielas: kopā</w:t>
            </w:r>
          </w:p>
        </w:tc>
        <w:tc>
          <w:tcPr>
            <w:tcW w:w="1329" w:type="dxa"/>
            <w:gridSpan w:val="3"/>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Zāles</w:t>
            </w:r>
          </w:p>
        </w:tc>
        <w:tc>
          <w:tcPr>
            <w:tcW w:w="992" w:type="dxa"/>
            <w:gridSpan w:val="2"/>
            <w:shd w:val="clear" w:color="auto" w:fill="auto"/>
            <w:tcMar>
              <w:left w:w="28" w:type="dxa"/>
              <w:right w:w="28" w:type="dxa"/>
            </w:tcMar>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134" w:type="dxa"/>
          </w:tcPr>
          <w:p w:rsidR="00A84C16" w:rsidRPr="003F33F9" w:rsidRDefault="00A84C16" w:rsidP="00A84C16">
            <w:pPr>
              <w:pStyle w:val="Point1number"/>
              <w:numPr>
                <w:ilvl w:val="0"/>
                <w:numId w:val="0"/>
              </w:numPr>
              <w:tabs>
                <w:tab w:val="left" w:pos="720"/>
              </w:tabs>
              <w:rPr>
                <w:noProof/>
                <w:sz w:val="22"/>
              </w:rPr>
            </w:pPr>
            <w:r w:rsidRPr="003F33F9">
              <w:rPr>
                <w:b/>
                <w:i/>
                <w:sz w:val="22"/>
              </w:rPr>
              <w:t>Nepiemēro</w:t>
            </w:r>
          </w:p>
        </w:tc>
        <w:tc>
          <w:tcPr>
            <w:tcW w:w="1279" w:type="dxa"/>
            <w:gridSpan w:val="2"/>
            <w:shd w:val="clear" w:color="auto" w:fill="auto"/>
            <w:tcMar>
              <w:left w:w="28" w:type="dxa"/>
              <w:right w:w="28" w:type="dxa"/>
            </w:tcMar>
          </w:tcPr>
          <w:p w:rsidR="00A84C16" w:rsidRPr="003F33F9" w:rsidRDefault="00A84C16" w:rsidP="00A84C16">
            <w:pPr>
              <w:pStyle w:val="Point1number"/>
              <w:numPr>
                <w:ilvl w:val="0"/>
                <w:numId w:val="0"/>
              </w:numPr>
              <w:tabs>
                <w:tab w:val="left" w:pos="720"/>
              </w:tabs>
              <w:rPr>
                <w:b/>
                <w:i/>
                <w:noProof/>
                <w:sz w:val="22"/>
              </w:rPr>
            </w:pPr>
            <w:r w:rsidRPr="003F33F9">
              <w:rPr>
                <w:b/>
                <w:i/>
                <w:sz w:val="22"/>
              </w:rPr>
              <w:t>0,25</w:t>
            </w:r>
          </w:p>
        </w:tc>
        <w:tc>
          <w:tcPr>
            <w:tcW w:w="1279" w:type="dxa"/>
            <w:gridSpan w:val="2"/>
            <w:shd w:val="clear" w:color="auto" w:fill="auto"/>
            <w:tcMar>
              <w:left w:w="28" w:type="dxa"/>
              <w:right w:w="28" w:type="dxa"/>
            </w:tcMar>
          </w:tcPr>
          <w:p w:rsidR="00A84C16" w:rsidRPr="003F33F9" w:rsidRDefault="00A84C16" w:rsidP="00A84C16">
            <w:pPr>
              <w:pStyle w:val="Point1number"/>
              <w:numPr>
                <w:ilvl w:val="0"/>
                <w:numId w:val="0"/>
              </w:numPr>
              <w:tabs>
                <w:tab w:val="left" w:pos="720"/>
              </w:tabs>
              <w:rPr>
                <w:b/>
                <w:i/>
                <w:noProof/>
                <w:sz w:val="22"/>
              </w:rPr>
            </w:pPr>
            <w:r w:rsidRPr="003F33F9">
              <w:rPr>
                <w:b/>
                <w:i/>
                <w:sz w:val="22"/>
              </w:rPr>
              <w:t>0,025</w:t>
            </w:r>
          </w:p>
        </w:tc>
        <w:tc>
          <w:tcPr>
            <w:tcW w:w="1278"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77"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136" w:type="dxa"/>
            <w:gridSpan w:val="2"/>
            <w:shd w:val="clear" w:color="auto" w:fill="auto"/>
            <w:tcMar>
              <w:left w:w="28" w:type="dxa"/>
              <w:right w:w="28" w:type="dxa"/>
            </w:tcMar>
          </w:tcPr>
          <w:p w:rsidR="00A84C16" w:rsidRPr="003F33F9" w:rsidRDefault="00A84C16" w:rsidP="00A84C16">
            <w:pPr>
              <w:spacing w:before="40" w:after="40"/>
              <w:rPr>
                <w:noProof/>
                <w:color w:val="000000"/>
                <w:sz w:val="22"/>
              </w:rPr>
            </w:pPr>
          </w:p>
        </w:tc>
        <w:tc>
          <w:tcPr>
            <w:tcW w:w="1262" w:type="dxa"/>
            <w:tcMar>
              <w:left w:w="28" w:type="dxa"/>
              <w:right w:w="28" w:type="dxa"/>
            </w:tcMar>
          </w:tcPr>
          <w:p w:rsidR="00A84C16" w:rsidRPr="003F33F9" w:rsidRDefault="00A84C16" w:rsidP="00A84C16">
            <w:pPr>
              <w:spacing w:before="40" w:after="40"/>
              <w:rPr>
                <w:noProof/>
                <w:color w:val="000000"/>
                <w:sz w:val="22"/>
              </w:rPr>
            </w:pPr>
          </w:p>
        </w:tc>
        <w:tc>
          <w:tcPr>
            <w:tcW w:w="1153" w:type="dxa"/>
            <w:gridSpan w:val="2"/>
            <w:tcMar>
              <w:left w:w="28" w:type="dxa"/>
              <w:right w:w="28" w:type="dxa"/>
            </w:tcMar>
          </w:tcPr>
          <w:p w:rsidR="00A84C16" w:rsidRPr="003F33F9" w:rsidRDefault="00A84C16" w:rsidP="00A84C16">
            <w:pPr>
              <w:spacing w:before="40" w:after="40"/>
              <w:rPr>
                <w:noProof/>
                <w:color w:val="000000"/>
                <w:sz w:val="22"/>
              </w:rPr>
            </w:pPr>
          </w:p>
        </w:tc>
        <w:tc>
          <w:tcPr>
            <w:tcW w:w="970" w:type="dxa"/>
            <w:tcMar>
              <w:left w:w="28" w:type="dxa"/>
              <w:right w:w="28" w:type="dxa"/>
            </w:tcMar>
          </w:tcPr>
          <w:p w:rsidR="00A84C16" w:rsidRPr="003F33F9" w:rsidRDefault="00A84C16" w:rsidP="00A84C16">
            <w:pPr>
              <w:spacing w:before="40" w:after="40"/>
              <w:rPr>
                <w:noProof/>
                <w:color w:val="000000"/>
                <w:sz w:val="22"/>
              </w:rPr>
            </w:pPr>
          </w:p>
        </w:tc>
      </w:tr>
    </w:tbl>
    <w:p w:rsidR="001D2F52" w:rsidRPr="003F33F9" w:rsidRDefault="00A84C16" w:rsidP="00A84C16">
      <w:pPr>
        <w:rPr>
          <w:b/>
          <w:i/>
        </w:rPr>
        <w:sectPr w:rsidR="001D2F52" w:rsidRPr="003F33F9" w:rsidSect="005909BF">
          <w:pgSz w:w="16834" w:h="11909" w:orient="landscape"/>
          <w:pgMar w:top="1417" w:right="1134" w:bottom="1417" w:left="1417" w:header="1134" w:footer="567" w:gutter="0"/>
          <w:cols w:space="720"/>
          <w:docGrid w:linePitch="326"/>
        </w:sectPr>
      </w:pPr>
      <w:r w:rsidRPr="003F33F9">
        <w:rPr>
          <w:b/>
          <w:i/>
        </w:rPr>
        <w:t>* Kvalitātes standartus nosaka Komisija ar deleģēto aktu.</w:t>
      </w:r>
    </w:p>
    <w:p w:rsidR="00CB6573" w:rsidRPr="003F33F9" w:rsidRDefault="00CB6573" w:rsidP="00133A36">
      <w:pPr>
        <w:spacing w:before="120" w:after="120" w:line="360" w:lineRule="auto"/>
        <w:ind w:left="850"/>
        <w:rPr>
          <w:szCs w:val="24"/>
          <w:lang w:eastAsia="en-US"/>
        </w:rPr>
      </w:pPr>
      <w:r w:rsidRPr="003F33F9">
        <w:rPr>
          <w:szCs w:val="24"/>
          <w:vertAlign w:val="superscript"/>
          <w:lang w:eastAsia="en-US"/>
        </w:rPr>
        <w:lastRenderedPageBreak/>
        <w:t>(1)</w:t>
      </w:r>
      <w:r w:rsidRPr="003F33F9">
        <w:rPr>
          <w:szCs w:val="24"/>
          <w:vertAlign w:val="superscript"/>
          <w:lang w:eastAsia="en-US"/>
        </w:rPr>
        <w:tab/>
      </w:r>
      <w:r w:rsidRPr="003F33F9">
        <w:rPr>
          <w:szCs w:val="24"/>
          <w:lang w:eastAsia="en-US"/>
        </w:rPr>
        <w:t>CAS – Informatīvais ķīmijas dienests [Chemical Abstracts Service].</w:t>
      </w:r>
    </w:p>
    <w:p w:rsidR="00CB6573" w:rsidRPr="003F33F9" w:rsidRDefault="00CB6573" w:rsidP="00CB6573">
      <w:pPr>
        <w:spacing w:before="120" w:after="120" w:line="360" w:lineRule="auto"/>
        <w:ind w:left="1416" w:hanging="566"/>
        <w:rPr>
          <w:szCs w:val="24"/>
          <w:lang w:eastAsia="en-US"/>
        </w:rPr>
      </w:pPr>
      <w:r w:rsidRPr="003F33F9">
        <w:rPr>
          <w:szCs w:val="24"/>
          <w:vertAlign w:val="superscript"/>
          <w:lang w:eastAsia="en-US"/>
        </w:rPr>
        <w:t>(2)</w:t>
      </w:r>
      <w:r w:rsidRPr="003F33F9">
        <w:rPr>
          <w:szCs w:val="24"/>
          <w:lang w:eastAsia="en-US"/>
        </w:rPr>
        <w:tab/>
        <w:t>ES numurs – Eiropas ķīmisko komercvielu saraksta (EINECS) vai Eiropā reģistrēto ķīmisko vielu saraksta (ELINCS) numurs.</w:t>
      </w:r>
    </w:p>
    <w:p w:rsidR="00CB6573" w:rsidRPr="003F33F9" w:rsidRDefault="00CB6573" w:rsidP="00CB6573">
      <w:pPr>
        <w:spacing w:before="120" w:after="120" w:line="360" w:lineRule="auto"/>
        <w:ind w:left="1416" w:hanging="566"/>
        <w:rPr>
          <w:szCs w:val="24"/>
          <w:lang w:eastAsia="en-US"/>
        </w:rPr>
      </w:pPr>
      <w:r w:rsidRPr="003F33F9">
        <w:rPr>
          <w:szCs w:val="24"/>
          <w:vertAlign w:val="superscript"/>
          <w:lang w:eastAsia="en-US"/>
        </w:rPr>
        <w:t>(3)</w:t>
      </w:r>
      <w:r w:rsidRPr="003F33F9">
        <w:rPr>
          <w:szCs w:val="24"/>
          <w:lang w:eastAsia="en-US"/>
        </w:rPr>
        <w:tab/>
        <w:t>Šis parametrs ir vides kvalitātes standarts, kas izteikts ar gada vidējo vērtību (GVL-VKS). Ja nav citu norādījumu, tas attiecas uz visu vielu un izomēru kopējo koncentrāciju.</w:t>
      </w:r>
    </w:p>
    <w:p w:rsidR="00CB6573" w:rsidRPr="003F33F9" w:rsidRDefault="00CB6573" w:rsidP="00CB6573">
      <w:pPr>
        <w:spacing w:before="120" w:after="120" w:line="360" w:lineRule="auto"/>
        <w:ind w:left="1416" w:hanging="566"/>
        <w:rPr>
          <w:szCs w:val="24"/>
          <w:lang w:eastAsia="en-US"/>
        </w:rPr>
      </w:pPr>
      <w:r w:rsidRPr="003F33F9">
        <w:rPr>
          <w:szCs w:val="24"/>
          <w:vertAlign w:val="superscript"/>
          <w:lang w:eastAsia="en-US"/>
        </w:rPr>
        <w:t>(4)</w:t>
      </w:r>
      <w:r w:rsidRPr="003F33F9">
        <w:rPr>
          <w:szCs w:val="24"/>
          <w:lang w:eastAsia="en-US"/>
        </w:rPr>
        <w:tab/>
        <w:t>Iekšējie virszemes ūdeņi ir upes un ezeri un ar tiem saistīti mākslīgi vai stipri pārveidoti ūdens objekti.</w:t>
      </w:r>
    </w:p>
    <w:p w:rsidR="00CB6573" w:rsidRPr="003F33F9" w:rsidRDefault="00CB6573" w:rsidP="00CB6573">
      <w:pPr>
        <w:spacing w:before="120" w:after="120" w:line="360" w:lineRule="auto"/>
        <w:ind w:left="1416" w:hanging="566"/>
        <w:rPr>
          <w:szCs w:val="24"/>
          <w:lang w:eastAsia="en-US"/>
        </w:rPr>
      </w:pPr>
      <w:r w:rsidRPr="003F33F9">
        <w:rPr>
          <w:szCs w:val="24"/>
          <w:vertAlign w:val="superscript"/>
          <w:lang w:eastAsia="en-US"/>
        </w:rPr>
        <w:t>(5)</w:t>
      </w:r>
      <w:r w:rsidRPr="003F33F9">
        <w:rPr>
          <w:szCs w:val="24"/>
          <w:lang w:eastAsia="en-US"/>
        </w:rPr>
        <w:tab/>
        <w:t>Šis parametrs ir vides kvalitātes standarts, kas izteikts ar maksimālo pieļaujamo koncentrāciju (MPK-VKS). Ja MPK-VKS ailē norādīts “nepiemēro”, uzskata, ka GVL-VKS vērtības, būdamas ievērojami mazākas nekā vērtības, ko iegūst akūtas toksicitātes gadījumā, aizsargā pret īslaicīgu piesārņojuma maksimumu, kas rodas pastāvīgās izplūdēs.</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(6)</w:t>
      </w:r>
      <w:r w:rsidRPr="003F33F9">
        <w:rPr>
          <w:szCs w:val="24"/>
          <w:lang w:val="pt-PT" w:eastAsia="en-US"/>
        </w:rPr>
        <w:tab/>
        <w:t>Ja ir dots biotas VKS, piemēro to, nevis ūdens VKS. Tas neskar šīs direktīvas 3. panta 3. punktu, kurš – ar noteikumu, ka piemērotais VKS nodrošina līdzvērtīgu aizsardzības līmeni, – ļauj monitorēt alternatīvu biotas taksonu vai citu matricu. Ja nav norādīts citādi, biotas VKS attiecas uz zivīm. Vielām ar numuru 15 (fluorantēns), 28 (PAH) un 51 (bisfenols-A), biotas VKS attiecas uz vēžveidīgajiem un gliemjiem. Fluorantēna, PAH un bisfenola-A monitorings zivīs nav piemērots ķīmiskās kvalitātes novērtēšanai. Vielai ar numuru 37 (dioksīni un dioksīniem līdzīgie savienojumi) biotas VKS saskanīgi ar Komisijas Regulas (ES) Nr. 1259/2011* pielikuma 5.3. iedaļu attiecas uz zivīm, vēžveidīgajiem un gliemjiem.</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(7)</w:t>
      </w:r>
      <w:r w:rsidRPr="003F33F9">
        <w:rPr>
          <w:szCs w:val="24"/>
          <w:lang w:val="pt-PT" w:eastAsia="en-US"/>
        </w:rPr>
        <w:tab/>
        <w:t>Prioritāro vielu grupā, ko aptver bromdifenilēteri (5. numurs), VKS attiecas uz radniecīgo vielu numuriem (28, 47, 99, 100, 153 un 154) atbilstošo koncentrāciju summu.</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(8)</w:t>
      </w:r>
      <w:r w:rsidRPr="003F33F9">
        <w:rPr>
          <w:szCs w:val="24"/>
          <w:lang w:val="pt-PT" w:eastAsia="en-US"/>
        </w:rPr>
        <w:tab/>
        <w:t>Tetra-, penta-, heksa-, hepta-, okta- un dekabromdifenilēteris (CAS numurs attiecīgi 40088-47-9, 32534-81-9, 36483-60-0, 68928-80-3, 32536-52-0 un 1163-19-5).</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(9)</w:t>
      </w:r>
      <w:r w:rsidRPr="003F33F9">
        <w:rPr>
          <w:szCs w:val="24"/>
          <w:lang w:val="pt-PT" w:eastAsia="en-US"/>
        </w:rPr>
        <w:tab/>
        <w:t>Kadmijam un tā savienojumiem (6. numurs) VKS vērtība ir atkarīga no ūdens cietības, kurai ir piecas pakāpes (1. pakāpe: &lt;40 mg CaCO</w:t>
      </w:r>
      <w:r w:rsidRPr="003F33F9">
        <w:rPr>
          <w:szCs w:val="24"/>
          <w:vertAlign w:val="subscript"/>
          <w:lang w:val="pt-PT" w:eastAsia="en-US"/>
        </w:rPr>
        <w:t>3</w:t>
      </w:r>
      <w:r w:rsidRPr="003F33F9">
        <w:rPr>
          <w:szCs w:val="24"/>
          <w:lang w:val="pt-PT" w:eastAsia="en-US"/>
        </w:rPr>
        <w:t>/l; 2. pakāpe: 40 līdz &lt;50 mg CaCO</w:t>
      </w:r>
      <w:r w:rsidRPr="003F33F9">
        <w:rPr>
          <w:szCs w:val="24"/>
          <w:vertAlign w:val="subscript"/>
          <w:lang w:val="pt-PT" w:eastAsia="en-US"/>
        </w:rPr>
        <w:t>3</w:t>
      </w:r>
      <w:r w:rsidRPr="003F33F9">
        <w:rPr>
          <w:szCs w:val="24"/>
          <w:lang w:val="pt-PT" w:eastAsia="en-US"/>
        </w:rPr>
        <w:t>/l; 3. pakāpe: 50 līdz &lt;100 mg CaCO</w:t>
      </w:r>
      <w:r w:rsidRPr="003F33F9">
        <w:rPr>
          <w:szCs w:val="24"/>
          <w:vertAlign w:val="subscript"/>
          <w:lang w:val="pt-PT" w:eastAsia="en-US"/>
        </w:rPr>
        <w:t>3</w:t>
      </w:r>
      <w:r w:rsidRPr="003F33F9">
        <w:rPr>
          <w:szCs w:val="24"/>
          <w:lang w:val="pt-PT" w:eastAsia="en-US"/>
        </w:rPr>
        <w:t>/l; 4. pakāpe: 100 līdz &lt;200 mg CaCO</w:t>
      </w:r>
      <w:r w:rsidRPr="003F33F9">
        <w:rPr>
          <w:szCs w:val="24"/>
          <w:vertAlign w:val="subscript"/>
          <w:lang w:val="pt-PT" w:eastAsia="en-US"/>
        </w:rPr>
        <w:t>3</w:t>
      </w:r>
      <w:r w:rsidRPr="003F33F9">
        <w:rPr>
          <w:szCs w:val="24"/>
          <w:lang w:val="pt-PT" w:eastAsia="en-US"/>
        </w:rPr>
        <w:t>/l; 5. pakāpe: ≥200 mg CaCO</w:t>
      </w:r>
      <w:r w:rsidRPr="003F33F9">
        <w:rPr>
          <w:szCs w:val="24"/>
          <w:vertAlign w:val="subscript"/>
          <w:lang w:val="pt-PT" w:eastAsia="en-US"/>
        </w:rPr>
        <w:t>3</w:t>
      </w:r>
      <w:r w:rsidRPr="003F33F9">
        <w:rPr>
          <w:szCs w:val="24"/>
          <w:lang w:val="pt-PT" w:eastAsia="en-US"/>
        </w:rPr>
        <w:t>/l).</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(10)</w:t>
      </w:r>
      <w:r w:rsidRPr="003F33F9">
        <w:rPr>
          <w:szCs w:val="24"/>
          <w:lang w:val="pt-PT" w:eastAsia="en-US"/>
        </w:rPr>
        <w:tab/>
        <w:t>Šai vielu grupai indikatīvais parametrs nav noteikts. Indikatīvais parametrs vai parametri jānosaka ar analītisku metodi.</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(11)</w:t>
      </w:r>
      <w:r w:rsidRPr="003F33F9">
        <w:rPr>
          <w:szCs w:val="24"/>
          <w:vertAlign w:val="superscript"/>
          <w:lang w:val="pt-PT" w:eastAsia="en-US"/>
        </w:rPr>
        <w:tab/>
      </w:r>
      <w:r w:rsidRPr="003F33F9">
        <w:rPr>
          <w:szCs w:val="24"/>
          <w:lang w:val="pt-PT" w:eastAsia="en-US"/>
        </w:rPr>
        <w:t>“DDT kopā” ir šādu izomēru koncentrāciju summa: 1,1,1-trihlor-2,2-bis(p-hlorfenil)etāns (CAS Nr. 50-29-3; ES Nr. 200-024-3); 1,1,1-trihlor-2-(o-hlorfenil)-2-(p-hlorfenil)etāns (CAS Nr. 789-02-6, ES Nr. 212-332-5); 1,1-dihlor-2,2-bis(p-hlorfenil)etilēns (CAS Nr. 72-55-9, ES Nr. 200-784-6); 1,1-dihlor-2,2-bis(p-hlorfenil)etāns (CAS Nr. 72-54-8, ES Nr. 200-783-0).</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(12)</w:t>
      </w:r>
      <w:r w:rsidRPr="003F33F9">
        <w:rPr>
          <w:szCs w:val="24"/>
          <w:lang w:val="pt-PT" w:eastAsia="en-US"/>
        </w:rPr>
        <w:tab/>
        <w:t>Šis VKS attiecas uz bioloģiski pieejamām vielu koncentrācijām.</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(13)</w:t>
      </w:r>
      <w:r w:rsidRPr="003F33F9">
        <w:rPr>
          <w:szCs w:val="24"/>
          <w:lang w:val="pt-PT" w:eastAsia="en-US"/>
        </w:rPr>
        <w:tab/>
        <w:t>Biotas VKS attiecas uz metildzīvsudrabu.</w:t>
      </w:r>
    </w:p>
    <w:p w:rsidR="00CB6573" w:rsidRPr="003F33F9" w:rsidRDefault="00CB6573" w:rsidP="00CB6573">
      <w:pPr>
        <w:spacing w:before="120" w:after="120" w:line="360" w:lineRule="auto"/>
        <w:ind w:left="1416" w:hanging="566"/>
        <w:rPr>
          <w:szCs w:val="24"/>
          <w:lang w:eastAsia="en-US"/>
        </w:rPr>
      </w:pPr>
      <w:r w:rsidRPr="003F33F9">
        <w:rPr>
          <w:szCs w:val="24"/>
          <w:vertAlign w:val="superscript"/>
          <w:lang w:val="pt-PT" w:eastAsia="en-US"/>
        </w:rPr>
        <w:t>(14)</w:t>
      </w:r>
      <w:r w:rsidRPr="003F33F9">
        <w:rPr>
          <w:szCs w:val="24"/>
          <w:lang w:val="pt-PT" w:eastAsia="en-US"/>
        </w:rPr>
        <w:tab/>
        <w:t xml:space="preserve">Nonilfenols </w:t>
      </w:r>
      <w:r w:rsidRPr="003F33F9">
        <w:rPr>
          <w:szCs w:val="24"/>
          <w:lang w:eastAsia="en-US"/>
        </w:rPr>
        <w:t>(CAS Nr. 25154-52-3, ES Nr. 246-672-0), arī tā izomēri 4-nonilfenols (CAS Nr. 104-40-5, ES Nr. 203-199-4) un 4-nonilfenols (sazarots) (CAS Nr. 84852-15-3, ES Nr. 284-325-5).</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(15)</w:t>
      </w:r>
      <w:r w:rsidRPr="003F33F9">
        <w:rPr>
          <w:szCs w:val="24"/>
          <w:vertAlign w:val="superscript"/>
          <w:lang w:val="pt-PT" w:eastAsia="en-US"/>
        </w:rPr>
        <w:tab/>
      </w:r>
      <w:r w:rsidRPr="003F33F9">
        <w:rPr>
          <w:szCs w:val="24"/>
          <w:lang w:val="pt-PT" w:eastAsia="en-US"/>
        </w:rPr>
        <w:t>Oktilfenols (CAS Nr. 1806-26-4, ES Nr. 217-302-5), arī izomērs 4-(1,1',3,3'-tetrametilbutil)-fenols (CAS Nr. 140-66-9, ES Nr. 205-426-2).</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(16)</w:t>
      </w:r>
      <w:r w:rsidRPr="003F33F9">
        <w:rPr>
          <w:szCs w:val="24"/>
          <w:lang w:val="pt-PT" w:eastAsia="en-US"/>
        </w:rPr>
        <w:tab/>
        <w:t>Benz(a)pirēns (CAS Nr. 50-32-8) (RPF 1), benz(b)fluorantēns (CAS Nr. 205-99-2) (RPF 0,1), benz(k)fluorantēns (CAS Nr. 207-08-9) (RPF 0,1), benz(g,h,i)perilēns (CAS Nr. 191-24-2) (RPF 0), indeno(1,2,3-cd)pirēns (CAS Nr. 193-39-5) (RPF 0,1), krizēns (CAS Nr. 218-01-9) (RPF 0,01), benz(a)antracēns (CAS Nr. 56-55-3) (RPF 0,1) un dibenz(a,h)antracēns (CAS Nr. 53-70-3) (RPF 1). Tādi PAH kā antracēns, fluorantēns un naftalīns sarakstā norādīti atsevišķi.</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(17)</w:t>
      </w:r>
      <w:r w:rsidRPr="003F33F9">
        <w:rPr>
          <w:szCs w:val="24"/>
          <w:vertAlign w:val="superscript"/>
          <w:lang w:val="pt-PT" w:eastAsia="en-US"/>
        </w:rPr>
        <w:tab/>
      </w:r>
      <w:r w:rsidRPr="003F33F9">
        <w:rPr>
          <w:szCs w:val="24"/>
          <w:lang w:val="pt-PT" w:eastAsia="en-US"/>
        </w:rPr>
        <w:t>Poliaromātisko ogļūdeņražu (PAH) grupas vielām (28. numurs) biotas VKS ir summa, kurā ņemti vērā septiņi no astoņiem 17. zemsvītras piezīmē uzskaitītajiem PAH, kuru koncentrācijas izteiktas ar 16. zemsvītras piezīmē norādītajiem RPF, proti, ar benz(a)pirēna ekvivalentiem, kas raksturo attiecīgās vielas kancerogēno potenci salīdzinājumā ar benz(a)pirēnu. Lai varētu noteikt, vai kopējais biotas VKS ir ievērots, nav vajadzības benz(g,h,i)perilēnu mērīt biotā.</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(18)</w:t>
      </w:r>
      <w:r w:rsidRPr="003F33F9">
        <w:rPr>
          <w:szCs w:val="24"/>
          <w:vertAlign w:val="superscript"/>
          <w:lang w:val="pt-PT" w:eastAsia="en-US"/>
        </w:rPr>
        <w:tab/>
      </w:r>
      <w:r w:rsidRPr="003F33F9">
        <w:rPr>
          <w:szCs w:val="24"/>
          <w:lang w:val="pt-PT" w:eastAsia="en-US"/>
        </w:rPr>
        <w:t>Tributilalvas savienojumi, kas satur tributilalvas katjonu (CAS Nr. 36643-28-4).</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(19)</w:t>
      </w:r>
      <w:r w:rsidRPr="003F33F9">
        <w:rPr>
          <w:szCs w:val="24"/>
          <w:lang w:val="pt-PT" w:eastAsia="en-US"/>
        </w:rPr>
        <w:tab/>
        <w:t>Sedimentu VKS.</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(20)</w:t>
      </w:r>
      <w:r w:rsidRPr="003F33F9">
        <w:rPr>
          <w:szCs w:val="24"/>
          <w:vertAlign w:val="superscript"/>
          <w:lang w:val="pt-PT" w:eastAsia="en-US"/>
        </w:rPr>
        <w:tab/>
      </w:r>
      <w:r w:rsidRPr="003F33F9">
        <w:rPr>
          <w:szCs w:val="24"/>
          <w:lang w:val="pt-PT" w:eastAsia="en-US"/>
        </w:rPr>
        <w:t>Pieejamā informācija šo vielu MPK-VKS noteikšanai nav pietiekama.</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(21)</w:t>
      </w:r>
      <w:r w:rsidRPr="003F33F9">
        <w:rPr>
          <w:szCs w:val="24"/>
          <w:lang w:val="pt-PT" w:eastAsia="en-US"/>
        </w:rPr>
        <w:tab/>
        <w:t>Attiecas uz šādiem savienojumiem:</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ab/>
        <w:t>7 polihlorētie dibenzo-p-dioksīni (PCDD), konkrēti, 2,3,7,8-T4CDD (CAS Nr. 1746-01-6, ES Nr. 217-122-7), 1,2,3,7,8-P5CDD (CAS Nr. 40321-76-4), 1,2,3,4,7,8-H6CDD (CAS Nr. 39227-28-6), 1,2,3,6,7,8-H6CDD (CAS Nr. 57653-85-7), 1,2,3,7,8,9-H6CDD (CAS Nr. 19408-74-3), 1,2,3,4,6,7,8-H7CDD (CAS Nr. 35822-46-9), 1,2,3,4,6,7,8,9-O8CDD (CAS Nr. 3268-87-9);</w:t>
      </w:r>
    </w:p>
    <w:p w:rsidR="00A10B83" w:rsidRPr="003F33F9" w:rsidRDefault="00A10B83">
      <w:pPr>
        <w:widowControl/>
        <w:rPr>
          <w:szCs w:val="24"/>
          <w:lang w:val="pt-PT" w:eastAsia="en-US"/>
        </w:rPr>
      </w:pPr>
      <w:r w:rsidRPr="003F33F9">
        <w:rPr>
          <w:szCs w:val="24"/>
          <w:lang w:val="pt-PT" w:eastAsia="en-US"/>
        </w:rPr>
        <w:br w:type="page"/>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lastRenderedPageBreak/>
        <w:tab/>
        <w:t>10 polihlorētie dibenzofurāni (PCDF), konkrēti, 2,3,7,8-T4CDF (CAS Nr. 51207-31-9), 1,2,3,7,8-P5CDF (CAS Nr. 57117-41-6), 2,3,4,7,8-P5CDF (CAS Nr. 57117-31-4), 1,2,3,4,7,8-H6CDF (CAS Nr. 70648-26-9), 1,2,3,6,7,8-H6CDF (CAS Nr. 57117-44-9), 1,2,3,7,8,9-H6CDF (CAS Nr. 72918-21-9), 2,3,4,6,7,8-H6CDF (CAS Nr. 60851-34-5), 1,2,3,4,6,7,8-H7CDF (CAS Nr. 67562-39-4), 1,2,3,4,7,8,9-H7CDF (CAS Nr. 55673-89-7), 1,2,3,4,6,7,8,9-O8CDF (CAS Nr. 39001-02-0);</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ab/>
        <w:t>12 dioksīniem līdzīgi polihlorētie bifenili (PCB-DL), konkrēti, 3,3',4,4'-T4CB (PCB 77, CAS Nr. 32598-13-3), 3,3',4',5-T4CB (PCB 81, CAS Nr. 70362-50-4), 2,3,3',4,4'-P5CB (PCB 105, CAS Nr. 32598-14-4), 2,3,4,4',5-P5CB (PCB 114, CAS Nr. 74472-37-0), 2,3',4,4',5-P5CB (PCB 118, CAS Nr. 31508-00-6), 2,3',4,4',5'-P5CB (PCB 123, CAS Nr. 65510-44-3), 3,3',4,4',5-P5CB (PCB 126, CAS Nr. 57465-28-8), 2,3,3',4,4',5-H6CB (PCB 156, CAS Nr. 38380-08-4), 2,3,3',4,4',5'-H6CB (PCB 157, CAS Nr. 69782-90-7), 2,3',4,4',5,5'-H6CB (PCB 167, CAS Nr. 52663-72-6), 3,3',4,4',5,5'-H6CB (PCB 169, CAS Nr. 32774-16-6), 2,3,3',4,4',5,5'-H7CB (PCB 189, CAS Nr. 39635-31-9).</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(22)</w:t>
      </w:r>
      <w:r w:rsidRPr="003F33F9">
        <w:rPr>
          <w:szCs w:val="24"/>
          <w:lang w:val="pt-PT" w:eastAsia="en-US"/>
        </w:rPr>
        <w:tab/>
        <w:t>Dioksīnu un dioksīniem līdzīgo savienojumu grupas vielām (37. numurs) biotas VKS ir summa, ko veido 20. zemsvītras piezīmē uzskaitīto vielu koncentrācijas, izteiktas ar toksiskuma ekvivalentiem, kuru pamatā ir Pasaules Veselības organizācijas 2005. gada toksiskuma ekvivalences koeficienti.</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(23)</w:t>
      </w:r>
      <w:r w:rsidRPr="003F33F9">
        <w:rPr>
          <w:szCs w:val="24"/>
          <w:lang w:val="pt-PT" w:eastAsia="en-US"/>
        </w:rPr>
        <w:tab/>
        <w:t>CAS Nr. 52315-07-8 attiecas uz izomēru maisījumu, kas satur cipermetrīnu, alfa-cipermetrīnu (CAS Nr. 67375-30-8, ES Nr. 257-842-9), beta-cipermetrīnu (CAS Nr. 65731-84-2, ES Nr. 265-898-0), teta-cipermetrīnu (CAS Nr. 71691-59-1) un zeta-cipermetrīnu (CAS Nr. 52315-07-8, ES Nr. 257-842-9).</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(24)</w:t>
      </w:r>
      <w:r w:rsidRPr="003F33F9">
        <w:rPr>
          <w:szCs w:val="24"/>
          <w:vertAlign w:val="superscript"/>
          <w:lang w:val="pt-PT" w:eastAsia="en-US"/>
        </w:rPr>
        <w:tab/>
      </w:r>
      <w:r w:rsidRPr="003F33F9">
        <w:rPr>
          <w:szCs w:val="24"/>
          <w:lang w:val="pt-PT" w:eastAsia="en-US"/>
        </w:rPr>
        <w:t xml:space="preserve">Attiecas uz 1,3,5,7,9,11-heksabromciklododekānu (CAS Nr. 25637-99-4, ES Nr. 247-148-4), 1,2,5,6,9,10- heksabromciklododekānu (CAS Nr. 3194-55-6, ES Nr. 221-695-9), </w:t>
      </w:r>
      <w:r w:rsidRPr="003F33F9">
        <w:rPr>
          <w:szCs w:val="24"/>
          <w:lang w:val="en-GB" w:eastAsia="en-US"/>
        </w:rPr>
        <w:t>α</w:t>
      </w:r>
      <w:r w:rsidRPr="003F33F9">
        <w:rPr>
          <w:szCs w:val="24"/>
          <w:lang w:val="pt-PT" w:eastAsia="en-US"/>
        </w:rPr>
        <w:t xml:space="preserve">-heksabromciklododekānu (CAS Nr. 134237-50-6), </w:t>
      </w:r>
      <w:r w:rsidRPr="003F33F9">
        <w:rPr>
          <w:szCs w:val="24"/>
          <w:lang w:val="en-GB" w:eastAsia="en-US"/>
        </w:rPr>
        <w:t>β</w:t>
      </w:r>
      <w:r w:rsidRPr="003F33F9">
        <w:rPr>
          <w:szCs w:val="24"/>
          <w:lang w:val="pt-PT" w:eastAsia="en-US"/>
        </w:rPr>
        <w:t xml:space="preserve">-heksabromciklododekānu (CAS Nr. 134237-51-7) un </w:t>
      </w:r>
      <w:r w:rsidRPr="003F33F9">
        <w:rPr>
          <w:szCs w:val="24"/>
          <w:lang w:val="en-GB" w:eastAsia="en-US"/>
        </w:rPr>
        <w:t>γ</w:t>
      </w:r>
      <w:r w:rsidRPr="003F33F9">
        <w:rPr>
          <w:szCs w:val="24"/>
          <w:lang w:val="pt-PT" w:eastAsia="en-US"/>
        </w:rPr>
        <w:t>- heksabromciklododekānu (CAS Nr. 134237-52-8).</w:t>
      </w:r>
    </w:p>
    <w:p w:rsidR="00CB6573" w:rsidRPr="003F33F9" w:rsidRDefault="00CB6573" w:rsidP="00CB6573">
      <w:pPr>
        <w:spacing w:before="120" w:after="120" w:line="360" w:lineRule="auto"/>
        <w:ind w:left="1416" w:hanging="566"/>
        <w:rPr>
          <w:szCs w:val="24"/>
          <w:lang w:val="pt-PT" w:eastAsia="en-US"/>
        </w:rPr>
      </w:pPr>
      <w:r w:rsidRPr="003F33F9">
        <w:rPr>
          <w:strike/>
          <w:szCs w:val="24"/>
          <w:vertAlign w:val="superscript"/>
          <w:lang w:val="pt-PT" w:eastAsia="en-US"/>
        </w:rPr>
        <w:t>(25)</w:t>
      </w:r>
      <w:r w:rsidRPr="003F33F9">
        <w:rPr>
          <w:szCs w:val="24"/>
          <w:lang w:val="pt-PT" w:eastAsia="en-US"/>
        </w:rPr>
        <w:tab/>
      </w:r>
      <w:r w:rsidRPr="003F33F9">
        <w:rPr>
          <w:strike/>
          <w:szCs w:val="24"/>
          <w:lang w:val="pt-PT" w:eastAsia="en-US"/>
        </w:rPr>
        <w:t>Saldūdenim, kuru izmanto dzeramā ūdens ieguvei un sagatavošanai.</w:t>
      </w:r>
    </w:p>
    <w:p w:rsidR="00CB6573" w:rsidRPr="003F33F9" w:rsidRDefault="00CB6573" w:rsidP="00CB6573">
      <w:pPr>
        <w:spacing w:before="120" w:after="120" w:line="360" w:lineRule="auto"/>
        <w:ind w:left="1416" w:hanging="566"/>
        <w:rPr>
          <w:szCs w:val="24"/>
          <w:lang w:val="pt-PT" w:eastAsia="en-US"/>
        </w:rPr>
      </w:pPr>
      <w:r w:rsidRPr="003F33F9">
        <w:rPr>
          <w:strike/>
          <w:szCs w:val="24"/>
          <w:vertAlign w:val="superscript"/>
          <w:lang w:val="pt-PT" w:eastAsia="en-US"/>
        </w:rPr>
        <w:t>(26)</w:t>
      </w:r>
      <w:r w:rsidRPr="003F33F9">
        <w:rPr>
          <w:szCs w:val="24"/>
          <w:lang w:val="pt-PT" w:eastAsia="en-US"/>
        </w:rPr>
        <w:tab/>
      </w:r>
      <w:r w:rsidRPr="003F33F9">
        <w:rPr>
          <w:strike/>
          <w:szCs w:val="24"/>
          <w:lang w:val="pt-PT" w:eastAsia="en-US"/>
        </w:rPr>
        <w:t>Saldūdenim, kuru neizmanto dzeramā ūdens ieguvei un sagatavošanai.</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(27)</w:t>
      </w:r>
      <w:r w:rsidRPr="003F33F9">
        <w:rPr>
          <w:szCs w:val="24"/>
          <w:lang w:val="pt-PT" w:eastAsia="en-US"/>
        </w:rPr>
        <w:tab/>
        <w:t>Attiecas uz šādiem savienojumiem (norādīts arī to CAS numurs, ES numurs un RPF jeb relatīvās potences koeficients):</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ab/>
        <w:t>perfluoroktānskābe (PFOA) (CAS 335-67-1, EU 206-397-9) (RPF 1), perfluoroktānsulfoskābe (PFOS) (CAS 1763-23-1, EU 217-179-8) (RPF 2),perfluorheksānsulfoskābe (PFHxS) (CAS 355-46-4, EU 206-587-1) (RPF 0,6), perfluornonānskābe (PFNA) (CAS 375-95-1, EU 206-801-3) (RPF 10), perfluorbutānsulfoskābe (PFBS) (CAS 375-73-5, EU 206-793-1) (RPF 0,001), perfluorheksānskābe (PFHxA) (CAS 307-24-4, EU 206-196-6) (RPF 0,01), perfluorbutānskābe (PFBA) (CAS 375-22-4, EU 206-786-3) (RPF 0,05), perfluorpentānskābe (PFPeA) (CAS 2706-90-3, EU 220-300-7) (RPF 0,03), perfluorpentānsulfoskābe (PFPeS) (CAS 2706-91-4, EU 220-301-2) (RPF 0,3005), perfluordekānskābe (PFDA) (CAS 335-76-2, EU 206-400-3) (RPF 7), perfluordodekānskābe (PFDoDA jeb PFDoA) (CAS 307-55-1, EU 206-203-2) (RPF 3), perfluorundekānskābe (PFUnDA jeb PFUnA) (CAS 2058-94-8, EU 218-165-4) (RPF 4), perfluorheptānskābe (PFHpA) (CAS 375-85-9, EU 206-798-9) (RPF 0,505), perfluortridekānskābe (PFTrDA) (CAS 72629-94-8, EU 276-745-2) (RPF 1,65), perfluorheptānsulfoskābe (PFHpS) (CAS 375-92-8, EU 206-800-8) (RPF 1,3), perfluordekānsulfoskābe (PFDS) (CAS 335-77-3, EU 206-401-9) (RPF 2), perfluortetradekānskābe (PFTeDA) (CAS 376-06-7, EU 206-803-4) (RPF 0,3), perfluorheksadekānskābe (PFHxDA) (CAS 67905-19-5, EU 267-638-1) (RPF 0,02), perfluoroktadekānskābe (PFODA) (CAS 16517-11-6, EU 240-582-5) (RPF 0,02) un amonija perfluor-(2-metil-3-oksaheksanoāts) (HFPO-DA jeb Gen X) (CAS 62037-80-3) (RPF 0,06), propānskābe / amonija 2,2,3-trifluor-3-(1,1,2,2,3,3-heksafluor-3-(trifluormetoksi)propoksi)propanoāts (ADONA) (CAS 958445-44-8) (RPF 0,03), 2- (perfluorheksil)etilspirts (6:2 FTOH) (CAS 647-42-7, EU 211-477-1) (RPF 0,02), 2-(perfluoroktil)etanols (8:2 FTOH) (CAS 678-39-7, EU 211-648-0) (RPF 0,04) un etiķskābe / 2,2-difluor-2-((2,2,4,5-tetrafluor-5-(trifluormetoksi)-1,3-dioksolān-4-il)oksi)- (C6O4) (CAS 1190931-41-9) (RPF 0,06).</w:t>
      </w:r>
    </w:p>
    <w:p w:rsidR="00A10B83" w:rsidRPr="003F33F9" w:rsidRDefault="00A10B83">
      <w:pPr>
        <w:widowControl/>
        <w:rPr>
          <w:szCs w:val="24"/>
          <w:vertAlign w:val="superscript"/>
          <w:lang w:val="pt-PT" w:eastAsia="en-US"/>
        </w:rPr>
      </w:pPr>
      <w:r w:rsidRPr="003F33F9">
        <w:rPr>
          <w:szCs w:val="24"/>
          <w:vertAlign w:val="superscript"/>
          <w:lang w:val="pt-PT" w:eastAsia="en-US"/>
        </w:rPr>
        <w:br w:type="page"/>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lastRenderedPageBreak/>
        <w:t>(28)</w:t>
      </w:r>
      <w:r w:rsidRPr="003F33F9">
        <w:rPr>
          <w:szCs w:val="24"/>
          <w:lang w:val="pt-PT" w:eastAsia="en-US"/>
        </w:rPr>
        <w:tab/>
        <w:t>PFAS grupas vielām (65. numurs) VKS ir summa, ko veido visu 27. zemsvītras piezīmē uzskaitīto 24 PFAS koncentrācijas, izteiktas ar 27. zemsvītras piezīmē norādītajiem RPF, proti, ar PFOA ekvivalentiem, kuri raksturo attiecīgās vielas potenci salīdzinājumā ar PFOA potenci.</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(29)</w:t>
      </w:r>
      <w:r w:rsidRPr="003F33F9">
        <w:rPr>
          <w:szCs w:val="24"/>
          <w:lang w:val="pt-PT" w:eastAsia="en-US"/>
        </w:rPr>
        <w:tab/>
        <w:t>“Pesticīdi” ir Regulas (EK) Nr. 1107/2009 2. pantā minētie augu aizsardzības līdzekļi un Regulas (ES) Nr. 528/2012 3. pantā definētie biocīdi.</w:t>
      </w:r>
    </w:p>
    <w:p w:rsidR="00CB6573" w:rsidRPr="003F33F9" w:rsidRDefault="00CB6573" w:rsidP="00CB6573">
      <w:pPr>
        <w:spacing w:before="120" w:after="120" w:line="360" w:lineRule="auto"/>
        <w:ind w:left="1416" w:hanging="566"/>
        <w:rPr>
          <w:szCs w:val="24"/>
          <w:lang w:val="pt-PT" w:eastAsia="en-US"/>
        </w:rPr>
      </w:pPr>
      <w:r w:rsidRPr="003F33F9">
        <w:rPr>
          <w:szCs w:val="24"/>
          <w:vertAlign w:val="superscript"/>
          <w:lang w:val="pt-PT" w:eastAsia="en-US"/>
        </w:rPr>
        <w:t>(30)</w:t>
      </w:r>
      <w:r w:rsidRPr="003F33F9">
        <w:rPr>
          <w:szCs w:val="24"/>
          <w:lang w:val="pt-PT" w:eastAsia="en-US"/>
        </w:rPr>
        <w:tab/>
        <w:t>Ar “kopā” saprot visu individuālo monitoringa procedūrā konstatēto un kvantitatīvi noteikto pesticīdu (arī attiecīgo metabolītu un noārdīšanās un ķīmiskās reakcijas produktu) koncentrāciju summu.;”</w:t>
      </w:r>
    </w:p>
    <w:p w:rsidR="001D2F52" w:rsidRPr="003F33F9" w:rsidRDefault="001D2F52">
      <w:pPr>
        <w:widowControl/>
        <w:rPr>
          <w:szCs w:val="24"/>
          <w:lang w:val="pt-PT" w:eastAsia="en-US"/>
        </w:rPr>
      </w:pPr>
      <w:r w:rsidRPr="003F33F9">
        <w:rPr>
          <w:szCs w:val="24"/>
          <w:lang w:val="pt-PT" w:eastAsia="en-US"/>
        </w:rPr>
        <w:br w:type="page"/>
      </w:r>
    </w:p>
    <w:p w:rsidR="00CB6573" w:rsidRPr="003F33F9" w:rsidRDefault="00CB6573" w:rsidP="00CB6573">
      <w:pPr>
        <w:spacing w:before="120" w:after="120" w:line="360" w:lineRule="auto"/>
        <w:ind w:left="850" w:hanging="850"/>
        <w:rPr>
          <w:szCs w:val="24"/>
          <w:lang w:val="pt-PT" w:eastAsia="en-US"/>
        </w:rPr>
      </w:pPr>
      <w:r w:rsidRPr="003F33F9">
        <w:rPr>
          <w:szCs w:val="24"/>
          <w:lang w:val="pt-PT" w:eastAsia="en-US"/>
        </w:rPr>
        <w:lastRenderedPageBreak/>
        <w:t>(3)</w:t>
      </w:r>
      <w:r w:rsidRPr="003F33F9">
        <w:rPr>
          <w:szCs w:val="24"/>
          <w:lang w:val="pt-PT" w:eastAsia="en-US"/>
        </w:rPr>
        <w:tab/>
        <w:t>pielikuma B daļu groza šādi:</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a)</w:t>
      </w:r>
      <w:r w:rsidRPr="003F33F9">
        <w:rPr>
          <w:szCs w:val="24"/>
          <w:lang w:val="pt-PT" w:eastAsia="en-US"/>
        </w:rPr>
        <w:tab/>
        <w:t>daļas 1. punkta pirmo daļu aizstāj ar šādu: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“Virszemes ūdens objekts GVL-VKS standartam atbilst tad, ja dažādos gada laikos katrā reprezentatīvā ūdens objekta monitoringa punktā mērīto koncentrāciju vidējā aritmētiskā vērtība nav par minēto standartu lielāka.;”</w:t>
      </w:r>
    </w:p>
    <w:p w:rsidR="00CB6573" w:rsidRPr="003F33F9" w:rsidRDefault="00CB6573" w:rsidP="00CB6573">
      <w:pPr>
        <w:spacing w:before="120" w:after="120" w:line="360" w:lineRule="auto"/>
        <w:ind w:left="1416" w:hanging="566"/>
        <w:rPr>
          <w:szCs w:val="24"/>
          <w:lang w:val="pt-PT" w:eastAsia="en-US"/>
        </w:rPr>
      </w:pPr>
      <w:r w:rsidRPr="003F33F9">
        <w:rPr>
          <w:szCs w:val="24"/>
          <w:lang w:val="pt-PT" w:eastAsia="en-US"/>
        </w:rPr>
        <w:t>b)</w:t>
      </w:r>
      <w:r w:rsidRPr="003F33F9">
        <w:rPr>
          <w:szCs w:val="24"/>
          <w:lang w:val="pt-PT" w:eastAsia="en-US"/>
        </w:rPr>
        <w:tab/>
        <w:t>daļas 2. punkta pirmo daļu aizstāj ar šādu:</w:t>
      </w:r>
    </w:p>
    <w:p w:rsidR="00CB6573" w:rsidRPr="003F33F9" w:rsidRDefault="00CB6573" w:rsidP="00CB6573">
      <w:pPr>
        <w:spacing w:before="120" w:after="120" w:line="360" w:lineRule="auto"/>
        <w:ind w:left="1416"/>
        <w:rPr>
          <w:szCs w:val="24"/>
          <w:lang w:val="pt-PT" w:eastAsia="en-US"/>
        </w:rPr>
      </w:pPr>
      <w:r w:rsidRPr="003F33F9">
        <w:rPr>
          <w:szCs w:val="24"/>
          <w:lang w:val="pt-PT" w:eastAsia="en-US"/>
        </w:rPr>
        <w:t>“Virszemes ūdens objekts MPK-VKS standartam atbilst tad, ja katrā reprezentatīvā ūdens objekta monitoringa punktā mērītā koncentrācija nav par minēto standartu lielāka.”</w:t>
      </w:r>
    </w:p>
    <w:p w:rsidR="00CB6573" w:rsidRPr="003F33F9" w:rsidRDefault="00CB6573" w:rsidP="00CB6573">
      <w:pPr>
        <w:spacing w:before="120" w:after="120" w:line="360" w:lineRule="auto"/>
        <w:rPr>
          <w:szCs w:val="24"/>
          <w:lang w:val="pt-PT" w:eastAsia="en-US"/>
        </w:rPr>
        <w:sectPr w:rsidR="00CB6573" w:rsidRPr="003F33F9" w:rsidSect="005909BF">
          <w:pgSz w:w="16834" w:h="11909" w:orient="landscape"/>
          <w:pgMar w:top="1417" w:right="1134" w:bottom="1417" w:left="1417" w:header="1134" w:footer="567" w:gutter="0"/>
          <w:cols w:space="720"/>
          <w:docGrid w:linePitch="326"/>
        </w:sectPr>
      </w:pPr>
    </w:p>
    <w:p w:rsidR="00CB6573" w:rsidRPr="003F33F9" w:rsidRDefault="00CB6573" w:rsidP="00CB6573">
      <w:pPr>
        <w:spacing w:before="120" w:after="120" w:line="360" w:lineRule="auto"/>
        <w:rPr>
          <w:szCs w:val="24"/>
          <w:lang w:val="pt-PT" w:eastAsia="en-US"/>
        </w:rPr>
      </w:pPr>
    </w:p>
    <w:p w:rsidR="00CB6573" w:rsidRPr="003F33F9" w:rsidRDefault="00CB6573" w:rsidP="00CB6573">
      <w:pPr>
        <w:spacing w:before="120" w:after="120" w:line="360" w:lineRule="auto"/>
        <w:jc w:val="center"/>
        <w:rPr>
          <w:lang w:val="pt-PT" w:eastAsia="en-US"/>
        </w:rPr>
      </w:pPr>
      <w:r w:rsidRPr="003F33F9">
        <w:rPr>
          <w:lang w:val="pt-PT" w:eastAsia="en-US"/>
        </w:rPr>
        <w:t>VI PIELIKUMS</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“II PIELIKUMS</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VIDES KVALITĀTES STANDARTI UPES BASEINAM SPECIFISKĀM PIESĀRŅOJOŠAJĀM VIELĀM</w:t>
      </w:r>
    </w:p>
    <w:p w:rsidR="00CB6573" w:rsidRPr="003F33F9" w:rsidRDefault="00CB6573" w:rsidP="00CB6573">
      <w:pPr>
        <w:spacing w:before="120" w:after="120" w:line="360" w:lineRule="auto"/>
        <w:ind w:left="850"/>
        <w:rPr>
          <w:szCs w:val="24"/>
          <w:lang w:val="pt-PT" w:eastAsia="en-US"/>
        </w:rPr>
      </w:pPr>
      <w:r w:rsidRPr="003F33F9">
        <w:rPr>
          <w:szCs w:val="24"/>
          <w:lang w:val="pt-PT" w:eastAsia="en-US"/>
        </w:rPr>
        <w:t xml:space="preserve">A daļa.  UPES BASEINAM SPECIFISKAS PIESĀRŅOJOŠĀS VIELAS: KATEGORIJU SARAKSTS </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1.</w:t>
      </w:r>
      <w:r w:rsidRPr="003F33F9">
        <w:rPr>
          <w:szCs w:val="24"/>
          <w:lang w:val="fi-FI" w:eastAsia="en-US"/>
        </w:rPr>
        <w:tab/>
        <w:t>Halogēnorganiskie savienojumi un vielas, kuras var šādus savienojumus veidot</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ūdens vidē.</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2.</w:t>
      </w:r>
      <w:r w:rsidRPr="003F33F9">
        <w:rPr>
          <w:szCs w:val="24"/>
          <w:lang w:val="fi-FI" w:eastAsia="en-US"/>
        </w:rPr>
        <w:tab/>
        <w:t>Fosfororganiskie savienojumi.</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3.</w:t>
      </w:r>
      <w:r w:rsidRPr="003F33F9">
        <w:rPr>
          <w:szCs w:val="24"/>
          <w:lang w:val="fi-FI" w:eastAsia="en-US"/>
        </w:rPr>
        <w:tab/>
        <w:t>Alvorganiskie savienojumi.</w:t>
      </w:r>
    </w:p>
    <w:p w:rsidR="00CB6573" w:rsidRPr="003F33F9" w:rsidRDefault="00CB6573" w:rsidP="00CB6573">
      <w:pPr>
        <w:spacing w:before="120" w:after="120" w:line="360" w:lineRule="auto"/>
        <w:ind w:left="1416" w:hanging="566"/>
        <w:rPr>
          <w:szCs w:val="24"/>
          <w:lang w:val="fi-FI" w:eastAsia="en-US"/>
        </w:rPr>
      </w:pPr>
      <w:r w:rsidRPr="003F33F9">
        <w:rPr>
          <w:szCs w:val="24"/>
          <w:lang w:val="fi-FI" w:eastAsia="en-US"/>
        </w:rPr>
        <w:t>4.</w:t>
      </w:r>
      <w:r w:rsidRPr="003F33F9">
        <w:rPr>
          <w:szCs w:val="24"/>
          <w:lang w:val="fi-FI" w:eastAsia="en-US"/>
        </w:rPr>
        <w:tab/>
        <w:t>Vielas un preparāti, vai to sadalīšanās produkti, kuriem</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ir pierādītas kancerogēnas un mutagēnas īpašības vai īpašības,</w:t>
      </w:r>
    </w:p>
    <w:p w:rsidR="00CB6573" w:rsidRPr="003F33F9" w:rsidRDefault="00CB6573" w:rsidP="00CB6573">
      <w:pPr>
        <w:spacing w:before="120" w:after="120" w:line="360" w:lineRule="auto"/>
        <w:ind w:left="1416"/>
        <w:rPr>
          <w:szCs w:val="24"/>
          <w:lang w:val="fi-FI" w:eastAsia="en-US"/>
        </w:rPr>
      </w:pPr>
      <w:r w:rsidRPr="003F33F9">
        <w:rPr>
          <w:szCs w:val="24"/>
          <w:lang w:val="fi-FI" w:eastAsia="en-US"/>
        </w:rPr>
        <w:t>kas ūdens vidē vai ar tās starpniecību var ietekmēt steroidogēnās, tiroīdās, reproduktīvās vai citas ar endokrīno sistēmu saistītas organisma funkcijas.</w:t>
      </w:r>
    </w:p>
    <w:p w:rsidR="001D2F52" w:rsidRPr="003F33F9" w:rsidRDefault="001D2F52">
      <w:pPr>
        <w:widowControl/>
        <w:rPr>
          <w:szCs w:val="24"/>
          <w:lang w:val="es-ES" w:eastAsia="en-US"/>
        </w:rPr>
      </w:pPr>
      <w:r w:rsidRPr="003F33F9">
        <w:rPr>
          <w:szCs w:val="24"/>
          <w:lang w:val="es-ES" w:eastAsia="en-US"/>
        </w:rPr>
        <w:br w:type="page"/>
      </w:r>
    </w:p>
    <w:p w:rsidR="00CB6573" w:rsidRPr="003F33F9" w:rsidRDefault="00CB6573" w:rsidP="00CB6573">
      <w:pPr>
        <w:spacing w:before="120" w:after="120" w:line="360" w:lineRule="auto"/>
        <w:ind w:left="1416" w:hanging="566"/>
        <w:rPr>
          <w:szCs w:val="24"/>
          <w:lang w:val="es-ES" w:eastAsia="en-US"/>
        </w:rPr>
      </w:pPr>
      <w:r w:rsidRPr="003F33F9">
        <w:rPr>
          <w:szCs w:val="24"/>
          <w:lang w:val="es-ES" w:eastAsia="en-US"/>
        </w:rPr>
        <w:lastRenderedPageBreak/>
        <w:t>5.</w:t>
      </w:r>
      <w:r w:rsidRPr="003F33F9">
        <w:rPr>
          <w:szCs w:val="24"/>
          <w:lang w:val="es-ES" w:eastAsia="en-US"/>
        </w:rPr>
        <w:tab/>
        <w:t>Noturīgi ogļūdeņraži un noturīgas un bioakumulatīvas organiskas toksiskās</w:t>
      </w:r>
    </w:p>
    <w:p w:rsidR="00CB6573" w:rsidRPr="003F33F9" w:rsidRDefault="00CB6573" w:rsidP="00CB6573">
      <w:pPr>
        <w:spacing w:before="120" w:after="120" w:line="360" w:lineRule="auto"/>
        <w:ind w:left="1416"/>
        <w:rPr>
          <w:szCs w:val="24"/>
          <w:lang w:val="es-ES" w:eastAsia="en-US"/>
        </w:rPr>
      </w:pPr>
      <w:r w:rsidRPr="003F33F9">
        <w:rPr>
          <w:szCs w:val="24"/>
          <w:lang w:val="es-ES" w:eastAsia="en-US"/>
        </w:rPr>
        <w:t>vielas.</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6.</w:t>
      </w:r>
      <w:r w:rsidRPr="003F33F9">
        <w:rPr>
          <w:szCs w:val="24"/>
          <w:lang w:val="it-IT" w:eastAsia="en-US"/>
        </w:rPr>
        <w:tab/>
        <w:t>Cianīdi.</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7.</w:t>
      </w:r>
      <w:r w:rsidRPr="003F33F9">
        <w:rPr>
          <w:szCs w:val="24"/>
          <w:lang w:val="it-IT" w:eastAsia="en-US"/>
        </w:rPr>
        <w:tab/>
        <w:t>Metāli un to savienojumi.</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8.</w:t>
      </w:r>
      <w:r w:rsidRPr="003F33F9">
        <w:rPr>
          <w:szCs w:val="24"/>
          <w:lang w:val="it-IT" w:eastAsia="en-US"/>
        </w:rPr>
        <w:tab/>
        <w:t>Arsēns un tā savienojumi.</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9.</w:t>
      </w:r>
      <w:r w:rsidRPr="003F33F9">
        <w:rPr>
          <w:szCs w:val="24"/>
          <w:lang w:val="it-IT" w:eastAsia="en-US"/>
        </w:rPr>
        <w:tab/>
        <w:t>Biocīdi un augu aizsardzības līdzekļi.</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10.</w:t>
      </w:r>
      <w:r w:rsidRPr="003F33F9">
        <w:rPr>
          <w:szCs w:val="24"/>
          <w:lang w:val="it-IT" w:eastAsia="en-US"/>
        </w:rPr>
        <w:tab/>
        <w:t>Suspendēti materiāli, arī mikro/nanoplastmasa</w:t>
      </w:r>
      <w:r w:rsidRPr="003F33F9">
        <w:rPr>
          <w:b/>
          <w:i/>
          <w:szCs w:val="24"/>
          <w:lang w:val="it-IT" w:eastAsia="en-US"/>
        </w:rPr>
        <w:t>, kā arī materiāli, par kuriem zināms, ka no tiem rodas mikroplastmasa vai nanoplastmasa</w:t>
      </w:r>
      <w:r w:rsidRPr="003F33F9">
        <w:rPr>
          <w:szCs w:val="24"/>
          <w:lang w:val="it-IT" w:eastAsia="en-US"/>
        </w:rPr>
        <w:t>.</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11.</w:t>
      </w:r>
      <w:r w:rsidRPr="003F33F9">
        <w:rPr>
          <w:szCs w:val="24"/>
          <w:lang w:val="it-IT" w:eastAsia="en-US"/>
        </w:rPr>
        <w:tab/>
        <w:t>Eitrofikāciju veicinošas vielas (it īpaši nitrāti un</w:t>
      </w:r>
    </w:p>
    <w:p w:rsidR="00CB6573" w:rsidRPr="003F33F9" w:rsidRDefault="00CB6573" w:rsidP="00CB6573">
      <w:pPr>
        <w:spacing w:before="120" w:after="120" w:line="360" w:lineRule="auto"/>
        <w:ind w:left="1416"/>
        <w:rPr>
          <w:szCs w:val="24"/>
          <w:lang w:val="it-IT" w:eastAsia="en-US"/>
        </w:rPr>
      </w:pPr>
      <w:r w:rsidRPr="003F33F9">
        <w:rPr>
          <w:szCs w:val="24"/>
          <w:lang w:val="it-IT" w:eastAsia="en-US"/>
        </w:rPr>
        <w:t>fosfāti).</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12.</w:t>
      </w:r>
      <w:r w:rsidRPr="003F33F9">
        <w:rPr>
          <w:szCs w:val="24"/>
          <w:lang w:val="it-IT" w:eastAsia="en-US"/>
        </w:rPr>
        <w:tab/>
        <w:t>Vielas, kuras nelabvēlīgi ietekmē skābekļa bilanci un kuras var noteikt, izmantojot tādus parametrus kā BSP, ĶSP u.c.</w:t>
      </w:r>
    </w:p>
    <w:p w:rsidR="001D2F52" w:rsidRPr="003F33F9" w:rsidRDefault="001D2F52">
      <w:pPr>
        <w:widowControl/>
        <w:rPr>
          <w:szCs w:val="24"/>
          <w:lang w:val="it-IT" w:eastAsia="en-US"/>
        </w:rPr>
      </w:pPr>
      <w:r w:rsidRPr="003F33F9">
        <w:rPr>
          <w:szCs w:val="24"/>
          <w:lang w:val="it-IT" w:eastAsia="en-US"/>
        </w:rPr>
        <w:br w:type="page"/>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lastRenderedPageBreak/>
        <w:t>13.</w:t>
      </w:r>
      <w:r w:rsidRPr="003F33F9">
        <w:rPr>
          <w:szCs w:val="24"/>
          <w:lang w:val="it-IT" w:eastAsia="en-US"/>
        </w:rPr>
        <w:tab/>
        <w:t>Mikroorganismi, gēni vai ģenētiskais materiāls, kas uzrāda pret antimikrobiāliem līdzekļiem rezistentu mikroorganismu klātbūtni un it sevišķi cilvēkam vai lauksaimniecības dzīvniekiem patogēnu mikroorganismu klātbūtni.</w:t>
      </w:r>
    </w:p>
    <w:p w:rsidR="00CB6573" w:rsidRPr="003F33F9" w:rsidRDefault="00CB6573" w:rsidP="00CB6573">
      <w:pPr>
        <w:spacing w:before="120" w:after="120" w:line="360" w:lineRule="auto"/>
        <w:ind w:left="850"/>
        <w:rPr>
          <w:szCs w:val="24"/>
          <w:lang w:val="it-IT" w:eastAsia="en-US"/>
        </w:rPr>
      </w:pPr>
      <w:r w:rsidRPr="003F33F9">
        <w:rPr>
          <w:szCs w:val="24"/>
          <w:lang w:val="it-IT" w:eastAsia="en-US"/>
        </w:rPr>
        <w:t>B DAĻA. UPES BASEINAM SPECIFISKAS PIESĀRŅOJOŠĀS VIELAS: VIDES KVALITĀTES STANDARTU IEGŪŠANAS PROCEDŪRA</w:t>
      </w:r>
    </w:p>
    <w:p w:rsidR="00CB6573" w:rsidRPr="003F33F9" w:rsidRDefault="00CB6573" w:rsidP="00CB6573">
      <w:pPr>
        <w:spacing w:before="120" w:after="120" w:line="360" w:lineRule="auto"/>
        <w:ind w:left="850"/>
        <w:rPr>
          <w:szCs w:val="24"/>
          <w:lang w:val="it-IT" w:eastAsia="en-US"/>
        </w:rPr>
      </w:pPr>
      <w:r w:rsidRPr="003F33F9">
        <w:rPr>
          <w:szCs w:val="24"/>
          <w:lang w:val="it-IT" w:eastAsia="en-US"/>
        </w:rPr>
        <w:t>Metodes, ko izmanto, lai noteiktu upes baseinam specifisku piesārņojošo vielu VKS, ietver šādus posmus:</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a)</w:t>
      </w:r>
      <w:r w:rsidRPr="003F33F9">
        <w:rPr>
          <w:szCs w:val="24"/>
          <w:lang w:val="it-IT" w:eastAsia="en-US"/>
        </w:rPr>
        <w:tab/>
        <w:t>to receptoru un segmentu jeb matricu identificēšana, kurus problemātiskā viela apdraud;</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b)</w:t>
      </w:r>
      <w:r w:rsidRPr="003F33F9">
        <w:rPr>
          <w:szCs w:val="24"/>
          <w:lang w:val="it-IT" w:eastAsia="en-US"/>
        </w:rPr>
        <w:tab/>
        <w:t>uz problemātiskās vielas īpašībām, arī uz tās (eko)toksicitāti attiecošos datu kritiska salīdzināšana un kvalitātes novērtēšana, sevišķi ziņojumos par laboratoriskiem, mezokosma un lauka pētījumiem, kas aptver gan hronisku, gan akūtu ietekmi uz saldūdens un sāļūdens vidi;</w:t>
      </w:r>
    </w:p>
    <w:p w:rsidR="001D2F52" w:rsidRPr="003F33F9" w:rsidRDefault="001D2F52">
      <w:pPr>
        <w:widowControl/>
        <w:rPr>
          <w:szCs w:val="24"/>
          <w:lang w:val="it-IT" w:eastAsia="en-US"/>
        </w:rPr>
      </w:pPr>
      <w:r w:rsidRPr="003F33F9">
        <w:rPr>
          <w:szCs w:val="24"/>
          <w:lang w:val="it-IT" w:eastAsia="en-US"/>
        </w:rPr>
        <w:br w:type="page"/>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lastRenderedPageBreak/>
        <w:t>c)</w:t>
      </w:r>
      <w:r w:rsidRPr="003F33F9">
        <w:rPr>
          <w:szCs w:val="24"/>
          <w:lang w:val="it-IT" w:eastAsia="en-US"/>
        </w:rPr>
        <w:tab/>
        <w:t>(eko)toksicitātes datu ekstrapolēšana uz beziedarbības vai līdzīgām koncentrācijām, izmantojot deterministiskas vai varbūtiskas metodes, un piemērotu novērtēšanas faktoru atlasīšana un piemērošana, lai mazinātu nenoteiktību un iegūtu VKS;</w:t>
      </w:r>
    </w:p>
    <w:p w:rsidR="00CB6573" w:rsidRPr="003F33F9" w:rsidRDefault="00CB6573" w:rsidP="00CB6573">
      <w:pPr>
        <w:spacing w:before="120" w:after="120" w:line="360" w:lineRule="auto"/>
        <w:ind w:left="1416" w:hanging="566"/>
        <w:rPr>
          <w:szCs w:val="24"/>
          <w:lang w:val="it-IT" w:eastAsia="en-US"/>
        </w:rPr>
      </w:pPr>
      <w:r w:rsidRPr="003F33F9">
        <w:rPr>
          <w:szCs w:val="24"/>
          <w:lang w:val="it-IT" w:eastAsia="en-US"/>
        </w:rPr>
        <w:t>d)</w:t>
      </w:r>
      <w:r w:rsidRPr="003F33F9">
        <w:rPr>
          <w:szCs w:val="24"/>
          <w:lang w:val="it-IT" w:eastAsia="en-US"/>
        </w:rPr>
        <w:tab/>
        <w:t>dažādu receptoru un segmentu VKS salīdzināšana un kritisko VKS izvēle, resp., tādu VKS izvēle, kuri nodrošina visjutīgākā receptora aizsardzību visbūtiskākajā segmentā jeb matricā.</w:t>
      </w:r>
    </w:p>
    <w:p w:rsidR="00CB6573" w:rsidRPr="003F33F9" w:rsidRDefault="00CB6573" w:rsidP="00CB6573">
      <w:pPr>
        <w:spacing w:before="120" w:after="120" w:line="360" w:lineRule="auto"/>
        <w:ind w:left="1416" w:hanging="566"/>
        <w:rPr>
          <w:b/>
          <w:szCs w:val="24"/>
          <w:lang w:val="it-IT" w:eastAsia="en-US"/>
        </w:rPr>
      </w:pPr>
      <w:r w:rsidRPr="003F33F9">
        <w:rPr>
          <w:b/>
          <w:i/>
          <w:szCs w:val="24"/>
          <w:lang w:val="it-IT" w:eastAsia="en-US"/>
        </w:rPr>
        <w:t>da)</w:t>
      </w:r>
      <w:r w:rsidRPr="003F33F9">
        <w:rPr>
          <w:szCs w:val="24"/>
          <w:lang w:val="it-IT" w:eastAsia="en-US"/>
        </w:rPr>
        <w:tab/>
      </w:r>
      <w:r w:rsidRPr="003F33F9">
        <w:rPr>
          <w:b/>
          <w:i/>
          <w:szCs w:val="24"/>
          <w:lang w:val="it-IT" w:eastAsia="en-US"/>
        </w:rPr>
        <w:t>nosakot VKS metāliem, uzskata, ka bioloģiskās pieejamības modeļos ir ņemti vērā dažādi ūdens kvalitātes parametri, kas ietekmē metālu bioloģisko pieejamību.</w:t>
      </w:r>
      <w:r w:rsidR="001D2F52" w:rsidRPr="003F33F9">
        <w:rPr>
          <w:b/>
          <w:szCs w:val="24"/>
          <w:lang w:val="it-IT" w:eastAsia="en-US"/>
        </w:rPr>
        <w:t xml:space="preserve"> [Gr. 156]</w:t>
      </w:r>
    </w:p>
    <w:p w:rsidR="001D2F52" w:rsidRPr="003F33F9" w:rsidRDefault="001D2F52">
      <w:pPr>
        <w:widowControl/>
        <w:rPr>
          <w:szCs w:val="24"/>
          <w:lang w:val="it-IT" w:eastAsia="en-US"/>
        </w:rPr>
        <w:sectPr w:rsidR="001D2F52" w:rsidRPr="003F33F9" w:rsidSect="005D0D3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D2F52" w:rsidRPr="003F33F9" w:rsidRDefault="00CB6573" w:rsidP="001D2F52">
      <w:pPr>
        <w:spacing w:before="120" w:after="120" w:line="360" w:lineRule="auto"/>
        <w:ind w:left="850"/>
        <w:rPr>
          <w:szCs w:val="24"/>
          <w:lang w:val="it-IT" w:eastAsia="en-US"/>
        </w:rPr>
      </w:pPr>
      <w:r w:rsidRPr="003F33F9">
        <w:rPr>
          <w:szCs w:val="24"/>
          <w:lang w:val="it-IT" w:eastAsia="en-US"/>
        </w:rPr>
        <w:lastRenderedPageBreak/>
        <w:t>C DAĻA. UPES BASEINAM SPECIFISKAS PIESĀRŅOJOŠĀS VIELAS: SASKAŅOTO VIDES KVALITĀTES STANDARTU REPOZITORIJS</w:t>
      </w:r>
    </w:p>
    <w:tbl>
      <w:tblPr>
        <w:tblStyle w:val="TableGrid"/>
        <w:tblW w:w="12753" w:type="dxa"/>
        <w:tblLayout w:type="fixed"/>
        <w:tblLook w:val="04A0" w:firstRow="1" w:lastRow="0" w:firstColumn="1" w:lastColumn="0" w:noHBand="0" w:noVBand="1"/>
      </w:tblPr>
      <w:tblGrid>
        <w:gridCol w:w="1271"/>
        <w:gridCol w:w="1418"/>
        <w:gridCol w:w="992"/>
        <w:gridCol w:w="850"/>
        <w:gridCol w:w="851"/>
        <w:gridCol w:w="709"/>
        <w:gridCol w:w="1275"/>
        <w:gridCol w:w="993"/>
        <w:gridCol w:w="1417"/>
        <w:gridCol w:w="1843"/>
        <w:gridCol w:w="1134"/>
      </w:tblGrid>
      <w:tr w:rsidR="001D2F52" w:rsidRPr="003F33F9" w:rsidTr="001D2F52">
        <w:tc>
          <w:tcPr>
            <w:tcW w:w="1271" w:type="dxa"/>
          </w:tcPr>
          <w:p w:rsidR="001D2F52" w:rsidRPr="003F33F9" w:rsidRDefault="001D2F52" w:rsidP="00084DA0">
            <w:pPr>
              <w:pStyle w:val="Text1"/>
              <w:ind w:left="0"/>
              <w:rPr>
                <w:noProof/>
                <w:sz w:val="22"/>
              </w:rPr>
            </w:pPr>
            <w:r w:rsidRPr="003F33F9">
              <w:rPr>
                <w:noProof/>
                <w:sz w:val="22"/>
              </w:rPr>
              <w:t>[Ieraksts] Nr.</w:t>
            </w:r>
          </w:p>
        </w:tc>
        <w:tc>
          <w:tcPr>
            <w:tcW w:w="1418" w:type="dxa"/>
          </w:tcPr>
          <w:p w:rsidR="001D2F52" w:rsidRPr="003F33F9" w:rsidRDefault="001D2F52" w:rsidP="00084DA0">
            <w:pPr>
              <w:pStyle w:val="Text1"/>
              <w:ind w:left="0"/>
              <w:jc w:val="left"/>
              <w:rPr>
                <w:noProof/>
                <w:sz w:val="22"/>
              </w:rPr>
            </w:pPr>
            <w:r w:rsidRPr="003F33F9">
              <w:rPr>
                <w:noProof/>
                <w:sz w:val="22"/>
              </w:rPr>
              <w:t>Vielas nosaukums</w:t>
            </w:r>
          </w:p>
        </w:tc>
        <w:tc>
          <w:tcPr>
            <w:tcW w:w="992" w:type="dxa"/>
          </w:tcPr>
          <w:p w:rsidR="001D2F52" w:rsidRPr="003F33F9" w:rsidRDefault="001D2F52" w:rsidP="00084DA0">
            <w:pPr>
              <w:pStyle w:val="Text1"/>
              <w:ind w:left="0"/>
              <w:rPr>
                <w:noProof/>
                <w:sz w:val="22"/>
              </w:rPr>
            </w:pPr>
            <w:r w:rsidRPr="003F33F9">
              <w:rPr>
                <w:noProof/>
                <w:sz w:val="22"/>
              </w:rPr>
              <w:t>Vielu kategorija</w:t>
            </w:r>
          </w:p>
        </w:tc>
        <w:tc>
          <w:tcPr>
            <w:tcW w:w="850" w:type="dxa"/>
          </w:tcPr>
          <w:p w:rsidR="001D2F52" w:rsidRPr="003F33F9" w:rsidRDefault="001D2F52" w:rsidP="00084DA0">
            <w:pPr>
              <w:pStyle w:val="Text1"/>
              <w:ind w:left="0"/>
              <w:rPr>
                <w:noProof/>
                <w:sz w:val="22"/>
              </w:rPr>
            </w:pPr>
            <w:r w:rsidRPr="003F33F9">
              <w:rPr>
                <w:i/>
                <w:iCs/>
                <w:noProof/>
                <w:sz w:val="22"/>
              </w:rPr>
              <w:t>CAS</w:t>
            </w:r>
            <w:r w:rsidRPr="003F33F9">
              <w:rPr>
                <w:noProof/>
                <w:sz w:val="22"/>
              </w:rPr>
              <w:t xml:space="preserve"> numurs (</w:t>
            </w:r>
            <w:r w:rsidRPr="003F33F9">
              <w:rPr>
                <w:noProof/>
                <w:sz w:val="22"/>
                <w:vertAlign w:val="superscript"/>
              </w:rPr>
              <w:t>1</w:t>
            </w:r>
            <w:r w:rsidRPr="003F33F9">
              <w:rPr>
                <w:noProof/>
                <w:sz w:val="22"/>
              </w:rPr>
              <w:t>)</w:t>
            </w:r>
          </w:p>
        </w:tc>
        <w:tc>
          <w:tcPr>
            <w:tcW w:w="851" w:type="dxa"/>
          </w:tcPr>
          <w:p w:rsidR="001D2F52" w:rsidRPr="003F33F9" w:rsidRDefault="001D2F52" w:rsidP="00084DA0">
            <w:pPr>
              <w:spacing w:before="40" w:after="40"/>
              <w:rPr>
                <w:noProof/>
                <w:sz w:val="22"/>
              </w:rPr>
            </w:pPr>
            <w:r w:rsidRPr="003F33F9">
              <w:rPr>
                <w:noProof/>
                <w:sz w:val="22"/>
              </w:rPr>
              <w:t>ES numurs (</w:t>
            </w:r>
            <w:r w:rsidRPr="003F33F9">
              <w:rPr>
                <w:noProof/>
                <w:sz w:val="22"/>
                <w:vertAlign w:val="superscript"/>
              </w:rPr>
              <w:t>2</w:t>
            </w:r>
            <w:r w:rsidRPr="003F33F9">
              <w:rPr>
                <w:noProof/>
                <w:sz w:val="22"/>
              </w:rPr>
              <w:t>)</w:t>
            </w:r>
          </w:p>
        </w:tc>
        <w:tc>
          <w:tcPr>
            <w:tcW w:w="709" w:type="dxa"/>
          </w:tcPr>
          <w:p w:rsidR="001D2F52" w:rsidRPr="003F33F9" w:rsidRDefault="001D2F52" w:rsidP="00084DA0">
            <w:pPr>
              <w:spacing w:before="40" w:after="40"/>
              <w:rPr>
                <w:noProof/>
                <w:sz w:val="22"/>
              </w:rPr>
            </w:pPr>
            <w:r w:rsidRPr="003F33F9">
              <w:rPr>
                <w:noProof/>
                <w:sz w:val="22"/>
              </w:rPr>
              <w:t>GVL-VKS (</w:t>
            </w:r>
            <w:r w:rsidRPr="003F33F9">
              <w:rPr>
                <w:noProof/>
                <w:sz w:val="22"/>
                <w:vertAlign w:val="superscript"/>
              </w:rPr>
              <w:t>3</w:t>
            </w:r>
            <w:r w:rsidRPr="003F33F9">
              <w:rPr>
                <w:noProof/>
                <w:sz w:val="22"/>
              </w:rPr>
              <w:t xml:space="preserve">) </w:t>
            </w:r>
          </w:p>
          <w:p w:rsidR="001D2F52" w:rsidRPr="003F33F9" w:rsidRDefault="001D2F52" w:rsidP="00084DA0">
            <w:pPr>
              <w:spacing w:before="40" w:after="40"/>
              <w:rPr>
                <w:noProof/>
                <w:sz w:val="22"/>
              </w:rPr>
            </w:pPr>
            <w:r w:rsidRPr="003F33F9">
              <w:rPr>
                <w:noProof/>
                <w:sz w:val="22"/>
              </w:rPr>
              <w:t>iekšējiem virszemes ūdeņiem (</w:t>
            </w:r>
            <w:r w:rsidRPr="003F33F9">
              <w:rPr>
                <w:noProof/>
                <w:sz w:val="22"/>
                <w:vertAlign w:val="superscript"/>
              </w:rPr>
              <w:t>4</w:t>
            </w:r>
            <w:r w:rsidRPr="003F33F9">
              <w:rPr>
                <w:noProof/>
                <w:sz w:val="22"/>
              </w:rPr>
              <w:t>)</w:t>
            </w:r>
          </w:p>
          <w:p w:rsidR="001D2F52" w:rsidRPr="003F33F9" w:rsidRDefault="001D2F52" w:rsidP="00084DA0">
            <w:pPr>
              <w:pStyle w:val="Text1"/>
              <w:ind w:left="0"/>
              <w:rPr>
                <w:noProof/>
                <w:sz w:val="22"/>
              </w:rPr>
            </w:pPr>
            <w:r w:rsidRPr="003F33F9">
              <w:rPr>
                <w:noProof/>
                <w:sz w:val="22"/>
              </w:rPr>
              <w:t>[µg/l]</w:t>
            </w:r>
          </w:p>
        </w:tc>
        <w:tc>
          <w:tcPr>
            <w:tcW w:w="1275" w:type="dxa"/>
          </w:tcPr>
          <w:p w:rsidR="001D2F52" w:rsidRPr="003F33F9" w:rsidRDefault="001D2F52" w:rsidP="00084DA0">
            <w:pPr>
              <w:spacing w:before="40" w:after="40"/>
              <w:rPr>
                <w:noProof/>
                <w:sz w:val="22"/>
                <w:vertAlign w:val="superscript"/>
              </w:rPr>
            </w:pPr>
            <w:r w:rsidRPr="003F33F9">
              <w:rPr>
                <w:noProof/>
                <w:sz w:val="22"/>
              </w:rPr>
              <w:t>GVL-VKS (</w:t>
            </w:r>
            <w:r w:rsidRPr="003F33F9">
              <w:rPr>
                <w:noProof/>
                <w:sz w:val="22"/>
                <w:vertAlign w:val="superscript"/>
              </w:rPr>
              <w:t>3</w:t>
            </w:r>
            <w:r w:rsidRPr="003F33F9">
              <w:rPr>
                <w:noProof/>
                <w:sz w:val="22"/>
              </w:rPr>
              <w:t>)</w:t>
            </w:r>
          </w:p>
          <w:p w:rsidR="001D2F52" w:rsidRPr="003F33F9" w:rsidRDefault="001D2F52" w:rsidP="00084DA0">
            <w:pPr>
              <w:spacing w:before="40" w:after="40"/>
              <w:rPr>
                <w:noProof/>
                <w:sz w:val="22"/>
              </w:rPr>
            </w:pPr>
            <w:r w:rsidRPr="003F33F9">
              <w:rPr>
                <w:noProof/>
                <w:sz w:val="22"/>
              </w:rPr>
              <w:t xml:space="preserve">citiem virszemes ūdeņiem </w:t>
            </w:r>
          </w:p>
          <w:p w:rsidR="001D2F52" w:rsidRPr="003F33F9" w:rsidRDefault="001D2F52" w:rsidP="00084DA0">
            <w:pPr>
              <w:pStyle w:val="Text1"/>
              <w:ind w:left="0"/>
              <w:rPr>
                <w:noProof/>
                <w:sz w:val="22"/>
              </w:rPr>
            </w:pPr>
            <w:r w:rsidRPr="003F33F9">
              <w:rPr>
                <w:noProof/>
                <w:sz w:val="22"/>
              </w:rPr>
              <w:t>[µg/l]</w:t>
            </w:r>
          </w:p>
        </w:tc>
        <w:tc>
          <w:tcPr>
            <w:tcW w:w="993" w:type="dxa"/>
          </w:tcPr>
          <w:p w:rsidR="001D2F52" w:rsidRPr="003F33F9" w:rsidRDefault="001D2F52" w:rsidP="00084DA0">
            <w:pPr>
              <w:spacing w:before="40" w:after="40"/>
              <w:rPr>
                <w:noProof/>
                <w:sz w:val="22"/>
              </w:rPr>
            </w:pPr>
            <w:r w:rsidRPr="003F33F9">
              <w:rPr>
                <w:noProof/>
                <w:sz w:val="22"/>
              </w:rPr>
              <w:t>MPK-VKS (</w:t>
            </w:r>
            <w:r w:rsidRPr="003F33F9">
              <w:rPr>
                <w:noProof/>
                <w:sz w:val="22"/>
                <w:vertAlign w:val="superscript"/>
              </w:rPr>
              <w:t>5</w:t>
            </w:r>
            <w:r w:rsidRPr="003F33F9">
              <w:rPr>
                <w:noProof/>
                <w:sz w:val="22"/>
              </w:rPr>
              <w:t xml:space="preserve">) </w:t>
            </w:r>
          </w:p>
          <w:p w:rsidR="001D2F52" w:rsidRPr="003F33F9" w:rsidRDefault="001D2F52" w:rsidP="00084DA0">
            <w:pPr>
              <w:spacing w:before="40" w:after="40"/>
              <w:rPr>
                <w:noProof/>
                <w:sz w:val="22"/>
                <w:vertAlign w:val="superscript"/>
              </w:rPr>
            </w:pPr>
            <w:r w:rsidRPr="003F33F9">
              <w:rPr>
                <w:noProof/>
                <w:sz w:val="22"/>
              </w:rPr>
              <w:t>iekšējiem virszemes ūdeņiem (</w:t>
            </w:r>
            <w:r w:rsidRPr="003F33F9">
              <w:rPr>
                <w:noProof/>
                <w:sz w:val="22"/>
                <w:vertAlign w:val="superscript"/>
              </w:rPr>
              <w:t>4</w:t>
            </w:r>
            <w:r w:rsidRPr="003F33F9">
              <w:rPr>
                <w:noProof/>
                <w:sz w:val="22"/>
              </w:rPr>
              <w:t>)</w:t>
            </w:r>
          </w:p>
          <w:p w:rsidR="001D2F52" w:rsidRPr="003F33F9" w:rsidRDefault="001D2F52" w:rsidP="00084DA0">
            <w:pPr>
              <w:spacing w:before="40" w:after="40"/>
              <w:rPr>
                <w:noProof/>
                <w:sz w:val="22"/>
                <w:vertAlign w:val="superscript"/>
              </w:rPr>
            </w:pPr>
            <w:r w:rsidRPr="003F33F9">
              <w:rPr>
                <w:noProof/>
                <w:sz w:val="22"/>
              </w:rPr>
              <w:t xml:space="preserve"> </w:t>
            </w:r>
          </w:p>
          <w:p w:rsidR="001D2F52" w:rsidRPr="003F33F9" w:rsidRDefault="001D2F52" w:rsidP="00084DA0">
            <w:pPr>
              <w:pStyle w:val="Text1"/>
              <w:ind w:left="0"/>
              <w:rPr>
                <w:noProof/>
                <w:sz w:val="22"/>
              </w:rPr>
            </w:pPr>
            <w:r w:rsidRPr="003F33F9">
              <w:rPr>
                <w:noProof/>
                <w:sz w:val="22"/>
              </w:rPr>
              <w:t>[µg/l]</w:t>
            </w:r>
          </w:p>
        </w:tc>
        <w:tc>
          <w:tcPr>
            <w:tcW w:w="1417" w:type="dxa"/>
          </w:tcPr>
          <w:p w:rsidR="001D2F52" w:rsidRPr="003F33F9" w:rsidRDefault="001D2F52" w:rsidP="00084DA0">
            <w:pPr>
              <w:spacing w:before="40" w:after="40"/>
              <w:rPr>
                <w:noProof/>
                <w:sz w:val="22"/>
              </w:rPr>
            </w:pPr>
            <w:r w:rsidRPr="003F33F9">
              <w:rPr>
                <w:noProof/>
                <w:sz w:val="22"/>
              </w:rPr>
              <w:t>MPK-VKS (</w:t>
            </w:r>
            <w:r w:rsidRPr="003F33F9">
              <w:rPr>
                <w:noProof/>
                <w:sz w:val="22"/>
                <w:vertAlign w:val="superscript"/>
              </w:rPr>
              <w:t>5</w:t>
            </w:r>
            <w:r w:rsidRPr="003F33F9">
              <w:rPr>
                <w:noProof/>
                <w:sz w:val="22"/>
              </w:rPr>
              <w:t>)</w:t>
            </w:r>
          </w:p>
          <w:p w:rsidR="001D2F52" w:rsidRPr="003F33F9" w:rsidRDefault="001D2F52" w:rsidP="00084DA0">
            <w:pPr>
              <w:spacing w:before="40" w:after="40"/>
              <w:rPr>
                <w:noProof/>
                <w:sz w:val="22"/>
              </w:rPr>
            </w:pPr>
            <w:r w:rsidRPr="003F33F9">
              <w:rPr>
                <w:noProof/>
                <w:sz w:val="22"/>
              </w:rPr>
              <w:t>citiem virszemes ūdeņiem</w:t>
            </w:r>
          </w:p>
          <w:p w:rsidR="001D2F52" w:rsidRPr="003F33F9" w:rsidRDefault="001D2F52" w:rsidP="00084DA0">
            <w:pPr>
              <w:pStyle w:val="Text1"/>
              <w:ind w:left="0"/>
              <w:rPr>
                <w:noProof/>
                <w:sz w:val="22"/>
              </w:rPr>
            </w:pPr>
            <w:r w:rsidRPr="003F33F9">
              <w:rPr>
                <w:noProof/>
                <w:sz w:val="22"/>
              </w:rPr>
              <w:t>[µg/l]</w:t>
            </w:r>
          </w:p>
        </w:tc>
        <w:tc>
          <w:tcPr>
            <w:tcW w:w="1843" w:type="dxa"/>
            <w:tcBorders>
              <w:right w:val="single" w:sz="4" w:space="0" w:color="auto"/>
            </w:tcBorders>
          </w:tcPr>
          <w:p w:rsidR="001D2F52" w:rsidRPr="003F33F9" w:rsidRDefault="001D2F52" w:rsidP="00084DA0">
            <w:pPr>
              <w:spacing w:before="40" w:after="40"/>
              <w:rPr>
                <w:noProof/>
                <w:sz w:val="22"/>
              </w:rPr>
            </w:pPr>
            <w:r w:rsidRPr="003F33F9">
              <w:rPr>
                <w:noProof/>
                <w:sz w:val="22"/>
              </w:rPr>
              <w:t>VKS</w:t>
            </w:r>
          </w:p>
          <w:p w:rsidR="001D2F52" w:rsidRPr="003F33F9" w:rsidRDefault="001D2F52" w:rsidP="00084DA0">
            <w:pPr>
              <w:spacing w:before="40" w:after="40"/>
              <w:rPr>
                <w:noProof/>
                <w:sz w:val="22"/>
              </w:rPr>
            </w:pPr>
            <w:r w:rsidRPr="003F33F9">
              <w:rPr>
                <w:noProof/>
                <w:sz w:val="22"/>
              </w:rPr>
              <w:t>biotai (</w:t>
            </w:r>
            <w:r w:rsidRPr="003F33F9">
              <w:rPr>
                <w:noProof/>
                <w:sz w:val="22"/>
                <w:vertAlign w:val="superscript"/>
              </w:rPr>
              <w:t>6</w:t>
            </w:r>
            <w:r w:rsidRPr="003F33F9">
              <w:rPr>
                <w:noProof/>
                <w:sz w:val="22"/>
              </w:rPr>
              <w:t>)</w:t>
            </w:r>
          </w:p>
          <w:p w:rsidR="001D2F52" w:rsidRPr="003F33F9" w:rsidRDefault="001D2F52" w:rsidP="00084DA0">
            <w:pPr>
              <w:pStyle w:val="Text1"/>
              <w:ind w:left="0"/>
              <w:rPr>
                <w:noProof/>
                <w:sz w:val="22"/>
              </w:rPr>
            </w:pPr>
            <w:r w:rsidRPr="003F33F9">
              <w:rPr>
                <w:noProof/>
                <w:sz w:val="22"/>
              </w:rPr>
              <w:t>[μg/kg mitrā svara] vai VKS sedimentiem, ja tā norādīts [µg/kg sausā svara]</w:t>
            </w:r>
          </w:p>
        </w:tc>
        <w:tc>
          <w:tcPr>
            <w:tcW w:w="1134" w:type="dxa"/>
            <w:tcBorders>
              <w:right w:val="single" w:sz="4" w:space="0" w:color="auto"/>
            </w:tcBorders>
          </w:tcPr>
          <w:p w:rsidR="001D2F52" w:rsidRPr="003F33F9" w:rsidRDefault="001D2F52" w:rsidP="00084DA0">
            <w:pPr>
              <w:spacing w:before="40" w:after="40"/>
              <w:rPr>
                <w:noProof/>
                <w:sz w:val="22"/>
              </w:rPr>
            </w:pPr>
          </w:p>
        </w:tc>
      </w:tr>
      <w:tr w:rsidR="001D2F52" w:rsidRPr="003F33F9" w:rsidTr="001D2F52">
        <w:tc>
          <w:tcPr>
            <w:tcW w:w="1271" w:type="dxa"/>
          </w:tcPr>
          <w:p w:rsidR="001D2F52" w:rsidRPr="003F33F9" w:rsidRDefault="001D2F52" w:rsidP="00084DA0">
            <w:pPr>
              <w:pStyle w:val="Text1"/>
              <w:ind w:left="0"/>
              <w:rPr>
                <w:noProof/>
                <w:sz w:val="22"/>
              </w:rPr>
            </w:pPr>
            <w:r w:rsidRPr="003F33F9">
              <w:rPr>
                <w:noProof/>
                <w:sz w:val="22"/>
              </w:rPr>
              <w:t>1</w:t>
            </w:r>
          </w:p>
        </w:tc>
        <w:tc>
          <w:tcPr>
            <w:tcW w:w="1418" w:type="dxa"/>
            <w:tcMar>
              <w:left w:w="57" w:type="dxa"/>
              <w:right w:w="57" w:type="dxa"/>
            </w:tcMar>
          </w:tcPr>
          <w:p w:rsidR="001D2F52" w:rsidRPr="003F33F9" w:rsidRDefault="001D2F52" w:rsidP="00084DA0">
            <w:pPr>
              <w:pStyle w:val="Text1"/>
              <w:ind w:left="0"/>
              <w:jc w:val="left"/>
              <w:rPr>
                <w:noProof/>
                <w:sz w:val="22"/>
              </w:rPr>
            </w:pPr>
            <w:r w:rsidRPr="003F33F9">
              <w:rPr>
                <w:noProof/>
                <w:sz w:val="22"/>
              </w:rPr>
              <w:t>Alahlors (</w:t>
            </w:r>
            <w:r w:rsidRPr="003F33F9">
              <w:rPr>
                <w:noProof/>
                <w:sz w:val="22"/>
                <w:vertAlign w:val="superscript"/>
              </w:rPr>
              <w:t>7</w:t>
            </w:r>
            <w:r w:rsidRPr="003F33F9">
              <w:rPr>
                <w:noProof/>
                <w:sz w:val="22"/>
              </w:rPr>
              <w:t>)</w:t>
            </w:r>
          </w:p>
        </w:tc>
        <w:tc>
          <w:tcPr>
            <w:tcW w:w="992" w:type="dxa"/>
          </w:tcPr>
          <w:p w:rsidR="001D2F52" w:rsidRPr="003F33F9" w:rsidRDefault="001D2F52" w:rsidP="00084DA0">
            <w:pPr>
              <w:pStyle w:val="Text1"/>
              <w:ind w:left="0"/>
              <w:rPr>
                <w:noProof/>
                <w:sz w:val="22"/>
              </w:rPr>
            </w:pPr>
            <w:r w:rsidRPr="003F33F9">
              <w:rPr>
                <w:noProof/>
                <w:sz w:val="22"/>
              </w:rPr>
              <w:t>Pesticīdi</w:t>
            </w:r>
          </w:p>
        </w:tc>
        <w:tc>
          <w:tcPr>
            <w:tcW w:w="850" w:type="dxa"/>
            <w:tcMar>
              <w:left w:w="28" w:type="dxa"/>
              <w:right w:w="28" w:type="dxa"/>
            </w:tcMar>
          </w:tcPr>
          <w:p w:rsidR="001D2F52" w:rsidRPr="003F33F9" w:rsidRDefault="001D2F52" w:rsidP="00084DA0">
            <w:pPr>
              <w:pStyle w:val="Text1"/>
              <w:ind w:left="0"/>
              <w:rPr>
                <w:noProof/>
                <w:sz w:val="22"/>
              </w:rPr>
            </w:pPr>
            <w:r w:rsidRPr="003F33F9">
              <w:rPr>
                <w:noProof/>
                <w:sz w:val="22"/>
              </w:rPr>
              <w:t>15972-60-8</w:t>
            </w:r>
          </w:p>
        </w:tc>
        <w:tc>
          <w:tcPr>
            <w:tcW w:w="851" w:type="dxa"/>
          </w:tcPr>
          <w:p w:rsidR="001D2F52" w:rsidRPr="003F33F9" w:rsidRDefault="001D2F52" w:rsidP="00084DA0">
            <w:pPr>
              <w:pStyle w:val="Text1"/>
              <w:ind w:left="0"/>
              <w:rPr>
                <w:noProof/>
                <w:sz w:val="22"/>
              </w:rPr>
            </w:pPr>
            <w:r w:rsidRPr="003F33F9">
              <w:rPr>
                <w:noProof/>
                <w:sz w:val="22"/>
              </w:rPr>
              <w:t>240-110-8</w:t>
            </w:r>
          </w:p>
        </w:tc>
        <w:tc>
          <w:tcPr>
            <w:tcW w:w="709" w:type="dxa"/>
          </w:tcPr>
          <w:p w:rsidR="001D2F52" w:rsidRPr="003F33F9" w:rsidRDefault="001D2F52" w:rsidP="00084DA0">
            <w:pPr>
              <w:pStyle w:val="Text1"/>
              <w:ind w:left="0"/>
              <w:rPr>
                <w:noProof/>
                <w:sz w:val="22"/>
              </w:rPr>
            </w:pPr>
            <w:r w:rsidRPr="003F33F9">
              <w:rPr>
                <w:noProof/>
                <w:sz w:val="22"/>
              </w:rPr>
              <w:t>0,3</w:t>
            </w:r>
          </w:p>
        </w:tc>
        <w:tc>
          <w:tcPr>
            <w:tcW w:w="1275" w:type="dxa"/>
          </w:tcPr>
          <w:p w:rsidR="001D2F52" w:rsidRPr="003F33F9" w:rsidRDefault="001D2F52" w:rsidP="00084DA0">
            <w:pPr>
              <w:pStyle w:val="Text1"/>
              <w:ind w:left="0"/>
              <w:rPr>
                <w:noProof/>
                <w:sz w:val="22"/>
              </w:rPr>
            </w:pPr>
            <w:r w:rsidRPr="003F33F9">
              <w:rPr>
                <w:noProof/>
                <w:sz w:val="22"/>
              </w:rPr>
              <w:t>0,3</w:t>
            </w:r>
          </w:p>
        </w:tc>
        <w:tc>
          <w:tcPr>
            <w:tcW w:w="993" w:type="dxa"/>
          </w:tcPr>
          <w:p w:rsidR="001D2F52" w:rsidRPr="003F33F9" w:rsidRDefault="001D2F52" w:rsidP="00084DA0">
            <w:pPr>
              <w:pStyle w:val="Text1"/>
              <w:ind w:left="0"/>
              <w:rPr>
                <w:noProof/>
                <w:sz w:val="22"/>
              </w:rPr>
            </w:pPr>
            <w:r w:rsidRPr="003F33F9">
              <w:rPr>
                <w:noProof/>
                <w:sz w:val="22"/>
              </w:rPr>
              <w:t>0,7</w:t>
            </w:r>
          </w:p>
        </w:tc>
        <w:tc>
          <w:tcPr>
            <w:tcW w:w="1417" w:type="dxa"/>
          </w:tcPr>
          <w:p w:rsidR="001D2F52" w:rsidRPr="003F33F9" w:rsidRDefault="001D2F52" w:rsidP="00084DA0">
            <w:pPr>
              <w:pStyle w:val="Text1"/>
              <w:ind w:left="0"/>
              <w:rPr>
                <w:noProof/>
                <w:sz w:val="22"/>
              </w:rPr>
            </w:pPr>
            <w:r w:rsidRPr="003F33F9">
              <w:rPr>
                <w:noProof/>
                <w:sz w:val="22"/>
              </w:rPr>
              <w:t>0,7</w:t>
            </w:r>
          </w:p>
        </w:tc>
        <w:tc>
          <w:tcPr>
            <w:tcW w:w="1843" w:type="dxa"/>
          </w:tcPr>
          <w:p w:rsidR="001D2F52" w:rsidRPr="003F33F9" w:rsidRDefault="001D2F52" w:rsidP="00084DA0">
            <w:pPr>
              <w:pStyle w:val="Text1"/>
              <w:ind w:left="0"/>
              <w:rPr>
                <w:noProof/>
                <w:sz w:val="22"/>
              </w:rPr>
            </w:pPr>
          </w:p>
        </w:tc>
        <w:tc>
          <w:tcPr>
            <w:tcW w:w="1134" w:type="dxa"/>
          </w:tcPr>
          <w:p w:rsidR="001D2F52" w:rsidRPr="003F33F9" w:rsidRDefault="001D2F52" w:rsidP="00084DA0">
            <w:pPr>
              <w:pStyle w:val="Text1"/>
              <w:ind w:left="0"/>
              <w:rPr>
                <w:noProof/>
                <w:sz w:val="22"/>
              </w:rPr>
            </w:pPr>
          </w:p>
        </w:tc>
      </w:tr>
      <w:tr w:rsidR="001D2F52" w:rsidRPr="003F33F9" w:rsidTr="001D2F52">
        <w:tc>
          <w:tcPr>
            <w:tcW w:w="1271" w:type="dxa"/>
          </w:tcPr>
          <w:p w:rsidR="001D2F52" w:rsidRPr="003F33F9" w:rsidRDefault="001D2F52" w:rsidP="00084DA0">
            <w:pPr>
              <w:pStyle w:val="Text1"/>
              <w:ind w:left="0"/>
              <w:rPr>
                <w:noProof/>
                <w:sz w:val="22"/>
              </w:rPr>
            </w:pPr>
            <w:r w:rsidRPr="003F33F9">
              <w:rPr>
                <w:noProof/>
                <w:sz w:val="22"/>
              </w:rPr>
              <w:t>2</w:t>
            </w:r>
          </w:p>
        </w:tc>
        <w:tc>
          <w:tcPr>
            <w:tcW w:w="1418" w:type="dxa"/>
            <w:tcMar>
              <w:left w:w="57" w:type="dxa"/>
              <w:right w:w="57" w:type="dxa"/>
            </w:tcMar>
          </w:tcPr>
          <w:p w:rsidR="001D2F52" w:rsidRPr="003F33F9" w:rsidRDefault="001D2F52" w:rsidP="00084DA0">
            <w:pPr>
              <w:pStyle w:val="Text1"/>
              <w:ind w:left="0"/>
              <w:jc w:val="left"/>
              <w:rPr>
                <w:noProof/>
                <w:sz w:val="22"/>
              </w:rPr>
            </w:pPr>
            <w:r w:rsidRPr="003F33F9">
              <w:rPr>
                <w:noProof/>
                <w:sz w:val="22"/>
              </w:rPr>
              <w:t>Tetrahlorogleklis (</w:t>
            </w:r>
            <w:r w:rsidRPr="003F33F9">
              <w:rPr>
                <w:noProof/>
                <w:sz w:val="22"/>
                <w:vertAlign w:val="superscript"/>
              </w:rPr>
              <w:t>7</w:t>
            </w:r>
            <w:r w:rsidRPr="003F33F9">
              <w:rPr>
                <w:noProof/>
                <w:sz w:val="22"/>
              </w:rPr>
              <w:t>)</w:t>
            </w:r>
          </w:p>
        </w:tc>
        <w:tc>
          <w:tcPr>
            <w:tcW w:w="992" w:type="dxa"/>
          </w:tcPr>
          <w:p w:rsidR="001D2F52" w:rsidRPr="003F33F9" w:rsidRDefault="001D2F52" w:rsidP="00084DA0">
            <w:pPr>
              <w:pStyle w:val="Text1"/>
              <w:ind w:left="0"/>
              <w:rPr>
                <w:noProof/>
                <w:sz w:val="22"/>
              </w:rPr>
            </w:pPr>
            <w:r w:rsidRPr="003F33F9">
              <w:rPr>
                <w:noProof/>
                <w:sz w:val="22"/>
              </w:rPr>
              <w:t>Rūpniecībā lietotas vielas</w:t>
            </w:r>
          </w:p>
        </w:tc>
        <w:tc>
          <w:tcPr>
            <w:tcW w:w="850" w:type="dxa"/>
            <w:tcMar>
              <w:left w:w="28" w:type="dxa"/>
              <w:right w:w="28" w:type="dxa"/>
            </w:tcMar>
          </w:tcPr>
          <w:p w:rsidR="001D2F52" w:rsidRPr="003F33F9" w:rsidRDefault="001D2F52" w:rsidP="00084DA0">
            <w:pPr>
              <w:pStyle w:val="Text1"/>
              <w:ind w:left="0"/>
              <w:rPr>
                <w:noProof/>
                <w:sz w:val="22"/>
              </w:rPr>
            </w:pPr>
            <w:r w:rsidRPr="003F33F9">
              <w:rPr>
                <w:noProof/>
                <w:sz w:val="22"/>
              </w:rPr>
              <w:t>56-23-5</w:t>
            </w:r>
          </w:p>
        </w:tc>
        <w:tc>
          <w:tcPr>
            <w:tcW w:w="851" w:type="dxa"/>
          </w:tcPr>
          <w:p w:rsidR="001D2F52" w:rsidRPr="003F33F9" w:rsidRDefault="001D2F52" w:rsidP="00084DA0">
            <w:pPr>
              <w:pStyle w:val="Text1"/>
              <w:ind w:left="0"/>
              <w:rPr>
                <w:noProof/>
                <w:sz w:val="22"/>
              </w:rPr>
            </w:pPr>
            <w:r w:rsidRPr="003F33F9">
              <w:rPr>
                <w:noProof/>
                <w:sz w:val="22"/>
              </w:rPr>
              <w:t>200-262-8</w:t>
            </w:r>
          </w:p>
        </w:tc>
        <w:tc>
          <w:tcPr>
            <w:tcW w:w="709" w:type="dxa"/>
          </w:tcPr>
          <w:p w:rsidR="001D2F52" w:rsidRPr="003F33F9" w:rsidRDefault="001D2F52" w:rsidP="00084DA0">
            <w:pPr>
              <w:pStyle w:val="Text1"/>
              <w:ind w:left="0"/>
              <w:rPr>
                <w:noProof/>
                <w:sz w:val="22"/>
              </w:rPr>
            </w:pPr>
            <w:r w:rsidRPr="003F33F9">
              <w:rPr>
                <w:noProof/>
                <w:sz w:val="22"/>
              </w:rPr>
              <w:t xml:space="preserve">12 </w:t>
            </w:r>
          </w:p>
        </w:tc>
        <w:tc>
          <w:tcPr>
            <w:tcW w:w="1275" w:type="dxa"/>
          </w:tcPr>
          <w:p w:rsidR="001D2F52" w:rsidRPr="003F33F9" w:rsidRDefault="001D2F52" w:rsidP="00084DA0">
            <w:pPr>
              <w:pStyle w:val="Text1"/>
              <w:ind w:left="0"/>
              <w:rPr>
                <w:noProof/>
                <w:sz w:val="22"/>
              </w:rPr>
            </w:pPr>
            <w:r w:rsidRPr="003F33F9">
              <w:rPr>
                <w:noProof/>
                <w:sz w:val="22"/>
              </w:rPr>
              <w:t>12</w:t>
            </w:r>
          </w:p>
        </w:tc>
        <w:tc>
          <w:tcPr>
            <w:tcW w:w="993" w:type="dxa"/>
          </w:tcPr>
          <w:p w:rsidR="001D2F52" w:rsidRPr="003F33F9" w:rsidRDefault="001D2F52" w:rsidP="00084DA0">
            <w:pPr>
              <w:pStyle w:val="Text1"/>
              <w:ind w:left="0"/>
              <w:rPr>
                <w:noProof/>
                <w:sz w:val="22"/>
              </w:rPr>
            </w:pPr>
            <w:r w:rsidRPr="003F33F9">
              <w:rPr>
                <w:noProof/>
                <w:sz w:val="22"/>
              </w:rPr>
              <w:t>Nepiemēro</w:t>
            </w:r>
          </w:p>
        </w:tc>
        <w:tc>
          <w:tcPr>
            <w:tcW w:w="1417" w:type="dxa"/>
          </w:tcPr>
          <w:p w:rsidR="001D2F52" w:rsidRPr="003F33F9" w:rsidRDefault="001D2F52" w:rsidP="00084DA0">
            <w:pPr>
              <w:pStyle w:val="Text1"/>
              <w:ind w:left="0"/>
              <w:rPr>
                <w:noProof/>
                <w:sz w:val="22"/>
              </w:rPr>
            </w:pPr>
            <w:r w:rsidRPr="003F33F9">
              <w:rPr>
                <w:noProof/>
                <w:sz w:val="22"/>
              </w:rPr>
              <w:t>Nepiemēro</w:t>
            </w:r>
          </w:p>
        </w:tc>
        <w:tc>
          <w:tcPr>
            <w:tcW w:w="1843" w:type="dxa"/>
          </w:tcPr>
          <w:p w:rsidR="001D2F52" w:rsidRPr="003F33F9" w:rsidRDefault="001D2F52" w:rsidP="00084DA0">
            <w:pPr>
              <w:pStyle w:val="Text1"/>
              <w:ind w:left="0"/>
              <w:rPr>
                <w:noProof/>
                <w:sz w:val="22"/>
              </w:rPr>
            </w:pPr>
          </w:p>
        </w:tc>
        <w:tc>
          <w:tcPr>
            <w:tcW w:w="1134" w:type="dxa"/>
          </w:tcPr>
          <w:p w:rsidR="001D2F52" w:rsidRPr="003F33F9" w:rsidRDefault="001D2F52" w:rsidP="00084DA0">
            <w:pPr>
              <w:pStyle w:val="Text1"/>
              <w:ind w:left="0"/>
              <w:rPr>
                <w:noProof/>
                <w:sz w:val="22"/>
              </w:rPr>
            </w:pPr>
          </w:p>
        </w:tc>
      </w:tr>
      <w:tr w:rsidR="001D2F52" w:rsidRPr="003F33F9" w:rsidTr="001D2F52">
        <w:tc>
          <w:tcPr>
            <w:tcW w:w="1271" w:type="dxa"/>
          </w:tcPr>
          <w:p w:rsidR="001D2F52" w:rsidRPr="003F33F9" w:rsidRDefault="001D2F52" w:rsidP="00084DA0">
            <w:pPr>
              <w:pStyle w:val="Text1"/>
              <w:ind w:left="0"/>
              <w:rPr>
                <w:noProof/>
                <w:sz w:val="22"/>
              </w:rPr>
            </w:pPr>
            <w:r w:rsidRPr="003F33F9">
              <w:rPr>
                <w:noProof/>
                <w:sz w:val="22"/>
              </w:rPr>
              <w:t>3</w:t>
            </w:r>
          </w:p>
        </w:tc>
        <w:tc>
          <w:tcPr>
            <w:tcW w:w="1418" w:type="dxa"/>
            <w:tcMar>
              <w:left w:w="57" w:type="dxa"/>
              <w:right w:w="57" w:type="dxa"/>
            </w:tcMar>
          </w:tcPr>
          <w:p w:rsidR="001D2F52" w:rsidRPr="003F33F9" w:rsidRDefault="001D2F52" w:rsidP="00084DA0">
            <w:pPr>
              <w:pStyle w:val="Text1"/>
              <w:ind w:left="0"/>
              <w:jc w:val="left"/>
              <w:rPr>
                <w:noProof/>
                <w:sz w:val="22"/>
              </w:rPr>
            </w:pPr>
            <w:r w:rsidRPr="003F33F9">
              <w:rPr>
                <w:noProof/>
                <w:sz w:val="22"/>
              </w:rPr>
              <w:t>Hlorfenvinfoss (</w:t>
            </w:r>
            <w:r w:rsidRPr="003F33F9">
              <w:rPr>
                <w:noProof/>
                <w:sz w:val="22"/>
                <w:vertAlign w:val="superscript"/>
              </w:rPr>
              <w:t>7</w:t>
            </w:r>
            <w:r w:rsidRPr="003F33F9">
              <w:rPr>
                <w:noProof/>
                <w:sz w:val="22"/>
              </w:rPr>
              <w:t>)</w:t>
            </w:r>
          </w:p>
        </w:tc>
        <w:tc>
          <w:tcPr>
            <w:tcW w:w="992" w:type="dxa"/>
          </w:tcPr>
          <w:p w:rsidR="001D2F52" w:rsidRPr="003F33F9" w:rsidRDefault="001D2F52" w:rsidP="00084DA0">
            <w:pPr>
              <w:pStyle w:val="Text1"/>
              <w:ind w:left="0"/>
              <w:rPr>
                <w:noProof/>
                <w:sz w:val="22"/>
              </w:rPr>
            </w:pPr>
            <w:r w:rsidRPr="003F33F9">
              <w:rPr>
                <w:noProof/>
                <w:sz w:val="22"/>
              </w:rPr>
              <w:t>Pesticīds</w:t>
            </w:r>
          </w:p>
        </w:tc>
        <w:tc>
          <w:tcPr>
            <w:tcW w:w="850" w:type="dxa"/>
            <w:tcMar>
              <w:left w:w="28" w:type="dxa"/>
              <w:right w:w="28" w:type="dxa"/>
            </w:tcMar>
          </w:tcPr>
          <w:p w:rsidR="001D2F52" w:rsidRPr="003F33F9" w:rsidRDefault="001D2F52" w:rsidP="00084DA0">
            <w:pPr>
              <w:pStyle w:val="Text1"/>
              <w:ind w:left="0"/>
              <w:rPr>
                <w:noProof/>
                <w:sz w:val="22"/>
              </w:rPr>
            </w:pPr>
            <w:r w:rsidRPr="003F33F9">
              <w:rPr>
                <w:noProof/>
                <w:sz w:val="22"/>
              </w:rPr>
              <w:t>470-90-6</w:t>
            </w:r>
          </w:p>
        </w:tc>
        <w:tc>
          <w:tcPr>
            <w:tcW w:w="851" w:type="dxa"/>
          </w:tcPr>
          <w:p w:rsidR="001D2F52" w:rsidRPr="003F33F9" w:rsidRDefault="001D2F52" w:rsidP="00084DA0">
            <w:pPr>
              <w:pStyle w:val="Text1"/>
              <w:ind w:left="0"/>
              <w:rPr>
                <w:noProof/>
                <w:sz w:val="22"/>
              </w:rPr>
            </w:pPr>
            <w:r w:rsidRPr="003F33F9">
              <w:rPr>
                <w:noProof/>
                <w:sz w:val="22"/>
              </w:rPr>
              <w:t>207-432-0</w:t>
            </w:r>
          </w:p>
        </w:tc>
        <w:tc>
          <w:tcPr>
            <w:tcW w:w="709" w:type="dxa"/>
          </w:tcPr>
          <w:p w:rsidR="001D2F52" w:rsidRPr="003F33F9" w:rsidRDefault="001D2F52" w:rsidP="00084DA0">
            <w:pPr>
              <w:pStyle w:val="Text1"/>
              <w:ind w:left="0"/>
              <w:rPr>
                <w:noProof/>
                <w:sz w:val="22"/>
              </w:rPr>
            </w:pPr>
            <w:r w:rsidRPr="003F33F9">
              <w:rPr>
                <w:noProof/>
                <w:sz w:val="22"/>
              </w:rPr>
              <w:t>0,1</w:t>
            </w:r>
          </w:p>
        </w:tc>
        <w:tc>
          <w:tcPr>
            <w:tcW w:w="1275" w:type="dxa"/>
          </w:tcPr>
          <w:p w:rsidR="001D2F52" w:rsidRPr="003F33F9" w:rsidRDefault="001D2F52" w:rsidP="00084DA0">
            <w:pPr>
              <w:pStyle w:val="Text1"/>
              <w:ind w:left="0"/>
              <w:rPr>
                <w:noProof/>
                <w:sz w:val="22"/>
              </w:rPr>
            </w:pPr>
            <w:r w:rsidRPr="003F33F9">
              <w:rPr>
                <w:noProof/>
                <w:sz w:val="22"/>
              </w:rPr>
              <w:t>0,1</w:t>
            </w:r>
          </w:p>
        </w:tc>
        <w:tc>
          <w:tcPr>
            <w:tcW w:w="993" w:type="dxa"/>
          </w:tcPr>
          <w:p w:rsidR="001D2F52" w:rsidRPr="003F33F9" w:rsidRDefault="001D2F52" w:rsidP="00084DA0">
            <w:pPr>
              <w:pStyle w:val="Text1"/>
              <w:ind w:left="0"/>
              <w:rPr>
                <w:noProof/>
                <w:sz w:val="22"/>
              </w:rPr>
            </w:pPr>
            <w:r w:rsidRPr="003F33F9">
              <w:rPr>
                <w:noProof/>
                <w:sz w:val="22"/>
              </w:rPr>
              <w:t>0,3</w:t>
            </w:r>
          </w:p>
        </w:tc>
        <w:tc>
          <w:tcPr>
            <w:tcW w:w="1417" w:type="dxa"/>
          </w:tcPr>
          <w:p w:rsidR="001D2F52" w:rsidRPr="003F33F9" w:rsidRDefault="001D2F52" w:rsidP="00084DA0">
            <w:pPr>
              <w:pStyle w:val="Text1"/>
              <w:ind w:left="0"/>
              <w:rPr>
                <w:noProof/>
                <w:sz w:val="22"/>
              </w:rPr>
            </w:pPr>
            <w:r w:rsidRPr="003F33F9">
              <w:rPr>
                <w:noProof/>
                <w:sz w:val="22"/>
              </w:rPr>
              <w:t>0,3</w:t>
            </w:r>
          </w:p>
        </w:tc>
        <w:tc>
          <w:tcPr>
            <w:tcW w:w="1843" w:type="dxa"/>
          </w:tcPr>
          <w:p w:rsidR="001D2F52" w:rsidRPr="003F33F9" w:rsidRDefault="001D2F52" w:rsidP="00084DA0">
            <w:pPr>
              <w:pStyle w:val="Text1"/>
              <w:ind w:left="0"/>
              <w:rPr>
                <w:noProof/>
                <w:sz w:val="22"/>
              </w:rPr>
            </w:pPr>
          </w:p>
        </w:tc>
        <w:tc>
          <w:tcPr>
            <w:tcW w:w="1134" w:type="dxa"/>
          </w:tcPr>
          <w:p w:rsidR="001D2F52" w:rsidRPr="003F33F9" w:rsidRDefault="001D2F52" w:rsidP="00084DA0">
            <w:pPr>
              <w:pStyle w:val="Text1"/>
              <w:ind w:left="0"/>
              <w:rPr>
                <w:noProof/>
                <w:sz w:val="22"/>
              </w:rPr>
            </w:pPr>
          </w:p>
        </w:tc>
      </w:tr>
      <w:tr w:rsidR="001D2F52" w:rsidRPr="003F33F9" w:rsidTr="001D2F52">
        <w:tc>
          <w:tcPr>
            <w:tcW w:w="1271" w:type="dxa"/>
          </w:tcPr>
          <w:p w:rsidR="001D2F52" w:rsidRPr="003F33F9" w:rsidRDefault="001D2F52" w:rsidP="00084DA0">
            <w:pPr>
              <w:pStyle w:val="Text1"/>
              <w:ind w:left="0"/>
              <w:rPr>
                <w:noProof/>
                <w:sz w:val="22"/>
              </w:rPr>
            </w:pPr>
            <w:r w:rsidRPr="003F33F9">
              <w:rPr>
                <w:noProof/>
                <w:sz w:val="22"/>
              </w:rPr>
              <w:t>4</w:t>
            </w:r>
          </w:p>
        </w:tc>
        <w:tc>
          <w:tcPr>
            <w:tcW w:w="1418" w:type="dxa"/>
            <w:tcMar>
              <w:left w:w="57" w:type="dxa"/>
              <w:right w:w="57" w:type="dxa"/>
            </w:tcMar>
          </w:tcPr>
          <w:p w:rsidR="001D2F52" w:rsidRPr="003F33F9" w:rsidRDefault="001D2F52" w:rsidP="00084DA0">
            <w:pPr>
              <w:pStyle w:val="Text1"/>
              <w:ind w:left="0"/>
              <w:jc w:val="left"/>
              <w:rPr>
                <w:noProof/>
                <w:sz w:val="22"/>
              </w:rPr>
            </w:pPr>
            <w:r w:rsidRPr="003F33F9">
              <w:rPr>
                <w:noProof/>
                <w:sz w:val="22"/>
              </w:rPr>
              <w:t>Simazīns (</w:t>
            </w:r>
            <w:r w:rsidRPr="003F33F9">
              <w:rPr>
                <w:noProof/>
                <w:sz w:val="22"/>
                <w:vertAlign w:val="superscript"/>
              </w:rPr>
              <w:t>7</w:t>
            </w:r>
            <w:r w:rsidRPr="003F33F9">
              <w:rPr>
                <w:noProof/>
                <w:sz w:val="22"/>
              </w:rPr>
              <w:t>)</w:t>
            </w:r>
          </w:p>
        </w:tc>
        <w:tc>
          <w:tcPr>
            <w:tcW w:w="992" w:type="dxa"/>
          </w:tcPr>
          <w:p w:rsidR="001D2F52" w:rsidRPr="003F33F9" w:rsidRDefault="001D2F52" w:rsidP="00084DA0">
            <w:pPr>
              <w:pStyle w:val="Text1"/>
              <w:ind w:left="0"/>
              <w:rPr>
                <w:noProof/>
                <w:sz w:val="22"/>
              </w:rPr>
            </w:pPr>
            <w:r w:rsidRPr="003F33F9">
              <w:rPr>
                <w:noProof/>
                <w:sz w:val="22"/>
              </w:rPr>
              <w:t>Pesticīds</w:t>
            </w:r>
          </w:p>
        </w:tc>
        <w:tc>
          <w:tcPr>
            <w:tcW w:w="850" w:type="dxa"/>
            <w:tcMar>
              <w:left w:w="28" w:type="dxa"/>
              <w:right w:w="28" w:type="dxa"/>
            </w:tcMar>
          </w:tcPr>
          <w:p w:rsidR="001D2F52" w:rsidRPr="003F33F9" w:rsidRDefault="001D2F52" w:rsidP="00084DA0">
            <w:pPr>
              <w:pStyle w:val="Text1"/>
              <w:ind w:left="0"/>
              <w:rPr>
                <w:noProof/>
                <w:sz w:val="22"/>
              </w:rPr>
            </w:pPr>
            <w:r w:rsidRPr="003F33F9">
              <w:rPr>
                <w:noProof/>
                <w:sz w:val="22"/>
              </w:rPr>
              <w:t>122-34-9</w:t>
            </w:r>
          </w:p>
        </w:tc>
        <w:tc>
          <w:tcPr>
            <w:tcW w:w="851" w:type="dxa"/>
          </w:tcPr>
          <w:p w:rsidR="001D2F52" w:rsidRPr="003F33F9" w:rsidRDefault="001D2F52" w:rsidP="00084DA0">
            <w:pPr>
              <w:pStyle w:val="Text1"/>
              <w:ind w:left="0"/>
              <w:rPr>
                <w:noProof/>
                <w:sz w:val="22"/>
              </w:rPr>
            </w:pPr>
            <w:r w:rsidRPr="003F33F9">
              <w:rPr>
                <w:noProof/>
                <w:sz w:val="22"/>
              </w:rPr>
              <w:t>204-535-2</w:t>
            </w:r>
          </w:p>
        </w:tc>
        <w:tc>
          <w:tcPr>
            <w:tcW w:w="709" w:type="dxa"/>
          </w:tcPr>
          <w:p w:rsidR="001D2F52" w:rsidRPr="003F33F9" w:rsidRDefault="001D2F52" w:rsidP="00084DA0">
            <w:pPr>
              <w:pStyle w:val="Text1"/>
              <w:ind w:left="0"/>
              <w:rPr>
                <w:noProof/>
                <w:sz w:val="22"/>
              </w:rPr>
            </w:pPr>
            <w:r w:rsidRPr="003F33F9">
              <w:rPr>
                <w:noProof/>
                <w:sz w:val="22"/>
              </w:rPr>
              <w:t>1</w:t>
            </w:r>
          </w:p>
        </w:tc>
        <w:tc>
          <w:tcPr>
            <w:tcW w:w="1275" w:type="dxa"/>
          </w:tcPr>
          <w:p w:rsidR="001D2F52" w:rsidRPr="003F33F9" w:rsidRDefault="001D2F52" w:rsidP="00084DA0">
            <w:pPr>
              <w:pStyle w:val="Text1"/>
              <w:ind w:left="0"/>
              <w:rPr>
                <w:noProof/>
                <w:sz w:val="22"/>
              </w:rPr>
            </w:pPr>
            <w:r w:rsidRPr="003F33F9">
              <w:rPr>
                <w:noProof/>
                <w:sz w:val="22"/>
              </w:rPr>
              <w:t>1</w:t>
            </w:r>
          </w:p>
        </w:tc>
        <w:tc>
          <w:tcPr>
            <w:tcW w:w="993" w:type="dxa"/>
          </w:tcPr>
          <w:p w:rsidR="001D2F52" w:rsidRPr="003F33F9" w:rsidRDefault="001D2F52" w:rsidP="00084DA0">
            <w:pPr>
              <w:pStyle w:val="Text1"/>
              <w:ind w:left="0"/>
              <w:rPr>
                <w:noProof/>
                <w:sz w:val="22"/>
              </w:rPr>
            </w:pPr>
            <w:r w:rsidRPr="003F33F9">
              <w:rPr>
                <w:noProof/>
                <w:sz w:val="22"/>
              </w:rPr>
              <w:t>4</w:t>
            </w:r>
          </w:p>
        </w:tc>
        <w:tc>
          <w:tcPr>
            <w:tcW w:w="1417" w:type="dxa"/>
          </w:tcPr>
          <w:p w:rsidR="001D2F52" w:rsidRPr="003F33F9" w:rsidRDefault="001D2F52" w:rsidP="00084DA0">
            <w:pPr>
              <w:pStyle w:val="Text1"/>
              <w:ind w:left="0"/>
              <w:rPr>
                <w:noProof/>
                <w:sz w:val="22"/>
              </w:rPr>
            </w:pPr>
            <w:r w:rsidRPr="003F33F9">
              <w:rPr>
                <w:noProof/>
                <w:sz w:val="22"/>
              </w:rPr>
              <w:t>4</w:t>
            </w:r>
          </w:p>
        </w:tc>
        <w:tc>
          <w:tcPr>
            <w:tcW w:w="1843" w:type="dxa"/>
          </w:tcPr>
          <w:p w:rsidR="001D2F52" w:rsidRPr="003F33F9" w:rsidRDefault="001D2F52" w:rsidP="00084DA0">
            <w:pPr>
              <w:pStyle w:val="Text1"/>
              <w:ind w:left="0"/>
              <w:rPr>
                <w:noProof/>
                <w:sz w:val="22"/>
              </w:rPr>
            </w:pPr>
          </w:p>
        </w:tc>
        <w:tc>
          <w:tcPr>
            <w:tcW w:w="1134" w:type="dxa"/>
          </w:tcPr>
          <w:p w:rsidR="001D2F52" w:rsidRPr="003F33F9" w:rsidRDefault="001D2F52" w:rsidP="00084DA0">
            <w:pPr>
              <w:pStyle w:val="Text1"/>
              <w:ind w:left="0"/>
              <w:rPr>
                <w:noProof/>
                <w:sz w:val="22"/>
              </w:rPr>
            </w:pPr>
          </w:p>
        </w:tc>
      </w:tr>
    </w:tbl>
    <w:p w:rsidR="001D2F52" w:rsidRPr="003F33F9" w:rsidRDefault="00CB6573" w:rsidP="001D2F52">
      <w:pPr>
        <w:spacing w:before="120" w:after="120" w:line="360" w:lineRule="auto"/>
        <w:ind w:left="850"/>
        <w:rPr>
          <w:szCs w:val="24"/>
          <w:lang w:val="it-IT" w:eastAsia="en-US"/>
        </w:rPr>
        <w:sectPr w:rsidR="001D2F52" w:rsidRPr="003F33F9" w:rsidSect="001D2F52">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r w:rsidRPr="003F33F9">
        <w:rPr>
          <w:szCs w:val="24"/>
          <w:lang w:val="it-IT" w:eastAsia="en-US"/>
        </w:rPr>
        <w:t xml:space="preserve"> </w:t>
      </w:r>
    </w:p>
    <w:p w:rsidR="00CB6573" w:rsidRPr="003F33F9" w:rsidRDefault="00CB6573" w:rsidP="001D2F52">
      <w:pPr>
        <w:spacing w:before="120" w:after="120" w:line="360" w:lineRule="auto"/>
        <w:ind w:left="850"/>
        <w:rPr>
          <w:szCs w:val="24"/>
          <w:lang w:val="fr-FR" w:eastAsia="en-US"/>
        </w:rPr>
      </w:pPr>
      <w:r w:rsidRPr="003F33F9">
        <w:rPr>
          <w:szCs w:val="24"/>
          <w:vertAlign w:val="superscript"/>
          <w:lang w:val="fr-FR" w:eastAsia="en-US"/>
        </w:rPr>
        <w:lastRenderedPageBreak/>
        <w:t>(1)</w:t>
      </w:r>
      <w:r w:rsidRPr="003F33F9">
        <w:rPr>
          <w:szCs w:val="24"/>
          <w:lang w:val="fr-FR" w:eastAsia="en-US"/>
        </w:rPr>
        <w:tab/>
        <w:t>CAS – Informatīvais ķīmijas dienests [Chemical Abstracts Service].</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(2)</w:t>
      </w:r>
      <w:r w:rsidRPr="003F33F9">
        <w:rPr>
          <w:szCs w:val="24"/>
          <w:lang w:val="fr-FR" w:eastAsia="en-US"/>
        </w:rPr>
        <w:tab/>
        <w:t>ES numurs – Eiropas ķīmisko komercvielu saraksta (EINECS) vai Eiropā reģistrēto ķīmisko vielu saraksta (ELINCS) numurs.</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(3)</w:t>
      </w:r>
      <w:r w:rsidRPr="003F33F9">
        <w:rPr>
          <w:szCs w:val="24"/>
          <w:lang w:val="fr-FR" w:eastAsia="en-US"/>
        </w:rPr>
        <w:tab/>
        <w:t>Šis parametrs ir vides kvalitātes standarts, kas izteikts ar gada vidējo vērtību (GVL-VKS). Ja nav citu norādījumu, tas attiecas uz visu vielu un izomēru kopējo koncentrāciju.</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(4)</w:t>
      </w:r>
      <w:r w:rsidRPr="003F33F9">
        <w:rPr>
          <w:szCs w:val="24"/>
          <w:lang w:val="fr-FR" w:eastAsia="en-US"/>
        </w:rPr>
        <w:tab/>
        <w:t>Iekšējie virszemes ūdeņi ir upes un ezeri un ar tiem saistīti mākslīgi vai stipri pārveidoti ūdens objekti.</w:t>
      </w:r>
    </w:p>
    <w:p w:rsidR="00CB6573" w:rsidRPr="003F33F9" w:rsidRDefault="00CB6573" w:rsidP="00CB6573">
      <w:pPr>
        <w:spacing w:before="120" w:after="120" w:line="360" w:lineRule="auto"/>
        <w:ind w:left="1416" w:hanging="566"/>
        <w:rPr>
          <w:szCs w:val="24"/>
          <w:lang w:val="fr-FR" w:eastAsia="en-US"/>
        </w:rPr>
      </w:pPr>
      <w:r w:rsidRPr="003F33F9">
        <w:rPr>
          <w:szCs w:val="24"/>
          <w:vertAlign w:val="superscript"/>
          <w:lang w:val="fr-FR" w:eastAsia="en-US"/>
        </w:rPr>
        <w:t>(5)</w:t>
      </w:r>
      <w:r w:rsidRPr="003F33F9">
        <w:rPr>
          <w:szCs w:val="24"/>
          <w:lang w:val="fr-FR" w:eastAsia="en-US"/>
        </w:rPr>
        <w:tab/>
        <w:t>Šis parametrs ir vides kvalitātes standarts, kas izteikts ar maksimālo pieļaujamo koncentrāciju (MPK-VKS). Ja MPK-VKS ailē norādīts “nepiemēro”, uzskata, ka GVL-VKS vērtības, būdamas ievērojami mazākas nekā vērtības, ko iegūst akūtas toksicitātes gadījumā, aizsargā pret īslaicīgu piesārņojuma maksimumu, kas rodas pastāvīgās izplūdēs.</w:t>
      </w:r>
    </w:p>
    <w:p w:rsidR="00CB6573" w:rsidRPr="003F33F9" w:rsidRDefault="00CB6573" w:rsidP="00CB6573">
      <w:pPr>
        <w:spacing w:before="120" w:after="120" w:line="360" w:lineRule="auto"/>
        <w:ind w:left="1416" w:hanging="566"/>
        <w:rPr>
          <w:szCs w:val="24"/>
          <w:lang w:val="pt-PT" w:eastAsia="en-US"/>
        </w:rPr>
      </w:pPr>
      <w:r w:rsidRPr="008D75B8">
        <w:rPr>
          <w:szCs w:val="24"/>
          <w:vertAlign w:val="superscript"/>
          <w:lang w:val="pt-PT" w:eastAsia="en-US"/>
        </w:rPr>
        <w:t>(6)</w:t>
      </w:r>
      <w:r w:rsidRPr="003F33F9">
        <w:rPr>
          <w:szCs w:val="24"/>
          <w:lang w:val="pt-PT" w:eastAsia="en-US"/>
        </w:rPr>
        <w:tab/>
        <w:t>Ja ir dots biotas VKS, piemēro to, nevis ūdens VKS. Tas neskar šīs direktīvas 3. panta 3. punktu, kurš – ar noteikumu, ka piemērotais VKS nodrošina līdzvērtīgu aizsardzības līmeni, – ļauj monitorēt alternatīvu biotas taksonu vai citu matricu. Ja nav norādīts citādi, biotas VKS attiecas uz zivīm.</w:t>
      </w:r>
    </w:p>
    <w:p w:rsidR="00CB6573" w:rsidRPr="00CB6573" w:rsidRDefault="00CB6573" w:rsidP="00CB6573">
      <w:pPr>
        <w:spacing w:before="120" w:after="120" w:line="360" w:lineRule="auto"/>
        <w:ind w:left="1416" w:hanging="566"/>
        <w:rPr>
          <w:szCs w:val="24"/>
          <w:lang w:val="pt-PT" w:eastAsia="en-US"/>
        </w:rPr>
      </w:pPr>
      <w:r w:rsidRPr="003F33F9">
        <w:rPr>
          <w:szCs w:val="24"/>
          <w:vertAlign w:val="superscript"/>
          <w:lang w:val="fr-FR" w:eastAsia="en-US"/>
        </w:rPr>
        <w:t>(7)</w:t>
      </w:r>
      <w:r w:rsidRPr="003F33F9">
        <w:rPr>
          <w:szCs w:val="24"/>
          <w:lang w:val="pt-PT" w:eastAsia="en-US"/>
        </w:rPr>
        <w:tab/>
        <w:t>Iepriekš kā prioritāra viela iekļauts Direktīvas 2000/60/EK X pielikumā vai Direktīvas 2008/105/EK I pielikumā.”</w:t>
      </w:r>
    </w:p>
    <w:p w:rsidR="004666C4" w:rsidRPr="00CB6573" w:rsidRDefault="004666C4" w:rsidP="00CB6573">
      <w:pPr>
        <w:pStyle w:val="NormalHanging12a"/>
        <w:rPr>
          <w:lang w:val="pt-PT"/>
        </w:rPr>
      </w:pPr>
      <w:bookmarkStart w:id="44" w:name="_GoBack"/>
      <w:bookmarkEnd w:id="44"/>
    </w:p>
    <w:sectPr w:rsidR="004666C4" w:rsidRPr="00CB6573" w:rsidSect="001D2F52">
      <w:footnotePr>
        <w:numRestart w:val="eachPage"/>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C16" w:rsidRPr="005D0D30" w:rsidRDefault="00A84C16">
      <w:r w:rsidRPr="005D0D30">
        <w:separator/>
      </w:r>
    </w:p>
  </w:endnote>
  <w:endnote w:type="continuationSeparator" w:id="0">
    <w:p w:rsidR="00A84C16" w:rsidRPr="005D0D30" w:rsidRDefault="00A84C16">
      <w:r w:rsidRPr="005D0D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Default="00A84C1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Default="00A84C1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C16" w:rsidRPr="005D0D30" w:rsidRDefault="00A84C16">
      <w:r w:rsidRPr="005D0D30">
        <w:separator/>
      </w:r>
    </w:p>
  </w:footnote>
  <w:footnote w:type="continuationSeparator" w:id="0">
    <w:p w:rsidR="00A84C16" w:rsidRPr="005D0D30" w:rsidRDefault="00A84C16">
      <w:r w:rsidRPr="005D0D30">
        <w:continuationSeparator/>
      </w:r>
    </w:p>
  </w:footnote>
  <w:footnote w:id="1">
    <w:p w:rsidR="00A84C16" w:rsidRPr="005D0D30" w:rsidRDefault="00A84C16" w:rsidP="005D0D30">
      <w:pPr>
        <w:ind w:left="567" w:hanging="567"/>
      </w:pPr>
      <w:r w:rsidRPr="005D0D30">
        <w:footnoteRef/>
      </w:r>
      <w:r w:rsidRPr="005D0D30">
        <w:t xml:space="preserve"> </w:t>
      </w:r>
      <w:r w:rsidRPr="005D0D30">
        <w:tab/>
        <w:t>OV C 146, 27.4.2023., 41. lpp.</w:t>
      </w:r>
    </w:p>
  </w:footnote>
  <w:footnote w:id="2">
    <w:p w:rsidR="00A84C16" w:rsidRPr="004666C4" w:rsidRDefault="00A84C16" w:rsidP="004666C4">
      <w:pPr>
        <w:ind w:left="567" w:hanging="567"/>
      </w:pPr>
      <w:r>
        <w:footnoteRef/>
      </w:r>
      <w:r w:rsidRPr="004666C4">
        <w:t xml:space="preserve"> </w:t>
      </w:r>
      <w:r>
        <w:tab/>
      </w:r>
      <w:r w:rsidRPr="004666C4">
        <w:rPr>
          <w:rFonts w:ascii="inherit" w:hAnsi="inherit" w:cs="Arial"/>
          <w:color w:val="000000"/>
        </w:rPr>
        <w:t xml:space="preserve">Šī </w:t>
      </w:r>
      <w:r w:rsidRPr="00271DBE">
        <w:rPr>
          <w:rFonts w:ascii="inherit" w:hAnsi="inherit" w:cs="Arial"/>
          <w:color w:val="000000"/>
        </w:rPr>
        <w:t>nost</w:t>
      </w:r>
      <w:r w:rsidRPr="00271DBE">
        <w:rPr>
          <w:rFonts w:ascii="inherit" w:hAnsi="inherit" w:cs="Arial" w:hint="eastAsia"/>
          <w:color w:val="000000"/>
        </w:rPr>
        <w:t>ā</w:t>
      </w:r>
      <w:r w:rsidRPr="00271DBE">
        <w:rPr>
          <w:rFonts w:ascii="inherit" w:hAnsi="inherit" w:cs="Arial"/>
          <w:color w:val="000000"/>
        </w:rPr>
        <w:t>ja atbilst</w:t>
      </w:r>
      <w:r w:rsidRPr="004666C4">
        <w:rPr>
          <w:rFonts w:ascii="inherit" w:hAnsi="inherit" w:cs="Arial"/>
          <w:color w:val="000000"/>
        </w:rPr>
        <w:t xml:space="preserve"> grozījumiem, kas pieņemti 2023. gada 12. septembr</w:t>
      </w:r>
      <w:r w:rsidRPr="004666C4">
        <w:rPr>
          <w:rFonts w:ascii="inherit" w:hAnsi="inherit" w:cs="Arial" w:hint="eastAsia"/>
          <w:color w:val="000000"/>
        </w:rPr>
        <w:t>ī</w:t>
      </w:r>
      <w:r w:rsidRPr="004666C4">
        <w:rPr>
          <w:rFonts w:ascii="inherit" w:hAnsi="inherit" w:cs="Arial"/>
          <w:color w:val="000000"/>
        </w:rPr>
        <w:t xml:space="preserve"> (</w:t>
      </w:r>
      <w:r w:rsidRPr="00271DBE">
        <w:rPr>
          <w:rStyle w:val="Emphasis"/>
          <w:i w:val="0"/>
          <w:color w:val="333333"/>
          <w:szCs w:val="24"/>
          <w:shd w:val="clear" w:color="auto" w:fill="FFFFFF"/>
        </w:rPr>
        <w:t xml:space="preserve">OV C, C/2024/1777, 22.3.2024., ELI: </w:t>
      </w:r>
      <w:hyperlink r:id="rId1" w:history="1">
        <w:r w:rsidR="00A35881" w:rsidRPr="0016392F">
          <w:rPr>
            <w:rStyle w:val="Hyperlink"/>
            <w:szCs w:val="24"/>
            <w:shd w:val="clear" w:color="auto" w:fill="FFFFFF"/>
          </w:rPr>
          <w:t>http://data.europa.eu/eli/C/2024/1777/oj</w:t>
        </w:r>
      </w:hyperlink>
      <w:r w:rsidR="00A35881" w:rsidRPr="0016392F">
        <w:rPr>
          <w:szCs w:val="24"/>
        </w:rPr>
        <w:t>)</w:t>
      </w:r>
      <w:r w:rsidRPr="00271DBE">
        <w:t>).</w:t>
      </w:r>
    </w:p>
  </w:footnote>
  <w:footnote w:id="3">
    <w:p w:rsidR="00A84C16" w:rsidRPr="00BA216D" w:rsidRDefault="00A84C16" w:rsidP="00CB6573">
      <w:pPr>
        <w:pStyle w:val="FootnoteTextForceStyle"/>
        <w:rPr>
          <w:lang w:val="sv-SE"/>
        </w:rPr>
      </w:pPr>
      <w:r>
        <w:rPr>
          <w:vertAlign w:val="superscript"/>
        </w:rPr>
        <w:footnoteRef/>
      </w:r>
      <w:r w:rsidRPr="00BA216D">
        <w:rPr>
          <w:lang w:val="sv-SE"/>
        </w:rPr>
        <w:tab/>
        <w:t>OV C [...], [...], [...]. lpp.</w:t>
      </w:r>
    </w:p>
  </w:footnote>
  <w:footnote w:id="4">
    <w:p w:rsidR="00A84C16" w:rsidRPr="00BA216D" w:rsidRDefault="00A84C16" w:rsidP="00CB6573">
      <w:pPr>
        <w:pStyle w:val="FootnoteTextForceStyle"/>
        <w:rPr>
          <w:lang w:val="sv-SE"/>
        </w:rPr>
      </w:pPr>
      <w:r>
        <w:rPr>
          <w:vertAlign w:val="superscript"/>
        </w:rPr>
        <w:footnoteRef/>
      </w:r>
      <w:r w:rsidRPr="00BA216D">
        <w:rPr>
          <w:lang w:val="sv-SE"/>
        </w:rPr>
        <w:tab/>
        <w:t>OV C [...], [...], [...]. lpp.</w:t>
      </w:r>
    </w:p>
  </w:footnote>
  <w:footnote w:id="5">
    <w:p w:rsidR="00A84C16" w:rsidRPr="00BA216D" w:rsidRDefault="00A84C16" w:rsidP="00CB6573">
      <w:pPr>
        <w:pStyle w:val="FootnoteTextForceStyle"/>
        <w:rPr>
          <w:lang w:val="sv-SE"/>
        </w:rPr>
      </w:pPr>
      <w:r>
        <w:rPr>
          <w:vertAlign w:val="superscript"/>
        </w:rPr>
        <w:footnoteRef/>
      </w:r>
      <w:r w:rsidRPr="00BA216D">
        <w:rPr>
          <w:lang w:val="sv-SE"/>
        </w:rPr>
        <w:tab/>
      </w:r>
      <w:r w:rsidRPr="00BA216D">
        <w:rPr>
          <w:b/>
          <w:i/>
          <w:lang w:val="sv-SE"/>
        </w:rPr>
        <w:t>Eiropas Parlamenta un Padomes Lēmums (ES) 2022/591 (2022. gada 6. aprīlis) par vispārējo Savienības vides rīcības programmu līdz 2030. gadam.</w:t>
      </w:r>
    </w:p>
  </w:footnote>
  <w:footnote w:id="6">
    <w:p w:rsidR="00A84C16" w:rsidRPr="00BA216D" w:rsidRDefault="00A84C16" w:rsidP="00CB6573">
      <w:pPr>
        <w:pStyle w:val="FootnoteTextForceStyle"/>
        <w:rPr>
          <w:lang w:val="sv-SE"/>
        </w:rPr>
      </w:pPr>
      <w:r>
        <w:rPr>
          <w:vertAlign w:val="superscript"/>
        </w:rPr>
        <w:footnoteRef/>
      </w:r>
      <w:r w:rsidRPr="00BA216D">
        <w:rPr>
          <w:lang w:val="sv-SE"/>
        </w:rPr>
        <w:tab/>
      </w:r>
      <w:r w:rsidRPr="00BA216D">
        <w:rPr>
          <w:b/>
          <w:i/>
          <w:lang w:val="sv-SE"/>
        </w:rPr>
        <w:t>Drivers of and pressures arising from selected key water management challenges: A European overview (Atsevišķu ūdens resursu apsaimniekošanas problēmu cēloņi un radītais spiediens: Eiropas pārskats), ziņojums 09/2021, EVA.</w:t>
      </w:r>
    </w:p>
  </w:footnote>
  <w:footnote w:id="7">
    <w:p w:rsidR="00A84C16" w:rsidRPr="00BA216D" w:rsidRDefault="00A84C16" w:rsidP="00CB6573">
      <w:pPr>
        <w:pStyle w:val="FootnoteTextForceStyle"/>
        <w:rPr>
          <w:lang w:val="sv-SE"/>
        </w:rPr>
      </w:pPr>
      <w:r>
        <w:rPr>
          <w:vertAlign w:val="superscript"/>
        </w:rPr>
        <w:footnoteRef/>
      </w:r>
      <w:r w:rsidRPr="00BA216D">
        <w:rPr>
          <w:lang w:val="sv-SE"/>
        </w:rPr>
        <w:tab/>
      </w:r>
      <w:r w:rsidRPr="00BA216D">
        <w:rPr>
          <w:b/>
          <w:i/>
          <w:lang w:val="sv-SE"/>
        </w:rPr>
        <w:t>https://www.oecd.org/agriculture/topics/water-and-agriculture/</w:t>
      </w:r>
    </w:p>
  </w:footnote>
  <w:footnote w:id="8">
    <w:p w:rsidR="00A84C16" w:rsidRPr="00BA216D" w:rsidRDefault="00A84C16" w:rsidP="00CB6573">
      <w:pPr>
        <w:pStyle w:val="FootnoteTextForceStyle"/>
        <w:rPr>
          <w:lang w:val="sv-SE"/>
        </w:rPr>
      </w:pPr>
      <w:r>
        <w:rPr>
          <w:vertAlign w:val="superscript"/>
        </w:rPr>
        <w:footnoteRef/>
      </w:r>
      <w:r w:rsidRPr="00BA216D">
        <w:rPr>
          <w:lang w:val="sv-SE"/>
        </w:rPr>
        <w:tab/>
      </w:r>
      <w:r w:rsidRPr="00BA216D">
        <w:rPr>
          <w:b/>
          <w:i/>
          <w:lang w:val="sv-SE"/>
        </w:rPr>
        <w:t>https://www.eea.europa.eu/publications/state-of-water</w:t>
      </w:r>
    </w:p>
  </w:footnote>
  <w:footnote w:id="9">
    <w:p w:rsidR="00A84C16" w:rsidRPr="00BA216D" w:rsidRDefault="00A84C16" w:rsidP="00CB6573">
      <w:pPr>
        <w:pStyle w:val="FootnoteTextForceStyle"/>
        <w:rPr>
          <w:lang w:val="sv-SE"/>
        </w:rPr>
      </w:pPr>
      <w:r>
        <w:rPr>
          <w:vertAlign w:val="superscript"/>
        </w:rPr>
        <w:footnoteRef/>
      </w:r>
      <w:r w:rsidRPr="00BA216D">
        <w:rPr>
          <w:lang w:val="sv-SE"/>
        </w:rPr>
        <w:tab/>
      </w:r>
      <w:r w:rsidRPr="00BA216D">
        <w:rPr>
          <w:b/>
          <w:i/>
          <w:lang w:val="sv-SE"/>
        </w:rPr>
        <w:t>https://food.ec.europa.eu/plants/pesticides/sustainable-use-pesticides/farm-fork-targets-progress/eu-trends_en</w:t>
      </w:r>
    </w:p>
  </w:footnote>
  <w:footnote w:id="10">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Eiropadomei, Padomei, Eiropas Ekonomikas un sociālo lietu komitejai un Reģionu komitejai “Eiropas zaļais kurss” (COM(2019) 640 final).</w:t>
      </w:r>
    </w:p>
  </w:footnote>
  <w:footnote w:id="11">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“Ilgtspēju sekmējoša ķimikāliju stratēģija. Ceļā uz vidi, kas brīva no toksikantiem” (COM(2020) 667 final).</w:t>
      </w:r>
    </w:p>
  </w:footnote>
  <w:footnote w:id="12">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“Ceļš uz veselīgu planētu itin visiem ES. Gaisa, ūdens un augsnes nulles piesārņojuma rīcības plāns” (COM(2021) 400 final).</w:t>
      </w:r>
    </w:p>
  </w:footnote>
  <w:footnote w:id="13">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“Eiropas stratēģija attiecībā uz plastmasu aprites ekonomikā” (COM(2018) 28 final).</w:t>
      </w:r>
    </w:p>
  </w:footnote>
  <w:footnote w:id="14">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“Eiropas Zāļu stratēģija” (COM(2020) 761 final).</w:t>
      </w:r>
    </w:p>
  </w:footnote>
  <w:footnote w:id="15">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“ES Biodaudzveidības stratēģija 2030. gadam. Atgriezīsim savā dzīvē dabu” (COM(2020) 380 final).</w:t>
      </w:r>
    </w:p>
  </w:footnote>
  <w:footnote w:id="16">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“Stratēģija “No lauka līdz galdam”. Taisnīgas, veselīgas un videi draudzīgas pārtikas sistēmas vārdā” (COM(2020) 381 final).</w:t>
      </w:r>
    </w:p>
  </w:footnote>
  <w:footnote w:id="17">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“ES Augsnes stratēģija 2030. gadam. Veselīgas augsnes cilvēku, pārtikas, dabas un klimata labā” (COM(2021) 699 final).</w:t>
      </w:r>
    </w:p>
  </w:footnote>
  <w:footnote w:id="18">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“Eiropas digitālās nākotnes veidošana” (COM(2020) 67 final).</w:t>
      </w:r>
    </w:p>
  </w:footnote>
  <w:footnote w:id="19">
    <w:p w:rsidR="00A84C16" w:rsidRPr="00BA216D" w:rsidRDefault="00A84C16" w:rsidP="00CB6573">
      <w:pPr>
        <w:pStyle w:val="FootnoteTextForceStyle"/>
        <w:rPr>
          <w:lang w:val="sv-SE"/>
        </w:rPr>
      </w:pPr>
      <w:r>
        <w:rPr>
          <w:vertAlign w:val="superscript"/>
        </w:rPr>
        <w:footnoteRef/>
      </w:r>
      <w:r w:rsidRPr="00BA216D">
        <w:rPr>
          <w:lang w:val="sv-SE"/>
        </w:rPr>
        <w:tab/>
        <w:t>Komisijas paziņojums Eiropas Parlamentam, Padomei, Eiropas Ekonomikas un sociālo lietu komitejai un Reģionu komitejai “Eiropas datu stratēģija” (COM(2020) 66 final).</w:t>
      </w:r>
    </w:p>
  </w:footnote>
  <w:footnote w:id="20">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Direktīva 2000/60/EK (2000. gada 23. oktobris), ar ko izveido sistēmu Kopienas rīcībai ūdens resursu politikas jomā (OV L 327, 22.12.2000., 1. lpp.).</w:t>
      </w:r>
    </w:p>
  </w:footnote>
  <w:footnote w:id="21">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Direktīva 2008/105/EK (2008. gada 16. decembris) par vides kvalitātes standartiem ūdens resursu politikas jomā un ar ko groza un sekojoši atceļ Padomes Direktīvas 82/176/EEK, 83/513/EEK, 84/156/EEK, 84/491/EEK, 86/280/EEK, un ar ko groza Direktīvu 2000/60/EK (OV L 348, 24.12.2008., 84. lpp.).</w:t>
      </w:r>
    </w:p>
  </w:footnote>
  <w:footnote w:id="22">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Lēmums Nr. 2455/2001/EK (2001. gada 20. novembris), ar ko izveido prioritāro vielu sarakstu ūdens resursu politikas jomā un ar ko groza Direktīvu 2000/60/EK (OV L 331, 15.12.2001., 1. lpp.).</w:t>
      </w:r>
    </w:p>
  </w:footnote>
  <w:footnote w:id="23">
    <w:p w:rsidR="00A84C16" w:rsidRPr="00BA216D" w:rsidRDefault="00A84C16" w:rsidP="00CB6573">
      <w:pPr>
        <w:pStyle w:val="FootnoteTextForceStyle"/>
        <w:rPr>
          <w:lang w:val="sv-SE"/>
        </w:rPr>
      </w:pPr>
      <w:r>
        <w:rPr>
          <w:vertAlign w:val="superscript"/>
        </w:rPr>
        <w:footnoteRef/>
      </w:r>
      <w:r w:rsidRPr="00BA216D">
        <w:rPr>
          <w:lang w:val="sv-SE"/>
        </w:rPr>
        <w:tab/>
      </w:r>
      <w:r w:rsidRPr="00BA216D">
        <w:rPr>
          <w:strike/>
          <w:lang w:val="sv-SE"/>
        </w:rPr>
        <w:t>Eiropas Parlamenta un Padomes Direktīva 2006/118/EK (2006. gada 12. decembris) par gruntsūdeņu aizsardzību pret piesārņojumu un pasliktināšanos (OV L 372, 27.12.2006., 19. lpp.).</w:t>
      </w:r>
    </w:p>
  </w:footnote>
  <w:footnote w:id="24">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Regula (EK) Nr. 1907/2006 (2006. gada 18. decembris), kas attiecas uz ķimikāliju reģistrēšanu, vērtēšanu, licencēšanu un ierobežošanu (REACH) un ar kuru izveido Eiropas Ķimikāliju aģentūru (OV L 396, 30.12.2006., 1. lpp.).</w:t>
      </w:r>
    </w:p>
  </w:footnote>
  <w:footnote w:id="25">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Regula (EK) Nr. 1107/2009 (2009. gada 21. oktobris) par augu aizsardzības līdzekļu laišanu tirgū, ar ko atceļ Padomes Direktīvas 79/117/EEK un 91/414/EEK (OV L 309, 24.11.2009., 1. lpp.).</w:t>
      </w:r>
    </w:p>
  </w:footnote>
  <w:footnote w:id="26">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Regula (ES) Nr. 528/2012 (2012. gada 22. maijs) par biocīdu piedāvāšanu tirgū un lietošanu (OV L 167, 27.6.2012., 1. lpp.).</w:t>
      </w:r>
    </w:p>
  </w:footnote>
  <w:footnote w:id="27">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Regula (ES) 2019/6 (2018. gada 11. decembris) par veterinārajām zālēm un ar ko atceļ Direktīvu 2001/82/EK (OV L 4, 7.1.2019., 43. lpp.).</w:t>
      </w:r>
    </w:p>
  </w:footnote>
  <w:footnote w:id="28">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Direktīva 2001/83/EK (2001. gada 6. novembris) par Kopienas kodeksu, kas attiecas uz cilvēkiem paredzētām zālēm (OV L 311, 28.11.2001., 67. lpp.).</w:t>
      </w:r>
    </w:p>
  </w:footnote>
  <w:footnote w:id="29">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Direktīva 2009/128/EK (2009. gada 21. oktobris), ar kuru nosaka Kopienas sistēmu pesticīdu ilgtspējīgas lietošanas nodrošināšanai (OV L 309, 24.11.2009., 71. lpp.).</w:t>
      </w:r>
    </w:p>
  </w:footnote>
  <w:footnote w:id="30">
    <w:p w:rsidR="00A84C16" w:rsidRPr="00BA216D" w:rsidRDefault="00A84C16" w:rsidP="00CB6573">
      <w:pPr>
        <w:pStyle w:val="FootnoteTextForceStyle"/>
        <w:rPr>
          <w:lang w:val="sv-SE"/>
        </w:rPr>
      </w:pPr>
      <w:r>
        <w:rPr>
          <w:vertAlign w:val="superscript"/>
        </w:rPr>
        <w:footnoteRef/>
      </w:r>
      <w:r w:rsidRPr="00BA216D">
        <w:rPr>
          <w:lang w:val="sv-SE"/>
        </w:rPr>
        <w:tab/>
        <w:t>Eiropas Parlamenta un Padomes Direktīva 2010/75/ES (2010. gada 24. novembris) par rūpnieciskajām emisijām (piesārņojuma integrēta novēršana un kontrole) (OV L 334, 17.12.2010., 17. lpp.).</w:t>
      </w:r>
    </w:p>
  </w:footnote>
  <w:footnote w:id="31">
    <w:p w:rsidR="00A84C16" w:rsidRPr="00BA216D" w:rsidRDefault="00A84C16" w:rsidP="00CB6573">
      <w:pPr>
        <w:pStyle w:val="FootnoteTextForceStyle"/>
        <w:rPr>
          <w:lang w:val="sv-SE"/>
        </w:rPr>
      </w:pPr>
      <w:r>
        <w:rPr>
          <w:vertAlign w:val="superscript"/>
        </w:rPr>
        <w:footnoteRef/>
      </w:r>
      <w:r w:rsidRPr="00BA216D">
        <w:rPr>
          <w:lang w:val="sv-SE"/>
        </w:rPr>
        <w:tab/>
        <w:t>Padomes Direktīva 91/271/EEK (1991. gada 21. maijs) par komunālo notekūdeņu attīrīšanu (OV L 135, 30.5.1991., 40. lpp.).</w:t>
      </w:r>
    </w:p>
  </w:footnote>
  <w:footnote w:id="32">
    <w:p w:rsidR="00A84C16" w:rsidRDefault="00A84C16" w:rsidP="00CB6573">
      <w:pPr>
        <w:pStyle w:val="FootnoteTextForceStyle"/>
      </w:pPr>
      <w:r>
        <w:rPr>
          <w:vertAlign w:val="superscript"/>
        </w:rPr>
        <w:footnoteRef/>
      </w:r>
      <w:r>
        <w:tab/>
      </w:r>
      <w:r>
        <w:rPr>
          <w:b/>
          <w:i/>
        </w:rPr>
        <w:t>Transcriptomic signalling in zebrafish embryos exposed to environmental con 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rsidR="00A84C16" w:rsidRDefault="00A84C16" w:rsidP="00CB6573">
      <w:pPr>
        <w:pStyle w:val="FootnoteTextForceStyle"/>
      </w:pPr>
      <w:r>
        <w:rPr>
          <w:vertAlign w:val="superscript"/>
        </w:rPr>
        <w:footnoteRef/>
      </w:r>
      <w:r>
        <w:tab/>
      </w:r>
      <w:r>
        <w:rPr>
          <w:b/>
          <w:i/>
        </w:rPr>
        <w:t>Komisijas Lēmums 2004/248/EK (2004. gada 10. marts) par atrazīna neiekļaušanu Padomes Direktīvas 91/414/EEK I pielikumā un atļauju atsaukšanu augu aizsardzības līdzekļiem, kas satur šo aktīvo vielu (OV L 78, 16.3.2004., 53. lpp.).</w:t>
      </w:r>
    </w:p>
  </w:footnote>
  <w:footnote w:id="34">
    <w:p w:rsidR="00A84C16" w:rsidRDefault="00A84C16" w:rsidP="00CB6573">
      <w:pPr>
        <w:pStyle w:val="FootnoteTextForceStyle"/>
      </w:pPr>
      <w:r>
        <w:rPr>
          <w:vertAlign w:val="superscript"/>
        </w:rPr>
        <w:footnoteRef/>
      </w:r>
      <w:r>
        <w:tab/>
      </w:r>
      <w:r>
        <w:rPr>
          <w:b/>
          <w:i/>
        </w:rPr>
        <w:t>Eiropas Parlamenta un Padomes Direktīva (ES) 2020/2184 (2020. gada 16. decembris) par dzeramā ūdens kvalitāti (pārstrādāta redakcija) (OV L 435, 23.12.2020., 1. lpp.).</w:t>
      </w:r>
    </w:p>
  </w:footnote>
  <w:footnote w:id="35">
    <w:p w:rsidR="00A84C16" w:rsidRDefault="00A84C16" w:rsidP="00CB6573">
      <w:pPr>
        <w:pStyle w:val="FootnoteTextForceStyle"/>
      </w:pPr>
      <w:r>
        <w:rPr>
          <w:vertAlign w:val="superscript"/>
        </w:rPr>
        <w:footnoteRef/>
      </w:r>
      <w:r>
        <w:tab/>
      </w:r>
      <w:r>
        <w:rPr>
          <w:b/>
          <w:i/>
        </w:rPr>
        <w:t>SCHEER. Ieguldījums Vides padomes apspriedēs: komentāri par Komisijas priekšlikumu Ūdens pamatdirektīvas / Gruntsūdeņu direktīvas / Vides kvalitātes standartu direktīvas grozījumiem, 2023. gada marts. SCHEER. Groundwater quality standards for proposed additional pollutants in the annexes to the Groundwater Directive (2006/118/EC) (Gruntsūdeņu kvalitātes standarti ierosinātajiem papildu piesārņotājiem Gruntsūdeņu direktīvas (2006/118/EK) pielikumos), 2022. gada jūlijs.</w:t>
      </w:r>
    </w:p>
  </w:footnote>
  <w:footnote w:id="36">
    <w:p w:rsidR="00A84C16" w:rsidRDefault="00A84C16" w:rsidP="00CB6573">
      <w:pPr>
        <w:pStyle w:val="FootnoteTextForceStyle"/>
      </w:pPr>
      <w:r>
        <w:rPr>
          <w:vertAlign w:val="superscript"/>
        </w:rPr>
        <w:footnoteRef/>
      </w:r>
      <w:r>
        <w:tab/>
      </w:r>
      <w:r>
        <w:rPr>
          <w:b/>
          <w:i/>
        </w:rPr>
        <w:t>1b EMA. Assessing the toxicological risk to human health and groundwater communities from veterinary pharmaceuticals in groundwater - Scientific guideline (Toksikoloģiskā riska novērtēšana cilvēka veselībai un gruntsūdeņu kopienām, ko rada veterināro zāļu vielas gruntsūdeņos — zinātniskās pamatnostādnes), 2018. gada aprīlis.</w:t>
      </w:r>
    </w:p>
  </w:footnote>
  <w:footnote w:id="37">
    <w:p w:rsidR="00A84C16" w:rsidRDefault="00A84C16" w:rsidP="00CB6573">
      <w:pPr>
        <w:pStyle w:val="FootnoteTextForceStyle"/>
      </w:pPr>
      <w:r>
        <w:rPr>
          <w:vertAlign w:val="superscript"/>
        </w:rPr>
        <w:footnoteRef/>
      </w:r>
      <w:r>
        <w:tab/>
      </w:r>
      <w:r>
        <w:rPr>
          <w:b/>
          <w:i/>
        </w:rPr>
        <w:t>European Groundwater Memorandum: To secure the quality and quantity of drinking water for future generations (Eiropas gruntsūdeņu memorands: nodrošināt dzeramā ūdens kvalitāti un kvantitāti nākamajām paaudzēm), 2022. gada marts.</w:t>
      </w:r>
    </w:p>
  </w:footnote>
  <w:footnote w:id="38">
    <w:p w:rsidR="00A84C16" w:rsidRDefault="00A84C16" w:rsidP="00CB6573">
      <w:pPr>
        <w:pStyle w:val="FootnoteTextForceStyle"/>
      </w:pPr>
      <w:r>
        <w:rPr>
          <w:vertAlign w:val="superscript"/>
        </w:rPr>
        <w:footnoteRef/>
      </w:r>
      <w:r>
        <w:tab/>
      </w:r>
      <w:r>
        <w:rPr>
          <w:b/>
          <w:i/>
        </w:rPr>
        <w:t>EMA. Assessing the toxicological risk to human health and groundwater communities from veterinary pharmaceuticals in groundwater - Scientific guideline (Toksikoloģiskā riska novērtēšana cilvēka veselībai un gruntsūdeņu kopienām, ko rada veterināro zāļu vielas gruntsūdeņos — zinātniskās pamatnostādnes), 2018. gada aprīlis.</w:t>
      </w:r>
    </w:p>
  </w:footnote>
  <w:footnote w:id="39">
    <w:p w:rsidR="00A84C16" w:rsidRDefault="00A84C16" w:rsidP="00CB6573">
      <w:pPr>
        <w:pStyle w:val="FootnoteTextForceStyle"/>
      </w:pPr>
      <w:r>
        <w:rPr>
          <w:vertAlign w:val="superscript"/>
        </w:rPr>
        <w:footnoteRef/>
      </w:r>
      <w:r>
        <w:tab/>
        <w:t>Eiropas Parlamenta un Padomes Direktīva (ES) 2020/2184 (2020. gada 16. decembris) par dzeramā ūdens kvalitāti (pārstrādāta redakcija) (OV L 435, 23.12.2020., 1. lpp.).</w:t>
      </w:r>
    </w:p>
  </w:footnote>
  <w:footnote w:id="40">
    <w:p w:rsidR="00A84C16" w:rsidRDefault="00A84C16" w:rsidP="00CB6573">
      <w:pPr>
        <w:pStyle w:val="FootnoteTextForceStyle"/>
      </w:pPr>
      <w:r>
        <w:rPr>
          <w:vertAlign w:val="superscript"/>
        </w:rPr>
        <w:footnoteRef/>
      </w:r>
      <w:r>
        <w:tab/>
      </w:r>
      <w:r>
        <w:rPr>
          <w:b/>
          <w:i/>
        </w:rPr>
        <w:t>“Global burden of bacterial antimicrobial resistance in 2019: a systematic analysis”, Lancet, 2022. gada 19. janvāris, https://www.sciencedirect.com/science/article/pii/S0140673621027240?via%3Dihub</w:t>
      </w:r>
    </w:p>
  </w:footnote>
  <w:footnote w:id="41">
    <w:p w:rsidR="00A84C16" w:rsidRDefault="00A84C16" w:rsidP="00CB6573">
      <w:pPr>
        <w:pStyle w:val="FootnoteTextForceStyle"/>
      </w:pPr>
      <w:r>
        <w:rPr>
          <w:vertAlign w:val="superscript"/>
        </w:rPr>
        <w:footnoteRef/>
      </w:r>
      <w:r>
        <w:tab/>
      </w:r>
      <w:r>
        <w:rPr>
          <w:b/>
          <w:i/>
        </w:rPr>
        <w:t>https://www.sciencedirect.com/science/article/pii/S2352186422000724</w:t>
      </w:r>
    </w:p>
  </w:footnote>
  <w:footnote w:id="42">
    <w:p w:rsidR="00A84C16" w:rsidRDefault="00A84C16" w:rsidP="00CB6573">
      <w:pPr>
        <w:pStyle w:val="FootnoteTextForceStyle"/>
      </w:pPr>
      <w:r>
        <w:rPr>
          <w:vertAlign w:val="superscript"/>
        </w:rPr>
        <w:footnoteRef/>
      </w:r>
      <w:r>
        <w:tab/>
        <w:t>Komisijas dienestu darba dokuments. Ūdens pamatdirektīvas, Gruntsūdeņu direktīvas, Vides kvalitātes standartu direktīvas un Plūdu direktīvas atbilstības pārbaude (SWD(2019) 439 final).</w:t>
      </w:r>
    </w:p>
  </w:footnote>
  <w:footnote w:id="43">
    <w:p w:rsidR="00A84C16" w:rsidRDefault="00A84C16" w:rsidP="00CB6573">
      <w:pPr>
        <w:pStyle w:val="FootnoteTextForceStyle"/>
      </w:pPr>
      <w:r>
        <w:rPr>
          <w:vertAlign w:val="superscript"/>
        </w:rPr>
        <w:footnoteRef/>
      </w:r>
      <w:r>
        <w:tab/>
      </w:r>
      <w:r>
        <w:rPr>
          <w:b/>
          <w:i/>
        </w:rPr>
        <w:t>https://www.igb-berlin.de/sites/default/files/media-files/download-files/IGB_Policy_Brief_WFD_2019.pdf</w:t>
      </w:r>
    </w:p>
  </w:footnote>
  <w:footnote w:id="44">
    <w:p w:rsidR="00A84C16" w:rsidRDefault="00A84C16" w:rsidP="00CB6573">
      <w:pPr>
        <w:pStyle w:val="FootnoteTextForceStyle"/>
      </w:pPr>
      <w:r>
        <w:rPr>
          <w:vertAlign w:val="superscript"/>
        </w:rPr>
        <w:footnoteRef/>
      </w:r>
      <w:r>
        <w:tab/>
        <w:t>Eiropas Parlamenta un Padomes Direktīva 2007/2/EK (2007. gada 14. marts), ar ko izveido Telpiskās informācijas infrastruktūru Eiropas Kopienā (INSPIRE) (OV L 108, 25.4.2007., 1. lpp.).</w:t>
      </w:r>
    </w:p>
  </w:footnote>
  <w:footnote w:id="45">
    <w:p w:rsidR="00A84C16" w:rsidRDefault="00A84C16" w:rsidP="00CB6573">
      <w:pPr>
        <w:pStyle w:val="FootnoteTextForceStyle"/>
      </w:pPr>
      <w:r>
        <w:rPr>
          <w:vertAlign w:val="superscript"/>
        </w:rPr>
        <w:footnoteRef/>
      </w:r>
      <w:r>
        <w:tab/>
        <w:t>Eiropas Parlamenta un Padomes Direktīva (ES) 2019/1024 (2019. gada 20. jūnijs) par atvērtajiem datiem un publiskā sektora informācijas atkalizmantošanu (OV L 172, 26.6.2019., 56. lpp.).</w:t>
      </w:r>
    </w:p>
  </w:footnote>
  <w:footnote w:id="46">
    <w:p w:rsidR="00A84C16" w:rsidRDefault="00A84C16" w:rsidP="00CB6573">
      <w:pPr>
        <w:pStyle w:val="FootnoteTextForceStyle"/>
      </w:pPr>
      <w:r>
        <w:rPr>
          <w:vertAlign w:val="superscript"/>
        </w:rPr>
        <w:footnoteRef/>
      </w:r>
      <w:r>
        <w:tab/>
      </w:r>
      <w:r>
        <w:rPr>
          <w:strike/>
        </w:rPr>
        <w:t>Eiropas Parlamenta un Padomes Regula (EK) Nr. 166/2006 (2006. gada 18. janvāris) par Eiropas Piesārņojošo vielu un izmešu pārneses reģistra ieviešanu un Padomes Direktīvu 91/689/EEK un 96/61/EK grozīšanu (OV L 33, 4.2.2006., 1. lpp.).</w:t>
      </w:r>
    </w:p>
  </w:footnote>
  <w:footnote w:id="47">
    <w:p w:rsidR="00A84C16" w:rsidRDefault="00A84C16" w:rsidP="00CB6573">
      <w:pPr>
        <w:pStyle w:val="FootnoteTextForceStyle"/>
      </w:pPr>
      <w:r>
        <w:rPr>
          <w:vertAlign w:val="superscript"/>
        </w:rPr>
        <w:footnoteRef/>
      </w:r>
      <w: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48">
    <w:p w:rsidR="00A84C16" w:rsidRDefault="00A84C16" w:rsidP="00CB6573">
      <w:pPr>
        <w:pStyle w:val="FootnoteTextForceStyle"/>
      </w:pPr>
      <w:r>
        <w:rPr>
          <w:vertAlign w:val="superscript"/>
        </w:rPr>
        <w:footnoteRef/>
      </w:r>
      <w:r>
        <w:tab/>
      </w:r>
      <w:r>
        <w:rPr>
          <w:vertAlign w:val="superscript"/>
        </w:rPr>
        <w:t>+</w:t>
      </w:r>
      <w:r>
        <w:t>Publikāciju birojs tekstā ieraksta dokumentā COM(2022) 157 minēto regulas numuru, bet zemsvītras piezīmē – minētās regulas numuru, datumu, nosaukumu un OV atsauci.</w:t>
      </w:r>
    </w:p>
  </w:footnote>
  <w:footnote w:id="49">
    <w:p w:rsidR="00A84C16" w:rsidRDefault="00A84C16" w:rsidP="00CB6573">
      <w:pPr>
        <w:pStyle w:val="FootnoteTextForceStyle"/>
      </w:pPr>
      <w:r>
        <w:rPr>
          <w:vertAlign w:val="superscript"/>
        </w:rPr>
        <w:footnoteRef/>
      </w:r>
      <w:r>
        <w:tab/>
      </w:r>
      <w:r>
        <w:rPr>
          <w:b/>
          <w:i/>
        </w:rPr>
        <w:t>Lieta C-535/18, Tiesas (pirmā palāta) 2020. gada 28. maija spriedums, IL un citi pret Land Nordrhein Westfalen. Lieta C-664/15, Tiesas (otrā palāta) 2017. gada 20. decembra spriedums, Protect Natur-, Arten- und Landschaftsschutz Umweltorganisation pret Bezirkshauptmannschaft Gmünd.</w:t>
      </w:r>
    </w:p>
  </w:footnote>
  <w:footnote w:id="50">
    <w:p w:rsidR="00A84C16" w:rsidRDefault="00A84C16" w:rsidP="00CB6573">
      <w:pPr>
        <w:pStyle w:val="FootnoteTextForceStyle"/>
      </w:pPr>
      <w:r>
        <w:rPr>
          <w:vertAlign w:val="superscript"/>
        </w:rPr>
        <w:footnoteRef/>
      </w:r>
      <w:r>
        <w:tab/>
        <w:t>Eiropas Parlamenta un Padomes Lēmums Nr. 1313/2013/ES (2013. gada 17. decembris) par Savienības civilās aizsardzības mehānismu (OV L 347, 20.12.2013., 924. lpp.).</w:t>
      </w:r>
    </w:p>
  </w:footnote>
  <w:footnote w:id="51">
    <w:p w:rsidR="00A84C16" w:rsidRDefault="00A84C16" w:rsidP="00CB6573">
      <w:pPr>
        <w:pStyle w:val="FootnoteTextForceStyle"/>
      </w:pPr>
      <w:r>
        <w:rPr>
          <w:vertAlign w:val="superscript"/>
        </w:rPr>
        <w:footnoteRef/>
      </w:r>
      <w:r>
        <w:tab/>
      </w:r>
      <w:r>
        <w:rPr>
          <w:b/>
          <w:i/>
        </w:rPr>
        <w:t>ESAO, 6. apaļais galds par finansēšanu ūdens jomā. Pieejams vietnē: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C16" w:rsidRPr="005D0D30" w:rsidRDefault="00A84C1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pStyle w:val="ThetitleofAnnexIPoint0number"/>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2"/>
  </w:num>
  <w:num w:numId="3">
    <w:abstractNumId w:val="4"/>
  </w:num>
  <w:num w:numId="4">
    <w:abstractNumId w:val="0"/>
  </w:num>
  <w:num w:numId="5">
    <w:abstractNumId w:val="9"/>
  </w:num>
  <w:num w:numId="6">
    <w:abstractNumId w:val="19"/>
  </w:num>
  <w:num w:numId="7">
    <w:abstractNumId w:val="18"/>
  </w:num>
  <w:num w:numId="8">
    <w:abstractNumId w:val="27"/>
  </w:num>
  <w:num w:numId="9">
    <w:abstractNumId w:val="2"/>
  </w:num>
  <w:num w:numId="10">
    <w:abstractNumId w:val="11"/>
  </w:num>
  <w:num w:numId="11">
    <w:abstractNumId w:val="3"/>
  </w:num>
  <w:num w:numId="12">
    <w:abstractNumId w:val="13"/>
  </w:num>
  <w:num w:numId="13">
    <w:abstractNumId w:val="10"/>
  </w:num>
  <w:num w:numId="14">
    <w:abstractNumId w:val="20"/>
  </w:num>
  <w:num w:numId="15">
    <w:abstractNumId w:val="8"/>
  </w:num>
  <w:num w:numId="16">
    <w:abstractNumId w:val="24"/>
  </w:num>
  <w:num w:numId="17">
    <w:abstractNumId w:val="14"/>
  </w:num>
  <w:num w:numId="18">
    <w:abstractNumId w:val="26"/>
  </w:num>
  <w:num w:numId="19">
    <w:abstractNumId w:val="7"/>
  </w:num>
  <w:num w:numId="20">
    <w:abstractNumId w:val="15"/>
  </w:num>
  <w:num w:numId="21">
    <w:abstractNumId w:val="16"/>
  </w:num>
  <w:num w:numId="22">
    <w:abstractNumId w:val="5"/>
  </w:num>
  <w:num w:numId="23">
    <w:abstractNumId w:val="17"/>
  </w:num>
  <w:num w:numId="24">
    <w:abstractNumId w:val="22"/>
  </w:num>
  <w:num w:numId="25">
    <w:abstractNumId w:val="23"/>
  </w:num>
  <w:num w:numId="26">
    <w:abstractNumId w:val="6"/>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LV"/>
    <w:docVar w:name="dvnumam" w:val="228"/>
    <w:docVar w:name="dvpe" w:val="740.884"/>
    <w:docVar w:name="dvrapporteur" w:val="Referents: "/>
    <w:docVar w:name="dvstar" w:val="***I"/>
    <w:docVar w:name="dvtitre" w:val="Eiropas Parlamenta 2024. gada XX. XXX normatīvā rezolūcija par priekšlikumu Eiropas Parlamenta un Padomes direktīvai, ar kuru groza Direktīvu 2000/60/EK, ar ko izveido sistēmu Kopienas rīcībai ūdens resursu politikas jomā, Direktīvu 2006/118/EK par gruntsūdeņu aizsardzību pret piesārņojumu un pasliktināšanos un Direktīvu 2008/105/EK par vides kvalitātes standartiem ūdens resursu politikas jomā(COM(2022)0540 – C9-0361/2022 – 2022/0344(COD))"/>
  </w:docVars>
  <w:rsids>
    <w:rsidRoot w:val="003A7126"/>
    <w:rsid w:val="00002272"/>
    <w:rsid w:val="00064002"/>
    <w:rsid w:val="000677B9"/>
    <w:rsid w:val="000831BA"/>
    <w:rsid w:val="000A42CC"/>
    <w:rsid w:val="000C5984"/>
    <w:rsid w:val="000E7DD9"/>
    <w:rsid w:val="0010095E"/>
    <w:rsid w:val="00125B37"/>
    <w:rsid w:val="00133A36"/>
    <w:rsid w:val="00187494"/>
    <w:rsid w:val="001D2F52"/>
    <w:rsid w:val="001F32AE"/>
    <w:rsid w:val="00271DBE"/>
    <w:rsid w:val="002767FF"/>
    <w:rsid w:val="002B18FE"/>
    <w:rsid w:val="002B5493"/>
    <w:rsid w:val="00343214"/>
    <w:rsid w:val="00361C00"/>
    <w:rsid w:val="00395FA1"/>
    <w:rsid w:val="003A7126"/>
    <w:rsid w:val="003E15D4"/>
    <w:rsid w:val="003F33F9"/>
    <w:rsid w:val="00411CCE"/>
    <w:rsid w:val="0041666E"/>
    <w:rsid w:val="00421060"/>
    <w:rsid w:val="004476FE"/>
    <w:rsid w:val="004666C4"/>
    <w:rsid w:val="00471C19"/>
    <w:rsid w:val="004867E3"/>
    <w:rsid w:val="00494A28"/>
    <w:rsid w:val="004C0004"/>
    <w:rsid w:val="004C5D52"/>
    <w:rsid w:val="0050519A"/>
    <w:rsid w:val="005072A1"/>
    <w:rsid w:val="00514517"/>
    <w:rsid w:val="00545827"/>
    <w:rsid w:val="00560270"/>
    <w:rsid w:val="005909BF"/>
    <w:rsid w:val="005C2568"/>
    <w:rsid w:val="005D0D30"/>
    <w:rsid w:val="006037C0"/>
    <w:rsid w:val="006631B6"/>
    <w:rsid w:val="00670423"/>
    <w:rsid w:val="00680577"/>
    <w:rsid w:val="006A19EE"/>
    <w:rsid w:val="006F74FA"/>
    <w:rsid w:val="00731ADD"/>
    <w:rsid w:val="00734777"/>
    <w:rsid w:val="00747932"/>
    <w:rsid w:val="00751A4A"/>
    <w:rsid w:val="00756632"/>
    <w:rsid w:val="00762C74"/>
    <w:rsid w:val="00786EC0"/>
    <w:rsid w:val="007D1690"/>
    <w:rsid w:val="007E22AD"/>
    <w:rsid w:val="00817416"/>
    <w:rsid w:val="008347B2"/>
    <w:rsid w:val="00842779"/>
    <w:rsid w:val="00865F67"/>
    <w:rsid w:val="00881A7B"/>
    <w:rsid w:val="008840E5"/>
    <w:rsid w:val="00887B3E"/>
    <w:rsid w:val="008C2AC6"/>
    <w:rsid w:val="008D75B8"/>
    <w:rsid w:val="00915800"/>
    <w:rsid w:val="00930C23"/>
    <w:rsid w:val="0093193B"/>
    <w:rsid w:val="00933CD8"/>
    <w:rsid w:val="009509D8"/>
    <w:rsid w:val="00950B64"/>
    <w:rsid w:val="00981893"/>
    <w:rsid w:val="009A69FB"/>
    <w:rsid w:val="00A10B83"/>
    <w:rsid w:val="00A1687D"/>
    <w:rsid w:val="00A23A5E"/>
    <w:rsid w:val="00A35881"/>
    <w:rsid w:val="00A43E52"/>
    <w:rsid w:val="00A4678D"/>
    <w:rsid w:val="00A778C7"/>
    <w:rsid w:val="00A84C16"/>
    <w:rsid w:val="00AB441E"/>
    <w:rsid w:val="00AB6293"/>
    <w:rsid w:val="00AE0928"/>
    <w:rsid w:val="00AF3B82"/>
    <w:rsid w:val="00B12E95"/>
    <w:rsid w:val="00B22876"/>
    <w:rsid w:val="00B558F0"/>
    <w:rsid w:val="00B97110"/>
    <w:rsid w:val="00BD48FE"/>
    <w:rsid w:val="00BD7BD8"/>
    <w:rsid w:val="00BE6ADC"/>
    <w:rsid w:val="00C05BFE"/>
    <w:rsid w:val="00C23CD4"/>
    <w:rsid w:val="00C61C0C"/>
    <w:rsid w:val="00C941CB"/>
    <w:rsid w:val="00CB6573"/>
    <w:rsid w:val="00CC2357"/>
    <w:rsid w:val="00CF071A"/>
    <w:rsid w:val="00D058B8"/>
    <w:rsid w:val="00D116DF"/>
    <w:rsid w:val="00D56C11"/>
    <w:rsid w:val="00D834A0"/>
    <w:rsid w:val="00D872DF"/>
    <w:rsid w:val="00D91E21"/>
    <w:rsid w:val="00DA0235"/>
    <w:rsid w:val="00DA7FCD"/>
    <w:rsid w:val="00E365E1"/>
    <w:rsid w:val="00E820A4"/>
    <w:rsid w:val="00EB006A"/>
    <w:rsid w:val="00EB4772"/>
    <w:rsid w:val="00ED169E"/>
    <w:rsid w:val="00ED4235"/>
    <w:rsid w:val="00F04346"/>
    <w:rsid w:val="00F075DC"/>
    <w:rsid w:val="00F149E9"/>
    <w:rsid w:val="00F5134D"/>
    <w:rsid w:val="00F74202"/>
    <w:rsid w:val="00F80EF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CE46"/>
  <w15:chartTrackingRefBased/>
  <w15:docId w15:val="{D9D3B83E-FB13-41A9-B63C-359DA1D0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footnote reference"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A69FB"/>
    <w:rPr>
      <w:b/>
      <w:kern w:val="28"/>
      <w:sz w:val="28"/>
      <w:lang w:val="fr-FR" w:eastAsia="fr-FR"/>
    </w:rPr>
  </w:style>
  <w:style w:type="character" w:customStyle="1" w:styleId="Heading2Char">
    <w:name w:val="Heading 2 Char"/>
    <w:basedOn w:val="DefaultParagraphFont"/>
    <w:link w:val="Heading2"/>
    <w:uiPriority w:val="9"/>
    <w:semiHidden/>
    <w:rsid w:val="009A69FB"/>
    <w:rPr>
      <w:sz w:val="24"/>
      <w:lang w:val="fr-FR" w:eastAsia="fr-FR"/>
    </w:rPr>
  </w:style>
  <w:style w:type="character" w:customStyle="1" w:styleId="Heading3Char">
    <w:name w:val="Heading 3 Char"/>
    <w:basedOn w:val="DefaultParagraphFont"/>
    <w:link w:val="Heading3"/>
    <w:uiPriority w:val="9"/>
    <w:semiHidden/>
    <w:rsid w:val="009A69FB"/>
    <w:rPr>
      <w:rFonts w:ascii="Arial" w:hAnsi="Arial"/>
      <w:sz w:val="24"/>
      <w:lang w:val="fr-FR" w:eastAsia="fr-FR"/>
    </w:rPr>
  </w:style>
  <w:style w:type="character" w:customStyle="1" w:styleId="Heading4Char">
    <w:name w:val="Heading 4 Char"/>
    <w:basedOn w:val="DefaultParagraphFont"/>
    <w:link w:val="Heading4"/>
    <w:uiPriority w:val="9"/>
    <w:semiHidden/>
    <w:rsid w:val="009A69FB"/>
    <w:rPr>
      <w:sz w:val="24"/>
      <w:lang w:val="en-US" w:eastAsia="fr-FR"/>
    </w:rPr>
  </w:style>
  <w:style w:type="character" w:customStyle="1" w:styleId="Heading5Char">
    <w:name w:val="Heading 5 Char"/>
    <w:basedOn w:val="DefaultParagraphFont"/>
    <w:link w:val="Heading5"/>
    <w:uiPriority w:val="9"/>
    <w:semiHidden/>
    <w:rsid w:val="009A69FB"/>
    <w:rPr>
      <w:sz w:val="24"/>
      <w:lang w:val="en-US" w:eastAsia="fr-FR"/>
    </w:rPr>
  </w:style>
  <w:style w:type="character" w:customStyle="1" w:styleId="Heading6Char">
    <w:name w:val="Heading 6 Char"/>
    <w:basedOn w:val="DefaultParagraphFont"/>
    <w:link w:val="Heading6"/>
    <w:uiPriority w:val="9"/>
    <w:semiHidden/>
    <w:rsid w:val="009A69FB"/>
    <w:rPr>
      <w:i/>
      <w:sz w:val="22"/>
      <w:lang w:val="lv-LV"/>
    </w:rPr>
  </w:style>
  <w:style w:type="character" w:customStyle="1" w:styleId="Heading7Char">
    <w:name w:val="Heading 7 Char"/>
    <w:basedOn w:val="DefaultParagraphFont"/>
    <w:link w:val="Heading7"/>
    <w:uiPriority w:val="9"/>
    <w:semiHidden/>
    <w:rsid w:val="009A69FB"/>
    <w:rPr>
      <w:rFonts w:ascii="Arial" w:hAnsi="Arial"/>
      <w:sz w:val="24"/>
      <w:lang w:val="lv-LV"/>
    </w:rPr>
  </w:style>
  <w:style w:type="character" w:customStyle="1" w:styleId="Heading8Char">
    <w:name w:val="Heading 8 Char"/>
    <w:basedOn w:val="DefaultParagraphFont"/>
    <w:link w:val="Heading8"/>
    <w:uiPriority w:val="9"/>
    <w:rsid w:val="009A69FB"/>
    <w:rPr>
      <w:rFonts w:ascii="Arial" w:hAnsi="Arial"/>
      <w:i/>
      <w:sz w:val="24"/>
      <w:lang w:val="lv-LV"/>
    </w:rPr>
  </w:style>
  <w:style w:type="character" w:customStyle="1" w:styleId="Heading9Char">
    <w:name w:val="Heading 9 Char"/>
    <w:basedOn w:val="DefaultParagraphFont"/>
    <w:link w:val="Heading9"/>
    <w:uiPriority w:val="9"/>
    <w:rsid w:val="009A69FB"/>
    <w:rPr>
      <w:rFonts w:ascii="Arial" w:hAnsi="Arial"/>
      <w:b/>
      <w:i/>
      <w:sz w:val="18"/>
      <w:lang w:val="lv-LV"/>
    </w:rPr>
  </w:style>
  <w:style w:type="paragraph" w:styleId="TOCHeading">
    <w:name w:val="TOC Heading"/>
    <w:basedOn w:val="Normal"/>
    <w:next w:val="Normal"/>
    <w:uiPriority w:val="39"/>
    <w:unhideWhenUsed/>
    <w:qFormat/>
    <w:rsid w:val="009A69FB"/>
    <w:pPr>
      <w:widowControl/>
      <w:spacing w:after="240"/>
    </w:pPr>
    <w:rPr>
      <w:lang w:val="en-GB"/>
    </w:rPr>
  </w:style>
  <w:style w:type="paragraph" w:customStyle="1" w:styleId="EPFooter2">
    <w:name w:val="EPFooter2"/>
    <w:basedOn w:val="Normal"/>
    <w:next w:val="Normal"/>
    <w:rsid w:val="009A69F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A69FB"/>
    <w:pPr>
      <w:keepNext/>
      <w:spacing w:after="240"/>
      <w:jc w:val="right"/>
    </w:pPr>
    <w:rPr>
      <w:rFonts w:ascii="Arial" w:hAnsi="Arial"/>
      <w:b/>
    </w:rPr>
  </w:style>
  <w:style w:type="paragraph" w:customStyle="1" w:styleId="Normal6a">
    <w:name w:val="Normal6a"/>
    <w:basedOn w:val="Normal"/>
    <w:rsid w:val="009A69FB"/>
    <w:pPr>
      <w:spacing w:after="120"/>
    </w:pPr>
  </w:style>
  <w:style w:type="paragraph" w:customStyle="1" w:styleId="PageHeading">
    <w:name w:val="PageHeading"/>
    <w:basedOn w:val="Normal"/>
    <w:rsid w:val="009A69FB"/>
    <w:pPr>
      <w:keepNext/>
      <w:spacing w:after="480"/>
      <w:jc w:val="center"/>
    </w:pPr>
    <w:rPr>
      <w:rFonts w:ascii="Arial" w:hAnsi="Arial" w:cs="Arial"/>
      <w:b/>
    </w:rPr>
  </w:style>
  <w:style w:type="paragraph" w:customStyle="1" w:styleId="NormalBold">
    <w:name w:val="NormalBold"/>
    <w:basedOn w:val="Normal"/>
    <w:link w:val="NormalBoldChar"/>
    <w:rsid w:val="009A69FB"/>
    <w:rPr>
      <w:b/>
    </w:rPr>
  </w:style>
  <w:style w:type="paragraph" w:customStyle="1" w:styleId="NormalBold12a">
    <w:name w:val="NormalBold12a"/>
    <w:basedOn w:val="Normal"/>
    <w:rsid w:val="009A69FB"/>
    <w:pPr>
      <w:spacing w:after="240"/>
    </w:pPr>
    <w:rPr>
      <w:b/>
    </w:rPr>
  </w:style>
  <w:style w:type="paragraph" w:customStyle="1" w:styleId="AmJustText">
    <w:name w:val="AmJustText"/>
    <w:basedOn w:val="Normal"/>
    <w:rsid w:val="009A69FB"/>
    <w:pPr>
      <w:spacing w:after="240"/>
    </w:pPr>
    <w:rPr>
      <w:i/>
    </w:rPr>
  </w:style>
  <w:style w:type="paragraph" w:customStyle="1" w:styleId="NormalHanging12a">
    <w:name w:val="NormalHanging12a"/>
    <w:basedOn w:val="Normal"/>
    <w:rsid w:val="009A69FB"/>
    <w:pPr>
      <w:spacing w:after="240"/>
      <w:ind w:left="567" w:hanging="567"/>
    </w:pPr>
  </w:style>
  <w:style w:type="paragraph" w:customStyle="1" w:styleId="CoverNormal24a">
    <w:name w:val="CoverNormal24a"/>
    <w:basedOn w:val="Normal"/>
    <w:rsid w:val="009A69FB"/>
    <w:pPr>
      <w:spacing w:after="480"/>
      <w:ind w:left="1417"/>
    </w:pPr>
  </w:style>
  <w:style w:type="paragraph" w:customStyle="1" w:styleId="CoverNormal">
    <w:name w:val="CoverNormal"/>
    <w:basedOn w:val="Normal"/>
    <w:rsid w:val="009A69FB"/>
    <w:pPr>
      <w:ind w:left="1418"/>
    </w:pPr>
  </w:style>
  <w:style w:type="paragraph" w:customStyle="1" w:styleId="AmCrossRef">
    <w:name w:val="AmCrossRef"/>
    <w:basedOn w:val="Normal"/>
    <w:rsid w:val="009A69FB"/>
    <w:pPr>
      <w:spacing w:before="240" w:after="240"/>
      <w:jc w:val="center"/>
    </w:pPr>
    <w:rPr>
      <w:i/>
    </w:rPr>
  </w:style>
  <w:style w:type="paragraph" w:customStyle="1" w:styleId="AmJustTitle">
    <w:name w:val="AmJustTitle"/>
    <w:basedOn w:val="Normal"/>
    <w:next w:val="AmJustText"/>
    <w:rsid w:val="009A69FB"/>
    <w:pPr>
      <w:keepNext/>
      <w:spacing w:before="240" w:after="240"/>
      <w:jc w:val="center"/>
    </w:pPr>
    <w:rPr>
      <w:i/>
    </w:rPr>
  </w:style>
  <w:style w:type="paragraph" w:customStyle="1" w:styleId="CoverReference">
    <w:name w:val="CoverReference"/>
    <w:basedOn w:val="Normal"/>
    <w:rsid w:val="009A69FB"/>
    <w:pPr>
      <w:spacing w:before="1080"/>
      <w:jc w:val="right"/>
    </w:pPr>
    <w:rPr>
      <w:rFonts w:ascii="Arial" w:hAnsi="Arial" w:cs="Arial"/>
      <w:b/>
    </w:rPr>
  </w:style>
  <w:style w:type="paragraph" w:customStyle="1" w:styleId="CoverDocType">
    <w:name w:val="CoverDocType"/>
    <w:basedOn w:val="Normal"/>
    <w:rsid w:val="009A69FB"/>
    <w:pPr>
      <w:ind w:left="1418"/>
    </w:pPr>
    <w:rPr>
      <w:rFonts w:ascii="Arial" w:hAnsi="Arial"/>
      <w:b/>
      <w:sz w:val="48"/>
    </w:rPr>
  </w:style>
  <w:style w:type="paragraph" w:customStyle="1" w:styleId="CoverDocType24a">
    <w:name w:val="CoverDocType24a"/>
    <w:basedOn w:val="Normal"/>
    <w:rsid w:val="009A69FB"/>
    <w:pPr>
      <w:spacing w:after="480"/>
      <w:ind w:left="1418"/>
    </w:pPr>
    <w:rPr>
      <w:rFonts w:ascii="Arial" w:hAnsi="Arial"/>
      <w:b/>
      <w:sz w:val="48"/>
    </w:rPr>
  </w:style>
  <w:style w:type="paragraph" w:customStyle="1" w:styleId="CoverDate">
    <w:name w:val="CoverDate"/>
    <w:basedOn w:val="Normal"/>
    <w:rsid w:val="009A69FB"/>
    <w:pPr>
      <w:spacing w:before="240" w:after="1200"/>
    </w:pPr>
  </w:style>
  <w:style w:type="paragraph" w:styleId="Header">
    <w:name w:val="header"/>
    <w:basedOn w:val="Normal"/>
    <w:link w:val="HeaderChar"/>
    <w:uiPriority w:val="99"/>
    <w:rsid w:val="009A69FB"/>
    <w:pPr>
      <w:tabs>
        <w:tab w:val="center" w:pos="4513"/>
        <w:tab w:val="right" w:pos="9026"/>
      </w:tabs>
    </w:pPr>
  </w:style>
  <w:style w:type="character" w:customStyle="1" w:styleId="HeaderChar">
    <w:name w:val="Header Char"/>
    <w:basedOn w:val="DefaultParagraphFont"/>
    <w:link w:val="Header"/>
    <w:uiPriority w:val="99"/>
    <w:rsid w:val="009A69FB"/>
    <w:rPr>
      <w:sz w:val="24"/>
      <w:lang w:val="lv-LV"/>
    </w:rPr>
  </w:style>
  <w:style w:type="paragraph" w:customStyle="1" w:styleId="AmOrLang">
    <w:name w:val="AmOrLang"/>
    <w:basedOn w:val="Normal"/>
    <w:rsid w:val="009A69FB"/>
    <w:pPr>
      <w:spacing w:before="240" w:after="240"/>
      <w:jc w:val="right"/>
    </w:pPr>
  </w:style>
  <w:style w:type="paragraph" w:customStyle="1" w:styleId="AmColumnHeading">
    <w:name w:val="AmColumnHeading"/>
    <w:basedOn w:val="Normal"/>
    <w:rsid w:val="009A69FB"/>
    <w:pPr>
      <w:spacing w:after="240"/>
      <w:jc w:val="center"/>
    </w:pPr>
    <w:rPr>
      <w:i/>
    </w:rPr>
  </w:style>
  <w:style w:type="paragraph" w:customStyle="1" w:styleId="AmNumberTabs">
    <w:name w:val="AmNumberTabs"/>
    <w:basedOn w:val="Normal"/>
    <w:link w:val="AmNumberTabsChar"/>
    <w:rsid w:val="009A69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A69FB"/>
    <w:pPr>
      <w:spacing w:before="240"/>
    </w:pPr>
    <w:rPr>
      <w:b/>
    </w:rPr>
  </w:style>
  <w:style w:type="paragraph" w:customStyle="1" w:styleId="EPBody">
    <w:name w:val="EPBody"/>
    <w:basedOn w:val="Normal"/>
    <w:rsid w:val="009A69FB"/>
    <w:pPr>
      <w:jc w:val="center"/>
    </w:pPr>
    <w:rPr>
      <w:rFonts w:ascii="Arial" w:hAnsi="Arial" w:cs="Arial"/>
      <w:i/>
      <w:sz w:val="22"/>
      <w:szCs w:val="22"/>
    </w:rPr>
  </w:style>
  <w:style w:type="paragraph" w:customStyle="1" w:styleId="EPFooter">
    <w:name w:val="EPFooter"/>
    <w:basedOn w:val="Normal"/>
    <w:rsid w:val="009A69FB"/>
    <w:pPr>
      <w:tabs>
        <w:tab w:val="center" w:pos="4535"/>
        <w:tab w:val="right" w:pos="9071"/>
      </w:tabs>
      <w:spacing w:before="240" w:after="240"/>
    </w:pPr>
    <w:rPr>
      <w:color w:val="010000"/>
      <w:sz w:val="22"/>
    </w:rPr>
  </w:style>
  <w:style w:type="paragraph" w:customStyle="1" w:styleId="EPComma">
    <w:name w:val="EPComma"/>
    <w:basedOn w:val="Normal"/>
    <w:rsid w:val="009A69FB"/>
    <w:pPr>
      <w:spacing w:before="480" w:after="240"/>
    </w:pPr>
  </w:style>
  <w:style w:type="paragraph" w:customStyle="1" w:styleId="Lgendesigne">
    <w:name w:val="Légende signe"/>
    <w:basedOn w:val="Normal"/>
    <w:rsid w:val="009A69FB"/>
    <w:pPr>
      <w:tabs>
        <w:tab w:val="right" w:pos="454"/>
        <w:tab w:val="left" w:pos="737"/>
      </w:tabs>
      <w:ind w:left="737" w:hanging="737"/>
    </w:pPr>
    <w:rPr>
      <w:snapToGrid w:val="0"/>
      <w:sz w:val="18"/>
      <w:lang w:eastAsia="en-US"/>
    </w:rPr>
  </w:style>
  <w:style w:type="paragraph" w:customStyle="1" w:styleId="Lgendetitre">
    <w:name w:val="Légende titre"/>
    <w:basedOn w:val="Normal"/>
    <w:rsid w:val="009A69FB"/>
    <w:pPr>
      <w:spacing w:before="240" w:after="240"/>
    </w:pPr>
    <w:rPr>
      <w:b/>
      <w:i/>
      <w:snapToGrid w:val="0"/>
      <w:lang w:eastAsia="en-US"/>
    </w:rPr>
  </w:style>
  <w:style w:type="paragraph" w:customStyle="1" w:styleId="Lgendestandard">
    <w:name w:val="Légende standard"/>
    <w:basedOn w:val="Normal"/>
    <w:rsid w:val="009A69FB"/>
    <w:rPr>
      <w:sz w:val="18"/>
    </w:rPr>
  </w:style>
  <w:style w:type="paragraph" w:customStyle="1" w:styleId="EntPE">
    <w:name w:val="EntPE"/>
    <w:basedOn w:val="Normal12"/>
    <w:rsid w:val="009A69FB"/>
    <w:pPr>
      <w:jc w:val="center"/>
    </w:pPr>
    <w:rPr>
      <w:noProof w:val="0"/>
      <w:sz w:val="56"/>
    </w:rPr>
  </w:style>
  <w:style w:type="paragraph" w:customStyle="1" w:styleId="Normal12">
    <w:name w:val="Normal12"/>
    <w:basedOn w:val="Normal"/>
    <w:link w:val="Normal12Char"/>
    <w:rsid w:val="009A69FB"/>
    <w:pPr>
      <w:spacing w:after="240"/>
    </w:pPr>
    <w:rPr>
      <w:noProof/>
    </w:rPr>
  </w:style>
  <w:style w:type="paragraph" w:customStyle="1" w:styleId="CommitteeAM">
    <w:name w:val="CommitteeAM"/>
    <w:basedOn w:val="Normal"/>
    <w:rsid w:val="009A69FB"/>
    <w:pPr>
      <w:spacing w:before="240" w:after="600"/>
      <w:jc w:val="center"/>
    </w:pPr>
    <w:rPr>
      <w:i/>
    </w:rPr>
  </w:style>
  <w:style w:type="paragraph" w:customStyle="1" w:styleId="ZDateAM">
    <w:name w:val="ZDateAM"/>
    <w:basedOn w:val="Normal"/>
    <w:rsid w:val="009A69FB"/>
    <w:pPr>
      <w:tabs>
        <w:tab w:val="right" w:pos="9356"/>
      </w:tabs>
      <w:spacing w:after="480"/>
    </w:pPr>
    <w:rPr>
      <w:noProof/>
    </w:rPr>
  </w:style>
  <w:style w:type="paragraph" w:customStyle="1" w:styleId="ProjRap">
    <w:name w:val="ProjRap"/>
    <w:basedOn w:val="Normal"/>
    <w:rsid w:val="009A69FB"/>
    <w:pPr>
      <w:tabs>
        <w:tab w:val="right" w:pos="9356"/>
      </w:tabs>
    </w:pPr>
    <w:rPr>
      <w:b/>
      <w:noProof/>
    </w:rPr>
  </w:style>
  <w:style w:type="character" w:customStyle="1" w:styleId="Normal12Char">
    <w:name w:val="Normal12 Char"/>
    <w:basedOn w:val="DefaultParagraphFont"/>
    <w:link w:val="Normal12"/>
    <w:locked/>
    <w:rsid w:val="009A69FB"/>
    <w:rPr>
      <w:noProof/>
      <w:sz w:val="24"/>
      <w:lang w:val="lv-LV"/>
    </w:rPr>
  </w:style>
  <w:style w:type="paragraph" w:customStyle="1" w:styleId="PELeft">
    <w:name w:val="PELeft"/>
    <w:basedOn w:val="Normal"/>
    <w:rsid w:val="009A69FB"/>
    <w:pPr>
      <w:spacing w:before="40" w:after="40"/>
    </w:pPr>
    <w:rPr>
      <w:rFonts w:ascii="Arial" w:hAnsi="Arial" w:cs="Arial"/>
      <w:sz w:val="22"/>
      <w:szCs w:val="22"/>
    </w:rPr>
  </w:style>
  <w:style w:type="paragraph" w:customStyle="1" w:styleId="PERight">
    <w:name w:val="PERight"/>
    <w:basedOn w:val="Normal"/>
    <w:next w:val="Normal"/>
    <w:rsid w:val="009A69FB"/>
    <w:pPr>
      <w:jc w:val="right"/>
    </w:pPr>
    <w:rPr>
      <w:rFonts w:ascii="Arial" w:hAnsi="Arial" w:cs="Arial"/>
      <w:sz w:val="22"/>
      <w:szCs w:val="22"/>
    </w:rPr>
  </w:style>
  <w:style w:type="paragraph" w:customStyle="1" w:styleId="Normal6">
    <w:name w:val="Normal6"/>
    <w:basedOn w:val="Normal"/>
    <w:link w:val="Normal6Char"/>
    <w:rsid w:val="009A69FB"/>
    <w:pPr>
      <w:spacing w:after="120"/>
    </w:pPr>
  </w:style>
  <w:style w:type="paragraph" w:customStyle="1" w:styleId="Normal12Italic">
    <w:name w:val="Normal12Italic"/>
    <w:basedOn w:val="Normal12"/>
    <w:rsid w:val="009A69FB"/>
    <w:rPr>
      <w:i/>
    </w:rPr>
  </w:style>
  <w:style w:type="character" w:customStyle="1" w:styleId="NormalBoldChar">
    <w:name w:val="NormalBold Char"/>
    <w:basedOn w:val="DefaultParagraphFont"/>
    <w:link w:val="NormalBold"/>
    <w:rsid w:val="009A69FB"/>
    <w:rPr>
      <w:b/>
      <w:sz w:val="24"/>
      <w:lang w:val="lv-LV"/>
    </w:rPr>
  </w:style>
  <w:style w:type="paragraph" w:customStyle="1" w:styleId="JustificationTitle">
    <w:name w:val="JustificationTitle"/>
    <w:basedOn w:val="Normal"/>
    <w:next w:val="Normal12"/>
    <w:rsid w:val="009A69FB"/>
    <w:pPr>
      <w:keepNext/>
      <w:spacing w:before="240" w:after="240"/>
      <w:jc w:val="center"/>
    </w:pPr>
    <w:rPr>
      <w:i/>
      <w:noProof/>
    </w:rPr>
  </w:style>
  <w:style w:type="paragraph" w:customStyle="1" w:styleId="Olang">
    <w:name w:val="Olang"/>
    <w:basedOn w:val="Normal"/>
    <w:rsid w:val="009A69FB"/>
    <w:pPr>
      <w:spacing w:before="240" w:after="240"/>
      <w:jc w:val="right"/>
    </w:pPr>
    <w:rPr>
      <w:noProof/>
      <w:szCs w:val="24"/>
    </w:rPr>
  </w:style>
  <w:style w:type="character" w:customStyle="1" w:styleId="Normal6Char">
    <w:name w:val="Normal6 Char"/>
    <w:basedOn w:val="DefaultParagraphFont"/>
    <w:link w:val="Normal6"/>
    <w:rsid w:val="009A69FB"/>
    <w:rPr>
      <w:sz w:val="24"/>
      <w:lang w:val="lv-LV"/>
    </w:rPr>
  </w:style>
  <w:style w:type="paragraph" w:customStyle="1" w:styleId="ColumnHeading">
    <w:name w:val="ColumnHeading"/>
    <w:basedOn w:val="Normal"/>
    <w:rsid w:val="009A69FB"/>
    <w:pPr>
      <w:spacing w:after="240"/>
      <w:jc w:val="center"/>
    </w:pPr>
    <w:rPr>
      <w:i/>
    </w:rPr>
  </w:style>
  <w:style w:type="paragraph" w:customStyle="1" w:styleId="AMNumberTabs0">
    <w:name w:val="AMNumberTabs"/>
    <w:basedOn w:val="Normal"/>
    <w:rsid w:val="009A69F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A69FB"/>
    <w:pPr>
      <w:spacing w:before="240"/>
      <w:jc w:val="center"/>
    </w:pPr>
    <w:rPr>
      <w:i/>
    </w:rPr>
  </w:style>
  <w:style w:type="paragraph" w:styleId="Footer">
    <w:name w:val="footer"/>
    <w:basedOn w:val="Normal"/>
    <w:link w:val="FooterChar"/>
    <w:uiPriority w:val="99"/>
    <w:rsid w:val="009A69FB"/>
    <w:pPr>
      <w:tabs>
        <w:tab w:val="center" w:pos="4513"/>
        <w:tab w:val="right" w:pos="9026"/>
      </w:tabs>
    </w:pPr>
  </w:style>
  <w:style w:type="character" w:customStyle="1" w:styleId="FooterChar">
    <w:name w:val="Footer Char"/>
    <w:basedOn w:val="DefaultParagraphFont"/>
    <w:link w:val="Footer"/>
    <w:uiPriority w:val="99"/>
    <w:rsid w:val="009A69FB"/>
    <w:rPr>
      <w:sz w:val="24"/>
      <w:lang w:val="lv-LV"/>
    </w:rPr>
  </w:style>
  <w:style w:type="character" w:customStyle="1" w:styleId="Footer2Middle">
    <w:name w:val="Footer2Middle"/>
    <w:rsid w:val="009A69FB"/>
    <w:rPr>
      <w:rFonts w:ascii="Arial" w:cs="Arial"/>
      <w:b w:val="0"/>
      <w:i/>
      <w:color w:val="C0C0C0"/>
      <w:sz w:val="22"/>
    </w:rPr>
  </w:style>
  <w:style w:type="paragraph" w:customStyle="1" w:styleId="Normal24a">
    <w:name w:val="Normal24a"/>
    <w:basedOn w:val="Normal"/>
    <w:rsid w:val="009A69FB"/>
    <w:pPr>
      <w:spacing w:after="480"/>
    </w:pPr>
  </w:style>
  <w:style w:type="paragraph" w:customStyle="1" w:styleId="NormalBoldCenter">
    <w:name w:val="NormalBoldCenter"/>
    <w:basedOn w:val="Normal"/>
    <w:rsid w:val="009A69FB"/>
    <w:pPr>
      <w:jc w:val="center"/>
    </w:pPr>
    <w:rPr>
      <w:b/>
    </w:rPr>
  </w:style>
  <w:style w:type="paragraph" w:customStyle="1" w:styleId="Point0number">
    <w:name w:val="Point 0 (number)"/>
    <w:basedOn w:val="Normal"/>
    <w:rsid w:val="009A69FB"/>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9A69FB"/>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9A69FB"/>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9A69FB"/>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9A69FB"/>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9A69FB"/>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9A69FB"/>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9A69FB"/>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9A69FB"/>
    <w:pPr>
      <w:widowControl/>
      <w:numPr>
        <w:ilvl w:val="8"/>
        <w:numId w:val="3"/>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9A69FB"/>
    <w:rPr>
      <w:rFonts w:ascii="Segoe UI" w:hAnsi="Segoe UI" w:cs="Segoe UI"/>
      <w:sz w:val="18"/>
      <w:szCs w:val="18"/>
    </w:rPr>
  </w:style>
  <w:style w:type="character" w:customStyle="1" w:styleId="BalloonTextChar">
    <w:name w:val="Balloon Text Char"/>
    <w:basedOn w:val="DefaultParagraphFont"/>
    <w:link w:val="BalloonText"/>
    <w:uiPriority w:val="99"/>
    <w:rsid w:val="009A69FB"/>
    <w:rPr>
      <w:rFonts w:ascii="Segoe UI" w:hAnsi="Segoe UI" w:cs="Segoe UI"/>
      <w:sz w:val="18"/>
      <w:szCs w:val="18"/>
      <w:lang w:val="lv-LV"/>
    </w:rPr>
  </w:style>
  <w:style w:type="character" w:styleId="CommentReference">
    <w:name w:val="annotation reference"/>
    <w:basedOn w:val="DefaultParagraphFont"/>
    <w:uiPriority w:val="99"/>
    <w:rsid w:val="009A69FB"/>
    <w:rPr>
      <w:sz w:val="16"/>
      <w:szCs w:val="16"/>
    </w:rPr>
  </w:style>
  <w:style w:type="paragraph" w:styleId="CommentText">
    <w:name w:val="annotation text"/>
    <w:basedOn w:val="Normal"/>
    <w:link w:val="CommentTextChar"/>
    <w:uiPriority w:val="99"/>
    <w:rsid w:val="009A69FB"/>
    <w:rPr>
      <w:sz w:val="20"/>
    </w:rPr>
  </w:style>
  <w:style w:type="character" w:customStyle="1" w:styleId="CommentTextChar">
    <w:name w:val="Comment Text Char"/>
    <w:basedOn w:val="DefaultParagraphFont"/>
    <w:link w:val="CommentText"/>
    <w:uiPriority w:val="99"/>
    <w:rsid w:val="009A69FB"/>
    <w:rPr>
      <w:lang w:val="lv-LV"/>
    </w:rPr>
  </w:style>
  <w:style w:type="paragraph" w:styleId="CommentSubject">
    <w:name w:val="annotation subject"/>
    <w:basedOn w:val="CommentText"/>
    <w:next w:val="CommentText"/>
    <w:link w:val="CommentSubjectChar"/>
    <w:uiPriority w:val="99"/>
    <w:unhideWhenUsed/>
    <w:rsid w:val="009A69FB"/>
    <w:rPr>
      <w:b/>
      <w:bCs/>
    </w:rPr>
  </w:style>
  <w:style w:type="character" w:customStyle="1" w:styleId="CommentSubjectChar">
    <w:name w:val="Comment Subject Char"/>
    <w:basedOn w:val="CommentTextChar"/>
    <w:link w:val="CommentSubject"/>
    <w:uiPriority w:val="99"/>
    <w:rsid w:val="009A69FB"/>
    <w:rPr>
      <w:b/>
      <w:bCs/>
      <w:lang w:val="lv-LV"/>
    </w:rPr>
  </w:style>
  <w:style w:type="paragraph" w:styleId="Revision">
    <w:name w:val="Revision"/>
    <w:hidden/>
    <w:uiPriority w:val="99"/>
    <w:semiHidden/>
    <w:rsid w:val="009A69FB"/>
    <w:rPr>
      <w:sz w:val="24"/>
      <w:lang w:val="lv-LV"/>
    </w:rPr>
  </w:style>
  <w:style w:type="paragraph" w:customStyle="1" w:styleId="Normal12a">
    <w:name w:val="Normal12a"/>
    <w:basedOn w:val="Normal"/>
    <w:rsid w:val="009A69FB"/>
    <w:pPr>
      <w:spacing w:after="240"/>
    </w:pPr>
  </w:style>
  <w:style w:type="paragraph" w:customStyle="1" w:styleId="RollCallVotes">
    <w:name w:val="RollCallVotes"/>
    <w:basedOn w:val="Normal"/>
    <w:rsid w:val="009A69FB"/>
    <w:pPr>
      <w:spacing w:before="120" w:after="120"/>
      <w:jc w:val="center"/>
    </w:pPr>
    <w:rPr>
      <w:b/>
      <w:bCs/>
      <w:snapToGrid w:val="0"/>
      <w:sz w:val="16"/>
      <w:lang w:eastAsia="en-US"/>
    </w:rPr>
  </w:style>
  <w:style w:type="paragraph" w:customStyle="1" w:styleId="RollCallTabs">
    <w:name w:val="RollCallTabs"/>
    <w:basedOn w:val="Normal"/>
    <w:qFormat/>
    <w:rsid w:val="009A69FB"/>
    <w:pPr>
      <w:tabs>
        <w:tab w:val="center" w:pos="284"/>
        <w:tab w:val="left" w:pos="426"/>
      </w:tabs>
    </w:pPr>
    <w:rPr>
      <w:snapToGrid w:val="0"/>
      <w:lang w:eastAsia="en-US"/>
    </w:rPr>
  </w:style>
  <w:style w:type="paragraph" w:customStyle="1" w:styleId="RollCallSymbols14pt">
    <w:name w:val="RollCallSymbols14pt"/>
    <w:basedOn w:val="Normal"/>
    <w:rsid w:val="009A69FB"/>
    <w:pPr>
      <w:spacing w:before="120" w:after="120"/>
      <w:jc w:val="center"/>
    </w:pPr>
    <w:rPr>
      <w:rFonts w:ascii="Arial" w:hAnsi="Arial"/>
      <w:b/>
      <w:bCs/>
      <w:snapToGrid w:val="0"/>
      <w:sz w:val="28"/>
      <w:lang w:eastAsia="en-US"/>
    </w:rPr>
  </w:style>
  <w:style w:type="paragraph" w:customStyle="1" w:styleId="RollCallTable">
    <w:name w:val="RollCallTable"/>
    <w:basedOn w:val="Normal"/>
    <w:rsid w:val="009A69FB"/>
    <w:pPr>
      <w:spacing w:before="120" w:after="120"/>
    </w:pPr>
    <w:rPr>
      <w:snapToGrid w:val="0"/>
      <w:sz w:val="16"/>
      <w:lang w:eastAsia="en-US"/>
    </w:rPr>
  </w:style>
  <w:style w:type="character" w:customStyle="1" w:styleId="AmNumberTabsChar">
    <w:name w:val="AmNumberTabs Char"/>
    <w:basedOn w:val="DefaultParagraphFont"/>
    <w:link w:val="AmNumberTabs"/>
    <w:rsid w:val="009A69FB"/>
    <w:rPr>
      <w:b/>
      <w:sz w:val="24"/>
      <w:lang w:val="lv-LV"/>
    </w:rPr>
  </w:style>
  <w:style w:type="character" w:customStyle="1" w:styleId="NormalBold12bChar">
    <w:name w:val="NormalBold12b Char"/>
    <w:basedOn w:val="AmNumberTabsChar"/>
    <w:link w:val="NormalBold12b"/>
    <w:rsid w:val="009A69FB"/>
    <w:rPr>
      <w:b/>
      <w:sz w:val="24"/>
      <w:lang w:val="lv-LV"/>
    </w:rPr>
  </w:style>
  <w:style w:type="character" w:customStyle="1" w:styleId="highlight-diff">
    <w:name w:val="highlight-diff"/>
    <w:basedOn w:val="DefaultParagraphFont"/>
    <w:rsid w:val="009A69FB"/>
  </w:style>
  <w:style w:type="paragraph" w:customStyle="1" w:styleId="PageHeadingNotTOC">
    <w:name w:val="PageHeadingNotTOC"/>
    <w:basedOn w:val="Normal"/>
    <w:rsid w:val="009A69FB"/>
    <w:pPr>
      <w:keepNext/>
      <w:spacing w:after="480"/>
      <w:jc w:val="center"/>
    </w:pPr>
    <w:rPr>
      <w:rFonts w:ascii="Arial" w:hAnsi="Arial" w:cs="Arial"/>
      <w:b/>
    </w:rPr>
  </w:style>
  <w:style w:type="paragraph" w:customStyle="1" w:styleId="AmHeadingPA">
    <w:name w:val="AmHeadingPA"/>
    <w:basedOn w:val="Normal"/>
    <w:next w:val="Normal"/>
    <w:rsid w:val="009A69FB"/>
    <w:pPr>
      <w:spacing w:before="480" w:after="240"/>
      <w:jc w:val="center"/>
    </w:pPr>
    <w:rPr>
      <w:rFonts w:ascii="Arial" w:hAnsi="Arial"/>
      <w:b/>
      <w:caps/>
      <w:snapToGrid w:val="0"/>
      <w:szCs w:val="24"/>
      <w:lang w:eastAsia="en-US"/>
    </w:rPr>
  </w:style>
  <w:style w:type="character" w:styleId="Hyperlink">
    <w:name w:val="Hyperlink"/>
    <w:uiPriority w:val="99"/>
    <w:rsid w:val="009A69FB"/>
    <w:rPr>
      <w:color w:val="0000FF"/>
      <w:u w:val="single"/>
      <w:shd w:val="clear" w:color="auto" w:fill="auto"/>
    </w:rPr>
  </w:style>
  <w:style w:type="paragraph" w:customStyle="1" w:styleId="CM1">
    <w:name w:val="CM1"/>
    <w:basedOn w:val="Normal"/>
    <w:next w:val="Normal"/>
    <w:uiPriority w:val="99"/>
    <w:rsid w:val="009A69FB"/>
    <w:pPr>
      <w:widowControl/>
      <w:autoSpaceDE w:val="0"/>
      <w:autoSpaceDN w:val="0"/>
      <w:adjustRightInd w:val="0"/>
    </w:pPr>
    <w:rPr>
      <w:szCs w:val="24"/>
    </w:rPr>
  </w:style>
  <w:style w:type="paragraph" w:customStyle="1" w:styleId="CM3">
    <w:name w:val="CM3"/>
    <w:basedOn w:val="Normal"/>
    <w:next w:val="Normal"/>
    <w:uiPriority w:val="99"/>
    <w:rsid w:val="009A69FB"/>
    <w:pPr>
      <w:widowControl/>
      <w:autoSpaceDE w:val="0"/>
      <w:autoSpaceDN w:val="0"/>
      <w:adjustRightInd w:val="0"/>
    </w:pPr>
    <w:rPr>
      <w:szCs w:val="24"/>
    </w:rPr>
  </w:style>
  <w:style w:type="character" w:styleId="Emphasis">
    <w:name w:val="Emphasis"/>
    <w:basedOn w:val="DefaultParagraphFont"/>
    <w:uiPriority w:val="20"/>
    <w:qFormat/>
    <w:rsid w:val="004666C4"/>
    <w:rPr>
      <w:i/>
      <w:iCs/>
    </w:rPr>
  </w:style>
  <w:style w:type="paragraph" w:customStyle="1" w:styleId="Normal12Hanging">
    <w:name w:val="Normal12Hanging"/>
    <w:basedOn w:val="Normal"/>
    <w:link w:val="Normal12HangingChar"/>
    <w:rsid w:val="00CB6573"/>
    <w:pPr>
      <w:spacing w:after="240"/>
      <w:ind w:left="357" w:hanging="357"/>
    </w:pPr>
  </w:style>
  <w:style w:type="character" w:customStyle="1" w:styleId="Normal12HangingChar">
    <w:name w:val="Normal12Hanging Char"/>
    <w:basedOn w:val="DefaultParagraphFont"/>
    <w:link w:val="Normal12Hanging"/>
    <w:rsid w:val="00CB6573"/>
    <w:rPr>
      <w:sz w:val="24"/>
      <w:lang w:val="lv-LV"/>
    </w:rPr>
  </w:style>
  <w:style w:type="numbering" w:customStyle="1" w:styleId="NoList1">
    <w:name w:val="No List1"/>
    <w:next w:val="NoList"/>
    <w:uiPriority w:val="99"/>
    <w:semiHidden/>
    <w:unhideWhenUsed/>
    <w:rsid w:val="00CB6573"/>
  </w:style>
  <w:style w:type="paragraph" w:customStyle="1" w:styleId="SignaturePersonne">
    <w:name w:val="Signature Personne"/>
    <w:basedOn w:val="Normal"/>
    <w:rsid w:val="00CB6573"/>
    <w:pPr>
      <w:widowControl/>
      <w:tabs>
        <w:tab w:val="left" w:pos="4252"/>
      </w:tabs>
      <w:spacing w:line="360" w:lineRule="auto"/>
    </w:pPr>
    <w:rPr>
      <w:i/>
      <w:szCs w:val="24"/>
      <w:lang w:val="en-GB" w:eastAsia="en-US"/>
    </w:rPr>
  </w:style>
  <w:style w:type="paragraph" w:customStyle="1" w:styleId="Considrant">
    <w:name w:val="Considérant"/>
    <w:basedOn w:val="Normal"/>
    <w:rsid w:val="00CB657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B6573"/>
    <w:pPr>
      <w:keepNext/>
      <w:spacing w:before="600" w:after="120" w:line="360" w:lineRule="auto"/>
    </w:pPr>
    <w:rPr>
      <w:szCs w:val="24"/>
      <w:lang w:val="en-GB" w:eastAsia="en-US"/>
    </w:rPr>
  </w:style>
  <w:style w:type="paragraph" w:customStyle="1" w:styleId="Institutionquisigne">
    <w:name w:val="Institution qui signe"/>
    <w:basedOn w:val="Normal"/>
    <w:next w:val="Normal"/>
    <w:rsid w:val="00CB6573"/>
    <w:pPr>
      <w:keepNext/>
      <w:tabs>
        <w:tab w:val="left" w:pos="4252"/>
      </w:tabs>
      <w:spacing w:before="720" w:line="360" w:lineRule="auto"/>
    </w:pPr>
    <w:rPr>
      <w:i/>
      <w:szCs w:val="24"/>
      <w:lang w:val="en-GB" w:eastAsia="en-US"/>
    </w:rPr>
  </w:style>
  <w:style w:type="paragraph" w:customStyle="1" w:styleId="Fait">
    <w:name w:val="Fait à"/>
    <w:basedOn w:val="Normal"/>
    <w:rsid w:val="00CB6573"/>
    <w:pPr>
      <w:keepNext/>
      <w:widowControl/>
      <w:spacing w:before="120" w:line="360" w:lineRule="auto"/>
    </w:pPr>
    <w:rPr>
      <w:szCs w:val="24"/>
      <w:lang w:val="en-GB" w:eastAsia="en-US"/>
    </w:rPr>
  </w:style>
  <w:style w:type="paragraph" w:customStyle="1" w:styleId="FootnoteTextForceStyle">
    <w:name w:val="Footnote Text ForceStyle"/>
    <w:rsid w:val="00CB6573"/>
    <w:pPr>
      <w:keepLines/>
      <w:widowControl w:val="0"/>
      <w:ind w:left="850" w:hanging="850"/>
    </w:pPr>
    <w:rPr>
      <w:sz w:val="24"/>
      <w:lang w:eastAsia="en-US"/>
    </w:rPr>
  </w:style>
  <w:style w:type="character" w:customStyle="1" w:styleId="Footer2">
    <w:name w:val="Footer2"/>
    <w:rsid w:val="00CB6573"/>
    <w:rPr>
      <w:rFonts w:ascii="Arial" w:hAnsi="Arial"/>
      <w:b/>
      <w:sz w:val="48"/>
    </w:rPr>
  </w:style>
  <w:style w:type="paragraph" w:customStyle="1" w:styleId="Applicationdirecte">
    <w:name w:val="Application directe"/>
    <w:basedOn w:val="Normal"/>
    <w:next w:val="Normal"/>
    <w:rsid w:val="00CB6573"/>
    <w:pPr>
      <w:spacing w:before="120" w:after="120" w:line="360" w:lineRule="auto"/>
    </w:pPr>
    <w:rPr>
      <w:szCs w:val="24"/>
      <w:lang w:val="en-GB" w:eastAsia="en-US"/>
    </w:rPr>
  </w:style>
  <w:style w:type="paragraph" w:customStyle="1" w:styleId="Normale">
    <w:name w:val="Normale"/>
    <w:rsid w:val="00CB6573"/>
    <w:pPr>
      <w:widowControl w:val="0"/>
      <w:spacing w:before="120" w:after="120" w:line="360" w:lineRule="auto"/>
    </w:pPr>
    <w:rPr>
      <w:sz w:val="24"/>
      <w:lang w:eastAsia="en-US"/>
    </w:rPr>
  </w:style>
  <w:style w:type="paragraph" w:customStyle="1" w:styleId="Formuledadoption">
    <w:name w:val="Formule d'adoption"/>
    <w:basedOn w:val="Normal"/>
    <w:next w:val="Normal"/>
    <w:rsid w:val="00CB657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B6573"/>
    <w:pPr>
      <w:widowControl/>
      <w:spacing w:after="240" w:line="360" w:lineRule="auto"/>
      <w:ind w:left="5102"/>
    </w:pPr>
    <w:rPr>
      <w:szCs w:val="24"/>
      <w:lang w:val="en-GB" w:eastAsia="en-US"/>
    </w:rPr>
  </w:style>
  <w:style w:type="paragraph" w:customStyle="1" w:styleId="Footer1">
    <w:name w:val="Footer1"/>
    <w:basedOn w:val="Normal"/>
    <w:rsid w:val="00CB657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B657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B6573"/>
    <w:pPr>
      <w:widowControl/>
      <w:spacing w:before="840" w:line="360" w:lineRule="auto"/>
      <w:jc w:val="center"/>
    </w:pPr>
    <w:rPr>
      <w:szCs w:val="24"/>
      <w:lang w:val="en-GB" w:eastAsia="en-US"/>
    </w:rPr>
  </w:style>
  <w:style w:type="paragraph" w:customStyle="1" w:styleId="Typedudocument">
    <w:name w:val="Type du document"/>
    <w:basedOn w:val="Normal"/>
    <w:next w:val="Normal"/>
    <w:rsid w:val="00CB6573"/>
    <w:pPr>
      <w:widowControl/>
      <w:spacing w:before="360" w:line="360" w:lineRule="auto"/>
      <w:jc w:val="center"/>
    </w:pPr>
    <w:rPr>
      <w:b/>
      <w:szCs w:val="24"/>
      <w:lang w:val="en-GB" w:eastAsia="en-US"/>
    </w:rPr>
  </w:style>
  <w:style w:type="paragraph" w:customStyle="1" w:styleId="Titreobjet">
    <w:name w:val="Titre objet"/>
    <w:basedOn w:val="Normal"/>
    <w:next w:val="Normal"/>
    <w:rsid w:val="00CB657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B6573"/>
    <w:pPr>
      <w:widowControl/>
      <w:spacing w:before="360" w:after="240" w:line="360" w:lineRule="auto"/>
      <w:jc w:val="center"/>
    </w:pPr>
    <w:rPr>
      <w:szCs w:val="24"/>
      <w:lang w:val="en-GB" w:eastAsia="en-US"/>
    </w:rPr>
  </w:style>
  <w:style w:type="character" w:customStyle="1" w:styleId="CMissingStyle">
    <w:name w:val="C_MissingStyle"/>
    <w:rsid w:val="00CB6573"/>
    <w:rPr>
      <w:color w:val="FFFFFF"/>
      <w:sz w:val="22"/>
      <w:shd w:val="clear" w:color="000000" w:fill="000000"/>
    </w:rPr>
  </w:style>
  <w:style w:type="paragraph" w:customStyle="1" w:styleId="PMissingStyle">
    <w:name w:val="P_MissingStyle"/>
    <w:basedOn w:val="Normal"/>
    <w:rsid w:val="00CB6573"/>
    <w:pPr>
      <w:spacing w:before="120" w:after="120" w:line="360" w:lineRule="auto"/>
    </w:pPr>
    <w:rPr>
      <w:color w:val="FFFFFF"/>
      <w:szCs w:val="24"/>
      <w:shd w:val="clear" w:color="000000" w:fill="000000"/>
      <w:lang w:val="en-GB" w:eastAsia="en-US"/>
    </w:rPr>
  </w:style>
  <w:style w:type="paragraph" w:styleId="ListBullet">
    <w:name w:val="List Bullet"/>
    <w:basedOn w:val="Normal"/>
    <w:uiPriority w:val="99"/>
    <w:unhideWhenUsed/>
    <w:rsid w:val="00A84C16"/>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A84C16"/>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A84C16"/>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A84C16"/>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A84C16"/>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4C16"/>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A84C16"/>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A84C16"/>
    <w:pPr>
      <w:ind w:left="0" w:firstLine="0"/>
      <w:jc w:val="left"/>
    </w:pPr>
    <w:rPr>
      <w:rFonts w:eastAsia="Calibri"/>
      <w:sz w:val="16"/>
      <w:szCs w:val="16"/>
    </w:rPr>
  </w:style>
  <w:style w:type="character" w:customStyle="1" w:styleId="foonoteChar">
    <w:name w:val="foonote Char"/>
    <w:basedOn w:val="DefaultParagraphFont"/>
    <w:link w:val="foonote"/>
    <w:rsid w:val="00A84C16"/>
    <w:rPr>
      <w:rFonts w:eastAsia="Calibri"/>
      <w:sz w:val="16"/>
      <w:szCs w:val="16"/>
      <w:lang w:val="lv-LV" w:eastAsia="en-US"/>
    </w:rPr>
  </w:style>
  <w:style w:type="paragraph" w:styleId="ListNumber">
    <w:name w:val="List Number"/>
    <w:basedOn w:val="Normal"/>
    <w:uiPriority w:val="99"/>
    <w:rsid w:val="00A84C16"/>
    <w:pPr>
      <w:widowControl/>
      <w:numPr>
        <w:numId w:val="8"/>
      </w:numPr>
      <w:spacing w:before="120" w:after="120"/>
      <w:jc w:val="both"/>
    </w:pPr>
    <w:rPr>
      <w:szCs w:val="22"/>
      <w:lang w:eastAsia="de-DE"/>
    </w:rPr>
  </w:style>
  <w:style w:type="paragraph" w:customStyle="1" w:styleId="ListBullet1">
    <w:name w:val="List Bullet 1"/>
    <w:basedOn w:val="Normal"/>
    <w:rsid w:val="00A84C16"/>
    <w:pPr>
      <w:widowControl/>
      <w:numPr>
        <w:numId w:val="4"/>
      </w:numPr>
      <w:spacing w:before="120" w:after="120"/>
      <w:jc w:val="both"/>
    </w:pPr>
    <w:rPr>
      <w:szCs w:val="22"/>
      <w:lang w:eastAsia="de-DE"/>
    </w:rPr>
  </w:style>
  <w:style w:type="paragraph" w:customStyle="1" w:styleId="ListDash">
    <w:name w:val="List Dash"/>
    <w:basedOn w:val="Normal"/>
    <w:rsid w:val="00A84C16"/>
    <w:pPr>
      <w:widowControl/>
      <w:numPr>
        <w:numId w:val="5"/>
      </w:numPr>
      <w:spacing w:before="120" w:after="120"/>
      <w:jc w:val="both"/>
    </w:pPr>
    <w:rPr>
      <w:szCs w:val="22"/>
      <w:lang w:eastAsia="de-DE"/>
    </w:rPr>
  </w:style>
  <w:style w:type="paragraph" w:customStyle="1" w:styleId="ListDash1">
    <w:name w:val="List Dash 1"/>
    <w:basedOn w:val="Normal"/>
    <w:rsid w:val="00A84C16"/>
    <w:pPr>
      <w:widowControl/>
      <w:numPr>
        <w:numId w:val="6"/>
      </w:numPr>
      <w:spacing w:before="120" w:after="120"/>
      <w:jc w:val="both"/>
    </w:pPr>
    <w:rPr>
      <w:szCs w:val="22"/>
      <w:lang w:eastAsia="de-DE"/>
    </w:rPr>
  </w:style>
  <w:style w:type="paragraph" w:customStyle="1" w:styleId="ListDash2">
    <w:name w:val="List Dash 2"/>
    <w:basedOn w:val="Normal"/>
    <w:rsid w:val="00A84C16"/>
    <w:pPr>
      <w:widowControl/>
      <w:numPr>
        <w:numId w:val="7"/>
      </w:numPr>
      <w:spacing w:before="120" w:after="120"/>
      <w:jc w:val="both"/>
    </w:pPr>
    <w:rPr>
      <w:szCs w:val="22"/>
      <w:lang w:eastAsia="de-DE"/>
    </w:rPr>
  </w:style>
  <w:style w:type="paragraph" w:customStyle="1" w:styleId="ListNumberLevel2">
    <w:name w:val="List Number (Level 2)"/>
    <w:basedOn w:val="Normal"/>
    <w:rsid w:val="00A84C16"/>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A84C16"/>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A84C16"/>
    <w:pPr>
      <w:widowControl/>
      <w:numPr>
        <w:ilvl w:val="3"/>
        <w:numId w:val="8"/>
      </w:numPr>
      <w:spacing w:before="120" w:after="120"/>
      <w:jc w:val="both"/>
    </w:pPr>
    <w:rPr>
      <w:szCs w:val="22"/>
      <w:lang w:eastAsia="de-DE"/>
    </w:rPr>
  </w:style>
  <w:style w:type="table" w:customStyle="1" w:styleId="TableGrid1">
    <w:name w:val="Table Grid1"/>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A84C16"/>
    <w:pPr>
      <w:widowControl/>
      <w:numPr>
        <w:numId w:val="12"/>
      </w:numPr>
      <w:spacing w:before="120" w:after="120"/>
      <w:jc w:val="both"/>
    </w:pPr>
    <w:rPr>
      <w:szCs w:val="22"/>
    </w:rPr>
  </w:style>
  <w:style w:type="paragraph" w:styleId="ListNumber3">
    <w:name w:val="List Number 3"/>
    <w:basedOn w:val="Normal"/>
    <w:uiPriority w:val="99"/>
    <w:rsid w:val="00A84C16"/>
    <w:pPr>
      <w:widowControl/>
      <w:numPr>
        <w:numId w:val="13"/>
      </w:numPr>
      <w:spacing w:before="120" w:after="120"/>
      <w:jc w:val="both"/>
    </w:pPr>
    <w:rPr>
      <w:szCs w:val="22"/>
    </w:rPr>
  </w:style>
  <w:style w:type="paragraph" w:styleId="ListNumber4">
    <w:name w:val="List Number 4"/>
    <w:basedOn w:val="Normal"/>
    <w:uiPriority w:val="99"/>
    <w:rsid w:val="00A84C16"/>
    <w:pPr>
      <w:widowControl/>
      <w:numPr>
        <w:numId w:val="14"/>
      </w:numPr>
      <w:spacing w:before="120" w:after="120"/>
      <w:jc w:val="both"/>
    </w:pPr>
    <w:rPr>
      <w:szCs w:val="22"/>
    </w:rPr>
  </w:style>
  <w:style w:type="paragraph" w:customStyle="1" w:styleId="ListDash3">
    <w:name w:val="List Dash 3"/>
    <w:basedOn w:val="Normal"/>
    <w:rsid w:val="00A84C16"/>
    <w:pPr>
      <w:widowControl/>
      <w:numPr>
        <w:numId w:val="9"/>
      </w:numPr>
      <w:spacing w:before="120" w:after="120"/>
      <w:jc w:val="both"/>
    </w:pPr>
    <w:rPr>
      <w:szCs w:val="22"/>
    </w:rPr>
  </w:style>
  <w:style w:type="paragraph" w:customStyle="1" w:styleId="ListDash4">
    <w:name w:val="List Dash 4"/>
    <w:basedOn w:val="Normal"/>
    <w:rsid w:val="00A84C16"/>
    <w:pPr>
      <w:widowControl/>
      <w:numPr>
        <w:numId w:val="10"/>
      </w:numPr>
      <w:spacing w:before="120" w:after="120"/>
      <w:jc w:val="both"/>
    </w:pPr>
    <w:rPr>
      <w:szCs w:val="22"/>
    </w:rPr>
  </w:style>
  <w:style w:type="paragraph" w:customStyle="1" w:styleId="ListNumber1">
    <w:name w:val="List Number 1"/>
    <w:basedOn w:val="Text1"/>
    <w:rsid w:val="00A84C16"/>
    <w:pPr>
      <w:numPr>
        <w:numId w:val="11"/>
      </w:numPr>
    </w:pPr>
    <w:rPr>
      <w:rFonts w:eastAsia="Times New Roman"/>
      <w:lang w:eastAsia="en-GB"/>
    </w:rPr>
  </w:style>
  <w:style w:type="paragraph" w:customStyle="1" w:styleId="ListNumber1Level2">
    <w:name w:val="List Number 1 (Level 2)"/>
    <w:basedOn w:val="Text1"/>
    <w:rsid w:val="00A84C16"/>
    <w:pPr>
      <w:numPr>
        <w:ilvl w:val="1"/>
        <w:numId w:val="11"/>
      </w:numPr>
    </w:pPr>
    <w:rPr>
      <w:rFonts w:eastAsia="Times New Roman"/>
      <w:lang w:eastAsia="en-GB"/>
    </w:rPr>
  </w:style>
  <w:style w:type="paragraph" w:customStyle="1" w:styleId="ListNumber2Level2">
    <w:name w:val="List Number 2 (Level 2)"/>
    <w:basedOn w:val="Text2"/>
    <w:rsid w:val="00A84C16"/>
    <w:pPr>
      <w:numPr>
        <w:ilvl w:val="1"/>
        <w:numId w:val="12"/>
      </w:numPr>
    </w:pPr>
    <w:rPr>
      <w:rFonts w:eastAsia="Times New Roman"/>
      <w:lang w:eastAsia="en-GB"/>
    </w:rPr>
  </w:style>
  <w:style w:type="paragraph" w:customStyle="1" w:styleId="ListNumber3Level2">
    <w:name w:val="List Number 3 (Level 2)"/>
    <w:basedOn w:val="Text3"/>
    <w:rsid w:val="00A84C16"/>
    <w:pPr>
      <w:numPr>
        <w:ilvl w:val="1"/>
        <w:numId w:val="13"/>
      </w:numPr>
    </w:pPr>
    <w:rPr>
      <w:rFonts w:eastAsia="Times New Roman"/>
      <w:lang w:eastAsia="en-GB"/>
    </w:rPr>
  </w:style>
  <w:style w:type="paragraph" w:customStyle="1" w:styleId="ListNumber4Level2">
    <w:name w:val="List Number 4 (Level 2)"/>
    <w:basedOn w:val="Text4"/>
    <w:rsid w:val="00A84C16"/>
    <w:pPr>
      <w:numPr>
        <w:ilvl w:val="1"/>
        <w:numId w:val="14"/>
      </w:numPr>
    </w:pPr>
    <w:rPr>
      <w:rFonts w:eastAsia="Times New Roman"/>
      <w:lang w:eastAsia="en-GB"/>
    </w:rPr>
  </w:style>
  <w:style w:type="paragraph" w:customStyle="1" w:styleId="ListNumber1Level3">
    <w:name w:val="List Number 1 (Level 3)"/>
    <w:basedOn w:val="Text1"/>
    <w:rsid w:val="00A84C16"/>
    <w:pPr>
      <w:numPr>
        <w:ilvl w:val="2"/>
        <w:numId w:val="11"/>
      </w:numPr>
    </w:pPr>
    <w:rPr>
      <w:rFonts w:eastAsia="Times New Roman"/>
      <w:lang w:eastAsia="en-GB"/>
    </w:rPr>
  </w:style>
  <w:style w:type="paragraph" w:customStyle="1" w:styleId="ListNumber2Level3">
    <w:name w:val="List Number 2 (Level 3)"/>
    <w:basedOn w:val="Text2"/>
    <w:rsid w:val="00A84C16"/>
    <w:pPr>
      <w:numPr>
        <w:ilvl w:val="2"/>
        <w:numId w:val="12"/>
      </w:numPr>
    </w:pPr>
    <w:rPr>
      <w:rFonts w:eastAsia="Times New Roman"/>
      <w:lang w:eastAsia="en-GB"/>
    </w:rPr>
  </w:style>
  <w:style w:type="paragraph" w:customStyle="1" w:styleId="ListNumber3Level3">
    <w:name w:val="List Number 3 (Level 3)"/>
    <w:basedOn w:val="Text3"/>
    <w:rsid w:val="00A84C16"/>
    <w:pPr>
      <w:numPr>
        <w:ilvl w:val="2"/>
        <w:numId w:val="13"/>
      </w:numPr>
    </w:pPr>
    <w:rPr>
      <w:rFonts w:eastAsia="Times New Roman"/>
      <w:lang w:eastAsia="en-GB"/>
    </w:rPr>
  </w:style>
  <w:style w:type="paragraph" w:customStyle="1" w:styleId="ListNumber4Level3">
    <w:name w:val="List Number 4 (Level 3)"/>
    <w:basedOn w:val="Text4"/>
    <w:rsid w:val="00A84C16"/>
    <w:pPr>
      <w:numPr>
        <w:ilvl w:val="2"/>
        <w:numId w:val="14"/>
      </w:numPr>
    </w:pPr>
    <w:rPr>
      <w:rFonts w:eastAsia="Times New Roman"/>
      <w:lang w:eastAsia="en-GB"/>
    </w:rPr>
  </w:style>
  <w:style w:type="paragraph" w:customStyle="1" w:styleId="ListNumber1Level4">
    <w:name w:val="List Number 1 (Level 4)"/>
    <w:basedOn w:val="Text1"/>
    <w:rsid w:val="00A84C16"/>
    <w:pPr>
      <w:numPr>
        <w:ilvl w:val="3"/>
        <w:numId w:val="11"/>
      </w:numPr>
    </w:pPr>
    <w:rPr>
      <w:rFonts w:eastAsia="Times New Roman"/>
      <w:lang w:eastAsia="en-GB"/>
    </w:rPr>
  </w:style>
  <w:style w:type="paragraph" w:customStyle="1" w:styleId="ListNumber2Level4">
    <w:name w:val="List Number 2 (Level 4)"/>
    <w:basedOn w:val="Text2"/>
    <w:rsid w:val="00A84C16"/>
    <w:pPr>
      <w:numPr>
        <w:ilvl w:val="3"/>
        <w:numId w:val="12"/>
      </w:numPr>
    </w:pPr>
    <w:rPr>
      <w:rFonts w:eastAsia="Times New Roman"/>
      <w:lang w:eastAsia="en-GB"/>
    </w:rPr>
  </w:style>
  <w:style w:type="paragraph" w:customStyle="1" w:styleId="ListNumber3Level4">
    <w:name w:val="List Number 3 (Level 4)"/>
    <w:basedOn w:val="Text3"/>
    <w:rsid w:val="00A84C16"/>
    <w:pPr>
      <w:numPr>
        <w:ilvl w:val="3"/>
        <w:numId w:val="13"/>
      </w:numPr>
    </w:pPr>
    <w:rPr>
      <w:rFonts w:eastAsia="Times New Roman"/>
      <w:lang w:eastAsia="en-GB"/>
    </w:rPr>
  </w:style>
  <w:style w:type="paragraph" w:customStyle="1" w:styleId="ListNumber4Level4">
    <w:name w:val="List Number 4 (Level 4)"/>
    <w:basedOn w:val="Text4"/>
    <w:rsid w:val="00A84C16"/>
    <w:pPr>
      <w:numPr>
        <w:ilvl w:val="3"/>
        <w:numId w:val="14"/>
      </w:numPr>
    </w:pPr>
    <w:rPr>
      <w:rFonts w:eastAsia="Times New Roman"/>
      <w:lang w:eastAsia="en-GB"/>
    </w:rPr>
  </w:style>
  <w:style w:type="paragraph" w:customStyle="1" w:styleId="Annexetitreacte">
    <w:name w:val="Annexe titre (acte)"/>
    <w:basedOn w:val="Normal"/>
    <w:next w:val="Normal"/>
    <w:rsid w:val="00A84C16"/>
    <w:pPr>
      <w:widowControl/>
      <w:spacing w:before="120" w:after="120"/>
      <w:jc w:val="center"/>
    </w:pPr>
    <w:rPr>
      <w:b/>
      <w:szCs w:val="22"/>
      <w:u w:val="single"/>
    </w:rPr>
  </w:style>
  <w:style w:type="paragraph" w:customStyle="1" w:styleId="Annexetitreexposglobal">
    <w:name w:val="Annexe titre (exposé global)"/>
    <w:basedOn w:val="Normal"/>
    <w:next w:val="Normal"/>
    <w:rsid w:val="00A84C16"/>
    <w:pPr>
      <w:widowControl/>
      <w:spacing w:before="120" w:after="120"/>
      <w:jc w:val="center"/>
    </w:pPr>
    <w:rPr>
      <w:b/>
      <w:szCs w:val="22"/>
      <w:u w:val="single"/>
    </w:rPr>
  </w:style>
  <w:style w:type="paragraph" w:customStyle="1" w:styleId="Annexetitrefichefinacte">
    <w:name w:val="Annexe titre (fiche fin. acte)"/>
    <w:basedOn w:val="Normal"/>
    <w:next w:val="Normal"/>
    <w:rsid w:val="00A84C16"/>
    <w:pPr>
      <w:widowControl/>
      <w:spacing w:before="120" w:after="120"/>
      <w:jc w:val="center"/>
    </w:pPr>
    <w:rPr>
      <w:b/>
      <w:szCs w:val="22"/>
      <w:u w:val="single"/>
    </w:rPr>
  </w:style>
  <w:style w:type="paragraph" w:customStyle="1" w:styleId="Annexetitrefichefinglobale">
    <w:name w:val="Annexe titre (fiche fin. globale)"/>
    <w:basedOn w:val="Normal"/>
    <w:next w:val="Normal"/>
    <w:rsid w:val="00A84C16"/>
    <w:pPr>
      <w:widowControl/>
      <w:spacing w:before="120" w:after="120"/>
      <w:jc w:val="center"/>
    </w:pPr>
    <w:rPr>
      <w:b/>
      <w:szCs w:val="22"/>
      <w:u w:val="single"/>
    </w:rPr>
  </w:style>
  <w:style w:type="paragraph" w:customStyle="1" w:styleId="Annexetitreglobale">
    <w:name w:val="Annexe titre (globale)"/>
    <w:basedOn w:val="Normal"/>
    <w:next w:val="Normal"/>
    <w:rsid w:val="00A84C16"/>
    <w:pPr>
      <w:widowControl/>
      <w:spacing w:before="120" w:after="120"/>
      <w:jc w:val="center"/>
    </w:pPr>
    <w:rPr>
      <w:b/>
      <w:szCs w:val="22"/>
      <w:u w:val="single"/>
    </w:rPr>
  </w:style>
  <w:style w:type="paragraph" w:customStyle="1" w:styleId="Exposdesmotifstitreglobal">
    <w:name w:val="Exposé des motifs titre (global)"/>
    <w:basedOn w:val="Normal"/>
    <w:next w:val="Normal"/>
    <w:rsid w:val="00A84C16"/>
    <w:pPr>
      <w:widowControl/>
      <w:spacing w:before="120" w:after="120"/>
      <w:jc w:val="center"/>
    </w:pPr>
    <w:rPr>
      <w:b/>
      <w:szCs w:val="22"/>
      <w:u w:val="single"/>
    </w:rPr>
  </w:style>
  <w:style w:type="paragraph" w:customStyle="1" w:styleId="Langueoriginale">
    <w:name w:val="Langue originale"/>
    <w:basedOn w:val="Normal"/>
    <w:rsid w:val="00A84C16"/>
    <w:pPr>
      <w:widowControl/>
      <w:spacing w:before="360" w:after="120"/>
      <w:jc w:val="center"/>
    </w:pPr>
    <w:rPr>
      <w:caps/>
      <w:szCs w:val="22"/>
    </w:rPr>
  </w:style>
  <w:style w:type="paragraph" w:customStyle="1" w:styleId="Phrasefinale">
    <w:name w:val="Phrase finale"/>
    <w:basedOn w:val="Normal"/>
    <w:next w:val="Normal"/>
    <w:rsid w:val="00A84C16"/>
    <w:pPr>
      <w:widowControl/>
      <w:spacing w:before="360"/>
      <w:jc w:val="center"/>
    </w:pPr>
    <w:rPr>
      <w:szCs w:val="22"/>
    </w:rPr>
  </w:style>
  <w:style w:type="paragraph" w:customStyle="1" w:styleId="Prliminairetitre">
    <w:name w:val="Préliminaire titre"/>
    <w:basedOn w:val="Normal"/>
    <w:next w:val="Normal"/>
    <w:rsid w:val="00A84C16"/>
    <w:pPr>
      <w:widowControl/>
      <w:spacing w:before="360" w:after="360"/>
      <w:jc w:val="center"/>
    </w:pPr>
    <w:rPr>
      <w:b/>
      <w:szCs w:val="22"/>
    </w:rPr>
  </w:style>
  <w:style w:type="paragraph" w:customStyle="1" w:styleId="Prliminairetype">
    <w:name w:val="Préliminaire type"/>
    <w:basedOn w:val="Normal"/>
    <w:next w:val="Normal"/>
    <w:rsid w:val="00A84C16"/>
    <w:pPr>
      <w:widowControl/>
      <w:spacing w:before="360"/>
      <w:jc w:val="center"/>
    </w:pPr>
    <w:rPr>
      <w:b/>
      <w:szCs w:val="22"/>
    </w:rPr>
  </w:style>
  <w:style w:type="paragraph" w:customStyle="1" w:styleId="Rfrenceinstitutionelle">
    <w:name w:val="Référence institutionelle"/>
    <w:basedOn w:val="Normal"/>
    <w:next w:val="Statut"/>
    <w:rsid w:val="00A84C16"/>
    <w:pPr>
      <w:widowControl/>
      <w:spacing w:after="240"/>
      <w:ind w:left="5103"/>
    </w:pPr>
    <w:rPr>
      <w:szCs w:val="22"/>
    </w:rPr>
  </w:style>
  <w:style w:type="paragraph" w:customStyle="1" w:styleId="Rfrenceinterinstitutionelle">
    <w:name w:val="Référence interinstitutionelle"/>
    <w:basedOn w:val="Normal"/>
    <w:next w:val="Statut"/>
    <w:rsid w:val="00A84C16"/>
    <w:pPr>
      <w:widowControl/>
      <w:ind w:left="5103"/>
    </w:pPr>
    <w:rPr>
      <w:szCs w:val="22"/>
    </w:rPr>
  </w:style>
  <w:style w:type="paragraph" w:customStyle="1" w:styleId="Rfrenceinterinstitutionelleprliminaire">
    <w:name w:val="Référence interinstitutionelle (préliminaire)"/>
    <w:basedOn w:val="Normal"/>
    <w:next w:val="Normal"/>
    <w:rsid w:val="00A84C16"/>
    <w:pPr>
      <w:widowControl/>
      <w:ind w:left="5103"/>
    </w:pPr>
    <w:rPr>
      <w:szCs w:val="22"/>
    </w:rPr>
  </w:style>
  <w:style w:type="paragraph" w:customStyle="1" w:styleId="Sous-titreobjetprliminaire">
    <w:name w:val="Sous-titre objet (préliminaire)"/>
    <w:basedOn w:val="Normal"/>
    <w:rsid w:val="00A84C16"/>
    <w:pPr>
      <w:widowControl/>
      <w:jc w:val="center"/>
    </w:pPr>
    <w:rPr>
      <w:b/>
      <w:szCs w:val="22"/>
    </w:rPr>
  </w:style>
  <w:style w:type="paragraph" w:customStyle="1" w:styleId="Statutprliminaire">
    <w:name w:val="Statut (préliminaire)"/>
    <w:basedOn w:val="Normal"/>
    <w:next w:val="Normal"/>
    <w:rsid w:val="00A84C16"/>
    <w:pPr>
      <w:widowControl/>
      <w:spacing w:before="360"/>
      <w:jc w:val="center"/>
    </w:pPr>
    <w:rPr>
      <w:szCs w:val="22"/>
    </w:rPr>
  </w:style>
  <w:style w:type="paragraph" w:customStyle="1" w:styleId="Titreobjetprliminaire">
    <w:name w:val="Titre objet (préliminaire)"/>
    <w:basedOn w:val="Normal"/>
    <w:next w:val="Normal"/>
    <w:rsid w:val="00A84C16"/>
    <w:pPr>
      <w:widowControl/>
      <w:spacing w:before="360" w:after="360"/>
      <w:jc w:val="center"/>
    </w:pPr>
    <w:rPr>
      <w:b/>
      <w:szCs w:val="22"/>
    </w:rPr>
  </w:style>
  <w:style w:type="paragraph" w:customStyle="1" w:styleId="Typedudocumentprliminaire">
    <w:name w:val="Type du document (préliminaire)"/>
    <w:basedOn w:val="Normal"/>
    <w:next w:val="Normal"/>
    <w:rsid w:val="00A84C16"/>
    <w:pPr>
      <w:widowControl/>
      <w:spacing w:before="360"/>
      <w:jc w:val="center"/>
    </w:pPr>
    <w:rPr>
      <w:b/>
      <w:szCs w:val="22"/>
    </w:rPr>
  </w:style>
  <w:style w:type="paragraph" w:customStyle="1" w:styleId="Fichefinancirestandardtitre">
    <w:name w:val="Fiche financière (standard) titre"/>
    <w:basedOn w:val="Normal"/>
    <w:next w:val="Normal"/>
    <w:rsid w:val="00A84C16"/>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A84C16"/>
    <w:pPr>
      <w:widowControl/>
      <w:spacing w:before="120" w:after="120"/>
      <w:jc w:val="center"/>
    </w:pPr>
    <w:rPr>
      <w:b/>
      <w:szCs w:val="22"/>
      <w:u w:val="single"/>
    </w:rPr>
  </w:style>
  <w:style w:type="paragraph" w:customStyle="1" w:styleId="Fichefinanciretravailtitre">
    <w:name w:val="Fiche financière (travail) titre"/>
    <w:basedOn w:val="Normal"/>
    <w:next w:val="Normal"/>
    <w:rsid w:val="00A84C16"/>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A84C16"/>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A84C16"/>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A84C16"/>
    <w:pPr>
      <w:widowControl/>
      <w:spacing w:before="120" w:after="120"/>
      <w:jc w:val="center"/>
    </w:pPr>
    <w:rPr>
      <w:b/>
      <w:szCs w:val="22"/>
      <w:u w:val="single"/>
    </w:rPr>
  </w:style>
  <w:style w:type="paragraph" w:styleId="Caption">
    <w:name w:val="caption"/>
    <w:basedOn w:val="Normal"/>
    <w:next w:val="Normal"/>
    <w:uiPriority w:val="35"/>
    <w:qFormat/>
    <w:rsid w:val="00A84C16"/>
    <w:pPr>
      <w:widowControl/>
      <w:spacing w:before="120" w:after="120"/>
      <w:jc w:val="both"/>
    </w:pPr>
    <w:rPr>
      <w:b/>
      <w:bCs/>
      <w:sz w:val="20"/>
    </w:rPr>
  </w:style>
  <w:style w:type="paragraph" w:styleId="TableofFigures">
    <w:name w:val="table of figures"/>
    <w:basedOn w:val="Normal"/>
    <w:next w:val="Normal"/>
    <w:uiPriority w:val="99"/>
    <w:rsid w:val="00A84C16"/>
    <w:pPr>
      <w:widowControl/>
      <w:spacing w:before="120" w:after="120"/>
      <w:jc w:val="both"/>
    </w:pPr>
    <w:rPr>
      <w:szCs w:val="22"/>
    </w:rPr>
  </w:style>
  <w:style w:type="character" w:customStyle="1" w:styleId="tw4winMark">
    <w:name w:val="tw4winMark"/>
    <w:rsid w:val="00A84C16"/>
    <w:rPr>
      <w:vanish/>
      <w:color w:val="800080"/>
      <w:vertAlign w:val="subscript"/>
    </w:rPr>
  </w:style>
  <w:style w:type="character" w:styleId="FollowedHyperlink">
    <w:name w:val="FollowedHyperlink"/>
    <w:uiPriority w:val="99"/>
    <w:rsid w:val="00A84C16"/>
    <w:rPr>
      <w:color w:val="800080"/>
      <w:u w:val="single"/>
    </w:rPr>
  </w:style>
  <w:style w:type="paragraph" w:customStyle="1" w:styleId="Sous-titreobjet">
    <w:name w:val="Sous-titre objet"/>
    <w:basedOn w:val="Normal"/>
    <w:rsid w:val="00A84C16"/>
    <w:pPr>
      <w:widowControl/>
      <w:jc w:val="center"/>
    </w:pPr>
    <w:rPr>
      <w:b/>
      <w:szCs w:val="22"/>
    </w:rPr>
  </w:style>
  <w:style w:type="paragraph" w:customStyle="1" w:styleId="Sous-titreobjetPagedecouverture">
    <w:name w:val="Sous-titre objet (Page de couverture)"/>
    <w:basedOn w:val="Sous-titreobjet"/>
    <w:rsid w:val="00A84C16"/>
  </w:style>
  <w:style w:type="paragraph" w:customStyle="1" w:styleId="FooterCoverPage">
    <w:name w:val="Footer Cover Page"/>
    <w:basedOn w:val="Normal"/>
    <w:link w:val="FooterCoverPageChar"/>
    <w:rsid w:val="00A84C16"/>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A84C16"/>
    <w:rPr>
      <w:rFonts w:ascii="Times New Roman" w:hAnsi="Times New Roman" w:cs="Times New Roman"/>
      <w:b/>
      <w:sz w:val="28"/>
      <w:lang w:val="lv-LV"/>
    </w:rPr>
  </w:style>
  <w:style w:type="character" w:customStyle="1" w:styleId="FooterCoverPageChar">
    <w:name w:val="Footer Cover Page Char"/>
    <w:link w:val="FooterCoverPage"/>
    <w:rsid w:val="00A84C16"/>
    <w:rPr>
      <w:rFonts w:eastAsia="Calibri"/>
      <w:sz w:val="24"/>
      <w:szCs w:val="22"/>
      <w:lang w:val="lv-LV"/>
    </w:rPr>
  </w:style>
  <w:style w:type="paragraph" w:customStyle="1" w:styleId="HeaderCoverPage">
    <w:name w:val="Header Cover Page"/>
    <w:basedOn w:val="Normal"/>
    <w:link w:val="HeaderCoverPageChar"/>
    <w:rsid w:val="00A84C16"/>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A84C16"/>
    <w:rPr>
      <w:rFonts w:eastAsia="Calibri"/>
      <w:sz w:val="24"/>
      <w:szCs w:val="22"/>
      <w:lang w:val="lv-LV"/>
    </w:rPr>
  </w:style>
  <w:style w:type="paragraph" w:styleId="ListParagraph">
    <w:name w:val="List Paragraph"/>
    <w:basedOn w:val="Normal"/>
    <w:uiPriority w:val="34"/>
    <w:qFormat/>
    <w:rsid w:val="00A84C16"/>
    <w:pPr>
      <w:widowControl/>
      <w:spacing w:before="120" w:after="120"/>
      <w:ind w:left="720"/>
      <w:contextualSpacing/>
      <w:jc w:val="both"/>
    </w:pPr>
    <w:rPr>
      <w:rFonts w:eastAsiaTheme="minorHAnsi"/>
      <w:szCs w:val="22"/>
      <w:lang w:eastAsia="en-US"/>
    </w:rPr>
  </w:style>
  <w:style w:type="paragraph" w:customStyle="1" w:styleId="Default">
    <w:name w:val="Default"/>
    <w:rsid w:val="00A84C16"/>
    <w:pPr>
      <w:autoSpaceDE w:val="0"/>
      <w:autoSpaceDN w:val="0"/>
      <w:adjustRightInd w:val="0"/>
    </w:pPr>
    <w:rPr>
      <w:rFonts w:eastAsiaTheme="minorHAnsi"/>
      <w:color w:val="000000"/>
      <w:sz w:val="24"/>
      <w:szCs w:val="24"/>
      <w:lang w:val="en-US" w:eastAsia="en-US"/>
    </w:rPr>
  </w:style>
  <w:style w:type="table" w:customStyle="1" w:styleId="Table11">
    <w:name w:val="Table 11"/>
    <w:basedOn w:val="TableNormal"/>
    <w:uiPriority w:val="99"/>
    <w:rsid w:val="00A84C16"/>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A84C16"/>
    <w:pPr>
      <w:spacing w:line="240" w:lineRule="auto"/>
    </w:pPr>
    <w:rPr>
      <w:rFonts w:eastAsiaTheme="minorHAnsi"/>
      <w:szCs w:val="22"/>
      <w:lang w:val="lv-LV"/>
    </w:rPr>
  </w:style>
  <w:style w:type="table" w:customStyle="1" w:styleId="TableGrid2">
    <w:name w:val="Table Grid2"/>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A84C16"/>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3">
    <w:name w:val="Table Grid3"/>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A84C16"/>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A84C16"/>
  </w:style>
  <w:style w:type="table" w:customStyle="1" w:styleId="TableGrid4">
    <w:name w:val="Table Grid4"/>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A84C16"/>
    <w:pPr>
      <w:jc w:val="center"/>
    </w:pPr>
    <w:rPr>
      <w:rFonts w:ascii="Trebuchet MS" w:eastAsiaTheme="minorHAnsi" w:hAnsi="Trebuchet MS" w:cstheme="minorBidi"/>
      <w:sz w:val="16"/>
      <w:lang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A84C16"/>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A84C16"/>
    <w:pPr>
      <w:autoSpaceDE w:val="0"/>
      <w:autoSpaceDN w:val="0"/>
      <w:adjustRightInd w:val="0"/>
      <w:jc w:val="right"/>
    </w:pPr>
    <w:rPr>
      <w:b/>
      <w:bCs/>
      <w:szCs w:val="24"/>
      <w:lang w:eastAsia="fr-BE"/>
    </w:rPr>
  </w:style>
  <w:style w:type="paragraph" w:customStyle="1" w:styleId="EntRefer">
    <w:name w:val="EntRefer"/>
    <w:basedOn w:val="Normal"/>
    <w:rsid w:val="00A84C16"/>
    <w:pPr>
      <w:autoSpaceDE w:val="0"/>
      <w:autoSpaceDN w:val="0"/>
      <w:adjustRightInd w:val="0"/>
    </w:pPr>
    <w:rPr>
      <w:b/>
      <w:bCs/>
      <w:szCs w:val="24"/>
      <w:lang w:eastAsia="fr-BE"/>
    </w:rPr>
  </w:style>
  <w:style w:type="paragraph" w:customStyle="1" w:styleId="Par-number1">
    <w:name w:val="Par-number 1)"/>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A84C16"/>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A84C16"/>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A84C16"/>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A84C16"/>
    <w:rPr>
      <w:sz w:val="24"/>
      <w:szCs w:val="24"/>
      <w:lang w:val="lv-LV" w:eastAsia="fr-BE"/>
    </w:rPr>
  </w:style>
  <w:style w:type="character" w:styleId="EndnoteReference">
    <w:name w:val="endnote reference"/>
    <w:basedOn w:val="DefaultParagraphFont"/>
    <w:uiPriority w:val="99"/>
    <w:rsid w:val="00A84C16"/>
    <w:rPr>
      <w:rFonts w:cs="Times New Roman"/>
      <w:b/>
      <w:bCs/>
      <w:spacing w:val="0"/>
      <w:vertAlign w:val="superscript"/>
    </w:rPr>
  </w:style>
  <w:style w:type="paragraph" w:customStyle="1" w:styleId="AC">
    <w:name w:val="AC"/>
    <w:basedOn w:val="Normal"/>
    <w:next w:val="Normal"/>
    <w:rsid w:val="00A84C16"/>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A84C16"/>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A84C16"/>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A84C16"/>
    <w:rPr>
      <w:rFonts w:cs="Times New Roman"/>
      <w:color w:val="auto"/>
      <w:spacing w:val="0"/>
    </w:rPr>
  </w:style>
  <w:style w:type="paragraph" w:customStyle="1" w:styleId="AddReference">
    <w:name w:val="Add Reference"/>
    <w:basedOn w:val="Normal"/>
    <w:rsid w:val="00A84C16"/>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A84C16"/>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A84C16"/>
    <w:rPr>
      <w:rFonts w:ascii="Tahoma" w:hAnsi="Tahoma" w:cs="Tahoma"/>
      <w:sz w:val="24"/>
      <w:szCs w:val="24"/>
      <w:shd w:val="clear" w:color="auto" w:fill="000080"/>
      <w:lang w:val="lv-LV" w:eastAsia="fr-BE"/>
    </w:rPr>
  </w:style>
  <w:style w:type="paragraph" w:customStyle="1" w:styleId="RKrubrik">
    <w:name w:val="RKrubrik"/>
    <w:basedOn w:val="Normal"/>
    <w:next w:val="Normal"/>
    <w:rsid w:val="00A84C16"/>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A84C16"/>
    <w:rPr>
      <w:rFonts w:cs="Times New Roman"/>
      <w:b/>
      <w:bCs/>
      <w:smallCaps/>
      <w:spacing w:val="0"/>
      <w:sz w:val="24"/>
      <w:szCs w:val="24"/>
      <w:lang w:val="lv-LV"/>
    </w:rPr>
  </w:style>
  <w:style w:type="character" w:customStyle="1" w:styleId="Heading2Char1">
    <w:name w:val="Heading 2 Char1"/>
    <w:basedOn w:val="DefaultParagraphFont"/>
    <w:rsid w:val="00A84C16"/>
    <w:rPr>
      <w:rFonts w:cs="Times New Roman"/>
      <w:b/>
      <w:bCs/>
      <w:spacing w:val="0"/>
      <w:sz w:val="24"/>
      <w:szCs w:val="24"/>
      <w:lang w:val="lv-LV"/>
    </w:rPr>
  </w:style>
  <w:style w:type="character" w:customStyle="1" w:styleId="Heading3Char1">
    <w:name w:val="Heading 3 Char1"/>
    <w:basedOn w:val="DefaultParagraphFont"/>
    <w:rsid w:val="00A84C16"/>
    <w:rPr>
      <w:rFonts w:cs="Times New Roman"/>
      <w:i/>
      <w:iCs/>
      <w:spacing w:val="0"/>
      <w:sz w:val="24"/>
      <w:szCs w:val="24"/>
      <w:lang w:val="lv-LV"/>
    </w:rPr>
  </w:style>
  <w:style w:type="character" w:customStyle="1" w:styleId="Heading4Char1">
    <w:name w:val="Heading 4 Char1"/>
    <w:basedOn w:val="DefaultParagraphFont"/>
    <w:rsid w:val="00A84C16"/>
    <w:rPr>
      <w:rFonts w:cs="Times New Roman"/>
      <w:spacing w:val="0"/>
      <w:sz w:val="24"/>
      <w:szCs w:val="24"/>
      <w:lang w:val="lv-LV"/>
    </w:rPr>
  </w:style>
  <w:style w:type="character" w:customStyle="1" w:styleId="Heading5Char1">
    <w:name w:val="Heading 5 Char1"/>
    <w:basedOn w:val="DefaultParagraphFont"/>
    <w:rsid w:val="00A84C16"/>
    <w:rPr>
      <w:rFonts w:ascii="Arial" w:hAnsi="Arial" w:cs="Arial"/>
      <w:spacing w:val="0"/>
      <w:sz w:val="24"/>
      <w:szCs w:val="24"/>
      <w:lang w:val="lv-LV"/>
    </w:rPr>
  </w:style>
  <w:style w:type="character" w:customStyle="1" w:styleId="Heading6Char1">
    <w:name w:val="Heading 6 Char1"/>
    <w:basedOn w:val="DefaultParagraphFont"/>
    <w:rsid w:val="00A84C16"/>
    <w:rPr>
      <w:rFonts w:ascii="Arial" w:hAnsi="Arial" w:cs="Arial"/>
      <w:i/>
      <w:iCs/>
      <w:spacing w:val="0"/>
      <w:sz w:val="24"/>
      <w:szCs w:val="24"/>
      <w:lang w:val="lv-LV"/>
    </w:rPr>
  </w:style>
  <w:style w:type="character" w:customStyle="1" w:styleId="Heading7Char1">
    <w:name w:val="Heading 7 Char1"/>
    <w:basedOn w:val="DefaultParagraphFont"/>
    <w:rsid w:val="00A84C16"/>
    <w:rPr>
      <w:rFonts w:ascii="Arial" w:hAnsi="Arial" w:cs="Arial"/>
      <w:spacing w:val="0"/>
      <w:sz w:val="24"/>
      <w:szCs w:val="24"/>
      <w:lang w:val="lv-LV"/>
    </w:rPr>
  </w:style>
  <w:style w:type="character" w:customStyle="1" w:styleId="Heading8Char1">
    <w:name w:val="Heading 8 Char1"/>
    <w:basedOn w:val="DefaultParagraphFont"/>
    <w:rsid w:val="00A84C16"/>
    <w:rPr>
      <w:rFonts w:ascii="Arial" w:hAnsi="Arial" w:cs="Arial"/>
      <w:i/>
      <w:iCs/>
      <w:spacing w:val="0"/>
      <w:sz w:val="24"/>
      <w:szCs w:val="24"/>
      <w:lang w:val="lv-LV"/>
    </w:rPr>
  </w:style>
  <w:style w:type="character" w:customStyle="1" w:styleId="Heading9Char1">
    <w:name w:val="Heading 9 Char1"/>
    <w:basedOn w:val="DefaultParagraphFont"/>
    <w:rsid w:val="00A84C16"/>
    <w:rPr>
      <w:rFonts w:ascii="Arial" w:hAnsi="Arial" w:cs="Arial"/>
      <w:i/>
      <w:iCs/>
      <w:spacing w:val="0"/>
      <w:sz w:val="24"/>
      <w:szCs w:val="24"/>
      <w:lang w:val="lv-LV"/>
    </w:rPr>
  </w:style>
  <w:style w:type="character" w:customStyle="1" w:styleId="BalloonTextChar1">
    <w:name w:val="Balloon Text Char1"/>
    <w:basedOn w:val="DefaultParagraphFont"/>
    <w:rsid w:val="00A84C16"/>
    <w:rPr>
      <w:rFonts w:ascii="Tahoma" w:hAnsi="Tahoma" w:cs="Tahoma"/>
      <w:spacing w:val="0"/>
      <w:sz w:val="16"/>
      <w:szCs w:val="16"/>
      <w:lang w:val="lv-LV"/>
    </w:rPr>
  </w:style>
  <w:style w:type="character" w:customStyle="1" w:styleId="HeaderChar1">
    <w:name w:val="Header Char1"/>
    <w:basedOn w:val="DefaultParagraphFont"/>
    <w:rsid w:val="00A84C16"/>
    <w:rPr>
      <w:rFonts w:cs="Times New Roman"/>
      <w:spacing w:val="0"/>
      <w:sz w:val="24"/>
      <w:szCs w:val="24"/>
      <w:lang w:val="lv-LV"/>
    </w:rPr>
  </w:style>
  <w:style w:type="character" w:customStyle="1" w:styleId="FooterChar1">
    <w:name w:val="Footer Char1"/>
    <w:basedOn w:val="DefaultParagraphFont"/>
    <w:rsid w:val="00A84C16"/>
    <w:rPr>
      <w:rFonts w:cs="Times New Roman"/>
      <w:spacing w:val="0"/>
      <w:sz w:val="24"/>
      <w:szCs w:val="24"/>
      <w:lang w:val="lv-LV"/>
    </w:rPr>
  </w:style>
  <w:style w:type="paragraph" w:customStyle="1" w:styleId="Overskrift1">
    <w:name w:val="Overskrift1"/>
    <w:basedOn w:val="Normal"/>
    <w:next w:val="Normal"/>
    <w:rsid w:val="00A84C16"/>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A84C16"/>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A84C16"/>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A84C16"/>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A84C16"/>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A84C16"/>
    <w:pPr>
      <w:widowControl/>
      <w:autoSpaceDE w:val="0"/>
      <w:autoSpaceDN w:val="0"/>
      <w:adjustRightInd w:val="0"/>
      <w:jc w:val="center"/>
    </w:pPr>
    <w:rPr>
      <w:b/>
      <w:bCs/>
      <w:szCs w:val="24"/>
      <w:lang w:eastAsia="fr-BE"/>
    </w:rPr>
  </w:style>
  <w:style w:type="paragraph" w:customStyle="1" w:styleId="EntACP">
    <w:name w:val="EntACP"/>
    <w:basedOn w:val="Normal"/>
    <w:rsid w:val="00A84C16"/>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A84C16"/>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A84C16"/>
    <w:pPr>
      <w:widowControl/>
      <w:spacing w:before="240"/>
    </w:pPr>
  </w:style>
  <w:style w:type="paragraph" w:customStyle="1" w:styleId="Accordtitre">
    <w:name w:val="Accord titre"/>
    <w:basedOn w:val="Normal"/>
    <w:rsid w:val="00A84C16"/>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A84C16"/>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A84C16"/>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A84C16"/>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A84C16"/>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A84C16"/>
    <w:rPr>
      <w:sz w:val="24"/>
      <w:szCs w:val="24"/>
      <w:lang w:val="lv-LV" w:eastAsia="fr-BE"/>
    </w:rPr>
  </w:style>
  <w:style w:type="character" w:customStyle="1" w:styleId="BodyTextChar1">
    <w:name w:val="Body Text Char1"/>
    <w:basedOn w:val="DefaultParagraphFont"/>
    <w:rsid w:val="00A84C16"/>
    <w:rPr>
      <w:rFonts w:cs="Times New Roman"/>
      <w:spacing w:val="0"/>
      <w:sz w:val="24"/>
      <w:szCs w:val="24"/>
      <w:lang w:val="lv-LV"/>
    </w:rPr>
  </w:style>
  <w:style w:type="paragraph" w:styleId="BodyTextIndent">
    <w:name w:val="Body Text Indent"/>
    <w:basedOn w:val="Normal"/>
    <w:link w:val="BodyTextIndentChar"/>
    <w:uiPriority w:val="99"/>
    <w:rsid w:val="00A84C16"/>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A84C16"/>
    <w:rPr>
      <w:sz w:val="24"/>
      <w:szCs w:val="24"/>
      <w:lang w:val="lv-LV" w:eastAsia="fr-BE"/>
    </w:rPr>
  </w:style>
  <w:style w:type="character" w:customStyle="1" w:styleId="BodyText2Char">
    <w:name w:val="Body Text 2 Char"/>
    <w:basedOn w:val="DefaultParagraphFont"/>
    <w:rsid w:val="00A84C16"/>
    <w:rPr>
      <w:rFonts w:ascii="Times New Roman" w:hAnsi="Times New Roman" w:cs="Times New Roman"/>
      <w:spacing w:val="0"/>
      <w:sz w:val="24"/>
      <w:szCs w:val="24"/>
      <w:lang w:val="lv-LV"/>
    </w:rPr>
  </w:style>
  <w:style w:type="paragraph" w:styleId="BodyText3">
    <w:name w:val="Body Text 3"/>
    <w:basedOn w:val="Normal"/>
    <w:link w:val="BodyText3Char"/>
    <w:uiPriority w:val="99"/>
    <w:rsid w:val="00A84C16"/>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A84C16"/>
    <w:rPr>
      <w:sz w:val="16"/>
      <w:szCs w:val="16"/>
      <w:lang w:val="lv-LV" w:eastAsia="fr-BE"/>
    </w:rPr>
  </w:style>
  <w:style w:type="character" w:customStyle="1" w:styleId="BodyText3Char1">
    <w:name w:val="Body Text 3 Char1"/>
    <w:basedOn w:val="DefaultParagraphFont"/>
    <w:rsid w:val="00A84C16"/>
    <w:rPr>
      <w:rFonts w:cs="Times New Roman"/>
      <w:spacing w:val="0"/>
      <w:sz w:val="16"/>
      <w:szCs w:val="16"/>
      <w:lang w:val="lv-LV"/>
    </w:rPr>
  </w:style>
  <w:style w:type="paragraph" w:styleId="BodyTextFirstIndent">
    <w:name w:val="Body Text First Indent"/>
    <w:basedOn w:val="BodyText"/>
    <w:link w:val="BodyTextFirstIndentChar"/>
    <w:uiPriority w:val="99"/>
    <w:rsid w:val="00A84C16"/>
    <w:pPr>
      <w:ind w:firstLine="210"/>
    </w:pPr>
  </w:style>
  <w:style w:type="character" w:customStyle="1" w:styleId="BodyTextFirstIndentChar">
    <w:name w:val="Body Text First Indent Char"/>
    <w:basedOn w:val="BodyTextChar"/>
    <w:link w:val="BodyTextFirstIndent"/>
    <w:uiPriority w:val="99"/>
    <w:rsid w:val="00A84C16"/>
    <w:rPr>
      <w:sz w:val="24"/>
      <w:szCs w:val="24"/>
      <w:lang w:val="lv-LV" w:eastAsia="fr-BE"/>
    </w:rPr>
  </w:style>
  <w:style w:type="character" w:customStyle="1" w:styleId="BodyTextFirstIndentChar1">
    <w:name w:val="Body Text First Indent Char1"/>
    <w:basedOn w:val="BodyTextChar1"/>
    <w:rsid w:val="00A84C16"/>
    <w:rPr>
      <w:rFonts w:cs="Times New Roman"/>
      <w:spacing w:val="0"/>
      <w:sz w:val="24"/>
      <w:szCs w:val="24"/>
      <w:lang w:val="lv-LV"/>
    </w:rPr>
  </w:style>
  <w:style w:type="character" w:customStyle="1" w:styleId="BodyTextIndentChar1">
    <w:name w:val="Body Text Indent Char1"/>
    <w:basedOn w:val="DefaultParagraphFont"/>
    <w:rsid w:val="00A84C16"/>
    <w:rPr>
      <w:rFonts w:cs="Times New Roman"/>
      <w:spacing w:val="0"/>
      <w:sz w:val="24"/>
      <w:szCs w:val="24"/>
      <w:lang w:val="lv-LV"/>
    </w:rPr>
  </w:style>
  <w:style w:type="paragraph" w:styleId="BodyTextFirstIndent2">
    <w:name w:val="Body Text First Indent 2"/>
    <w:basedOn w:val="BodyTextIndent"/>
    <w:link w:val="BodyTextFirstIndent2Char"/>
    <w:uiPriority w:val="99"/>
    <w:rsid w:val="00A84C16"/>
    <w:pPr>
      <w:ind w:firstLine="210"/>
    </w:pPr>
  </w:style>
  <w:style w:type="character" w:customStyle="1" w:styleId="BodyTextFirstIndent2Char">
    <w:name w:val="Body Text First Indent 2 Char"/>
    <w:basedOn w:val="BodyTextIndentChar"/>
    <w:link w:val="BodyTextFirstIndent2"/>
    <w:uiPriority w:val="99"/>
    <w:rsid w:val="00A84C16"/>
    <w:rPr>
      <w:sz w:val="24"/>
      <w:szCs w:val="24"/>
      <w:lang w:val="lv-LV" w:eastAsia="fr-BE"/>
    </w:rPr>
  </w:style>
  <w:style w:type="character" w:customStyle="1" w:styleId="BodyTextFirstIndent2Char1">
    <w:name w:val="Body Text First Indent 2 Char1"/>
    <w:basedOn w:val="BodyTextIndentChar1"/>
    <w:rsid w:val="00A84C16"/>
    <w:rPr>
      <w:rFonts w:cs="Times New Roman"/>
      <w:spacing w:val="0"/>
      <w:sz w:val="24"/>
      <w:szCs w:val="24"/>
      <w:lang w:val="lv-LV"/>
    </w:rPr>
  </w:style>
  <w:style w:type="paragraph" w:styleId="BodyTextIndent2">
    <w:name w:val="Body Text Indent 2"/>
    <w:basedOn w:val="Normal"/>
    <w:link w:val="BodyTextIndent2Char"/>
    <w:uiPriority w:val="99"/>
    <w:rsid w:val="00A84C16"/>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A84C16"/>
    <w:rPr>
      <w:sz w:val="24"/>
      <w:szCs w:val="24"/>
      <w:lang w:val="lv-LV" w:eastAsia="fr-BE"/>
    </w:rPr>
  </w:style>
  <w:style w:type="character" w:customStyle="1" w:styleId="BodyTextIndent2Char1">
    <w:name w:val="Body Text Indent 2 Char1"/>
    <w:basedOn w:val="DefaultParagraphFont"/>
    <w:rsid w:val="00A84C16"/>
    <w:rPr>
      <w:rFonts w:cs="Times New Roman"/>
      <w:spacing w:val="0"/>
      <w:sz w:val="24"/>
      <w:szCs w:val="24"/>
      <w:lang w:val="lv-LV"/>
    </w:rPr>
  </w:style>
  <w:style w:type="paragraph" w:styleId="BodyTextIndent3">
    <w:name w:val="Body Text Indent 3"/>
    <w:basedOn w:val="Normal"/>
    <w:link w:val="BodyTextIndent3Char"/>
    <w:uiPriority w:val="99"/>
    <w:rsid w:val="00A84C16"/>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A84C16"/>
    <w:rPr>
      <w:sz w:val="16"/>
      <w:szCs w:val="16"/>
      <w:lang w:val="lv-LV" w:eastAsia="fr-BE"/>
    </w:rPr>
  </w:style>
  <w:style w:type="character" w:customStyle="1" w:styleId="BodyTextIndent3Char1">
    <w:name w:val="Body Text Indent 3 Char1"/>
    <w:basedOn w:val="DefaultParagraphFont"/>
    <w:rsid w:val="00A84C16"/>
    <w:rPr>
      <w:rFonts w:cs="Times New Roman"/>
      <w:spacing w:val="0"/>
      <w:sz w:val="16"/>
      <w:szCs w:val="16"/>
      <w:lang w:val="lv-LV"/>
    </w:rPr>
  </w:style>
  <w:style w:type="paragraph" w:styleId="Closing">
    <w:name w:val="Closing"/>
    <w:basedOn w:val="Normal"/>
    <w:link w:val="ClosingChar"/>
    <w:uiPriority w:val="99"/>
    <w:rsid w:val="00A84C16"/>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A84C16"/>
    <w:rPr>
      <w:sz w:val="24"/>
      <w:szCs w:val="24"/>
      <w:lang w:val="lv-LV" w:eastAsia="fr-BE"/>
    </w:rPr>
  </w:style>
  <w:style w:type="character" w:customStyle="1" w:styleId="ClosingChar1">
    <w:name w:val="Closing Char1"/>
    <w:basedOn w:val="DefaultParagraphFont"/>
    <w:rsid w:val="00A84C16"/>
    <w:rPr>
      <w:rFonts w:cs="Times New Roman"/>
      <w:spacing w:val="0"/>
      <w:sz w:val="24"/>
      <w:szCs w:val="24"/>
      <w:lang w:val="lv-LV"/>
    </w:rPr>
  </w:style>
  <w:style w:type="character" w:customStyle="1" w:styleId="CommentTextChar1">
    <w:name w:val="Comment Text Char1"/>
    <w:basedOn w:val="DefaultParagraphFont"/>
    <w:rsid w:val="00A84C16"/>
    <w:rPr>
      <w:rFonts w:cs="Times New Roman"/>
      <w:spacing w:val="0"/>
      <w:sz w:val="24"/>
      <w:szCs w:val="24"/>
      <w:lang w:val="lv-LV"/>
    </w:rPr>
  </w:style>
  <w:style w:type="character" w:customStyle="1" w:styleId="CommentSubjectChar1">
    <w:name w:val="Comment Subject Char1"/>
    <w:basedOn w:val="CommentTextChar1"/>
    <w:rsid w:val="00A84C16"/>
    <w:rPr>
      <w:rFonts w:cs="Times New Roman"/>
      <w:b/>
      <w:bCs/>
      <w:spacing w:val="0"/>
      <w:sz w:val="24"/>
      <w:szCs w:val="24"/>
      <w:lang w:val="lv-LV"/>
    </w:rPr>
  </w:style>
  <w:style w:type="character" w:customStyle="1" w:styleId="DocumentMapChar1">
    <w:name w:val="Document Map Char1"/>
    <w:basedOn w:val="DefaultParagraphFont"/>
    <w:rsid w:val="00A84C16"/>
    <w:rPr>
      <w:rFonts w:ascii="Tahoma" w:hAnsi="Tahoma" w:cs="Tahoma"/>
      <w:spacing w:val="0"/>
      <w:sz w:val="24"/>
      <w:szCs w:val="24"/>
      <w:lang w:val="lv-LV"/>
    </w:rPr>
  </w:style>
  <w:style w:type="paragraph" w:styleId="E-mailSignature">
    <w:name w:val="E-mail Signature"/>
    <w:basedOn w:val="Normal"/>
    <w:link w:val="E-mailSignatureChar"/>
    <w:uiPriority w:val="99"/>
    <w:rsid w:val="00A84C16"/>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A84C16"/>
    <w:rPr>
      <w:sz w:val="24"/>
      <w:szCs w:val="24"/>
      <w:lang w:val="lv-LV" w:eastAsia="fr-BE"/>
    </w:rPr>
  </w:style>
  <w:style w:type="character" w:customStyle="1" w:styleId="E-mailSignatureChar1">
    <w:name w:val="E-mail Signature Char1"/>
    <w:basedOn w:val="DefaultParagraphFont"/>
    <w:rsid w:val="00A84C16"/>
    <w:rPr>
      <w:rFonts w:cs="Times New Roman"/>
      <w:spacing w:val="0"/>
      <w:sz w:val="24"/>
      <w:szCs w:val="24"/>
      <w:lang w:val="lv-LV"/>
    </w:rPr>
  </w:style>
  <w:style w:type="character" w:customStyle="1" w:styleId="EndnoteTextChar1">
    <w:name w:val="Endnote Text Char1"/>
    <w:basedOn w:val="DefaultParagraphFont"/>
    <w:rsid w:val="00A84C16"/>
    <w:rPr>
      <w:rFonts w:cs="Times New Roman"/>
      <w:spacing w:val="0"/>
      <w:sz w:val="24"/>
      <w:szCs w:val="24"/>
      <w:lang w:val="lv-LV"/>
    </w:rPr>
  </w:style>
  <w:style w:type="paragraph" w:styleId="EnvelopeAddress">
    <w:name w:val="envelope address"/>
    <w:basedOn w:val="Normal"/>
    <w:uiPriority w:val="99"/>
    <w:rsid w:val="00A84C16"/>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A84C16"/>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A84C16"/>
    <w:rPr>
      <w:rFonts w:cs="Times New Roman"/>
    </w:rPr>
  </w:style>
  <w:style w:type="paragraph" w:styleId="HTMLAddress">
    <w:name w:val="HTML Address"/>
    <w:basedOn w:val="Normal"/>
    <w:link w:val="HTMLAddressChar"/>
    <w:uiPriority w:val="99"/>
    <w:rsid w:val="00A84C16"/>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A84C16"/>
    <w:rPr>
      <w:i/>
      <w:iCs/>
      <w:sz w:val="24"/>
      <w:szCs w:val="24"/>
      <w:lang w:val="lv-LV" w:eastAsia="fr-BE"/>
    </w:rPr>
  </w:style>
  <w:style w:type="character" w:customStyle="1" w:styleId="HTMLAddressChar1">
    <w:name w:val="HTML Address Char1"/>
    <w:basedOn w:val="DefaultParagraphFont"/>
    <w:rsid w:val="00A84C16"/>
    <w:rPr>
      <w:rFonts w:cs="Times New Roman"/>
      <w:i/>
      <w:iCs/>
      <w:spacing w:val="0"/>
      <w:sz w:val="24"/>
      <w:szCs w:val="24"/>
      <w:lang w:val="lv-LV"/>
    </w:rPr>
  </w:style>
  <w:style w:type="character" w:styleId="HTMLCite">
    <w:name w:val="HTML Cite"/>
    <w:basedOn w:val="DefaultParagraphFont"/>
    <w:uiPriority w:val="99"/>
    <w:rsid w:val="00A84C16"/>
    <w:rPr>
      <w:rFonts w:cs="Times New Roman"/>
      <w:i/>
      <w:iCs/>
      <w:spacing w:val="0"/>
    </w:rPr>
  </w:style>
  <w:style w:type="character" w:styleId="HTMLCode">
    <w:name w:val="HTML Code"/>
    <w:basedOn w:val="DefaultParagraphFont"/>
    <w:uiPriority w:val="99"/>
    <w:rsid w:val="00A84C16"/>
    <w:rPr>
      <w:rFonts w:ascii="Courier New" w:hAnsi="Courier New" w:cs="Courier New"/>
      <w:spacing w:val="0"/>
      <w:sz w:val="20"/>
      <w:szCs w:val="20"/>
    </w:rPr>
  </w:style>
  <w:style w:type="character" w:styleId="HTMLDefinition">
    <w:name w:val="HTML Definition"/>
    <w:basedOn w:val="DefaultParagraphFont"/>
    <w:uiPriority w:val="99"/>
    <w:rsid w:val="00A84C16"/>
    <w:rPr>
      <w:rFonts w:cs="Times New Roman"/>
      <w:i/>
      <w:iCs/>
      <w:spacing w:val="0"/>
    </w:rPr>
  </w:style>
  <w:style w:type="character" w:styleId="HTMLKeyboard">
    <w:name w:val="HTML Keyboard"/>
    <w:basedOn w:val="DefaultParagraphFont"/>
    <w:uiPriority w:val="99"/>
    <w:rsid w:val="00A84C16"/>
    <w:rPr>
      <w:rFonts w:ascii="Courier New" w:hAnsi="Courier New" w:cs="Courier New"/>
      <w:spacing w:val="0"/>
      <w:sz w:val="20"/>
      <w:szCs w:val="20"/>
    </w:rPr>
  </w:style>
  <w:style w:type="paragraph" w:styleId="HTMLPreformatted">
    <w:name w:val="HTML Preformatted"/>
    <w:basedOn w:val="Normal"/>
    <w:link w:val="HTMLPreformattedChar"/>
    <w:uiPriority w:val="99"/>
    <w:rsid w:val="00A84C16"/>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A84C16"/>
    <w:rPr>
      <w:rFonts w:ascii="Courier New" w:hAnsi="Courier New" w:cs="Courier New"/>
      <w:sz w:val="24"/>
      <w:szCs w:val="24"/>
      <w:lang w:val="lv-LV" w:eastAsia="fr-BE"/>
    </w:rPr>
  </w:style>
  <w:style w:type="character" w:customStyle="1" w:styleId="HTMLPreformattedChar1">
    <w:name w:val="HTML Preformatted Char1"/>
    <w:basedOn w:val="DefaultParagraphFont"/>
    <w:rsid w:val="00A84C16"/>
    <w:rPr>
      <w:rFonts w:ascii="Courier New" w:hAnsi="Courier New" w:cs="Courier New"/>
      <w:spacing w:val="0"/>
      <w:sz w:val="24"/>
      <w:szCs w:val="24"/>
      <w:lang w:val="lv-LV"/>
    </w:rPr>
  </w:style>
  <w:style w:type="character" w:styleId="HTMLSample">
    <w:name w:val="HTML Sample"/>
    <w:basedOn w:val="DefaultParagraphFont"/>
    <w:uiPriority w:val="99"/>
    <w:rsid w:val="00A84C16"/>
    <w:rPr>
      <w:rFonts w:ascii="Courier New" w:hAnsi="Courier New" w:cs="Courier New"/>
      <w:spacing w:val="0"/>
    </w:rPr>
  </w:style>
  <w:style w:type="character" w:styleId="HTMLTypewriter">
    <w:name w:val="HTML Typewriter"/>
    <w:basedOn w:val="DefaultParagraphFont"/>
    <w:uiPriority w:val="99"/>
    <w:rsid w:val="00A84C16"/>
    <w:rPr>
      <w:rFonts w:ascii="Courier New" w:hAnsi="Courier New" w:cs="Courier New"/>
      <w:spacing w:val="0"/>
      <w:sz w:val="20"/>
      <w:szCs w:val="20"/>
    </w:rPr>
  </w:style>
  <w:style w:type="character" w:styleId="HTMLVariable">
    <w:name w:val="HTML Variable"/>
    <w:basedOn w:val="DefaultParagraphFont"/>
    <w:uiPriority w:val="99"/>
    <w:rsid w:val="00A84C16"/>
    <w:rPr>
      <w:rFonts w:cs="Times New Roman"/>
      <w:i/>
      <w:iCs/>
      <w:spacing w:val="0"/>
    </w:rPr>
  </w:style>
  <w:style w:type="character" w:styleId="LineNumber">
    <w:name w:val="line number"/>
    <w:basedOn w:val="DefaultParagraphFont"/>
    <w:uiPriority w:val="99"/>
    <w:rsid w:val="00A84C16"/>
    <w:rPr>
      <w:rFonts w:cs="Times New Roman"/>
    </w:rPr>
  </w:style>
  <w:style w:type="paragraph" w:styleId="List">
    <w:name w:val="List"/>
    <w:basedOn w:val="Normal"/>
    <w:uiPriority w:val="99"/>
    <w:rsid w:val="00A84C16"/>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A84C16"/>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A84C16"/>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A84C16"/>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A84C16"/>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A84C16"/>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A84C16"/>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A84C16"/>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A84C16"/>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A84C16"/>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A84C16"/>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A84C16"/>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A84C16"/>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A84C16"/>
    <w:rPr>
      <w:rFonts w:ascii="Courier New" w:hAnsi="Courier New" w:cs="Courier New"/>
      <w:sz w:val="24"/>
      <w:szCs w:val="24"/>
      <w:lang w:val="en-US" w:eastAsia="fr-BE"/>
    </w:rPr>
  </w:style>
  <w:style w:type="character" w:customStyle="1" w:styleId="MacroTextChar1">
    <w:name w:val="Macro Text Char1"/>
    <w:basedOn w:val="DefaultParagraphFont"/>
    <w:rsid w:val="00A84C16"/>
    <w:rPr>
      <w:rFonts w:ascii="Courier New" w:hAnsi="Courier New" w:cs="Courier New"/>
      <w:spacing w:val="0"/>
      <w:sz w:val="24"/>
      <w:szCs w:val="24"/>
      <w:lang w:val="lv-LV"/>
    </w:rPr>
  </w:style>
  <w:style w:type="paragraph" w:styleId="MessageHeader">
    <w:name w:val="Message Header"/>
    <w:basedOn w:val="Normal"/>
    <w:link w:val="MessageHeaderChar"/>
    <w:uiPriority w:val="99"/>
    <w:rsid w:val="00A84C16"/>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A84C16"/>
    <w:rPr>
      <w:rFonts w:ascii="Arial" w:hAnsi="Arial" w:cs="Arial"/>
      <w:sz w:val="24"/>
      <w:szCs w:val="24"/>
      <w:lang w:val="lv-LV" w:eastAsia="fr-BE"/>
    </w:rPr>
  </w:style>
  <w:style w:type="character" w:customStyle="1" w:styleId="MessageHeaderChar1">
    <w:name w:val="Message Header Char1"/>
    <w:basedOn w:val="DefaultParagraphFont"/>
    <w:rsid w:val="00A84C16"/>
    <w:rPr>
      <w:rFonts w:ascii="Arial" w:hAnsi="Arial" w:cs="Arial"/>
      <w:spacing w:val="0"/>
      <w:sz w:val="24"/>
      <w:szCs w:val="24"/>
      <w:shd w:val="pct20" w:color="auto" w:fill="auto"/>
      <w:lang w:val="lv-LV"/>
    </w:rPr>
  </w:style>
  <w:style w:type="paragraph" w:styleId="NormalWeb">
    <w:name w:val="Normal (Web)"/>
    <w:basedOn w:val="Normal"/>
    <w:uiPriority w:val="99"/>
    <w:rsid w:val="00A84C16"/>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A84C16"/>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A84C16"/>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A84C16"/>
    <w:rPr>
      <w:rFonts w:ascii="Courier New" w:hAnsi="Courier New" w:cs="Courier New"/>
      <w:sz w:val="24"/>
      <w:szCs w:val="24"/>
      <w:lang w:val="lv-LV" w:eastAsia="fr-BE"/>
    </w:rPr>
  </w:style>
  <w:style w:type="character" w:customStyle="1" w:styleId="PlainTextChar1">
    <w:name w:val="Plain Text Char1"/>
    <w:basedOn w:val="DefaultParagraphFont"/>
    <w:rsid w:val="00A84C16"/>
    <w:rPr>
      <w:rFonts w:ascii="Courier New" w:hAnsi="Courier New" w:cs="Courier New"/>
      <w:spacing w:val="0"/>
      <w:sz w:val="24"/>
      <w:szCs w:val="24"/>
      <w:lang w:val="lv-LV"/>
    </w:rPr>
  </w:style>
  <w:style w:type="paragraph" w:styleId="Signature">
    <w:name w:val="Signature"/>
    <w:basedOn w:val="Normal"/>
    <w:link w:val="SignatureChar"/>
    <w:uiPriority w:val="99"/>
    <w:rsid w:val="00A84C16"/>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A84C16"/>
    <w:rPr>
      <w:sz w:val="24"/>
      <w:szCs w:val="24"/>
      <w:lang w:val="lv-LV" w:eastAsia="fr-BE"/>
    </w:rPr>
  </w:style>
  <w:style w:type="character" w:customStyle="1" w:styleId="SignatureChar1">
    <w:name w:val="Signature Char1"/>
    <w:basedOn w:val="DefaultParagraphFont"/>
    <w:rsid w:val="00A84C16"/>
    <w:rPr>
      <w:rFonts w:cs="Times New Roman"/>
      <w:spacing w:val="0"/>
      <w:sz w:val="24"/>
      <w:szCs w:val="24"/>
      <w:lang w:val="lv-LV"/>
    </w:rPr>
  </w:style>
  <w:style w:type="character" w:styleId="Strong">
    <w:name w:val="Strong"/>
    <w:basedOn w:val="DefaultParagraphFont"/>
    <w:uiPriority w:val="22"/>
    <w:qFormat/>
    <w:rsid w:val="00A84C16"/>
    <w:rPr>
      <w:rFonts w:cs="Times New Roman"/>
      <w:b/>
      <w:bCs/>
      <w:spacing w:val="0"/>
    </w:rPr>
  </w:style>
  <w:style w:type="paragraph" w:styleId="Subtitle">
    <w:name w:val="Subtitle"/>
    <w:basedOn w:val="Normal"/>
    <w:link w:val="SubtitleChar"/>
    <w:uiPriority w:val="11"/>
    <w:qFormat/>
    <w:rsid w:val="00A84C16"/>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A84C16"/>
    <w:rPr>
      <w:rFonts w:ascii="Arial" w:hAnsi="Arial" w:cs="Arial"/>
      <w:sz w:val="24"/>
      <w:szCs w:val="24"/>
      <w:lang w:val="lv-LV" w:eastAsia="fr-BE"/>
    </w:rPr>
  </w:style>
  <w:style w:type="character" w:customStyle="1" w:styleId="SubtitleChar1">
    <w:name w:val="Subtitle Char1"/>
    <w:basedOn w:val="DefaultParagraphFont"/>
    <w:rsid w:val="00A84C16"/>
    <w:rPr>
      <w:rFonts w:ascii="Arial" w:hAnsi="Arial" w:cs="Arial"/>
      <w:spacing w:val="0"/>
      <w:sz w:val="24"/>
      <w:szCs w:val="24"/>
      <w:lang w:val="lv-LV"/>
    </w:rPr>
  </w:style>
  <w:style w:type="paragraph" w:styleId="Title">
    <w:name w:val="Title"/>
    <w:basedOn w:val="Normal"/>
    <w:link w:val="TitleChar"/>
    <w:uiPriority w:val="10"/>
    <w:qFormat/>
    <w:rsid w:val="00A84C16"/>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A84C16"/>
    <w:rPr>
      <w:rFonts w:ascii="Arial" w:hAnsi="Arial" w:cs="Arial"/>
      <w:b/>
      <w:bCs/>
      <w:kern w:val="28"/>
      <w:sz w:val="32"/>
      <w:szCs w:val="32"/>
      <w:lang w:val="lv-LV" w:eastAsia="fr-BE"/>
    </w:rPr>
  </w:style>
  <w:style w:type="character" w:customStyle="1" w:styleId="TitleChar1">
    <w:name w:val="Title Char1"/>
    <w:basedOn w:val="DefaultParagraphFont"/>
    <w:rsid w:val="00A84C16"/>
    <w:rPr>
      <w:rFonts w:ascii="Arial" w:hAnsi="Arial" w:cs="Arial"/>
      <w:b/>
      <w:bCs/>
      <w:spacing w:val="0"/>
      <w:kern w:val="28"/>
      <w:sz w:val="32"/>
      <w:szCs w:val="32"/>
      <w:lang w:val="lv-LV"/>
    </w:rPr>
  </w:style>
  <w:style w:type="paragraph" w:styleId="Index1">
    <w:name w:val="index 1"/>
    <w:basedOn w:val="Normal"/>
    <w:next w:val="Normal"/>
    <w:autoRedefine/>
    <w:uiPriority w:val="99"/>
    <w:rsid w:val="00A84C16"/>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A84C16"/>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A84C16"/>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A84C16"/>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A84C16"/>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A84C16"/>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A84C16"/>
    <w:pPr>
      <w:spacing w:before="0" w:after="0"/>
    </w:pPr>
  </w:style>
  <w:style w:type="paragraph" w:customStyle="1" w:styleId="Considerant">
    <w:name w:val="Considerant"/>
    <w:basedOn w:val="Considrant"/>
    <w:rsid w:val="00A84C16"/>
    <w:pPr>
      <w:tabs>
        <w:tab w:val="num" w:pos="709"/>
      </w:tabs>
      <w:autoSpaceDE w:val="0"/>
      <w:autoSpaceDN w:val="0"/>
      <w:adjustRightInd w:val="0"/>
      <w:spacing w:before="0" w:after="0"/>
      <w:ind w:left="709" w:hanging="709"/>
    </w:pPr>
    <w:rPr>
      <w:lang w:val="lv-LV" w:eastAsia="fr-BE"/>
    </w:rPr>
  </w:style>
  <w:style w:type="paragraph" w:customStyle="1" w:styleId="Lginef">
    <w:name w:val="Lgine f"/>
    <w:basedOn w:val="Normal"/>
    <w:rsid w:val="00A84C16"/>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A84C16"/>
    <w:pPr>
      <w:autoSpaceDE w:val="0"/>
      <w:autoSpaceDN w:val="0"/>
      <w:adjustRightInd w:val="0"/>
    </w:pPr>
    <w:rPr>
      <w:b/>
      <w:bCs/>
      <w:noProof w:val="0"/>
      <w:szCs w:val="24"/>
      <w:lang w:eastAsia="fr-BE"/>
    </w:rPr>
  </w:style>
  <w:style w:type="character" w:customStyle="1" w:styleId="italic1">
    <w:name w:val="italic1"/>
    <w:basedOn w:val="DefaultParagraphFont"/>
    <w:rsid w:val="00A84C16"/>
    <w:rPr>
      <w:rFonts w:cs="Times New Roman"/>
      <w:i/>
      <w:iCs/>
      <w:spacing w:val="0"/>
      <w:shd w:val="clear" w:color="auto" w:fill="auto"/>
    </w:rPr>
  </w:style>
  <w:style w:type="paragraph" w:customStyle="1" w:styleId="CM4">
    <w:name w:val="CM4"/>
    <w:basedOn w:val="Default"/>
    <w:next w:val="Default"/>
    <w:uiPriority w:val="99"/>
    <w:rsid w:val="00A84C16"/>
    <w:rPr>
      <w:rFonts w:ascii="EUAlbertina" w:eastAsia="Times New Roman" w:hAnsi="EUAlbertina" w:cs="EUAlbertina"/>
      <w:color w:val="auto"/>
      <w:lang w:eastAsia="fr-BE"/>
    </w:rPr>
  </w:style>
  <w:style w:type="paragraph" w:customStyle="1" w:styleId="NormalConseil">
    <w:name w:val="NormalConseil"/>
    <w:basedOn w:val="Normal"/>
    <w:rsid w:val="00A84C16"/>
    <w:pPr>
      <w:widowControl/>
      <w:autoSpaceDE w:val="0"/>
      <w:autoSpaceDN w:val="0"/>
      <w:adjustRightInd w:val="0"/>
    </w:pPr>
    <w:rPr>
      <w:szCs w:val="24"/>
      <w:lang w:eastAsia="fr-BE"/>
    </w:rPr>
  </w:style>
  <w:style w:type="paragraph" w:customStyle="1" w:styleId="FooterConseil">
    <w:name w:val="FooterConseil"/>
    <w:basedOn w:val="NormalConseil"/>
    <w:rsid w:val="00A84C16"/>
    <w:pPr>
      <w:tabs>
        <w:tab w:val="center" w:pos="4820"/>
        <w:tab w:val="center" w:pos="7371"/>
        <w:tab w:val="right" w:pos="9639"/>
      </w:tabs>
    </w:pPr>
  </w:style>
  <w:style w:type="character" w:customStyle="1" w:styleId="st1">
    <w:name w:val="st1"/>
    <w:rsid w:val="00A84C16"/>
    <w:rPr>
      <w:spacing w:val="0"/>
      <w:sz w:val="24"/>
      <w:lang w:val="lv-LV"/>
    </w:rPr>
  </w:style>
  <w:style w:type="character" w:customStyle="1" w:styleId="Point0Char">
    <w:name w:val="Point 0 Char"/>
    <w:rsid w:val="00A84C16"/>
    <w:rPr>
      <w:spacing w:val="0"/>
      <w:sz w:val="24"/>
      <w:lang w:val="lv-LV"/>
    </w:rPr>
  </w:style>
  <w:style w:type="paragraph" w:customStyle="1" w:styleId="DeltaViewTableHeading">
    <w:name w:val="DeltaView Table Heading"/>
    <w:basedOn w:val="Normal"/>
    <w:rsid w:val="00A84C16"/>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A84C16"/>
    <w:pPr>
      <w:widowControl/>
      <w:autoSpaceDE w:val="0"/>
      <w:autoSpaceDN w:val="0"/>
      <w:adjustRightInd w:val="0"/>
    </w:pPr>
    <w:rPr>
      <w:rFonts w:ascii="Arial" w:hAnsi="Arial" w:cs="Arial"/>
      <w:szCs w:val="24"/>
      <w:lang w:eastAsia="fr-BE"/>
    </w:rPr>
  </w:style>
  <w:style w:type="paragraph" w:customStyle="1" w:styleId="DeltaViewAnnounce">
    <w:name w:val="DeltaView Announce"/>
    <w:rsid w:val="00A84C16"/>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A84C16"/>
    <w:rPr>
      <w:b/>
      <w:i/>
      <w:spacing w:val="0"/>
    </w:rPr>
  </w:style>
  <w:style w:type="character" w:customStyle="1" w:styleId="DeltaViewDeletion">
    <w:name w:val="DeltaView Deletion"/>
    <w:rsid w:val="00A84C16"/>
    <w:rPr>
      <w:strike/>
      <w:spacing w:val="0"/>
    </w:rPr>
  </w:style>
  <w:style w:type="character" w:customStyle="1" w:styleId="DeltaViewMoveSource">
    <w:name w:val="DeltaView Move Source"/>
    <w:rsid w:val="00A84C16"/>
    <w:rPr>
      <w:strike/>
      <w:spacing w:val="0"/>
    </w:rPr>
  </w:style>
  <w:style w:type="character" w:customStyle="1" w:styleId="DeltaViewMoveDestination">
    <w:name w:val="DeltaView Move Destination"/>
    <w:rsid w:val="00A84C16"/>
    <w:rPr>
      <w:spacing w:val="0"/>
      <w:u w:val="double"/>
    </w:rPr>
  </w:style>
  <w:style w:type="character" w:customStyle="1" w:styleId="DeltaViewChangeNumber">
    <w:name w:val="DeltaView Change Number"/>
    <w:rsid w:val="00A84C16"/>
    <w:rPr>
      <w:color w:val="000000"/>
      <w:spacing w:val="0"/>
      <w:vertAlign w:val="superscript"/>
    </w:rPr>
  </w:style>
  <w:style w:type="character" w:customStyle="1" w:styleId="DeltaViewDelimiter">
    <w:name w:val="DeltaView Delimiter"/>
    <w:rsid w:val="00A84C16"/>
    <w:rPr>
      <w:spacing w:val="0"/>
    </w:rPr>
  </w:style>
  <w:style w:type="character" w:customStyle="1" w:styleId="DeltaViewFormatChange">
    <w:name w:val="DeltaView Format Change"/>
    <w:rsid w:val="00A84C16"/>
    <w:rPr>
      <w:color w:val="000000"/>
      <w:spacing w:val="0"/>
    </w:rPr>
  </w:style>
  <w:style w:type="character" w:customStyle="1" w:styleId="DeltaViewMovedDeletion">
    <w:name w:val="DeltaView Moved Deletion"/>
    <w:rsid w:val="00A84C16"/>
    <w:rPr>
      <w:strike/>
      <w:color w:val="C08080"/>
      <w:spacing w:val="0"/>
    </w:rPr>
  </w:style>
  <w:style w:type="character" w:customStyle="1" w:styleId="DeltaViewEditorComment">
    <w:name w:val="DeltaView Editor Comment"/>
    <w:basedOn w:val="DefaultParagraphFont"/>
    <w:rsid w:val="00A84C16"/>
    <w:rPr>
      <w:rFonts w:cs="Times New Roman"/>
      <w:color w:val="0000FF"/>
      <w:spacing w:val="0"/>
      <w:u w:val="double"/>
    </w:rPr>
  </w:style>
  <w:style w:type="character" w:customStyle="1" w:styleId="DeltaViewStyleChangeText">
    <w:name w:val="DeltaView Style Change Text"/>
    <w:rsid w:val="00A84C16"/>
    <w:rPr>
      <w:color w:val="000000"/>
      <w:spacing w:val="0"/>
      <w:u w:val="double"/>
    </w:rPr>
  </w:style>
  <w:style w:type="character" w:customStyle="1" w:styleId="DeltaViewStyleChangeLabel">
    <w:name w:val="DeltaView Style Change Label"/>
    <w:rsid w:val="00A84C16"/>
    <w:rPr>
      <w:color w:val="000000"/>
      <w:spacing w:val="0"/>
    </w:rPr>
  </w:style>
  <w:style w:type="character" w:customStyle="1" w:styleId="UnresolvedMention1">
    <w:name w:val="Unresolved Mention1"/>
    <w:basedOn w:val="DefaultParagraphFont"/>
    <w:uiPriority w:val="99"/>
    <w:semiHidden/>
    <w:unhideWhenUsed/>
    <w:rsid w:val="00A84C16"/>
    <w:rPr>
      <w:color w:val="605E5C"/>
      <w:shd w:val="clear" w:color="auto" w:fill="E1DFDD"/>
    </w:rPr>
  </w:style>
  <w:style w:type="character" w:customStyle="1" w:styleId="UnresolvedMention2">
    <w:name w:val="Unresolved Mention2"/>
    <w:basedOn w:val="DefaultParagraphFont"/>
    <w:uiPriority w:val="99"/>
    <w:semiHidden/>
    <w:unhideWhenUsed/>
    <w:rsid w:val="00A84C16"/>
    <w:rPr>
      <w:color w:val="605E5C"/>
      <w:shd w:val="clear" w:color="auto" w:fill="E1DFDD"/>
    </w:rPr>
  </w:style>
  <w:style w:type="paragraph" w:customStyle="1" w:styleId="ThetitleofAnnexIPoint0number">
    <w:name w:val="The title of Annex I Point 0 (number)"/>
    <w:basedOn w:val="Point0number"/>
    <w:rsid w:val="00A84C16"/>
    <w:pPr>
      <w:numPr>
        <w:numId w:val="1"/>
      </w:numPr>
    </w:pPr>
  </w:style>
  <w:style w:type="paragraph" w:customStyle="1" w:styleId="Part1isreplacedwiththefollowignPoint0number">
    <w:name w:val="Part 1 is replaced with the followign: Point 0 (number)"/>
    <w:basedOn w:val="Point0number"/>
    <w:rsid w:val="00A84C16"/>
    <w:pPr>
      <w:numPr>
        <w:numId w:val="0"/>
      </w:numPr>
      <w:tabs>
        <w:tab w:val="num" w:pos="360"/>
      </w:tabs>
      <w:ind w:left="360" w:hanging="360"/>
    </w:pPr>
  </w:style>
  <w:style w:type="paragraph" w:customStyle="1" w:styleId="PartPoint0number">
    <w:name w:val="PartPoint 0 (number)"/>
    <w:basedOn w:val="Point0number"/>
    <w:rsid w:val="00A84C16"/>
    <w:pPr>
      <w:numPr>
        <w:numId w:val="0"/>
      </w:numPr>
      <w:tabs>
        <w:tab w:val="num" w:pos="360"/>
      </w:tabs>
      <w:ind w:left="360" w:hanging="360"/>
    </w:pPr>
  </w:style>
  <w:style w:type="paragraph" w:customStyle="1" w:styleId="AnewPoint0number">
    <w:name w:val="A new Point 0 (number)"/>
    <w:basedOn w:val="Point0number"/>
    <w:rsid w:val="00A84C16"/>
    <w:pPr>
      <w:numPr>
        <w:numId w:val="0"/>
      </w:numPr>
      <w:tabs>
        <w:tab w:val="num" w:pos="360"/>
      </w:tabs>
      <w:ind w:left="360" w:hanging="360"/>
    </w:pPr>
    <w:rPr>
      <w:lang w:eastAsia="en-GB"/>
    </w:rPr>
  </w:style>
  <w:style w:type="paragraph" w:customStyle="1" w:styleId="LegalNumPar">
    <w:name w:val="LegalNumPar"/>
    <w:basedOn w:val="Normal"/>
    <w:rsid w:val="00A84C16"/>
    <w:pPr>
      <w:widowControl/>
      <w:numPr>
        <w:numId w:val="15"/>
      </w:numPr>
      <w:spacing w:before="120" w:after="120" w:line="360" w:lineRule="auto"/>
      <w:jc w:val="both"/>
    </w:pPr>
    <w:rPr>
      <w:rFonts w:eastAsiaTheme="minorHAnsi"/>
      <w:szCs w:val="22"/>
      <w:lang w:eastAsia="en-US"/>
    </w:rPr>
  </w:style>
  <w:style w:type="paragraph" w:customStyle="1" w:styleId="LegalNumPar2">
    <w:name w:val="LegalNumPar2"/>
    <w:basedOn w:val="Normal"/>
    <w:rsid w:val="00A84C16"/>
    <w:pPr>
      <w:widowControl/>
      <w:numPr>
        <w:ilvl w:val="1"/>
        <w:numId w:val="15"/>
      </w:numPr>
      <w:spacing w:before="120" w:after="120" w:line="360" w:lineRule="auto"/>
      <w:jc w:val="both"/>
    </w:pPr>
    <w:rPr>
      <w:rFonts w:eastAsiaTheme="minorHAnsi"/>
      <w:szCs w:val="22"/>
      <w:lang w:eastAsia="en-US"/>
    </w:rPr>
  </w:style>
  <w:style w:type="paragraph" w:customStyle="1" w:styleId="LegalNumPar3">
    <w:name w:val="LegalNumPar3"/>
    <w:basedOn w:val="Normal"/>
    <w:rsid w:val="00A84C16"/>
    <w:pPr>
      <w:widowControl/>
      <w:numPr>
        <w:ilvl w:val="2"/>
        <w:numId w:val="15"/>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A84C16"/>
    <w:rPr>
      <w:color w:val="605E5C"/>
      <w:shd w:val="clear" w:color="auto" w:fill="E1DFDD"/>
    </w:rPr>
  </w:style>
  <w:style w:type="paragraph" w:customStyle="1" w:styleId="title-gr-seq-level-1">
    <w:name w:val="title-gr-seq-level-1"/>
    <w:basedOn w:val="Normal"/>
    <w:rsid w:val="00A84C16"/>
    <w:pPr>
      <w:widowControl/>
      <w:spacing w:before="100" w:beforeAutospacing="1" w:after="100" w:afterAutospacing="1"/>
    </w:pPr>
    <w:rPr>
      <w:szCs w:val="24"/>
      <w:lang w:eastAsia="en-US"/>
    </w:rPr>
  </w:style>
  <w:style w:type="character" w:customStyle="1" w:styleId="boldface">
    <w:name w:val="boldface"/>
    <w:basedOn w:val="DefaultParagraphFont"/>
    <w:rsid w:val="00A84C16"/>
  </w:style>
  <w:style w:type="paragraph" w:customStyle="1" w:styleId="title-gr-seq-level-4">
    <w:name w:val="title-gr-seq-level-4"/>
    <w:basedOn w:val="Normal"/>
    <w:rsid w:val="00A84C16"/>
    <w:pPr>
      <w:widowControl/>
      <w:spacing w:before="100" w:beforeAutospacing="1" w:after="100" w:afterAutospacing="1"/>
    </w:pPr>
    <w:rPr>
      <w:szCs w:val="24"/>
      <w:lang w:eastAsia="en-US"/>
    </w:rPr>
  </w:style>
  <w:style w:type="paragraph" w:customStyle="1" w:styleId="norm">
    <w:name w:val="norm"/>
    <w:basedOn w:val="Normal"/>
    <w:rsid w:val="00A84C16"/>
    <w:pPr>
      <w:widowControl/>
      <w:spacing w:before="100" w:beforeAutospacing="1" w:after="100" w:afterAutospacing="1"/>
    </w:pPr>
    <w:rPr>
      <w:szCs w:val="24"/>
      <w:lang w:eastAsia="en-US"/>
    </w:rPr>
  </w:style>
  <w:style w:type="paragraph" w:customStyle="1" w:styleId="title-table">
    <w:name w:val="title-table"/>
    <w:basedOn w:val="Normal"/>
    <w:rsid w:val="00A84C16"/>
    <w:pPr>
      <w:widowControl/>
      <w:spacing w:before="100" w:beforeAutospacing="1" w:after="100" w:afterAutospacing="1"/>
    </w:pPr>
    <w:rPr>
      <w:szCs w:val="24"/>
      <w:lang w:eastAsia="en-US"/>
    </w:rPr>
  </w:style>
  <w:style w:type="character" w:customStyle="1" w:styleId="superscript">
    <w:name w:val="superscript"/>
    <w:basedOn w:val="DefaultParagraphFont"/>
    <w:rsid w:val="00A84C16"/>
  </w:style>
  <w:style w:type="paragraph" w:customStyle="1" w:styleId="tbl-norm">
    <w:name w:val="tbl-norm"/>
    <w:basedOn w:val="Normal"/>
    <w:rsid w:val="00A84C16"/>
    <w:pPr>
      <w:widowControl/>
      <w:spacing w:before="100" w:beforeAutospacing="1" w:after="100" w:afterAutospacing="1"/>
    </w:pPr>
    <w:rPr>
      <w:szCs w:val="24"/>
      <w:lang w:eastAsia="en-US"/>
    </w:rPr>
  </w:style>
  <w:style w:type="paragraph" w:customStyle="1" w:styleId="item-none">
    <w:name w:val="item-none"/>
    <w:basedOn w:val="Normal"/>
    <w:rsid w:val="00A84C16"/>
    <w:pPr>
      <w:widowControl/>
      <w:spacing w:before="100" w:beforeAutospacing="1" w:after="100" w:afterAutospacing="1"/>
    </w:pPr>
    <w:rPr>
      <w:szCs w:val="24"/>
      <w:lang w:eastAsia="en-US"/>
    </w:rPr>
  </w:style>
  <w:style w:type="paragraph" w:styleId="FootnoteText">
    <w:name w:val="footnote text"/>
    <w:basedOn w:val="Normal"/>
    <w:link w:val="FootnoteTextChar"/>
    <w:uiPriority w:val="99"/>
    <w:unhideWhenUsed/>
    <w:rsid w:val="00A84C16"/>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A84C16"/>
    <w:rPr>
      <w:rFonts w:eastAsiaTheme="minorHAnsi"/>
      <w:lang w:val="lv-LV" w:eastAsia="en-US"/>
    </w:rPr>
  </w:style>
  <w:style w:type="paragraph" w:styleId="TOC4">
    <w:name w:val="toc 4"/>
    <w:basedOn w:val="Normal"/>
    <w:next w:val="Normal"/>
    <w:uiPriority w:val="39"/>
    <w:unhideWhenUsed/>
    <w:rsid w:val="00A84C16"/>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A84C16"/>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A84C16"/>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A84C16"/>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A84C16"/>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A84C16"/>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A84C16"/>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A84C16"/>
    <w:pPr>
      <w:widowControl/>
      <w:tabs>
        <w:tab w:val="center" w:pos="7285"/>
        <w:tab w:val="center" w:pos="10913"/>
        <w:tab w:val="right" w:pos="15137"/>
      </w:tabs>
      <w:spacing w:before="360"/>
      <w:ind w:left="-567" w:right="-567"/>
    </w:pPr>
    <w:rPr>
      <w:rFonts w:eastAsiaTheme="minorHAnsi"/>
      <w:szCs w:val="22"/>
      <w:lang w:eastAsia="en-US"/>
    </w:rPr>
  </w:style>
  <w:style w:type="character" w:styleId="FootnoteReference">
    <w:name w:val="footnote reference"/>
    <w:basedOn w:val="DefaultParagraphFont"/>
    <w:uiPriority w:val="99"/>
    <w:unhideWhenUsed/>
    <w:rsid w:val="00A84C16"/>
    <w:rPr>
      <w:shd w:val="clear" w:color="auto" w:fill="auto"/>
      <w:vertAlign w:val="superscript"/>
    </w:rPr>
  </w:style>
  <w:style w:type="paragraph" w:customStyle="1" w:styleId="HeaderSensitivity">
    <w:name w:val="Header Sensitivity"/>
    <w:basedOn w:val="Normal"/>
    <w:rsid w:val="00A84C16"/>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A84C16"/>
    <w:pPr>
      <w:widowControl/>
      <w:spacing w:after="120"/>
      <w:jc w:val="right"/>
    </w:pPr>
    <w:rPr>
      <w:rFonts w:eastAsiaTheme="minorHAnsi"/>
      <w:sz w:val="28"/>
      <w:szCs w:val="22"/>
      <w:lang w:eastAsia="en-US"/>
    </w:rPr>
  </w:style>
  <w:style w:type="paragraph" w:customStyle="1" w:styleId="FooterSensitivity">
    <w:name w:val="Footer Sensitivity"/>
    <w:basedOn w:val="Normal"/>
    <w:rsid w:val="00A84C16"/>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A84C16"/>
    <w:pPr>
      <w:widowControl/>
      <w:spacing w:before="120" w:after="120"/>
      <w:ind w:left="850"/>
      <w:jc w:val="both"/>
    </w:pPr>
    <w:rPr>
      <w:rFonts w:eastAsiaTheme="minorHAnsi"/>
      <w:szCs w:val="22"/>
      <w:lang w:eastAsia="en-US"/>
    </w:rPr>
  </w:style>
  <w:style w:type="paragraph" w:customStyle="1" w:styleId="Text2">
    <w:name w:val="Text 2"/>
    <w:basedOn w:val="Normal"/>
    <w:rsid w:val="00A84C16"/>
    <w:pPr>
      <w:widowControl/>
      <w:spacing w:before="120" w:after="120"/>
      <w:ind w:left="1417"/>
      <w:jc w:val="both"/>
    </w:pPr>
    <w:rPr>
      <w:rFonts w:eastAsiaTheme="minorHAnsi"/>
      <w:szCs w:val="22"/>
      <w:lang w:eastAsia="en-US"/>
    </w:rPr>
  </w:style>
  <w:style w:type="paragraph" w:customStyle="1" w:styleId="Text3">
    <w:name w:val="Text 3"/>
    <w:basedOn w:val="Normal"/>
    <w:rsid w:val="00A84C16"/>
    <w:pPr>
      <w:widowControl/>
      <w:spacing w:before="120" w:after="120"/>
      <w:ind w:left="1984"/>
      <w:jc w:val="both"/>
    </w:pPr>
    <w:rPr>
      <w:rFonts w:eastAsiaTheme="minorHAnsi"/>
      <w:szCs w:val="22"/>
      <w:lang w:eastAsia="en-US"/>
    </w:rPr>
  </w:style>
  <w:style w:type="paragraph" w:customStyle="1" w:styleId="Text4">
    <w:name w:val="Text 4"/>
    <w:basedOn w:val="Normal"/>
    <w:rsid w:val="00A84C16"/>
    <w:pPr>
      <w:widowControl/>
      <w:spacing w:before="120" w:after="120"/>
      <w:ind w:left="2551"/>
      <w:jc w:val="both"/>
    </w:pPr>
    <w:rPr>
      <w:rFonts w:eastAsiaTheme="minorHAnsi"/>
      <w:szCs w:val="22"/>
      <w:lang w:eastAsia="en-US"/>
    </w:rPr>
  </w:style>
  <w:style w:type="paragraph" w:customStyle="1" w:styleId="Text5">
    <w:name w:val="Text 5"/>
    <w:basedOn w:val="Normal"/>
    <w:rsid w:val="00A84C16"/>
    <w:pPr>
      <w:widowControl/>
      <w:spacing w:before="120" w:after="120"/>
      <w:ind w:left="3118"/>
      <w:jc w:val="both"/>
    </w:pPr>
    <w:rPr>
      <w:rFonts w:eastAsiaTheme="minorHAnsi"/>
      <w:szCs w:val="22"/>
      <w:lang w:eastAsia="en-US"/>
    </w:rPr>
  </w:style>
  <w:style w:type="paragraph" w:customStyle="1" w:styleId="Text6">
    <w:name w:val="Text 6"/>
    <w:basedOn w:val="Normal"/>
    <w:rsid w:val="00A84C16"/>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A84C16"/>
    <w:pPr>
      <w:widowControl/>
      <w:spacing w:before="120" w:after="120"/>
      <w:jc w:val="center"/>
    </w:pPr>
    <w:rPr>
      <w:rFonts w:eastAsiaTheme="minorHAnsi"/>
      <w:szCs w:val="22"/>
      <w:lang w:eastAsia="en-US"/>
    </w:rPr>
  </w:style>
  <w:style w:type="paragraph" w:customStyle="1" w:styleId="NormalLeft">
    <w:name w:val="Normal Left"/>
    <w:basedOn w:val="Normal"/>
    <w:rsid w:val="00A84C16"/>
    <w:pPr>
      <w:widowControl/>
      <w:spacing w:before="120" w:after="120"/>
    </w:pPr>
    <w:rPr>
      <w:rFonts w:eastAsiaTheme="minorHAnsi"/>
      <w:szCs w:val="22"/>
      <w:lang w:eastAsia="en-US"/>
    </w:rPr>
  </w:style>
  <w:style w:type="paragraph" w:customStyle="1" w:styleId="NormalRight">
    <w:name w:val="Normal Right"/>
    <w:basedOn w:val="Normal"/>
    <w:rsid w:val="00A84C16"/>
    <w:pPr>
      <w:widowControl/>
      <w:spacing w:before="120" w:after="120"/>
      <w:jc w:val="right"/>
    </w:pPr>
    <w:rPr>
      <w:rFonts w:eastAsiaTheme="minorHAnsi"/>
      <w:szCs w:val="22"/>
      <w:lang w:eastAsia="en-US"/>
    </w:rPr>
  </w:style>
  <w:style w:type="paragraph" w:customStyle="1" w:styleId="QuotedText">
    <w:name w:val="Quoted Text"/>
    <w:basedOn w:val="Normal"/>
    <w:rsid w:val="00A84C16"/>
    <w:pPr>
      <w:widowControl/>
      <w:spacing w:before="120" w:after="120"/>
      <w:ind w:left="1417"/>
      <w:jc w:val="both"/>
    </w:pPr>
    <w:rPr>
      <w:rFonts w:eastAsiaTheme="minorHAnsi"/>
      <w:szCs w:val="22"/>
      <w:lang w:eastAsia="en-US"/>
    </w:rPr>
  </w:style>
  <w:style w:type="paragraph" w:customStyle="1" w:styleId="Point0">
    <w:name w:val="Point 0"/>
    <w:basedOn w:val="Normal"/>
    <w:rsid w:val="00A84C16"/>
    <w:pPr>
      <w:widowControl/>
      <w:spacing w:before="120" w:after="120"/>
      <w:ind w:left="850" w:hanging="850"/>
      <w:jc w:val="both"/>
    </w:pPr>
    <w:rPr>
      <w:rFonts w:eastAsiaTheme="minorHAnsi"/>
      <w:szCs w:val="22"/>
      <w:lang w:eastAsia="en-US"/>
    </w:rPr>
  </w:style>
  <w:style w:type="paragraph" w:customStyle="1" w:styleId="Point1">
    <w:name w:val="Point 1"/>
    <w:basedOn w:val="Normal"/>
    <w:rsid w:val="00A84C1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84C16"/>
    <w:pPr>
      <w:widowControl/>
      <w:spacing w:before="120" w:after="120"/>
      <w:ind w:left="1984" w:hanging="567"/>
      <w:jc w:val="both"/>
    </w:pPr>
    <w:rPr>
      <w:rFonts w:eastAsiaTheme="minorHAnsi"/>
      <w:szCs w:val="22"/>
      <w:lang w:eastAsia="en-US"/>
    </w:rPr>
  </w:style>
  <w:style w:type="paragraph" w:customStyle="1" w:styleId="Point3">
    <w:name w:val="Point 3"/>
    <w:basedOn w:val="Normal"/>
    <w:rsid w:val="00A84C16"/>
    <w:pPr>
      <w:widowControl/>
      <w:spacing w:before="120" w:after="120"/>
      <w:ind w:left="2551" w:hanging="567"/>
      <w:jc w:val="both"/>
    </w:pPr>
    <w:rPr>
      <w:rFonts w:eastAsiaTheme="minorHAnsi"/>
      <w:szCs w:val="22"/>
      <w:lang w:eastAsia="en-US"/>
    </w:rPr>
  </w:style>
  <w:style w:type="paragraph" w:customStyle="1" w:styleId="Point4">
    <w:name w:val="Point 4"/>
    <w:basedOn w:val="Normal"/>
    <w:rsid w:val="00A84C16"/>
    <w:pPr>
      <w:widowControl/>
      <w:spacing w:before="120" w:after="120"/>
      <w:ind w:left="3118" w:hanging="567"/>
      <w:jc w:val="both"/>
    </w:pPr>
    <w:rPr>
      <w:rFonts w:eastAsiaTheme="minorHAnsi"/>
      <w:szCs w:val="22"/>
      <w:lang w:eastAsia="en-US"/>
    </w:rPr>
  </w:style>
  <w:style w:type="paragraph" w:customStyle="1" w:styleId="Point5">
    <w:name w:val="Point 5"/>
    <w:basedOn w:val="Normal"/>
    <w:rsid w:val="00A84C16"/>
    <w:pPr>
      <w:widowControl/>
      <w:spacing w:before="120" w:after="120"/>
      <w:ind w:left="3685" w:hanging="567"/>
      <w:jc w:val="both"/>
    </w:pPr>
    <w:rPr>
      <w:rFonts w:eastAsiaTheme="minorHAnsi"/>
      <w:szCs w:val="22"/>
      <w:lang w:eastAsia="en-US"/>
    </w:rPr>
  </w:style>
  <w:style w:type="paragraph" w:customStyle="1" w:styleId="Tiret0">
    <w:name w:val="Tiret 0"/>
    <w:basedOn w:val="Point0"/>
    <w:rsid w:val="00A84C16"/>
    <w:pPr>
      <w:numPr>
        <w:numId w:val="16"/>
      </w:numPr>
    </w:pPr>
  </w:style>
  <w:style w:type="paragraph" w:customStyle="1" w:styleId="Tiret1">
    <w:name w:val="Tiret 1"/>
    <w:basedOn w:val="Point1"/>
    <w:rsid w:val="00A84C16"/>
    <w:pPr>
      <w:numPr>
        <w:numId w:val="17"/>
      </w:numPr>
    </w:pPr>
  </w:style>
  <w:style w:type="paragraph" w:customStyle="1" w:styleId="Tiret2">
    <w:name w:val="Tiret 2"/>
    <w:basedOn w:val="Point2"/>
    <w:rsid w:val="00A84C16"/>
    <w:pPr>
      <w:numPr>
        <w:numId w:val="18"/>
      </w:numPr>
    </w:pPr>
  </w:style>
  <w:style w:type="paragraph" w:customStyle="1" w:styleId="Tiret3">
    <w:name w:val="Tiret 3"/>
    <w:basedOn w:val="Point3"/>
    <w:rsid w:val="00A84C16"/>
    <w:pPr>
      <w:numPr>
        <w:numId w:val="19"/>
      </w:numPr>
    </w:pPr>
  </w:style>
  <w:style w:type="paragraph" w:customStyle="1" w:styleId="Tiret4">
    <w:name w:val="Tiret 4"/>
    <w:basedOn w:val="Point4"/>
    <w:rsid w:val="00A84C16"/>
    <w:pPr>
      <w:numPr>
        <w:numId w:val="20"/>
      </w:numPr>
    </w:pPr>
  </w:style>
  <w:style w:type="paragraph" w:customStyle="1" w:styleId="Tiret5">
    <w:name w:val="Tiret 5"/>
    <w:basedOn w:val="Point5"/>
    <w:rsid w:val="00A84C16"/>
    <w:pPr>
      <w:numPr>
        <w:numId w:val="21"/>
      </w:numPr>
    </w:pPr>
  </w:style>
  <w:style w:type="paragraph" w:customStyle="1" w:styleId="PointDouble0">
    <w:name w:val="PointDouble 0"/>
    <w:basedOn w:val="Normal"/>
    <w:rsid w:val="00A84C16"/>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A84C16"/>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A84C16"/>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A84C16"/>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A84C16"/>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A84C16"/>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A84C16"/>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A84C16"/>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A84C16"/>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A84C16"/>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A84C16"/>
    <w:pPr>
      <w:widowControl/>
      <w:numPr>
        <w:numId w:val="22"/>
      </w:numPr>
      <w:spacing w:before="120" w:after="120"/>
      <w:jc w:val="both"/>
    </w:pPr>
    <w:rPr>
      <w:rFonts w:eastAsiaTheme="minorHAnsi"/>
      <w:szCs w:val="22"/>
      <w:lang w:eastAsia="en-US"/>
    </w:rPr>
  </w:style>
  <w:style w:type="paragraph" w:customStyle="1" w:styleId="NumPar2">
    <w:name w:val="NumPar 2"/>
    <w:basedOn w:val="Normal"/>
    <w:next w:val="Text1"/>
    <w:rsid w:val="00A84C16"/>
    <w:pPr>
      <w:widowControl/>
      <w:numPr>
        <w:ilvl w:val="1"/>
        <w:numId w:val="22"/>
      </w:numPr>
      <w:spacing w:before="120" w:after="120"/>
      <w:jc w:val="both"/>
    </w:pPr>
    <w:rPr>
      <w:rFonts w:eastAsiaTheme="minorHAnsi"/>
      <w:szCs w:val="22"/>
      <w:lang w:eastAsia="en-US"/>
    </w:rPr>
  </w:style>
  <w:style w:type="paragraph" w:customStyle="1" w:styleId="NumPar3">
    <w:name w:val="NumPar 3"/>
    <w:basedOn w:val="Normal"/>
    <w:next w:val="Text1"/>
    <w:rsid w:val="00A84C16"/>
    <w:pPr>
      <w:widowControl/>
      <w:numPr>
        <w:ilvl w:val="2"/>
        <w:numId w:val="22"/>
      </w:numPr>
      <w:spacing w:before="120" w:after="120"/>
      <w:jc w:val="both"/>
    </w:pPr>
    <w:rPr>
      <w:rFonts w:eastAsiaTheme="minorHAnsi"/>
      <w:szCs w:val="22"/>
      <w:lang w:eastAsia="en-US"/>
    </w:rPr>
  </w:style>
  <w:style w:type="paragraph" w:customStyle="1" w:styleId="NumPar4">
    <w:name w:val="NumPar 4"/>
    <w:basedOn w:val="Normal"/>
    <w:next w:val="Text1"/>
    <w:rsid w:val="00A84C16"/>
    <w:pPr>
      <w:widowControl/>
      <w:numPr>
        <w:ilvl w:val="3"/>
        <w:numId w:val="22"/>
      </w:numPr>
      <w:spacing w:before="120" w:after="120"/>
      <w:jc w:val="both"/>
    </w:pPr>
    <w:rPr>
      <w:rFonts w:eastAsiaTheme="minorHAnsi"/>
      <w:szCs w:val="22"/>
      <w:lang w:eastAsia="en-US"/>
    </w:rPr>
  </w:style>
  <w:style w:type="paragraph" w:customStyle="1" w:styleId="NumPar5">
    <w:name w:val="NumPar 5"/>
    <w:basedOn w:val="Normal"/>
    <w:next w:val="Text2"/>
    <w:rsid w:val="00A84C16"/>
    <w:pPr>
      <w:widowControl/>
      <w:numPr>
        <w:ilvl w:val="4"/>
        <w:numId w:val="22"/>
      </w:numPr>
      <w:spacing w:before="120" w:after="120"/>
      <w:jc w:val="both"/>
    </w:pPr>
    <w:rPr>
      <w:rFonts w:eastAsiaTheme="minorHAnsi"/>
      <w:szCs w:val="22"/>
      <w:lang w:eastAsia="en-US"/>
    </w:rPr>
  </w:style>
  <w:style w:type="paragraph" w:customStyle="1" w:styleId="NumPar6">
    <w:name w:val="NumPar 6"/>
    <w:basedOn w:val="Normal"/>
    <w:next w:val="Text2"/>
    <w:rsid w:val="00A84C16"/>
    <w:pPr>
      <w:widowControl/>
      <w:numPr>
        <w:ilvl w:val="5"/>
        <w:numId w:val="22"/>
      </w:numPr>
      <w:spacing w:before="120" w:after="120"/>
      <w:jc w:val="both"/>
    </w:pPr>
    <w:rPr>
      <w:rFonts w:eastAsiaTheme="minorHAnsi"/>
      <w:szCs w:val="22"/>
      <w:lang w:eastAsia="en-US"/>
    </w:rPr>
  </w:style>
  <w:style w:type="paragraph" w:customStyle="1" w:styleId="NumPar7">
    <w:name w:val="NumPar 7"/>
    <w:basedOn w:val="Normal"/>
    <w:next w:val="Text2"/>
    <w:rsid w:val="00A84C16"/>
    <w:pPr>
      <w:widowControl/>
      <w:numPr>
        <w:ilvl w:val="6"/>
        <w:numId w:val="22"/>
      </w:numPr>
      <w:spacing w:before="120" w:after="120"/>
      <w:jc w:val="both"/>
    </w:pPr>
    <w:rPr>
      <w:rFonts w:eastAsiaTheme="minorHAnsi"/>
      <w:szCs w:val="22"/>
      <w:lang w:eastAsia="en-US"/>
    </w:rPr>
  </w:style>
  <w:style w:type="paragraph" w:customStyle="1" w:styleId="ManualNumPar1">
    <w:name w:val="Manual NumPar 1"/>
    <w:basedOn w:val="Normal"/>
    <w:next w:val="Text1"/>
    <w:rsid w:val="00A84C16"/>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A84C16"/>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A84C16"/>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A84C16"/>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A84C16"/>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A84C16"/>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A84C16"/>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A84C16"/>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A84C16"/>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A84C1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A84C16"/>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A84C16"/>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A84C16"/>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A84C16"/>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A84C16"/>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A84C16"/>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A84C16"/>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A84C16"/>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A84C16"/>
    <w:pPr>
      <w:widowControl/>
      <w:spacing w:before="120" w:after="120"/>
      <w:jc w:val="center"/>
    </w:pPr>
    <w:rPr>
      <w:rFonts w:eastAsiaTheme="minorHAnsi"/>
      <w:b/>
      <w:szCs w:val="22"/>
      <w:lang w:eastAsia="en-US"/>
    </w:rPr>
  </w:style>
  <w:style w:type="character" w:customStyle="1" w:styleId="Marker">
    <w:name w:val="Marker"/>
    <w:basedOn w:val="DefaultParagraphFont"/>
    <w:rsid w:val="00A84C16"/>
    <w:rPr>
      <w:color w:val="0000FF"/>
      <w:shd w:val="clear" w:color="auto" w:fill="auto"/>
    </w:rPr>
  </w:style>
  <w:style w:type="character" w:customStyle="1" w:styleId="Marker1">
    <w:name w:val="Marker1"/>
    <w:basedOn w:val="DefaultParagraphFont"/>
    <w:rsid w:val="00A84C16"/>
    <w:rPr>
      <w:color w:val="008000"/>
      <w:shd w:val="clear" w:color="auto" w:fill="auto"/>
    </w:rPr>
  </w:style>
  <w:style w:type="character" w:customStyle="1" w:styleId="Marker2">
    <w:name w:val="Marker2"/>
    <w:basedOn w:val="DefaultParagraphFont"/>
    <w:rsid w:val="00A84C16"/>
    <w:rPr>
      <w:color w:val="FF0000"/>
      <w:shd w:val="clear" w:color="auto" w:fill="auto"/>
    </w:rPr>
  </w:style>
  <w:style w:type="paragraph" w:customStyle="1" w:styleId="Bullet0">
    <w:name w:val="Bullet 0"/>
    <w:basedOn w:val="Normal"/>
    <w:rsid w:val="00A84C16"/>
    <w:pPr>
      <w:widowControl/>
      <w:numPr>
        <w:numId w:val="23"/>
      </w:numPr>
      <w:spacing w:before="120" w:after="120"/>
      <w:jc w:val="both"/>
    </w:pPr>
    <w:rPr>
      <w:rFonts w:eastAsiaTheme="minorHAnsi"/>
      <w:szCs w:val="22"/>
      <w:lang w:eastAsia="en-US"/>
    </w:rPr>
  </w:style>
  <w:style w:type="paragraph" w:customStyle="1" w:styleId="Bullet1">
    <w:name w:val="Bullet 1"/>
    <w:basedOn w:val="Normal"/>
    <w:rsid w:val="00A84C16"/>
    <w:pPr>
      <w:widowControl/>
      <w:numPr>
        <w:numId w:val="24"/>
      </w:numPr>
      <w:spacing w:before="120" w:after="120"/>
      <w:jc w:val="both"/>
    </w:pPr>
    <w:rPr>
      <w:rFonts w:eastAsiaTheme="minorHAnsi"/>
      <w:szCs w:val="22"/>
      <w:lang w:eastAsia="en-US"/>
    </w:rPr>
  </w:style>
  <w:style w:type="paragraph" w:customStyle="1" w:styleId="Bullet2">
    <w:name w:val="Bullet 2"/>
    <w:basedOn w:val="Normal"/>
    <w:rsid w:val="00A84C16"/>
    <w:pPr>
      <w:widowControl/>
      <w:numPr>
        <w:numId w:val="25"/>
      </w:numPr>
      <w:spacing w:before="120" w:after="120"/>
      <w:jc w:val="both"/>
    </w:pPr>
    <w:rPr>
      <w:rFonts w:eastAsiaTheme="minorHAnsi"/>
      <w:szCs w:val="22"/>
      <w:lang w:eastAsia="en-US"/>
    </w:rPr>
  </w:style>
  <w:style w:type="paragraph" w:customStyle="1" w:styleId="Bullet3">
    <w:name w:val="Bullet 3"/>
    <w:basedOn w:val="Normal"/>
    <w:rsid w:val="00A84C16"/>
    <w:pPr>
      <w:widowControl/>
      <w:numPr>
        <w:numId w:val="26"/>
      </w:numPr>
      <w:spacing w:before="120" w:after="120"/>
      <w:jc w:val="both"/>
    </w:pPr>
    <w:rPr>
      <w:rFonts w:eastAsiaTheme="minorHAnsi"/>
      <w:szCs w:val="22"/>
      <w:lang w:eastAsia="en-US"/>
    </w:rPr>
  </w:style>
  <w:style w:type="paragraph" w:customStyle="1" w:styleId="Bullet4">
    <w:name w:val="Bullet 4"/>
    <w:basedOn w:val="Normal"/>
    <w:rsid w:val="00A84C16"/>
    <w:pPr>
      <w:widowControl/>
      <w:numPr>
        <w:numId w:val="27"/>
      </w:numPr>
      <w:spacing w:before="120" w:after="120"/>
      <w:jc w:val="both"/>
    </w:pPr>
    <w:rPr>
      <w:rFonts w:eastAsiaTheme="minorHAnsi"/>
      <w:szCs w:val="22"/>
      <w:lang w:eastAsia="en-US"/>
    </w:rPr>
  </w:style>
  <w:style w:type="paragraph" w:customStyle="1" w:styleId="Langue">
    <w:name w:val="Langue"/>
    <w:basedOn w:val="Normal"/>
    <w:next w:val="Rfrenceinterne"/>
    <w:rsid w:val="00A84C16"/>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A84C16"/>
    <w:pPr>
      <w:widowControl/>
    </w:pPr>
    <w:rPr>
      <w:rFonts w:ascii="Arial" w:eastAsiaTheme="minorHAnsi" w:hAnsi="Arial" w:cs="Arial"/>
      <w:szCs w:val="22"/>
      <w:lang w:eastAsia="en-US"/>
    </w:rPr>
  </w:style>
  <w:style w:type="paragraph" w:customStyle="1" w:styleId="Emission">
    <w:name w:val="Emission"/>
    <w:basedOn w:val="Normal"/>
    <w:next w:val="Rfrenceinstitutionnelle"/>
    <w:rsid w:val="00A84C16"/>
    <w:pPr>
      <w:widowControl/>
      <w:ind w:left="5103"/>
    </w:pPr>
    <w:rPr>
      <w:rFonts w:eastAsiaTheme="minorHAnsi"/>
      <w:szCs w:val="22"/>
      <w:lang w:eastAsia="en-US"/>
    </w:rPr>
  </w:style>
  <w:style w:type="paragraph" w:customStyle="1" w:styleId="Pagedecouverture">
    <w:name w:val="Page de couverture"/>
    <w:basedOn w:val="Normal"/>
    <w:next w:val="Normal"/>
    <w:rsid w:val="00A84C16"/>
    <w:pPr>
      <w:widowControl/>
      <w:jc w:val="both"/>
    </w:pPr>
    <w:rPr>
      <w:rFonts w:eastAsiaTheme="minorHAnsi"/>
      <w:szCs w:val="22"/>
      <w:lang w:eastAsia="en-US"/>
    </w:rPr>
  </w:style>
  <w:style w:type="paragraph" w:customStyle="1" w:styleId="Declassification">
    <w:name w:val="Declassification"/>
    <w:basedOn w:val="Normal"/>
    <w:next w:val="Normal"/>
    <w:rsid w:val="00A84C16"/>
    <w:pPr>
      <w:widowControl/>
      <w:jc w:val="both"/>
    </w:pPr>
    <w:rPr>
      <w:rFonts w:eastAsiaTheme="minorHAnsi"/>
      <w:szCs w:val="22"/>
      <w:lang w:eastAsia="en-US"/>
    </w:rPr>
  </w:style>
  <w:style w:type="paragraph" w:customStyle="1" w:styleId="Disclaimer">
    <w:name w:val="Disclaimer"/>
    <w:basedOn w:val="Normal"/>
    <w:rsid w:val="00A84C1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A84C16"/>
    <w:pPr>
      <w:widowControl/>
      <w:spacing w:line="276" w:lineRule="auto"/>
      <w:ind w:left="5103"/>
    </w:pPr>
    <w:rPr>
      <w:rFonts w:eastAsiaTheme="minorHAnsi"/>
      <w:sz w:val="28"/>
      <w:szCs w:val="22"/>
      <w:lang w:eastAsia="en-US"/>
    </w:rPr>
  </w:style>
  <w:style w:type="paragraph" w:customStyle="1" w:styleId="DateMarking">
    <w:name w:val="DateMarking"/>
    <w:basedOn w:val="Normal"/>
    <w:rsid w:val="00A84C16"/>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A84C16"/>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A84C16"/>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A84C16"/>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A84C16"/>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A84C16"/>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A84C16"/>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A84C16"/>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A84C16"/>
    <w:pPr>
      <w:widowControl/>
      <w:spacing w:after="240"/>
    </w:pPr>
    <w:rPr>
      <w:rFonts w:eastAsiaTheme="minorHAnsi"/>
      <w:szCs w:val="22"/>
      <w:lang w:eastAsia="en-US"/>
    </w:rPr>
  </w:style>
  <w:style w:type="paragraph" w:customStyle="1" w:styleId="Datedadoption">
    <w:name w:val="Date d'adoption"/>
    <w:basedOn w:val="Normal"/>
    <w:next w:val="IntrtEEE"/>
    <w:rsid w:val="00A84C16"/>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A84C16"/>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A84C16"/>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84C16"/>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84C16"/>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A84C16"/>
    <w:pPr>
      <w:widowControl/>
      <w:ind w:left="5103"/>
    </w:pPr>
    <w:rPr>
      <w:rFonts w:eastAsiaTheme="minorHAnsi"/>
      <w:szCs w:val="22"/>
      <w:lang w:eastAsia="en-US"/>
    </w:rPr>
  </w:style>
  <w:style w:type="paragraph" w:customStyle="1" w:styleId="Titrearticle">
    <w:name w:val="Titre article"/>
    <w:basedOn w:val="Normal"/>
    <w:next w:val="Normal"/>
    <w:rsid w:val="00A84C16"/>
    <w:pPr>
      <w:keepNext/>
      <w:widowControl/>
      <w:spacing w:before="360" w:after="120"/>
      <w:jc w:val="center"/>
    </w:pPr>
    <w:rPr>
      <w:rFonts w:eastAsiaTheme="minorHAnsi"/>
      <w:i/>
      <w:szCs w:val="22"/>
      <w:lang w:eastAsia="en-US"/>
    </w:rPr>
  </w:style>
  <w:style w:type="character" w:customStyle="1" w:styleId="Added">
    <w:name w:val="Added"/>
    <w:basedOn w:val="DefaultParagraphFont"/>
    <w:rsid w:val="00A84C16"/>
    <w:rPr>
      <w:b/>
      <w:u w:val="single"/>
      <w:shd w:val="clear" w:color="auto" w:fill="auto"/>
    </w:rPr>
  </w:style>
  <w:style w:type="character" w:customStyle="1" w:styleId="Deleted">
    <w:name w:val="Deleted"/>
    <w:basedOn w:val="DefaultParagraphFont"/>
    <w:rsid w:val="00A84C16"/>
    <w:rPr>
      <w:strike/>
      <w:dstrike w:val="0"/>
      <w:shd w:val="clear" w:color="auto" w:fill="auto"/>
    </w:rPr>
  </w:style>
  <w:style w:type="paragraph" w:customStyle="1" w:styleId="Address">
    <w:name w:val="Address"/>
    <w:basedOn w:val="Normal"/>
    <w:next w:val="Normal"/>
    <w:rsid w:val="00A84C16"/>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A84C16"/>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A84C16"/>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A84C16"/>
    <w:pPr>
      <w:widowControl/>
      <w:spacing w:before="360"/>
      <w:jc w:val="center"/>
    </w:pPr>
    <w:rPr>
      <w:rFonts w:eastAsiaTheme="minorHAnsi"/>
      <w:szCs w:val="22"/>
      <w:lang w:eastAsia="en-US"/>
    </w:rPr>
  </w:style>
  <w:style w:type="paragraph" w:customStyle="1" w:styleId="Rfrencecroise">
    <w:name w:val="Référence croisée"/>
    <w:basedOn w:val="Normal"/>
    <w:rsid w:val="00A84C16"/>
    <w:pPr>
      <w:widowControl/>
      <w:jc w:val="center"/>
    </w:pPr>
    <w:rPr>
      <w:rFonts w:eastAsiaTheme="minorHAnsi"/>
      <w:szCs w:val="22"/>
      <w:lang w:eastAsia="en-US"/>
    </w:rPr>
  </w:style>
  <w:style w:type="paragraph" w:customStyle="1" w:styleId="Fichefinanciretitre">
    <w:name w:val="Fiche financière titre"/>
    <w:basedOn w:val="Normal"/>
    <w:next w:val="Normal"/>
    <w:rsid w:val="00A84C16"/>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A84C16"/>
  </w:style>
  <w:style w:type="paragraph" w:customStyle="1" w:styleId="RfrenceinterinstitutionnellePagedecouverture">
    <w:name w:val="Référence interinstitutionnelle (Page de couverture)"/>
    <w:basedOn w:val="Rfrenceinterinstitutionnelle"/>
    <w:next w:val="Confidentialit"/>
    <w:rsid w:val="00A84C16"/>
  </w:style>
  <w:style w:type="paragraph" w:customStyle="1" w:styleId="StatutPagedecouverture">
    <w:name w:val="Statut (Page de couverture)"/>
    <w:basedOn w:val="Statut"/>
    <w:next w:val="TypedudocumentPagedecouverture"/>
    <w:rsid w:val="00A84C16"/>
    <w:pPr>
      <w:spacing w:before="0" w:after="240" w:line="240" w:lineRule="auto"/>
    </w:pPr>
    <w:rPr>
      <w:rFonts w:eastAsiaTheme="minorHAnsi"/>
      <w:szCs w:val="22"/>
      <w:lang w:val="lv-LV"/>
    </w:rPr>
  </w:style>
  <w:style w:type="paragraph" w:customStyle="1" w:styleId="TypedudocumentPagedecouverture">
    <w:name w:val="Type du document (Page de couverture)"/>
    <w:basedOn w:val="Typedudocument"/>
    <w:next w:val="AccompagnantPagedecouverture"/>
    <w:rsid w:val="00A84C16"/>
    <w:pPr>
      <w:spacing w:after="180" w:line="240" w:lineRule="auto"/>
    </w:pPr>
    <w:rPr>
      <w:rFonts w:eastAsiaTheme="minorHAnsi"/>
      <w:szCs w:val="22"/>
      <w:lang w:val="lv-LV"/>
    </w:rPr>
  </w:style>
  <w:style w:type="paragraph" w:customStyle="1" w:styleId="Volume">
    <w:name w:val="Volume"/>
    <w:basedOn w:val="Normal"/>
    <w:next w:val="Confidentialit"/>
    <w:rsid w:val="00A84C16"/>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A84C16"/>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A84C16"/>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A84C16"/>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A84C16"/>
    <w:pPr>
      <w:spacing w:line="240" w:lineRule="auto"/>
    </w:pPr>
    <w:rPr>
      <w:rFonts w:eastAsiaTheme="minorHAnsi"/>
      <w:szCs w:val="22"/>
      <w:lang w:val="lv-LV"/>
    </w:rPr>
  </w:style>
  <w:style w:type="paragraph" w:customStyle="1" w:styleId="AccompagnantPagedecouverture">
    <w:name w:val="Accompagnant (Page de couverture)"/>
    <w:basedOn w:val="Accompagnant"/>
    <w:next w:val="TypeacteprincipalPagedecouverture"/>
    <w:rsid w:val="00A84C16"/>
  </w:style>
  <w:style w:type="paragraph" w:customStyle="1" w:styleId="TypeacteprincipalPagedecouverture">
    <w:name w:val="Type acte principal (Page de couverture)"/>
    <w:basedOn w:val="Typeacteprincipal"/>
    <w:next w:val="ObjetacteprincipalPagedecouverture"/>
    <w:rsid w:val="00A84C16"/>
  </w:style>
  <w:style w:type="paragraph" w:customStyle="1" w:styleId="ObjetacteprincipalPagedecouverture">
    <w:name w:val="Objet acte principal (Page de couverture)"/>
    <w:basedOn w:val="Objetacteprincipal"/>
    <w:next w:val="Rfrencecroise"/>
    <w:rsid w:val="00A84C16"/>
  </w:style>
  <w:style w:type="paragraph" w:customStyle="1" w:styleId="LanguesfaisantfoiPagedecouverture">
    <w:name w:val="Langues faisant foi (Page de couverture)"/>
    <w:basedOn w:val="Normal"/>
    <w:next w:val="Normal"/>
    <w:rsid w:val="00A84C16"/>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102BF-3A2A-43CC-9861-44E3D4E45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207</Pages>
  <Words>24829</Words>
  <Characters>164400</Characters>
  <Application>Microsoft Office Word</Application>
  <DocSecurity>0</DocSecurity>
  <Lines>1370</Lines>
  <Paragraphs>377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2024-10-17T08:52:00Z</dcterms:created>
  <dcterms:modified xsi:type="dcterms:W3CDTF">2024-10-17T08:52:00Z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P9_TA(2024)0358_</vt:lpwstr>
  </property>
  <property fmtid="{D5CDD505-2E9C-101B-9397-08002B2CF9AE}" pid="4" name="&lt;Type&gt;">
    <vt:lpwstr>RR</vt:lpwstr>
  </property>
</Properties>
</file>