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7DF5" w14:paraId="119B9B62" w14:textId="77777777" w:rsidTr="0010095E">
        <w:trPr>
          <w:trHeight w:hRule="exact" w:val="1418"/>
        </w:trPr>
        <w:tc>
          <w:tcPr>
            <w:tcW w:w="6804" w:type="dxa"/>
            <w:shd w:val="clear" w:color="auto" w:fill="auto"/>
            <w:vAlign w:val="center"/>
          </w:tcPr>
          <w:p w14:paraId="1D8510D9" w14:textId="77777777" w:rsidR="00751A4A" w:rsidRPr="00AA7DF5" w:rsidRDefault="00BB3AA4" w:rsidP="0010095E">
            <w:pPr>
              <w:pStyle w:val="EPName"/>
            </w:pPr>
            <w:r w:rsidRPr="00AA7DF5">
              <w:t>Parlamento Europeu</w:t>
            </w:r>
          </w:p>
          <w:p w14:paraId="14E417BF" w14:textId="77777777" w:rsidR="00751A4A" w:rsidRPr="00AA7DF5" w:rsidRDefault="00817416" w:rsidP="00756632">
            <w:pPr>
              <w:pStyle w:val="EPTerm"/>
              <w:rPr>
                <w:rStyle w:val="HideTWBExt"/>
                <w:noProof w:val="0"/>
                <w:vanish w:val="0"/>
                <w:color w:val="auto"/>
              </w:rPr>
            </w:pPr>
            <w:r w:rsidRPr="00AA7DF5">
              <w:t>2019-2024</w:t>
            </w:r>
          </w:p>
        </w:tc>
        <w:tc>
          <w:tcPr>
            <w:tcW w:w="2268" w:type="dxa"/>
            <w:shd w:val="clear" w:color="auto" w:fill="auto"/>
          </w:tcPr>
          <w:p w14:paraId="0D6FB5BC" w14:textId="77777777" w:rsidR="00751A4A" w:rsidRPr="00AA7DF5" w:rsidRDefault="00187494" w:rsidP="0010095E">
            <w:pPr>
              <w:pStyle w:val="EPLogo"/>
            </w:pPr>
            <w:r w:rsidRPr="00AA7DF5">
              <w:rPr>
                <w:noProof/>
                <w:lang w:val="pl-PL" w:eastAsia="pl-PL"/>
              </w:rPr>
              <w:drawing>
                <wp:inline distT="0" distB="0" distL="0" distR="0" wp14:anchorId="6E4A9591" wp14:editId="3E58D2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A4A6EA" w14:textId="77777777" w:rsidR="00D058B8" w:rsidRPr="00AA7DF5" w:rsidRDefault="00D058B8" w:rsidP="004C5D52">
      <w:pPr>
        <w:pStyle w:val="LineTop"/>
      </w:pPr>
    </w:p>
    <w:p w14:paraId="5CA42E35" w14:textId="77777777" w:rsidR="00680577" w:rsidRPr="00AA7DF5" w:rsidRDefault="00BB3AA4" w:rsidP="00680577">
      <w:pPr>
        <w:pStyle w:val="EPBodyTA1"/>
      </w:pPr>
      <w:r w:rsidRPr="00AA7DF5">
        <w:t>TEXTOS APROVADOS</w:t>
      </w:r>
    </w:p>
    <w:p w14:paraId="218D80DF" w14:textId="77777777" w:rsidR="00D058B8" w:rsidRPr="00AA7DF5" w:rsidRDefault="00D058B8" w:rsidP="00D058B8">
      <w:pPr>
        <w:pStyle w:val="LineBottom"/>
      </w:pPr>
    </w:p>
    <w:p w14:paraId="4C95A7C7" w14:textId="18B46EA1" w:rsidR="00BB3AA4" w:rsidRPr="00AA7DF5" w:rsidRDefault="00BB3AA4" w:rsidP="00BB3AA4">
      <w:pPr>
        <w:pStyle w:val="ATHeading1"/>
      </w:pPr>
      <w:bookmarkStart w:id="0" w:name="TANumber"/>
      <w:r w:rsidRPr="00AA7DF5">
        <w:t>P9_</w:t>
      </w:r>
      <w:proofErr w:type="gramStart"/>
      <w:r w:rsidRPr="00AA7DF5">
        <w:t>TA(</w:t>
      </w:r>
      <w:proofErr w:type="gramEnd"/>
      <w:r w:rsidRPr="00AA7DF5">
        <w:t>2024)0</w:t>
      </w:r>
      <w:bookmarkEnd w:id="0"/>
      <w:r w:rsidR="00626600" w:rsidRPr="00AA7DF5">
        <w:t>358</w:t>
      </w:r>
    </w:p>
    <w:p w14:paraId="2452630C" w14:textId="77777777" w:rsidR="00BB3AA4" w:rsidRPr="00AA7DF5" w:rsidRDefault="00BB3AA4" w:rsidP="00BB3AA4">
      <w:pPr>
        <w:pStyle w:val="ATHeading2"/>
      </w:pPr>
      <w:bookmarkStart w:id="1" w:name="title"/>
      <w:r w:rsidRPr="00AA7DF5">
        <w:t>Poluentes das águas de superfície e subterrâneas</w:t>
      </w:r>
      <w:bookmarkEnd w:id="1"/>
    </w:p>
    <w:p w14:paraId="07AE9077" w14:textId="77777777" w:rsidR="00BB3AA4" w:rsidRPr="00AA7DF5" w:rsidRDefault="00BB3AA4" w:rsidP="00BB3AA4">
      <w:pPr>
        <w:rPr>
          <w:i/>
          <w:vanish/>
        </w:rPr>
      </w:pPr>
      <w:r w:rsidRPr="00AA7DF5">
        <w:rPr>
          <w:i/>
        </w:rPr>
        <w:fldChar w:fldCharType="begin"/>
      </w:r>
      <w:r w:rsidRPr="00AA7DF5">
        <w:rPr>
          <w:i/>
        </w:rPr>
        <w:instrText xml:space="preserve"> TC"(</w:instrText>
      </w:r>
      <w:bookmarkStart w:id="2" w:name="DocNumber"/>
      <w:r w:rsidRPr="00AA7DF5">
        <w:rPr>
          <w:i/>
        </w:rPr>
        <w:instrText>A9-0238/2023</w:instrText>
      </w:r>
      <w:bookmarkEnd w:id="2"/>
      <w:r w:rsidRPr="00AA7DF5">
        <w:rPr>
          <w:i/>
        </w:rPr>
        <w:instrText xml:space="preserve"> - Relator: Milan </w:instrText>
      </w:r>
      <w:proofErr w:type="spellStart"/>
      <w:r w:rsidRPr="00AA7DF5">
        <w:rPr>
          <w:i/>
        </w:rPr>
        <w:instrText>Brglez</w:instrText>
      </w:r>
      <w:proofErr w:type="spellEnd"/>
      <w:r w:rsidRPr="00AA7DF5">
        <w:rPr>
          <w:i/>
        </w:rPr>
        <w:instrText xml:space="preserve">)"\l3 \n&gt; \* MERGEFORMAT </w:instrText>
      </w:r>
      <w:r w:rsidRPr="00AA7DF5">
        <w:rPr>
          <w:i/>
        </w:rPr>
        <w:fldChar w:fldCharType="end"/>
      </w:r>
    </w:p>
    <w:p w14:paraId="4EE8D52F" w14:textId="77777777" w:rsidR="00BB3AA4" w:rsidRPr="00AA7DF5" w:rsidRDefault="00BB3AA4" w:rsidP="00BB3AA4">
      <w:pPr>
        <w:rPr>
          <w:vanish/>
        </w:rPr>
      </w:pPr>
      <w:bookmarkStart w:id="3" w:name="Commission"/>
      <w:r w:rsidRPr="00AA7DF5">
        <w:rPr>
          <w:vanish/>
        </w:rPr>
        <w:t>Comissão do Ambiente, da Saúde Pública e da Segurança Alimentar</w:t>
      </w:r>
      <w:bookmarkEnd w:id="3"/>
    </w:p>
    <w:p w14:paraId="55474F81" w14:textId="77777777" w:rsidR="00BB3AA4" w:rsidRPr="00AA7DF5" w:rsidRDefault="00BB3AA4" w:rsidP="00BB3AA4">
      <w:pPr>
        <w:rPr>
          <w:vanish/>
        </w:rPr>
      </w:pPr>
      <w:bookmarkStart w:id="4" w:name="PE"/>
      <w:r w:rsidRPr="00AA7DF5">
        <w:rPr>
          <w:vanish/>
        </w:rPr>
        <w:t>PE740.884</w:t>
      </w:r>
      <w:bookmarkEnd w:id="4"/>
    </w:p>
    <w:p w14:paraId="2BC1E321" w14:textId="1AE2131D" w:rsidR="00BB3AA4" w:rsidRPr="00AA7DF5" w:rsidRDefault="00BB3AA4" w:rsidP="00BB3AA4">
      <w:pPr>
        <w:pStyle w:val="ATHeading3"/>
      </w:pPr>
      <w:bookmarkStart w:id="5" w:name="Sujet"/>
      <w:r w:rsidRPr="00AA7DF5">
        <w:t xml:space="preserve">Resolução legislativa do Parlamento Europeu, de </w:t>
      </w:r>
      <w:r w:rsidR="00B44746" w:rsidRPr="00AA7DF5">
        <w:t>2</w:t>
      </w:r>
      <w:r w:rsidR="00DD3C96" w:rsidRPr="00AA7DF5">
        <w:t>4</w:t>
      </w:r>
      <w:r w:rsidRPr="00AA7DF5">
        <w:t xml:space="preserve"> de </w:t>
      </w:r>
      <w:r w:rsidR="00B44746" w:rsidRPr="00AA7DF5">
        <w:t>abril</w:t>
      </w:r>
      <w:r w:rsidRPr="00AA7DF5">
        <w:t xml:space="preserve"> de 2024, sobre a proposta de diretiva do Parlamento Europeu e do Conselho que altera a Diretiva 2000/60/CE que estabelece um quadro de ação comunitária no domínio da política da água, a Diretiva 2006/118/CE relativa à proteção das águas subterrâneas contra a poluição e a deterioração e a Diretiva 2008/105/CE relativa a normas de qualidade ambiental no domínio da política da água</w:t>
      </w:r>
      <w:bookmarkEnd w:id="5"/>
      <w:r w:rsidRPr="00AA7DF5">
        <w:t xml:space="preserve"> </w:t>
      </w:r>
      <w:bookmarkStart w:id="6" w:name="References"/>
      <w:r w:rsidRPr="00AA7DF5">
        <w:t>(</w:t>
      </w:r>
      <w:proofErr w:type="gramStart"/>
      <w:r w:rsidRPr="00AA7DF5">
        <w:t>COM(</w:t>
      </w:r>
      <w:proofErr w:type="gramEnd"/>
      <w:r w:rsidRPr="00AA7DF5">
        <w:t>2022)0540 – C9-0361/2022 – 2022/0344(COD))</w:t>
      </w:r>
      <w:bookmarkEnd w:id="6"/>
    </w:p>
    <w:p w14:paraId="6D36831F" w14:textId="77777777" w:rsidR="00563050" w:rsidRPr="00AA7DF5" w:rsidRDefault="00563050" w:rsidP="00563050">
      <w:pPr>
        <w:pStyle w:val="NormalBold"/>
      </w:pPr>
      <w:bookmarkStart w:id="7" w:name="TextBodyBegin"/>
      <w:bookmarkEnd w:id="7"/>
      <w:r w:rsidRPr="00AA7DF5">
        <w:t>(Processo legislativo ordinário: primeira leitura)</w:t>
      </w:r>
    </w:p>
    <w:p w14:paraId="5F5137F7" w14:textId="77777777" w:rsidR="00563050" w:rsidRPr="00AA7DF5" w:rsidRDefault="00563050" w:rsidP="00563050">
      <w:pPr>
        <w:pStyle w:val="EPComma"/>
      </w:pPr>
      <w:r w:rsidRPr="00AA7DF5">
        <w:rPr>
          <w:i/>
        </w:rPr>
        <w:t>O Parlamento Europeu</w:t>
      </w:r>
      <w:r w:rsidRPr="00AA7DF5">
        <w:t>,</w:t>
      </w:r>
    </w:p>
    <w:p w14:paraId="49DCFABD" w14:textId="46AB2FAD" w:rsidR="00563050" w:rsidRPr="00AA7DF5" w:rsidRDefault="00563050" w:rsidP="00563050">
      <w:pPr>
        <w:pStyle w:val="NormalHanging12a"/>
      </w:pPr>
      <w:r w:rsidRPr="00AA7DF5">
        <w:t>–</w:t>
      </w:r>
      <w:r w:rsidRPr="00AA7DF5">
        <w:tab/>
        <w:t>Tendo em conta a proposta da Comissão ao Parlamento e ao Conselho (</w:t>
      </w:r>
      <w:proofErr w:type="gramStart"/>
      <w:r w:rsidRPr="00AA7DF5">
        <w:t>COM(</w:t>
      </w:r>
      <w:proofErr w:type="gramEnd"/>
      <w:r w:rsidRPr="00AA7DF5">
        <w:t>2022)0540),</w:t>
      </w:r>
    </w:p>
    <w:p w14:paraId="3D8BEFBD" w14:textId="77777777" w:rsidR="00563050" w:rsidRPr="00AA7DF5" w:rsidRDefault="00563050" w:rsidP="00563050">
      <w:pPr>
        <w:pStyle w:val="NormalHanging12a"/>
      </w:pPr>
      <w:r w:rsidRPr="00AA7DF5">
        <w:t>–</w:t>
      </w:r>
      <w:r w:rsidRPr="00AA7DF5">
        <w:tab/>
        <w:t>Tendo em conta o artigo 294.º, n.º 2, e o artigo 192.º, n.º 1, do Tratado sobre o Funcionamento da União Europeia, nos termos dos quais a proposta lhe foi apresentada pela Comissão (C9</w:t>
      </w:r>
      <w:r w:rsidRPr="00AA7DF5">
        <w:noBreakHyphen/>
        <w:t>0361/2022),</w:t>
      </w:r>
    </w:p>
    <w:p w14:paraId="3C78FFA6" w14:textId="77777777" w:rsidR="00563050" w:rsidRPr="00AA7DF5" w:rsidRDefault="00563050" w:rsidP="00563050">
      <w:pPr>
        <w:pStyle w:val="NormalHanging12a"/>
      </w:pPr>
      <w:r w:rsidRPr="00AA7DF5">
        <w:t>–</w:t>
      </w:r>
      <w:r w:rsidRPr="00AA7DF5">
        <w:tab/>
        <w:t>Tendo em conta o artigo 294.º, n.º 3, do Tratado sobre o Funcionamento da União Europeia,</w:t>
      </w:r>
    </w:p>
    <w:p w14:paraId="08F462EB" w14:textId="77777777" w:rsidR="00563050" w:rsidRPr="00AA7DF5" w:rsidRDefault="00563050" w:rsidP="00563050">
      <w:pPr>
        <w:pStyle w:val="NormalHanging12a"/>
      </w:pPr>
      <w:r w:rsidRPr="00AA7DF5">
        <w:t>–</w:t>
      </w:r>
      <w:r w:rsidRPr="00AA7DF5">
        <w:tab/>
        <w:t>Tendo em conta o parecer do Comité Económico e Social Europeu, de 22 de fevereiro de 2023</w:t>
      </w:r>
      <w:r w:rsidRPr="00AA7DF5">
        <w:rPr>
          <w:rStyle w:val="FootnoteReference"/>
        </w:rPr>
        <w:footnoteReference w:id="1"/>
      </w:r>
      <w:r w:rsidRPr="00AA7DF5">
        <w:t>,</w:t>
      </w:r>
    </w:p>
    <w:p w14:paraId="22837C28" w14:textId="1168F734" w:rsidR="00563050" w:rsidRPr="00AA7DF5" w:rsidRDefault="00563050" w:rsidP="00563050">
      <w:pPr>
        <w:pStyle w:val="NormalHanging12a"/>
      </w:pPr>
      <w:r w:rsidRPr="00AA7DF5">
        <w:t>–</w:t>
      </w:r>
      <w:r w:rsidRPr="00AA7DF5">
        <w:tab/>
        <w:t>Após consulta</w:t>
      </w:r>
      <w:r w:rsidR="004E1610" w:rsidRPr="00AA7DF5">
        <w:t xml:space="preserve"> a</w:t>
      </w:r>
      <w:r w:rsidRPr="00AA7DF5">
        <w:t>o Comité das Regiões,</w:t>
      </w:r>
    </w:p>
    <w:p w14:paraId="293ED982" w14:textId="77777777" w:rsidR="00563050" w:rsidRPr="00AA7DF5" w:rsidRDefault="00563050" w:rsidP="00563050">
      <w:pPr>
        <w:pStyle w:val="NormalHanging12a"/>
      </w:pPr>
      <w:r w:rsidRPr="00AA7DF5">
        <w:t>–</w:t>
      </w:r>
      <w:r w:rsidRPr="00AA7DF5">
        <w:tab/>
        <w:t>Tendo em conta o artigo 59.º do seu Regimento,</w:t>
      </w:r>
    </w:p>
    <w:p w14:paraId="6B2B14EF" w14:textId="77777777" w:rsidR="00563050" w:rsidRPr="00AA7DF5" w:rsidRDefault="00563050" w:rsidP="00563050">
      <w:pPr>
        <w:pStyle w:val="NormalHanging12a"/>
      </w:pPr>
      <w:r w:rsidRPr="00AA7DF5">
        <w:t>–</w:t>
      </w:r>
      <w:r w:rsidRPr="00AA7DF5">
        <w:tab/>
        <w:t>Tendo em conta os pareceres da Comissão da Indústria, da Investigação e da Energia e da Comissão da Agricultura e do Desenvolvimento Rural,</w:t>
      </w:r>
    </w:p>
    <w:p w14:paraId="6ECF0451" w14:textId="77777777" w:rsidR="00563050" w:rsidRPr="00AA7DF5" w:rsidRDefault="00563050" w:rsidP="00563050">
      <w:pPr>
        <w:pStyle w:val="NormalHanging12a"/>
      </w:pPr>
      <w:r w:rsidRPr="00AA7DF5">
        <w:t>–</w:t>
      </w:r>
      <w:r w:rsidRPr="00AA7DF5">
        <w:tab/>
        <w:t>Tendo em conta o relatório da Comissão do Ambiente, da Saúde Pública e da Segurança Alimentar (A9</w:t>
      </w:r>
      <w:r w:rsidRPr="00AA7DF5">
        <w:noBreakHyphen/>
        <w:t>0238/2023),</w:t>
      </w:r>
    </w:p>
    <w:p w14:paraId="16E57C0F" w14:textId="4C9A3DFD" w:rsidR="00563050" w:rsidRPr="00AA7DF5" w:rsidRDefault="00563050" w:rsidP="00563050">
      <w:pPr>
        <w:pStyle w:val="NormalHanging12a"/>
      </w:pPr>
      <w:r w:rsidRPr="00AA7DF5">
        <w:lastRenderedPageBreak/>
        <w:t>1.</w:t>
      </w:r>
      <w:r w:rsidRPr="00AA7DF5">
        <w:tab/>
        <w:t>Aprova a posição em primeira leitura que se segue</w:t>
      </w:r>
      <w:r w:rsidR="00F80170" w:rsidRPr="00AA7DF5">
        <w:rPr>
          <w:rStyle w:val="FootnoteReference"/>
        </w:rPr>
        <w:footnoteReference w:id="2"/>
      </w:r>
      <w:r w:rsidRPr="00AA7DF5">
        <w:t>;</w:t>
      </w:r>
    </w:p>
    <w:p w14:paraId="7CD4FCD3" w14:textId="77777777" w:rsidR="00563050" w:rsidRPr="00AA7DF5" w:rsidRDefault="00563050" w:rsidP="00563050">
      <w:pPr>
        <w:pStyle w:val="NormalHanging12a"/>
      </w:pPr>
      <w:r w:rsidRPr="00AA7DF5">
        <w:t>2.</w:t>
      </w:r>
      <w:r w:rsidRPr="00AA7DF5">
        <w:tab/>
        <w:t>Requer à Comissão que lhe submeta de novo a sua proposta, se a substituir, se a alterar substancialmente ou se pretender alterá</w:t>
      </w:r>
      <w:r w:rsidRPr="00AA7DF5">
        <w:noBreakHyphen/>
        <w:t>la substancialmente;</w:t>
      </w:r>
    </w:p>
    <w:p w14:paraId="11F41F65" w14:textId="70644D0A" w:rsidR="00563050" w:rsidRPr="00AA7DF5" w:rsidRDefault="00563050" w:rsidP="00563050">
      <w:pPr>
        <w:pStyle w:val="NormalHanging12a"/>
      </w:pPr>
      <w:r w:rsidRPr="00AA7DF5">
        <w:t>3.</w:t>
      </w:r>
      <w:r w:rsidRPr="00AA7DF5">
        <w:tab/>
        <w:t>Encarrega a sua presidente de transmitir a posição do Parlamento ao Conselho</w:t>
      </w:r>
      <w:r w:rsidR="00F80170" w:rsidRPr="00AA7DF5">
        <w:t>,</w:t>
      </w:r>
      <w:r w:rsidRPr="00AA7DF5">
        <w:t xml:space="preserve"> à Comissão</w:t>
      </w:r>
      <w:r w:rsidR="00F80170" w:rsidRPr="00AA7DF5">
        <w:t xml:space="preserve"> e</w:t>
      </w:r>
      <w:r w:rsidRPr="00AA7DF5">
        <w:t xml:space="preserve"> aos parlamentos nacionais.</w:t>
      </w:r>
    </w:p>
    <w:p w14:paraId="0A83584C" w14:textId="77777777" w:rsidR="00563050" w:rsidRPr="00AA7DF5" w:rsidRDefault="00563050" w:rsidP="00563050"/>
    <w:p w14:paraId="6BDF0EA2" w14:textId="77777777" w:rsidR="00B44746" w:rsidRPr="00AA7DF5" w:rsidRDefault="00B44746" w:rsidP="00563050">
      <w:pPr>
        <w:pStyle w:val="AmNumberTabs"/>
        <w:sectPr w:rsidR="00B44746" w:rsidRPr="00AA7DF5" w:rsidSect="00D5501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C65749" w14:textId="18322801" w:rsidR="00E365E1" w:rsidRPr="00AA7DF5" w:rsidRDefault="002E0FC5" w:rsidP="002E0FC5">
      <w:pPr>
        <w:pStyle w:val="AmNumberTabs"/>
      </w:pPr>
      <w:r w:rsidRPr="00AA7DF5">
        <w:lastRenderedPageBreak/>
        <w:t>P9_TC1-COD(2022)0344</w:t>
      </w:r>
    </w:p>
    <w:p w14:paraId="57357DDC" w14:textId="0FA1ED52" w:rsidR="002E0FC5" w:rsidRPr="00AA7DF5" w:rsidRDefault="002E0FC5" w:rsidP="002E0FC5">
      <w:pPr>
        <w:pStyle w:val="AmNumberTabs"/>
      </w:pPr>
      <w:r w:rsidRPr="00AA7DF5">
        <w:t>Posição do Parlamento Europeu aprovada em primeira leitura em 24 de abril de 2024 tendo em vista a adoção da Diretiva (UE) 2024/... do Parlamento Europeu e do Conselho que altera a Diretiva 2000/60/CE que estabelece um quadro de ação comunitária no domínio da política da água, a Diretiva 2006/118/CE relativa à proteção das águas subterrâneas contra a poluição e a deterioração e a Diretiva 2008/105/CE relativa a normas de qualidade ambiental no domínio da política da água</w:t>
      </w:r>
    </w:p>
    <w:p w14:paraId="7A9C830A" w14:textId="77777777" w:rsidR="002E0FC5" w:rsidRPr="00AA7DF5" w:rsidRDefault="002E0FC5" w:rsidP="002E0FC5">
      <w:pPr>
        <w:widowControl/>
        <w:spacing w:before="360" w:after="240" w:line="360" w:lineRule="auto"/>
        <w:jc w:val="center"/>
        <w:rPr>
          <w:szCs w:val="24"/>
          <w:lang w:eastAsia="en-US"/>
        </w:rPr>
      </w:pPr>
      <w:r w:rsidRPr="00AA7DF5">
        <w:rPr>
          <w:szCs w:val="24"/>
          <w:lang w:eastAsia="en-US"/>
        </w:rPr>
        <w:t>(Texto relevante para efeitos do EEE)</w:t>
      </w:r>
    </w:p>
    <w:p w14:paraId="615C230C" w14:textId="77777777" w:rsidR="002E0FC5" w:rsidRPr="00AA7DF5" w:rsidRDefault="002E0FC5" w:rsidP="002E0FC5">
      <w:pPr>
        <w:keepNext/>
        <w:spacing w:before="600" w:after="120" w:line="360" w:lineRule="auto"/>
        <w:rPr>
          <w:szCs w:val="24"/>
          <w:lang w:eastAsia="en-US"/>
        </w:rPr>
      </w:pPr>
      <w:r w:rsidRPr="00AA7DF5">
        <w:rPr>
          <w:szCs w:val="24"/>
          <w:lang w:eastAsia="en-US"/>
        </w:rPr>
        <w:t>O PARLAMENTO EUROPEU E O CONSELHO DA UNIÃO EUROPEIA,</w:t>
      </w:r>
    </w:p>
    <w:p w14:paraId="26B96C7C" w14:textId="77777777" w:rsidR="002E0FC5" w:rsidRPr="00AA7DF5" w:rsidRDefault="002E0FC5" w:rsidP="002E0FC5">
      <w:pPr>
        <w:spacing w:before="120" w:after="120" w:line="360" w:lineRule="auto"/>
        <w:rPr>
          <w:lang w:eastAsia="en-US"/>
        </w:rPr>
      </w:pPr>
      <w:r w:rsidRPr="00AA7DF5">
        <w:rPr>
          <w:lang w:eastAsia="en-US"/>
        </w:rPr>
        <w:t>Tendo em conta o Tratado sobre o Funcionamento da União Europeia, nomeadamente o artigo 192.º, n.º 1,</w:t>
      </w:r>
    </w:p>
    <w:p w14:paraId="3283A4D1" w14:textId="77777777" w:rsidR="002E0FC5" w:rsidRPr="00AA7DF5" w:rsidRDefault="002E0FC5" w:rsidP="002E0FC5">
      <w:pPr>
        <w:spacing w:before="120" w:after="120" w:line="360" w:lineRule="auto"/>
        <w:rPr>
          <w:lang w:eastAsia="en-US"/>
        </w:rPr>
      </w:pPr>
      <w:r w:rsidRPr="00AA7DF5">
        <w:rPr>
          <w:lang w:eastAsia="en-US"/>
        </w:rPr>
        <w:t>Tendo em conta a proposta da Comissão Europeia,</w:t>
      </w:r>
    </w:p>
    <w:p w14:paraId="7F56C29C" w14:textId="77777777" w:rsidR="002E0FC5" w:rsidRPr="00AA7DF5" w:rsidRDefault="002E0FC5" w:rsidP="002E0FC5">
      <w:pPr>
        <w:spacing w:before="120" w:after="120" w:line="360" w:lineRule="auto"/>
        <w:rPr>
          <w:lang w:eastAsia="en-US"/>
        </w:rPr>
      </w:pPr>
      <w:r w:rsidRPr="00AA7DF5">
        <w:rPr>
          <w:lang w:eastAsia="en-US"/>
        </w:rPr>
        <w:t>Após transmissão do projeto de ato legislativo aos Parlamentos nacionais,</w:t>
      </w:r>
    </w:p>
    <w:p w14:paraId="3E74CEF6" w14:textId="77777777" w:rsidR="002E0FC5" w:rsidRPr="00AA7DF5" w:rsidRDefault="002E0FC5" w:rsidP="002E0FC5">
      <w:pPr>
        <w:spacing w:before="120" w:after="120" w:line="360" w:lineRule="auto"/>
        <w:rPr>
          <w:lang w:eastAsia="en-US"/>
        </w:rPr>
      </w:pPr>
      <w:r w:rsidRPr="00AA7DF5">
        <w:rPr>
          <w:lang w:eastAsia="en-US"/>
        </w:rPr>
        <w:t>Tendo em conta o parecer do Comité Económico e Social Europeu</w:t>
      </w:r>
      <w:r w:rsidRPr="00AA7DF5">
        <w:rPr>
          <w:vertAlign w:val="superscript"/>
          <w:lang w:eastAsia="en-US"/>
        </w:rPr>
        <w:footnoteReference w:id="3"/>
      </w:r>
      <w:r w:rsidRPr="00AA7DF5">
        <w:rPr>
          <w:lang w:eastAsia="en-US"/>
        </w:rPr>
        <w:t>,</w:t>
      </w:r>
    </w:p>
    <w:p w14:paraId="2234899D" w14:textId="77777777" w:rsidR="002E0FC5" w:rsidRPr="00AA7DF5" w:rsidRDefault="002E0FC5" w:rsidP="002E0FC5">
      <w:pPr>
        <w:spacing w:before="120" w:after="120" w:line="360" w:lineRule="auto"/>
        <w:rPr>
          <w:lang w:eastAsia="en-US"/>
        </w:rPr>
      </w:pPr>
      <w:r w:rsidRPr="00AA7DF5">
        <w:rPr>
          <w:lang w:eastAsia="en-US"/>
        </w:rPr>
        <w:t>Tendo em conta o parecer do Comité das Regiões</w:t>
      </w:r>
      <w:r w:rsidRPr="00AA7DF5">
        <w:rPr>
          <w:vertAlign w:val="superscript"/>
          <w:lang w:eastAsia="en-US"/>
        </w:rPr>
        <w:footnoteReference w:id="4"/>
      </w:r>
      <w:r w:rsidRPr="00AA7DF5">
        <w:rPr>
          <w:lang w:eastAsia="en-US"/>
        </w:rPr>
        <w:t>,</w:t>
      </w:r>
    </w:p>
    <w:p w14:paraId="54900222" w14:textId="77777777" w:rsidR="002E0FC5" w:rsidRPr="00AA7DF5" w:rsidRDefault="002E0FC5" w:rsidP="002E0FC5">
      <w:pPr>
        <w:spacing w:before="120" w:after="120" w:line="360" w:lineRule="auto"/>
        <w:rPr>
          <w:lang w:eastAsia="en-US"/>
        </w:rPr>
      </w:pPr>
      <w:r w:rsidRPr="00AA7DF5">
        <w:rPr>
          <w:lang w:eastAsia="en-US"/>
        </w:rPr>
        <w:t>Deliberando de acordo com o processo legislativo ordinário,</w:t>
      </w:r>
    </w:p>
    <w:p w14:paraId="6B6BE316" w14:textId="77777777" w:rsidR="00250054" w:rsidRPr="00AA7DF5" w:rsidRDefault="00250054">
      <w:pPr>
        <w:widowControl/>
        <w:rPr>
          <w:lang w:eastAsia="en-US"/>
        </w:rPr>
      </w:pPr>
      <w:r w:rsidRPr="00AA7DF5">
        <w:rPr>
          <w:lang w:eastAsia="en-US"/>
        </w:rPr>
        <w:br w:type="page"/>
      </w:r>
    </w:p>
    <w:p w14:paraId="33AEB1BD" w14:textId="707FA1B7" w:rsidR="002E0FC5" w:rsidRPr="00AA7DF5" w:rsidRDefault="002E0FC5" w:rsidP="002E0FC5">
      <w:pPr>
        <w:spacing w:before="120" w:after="120" w:line="360" w:lineRule="auto"/>
        <w:rPr>
          <w:lang w:eastAsia="en-US"/>
        </w:rPr>
      </w:pPr>
      <w:r w:rsidRPr="00AA7DF5">
        <w:rPr>
          <w:lang w:eastAsia="en-US"/>
        </w:rPr>
        <w:lastRenderedPageBreak/>
        <w:t>Considerando o seguinte:</w:t>
      </w:r>
    </w:p>
    <w:p w14:paraId="4FE55BE7" w14:textId="5F23B238" w:rsidR="002E0FC5" w:rsidRPr="00AA7DF5" w:rsidRDefault="002E0FC5" w:rsidP="002E0FC5">
      <w:pPr>
        <w:spacing w:before="120" w:after="120" w:line="360" w:lineRule="auto"/>
        <w:ind w:left="850" w:hanging="850"/>
        <w:rPr>
          <w:b/>
          <w:szCs w:val="24"/>
          <w:lang w:eastAsia="en-US"/>
        </w:rPr>
      </w:pPr>
      <w:r w:rsidRPr="00AA7DF5">
        <w:rPr>
          <w:b/>
          <w:i/>
          <w:szCs w:val="24"/>
          <w:lang w:eastAsia="en-US"/>
        </w:rPr>
        <w:t>(</w:t>
      </w:r>
      <w:r w:rsidR="00250054" w:rsidRPr="00AA7DF5">
        <w:rPr>
          <w:b/>
          <w:i/>
          <w:szCs w:val="24"/>
          <w:lang w:eastAsia="en-US"/>
        </w:rPr>
        <w:t>-</w:t>
      </w:r>
      <w:r w:rsidRPr="00AA7DF5">
        <w:rPr>
          <w:b/>
          <w:i/>
          <w:szCs w:val="24"/>
          <w:lang w:eastAsia="en-US"/>
        </w:rPr>
        <w:t>1)</w:t>
      </w:r>
      <w:r w:rsidRPr="00AA7DF5">
        <w:rPr>
          <w:szCs w:val="24"/>
          <w:lang w:eastAsia="en-US"/>
        </w:rPr>
        <w:tab/>
      </w:r>
      <w:r w:rsidRPr="00AA7DF5">
        <w:rPr>
          <w:b/>
          <w:i/>
          <w:szCs w:val="24"/>
          <w:lang w:eastAsia="en-US"/>
        </w:rPr>
        <w:t>A água não é um produto comercial como qualquer outro, mas sim um bem comum e um património, que deve ser protegido e tratado como tal, a fim de garantir a preservação dos ecossistemas e o acesso universal à água potável.</w:t>
      </w:r>
      <w:r w:rsidR="00250054" w:rsidRPr="00AA7DF5">
        <w:rPr>
          <w:b/>
          <w:szCs w:val="24"/>
          <w:lang w:eastAsia="en-US"/>
        </w:rPr>
        <w:t xml:space="preserve"> [Alt. 1]</w:t>
      </w:r>
    </w:p>
    <w:p w14:paraId="2D038842" w14:textId="73A892E7" w:rsidR="002E0FC5" w:rsidRPr="00AA7DF5" w:rsidRDefault="002E0FC5" w:rsidP="002E0FC5">
      <w:pPr>
        <w:spacing w:before="120" w:after="120" w:line="360" w:lineRule="auto"/>
        <w:ind w:left="850" w:hanging="850"/>
        <w:rPr>
          <w:b/>
          <w:szCs w:val="24"/>
          <w:lang w:eastAsia="en-US"/>
        </w:rPr>
      </w:pPr>
      <w:r w:rsidRPr="00AA7DF5">
        <w:rPr>
          <w:b/>
          <w:i/>
          <w:szCs w:val="24"/>
          <w:lang w:eastAsia="en-US"/>
        </w:rPr>
        <w:t>(</w:t>
      </w:r>
      <w:r w:rsidR="00250054" w:rsidRPr="00AA7DF5">
        <w:rPr>
          <w:b/>
          <w:i/>
          <w:szCs w:val="24"/>
          <w:lang w:eastAsia="en-US"/>
        </w:rPr>
        <w:t>-1-A</w:t>
      </w:r>
      <w:r w:rsidRPr="00AA7DF5">
        <w:rPr>
          <w:b/>
          <w:i/>
          <w:szCs w:val="24"/>
          <w:lang w:eastAsia="en-US"/>
        </w:rPr>
        <w:t>)</w:t>
      </w:r>
      <w:r w:rsidRPr="00AA7DF5">
        <w:rPr>
          <w:szCs w:val="24"/>
          <w:lang w:eastAsia="en-US"/>
        </w:rPr>
        <w:tab/>
      </w:r>
      <w:r w:rsidRPr="00AA7DF5">
        <w:rPr>
          <w:b/>
          <w:i/>
          <w:szCs w:val="24"/>
          <w:lang w:eastAsia="en-US"/>
        </w:rPr>
        <w:t>A resolução da Assembleia Geral das Nações Unidas reconheceu, em 28 de julho de 2010, o direito à água potável segura e limpa e ao saneamento enquanto direito humano essencial ao pleno gozo da vida e ao exercício de todos os direitos humanos. Na sequência do sucesso da iniciativa de cidadania europeia de 2014 intitulada «Right2Water», a Comissão adotou, em 2018, uma proposta de revisão da diretiva relativa à água potável, tendo a diretiva alterada correspondente entrado em vigor em 12 de janeiro de 2021. A referida diretiva estabelece uma obrigação de os Estados‑Membros melhorarem o acesso à água destinado ao consumo humano, baseando‑se, entre outros aspetos, nos conhecimentos adquiridos e nas ações executadas ao abrigo da Diretiva 2000/60/CE. Os Estados‑Membros devem igualmente assegurar a eficácia do direito à água potável e ao saneamento, melhorando a qualidade das águas superficiais e subterrâneas.</w:t>
      </w:r>
      <w:r w:rsidR="00250054" w:rsidRPr="00AA7DF5">
        <w:rPr>
          <w:b/>
          <w:szCs w:val="24"/>
          <w:lang w:eastAsia="en-US"/>
        </w:rPr>
        <w:t xml:space="preserve"> [Alt. 2]</w:t>
      </w:r>
    </w:p>
    <w:p w14:paraId="6146A1FB" w14:textId="77777777" w:rsidR="00250054" w:rsidRPr="00AA7DF5" w:rsidRDefault="00250054">
      <w:pPr>
        <w:widowControl/>
        <w:rPr>
          <w:szCs w:val="24"/>
          <w:lang w:eastAsia="en-US"/>
        </w:rPr>
      </w:pPr>
      <w:r w:rsidRPr="00AA7DF5">
        <w:rPr>
          <w:szCs w:val="24"/>
          <w:lang w:eastAsia="en-US"/>
        </w:rPr>
        <w:br w:type="page"/>
      </w:r>
    </w:p>
    <w:p w14:paraId="7B8F0F8F" w14:textId="0903B42F"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(1)</w:t>
      </w:r>
      <w:r w:rsidRPr="00AA7DF5">
        <w:rPr>
          <w:szCs w:val="24"/>
          <w:lang w:eastAsia="en-US"/>
        </w:rPr>
        <w:tab/>
        <w:t>A poluição química das águas de superfície e subterrâneas constitui uma ameaça para o meio aquático, com efeitos como toxicidade aguda e crónica para os organismos aquáticos, acumulação de poluentes no ecossistema e perda de habitats e de biodiversidade, bem como uma ameaça para a saúde humana. O estabelecimento de normas de qualidade ambiental contribui para implementar a ambição de poluição zero por um ambiente livre de substâncias tóxicas</w:t>
      </w:r>
      <w:r w:rsidRPr="00AA7DF5">
        <w:rPr>
          <w:b/>
          <w:i/>
          <w:szCs w:val="24"/>
          <w:lang w:eastAsia="en-US"/>
        </w:rPr>
        <w:t xml:space="preserve"> enquanto um dos objetivos prioritários do 8.º Programa de Ação em Matéria de Ambiente</w:t>
      </w:r>
      <w:r w:rsidRPr="00AA7DF5">
        <w:rPr>
          <w:szCs w:val="24"/>
          <w:vertAlign w:val="superscript"/>
          <w:lang w:eastAsia="en-US"/>
        </w:rPr>
        <w:footnoteReference w:id="5"/>
      </w:r>
      <w:r w:rsidRPr="00AA7DF5">
        <w:rPr>
          <w:szCs w:val="24"/>
          <w:lang w:eastAsia="en-US"/>
        </w:rPr>
        <w:t>.</w:t>
      </w:r>
      <w:r w:rsidR="00250054" w:rsidRPr="00AA7DF5">
        <w:rPr>
          <w:b/>
          <w:szCs w:val="24"/>
          <w:lang w:eastAsia="en-US"/>
        </w:rPr>
        <w:t xml:space="preserve"> [Alt. 3]</w:t>
      </w:r>
    </w:p>
    <w:p w14:paraId="3A54DB02" w14:textId="2FE0723F" w:rsidR="002E0FC5" w:rsidRPr="00AA7DF5" w:rsidRDefault="002E0FC5" w:rsidP="002E0FC5">
      <w:pPr>
        <w:spacing w:before="120" w:after="120" w:line="360" w:lineRule="auto"/>
        <w:ind w:left="850" w:hanging="850"/>
        <w:rPr>
          <w:b/>
          <w:szCs w:val="24"/>
          <w:lang w:eastAsia="en-US"/>
        </w:rPr>
      </w:pPr>
      <w:r w:rsidRPr="00AA7DF5">
        <w:rPr>
          <w:b/>
          <w:i/>
          <w:szCs w:val="24"/>
          <w:lang w:eastAsia="en-US"/>
        </w:rPr>
        <w:t>(1</w:t>
      </w:r>
      <w:r w:rsidR="00250054"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De acordo com a Agência Europeia do Ambiente, cerca de 90 % da área das massas subterrâneas está em bom estado quantitativo, cerca de 75 % da área da massa subterrânea está em bom estado químico, 40 % das massas de águas de superfície estão num estado ecológico bom ou ótimo e 38 % das massas de águas de superfície estão em bom estado químico, ao passo que o relatório da Agência Europeia do Ambiente, de 4 de dezembro de 2019, intitulado «O ambiente na Europa: estado e perspetivas 2020: Conhecimentos para a transição para uma Europa sustentável», concluiu que a redução da poluição melhorou a qualidade da água, mas que a União estava longe de alcançar um bom estado ecológico para todas as massas de água até 2020.</w:t>
      </w:r>
      <w:r w:rsidR="00250054" w:rsidRPr="00AA7DF5">
        <w:rPr>
          <w:b/>
          <w:szCs w:val="24"/>
          <w:lang w:eastAsia="en-US"/>
        </w:rPr>
        <w:t xml:space="preserve"> [Alt. 4]</w:t>
      </w:r>
    </w:p>
    <w:p w14:paraId="5D2D4352" w14:textId="77777777" w:rsidR="00250054" w:rsidRPr="00AA7DF5" w:rsidRDefault="00250054">
      <w:pPr>
        <w:widowControl/>
        <w:rPr>
          <w:b/>
          <w:i/>
          <w:szCs w:val="24"/>
          <w:lang w:eastAsia="en-US"/>
        </w:rPr>
      </w:pPr>
      <w:r w:rsidRPr="00AA7DF5">
        <w:rPr>
          <w:b/>
          <w:i/>
          <w:szCs w:val="24"/>
          <w:lang w:eastAsia="en-US"/>
        </w:rPr>
        <w:br w:type="page"/>
      </w:r>
    </w:p>
    <w:p w14:paraId="6462B184" w14:textId="508BBA6B"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w:t>
      </w:r>
      <w:r w:rsidR="00250054"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O Balanço de Qualidade de 2019 da Diretiva‑Quadro Água («o balanço de qualidade») concluiu, na sua avaliação, que a próxima ronda de programas de medidas desempenhará um papel fundamental na garantia do progresso necessário para concretizar os objetivos ambientais da Diretiva 2000/60/CE até à meta de 2027 e afirmou que, atualmente, mais de metade de todas as massas de água europeias estão isentas ao abrigo da Diretiva 2000/60/CE, o que dá ainda maior importância aos desafios dos Estados‑Membros para lograr normas de qualidade ambiental para substâncias prioritárias dentro de um determinado prazo. Além disso, o Balanço de Qualidade concluiu que os objetivos ambientais não foram totalmente alcançados devido, em larga medida, ao financiamento insuficiente, à execução lenta e à insuficiente integração dos objetivos ambientais nas políticas setoriais, e não devido a qualquer insuficiência a nível da legislação.</w:t>
      </w:r>
      <w:r w:rsidR="00250054" w:rsidRPr="00AA7DF5">
        <w:rPr>
          <w:b/>
          <w:szCs w:val="24"/>
          <w:lang w:eastAsia="en-US"/>
        </w:rPr>
        <w:t xml:space="preserve"> [Alt. 5]</w:t>
      </w:r>
    </w:p>
    <w:p w14:paraId="1C8E7BA1" w14:textId="77777777" w:rsidR="00250054" w:rsidRPr="00AA7DF5" w:rsidRDefault="00250054">
      <w:pPr>
        <w:widowControl/>
        <w:rPr>
          <w:b/>
          <w:i/>
          <w:szCs w:val="24"/>
          <w:lang w:eastAsia="en-US"/>
        </w:rPr>
      </w:pPr>
      <w:r w:rsidRPr="00AA7DF5">
        <w:rPr>
          <w:b/>
          <w:i/>
          <w:szCs w:val="24"/>
          <w:lang w:eastAsia="en-US"/>
        </w:rPr>
        <w:br w:type="page"/>
      </w:r>
    </w:p>
    <w:p w14:paraId="39411455" w14:textId="1B7B8B6A"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w:t>
      </w:r>
      <w:r w:rsidR="00250054"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Devido a fatores geográficos e socioeconómicos, algumas populações, inclusive as indígenas, são mais vulneráveis à poluição da água. Prevê‑se que o setor mineiro da União Europeia cresça para assegurar o desenvolvimento da indústria de impacto zero. Tal como recordado no relatório 09/2021 da Agência Europeia do Ambiente</w:t>
      </w:r>
      <w:r w:rsidRPr="00AA7DF5">
        <w:rPr>
          <w:szCs w:val="24"/>
          <w:vertAlign w:val="superscript"/>
          <w:lang w:eastAsia="en-US"/>
        </w:rPr>
        <w:footnoteReference w:id="6"/>
      </w:r>
      <w:r w:rsidRPr="00AA7DF5">
        <w:rPr>
          <w:b/>
          <w:i/>
          <w:szCs w:val="24"/>
          <w:lang w:eastAsia="en-US"/>
        </w:rPr>
        <w:t>, o setor mineiro tem um impacto direto na qualidade e quantidade da água. Por conseguinte, é necessário aplicar melhor os quadros legislativos existentes e planear e controlar a utilização e a descarga de água, também no âmbito das operações mineiras.</w:t>
      </w:r>
      <w:r w:rsidR="00250054" w:rsidRPr="00AA7DF5">
        <w:rPr>
          <w:b/>
          <w:szCs w:val="24"/>
          <w:lang w:eastAsia="en-US"/>
        </w:rPr>
        <w:t xml:space="preserve"> [Alt. 6]</w:t>
      </w:r>
    </w:p>
    <w:p w14:paraId="10B5D2A1" w14:textId="6DA0349A" w:rsidR="002E0FC5" w:rsidRPr="00AA7DF5" w:rsidRDefault="002E0FC5" w:rsidP="002E0FC5">
      <w:pPr>
        <w:spacing w:before="120" w:after="120" w:line="360" w:lineRule="auto"/>
        <w:ind w:left="850" w:hanging="850"/>
        <w:rPr>
          <w:b/>
          <w:szCs w:val="24"/>
          <w:lang w:eastAsia="en-US"/>
        </w:rPr>
      </w:pPr>
      <w:r w:rsidRPr="00AA7DF5">
        <w:rPr>
          <w:b/>
          <w:i/>
          <w:szCs w:val="24"/>
          <w:lang w:eastAsia="en-US"/>
        </w:rPr>
        <w:t>(1</w:t>
      </w:r>
      <w:r w:rsidR="00250054" w:rsidRPr="00AA7DF5">
        <w:rPr>
          <w:b/>
          <w:i/>
          <w:szCs w:val="24"/>
          <w:lang w:eastAsia="en-US"/>
        </w:rPr>
        <w:t>-D</w:t>
      </w:r>
      <w:r w:rsidRPr="00AA7DF5">
        <w:rPr>
          <w:b/>
          <w:i/>
          <w:szCs w:val="24"/>
          <w:lang w:eastAsia="en-US"/>
        </w:rPr>
        <w:t>)</w:t>
      </w:r>
      <w:r w:rsidRPr="00AA7DF5">
        <w:rPr>
          <w:szCs w:val="24"/>
          <w:lang w:eastAsia="en-US"/>
        </w:rPr>
        <w:tab/>
      </w:r>
      <w:r w:rsidRPr="00AA7DF5">
        <w:rPr>
          <w:b/>
          <w:i/>
          <w:szCs w:val="24"/>
          <w:lang w:eastAsia="en-US"/>
        </w:rPr>
        <w:t>Muitos territórios da União estão sujeitos a grandes e crescentes restrições de água. As significativas e persistentes secas dos últimos anos, especialmente nas regiões mediterrânicas, estão a pôr em risco a produção agrícola e a provocar um grave declínio das reservas de águas de superfície e subterrâneas</w:t>
      </w:r>
      <w:r w:rsidRPr="00AA7DF5">
        <w:rPr>
          <w:szCs w:val="24"/>
          <w:vertAlign w:val="superscript"/>
          <w:lang w:eastAsia="en-US"/>
        </w:rPr>
        <w:footnoteReference w:id="7"/>
      </w:r>
      <w:r w:rsidRPr="00AA7DF5">
        <w:rPr>
          <w:b/>
          <w:i/>
          <w:szCs w:val="24"/>
          <w:lang w:eastAsia="en-US"/>
        </w:rPr>
        <w:t>.</w:t>
      </w:r>
      <w:r w:rsidR="00250054" w:rsidRPr="00AA7DF5">
        <w:rPr>
          <w:b/>
          <w:szCs w:val="24"/>
          <w:lang w:eastAsia="en-US"/>
        </w:rPr>
        <w:t xml:space="preserve"> [Alt. 7]</w:t>
      </w:r>
    </w:p>
    <w:p w14:paraId="2A5E247C" w14:textId="360EE2A5" w:rsidR="002E0FC5" w:rsidRPr="00AA7DF5" w:rsidRDefault="002E0FC5" w:rsidP="002E0FC5">
      <w:pPr>
        <w:spacing w:before="120" w:after="120" w:line="360" w:lineRule="auto"/>
        <w:ind w:left="850" w:hanging="850"/>
        <w:rPr>
          <w:szCs w:val="24"/>
          <w:lang w:eastAsia="en-US"/>
        </w:rPr>
      </w:pPr>
      <w:r w:rsidRPr="00AA7DF5">
        <w:rPr>
          <w:b/>
          <w:i/>
          <w:szCs w:val="24"/>
          <w:lang w:eastAsia="en-US"/>
        </w:rPr>
        <w:t>(1</w:t>
      </w:r>
      <w:r w:rsidR="00250054" w:rsidRPr="00AA7DF5">
        <w:rPr>
          <w:b/>
          <w:i/>
          <w:szCs w:val="24"/>
          <w:lang w:eastAsia="en-US"/>
        </w:rPr>
        <w:t>-E</w:t>
      </w:r>
      <w:r w:rsidRPr="00AA7DF5">
        <w:rPr>
          <w:b/>
          <w:i/>
          <w:szCs w:val="24"/>
          <w:lang w:eastAsia="en-US"/>
        </w:rPr>
        <w:t>)</w:t>
      </w:r>
      <w:r w:rsidRPr="00AA7DF5">
        <w:rPr>
          <w:szCs w:val="24"/>
          <w:lang w:eastAsia="en-US"/>
        </w:rPr>
        <w:tab/>
      </w:r>
      <w:r w:rsidRPr="00AA7DF5">
        <w:rPr>
          <w:b/>
          <w:i/>
          <w:szCs w:val="24"/>
          <w:lang w:eastAsia="en-US"/>
        </w:rPr>
        <w:t>A água é um bem público para benefício de todos que, enquanto recurso natural essencial, que é insubstituível e indispensável à vida, tem de ser cuidadosamente tido em conta considerando as suas dimensões social, económica e ambiental. As alterações climáticas, incluindo o aumento da frequência de catástrofes naturais e fenómenos meteorológicos extremos, assim como a degradação da biodiversidade, afetam negativamente a qualidade e a quantidade da água, aumentando a pressão sobre setores que dependem da disponibilidade de água, em especial a agricultura.</w:t>
      </w:r>
      <w:r w:rsidR="00250054" w:rsidRPr="00AA7DF5">
        <w:rPr>
          <w:b/>
          <w:i/>
          <w:szCs w:val="24"/>
          <w:lang w:eastAsia="en-US"/>
        </w:rPr>
        <w:t xml:space="preserve"> </w:t>
      </w:r>
      <w:r w:rsidR="00250054" w:rsidRPr="00AA7DF5">
        <w:rPr>
          <w:b/>
          <w:szCs w:val="24"/>
          <w:lang w:eastAsia="en-US"/>
        </w:rPr>
        <w:t>[Alt. 8]</w:t>
      </w:r>
    </w:p>
    <w:p w14:paraId="17CFED05" w14:textId="77777777" w:rsidR="00250054" w:rsidRPr="00AA7DF5" w:rsidRDefault="00250054">
      <w:pPr>
        <w:widowControl/>
        <w:rPr>
          <w:b/>
          <w:i/>
          <w:szCs w:val="24"/>
          <w:lang w:eastAsia="en-US"/>
        </w:rPr>
      </w:pPr>
      <w:r w:rsidRPr="00AA7DF5">
        <w:rPr>
          <w:b/>
          <w:i/>
          <w:szCs w:val="24"/>
          <w:lang w:eastAsia="en-US"/>
        </w:rPr>
        <w:br w:type="page"/>
      </w:r>
    </w:p>
    <w:p w14:paraId="78AA7326" w14:textId="7419A097"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w:t>
      </w:r>
      <w:r w:rsidR="00250054" w:rsidRPr="00AA7DF5">
        <w:rPr>
          <w:b/>
          <w:i/>
          <w:szCs w:val="24"/>
          <w:lang w:eastAsia="en-US"/>
        </w:rPr>
        <w:t>-F</w:t>
      </w:r>
      <w:r w:rsidRPr="00AA7DF5">
        <w:rPr>
          <w:b/>
          <w:i/>
          <w:szCs w:val="24"/>
          <w:lang w:eastAsia="en-US"/>
        </w:rPr>
        <w:t>)</w:t>
      </w:r>
      <w:r w:rsidRPr="00AA7DF5">
        <w:rPr>
          <w:szCs w:val="24"/>
          <w:lang w:eastAsia="en-US"/>
        </w:rPr>
        <w:tab/>
      </w:r>
      <w:r w:rsidRPr="00AA7DF5">
        <w:rPr>
          <w:b/>
          <w:i/>
          <w:szCs w:val="24"/>
          <w:lang w:eastAsia="en-US"/>
        </w:rPr>
        <w:t>Embora, no seu relatório de 2018, intitulado «Águas europeias: avaliação do estado e das pressões», a Agência Europeia do Ambiente (AEA) tenha identificado determinadas práticas agrícolas como obstáculos à consecução de um bom estado químico das águas subterrâneas na União, resultando na poluição por nitratos e pesticidas, foi igualmente observada, ao longo das últimas décadas, uma diminuição constante da utilização de fertilizantes minerais e dos excedentes de nutrientes na UE</w:t>
      </w:r>
      <w:r w:rsidRPr="00AA7DF5">
        <w:rPr>
          <w:szCs w:val="24"/>
          <w:vertAlign w:val="superscript"/>
          <w:lang w:eastAsia="en-US"/>
        </w:rPr>
        <w:footnoteReference w:id="8"/>
      </w:r>
      <w:r w:rsidRPr="00AA7DF5">
        <w:rPr>
          <w:b/>
          <w:i/>
          <w:szCs w:val="24"/>
          <w:lang w:eastAsia="en-US"/>
        </w:rPr>
        <w:t>. Outras fontes significativas são as descargas de poluição que não estão ligadas a redes de esgotos, instalações contaminadas ou instalações industriais abandonadas.</w:t>
      </w:r>
      <w:r w:rsidR="00250054" w:rsidRPr="00AA7DF5">
        <w:rPr>
          <w:b/>
          <w:szCs w:val="24"/>
          <w:lang w:eastAsia="en-US"/>
        </w:rPr>
        <w:t xml:space="preserve"> [Alt. 9]</w:t>
      </w:r>
    </w:p>
    <w:p w14:paraId="3E106B4C" w14:textId="1632BA18" w:rsidR="002E0FC5" w:rsidRPr="00AA7DF5" w:rsidRDefault="002E0FC5" w:rsidP="002E0FC5">
      <w:pPr>
        <w:spacing w:before="120" w:after="120" w:line="360" w:lineRule="auto"/>
        <w:ind w:left="850" w:hanging="850"/>
        <w:rPr>
          <w:b/>
          <w:szCs w:val="24"/>
          <w:lang w:eastAsia="en-US"/>
        </w:rPr>
      </w:pPr>
      <w:r w:rsidRPr="00AA7DF5">
        <w:rPr>
          <w:b/>
          <w:i/>
          <w:szCs w:val="24"/>
          <w:lang w:eastAsia="en-US"/>
        </w:rPr>
        <w:t>(1</w:t>
      </w:r>
      <w:r w:rsidR="00250054" w:rsidRPr="00AA7DF5">
        <w:rPr>
          <w:b/>
          <w:i/>
          <w:szCs w:val="24"/>
          <w:lang w:eastAsia="en-US"/>
        </w:rPr>
        <w:t>-G</w:t>
      </w:r>
      <w:r w:rsidRPr="00AA7DF5">
        <w:rPr>
          <w:b/>
          <w:i/>
          <w:szCs w:val="24"/>
          <w:lang w:eastAsia="en-US"/>
        </w:rPr>
        <w:t>)</w:t>
      </w:r>
      <w:r w:rsidRPr="00AA7DF5">
        <w:rPr>
          <w:szCs w:val="24"/>
          <w:lang w:eastAsia="en-US"/>
        </w:rPr>
        <w:tab/>
      </w:r>
      <w:r w:rsidRPr="00AA7DF5">
        <w:rPr>
          <w:b/>
          <w:i/>
          <w:szCs w:val="24"/>
          <w:lang w:eastAsia="en-US"/>
        </w:rPr>
        <w:t>O bom estado das massas de água e a gestão eficiente dos recursos hídricos representam uma prioridade para a agricultura, uma vez que os agricultores dependem da água para desenvolver a sua atividade e, como tal, têm um interesse direto na utilização sustentável deste recurso.</w:t>
      </w:r>
      <w:r w:rsidR="00250054" w:rsidRPr="00AA7DF5">
        <w:rPr>
          <w:b/>
          <w:szCs w:val="24"/>
          <w:lang w:eastAsia="en-US"/>
        </w:rPr>
        <w:t xml:space="preserve"> [Alt. 10]</w:t>
      </w:r>
    </w:p>
    <w:p w14:paraId="16F10B11" w14:textId="3319DA4D" w:rsidR="002E0FC5" w:rsidRPr="00AA7DF5" w:rsidRDefault="002E0FC5" w:rsidP="002E0FC5">
      <w:pPr>
        <w:spacing w:before="120" w:after="120" w:line="360" w:lineRule="auto"/>
        <w:ind w:left="850" w:hanging="850"/>
        <w:rPr>
          <w:b/>
          <w:szCs w:val="24"/>
          <w:lang w:eastAsia="en-US"/>
        </w:rPr>
      </w:pPr>
      <w:r w:rsidRPr="00AA7DF5">
        <w:rPr>
          <w:b/>
          <w:i/>
          <w:szCs w:val="24"/>
          <w:lang w:eastAsia="en-US"/>
        </w:rPr>
        <w:t>(1</w:t>
      </w:r>
      <w:r w:rsidR="00250054" w:rsidRPr="00AA7DF5">
        <w:rPr>
          <w:b/>
          <w:i/>
          <w:szCs w:val="24"/>
          <w:lang w:eastAsia="en-US"/>
        </w:rPr>
        <w:t>-H</w:t>
      </w:r>
      <w:r w:rsidRPr="00AA7DF5">
        <w:rPr>
          <w:b/>
          <w:i/>
          <w:szCs w:val="24"/>
          <w:lang w:eastAsia="en-US"/>
        </w:rPr>
        <w:t>)</w:t>
      </w:r>
      <w:r w:rsidRPr="00AA7DF5">
        <w:rPr>
          <w:szCs w:val="24"/>
          <w:lang w:eastAsia="en-US"/>
        </w:rPr>
        <w:tab/>
      </w:r>
      <w:r w:rsidRPr="00AA7DF5">
        <w:rPr>
          <w:b/>
          <w:i/>
          <w:szCs w:val="24"/>
          <w:lang w:eastAsia="en-US"/>
        </w:rPr>
        <w:t>A fim de facilitar a transição para um setor agrícola mais sustentável, produtivo e resiliente no que respeita às restrições de água, devem ser criados incentivos para que os agricultores melhorem a gestão da água e modernizem os sistemas e técnicas de irrigação.</w:t>
      </w:r>
      <w:r w:rsidR="00250054" w:rsidRPr="00AA7DF5">
        <w:rPr>
          <w:b/>
          <w:szCs w:val="24"/>
          <w:lang w:eastAsia="en-US"/>
        </w:rPr>
        <w:t xml:space="preserve"> [Alt. 11]</w:t>
      </w:r>
    </w:p>
    <w:p w14:paraId="7F1DC284" w14:textId="77777777" w:rsidR="00250054" w:rsidRPr="00AA7DF5" w:rsidRDefault="00250054">
      <w:pPr>
        <w:widowControl/>
        <w:rPr>
          <w:b/>
          <w:i/>
          <w:szCs w:val="24"/>
          <w:lang w:eastAsia="en-US"/>
        </w:rPr>
      </w:pPr>
      <w:r w:rsidRPr="00AA7DF5">
        <w:rPr>
          <w:b/>
          <w:i/>
          <w:szCs w:val="24"/>
          <w:lang w:eastAsia="en-US"/>
        </w:rPr>
        <w:br w:type="page"/>
      </w:r>
    </w:p>
    <w:p w14:paraId="38425774" w14:textId="01D87C91"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w:t>
      </w:r>
      <w:r w:rsidR="00250054" w:rsidRPr="00AA7DF5">
        <w:rPr>
          <w:b/>
          <w:i/>
          <w:szCs w:val="24"/>
          <w:lang w:eastAsia="en-US"/>
        </w:rPr>
        <w:t>-I</w:t>
      </w:r>
      <w:r w:rsidRPr="00AA7DF5">
        <w:rPr>
          <w:b/>
          <w:i/>
          <w:szCs w:val="24"/>
          <w:lang w:eastAsia="en-US"/>
        </w:rPr>
        <w:t>)</w:t>
      </w:r>
      <w:r w:rsidRPr="00AA7DF5">
        <w:rPr>
          <w:szCs w:val="24"/>
          <w:lang w:eastAsia="en-US"/>
        </w:rPr>
        <w:tab/>
      </w:r>
      <w:r w:rsidRPr="00AA7DF5">
        <w:rPr>
          <w:b/>
          <w:i/>
          <w:szCs w:val="24"/>
          <w:lang w:eastAsia="en-US"/>
        </w:rPr>
        <w:t>A utilização de pesticidas pode afetar gravemente a qualidade da água e a quantidade de água disponível para utilização agrícola, conduzindo a impactos negativos na biodiversidade aquática e terrestre. É, por conseguinte, adequado monitorizar o impacto e o destino ecotoxicológico dos pesticidas e dos seus metabolitos nas massas de água.</w:t>
      </w:r>
      <w:r w:rsidR="00250054" w:rsidRPr="00AA7DF5">
        <w:rPr>
          <w:b/>
          <w:szCs w:val="24"/>
          <w:lang w:eastAsia="en-US"/>
        </w:rPr>
        <w:t xml:space="preserve"> [Alt. 12]</w:t>
      </w:r>
    </w:p>
    <w:p w14:paraId="6421D388" w14:textId="692F69D1" w:rsidR="002E0FC5" w:rsidRPr="00AA7DF5" w:rsidRDefault="002E0FC5" w:rsidP="002E0FC5">
      <w:pPr>
        <w:spacing w:before="120" w:after="120" w:line="360" w:lineRule="auto"/>
        <w:ind w:left="850" w:hanging="850"/>
        <w:rPr>
          <w:b/>
          <w:szCs w:val="24"/>
          <w:lang w:eastAsia="en-US"/>
        </w:rPr>
      </w:pPr>
      <w:r w:rsidRPr="00AA7DF5">
        <w:rPr>
          <w:b/>
          <w:i/>
          <w:szCs w:val="24"/>
          <w:lang w:eastAsia="en-US"/>
        </w:rPr>
        <w:t>(1</w:t>
      </w:r>
      <w:r w:rsidR="00250054" w:rsidRPr="00AA7DF5">
        <w:rPr>
          <w:b/>
          <w:i/>
          <w:szCs w:val="24"/>
          <w:lang w:eastAsia="en-US"/>
        </w:rPr>
        <w:t>-J</w:t>
      </w:r>
      <w:r w:rsidRPr="00AA7DF5">
        <w:rPr>
          <w:b/>
          <w:i/>
          <w:szCs w:val="24"/>
          <w:lang w:eastAsia="en-US"/>
        </w:rPr>
        <w:t>)</w:t>
      </w:r>
      <w:r w:rsidRPr="00AA7DF5">
        <w:rPr>
          <w:szCs w:val="24"/>
          <w:lang w:eastAsia="en-US"/>
        </w:rPr>
        <w:tab/>
      </w:r>
      <w:r w:rsidRPr="00AA7DF5">
        <w:rPr>
          <w:b/>
          <w:i/>
          <w:szCs w:val="24"/>
          <w:lang w:eastAsia="en-US"/>
        </w:rPr>
        <w:t>É essencial ter em conta os esforços envidados até à data em setores como a agricultura, onde já foi possível reduzir a contaminação fitossanitária em 14 %, em comparação com o período entre 2015‑2017, sendo a percentagem de 26 % se tivermos em conta as substâncias mais nocivas. Assim, os números mostram uma redução contínua na utilização e no risco dos produtos químicos, sendo 2020 o segundo ano consecutivo em que houve uma redução significativa no uso de pesticidas, especialmente dos mais perigosos</w:t>
      </w:r>
      <w:r w:rsidRPr="00AA7DF5">
        <w:rPr>
          <w:szCs w:val="24"/>
          <w:vertAlign w:val="superscript"/>
          <w:lang w:eastAsia="en-US"/>
        </w:rPr>
        <w:footnoteReference w:id="9"/>
      </w:r>
      <w:r w:rsidRPr="00AA7DF5">
        <w:rPr>
          <w:b/>
          <w:i/>
          <w:szCs w:val="24"/>
          <w:lang w:eastAsia="en-US"/>
        </w:rPr>
        <w:t>.</w:t>
      </w:r>
      <w:r w:rsidR="00250054" w:rsidRPr="00AA7DF5">
        <w:rPr>
          <w:b/>
          <w:szCs w:val="24"/>
          <w:lang w:eastAsia="en-US"/>
        </w:rPr>
        <w:t xml:space="preserve"> [Alt. 13]</w:t>
      </w:r>
    </w:p>
    <w:p w14:paraId="274DF923" w14:textId="77777777" w:rsidR="00250054" w:rsidRPr="00AA7DF5" w:rsidRDefault="00250054">
      <w:pPr>
        <w:widowControl/>
        <w:rPr>
          <w:b/>
          <w:i/>
          <w:szCs w:val="24"/>
          <w:lang w:eastAsia="en-US"/>
        </w:rPr>
      </w:pPr>
      <w:r w:rsidRPr="00AA7DF5">
        <w:rPr>
          <w:b/>
          <w:i/>
          <w:szCs w:val="24"/>
          <w:lang w:eastAsia="en-US"/>
        </w:rPr>
        <w:br w:type="page"/>
      </w:r>
    </w:p>
    <w:p w14:paraId="00BCF2CF" w14:textId="5AFB5809"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w:t>
      </w:r>
      <w:r w:rsidR="00250054" w:rsidRPr="00AA7DF5">
        <w:rPr>
          <w:b/>
          <w:i/>
          <w:szCs w:val="24"/>
          <w:lang w:eastAsia="en-US"/>
        </w:rPr>
        <w:t>-K</w:t>
      </w:r>
      <w:r w:rsidRPr="00AA7DF5">
        <w:rPr>
          <w:b/>
          <w:i/>
          <w:szCs w:val="24"/>
          <w:lang w:eastAsia="en-US"/>
        </w:rPr>
        <w:t>)</w:t>
      </w:r>
      <w:r w:rsidRPr="00AA7DF5">
        <w:rPr>
          <w:szCs w:val="24"/>
          <w:lang w:eastAsia="en-US"/>
        </w:rPr>
        <w:tab/>
      </w:r>
      <w:r w:rsidRPr="00AA7DF5">
        <w:rPr>
          <w:b/>
          <w:i/>
          <w:szCs w:val="24"/>
          <w:lang w:eastAsia="en-US"/>
        </w:rPr>
        <w:t>A poluição química das águas superficiais e subterrâneas também representa uma ameaça para a agricultura, ao limitar a disponibilidade de água adequada para a irrigação das culturas e agravando, ainda mais, a escassez de água. A União e os Estados‑Membros devem, por conseguinte, aumentar o apoio à investigação e inovação, a fim de implantar rapidamente soluções para combater a escassez e a poluição das águas superficiais e subterrâneas, incluindo a digitalização, a agricultura de precisão, a irrigação otimizada e a modernização da irrigação e a utilização circular dos recursos, para uma melhor gestão da água resiliente às alterações climáticas e uma aplicação mais direcionada de pesticidas e fertilizantes nas culturas, alternativas menos poluentes e mais seguras aos fatores de produção agrícola, variedades mais resistentes e eficientes em termos de nutrientes e uma maior utilização de águas residuais tratadas para irrigação agrícola. Tal deve contribuir para alcançar um sistema alimentar da União sustentável e resiliente, reduzindo simultaneamente a poluição difusa proveniente da agricultura e a necessidade de captação para a agricultura.</w:t>
      </w:r>
      <w:r w:rsidR="00250054" w:rsidRPr="00AA7DF5">
        <w:rPr>
          <w:b/>
          <w:szCs w:val="24"/>
          <w:lang w:eastAsia="en-US"/>
        </w:rPr>
        <w:t xml:space="preserve"> [Alt. 14]</w:t>
      </w:r>
    </w:p>
    <w:p w14:paraId="74D8C010" w14:textId="77777777" w:rsidR="00250054" w:rsidRPr="00AA7DF5" w:rsidRDefault="00250054">
      <w:pPr>
        <w:widowControl/>
        <w:rPr>
          <w:szCs w:val="24"/>
          <w:lang w:eastAsia="en-US"/>
        </w:rPr>
      </w:pPr>
      <w:r w:rsidRPr="00AA7DF5">
        <w:rPr>
          <w:szCs w:val="24"/>
          <w:lang w:eastAsia="en-US"/>
        </w:rPr>
        <w:br w:type="page"/>
      </w:r>
    </w:p>
    <w:p w14:paraId="6BBB9FFA" w14:textId="528FE1DD"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w:t>
      </w:r>
      <w:r w:rsidRPr="00AA7DF5">
        <w:rPr>
          <w:szCs w:val="24"/>
          <w:lang w:eastAsia="en-US"/>
        </w:rPr>
        <w:tab/>
        <w:t>Nos termos do artigo 191.º, n.º 2, segunda frase, do Tratado sobre o Funcionamento da União Europeia (TFUE), a política da União no domínio do ambiente deve basear-se nos princípios da precaução e da ação preventiva, da correção, prioritariamente na fonte, dos danos causados ao ambiente e do poluidor-pagador.</w:t>
      </w:r>
    </w:p>
    <w:p w14:paraId="17F51D2E" w14:textId="776D2B55" w:rsidR="002E0FC5" w:rsidRPr="00AA7DF5" w:rsidRDefault="002E0FC5" w:rsidP="002E0FC5">
      <w:pPr>
        <w:spacing w:before="120" w:after="120" w:line="360" w:lineRule="auto"/>
        <w:ind w:left="850" w:hanging="850"/>
        <w:rPr>
          <w:b/>
          <w:szCs w:val="24"/>
          <w:lang w:eastAsia="en-US"/>
        </w:rPr>
      </w:pPr>
      <w:r w:rsidRPr="00AA7DF5">
        <w:rPr>
          <w:b/>
          <w:i/>
          <w:szCs w:val="24"/>
          <w:lang w:eastAsia="en-US"/>
        </w:rPr>
        <w:t>(2</w:t>
      </w:r>
      <w:r w:rsidR="00250054"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Ao procurar lograr um elevado nível de proteção do ambiente e na execução do Plano de Ação para a Poluição Zero, a União deve ter em conta a diversidade de situações nas diferentes regiões da União, o impacto na segurança alimentar, na produção alimentar e na acessibilidade em termos de preços dos alimentos, bem como regimes alimentares saudáveis e sustentáveis.</w:t>
      </w:r>
      <w:r w:rsidR="00250054" w:rsidRPr="00AA7DF5">
        <w:rPr>
          <w:b/>
          <w:szCs w:val="24"/>
          <w:lang w:eastAsia="en-US"/>
        </w:rPr>
        <w:t xml:space="preserve"> [Alt. 15]</w:t>
      </w:r>
    </w:p>
    <w:p w14:paraId="1B3A2274" w14:textId="77777777" w:rsidR="00250054" w:rsidRPr="00AA7DF5" w:rsidRDefault="00250054">
      <w:pPr>
        <w:widowControl/>
        <w:rPr>
          <w:szCs w:val="24"/>
          <w:lang w:eastAsia="en-US"/>
        </w:rPr>
      </w:pPr>
      <w:r w:rsidRPr="00AA7DF5">
        <w:rPr>
          <w:szCs w:val="24"/>
          <w:lang w:eastAsia="en-US"/>
        </w:rPr>
        <w:br w:type="page"/>
      </w:r>
    </w:p>
    <w:p w14:paraId="316D272F" w14:textId="0042BC30"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(3)</w:t>
      </w:r>
      <w:r w:rsidRPr="00AA7DF5">
        <w:rPr>
          <w:szCs w:val="24"/>
          <w:lang w:eastAsia="en-US"/>
        </w:rPr>
        <w:tab/>
        <w:t>O Pacto Ecológico Europeu</w:t>
      </w:r>
      <w:r w:rsidRPr="00AA7DF5">
        <w:rPr>
          <w:szCs w:val="24"/>
          <w:vertAlign w:val="superscript"/>
          <w:lang w:eastAsia="en-US"/>
        </w:rPr>
        <w:footnoteReference w:id="10"/>
      </w:r>
      <w:r w:rsidRPr="00AA7DF5">
        <w:rPr>
          <w:szCs w:val="24"/>
          <w:lang w:eastAsia="en-US"/>
        </w:rPr>
        <w:t xml:space="preserve"> constitui a estratégia da União para alcançar, até 2050, uma economia limpa e circular com impacto neutro no clima, otimizando a gestão dos recursos e minimizando simultaneamente a poluição. A Estratégia para a Sustentabilidade dos Produtos Químicos</w:t>
      </w:r>
      <w:r w:rsidRPr="00AA7DF5">
        <w:rPr>
          <w:szCs w:val="24"/>
          <w:vertAlign w:val="superscript"/>
          <w:lang w:eastAsia="en-US"/>
        </w:rPr>
        <w:footnoteReference w:id="11"/>
      </w:r>
      <w:r w:rsidRPr="00AA7DF5">
        <w:rPr>
          <w:szCs w:val="24"/>
          <w:lang w:eastAsia="en-US"/>
        </w:rPr>
        <w:t xml:space="preserve"> da UE e o Plano de Ação para a Poluição Zero</w:t>
      </w:r>
      <w:r w:rsidRPr="00AA7DF5">
        <w:rPr>
          <w:szCs w:val="24"/>
          <w:vertAlign w:val="superscript"/>
          <w:lang w:eastAsia="en-US"/>
        </w:rPr>
        <w:footnoteReference w:id="12"/>
      </w:r>
      <w:r w:rsidRPr="00AA7DF5">
        <w:rPr>
          <w:szCs w:val="24"/>
          <w:lang w:eastAsia="en-US"/>
        </w:rPr>
        <w:t xml:space="preserve"> incidem especificamente nos aspetos do Pacto Ecológico Europeu relacionados com a poluição. Outras políticas particularmente relevantes e complementares são a Estratégia Europeia para os Plásticos</w:t>
      </w:r>
      <w:r w:rsidRPr="00AA7DF5">
        <w:rPr>
          <w:szCs w:val="24"/>
          <w:vertAlign w:val="superscript"/>
          <w:lang w:eastAsia="en-US"/>
        </w:rPr>
        <w:footnoteReference w:id="13"/>
      </w:r>
      <w:r w:rsidRPr="00AA7DF5">
        <w:rPr>
          <w:szCs w:val="24"/>
          <w:lang w:eastAsia="en-US"/>
        </w:rPr>
        <w:t>, de 2018, a Estratégia Farmacêutica para a Europa</w:t>
      </w:r>
      <w:r w:rsidRPr="00AA7DF5">
        <w:rPr>
          <w:szCs w:val="24"/>
          <w:vertAlign w:val="superscript"/>
          <w:lang w:eastAsia="en-US"/>
        </w:rPr>
        <w:footnoteReference w:id="14"/>
      </w:r>
      <w:r w:rsidRPr="00AA7DF5">
        <w:rPr>
          <w:szCs w:val="24"/>
          <w:lang w:eastAsia="en-US"/>
        </w:rPr>
        <w:t>, de 2021, a Estratégia de Biodiversidade</w:t>
      </w:r>
      <w:r w:rsidRPr="00AA7DF5">
        <w:rPr>
          <w:szCs w:val="24"/>
          <w:vertAlign w:val="superscript"/>
          <w:lang w:eastAsia="en-US"/>
        </w:rPr>
        <w:footnoteReference w:id="15"/>
      </w:r>
      <w:r w:rsidRPr="00AA7DF5">
        <w:rPr>
          <w:szCs w:val="24"/>
          <w:lang w:eastAsia="en-US"/>
        </w:rPr>
        <w:t>, a Estratégia do Prado ao Prato</w:t>
      </w:r>
      <w:r w:rsidRPr="00AA7DF5">
        <w:rPr>
          <w:szCs w:val="24"/>
          <w:vertAlign w:val="superscript"/>
          <w:lang w:eastAsia="en-US"/>
        </w:rPr>
        <w:footnoteReference w:id="16"/>
      </w:r>
      <w:r w:rsidRPr="00AA7DF5">
        <w:rPr>
          <w:szCs w:val="24"/>
          <w:lang w:eastAsia="en-US"/>
        </w:rPr>
        <w:t>, a Estratégia de Proteção do Solo para 2030 da UE</w:t>
      </w:r>
      <w:r w:rsidRPr="00AA7DF5">
        <w:rPr>
          <w:szCs w:val="24"/>
          <w:vertAlign w:val="superscript"/>
          <w:lang w:eastAsia="en-US"/>
        </w:rPr>
        <w:footnoteReference w:id="17"/>
      </w:r>
      <w:r w:rsidRPr="00AA7DF5">
        <w:rPr>
          <w:szCs w:val="24"/>
          <w:lang w:eastAsia="en-US"/>
        </w:rPr>
        <w:t>, a Estratégia Digital da UE</w:t>
      </w:r>
      <w:r w:rsidRPr="00AA7DF5">
        <w:rPr>
          <w:szCs w:val="24"/>
          <w:vertAlign w:val="superscript"/>
          <w:lang w:eastAsia="en-US"/>
        </w:rPr>
        <w:footnoteReference w:id="18"/>
      </w:r>
      <w:r w:rsidRPr="00AA7DF5">
        <w:rPr>
          <w:szCs w:val="24"/>
          <w:lang w:eastAsia="en-US"/>
        </w:rPr>
        <w:t xml:space="preserve"> e a Estratégia para os Dados da UE</w:t>
      </w:r>
      <w:r w:rsidRPr="00AA7DF5">
        <w:rPr>
          <w:szCs w:val="24"/>
          <w:vertAlign w:val="superscript"/>
          <w:lang w:eastAsia="en-US"/>
        </w:rPr>
        <w:footnoteReference w:id="19"/>
      </w:r>
      <w:r w:rsidRPr="00AA7DF5">
        <w:rPr>
          <w:szCs w:val="24"/>
          <w:lang w:eastAsia="en-US"/>
        </w:rPr>
        <w:t>.</w:t>
      </w:r>
    </w:p>
    <w:p w14:paraId="4384F5C3" w14:textId="32244275"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w:t>
      </w:r>
      <w:r w:rsidR="00047C50"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Os objetivos de alcançar um «bom estado das massas de água» e assegurar a disponibilidade de água são transversais e, muitas vezes, não são procurados de forma suficientemente coerente. A boa gestão da água deve ser integrada em todas as políticas da União relativas aos setores consumidores de água.</w:t>
      </w:r>
      <w:r w:rsidR="00047C50" w:rsidRPr="00AA7DF5">
        <w:rPr>
          <w:b/>
          <w:szCs w:val="24"/>
          <w:lang w:eastAsia="en-US"/>
        </w:rPr>
        <w:t xml:space="preserve"> [Alt. 16]</w:t>
      </w:r>
    </w:p>
    <w:p w14:paraId="5ED522D0" w14:textId="34164F9B" w:rsidR="002E0FC5" w:rsidRPr="00AA7DF5" w:rsidRDefault="002E0FC5" w:rsidP="002E0FC5">
      <w:pPr>
        <w:spacing w:before="120" w:after="120" w:line="360" w:lineRule="auto"/>
        <w:ind w:left="850" w:hanging="850"/>
        <w:rPr>
          <w:b/>
          <w:szCs w:val="24"/>
          <w:lang w:eastAsia="en-US"/>
        </w:rPr>
      </w:pPr>
      <w:r w:rsidRPr="00AA7DF5">
        <w:rPr>
          <w:b/>
          <w:i/>
          <w:szCs w:val="24"/>
          <w:lang w:eastAsia="en-US"/>
        </w:rPr>
        <w:t>(3</w:t>
      </w:r>
      <w:r w:rsidR="00047C50"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O balanço de qualidade salientou a necessidade de uma melhor integração dos objetivos relacionados com a água na política agrícola. A nova PAC introduziu medidas que tornam a gestão da água mais sustentável. A fim de reforçar a coerência entre a agricultura e a política da água, os Estados‑Membros devem tirar pleno partido das oportunidades existentes na nova PAC e integrar plenamente as questões da água nos seus planos estratégicos, incluindo a utilização de sistemas de conhecimento e inovação agrícola (SCIA), bem como facilitar o desenvolvimento de serviços de aconselhamento para promover as práticas de excelência em matéria de gestão da água.</w:t>
      </w:r>
      <w:r w:rsidR="00047C50" w:rsidRPr="00AA7DF5">
        <w:rPr>
          <w:b/>
          <w:szCs w:val="24"/>
          <w:lang w:eastAsia="en-US"/>
        </w:rPr>
        <w:t xml:space="preserve"> [Alt. 17]</w:t>
      </w:r>
    </w:p>
    <w:p w14:paraId="19A75871" w14:textId="77777777" w:rsidR="00047C50" w:rsidRPr="00AA7DF5" w:rsidRDefault="00047C50">
      <w:pPr>
        <w:widowControl/>
        <w:rPr>
          <w:szCs w:val="24"/>
          <w:lang w:eastAsia="en-US"/>
        </w:rPr>
      </w:pPr>
      <w:r w:rsidRPr="00AA7DF5">
        <w:rPr>
          <w:szCs w:val="24"/>
          <w:lang w:eastAsia="en-US"/>
        </w:rPr>
        <w:br w:type="page"/>
      </w:r>
    </w:p>
    <w:p w14:paraId="31A571C3" w14:textId="5DD60C83"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(4)</w:t>
      </w:r>
      <w:r w:rsidRPr="00AA7DF5">
        <w:rPr>
          <w:szCs w:val="24"/>
          <w:lang w:eastAsia="en-US"/>
        </w:rPr>
        <w:tab/>
        <w:t>A Diretiva 2000/60/CE do Parlamento Europeu e do Conselho</w:t>
      </w:r>
      <w:r w:rsidRPr="00AA7DF5">
        <w:rPr>
          <w:szCs w:val="24"/>
          <w:vertAlign w:val="superscript"/>
          <w:lang w:eastAsia="en-US"/>
        </w:rPr>
        <w:footnoteReference w:id="20"/>
      </w:r>
      <w:r w:rsidRPr="00AA7DF5">
        <w:rPr>
          <w:szCs w:val="24"/>
          <w:lang w:eastAsia="en-US"/>
        </w:rPr>
        <w:t xml:space="preserve"> estabelece um quadro para as proteção das águas de superfície, das águas costeiras, das águas de transição e das águas subterrâneas. Esse quadro passa pela identificação das substâncias que assumem caráter prioritário de entre aquelas que constituem um risco significativo para o meio aquático, ou por intermédio deste, a nível da União. A Diretiva 2008/105/CE do Parlamento Europeu e do Conselho</w:t>
      </w:r>
      <w:r w:rsidRPr="00AA7DF5">
        <w:rPr>
          <w:szCs w:val="24"/>
          <w:vertAlign w:val="superscript"/>
          <w:lang w:eastAsia="en-US"/>
        </w:rPr>
        <w:footnoteReference w:id="21"/>
      </w:r>
      <w:r w:rsidRPr="00AA7DF5">
        <w:rPr>
          <w:szCs w:val="24"/>
          <w:lang w:eastAsia="en-US"/>
        </w:rPr>
        <w:t xml:space="preserve"> estabelece normas de qualidade ambiental a nível da União para as 45 substâncias prioritárias enumeradas no anexo X da Diretiva 2000/60/CE e para oito outros poluentes que já estavam regulamentados a nível da União pela Decisão 2455/2001/CE do Parlamento Europeu e do Conselho</w:t>
      </w:r>
      <w:r w:rsidRPr="00AA7DF5">
        <w:rPr>
          <w:szCs w:val="24"/>
          <w:vertAlign w:val="superscript"/>
          <w:lang w:eastAsia="en-US"/>
        </w:rPr>
        <w:footnoteReference w:id="22"/>
      </w:r>
      <w:r w:rsidRPr="00AA7DF5">
        <w:rPr>
          <w:szCs w:val="24"/>
          <w:lang w:eastAsia="en-US"/>
        </w:rPr>
        <w:t>, antes da introdução do anexo X. A Diretiva 2006/118/CE do Parlamento Europeu e do Conselho</w:t>
      </w:r>
      <w:r w:rsidRPr="00AA7DF5">
        <w:rPr>
          <w:szCs w:val="24"/>
          <w:vertAlign w:val="superscript"/>
          <w:lang w:eastAsia="en-US"/>
        </w:rPr>
        <w:footnoteReference w:id="23"/>
      </w:r>
      <w:r w:rsidRPr="00AA7DF5">
        <w:rPr>
          <w:szCs w:val="24"/>
          <w:lang w:eastAsia="en-US"/>
        </w:rPr>
        <w:t xml:space="preserve"> estabelece normas de qualidade das águas subterrâneas a nível da União para os nitratos e as substâncias ativas dos pesticidas e critérios para o estabelecimento de limiares nacionais para outros poluentes das águas subterrâneas. Estabelece igualmente uma lista mínima de 12 poluentes e os seus indicadores para os quais os Estados‑Membros devem </w:t>
      </w:r>
      <w:r w:rsidRPr="00AA7DF5">
        <w:rPr>
          <w:strike/>
          <w:szCs w:val="24"/>
          <w:lang w:eastAsia="en-US"/>
        </w:rPr>
        <w:t xml:space="preserve">ponderar o estabelecimento </w:t>
      </w:r>
      <w:proofErr w:type="spellStart"/>
      <w:r w:rsidRPr="00AA7DF5">
        <w:rPr>
          <w:strike/>
          <w:szCs w:val="24"/>
          <w:lang w:eastAsia="en-US"/>
        </w:rPr>
        <w:t>de</w:t>
      </w:r>
      <w:r w:rsidRPr="00AA7DF5">
        <w:rPr>
          <w:b/>
          <w:i/>
          <w:szCs w:val="24"/>
          <w:lang w:eastAsia="en-US"/>
        </w:rPr>
        <w:t>estabelecer</w:t>
      </w:r>
      <w:proofErr w:type="spellEnd"/>
      <w:r w:rsidRPr="00AA7DF5">
        <w:rPr>
          <w:szCs w:val="24"/>
          <w:lang w:eastAsia="en-US"/>
        </w:rPr>
        <w:t xml:space="preserve"> limiares nacionais. As normas de qualidade das águas subterrâneas constam do anexo I da Diretiva 2006/118/CE.</w:t>
      </w:r>
      <w:r w:rsidR="00047C50" w:rsidRPr="00AA7DF5">
        <w:rPr>
          <w:b/>
          <w:szCs w:val="24"/>
          <w:lang w:eastAsia="en-US"/>
        </w:rPr>
        <w:t xml:space="preserve"> [Alt. 18]</w:t>
      </w:r>
    </w:p>
    <w:p w14:paraId="72B24AA0" w14:textId="77777777" w:rsidR="00047C50" w:rsidRPr="00AA7DF5" w:rsidRDefault="00047C50">
      <w:pPr>
        <w:widowControl/>
        <w:rPr>
          <w:b/>
          <w:i/>
          <w:szCs w:val="24"/>
          <w:lang w:eastAsia="en-US"/>
        </w:rPr>
      </w:pPr>
      <w:r w:rsidRPr="00AA7DF5">
        <w:rPr>
          <w:b/>
          <w:i/>
          <w:szCs w:val="24"/>
          <w:lang w:eastAsia="en-US"/>
        </w:rPr>
        <w:br w:type="page"/>
      </w:r>
    </w:p>
    <w:p w14:paraId="330A0468" w14:textId="2075B48F"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(4</w:t>
      </w:r>
      <w:r w:rsidR="00047C50"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Os Estados‑Membros devem assegurar a cessação ou eliminação gradual da poluição resultante da descarga, emissão ou perda de substâncias perigosas prioritárias num prazo adequado e, em qualquer caso, o mais tardar 20 anos após uma determinada substância prioritária ter sido incluída como perigosa no anexo</w:t>
      </w:r>
      <w:r w:rsidR="0068547B" w:rsidRPr="00AA7DF5">
        <w:rPr>
          <w:b/>
          <w:i/>
          <w:szCs w:val="24"/>
          <w:lang w:eastAsia="en-US"/>
        </w:rPr>
        <w:t> </w:t>
      </w:r>
      <w:r w:rsidRPr="00AA7DF5">
        <w:rPr>
          <w:b/>
          <w:i/>
          <w:szCs w:val="24"/>
          <w:lang w:eastAsia="en-US"/>
        </w:rPr>
        <w:t>I, parte A, da Diretiva 2008/105/CE. Esse prazo deve aplicar‑se sem prejuízo da aplicação de prazos mais rigorosos em qualquer outra legislação da União aplicável.</w:t>
      </w:r>
      <w:r w:rsidR="00047C50" w:rsidRPr="00AA7DF5">
        <w:rPr>
          <w:b/>
          <w:szCs w:val="24"/>
          <w:lang w:eastAsia="en-US"/>
        </w:rPr>
        <w:t xml:space="preserve"> [Alt. 19]</w:t>
      </w:r>
    </w:p>
    <w:p w14:paraId="2257D6F6" w14:textId="57A974E3" w:rsidR="002E0FC5" w:rsidRPr="00AA7DF5" w:rsidRDefault="002E0FC5" w:rsidP="002E0FC5">
      <w:pPr>
        <w:spacing w:before="120" w:after="120" w:line="360" w:lineRule="auto"/>
        <w:ind w:left="850" w:hanging="850"/>
        <w:rPr>
          <w:b/>
          <w:szCs w:val="24"/>
          <w:lang w:eastAsia="en-US"/>
        </w:rPr>
      </w:pPr>
      <w:r w:rsidRPr="00AA7DF5">
        <w:rPr>
          <w:szCs w:val="24"/>
          <w:lang w:eastAsia="en-US"/>
        </w:rPr>
        <w:t>(5)</w:t>
      </w:r>
      <w:r w:rsidRPr="00AA7DF5">
        <w:rPr>
          <w:szCs w:val="24"/>
          <w:lang w:eastAsia="en-US"/>
        </w:rPr>
        <w:tab/>
        <w:t xml:space="preserve">A ponderação das substâncias para inclusão na lista do anexo X da Diretiva 2000/60/CE ou nos anexos I ou II da Diretiva 2006/118/CE tem por base uma avaliação do risco que representam para os seres humanos e para o ambiente aquático. Os principais componentes dessa avaliação são o conhecimento das concentrações das substâncias no ambiente, nomeadamente as informações recolhidas através da monitorização da lista de vigilância, e o conhecimento da (eco)toxicologia das substâncias e da persistência, da bioacumulação, da </w:t>
      </w:r>
      <w:r w:rsidRPr="00AA7DF5">
        <w:rPr>
          <w:b/>
          <w:i/>
          <w:szCs w:val="24"/>
          <w:lang w:eastAsia="en-US"/>
        </w:rPr>
        <w:t xml:space="preserve">toxicidade, da mobilidade, da </w:t>
      </w:r>
      <w:r w:rsidRPr="00AA7DF5">
        <w:rPr>
          <w:szCs w:val="24"/>
          <w:lang w:eastAsia="en-US"/>
        </w:rPr>
        <w:t xml:space="preserve">carcinogenicidade, da </w:t>
      </w:r>
      <w:proofErr w:type="spellStart"/>
      <w:r w:rsidRPr="00AA7DF5">
        <w:rPr>
          <w:szCs w:val="24"/>
          <w:lang w:eastAsia="en-US"/>
        </w:rPr>
        <w:t>mutagenicidade</w:t>
      </w:r>
      <w:proofErr w:type="spellEnd"/>
      <w:r w:rsidRPr="00AA7DF5">
        <w:rPr>
          <w:szCs w:val="24"/>
          <w:lang w:eastAsia="en-US"/>
        </w:rPr>
        <w:t>, da toxicidade para a reprodução e do potencial de desregulação endócrina das mesmas.</w:t>
      </w:r>
      <w:r w:rsidR="0068547B" w:rsidRPr="00AA7DF5">
        <w:rPr>
          <w:b/>
          <w:szCs w:val="24"/>
          <w:lang w:eastAsia="en-US"/>
        </w:rPr>
        <w:t xml:space="preserve"> [Alt. 20]</w:t>
      </w:r>
    </w:p>
    <w:p w14:paraId="69DA667B" w14:textId="77777777" w:rsidR="0068547B" w:rsidRPr="00AA7DF5" w:rsidRDefault="0068547B">
      <w:pPr>
        <w:widowControl/>
        <w:rPr>
          <w:szCs w:val="24"/>
          <w:lang w:eastAsia="en-US"/>
        </w:rPr>
      </w:pPr>
      <w:r w:rsidRPr="00AA7DF5">
        <w:rPr>
          <w:szCs w:val="24"/>
          <w:lang w:eastAsia="en-US"/>
        </w:rPr>
        <w:br w:type="page"/>
      </w:r>
    </w:p>
    <w:p w14:paraId="1EDE524B" w14:textId="0CD3F810"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(6)</w:t>
      </w:r>
      <w:r w:rsidRPr="00AA7DF5">
        <w:rPr>
          <w:szCs w:val="24"/>
          <w:lang w:eastAsia="en-US"/>
        </w:rPr>
        <w:tab/>
        <w:t>A Comissão procedeu a uma revisão da lista de substâncias prioritárias do anexo X da Diretiva 2000/60/CE, em conformidade com o artigo 16.º, n.º 4, dessa diretiva e com o artigo 8.º da Diretiva 2008/105/CE, assim como a uma revisão das listas de substâncias constantes dos anexos I e II da Diretiva 2006/118/CE, em conformidade com o artigo 10.º dessa diretiva, tendo concluído que, à luz dos novos conhecimentos científicos, é adequado alterar essas listas através da inclusão de novas substâncias, do estabelecimento de normas de qualidade ambiental ou de normas de qualidade das águas subterrâneas para as substâncias agora acrescentadas, da revisão das normas de qualidade ambiental de algumas substâncias já incluídas em consonância com o progresso científico e do estabelecimento de normas de qualidade ambiental para o biota para algumas substâncias já incluídas e outras agora acrescentadas. A Comissão identificou também as substâncias suscetíveis de se acumularem nos sedimentos ou no biota, tendo esclarecido que a monitorização das tendências dessas substâncias deve ser realizada nos sedimentos ou no biota. As revisões da</w:t>
      </w:r>
      <w:r w:rsidR="00B97F78" w:rsidRPr="00AA7DF5">
        <w:rPr>
          <w:szCs w:val="24"/>
          <w:lang w:eastAsia="en-US"/>
        </w:rPr>
        <w:t>s</w:t>
      </w:r>
      <w:r w:rsidRPr="00AA7DF5">
        <w:rPr>
          <w:szCs w:val="24"/>
          <w:lang w:eastAsia="en-US"/>
        </w:rPr>
        <w:t xml:space="preserve"> listas de substâncias prioritárias apoiaram-se numa ampla consulta a peritos dos serviços da Comissão, dos Estados-Membros, de grupos de partes interessadas e do Comité Científico dos Riscos para Sanitários, Ambientais e Emergentes.</w:t>
      </w:r>
    </w:p>
    <w:p w14:paraId="11ECD6B4" w14:textId="77777777" w:rsidR="0068547B" w:rsidRPr="00AA7DF5" w:rsidRDefault="0068547B">
      <w:pPr>
        <w:widowControl/>
        <w:rPr>
          <w:szCs w:val="24"/>
          <w:lang w:eastAsia="en-US"/>
        </w:rPr>
      </w:pPr>
      <w:r w:rsidRPr="00AA7DF5">
        <w:rPr>
          <w:szCs w:val="24"/>
          <w:lang w:eastAsia="en-US"/>
        </w:rPr>
        <w:br w:type="page"/>
      </w:r>
    </w:p>
    <w:p w14:paraId="5207C031" w14:textId="632B094F"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(7)</w:t>
      </w:r>
      <w:r w:rsidRPr="00AA7DF5">
        <w:rPr>
          <w:szCs w:val="24"/>
          <w:lang w:eastAsia="en-US"/>
        </w:rPr>
        <w:tab/>
        <w:t xml:space="preserve">Para lidar eficazmente com a maioria dos poluentes ao longo do seu ciclo de vida, importa combinar medidas de controlo na fonte e no final do ciclo incluindo, se for caso disso, a conceção, a autorização ou a aprovação dos produtos químicos, o controlo das emissões destes durante o fabrico e a utilização ou outros processos e a manipulação de resíduos. Por conseguinte, o estabelecimento de normas de qualidade novas ou mais estritas para as massas de água complementa e é coerente com a demais legislação da União que aborda ou </w:t>
      </w:r>
      <w:proofErr w:type="spellStart"/>
      <w:r w:rsidRPr="00AA7DF5">
        <w:rPr>
          <w:strike/>
          <w:szCs w:val="24"/>
          <w:lang w:eastAsia="en-US"/>
        </w:rPr>
        <w:t>poderia</w:t>
      </w:r>
      <w:r w:rsidRPr="00AA7DF5">
        <w:rPr>
          <w:b/>
          <w:i/>
          <w:szCs w:val="24"/>
          <w:lang w:eastAsia="en-US"/>
        </w:rPr>
        <w:t>deve</w:t>
      </w:r>
      <w:proofErr w:type="spellEnd"/>
      <w:r w:rsidRPr="00AA7DF5">
        <w:rPr>
          <w:szCs w:val="24"/>
          <w:lang w:eastAsia="en-US"/>
        </w:rPr>
        <w:t xml:space="preserve"> abordar o problema da poluição numa ou em várias dessas etapas, nomeadamente o Regulamento (CE) n.º 1907/2006 do Parlamento Europeu e do Conselho</w:t>
      </w:r>
      <w:r w:rsidRPr="00AA7DF5">
        <w:rPr>
          <w:szCs w:val="24"/>
          <w:vertAlign w:val="superscript"/>
          <w:lang w:eastAsia="en-US"/>
        </w:rPr>
        <w:footnoteReference w:id="24"/>
      </w:r>
      <w:r w:rsidRPr="00AA7DF5">
        <w:rPr>
          <w:szCs w:val="24"/>
          <w:lang w:eastAsia="en-US"/>
        </w:rPr>
        <w:t>, o Regulamento (CE) n.º 1107/2009 do Parlamento Europeu e do Conselho</w:t>
      </w:r>
      <w:r w:rsidRPr="00AA7DF5">
        <w:rPr>
          <w:szCs w:val="24"/>
          <w:vertAlign w:val="superscript"/>
          <w:lang w:eastAsia="en-US"/>
        </w:rPr>
        <w:footnoteReference w:id="25"/>
      </w:r>
      <w:r w:rsidRPr="00AA7DF5">
        <w:rPr>
          <w:szCs w:val="24"/>
          <w:lang w:eastAsia="en-US"/>
        </w:rPr>
        <w:t>, o Regulamento (UE) n.º 528/2012 do Parlamento Europeu e do Conselho</w:t>
      </w:r>
      <w:r w:rsidRPr="00AA7DF5">
        <w:rPr>
          <w:szCs w:val="24"/>
          <w:vertAlign w:val="superscript"/>
          <w:lang w:eastAsia="en-US"/>
        </w:rPr>
        <w:footnoteReference w:id="26"/>
      </w:r>
      <w:r w:rsidRPr="00AA7DF5">
        <w:rPr>
          <w:szCs w:val="24"/>
          <w:lang w:eastAsia="en-US"/>
        </w:rPr>
        <w:t>, o Regulamento (UE) 2019/6 do Parlamento Europeu e do Conselho</w:t>
      </w:r>
      <w:r w:rsidRPr="00AA7DF5">
        <w:rPr>
          <w:szCs w:val="24"/>
          <w:vertAlign w:val="superscript"/>
          <w:lang w:eastAsia="en-US"/>
        </w:rPr>
        <w:footnoteReference w:id="27"/>
      </w:r>
      <w:r w:rsidRPr="00AA7DF5">
        <w:rPr>
          <w:szCs w:val="24"/>
          <w:lang w:eastAsia="en-US"/>
        </w:rPr>
        <w:t>, a Diretiva 2001/83/CE do Parlamento Europeu e do Conselho</w:t>
      </w:r>
      <w:r w:rsidRPr="00AA7DF5">
        <w:rPr>
          <w:szCs w:val="24"/>
          <w:vertAlign w:val="superscript"/>
          <w:lang w:eastAsia="en-US"/>
        </w:rPr>
        <w:footnoteReference w:id="28"/>
      </w:r>
      <w:r w:rsidRPr="00AA7DF5">
        <w:rPr>
          <w:szCs w:val="24"/>
          <w:lang w:eastAsia="en-US"/>
        </w:rPr>
        <w:t>, a Diretiva 2009/128/CE do Parlamento Europeu e do Conselho</w:t>
      </w:r>
      <w:r w:rsidRPr="00AA7DF5">
        <w:rPr>
          <w:szCs w:val="24"/>
          <w:vertAlign w:val="superscript"/>
          <w:lang w:eastAsia="en-US"/>
        </w:rPr>
        <w:footnoteReference w:id="29"/>
      </w:r>
      <w:r w:rsidRPr="00AA7DF5">
        <w:rPr>
          <w:szCs w:val="24"/>
          <w:lang w:eastAsia="en-US"/>
        </w:rPr>
        <w:t>, a Diretiva 2010/75/UE do Parlamento Europeu e do Conselho</w:t>
      </w:r>
      <w:r w:rsidRPr="00AA7DF5">
        <w:rPr>
          <w:szCs w:val="24"/>
          <w:vertAlign w:val="superscript"/>
          <w:lang w:eastAsia="en-US"/>
        </w:rPr>
        <w:footnoteReference w:id="30"/>
      </w:r>
      <w:r w:rsidRPr="00AA7DF5">
        <w:rPr>
          <w:szCs w:val="24"/>
          <w:lang w:eastAsia="en-US"/>
        </w:rPr>
        <w:t xml:space="preserve"> e a Diretiva 91/271/CEE do Conselho</w:t>
      </w:r>
      <w:r w:rsidRPr="00AA7DF5">
        <w:rPr>
          <w:szCs w:val="24"/>
          <w:vertAlign w:val="superscript"/>
          <w:lang w:eastAsia="en-US"/>
        </w:rPr>
        <w:footnoteReference w:id="31"/>
      </w:r>
      <w:r w:rsidRPr="00AA7DF5">
        <w:rPr>
          <w:szCs w:val="24"/>
          <w:lang w:eastAsia="en-US"/>
        </w:rPr>
        <w:t>.</w:t>
      </w:r>
      <w:r w:rsidRPr="00AA7DF5">
        <w:rPr>
          <w:b/>
          <w:i/>
          <w:szCs w:val="24"/>
          <w:lang w:eastAsia="en-US"/>
        </w:rPr>
        <w:t xml:space="preserve"> Para que os Estados‑Membros atinjam os objetivos ambientais estabelecidos no artigo 4.º da Diretiva 2000/60/CE da melhor forma e com a melhor relação custo‑eficácia possível, devem assegurar, ao estabelecerem </w:t>
      </w:r>
      <w:r w:rsidRPr="00AA7DF5">
        <w:rPr>
          <w:b/>
          <w:i/>
          <w:szCs w:val="24"/>
          <w:lang w:eastAsia="en-US"/>
        </w:rPr>
        <w:lastRenderedPageBreak/>
        <w:t>os seus programas de medidas, que as medidas de controlo na fonte tenham prioridade sobre as medidas de fim de ciclo e que essas medidas estejam de acordo com a legislação sectorial relevante da União sobre poluição. Caso exista um risco de as medidas de controlo na fonte não conseguirem alcançar o bom estado das massas de água, devem ser aplicadas medidas de final do ciclo. A Comissão deve elaborar orientações sobre melhores práticas para medidas de controlo na fonte e sobre a complementaridade das medidas de final de ciclo.</w:t>
      </w:r>
      <w:r w:rsidR="0068547B" w:rsidRPr="00AA7DF5">
        <w:rPr>
          <w:b/>
          <w:szCs w:val="24"/>
          <w:lang w:eastAsia="en-US"/>
        </w:rPr>
        <w:t xml:space="preserve"> [Alt. 21]</w:t>
      </w:r>
    </w:p>
    <w:p w14:paraId="7996BF0C" w14:textId="77777777" w:rsidR="0068547B" w:rsidRPr="00AA7DF5" w:rsidRDefault="0068547B">
      <w:pPr>
        <w:widowControl/>
        <w:rPr>
          <w:b/>
          <w:i/>
          <w:szCs w:val="24"/>
          <w:lang w:eastAsia="en-US"/>
        </w:rPr>
      </w:pPr>
      <w:r w:rsidRPr="00AA7DF5">
        <w:rPr>
          <w:b/>
          <w:i/>
          <w:szCs w:val="24"/>
          <w:lang w:eastAsia="en-US"/>
        </w:rPr>
        <w:br w:type="page"/>
      </w:r>
    </w:p>
    <w:p w14:paraId="0E64F371" w14:textId="5E9C86D9"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(7</w:t>
      </w:r>
      <w:r w:rsidR="0068547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A poluição da água resulta principalmente de atividades industriais e agrícolas, descargas de esgotos e escoamentos urbanos, incluindo as águas pluviais. A Comissão e os Estados‑Membros devem dar prioridade, nas suas ações, às medidas de redução da poluição na fonte, bem como à sua aplicação. Para o efeito, deve ser assegurada a coerência entre todos os atos legislativos da União e nacionais relativos às emissões poluentes na fonte, a fim de reduzir a poluição para níveis que já não são considerados prejudiciais para a saúde e os ecossistemas naturais.</w:t>
      </w:r>
      <w:r w:rsidR="0068547B" w:rsidRPr="00AA7DF5">
        <w:rPr>
          <w:b/>
          <w:szCs w:val="24"/>
          <w:lang w:eastAsia="en-US"/>
        </w:rPr>
        <w:t xml:space="preserve"> [Alt. 22]</w:t>
      </w:r>
    </w:p>
    <w:p w14:paraId="2DE1FB6C" w14:textId="77777777" w:rsidR="0068547B" w:rsidRPr="00AA7DF5" w:rsidRDefault="0068547B">
      <w:pPr>
        <w:widowControl/>
        <w:rPr>
          <w:b/>
          <w:i/>
          <w:szCs w:val="24"/>
          <w:lang w:eastAsia="en-US"/>
        </w:rPr>
      </w:pPr>
      <w:r w:rsidRPr="00AA7DF5">
        <w:rPr>
          <w:b/>
          <w:i/>
          <w:szCs w:val="24"/>
          <w:lang w:eastAsia="en-US"/>
        </w:rPr>
        <w:br w:type="page"/>
      </w:r>
    </w:p>
    <w:p w14:paraId="51DBEF25" w14:textId="0ED7FB5A"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(7</w:t>
      </w:r>
      <w:r w:rsidR="0068547B" w:rsidRPr="00AA7DF5">
        <w:rPr>
          <w:b/>
          <w:i/>
          <w:szCs w:val="24"/>
          <w:lang w:eastAsia="en-US"/>
        </w:rPr>
        <w:t>-</w:t>
      </w:r>
      <w:r w:rsidR="00ED1910">
        <w:rPr>
          <w:b/>
          <w:i/>
          <w:szCs w:val="24"/>
          <w:lang w:eastAsia="en-US"/>
        </w:rPr>
        <w:t>B</w:t>
      </w:r>
      <w:r w:rsidRPr="00AA7DF5">
        <w:rPr>
          <w:b/>
          <w:i/>
          <w:szCs w:val="24"/>
          <w:lang w:eastAsia="en-US"/>
        </w:rPr>
        <w:t>)</w:t>
      </w:r>
      <w:r w:rsidRPr="00AA7DF5">
        <w:rPr>
          <w:szCs w:val="24"/>
          <w:lang w:eastAsia="en-US"/>
        </w:rPr>
        <w:tab/>
      </w:r>
      <w:r w:rsidRPr="00AA7DF5">
        <w:rPr>
          <w:b/>
          <w:i/>
          <w:szCs w:val="24"/>
          <w:lang w:eastAsia="en-US"/>
        </w:rPr>
        <w:t>Para garantir que a legislação destinada a prevenir a poluição das águas superficiais e subterrâneas esteja atualizada em relação ao rápido ritmo a que surgem substâncias químicas novas e emergentes que têm o potencial, enquanto poluentes, de causar riscos significativos para a saúde humana e para o ambiente aquático, devem ser reforçados os mecanismos políticos para detetar e avaliar essas substâncias que começam a suscitar preocupações. A este respeito, deve ser concebida uma abordagem que permita a monitorização e a análise de um número adicional dessas substâncias ou grupos de substâncias constantes das listas de vigilância para as águas superficiais e subterrâneas. As substâncias ou grupos de substâncias a inscrever na lista de vigilância devem ser selecionados de entre as substâncias relativamente às quais as informações disponíveis indiquem que podem representar um risco significativo a nível da União para o ambiente aquático ou através dele e para as quais os dados de monitorização sejam insuficientes. O número de tais substâncias ou grupos de substâncias a monitorizar e analisar no âmbito das listas de vigilância das águas superficiais e subterrâneas não deve ser limitado.</w:t>
      </w:r>
      <w:r w:rsidR="0068547B" w:rsidRPr="00AA7DF5">
        <w:rPr>
          <w:b/>
          <w:szCs w:val="24"/>
          <w:lang w:eastAsia="en-US"/>
        </w:rPr>
        <w:t xml:space="preserve"> [Alt. 23]</w:t>
      </w:r>
    </w:p>
    <w:p w14:paraId="10DBEB0F" w14:textId="77777777" w:rsidR="0068547B" w:rsidRPr="00AA7DF5" w:rsidRDefault="0068547B">
      <w:pPr>
        <w:widowControl/>
        <w:rPr>
          <w:szCs w:val="24"/>
          <w:lang w:eastAsia="en-US"/>
        </w:rPr>
      </w:pPr>
      <w:r w:rsidRPr="00AA7DF5">
        <w:rPr>
          <w:szCs w:val="24"/>
          <w:lang w:eastAsia="en-US"/>
        </w:rPr>
        <w:br w:type="page"/>
      </w:r>
    </w:p>
    <w:p w14:paraId="7D724803" w14:textId="479EA9C8"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(8)</w:t>
      </w:r>
      <w:r w:rsidRPr="00AA7DF5">
        <w:rPr>
          <w:szCs w:val="24"/>
          <w:lang w:eastAsia="en-US"/>
        </w:rPr>
        <w:tab/>
        <w:t xml:space="preserve">Os novos conhecimentos científicos indicam que, para além dos poluentes já regulamentados, vários outros poluentes presentes nas massas de água comportam um risco significativo. Nas águas subterrâneas, foi identificado um problema específico através da monitorização voluntária das substâncias </w:t>
      </w:r>
      <w:proofErr w:type="spellStart"/>
      <w:r w:rsidRPr="00AA7DF5">
        <w:rPr>
          <w:szCs w:val="24"/>
          <w:lang w:eastAsia="en-US"/>
        </w:rPr>
        <w:t>perfluoroalquiladas</w:t>
      </w:r>
      <w:proofErr w:type="spellEnd"/>
      <w:r w:rsidRPr="00AA7DF5">
        <w:rPr>
          <w:szCs w:val="24"/>
          <w:lang w:eastAsia="en-US"/>
        </w:rPr>
        <w:t xml:space="preserve"> e </w:t>
      </w:r>
      <w:proofErr w:type="spellStart"/>
      <w:r w:rsidRPr="00AA7DF5">
        <w:rPr>
          <w:szCs w:val="24"/>
          <w:lang w:eastAsia="en-US"/>
        </w:rPr>
        <w:t>polifluoroalquiladas</w:t>
      </w:r>
      <w:proofErr w:type="spellEnd"/>
      <w:r w:rsidRPr="00AA7DF5">
        <w:rPr>
          <w:szCs w:val="24"/>
          <w:lang w:eastAsia="en-US"/>
        </w:rPr>
        <w:t xml:space="preserve"> (PFAS) e dos produtos farmacêuticos. Detetaram-se PFAS em mais de 70 % dos pontos de medição das águas subterrâneas da União e os limiares nacionais em vigor são claramente ultrapassados em muitos locais, estando as substâncias farmacêuticas também amplamente presentes. </w:t>
      </w:r>
      <w:r w:rsidRPr="00AA7DF5">
        <w:rPr>
          <w:b/>
          <w:i/>
          <w:szCs w:val="24"/>
          <w:lang w:eastAsia="en-US"/>
        </w:rPr>
        <w:t xml:space="preserve">Um subconjunto de PFAS específicas, bem como do total de PFAS, deve, portanto, ser acrescentado à lista de poluentes das águas subterrâneas. </w:t>
      </w:r>
      <w:r w:rsidRPr="00AA7DF5">
        <w:rPr>
          <w:szCs w:val="24"/>
          <w:lang w:eastAsia="en-US"/>
        </w:rPr>
        <w:t xml:space="preserve">Nas águas de superfície, o ácido </w:t>
      </w:r>
      <w:proofErr w:type="spellStart"/>
      <w:r w:rsidRPr="00AA7DF5">
        <w:rPr>
          <w:szCs w:val="24"/>
          <w:lang w:eastAsia="en-US"/>
        </w:rPr>
        <w:t>perfluoro-octanossulfónico</w:t>
      </w:r>
      <w:proofErr w:type="spellEnd"/>
      <w:r w:rsidRPr="00AA7DF5">
        <w:rPr>
          <w:szCs w:val="24"/>
          <w:lang w:eastAsia="en-US"/>
        </w:rPr>
        <w:t xml:space="preserve"> e os seus derivados já estão incluídos na lista das substâncias prioritárias, mas agora considera-se que também outras PFAS constituem um risco. </w:t>
      </w:r>
      <w:r w:rsidRPr="00AA7DF5">
        <w:rPr>
          <w:b/>
          <w:i/>
          <w:szCs w:val="24"/>
          <w:lang w:eastAsia="en-US"/>
        </w:rPr>
        <w:t xml:space="preserve">Por esta razão, deve ser acrescentado à lista de substâncias prioritárias um subconjunto de PFAS específicas, bem como o total de PFAS. Para assegurar uma abordagem harmonizada e condições de concorrência equitativas na União, deve ser delegado na Comissão o poder de adotar atos nos termos do artigo 290.º do TFUE para alterar o anexo I, da Diretiva 2006/118/CE, estabelecendo uma norma de qualidade para o total de PFAS. </w:t>
      </w:r>
      <w:r w:rsidRPr="00AA7DF5">
        <w:rPr>
          <w:szCs w:val="24"/>
          <w:lang w:eastAsia="en-US"/>
        </w:rPr>
        <w:t>A monitorização da lista de vigilância nos termos do artigo 8.º</w:t>
      </w:r>
      <w:r w:rsidRPr="00AA7DF5">
        <w:rPr>
          <w:strike/>
          <w:szCs w:val="24"/>
          <w:lang w:eastAsia="en-US"/>
        </w:rPr>
        <w:t>-</w:t>
      </w:r>
      <w:r w:rsidRPr="00AA7DF5">
        <w:rPr>
          <w:b/>
          <w:i/>
          <w:szCs w:val="24"/>
          <w:lang w:eastAsia="en-US"/>
        </w:rPr>
        <w:t>‑</w:t>
      </w:r>
      <w:r w:rsidRPr="00AA7DF5">
        <w:rPr>
          <w:szCs w:val="24"/>
          <w:lang w:eastAsia="en-US"/>
        </w:rPr>
        <w:t>B da Diretiva 2008/105/CE confirmou</w:t>
      </w:r>
      <w:r w:rsidRPr="00AA7DF5">
        <w:rPr>
          <w:b/>
          <w:i/>
          <w:szCs w:val="24"/>
          <w:lang w:eastAsia="en-US"/>
        </w:rPr>
        <w:t xml:space="preserve"> também</w:t>
      </w:r>
      <w:r w:rsidRPr="00AA7DF5">
        <w:rPr>
          <w:szCs w:val="24"/>
          <w:lang w:eastAsia="en-US"/>
        </w:rPr>
        <w:t xml:space="preserve"> que uma série de substâncias farmacêuticas constituem um risco para as águas de superfície, devendo essas substâncias, por conseguinte, ser acrescentadas à lista de substâncias prioritárias.</w:t>
      </w:r>
      <w:r w:rsidR="0068547B" w:rsidRPr="00AA7DF5">
        <w:rPr>
          <w:b/>
          <w:szCs w:val="24"/>
          <w:lang w:eastAsia="en-US"/>
        </w:rPr>
        <w:t xml:space="preserve"> [Alt. 24]</w:t>
      </w:r>
    </w:p>
    <w:p w14:paraId="4B5147E0" w14:textId="77777777" w:rsidR="0068547B" w:rsidRPr="00AA7DF5" w:rsidRDefault="0068547B">
      <w:pPr>
        <w:widowControl/>
        <w:rPr>
          <w:b/>
          <w:i/>
          <w:szCs w:val="24"/>
          <w:lang w:eastAsia="en-US"/>
        </w:rPr>
      </w:pPr>
      <w:r w:rsidRPr="00AA7DF5">
        <w:rPr>
          <w:b/>
          <w:i/>
          <w:szCs w:val="24"/>
          <w:lang w:eastAsia="en-US"/>
        </w:rPr>
        <w:br w:type="page"/>
      </w:r>
    </w:p>
    <w:p w14:paraId="244198AC" w14:textId="09C7A462"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(8</w:t>
      </w:r>
      <w:r w:rsidR="0068547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O glifosato é o herbicida mais frequentemente utilizado na União para fins agrícolas. Como substância ativa, suscitou sérias preocupações em termos do respetivo impacto na saúde humana e na toxicidade para o meio aquático. Em dezembro de 2022, a Comissão decidiu conceder uma extensão temporária da autorização comercialização do glifosato por mais um ano, na pendência da reavaliação da substância ativa pela Autoridade Europeia para a Segurança dos Alimentos, prevista para julho de 2023. Diversos estudos científicos recentes</w:t>
      </w:r>
      <w:r w:rsidRPr="00AA7DF5">
        <w:rPr>
          <w:szCs w:val="24"/>
          <w:vertAlign w:val="superscript"/>
          <w:lang w:eastAsia="en-US"/>
        </w:rPr>
        <w:footnoteReference w:id="32"/>
      </w:r>
      <w:r w:rsidRPr="00AA7DF5">
        <w:rPr>
          <w:b/>
          <w:i/>
          <w:szCs w:val="24"/>
          <w:lang w:eastAsia="en-US"/>
        </w:rPr>
        <w:t xml:space="preserve"> sugerem, no entanto, que se pondere uma norma de qualidade ambiental (NQA) inferior a 0,1 </w:t>
      </w:r>
      <w:proofErr w:type="spellStart"/>
      <w:r w:rsidRPr="00AA7DF5">
        <w:rPr>
          <w:b/>
          <w:i/>
          <w:szCs w:val="24"/>
          <w:lang w:eastAsia="en-US"/>
        </w:rPr>
        <w:t>μg</w:t>
      </w:r>
      <w:proofErr w:type="spellEnd"/>
      <w:r w:rsidRPr="00AA7DF5">
        <w:rPr>
          <w:b/>
          <w:i/>
          <w:szCs w:val="24"/>
          <w:lang w:eastAsia="en-US"/>
        </w:rPr>
        <w:t xml:space="preserve">/l para todas as massas de águas de superfície com base na toxicidade para o meio aquático do glifosato, do ácido </w:t>
      </w:r>
      <w:proofErr w:type="spellStart"/>
      <w:r w:rsidRPr="00AA7DF5">
        <w:rPr>
          <w:b/>
          <w:i/>
          <w:szCs w:val="24"/>
          <w:lang w:eastAsia="en-US"/>
        </w:rPr>
        <w:t>aminometilfosfónico</w:t>
      </w:r>
      <w:proofErr w:type="spellEnd"/>
      <w:r w:rsidRPr="00AA7DF5">
        <w:rPr>
          <w:b/>
          <w:i/>
          <w:szCs w:val="24"/>
          <w:lang w:eastAsia="en-US"/>
        </w:rPr>
        <w:t xml:space="preserve"> (AMPA) e dos herbicidas à base de glifosato. Considerando as avaliações em curso por parte dos reguladores da União competentes e as conclusões científicas dos estudos pertinentes relativamente aos impactos do glifosato na vida aquática, e para fins de garantia do bom estado químico da maioria das águas da União, com base no princípio da precaução, deve adotar‑se, em relação ao glifosato, uma NQA‑MA comum e unificada para as águas de superfície interiores, assim como outra norma para outras águas de superfície.</w:t>
      </w:r>
      <w:r w:rsidR="0068547B" w:rsidRPr="00AA7DF5">
        <w:rPr>
          <w:b/>
          <w:szCs w:val="24"/>
          <w:lang w:eastAsia="en-US"/>
        </w:rPr>
        <w:t xml:space="preserve"> [Alt. 25]</w:t>
      </w:r>
    </w:p>
    <w:p w14:paraId="3BC8A286" w14:textId="77777777" w:rsidR="0068547B" w:rsidRPr="00AA7DF5" w:rsidRDefault="0068547B">
      <w:pPr>
        <w:widowControl/>
        <w:rPr>
          <w:b/>
          <w:i/>
          <w:szCs w:val="24"/>
          <w:lang w:eastAsia="en-US"/>
        </w:rPr>
      </w:pPr>
      <w:r w:rsidRPr="00AA7DF5">
        <w:rPr>
          <w:b/>
          <w:i/>
          <w:szCs w:val="24"/>
          <w:lang w:eastAsia="en-US"/>
        </w:rPr>
        <w:br w:type="page"/>
      </w:r>
    </w:p>
    <w:p w14:paraId="038AC273" w14:textId="4AF9F295"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(8</w:t>
      </w:r>
      <w:r w:rsidR="0068547B"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 xml:space="preserve">A </w:t>
      </w:r>
      <w:proofErr w:type="spellStart"/>
      <w:r w:rsidRPr="00AA7DF5">
        <w:rPr>
          <w:b/>
          <w:i/>
          <w:szCs w:val="24"/>
          <w:lang w:eastAsia="en-US"/>
        </w:rPr>
        <w:t>atrazina</w:t>
      </w:r>
      <w:proofErr w:type="spellEnd"/>
      <w:r w:rsidRPr="00AA7DF5">
        <w:rPr>
          <w:b/>
          <w:i/>
          <w:szCs w:val="24"/>
          <w:lang w:eastAsia="en-US"/>
        </w:rPr>
        <w:t xml:space="preserve"> é um herbicida utilizado contra as plantas infestantes anuais de folha larga e as gramíneas anuais dos cereais. A utilização de </w:t>
      </w:r>
      <w:proofErr w:type="spellStart"/>
      <w:r w:rsidRPr="00AA7DF5">
        <w:rPr>
          <w:b/>
          <w:i/>
          <w:szCs w:val="24"/>
          <w:lang w:eastAsia="en-US"/>
        </w:rPr>
        <w:t>atrazina</w:t>
      </w:r>
      <w:proofErr w:type="spellEnd"/>
      <w:r w:rsidRPr="00AA7DF5">
        <w:rPr>
          <w:b/>
          <w:i/>
          <w:szCs w:val="24"/>
          <w:lang w:eastAsia="en-US"/>
        </w:rPr>
        <w:t xml:space="preserve"> em produtos fitofarmacêuticos deixou de ser autorizada na União, nos termos da Decisão 2004/248/CE da Comissão</w:t>
      </w:r>
      <w:r w:rsidRPr="00AA7DF5">
        <w:rPr>
          <w:szCs w:val="24"/>
          <w:vertAlign w:val="superscript"/>
          <w:lang w:eastAsia="en-US"/>
        </w:rPr>
        <w:footnoteReference w:id="33"/>
      </w:r>
      <w:r w:rsidRPr="00AA7DF5">
        <w:rPr>
          <w:b/>
          <w:i/>
          <w:szCs w:val="24"/>
          <w:lang w:eastAsia="en-US"/>
        </w:rPr>
        <w:t xml:space="preserve">. Está provado que a </w:t>
      </w:r>
      <w:proofErr w:type="spellStart"/>
      <w:r w:rsidRPr="00AA7DF5">
        <w:rPr>
          <w:b/>
          <w:i/>
          <w:szCs w:val="24"/>
          <w:lang w:eastAsia="en-US"/>
        </w:rPr>
        <w:t>atrazina</w:t>
      </w:r>
      <w:proofErr w:type="spellEnd"/>
      <w:r w:rsidRPr="00AA7DF5">
        <w:rPr>
          <w:b/>
          <w:i/>
          <w:szCs w:val="24"/>
          <w:lang w:eastAsia="en-US"/>
        </w:rPr>
        <w:t xml:space="preserve"> é um </w:t>
      </w:r>
      <w:proofErr w:type="spellStart"/>
      <w:r w:rsidRPr="00AA7DF5">
        <w:rPr>
          <w:b/>
          <w:i/>
          <w:szCs w:val="24"/>
          <w:lang w:eastAsia="en-US"/>
        </w:rPr>
        <w:t>desregulador</w:t>
      </w:r>
      <w:proofErr w:type="spellEnd"/>
      <w:r w:rsidRPr="00AA7DF5">
        <w:rPr>
          <w:b/>
          <w:i/>
          <w:szCs w:val="24"/>
          <w:lang w:eastAsia="en-US"/>
        </w:rPr>
        <w:t xml:space="preserve"> endócrino, com provas de que interfere com a reprodução e o desenvolvimento e pode ser uma causa de cancro. A Agência Europeia do Ambiente, ao avaliar os pesticidas em função dos limiares de efeito ou de qualidade entre 2013 e 2020, constatou que foram detetados níveis excessivos de um ou mais pesticidas em 4 % a 11 % dos sítios de monitorização das águas subterrâneas, principalmente níveis excessivos de </w:t>
      </w:r>
      <w:proofErr w:type="spellStart"/>
      <w:r w:rsidRPr="00AA7DF5">
        <w:rPr>
          <w:b/>
          <w:i/>
          <w:szCs w:val="24"/>
          <w:lang w:eastAsia="en-US"/>
        </w:rPr>
        <w:t>atrazina</w:t>
      </w:r>
      <w:proofErr w:type="spellEnd"/>
      <w:r w:rsidRPr="00AA7DF5">
        <w:rPr>
          <w:b/>
          <w:i/>
          <w:szCs w:val="24"/>
          <w:lang w:eastAsia="en-US"/>
        </w:rPr>
        <w:t xml:space="preserve"> e dos seus metabolitos. Tendo em conta a sua presença persistente nas águas superficiais e subterrâneas da União e a fim de garantir que os limiares para a </w:t>
      </w:r>
      <w:proofErr w:type="spellStart"/>
      <w:r w:rsidRPr="00AA7DF5">
        <w:rPr>
          <w:b/>
          <w:i/>
          <w:szCs w:val="24"/>
          <w:lang w:eastAsia="en-US"/>
        </w:rPr>
        <w:t>atrazina</w:t>
      </w:r>
      <w:proofErr w:type="spellEnd"/>
      <w:r w:rsidRPr="00AA7DF5">
        <w:rPr>
          <w:b/>
          <w:i/>
          <w:szCs w:val="24"/>
          <w:lang w:eastAsia="en-US"/>
        </w:rPr>
        <w:t xml:space="preserve"> não excedam as NQA relativas aos pesticidas e metabolitos totais, o limiar para a </w:t>
      </w:r>
      <w:proofErr w:type="spellStart"/>
      <w:r w:rsidRPr="00AA7DF5">
        <w:rPr>
          <w:b/>
          <w:i/>
          <w:szCs w:val="24"/>
          <w:lang w:eastAsia="en-US"/>
        </w:rPr>
        <w:t>atrazina</w:t>
      </w:r>
      <w:proofErr w:type="spellEnd"/>
      <w:r w:rsidRPr="00AA7DF5">
        <w:rPr>
          <w:b/>
          <w:i/>
          <w:szCs w:val="24"/>
          <w:lang w:eastAsia="en-US"/>
        </w:rPr>
        <w:t xml:space="preserve"> no anexo I da Diretiva 2008/105/CE deve ser ajustado, também em conformidade com o limiar para a mesma substância fixado na Diretiva (UE) 2020/2184</w:t>
      </w:r>
      <w:r w:rsidRPr="00AA7DF5">
        <w:rPr>
          <w:szCs w:val="24"/>
          <w:vertAlign w:val="superscript"/>
          <w:lang w:eastAsia="en-US"/>
        </w:rPr>
        <w:footnoteReference w:id="34"/>
      </w:r>
      <w:r w:rsidRPr="00AA7DF5">
        <w:rPr>
          <w:b/>
          <w:i/>
          <w:szCs w:val="24"/>
          <w:lang w:eastAsia="en-US"/>
        </w:rPr>
        <w:t>.</w:t>
      </w:r>
      <w:r w:rsidR="00B97F78" w:rsidRPr="00AA7DF5">
        <w:rPr>
          <w:b/>
          <w:szCs w:val="24"/>
          <w:lang w:eastAsia="en-US"/>
        </w:rPr>
        <w:t xml:space="preserve"> [Alt. 26]</w:t>
      </w:r>
    </w:p>
    <w:p w14:paraId="2F5C447B" w14:textId="77777777" w:rsidR="0068547B" w:rsidRPr="00AA7DF5" w:rsidRDefault="0068547B">
      <w:pPr>
        <w:widowControl/>
        <w:rPr>
          <w:b/>
          <w:i/>
          <w:szCs w:val="24"/>
          <w:lang w:eastAsia="en-US"/>
        </w:rPr>
      </w:pPr>
      <w:r w:rsidRPr="00AA7DF5">
        <w:rPr>
          <w:b/>
          <w:i/>
          <w:szCs w:val="24"/>
          <w:lang w:eastAsia="en-US"/>
        </w:rPr>
        <w:br w:type="page"/>
      </w:r>
    </w:p>
    <w:p w14:paraId="7D525F95" w14:textId="71DC13B2"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(8</w:t>
      </w:r>
      <w:r w:rsidR="0068547B"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Segundo o Comité Científico dos Riscos Sanitários, Ambientais e Emergentes (CCRSAE)</w:t>
      </w:r>
      <w:r w:rsidRPr="00AA7DF5">
        <w:rPr>
          <w:szCs w:val="24"/>
          <w:vertAlign w:val="superscript"/>
          <w:lang w:eastAsia="en-US"/>
        </w:rPr>
        <w:footnoteReference w:id="35"/>
      </w:r>
      <w:r w:rsidRPr="00AA7DF5">
        <w:rPr>
          <w:b/>
          <w:i/>
          <w:szCs w:val="24"/>
          <w:lang w:eastAsia="en-US"/>
        </w:rPr>
        <w:t xml:space="preserve"> e a Agência Europeia de Medicamentos (EMA)</w:t>
      </w:r>
      <w:r w:rsidRPr="00AA7DF5">
        <w:rPr>
          <w:szCs w:val="24"/>
          <w:vertAlign w:val="superscript"/>
          <w:lang w:eastAsia="en-US"/>
        </w:rPr>
        <w:footnoteReference w:id="36"/>
      </w:r>
      <w:r w:rsidRPr="00AA7DF5">
        <w:rPr>
          <w:b/>
          <w:i/>
          <w:szCs w:val="24"/>
          <w:lang w:eastAsia="en-US"/>
        </w:rPr>
        <w:t xml:space="preserve">, a norma de qualidade genérica de 0,1 </w:t>
      </w:r>
      <w:proofErr w:type="spellStart"/>
      <w:r w:rsidRPr="00AA7DF5">
        <w:rPr>
          <w:b/>
          <w:i/>
          <w:szCs w:val="24"/>
          <w:lang w:eastAsia="en-US"/>
        </w:rPr>
        <w:t>μg</w:t>
      </w:r>
      <w:proofErr w:type="spellEnd"/>
      <w:r w:rsidRPr="00AA7DF5">
        <w:rPr>
          <w:b/>
          <w:i/>
          <w:szCs w:val="24"/>
          <w:lang w:eastAsia="en-US"/>
        </w:rPr>
        <w:t xml:space="preserve">/L e 0,5 µg/L para as águas subterrâneas, sugerida para os pesticidas individuais e para a soma de todos os pesticidas, respetivamente, conforme especificado na Diretiva 2006/118/CE, foi estabelecida na década de 1980, com base na sensibilidade químico‑analítica disponível na altura. Não está provado que o valor por defeito de 0,1 </w:t>
      </w:r>
      <w:proofErr w:type="spellStart"/>
      <w:r w:rsidRPr="00AA7DF5">
        <w:rPr>
          <w:b/>
          <w:i/>
          <w:szCs w:val="24"/>
          <w:lang w:eastAsia="en-US"/>
        </w:rPr>
        <w:t>μg</w:t>
      </w:r>
      <w:proofErr w:type="spellEnd"/>
      <w:r w:rsidRPr="00AA7DF5">
        <w:rPr>
          <w:b/>
          <w:i/>
          <w:szCs w:val="24"/>
          <w:lang w:eastAsia="en-US"/>
        </w:rPr>
        <w:t>/L para cada pesticida proteja suficientemente a saúde humana e o ecossistema das águas subterrâneas e este valor é, por vezes, significativamente mais elevado em comparação com os valores‑limite para muitos pesticidas e fungicidas constantes da lista de substâncias prioritárias do anexo I da Diretiva 2008/105/CE. Tendo igualmente em conta o parecer do CCRSAE, segundo o qual os limiares para as águas subterrâneas não devem ser superiores às NQA para as águas de superfície, a Comissão deve rever os limiares para os pesticidas individuais e a soma de todos os pesticidas, incluindo os respetivos metabolitos, no anexo I da Diretiva 2006/118/CE, aplicando métodos analíticos modernos e comparando‑os com os melhores conhecimentos toxicológicos disponíveis. Na pendência desta revisão, e em conformidade com a abordagem de precaução expressa pelos fornecedores de água potável no «</w:t>
      </w:r>
      <w:proofErr w:type="spellStart"/>
      <w:r w:rsidRPr="00AA7DF5">
        <w:rPr>
          <w:b/>
          <w:i/>
          <w:szCs w:val="24"/>
          <w:lang w:eastAsia="en-US"/>
        </w:rPr>
        <w:t>European</w:t>
      </w:r>
      <w:proofErr w:type="spellEnd"/>
      <w:r w:rsidRPr="00AA7DF5">
        <w:rPr>
          <w:b/>
          <w:i/>
          <w:szCs w:val="24"/>
          <w:lang w:eastAsia="en-US"/>
        </w:rPr>
        <w:t xml:space="preserve"> </w:t>
      </w:r>
      <w:proofErr w:type="spellStart"/>
      <w:r w:rsidRPr="00AA7DF5">
        <w:rPr>
          <w:b/>
          <w:i/>
          <w:szCs w:val="24"/>
          <w:lang w:eastAsia="en-US"/>
        </w:rPr>
        <w:t>Groundwater</w:t>
      </w:r>
      <w:proofErr w:type="spellEnd"/>
      <w:r w:rsidRPr="00AA7DF5">
        <w:rPr>
          <w:b/>
          <w:i/>
          <w:szCs w:val="24"/>
          <w:lang w:eastAsia="en-US"/>
        </w:rPr>
        <w:t xml:space="preserve"> Memorandum» (memorando europeu sobre águas subterrâneas)</w:t>
      </w:r>
      <w:r w:rsidRPr="00AA7DF5">
        <w:rPr>
          <w:szCs w:val="24"/>
          <w:vertAlign w:val="superscript"/>
          <w:lang w:eastAsia="en-US"/>
        </w:rPr>
        <w:footnoteReference w:id="37"/>
      </w:r>
      <w:r w:rsidRPr="00AA7DF5">
        <w:rPr>
          <w:b/>
          <w:i/>
          <w:szCs w:val="24"/>
          <w:lang w:eastAsia="en-US"/>
        </w:rPr>
        <w:t>, devem ser estabelecidos limiares provisórios.</w:t>
      </w:r>
      <w:r w:rsidR="0068547B" w:rsidRPr="00AA7DF5">
        <w:rPr>
          <w:b/>
          <w:szCs w:val="24"/>
          <w:lang w:eastAsia="en-US"/>
        </w:rPr>
        <w:t xml:space="preserve"> [Alt. 27]</w:t>
      </w:r>
    </w:p>
    <w:p w14:paraId="00053663" w14:textId="77777777" w:rsidR="0068547B" w:rsidRPr="00AA7DF5" w:rsidRDefault="0068547B">
      <w:pPr>
        <w:widowControl/>
        <w:rPr>
          <w:b/>
          <w:i/>
          <w:szCs w:val="24"/>
          <w:lang w:eastAsia="en-US"/>
        </w:rPr>
      </w:pPr>
      <w:r w:rsidRPr="00AA7DF5">
        <w:rPr>
          <w:b/>
          <w:i/>
          <w:szCs w:val="24"/>
          <w:lang w:eastAsia="en-US"/>
        </w:rPr>
        <w:br w:type="page"/>
      </w:r>
    </w:p>
    <w:p w14:paraId="5C29E4F7" w14:textId="22EC7E24"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(8</w:t>
      </w:r>
      <w:r w:rsidR="0068547B" w:rsidRPr="00AA7DF5">
        <w:rPr>
          <w:b/>
          <w:i/>
          <w:szCs w:val="24"/>
          <w:lang w:eastAsia="en-US"/>
        </w:rPr>
        <w:t>-D</w:t>
      </w:r>
      <w:r w:rsidRPr="00AA7DF5">
        <w:rPr>
          <w:b/>
          <w:i/>
          <w:szCs w:val="24"/>
          <w:lang w:eastAsia="en-US"/>
        </w:rPr>
        <w:t>)</w:t>
      </w:r>
      <w:r w:rsidRPr="00AA7DF5">
        <w:rPr>
          <w:szCs w:val="24"/>
          <w:lang w:eastAsia="en-US"/>
        </w:rPr>
        <w:tab/>
      </w:r>
      <w:r w:rsidRPr="00AA7DF5">
        <w:rPr>
          <w:b/>
          <w:i/>
          <w:szCs w:val="24"/>
          <w:lang w:eastAsia="en-US"/>
        </w:rPr>
        <w:t xml:space="preserve">O </w:t>
      </w:r>
      <w:proofErr w:type="spellStart"/>
      <w:r w:rsidRPr="00AA7DF5">
        <w:rPr>
          <w:b/>
          <w:i/>
          <w:szCs w:val="24"/>
          <w:lang w:eastAsia="en-US"/>
        </w:rPr>
        <w:t>bisfenol‑A</w:t>
      </w:r>
      <w:proofErr w:type="spellEnd"/>
      <w:r w:rsidRPr="00AA7DF5">
        <w:rPr>
          <w:b/>
          <w:i/>
          <w:szCs w:val="24"/>
          <w:lang w:eastAsia="en-US"/>
        </w:rPr>
        <w:t xml:space="preserve"> deve ser tratado como substância perigosa prioritária e deve ser adicionado à lista do anexo I da Diretiva 2008/105/CE. Os relatórios científicos mostram que também os bisfenóis, para além do </w:t>
      </w:r>
      <w:proofErr w:type="spellStart"/>
      <w:r w:rsidRPr="00AA7DF5">
        <w:rPr>
          <w:b/>
          <w:i/>
          <w:szCs w:val="24"/>
          <w:lang w:eastAsia="en-US"/>
        </w:rPr>
        <w:t>bisfenol‑A</w:t>
      </w:r>
      <w:proofErr w:type="spellEnd"/>
      <w:r w:rsidRPr="00AA7DF5">
        <w:rPr>
          <w:b/>
          <w:i/>
          <w:szCs w:val="24"/>
          <w:lang w:eastAsia="en-US"/>
        </w:rPr>
        <w:t xml:space="preserve">, têm um potencial de desregulação endócrina comprovado e que as misturas desses bisfenóis representam um risco ecotoxicológico. Dado que essas conclusões científicas suscitam preocupações quanto à utilização segura de alternativas aos bisfenóis que possam ter um impacto negativo na saúde humana e no ambiente, a Comissão deve estabelecer um parâmetro «Total de bisfenóis» e uma NQA adequada para o total de substâncias </w:t>
      </w:r>
      <w:proofErr w:type="spellStart"/>
      <w:r w:rsidRPr="00AA7DF5">
        <w:rPr>
          <w:b/>
          <w:i/>
          <w:szCs w:val="24"/>
          <w:lang w:eastAsia="en-US"/>
        </w:rPr>
        <w:t>bisfenólicas</w:t>
      </w:r>
      <w:proofErr w:type="spellEnd"/>
      <w:r w:rsidRPr="00AA7DF5">
        <w:rPr>
          <w:b/>
          <w:i/>
          <w:szCs w:val="24"/>
          <w:lang w:eastAsia="en-US"/>
        </w:rPr>
        <w:t>.</w:t>
      </w:r>
      <w:r w:rsidR="0068547B" w:rsidRPr="00AA7DF5">
        <w:rPr>
          <w:b/>
          <w:szCs w:val="24"/>
          <w:lang w:eastAsia="en-US"/>
        </w:rPr>
        <w:t xml:space="preserve"> [Alt. 28]</w:t>
      </w:r>
    </w:p>
    <w:p w14:paraId="4E41D216" w14:textId="65AFE2E6" w:rsidR="002E0FC5" w:rsidRPr="00AA7DF5" w:rsidRDefault="002E0FC5" w:rsidP="002E0FC5">
      <w:pPr>
        <w:spacing w:before="120" w:after="120" w:line="360" w:lineRule="auto"/>
        <w:ind w:left="850" w:hanging="850"/>
        <w:rPr>
          <w:b/>
          <w:szCs w:val="24"/>
          <w:lang w:eastAsia="en-US"/>
        </w:rPr>
      </w:pPr>
      <w:r w:rsidRPr="00AA7DF5">
        <w:rPr>
          <w:b/>
          <w:i/>
          <w:szCs w:val="24"/>
          <w:lang w:eastAsia="en-US"/>
        </w:rPr>
        <w:t>(8</w:t>
      </w:r>
      <w:r w:rsidR="0068547B" w:rsidRPr="00AA7DF5">
        <w:rPr>
          <w:b/>
          <w:i/>
          <w:szCs w:val="24"/>
          <w:lang w:eastAsia="en-US"/>
        </w:rPr>
        <w:t>-E</w:t>
      </w:r>
      <w:r w:rsidRPr="00AA7DF5">
        <w:rPr>
          <w:b/>
          <w:i/>
          <w:szCs w:val="24"/>
          <w:lang w:eastAsia="en-US"/>
        </w:rPr>
        <w:t>)</w:t>
      </w:r>
      <w:r w:rsidRPr="00AA7DF5">
        <w:rPr>
          <w:szCs w:val="24"/>
          <w:lang w:eastAsia="en-US"/>
        </w:rPr>
        <w:tab/>
      </w:r>
      <w:r w:rsidRPr="00AA7DF5">
        <w:rPr>
          <w:b/>
          <w:i/>
          <w:szCs w:val="24"/>
          <w:lang w:eastAsia="en-US"/>
        </w:rPr>
        <w:t>Segundo a Agência Europeia de Medicamentos (EMA)</w:t>
      </w:r>
      <w:r w:rsidRPr="00AA7DF5">
        <w:rPr>
          <w:szCs w:val="24"/>
          <w:vertAlign w:val="superscript"/>
          <w:lang w:eastAsia="en-US"/>
        </w:rPr>
        <w:footnoteReference w:id="38"/>
      </w:r>
      <w:r w:rsidRPr="00AA7DF5">
        <w:rPr>
          <w:b/>
          <w:i/>
          <w:szCs w:val="24"/>
          <w:lang w:eastAsia="en-US"/>
        </w:rPr>
        <w:t>, os ecossistemas de águas subterrâneas são fundamentalmente diferentes e, por conseguinte, podem ser mais vulneráveis a fatores de stress do que os ecossistemas de águas de superfície, uma vez que não têm a capacidade de recuperar de perturbações. Por conseguinte, deve ser aplicada uma abordagem de precaução aquando da fixação de valores‑limite para as águas subterrâneas, a fim de proteger a saúde humana, os ecossistemas das águas subterrâneas e os ecossistemas dependentes das águas subterrâneas. Em conformidade com o parecer da EMA, em resultado desta vulnerabilidade, os limiares aplicáveis às águas subterrâneas devem normalmente ser 10 vezes inferiores aos limiares correspondentes aplicáveis às águas de superfície. No entanto, quando o risco real para os ecossistemas das águas subterrâneas puder ser estabelecido, poderá ser adequado fixar valores‑limite para as águas subterrâneas a um nível diferente.</w:t>
      </w:r>
      <w:r w:rsidR="0068547B" w:rsidRPr="00AA7DF5">
        <w:rPr>
          <w:b/>
          <w:szCs w:val="24"/>
          <w:lang w:eastAsia="en-US"/>
        </w:rPr>
        <w:t xml:space="preserve"> [Alt. 29]</w:t>
      </w:r>
    </w:p>
    <w:p w14:paraId="69EF55E1" w14:textId="77777777" w:rsidR="0068547B" w:rsidRPr="00AA7DF5" w:rsidRDefault="0068547B">
      <w:pPr>
        <w:widowControl/>
        <w:rPr>
          <w:szCs w:val="24"/>
          <w:lang w:eastAsia="en-US"/>
        </w:rPr>
      </w:pPr>
      <w:r w:rsidRPr="00AA7DF5">
        <w:rPr>
          <w:szCs w:val="24"/>
          <w:lang w:eastAsia="en-US"/>
        </w:rPr>
        <w:br w:type="page"/>
      </w:r>
    </w:p>
    <w:p w14:paraId="4E258795" w14:textId="1201CBAD"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(9)</w:t>
      </w:r>
      <w:r w:rsidRPr="00AA7DF5">
        <w:rPr>
          <w:szCs w:val="24"/>
          <w:lang w:eastAsia="en-US"/>
        </w:rPr>
        <w:tab/>
        <w:t xml:space="preserve">A Diretiva 2000/60/CE obriga os Estados-Membros a identificar e a monitorizar as massas de água utilizadas para captação de água destinada ao consumo humano, a adotar todas as medidas necessárias para evitar a deterioração da qualidade dessas massas de água e a reduzir o nível de tratamento de purificação requerido na produção de água adequada para consumo humano. Neste contexto, os </w:t>
      </w:r>
      <w:proofErr w:type="spellStart"/>
      <w:r w:rsidRPr="00AA7DF5">
        <w:rPr>
          <w:szCs w:val="24"/>
          <w:lang w:eastAsia="en-US"/>
        </w:rPr>
        <w:t>microplásticos</w:t>
      </w:r>
      <w:proofErr w:type="spellEnd"/>
      <w:r w:rsidRPr="00AA7DF5">
        <w:rPr>
          <w:szCs w:val="24"/>
          <w:lang w:eastAsia="en-US"/>
        </w:rPr>
        <w:t xml:space="preserve"> foram identificados como um risco potencial para a saúde humana, mas são precisos mais dados de monitorização para confirmar a necessidade de estabelecer uma norma de qualidade ambiental para os </w:t>
      </w:r>
      <w:proofErr w:type="spellStart"/>
      <w:r w:rsidRPr="00AA7DF5">
        <w:rPr>
          <w:szCs w:val="24"/>
          <w:lang w:eastAsia="en-US"/>
        </w:rPr>
        <w:t>microplásticos</w:t>
      </w:r>
      <w:proofErr w:type="spellEnd"/>
      <w:r w:rsidRPr="00AA7DF5">
        <w:rPr>
          <w:szCs w:val="24"/>
          <w:lang w:eastAsia="en-US"/>
        </w:rPr>
        <w:t xml:space="preserve"> nas águas de superfície e subterrâneas. Assim, os </w:t>
      </w:r>
      <w:proofErr w:type="spellStart"/>
      <w:r w:rsidRPr="00AA7DF5">
        <w:rPr>
          <w:szCs w:val="24"/>
          <w:lang w:eastAsia="en-US"/>
        </w:rPr>
        <w:t>microplásticos</w:t>
      </w:r>
      <w:proofErr w:type="spellEnd"/>
      <w:r w:rsidRPr="00AA7DF5">
        <w:rPr>
          <w:szCs w:val="24"/>
          <w:lang w:eastAsia="en-US"/>
        </w:rPr>
        <w:t xml:space="preserve"> devem ser incluídos nas listas de vigilância das águas de superfície e subterrâneas, devendo ser monitorizados logo que a Comissão tenha identificado métodos de monitorização adequados. Neste âmbito, importa ter em conta as metodologias de monitorização e avaliação dos riscos dos </w:t>
      </w:r>
      <w:proofErr w:type="spellStart"/>
      <w:r w:rsidRPr="00AA7DF5">
        <w:rPr>
          <w:szCs w:val="24"/>
          <w:lang w:eastAsia="en-US"/>
        </w:rPr>
        <w:t>microplásticos</w:t>
      </w:r>
      <w:proofErr w:type="spellEnd"/>
      <w:r w:rsidRPr="00AA7DF5">
        <w:rPr>
          <w:szCs w:val="24"/>
          <w:lang w:eastAsia="en-US"/>
        </w:rPr>
        <w:t xml:space="preserve"> na água potável elaboradas ao abrigo da Diretiva (UE) 2020/2184 do Parlamento Europeu e do Conselho</w:t>
      </w:r>
      <w:r w:rsidRPr="00AA7DF5">
        <w:rPr>
          <w:szCs w:val="24"/>
          <w:vertAlign w:val="superscript"/>
          <w:lang w:eastAsia="en-US"/>
        </w:rPr>
        <w:footnoteReference w:id="39"/>
      </w:r>
      <w:r w:rsidRPr="00AA7DF5">
        <w:rPr>
          <w:szCs w:val="24"/>
          <w:lang w:eastAsia="en-US"/>
        </w:rPr>
        <w:t>.</w:t>
      </w:r>
    </w:p>
    <w:p w14:paraId="336B8DD2" w14:textId="77777777" w:rsidR="0068547B" w:rsidRPr="00AA7DF5" w:rsidRDefault="0068547B">
      <w:pPr>
        <w:widowControl/>
        <w:rPr>
          <w:b/>
          <w:i/>
          <w:szCs w:val="24"/>
          <w:lang w:eastAsia="en-US"/>
        </w:rPr>
      </w:pPr>
      <w:r w:rsidRPr="00AA7DF5">
        <w:rPr>
          <w:b/>
          <w:i/>
          <w:szCs w:val="24"/>
          <w:lang w:eastAsia="en-US"/>
        </w:rPr>
        <w:br w:type="page"/>
      </w:r>
    </w:p>
    <w:p w14:paraId="10CF470F" w14:textId="27A077C2"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(9</w:t>
      </w:r>
      <w:r w:rsidR="0068547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Nos termos da legislação aplicável da União, os Estados‑Membros são obrigados a identificar as águas afetadas e em risco, a designar as zonas vulneráveis aos nitratos, a desenvolver programas de ação e a aplicar as medidas pertinentes. A este respeito, continua a ser necessário melhorar a harmonização das medidas de controlo e dos sistemas de medição da qualidade da água entre os Estados‑Membros, de modo a permitir normas harmonizadas em toda a União que possibilitem a comparabilidade entre Estados‑Membros, evitando assim problemas de concorrência no setor agrícola europeu que provoquem perturbações no mercado interno.</w:t>
      </w:r>
      <w:r w:rsidR="0068547B" w:rsidRPr="00AA7DF5">
        <w:rPr>
          <w:b/>
          <w:szCs w:val="24"/>
          <w:lang w:eastAsia="en-US"/>
        </w:rPr>
        <w:t xml:space="preserve"> [Alt. 30]</w:t>
      </w:r>
    </w:p>
    <w:p w14:paraId="7AE5BB73" w14:textId="64253296" w:rsidR="002E0FC5" w:rsidRPr="00AA7DF5" w:rsidRDefault="002E0FC5" w:rsidP="002E0FC5">
      <w:pPr>
        <w:spacing w:before="120" w:after="120" w:line="360" w:lineRule="auto"/>
        <w:ind w:left="850" w:hanging="850"/>
        <w:rPr>
          <w:b/>
          <w:szCs w:val="24"/>
          <w:lang w:eastAsia="en-US"/>
        </w:rPr>
      </w:pPr>
      <w:r w:rsidRPr="00AA7DF5">
        <w:rPr>
          <w:szCs w:val="24"/>
          <w:lang w:eastAsia="en-US"/>
        </w:rPr>
        <w:t>(10)</w:t>
      </w:r>
      <w:r w:rsidRPr="00AA7DF5">
        <w:rPr>
          <w:szCs w:val="24"/>
          <w:lang w:eastAsia="en-US"/>
        </w:rPr>
        <w:tab/>
      </w:r>
      <w:r w:rsidRPr="00AA7DF5">
        <w:rPr>
          <w:b/>
          <w:i/>
          <w:szCs w:val="24"/>
          <w:lang w:eastAsia="en-US"/>
        </w:rPr>
        <w:t>Estima‑se que, em 2019, entre 900 000 e 1,7 milhões de mortes em todo o mundo tenham sido atribuíveis a infeções relacionadas com a resistência antimicrobiana (RAM)</w:t>
      </w:r>
      <w:r w:rsidRPr="00AA7DF5">
        <w:rPr>
          <w:szCs w:val="24"/>
          <w:vertAlign w:val="superscript"/>
          <w:lang w:eastAsia="en-US"/>
        </w:rPr>
        <w:footnoteReference w:id="40"/>
      </w:r>
      <w:r w:rsidRPr="00AA7DF5">
        <w:rPr>
          <w:b/>
          <w:i/>
          <w:szCs w:val="24"/>
          <w:lang w:eastAsia="en-US"/>
        </w:rPr>
        <w:t xml:space="preserve">. Simultaneamente, </w:t>
      </w:r>
      <w:r w:rsidRPr="00AA7DF5">
        <w:rPr>
          <w:szCs w:val="24"/>
          <w:lang w:eastAsia="en-US"/>
        </w:rPr>
        <w:t>surgiram preocupações quanto ao risco de a presença de microrganismos e genes resistentes aos antimicrobianos no ambiente aquático conduzir ao desenvolvimento de resistência antimicrobiana, mas a monitorização foi escassa. Também os pertinentes genes resistentes aos antimicrobianos devem ser incluídos nas listas de vigilância das águas de superfície e subterrâneas e ser sujeitos a monitorização logo que sejam elaborados métodos de monitorização adequados, o que está em consonância com o Plano de Ação Europeu «Uma Só Saúde» contra a Resistência aos Agentes Antimicrobianos, adotado pela Comissão em junho de 2017, e com a Estratégia Farmacêutica para a Europa, que também aborda esta preocupação.</w:t>
      </w:r>
      <w:r w:rsidR="0068547B" w:rsidRPr="00AA7DF5">
        <w:rPr>
          <w:b/>
          <w:szCs w:val="24"/>
          <w:lang w:eastAsia="en-US"/>
        </w:rPr>
        <w:t xml:space="preserve"> [Alt. 31]</w:t>
      </w:r>
    </w:p>
    <w:p w14:paraId="1CC15AD1" w14:textId="77777777" w:rsidR="0068547B" w:rsidRPr="00AA7DF5" w:rsidRDefault="0068547B">
      <w:pPr>
        <w:widowControl/>
        <w:rPr>
          <w:b/>
          <w:i/>
          <w:szCs w:val="24"/>
          <w:lang w:eastAsia="en-US"/>
        </w:rPr>
      </w:pPr>
      <w:r w:rsidRPr="00AA7DF5">
        <w:rPr>
          <w:b/>
          <w:i/>
          <w:szCs w:val="24"/>
          <w:lang w:eastAsia="en-US"/>
        </w:rPr>
        <w:br w:type="page"/>
      </w:r>
    </w:p>
    <w:p w14:paraId="5A552309" w14:textId="521F1E06"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(10</w:t>
      </w:r>
      <w:r w:rsidR="0068547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A Decisão de Execução (UE) 2020/1729 da Comissão, que revoga a Decisão de Execução 2013/652/UE, estabelece o quadro para a obtenção de dados comparáveis e fiáveis sobre a resistência antimicrobiana na União Europeia, nomeadamente através da monitorização das águas residuais dos matadouros enquanto veículo potencial de bactérias resistentes aos antibióticos e, por conseguinte, uma possível via de contaminação ambiental. Foram detetadas bactérias resistentes aos antibióticos na água descarregada por matadouros.</w:t>
      </w:r>
      <w:r w:rsidR="0068547B" w:rsidRPr="00AA7DF5">
        <w:rPr>
          <w:b/>
          <w:szCs w:val="24"/>
          <w:lang w:eastAsia="en-US"/>
        </w:rPr>
        <w:t xml:space="preserve"> [Alt. 32]</w:t>
      </w:r>
    </w:p>
    <w:p w14:paraId="0F2DFEA4" w14:textId="0ECFB023" w:rsidR="002E0FC5" w:rsidRPr="00AA7DF5" w:rsidRDefault="002E0FC5" w:rsidP="002E0FC5">
      <w:pPr>
        <w:spacing w:before="120" w:after="120" w:line="360" w:lineRule="auto"/>
        <w:ind w:left="850" w:hanging="850"/>
        <w:rPr>
          <w:b/>
          <w:szCs w:val="24"/>
          <w:lang w:eastAsia="en-US"/>
        </w:rPr>
      </w:pPr>
      <w:r w:rsidRPr="00AA7DF5">
        <w:rPr>
          <w:b/>
          <w:i/>
          <w:szCs w:val="24"/>
          <w:lang w:eastAsia="en-US"/>
        </w:rPr>
        <w:t>(10</w:t>
      </w:r>
      <w:r w:rsidR="0068547B"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Foi manifestada preocupação quanto ao risco dos sulfatos e xantatos no ambiente aquático. Os sulfatos não só prejudicam a qualidade da água potável como também afetam os ciclos materiais de carbono, azoto e fósforo. Entre outros efeitos, tal aumenta as cargas de nutrientes nas massas de água e, portanto, o crescimento de plantas e algas, assim como o abastecimento de alimentos para organismos aquáticos, levando ainda a uma diminuição do oxigénio na água. Os sulfatos e os produtos da respetiva degradação, especialmente sulfuretos, podem, em determinadas condições, ter um efeito tóxico para os organismos aquáticos. Os resultados dos ensaios normalizados indicam que alguns xantatos e os produtos da respetiva degradação são tóxicos para invertebrados aquáticos e espécies de peixes e que são bioacumuláveis. Os sulfatos já estão listados como poluentes para as águas subterrâneas, mas a monitorização realizada foi insuficiente. Os sulfatos devem, por conseguinte, ser incluídos nas listas de vigilância das águas superficiais e subterrâneas. Quanto aos xantatos, estes devem ser incluídos na lista de vigilância das águas de superfície.</w:t>
      </w:r>
      <w:r w:rsidR="0068547B" w:rsidRPr="00AA7DF5">
        <w:rPr>
          <w:b/>
          <w:szCs w:val="24"/>
          <w:lang w:eastAsia="en-US"/>
        </w:rPr>
        <w:t xml:space="preserve"> [Alt. 33]</w:t>
      </w:r>
    </w:p>
    <w:p w14:paraId="513DD919" w14:textId="77777777" w:rsidR="0068547B" w:rsidRPr="00AA7DF5" w:rsidRDefault="0068547B">
      <w:pPr>
        <w:widowControl/>
        <w:rPr>
          <w:b/>
          <w:i/>
          <w:szCs w:val="24"/>
          <w:lang w:eastAsia="en-US"/>
        </w:rPr>
      </w:pPr>
      <w:r w:rsidRPr="00AA7DF5">
        <w:rPr>
          <w:b/>
          <w:i/>
          <w:szCs w:val="24"/>
          <w:lang w:eastAsia="en-US"/>
        </w:rPr>
        <w:br w:type="page"/>
      </w:r>
    </w:p>
    <w:p w14:paraId="728EA268" w14:textId="50A4EE07"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(10</w:t>
      </w:r>
      <w:r w:rsidR="0068547B"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 xml:space="preserve">Substâncias como os </w:t>
      </w:r>
      <w:proofErr w:type="spellStart"/>
      <w:r w:rsidRPr="00AA7DF5">
        <w:rPr>
          <w:b/>
          <w:i/>
          <w:szCs w:val="24"/>
          <w:lang w:eastAsia="en-US"/>
        </w:rPr>
        <w:t>microplásticos</w:t>
      </w:r>
      <w:proofErr w:type="spellEnd"/>
      <w:r w:rsidRPr="00AA7DF5">
        <w:rPr>
          <w:b/>
          <w:i/>
          <w:szCs w:val="24"/>
          <w:lang w:eastAsia="en-US"/>
        </w:rPr>
        <w:t xml:space="preserve"> representam um risco claro para a saúde pública e o ambiente, mas também para atividades básicas como o desenvolvimento da agricultura. A presença de tais substâncias e de outras partículas pode ter implicações não só na água recebida pelo gado e pelas culturas mas, também, na fertilidade do solo, comprometendo assim a saúde e o bom desenvolvimento das culturas presentes e futuras</w:t>
      </w:r>
      <w:r w:rsidRPr="00AA7DF5">
        <w:rPr>
          <w:szCs w:val="24"/>
          <w:vertAlign w:val="superscript"/>
          <w:lang w:eastAsia="en-US"/>
        </w:rPr>
        <w:footnoteReference w:id="41"/>
      </w:r>
      <w:r w:rsidRPr="00AA7DF5">
        <w:rPr>
          <w:b/>
          <w:i/>
          <w:szCs w:val="24"/>
          <w:lang w:eastAsia="en-US"/>
        </w:rPr>
        <w:t>.</w:t>
      </w:r>
      <w:r w:rsidR="0068547B" w:rsidRPr="00AA7DF5">
        <w:rPr>
          <w:b/>
          <w:szCs w:val="24"/>
          <w:lang w:eastAsia="en-US"/>
        </w:rPr>
        <w:t xml:space="preserve"> [Alt. 34]</w:t>
      </w:r>
    </w:p>
    <w:p w14:paraId="25B06850" w14:textId="77777777" w:rsidR="0068547B" w:rsidRPr="00AA7DF5" w:rsidRDefault="0068547B">
      <w:pPr>
        <w:widowControl/>
        <w:rPr>
          <w:szCs w:val="24"/>
          <w:lang w:eastAsia="en-US"/>
        </w:rPr>
      </w:pPr>
      <w:r w:rsidRPr="00AA7DF5">
        <w:rPr>
          <w:szCs w:val="24"/>
          <w:lang w:eastAsia="en-US"/>
        </w:rPr>
        <w:br w:type="page"/>
      </w:r>
    </w:p>
    <w:p w14:paraId="64F95EE6" w14:textId="5D834E00"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(11)</w:t>
      </w:r>
      <w:r w:rsidRPr="00AA7DF5">
        <w:rPr>
          <w:szCs w:val="24"/>
          <w:lang w:eastAsia="en-US"/>
        </w:rPr>
        <w:tab/>
      </w:r>
      <w:r w:rsidRPr="00AA7DF5">
        <w:rPr>
          <w:b/>
          <w:i/>
          <w:szCs w:val="24"/>
          <w:lang w:eastAsia="en-US"/>
        </w:rPr>
        <w:t xml:space="preserve">Os métodos de monitorização atuais e convencionais do estado químico das massas de água não podem, em geral, determinar o impacto de misturas complexas de produtos químicos na qualidade da água. </w:t>
      </w:r>
      <w:r w:rsidRPr="00AA7DF5">
        <w:rPr>
          <w:szCs w:val="24"/>
          <w:lang w:eastAsia="en-US"/>
        </w:rPr>
        <w:t xml:space="preserve">Tendo em conta a crescente sensibilização para a importância das misturas e, por conseguinte, da monitorização baseada nos efeitos para determinar o estado químico, e considerando que já existem métodos de monitorização baseados nos efeitos suficientemente sólidos para as substâncias estrogénicas, importa que os Estados-Membros apliquem esses métodos para avaliar os efeitos cumulativos das substâncias estrogénicas nas águas de superfície durante um período mínimo de dois anos, o que permitirá comparar os resultados baseados nos efeitos com os resultados obtidos através de métodos convencionais de monitorização das três substâncias estrogénicas enumeradas no anexo I da Diretiva 2008/105/CE. Essa comparação </w:t>
      </w:r>
      <w:r w:rsidRPr="00AA7DF5">
        <w:rPr>
          <w:strike/>
          <w:szCs w:val="24"/>
          <w:lang w:eastAsia="en-US"/>
        </w:rPr>
        <w:t xml:space="preserve">servirá para </w:t>
      </w:r>
      <w:proofErr w:type="spellStart"/>
      <w:r w:rsidRPr="00AA7DF5">
        <w:rPr>
          <w:strike/>
          <w:szCs w:val="24"/>
          <w:lang w:eastAsia="en-US"/>
        </w:rPr>
        <w:t>avaliar</w:t>
      </w:r>
      <w:r w:rsidRPr="00AA7DF5">
        <w:rPr>
          <w:b/>
          <w:i/>
          <w:szCs w:val="24"/>
          <w:lang w:eastAsia="en-US"/>
        </w:rPr>
        <w:t>deve</w:t>
      </w:r>
      <w:proofErr w:type="spellEnd"/>
      <w:r w:rsidRPr="00AA7DF5">
        <w:rPr>
          <w:b/>
          <w:i/>
          <w:szCs w:val="24"/>
          <w:lang w:eastAsia="en-US"/>
        </w:rPr>
        <w:t xml:space="preserve"> ser incluída num relatório de avaliação publicado pela Comissão, no qual avalie</w:t>
      </w:r>
      <w:r w:rsidRPr="00AA7DF5">
        <w:rPr>
          <w:szCs w:val="24"/>
          <w:lang w:eastAsia="en-US"/>
        </w:rPr>
        <w:t xml:space="preserve"> se os métodos de monitorização baseados nos efeitos</w:t>
      </w:r>
      <w:r w:rsidRPr="00AA7DF5">
        <w:rPr>
          <w:b/>
          <w:i/>
          <w:szCs w:val="24"/>
          <w:lang w:eastAsia="en-US"/>
        </w:rPr>
        <w:t xml:space="preserve"> obtêm dados sólidos e rigorosos e se</w:t>
      </w:r>
      <w:r w:rsidRPr="00AA7DF5">
        <w:rPr>
          <w:szCs w:val="24"/>
          <w:lang w:eastAsia="en-US"/>
        </w:rPr>
        <w:t xml:space="preserve"> podem ser utilizados como métodos de rastreio fiáveis. O recurso a esses métodos de rastreio teria a vantagem de permitir abranger todos os efeitos das substâncias estrogénicas com efeitos semelhantes e não apenas das enumeradas no anexo I da Diretiva 2008/105/CE. A </w:t>
      </w:r>
      <w:r w:rsidRPr="00AA7DF5">
        <w:rPr>
          <w:b/>
          <w:i/>
          <w:szCs w:val="24"/>
          <w:lang w:eastAsia="en-US"/>
        </w:rPr>
        <w:t xml:space="preserve">Comissão deve ficar habilitada a adotar atos delegados para complementar a Diretiva 2008/105/CE para definir as modalidades para permitir aos Estados‑Membros utilizar os métodos baseados nos efeitos para realizar a monitorização a fim de avaliar a presença, também, de outras substâncias nas massas de água, em antecipação de uma eventual fixação de valores de desencadeamento baseados nos efeitos no futuro. A </w:t>
      </w:r>
      <w:r w:rsidRPr="00AA7DF5">
        <w:rPr>
          <w:szCs w:val="24"/>
          <w:lang w:eastAsia="en-US"/>
        </w:rPr>
        <w:t>definição de norma de qualidade ambiental constante da Diretiva 2000/60/CE deve ser alterada para que possa também abranger valores de desencadeamento que venham a ser estabelecidos para avaliar os resultados da monitorização baseada nos efeitos.</w:t>
      </w:r>
      <w:r w:rsidR="0068547B" w:rsidRPr="00AA7DF5">
        <w:rPr>
          <w:b/>
          <w:szCs w:val="24"/>
          <w:lang w:eastAsia="en-US"/>
        </w:rPr>
        <w:t xml:space="preserve"> [Alt. 35]</w:t>
      </w:r>
    </w:p>
    <w:p w14:paraId="6690D335" w14:textId="77777777" w:rsidR="0068547B" w:rsidRPr="00AA7DF5" w:rsidRDefault="0068547B">
      <w:pPr>
        <w:widowControl/>
        <w:rPr>
          <w:b/>
          <w:i/>
          <w:szCs w:val="24"/>
          <w:lang w:eastAsia="en-US"/>
        </w:rPr>
      </w:pPr>
      <w:r w:rsidRPr="00AA7DF5">
        <w:rPr>
          <w:b/>
          <w:i/>
          <w:szCs w:val="24"/>
          <w:lang w:eastAsia="en-US"/>
        </w:rPr>
        <w:br w:type="page"/>
      </w:r>
    </w:p>
    <w:p w14:paraId="4DBA85C8" w14:textId="624C6F0A"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(11</w:t>
      </w:r>
      <w:r w:rsidR="0068547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Devem ser estabelecidos limiares mais rigorosos nos casos em que as normas de qualidade das águas subterrâneas possam resultar na não concretização dos objetivos ambientais da Diretiva 2000/60/CE para as massas de água associadas, conforme exigido nos termos da Diretiva 2006/118/CE. O referido requisito ao abrigo da Diretiva 2006/118/CE deve ser alargado para proteger melhor da poluição os sítios vulneráveis.</w:t>
      </w:r>
      <w:r w:rsidR="0068547B" w:rsidRPr="00AA7DF5">
        <w:rPr>
          <w:b/>
          <w:szCs w:val="24"/>
          <w:lang w:eastAsia="en-US"/>
        </w:rPr>
        <w:t xml:space="preserve"> [Alt. 36]</w:t>
      </w:r>
    </w:p>
    <w:p w14:paraId="4F13B979" w14:textId="77777777" w:rsidR="0068547B" w:rsidRPr="00AA7DF5" w:rsidRDefault="0068547B">
      <w:pPr>
        <w:widowControl/>
        <w:rPr>
          <w:szCs w:val="24"/>
          <w:lang w:eastAsia="en-US"/>
        </w:rPr>
      </w:pPr>
      <w:r w:rsidRPr="00AA7DF5">
        <w:rPr>
          <w:szCs w:val="24"/>
          <w:lang w:eastAsia="en-US"/>
        </w:rPr>
        <w:br w:type="page"/>
      </w:r>
    </w:p>
    <w:p w14:paraId="07AB1689" w14:textId="3BF7D751"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(12)</w:t>
      </w:r>
      <w:r w:rsidRPr="00AA7DF5">
        <w:rPr>
          <w:szCs w:val="24"/>
          <w:lang w:eastAsia="en-US"/>
        </w:rPr>
        <w:tab/>
        <w:t>A avaliação da legislação da União no domínio da água</w:t>
      </w:r>
      <w:r w:rsidRPr="00AA7DF5">
        <w:rPr>
          <w:szCs w:val="24"/>
          <w:vertAlign w:val="superscript"/>
          <w:lang w:eastAsia="en-US"/>
        </w:rPr>
        <w:footnoteReference w:id="42"/>
      </w:r>
      <w:r w:rsidRPr="00AA7DF5">
        <w:rPr>
          <w:szCs w:val="24"/>
          <w:lang w:eastAsia="en-US"/>
        </w:rPr>
        <w:t xml:space="preserve"> (a seguir designada por «avaliação») concluiu que podia acelerar-se o processo de identificação dos poluentes que afetam as águas de superfície e subterrâneas e a sua enumeração, bem como o estabelecimento ou a revisão de normas de qualidade para essas águas à luz dos novos conhecimentos científicos. </w:t>
      </w:r>
      <w:r w:rsidRPr="00AA7DF5">
        <w:rPr>
          <w:strike/>
          <w:szCs w:val="24"/>
          <w:lang w:eastAsia="en-US"/>
        </w:rPr>
        <w:t>Se essas tarefas fossem realizadas pela Comissão em vez de no quadro do processo legislativo ordinário, como atualmente previsto nos artigos 16.º e 17.º</w:t>
      </w:r>
      <w:r w:rsidRPr="00AA7DF5">
        <w:rPr>
          <w:b/>
          <w:i/>
          <w:szCs w:val="24"/>
          <w:lang w:eastAsia="en-US"/>
        </w:rPr>
        <w:t>Por conseguinte, no âmbito de uma futura revisão do anexo I</w:t>
      </w:r>
      <w:r w:rsidRPr="00AA7DF5">
        <w:rPr>
          <w:szCs w:val="24"/>
          <w:lang w:eastAsia="en-US"/>
        </w:rPr>
        <w:t xml:space="preserve"> da Diretiva </w:t>
      </w:r>
      <w:r w:rsidRPr="00AA7DF5">
        <w:rPr>
          <w:strike/>
          <w:szCs w:val="24"/>
          <w:lang w:eastAsia="en-US"/>
        </w:rPr>
        <w:t>2000/60/CE</w:t>
      </w:r>
      <w:r w:rsidRPr="00AA7DF5">
        <w:rPr>
          <w:b/>
          <w:i/>
          <w:szCs w:val="24"/>
          <w:lang w:eastAsia="en-US"/>
        </w:rPr>
        <w:t>2008/105/CE</w:t>
      </w:r>
      <w:r w:rsidRPr="00AA7DF5">
        <w:rPr>
          <w:szCs w:val="24"/>
          <w:lang w:eastAsia="en-US"/>
        </w:rPr>
        <w:t xml:space="preserve"> </w:t>
      </w:r>
      <w:r w:rsidRPr="000B3EF9">
        <w:rPr>
          <w:strike/>
          <w:szCs w:val="24"/>
          <w:lang w:eastAsia="en-US"/>
        </w:rPr>
        <w:t>e no artigo 10.º da Diretiva 2006/118/CE,</w:t>
      </w:r>
      <w:r w:rsidRPr="00AA7DF5">
        <w:rPr>
          <w:strike/>
          <w:szCs w:val="24"/>
          <w:lang w:eastAsia="en-US"/>
        </w:rPr>
        <w:t xml:space="preserve"> seria possível melhorar</w:t>
      </w:r>
      <w:r w:rsidRPr="00AA7DF5">
        <w:rPr>
          <w:b/>
          <w:i/>
          <w:szCs w:val="24"/>
          <w:lang w:eastAsia="en-US"/>
        </w:rPr>
        <w:t xml:space="preserve"> no que respeita à lista de substâncias prioritárias e correspondentes normas de qualidade ambiental definidas na Parte A do referido anexo e do anexo I da Diretiva 200</w:t>
      </w:r>
      <w:r w:rsidR="000B3EF9">
        <w:rPr>
          <w:b/>
          <w:i/>
          <w:szCs w:val="24"/>
          <w:lang w:eastAsia="en-US"/>
        </w:rPr>
        <w:t>6</w:t>
      </w:r>
      <w:r w:rsidRPr="00AA7DF5">
        <w:rPr>
          <w:b/>
          <w:i/>
          <w:szCs w:val="24"/>
          <w:lang w:eastAsia="en-US"/>
        </w:rPr>
        <w:t>/1</w:t>
      </w:r>
      <w:r w:rsidR="000B3EF9">
        <w:rPr>
          <w:b/>
          <w:i/>
          <w:szCs w:val="24"/>
          <w:lang w:eastAsia="en-US"/>
        </w:rPr>
        <w:t>18</w:t>
      </w:r>
      <w:r w:rsidRPr="00AA7DF5">
        <w:rPr>
          <w:b/>
          <w:i/>
          <w:szCs w:val="24"/>
          <w:lang w:eastAsia="en-US"/>
        </w:rPr>
        <w:t>/CE,</w:t>
      </w:r>
      <w:r w:rsidRPr="00AA7DF5">
        <w:rPr>
          <w:szCs w:val="24"/>
          <w:lang w:eastAsia="en-US"/>
        </w:rPr>
        <w:t xml:space="preserve"> o funcionamento do mecanismo das listas de vigilância das águas de superfície e subterrâneas, em particular no que respeita ao calendário, à ordem de enumeração, à monitorização e à avaliação dos resultados, </w:t>
      </w:r>
      <w:proofErr w:type="spellStart"/>
      <w:r w:rsidRPr="00AA7DF5">
        <w:rPr>
          <w:strike/>
          <w:szCs w:val="24"/>
          <w:lang w:eastAsia="en-US"/>
        </w:rPr>
        <w:t>reforçar</w:t>
      </w:r>
      <w:r w:rsidRPr="00AA7DF5">
        <w:rPr>
          <w:b/>
          <w:i/>
          <w:szCs w:val="24"/>
          <w:lang w:eastAsia="en-US"/>
        </w:rPr>
        <w:t>deveria</w:t>
      </w:r>
      <w:proofErr w:type="spellEnd"/>
      <w:r w:rsidRPr="00AA7DF5">
        <w:rPr>
          <w:b/>
          <w:i/>
          <w:szCs w:val="24"/>
          <w:lang w:eastAsia="en-US"/>
        </w:rPr>
        <w:t xml:space="preserve"> ser melhorado,</w:t>
      </w:r>
      <w:r w:rsidRPr="00AA7DF5">
        <w:rPr>
          <w:szCs w:val="24"/>
          <w:lang w:eastAsia="en-US"/>
        </w:rPr>
        <w:t xml:space="preserve"> as ligações entre o mecanismo da lista de vigilância e as revisões das listas de poluentes </w:t>
      </w:r>
      <w:r w:rsidRPr="00AA7DF5">
        <w:rPr>
          <w:b/>
          <w:i/>
          <w:szCs w:val="24"/>
          <w:lang w:eastAsia="en-US"/>
        </w:rPr>
        <w:t xml:space="preserve">deveriam ser reforçadas e o período de revisão das listas de poluentes deveria ser adaptado a fim </w:t>
      </w:r>
      <w:proofErr w:type="spellStart"/>
      <w:r w:rsidRPr="00AA7DF5">
        <w:rPr>
          <w:b/>
          <w:i/>
          <w:szCs w:val="24"/>
          <w:lang w:eastAsia="en-US"/>
        </w:rPr>
        <w:t>de</w:t>
      </w:r>
      <w:r w:rsidRPr="00AA7DF5">
        <w:rPr>
          <w:strike/>
          <w:szCs w:val="24"/>
          <w:lang w:eastAsia="en-US"/>
        </w:rPr>
        <w:t>e</w:t>
      </w:r>
      <w:proofErr w:type="spellEnd"/>
      <w:r w:rsidRPr="00AA7DF5">
        <w:rPr>
          <w:szCs w:val="24"/>
          <w:lang w:eastAsia="en-US"/>
        </w:rPr>
        <w:t xml:space="preserve"> ter mais rapidamente em conta o progresso científico</w:t>
      </w:r>
      <w:r w:rsidRPr="00AA7DF5">
        <w:rPr>
          <w:strike/>
          <w:szCs w:val="24"/>
          <w:lang w:eastAsia="en-US"/>
        </w:rPr>
        <w:t xml:space="preserve"> nas alterações das listas de poluentes. Assim, e dada a necessidade de alterar rapidamente as listas de poluentes e as respetivas normas de qualidade ambiental à luz dos novos conhecimentos científicos e técnicos, deve ser delegado na Comissão o poder de adotar atos nos termos do artigo 290.º do TFUE para alterar a lista de substâncias prioritárias e as correspondentes normas de qualidade ambiental estabelecidas no anexo I, parte A, da Diretiva 2008/105/CE e para alterar a lista de poluentes das águas subterrâneas e as normas de qualidade estabelecidas no anexo I da Diretiva 2006/118/CE</w:t>
      </w:r>
      <w:r w:rsidRPr="00AA7DF5">
        <w:rPr>
          <w:szCs w:val="24"/>
          <w:lang w:eastAsia="en-US"/>
        </w:rPr>
        <w:t xml:space="preserve">. Neste âmbito, </w:t>
      </w:r>
      <w:r w:rsidRPr="00AA7DF5">
        <w:rPr>
          <w:strike/>
          <w:szCs w:val="24"/>
          <w:lang w:eastAsia="en-US"/>
        </w:rPr>
        <w:t xml:space="preserve">importa que </w:t>
      </w:r>
      <w:r w:rsidRPr="00AA7DF5">
        <w:rPr>
          <w:szCs w:val="24"/>
          <w:lang w:eastAsia="en-US"/>
        </w:rPr>
        <w:t xml:space="preserve">a Comissão </w:t>
      </w:r>
      <w:proofErr w:type="spellStart"/>
      <w:r w:rsidRPr="00AA7DF5">
        <w:rPr>
          <w:strike/>
          <w:szCs w:val="24"/>
          <w:lang w:eastAsia="en-US"/>
        </w:rPr>
        <w:t>tenha</w:t>
      </w:r>
      <w:r w:rsidRPr="00AA7DF5">
        <w:rPr>
          <w:b/>
          <w:i/>
          <w:szCs w:val="24"/>
          <w:lang w:eastAsia="en-US"/>
        </w:rPr>
        <w:t>deve</w:t>
      </w:r>
      <w:proofErr w:type="spellEnd"/>
      <w:r w:rsidRPr="00AA7DF5">
        <w:rPr>
          <w:b/>
          <w:i/>
          <w:szCs w:val="24"/>
          <w:lang w:eastAsia="en-US"/>
        </w:rPr>
        <w:t xml:space="preserve"> ter</w:t>
      </w:r>
      <w:r w:rsidRPr="00AA7DF5">
        <w:rPr>
          <w:szCs w:val="24"/>
          <w:lang w:eastAsia="en-US"/>
        </w:rPr>
        <w:t xml:space="preserve"> em conta os resultados da monitorização das substâncias constantes das listas de vigilância das águas de superfície e subterrâneas. Por conseguinte, </w:t>
      </w:r>
      <w:r w:rsidRPr="00AA7DF5">
        <w:rPr>
          <w:strike/>
          <w:szCs w:val="24"/>
          <w:lang w:eastAsia="en-US"/>
        </w:rPr>
        <w:t xml:space="preserve">há </w:t>
      </w:r>
      <w:proofErr w:type="spellStart"/>
      <w:r w:rsidRPr="00AA7DF5">
        <w:rPr>
          <w:strike/>
          <w:szCs w:val="24"/>
          <w:lang w:eastAsia="en-US"/>
        </w:rPr>
        <w:t>que</w:t>
      </w:r>
      <w:r w:rsidRPr="00AA7DF5">
        <w:rPr>
          <w:b/>
          <w:i/>
          <w:szCs w:val="24"/>
          <w:lang w:eastAsia="en-US"/>
        </w:rPr>
        <w:t>cumpre</w:t>
      </w:r>
      <w:proofErr w:type="spellEnd"/>
      <w:r w:rsidRPr="00AA7DF5">
        <w:rPr>
          <w:szCs w:val="24"/>
          <w:lang w:eastAsia="en-US"/>
        </w:rPr>
        <w:t xml:space="preserve"> suprimir os artigos 16.º e 17.º e o anexo X da Diretiva 2000/60/CE, assim como o artigo 10.º da Diretiva 2006/118/CE</w:t>
      </w:r>
      <w:r w:rsidRPr="00AA7DF5">
        <w:rPr>
          <w:b/>
          <w:i/>
          <w:szCs w:val="24"/>
          <w:lang w:eastAsia="en-US"/>
        </w:rPr>
        <w:t>, preservando se simultaneamente a obrigação de tomar medidas destinadas a fazer cessar ou eliminar progressivamente as descargas, emissões e perdas de substâncias perigosas prioritárias</w:t>
      </w:r>
      <w:r w:rsidRPr="00AA7DF5">
        <w:rPr>
          <w:szCs w:val="24"/>
          <w:lang w:eastAsia="en-US"/>
        </w:rPr>
        <w:t>.</w:t>
      </w:r>
      <w:r w:rsidR="0068547B" w:rsidRPr="00AA7DF5">
        <w:rPr>
          <w:b/>
          <w:szCs w:val="24"/>
          <w:lang w:eastAsia="en-US"/>
        </w:rPr>
        <w:t xml:space="preserve"> [Alt. 37]</w:t>
      </w:r>
    </w:p>
    <w:p w14:paraId="498C472F" w14:textId="294CAD13"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(12</w:t>
      </w:r>
      <w:r w:rsidR="0068547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De um modo geral, as conclusões do balanço de qualidade indicam que as diretivas são globalmente adequadas à respetiva finalidade, com margem para melhorias, incluindo a aceleração da correta concretização dos seus objetivos, o que poderá ser alcançado através de um maior financiamento da União. A avaliação indica que, até agora, as diretivas conduziram geralmente a um nível mais elevado de proteção das massas de água e a uma melhor gestão dos riscos de inundação.</w:t>
      </w:r>
      <w:r w:rsidR="0068547B" w:rsidRPr="00AA7DF5">
        <w:rPr>
          <w:b/>
          <w:szCs w:val="24"/>
          <w:lang w:eastAsia="en-US"/>
        </w:rPr>
        <w:t xml:space="preserve"> [Alt. 38]</w:t>
      </w:r>
    </w:p>
    <w:p w14:paraId="0831A287" w14:textId="77777777" w:rsidR="0068547B" w:rsidRPr="00AA7DF5" w:rsidRDefault="0068547B">
      <w:pPr>
        <w:widowControl/>
        <w:rPr>
          <w:szCs w:val="24"/>
          <w:lang w:eastAsia="en-US"/>
        </w:rPr>
      </w:pPr>
      <w:r w:rsidRPr="00AA7DF5">
        <w:rPr>
          <w:szCs w:val="24"/>
          <w:lang w:eastAsia="en-US"/>
        </w:rPr>
        <w:br w:type="page"/>
      </w:r>
    </w:p>
    <w:p w14:paraId="25939F82" w14:textId="193B04BE"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(13)</w:t>
      </w:r>
      <w:r w:rsidRPr="00AA7DF5">
        <w:rPr>
          <w:szCs w:val="24"/>
          <w:lang w:eastAsia="en-US"/>
        </w:rPr>
        <w:tab/>
        <w:t>A avaliação concluiu igualmente que existe demasiada variação entre os Estados-Membros no que se refere às normas de qualidade e aos limiares estabelecidos a nível nacional, respetivamente, para os poluentes específicos das bacias hidrográficas e os poluentes das águas subterrâneas. Até à data, os poluentes específicos das bacias hidrográficas que não são identificados como substâncias prioritárias ao abrigo da Diretiva 2000/60/CE têm estado sujeitos às normas de qualidade ambiental nacionais e sido contabilizados como elementos de qualidade físico-química que apoiam a avaliação do estado ecológico das águas de superfície. Os Estados-Membros têm também podido fixar os seus próprios limiares para as águas subterrâneas, incluindo no que respeita às substâncias sintéticas antropogénicas. Esta flexibilidade conduziu a resultados insatisfatórios em termos de comparabilidade do estado das massas de água entre os Estados-Membros e de proteção do ambiente. Importa, por isso, prever um procedimento que permita um acordo a nível da União sobre as normas de qualidade ambiental e os limiares a aplicar a essas substâncias, caso sejam identificadas como suscitando preocupação a nível nacional, e estabelecer repositórios das normas de qualidade ambiental e dos limiares aplicáveis.</w:t>
      </w:r>
    </w:p>
    <w:p w14:paraId="28C3F8EB" w14:textId="77777777" w:rsidR="00154B61" w:rsidRPr="00AA7DF5" w:rsidRDefault="00154B61">
      <w:pPr>
        <w:widowControl/>
        <w:rPr>
          <w:b/>
          <w:i/>
          <w:szCs w:val="24"/>
          <w:lang w:eastAsia="en-US"/>
        </w:rPr>
      </w:pPr>
      <w:r w:rsidRPr="00AA7DF5">
        <w:rPr>
          <w:b/>
          <w:i/>
          <w:szCs w:val="24"/>
          <w:lang w:eastAsia="en-US"/>
        </w:rPr>
        <w:br w:type="page"/>
      </w:r>
    </w:p>
    <w:p w14:paraId="2B5AF201" w14:textId="7D986E97"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(13</w:t>
      </w:r>
      <w:r w:rsidR="00154B61"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Qualquer decisão relativa à seleção, revisão de substâncias e fixação de normas de qualidade ambiental deve basear‑se numa avaliação dos riscos e seguir uma abordagem proporcionada, transparente e científica e ter em conta as recomendações do Parlamento Europeu, dos Estados‑Membros e das partes interessadas pertinentes.</w:t>
      </w:r>
      <w:r w:rsidR="00154B61" w:rsidRPr="00AA7DF5">
        <w:rPr>
          <w:b/>
          <w:szCs w:val="24"/>
          <w:lang w:eastAsia="en-US"/>
        </w:rPr>
        <w:t xml:space="preserve"> [Alt. 39]</w:t>
      </w:r>
    </w:p>
    <w:p w14:paraId="5B02D78B" w14:textId="5BD79C00" w:rsidR="002E0FC5" w:rsidRPr="00AA7DF5" w:rsidRDefault="002E0FC5" w:rsidP="002E0FC5">
      <w:pPr>
        <w:spacing w:before="120" w:after="120" w:line="360" w:lineRule="auto"/>
        <w:ind w:left="850" w:hanging="850"/>
        <w:rPr>
          <w:b/>
          <w:szCs w:val="24"/>
          <w:lang w:eastAsia="en-US"/>
        </w:rPr>
      </w:pPr>
      <w:r w:rsidRPr="00AA7DF5">
        <w:rPr>
          <w:b/>
          <w:i/>
          <w:szCs w:val="24"/>
          <w:lang w:eastAsia="en-US"/>
        </w:rPr>
        <w:t>(13</w:t>
      </w:r>
      <w:r w:rsidR="00154B61"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 xml:space="preserve">Embora a Diretiva 2000/60/CE estabeleça as regras para registar progressos no que respeita à quantidade e qualidade da água, o balanço de qualidade revelou que a lentidão dos progressos na consecução dos objetivos da presente diretiva pode ser atribuída, nomeadamente, à falta de recursos financeiros suficientes, bem como à complexidade regulamentar e ecológica, incluindo eventuais desfasamentos temporais para as águas subterrâneas reagirem às medidas e no tocante aos prazos de comunicação de informações. As medidas destinadas a melhorar o estado das massas de água através da recuperação dos rios e dos serviços </w:t>
      </w:r>
      <w:proofErr w:type="spellStart"/>
      <w:r w:rsidRPr="00AA7DF5">
        <w:rPr>
          <w:b/>
          <w:i/>
          <w:szCs w:val="24"/>
          <w:lang w:eastAsia="en-US"/>
        </w:rPr>
        <w:t>ecossistémicos</w:t>
      </w:r>
      <w:proofErr w:type="spellEnd"/>
      <w:r w:rsidRPr="00AA7DF5">
        <w:rPr>
          <w:b/>
          <w:i/>
          <w:szCs w:val="24"/>
          <w:lang w:eastAsia="en-US"/>
        </w:rPr>
        <w:t xml:space="preserve"> proporcionam benefícios financeiros que compensam os custos e podem reduzir as despesas necessárias dos Estados‑Membros. Além disso, a avaliação aponta para uma falta de aplicação, um âmbito de aplicação insuficiente e medidas de recuperação insuficientes ou inadequadas para garantir a conectividade hidrológica e ecológica</w:t>
      </w:r>
      <w:r w:rsidRPr="00AA7DF5">
        <w:rPr>
          <w:szCs w:val="24"/>
          <w:vertAlign w:val="superscript"/>
          <w:lang w:eastAsia="en-US"/>
        </w:rPr>
        <w:footnoteReference w:id="43"/>
      </w:r>
      <w:r w:rsidRPr="00AA7DF5">
        <w:rPr>
          <w:b/>
          <w:i/>
          <w:szCs w:val="24"/>
          <w:lang w:eastAsia="en-US"/>
        </w:rPr>
        <w:t>.</w:t>
      </w:r>
      <w:r w:rsidR="00154B61" w:rsidRPr="00AA7DF5">
        <w:rPr>
          <w:b/>
          <w:szCs w:val="24"/>
          <w:lang w:eastAsia="en-US"/>
        </w:rPr>
        <w:t xml:space="preserve"> [Alt. 40]</w:t>
      </w:r>
    </w:p>
    <w:p w14:paraId="26A5653A" w14:textId="77777777" w:rsidR="00154B61" w:rsidRPr="00AA7DF5" w:rsidRDefault="00154B61">
      <w:pPr>
        <w:widowControl/>
        <w:rPr>
          <w:szCs w:val="24"/>
          <w:lang w:eastAsia="en-US"/>
        </w:rPr>
      </w:pPr>
      <w:r w:rsidRPr="00AA7DF5">
        <w:rPr>
          <w:szCs w:val="24"/>
          <w:lang w:eastAsia="en-US"/>
        </w:rPr>
        <w:br w:type="page"/>
      </w:r>
    </w:p>
    <w:p w14:paraId="1713DEC4" w14:textId="039C84F5"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(14)</w:t>
      </w:r>
      <w:r w:rsidRPr="00AA7DF5">
        <w:rPr>
          <w:szCs w:val="24"/>
          <w:lang w:eastAsia="en-US"/>
        </w:rPr>
        <w:tab/>
        <w:t>Além disso, a integração de poluentes específicos das bacias hidrográficas na definição de estado químico das águas de superfície assegura uma abordagem mais coordenada, coerente e transparente em termos de monitorização e de avaliação do estado químico das massas de águas de superfície e da informação conexa destinada ao público. Facilita igualmente uma abordagem mais dirigida à identificação e execução de medidas destinadas a enfrentar todos os problemas relacionados com os produtos químicos de uma forma mais holística, eficaz e eficiente. As definições de «estado ecológico» e de «estado químico» devem, portanto, ser alteradas, devendo o âmbito do conceito de «estado químico» ser alargado para abranger também os poluentes específicos das bacias hidrográficas, até agora incluídos na definição de «estado ecológico» constante do anexo V da Diretiva 2000/60/CE. Por conseguinte, o conceito de normas de qualidade ambiental para poluentes específicos das bacias hidrográficas e os procedimentos conexos devem ser incluídos na Diretiva 2008/105/CE.</w:t>
      </w:r>
    </w:p>
    <w:p w14:paraId="7055D4ED" w14:textId="1FC5A57A" w:rsidR="002E0FC5" w:rsidRPr="00AA7DF5" w:rsidRDefault="002E0FC5" w:rsidP="002E0FC5">
      <w:pPr>
        <w:spacing w:before="120" w:after="120" w:line="360" w:lineRule="auto"/>
        <w:ind w:left="850" w:hanging="850"/>
        <w:rPr>
          <w:b/>
          <w:szCs w:val="24"/>
          <w:lang w:eastAsia="en-US"/>
        </w:rPr>
      </w:pPr>
      <w:r w:rsidRPr="00AA7DF5">
        <w:rPr>
          <w:szCs w:val="24"/>
          <w:lang w:eastAsia="en-US"/>
        </w:rPr>
        <w:t>(15)</w:t>
      </w:r>
      <w:r w:rsidRPr="00AA7DF5">
        <w:rPr>
          <w:szCs w:val="24"/>
          <w:lang w:eastAsia="en-US"/>
        </w:rPr>
        <w:tab/>
        <w:t xml:space="preserve">Para assegurar uma abordagem harmonizada e condições de concorrência equitativas na União, deve ser delegado na Comissão o poder de adotar atos nos termos do artigo 290.º do TFUE para alterar o anexo II, parte B, da Diretiva 2006/118/CE, a fim de adaptar a lista de poluentes para os quais os Estados-Membros </w:t>
      </w:r>
      <w:r w:rsidRPr="00AA7DF5">
        <w:rPr>
          <w:strike/>
          <w:szCs w:val="24"/>
          <w:lang w:eastAsia="en-US"/>
        </w:rPr>
        <w:t>devem ponderar o estabelecimento de</w:t>
      </w:r>
      <w:r w:rsidRPr="00AA7DF5">
        <w:rPr>
          <w:b/>
          <w:i/>
          <w:szCs w:val="24"/>
          <w:lang w:eastAsia="en-US"/>
        </w:rPr>
        <w:t>têm de estabelecer</w:t>
      </w:r>
      <w:r w:rsidRPr="00AA7DF5">
        <w:rPr>
          <w:szCs w:val="24"/>
          <w:lang w:eastAsia="en-US"/>
        </w:rPr>
        <w:t xml:space="preserve"> limiares nacionais.</w:t>
      </w:r>
      <w:r w:rsidR="00154B61" w:rsidRPr="00AA7DF5">
        <w:rPr>
          <w:b/>
          <w:szCs w:val="24"/>
          <w:lang w:eastAsia="en-US"/>
        </w:rPr>
        <w:t xml:space="preserve"> [Alt. 41]</w:t>
      </w:r>
    </w:p>
    <w:p w14:paraId="0A7C93F1" w14:textId="77777777" w:rsidR="00154B61" w:rsidRPr="00AA7DF5" w:rsidRDefault="00154B61">
      <w:pPr>
        <w:widowControl/>
        <w:rPr>
          <w:szCs w:val="24"/>
          <w:lang w:eastAsia="en-US"/>
        </w:rPr>
      </w:pPr>
      <w:r w:rsidRPr="00AA7DF5">
        <w:rPr>
          <w:szCs w:val="24"/>
          <w:lang w:eastAsia="en-US"/>
        </w:rPr>
        <w:br w:type="page"/>
      </w:r>
    </w:p>
    <w:p w14:paraId="27D66C21" w14:textId="7C6A0632"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(16)</w:t>
      </w:r>
      <w:r w:rsidRPr="00AA7DF5">
        <w:rPr>
          <w:szCs w:val="24"/>
          <w:lang w:eastAsia="en-US"/>
        </w:rPr>
        <w:tab/>
        <w:t>Atendendo à necessidade de uma rápida adaptação ao progresso científico e técnico e de assegurar uma abordagem harmonizada e condições de concorrência equitativas na União no que se refere aos poluentes específicos das bacias hidrográficas, deve ser delegado na Comissão o poder de adotar atos nos termos do artigo 290.º do TFUE para adaptar a lista de categorias de poluentes estabelecida no anexo II, parte A, da Diretiva 2008/105/CE e para adaptar o anexo II, parte C, no que diz respeito às normas de qualidade ambiental harmonizadas para os poluentes ou grupos de poluentes específicos das bacias hidrográficas. Os Estados‑Membros deverão aplicar essas normas de qualidade ambiental harmonizadas na avaliação do estado das suas massas de águas de superfície sempre que tenha sido identificado um risco decorrente desses poluentes.</w:t>
      </w:r>
    </w:p>
    <w:p w14:paraId="67FEF45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(17)</w:t>
      </w:r>
      <w:r w:rsidRPr="00AA7DF5">
        <w:rPr>
          <w:szCs w:val="24"/>
          <w:lang w:eastAsia="en-US"/>
        </w:rPr>
        <w:tab/>
        <w:t>A revisão da lista de substâncias prioritárias constante do anexo I, parte A, da Diretiva 2008/105/CE concluiu que várias substâncias prioritárias já não suscitam preocupação a nível da União, pelo que devem deixar de figurar no anexo I, parte A, da referida diretiva. Essas substâncias devem, portanto, ser consideradas como poluentes específicos das bacias hidrográficas e ser incluídas no anexo II, parte C, da Diretiva 2008/105/CE, juntamente com as normas de qualidade ambiental correspondentes. Dado que esses poluentes já não são fonte de preocupação a nível da União, as normas de qualidade ambiental só devem ser aplicadas nos casos em que esses poluentes ainda possam suscitar preocupação a nível nacional, regional ou local.</w:t>
      </w:r>
    </w:p>
    <w:p w14:paraId="1F735032" w14:textId="77777777" w:rsidR="00154B61" w:rsidRPr="00AA7DF5" w:rsidRDefault="00154B61">
      <w:pPr>
        <w:widowControl/>
        <w:rPr>
          <w:szCs w:val="24"/>
          <w:lang w:eastAsia="en-US"/>
        </w:rPr>
      </w:pPr>
      <w:r w:rsidRPr="00AA7DF5">
        <w:rPr>
          <w:szCs w:val="24"/>
          <w:lang w:eastAsia="en-US"/>
        </w:rPr>
        <w:br w:type="page"/>
      </w:r>
    </w:p>
    <w:p w14:paraId="3AF0C350" w14:textId="68444E0E"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(18)</w:t>
      </w:r>
      <w:r w:rsidRPr="00AA7DF5">
        <w:rPr>
          <w:szCs w:val="24"/>
          <w:lang w:eastAsia="en-US"/>
        </w:rPr>
        <w:tab/>
        <w:t xml:space="preserve">A fim de assegurar condições de concorrência equitativas e permitir a comparabilidade do estado das massas de água entre os Estados-Membros é necessário harmonizar os limiares nacionais para alguns poluentes das águas subterrâneas. Por conseguinte, é oportuno introduzir um repositório de limiares harmonizados para os poluentes das águas subterrâneas que suscitam preocupação a nível nacional, regional ou local, adicionando uma parte D ao anexo II da Diretiva 2006/118/CE. Os limiares harmonizados estabelecidos nesse repositório só devem ser aplicados nos Estados-Membros em que os poluentes sujeitos a esses limiares afetem o estado das águas subterrâneas. No que diz respeito à soma dos dois poluentes sintéticos </w:t>
      </w:r>
      <w:proofErr w:type="spellStart"/>
      <w:r w:rsidRPr="00AA7DF5">
        <w:rPr>
          <w:szCs w:val="24"/>
          <w:lang w:eastAsia="en-US"/>
        </w:rPr>
        <w:t>tricloroetileno</w:t>
      </w:r>
      <w:proofErr w:type="spellEnd"/>
      <w:r w:rsidRPr="00AA7DF5">
        <w:rPr>
          <w:szCs w:val="24"/>
          <w:lang w:eastAsia="en-US"/>
        </w:rPr>
        <w:t xml:space="preserve"> e </w:t>
      </w:r>
      <w:proofErr w:type="spellStart"/>
      <w:r w:rsidRPr="00AA7DF5">
        <w:rPr>
          <w:szCs w:val="24"/>
          <w:lang w:eastAsia="en-US"/>
        </w:rPr>
        <w:t>tetracloroetileno</w:t>
      </w:r>
      <w:proofErr w:type="spellEnd"/>
      <w:r w:rsidRPr="00AA7DF5">
        <w:rPr>
          <w:szCs w:val="24"/>
          <w:lang w:eastAsia="en-US"/>
        </w:rPr>
        <w:t>, há que harmonizar os valores dos limiares nacionais, uma vez que nem todos os Estados-Membros que têm problemas com esses poluentes aplicam um limiar para a soma dos mesmos e os limiares nacionais estabelecidos não são todos iguais. O limiar harmonizado deve ser coerente com o valor paramétrico estabelecido para a soma desses poluentes na água potável nos termos da Diretiva (UE) 2020/2184.</w:t>
      </w:r>
    </w:p>
    <w:p w14:paraId="4181AAC1"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(19)</w:t>
      </w:r>
      <w:r w:rsidRPr="00AA7DF5">
        <w:rPr>
          <w:szCs w:val="24"/>
          <w:lang w:eastAsia="en-US"/>
        </w:rPr>
        <w:tab/>
        <w:t>Para assegurar uma abordagem harmonizada e condições de concorrência equitativas na União, deve ser delegado na Comissão o poder de adotar atos nos termos do artigo 290.º do TFUE para alterar o anexo II, parte D, da Diretiva 2006/118/CE, a fim de adaptar o repositório de limiares harmonizados ao progresso técnico e científico no que diz respeito aos poluentes incluídos e aos limiares harmonizados.</w:t>
      </w:r>
    </w:p>
    <w:p w14:paraId="76B0E759" w14:textId="77777777" w:rsidR="00154B61" w:rsidRPr="00AA7DF5" w:rsidRDefault="00154B61">
      <w:pPr>
        <w:widowControl/>
        <w:rPr>
          <w:szCs w:val="24"/>
          <w:lang w:eastAsia="en-US"/>
        </w:rPr>
      </w:pPr>
      <w:r w:rsidRPr="00AA7DF5">
        <w:rPr>
          <w:szCs w:val="24"/>
          <w:lang w:eastAsia="en-US"/>
        </w:rPr>
        <w:br w:type="page"/>
      </w:r>
    </w:p>
    <w:p w14:paraId="26808E06" w14:textId="25D8513A"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(20)</w:t>
      </w:r>
      <w:r w:rsidRPr="00AA7DF5">
        <w:rPr>
          <w:szCs w:val="24"/>
          <w:lang w:eastAsia="en-US"/>
        </w:rPr>
        <w:tab/>
        <w:t>Importa adaptar todas as disposições da Diretiva 2006/118/CE relativas à avaliação do estado químico das águas subterrâneas tendo em conta a introdução da terceira categoria de limiares harmonizados no anexo II, parte D, dessa diretiva, que acresce às normas de qualidade estabelecidas no anexo I dessa diretiva e aos limiares nacionais fixados de acordo com a metodologia estabelecida no anexo II, parte A, da mesma diretiva.</w:t>
      </w:r>
    </w:p>
    <w:p w14:paraId="2CD542D7" w14:textId="7988A3A8" w:rsidR="002E0FC5" w:rsidRPr="00AA7DF5" w:rsidRDefault="002E0FC5" w:rsidP="002E0FC5">
      <w:pPr>
        <w:spacing w:before="120" w:after="120" w:line="360" w:lineRule="auto"/>
        <w:ind w:left="850" w:hanging="850"/>
        <w:rPr>
          <w:b/>
          <w:szCs w:val="24"/>
          <w:lang w:eastAsia="en-US"/>
        </w:rPr>
      </w:pPr>
      <w:r w:rsidRPr="00AA7DF5">
        <w:rPr>
          <w:b/>
          <w:i/>
          <w:szCs w:val="24"/>
          <w:lang w:eastAsia="en-US"/>
        </w:rPr>
        <w:t>(20</w:t>
      </w:r>
      <w:r w:rsidR="00154B61"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A fim de estabelecer normas de proteção adequadas para as zonas de elevado valor ecológico, vulnerabilidade ou poluição – como as grutas e as zonas cársticas, que albergam alguns dos ecossistemas mais vulneráveis à contaminação e que representam uma importante fonte de água potável–, bem como normas para antigas instalações industriais e outras zonas com um historial de contaminação conhecido, a Comissão deve publicar uma avaliação do estado químico dessas zonas e, se for caso disso, apresentar uma proposta legislativa de revisão da Diretiva 2006/118/CE, em conformidade.</w:t>
      </w:r>
      <w:r w:rsidR="00154B61" w:rsidRPr="00AA7DF5">
        <w:rPr>
          <w:b/>
          <w:szCs w:val="24"/>
          <w:lang w:eastAsia="en-US"/>
        </w:rPr>
        <w:t xml:space="preserve"> [Alt. 42]</w:t>
      </w:r>
    </w:p>
    <w:p w14:paraId="0D6DBF13" w14:textId="77777777" w:rsidR="00154B61" w:rsidRPr="00AA7DF5" w:rsidRDefault="00154B61">
      <w:pPr>
        <w:widowControl/>
        <w:rPr>
          <w:szCs w:val="24"/>
          <w:lang w:eastAsia="en-US"/>
        </w:rPr>
      </w:pPr>
      <w:r w:rsidRPr="00AA7DF5">
        <w:rPr>
          <w:szCs w:val="24"/>
          <w:lang w:eastAsia="en-US"/>
        </w:rPr>
        <w:br w:type="page"/>
      </w:r>
    </w:p>
    <w:p w14:paraId="0C71F099" w14:textId="006DF5F2"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(21)</w:t>
      </w:r>
      <w:r w:rsidRPr="00AA7DF5">
        <w:rPr>
          <w:szCs w:val="24"/>
          <w:lang w:eastAsia="en-US"/>
        </w:rPr>
        <w:tab/>
        <w:t>A fim de assegurar uma tomada de decisões eficaz e coerente e de obter sinergias com o trabalho realizado no âmbito da demais legislação da União sobre produtos químicos, deve ser atribuído à Agência Europeia dos Produtos Químicos (ECHA) um papel permanente e claramente circunscrito na definição de prioridades para a inclusão de substâncias nas listas de vigilância e nas listas de substâncias constantes dos anexos I e II da Diretiva 2008/105/CE e dos anexos I e II da Diretiva 2006/118/CE, bem como na elaboração de normas de qualidade adequadas assentes em bases científicas. O Comité de Avaliação dos Riscos (RAC) e o Comité de Análise Socioeconómica (SEAC) da ECHA devem facilitar, formulando pareceres, a execução de determinadas tarefas atribuídas à ECHA. A ECHA deve assegurar uma melhor coordenação entre os vários atos normativos em matéria ambiental disponibilizando ao público os relatórios científicos pertinentes para melhorar a transparência no que se refere aos poluentes incluídos numa lista de vigilância ou à elaboração de normas de qualidade ambiental ou limiares nacionais ou da União.</w:t>
      </w:r>
      <w:r w:rsidRPr="00AA7DF5">
        <w:rPr>
          <w:b/>
          <w:i/>
          <w:szCs w:val="24"/>
          <w:lang w:eastAsia="en-US"/>
        </w:rPr>
        <w:t xml:space="preserve"> Relativamente à avaliação de valores de referência para substâncias farmacêuticas, a ECHA deve cooperar com a Agência Europeia de Medicamentos (EMA).</w:t>
      </w:r>
      <w:r w:rsidR="00A87B09" w:rsidRPr="00AA7DF5">
        <w:rPr>
          <w:b/>
          <w:szCs w:val="24"/>
          <w:lang w:eastAsia="en-US"/>
        </w:rPr>
        <w:t xml:space="preserve"> [Alt. 43]</w:t>
      </w:r>
    </w:p>
    <w:p w14:paraId="0D2B0402" w14:textId="77777777" w:rsidR="00A87B09" w:rsidRPr="00AA7DF5" w:rsidRDefault="00A87B09">
      <w:pPr>
        <w:widowControl/>
        <w:rPr>
          <w:szCs w:val="24"/>
          <w:lang w:eastAsia="en-US"/>
        </w:rPr>
      </w:pPr>
      <w:r w:rsidRPr="00AA7DF5">
        <w:rPr>
          <w:szCs w:val="24"/>
          <w:lang w:eastAsia="en-US"/>
        </w:rPr>
        <w:br w:type="page"/>
      </w:r>
    </w:p>
    <w:p w14:paraId="0A27E3CB" w14:textId="1580E702"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(22)</w:t>
      </w:r>
      <w:r w:rsidRPr="00AA7DF5">
        <w:rPr>
          <w:szCs w:val="24"/>
          <w:lang w:eastAsia="en-US"/>
        </w:rPr>
        <w:tab/>
        <w:t>A avaliação concluiu que a comunicação de informações por via eletrónica deve ser mais frequente e simplificada para promover uma melhor aplicação e cumprimento da legislação da União no domínio da água. Uma vez que lhe cabe igualmente monitorizar de forma mais regular o estado da poluição nos termos do Plano de Ação para a Poluição Zero, a Agência Europeia do Ambiente (EEA) deve facilitar essa comunicação de informações mais frequente e simplificada por parte dos Estados-Membros. É importante que as informações ambientais sobre o estado das águas de superfície e subterrâneas da União sejam disponibilizadas atempadamente ao público e à Comissão. Por conseguinte, os Estados-Membros devem ser obrigados a disponibilizar à Comissão e à EEA os dados de monitorização recolhidos no âmbito da Diretiva 2000/60/CE, recorrendo a mecanismos automatizados de comunicação de informações e de envio de dados por meio de uma interface de programação de aplicações ou mecanismos equivalentes. Prevê-se que os encargos administrativos sejam limitados uma vez que os Estados-Membros já são obrigados a disponibilizar ao público categorias temáticas de dados geográficos abrangidas pelo âmbito de aplicação das Diretivas 2007/2/CE</w:t>
      </w:r>
      <w:r w:rsidRPr="00AA7DF5">
        <w:rPr>
          <w:szCs w:val="24"/>
          <w:vertAlign w:val="superscript"/>
          <w:lang w:eastAsia="en-US"/>
        </w:rPr>
        <w:footnoteReference w:id="44"/>
      </w:r>
      <w:r w:rsidRPr="00AA7DF5">
        <w:rPr>
          <w:szCs w:val="24"/>
          <w:lang w:eastAsia="en-US"/>
        </w:rPr>
        <w:t xml:space="preserve"> e (UE) 2019/1024</w:t>
      </w:r>
      <w:r w:rsidRPr="00AA7DF5">
        <w:rPr>
          <w:szCs w:val="24"/>
          <w:vertAlign w:val="superscript"/>
          <w:lang w:eastAsia="en-US"/>
        </w:rPr>
        <w:footnoteReference w:id="45"/>
      </w:r>
      <w:r w:rsidRPr="00AA7DF5">
        <w:rPr>
          <w:szCs w:val="24"/>
          <w:lang w:eastAsia="en-US"/>
        </w:rPr>
        <w:t xml:space="preserve"> do Parlamento Europeu e do Conselho. Essas categorias temáticas de dados geográficos incluem a localização e o funcionamento das instalações de monitorização do ambiente, as medições conexas das emissões e o estado das componentes ambientais.</w:t>
      </w:r>
    </w:p>
    <w:p w14:paraId="72BCC2A8" w14:textId="77777777" w:rsidR="00A87B09" w:rsidRPr="00AA7DF5" w:rsidRDefault="00A87B09">
      <w:pPr>
        <w:widowControl/>
        <w:rPr>
          <w:strike/>
          <w:szCs w:val="24"/>
          <w:lang w:eastAsia="en-US"/>
        </w:rPr>
      </w:pPr>
      <w:r w:rsidRPr="00AA7DF5">
        <w:rPr>
          <w:strike/>
          <w:szCs w:val="24"/>
          <w:lang w:eastAsia="en-US"/>
        </w:rPr>
        <w:br w:type="page"/>
      </w:r>
    </w:p>
    <w:p w14:paraId="375A9DCA" w14:textId="41A1A97D" w:rsidR="002E0FC5" w:rsidRPr="00AA7DF5" w:rsidRDefault="002E0FC5" w:rsidP="002E0FC5">
      <w:pPr>
        <w:spacing w:before="120" w:after="120" w:line="360" w:lineRule="auto"/>
        <w:ind w:left="850" w:hanging="850"/>
        <w:rPr>
          <w:b/>
          <w:szCs w:val="24"/>
          <w:lang w:eastAsia="en-US"/>
        </w:rPr>
      </w:pPr>
      <w:r w:rsidRPr="00AA7DF5">
        <w:rPr>
          <w:strike/>
          <w:szCs w:val="24"/>
          <w:lang w:eastAsia="en-US"/>
        </w:rPr>
        <w:lastRenderedPageBreak/>
        <w:t>(23)</w:t>
      </w:r>
      <w:r w:rsidRPr="00AA7DF5">
        <w:rPr>
          <w:szCs w:val="24"/>
          <w:lang w:eastAsia="en-US"/>
        </w:rPr>
        <w:tab/>
      </w:r>
      <w:r w:rsidRPr="00AA7DF5">
        <w:rPr>
          <w:strike/>
          <w:szCs w:val="24"/>
          <w:lang w:eastAsia="en-US"/>
        </w:rPr>
        <w:t>Uma melhor integração dos fluxos de dados comunicados à EEA nos termos da legislação da União no domínio da água, em particular dos inventários de emissões exigidos pela Diretiva 2008/105/CE, com os fluxos de dados comunicados ao Portal das Emissões Industriais nos termos da Diretiva 2010/75/UE e do Regulamento (CE) n.º 166/2006 do Parlamento Europeu e do Conselho</w:t>
      </w:r>
      <w:r w:rsidRPr="00AA7DF5">
        <w:rPr>
          <w:strike/>
          <w:szCs w:val="24"/>
          <w:vertAlign w:val="superscript"/>
          <w:lang w:eastAsia="en-US"/>
        </w:rPr>
        <w:footnoteReference w:id="46"/>
      </w:r>
      <w:r w:rsidRPr="00AA7DF5">
        <w:rPr>
          <w:strike/>
          <w:szCs w:val="24"/>
          <w:lang w:eastAsia="en-US"/>
        </w:rPr>
        <w:t xml:space="preserve"> tornará mais simples e eficiente a comunicação dos inventários em conformidade com o artigo 5.º da Diretiva 2008/105/CE, reduzindo simultaneamente os encargos administrativos e os picos de trabalho na preparação dos planos de gestão das bacias hidrográficas. Esta comunicação simplificada, juntamente com a supressão dos relatórios intercalares sobre os progressos realizados na execução dos programas de medidas, que mostraram não ser eficazes, permitirá aos Estados-Membros centrar-se na comunicação das emissões que não são abrangidas pela legislação relativa às emissões industriais mas são abrangidas pela comunicação de informações sobre emissões nos termos do artigo 5.º da Diretiva 2008/105/CE.</w:t>
      </w:r>
      <w:r w:rsidR="00A87B09" w:rsidRPr="00AA7DF5">
        <w:rPr>
          <w:b/>
          <w:szCs w:val="24"/>
          <w:lang w:eastAsia="en-US"/>
        </w:rPr>
        <w:t xml:space="preserve"> [Alt. 44]</w:t>
      </w:r>
    </w:p>
    <w:p w14:paraId="1B60D475" w14:textId="77777777" w:rsidR="00A87B09" w:rsidRPr="00AA7DF5" w:rsidRDefault="00A87B09">
      <w:pPr>
        <w:widowControl/>
        <w:rPr>
          <w:szCs w:val="24"/>
          <w:lang w:eastAsia="en-US"/>
        </w:rPr>
      </w:pPr>
      <w:r w:rsidRPr="00AA7DF5">
        <w:rPr>
          <w:szCs w:val="24"/>
          <w:lang w:eastAsia="en-US"/>
        </w:rPr>
        <w:br w:type="page"/>
      </w:r>
    </w:p>
    <w:p w14:paraId="2A642D52" w14:textId="71EFE63E"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(24)</w:t>
      </w:r>
      <w:r w:rsidRPr="00AA7DF5">
        <w:rPr>
          <w:szCs w:val="24"/>
          <w:lang w:eastAsia="en-US"/>
        </w:rPr>
        <w:tab/>
        <w:t>O Tratado de Lisboa introduziu uma distinção clara entre os poderes delegados à Comissão para adotar atos não legislativos de aplicação geral para completar ou alterar certos elementos não essenciais de um ato legislativo (atos delegados) e os poderes conferidos à Comissão para adotar atos para garantir condições uniformes de execução de atos juridicamente vinculativos da União (atos de execução). As Diretivas 2000/60/CE e 2006/118/CE devem ser alinhadas pelo quadro jurídico introduzido pelo Tratado de Lisboa.</w:t>
      </w:r>
    </w:p>
    <w:p w14:paraId="602B5B95"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(25)</w:t>
      </w:r>
      <w:r w:rsidRPr="00AA7DF5">
        <w:rPr>
          <w:szCs w:val="24"/>
          <w:lang w:eastAsia="en-US"/>
        </w:rPr>
        <w:tab/>
        <w:t xml:space="preserve">As habilitações previstas no artigo 20.º, n.º 1, primeiro parágrafo, da Diretiva 2000/60/CE e no anexo V, ponto 1.4.1, alínea </w:t>
      </w:r>
      <w:proofErr w:type="spellStart"/>
      <w:r w:rsidRPr="00AA7DF5">
        <w:rPr>
          <w:szCs w:val="24"/>
          <w:lang w:eastAsia="en-US"/>
        </w:rPr>
        <w:t>ix</w:t>
      </w:r>
      <w:proofErr w:type="spellEnd"/>
      <w:r w:rsidRPr="00AA7DF5">
        <w:rPr>
          <w:szCs w:val="24"/>
          <w:lang w:eastAsia="en-US"/>
        </w:rPr>
        <w:t>), dessa diretiva, que preveem o recurso ao procedimento de regulamentação com controlo, cumprem os critérios estabelecidos no artigo 290.º, n.º 1, do TFUE, uma vez que dizem respeito a adaptações dos anexos dessa diretiva e à adoção de regras que a completam. Importa, portanto, convertê-las em poderes da Comissão para adotar atos delegados.</w:t>
      </w:r>
    </w:p>
    <w:p w14:paraId="3F7C196A" w14:textId="77777777" w:rsidR="00A87B09" w:rsidRPr="00AA7DF5" w:rsidRDefault="00A87B09">
      <w:pPr>
        <w:widowControl/>
        <w:rPr>
          <w:szCs w:val="24"/>
          <w:lang w:eastAsia="en-US"/>
        </w:rPr>
      </w:pPr>
      <w:r w:rsidRPr="00AA7DF5">
        <w:rPr>
          <w:szCs w:val="24"/>
          <w:lang w:eastAsia="en-US"/>
        </w:rPr>
        <w:br w:type="page"/>
      </w:r>
    </w:p>
    <w:p w14:paraId="7A655731" w14:textId="3BDA4454"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(26)</w:t>
      </w:r>
      <w:r w:rsidRPr="00AA7DF5">
        <w:rPr>
          <w:szCs w:val="24"/>
          <w:lang w:eastAsia="en-US"/>
        </w:rPr>
        <w:tab/>
        <w:t>A habilitação prevista no artigo 8.º da Diretiva 2006/118/CE, que prevê o recurso ao procedimento de regulamentação com controlo, cumpre os critérios estabelecidos no artigo 290.º, n.º 1, do TFUE, uma vez que diz respeito a adaptações dos anexos dessa diretiva. Importa, portanto, convertê-la num poder da Comissão para adotar atos delegados.</w:t>
      </w:r>
    </w:p>
    <w:p w14:paraId="1CCEDA81"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(27)</w:t>
      </w:r>
      <w:r w:rsidRPr="00AA7DF5">
        <w:rPr>
          <w:szCs w:val="24"/>
          <w:lang w:eastAsia="en-US"/>
        </w:rPr>
        <w:tab/>
        <w:t>É particularmente importante que a Comissão proceda a consultas adequadas durante a preparação dos atos delegados, inclusive a peritos, e que essas consultas sejam realizadas de acordo com os princípios estabelecidos no Acordo Interinstitucional sobre legislar melhor de 13 de abril de 2016.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57E0E349" w14:textId="77777777" w:rsidR="00A87B09" w:rsidRPr="00AA7DF5" w:rsidRDefault="00A87B09">
      <w:pPr>
        <w:widowControl/>
        <w:rPr>
          <w:szCs w:val="24"/>
          <w:lang w:eastAsia="en-US"/>
        </w:rPr>
      </w:pPr>
      <w:r w:rsidRPr="00AA7DF5">
        <w:rPr>
          <w:szCs w:val="24"/>
          <w:lang w:eastAsia="en-US"/>
        </w:rPr>
        <w:br w:type="page"/>
      </w:r>
    </w:p>
    <w:p w14:paraId="46A14953" w14:textId="16E7DB9D"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(28)</w:t>
      </w:r>
      <w:r w:rsidRPr="00AA7DF5">
        <w:rPr>
          <w:szCs w:val="24"/>
          <w:lang w:eastAsia="en-US"/>
        </w:rPr>
        <w:tab/>
        <w:t>A habilitação prevista no artigo 8.º, n.º 3, da Diretiva 2000/60/CE, que prevê o recurso ao procedimento de regulamentação com controlo, cumpre os critérios estabelecidos no artigo 290.º, n.º 2, do TFUE, uma vez que diz respeito à adoção de especificações técnicas e de métodos normalizados de análise e monitorização do estado da água e visa, por conseguinte, garantir condições uniformes para a aplicação harmonizada dessa diretiva. Importa, portanto, convertê-la num poder da Comissão para adotar atos de execução. A fim de garantir a comparabilidade dos dados, importa igualmente alargar a habilitação de modo a incluir o estabelecimento de modelos para a comunicação dos dados de monitorização e de estado, em conformidade com o artigo 8.º, n.º 4. Os poderes conferidos à Comissão devem ser exercidos nos termos do Regulamento (UE) n.º 182/2011 do Parlamento Europeu e do Conselho</w:t>
      </w:r>
      <w:r w:rsidRPr="00AA7DF5">
        <w:rPr>
          <w:szCs w:val="24"/>
          <w:vertAlign w:val="superscript"/>
          <w:lang w:eastAsia="en-US"/>
        </w:rPr>
        <w:footnoteReference w:id="47"/>
      </w:r>
      <w:r w:rsidRPr="00AA7DF5">
        <w:rPr>
          <w:szCs w:val="24"/>
          <w:lang w:eastAsia="en-US"/>
        </w:rPr>
        <w:t>.</w:t>
      </w:r>
    </w:p>
    <w:p w14:paraId="3486D36A"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(29)</w:t>
      </w:r>
      <w:r w:rsidRPr="00AA7DF5">
        <w:rPr>
          <w:szCs w:val="24"/>
          <w:lang w:eastAsia="en-US"/>
        </w:rPr>
        <w:tab/>
        <w:t>A fim de garantir condições uniformes para a execução da Diretiva 2000/60/CE, há que atribuir competências de execução à Comissão para adotar modelos técnicos para a comunicação dos dados de monitorização e do estado da água, em conformidade com o artigo 8.º, n.º 3, da Diretiva 2000/60/CE. Esses poderes devem ser exercidos nos termos do Regulamento (UE) n.º 182/2011.</w:t>
      </w:r>
    </w:p>
    <w:p w14:paraId="6073C61E" w14:textId="77777777" w:rsidR="00A87B09" w:rsidRPr="00AA7DF5" w:rsidRDefault="00A87B09">
      <w:pPr>
        <w:widowControl/>
        <w:rPr>
          <w:szCs w:val="24"/>
          <w:lang w:eastAsia="en-US"/>
        </w:rPr>
      </w:pPr>
      <w:r w:rsidRPr="00AA7DF5">
        <w:rPr>
          <w:szCs w:val="24"/>
          <w:lang w:eastAsia="en-US"/>
        </w:rPr>
        <w:br w:type="page"/>
      </w:r>
    </w:p>
    <w:p w14:paraId="33695051" w14:textId="697C4BC5"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(30)</w:t>
      </w:r>
      <w:r w:rsidRPr="00AA7DF5">
        <w:rPr>
          <w:szCs w:val="24"/>
          <w:lang w:eastAsia="en-US"/>
        </w:rPr>
        <w:tab/>
        <w:t>A fim de assegurar condições uniformes para a execução da Diretiva 2008/105/CE, há que atribuir competências de execução à Comissão para adotar modelos normalizados para a comunicação à EEA das emissões de fontes tópicas não abrangidas pelo Regulamento (UE) .../... do Parlamento Europeu e do Conselho</w:t>
      </w:r>
      <w:r w:rsidRPr="00AA7DF5">
        <w:rPr>
          <w:szCs w:val="24"/>
          <w:vertAlign w:val="superscript"/>
          <w:lang w:eastAsia="en-US"/>
        </w:rPr>
        <w:footnoteReference w:id="48"/>
      </w:r>
      <w:r w:rsidRPr="00AA7DF5">
        <w:rPr>
          <w:szCs w:val="24"/>
          <w:lang w:eastAsia="en-US"/>
        </w:rPr>
        <w:t>. Esses poderes devem ser exercidos nos termos do Regulamento (UE) n.º 182/2011.</w:t>
      </w:r>
    </w:p>
    <w:p w14:paraId="6A3AFFDA" w14:textId="5D725B52" w:rsidR="002E0FC5" w:rsidRPr="00AA7DF5" w:rsidRDefault="002E0FC5" w:rsidP="002E0FC5">
      <w:pPr>
        <w:spacing w:before="120" w:after="120" w:line="360" w:lineRule="auto"/>
        <w:ind w:left="850" w:hanging="850"/>
        <w:rPr>
          <w:b/>
          <w:szCs w:val="24"/>
          <w:lang w:eastAsia="en-US"/>
        </w:rPr>
      </w:pPr>
      <w:r w:rsidRPr="00AA7DF5">
        <w:rPr>
          <w:szCs w:val="24"/>
          <w:lang w:eastAsia="en-US"/>
        </w:rPr>
        <w:t>(31)</w:t>
      </w:r>
      <w:r w:rsidRPr="00AA7DF5">
        <w:rPr>
          <w:szCs w:val="24"/>
          <w:lang w:eastAsia="en-US"/>
        </w:rPr>
        <w:tab/>
        <w:t>Importa ter em conta o progresso científico e técnico</w:t>
      </w:r>
      <w:r w:rsidRPr="00AA7DF5">
        <w:rPr>
          <w:b/>
          <w:i/>
          <w:szCs w:val="24"/>
          <w:lang w:eastAsia="en-US"/>
        </w:rPr>
        <w:t xml:space="preserve"> e os melhores métodos disponíveis</w:t>
      </w:r>
      <w:r w:rsidRPr="00AA7DF5">
        <w:rPr>
          <w:szCs w:val="24"/>
          <w:lang w:eastAsia="en-US"/>
        </w:rPr>
        <w:t xml:space="preserve"> no domínio da monitorização do estado das massas de água, em conformidade com os requisitos de monitorização estabelecidos no anexo V da Diretiva 2000/60/CE. Por conseguinte, os Estados-Membros devem ser autorizados a utilizar dados e serviços de tecnologias de teledeteção, de observação da Terra (serviços </w:t>
      </w:r>
      <w:proofErr w:type="spellStart"/>
      <w:r w:rsidRPr="00AA7DF5">
        <w:rPr>
          <w:szCs w:val="24"/>
          <w:lang w:eastAsia="en-US"/>
        </w:rPr>
        <w:t>Copernicus</w:t>
      </w:r>
      <w:proofErr w:type="spellEnd"/>
      <w:r w:rsidRPr="00AA7DF5">
        <w:rPr>
          <w:szCs w:val="24"/>
          <w:lang w:eastAsia="en-US"/>
        </w:rPr>
        <w:t xml:space="preserve">) e de sensores e dispositivos </w:t>
      </w:r>
      <w:r w:rsidRPr="00AA7DF5">
        <w:rPr>
          <w:i/>
          <w:szCs w:val="24"/>
          <w:lang w:eastAsia="en-US"/>
        </w:rPr>
        <w:t>in situ</w:t>
      </w:r>
      <w:r w:rsidRPr="00AA7DF5">
        <w:rPr>
          <w:szCs w:val="24"/>
          <w:lang w:eastAsia="en-US"/>
        </w:rPr>
        <w:t xml:space="preserve"> ou dados da ciência cidadã, tirando partido das oportunidades proporcionadas pela inteligência artificial e pela análise e tratamento avançados de dados.</w:t>
      </w:r>
      <w:r w:rsidR="00A87B09" w:rsidRPr="00AA7DF5">
        <w:rPr>
          <w:b/>
          <w:szCs w:val="24"/>
          <w:lang w:eastAsia="en-US"/>
        </w:rPr>
        <w:t xml:space="preserve"> [Alt. 45]</w:t>
      </w:r>
    </w:p>
    <w:p w14:paraId="615CA60B" w14:textId="77777777" w:rsidR="00A87B09" w:rsidRPr="00AA7DF5" w:rsidRDefault="00A87B09">
      <w:pPr>
        <w:widowControl/>
        <w:rPr>
          <w:b/>
          <w:i/>
          <w:szCs w:val="24"/>
          <w:lang w:eastAsia="en-US"/>
        </w:rPr>
      </w:pPr>
      <w:r w:rsidRPr="00AA7DF5">
        <w:rPr>
          <w:b/>
          <w:i/>
          <w:szCs w:val="24"/>
          <w:lang w:eastAsia="en-US"/>
        </w:rPr>
        <w:br w:type="page"/>
      </w:r>
    </w:p>
    <w:p w14:paraId="74763285" w14:textId="09FB674F"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(31</w:t>
      </w:r>
      <w:r w:rsidR="00A87B09"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As atividades industriais relacionadas com a transição energética poderiam agravar os efeitos adversos sobre a qualidade da água. Para atenuar esses impactos no futuro, como as mudanças nos padrões de fluxos naturais e alterações da temperatura, e também a poluição aquática, é necessário avaliar toda a panóplia de fatores potenciais e medidas a tomar para alcançar e manter uma água de boa qualidade. Por conseguinte, os Estados‑Membros devem avaliar com regularidade o impacto sobre a qualidade da água das atividades industriais relacionadas com a transição energética e informar a Comissão sobre a identificação de novas ameaças no intuito de proceder à respetiva atualização da lista de vigilância. A avaliação deve poder ser consultada facilmente pelo público e a sua atualização ser possível fora dos ciclos gerais de atualização, para garantir uma melhoria contínua da avaliação da qualidade da água.</w:t>
      </w:r>
      <w:r w:rsidR="00A87B09" w:rsidRPr="00AA7DF5">
        <w:rPr>
          <w:b/>
          <w:szCs w:val="24"/>
          <w:lang w:eastAsia="en-US"/>
        </w:rPr>
        <w:t xml:space="preserve"> [Alt. 46]</w:t>
      </w:r>
    </w:p>
    <w:p w14:paraId="69E50D3C" w14:textId="77777777" w:rsidR="00A87B09" w:rsidRPr="00AA7DF5" w:rsidRDefault="00A87B09">
      <w:pPr>
        <w:widowControl/>
        <w:rPr>
          <w:b/>
          <w:i/>
          <w:szCs w:val="24"/>
          <w:lang w:eastAsia="en-US"/>
        </w:rPr>
      </w:pPr>
      <w:r w:rsidRPr="00AA7DF5">
        <w:rPr>
          <w:b/>
          <w:i/>
          <w:szCs w:val="24"/>
          <w:lang w:eastAsia="en-US"/>
        </w:rPr>
        <w:br w:type="page"/>
      </w:r>
    </w:p>
    <w:p w14:paraId="757D20D5" w14:textId="0CB6FE2B"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(31</w:t>
      </w:r>
      <w:r w:rsidR="00A87B09"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A Comissão, na sua Comunicação de 11 de dezembro de 2019 intitulada «Pacto Ecológico Europeu» e na Comunicação de 14 de outubro de 2020 com o título «Melhorar o acesso à justiça em matéria de ambiente na UE e nos Estados‑Membros», comprometeu‑se a tomar medidas para melhorar o acesso à justiça perante os tribunais nacionais em todos os Estados‑Membros para os cidadãos e organizações não governamentais ambientais que tenham preocupações específicas sobre a compatibilidade com a legislação ambiental dos atos administrativos com efeitos no ambiente. Nesta última comunicação, a Comissão afirma que «o acesso à justiça em matéria de ambiente, tanto através do Tribunal de Justiça da UE (TJUE) como dos tribunais nacionais enquanto tribunais da União, constitui uma importante medida de apoio para ajudar a concretizar a transição proposta no Pacto Ecológico Europeu e uma forma de reforçar o papel de vigilância que a sociedade civil pode desempenhar no espaço democrático». Estes compromissos devem ser igualmente aplicados ao abrigo da Diretiva 2000/60/CE.</w:t>
      </w:r>
      <w:r w:rsidR="001B7E42" w:rsidRPr="00AA7DF5">
        <w:rPr>
          <w:b/>
          <w:szCs w:val="24"/>
          <w:lang w:eastAsia="en-US"/>
        </w:rPr>
        <w:t xml:space="preserve"> [Alt. 47]</w:t>
      </w:r>
    </w:p>
    <w:p w14:paraId="51D37B7F" w14:textId="77777777" w:rsidR="001B7E42" w:rsidRPr="00AA7DF5" w:rsidRDefault="001B7E42">
      <w:pPr>
        <w:widowControl/>
        <w:rPr>
          <w:b/>
          <w:i/>
          <w:szCs w:val="24"/>
          <w:lang w:eastAsia="en-US"/>
        </w:rPr>
      </w:pPr>
      <w:r w:rsidRPr="00AA7DF5">
        <w:rPr>
          <w:b/>
          <w:i/>
          <w:szCs w:val="24"/>
          <w:lang w:eastAsia="en-US"/>
        </w:rPr>
        <w:br w:type="page"/>
      </w:r>
    </w:p>
    <w:p w14:paraId="5C6189C8" w14:textId="63418180"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(31</w:t>
      </w:r>
      <w:r w:rsidR="001B7E42"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Tal como confirmado pela jurisprudência do TJUE</w:t>
      </w:r>
      <w:r w:rsidRPr="00AA7DF5">
        <w:rPr>
          <w:szCs w:val="24"/>
          <w:vertAlign w:val="superscript"/>
          <w:lang w:eastAsia="en-US"/>
        </w:rPr>
        <w:footnoteReference w:id="49"/>
      </w:r>
      <w:r w:rsidRPr="00AA7DF5">
        <w:rPr>
          <w:b/>
          <w:i/>
          <w:szCs w:val="24"/>
          <w:lang w:eastAsia="en-US"/>
        </w:rPr>
        <w:t>, deve ser proporcionada legitimidade processual às organizações não governamentais ambientais e às pessoas diretamente afetadas, a fim de impugnar uma decisão tomada por uma autoridade pública que viole os objetivos ambientais referidos no artigo 4.º da Diretiva 2000/60/CE. Com vista a melhorar o acesso à justiça nas matérias em causa perante os tribunais nacionais em toda a União e para que as organizações não governamentais ambientais e as pessoas diretamente afetadas possam basear‑se na legislação nacional quando impugnam decisões que violem a Diretiva 2000/60/CE, esta diretiva deve estabelecer disposições para assegurar o acesso à justiça.</w:t>
      </w:r>
      <w:r w:rsidR="001B7E42" w:rsidRPr="00AA7DF5">
        <w:rPr>
          <w:b/>
          <w:szCs w:val="24"/>
          <w:lang w:eastAsia="en-US"/>
        </w:rPr>
        <w:t xml:space="preserve"> [Alt. 48]</w:t>
      </w:r>
    </w:p>
    <w:p w14:paraId="1309D894" w14:textId="77777777" w:rsidR="001B7E42" w:rsidRPr="00AA7DF5" w:rsidRDefault="001B7E42">
      <w:pPr>
        <w:widowControl/>
        <w:rPr>
          <w:szCs w:val="24"/>
          <w:lang w:eastAsia="en-US"/>
        </w:rPr>
      </w:pPr>
      <w:r w:rsidRPr="00AA7DF5">
        <w:rPr>
          <w:szCs w:val="24"/>
          <w:lang w:eastAsia="en-US"/>
        </w:rPr>
        <w:br w:type="page"/>
      </w:r>
    </w:p>
    <w:p w14:paraId="24EFA7FB" w14:textId="0A789F4F" w:rsidR="002E0FC5" w:rsidRPr="00AA7DF5" w:rsidRDefault="002E0FC5" w:rsidP="002E0FC5">
      <w:pPr>
        <w:spacing w:before="120" w:after="120" w:line="360" w:lineRule="auto"/>
        <w:ind w:left="850" w:hanging="850"/>
        <w:rPr>
          <w:b/>
          <w:szCs w:val="24"/>
          <w:lang w:eastAsia="en-US"/>
        </w:rPr>
      </w:pPr>
      <w:r w:rsidRPr="00AA7DF5">
        <w:rPr>
          <w:szCs w:val="24"/>
          <w:lang w:eastAsia="en-US"/>
        </w:rPr>
        <w:lastRenderedPageBreak/>
        <w:t>(32)</w:t>
      </w:r>
      <w:r w:rsidRPr="00AA7DF5">
        <w:rPr>
          <w:szCs w:val="24"/>
          <w:lang w:eastAsia="en-US"/>
        </w:rPr>
        <w:tab/>
        <w:t>Tendo em conta o aumento dos fenómenos meteorológicos imprevisíveis, em particular inundações extremas e secas prolongadas, e de incidentes de poluição significativos que resultam em poluição</w:t>
      </w:r>
      <w:r w:rsidRPr="00AA7DF5">
        <w:rPr>
          <w:strike/>
          <w:szCs w:val="24"/>
          <w:lang w:eastAsia="en-US"/>
        </w:rPr>
        <w:t xml:space="preserve"> acidental</w:t>
      </w:r>
      <w:r w:rsidRPr="00AA7DF5">
        <w:rPr>
          <w:szCs w:val="24"/>
          <w:lang w:eastAsia="en-US"/>
        </w:rPr>
        <w:t xml:space="preserve"> transfronteiriça ou que a agravam, os Estados-Membros devem ser obrigados a fornecer informações de imediato sobre esses incidentes a outros Estados-Membros potencialmente afetados e a cooperar eficazmente com os Estados-Membros potencialmente afetados para atenuar os efeitos do evento ou incidente. Importa igualmente reforçar a cooperação entre os Estados-Membros e simplificar os procedimentos de cooperação em caso de questões transfronteiriças mais estruturais, ou seja, não acidentais e a mais longo prazo, que não podem ser tratadas a nível dos Estados-Membros, em conformidade com o artigo 12.º da Diretiva 2000/60/CE. Caso seja necessária assistência europeia, as autoridades nacionais competentes podem enviar pedidos de assistência ao Centro de Coordenação de Resposta de Emergência da Comissão, que coordenará eventuais ofertas de assistência e a sua operacionalização através do Mecanismo de Proteção Civil da União, em conformidade com o artigo 15.º da Decisão </w:t>
      </w:r>
      <w:r w:rsidRPr="00AA7DF5">
        <w:rPr>
          <w:strike/>
          <w:szCs w:val="24"/>
          <w:lang w:eastAsia="en-US"/>
        </w:rPr>
        <w:t>1313/2013</w:t>
      </w:r>
      <w:r w:rsidRPr="00AA7DF5">
        <w:rPr>
          <w:b/>
          <w:i/>
          <w:szCs w:val="24"/>
          <w:lang w:eastAsia="en-US"/>
        </w:rPr>
        <w:t>1313/2013/UE</w:t>
      </w:r>
      <w:r w:rsidRPr="00AA7DF5">
        <w:rPr>
          <w:szCs w:val="24"/>
          <w:lang w:eastAsia="en-US"/>
        </w:rPr>
        <w:t xml:space="preserve"> do Parlamento Europeu e do Conselho</w:t>
      </w:r>
      <w:r w:rsidRPr="00AA7DF5">
        <w:rPr>
          <w:szCs w:val="24"/>
          <w:vertAlign w:val="superscript"/>
          <w:lang w:eastAsia="en-US"/>
        </w:rPr>
        <w:footnoteReference w:id="50"/>
      </w:r>
      <w:r w:rsidRPr="00AA7DF5">
        <w:rPr>
          <w:szCs w:val="24"/>
          <w:lang w:eastAsia="en-US"/>
        </w:rPr>
        <w:t>.</w:t>
      </w:r>
      <w:r w:rsidRPr="00AA7DF5">
        <w:rPr>
          <w:b/>
          <w:i/>
          <w:szCs w:val="24"/>
          <w:lang w:eastAsia="en-US"/>
        </w:rPr>
        <w:t xml:space="preserve"> Cabe ainda considerar que as regiões hidrográficas se podem também estender para além do território da UE, assegurando uma execução efetiva das disposições relevantes em matéria de proteção das águas nos termos da Diretiva 2000/60/CE, e uma coordenação adequada com os países terceiros pertinentes contribuiria também para os objetivos estabelecidos na Diretiva 2000/60/CE para essas regiões hidrográficas específicas, tal como referido no artigo 3.º, n.º 5, da mesma diretiva. Acresce que os conflitos armados que ocorrem na proximidade geográfica da UE devem igualmente ser considerados como acontecimentos excecionais devido ao seu amplo impacto negativo e transfronteiriço no ambiente, que inclui a poluição atmosférica, dos solos e da água. Uma vez que as bacias hidrográficas afetadas por esses conflitos se poderiam estender a zonas dentro da UE, a Comissão e os Estados‑Membros devem aumentar os seus esforços no sentido de estabelecer uma coordenação adequada com os Estados terceiros pertinentes, tal como referido no artigo 3.º, n.º 5, da Diretiva 2000/60/CE.</w:t>
      </w:r>
      <w:r w:rsidR="001B7E42" w:rsidRPr="00AA7DF5">
        <w:rPr>
          <w:b/>
          <w:szCs w:val="24"/>
          <w:lang w:eastAsia="en-US"/>
        </w:rPr>
        <w:t xml:space="preserve"> [Alt. 49]</w:t>
      </w:r>
    </w:p>
    <w:p w14:paraId="190C185C" w14:textId="6311E915" w:rsidR="002E0FC5" w:rsidRPr="00AA7DF5" w:rsidRDefault="002E0FC5" w:rsidP="002E0FC5">
      <w:pPr>
        <w:spacing w:before="120" w:after="120" w:line="360" w:lineRule="auto"/>
        <w:ind w:left="850" w:hanging="850"/>
        <w:rPr>
          <w:b/>
          <w:szCs w:val="24"/>
          <w:lang w:eastAsia="en-US"/>
        </w:rPr>
      </w:pPr>
      <w:r w:rsidRPr="00AA7DF5">
        <w:rPr>
          <w:b/>
          <w:i/>
          <w:szCs w:val="24"/>
          <w:lang w:eastAsia="en-US"/>
        </w:rPr>
        <w:t>(32</w:t>
      </w:r>
      <w:r w:rsidR="001B7E42"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 xml:space="preserve">O Tribunal de Contas Europeu, no seu relatório de 19 de maio de 2021 intitulado </w:t>
      </w:r>
      <w:r w:rsidRPr="00AA7DF5">
        <w:rPr>
          <w:b/>
          <w:i/>
          <w:szCs w:val="24"/>
          <w:lang w:eastAsia="en-US"/>
        </w:rPr>
        <w:lastRenderedPageBreak/>
        <w:t>«Princípio do poluidor‑pagador: aplicação incoerente nas políticas e ações ambientais da UE», salienta que os Estados‑Membros já gastaram cerca de 100 mil milhões de euros por ano no abastecimento de água e no saneamento e prevê‑se que o aumento dessas despesas ascenda a mais de 25 % para cumprir os objetivos da legislação da União em matéria de tratamento das águas residuais e água potável, não incluindo os investimentos necessários para renovar as infraestruturas existentes ou cumprir os objetivos da Diretiva‑Quadro da Água e da Diretiva Inundações. Além disso, na UE os utilizadores pagam cerca de 70 % do custo de distribuição da água nas suas faturas, ao passo que o erário público cobre os 30 % remanescentes, embora se verifiquem divergências consideráveis entre regiões e Estados‑Membros. Os agregados familiares na União pagam habitualmente a maior parte dos custos decorrentes da distribuição de água e da rede de esgotos, embora só consumam 10% da água, ao passo que os setores económicos que exercem a maior pressão nos recursos renováveis de água doce são os que menos contribuem para suportar esses custos.</w:t>
      </w:r>
      <w:r w:rsidR="001B7E42" w:rsidRPr="00AA7DF5">
        <w:rPr>
          <w:b/>
          <w:szCs w:val="24"/>
          <w:lang w:eastAsia="en-US"/>
        </w:rPr>
        <w:t xml:space="preserve"> [Alt. 50]</w:t>
      </w:r>
    </w:p>
    <w:p w14:paraId="0043A6D2" w14:textId="77777777" w:rsidR="001B7E42" w:rsidRPr="00AA7DF5" w:rsidRDefault="001B7E42">
      <w:pPr>
        <w:widowControl/>
        <w:rPr>
          <w:b/>
          <w:i/>
          <w:szCs w:val="24"/>
          <w:lang w:eastAsia="en-US"/>
        </w:rPr>
      </w:pPr>
      <w:r w:rsidRPr="00AA7DF5">
        <w:rPr>
          <w:b/>
          <w:i/>
          <w:szCs w:val="24"/>
          <w:lang w:eastAsia="en-US"/>
        </w:rPr>
        <w:br w:type="page"/>
      </w:r>
    </w:p>
    <w:p w14:paraId="000F428A" w14:textId="4127C5D0"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(32</w:t>
      </w:r>
      <w:r w:rsidR="001B7E42"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Os custos dos programas de monitorização para determinar o estado das águas de superfície e das águas subterrâneas são financiados apenas pelos orçamentos dos Estados‑Membros. Dado que o número de produtos químicos detetados no ambiente aquático está constantemente a mudar, que existe um número crescente de poluentes emergentes que só recentemente surgiram no ambiente aquático, que é necessária uma melhoria constante dos métodos analíticos químicos, a fim de detetar estes poluentes novos e emergentes e avaliar corretamente o seu impacto ecológico, e que também é necessário desenvolver novos métodos de monitorização, a fim de avaliar melhor os efeitos das misturas químicas, prevê‑se que esses custos de monitorização aumentem ainda mais. A fim de cobrir esses custos, e em conformidade com o princípio do poluidor‑pagador expresso no artigo 191.º, n.º 2, do Tratado sobre o Funcionamento da União Europeia (TFUE), é essencial que os produtores que colocam no mercado da União produtos que contêm substâncias com um impacto negativo comprovado ou potencial na saúde humana e no ambiente aquático assumam a responsabilidade financeira pelas medidas necessárias para controlar substâncias geradas no contexto das suas atividades comerciais e encontradas em águas de superfície e subterrâneas. Um sistema de responsabilidade alargada do produtor é o meio mais adequado para alcançar este objetivo, uma vez que limitaria os encargos financeiros para o contribuinte, proporcionando um incentivo para desenvolver produtos mais ecológicos. Por conseguinte, a Comissão deveria preparar uma avaliação de impacto para analisar a inclusão na Diretiva 2006/118/CE e na Diretiva 2008/105/CE de um mecanismo de responsabilidade alargada do produtor, aplicável às substâncias prioritárias definidas ao abrigo da Diretiva 2006/118/CE e da Diretiva 2008/105/CE, bem como aos poluentes novos e emergentes, conforme definidos nas listas de vigilância nos termos da Diretiva 2006/118/CE e da Diretiva 2008/105/CE. A avaliação de impacto deveria ser acompanhada, sendo caso disso, por uma proposta legislativa para a revisão das Diretivas 2006/118/CE e 2008/105/CE.</w:t>
      </w:r>
      <w:r w:rsidR="00D30B07" w:rsidRPr="00AA7DF5">
        <w:rPr>
          <w:b/>
          <w:szCs w:val="24"/>
          <w:lang w:eastAsia="en-US"/>
        </w:rPr>
        <w:t xml:space="preserve"> [Alt. 51]</w:t>
      </w:r>
    </w:p>
    <w:p w14:paraId="48E33C3F" w14:textId="77777777" w:rsidR="00D30B07" w:rsidRPr="00AA7DF5" w:rsidRDefault="00D30B07">
      <w:pPr>
        <w:widowControl/>
        <w:rPr>
          <w:b/>
          <w:i/>
          <w:szCs w:val="24"/>
          <w:lang w:eastAsia="en-US"/>
        </w:rPr>
      </w:pPr>
      <w:r w:rsidRPr="00AA7DF5">
        <w:rPr>
          <w:b/>
          <w:i/>
          <w:szCs w:val="24"/>
          <w:lang w:eastAsia="en-US"/>
        </w:rPr>
        <w:br w:type="page"/>
      </w:r>
    </w:p>
    <w:p w14:paraId="647855B0" w14:textId="2DDC87B8"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(32</w:t>
      </w:r>
      <w:r w:rsidR="00D30B07"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A monitorização de um número acrescido de substâncias ou grupos de substâncias implica custos acrescidos, mas também a necessidade de um reforço da capacidade administrativa dos Estados‑Membros, em especial dos que possuem recursos mais escassos. À luz das considerações acima expostas, a Comissão Europeia deve envidar esforços no sentido de designar um mecanismo de monitorização europeu único, capaz de gerir os requisitos de controlo quando solicitado nesse sentido pelos Estados‑Membros, e aliviar, por conseguinte, os seus encargos financeiros e administrativos. A Comissão deveria definir os métodos de funcionamento do mecanismo de monitorização. A utilização desse mecanismo deve ser voluntária e sem prejuízo das disposições já adotadas pelos Estados‑Membros.</w:t>
      </w:r>
      <w:r w:rsidR="00D30B07" w:rsidRPr="00AA7DF5">
        <w:rPr>
          <w:b/>
          <w:szCs w:val="24"/>
          <w:lang w:eastAsia="en-US"/>
        </w:rPr>
        <w:t xml:space="preserve"> [Alt. 52]</w:t>
      </w:r>
    </w:p>
    <w:p w14:paraId="003347B0" w14:textId="77777777" w:rsidR="00D30B07" w:rsidRPr="00AA7DF5" w:rsidRDefault="00D30B07">
      <w:pPr>
        <w:widowControl/>
        <w:rPr>
          <w:b/>
          <w:i/>
          <w:szCs w:val="24"/>
          <w:lang w:eastAsia="en-US"/>
        </w:rPr>
      </w:pPr>
      <w:r w:rsidRPr="00AA7DF5">
        <w:rPr>
          <w:b/>
          <w:i/>
          <w:szCs w:val="24"/>
          <w:lang w:eastAsia="en-US"/>
        </w:rPr>
        <w:br w:type="page"/>
      </w:r>
    </w:p>
    <w:p w14:paraId="777C2B8F" w14:textId="004F5871"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(32</w:t>
      </w:r>
      <w:r w:rsidR="00D30B07" w:rsidRPr="00AA7DF5">
        <w:rPr>
          <w:b/>
          <w:i/>
          <w:szCs w:val="24"/>
          <w:lang w:eastAsia="en-US"/>
        </w:rPr>
        <w:t>-D</w:t>
      </w:r>
      <w:r w:rsidRPr="00AA7DF5">
        <w:rPr>
          <w:b/>
          <w:i/>
          <w:szCs w:val="24"/>
          <w:lang w:eastAsia="en-US"/>
        </w:rPr>
        <w:t>)</w:t>
      </w:r>
      <w:r w:rsidRPr="00AA7DF5">
        <w:rPr>
          <w:szCs w:val="24"/>
          <w:lang w:eastAsia="en-US"/>
        </w:rPr>
        <w:tab/>
      </w:r>
      <w:r w:rsidRPr="00AA7DF5">
        <w:rPr>
          <w:b/>
          <w:i/>
          <w:szCs w:val="24"/>
          <w:lang w:eastAsia="en-US"/>
        </w:rPr>
        <w:t>As provas existentes mostram que existe uma necessidade de investimento no setor da água, sendo o financiamento da UE vital para que alguns Estados‑Membros cumpram as obrigações legais estabelecidas na Diretiva 2000/60/CE, na Diretiva 2008/105/CE e na Diretiva 2006/118/CE. Todos os Estados‑Membros precisam de aumentar as suas despesas em pelo menos 20 % para cumprir as normas da UE para a água e existe um défice de financiamento agregado de 289 mil milhões de euros até 2030</w:t>
      </w:r>
      <w:r w:rsidRPr="00AA7DF5">
        <w:rPr>
          <w:szCs w:val="24"/>
          <w:vertAlign w:val="superscript"/>
          <w:lang w:eastAsia="en-US"/>
        </w:rPr>
        <w:footnoteReference w:id="51"/>
      </w:r>
      <w:r w:rsidRPr="00AA7DF5">
        <w:rPr>
          <w:b/>
          <w:i/>
          <w:szCs w:val="24"/>
          <w:lang w:eastAsia="en-US"/>
        </w:rPr>
        <w:t xml:space="preserve">. Por conseguinte, afigura‑se necessário garantir recursos financeiros e humanos suficientes para a realização da monitorização e inspeção de massas de água em todos os Estados‑Membros, inclusivamente através dos programas e fundos estruturais relevantes da UE, bem como de contributos do setor privado, que abrangem o mecanismo de responsabilidade alargada do produtor, logo que este passe a operar. </w:t>
      </w:r>
      <w:r w:rsidR="00A6222D" w:rsidRPr="00AA7DF5">
        <w:rPr>
          <w:b/>
          <w:szCs w:val="24"/>
          <w:lang w:eastAsia="en-US"/>
        </w:rPr>
        <w:t>[Alt. 53</w:t>
      </w:r>
      <w:r w:rsidR="00D30B07" w:rsidRPr="00AA7DF5">
        <w:rPr>
          <w:b/>
          <w:szCs w:val="24"/>
          <w:lang w:eastAsia="en-US"/>
        </w:rPr>
        <w:t>]</w:t>
      </w:r>
    </w:p>
    <w:p w14:paraId="71A006A1"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(33)</w:t>
      </w:r>
      <w:r w:rsidRPr="00AA7DF5">
        <w:rPr>
          <w:szCs w:val="24"/>
          <w:lang w:eastAsia="en-US"/>
        </w:rPr>
        <w:tab/>
        <w:t>As Diretivas 2000/60/CE, 2006/118/CE e 2008/105/CE devem ser alteradas em conformidade.</w:t>
      </w:r>
    </w:p>
    <w:p w14:paraId="13E3AEEF" w14:textId="77777777" w:rsidR="00D30B07" w:rsidRPr="00AA7DF5" w:rsidRDefault="00D30B07">
      <w:pPr>
        <w:widowControl/>
        <w:rPr>
          <w:szCs w:val="24"/>
          <w:lang w:eastAsia="en-US"/>
        </w:rPr>
      </w:pPr>
      <w:r w:rsidRPr="00AA7DF5">
        <w:rPr>
          <w:szCs w:val="24"/>
          <w:lang w:eastAsia="en-US"/>
        </w:rPr>
        <w:br w:type="page"/>
      </w:r>
    </w:p>
    <w:p w14:paraId="232B4E18" w14:textId="7F009C2C"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(34)</w:t>
      </w:r>
      <w:r w:rsidRPr="00AA7DF5">
        <w:rPr>
          <w:szCs w:val="24"/>
          <w:lang w:eastAsia="en-US"/>
        </w:rPr>
        <w:tab/>
        <w:t>Atendendo a que os objetivos da presente diretiva, a saber, a garantia de um elevado nível de proteção do ambiente e a melhoria da qualidade ambiental das águas doces europeias, não podem ser suficientemente realizados apenas pelos Estados-Membros mas podem, devido à dimensão transfronteiriça da poluição hídrica, ser mais bem atingidos a nível da União, a União pode tomar medidas em conformidade com o princípio da subsidiariedade consagrado no artigo 5.º do Tratado da União Europeia. Em conformidade com o princípio da proporcionalidade consagrado no mesmo artigo, a presente diretiva não excede o necessário para alcançar esses objetivos</w:t>
      </w:r>
      <w:r w:rsidR="00F5169B" w:rsidRPr="00AA7DF5">
        <w:rPr>
          <w:szCs w:val="24"/>
          <w:lang w:eastAsia="en-US"/>
        </w:rPr>
        <w:t>.</w:t>
      </w:r>
    </w:p>
    <w:p w14:paraId="4F5FAF15" w14:textId="55743BDF" w:rsidR="002E0FC5" w:rsidRPr="00AA7DF5" w:rsidRDefault="002E0FC5" w:rsidP="002E0FC5">
      <w:pPr>
        <w:spacing w:before="120" w:after="120" w:line="360" w:lineRule="auto"/>
        <w:ind w:left="850" w:hanging="850"/>
        <w:rPr>
          <w:b/>
          <w:szCs w:val="24"/>
          <w:lang w:eastAsia="en-US"/>
        </w:rPr>
      </w:pPr>
      <w:r w:rsidRPr="00AA7DF5">
        <w:rPr>
          <w:b/>
          <w:i/>
          <w:szCs w:val="24"/>
          <w:lang w:eastAsia="en-US"/>
        </w:rPr>
        <w:t>(34</w:t>
      </w:r>
      <w:r w:rsidR="00D30B07"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 xml:space="preserve">Os Estados‑Membros devem incentivar as sinergias entre os requisitos das diretivas aplicáveis, tanto para a recolha de dados como para a implantação de ferramentas digitais, nomeadamente as tecnologias de teledeteção ou observação da Terra (serviços </w:t>
      </w:r>
      <w:proofErr w:type="spellStart"/>
      <w:r w:rsidRPr="00AA7DF5">
        <w:rPr>
          <w:b/>
          <w:i/>
          <w:szCs w:val="24"/>
          <w:lang w:eastAsia="en-US"/>
        </w:rPr>
        <w:t>Copernicus</w:t>
      </w:r>
      <w:proofErr w:type="spellEnd"/>
      <w:r w:rsidRPr="00AA7DF5">
        <w:rPr>
          <w:b/>
          <w:i/>
          <w:szCs w:val="24"/>
          <w:lang w:eastAsia="en-US"/>
        </w:rPr>
        <w:t>).</w:t>
      </w:r>
      <w:r w:rsidR="00D30B07" w:rsidRPr="00AA7DF5">
        <w:rPr>
          <w:b/>
          <w:szCs w:val="24"/>
          <w:lang w:eastAsia="en-US"/>
        </w:rPr>
        <w:t xml:space="preserve"> [Alt. 54]</w:t>
      </w:r>
    </w:p>
    <w:p w14:paraId="18CC87C7" w14:textId="77777777" w:rsidR="00D30B07" w:rsidRPr="00AA7DF5" w:rsidRDefault="00D30B07">
      <w:pPr>
        <w:widowControl/>
        <w:rPr>
          <w:b/>
          <w:i/>
          <w:szCs w:val="24"/>
          <w:lang w:eastAsia="en-US"/>
        </w:rPr>
      </w:pPr>
      <w:r w:rsidRPr="00AA7DF5">
        <w:rPr>
          <w:b/>
          <w:i/>
          <w:szCs w:val="24"/>
          <w:lang w:eastAsia="en-US"/>
        </w:rPr>
        <w:br w:type="page"/>
      </w:r>
    </w:p>
    <w:p w14:paraId="24CC9398" w14:textId="45E583DE" w:rsidR="002E0FC5" w:rsidRPr="00AA7DF5" w:rsidRDefault="002E0FC5" w:rsidP="002E0FC5">
      <w:pPr>
        <w:spacing w:before="120" w:after="120" w:line="360" w:lineRule="auto"/>
        <w:ind w:left="850" w:hanging="850"/>
        <w:rPr>
          <w:b/>
          <w:szCs w:val="24"/>
          <w:lang w:eastAsia="en-US"/>
        </w:rPr>
      </w:pPr>
      <w:r w:rsidRPr="00AA7DF5">
        <w:rPr>
          <w:b/>
          <w:i/>
          <w:szCs w:val="24"/>
          <w:lang w:eastAsia="en-US"/>
        </w:rPr>
        <w:lastRenderedPageBreak/>
        <w:t>(34</w:t>
      </w:r>
      <w:r w:rsidR="00D30B07"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As autoridades competentes devem apoiar ações de formação, programas de desenvolvimento de competências e investimentos em capital humano, a fim de apoiar a implantação efetiva das melhores tecnologias e soluções inovadoras no âmbito das diretivas. As informações devem ser acessíveis em cada uma das línguas nacionais, a fim de reforçar a acessibilidade aos dados pertinentes em toda a Europa para os intervenientes locais pertinentes e cidadãos interessados</w:t>
      </w:r>
      <w:r w:rsidR="00F5169B" w:rsidRPr="00AA7DF5">
        <w:rPr>
          <w:b/>
          <w:i/>
          <w:szCs w:val="24"/>
          <w:lang w:eastAsia="en-US"/>
        </w:rPr>
        <w:t>,</w:t>
      </w:r>
      <w:r w:rsidR="00D30B07" w:rsidRPr="00AA7DF5">
        <w:rPr>
          <w:b/>
          <w:szCs w:val="24"/>
          <w:lang w:eastAsia="en-US"/>
        </w:rPr>
        <w:t xml:space="preserve"> [Alt. 55]</w:t>
      </w:r>
    </w:p>
    <w:p w14:paraId="5746F553" w14:textId="77777777" w:rsidR="002E0FC5" w:rsidRPr="00AA7DF5" w:rsidRDefault="002E0FC5" w:rsidP="002E0FC5">
      <w:pPr>
        <w:keepNext/>
        <w:widowControl/>
        <w:spacing w:before="120" w:after="120" w:line="360" w:lineRule="auto"/>
        <w:rPr>
          <w:szCs w:val="24"/>
          <w:lang w:eastAsia="en-US"/>
        </w:rPr>
      </w:pPr>
      <w:r w:rsidRPr="00AA7DF5">
        <w:rPr>
          <w:szCs w:val="24"/>
          <w:lang w:eastAsia="en-US"/>
        </w:rPr>
        <w:t>ADOTARAM A PRESENTE DIRETIVA:</w:t>
      </w:r>
    </w:p>
    <w:p w14:paraId="52C96B43" w14:textId="77777777" w:rsidR="00D30B07" w:rsidRPr="00AA7DF5" w:rsidRDefault="00D30B07">
      <w:pPr>
        <w:widowControl/>
        <w:rPr>
          <w:szCs w:val="24"/>
          <w:lang w:eastAsia="en-US"/>
        </w:rPr>
      </w:pPr>
      <w:r w:rsidRPr="00AA7DF5">
        <w:rPr>
          <w:szCs w:val="24"/>
          <w:lang w:eastAsia="en-US"/>
        </w:rPr>
        <w:br w:type="page"/>
      </w:r>
    </w:p>
    <w:p w14:paraId="583E5974" w14:textId="3DF74972" w:rsidR="002E0FC5" w:rsidRPr="00AA7DF5" w:rsidRDefault="002E0FC5" w:rsidP="002E0FC5">
      <w:pPr>
        <w:spacing w:before="120" w:after="120" w:line="360" w:lineRule="auto"/>
        <w:jc w:val="center"/>
        <w:rPr>
          <w:szCs w:val="24"/>
          <w:lang w:eastAsia="en-US"/>
        </w:rPr>
      </w:pPr>
      <w:r w:rsidRPr="00AA7DF5">
        <w:rPr>
          <w:szCs w:val="24"/>
          <w:lang w:eastAsia="en-US"/>
        </w:rPr>
        <w:lastRenderedPageBreak/>
        <w:t>Artigo 1.º</w:t>
      </w:r>
      <w:r w:rsidRPr="00AA7DF5">
        <w:rPr>
          <w:szCs w:val="24"/>
          <w:lang w:eastAsia="en-US"/>
        </w:rPr>
        <w:br/>
        <w:t>Alterações da Diretiva 2000/60/CE</w:t>
      </w:r>
    </w:p>
    <w:p w14:paraId="6AFA8AFC" w14:textId="77777777" w:rsidR="002E0FC5" w:rsidRPr="00AA7DF5" w:rsidRDefault="002E0FC5" w:rsidP="002E0FC5">
      <w:pPr>
        <w:spacing w:before="120" w:after="120" w:line="360" w:lineRule="auto"/>
        <w:rPr>
          <w:szCs w:val="24"/>
          <w:lang w:eastAsia="en-US"/>
        </w:rPr>
      </w:pPr>
      <w:r w:rsidRPr="00AA7DF5">
        <w:rPr>
          <w:szCs w:val="24"/>
          <w:lang w:eastAsia="en-US"/>
        </w:rPr>
        <w:t>A Diretiva 2000/60/CE é alterada do seguinte modo:</w:t>
      </w:r>
    </w:p>
    <w:p w14:paraId="28B2C934" w14:textId="56E10190" w:rsidR="002E0FC5" w:rsidRPr="00AA7DF5" w:rsidRDefault="002E0FC5" w:rsidP="002E0FC5">
      <w:pPr>
        <w:spacing w:before="120" w:after="120" w:line="360" w:lineRule="auto"/>
        <w:ind w:left="850" w:hanging="850"/>
        <w:rPr>
          <w:b/>
          <w:szCs w:val="24"/>
          <w:lang w:eastAsia="en-US"/>
        </w:rPr>
      </w:pPr>
      <w:r w:rsidRPr="00AA7DF5">
        <w:rPr>
          <w:szCs w:val="24"/>
          <w:lang w:eastAsia="en-US"/>
        </w:rPr>
        <w:t>1)</w:t>
      </w:r>
      <w:r w:rsidRPr="00AA7DF5">
        <w:rPr>
          <w:szCs w:val="24"/>
          <w:lang w:eastAsia="en-US"/>
        </w:rPr>
        <w:tab/>
        <w:t>No artigo 1.º</w:t>
      </w:r>
      <w:r w:rsidRPr="00AA7DF5">
        <w:rPr>
          <w:b/>
          <w:i/>
          <w:szCs w:val="24"/>
          <w:lang w:eastAsia="en-US"/>
        </w:rPr>
        <w:t>, alínea e)</w:t>
      </w:r>
      <w:r w:rsidRPr="00AA7DF5">
        <w:rPr>
          <w:szCs w:val="24"/>
          <w:lang w:eastAsia="en-US"/>
        </w:rPr>
        <w:t>, o quarto travessão passa a ter a seguinte redação:</w:t>
      </w:r>
      <w:r w:rsidR="00BC69CC" w:rsidRPr="00AA7DF5">
        <w:rPr>
          <w:b/>
          <w:szCs w:val="24"/>
          <w:lang w:eastAsia="en-US"/>
        </w:rPr>
        <w:t xml:space="preserve"> [Alt. 56]</w:t>
      </w:r>
    </w:p>
    <w:p w14:paraId="6DDD99D8" w14:textId="77777777" w:rsidR="002E0FC5" w:rsidRPr="00AA7DF5" w:rsidRDefault="002E0FC5" w:rsidP="002E0FC5">
      <w:pPr>
        <w:spacing w:before="120" w:after="120" w:line="360" w:lineRule="auto"/>
        <w:ind w:left="850"/>
        <w:rPr>
          <w:szCs w:val="24"/>
          <w:lang w:eastAsia="en-US"/>
        </w:rPr>
      </w:pPr>
      <w:r w:rsidRPr="00AA7DF5">
        <w:rPr>
          <w:szCs w:val="24"/>
          <w:lang w:eastAsia="en-US"/>
        </w:rPr>
        <w:t>«— o cumprimento dos objetivos dos acordos internacionais pertinentes, incluindo os que se destinam à prevenção e eliminação da poluição no ambiente marinho, através de ações da União para cessar ou eliminar faseadamente as descargas, emissões e perdas de substâncias perigosas prioritárias, com o objetivo último de reduzir as concentrações no ambiente marinho para valores próximos dos de fundo para as substâncias naturalmente presentes e próximos de zero para as substâncias sintéticas antropogénicas.;»</w:t>
      </w:r>
    </w:p>
    <w:p w14:paraId="2823F3C3" w14:textId="77777777" w:rsidR="00BC69CC" w:rsidRPr="00AA7DF5" w:rsidRDefault="00BC69CC">
      <w:pPr>
        <w:widowControl/>
        <w:rPr>
          <w:szCs w:val="24"/>
          <w:lang w:eastAsia="en-US"/>
        </w:rPr>
      </w:pPr>
      <w:r w:rsidRPr="00AA7DF5">
        <w:rPr>
          <w:szCs w:val="24"/>
          <w:lang w:eastAsia="en-US"/>
        </w:rPr>
        <w:br w:type="page"/>
      </w:r>
    </w:p>
    <w:p w14:paraId="6963D805" w14:textId="1105D75E"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w:t>
      </w:r>
      <w:r w:rsidRPr="00AA7DF5">
        <w:rPr>
          <w:szCs w:val="24"/>
          <w:lang w:eastAsia="en-US"/>
        </w:rPr>
        <w:tab/>
        <w:t>O artigo 2.º é alterado do seguinte modo:</w:t>
      </w:r>
    </w:p>
    <w:p w14:paraId="36632F0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O ponto 24 passa a ter a seguinte redação:</w:t>
      </w:r>
    </w:p>
    <w:p w14:paraId="160FF903" w14:textId="064B45AD" w:rsidR="002E0FC5" w:rsidRPr="00AA7DF5" w:rsidRDefault="002E0FC5" w:rsidP="002E0FC5">
      <w:pPr>
        <w:spacing w:before="120" w:after="120" w:line="360" w:lineRule="auto"/>
        <w:ind w:left="1982" w:hanging="566"/>
        <w:rPr>
          <w:szCs w:val="24"/>
          <w:lang w:eastAsia="en-US"/>
        </w:rPr>
      </w:pPr>
      <w:r w:rsidRPr="00AA7DF5">
        <w:rPr>
          <w:szCs w:val="24"/>
          <w:lang w:eastAsia="en-US"/>
        </w:rPr>
        <w:t>«24.</w:t>
      </w:r>
      <w:r w:rsidRPr="00AA7DF5">
        <w:rPr>
          <w:szCs w:val="24"/>
          <w:lang w:eastAsia="en-US"/>
        </w:rPr>
        <w:tab/>
        <w:t>“Bom estado químico das águas de superfície”: o estado químico necessário para alcançar os objetivos ambientais para as águas de superfície fixados no artigo 4.º, n.º 1, alínea a), da presente diretiva, ou seja, o estado químico alcançado por uma massa de águas de superfície em que as concentrações de poluentes não ultrapassam as normas de qualidade ambiental para substâncias prioritárias enumeradas no anexo I, parte A, da Diretiva 2008/105/CE do Parlamento Europeu e do Conselho* e as normas de qualidade ambiental para poluentes específicos das bacias hidrográficas estabelecidas nos termos do artigo 8.º, n.º 2, alínea c), e do artigo 8.º-D, n.º 1, dessa diretiva.»</w:t>
      </w:r>
      <w:r w:rsidR="00BC69CC" w:rsidRPr="00AA7DF5">
        <w:rPr>
          <w:szCs w:val="24"/>
          <w:lang w:eastAsia="en-US"/>
        </w:rPr>
        <w:t>;</w:t>
      </w:r>
    </w:p>
    <w:p w14:paraId="7DD096EB"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O ponto 30 passa a ter a seguinte redação:</w:t>
      </w:r>
    </w:p>
    <w:p w14:paraId="463AA35E"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«30.</w:t>
      </w:r>
      <w:r w:rsidRPr="00AA7DF5">
        <w:rPr>
          <w:szCs w:val="24"/>
          <w:lang w:eastAsia="en-US"/>
        </w:rPr>
        <w:tab/>
        <w:t>“Substâncias prioritárias”: substâncias enumeradas no anexo I, parte A, da Diretiva 2008/105/CE, ou seja, substâncias que apresentam um risco significativo para o meio aquático, ou por intermédio deste, numa proporção elevada de Estados-Membros.;»</w:t>
      </w:r>
    </w:p>
    <w:p w14:paraId="1422E5C1" w14:textId="77777777" w:rsidR="00BC69CC" w:rsidRPr="00AA7DF5" w:rsidRDefault="00BC69CC">
      <w:pPr>
        <w:widowControl/>
        <w:rPr>
          <w:szCs w:val="24"/>
          <w:lang w:eastAsia="en-US"/>
        </w:rPr>
      </w:pPr>
      <w:r w:rsidRPr="00AA7DF5">
        <w:rPr>
          <w:szCs w:val="24"/>
          <w:lang w:eastAsia="en-US"/>
        </w:rPr>
        <w:br w:type="page"/>
      </w:r>
    </w:p>
    <w:p w14:paraId="529A1980" w14:textId="2C13F175"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c)</w:t>
      </w:r>
      <w:r w:rsidRPr="00AA7DF5">
        <w:rPr>
          <w:szCs w:val="24"/>
          <w:lang w:eastAsia="en-US"/>
        </w:rPr>
        <w:tab/>
        <w:t>São aditados os pontos 30-A e 30-B com a seguinte redação:</w:t>
      </w:r>
    </w:p>
    <w:p w14:paraId="7CD120DB" w14:textId="25BA6E50" w:rsidR="002E0FC5" w:rsidRPr="00AA7DF5" w:rsidRDefault="002E0FC5" w:rsidP="002E0FC5">
      <w:pPr>
        <w:spacing w:before="120" w:after="120" w:line="360" w:lineRule="auto"/>
        <w:ind w:left="1982" w:hanging="566"/>
        <w:rPr>
          <w:b/>
          <w:szCs w:val="24"/>
          <w:lang w:eastAsia="en-US"/>
        </w:rPr>
      </w:pPr>
      <w:r w:rsidRPr="00AA7DF5">
        <w:rPr>
          <w:szCs w:val="24"/>
          <w:lang w:eastAsia="en-US"/>
        </w:rPr>
        <w:t>«30-A.</w:t>
      </w:r>
      <w:r w:rsidRPr="00AA7DF5">
        <w:rPr>
          <w:szCs w:val="24"/>
          <w:lang w:eastAsia="en-US"/>
        </w:rPr>
        <w:tab/>
        <w:t xml:space="preserve">“Substâncias perigosas prioritárias”: substâncias prioritárias assinaladas como «perigosas» por serem reconhecidas, em relatórios científicos, na legislação da União aplicável ou nos acordos internacionais pertinentes, como tóxicas, persistentes e suscetíveis de bioacumulação </w:t>
      </w:r>
      <w:r w:rsidRPr="00AA7DF5">
        <w:rPr>
          <w:b/>
          <w:i/>
          <w:szCs w:val="24"/>
          <w:lang w:eastAsia="en-US"/>
        </w:rPr>
        <w:t>(PBT), ou muito persistentes e muito suscetíveis de bioacumulação (</w:t>
      </w:r>
      <w:proofErr w:type="spellStart"/>
      <w:r w:rsidRPr="00AA7DF5">
        <w:rPr>
          <w:b/>
          <w:i/>
          <w:szCs w:val="24"/>
          <w:lang w:eastAsia="en-US"/>
        </w:rPr>
        <w:t>mPmB</w:t>
      </w:r>
      <w:proofErr w:type="spellEnd"/>
      <w:r w:rsidRPr="00AA7DF5">
        <w:rPr>
          <w:b/>
          <w:i/>
          <w:szCs w:val="24"/>
          <w:lang w:eastAsia="en-US"/>
        </w:rPr>
        <w:t>), ou persistentes, móveis e tóxicas (PMT), ou muito persistentes e muito móveis (</w:t>
      </w:r>
      <w:proofErr w:type="spellStart"/>
      <w:r w:rsidRPr="00AA7DF5">
        <w:rPr>
          <w:b/>
          <w:i/>
          <w:szCs w:val="24"/>
          <w:lang w:eastAsia="en-US"/>
        </w:rPr>
        <w:t>mPmM</w:t>
      </w:r>
      <w:proofErr w:type="spellEnd"/>
      <w:r w:rsidRPr="00AA7DF5">
        <w:rPr>
          <w:b/>
          <w:i/>
          <w:szCs w:val="24"/>
          <w:lang w:eastAsia="en-US"/>
        </w:rPr>
        <w:t xml:space="preserve">), </w:t>
      </w:r>
      <w:r w:rsidRPr="00AA7DF5">
        <w:rPr>
          <w:szCs w:val="24"/>
          <w:lang w:eastAsia="en-US"/>
        </w:rPr>
        <w:t>ou como suscitando um nível de preocupação equivalente, sempre que essa preocupação seja relevante para o ambiente aquático</w:t>
      </w:r>
      <w:r w:rsidRPr="00AA7DF5">
        <w:rPr>
          <w:b/>
          <w:i/>
          <w:szCs w:val="24"/>
          <w:lang w:eastAsia="en-US"/>
        </w:rPr>
        <w:t xml:space="preserve">, e em relação às quais devem ser tomadas medidas nos termos do artigo 4.º, n.º 1, alínea a), subalínea </w:t>
      </w:r>
      <w:proofErr w:type="spellStart"/>
      <w:r w:rsidRPr="00AA7DF5">
        <w:rPr>
          <w:b/>
          <w:i/>
          <w:szCs w:val="24"/>
          <w:lang w:eastAsia="en-US"/>
        </w:rPr>
        <w:t>iv</w:t>
      </w:r>
      <w:proofErr w:type="spellEnd"/>
      <w:r w:rsidRPr="00AA7DF5">
        <w:rPr>
          <w:b/>
          <w:i/>
          <w:szCs w:val="24"/>
          <w:lang w:eastAsia="en-US"/>
        </w:rPr>
        <w:t>)</w:t>
      </w:r>
      <w:r w:rsidRPr="00AA7DF5">
        <w:rPr>
          <w:szCs w:val="24"/>
          <w:lang w:eastAsia="en-US"/>
        </w:rPr>
        <w:t>.</w:t>
      </w:r>
      <w:r w:rsidR="00BC69CC" w:rsidRPr="00AA7DF5">
        <w:rPr>
          <w:b/>
          <w:szCs w:val="24"/>
          <w:lang w:eastAsia="en-US"/>
        </w:rPr>
        <w:t xml:space="preserve"> [Alt. 57]</w:t>
      </w:r>
    </w:p>
    <w:p w14:paraId="7DE67E32"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30-B.</w:t>
      </w:r>
      <w:r w:rsidRPr="00AA7DF5">
        <w:rPr>
          <w:szCs w:val="24"/>
          <w:lang w:eastAsia="en-US"/>
        </w:rPr>
        <w:tab/>
        <w:t>“Poluentes específicos das bacias hidrográficas”: poluentes que não são identificados como substâncias prioritárias ou que deixaram de sê-lo, mas que os Estados-Membros identificaram, com base na avaliação das pressões e dos impactos nas massas de águas de superfície realizada em conformidade com o anexo II da presente diretiva, como apresentando um risco significativo para o meio aquático, ou por intermédio deste, no seu território.;»</w:t>
      </w:r>
    </w:p>
    <w:p w14:paraId="740BD411" w14:textId="77777777" w:rsidR="00BC69CC" w:rsidRPr="00AA7DF5" w:rsidRDefault="00BC69CC">
      <w:pPr>
        <w:widowControl/>
        <w:rPr>
          <w:szCs w:val="24"/>
          <w:lang w:eastAsia="en-US"/>
        </w:rPr>
      </w:pPr>
      <w:r w:rsidRPr="00AA7DF5">
        <w:rPr>
          <w:szCs w:val="24"/>
          <w:lang w:eastAsia="en-US"/>
        </w:rPr>
        <w:br w:type="page"/>
      </w:r>
    </w:p>
    <w:p w14:paraId="0E84421F" w14:textId="7C26B572"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d)</w:t>
      </w:r>
      <w:r w:rsidRPr="00AA7DF5">
        <w:rPr>
          <w:szCs w:val="24"/>
          <w:lang w:eastAsia="en-US"/>
        </w:rPr>
        <w:tab/>
        <w:t>O ponto 35 passa a ter a seguinte redação:</w:t>
      </w:r>
    </w:p>
    <w:p w14:paraId="02E95FC7" w14:textId="1100B50B" w:rsidR="002E0FC5" w:rsidRPr="00AA7DF5" w:rsidRDefault="002E0FC5" w:rsidP="002E0FC5">
      <w:pPr>
        <w:spacing w:before="120" w:after="120" w:line="360" w:lineRule="auto"/>
        <w:ind w:left="1982" w:hanging="566"/>
        <w:rPr>
          <w:szCs w:val="24"/>
          <w:lang w:eastAsia="en-US"/>
        </w:rPr>
      </w:pPr>
      <w:r w:rsidRPr="00AA7DF5">
        <w:rPr>
          <w:szCs w:val="24"/>
          <w:lang w:eastAsia="en-US"/>
        </w:rPr>
        <w:t>«35.</w:t>
      </w:r>
      <w:r w:rsidRPr="00AA7DF5">
        <w:rPr>
          <w:szCs w:val="24"/>
          <w:lang w:eastAsia="en-US"/>
        </w:rPr>
        <w:tab/>
        <w:t>“Norma de qualidade ambiental”: a concentração de um determinado poluente ou grupo de poluentes na água, nos sedimentos ou na biota a não ultrapassar para efeitos de proteção da saúde humana e do ambiente, ou um valor de desencadeamento dos efeitos adversos para a saúde humana ou para o ambiente desse poluente ou grupo de poluentes medido por recurso a um método adequado baseado nos efeitos</w:t>
      </w:r>
      <w:r w:rsidRPr="00AA7DF5">
        <w:rPr>
          <w:b/>
          <w:i/>
          <w:szCs w:val="24"/>
          <w:lang w:eastAsia="en-US"/>
        </w:rPr>
        <w:t>, e cientificamente estabelecido</w:t>
      </w:r>
      <w:r w:rsidRPr="00AA7DF5">
        <w:rPr>
          <w:szCs w:val="24"/>
          <w:lang w:eastAsia="en-US"/>
        </w:rPr>
        <w:t>.</w:t>
      </w:r>
      <w:r w:rsidR="00BC69CC" w:rsidRPr="00AA7DF5">
        <w:rPr>
          <w:b/>
          <w:szCs w:val="24"/>
          <w:lang w:eastAsia="en-US"/>
        </w:rPr>
        <w:t xml:space="preserve"> [Alt. 58]</w:t>
      </w:r>
    </w:p>
    <w:p w14:paraId="4E0C17D4" w14:textId="632E0EDB" w:rsidR="002E0FC5" w:rsidRPr="00AA7DF5" w:rsidRDefault="002E0FC5" w:rsidP="002E0FC5">
      <w:pPr>
        <w:spacing w:before="120" w:after="120" w:line="360" w:lineRule="auto"/>
        <w:ind w:left="1982"/>
        <w:rPr>
          <w:szCs w:val="24"/>
          <w:lang w:eastAsia="en-US"/>
        </w:rPr>
      </w:pPr>
      <w:r w:rsidRPr="00AA7DF5">
        <w:rPr>
          <w:szCs w:val="24"/>
          <w:lang w:eastAsia="en-US"/>
        </w:rPr>
        <w:t>* Diretiva 2008/105/CE do Parlamento Europeu e do Conselho, de 16 de dezembro de 2008, relativa à prevenção e controlo da poluição das águas de superfície, que altera e subsequentemente revoga as Diretivas 82/176/CEE, 83/513/CEE, 84/156/CEE, 84/491/CEE e 86/280/CEE do Conselho, e que altera a Diretiva 2000/60/CE (JO L 348 de 24.12.2008, p. 84).»</w:t>
      </w:r>
      <w:r w:rsidR="00BC69CC" w:rsidRPr="00AA7DF5">
        <w:rPr>
          <w:szCs w:val="24"/>
          <w:lang w:eastAsia="en-US"/>
        </w:rPr>
        <w:t>;</w:t>
      </w:r>
    </w:p>
    <w:p w14:paraId="40FB053F" w14:textId="78FCD9AC" w:rsidR="002E0FC5" w:rsidRPr="00AA7DF5" w:rsidRDefault="002E0FC5" w:rsidP="002E0FC5">
      <w:pPr>
        <w:spacing w:before="120" w:after="120" w:line="360" w:lineRule="auto"/>
        <w:ind w:left="1416" w:hanging="566"/>
        <w:rPr>
          <w:szCs w:val="24"/>
          <w:lang w:eastAsia="en-US"/>
        </w:rPr>
      </w:pPr>
      <w:proofErr w:type="spellStart"/>
      <w:r w:rsidRPr="00AA7DF5">
        <w:rPr>
          <w:b/>
          <w:i/>
          <w:szCs w:val="24"/>
          <w:lang w:eastAsia="en-US"/>
        </w:rPr>
        <w:t>d</w:t>
      </w:r>
      <w:r w:rsidR="00BC69CC" w:rsidRPr="00AA7DF5">
        <w:rPr>
          <w:b/>
          <w:i/>
          <w:szCs w:val="24"/>
          <w:lang w:eastAsia="en-US"/>
        </w:rPr>
        <w:t>-A</w:t>
      </w:r>
      <w:proofErr w:type="spellEnd"/>
      <w:r w:rsidRPr="00AA7DF5">
        <w:rPr>
          <w:b/>
          <w:i/>
          <w:szCs w:val="24"/>
          <w:lang w:eastAsia="en-US"/>
        </w:rPr>
        <w:t>)</w:t>
      </w:r>
      <w:r w:rsidRPr="00AA7DF5">
        <w:rPr>
          <w:szCs w:val="24"/>
          <w:lang w:eastAsia="en-US"/>
        </w:rPr>
        <w:tab/>
      </w:r>
      <w:r w:rsidRPr="00AA7DF5">
        <w:rPr>
          <w:b/>
          <w:i/>
          <w:szCs w:val="24"/>
          <w:lang w:eastAsia="en-US"/>
        </w:rPr>
        <w:t>O ponto 37 passa a ter a seguinte redação:</w:t>
      </w:r>
    </w:p>
    <w:p w14:paraId="79051B93" w14:textId="17378DD4" w:rsidR="002E0FC5" w:rsidRPr="00AA7DF5" w:rsidRDefault="002E0FC5" w:rsidP="002E0FC5">
      <w:pPr>
        <w:spacing w:before="120" w:after="120" w:line="360" w:lineRule="auto"/>
        <w:ind w:left="1982" w:hanging="566"/>
        <w:rPr>
          <w:b/>
          <w:szCs w:val="24"/>
          <w:lang w:eastAsia="en-US"/>
        </w:rPr>
      </w:pPr>
      <w:r w:rsidRPr="00AA7DF5">
        <w:rPr>
          <w:szCs w:val="24"/>
          <w:lang w:eastAsia="en-US"/>
        </w:rPr>
        <w:t>«</w:t>
      </w:r>
      <w:r w:rsidRPr="00AA7DF5">
        <w:rPr>
          <w:b/>
          <w:i/>
          <w:szCs w:val="24"/>
          <w:lang w:eastAsia="en-US"/>
        </w:rPr>
        <w:t>1)</w:t>
      </w:r>
      <w:r w:rsidRPr="00AA7DF5">
        <w:rPr>
          <w:szCs w:val="24"/>
          <w:lang w:eastAsia="en-US"/>
        </w:rPr>
        <w:tab/>
      </w:r>
      <w:r w:rsidRPr="00AA7DF5">
        <w:rPr>
          <w:b/>
          <w:i/>
          <w:szCs w:val="24"/>
          <w:lang w:eastAsia="en-US"/>
        </w:rPr>
        <w:t>«Águas destinadas ao consumo humano» : o mesmo que na Diretiva (UE) 2020/2184.»</w:t>
      </w:r>
      <w:r w:rsidR="00BC69CC" w:rsidRPr="00AA7DF5">
        <w:rPr>
          <w:szCs w:val="24"/>
          <w:lang w:eastAsia="en-US"/>
        </w:rPr>
        <w:t>;</w:t>
      </w:r>
      <w:r w:rsidR="00BC69CC" w:rsidRPr="00AA7DF5">
        <w:rPr>
          <w:b/>
          <w:szCs w:val="24"/>
          <w:lang w:eastAsia="en-US"/>
        </w:rPr>
        <w:t xml:space="preserve"> [Alt. 59]</w:t>
      </w:r>
    </w:p>
    <w:p w14:paraId="6C81E45E" w14:textId="77777777" w:rsidR="00BC69CC" w:rsidRPr="00AA7DF5" w:rsidRDefault="00BC69CC">
      <w:pPr>
        <w:widowControl/>
        <w:rPr>
          <w:b/>
          <w:i/>
          <w:szCs w:val="24"/>
          <w:lang w:eastAsia="en-US"/>
        </w:rPr>
      </w:pPr>
      <w:r w:rsidRPr="00AA7DF5">
        <w:rPr>
          <w:b/>
          <w:i/>
          <w:szCs w:val="24"/>
          <w:lang w:eastAsia="en-US"/>
        </w:rPr>
        <w:br w:type="page"/>
      </w:r>
    </w:p>
    <w:p w14:paraId="53FFC080" w14:textId="05E1F409" w:rsidR="002E0FC5" w:rsidRPr="00AA7DF5" w:rsidRDefault="002E0FC5" w:rsidP="002E0FC5">
      <w:pPr>
        <w:spacing w:before="120" w:after="120" w:line="360" w:lineRule="auto"/>
        <w:ind w:left="1416" w:hanging="566"/>
        <w:rPr>
          <w:szCs w:val="24"/>
          <w:lang w:eastAsia="en-US"/>
        </w:rPr>
      </w:pPr>
      <w:r w:rsidRPr="00AA7DF5">
        <w:rPr>
          <w:b/>
          <w:i/>
          <w:szCs w:val="24"/>
          <w:lang w:eastAsia="en-US"/>
        </w:rPr>
        <w:lastRenderedPageBreak/>
        <w:t>d</w:t>
      </w:r>
      <w:r w:rsidR="00BC69CC"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 xml:space="preserve">No </w:t>
      </w:r>
      <w:r w:rsidR="00BC69CC" w:rsidRPr="00AA7DF5">
        <w:rPr>
          <w:b/>
          <w:i/>
          <w:szCs w:val="24"/>
          <w:lang w:eastAsia="en-US"/>
        </w:rPr>
        <w:t>ponto</w:t>
      </w:r>
      <w:r w:rsidRPr="00AA7DF5">
        <w:rPr>
          <w:b/>
          <w:i/>
          <w:szCs w:val="24"/>
          <w:lang w:eastAsia="en-US"/>
        </w:rPr>
        <w:t xml:space="preserve"> 40, o primeiro parágrafo passa a ter a seguinte redação:</w:t>
      </w:r>
    </w:p>
    <w:p w14:paraId="1588D022" w14:textId="6F27ABFC" w:rsidR="002E0FC5" w:rsidRPr="00AA7DF5" w:rsidRDefault="002E0FC5" w:rsidP="002E0FC5">
      <w:pPr>
        <w:spacing w:before="120" w:after="120" w:line="360" w:lineRule="auto"/>
        <w:ind w:left="1982" w:hanging="566"/>
        <w:rPr>
          <w:b/>
          <w:szCs w:val="24"/>
          <w:lang w:eastAsia="en-US"/>
        </w:rPr>
      </w:pPr>
      <w:r w:rsidRPr="00AA7DF5">
        <w:rPr>
          <w:szCs w:val="24"/>
          <w:lang w:eastAsia="en-US"/>
        </w:rPr>
        <w:t>«</w:t>
      </w:r>
      <w:r w:rsidRPr="00AA7DF5">
        <w:rPr>
          <w:b/>
          <w:i/>
          <w:szCs w:val="24"/>
          <w:lang w:eastAsia="en-US"/>
        </w:rPr>
        <w:t>40.</w:t>
      </w:r>
      <w:r w:rsidR="00BC69CC" w:rsidRPr="00AA7DF5">
        <w:rPr>
          <w:b/>
          <w:i/>
          <w:szCs w:val="24"/>
          <w:lang w:eastAsia="en-US"/>
        </w:rPr>
        <w:tab/>
      </w:r>
      <w:r w:rsidRPr="00AA7DF5">
        <w:rPr>
          <w:b/>
          <w:i/>
          <w:szCs w:val="24"/>
          <w:lang w:eastAsia="en-US"/>
        </w:rPr>
        <w:t>«Valores‑limite de emissão»: a massa, expressa em termos de determinados parâmetros específicos, a concentração e/ou o nível de uma emissão, que não podem ser excedidos em qualquer período ou períodos. Podem ser igualmente estabelecidos valores‑limite de emissão para determinados grupos, famílias ou categorias de substâncias, em especial para os identificados no anexo I da Diretiva 2008/105/CE.</w:t>
      </w:r>
      <w:r w:rsidRPr="00AA7DF5">
        <w:rPr>
          <w:szCs w:val="24"/>
          <w:lang w:eastAsia="en-US"/>
        </w:rPr>
        <w:t>»</w:t>
      </w:r>
      <w:r w:rsidR="005B728C" w:rsidRPr="00AA7DF5">
        <w:rPr>
          <w:b/>
          <w:szCs w:val="24"/>
          <w:lang w:eastAsia="en-US"/>
        </w:rPr>
        <w:t xml:space="preserve"> [Alt. 60]</w:t>
      </w:r>
    </w:p>
    <w:p w14:paraId="3CA575D4"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3)</w:t>
      </w:r>
      <w:r w:rsidRPr="00AA7DF5">
        <w:rPr>
          <w:szCs w:val="24"/>
          <w:lang w:eastAsia="en-US"/>
        </w:rPr>
        <w:tab/>
        <w:t>No artigo 3.º, é inserido o seguinte n.º 4-A:</w:t>
      </w:r>
    </w:p>
    <w:p w14:paraId="32A618D0"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«4-A.</w:t>
      </w:r>
      <w:r w:rsidRPr="00AA7DF5">
        <w:rPr>
          <w:szCs w:val="24"/>
          <w:lang w:eastAsia="en-US"/>
        </w:rPr>
        <w:tab/>
        <w:t>Em caso de circunstâncias extraordinárias de origem natural ou força maior, em especial inundações extremas, secas prolongadas ou incidentes de poluição significativos que possam afetar massas de água a jusante situadas noutros Estados-Membros, os Estados-Membros informarão de imediato as autoridades competentes para as massas de água a jusante nesses Estados-Membros, assim como a Comissão, devendo estabelecer a cooperação necessária para investigar as causas das circunstâncias ou incidentes extraordinários e dar resposta às suas consequências.;</w:t>
      </w:r>
    </w:p>
    <w:p w14:paraId="0D9A69C1" w14:textId="77777777" w:rsidR="005B728C" w:rsidRPr="00AA7DF5" w:rsidRDefault="005B728C">
      <w:pPr>
        <w:widowControl/>
        <w:rPr>
          <w:b/>
          <w:i/>
          <w:szCs w:val="24"/>
          <w:lang w:eastAsia="en-US"/>
        </w:rPr>
      </w:pPr>
      <w:r w:rsidRPr="00AA7DF5">
        <w:rPr>
          <w:b/>
          <w:i/>
          <w:szCs w:val="24"/>
          <w:lang w:eastAsia="en-US"/>
        </w:rPr>
        <w:br w:type="page"/>
      </w:r>
    </w:p>
    <w:p w14:paraId="2912B264" w14:textId="172BFD20" w:rsidR="002E0FC5" w:rsidRPr="00AA7DF5" w:rsidRDefault="002E0FC5" w:rsidP="002E0FC5">
      <w:pPr>
        <w:spacing w:before="120" w:after="120" w:line="360" w:lineRule="auto"/>
        <w:ind w:left="1416"/>
        <w:rPr>
          <w:szCs w:val="24"/>
          <w:lang w:eastAsia="en-US"/>
        </w:rPr>
      </w:pPr>
      <w:r w:rsidRPr="00AA7DF5">
        <w:rPr>
          <w:b/>
          <w:i/>
          <w:szCs w:val="24"/>
          <w:lang w:eastAsia="en-US"/>
        </w:rPr>
        <w:lastRenderedPageBreak/>
        <w:t>Os Estados‑Membros notificam igualmente qualquer outro Estado‑Membro que possa ser adversamente afetado pelo incidente de poluição significativo.</w:t>
      </w:r>
    </w:p>
    <w:p w14:paraId="4D525D1A" w14:textId="6D5B23E9" w:rsidR="002E0FC5" w:rsidRPr="00AA7DF5" w:rsidRDefault="002E0FC5" w:rsidP="002E0FC5">
      <w:pPr>
        <w:spacing w:before="120" w:after="120" w:line="360" w:lineRule="auto"/>
        <w:ind w:left="1416"/>
        <w:rPr>
          <w:b/>
          <w:szCs w:val="24"/>
          <w:lang w:eastAsia="en-US"/>
        </w:rPr>
      </w:pPr>
      <w:r w:rsidRPr="00AA7DF5">
        <w:rPr>
          <w:b/>
          <w:i/>
          <w:szCs w:val="24"/>
          <w:lang w:eastAsia="en-US"/>
        </w:rPr>
        <w:t>Para melhorar ainda mais a cooperação e o intercâmbio de informações nas regiões hidrográficas internacionais, todas as regiões hidrográficas internacionais devem também dispor de procedimentos para a comunicação e resposta a emergências.</w:t>
      </w:r>
      <w:r w:rsidRPr="00AA7DF5">
        <w:rPr>
          <w:szCs w:val="24"/>
          <w:lang w:eastAsia="en-US"/>
        </w:rPr>
        <w:t>»</w:t>
      </w:r>
      <w:r w:rsidR="005B728C" w:rsidRPr="00AA7DF5">
        <w:rPr>
          <w:b/>
          <w:szCs w:val="24"/>
          <w:lang w:eastAsia="en-US"/>
        </w:rPr>
        <w:t xml:space="preserve"> [Alt. 61]</w:t>
      </w:r>
    </w:p>
    <w:p w14:paraId="6BCA7FD1"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4)</w:t>
      </w:r>
      <w:r w:rsidRPr="00AA7DF5">
        <w:rPr>
          <w:szCs w:val="24"/>
          <w:lang w:eastAsia="en-US"/>
        </w:rPr>
        <w:tab/>
        <w:t>O artigo 4.º, n.º 1, é alterado do seguinte modo:</w:t>
      </w:r>
    </w:p>
    <w:p w14:paraId="529658C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 xml:space="preserve">Na alínea a), a subalínea </w:t>
      </w:r>
      <w:proofErr w:type="spellStart"/>
      <w:r w:rsidRPr="00AA7DF5">
        <w:rPr>
          <w:szCs w:val="24"/>
          <w:lang w:eastAsia="en-US"/>
        </w:rPr>
        <w:t>iv</w:t>
      </w:r>
      <w:proofErr w:type="spellEnd"/>
      <w:r w:rsidRPr="00AA7DF5">
        <w:rPr>
          <w:szCs w:val="24"/>
          <w:lang w:eastAsia="en-US"/>
        </w:rPr>
        <w:t>) passa a ter a seguinte redação:</w:t>
      </w:r>
    </w:p>
    <w:p w14:paraId="6CD9B59E" w14:textId="69AE991F" w:rsidR="002E0FC5" w:rsidRPr="00AA7DF5" w:rsidRDefault="002E0FC5" w:rsidP="002E0FC5">
      <w:pPr>
        <w:spacing w:before="120" w:after="120" w:line="360" w:lineRule="auto"/>
        <w:ind w:left="1982" w:hanging="566"/>
        <w:rPr>
          <w:b/>
          <w:szCs w:val="24"/>
          <w:lang w:eastAsia="en-US"/>
        </w:rPr>
      </w:pPr>
      <w:r w:rsidRPr="00AA7DF5">
        <w:rPr>
          <w:szCs w:val="24"/>
          <w:lang w:eastAsia="en-US"/>
        </w:rPr>
        <w:t>«</w:t>
      </w:r>
      <w:proofErr w:type="spellStart"/>
      <w:r w:rsidRPr="00AA7DF5">
        <w:rPr>
          <w:szCs w:val="24"/>
          <w:lang w:eastAsia="en-US"/>
        </w:rPr>
        <w:t>iv</w:t>
      </w:r>
      <w:proofErr w:type="spellEnd"/>
      <w:r w:rsidRPr="00AA7DF5">
        <w:rPr>
          <w:szCs w:val="24"/>
          <w:lang w:eastAsia="en-US"/>
        </w:rPr>
        <w:t>)</w:t>
      </w:r>
      <w:r w:rsidRPr="00AA7DF5">
        <w:rPr>
          <w:szCs w:val="24"/>
          <w:lang w:eastAsia="en-US"/>
        </w:rPr>
        <w:tab/>
        <w:t>Os Estados-Membros aplicarão as medidas necessárias para reduzir gradualmente a poluição</w:t>
      </w:r>
      <w:r w:rsidRPr="00AA7DF5">
        <w:rPr>
          <w:b/>
          <w:i/>
          <w:szCs w:val="24"/>
          <w:lang w:eastAsia="en-US"/>
        </w:rPr>
        <w:t>, descargas, emissões e perdas</w:t>
      </w:r>
      <w:r w:rsidRPr="00AA7DF5">
        <w:rPr>
          <w:szCs w:val="24"/>
          <w:lang w:eastAsia="en-US"/>
        </w:rPr>
        <w:t xml:space="preserve"> provocada por substâncias prioritárias e poluentes específicos das bacias hidrográficas e para cessar ou eliminar faseadamente as emissões, descargas e perdas de substâncias perigosas prioritárias</w:t>
      </w:r>
      <w:r w:rsidRPr="00AA7DF5">
        <w:rPr>
          <w:b/>
          <w:i/>
          <w:szCs w:val="24"/>
          <w:lang w:eastAsia="en-US"/>
        </w:rPr>
        <w:t xml:space="preserve"> num calendário adequado e, em qualquer caso, o mais tardar 20 anos após uma determinada substância prioritária ter sido incluída como perigosa no anexo I, parte A, da Diretiva 2008/105/CE</w:t>
      </w:r>
      <w:r w:rsidRPr="00AA7DF5">
        <w:rPr>
          <w:szCs w:val="24"/>
          <w:lang w:eastAsia="en-US"/>
        </w:rPr>
        <w:t>.</w:t>
      </w:r>
      <w:r w:rsidRPr="00AA7DF5">
        <w:rPr>
          <w:b/>
          <w:i/>
          <w:szCs w:val="24"/>
          <w:lang w:eastAsia="en-US"/>
        </w:rPr>
        <w:t xml:space="preserve"> Esse calendário aplica‑se sem prejuízo da fixação de prazos mais rigorosos em qualquer outra legislação da União aplicável</w:t>
      </w:r>
      <w:r w:rsidRPr="00AA7DF5">
        <w:rPr>
          <w:szCs w:val="24"/>
          <w:lang w:eastAsia="en-US"/>
        </w:rPr>
        <w:t>;»</w:t>
      </w:r>
      <w:r w:rsidR="005B728C" w:rsidRPr="00AA7DF5">
        <w:rPr>
          <w:b/>
          <w:szCs w:val="24"/>
          <w:lang w:eastAsia="en-US"/>
        </w:rPr>
        <w:t xml:space="preserve"> [Alt. 62]</w:t>
      </w:r>
    </w:p>
    <w:p w14:paraId="3CA47C05" w14:textId="77777777" w:rsidR="00E50ED4" w:rsidRPr="00AA7DF5" w:rsidRDefault="00E50ED4">
      <w:pPr>
        <w:widowControl/>
        <w:rPr>
          <w:szCs w:val="24"/>
          <w:lang w:eastAsia="en-US"/>
        </w:rPr>
      </w:pPr>
      <w:r w:rsidRPr="00AA7DF5">
        <w:rPr>
          <w:szCs w:val="24"/>
          <w:lang w:eastAsia="en-US"/>
        </w:rPr>
        <w:br w:type="page"/>
      </w:r>
    </w:p>
    <w:p w14:paraId="771965FB" w14:textId="0B224457"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b)</w:t>
      </w:r>
      <w:r w:rsidRPr="00AA7DF5">
        <w:rPr>
          <w:szCs w:val="24"/>
          <w:lang w:eastAsia="en-US"/>
        </w:rPr>
        <w:tab/>
        <w:t xml:space="preserve">Na alínea b), subalínea </w:t>
      </w:r>
      <w:proofErr w:type="spellStart"/>
      <w:r w:rsidRPr="00AA7DF5">
        <w:rPr>
          <w:szCs w:val="24"/>
          <w:lang w:eastAsia="en-US"/>
        </w:rPr>
        <w:t>iii</w:t>
      </w:r>
      <w:proofErr w:type="spellEnd"/>
      <w:r w:rsidRPr="00AA7DF5">
        <w:rPr>
          <w:szCs w:val="24"/>
          <w:lang w:eastAsia="en-US"/>
        </w:rPr>
        <w:t>), o segundo parágrafo passa a ter a seguinte redação:</w:t>
      </w:r>
    </w:p>
    <w:p w14:paraId="246A4A7E" w14:textId="77777777" w:rsidR="002E0FC5" w:rsidRPr="00AA7DF5" w:rsidRDefault="002E0FC5" w:rsidP="002E0FC5">
      <w:pPr>
        <w:spacing w:before="120" w:after="120" w:line="360" w:lineRule="auto"/>
        <w:ind w:left="1416"/>
        <w:rPr>
          <w:szCs w:val="24"/>
          <w:lang w:eastAsia="en-US"/>
        </w:rPr>
      </w:pPr>
      <w:r w:rsidRPr="00AA7DF5">
        <w:rPr>
          <w:szCs w:val="24"/>
          <w:lang w:eastAsia="en-US"/>
        </w:rPr>
        <w:t xml:space="preserve">«As medidas destinadas a inverter as tendências devem ser aplicadas em conformidade com o artigo 5.º da Diretiva 2006/118/CE e com o anexo IV dessa diretiva, sob reserva de aplicação dos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6 e 7 do presente artigo e sem prejuízo do disposto no n.º 8 do mesmo.;»</w:t>
      </w:r>
    </w:p>
    <w:p w14:paraId="1CB88470" w14:textId="5FFDE5BF" w:rsidR="002E0FC5" w:rsidRPr="00AA7DF5" w:rsidRDefault="002E0FC5" w:rsidP="002E0FC5">
      <w:pPr>
        <w:spacing w:before="120" w:after="120" w:line="360" w:lineRule="auto"/>
        <w:ind w:left="1416" w:hanging="566"/>
        <w:rPr>
          <w:szCs w:val="24"/>
          <w:lang w:eastAsia="en-US"/>
        </w:rPr>
      </w:pPr>
      <w:proofErr w:type="spellStart"/>
      <w:r w:rsidRPr="00AA7DF5">
        <w:rPr>
          <w:b/>
          <w:i/>
          <w:szCs w:val="24"/>
          <w:lang w:eastAsia="en-US"/>
        </w:rPr>
        <w:t>b</w:t>
      </w:r>
      <w:r w:rsidR="00E50ED4" w:rsidRPr="00AA7DF5">
        <w:rPr>
          <w:b/>
          <w:i/>
          <w:szCs w:val="24"/>
          <w:lang w:eastAsia="en-US"/>
        </w:rPr>
        <w:t>-A</w:t>
      </w:r>
      <w:proofErr w:type="spellEnd"/>
      <w:r w:rsidRPr="00AA7DF5">
        <w:rPr>
          <w:b/>
          <w:i/>
          <w:szCs w:val="24"/>
          <w:lang w:eastAsia="en-US"/>
        </w:rPr>
        <w:t>)</w:t>
      </w:r>
      <w:r w:rsidRPr="00AA7DF5">
        <w:rPr>
          <w:szCs w:val="24"/>
          <w:lang w:eastAsia="en-US"/>
        </w:rPr>
        <w:tab/>
      </w:r>
      <w:r w:rsidRPr="00AA7DF5">
        <w:rPr>
          <w:b/>
          <w:i/>
          <w:szCs w:val="24"/>
          <w:lang w:eastAsia="en-US"/>
        </w:rPr>
        <w:t>À alínea c) é aditado o seguinte parágrafo 1‑A:</w:t>
      </w:r>
    </w:p>
    <w:p w14:paraId="6DBD8D28" w14:textId="48C38DE7" w:rsidR="002E0FC5" w:rsidRPr="00AA7DF5" w:rsidRDefault="002E0FC5" w:rsidP="002E0FC5">
      <w:pPr>
        <w:spacing w:before="120" w:after="120" w:line="360" w:lineRule="auto"/>
        <w:ind w:left="1416"/>
        <w:rPr>
          <w:b/>
          <w:szCs w:val="24"/>
          <w:lang w:eastAsia="en-US"/>
        </w:rPr>
      </w:pPr>
      <w:r w:rsidRPr="00AA7DF5">
        <w:rPr>
          <w:szCs w:val="24"/>
          <w:lang w:eastAsia="en-US"/>
        </w:rPr>
        <w:t>«</w:t>
      </w:r>
      <w:r w:rsidRPr="00AA7DF5">
        <w:rPr>
          <w:b/>
          <w:i/>
          <w:szCs w:val="24"/>
          <w:lang w:eastAsia="en-US"/>
        </w:rPr>
        <w:t>Os Estados‑Membros devem definir, se necessário, normas ou limiares mais estritos para proteger devidamente as áreas enumeradas no anexo IV da presente diretiva, incluindo áreas especiais de conservação nos termos da Diretiva 92/43/CEE do Conselho. Os programas e as medidas necessários em relação a esses limiares devem igualmente ser aplicáveis às atividades abrangidas pelo âmbito de aplicação da Diretiva 91/676/CEE.</w:t>
      </w:r>
      <w:r w:rsidRPr="00AA7DF5">
        <w:rPr>
          <w:szCs w:val="24"/>
          <w:lang w:eastAsia="en-US"/>
        </w:rPr>
        <w:t>»</w:t>
      </w:r>
      <w:r w:rsidR="00E50ED4" w:rsidRPr="00AA7DF5">
        <w:rPr>
          <w:b/>
          <w:szCs w:val="24"/>
          <w:lang w:eastAsia="en-US"/>
        </w:rPr>
        <w:t xml:space="preserve"> [Alt. 63]</w:t>
      </w:r>
    </w:p>
    <w:p w14:paraId="398FA157" w14:textId="77777777" w:rsidR="00E50ED4" w:rsidRPr="00AA7DF5" w:rsidRDefault="00E50ED4">
      <w:pPr>
        <w:widowControl/>
        <w:rPr>
          <w:szCs w:val="24"/>
          <w:lang w:eastAsia="en-US"/>
        </w:rPr>
      </w:pPr>
      <w:r w:rsidRPr="00AA7DF5">
        <w:rPr>
          <w:szCs w:val="24"/>
          <w:lang w:eastAsia="en-US"/>
        </w:rPr>
        <w:br w:type="page"/>
      </w:r>
    </w:p>
    <w:p w14:paraId="1BDD3AE2" w14:textId="1127A91E"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5)</w:t>
      </w:r>
      <w:r w:rsidRPr="00AA7DF5">
        <w:rPr>
          <w:szCs w:val="24"/>
          <w:lang w:eastAsia="en-US"/>
        </w:rPr>
        <w:tab/>
        <w:t>No artigo 7.º, o n.º 2 passa a ter a seguinte redação:</w:t>
      </w:r>
    </w:p>
    <w:p w14:paraId="1128B39D"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Em relação a cada massa de água identificada nos termos do n.º 1, para além do cumprimento dos objetivos do artigo 4.º, segundo os requisitos da presente diretiva aplicáveis às massas de águas de superfície, incluindo as normas de qualidade estabelecidas a nível da União, os Estados-Membros devem garantir que, de acordo com o regime de tratamento de águas aplicado e nos termos da legislação da União, as águas resultantes preencham os requisitos da Diretiva (UE) 2020/2184 do Parlamento Europeu e do Conselho*.</w:t>
      </w:r>
    </w:p>
    <w:p w14:paraId="617F5AC3" w14:textId="562D5E58" w:rsidR="002E0FC5" w:rsidRPr="00AA7DF5" w:rsidRDefault="002E0FC5" w:rsidP="002E0FC5">
      <w:pPr>
        <w:spacing w:before="120" w:after="120" w:line="360" w:lineRule="auto"/>
        <w:ind w:left="1416"/>
        <w:rPr>
          <w:szCs w:val="24"/>
          <w:lang w:eastAsia="en-US"/>
        </w:rPr>
      </w:pPr>
      <w:r w:rsidRPr="00AA7DF5">
        <w:rPr>
          <w:szCs w:val="24"/>
          <w:lang w:eastAsia="en-US"/>
        </w:rPr>
        <w:t>* Diretiva (UE) 2020/2184 do Parlamento Europeu e do Conselho, de 16 de dezembro de 2020, relativa à qualidade da água destinada ao consumo humano (JO L 435 de 23.12.2020, p. 1).»</w:t>
      </w:r>
      <w:r w:rsidR="00E50ED4" w:rsidRPr="00AA7DF5">
        <w:rPr>
          <w:szCs w:val="24"/>
          <w:lang w:eastAsia="en-US"/>
        </w:rPr>
        <w:t>;</w:t>
      </w:r>
    </w:p>
    <w:p w14:paraId="1F03DB72" w14:textId="77777777" w:rsidR="00E50ED4" w:rsidRPr="00AA7DF5" w:rsidRDefault="00E50ED4">
      <w:pPr>
        <w:widowControl/>
        <w:rPr>
          <w:szCs w:val="24"/>
          <w:lang w:eastAsia="en-US"/>
        </w:rPr>
      </w:pPr>
      <w:r w:rsidRPr="00AA7DF5">
        <w:rPr>
          <w:szCs w:val="24"/>
          <w:lang w:eastAsia="en-US"/>
        </w:rPr>
        <w:br w:type="page"/>
      </w:r>
    </w:p>
    <w:p w14:paraId="6DC9C4AD" w14:textId="25894AB5"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6)</w:t>
      </w:r>
      <w:r w:rsidRPr="00AA7DF5">
        <w:rPr>
          <w:szCs w:val="24"/>
          <w:lang w:eastAsia="en-US"/>
        </w:rPr>
        <w:tab/>
        <w:t>O artigo 8.º é alterado do seguinte modo:</w:t>
      </w:r>
    </w:p>
    <w:p w14:paraId="708B18E1"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O n.º 3 passa a ter a seguinte redação:</w:t>
      </w:r>
    </w:p>
    <w:p w14:paraId="23466FA5" w14:textId="2A63AC53" w:rsidR="002E0FC5" w:rsidRPr="00AA7DF5" w:rsidRDefault="002E0FC5" w:rsidP="002E0FC5">
      <w:pPr>
        <w:spacing w:before="120" w:after="120" w:line="360" w:lineRule="auto"/>
        <w:ind w:left="1982" w:hanging="566"/>
        <w:rPr>
          <w:b/>
          <w:szCs w:val="24"/>
          <w:lang w:eastAsia="en-US"/>
        </w:rPr>
      </w:pPr>
      <w:r w:rsidRPr="00AA7DF5">
        <w:rPr>
          <w:szCs w:val="24"/>
          <w:lang w:eastAsia="en-US"/>
        </w:rPr>
        <w:t>«3.</w:t>
      </w:r>
      <w:r w:rsidRPr="00AA7DF5">
        <w:rPr>
          <w:szCs w:val="24"/>
          <w:lang w:eastAsia="en-US"/>
        </w:rPr>
        <w:tab/>
        <w:t xml:space="preserve">A Comissão fica habilitada a adotar atos </w:t>
      </w:r>
      <w:r w:rsidRPr="00AA7DF5">
        <w:rPr>
          <w:strike/>
          <w:szCs w:val="24"/>
          <w:lang w:eastAsia="en-US"/>
        </w:rPr>
        <w:t xml:space="preserve">de execução que </w:t>
      </w:r>
      <w:proofErr w:type="spellStart"/>
      <w:r w:rsidRPr="00AA7DF5">
        <w:rPr>
          <w:strike/>
          <w:szCs w:val="24"/>
          <w:lang w:eastAsia="en-US"/>
        </w:rPr>
        <w:t>definam</w:t>
      </w:r>
      <w:r w:rsidRPr="00AA7DF5">
        <w:rPr>
          <w:b/>
          <w:i/>
          <w:szCs w:val="24"/>
          <w:lang w:eastAsia="en-US"/>
        </w:rPr>
        <w:t>delegados</w:t>
      </w:r>
      <w:proofErr w:type="spellEnd"/>
      <w:r w:rsidRPr="00AA7DF5">
        <w:rPr>
          <w:b/>
          <w:i/>
          <w:szCs w:val="24"/>
          <w:lang w:eastAsia="en-US"/>
        </w:rPr>
        <w:t xml:space="preserve"> nos termos do artigo 20.º‑A para completar a presente diretiva definindo</w:t>
      </w:r>
      <w:r w:rsidRPr="00AA7DF5">
        <w:rPr>
          <w:szCs w:val="24"/>
          <w:lang w:eastAsia="en-US"/>
        </w:rPr>
        <w:t xml:space="preserve"> especificações técnicas e métodos normalizados de análise e de monitorização do estado das águas nos termos do anexo V</w:t>
      </w:r>
      <w:r w:rsidRPr="00AA7DF5">
        <w:rPr>
          <w:b/>
          <w:i/>
          <w:szCs w:val="24"/>
          <w:lang w:eastAsia="en-US"/>
        </w:rPr>
        <w:t>. A Comissão fica habilitada a adotar atos de execução</w:t>
      </w:r>
      <w:r w:rsidRPr="00AA7DF5">
        <w:rPr>
          <w:strike/>
          <w:szCs w:val="24"/>
          <w:lang w:eastAsia="en-US"/>
        </w:rPr>
        <w:t xml:space="preserve"> e</w:t>
      </w:r>
      <w:r w:rsidRPr="00AA7DF5">
        <w:rPr>
          <w:szCs w:val="24"/>
          <w:lang w:eastAsia="en-US"/>
        </w:rPr>
        <w:t xml:space="preserve"> que estabeleçam modelos de comunicação de informações relativas à monitorização e ao estado nos termos do n.º 4. Esses atos de execução são adotados pelo procedimento de exame a que se refere o artigo 21.º, n.º 2.»</w:t>
      </w:r>
      <w:r w:rsidR="00E50ED4" w:rsidRPr="00AA7DF5">
        <w:rPr>
          <w:szCs w:val="24"/>
          <w:lang w:eastAsia="en-US"/>
        </w:rPr>
        <w:t>;</w:t>
      </w:r>
      <w:r w:rsidR="00E50ED4" w:rsidRPr="00AA7DF5">
        <w:rPr>
          <w:b/>
          <w:szCs w:val="24"/>
          <w:lang w:eastAsia="en-US"/>
        </w:rPr>
        <w:t xml:space="preserve"> [Alt. 64]</w:t>
      </w:r>
    </w:p>
    <w:p w14:paraId="1946D86A" w14:textId="77777777" w:rsidR="00E50ED4" w:rsidRPr="00AA7DF5" w:rsidRDefault="00E50ED4">
      <w:pPr>
        <w:widowControl/>
        <w:rPr>
          <w:b/>
          <w:i/>
          <w:szCs w:val="24"/>
          <w:lang w:eastAsia="en-US"/>
        </w:rPr>
      </w:pPr>
      <w:r w:rsidRPr="00AA7DF5">
        <w:rPr>
          <w:b/>
          <w:i/>
          <w:szCs w:val="24"/>
          <w:lang w:eastAsia="en-US"/>
        </w:rPr>
        <w:br w:type="page"/>
      </w:r>
    </w:p>
    <w:p w14:paraId="6035C2D0" w14:textId="4CD6C11F" w:rsidR="002E0FC5" w:rsidRPr="00AA7DF5" w:rsidRDefault="002E0FC5" w:rsidP="002E0FC5">
      <w:pPr>
        <w:spacing w:before="120" w:after="120" w:line="360" w:lineRule="auto"/>
        <w:ind w:left="1416" w:hanging="566"/>
        <w:rPr>
          <w:szCs w:val="24"/>
          <w:lang w:eastAsia="en-US"/>
        </w:rPr>
      </w:pPr>
      <w:proofErr w:type="spellStart"/>
      <w:r w:rsidRPr="00AA7DF5">
        <w:rPr>
          <w:b/>
          <w:i/>
          <w:szCs w:val="24"/>
          <w:lang w:eastAsia="en-US"/>
        </w:rPr>
        <w:lastRenderedPageBreak/>
        <w:t>a</w:t>
      </w:r>
      <w:r w:rsidR="00E50ED4" w:rsidRPr="00AA7DF5">
        <w:rPr>
          <w:b/>
          <w:i/>
          <w:szCs w:val="24"/>
          <w:lang w:eastAsia="en-US"/>
        </w:rPr>
        <w:t>-A</w:t>
      </w:r>
      <w:proofErr w:type="spellEnd"/>
      <w:r w:rsidRPr="00AA7DF5">
        <w:rPr>
          <w:b/>
          <w:i/>
          <w:szCs w:val="24"/>
          <w:lang w:eastAsia="en-US"/>
        </w:rPr>
        <w:t>)</w:t>
      </w:r>
      <w:r w:rsidRPr="00AA7DF5">
        <w:rPr>
          <w:szCs w:val="24"/>
          <w:lang w:eastAsia="en-US"/>
        </w:rPr>
        <w:tab/>
      </w:r>
      <w:r w:rsidRPr="00AA7DF5">
        <w:rPr>
          <w:b/>
          <w:i/>
          <w:szCs w:val="24"/>
          <w:lang w:eastAsia="en-US"/>
        </w:rPr>
        <w:t>É aditado o seguinte número:</w:t>
      </w:r>
    </w:p>
    <w:p w14:paraId="097F9668" w14:textId="65BB9B59" w:rsidR="002E0FC5" w:rsidRPr="00AA7DF5" w:rsidRDefault="002E0FC5" w:rsidP="002E0FC5">
      <w:pPr>
        <w:spacing w:before="120" w:after="120" w:line="360" w:lineRule="auto"/>
        <w:ind w:left="1982" w:hanging="566"/>
        <w:rPr>
          <w:szCs w:val="24"/>
          <w:lang w:eastAsia="en-US"/>
        </w:rPr>
      </w:pPr>
      <w:r w:rsidRPr="00AA7DF5">
        <w:rPr>
          <w:szCs w:val="24"/>
          <w:lang w:eastAsia="en-US"/>
        </w:rPr>
        <w:t>«</w:t>
      </w:r>
      <w:r w:rsidR="00E50ED4" w:rsidRPr="00AA7DF5">
        <w:rPr>
          <w:b/>
          <w:i/>
          <w:szCs w:val="24"/>
          <w:lang w:eastAsia="en-US"/>
        </w:rPr>
        <w:t>3-A</w:t>
      </w:r>
      <w:r w:rsidRPr="00AA7DF5">
        <w:rPr>
          <w:b/>
          <w:i/>
          <w:szCs w:val="24"/>
          <w:lang w:eastAsia="en-US"/>
        </w:rPr>
        <w:t>.</w:t>
      </w:r>
      <w:r w:rsidRPr="00AA7DF5">
        <w:rPr>
          <w:szCs w:val="24"/>
          <w:lang w:eastAsia="en-US"/>
        </w:rPr>
        <w:tab/>
      </w:r>
      <w:r w:rsidRPr="00AA7DF5">
        <w:rPr>
          <w:b/>
          <w:i/>
          <w:szCs w:val="24"/>
          <w:lang w:eastAsia="en-US"/>
        </w:rPr>
        <w:t>No prazo de [dois anos após a entrada em vigor da presente diretiva] a Comissão publica uma avaliação abrangente sobre a possível aplicação de sistemas de monitorização contínua, rigorosa e em tempo real (em linha) da poluição e de medição da qualidade da água, que incluirá uma avaliação da viabilidade económica e técnica desses sistemas relevante para os Estados‑Membros, bem como sobre a utilização de normas harmonizadas.</w:t>
      </w:r>
    </w:p>
    <w:p w14:paraId="7EB9DC62" w14:textId="34431CB1" w:rsidR="002E0FC5" w:rsidRPr="00AA7DF5" w:rsidRDefault="002E0FC5" w:rsidP="002E0FC5">
      <w:pPr>
        <w:spacing w:before="120" w:after="120" w:line="360" w:lineRule="auto"/>
        <w:ind w:left="1982"/>
        <w:rPr>
          <w:b/>
          <w:szCs w:val="24"/>
          <w:lang w:eastAsia="en-US"/>
        </w:rPr>
      </w:pPr>
      <w:r w:rsidRPr="00AA7DF5">
        <w:rPr>
          <w:b/>
          <w:i/>
          <w:szCs w:val="24"/>
          <w:lang w:eastAsia="en-US"/>
        </w:rPr>
        <w:t>Sendo caso disso, a Comissão deve adotar um ato de execução no quadro do procedimento de exame referido no artigo 21.º, n.º 2, para estabelecer normas harmonizadas para a monitorização em linha da água.</w:t>
      </w:r>
      <w:r w:rsidRPr="00AA7DF5">
        <w:rPr>
          <w:szCs w:val="24"/>
          <w:lang w:eastAsia="en-US"/>
        </w:rPr>
        <w:t>»</w:t>
      </w:r>
      <w:r w:rsidR="00E50ED4" w:rsidRPr="00AA7DF5">
        <w:rPr>
          <w:b/>
          <w:szCs w:val="24"/>
          <w:lang w:eastAsia="en-US"/>
        </w:rPr>
        <w:t xml:space="preserve"> [Alt. 65]</w:t>
      </w:r>
    </w:p>
    <w:p w14:paraId="49F5B978" w14:textId="77777777" w:rsidR="00126547" w:rsidRPr="00AA7DF5" w:rsidRDefault="00126547">
      <w:pPr>
        <w:widowControl/>
        <w:rPr>
          <w:szCs w:val="24"/>
          <w:lang w:eastAsia="en-US"/>
        </w:rPr>
      </w:pPr>
      <w:r w:rsidRPr="00AA7DF5">
        <w:rPr>
          <w:szCs w:val="24"/>
          <w:lang w:eastAsia="en-US"/>
        </w:rPr>
        <w:br w:type="page"/>
      </w:r>
    </w:p>
    <w:p w14:paraId="3B489C2E" w14:textId="2504F347"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b)</w:t>
      </w:r>
      <w:r w:rsidRPr="00AA7DF5">
        <w:rPr>
          <w:szCs w:val="24"/>
          <w:lang w:eastAsia="en-US"/>
        </w:rPr>
        <w:tab/>
        <w:t xml:space="preserve">São aditados os seguintes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4 e 5:</w:t>
      </w:r>
    </w:p>
    <w:p w14:paraId="6B9C5EDC" w14:textId="1DB9AAFA" w:rsidR="002E0FC5" w:rsidRPr="00AA7DF5" w:rsidRDefault="002E0FC5" w:rsidP="002E0FC5">
      <w:pPr>
        <w:spacing w:before="120" w:after="120" w:line="360" w:lineRule="auto"/>
        <w:ind w:left="1982" w:hanging="566"/>
        <w:rPr>
          <w:b/>
          <w:szCs w:val="24"/>
          <w:lang w:eastAsia="en-US"/>
        </w:rPr>
      </w:pPr>
      <w:r w:rsidRPr="00AA7DF5">
        <w:rPr>
          <w:szCs w:val="24"/>
          <w:lang w:eastAsia="en-US"/>
        </w:rPr>
        <w:t>«4.</w:t>
      </w:r>
      <w:r w:rsidRPr="00AA7DF5">
        <w:rPr>
          <w:szCs w:val="24"/>
          <w:lang w:eastAsia="en-US"/>
        </w:rPr>
        <w:tab/>
        <w:t xml:space="preserve">Os Estados-Membros assegurarão que os dados de monitorização individuais recolhidos em conformidade com o anexo V, </w:t>
      </w:r>
      <w:proofErr w:type="spellStart"/>
      <w:r w:rsidRPr="00AA7DF5">
        <w:rPr>
          <w:strike/>
          <w:szCs w:val="24"/>
          <w:lang w:eastAsia="en-US"/>
        </w:rPr>
        <w:t>ponto</w:t>
      </w:r>
      <w:r w:rsidRPr="00AA7DF5">
        <w:rPr>
          <w:b/>
          <w:i/>
          <w:szCs w:val="24"/>
          <w:lang w:eastAsia="en-US"/>
        </w:rPr>
        <w:t>pontos</w:t>
      </w:r>
      <w:proofErr w:type="spellEnd"/>
      <w:r w:rsidRPr="00AA7DF5">
        <w:rPr>
          <w:szCs w:val="24"/>
          <w:lang w:eastAsia="en-US"/>
        </w:rPr>
        <w:t xml:space="preserve"> 1.3.4</w:t>
      </w:r>
      <w:r w:rsidRPr="00AA7DF5">
        <w:rPr>
          <w:b/>
          <w:i/>
          <w:szCs w:val="24"/>
          <w:lang w:eastAsia="en-US"/>
        </w:rPr>
        <w:t xml:space="preserve"> e 2.4.3</w:t>
      </w:r>
      <w:r w:rsidRPr="00AA7DF5">
        <w:rPr>
          <w:szCs w:val="24"/>
          <w:lang w:eastAsia="en-US"/>
        </w:rPr>
        <w:t xml:space="preserve">, e o estado resultante segundo o anexo V são disponibilizados </w:t>
      </w:r>
      <w:r w:rsidRPr="00AA7DF5">
        <w:rPr>
          <w:strike/>
          <w:szCs w:val="24"/>
          <w:lang w:eastAsia="en-US"/>
        </w:rPr>
        <w:t xml:space="preserve">ao público e </w:t>
      </w:r>
      <w:r w:rsidRPr="00AA7DF5">
        <w:rPr>
          <w:szCs w:val="24"/>
          <w:lang w:eastAsia="en-US"/>
        </w:rPr>
        <w:t>à Agência Europeia do Ambiente (EEA)</w:t>
      </w:r>
      <w:r w:rsidRPr="00AA7DF5">
        <w:rPr>
          <w:b/>
          <w:i/>
          <w:szCs w:val="24"/>
          <w:lang w:eastAsia="en-US"/>
        </w:rPr>
        <w:t xml:space="preserve"> e, sem demora indevida e de uma forma facilmente acessível, ao público</w:t>
      </w:r>
      <w:r w:rsidRPr="00AA7DF5">
        <w:rPr>
          <w:szCs w:val="24"/>
          <w:lang w:eastAsia="en-US"/>
        </w:rPr>
        <w:t xml:space="preserve"> pelo menos uma vez por ano, por via eletrónica, num formato legível por máquina, em conformidade com a Diretiva 2003/4/CE do Parlamento Europeu e do Conselho*, a Diretiva 2007/2/CE do Parlamento Europeu e do Conselho** e a Diretiva (UE) 2019/1024 do Parlamento Europeu e do Conselho***. Para o efeito, os Estados-Membros devem utilizar os modelos estabelecidos em conformidade com o n.º 3 do presente artigo.</w:t>
      </w:r>
      <w:r w:rsidR="00126547" w:rsidRPr="00AA7DF5">
        <w:rPr>
          <w:b/>
          <w:szCs w:val="24"/>
          <w:lang w:eastAsia="en-US"/>
        </w:rPr>
        <w:t xml:space="preserve"> [Alt. 66]</w:t>
      </w:r>
    </w:p>
    <w:p w14:paraId="31AD050E" w14:textId="77777777" w:rsidR="00126547" w:rsidRPr="00AA7DF5" w:rsidRDefault="00126547">
      <w:pPr>
        <w:widowControl/>
        <w:rPr>
          <w:szCs w:val="24"/>
          <w:lang w:eastAsia="en-US"/>
        </w:rPr>
      </w:pPr>
      <w:r w:rsidRPr="00AA7DF5">
        <w:rPr>
          <w:szCs w:val="24"/>
          <w:lang w:eastAsia="en-US"/>
        </w:rPr>
        <w:br w:type="page"/>
      </w:r>
    </w:p>
    <w:p w14:paraId="68F00911" w14:textId="76E105EB"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5.</w:t>
      </w:r>
      <w:r w:rsidRPr="00AA7DF5">
        <w:rPr>
          <w:szCs w:val="24"/>
          <w:lang w:eastAsia="en-US"/>
        </w:rPr>
        <w:tab/>
        <w:t>A EEA assegurará que as informações disponibilizadas em conformidade com o n.º 4 são periodicamente processadas e analisadas com vista à sua disponibilização, através dos portais da União pertinentes, para reutilização pela Comissão e pelas agências competentes da União, bem como para fornecer à Comissão, aos Estados-Membros e ao público informações atualizadas, objetivas, fiáveis e comparáveis, em particular sobre o estado, em conformidade com o Regulamento (CE) n.º 401/2009 do Parlamento Europeu e do Conselho ****.</w:t>
      </w:r>
    </w:p>
    <w:p w14:paraId="5B98C7C9"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2003/4/CE do Parlamento Europeu e do Conselho, de 28 de janeiro de 2003, relativa ao acesso do público às informações sobre ambiente e que revoga a Diretiva 90/313/CEE do Conselho (JO L 41 de 14.2.2003, p. 26).</w:t>
      </w:r>
    </w:p>
    <w:p w14:paraId="0F355878"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2007/2/CE do Parlamento Europeu e do Conselho, de 14 de março de 2007, que estabelece uma infraestrutura de informação geográfica na Comunidade Europeia (Inspire) (JO L 108 de 25.4.2007, p. 1).</w:t>
      </w:r>
    </w:p>
    <w:p w14:paraId="0C8F9D08"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(UE) 2019/1024 do Parlamento Europeu e do Conselho, de 20 de junho de 2019, relativa aos dados abertos e à reutilização de informações do setor público (JO L 172 de 26.6.2019, p. 56).</w:t>
      </w:r>
    </w:p>
    <w:p w14:paraId="7C88008A" w14:textId="77777777" w:rsidR="002E0FC5" w:rsidRPr="00AA7DF5" w:rsidRDefault="002E0FC5" w:rsidP="002E0FC5">
      <w:pPr>
        <w:spacing w:before="120" w:after="120" w:line="360" w:lineRule="auto"/>
        <w:ind w:left="1416"/>
        <w:rPr>
          <w:szCs w:val="24"/>
          <w:lang w:eastAsia="en-US"/>
        </w:rPr>
      </w:pPr>
      <w:r w:rsidRPr="00AA7DF5">
        <w:rPr>
          <w:szCs w:val="24"/>
          <w:lang w:eastAsia="en-US"/>
        </w:rPr>
        <w:t>**** Regulamento (CE) n.º 401/2009 do Parlamento Europeu e do Conselho, de 23 de abril de 2009, relativo à Agência Europeia do Ambiente e à Rede Europeia de Informação e de Observação do Ambiente (JO L 126 de 21.5.2009, p. 13).;»</w:t>
      </w:r>
    </w:p>
    <w:p w14:paraId="1BC45E6F" w14:textId="77777777" w:rsidR="00126547" w:rsidRPr="00AA7DF5" w:rsidRDefault="00126547">
      <w:pPr>
        <w:widowControl/>
        <w:rPr>
          <w:szCs w:val="24"/>
          <w:lang w:eastAsia="en-US"/>
        </w:rPr>
      </w:pPr>
      <w:r w:rsidRPr="00AA7DF5">
        <w:rPr>
          <w:szCs w:val="24"/>
          <w:lang w:eastAsia="en-US"/>
        </w:rPr>
        <w:br w:type="page"/>
      </w:r>
    </w:p>
    <w:p w14:paraId="088996A9" w14:textId="55A7A727"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7)</w:t>
      </w:r>
      <w:r w:rsidRPr="00AA7DF5">
        <w:rPr>
          <w:szCs w:val="24"/>
          <w:lang w:eastAsia="en-US"/>
        </w:rPr>
        <w:tab/>
        <w:t>O artigo 10.º é alterado do seguinte modo:</w:t>
      </w:r>
    </w:p>
    <w:p w14:paraId="216593DC"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O n.º 2 passa a ter a seguinte redação:</w:t>
      </w:r>
    </w:p>
    <w:p w14:paraId="50E616D1"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«2.</w:t>
      </w:r>
      <w:r w:rsidRPr="00AA7DF5">
        <w:rPr>
          <w:szCs w:val="24"/>
          <w:lang w:eastAsia="en-US"/>
        </w:rPr>
        <w:tab/>
        <w:t>Para efeitos do cumprimento dos objetivos, normas de qualidade e limiares estabelecidos nos termos da presente diretiva, os Estados-Membros assegurarão o estabelecimento e a execução de:</w:t>
      </w:r>
    </w:p>
    <w:p w14:paraId="26063D19" w14:textId="77777777" w:rsidR="002E0FC5" w:rsidRPr="00AA7DF5" w:rsidRDefault="002E0FC5" w:rsidP="002E0FC5">
      <w:pPr>
        <w:spacing w:before="120" w:after="120" w:line="360" w:lineRule="auto"/>
        <w:ind w:left="2548" w:hanging="566"/>
        <w:rPr>
          <w:szCs w:val="24"/>
          <w:lang w:eastAsia="en-US"/>
        </w:rPr>
      </w:pPr>
      <w:r w:rsidRPr="00AA7DF5">
        <w:rPr>
          <w:szCs w:val="24"/>
          <w:lang w:eastAsia="en-US"/>
        </w:rPr>
        <w:t>a)</w:t>
      </w:r>
      <w:r w:rsidRPr="00AA7DF5">
        <w:rPr>
          <w:szCs w:val="24"/>
          <w:lang w:eastAsia="en-US"/>
        </w:rPr>
        <w:tab/>
        <w:t>Controlos de emissões com base nas melhores técnicas disponíveis;</w:t>
      </w:r>
    </w:p>
    <w:p w14:paraId="5862B482" w14:textId="77777777" w:rsidR="002E0FC5" w:rsidRPr="00AA7DF5" w:rsidRDefault="002E0FC5" w:rsidP="002E0FC5">
      <w:pPr>
        <w:spacing w:before="120" w:after="120" w:line="360" w:lineRule="auto"/>
        <w:ind w:left="2548" w:hanging="566"/>
        <w:rPr>
          <w:szCs w:val="24"/>
          <w:lang w:eastAsia="en-US"/>
        </w:rPr>
      </w:pPr>
      <w:r w:rsidRPr="00AA7DF5">
        <w:rPr>
          <w:szCs w:val="24"/>
          <w:lang w:eastAsia="en-US"/>
        </w:rPr>
        <w:t>b)</w:t>
      </w:r>
      <w:r w:rsidRPr="00AA7DF5">
        <w:rPr>
          <w:szCs w:val="24"/>
          <w:lang w:eastAsia="en-US"/>
        </w:rPr>
        <w:tab/>
        <w:t>Valores-limite de emissão pertinentes;</w:t>
      </w:r>
    </w:p>
    <w:p w14:paraId="3963E95E" w14:textId="77777777" w:rsidR="00126547" w:rsidRPr="00AA7DF5" w:rsidRDefault="00126547">
      <w:pPr>
        <w:widowControl/>
        <w:rPr>
          <w:szCs w:val="24"/>
          <w:lang w:eastAsia="en-US"/>
        </w:rPr>
      </w:pPr>
      <w:r w:rsidRPr="00AA7DF5">
        <w:rPr>
          <w:szCs w:val="24"/>
          <w:lang w:eastAsia="en-US"/>
        </w:rPr>
        <w:br w:type="page"/>
      </w:r>
    </w:p>
    <w:p w14:paraId="5DB3C38E" w14:textId="576784F1" w:rsidR="002E0FC5" w:rsidRPr="00AA7DF5" w:rsidRDefault="002E0FC5" w:rsidP="002E0FC5">
      <w:pPr>
        <w:spacing w:before="120" w:after="120" w:line="360" w:lineRule="auto"/>
        <w:ind w:left="2548" w:hanging="566"/>
        <w:rPr>
          <w:szCs w:val="24"/>
          <w:lang w:eastAsia="en-US"/>
        </w:rPr>
      </w:pPr>
      <w:r w:rsidRPr="00AA7DF5">
        <w:rPr>
          <w:szCs w:val="24"/>
          <w:lang w:eastAsia="en-US"/>
        </w:rPr>
        <w:lastRenderedPageBreak/>
        <w:t>c)</w:t>
      </w:r>
      <w:r w:rsidRPr="00AA7DF5">
        <w:rPr>
          <w:szCs w:val="24"/>
          <w:lang w:eastAsia="en-US"/>
        </w:rPr>
        <w:tab/>
        <w:t>No caso de impactos difusos, controlos que incluam, sempre que necessário, as melhores práticas ambientais em conformidade com os seguintes atos jurídicos:</w:t>
      </w:r>
    </w:p>
    <w:p w14:paraId="546200BE" w14:textId="77777777" w:rsidR="002E0FC5" w:rsidRPr="00AA7DF5" w:rsidRDefault="002E0FC5" w:rsidP="002E0FC5">
      <w:pPr>
        <w:spacing w:before="120" w:after="120" w:line="360" w:lineRule="auto"/>
        <w:ind w:left="3114" w:hanging="566"/>
        <w:rPr>
          <w:szCs w:val="24"/>
          <w:lang w:eastAsia="en-US"/>
        </w:rPr>
      </w:pPr>
      <w:r w:rsidRPr="00AA7DF5">
        <w:rPr>
          <w:szCs w:val="24"/>
          <w:lang w:eastAsia="en-US"/>
        </w:rPr>
        <w:t>-</w:t>
      </w:r>
      <w:r w:rsidRPr="00AA7DF5">
        <w:rPr>
          <w:szCs w:val="24"/>
          <w:lang w:eastAsia="en-US"/>
        </w:rPr>
        <w:tab/>
        <w:t>Diretiva 2009/128/CE do Parlamento Europeu e do Conselho*;</w:t>
      </w:r>
    </w:p>
    <w:p w14:paraId="4EC350EA" w14:textId="77777777" w:rsidR="002E0FC5" w:rsidRPr="00AA7DF5" w:rsidRDefault="002E0FC5" w:rsidP="002E0FC5">
      <w:pPr>
        <w:spacing w:before="120" w:after="120" w:line="360" w:lineRule="auto"/>
        <w:ind w:left="3114" w:hanging="566"/>
        <w:rPr>
          <w:szCs w:val="24"/>
          <w:lang w:eastAsia="en-US"/>
        </w:rPr>
      </w:pPr>
      <w:r w:rsidRPr="00AA7DF5">
        <w:rPr>
          <w:szCs w:val="24"/>
          <w:lang w:eastAsia="en-US"/>
        </w:rPr>
        <w:t>-</w:t>
      </w:r>
      <w:r w:rsidRPr="00AA7DF5">
        <w:rPr>
          <w:szCs w:val="24"/>
          <w:lang w:eastAsia="en-US"/>
        </w:rPr>
        <w:tab/>
        <w:t>Diretiva 2010/75/UE do Parlamento Europeu e do Conselho**;</w:t>
      </w:r>
    </w:p>
    <w:p w14:paraId="3603FD52" w14:textId="77777777" w:rsidR="002E0FC5" w:rsidRPr="00AA7DF5" w:rsidRDefault="002E0FC5" w:rsidP="002E0FC5">
      <w:pPr>
        <w:spacing w:before="120" w:after="120" w:line="360" w:lineRule="auto"/>
        <w:ind w:left="3114" w:hanging="566"/>
        <w:rPr>
          <w:szCs w:val="24"/>
          <w:lang w:eastAsia="en-US"/>
        </w:rPr>
      </w:pPr>
      <w:r w:rsidRPr="00AA7DF5">
        <w:rPr>
          <w:szCs w:val="24"/>
          <w:lang w:eastAsia="en-US"/>
        </w:rPr>
        <w:t>-</w:t>
      </w:r>
      <w:r w:rsidRPr="00AA7DF5">
        <w:rPr>
          <w:szCs w:val="24"/>
          <w:lang w:eastAsia="en-US"/>
        </w:rPr>
        <w:tab/>
        <w:t>Diretiva 91/271/CEE do Conselho***;</w:t>
      </w:r>
    </w:p>
    <w:p w14:paraId="521A043C" w14:textId="77777777" w:rsidR="002E0FC5" w:rsidRPr="00AA7DF5" w:rsidRDefault="002E0FC5" w:rsidP="002E0FC5">
      <w:pPr>
        <w:spacing w:before="120" w:after="120" w:line="360" w:lineRule="auto"/>
        <w:ind w:left="3114" w:hanging="566"/>
        <w:rPr>
          <w:szCs w:val="24"/>
          <w:lang w:eastAsia="en-US"/>
        </w:rPr>
      </w:pPr>
      <w:r w:rsidRPr="00AA7DF5">
        <w:rPr>
          <w:szCs w:val="24"/>
          <w:lang w:eastAsia="en-US"/>
        </w:rPr>
        <w:t>-</w:t>
      </w:r>
      <w:r w:rsidRPr="00AA7DF5">
        <w:rPr>
          <w:szCs w:val="24"/>
          <w:lang w:eastAsia="en-US"/>
        </w:rPr>
        <w:tab/>
        <w:t>Diretiva 91/676/CEE do Conselho****;</w:t>
      </w:r>
    </w:p>
    <w:p w14:paraId="4B215CA5" w14:textId="77777777" w:rsidR="002E0FC5" w:rsidRPr="00AA7DF5" w:rsidRDefault="002E0FC5" w:rsidP="002E0FC5">
      <w:pPr>
        <w:spacing w:before="120" w:after="120" w:line="360" w:lineRule="auto"/>
        <w:ind w:left="3114" w:hanging="566"/>
        <w:rPr>
          <w:szCs w:val="24"/>
          <w:lang w:eastAsia="en-US"/>
        </w:rPr>
      </w:pPr>
      <w:r w:rsidRPr="00AA7DF5">
        <w:rPr>
          <w:szCs w:val="24"/>
          <w:lang w:eastAsia="en-US"/>
        </w:rPr>
        <w:t>-</w:t>
      </w:r>
      <w:r w:rsidRPr="00AA7DF5">
        <w:rPr>
          <w:szCs w:val="24"/>
          <w:lang w:eastAsia="en-US"/>
        </w:rPr>
        <w:tab/>
        <w:t>qualquer outra legislação da União pertinente para combater a poluição proveniente de fontes tópicas ou difusas.</w:t>
      </w:r>
    </w:p>
    <w:p w14:paraId="59EC0087" w14:textId="77777777" w:rsidR="002E0FC5" w:rsidRPr="00AA7DF5" w:rsidRDefault="002E0FC5" w:rsidP="002E0FC5">
      <w:pPr>
        <w:spacing w:before="120" w:after="120" w:line="360" w:lineRule="auto"/>
        <w:ind w:left="2548"/>
        <w:rPr>
          <w:szCs w:val="24"/>
          <w:lang w:eastAsia="en-US"/>
        </w:rPr>
      </w:pPr>
      <w:r w:rsidRPr="00AA7DF5">
        <w:rPr>
          <w:szCs w:val="24"/>
          <w:lang w:eastAsia="en-US"/>
        </w:rPr>
        <w:t>* Diretiva 2009/128/CE do Parlamento Europeu e do Conselho, de 21 de outubro de 2009, que estabelece um quadro de ação ao nível comunitário para uma utilização sustentável dos pesticidas (JO L 309 de 24.11.2009, p. 71).</w:t>
      </w:r>
    </w:p>
    <w:p w14:paraId="4DDD2C09" w14:textId="77777777" w:rsidR="002E0FC5" w:rsidRPr="00AA7DF5" w:rsidRDefault="002E0FC5" w:rsidP="002E0FC5">
      <w:pPr>
        <w:spacing w:before="120" w:after="120" w:line="360" w:lineRule="auto"/>
        <w:ind w:left="2548"/>
        <w:rPr>
          <w:szCs w:val="24"/>
          <w:lang w:eastAsia="en-US"/>
        </w:rPr>
      </w:pPr>
      <w:r w:rsidRPr="00AA7DF5">
        <w:rPr>
          <w:szCs w:val="24"/>
          <w:lang w:eastAsia="en-US"/>
        </w:rPr>
        <w:t>** Diretiva 2010/75/UE do Parlamento Europeu e do Conselho, de 24 de novembro de 2010, relativa às emissões industriais (JO L 334 de 17.12.2010, p. 17).</w:t>
      </w:r>
    </w:p>
    <w:p w14:paraId="38EF2BD0" w14:textId="77777777" w:rsidR="002E0FC5" w:rsidRPr="00AA7DF5" w:rsidRDefault="002E0FC5" w:rsidP="002E0FC5">
      <w:pPr>
        <w:spacing w:before="120" w:after="120" w:line="360" w:lineRule="auto"/>
        <w:ind w:left="2548"/>
        <w:rPr>
          <w:szCs w:val="24"/>
          <w:lang w:eastAsia="en-US"/>
        </w:rPr>
      </w:pPr>
      <w:r w:rsidRPr="00AA7DF5">
        <w:rPr>
          <w:szCs w:val="24"/>
          <w:lang w:eastAsia="en-US"/>
        </w:rPr>
        <w:t>*** Diretiva 91/271/CEE do Conselho, de 21 de maio de 1991, relativa ao tratamento de águas residuais urbanas (JO L 135 de 30.5.1991, p. 40).</w:t>
      </w:r>
    </w:p>
    <w:p w14:paraId="4A709C89" w14:textId="77777777" w:rsidR="002E0FC5" w:rsidRPr="00AA7DF5" w:rsidRDefault="002E0FC5" w:rsidP="002E0FC5">
      <w:pPr>
        <w:spacing w:before="120" w:after="120" w:line="360" w:lineRule="auto"/>
        <w:ind w:left="2548"/>
        <w:rPr>
          <w:szCs w:val="24"/>
          <w:lang w:eastAsia="en-US"/>
        </w:rPr>
      </w:pPr>
      <w:r w:rsidRPr="00AA7DF5">
        <w:rPr>
          <w:szCs w:val="24"/>
          <w:lang w:eastAsia="en-US"/>
        </w:rPr>
        <w:t>**** Diretiva 91/676/CEE do Conselho, de 12 de dezembro de 1991, relativa à proteção das águas contra a poluição causada por nitratos de origem agrícola (JO L 375 de 31.12.1991, p. 1).;»</w:t>
      </w:r>
    </w:p>
    <w:p w14:paraId="1C400758" w14:textId="77777777" w:rsidR="00126547" w:rsidRPr="00AA7DF5" w:rsidRDefault="00126547">
      <w:pPr>
        <w:widowControl/>
        <w:rPr>
          <w:szCs w:val="24"/>
          <w:lang w:eastAsia="en-US"/>
        </w:rPr>
      </w:pPr>
      <w:r w:rsidRPr="00AA7DF5">
        <w:rPr>
          <w:szCs w:val="24"/>
          <w:lang w:eastAsia="en-US"/>
        </w:rPr>
        <w:br w:type="page"/>
      </w:r>
    </w:p>
    <w:p w14:paraId="5D3202AB" w14:textId="48FC907E"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b)</w:t>
      </w:r>
      <w:r w:rsidRPr="00AA7DF5">
        <w:rPr>
          <w:szCs w:val="24"/>
          <w:lang w:eastAsia="en-US"/>
        </w:rPr>
        <w:tab/>
        <w:t>O n.º 3 passa a ter a seguinte redação:</w:t>
      </w:r>
    </w:p>
    <w:p w14:paraId="629D3E39"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«3.</w:t>
      </w:r>
      <w:r w:rsidRPr="00AA7DF5">
        <w:rPr>
          <w:szCs w:val="24"/>
          <w:lang w:eastAsia="en-US"/>
        </w:rPr>
        <w:tab/>
        <w:t>Se um objetivo, uma norma de qualidade ou um limiar, estabelecido nos termos da presente diretiva, das Diretivas 2006/118/CE ou 2008/105/CE ou de qualquer outra legislação da União, tornar necessária a imposição de condições mais estritas do que as que resultariam da aplicação do n.º 2, serão instituídos, nesse sentido, controlos de emissões mais estritos.;»</w:t>
      </w:r>
    </w:p>
    <w:p w14:paraId="7A26005F" w14:textId="77777777" w:rsidR="00126547" w:rsidRPr="00AA7DF5" w:rsidRDefault="00126547">
      <w:pPr>
        <w:widowControl/>
        <w:rPr>
          <w:b/>
          <w:i/>
          <w:szCs w:val="24"/>
          <w:lang w:eastAsia="en-US"/>
        </w:rPr>
      </w:pPr>
      <w:r w:rsidRPr="00AA7DF5">
        <w:rPr>
          <w:b/>
          <w:i/>
          <w:szCs w:val="24"/>
          <w:lang w:eastAsia="en-US"/>
        </w:rPr>
        <w:br w:type="page"/>
      </w:r>
    </w:p>
    <w:p w14:paraId="45690452" w14:textId="6943A469"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7</w:t>
      </w:r>
      <w:r w:rsidR="00126547"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O artigo 11.º, n.º 1, passa a ter a seguinte redação:</w:t>
      </w:r>
    </w:p>
    <w:p w14:paraId="68D7A20A" w14:textId="253E7615" w:rsidR="002E0FC5" w:rsidRPr="00AA7DF5" w:rsidRDefault="002E0FC5" w:rsidP="002E0FC5">
      <w:pPr>
        <w:spacing w:before="120" w:after="120" w:line="360" w:lineRule="auto"/>
        <w:ind w:left="1416" w:hanging="566"/>
        <w:rPr>
          <w:szCs w:val="24"/>
          <w:lang w:eastAsia="en-US"/>
        </w:rPr>
      </w:pPr>
      <w:r w:rsidRPr="00AA7DF5">
        <w:rPr>
          <w:szCs w:val="24"/>
          <w:lang w:eastAsia="en-US"/>
        </w:rPr>
        <w:t>«</w:t>
      </w:r>
      <w:r w:rsidRPr="00AA7DF5">
        <w:rPr>
          <w:b/>
          <w:i/>
          <w:szCs w:val="24"/>
          <w:lang w:eastAsia="en-US"/>
        </w:rPr>
        <w:t>1.</w:t>
      </w:r>
      <w:r w:rsidRPr="00AA7DF5">
        <w:rPr>
          <w:szCs w:val="24"/>
          <w:lang w:eastAsia="en-US"/>
        </w:rPr>
        <w:tab/>
      </w:r>
      <w:r w:rsidRPr="00AA7DF5">
        <w:rPr>
          <w:b/>
          <w:i/>
          <w:szCs w:val="24"/>
          <w:lang w:eastAsia="en-US"/>
        </w:rPr>
        <w:t xml:space="preserve">Cada Estado‑Membro assegurará, para cada região hidrográfica ou para a parte de qualquer região hidrográfica internacional que pertença ao seu território, o estabelecimento de um programa de medidas, tendo em conta os resultados das análises exigidas nos termos do artigo 5.º, com o objetivo da prossecução dos objetivos definidos no artigo 4.º. Esses programas de medidas devem dar prioridade às medidas de controlo das fontes, em conformidade com a legislação setorial da União aplicável em matéria de poluição. As medidas de final de ciclo serão aplicadas como complemento das medidas de controlo na fonte quando existir um risco de as medidas de controlo na fonte não conseguirem que se disponha de massas de água em bom estado. Os programas de medidas podem fazer referência a medidas decorrentes de legislação adotada a nível nacional e abrangendo todo o território de um Estado‑Membro. Sempre que necessário, os Estados‑Membros podem </w:t>
      </w:r>
      <w:r w:rsidR="00F5169B" w:rsidRPr="00AA7DF5">
        <w:rPr>
          <w:b/>
          <w:i/>
          <w:szCs w:val="24"/>
          <w:lang w:eastAsia="en-US"/>
        </w:rPr>
        <w:t>adotar</w:t>
      </w:r>
      <w:r w:rsidRPr="00AA7DF5">
        <w:rPr>
          <w:b/>
          <w:i/>
          <w:szCs w:val="24"/>
          <w:lang w:eastAsia="en-US"/>
        </w:rPr>
        <w:t xml:space="preserve"> medidas aplicáveis a todas as regiões hidrográficas e/ou às partes das regiões hidrográficas internacionais situadas no seu território. A Comissão deve elaborar orientações sobre melhores práticas para medidas de controlo das fontes e a </w:t>
      </w:r>
      <w:proofErr w:type="spellStart"/>
      <w:r w:rsidRPr="00AA7DF5">
        <w:rPr>
          <w:b/>
          <w:i/>
          <w:szCs w:val="24"/>
          <w:lang w:eastAsia="en-US"/>
        </w:rPr>
        <w:t>complementariedade</w:t>
      </w:r>
      <w:proofErr w:type="spellEnd"/>
      <w:r w:rsidRPr="00AA7DF5">
        <w:rPr>
          <w:b/>
          <w:i/>
          <w:szCs w:val="24"/>
          <w:lang w:eastAsia="en-US"/>
        </w:rPr>
        <w:t xml:space="preserve"> das medidas de último recurso.»</w:t>
      </w:r>
      <w:r w:rsidR="00126547" w:rsidRPr="00AA7DF5">
        <w:rPr>
          <w:b/>
          <w:szCs w:val="24"/>
          <w:lang w:eastAsia="en-US"/>
        </w:rPr>
        <w:t xml:space="preserve"> [Alt. 67]</w:t>
      </w:r>
    </w:p>
    <w:p w14:paraId="24902FC5" w14:textId="77777777" w:rsidR="00126547" w:rsidRPr="00AA7DF5" w:rsidRDefault="00126547">
      <w:pPr>
        <w:widowControl/>
        <w:rPr>
          <w:b/>
          <w:i/>
          <w:szCs w:val="24"/>
          <w:lang w:eastAsia="en-US"/>
        </w:rPr>
      </w:pPr>
      <w:r w:rsidRPr="00AA7DF5">
        <w:rPr>
          <w:b/>
          <w:i/>
          <w:szCs w:val="24"/>
          <w:lang w:eastAsia="en-US"/>
        </w:rPr>
        <w:br w:type="page"/>
      </w:r>
    </w:p>
    <w:p w14:paraId="33705B2F" w14:textId="6844CC3B"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7</w:t>
      </w:r>
      <w:r w:rsidR="00126547"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No artigo 11.º, n.º 3, a alínea c) passa a ter a seguinte redação:</w:t>
      </w:r>
    </w:p>
    <w:p w14:paraId="7866F615" w14:textId="325BF403" w:rsidR="002E0FC5" w:rsidRPr="00AA7DF5" w:rsidRDefault="002E0FC5" w:rsidP="002E0FC5">
      <w:pPr>
        <w:spacing w:before="120" w:after="120" w:line="360" w:lineRule="auto"/>
        <w:ind w:left="1416" w:hanging="566"/>
        <w:rPr>
          <w:szCs w:val="24"/>
          <w:lang w:eastAsia="en-US"/>
        </w:rPr>
      </w:pPr>
      <w:r w:rsidRPr="00AA7DF5">
        <w:rPr>
          <w:szCs w:val="24"/>
          <w:lang w:eastAsia="en-US"/>
        </w:rPr>
        <w:t>«</w:t>
      </w:r>
      <w:r w:rsidRPr="00AA7DF5">
        <w:rPr>
          <w:b/>
          <w:i/>
          <w:szCs w:val="24"/>
          <w:lang w:eastAsia="en-US"/>
        </w:rPr>
        <w:t>a)</w:t>
      </w:r>
      <w:r w:rsidRPr="00AA7DF5">
        <w:rPr>
          <w:szCs w:val="24"/>
          <w:lang w:eastAsia="en-US"/>
        </w:rPr>
        <w:tab/>
      </w:r>
      <w:r w:rsidRPr="00AA7DF5">
        <w:rPr>
          <w:b/>
          <w:i/>
          <w:szCs w:val="24"/>
          <w:lang w:eastAsia="en-US"/>
        </w:rPr>
        <w:t>Medidas destinadas a promover uma utilização eficaz e sustentável da água, inclusivamente na agricultura, a fim de evitar comprometer a realização dos objetivos especificados no artigo 4.º;»</w:t>
      </w:r>
      <w:r w:rsidR="00126547" w:rsidRPr="00AA7DF5">
        <w:rPr>
          <w:b/>
          <w:szCs w:val="24"/>
          <w:lang w:eastAsia="en-US"/>
        </w:rPr>
        <w:t xml:space="preserve"> [Alt. 68]</w:t>
      </w:r>
    </w:p>
    <w:p w14:paraId="20FB85EE"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8)</w:t>
      </w:r>
      <w:r w:rsidRPr="00AA7DF5">
        <w:rPr>
          <w:szCs w:val="24"/>
          <w:lang w:eastAsia="en-US"/>
        </w:rPr>
        <w:tab/>
        <w:t>No artigo 11.º, n.º 3, a alínea k) passa a ter a seguinte redação:</w:t>
      </w:r>
    </w:p>
    <w:p w14:paraId="6C4DD081" w14:textId="0CACE53E" w:rsidR="002E0FC5" w:rsidRPr="00AA7DF5" w:rsidRDefault="002E0FC5" w:rsidP="002E0FC5">
      <w:pPr>
        <w:spacing w:before="120" w:after="120" w:line="360" w:lineRule="auto"/>
        <w:ind w:left="1416" w:hanging="566"/>
        <w:rPr>
          <w:szCs w:val="24"/>
          <w:lang w:eastAsia="en-US"/>
        </w:rPr>
      </w:pPr>
      <w:r w:rsidRPr="00AA7DF5">
        <w:rPr>
          <w:szCs w:val="24"/>
          <w:lang w:eastAsia="en-US"/>
        </w:rPr>
        <w:t>«k)</w:t>
      </w:r>
      <w:r w:rsidRPr="00AA7DF5">
        <w:rPr>
          <w:szCs w:val="24"/>
          <w:lang w:eastAsia="en-US"/>
        </w:rPr>
        <w:tab/>
        <w:t>Medidas para eliminar a poluição das águas de superfície provocada por substâncias prioritárias e para reduzir progressivamente a poluição causada por outras substâncias que, de outra forma, impediriam os Estados-Membros de alcançar os objetivos ambientais relativos às massas de águas de superfície estabelecidos no artigo 4.º;»</w:t>
      </w:r>
    </w:p>
    <w:p w14:paraId="0044C4ED" w14:textId="5FE3404E" w:rsidR="002E0FC5" w:rsidRPr="00AA7DF5" w:rsidRDefault="002E0FC5" w:rsidP="002E0FC5">
      <w:pPr>
        <w:spacing w:before="120" w:after="120" w:line="360" w:lineRule="auto"/>
        <w:ind w:left="850" w:hanging="850"/>
        <w:rPr>
          <w:szCs w:val="24"/>
          <w:lang w:eastAsia="en-US"/>
        </w:rPr>
      </w:pPr>
      <w:r w:rsidRPr="00AA7DF5">
        <w:rPr>
          <w:b/>
          <w:i/>
          <w:szCs w:val="24"/>
          <w:lang w:eastAsia="en-US"/>
        </w:rPr>
        <w:t>8</w:t>
      </w:r>
      <w:r w:rsidR="00126547"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O artigo 11 º, n.º 5, segundo travessão, passa a ter a seguinte redação:</w:t>
      </w:r>
    </w:p>
    <w:p w14:paraId="6943667A" w14:textId="05E5078C" w:rsidR="002E0FC5" w:rsidRPr="00AA7DF5" w:rsidRDefault="002E0FC5" w:rsidP="002E0FC5">
      <w:pPr>
        <w:spacing w:before="120" w:after="120" w:line="360" w:lineRule="auto"/>
        <w:ind w:left="1416" w:hanging="566"/>
        <w:rPr>
          <w:b/>
          <w:szCs w:val="24"/>
          <w:lang w:eastAsia="en-US"/>
        </w:rPr>
      </w:pPr>
      <w:r w:rsidRPr="00AA7DF5">
        <w:rPr>
          <w:szCs w:val="24"/>
          <w:lang w:eastAsia="en-US"/>
        </w:rPr>
        <w:t>«</w:t>
      </w:r>
      <w:r w:rsidRPr="00AA7DF5">
        <w:rPr>
          <w:b/>
          <w:i/>
          <w:szCs w:val="24"/>
          <w:lang w:eastAsia="en-US"/>
        </w:rPr>
        <w:t>-</w:t>
      </w:r>
      <w:r w:rsidRPr="00AA7DF5">
        <w:rPr>
          <w:szCs w:val="24"/>
          <w:lang w:eastAsia="en-US"/>
        </w:rPr>
        <w:tab/>
      </w:r>
      <w:r w:rsidRPr="00AA7DF5">
        <w:rPr>
          <w:b/>
          <w:i/>
          <w:szCs w:val="24"/>
          <w:lang w:eastAsia="en-US"/>
        </w:rPr>
        <w:t>– a análise e revisão das licenças e autorizações relevantes, conforme for adequado, bem como a respetiva suspensão em casos devidamente justificados,</w:t>
      </w:r>
      <w:r w:rsidRPr="00AA7DF5">
        <w:rPr>
          <w:szCs w:val="24"/>
          <w:lang w:eastAsia="en-US"/>
        </w:rPr>
        <w:t>»</w:t>
      </w:r>
      <w:r w:rsidR="00126547" w:rsidRPr="00AA7DF5">
        <w:rPr>
          <w:b/>
          <w:szCs w:val="24"/>
          <w:lang w:eastAsia="en-US"/>
        </w:rPr>
        <w:t xml:space="preserve"> [Alt. 69]</w:t>
      </w:r>
    </w:p>
    <w:p w14:paraId="642D80AC" w14:textId="77777777" w:rsidR="00126547" w:rsidRPr="00AA7DF5" w:rsidRDefault="00126547">
      <w:pPr>
        <w:widowControl/>
        <w:rPr>
          <w:szCs w:val="24"/>
          <w:lang w:eastAsia="en-US"/>
        </w:rPr>
      </w:pPr>
      <w:r w:rsidRPr="00AA7DF5">
        <w:rPr>
          <w:szCs w:val="24"/>
          <w:lang w:eastAsia="en-US"/>
        </w:rPr>
        <w:br w:type="page"/>
      </w:r>
    </w:p>
    <w:p w14:paraId="59BF40DE" w14:textId="3E5F2C26"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9)</w:t>
      </w:r>
      <w:r w:rsidRPr="00AA7DF5">
        <w:rPr>
          <w:szCs w:val="24"/>
          <w:lang w:eastAsia="en-US"/>
        </w:rPr>
        <w:tab/>
        <w:t>O artigo 12.º passa a ter a seguinte redação:</w:t>
      </w:r>
    </w:p>
    <w:p w14:paraId="1928781E"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12.º</w:t>
      </w:r>
    </w:p>
    <w:p w14:paraId="4094C6DA" w14:textId="2C26E6CD" w:rsidR="002E0FC5" w:rsidRPr="00AA7DF5" w:rsidRDefault="002E0FC5" w:rsidP="002E0FC5">
      <w:pPr>
        <w:spacing w:before="120" w:after="120" w:line="360" w:lineRule="auto"/>
        <w:ind w:left="850"/>
        <w:rPr>
          <w:szCs w:val="24"/>
          <w:lang w:eastAsia="en-US"/>
        </w:rPr>
      </w:pPr>
      <w:r w:rsidRPr="00AA7DF5">
        <w:rPr>
          <w:szCs w:val="24"/>
          <w:lang w:eastAsia="en-US"/>
        </w:rPr>
        <w:t>Questões que não podem ser tratadas a nível dos Estados-Membros</w:t>
      </w:r>
    </w:p>
    <w:p w14:paraId="269D7CA1"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Se um Estado-Membro identificar uma questão que tenha impacto sobre a gestão das suas águas mas que não possa resolver, deve informar desse facto a Comissão e qualquer outro Estado-Membro interessado, podendo apresentar recomendações para a resolução do problema em causa.</w:t>
      </w:r>
    </w:p>
    <w:p w14:paraId="02C2E164" w14:textId="2F4782F0" w:rsidR="002E0FC5" w:rsidRPr="00AA7DF5" w:rsidRDefault="002E0FC5" w:rsidP="002E0FC5">
      <w:pPr>
        <w:spacing w:before="120" w:after="120" w:line="360" w:lineRule="auto"/>
        <w:ind w:left="1416"/>
        <w:rPr>
          <w:b/>
          <w:szCs w:val="24"/>
          <w:lang w:eastAsia="en-US"/>
        </w:rPr>
      </w:pPr>
      <w:r w:rsidRPr="00AA7DF5">
        <w:rPr>
          <w:b/>
          <w:i/>
          <w:szCs w:val="24"/>
          <w:lang w:eastAsia="en-US"/>
        </w:rPr>
        <w:t>A Comissão reage num prazo de seis meses às eventuais notificações dos Estados‑Membros. Se a questão disser respeito à não observância do bom estado químico, a Comissão age em conformidade com o artigo 7.º‑A da Diretiva 2008/105/CE.</w:t>
      </w:r>
      <w:r w:rsidR="00C55521" w:rsidRPr="00AA7DF5">
        <w:rPr>
          <w:b/>
          <w:szCs w:val="24"/>
          <w:lang w:eastAsia="en-US"/>
        </w:rPr>
        <w:t xml:space="preserve"> [Alt. 70]</w:t>
      </w:r>
    </w:p>
    <w:p w14:paraId="094D75F3"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Os Estados-Membros interessados cooperarão para identificar as fontes das questões a que se refere o n.º 1 e as medidas necessárias para lhes dar resposta.</w:t>
      </w:r>
    </w:p>
    <w:p w14:paraId="442AC95F" w14:textId="77777777" w:rsidR="00C55521" w:rsidRPr="00AA7DF5" w:rsidRDefault="00C55521">
      <w:pPr>
        <w:widowControl/>
        <w:rPr>
          <w:szCs w:val="24"/>
          <w:lang w:eastAsia="en-US"/>
        </w:rPr>
      </w:pPr>
      <w:r w:rsidRPr="00AA7DF5">
        <w:rPr>
          <w:szCs w:val="24"/>
          <w:lang w:eastAsia="en-US"/>
        </w:rPr>
        <w:br w:type="page"/>
      </w:r>
    </w:p>
    <w:p w14:paraId="7BB29CBB" w14:textId="72F568A2" w:rsidR="002E0FC5" w:rsidRPr="00AA7DF5" w:rsidRDefault="002E0FC5" w:rsidP="002E0FC5">
      <w:pPr>
        <w:spacing w:before="120" w:after="120" w:line="360" w:lineRule="auto"/>
        <w:ind w:left="1416"/>
        <w:rPr>
          <w:b/>
          <w:szCs w:val="24"/>
          <w:lang w:eastAsia="en-US"/>
        </w:rPr>
      </w:pPr>
      <w:r w:rsidRPr="00AA7DF5">
        <w:rPr>
          <w:szCs w:val="24"/>
          <w:lang w:eastAsia="en-US"/>
        </w:rPr>
        <w:lastRenderedPageBreak/>
        <w:t xml:space="preserve">Os Estados-Membros devem responder aos outros Estados-Membros atempadamente e o mais tardar </w:t>
      </w:r>
      <w:r w:rsidRPr="00AA7DF5">
        <w:rPr>
          <w:strike/>
          <w:szCs w:val="24"/>
          <w:lang w:eastAsia="en-US"/>
        </w:rPr>
        <w:t>3</w:t>
      </w:r>
      <w:r w:rsidRPr="00AA7DF5">
        <w:rPr>
          <w:b/>
          <w:i/>
          <w:szCs w:val="24"/>
          <w:lang w:eastAsia="en-US"/>
        </w:rPr>
        <w:t>2</w:t>
      </w:r>
      <w:r w:rsidRPr="00AA7DF5">
        <w:rPr>
          <w:szCs w:val="24"/>
          <w:lang w:eastAsia="en-US"/>
        </w:rPr>
        <w:t xml:space="preserve"> meses após a notificação por outro Estado‑Membro nos termos do n.º 1.</w:t>
      </w:r>
      <w:r w:rsidR="00C55521" w:rsidRPr="00AA7DF5">
        <w:rPr>
          <w:b/>
          <w:szCs w:val="24"/>
          <w:lang w:eastAsia="en-US"/>
        </w:rPr>
        <w:t xml:space="preserve"> [Alt. 71]</w:t>
      </w:r>
    </w:p>
    <w:p w14:paraId="0E339E46"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A Comissão deve ser informada sobre a cooperação a que se refere o n.º 2 e ser convidada a apoiar esses esforços. Se for caso disso, a Comissão ponderará, tendo em conta as informações a que se refere o artigo 13.º, se é necessário tomar novas medidas a nível da União para reduzir os impactos transfronteiriços nas massas de água.;»</w:t>
      </w:r>
    </w:p>
    <w:p w14:paraId="6D4BA0CB" w14:textId="6B71009D" w:rsidR="002E0FC5" w:rsidRPr="00AA7DF5" w:rsidRDefault="002E0FC5" w:rsidP="002E0FC5">
      <w:pPr>
        <w:spacing w:before="120" w:after="120" w:line="360" w:lineRule="auto"/>
        <w:ind w:left="850" w:hanging="850"/>
        <w:rPr>
          <w:szCs w:val="24"/>
          <w:lang w:eastAsia="en-US"/>
        </w:rPr>
      </w:pPr>
      <w:r w:rsidRPr="00AA7DF5">
        <w:rPr>
          <w:b/>
          <w:i/>
          <w:szCs w:val="24"/>
          <w:lang w:eastAsia="en-US"/>
        </w:rPr>
        <w:t>9</w:t>
      </w:r>
      <w:r w:rsidR="00C55521"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No artigo 13.º é inserido o seguinte número:</w:t>
      </w:r>
    </w:p>
    <w:p w14:paraId="096482E3" w14:textId="3FF2593D" w:rsidR="002E0FC5" w:rsidRPr="00AA7DF5" w:rsidRDefault="002E0FC5" w:rsidP="002E0FC5">
      <w:pPr>
        <w:spacing w:before="120" w:after="120" w:line="360" w:lineRule="auto"/>
        <w:ind w:left="1416" w:hanging="566"/>
        <w:rPr>
          <w:b/>
          <w:szCs w:val="24"/>
          <w:lang w:eastAsia="en-US"/>
        </w:rPr>
      </w:pPr>
      <w:r w:rsidRPr="00AA7DF5">
        <w:rPr>
          <w:szCs w:val="24"/>
          <w:lang w:eastAsia="en-US"/>
        </w:rPr>
        <w:t>«</w:t>
      </w:r>
      <w:r w:rsidRPr="00AA7DF5">
        <w:rPr>
          <w:b/>
          <w:i/>
          <w:szCs w:val="24"/>
          <w:lang w:eastAsia="en-US"/>
        </w:rPr>
        <w:t>4-A.</w:t>
      </w:r>
      <w:r w:rsidRPr="00AA7DF5">
        <w:rPr>
          <w:szCs w:val="24"/>
          <w:lang w:eastAsia="en-US"/>
        </w:rPr>
        <w:tab/>
      </w:r>
      <w:r w:rsidRPr="00AA7DF5">
        <w:rPr>
          <w:b/>
          <w:i/>
          <w:szCs w:val="24"/>
          <w:lang w:eastAsia="en-US"/>
        </w:rPr>
        <w:t>A Comissão rejeita os planos de gestão das bacias hidrográficas apresentados pelos Estados‑Membros quando estes planos não incluírem os elementos enumerados no anexo VII.</w:t>
      </w:r>
      <w:r w:rsidRPr="00AA7DF5">
        <w:rPr>
          <w:szCs w:val="24"/>
          <w:lang w:eastAsia="en-US"/>
        </w:rPr>
        <w:t>»</w:t>
      </w:r>
      <w:r w:rsidR="00C55521" w:rsidRPr="00AA7DF5">
        <w:rPr>
          <w:b/>
          <w:szCs w:val="24"/>
          <w:lang w:eastAsia="en-US"/>
        </w:rPr>
        <w:t xml:space="preserve"> [Alt. 72]</w:t>
      </w:r>
    </w:p>
    <w:p w14:paraId="3FF14AA9" w14:textId="77777777" w:rsidR="00C55521" w:rsidRPr="00AA7DF5" w:rsidRDefault="00C55521">
      <w:pPr>
        <w:widowControl/>
        <w:rPr>
          <w:b/>
          <w:i/>
          <w:szCs w:val="24"/>
          <w:lang w:eastAsia="en-US"/>
        </w:rPr>
      </w:pPr>
      <w:r w:rsidRPr="00AA7DF5">
        <w:rPr>
          <w:b/>
          <w:i/>
          <w:szCs w:val="24"/>
          <w:lang w:eastAsia="en-US"/>
        </w:rPr>
        <w:br w:type="page"/>
      </w:r>
    </w:p>
    <w:p w14:paraId="6FFDEABF" w14:textId="69318570"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9</w:t>
      </w:r>
      <w:r w:rsidR="00C55521"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É inserido o seguinte artigo:</w:t>
      </w:r>
    </w:p>
    <w:p w14:paraId="7B2388A2" w14:textId="77777777"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14.º-A</w:t>
      </w:r>
      <w:r w:rsidRPr="00AA7DF5">
        <w:rPr>
          <w:szCs w:val="24"/>
          <w:lang w:eastAsia="en-US"/>
        </w:rPr>
        <w:br/>
      </w:r>
      <w:r w:rsidRPr="00AA7DF5">
        <w:rPr>
          <w:b/>
          <w:i/>
          <w:szCs w:val="24"/>
          <w:lang w:eastAsia="en-US"/>
        </w:rPr>
        <w:t>Acesso à justiça</w:t>
      </w:r>
    </w:p>
    <w:p w14:paraId="1D3DBABF"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1.</w:t>
      </w:r>
      <w:r w:rsidRPr="00AA7DF5">
        <w:rPr>
          <w:szCs w:val="24"/>
          <w:lang w:eastAsia="en-US"/>
        </w:rPr>
        <w:tab/>
      </w:r>
      <w:r w:rsidRPr="00AA7DF5">
        <w:rPr>
          <w:b/>
          <w:i/>
          <w:szCs w:val="24"/>
          <w:lang w:eastAsia="en-US"/>
        </w:rPr>
        <w:t>Os Estados‑Membros devem assegurar que os membros do público, de acordo com o direito nacional, que tenham interesse suficiente ou que invoquem a violação de um direito possam interpor recurso junto de um tribunal ou outro órgão independente e imparcial criado por lei, a fim de impugnar a legalidade material ou processual de todas as decisões, atos ou omissões nos termos da presente diretiva, entre outros:</w:t>
      </w:r>
    </w:p>
    <w:p w14:paraId="6431E9A8" w14:textId="77777777" w:rsidR="002E0FC5" w:rsidRPr="00AA7DF5" w:rsidRDefault="002E0FC5" w:rsidP="002E0FC5">
      <w:pPr>
        <w:spacing w:before="120" w:after="120" w:line="360" w:lineRule="auto"/>
        <w:ind w:left="1982" w:hanging="566"/>
        <w:rPr>
          <w:szCs w:val="24"/>
          <w:lang w:eastAsia="en-US"/>
        </w:rPr>
      </w:pPr>
      <w:r w:rsidRPr="00AA7DF5">
        <w:rPr>
          <w:b/>
          <w:i/>
          <w:szCs w:val="24"/>
          <w:lang w:eastAsia="en-US"/>
        </w:rPr>
        <w:t>a)</w:t>
      </w:r>
      <w:r w:rsidRPr="00AA7DF5">
        <w:rPr>
          <w:szCs w:val="24"/>
          <w:lang w:eastAsia="en-US"/>
        </w:rPr>
        <w:tab/>
      </w:r>
      <w:r w:rsidRPr="00AA7DF5">
        <w:rPr>
          <w:b/>
          <w:i/>
          <w:szCs w:val="24"/>
          <w:lang w:eastAsia="en-US"/>
        </w:rPr>
        <w:t>Planos e projetos que possam ser contrários aos requisitos do artigo 4.º, inclusivamente para evitar a deterioração do estado das massas de água e alcançar um bom estado da água, um bom potencial ecológico e/ou um bom estado químico da água, na medida em que tais requisitos ainda não estejam previstos no artigo 11.º da Diretiva 2011/92/UE;</w:t>
      </w:r>
    </w:p>
    <w:p w14:paraId="29C6FE5C" w14:textId="77777777" w:rsidR="00C55521" w:rsidRPr="00AA7DF5" w:rsidRDefault="00C55521">
      <w:pPr>
        <w:widowControl/>
        <w:rPr>
          <w:b/>
          <w:i/>
          <w:szCs w:val="24"/>
          <w:lang w:eastAsia="en-US"/>
        </w:rPr>
      </w:pPr>
      <w:r w:rsidRPr="00AA7DF5">
        <w:rPr>
          <w:b/>
          <w:i/>
          <w:szCs w:val="24"/>
          <w:lang w:eastAsia="en-US"/>
        </w:rPr>
        <w:br w:type="page"/>
      </w:r>
    </w:p>
    <w:p w14:paraId="69DDBBAE" w14:textId="4C0D0008" w:rsidR="002E0FC5" w:rsidRPr="00AA7DF5" w:rsidRDefault="002E0FC5" w:rsidP="002E0FC5">
      <w:pPr>
        <w:spacing w:before="120" w:after="120" w:line="360" w:lineRule="auto"/>
        <w:ind w:left="1982" w:hanging="566"/>
        <w:rPr>
          <w:szCs w:val="24"/>
          <w:lang w:eastAsia="en-US"/>
        </w:rPr>
      </w:pPr>
      <w:r w:rsidRPr="00AA7DF5">
        <w:rPr>
          <w:b/>
          <w:i/>
          <w:szCs w:val="24"/>
          <w:lang w:eastAsia="en-US"/>
        </w:rPr>
        <w:lastRenderedPageBreak/>
        <w:t>b)</w:t>
      </w:r>
      <w:r w:rsidRPr="00AA7DF5">
        <w:rPr>
          <w:szCs w:val="24"/>
          <w:lang w:eastAsia="en-US"/>
        </w:rPr>
        <w:tab/>
      </w:r>
      <w:r w:rsidRPr="00AA7DF5">
        <w:rPr>
          <w:b/>
          <w:i/>
          <w:szCs w:val="24"/>
          <w:lang w:eastAsia="en-US"/>
        </w:rPr>
        <w:t>Programas de medidas a que se refere o artigo 11.º, planos de gestão das bacias hidrográficas dos Estados‑Membros a que se refere o artigo 13.º, n.º 1, e planos de gestão ou programas complementares dos Estados‑Membros a que se refere o artigo 13.º, n.º 5.</w:t>
      </w:r>
    </w:p>
    <w:p w14:paraId="7A75E064"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2.</w:t>
      </w:r>
      <w:r w:rsidRPr="00AA7DF5">
        <w:rPr>
          <w:szCs w:val="24"/>
          <w:lang w:eastAsia="en-US"/>
        </w:rPr>
        <w:tab/>
      </w:r>
      <w:r w:rsidRPr="00AA7DF5">
        <w:rPr>
          <w:b/>
          <w:i/>
          <w:szCs w:val="24"/>
          <w:lang w:eastAsia="en-US"/>
        </w:rPr>
        <w:t>Cabe aos Estados‑Membros determinar o que constitui um interesse suficiente e a violação de um direito, de uma forma que seja coerente com o objetivo de proporcionar ao público um amplo acesso à justiça. Para efeitos do n.º 1, considera‑se que todas as organizações não governamentais que promovem a proteção do ambiente e cumprem os requisitos pertinentes previstos no direito nacional têm direitos passíveis de violação e que o seu interesse é suficiente.</w:t>
      </w:r>
    </w:p>
    <w:p w14:paraId="172E68E5"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3.</w:t>
      </w:r>
      <w:r w:rsidRPr="00AA7DF5">
        <w:rPr>
          <w:szCs w:val="24"/>
          <w:lang w:eastAsia="en-US"/>
        </w:rPr>
        <w:tab/>
      </w:r>
      <w:r w:rsidRPr="00AA7DF5">
        <w:rPr>
          <w:b/>
          <w:i/>
          <w:szCs w:val="24"/>
          <w:lang w:eastAsia="en-US"/>
        </w:rPr>
        <w:t>Os processos de recurso a que se refere o n.º 1 devem ser justos, equitativos e concluídos de forma atempada, e não podem ser exageradamente dispendiosos. Estes processos devem também implicar que se proporcionem vias de recurso adequadas e eficazes, incluindo, se necessário, medidas inibitórias.</w:t>
      </w:r>
    </w:p>
    <w:p w14:paraId="203826D5" w14:textId="77777777" w:rsidR="00C55521" w:rsidRPr="00AA7DF5" w:rsidRDefault="00C55521">
      <w:pPr>
        <w:widowControl/>
        <w:rPr>
          <w:b/>
          <w:i/>
          <w:szCs w:val="24"/>
          <w:lang w:eastAsia="en-US"/>
        </w:rPr>
      </w:pPr>
      <w:r w:rsidRPr="00AA7DF5">
        <w:rPr>
          <w:b/>
          <w:i/>
          <w:szCs w:val="24"/>
          <w:lang w:eastAsia="en-US"/>
        </w:rPr>
        <w:br w:type="page"/>
      </w:r>
    </w:p>
    <w:p w14:paraId="6A7AE9BD" w14:textId="7E49593D" w:rsidR="002E0FC5" w:rsidRPr="00AA7DF5" w:rsidRDefault="002E0FC5" w:rsidP="002E0FC5">
      <w:pPr>
        <w:spacing w:before="120" w:after="120" w:line="360" w:lineRule="auto"/>
        <w:ind w:left="1416" w:hanging="566"/>
        <w:rPr>
          <w:b/>
          <w:szCs w:val="24"/>
          <w:lang w:eastAsia="en-US"/>
        </w:rPr>
      </w:pPr>
      <w:r w:rsidRPr="00AA7DF5">
        <w:rPr>
          <w:b/>
          <w:i/>
          <w:szCs w:val="24"/>
          <w:lang w:eastAsia="en-US"/>
        </w:rPr>
        <w:lastRenderedPageBreak/>
        <w:t>4.</w:t>
      </w:r>
      <w:r w:rsidRPr="00AA7DF5">
        <w:rPr>
          <w:szCs w:val="24"/>
          <w:lang w:eastAsia="en-US"/>
        </w:rPr>
        <w:tab/>
      </w:r>
      <w:r w:rsidRPr="00AA7DF5">
        <w:rPr>
          <w:b/>
          <w:i/>
          <w:szCs w:val="24"/>
          <w:lang w:eastAsia="en-US"/>
        </w:rPr>
        <w:t>Os Estados‑Membros devem garantir que sejam postas à disposição do público informações práticas relativas ao acesso aos processos de recurso administrativo e judicial referidos no presente artigo.</w:t>
      </w:r>
      <w:r w:rsidRPr="00AA7DF5">
        <w:rPr>
          <w:szCs w:val="24"/>
          <w:lang w:eastAsia="en-US"/>
        </w:rPr>
        <w:t>»</w:t>
      </w:r>
      <w:r w:rsidR="00C55521" w:rsidRPr="00AA7DF5">
        <w:rPr>
          <w:b/>
          <w:szCs w:val="24"/>
          <w:lang w:eastAsia="en-US"/>
        </w:rPr>
        <w:t xml:space="preserve"> [Alt. 73]</w:t>
      </w:r>
    </w:p>
    <w:p w14:paraId="0865DB9E" w14:textId="24461126" w:rsidR="002E0FC5" w:rsidRPr="00AA7DF5" w:rsidRDefault="002E0FC5" w:rsidP="002E0FC5">
      <w:pPr>
        <w:spacing w:before="120" w:after="120" w:line="360" w:lineRule="auto"/>
        <w:ind w:left="850" w:hanging="850"/>
        <w:rPr>
          <w:b/>
          <w:szCs w:val="24"/>
          <w:lang w:eastAsia="en-US"/>
        </w:rPr>
      </w:pPr>
      <w:r w:rsidRPr="00AA7DF5">
        <w:rPr>
          <w:strike/>
          <w:szCs w:val="24"/>
          <w:lang w:eastAsia="en-US"/>
        </w:rPr>
        <w:t>10)</w:t>
      </w:r>
      <w:r w:rsidRPr="00AA7DF5">
        <w:rPr>
          <w:szCs w:val="24"/>
          <w:lang w:eastAsia="en-US"/>
        </w:rPr>
        <w:tab/>
      </w:r>
      <w:r w:rsidRPr="00AA7DF5">
        <w:rPr>
          <w:strike/>
          <w:szCs w:val="24"/>
          <w:lang w:eastAsia="en-US"/>
        </w:rPr>
        <w:t>No artigo 15.º, é suprimido o n.º 3;</w:t>
      </w:r>
      <w:r w:rsidR="00C55521" w:rsidRPr="00AA7DF5">
        <w:rPr>
          <w:b/>
          <w:szCs w:val="24"/>
          <w:lang w:eastAsia="en-US"/>
        </w:rPr>
        <w:t xml:space="preserve"> [Alt. 74]</w:t>
      </w:r>
    </w:p>
    <w:p w14:paraId="46A6FBB6" w14:textId="2BD90403" w:rsidR="002E0FC5" w:rsidRPr="00AA7DF5" w:rsidRDefault="002E0FC5" w:rsidP="002E0FC5">
      <w:pPr>
        <w:spacing w:before="120" w:after="120" w:line="360" w:lineRule="auto"/>
        <w:ind w:left="850" w:hanging="850"/>
        <w:rPr>
          <w:szCs w:val="24"/>
          <w:lang w:eastAsia="en-US"/>
        </w:rPr>
      </w:pPr>
      <w:r w:rsidRPr="00AA7DF5">
        <w:rPr>
          <w:b/>
          <w:i/>
          <w:szCs w:val="24"/>
          <w:lang w:eastAsia="en-US"/>
        </w:rPr>
        <w:t>10</w:t>
      </w:r>
      <w:r w:rsidR="00C55521"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Ao artigo 15.º, n.º 3, é aditado o seguinte parágrafo:</w:t>
      </w:r>
    </w:p>
    <w:p w14:paraId="0F13619E" w14:textId="208C00E9" w:rsidR="002E0FC5" w:rsidRPr="00AA7DF5" w:rsidRDefault="002E0FC5" w:rsidP="002E0FC5">
      <w:pPr>
        <w:spacing w:before="120" w:after="120" w:line="360" w:lineRule="auto"/>
        <w:ind w:left="850"/>
        <w:rPr>
          <w:b/>
          <w:szCs w:val="24"/>
          <w:lang w:eastAsia="en-US"/>
        </w:rPr>
      </w:pPr>
      <w:r w:rsidRPr="00AA7DF5">
        <w:rPr>
          <w:szCs w:val="24"/>
          <w:lang w:eastAsia="en-US"/>
        </w:rPr>
        <w:t>«</w:t>
      </w:r>
      <w:r w:rsidRPr="00AA7DF5">
        <w:rPr>
          <w:b/>
          <w:i/>
          <w:szCs w:val="24"/>
          <w:lang w:eastAsia="en-US"/>
        </w:rPr>
        <w:t>A Comissão deve adotar orientações e modelos relativos ao conteúdo, à estrutura e ao formato dos relatórios intercalares referidos no primeiro parágrafo, o mais tardar [seis meses após a data de entrada em vigor da presente diretiva].</w:t>
      </w:r>
      <w:r w:rsidRPr="00AA7DF5">
        <w:rPr>
          <w:szCs w:val="24"/>
          <w:lang w:eastAsia="en-US"/>
        </w:rPr>
        <w:t>»</w:t>
      </w:r>
      <w:r w:rsidR="00C55521" w:rsidRPr="00AA7DF5">
        <w:rPr>
          <w:b/>
          <w:szCs w:val="24"/>
          <w:lang w:eastAsia="en-US"/>
        </w:rPr>
        <w:t xml:space="preserve"> [Alt. 75]</w:t>
      </w:r>
    </w:p>
    <w:p w14:paraId="75949E7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11)</w:t>
      </w:r>
      <w:r w:rsidRPr="00AA7DF5">
        <w:rPr>
          <w:szCs w:val="24"/>
          <w:lang w:eastAsia="en-US"/>
        </w:rPr>
        <w:tab/>
        <w:t>São suprimidos os artigos 16.º e 17.º;</w:t>
      </w:r>
    </w:p>
    <w:p w14:paraId="61906B03"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12)</w:t>
      </w:r>
      <w:r w:rsidRPr="00AA7DF5">
        <w:rPr>
          <w:szCs w:val="24"/>
          <w:lang w:eastAsia="en-US"/>
        </w:rPr>
        <w:tab/>
        <w:t>O artigo 18.º é alterado do seguinte modo:</w:t>
      </w:r>
    </w:p>
    <w:p w14:paraId="7C66310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No n.º 2, a alínea e) passa a ter a seguinte redação:</w:t>
      </w:r>
    </w:p>
    <w:p w14:paraId="77739256" w14:textId="3F7BB743" w:rsidR="002E0FC5" w:rsidRPr="00AA7DF5" w:rsidRDefault="002E0FC5" w:rsidP="002E0FC5">
      <w:pPr>
        <w:spacing w:before="120" w:after="120" w:line="360" w:lineRule="auto"/>
        <w:ind w:left="1982" w:hanging="566"/>
        <w:rPr>
          <w:szCs w:val="24"/>
          <w:lang w:eastAsia="en-US"/>
        </w:rPr>
      </w:pPr>
      <w:r w:rsidRPr="00AA7DF5">
        <w:rPr>
          <w:szCs w:val="24"/>
          <w:lang w:eastAsia="en-US"/>
        </w:rPr>
        <w:t>«e)</w:t>
      </w:r>
      <w:r w:rsidRPr="00AA7DF5">
        <w:rPr>
          <w:szCs w:val="24"/>
          <w:lang w:eastAsia="en-US"/>
        </w:rPr>
        <w:tab/>
        <w:t>Um resumo das propostas, medidas de controlo e estratégias de controlo da poluição química ou de cessação ou eliminação faseada de substâncias perigosas;»</w:t>
      </w:r>
    </w:p>
    <w:p w14:paraId="27C1E175" w14:textId="03283D53" w:rsidR="002E0FC5" w:rsidRPr="00AA7DF5" w:rsidRDefault="002E0FC5" w:rsidP="002E0FC5">
      <w:pPr>
        <w:spacing w:before="120" w:after="120" w:line="360" w:lineRule="auto"/>
        <w:ind w:left="1416" w:hanging="566"/>
        <w:rPr>
          <w:b/>
          <w:szCs w:val="24"/>
          <w:lang w:eastAsia="en-US"/>
        </w:rPr>
      </w:pPr>
      <w:r w:rsidRPr="00AA7DF5">
        <w:rPr>
          <w:strike/>
          <w:szCs w:val="24"/>
          <w:lang w:eastAsia="en-US"/>
        </w:rPr>
        <w:t>b)</w:t>
      </w:r>
      <w:r w:rsidRPr="00AA7DF5">
        <w:rPr>
          <w:szCs w:val="24"/>
          <w:lang w:eastAsia="en-US"/>
        </w:rPr>
        <w:tab/>
      </w:r>
      <w:r w:rsidRPr="00AA7DF5">
        <w:rPr>
          <w:strike/>
          <w:szCs w:val="24"/>
          <w:lang w:eastAsia="en-US"/>
        </w:rPr>
        <w:t>É suprimido o n.º 4;</w:t>
      </w:r>
      <w:r w:rsidR="00C55521" w:rsidRPr="00AA7DF5">
        <w:rPr>
          <w:b/>
          <w:szCs w:val="24"/>
          <w:lang w:eastAsia="en-US"/>
        </w:rPr>
        <w:t xml:space="preserve"> [Alt. 76]</w:t>
      </w:r>
    </w:p>
    <w:p w14:paraId="6286B4BB" w14:textId="77777777" w:rsidR="00C55521" w:rsidRPr="00AA7DF5" w:rsidRDefault="00C55521">
      <w:pPr>
        <w:widowControl/>
        <w:rPr>
          <w:szCs w:val="24"/>
          <w:lang w:eastAsia="en-US"/>
        </w:rPr>
      </w:pPr>
      <w:r w:rsidRPr="00AA7DF5">
        <w:rPr>
          <w:szCs w:val="24"/>
          <w:lang w:eastAsia="en-US"/>
        </w:rPr>
        <w:br w:type="page"/>
      </w:r>
    </w:p>
    <w:p w14:paraId="53F314DA" w14:textId="39C55626"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13)</w:t>
      </w:r>
      <w:r w:rsidRPr="00AA7DF5">
        <w:rPr>
          <w:szCs w:val="24"/>
          <w:lang w:eastAsia="en-US"/>
        </w:rPr>
        <w:tab/>
        <w:t>O artigo 20.º passa a ter a seguinte redação:</w:t>
      </w:r>
    </w:p>
    <w:p w14:paraId="2F73D6BF"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20.º</w:t>
      </w:r>
    </w:p>
    <w:p w14:paraId="0A023847" w14:textId="77777777" w:rsidR="002E0FC5" w:rsidRPr="00AA7DF5" w:rsidRDefault="002E0FC5" w:rsidP="002E0FC5">
      <w:pPr>
        <w:spacing w:before="120" w:after="120" w:line="360" w:lineRule="auto"/>
        <w:ind w:left="850"/>
        <w:rPr>
          <w:szCs w:val="24"/>
          <w:lang w:eastAsia="en-US"/>
        </w:rPr>
      </w:pPr>
      <w:r w:rsidRPr="00AA7DF5">
        <w:rPr>
          <w:szCs w:val="24"/>
          <w:lang w:eastAsia="en-US"/>
        </w:rPr>
        <w:t>Adaptações técnicas e execução da presente diretiva</w:t>
      </w:r>
    </w:p>
    <w:p w14:paraId="1235BBEF"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A Comissão fica habilitada a adotar atos delegados nos termos do artigo 20.º-A para alterar os anexos I e III e o anexo V, secção 1.3.6, a fim de adaptar os requisitos de informação relacionados com as autoridades competentes, o teor da análise económica e as normas de monitorização selecionadas ao progresso científico e técnico.</w:t>
      </w:r>
    </w:p>
    <w:p w14:paraId="327785E2"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A Comissão fica habilitada a adotar atos delegados nos termos do artigo 20.º-A para completar a presente diretiva no que diz respeito à determinação dos valores estabelecidos para as classificações dos sistemas de monitorização dos Estados-Membros em conformidade com o procedimento de intercalibração estabelecido no anexo V, ponto 1.4.1.</w:t>
      </w:r>
    </w:p>
    <w:p w14:paraId="2E580293"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A Comissão fica habilitada a adotar atos de execução para estabelecer os modelos técnicos destinados à transmissão dos dados a que se refere o artigo 8.º, n.º 4. Esses atos de execução são adotados pelo procedimento de exame a que se refere o artigo 21.º, n.º 2. Ao estabelecer esses modelos, a Comissão é assistida, se necessário, pela EEA;»</w:t>
      </w:r>
    </w:p>
    <w:p w14:paraId="44A9E5B6" w14:textId="77777777" w:rsidR="0048284C" w:rsidRPr="00AA7DF5" w:rsidRDefault="0048284C">
      <w:pPr>
        <w:widowControl/>
        <w:rPr>
          <w:szCs w:val="24"/>
          <w:lang w:eastAsia="en-US"/>
        </w:rPr>
      </w:pPr>
      <w:r w:rsidRPr="00AA7DF5">
        <w:rPr>
          <w:szCs w:val="24"/>
          <w:lang w:eastAsia="en-US"/>
        </w:rPr>
        <w:br w:type="page"/>
      </w:r>
    </w:p>
    <w:p w14:paraId="01678238" w14:textId="3628574D"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14)</w:t>
      </w:r>
      <w:r w:rsidRPr="00AA7DF5">
        <w:rPr>
          <w:szCs w:val="24"/>
          <w:lang w:eastAsia="en-US"/>
        </w:rPr>
        <w:tab/>
        <w:t>É inserido o seguinte artigo 20.º-A:</w:t>
      </w:r>
    </w:p>
    <w:p w14:paraId="7AFB5663"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20.º-A</w:t>
      </w:r>
    </w:p>
    <w:p w14:paraId="172E0F13" w14:textId="77777777" w:rsidR="002E0FC5" w:rsidRPr="00AA7DF5" w:rsidRDefault="002E0FC5" w:rsidP="002E0FC5">
      <w:pPr>
        <w:spacing w:before="120" w:after="120" w:line="360" w:lineRule="auto"/>
        <w:ind w:left="850"/>
        <w:rPr>
          <w:szCs w:val="24"/>
          <w:lang w:eastAsia="en-US"/>
        </w:rPr>
      </w:pPr>
      <w:r w:rsidRPr="00AA7DF5">
        <w:rPr>
          <w:szCs w:val="24"/>
          <w:lang w:eastAsia="en-US"/>
        </w:rPr>
        <w:t>Exercício da delegação</w:t>
      </w:r>
    </w:p>
    <w:p w14:paraId="5D051BB3"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O poder de adotar atos delegados é conferido à Comissão nas condições estabelecidas no presente artigo.</w:t>
      </w:r>
    </w:p>
    <w:p w14:paraId="28048D0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O poder de adotar atos delegados a que se refere o artigo 20.º, n.º 1, é conferido à Comissão por tempo indeterminado a contar de [Serviço das Publicações: inserir a data de entrada em vigor da presente diretiva].</w:t>
      </w:r>
    </w:p>
    <w:p w14:paraId="51A307B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 xml:space="preserve">A delegação de poderes a que se refere o artigo 20.º, n.º 1, pode ser revogada em qualquer momento pelo Parlamento Europeu e pelo Conselho. A decisão de revogação põe termo à delegação dos poderes nela especificados. A decisão de revogação produz efeitos a partir do dia seguinte ao da sua publicação no </w:t>
      </w:r>
      <w:r w:rsidRPr="00AA7DF5">
        <w:rPr>
          <w:i/>
          <w:szCs w:val="24"/>
          <w:lang w:eastAsia="en-US"/>
        </w:rPr>
        <w:t>Jornal Oficial da União Europeia</w:t>
      </w:r>
      <w:r w:rsidRPr="00AA7DF5">
        <w:rPr>
          <w:szCs w:val="24"/>
          <w:lang w:eastAsia="en-US"/>
        </w:rPr>
        <w:t xml:space="preserve"> ou de uma data posterior nela especificada. A decisão de revogação não prejudica a validade dos atos delegados já em vigor.</w:t>
      </w:r>
    </w:p>
    <w:p w14:paraId="1F789CD1" w14:textId="77777777" w:rsidR="0048284C" w:rsidRPr="00AA7DF5" w:rsidRDefault="0048284C">
      <w:pPr>
        <w:widowControl/>
        <w:rPr>
          <w:szCs w:val="24"/>
          <w:lang w:eastAsia="en-US"/>
        </w:rPr>
      </w:pPr>
      <w:r w:rsidRPr="00AA7DF5">
        <w:rPr>
          <w:szCs w:val="24"/>
          <w:lang w:eastAsia="en-US"/>
        </w:rPr>
        <w:br w:type="page"/>
      </w:r>
    </w:p>
    <w:p w14:paraId="766B6D23" w14:textId="44DE4E8F"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4.</w:t>
      </w:r>
      <w:r w:rsidRPr="00AA7DF5">
        <w:rPr>
          <w:szCs w:val="24"/>
          <w:lang w:eastAsia="en-US"/>
        </w:rPr>
        <w:tab/>
        <w:t>Antes de adotar um ato delegado, a Comissão consulta os peritos designados por cada Estado-Membro de acordo com os princípios estabelecidos no Acordo Interinstitucional sobre legislar melhor de 13 de abril de 2016.</w:t>
      </w:r>
    </w:p>
    <w:p w14:paraId="1246D55F"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5.</w:t>
      </w:r>
      <w:r w:rsidRPr="00AA7DF5">
        <w:rPr>
          <w:szCs w:val="24"/>
          <w:lang w:eastAsia="en-US"/>
        </w:rPr>
        <w:tab/>
        <w:t>Assim que adotar um ato delegado, a Comissão notifica-o simultaneamente ao Parlamento Europeu e ao Conselho.</w:t>
      </w:r>
    </w:p>
    <w:p w14:paraId="4274688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6.</w:t>
      </w:r>
      <w:r w:rsidRPr="00AA7DF5">
        <w:rPr>
          <w:szCs w:val="24"/>
          <w:lang w:eastAsia="en-US"/>
        </w:rPr>
        <w:tab/>
        <w:t>Os atos delegados adotados nos termos do artigo 20.º, n.º 1,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p w14:paraId="2A2931E6" w14:textId="77777777" w:rsidR="0048284C" w:rsidRPr="00AA7DF5" w:rsidRDefault="0048284C">
      <w:pPr>
        <w:widowControl/>
        <w:rPr>
          <w:szCs w:val="24"/>
          <w:lang w:eastAsia="en-US"/>
        </w:rPr>
      </w:pPr>
      <w:r w:rsidRPr="00AA7DF5">
        <w:rPr>
          <w:szCs w:val="24"/>
          <w:lang w:eastAsia="en-US"/>
        </w:rPr>
        <w:br w:type="page"/>
      </w:r>
    </w:p>
    <w:p w14:paraId="06DA62FA" w14:textId="7124C1BC"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15)</w:t>
      </w:r>
      <w:r w:rsidRPr="00AA7DF5">
        <w:rPr>
          <w:szCs w:val="24"/>
          <w:lang w:eastAsia="en-US"/>
        </w:rPr>
        <w:tab/>
        <w:t>O artigo 21.º passa a ter a seguinte redação:</w:t>
      </w:r>
    </w:p>
    <w:p w14:paraId="0313CE31"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21.º</w:t>
      </w:r>
    </w:p>
    <w:p w14:paraId="29D9D836" w14:textId="77777777" w:rsidR="002E0FC5" w:rsidRPr="00AA7DF5" w:rsidRDefault="002E0FC5" w:rsidP="002E0FC5">
      <w:pPr>
        <w:spacing w:before="120" w:after="120" w:line="360" w:lineRule="auto"/>
        <w:ind w:left="850"/>
        <w:rPr>
          <w:szCs w:val="24"/>
          <w:lang w:eastAsia="en-US"/>
        </w:rPr>
      </w:pPr>
      <w:r w:rsidRPr="00AA7DF5">
        <w:rPr>
          <w:szCs w:val="24"/>
          <w:lang w:eastAsia="en-US"/>
        </w:rPr>
        <w:t>Procedimento de comité</w:t>
      </w:r>
    </w:p>
    <w:p w14:paraId="2548621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A Comissão é assistida por um comité. O referido comité é um comité na aceção do Regulamento (UE) n.º 182/2011 do Parlamento Europeu e do Conselho*.</w:t>
      </w:r>
    </w:p>
    <w:p w14:paraId="64E8E2DA"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Caso se remeta para o presente número, aplica-se o artigo 5.º do Regulamento (UE) n.º 182/2011.</w:t>
      </w:r>
    </w:p>
    <w:p w14:paraId="5553A9C0" w14:textId="77777777" w:rsidR="002E0FC5" w:rsidRPr="00AA7DF5" w:rsidRDefault="002E0FC5" w:rsidP="002E0FC5">
      <w:pPr>
        <w:spacing w:before="120" w:after="120" w:line="360" w:lineRule="auto"/>
        <w:ind w:left="1416"/>
        <w:rPr>
          <w:szCs w:val="24"/>
          <w:lang w:eastAsia="en-US"/>
        </w:rPr>
      </w:pPr>
      <w:r w:rsidRPr="00AA7DF5">
        <w:rPr>
          <w:szCs w:val="24"/>
          <w:lang w:eastAsia="en-US"/>
        </w:rPr>
        <w:t>Na falta de parecer do comité, a Comissão não adota o projeto de ato de execução, aplicando-se o artigo 5.º, n.º 4, terceiro parágrafo, do Regulamento (UE) n.º 182/2011.</w:t>
      </w:r>
    </w:p>
    <w:p w14:paraId="05A3FB74" w14:textId="77777777" w:rsidR="002E0FC5" w:rsidRPr="00AA7DF5" w:rsidRDefault="002E0FC5" w:rsidP="002E0FC5">
      <w:pPr>
        <w:spacing w:before="120" w:after="120" w:line="360" w:lineRule="auto"/>
        <w:ind w:left="1416"/>
        <w:rPr>
          <w:szCs w:val="24"/>
          <w:lang w:eastAsia="en-US"/>
        </w:rPr>
      </w:pPr>
      <w:r w:rsidRPr="00AA7DF5">
        <w:rPr>
          <w:szCs w:val="24"/>
          <w:lang w:eastAsia="en-US"/>
        </w:rPr>
        <w:t>*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p w14:paraId="115E76D1" w14:textId="77777777" w:rsidR="0048284C" w:rsidRPr="00AA7DF5" w:rsidRDefault="0048284C">
      <w:pPr>
        <w:widowControl/>
        <w:rPr>
          <w:szCs w:val="24"/>
          <w:lang w:eastAsia="en-US"/>
        </w:rPr>
      </w:pPr>
      <w:r w:rsidRPr="00AA7DF5">
        <w:rPr>
          <w:szCs w:val="24"/>
          <w:lang w:eastAsia="en-US"/>
        </w:rPr>
        <w:br w:type="page"/>
      </w:r>
    </w:p>
    <w:p w14:paraId="7EF2364D" w14:textId="096C0DEA"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16)</w:t>
      </w:r>
      <w:r w:rsidRPr="00AA7DF5">
        <w:rPr>
          <w:szCs w:val="24"/>
          <w:lang w:eastAsia="en-US"/>
        </w:rPr>
        <w:tab/>
        <w:t>No artigo 22.º, o n.º 4 passa a ter a seguinte redação:</w:t>
      </w:r>
    </w:p>
    <w:p w14:paraId="2D1A2BC6" w14:textId="08326CD2" w:rsidR="002E0FC5" w:rsidRPr="00AA7DF5" w:rsidRDefault="002E0FC5" w:rsidP="002E0FC5">
      <w:pPr>
        <w:spacing w:before="120" w:after="120" w:line="360" w:lineRule="auto"/>
        <w:ind w:left="1416" w:hanging="566"/>
        <w:rPr>
          <w:szCs w:val="24"/>
          <w:lang w:eastAsia="en-US"/>
        </w:rPr>
      </w:pPr>
      <w:r w:rsidRPr="00AA7DF5">
        <w:rPr>
          <w:szCs w:val="24"/>
          <w:lang w:eastAsia="en-US"/>
        </w:rPr>
        <w:t>«4.</w:t>
      </w:r>
      <w:r w:rsidRPr="00AA7DF5">
        <w:rPr>
          <w:szCs w:val="24"/>
          <w:lang w:eastAsia="en-US"/>
        </w:rPr>
        <w:tab/>
        <w:t>Os objetivos ambientais referidos no artigo 4.º, as normas de qualidade ambiental estabelecidas no anexo I, parte A, da Diretiva 2008/105/CE e os limiares para os poluentes específicos das bacias hidrográficas estabelecidos nos termos dos artigos 8.º e 8.º-D dessa diretiva são considerados normas de qualidade ambiental para efeitos da Diretiva 2010/75/UE.»</w:t>
      </w:r>
      <w:r w:rsidR="0048284C" w:rsidRPr="00AA7DF5">
        <w:rPr>
          <w:szCs w:val="24"/>
          <w:lang w:eastAsia="en-US"/>
        </w:rPr>
        <w:t>;</w:t>
      </w:r>
    </w:p>
    <w:p w14:paraId="600E11E3"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17)</w:t>
      </w:r>
      <w:r w:rsidRPr="00AA7DF5">
        <w:rPr>
          <w:szCs w:val="24"/>
          <w:lang w:eastAsia="en-US"/>
        </w:rPr>
        <w:tab/>
        <w:t>O anexo V é alterado em conformidade com o anexo I da presente diretiva;</w:t>
      </w:r>
    </w:p>
    <w:p w14:paraId="16D10BD5"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18)</w:t>
      </w:r>
      <w:r w:rsidRPr="00AA7DF5">
        <w:rPr>
          <w:szCs w:val="24"/>
          <w:lang w:eastAsia="en-US"/>
        </w:rPr>
        <w:tab/>
        <w:t>No anexo VII, parte A, o ponto 7.7 passa a ter a seguinte redação:</w:t>
      </w:r>
    </w:p>
    <w:p w14:paraId="6CBFA01A" w14:textId="118561D9" w:rsidR="002E0FC5" w:rsidRPr="00AA7DF5" w:rsidRDefault="002E0FC5" w:rsidP="002E0FC5">
      <w:pPr>
        <w:spacing w:before="120" w:after="120" w:line="360" w:lineRule="auto"/>
        <w:ind w:left="1416" w:hanging="566"/>
        <w:rPr>
          <w:szCs w:val="24"/>
          <w:lang w:eastAsia="en-US"/>
        </w:rPr>
      </w:pPr>
      <w:r w:rsidRPr="00AA7DF5">
        <w:rPr>
          <w:szCs w:val="24"/>
          <w:lang w:eastAsia="en-US"/>
        </w:rPr>
        <w:t>«7.7.</w:t>
      </w:r>
      <w:r w:rsidRPr="00AA7DF5">
        <w:rPr>
          <w:szCs w:val="24"/>
          <w:lang w:eastAsia="en-US"/>
        </w:rPr>
        <w:tab/>
        <w:t>Um resumo das medidas tomadas para reduzir as emissões de substâncias prioritárias e eliminar faseadamente as emissões de substâncias perigosas prioritárias;»</w:t>
      </w:r>
    </w:p>
    <w:p w14:paraId="0E6DE85B" w14:textId="45078617" w:rsidR="002E0FC5" w:rsidRPr="00AA7DF5" w:rsidRDefault="002E0FC5" w:rsidP="002E0FC5">
      <w:pPr>
        <w:spacing w:before="120" w:after="120" w:line="360" w:lineRule="auto"/>
        <w:ind w:left="850" w:hanging="850"/>
        <w:rPr>
          <w:szCs w:val="24"/>
          <w:lang w:eastAsia="en-US"/>
        </w:rPr>
      </w:pPr>
      <w:r w:rsidRPr="00AA7DF5">
        <w:rPr>
          <w:b/>
          <w:i/>
          <w:szCs w:val="24"/>
          <w:lang w:eastAsia="en-US"/>
        </w:rPr>
        <w:t>18</w:t>
      </w:r>
      <w:r w:rsidR="0048284C"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No Anexo VII, parte A, é inserido o seguinte ponto:</w:t>
      </w:r>
    </w:p>
    <w:p w14:paraId="2977958B" w14:textId="49DB6B90" w:rsidR="002E0FC5" w:rsidRPr="00AA7DF5" w:rsidRDefault="002E0FC5" w:rsidP="002E0FC5">
      <w:pPr>
        <w:spacing w:before="120" w:after="120" w:line="360" w:lineRule="auto"/>
        <w:ind w:left="1416" w:hanging="566"/>
        <w:rPr>
          <w:szCs w:val="24"/>
          <w:lang w:eastAsia="en-US"/>
        </w:rPr>
      </w:pPr>
      <w:r w:rsidRPr="00AA7DF5">
        <w:rPr>
          <w:szCs w:val="24"/>
          <w:lang w:eastAsia="en-US"/>
        </w:rPr>
        <w:t>«</w:t>
      </w:r>
      <w:r w:rsidRPr="00AA7DF5">
        <w:rPr>
          <w:b/>
          <w:i/>
          <w:szCs w:val="24"/>
          <w:lang w:eastAsia="en-US"/>
        </w:rPr>
        <w:t>7.7‑A.</w:t>
      </w:r>
      <w:r w:rsidR="0048284C" w:rsidRPr="00AA7DF5">
        <w:rPr>
          <w:b/>
          <w:i/>
          <w:szCs w:val="24"/>
          <w:lang w:eastAsia="en-US"/>
        </w:rPr>
        <w:tab/>
      </w:r>
      <w:r w:rsidRPr="00AA7DF5">
        <w:rPr>
          <w:b/>
          <w:i/>
          <w:szCs w:val="24"/>
          <w:lang w:eastAsia="en-US"/>
        </w:rPr>
        <w:t>Um resumo das medidas tomadas para digitalizar os aspetos relacionados com a monitorização do setor da água;»</w:t>
      </w:r>
      <w:r w:rsidR="0048284C" w:rsidRPr="00AA7DF5">
        <w:rPr>
          <w:b/>
          <w:szCs w:val="24"/>
          <w:lang w:eastAsia="en-US"/>
        </w:rPr>
        <w:t xml:space="preserve"> [Alt. 77]</w:t>
      </w:r>
    </w:p>
    <w:p w14:paraId="6BB0CEF5"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19)</w:t>
      </w:r>
      <w:r w:rsidRPr="00AA7DF5">
        <w:rPr>
          <w:szCs w:val="24"/>
          <w:lang w:eastAsia="en-US"/>
        </w:rPr>
        <w:tab/>
        <w:t>O anexo VIII é alterado em conformidade com o anexo II da presente diretiva;</w:t>
      </w:r>
    </w:p>
    <w:p w14:paraId="7900888F" w14:textId="1BAC46E0" w:rsidR="002E0FC5" w:rsidRPr="00AA7DF5" w:rsidRDefault="002E0FC5" w:rsidP="002E0FC5">
      <w:pPr>
        <w:spacing w:before="120" w:after="120" w:line="360" w:lineRule="auto"/>
        <w:ind w:left="850" w:hanging="850"/>
        <w:rPr>
          <w:b/>
          <w:szCs w:val="24"/>
          <w:lang w:eastAsia="en-US"/>
        </w:rPr>
      </w:pPr>
      <w:r w:rsidRPr="00AA7DF5">
        <w:rPr>
          <w:szCs w:val="24"/>
          <w:lang w:eastAsia="en-US"/>
        </w:rPr>
        <w:t>20)</w:t>
      </w:r>
      <w:r w:rsidRPr="00AA7DF5">
        <w:rPr>
          <w:szCs w:val="24"/>
          <w:lang w:eastAsia="en-US"/>
        </w:rPr>
        <w:tab/>
      </w:r>
      <w:r w:rsidRPr="00AA7DF5">
        <w:rPr>
          <w:strike/>
          <w:szCs w:val="24"/>
          <w:lang w:eastAsia="en-US"/>
        </w:rPr>
        <w:t xml:space="preserve">É suprimido o </w:t>
      </w:r>
      <w:proofErr w:type="spellStart"/>
      <w:r w:rsidRPr="00AA7DF5">
        <w:rPr>
          <w:strike/>
          <w:szCs w:val="24"/>
          <w:lang w:eastAsia="en-US"/>
        </w:rPr>
        <w:t>anexo</w:t>
      </w:r>
      <w:r w:rsidRPr="00AA7DF5">
        <w:rPr>
          <w:b/>
          <w:i/>
          <w:szCs w:val="24"/>
          <w:lang w:eastAsia="en-US"/>
        </w:rPr>
        <w:t>São</w:t>
      </w:r>
      <w:proofErr w:type="spellEnd"/>
      <w:r w:rsidRPr="00AA7DF5">
        <w:rPr>
          <w:b/>
          <w:i/>
          <w:szCs w:val="24"/>
          <w:lang w:eastAsia="en-US"/>
        </w:rPr>
        <w:t xml:space="preserve"> suprimidos os anexos IX e</w:t>
      </w:r>
      <w:r w:rsidRPr="00AA7DF5">
        <w:rPr>
          <w:szCs w:val="24"/>
          <w:lang w:eastAsia="en-US"/>
        </w:rPr>
        <w:t xml:space="preserve"> X.</w:t>
      </w:r>
      <w:r w:rsidR="0048284C" w:rsidRPr="00AA7DF5">
        <w:rPr>
          <w:b/>
          <w:szCs w:val="24"/>
          <w:lang w:eastAsia="en-US"/>
        </w:rPr>
        <w:t xml:space="preserve"> [Alt. 78]</w:t>
      </w:r>
    </w:p>
    <w:p w14:paraId="7F834A27" w14:textId="77777777" w:rsidR="0048284C" w:rsidRPr="00AA7DF5" w:rsidRDefault="0048284C">
      <w:pPr>
        <w:widowControl/>
        <w:rPr>
          <w:szCs w:val="24"/>
          <w:lang w:eastAsia="en-US"/>
        </w:rPr>
      </w:pPr>
      <w:r w:rsidRPr="00AA7DF5">
        <w:rPr>
          <w:szCs w:val="24"/>
          <w:lang w:eastAsia="en-US"/>
        </w:rPr>
        <w:br w:type="page"/>
      </w:r>
    </w:p>
    <w:p w14:paraId="2483C405" w14:textId="3B27C37C" w:rsidR="002E0FC5" w:rsidRPr="00AA7DF5" w:rsidRDefault="002E0FC5" w:rsidP="002E0FC5">
      <w:pPr>
        <w:spacing w:before="120" w:after="120" w:line="360" w:lineRule="auto"/>
        <w:jc w:val="center"/>
        <w:rPr>
          <w:szCs w:val="24"/>
          <w:lang w:eastAsia="en-US"/>
        </w:rPr>
      </w:pPr>
      <w:r w:rsidRPr="00AA7DF5">
        <w:rPr>
          <w:szCs w:val="24"/>
          <w:lang w:eastAsia="en-US"/>
        </w:rPr>
        <w:lastRenderedPageBreak/>
        <w:t>Artigo 2.º</w:t>
      </w:r>
      <w:r w:rsidRPr="00AA7DF5">
        <w:rPr>
          <w:szCs w:val="24"/>
          <w:lang w:eastAsia="en-US"/>
        </w:rPr>
        <w:br/>
        <w:t>Alterações da Diretiva 2006/118/CE</w:t>
      </w:r>
    </w:p>
    <w:p w14:paraId="6E03C736" w14:textId="77777777" w:rsidR="002E0FC5" w:rsidRPr="00AA7DF5" w:rsidRDefault="002E0FC5" w:rsidP="002E0FC5">
      <w:pPr>
        <w:spacing w:before="120" w:after="120" w:line="360" w:lineRule="auto"/>
        <w:rPr>
          <w:szCs w:val="24"/>
          <w:lang w:eastAsia="en-US"/>
        </w:rPr>
      </w:pPr>
      <w:r w:rsidRPr="00AA7DF5">
        <w:rPr>
          <w:szCs w:val="24"/>
          <w:lang w:eastAsia="en-US"/>
        </w:rPr>
        <w:t>A Diretiva 2006/118/CE é alterada do seguinte modo:</w:t>
      </w:r>
    </w:p>
    <w:p w14:paraId="21FE42D4"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O título passa a ter a seguinte redação:</w:t>
      </w:r>
    </w:p>
    <w:p w14:paraId="32567B2F" w14:textId="77777777" w:rsidR="002E0FC5" w:rsidRPr="00AA7DF5" w:rsidRDefault="002E0FC5" w:rsidP="002E0FC5">
      <w:pPr>
        <w:spacing w:before="120" w:after="120" w:line="360" w:lineRule="auto"/>
        <w:ind w:left="850"/>
        <w:rPr>
          <w:szCs w:val="24"/>
          <w:lang w:eastAsia="en-US"/>
        </w:rPr>
      </w:pPr>
      <w:r w:rsidRPr="00AA7DF5">
        <w:rPr>
          <w:szCs w:val="24"/>
          <w:lang w:eastAsia="en-US"/>
        </w:rPr>
        <w:t>«Diretiva 2006/118/CE do Parlamento Europeu e do Conselho, de 12 de dezembro de 2006, relativa à prevenção e controlo da poluição das águas subterrâneas;»</w:t>
      </w:r>
    </w:p>
    <w:p w14:paraId="3AC08E72"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w:t>
      </w:r>
      <w:r w:rsidRPr="00AA7DF5">
        <w:rPr>
          <w:szCs w:val="24"/>
          <w:lang w:eastAsia="en-US"/>
        </w:rPr>
        <w:tab/>
        <w:t>No artigo 1.º, o n.º 1 passa a ter a seguinte redação:</w:t>
      </w:r>
    </w:p>
    <w:p w14:paraId="08257320" w14:textId="2081D98F" w:rsidR="002E0FC5" w:rsidRPr="00AA7DF5" w:rsidRDefault="002E0FC5" w:rsidP="002E0FC5">
      <w:pPr>
        <w:spacing w:before="120" w:after="120" w:line="360" w:lineRule="auto"/>
        <w:ind w:left="1416" w:hanging="566"/>
        <w:rPr>
          <w:b/>
          <w:szCs w:val="24"/>
          <w:lang w:eastAsia="en-US"/>
        </w:rPr>
      </w:pPr>
      <w:r w:rsidRPr="00AA7DF5">
        <w:rPr>
          <w:szCs w:val="24"/>
          <w:lang w:eastAsia="en-US"/>
        </w:rPr>
        <w:t>«1.</w:t>
      </w:r>
      <w:r w:rsidRPr="00AA7DF5">
        <w:rPr>
          <w:szCs w:val="24"/>
          <w:lang w:eastAsia="en-US"/>
        </w:rPr>
        <w:tab/>
        <w:t xml:space="preserve">A presente diretiva estabelece medidas específicas para prevenir e controlar a poluição das águas subterrâneas com vista à consecução dos objetivos ambientais estabelecidos no artigo 4.º, n.º 1, alínea b), da Diretiva 2000/60/CE. </w:t>
      </w:r>
      <w:r w:rsidRPr="00AA7DF5">
        <w:rPr>
          <w:b/>
          <w:i/>
          <w:szCs w:val="24"/>
          <w:lang w:eastAsia="en-US"/>
        </w:rPr>
        <w:t xml:space="preserve">A hierarquização das medidas a tomar deve dar prioridade às restrições e a outras medidas de controlo na fonte, sem prejuízo da importância de medidas de último recurso, se for caso disso. </w:t>
      </w:r>
      <w:r w:rsidRPr="00AA7DF5">
        <w:rPr>
          <w:szCs w:val="24"/>
          <w:lang w:eastAsia="en-US"/>
        </w:rPr>
        <w:t>Essas medidas incluem:</w:t>
      </w:r>
      <w:r w:rsidR="006F6994" w:rsidRPr="00AA7DF5">
        <w:rPr>
          <w:b/>
          <w:szCs w:val="24"/>
          <w:lang w:eastAsia="en-US"/>
        </w:rPr>
        <w:t xml:space="preserve"> [Alt. 79]</w:t>
      </w:r>
    </w:p>
    <w:p w14:paraId="1FBE3F96"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Critérios para a avaliação do bom estado químico das águas subterrâneas;</w:t>
      </w:r>
    </w:p>
    <w:p w14:paraId="132EE103" w14:textId="77777777" w:rsidR="006F6994" w:rsidRPr="00AA7DF5" w:rsidRDefault="006F6994">
      <w:pPr>
        <w:widowControl/>
        <w:rPr>
          <w:szCs w:val="24"/>
          <w:lang w:eastAsia="en-US"/>
        </w:rPr>
      </w:pPr>
      <w:r w:rsidRPr="00AA7DF5">
        <w:rPr>
          <w:szCs w:val="24"/>
          <w:lang w:eastAsia="en-US"/>
        </w:rPr>
        <w:br w:type="page"/>
      </w:r>
    </w:p>
    <w:p w14:paraId="609A105E" w14:textId="09B58152"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b)</w:t>
      </w:r>
      <w:r w:rsidRPr="00AA7DF5">
        <w:rPr>
          <w:szCs w:val="24"/>
          <w:lang w:eastAsia="en-US"/>
        </w:rPr>
        <w:tab/>
        <w:t>Critérios para a identificação e a inversão de tendências significativas e persistentes para o aumento das concentrações de poluentes e para a definição dos pontos de partida para a inversão dessas tendências.;</w:t>
      </w:r>
    </w:p>
    <w:p w14:paraId="1172CCCE" w14:textId="01BA4FDA" w:rsidR="002E0FC5" w:rsidRPr="00AA7DF5" w:rsidRDefault="002E0FC5" w:rsidP="002E0FC5">
      <w:pPr>
        <w:spacing w:before="120" w:after="120" w:line="360" w:lineRule="auto"/>
        <w:ind w:left="1982" w:hanging="566"/>
        <w:rPr>
          <w:b/>
          <w:szCs w:val="24"/>
          <w:lang w:eastAsia="en-US"/>
        </w:rPr>
      </w:pPr>
      <w:proofErr w:type="spellStart"/>
      <w:r w:rsidRPr="00AA7DF5">
        <w:rPr>
          <w:b/>
          <w:i/>
          <w:szCs w:val="24"/>
          <w:lang w:eastAsia="en-US"/>
        </w:rPr>
        <w:t>b</w:t>
      </w:r>
      <w:r w:rsidR="006F6994" w:rsidRPr="00AA7DF5">
        <w:rPr>
          <w:b/>
          <w:i/>
          <w:szCs w:val="24"/>
          <w:lang w:eastAsia="en-US"/>
        </w:rPr>
        <w:t>-A</w:t>
      </w:r>
      <w:proofErr w:type="spellEnd"/>
      <w:r w:rsidRPr="00AA7DF5">
        <w:rPr>
          <w:b/>
          <w:i/>
          <w:szCs w:val="24"/>
          <w:lang w:eastAsia="en-US"/>
        </w:rPr>
        <w:t>)</w:t>
      </w:r>
      <w:r w:rsidRPr="00AA7DF5">
        <w:rPr>
          <w:szCs w:val="24"/>
          <w:lang w:eastAsia="en-US"/>
        </w:rPr>
        <w:tab/>
      </w:r>
      <w:r w:rsidRPr="00AA7DF5">
        <w:rPr>
          <w:b/>
          <w:i/>
          <w:szCs w:val="24"/>
          <w:lang w:eastAsia="en-US"/>
        </w:rPr>
        <w:t>Critérios para avaliar o bom estado ecológico das águas subterrâneas.</w:t>
      </w:r>
      <w:r w:rsidRPr="00AA7DF5">
        <w:rPr>
          <w:szCs w:val="24"/>
          <w:lang w:eastAsia="en-US"/>
        </w:rPr>
        <w:t>»</w:t>
      </w:r>
      <w:r w:rsidR="006F6994" w:rsidRPr="00AA7DF5">
        <w:rPr>
          <w:b/>
          <w:szCs w:val="24"/>
          <w:lang w:eastAsia="en-US"/>
        </w:rPr>
        <w:t xml:space="preserve"> [Alt. 80]</w:t>
      </w:r>
    </w:p>
    <w:p w14:paraId="7C27A877"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3)</w:t>
      </w:r>
      <w:r w:rsidRPr="00AA7DF5">
        <w:rPr>
          <w:szCs w:val="24"/>
          <w:lang w:eastAsia="en-US"/>
        </w:rPr>
        <w:tab/>
        <w:t>No artigo 2.º, o ponto 2) passa a ter a seguinte redação:</w:t>
      </w:r>
    </w:p>
    <w:p w14:paraId="1876CED3" w14:textId="63961E2F"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«Limiar», a norma de qualidade das águas subterrâneas estabelecida pelos Estados-Membros em conformidade com o artigo 3.º, n.º 1, alínea b), ou a nível da União em conformidade com o artigo 8.º, n.º 3;»</w:t>
      </w:r>
    </w:p>
    <w:p w14:paraId="20E9363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4)</w:t>
      </w:r>
      <w:r w:rsidRPr="00AA7DF5">
        <w:rPr>
          <w:szCs w:val="24"/>
          <w:lang w:eastAsia="en-US"/>
        </w:rPr>
        <w:tab/>
        <w:t>O artigo 3.º é alterado do seguinte modo:</w:t>
      </w:r>
    </w:p>
    <w:p w14:paraId="2DD1B359"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No n.º 1, segundo parágrafo, é inserida a seguinte alínea c):</w:t>
      </w:r>
    </w:p>
    <w:p w14:paraId="60DA2F3A"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«c)</w:t>
      </w:r>
      <w:r w:rsidRPr="00AA7DF5">
        <w:rPr>
          <w:szCs w:val="24"/>
          <w:lang w:eastAsia="en-US"/>
        </w:rPr>
        <w:tab/>
        <w:t>Limiares estabelecidos a nível da União em conformidade com o artigo 8.º, n.º 3, e enumerados no Anexo II, Parte D, da presente diretiva.;»</w:t>
      </w:r>
    </w:p>
    <w:p w14:paraId="4195B07B" w14:textId="77777777" w:rsidR="006F6994" w:rsidRPr="00AA7DF5" w:rsidRDefault="006F6994">
      <w:pPr>
        <w:widowControl/>
        <w:rPr>
          <w:b/>
          <w:i/>
          <w:szCs w:val="24"/>
          <w:lang w:eastAsia="en-US"/>
        </w:rPr>
      </w:pPr>
      <w:r w:rsidRPr="00AA7DF5">
        <w:rPr>
          <w:b/>
          <w:i/>
          <w:szCs w:val="24"/>
          <w:lang w:eastAsia="en-US"/>
        </w:rPr>
        <w:br w:type="page"/>
      </w:r>
    </w:p>
    <w:p w14:paraId="2D52B25E" w14:textId="1110CF90" w:rsidR="002E0FC5" w:rsidRPr="00AA7DF5" w:rsidRDefault="002E0FC5" w:rsidP="002E0FC5">
      <w:pPr>
        <w:spacing w:before="120" w:after="120" w:line="360" w:lineRule="auto"/>
        <w:ind w:left="1416" w:hanging="566"/>
        <w:rPr>
          <w:szCs w:val="24"/>
          <w:lang w:eastAsia="en-US"/>
        </w:rPr>
      </w:pPr>
      <w:proofErr w:type="spellStart"/>
      <w:r w:rsidRPr="00AA7DF5">
        <w:rPr>
          <w:b/>
          <w:i/>
          <w:szCs w:val="24"/>
          <w:lang w:eastAsia="en-US"/>
        </w:rPr>
        <w:lastRenderedPageBreak/>
        <w:t>a</w:t>
      </w:r>
      <w:r w:rsidR="006F6994" w:rsidRPr="00AA7DF5">
        <w:rPr>
          <w:b/>
          <w:i/>
          <w:szCs w:val="24"/>
          <w:lang w:eastAsia="en-US"/>
        </w:rPr>
        <w:t>-A</w:t>
      </w:r>
      <w:proofErr w:type="spellEnd"/>
      <w:r w:rsidRPr="00AA7DF5">
        <w:rPr>
          <w:b/>
          <w:i/>
          <w:szCs w:val="24"/>
          <w:lang w:eastAsia="en-US"/>
        </w:rPr>
        <w:t>)</w:t>
      </w:r>
      <w:r w:rsidRPr="00AA7DF5">
        <w:rPr>
          <w:szCs w:val="24"/>
          <w:lang w:eastAsia="en-US"/>
        </w:rPr>
        <w:tab/>
      </w:r>
      <w:r w:rsidRPr="00AA7DF5">
        <w:rPr>
          <w:b/>
          <w:i/>
          <w:szCs w:val="24"/>
          <w:lang w:eastAsia="en-US"/>
        </w:rPr>
        <w:t>Ao n.º 1 é aditado o seguinte parágrafo:</w:t>
      </w:r>
    </w:p>
    <w:p w14:paraId="58918202" w14:textId="1CB1CA6D" w:rsidR="002E0FC5" w:rsidRPr="00AA7DF5" w:rsidRDefault="002E0FC5" w:rsidP="002E0FC5">
      <w:pPr>
        <w:spacing w:before="120" w:after="120" w:line="360" w:lineRule="auto"/>
        <w:ind w:left="1416"/>
        <w:rPr>
          <w:b/>
          <w:szCs w:val="24"/>
          <w:lang w:eastAsia="en-US"/>
        </w:rPr>
      </w:pPr>
      <w:r w:rsidRPr="00AA7DF5">
        <w:rPr>
          <w:szCs w:val="24"/>
          <w:lang w:eastAsia="en-US"/>
        </w:rPr>
        <w:t>«</w:t>
      </w:r>
      <w:r w:rsidRPr="00AA7DF5">
        <w:rPr>
          <w:b/>
          <w:i/>
          <w:szCs w:val="24"/>
          <w:lang w:eastAsia="en-US"/>
        </w:rPr>
        <w:t>Os limiares aplicáveis às águas subterrâneas devem ser dez vezes inferiores às NQA correspondentes para as massas de água de superfície, exceto nos casos em que o risco real para os ecossistemas de águas subterrâneas possa ser determinado, casos em que poderá ser adequado fixar os limiares para as águas subterrâneas num nível diferente.</w:t>
      </w:r>
      <w:r w:rsidRPr="00AA7DF5">
        <w:rPr>
          <w:szCs w:val="24"/>
          <w:lang w:eastAsia="en-US"/>
        </w:rPr>
        <w:t>»</w:t>
      </w:r>
      <w:r w:rsidR="006F6994" w:rsidRPr="00AA7DF5">
        <w:rPr>
          <w:b/>
          <w:szCs w:val="24"/>
          <w:lang w:eastAsia="en-US"/>
        </w:rPr>
        <w:t xml:space="preserve"> [Alt. 81]</w:t>
      </w:r>
    </w:p>
    <w:p w14:paraId="613579F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O n.º 2 passa a ter a seguinte redação:</w:t>
      </w:r>
    </w:p>
    <w:p w14:paraId="5B94E081"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«2.</w:t>
      </w:r>
      <w:r w:rsidRPr="00AA7DF5">
        <w:rPr>
          <w:szCs w:val="24"/>
          <w:lang w:eastAsia="en-US"/>
        </w:rPr>
        <w:tab/>
        <w:t>Os limiares a que se refere o n.º 1, alínea b), podem ser estabelecidos a nível nacional, a nível da região hidrográfica ou da parte da região hidrográfica internacional situada no território de um Estado-Membro, ou a nível da massa ou grupo de massas de águas subterrâneas.;»</w:t>
      </w:r>
    </w:p>
    <w:p w14:paraId="47128263" w14:textId="77777777" w:rsidR="006F6994" w:rsidRPr="00AA7DF5" w:rsidRDefault="006F6994">
      <w:pPr>
        <w:widowControl/>
        <w:rPr>
          <w:szCs w:val="24"/>
          <w:lang w:eastAsia="en-US"/>
        </w:rPr>
      </w:pPr>
      <w:r w:rsidRPr="00AA7DF5">
        <w:rPr>
          <w:szCs w:val="24"/>
          <w:lang w:eastAsia="en-US"/>
        </w:rPr>
        <w:br w:type="page"/>
      </w:r>
    </w:p>
    <w:p w14:paraId="7975A4A7" w14:textId="6BAF81C6"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c)</w:t>
      </w:r>
      <w:r w:rsidRPr="00AA7DF5">
        <w:rPr>
          <w:szCs w:val="24"/>
          <w:lang w:eastAsia="en-US"/>
        </w:rPr>
        <w:tab/>
        <w:t>O n.º 5 passa a ter a seguinte redação:</w:t>
      </w:r>
    </w:p>
    <w:p w14:paraId="313A9B2C"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«5.</w:t>
      </w:r>
      <w:r w:rsidRPr="00AA7DF5">
        <w:rPr>
          <w:szCs w:val="24"/>
          <w:lang w:eastAsia="en-US"/>
        </w:rPr>
        <w:tab/>
        <w:t>Todos os limiares a que se refere o n.º 1 devem ser publicados nos planos de gestão das bacias hidrográficas elaborados nos termos do artigo 13.º da Diretiva 2000/60/CE, juntamente com um resumo das informações estabelecidas no Anexo II, Parte C, da presente diretiva.</w:t>
      </w:r>
    </w:p>
    <w:p w14:paraId="305FAE3E" w14:textId="2C20FABD" w:rsidR="002E0FC5" w:rsidRPr="00AA7DF5" w:rsidRDefault="002E0FC5" w:rsidP="002E0FC5">
      <w:pPr>
        <w:spacing w:before="120" w:after="120" w:line="360" w:lineRule="auto"/>
        <w:ind w:left="1982"/>
        <w:rPr>
          <w:szCs w:val="24"/>
          <w:lang w:eastAsia="en-US"/>
        </w:rPr>
      </w:pPr>
      <w:r w:rsidRPr="00AA7DF5">
        <w:rPr>
          <w:szCs w:val="24"/>
          <w:lang w:eastAsia="en-US"/>
        </w:rPr>
        <w:t>Os Estados-Membros devem informar a Agência Europeia dos Produtos Químicos (ECHA), até [Serviço das Publicações: inserir a data correspondente ao primeiro dia do mês seguinte a 18 meses após a data de entrada em vigor da presente diretiva], dos limiares nacionais a que se refere o n.º 1, alínea b). A ECHA deve disponibilizar essas informações ao público.</w:t>
      </w:r>
      <w:r w:rsidR="006F6994" w:rsidRPr="00AA7DF5">
        <w:rPr>
          <w:szCs w:val="24"/>
          <w:lang w:eastAsia="en-US"/>
        </w:rPr>
        <w:t>»</w:t>
      </w:r>
      <w:r w:rsidRPr="00AA7DF5">
        <w:rPr>
          <w:szCs w:val="24"/>
          <w:lang w:eastAsia="en-US"/>
        </w:rPr>
        <w:t>;</w:t>
      </w:r>
    </w:p>
    <w:p w14:paraId="656E19EE" w14:textId="0BD26B2E" w:rsidR="006F6994" w:rsidRPr="00AA7DF5" w:rsidRDefault="006F6994" w:rsidP="00AA7DF5">
      <w:pPr>
        <w:spacing w:before="120" w:after="120" w:line="360" w:lineRule="auto"/>
        <w:ind w:left="1982" w:hanging="1131"/>
        <w:rPr>
          <w:b/>
          <w:i/>
          <w:szCs w:val="24"/>
          <w:lang w:eastAsia="en-US"/>
        </w:rPr>
      </w:pPr>
      <w:proofErr w:type="spellStart"/>
      <w:r w:rsidRPr="00AA7DF5">
        <w:rPr>
          <w:b/>
          <w:i/>
          <w:szCs w:val="24"/>
          <w:lang w:eastAsia="en-US"/>
        </w:rPr>
        <w:t>c-A</w:t>
      </w:r>
      <w:proofErr w:type="spellEnd"/>
      <w:r w:rsidRPr="00AA7DF5">
        <w:rPr>
          <w:b/>
          <w:i/>
          <w:szCs w:val="24"/>
          <w:lang w:eastAsia="en-US"/>
        </w:rPr>
        <w:t>)</w:t>
      </w:r>
      <w:r w:rsidRPr="00AA7DF5">
        <w:rPr>
          <w:b/>
          <w:i/>
          <w:szCs w:val="24"/>
          <w:lang w:eastAsia="en-US"/>
        </w:rPr>
        <w:tab/>
        <w:t>N</w:t>
      </w:r>
      <w:r w:rsidR="002E0FC5" w:rsidRPr="00AA7DF5">
        <w:rPr>
          <w:b/>
          <w:i/>
          <w:szCs w:val="24"/>
          <w:lang w:eastAsia="en-US"/>
        </w:rPr>
        <w:t xml:space="preserve">o n.º 5 é </w:t>
      </w:r>
      <w:r w:rsidRPr="00AA7DF5">
        <w:rPr>
          <w:b/>
          <w:i/>
          <w:szCs w:val="24"/>
          <w:lang w:eastAsia="en-US"/>
        </w:rPr>
        <w:t xml:space="preserve">inserido </w:t>
      </w:r>
      <w:r w:rsidR="002E0FC5" w:rsidRPr="00AA7DF5">
        <w:rPr>
          <w:b/>
          <w:i/>
          <w:szCs w:val="24"/>
          <w:lang w:eastAsia="en-US"/>
        </w:rPr>
        <w:t xml:space="preserve">o seguinte parágrafo:  </w:t>
      </w:r>
    </w:p>
    <w:p w14:paraId="61AC5065" w14:textId="226674DE" w:rsidR="002E0FC5" w:rsidRPr="00AA7DF5" w:rsidRDefault="002E0FC5" w:rsidP="002E0FC5">
      <w:pPr>
        <w:spacing w:before="120" w:after="120" w:line="360" w:lineRule="auto"/>
        <w:ind w:left="1982"/>
        <w:rPr>
          <w:szCs w:val="24"/>
          <w:lang w:eastAsia="en-US"/>
        </w:rPr>
      </w:pPr>
      <w:r w:rsidRPr="00AA7DF5">
        <w:rPr>
          <w:b/>
          <w:i/>
          <w:szCs w:val="24"/>
          <w:lang w:eastAsia="en-US"/>
        </w:rPr>
        <w:t>«Os Estados‑Membros asseguram que os residentes da região hidrográfica em causa ou da parte da região hidrográfica internacional situada no território de um Estado‑Membro sejam devida e atempadamente informados.».</w:t>
      </w:r>
      <w:r w:rsidR="006F6994" w:rsidRPr="00AA7DF5">
        <w:rPr>
          <w:b/>
          <w:szCs w:val="24"/>
          <w:lang w:eastAsia="en-US"/>
        </w:rPr>
        <w:t xml:space="preserve"> [Alt. 82]</w:t>
      </w:r>
    </w:p>
    <w:p w14:paraId="2AD48709" w14:textId="77777777" w:rsidR="006F6994" w:rsidRPr="00AA7DF5" w:rsidRDefault="006F6994">
      <w:pPr>
        <w:widowControl/>
        <w:rPr>
          <w:szCs w:val="24"/>
          <w:lang w:eastAsia="en-US"/>
        </w:rPr>
      </w:pPr>
      <w:r w:rsidRPr="00AA7DF5">
        <w:rPr>
          <w:szCs w:val="24"/>
          <w:lang w:eastAsia="en-US"/>
        </w:rPr>
        <w:br w:type="page"/>
      </w:r>
    </w:p>
    <w:p w14:paraId="2A9524A9" w14:textId="1E2C76C1"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d)</w:t>
      </w:r>
      <w:r w:rsidRPr="00AA7DF5">
        <w:rPr>
          <w:szCs w:val="24"/>
          <w:lang w:eastAsia="en-US"/>
        </w:rPr>
        <w:tab/>
        <w:t>No n.º 6, o primeiro parágrafo passa a ter a seguinte redação:</w:t>
      </w:r>
    </w:p>
    <w:p w14:paraId="36AC2570" w14:textId="7464C6B7" w:rsidR="002E0FC5" w:rsidRPr="00AA7DF5" w:rsidRDefault="002E0FC5" w:rsidP="002E0FC5">
      <w:pPr>
        <w:spacing w:before="120" w:after="120" w:line="360" w:lineRule="auto"/>
        <w:ind w:left="1416"/>
        <w:rPr>
          <w:b/>
          <w:szCs w:val="24"/>
          <w:lang w:eastAsia="en-US"/>
        </w:rPr>
      </w:pPr>
      <w:r w:rsidRPr="00AA7DF5">
        <w:rPr>
          <w:szCs w:val="24"/>
          <w:lang w:eastAsia="en-US"/>
        </w:rPr>
        <w:t>«Os Estados-Membros devem alterar a lista de limiares aplicada nos seus territórios sempre que novas informações sobre poluentes, grupos de poluentes ou indicadores de poluição</w:t>
      </w:r>
      <w:r w:rsidRPr="00AA7DF5">
        <w:rPr>
          <w:b/>
          <w:i/>
          <w:szCs w:val="24"/>
          <w:lang w:eastAsia="en-US"/>
        </w:rPr>
        <w:t>, e levando igualmente em conta o princípio da precaução,</w:t>
      </w:r>
      <w:r w:rsidRPr="00AA7DF5">
        <w:rPr>
          <w:szCs w:val="24"/>
          <w:lang w:eastAsia="en-US"/>
        </w:rPr>
        <w:t xml:space="preserve"> indicarem que se deve estabelecer um limiar para uma substância suplementar, que um limiar existente deve ser alterado ou que um limiar anteriormente suprimido da lista deve ser reinserido. Se os limiares pertinentes forem estabelecidos ou alterados a nível da União, os Estados-Membros devem adaptar a lista de limiares aplicados nos seus territórios a esses valores.;»</w:t>
      </w:r>
      <w:r w:rsidR="006F6994" w:rsidRPr="00AA7DF5">
        <w:rPr>
          <w:b/>
          <w:szCs w:val="24"/>
          <w:lang w:eastAsia="en-US"/>
        </w:rPr>
        <w:t xml:space="preserve"> [Alt. 83]</w:t>
      </w:r>
    </w:p>
    <w:p w14:paraId="0524FC74" w14:textId="4F9E221E" w:rsidR="002E0FC5" w:rsidRPr="00AA7DF5" w:rsidRDefault="006F6994" w:rsidP="002E0FC5">
      <w:pPr>
        <w:spacing w:before="120" w:after="120" w:line="360" w:lineRule="auto"/>
        <w:ind w:left="850" w:hanging="850"/>
        <w:rPr>
          <w:szCs w:val="24"/>
          <w:lang w:eastAsia="en-US"/>
        </w:rPr>
      </w:pPr>
      <w:r w:rsidRPr="00AA7DF5">
        <w:rPr>
          <w:b/>
          <w:i/>
          <w:szCs w:val="24"/>
          <w:lang w:eastAsia="en-US"/>
        </w:rPr>
        <w:t>e</w:t>
      </w:r>
      <w:r w:rsidR="002E0FC5" w:rsidRPr="00AA7DF5">
        <w:rPr>
          <w:b/>
          <w:i/>
          <w:szCs w:val="24"/>
          <w:lang w:eastAsia="en-US"/>
        </w:rPr>
        <w:t>)</w:t>
      </w:r>
      <w:r w:rsidR="002E0FC5" w:rsidRPr="00AA7DF5">
        <w:rPr>
          <w:szCs w:val="24"/>
          <w:lang w:eastAsia="en-US"/>
        </w:rPr>
        <w:tab/>
      </w:r>
      <w:r w:rsidR="002E0FC5" w:rsidRPr="00AA7DF5">
        <w:rPr>
          <w:b/>
          <w:i/>
          <w:szCs w:val="24"/>
          <w:lang w:eastAsia="en-US"/>
        </w:rPr>
        <w:t>O n.º 7 passa a ter a seguinte redação:</w:t>
      </w:r>
    </w:p>
    <w:p w14:paraId="76F59B8B" w14:textId="008FBEF4" w:rsidR="002E0FC5" w:rsidRPr="00AA7DF5" w:rsidRDefault="002E0FC5" w:rsidP="002E0FC5">
      <w:pPr>
        <w:spacing w:before="120" w:after="120" w:line="360" w:lineRule="auto"/>
        <w:ind w:left="1416" w:hanging="566"/>
        <w:rPr>
          <w:szCs w:val="24"/>
          <w:lang w:eastAsia="en-US"/>
        </w:rPr>
      </w:pPr>
      <w:r w:rsidRPr="00AA7DF5">
        <w:rPr>
          <w:szCs w:val="24"/>
          <w:lang w:eastAsia="en-US"/>
        </w:rPr>
        <w:t>«</w:t>
      </w:r>
      <w:r w:rsidRPr="00AA7DF5">
        <w:rPr>
          <w:b/>
          <w:i/>
          <w:szCs w:val="24"/>
          <w:lang w:eastAsia="en-US"/>
        </w:rPr>
        <w:t>7.</w:t>
      </w:r>
      <w:r w:rsidRPr="00AA7DF5">
        <w:rPr>
          <w:szCs w:val="24"/>
          <w:lang w:eastAsia="en-US"/>
        </w:rPr>
        <w:tab/>
      </w:r>
      <w:r w:rsidRPr="00AA7DF5">
        <w:rPr>
          <w:b/>
          <w:i/>
          <w:szCs w:val="24"/>
          <w:lang w:eastAsia="en-US"/>
        </w:rPr>
        <w:t>A Comissão deve publicar um relatório sobre os limiares nacionais referidos no n.º 1, alínea b), um ano após os Estados‑Membros facultarem essa informação à ECHA em conformidade com o n.º 5.»</w:t>
      </w:r>
      <w:r w:rsidR="006F6994" w:rsidRPr="00AA7DF5">
        <w:rPr>
          <w:b/>
          <w:szCs w:val="24"/>
          <w:lang w:eastAsia="en-US"/>
        </w:rPr>
        <w:t xml:space="preserve"> [Alt. 84]</w:t>
      </w:r>
    </w:p>
    <w:p w14:paraId="3BC58F8D" w14:textId="77777777" w:rsidR="006F6994" w:rsidRPr="00AA7DF5" w:rsidRDefault="006F6994">
      <w:pPr>
        <w:widowControl/>
        <w:rPr>
          <w:szCs w:val="24"/>
          <w:lang w:eastAsia="en-US"/>
        </w:rPr>
      </w:pPr>
      <w:r w:rsidRPr="00AA7DF5">
        <w:rPr>
          <w:szCs w:val="24"/>
          <w:lang w:eastAsia="en-US"/>
        </w:rPr>
        <w:br w:type="page"/>
      </w:r>
    </w:p>
    <w:p w14:paraId="475D268C" w14:textId="3332B7E5"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5)</w:t>
      </w:r>
      <w:r w:rsidRPr="00AA7DF5">
        <w:rPr>
          <w:szCs w:val="24"/>
          <w:lang w:eastAsia="en-US"/>
        </w:rPr>
        <w:tab/>
        <w:t>No artigo 4.º, n.º 2, a alínea b) passa a ter a seguinte redação:</w:t>
      </w:r>
    </w:p>
    <w:p w14:paraId="5B9C96DC"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Os valores das normas de qualidade das águas subterrâneas enumeradas no Anexo I e os limiares a que se refere o artigo 3.º, n.º 1, alíneas b) e c), não sejam excedidos em nenhum ponto de monitorização nessa massa ou grupo de massas de águas subterrâneas; ou;»</w:t>
      </w:r>
    </w:p>
    <w:p w14:paraId="21545323"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6)</w:t>
      </w:r>
      <w:r w:rsidRPr="00AA7DF5">
        <w:rPr>
          <w:szCs w:val="24"/>
          <w:lang w:eastAsia="en-US"/>
        </w:rPr>
        <w:tab/>
        <w:t>É inserido o seguinte artigo 6.º-A:</w:t>
      </w:r>
    </w:p>
    <w:p w14:paraId="3B0617B1"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6.º-A</w:t>
      </w:r>
    </w:p>
    <w:p w14:paraId="73C7C10E" w14:textId="77777777" w:rsidR="002E0FC5" w:rsidRPr="00AA7DF5" w:rsidRDefault="002E0FC5" w:rsidP="002E0FC5">
      <w:pPr>
        <w:spacing w:before="120" w:after="120" w:line="360" w:lineRule="auto"/>
        <w:ind w:left="850"/>
        <w:rPr>
          <w:szCs w:val="24"/>
          <w:lang w:eastAsia="en-US"/>
        </w:rPr>
      </w:pPr>
      <w:r w:rsidRPr="00AA7DF5">
        <w:rPr>
          <w:szCs w:val="24"/>
          <w:lang w:eastAsia="en-US"/>
        </w:rPr>
        <w:t>Lista de vigilância</w:t>
      </w:r>
    </w:p>
    <w:p w14:paraId="51463B8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A Comissão fica habilitada a adotar atos de execução para estabelecer, tendo em conta os relatórios científicos elaborados pela ECHA, uma lista de vigilância das substâncias para as quais devem ser recolhidos dados de monitorização em toda a União pelos Estados-Membros e para estabelecer os modelos a utilizar pelos Estados-Membros para comunicar à Comissão os resultados dessa monitorização e as informações conexas. Os referidos atos de execução são adotados pelo procedimento de exame a que se refere o artigo 9.º, n.º 2.</w:t>
      </w:r>
    </w:p>
    <w:p w14:paraId="7EDD90B0" w14:textId="77777777" w:rsidR="00E93301" w:rsidRPr="00AA7DF5" w:rsidRDefault="00E93301">
      <w:pPr>
        <w:widowControl/>
        <w:rPr>
          <w:szCs w:val="24"/>
          <w:lang w:eastAsia="en-US"/>
        </w:rPr>
      </w:pPr>
      <w:r w:rsidRPr="00AA7DF5">
        <w:rPr>
          <w:szCs w:val="24"/>
          <w:lang w:eastAsia="en-US"/>
        </w:rPr>
        <w:br w:type="page"/>
      </w:r>
    </w:p>
    <w:p w14:paraId="0E66BD95" w14:textId="62DE227A" w:rsidR="002E0FC5" w:rsidRPr="00AA7DF5" w:rsidRDefault="002E0FC5" w:rsidP="002E0FC5">
      <w:pPr>
        <w:spacing w:before="120" w:after="120" w:line="360" w:lineRule="auto"/>
        <w:ind w:left="1416"/>
        <w:rPr>
          <w:szCs w:val="24"/>
          <w:lang w:eastAsia="en-US"/>
        </w:rPr>
      </w:pPr>
      <w:r w:rsidRPr="00AA7DF5">
        <w:rPr>
          <w:szCs w:val="24"/>
          <w:lang w:eastAsia="en-US"/>
        </w:rPr>
        <w:lastRenderedPageBreak/>
        <w:t xml:space="preserve">A lista de vigilância deve conter um número </w:t>
      </w:r>
      <w:proofErr w:type="spellStart"/>
      <w:r w:rsidRPr="00AA7DF5">
        <w:rPr>
          <w:strike/>
          <w:szCs w:val="24"/>
          <w:lang w:eastAsia="en-US"/>
        </w:rPr>
        <w:t>máximo</w:t>
      </w:r>
      <w:r w:rsidRPr="00AA7DF5">
        <w:rPr>
          <w:b/>
          <w:i/>
          <w:szCs w:val="24"/>
          <w:lang w:eastAsia="en-US"/>
        </w:rPr>
        <w:t>mínimo</w:t>
      </w:r>
      <w:proofErr w:type="spellEnd"/>
      <w:r w:rsidRPr="00AA7DF5">
        <w:rPr>
          <w:szCs w:val="24"/>
          <w:lang w:eastAsia="en-US"/>
        </w:rPr>
        <w:t xml:space="preserve"> de cinco substâncias ou grupos de substâncias </w:t>
      </w:r>
      <w:r w:rsidRPr="00AA7DF5">
        <w:rPr>
          <w:strike/>
          <w:szCs w:val="24"/>
          <w:lang w:eastAsia="en-US"/>
        </w:rPr>
        <w:t xml:space="preserve">e deve indicar, para cada </w:t>
      </w:r>
      <w:proofErr w:type="spellStart"/>
      <w:r w:rsidRPr="00AA7DF5">
        <w:rPr>
          <w:strike/>
          <w:szCs w:val="24"/>
          <w:lang w:eastAsia="en-US"/>
        </w:rPr>
        <w:t>substância</w:t>
      </w:r>
      <w:r w:rsidRPr="00AA7DF5">
        <w:rPr>
          <w:b/>
          <w:i/>
          <w:szCs w:val="24"/>
          <w:lang w:eastAsia="en-US"/>
        </w:rPr>
        <w:t>que</w:t>
      </w:r>
      <w:proofErr w:type="spellEnd"/>
      <w:r w:rsidRPr="00AA7DF5">
        <w:rPr>
          <w:b/>
          <w:i/>
          <w:szCs w:val="24"/>
          <w:lang w:eastAsia="en-US"/>
        </w:rPr>
        <w:t xml:space="preserve"> suscitem uma preocupação emergente</w:t>
      </w:r>
      <w:r w:rsidRPr="00AA7DF5">
        <w:rPr>
          <w:szCs w:val="24"/>
          <w:lang w:eastAsia="en-US"/>
        </w:rPr>
        <w:t>,</w:t>
      </w:r>
      <w:r w:rsidRPr="00AA7DF5">
        <w:rPr>
          <w:strike/>
          <w:szCs w:val="24"/>
          <w:lang w:eastAsia="en-US"/>
        </w:rPr>
        <w:t xml:space="preserve"> as matrizes de monitorização e os eventuais métodos de análise. As matrizes de monitorização e os métodos não devem implicar custos excessivos para as autoridades competentes. As substâncias a incluir na lista de vigilância devem ser</w:t>
      </w:r>
      <w:r w:rsidRPr="00AA7DF5">
        <w:rPr>
          <w:szCs w:val="24"/>
          <w:lang w:eastAsia="en-US"/>
        </w:rPr>
        <w:t xml:space="preserve"> selecionadas de entre aquelas substâncias em relação às quais a informação disponível</w:t>
      </w:r>
      <w:r w:rsidRPr="00AA7DF5">
        <w:rPr>
          <w:b/>
          <w:i/>
          <w:szCs w:val="24"/>
          <w:lang w:eastAsia="en-US"/>
        </w:rPr>
        <w:t>, inclusivamente nos termos do quarto parágrafo infra,</w:t>
      </w:r>
      <w:r w:rsidRPr="00AA7DF5">
        <w:rPr>
          <w:szCs w:val="24"/>
          <w:lang w:eastAsia="en-US"/>
        </w:rPr>
        <w:t xml:space="preserve"> indique que podem representar um risco significativo, a nível da União, para o meio aquático, ou por intermédio deste, e para as quais os dados de monitorização sejam insuficientes</w:t>
      </w:r>
      <w:r w:rsidRPr="00AA7DF5">
        <w:rPr>
          <w:strike/>
          <w:szCs w:val="24"/>
          <w:lang w:eastAsia="en-US"/>
        </w:rPr>
        <w:t>.</w:t>
      </w:r>
      <w:r w:rsidRPr="00AA7DF5">
        <w:rPr>
          <w:b/>
          <w:i/>
          <w:szCs w:val="24"/>
          <w:lang w:eastAsia="en-US"/>
        </w:rPr>
        <w:t>, exceto quando seja inferior a cinco o número de substâncias ou grupos de substâncias a selecionar para as quais a informação disponível indique que podem representar um risco significativo para o meio aquático, ou por intermédio deste, sendo que neste caso</w:t>
      </w:r>
      <w:r w:rsidRPr="00AA7DF5">
        <w:rPr>
          <w:szCs w:val="24"/>
          <w:lang w:eastAsia="en-US"/>
        </w:rPr>
        <w:t xml:space="preserve"> a lista de vigilância deve incluir </w:t>
      </w:r>
      <w:r w:rsidRPr="00AA7DF5">
        <w:rPr>
          <w:b/>
          <w:i/>
          <w:szCs w:val="24"/>
          <w:lang w:eastAsia="en-US"/>
        </w:rPr>
        <w:t xml:space="preserve">todas essas </w:t>
      </w:r>
      <w:r w:rsidRPr="00AA7DF5">
        <w:rPr>
          <w:szCs w:val="24"/>
          <w:lang w:eastAsia="en-US"/>
        </w:rPr>
        <w:t>substâncias</w:t>
      </w:r>
      <w:r w:rsidRPr="00AA7DF5">
        <w:rPr>
          <w:strike/>
          <w:szCs w:val="24"/>
          <w:lang w:eastAsia="en-US"/>
        </w:rPr>
        <w:t xml:space="preserve"> que suscitam preocupação emergente</w:t>
      </w:r>
      <w:r w:rsidRPr="00AA7DF5">
        <w:rPr>
          <w:szCs w:val="24"/>
          <w:lang w:eastAsia="en-US"/>
        </w:rPr>
        <w:t>.</w:t>
      </w:r>
    </w:p>
    <w:p w14:paraId="1683A332" w14:textId="77777777" w:rsidR="002E0FC5" w:rsidRPr="00AA7DF5" w:rsidRDefault="002E0FC5" w:rsidP="002E0FC5">
      <w:pPr>
        <w:spacing w:before="120" w:after="120" w:line="360" w:lineRule="auto"/>
        <w:ind w:left="1416"/>
        <w:rPr>
          <w:szCs w:val="24"/>
          <w:lang w:eastAsia="en-US"/>
        </w:rPr>
      </w:pPr>
      <w:r w:rsidRPr="00AA7DF5">
        <w:rPr>
          <w:b/>
          <w:i/>
          <w:szCs w:val="24"/>
          <w:lang w:eastAsia="en-US"/>
        </w:rPr>
        <w:t>A lista de vigilância deve incluir, para além do número mínimo de substâncias ou grupos de substâncias, também indicadores de poluição.</w:t>
      </w:r>
    </w:p>
    <w:p w14:paraId="6D59A41B" w14:textId="77777777" w:rsidR="00E93301" w:rsidRPr="00AA7DF5" w:rsidRDefault="00E93301">
      <w:pPr>
        <w:widowControl/>
        <w:rPr>
          <w:b/>
          <w:i/>
          <w:szCs w:val="24"/>
          <w:lang w:eastAsia="en-US"/>
        </w:rPr>
      </w:pPr>
      <w:r w:rsidRPr="00AA7DF5">
        <w:rPr>
          <w:b/>
          <w:i/>
          <w:szCs w:val="24"/>
          <w:lang w:eastAsia="en-US"/>
        </w:rPr>
        <w:br w:type="page"/>
      </w:r>
    </w:p>
    <w:p w14:paraId="53187321" w14:textId="4A64F65A" w:rsidR="002E0FC5" w:rsidRPr="00AA7DF5" w:rsidRDefault="002E0FC5" w:rsidP="002E0FC5">
      <w:pPr>
        <w:spacing w:before="120" w:after="120" w:line="360" w:lineRule="auto"/>
        <w:ind w:left="1416"/>
        <w:rPr>
          <w:b/>
          <w:szCs w:val="24"/>
          <w:lang w:eastAsia="en-US"/>
        </w:rPr>
      </w:pPr>
      <w:r w:rsidRPr="00AA7DF5">
        <w:rPr>
          <w:b/>
          <w:i/>
          <w:szCs w:val="24"/>
          <w:lang w:eastAsia="en-US"/>
        </w:rPr>
        <w:lastRenderedPageBreak/>
        <w:t>A lista de vigilância deve especificar, para cada substância, as matrizes de monitorização e os eventuais métodos de análise. As matrizes de monitorização e os métodos não devem implicar custos excessivos para as autoridades competentes.</w:t>
      </w:r>
      <w:r w:rsidR="00E93301" w:rsidRPr="00AA7DF5">
        <w:rPr>
          <w:b/>
          <w:szCs w:val="24"/>
          <w:lang w:eastAsia="en-US"/>
        </w:rPr>
        <w:t xml:space="preserve"> [Alt. 85]</w:t>
      </w:r>
    </w:p>
    <w:p w14:paraId="6C059B24" w14:textId="259D5941" w:rsidR="002E0FC5" w:rsidRPr="00AA7DF5" w:rsidRDefault="002E0FC5" w:rsidP="002E0FC5">
      <w:pPr>
        <w:spacing w:before="120" w:after="120" w:line="360" w:lineRule="auto"/>
        <w:ind w:left="1416"/>
        <w:rPr>
          <w:b/>
          <w:szCs w:val="24"/>
          <w:lang w:eastAsia="en-US"/>
        </w:rPr>
      </w:pPr>
      <w:r w:rsidRPr="00AA7DF5">
        <w:rPr>
          <w:strike/>
          <w:szCs w:val="24"/>
          <w:lang w:eastAsia="en-US"/>
        </w:rPr>
        <w:t xml:space="preserve">Logo que </w:t>
      </w:r>
      <w:proofErr w:type="spellStart"/>
      <w:r w:rsidRPr="00AA7DF5">
        <w:rPr>
          <w:strike/>
          <w:szCs w:val="24"/>
          <w:lang w:eastAsia="en-US"/>
        </w:rPr>
        <w:t>sejam</w:t>
      </w:r>
      <w:r w:rsidRPr="00AA7DF5">
        <w:rPr>
          <w:b/>
          <w:i/>
          <w:szCs w:val="24"/>
          <w:lang w:eastAsia="en-US"/>
        </w:rPr>
        <w:t>Devem</w:t>
      </w:r>
      <w:proofErr w:type="spellEnd"/>
      <w:r w:rsidRPr="00AA7DF5">
        <w:rPr>
          <w:b/>
          <w:i/>
          <w:szCs w:val="24"/>
          <w:lang w:eastAsia="en-US"/>
        </w:rPr>
        <w:t xml:space="preserve"> ser</w:t>
      </w:r>
      <w:r w:rsidRPr="00AA7DF5">
        <w:rPr>
          <w:szCs w:val="24"/>
          <w:lang w:eastAsia="en-US"/>
        </w:rPr>
        <w:t xml:space="preserve"> identificados métodos de monitorização adequados para os </w:t>
      </w:r>
      <w:proofErr w:type="spellStart"/>
      <w:r w:rsidRPr="00AA7DF5">
        <w:rPr>
          <w:szCs w:val="24"/>
          <w:lang w:eastAsia="en-US"/>
        </w:rPr>
        <w:t>microplásticos</w:t>
      </w:r>
      <w:proofErr w:type="spellEnd"/>
      <w:r w:rsidRPr="00AA7DF5">
        <w:rPr>
          <w:szCs w:val="24"/>
          <w:lang w:eastAsia="en-US"/>
        </w:rPr>
        <w:t xml:space="preserve"> e selecionados genes resistentes aos antimicrobianos</w:t>
      </w:r>
      <w:r w:rsidRPr="00AA7DF5">
        <w:rPr>
          <w:b/>
          <w:i/>
          <w:szCs w:val="24"/>
          <w:lang w:eastAsia="en-US"/>
        </w:rPr>
        <w:t xml:space="preserve"> o mais rapidamente possível e o mais tardar [no primeiro dia do mês subsequente a um período de 18 meses após a data de entrada em vigor da presente diretiva modificativa]. Logo que sejam identificados esses métodos de monitorização, os </w:t>
      </w:r>
      <w:proofErr w:type="spellStart"/>
      <w:r w:rsidRPr="00AA7DF5">
        <w:rPr>
          <w:b/>
          <w:i/>
          <w:szCs w:val="24"/>
          <w:lang w:eastAsia="en-US"/>
        </w:rPr>
        <w:t>microplásticos</w:t>
      </w:r>
      <w:proofErr w:type="spellEnd"/>
      <w:r w:rsidRPr="00AA7DF5">
        <w:rPr>
          <w:b/>
          <w:i/>
          <w:szCs w:val="24"/>
          <w:lang w:eastAsia="en-US"/>
        </w:rPr>
        <w:t xml:space="preserve"> e genes selecionados resistentes aos antimicrobianos são incluídos</w:t>
      </w:r>
      <w:r w:rsidRPr="00AA7DF5">
        <w:rPr>
          <w:szCs w:val="24"/>
          <w:lang w:eastAsia="en-US"/>
        </w:rPr>
        <w:t xml:space="preserve"> na lista de vigilância</w:t>
      </w:r>
      <w:r w:rsidRPr="00AA7DF5">
        <w:rPr>
          <w:b/>
          <w:i/>
          <w:szCs w:val="24"/>
          <w:lang w:eastAsia="en-US"/>
        </w:rPr>
        <w:t xml:space="preserve"> nos termos do artigo 6.º‑A, n.º 2, primeiro parágrafo</w:t>
      </w:r>
      <w:r w:rsidRPr="00AA7DF5">
        <w:rPr>
          <w:szCs w:val="24"/>
          <w:lang w:eastAsia="en-US"/>
        </w:rPr>
        <w:t>.</w:t>
      </w:r>
      <w:r w:rsidRPr="00AA7DF5">
        <w:rPr>
          <w:b/>
          <w:i/>
          <w:szCs w:val="24"/>
          <w:lang w:eastAsia="en-US"/>
        </w:rPr>
        <w:t xml:space="preserve"> A Comissão avalia também a necessidade de incluir sulfatos na primeira lista de vigilância para melhorar a disponibilidade de dados sobre a sua presença no que diz respeito ao âmbito de aplicação da presente diretiva.</w:t>
      </w:r>
      <w:r w:rsidR="002C0985" w:rsidRPr="00AA7DF5">
        <w:rPr>
          <w:b/>
          <w:szCs w:val="24"/>
          <w:lang w:eastAsia="en-US"/>
        </w:rPr>
        <w:t xml:space="preserve"> [Alt. 86]</w:t>
      </w:r>
    </w:p>
    <w:p w14:paraId="2E1DB255" w14:textId="77777777" w:rsidR="002E0FC5" w:rsidRPr="00AA7DF5" w:rsidRDefault="002E0FC5" w:rsidP="002E0FC5">
      <w:pPr>
        <w:spacing w:before="120" w:after="120" w:line="360" w:lineRule="auto"/>
        <w:rPr>
          <w:szCs w:val="24"/>
          <w:lang w:eastAsia="en-US"/>
        </w:rPr>
      </w:pPr>
    </w:p>
    <w:p w14:paraId="1BBFB8F0" w14:textId="77777777" w:rsidR="002C0985" w:rsidRPr="00AA7DF5" w:rsidRDefault="002C0985">
      <w:pPr>
        <w:widowControl/>
        <w:rPr>
          <w:szCs w:val="24"/>
          <w:lang w:eastAsia="en-US"/>
        </w:rPr>
      </w:pPr>
      <w:r w:rsidRPr="00AA7DF5">
        <w:rPr>
          <w:szCs w:val="24"/>
          <w:lang w:eastAsia="en-US"/>
        </w:rPr>
        <w:br w:type="page"/>
      </w:r>
    </w:p>
    <w:p w14:paraId="444F4344" w14:textId="5EE2B94B" w:rsidR="002E0FC5" w:rsidRPr="00AA7DF5" w:rsidRDefault="002E0FC5" w:rsidP="002E0FC5">
      <w:pPr>
        <w:spacing w:before="120" w:after="120" w:line="360" w:lineRule="auto"/>
        <w:ind w:left="1416"/>
        <w:rPr>
          <w:b/>
          <w:szCs w:val="24"/>
          <w:lang w:eastAsia="en-US"/>
        </w:rPr>
      </w:pPr>
      <w:r w:rsidRPr="00AA7DF5">
        <w:rPr>
          <w:szCs w:val="24"/>
          <w:lang w:eastAsia="en-US"/>
        </w:rPr>
        <w:lastRenderedPageBreak/>
        <w:t xml:space="preserve">A ECHA deve elaborar relatórios científicos para assistir a Comissão na seleção das substâncias </w:t>
      </w:r>
      <w:r w:rsidRPr="00AA7DF5">
        <w:rPr>
          <w:b/>
          <w:i/>
          <w:szCs w:val="24"/>
          <w:lang w:eastAsia="en-US"/>
        </w:rPr>
        <w:t xml:space="preserve">e indicadores de poluição </w:t>
      </w:r>
      <w:r w:rsidRPr="00AA7DF5">
        <w:rPr>
          <w:szCs w:val="24"/>
          <w:lang w:eastAsia="en-US"/>
        </w:rPr>
        <w:t>para a lista de vigilância, tendo em conta as seguintes informações:</w:t>
      </w:r>
      <w:r w:rsidR="00E2496E" w:rsidRPr="00AA7DF5">
        <w:rPr>
          <w:b/>
          <w:szCs w:val="24"/>
          <w:lang w:eastAsia="en-US"/>
        </w:rPr>
        <w:t xml:space="preserve"> [Alt. 87]</w:t>
      </w:r>
    </w:p>
    <w:p w14:paraId="2FD4601F"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O Anexo I da Diretiva 2008/105/CE do Parlamento Europeu e do Conselho* e os resultados da revisão mais recente desse anexo;</w:t>
      </w:r>
    </w:p>
    <w:p w14:paraId="017845A1" w14:textId="746E3D58"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As listas de vigilância estabelecidas em conformidade com as Diretivas 2008/105/CE e (UE) 2020/2184 do Parlamento Europeu e do Conselho**;</w:t>
      </w:r>
    </w:p>
    <w:p w14:paraId="7E13E616"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c)</w:t>
      </w:r>
      <w:r w:rsidRPr="00AA7DF5">
        <w:rPr>
          <w:szCs w:val="24"/>
          <w:lang w:eastAsia="en-US"/>
        </w:rPr>
        <w:tab/>
        <w:t>Requisitos para combater a poluição do solo, incluindo os dados de monitorização conexos;</w:t>
      </w:r>
    </w:p>
    <w:p w14:paraId="5C6EC776"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d)</w:t>
      </w:r>
      <w:r w:rsidRPr="00AA7DF5">
        <w:rPr>
          <w:szCs w:val="24"/>
          <w:lang w:eastAsia="en-US"/>
        </w:rPr>
        <w:tab/>
        <w:t>A caracterização das regiões hidrográficas efetuada pelos Estados‑Membros em conformidade com o artigo 5.º da Diretiva 2000/60/CE e os resultados dos programas de monitorização estabelecidos em conformidade com o artigo 8.º da mesma diretiva;</w:t>
      </w:r>
    </w:p>
    <w:p w14:paraId="7184C622" w14:textId="77777777" w:rsidR="00E2496E" w:rsidRPr="00AA7DF5" w:rsidRDefault="00E2496E">
      <w:pPr>
        <w:widowControl/>
        <w:rPr>
          <w:szCs w:val="24"/>
          <w:lang w:eastAsia="en-US"/>
        </w:rPr>
      </w:pPr>
      <w:r w:rsidRPr="00AA7DF5">
        <w:rPr>
          <w:szCs w:val="24"/>
          <w:lang w:eastAsia="en-US"/>
        </w:rPr>
        <w:br w:type="page"/>
      </w:r>
    </w:p>
    <w:p w14:paraId="20E6EDC9" w14:textId="3AEB5766"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e)</w:t>
      </w:r>
      <w:r w:rsidRPr="00AA7DF5">
        <w:rPr>
          <w:szCs w:val="24"/>
          <w:lang w:eastAsia="en-US"/>
        </w:rPr>
        <w:tab/>
        <w:t>Informações sobre os volumes de produção, os padrões de utilização, as propriedades intrínsecas (inclusive a mobilidade no solo e, se pertinente, a dimensão das partículas), as concentrações no ambiente e os efeitos adversos de uma substância específica ou de um grupo de substâncias para a saúde humana e o ambiente aquático, incluindo informações recolhidas em conformidade com os Regulamentos (CE) n.º 1907/2006***, (CE) n.º 1107/2009****, (UE) n.º 528/2012***** e (UE) 2019/6****** do Parlamento Europeu e do Conselho e as Diretivas 2001/83/CE******* e 2009/128/CE******** do Parlamento Europeu e do Conselho;</w:t>
      </w:r>
    </w:p>
    <w:p w14:paraId="005C36A7" w14:textId="77777777" w:rsidR="00E2496E" w:rsidRPr="00AA7DF5" w:rsidRDefault="00E2496E">
      <w:pPr>
        <w:widowControl/>
        <w:rPr>
          <w:szCs w:val="24"/>
          <w:lang w:eastAsia="en-US"/>
        </w:rPr>
      </w:pPr>
      <w:r w:rsidRPr="00AA7DF5">
        <w:rPr>
          <w:szCs w:val="24"/>
          <w:lang w:eastAsia="en-US"/>
        </w:rPr>
        <w:br w:type="page"/>
      </w:r>
    </w:p>
    <w:p w14:paraId="563CEB6B" w14:textId="2521FBA4" w:rsidR="002E0FC5" w:rsidRPr="00AA7DF5" w:rsidRDefault="002E0FC5" w:rsidP="002E0FC5">
      <w:pPr>
        <w:spacing w:before="120" w:after="120" w:line="360" w:lineRule="auto"/>
        <w:ind w:left="1982" w:hanging="566"/>
        <w:rPr>
          <w:b/>
          <w:szCs w:val="24"/>
          <w:lang w:eastAsia="en-US"/>
        </w:rPr>
      </w:pPr>
      <w:r w:rsidRPr="00AA7DF5">
        <w:rPr>
          <w:szCs w:val="24"/>
          <w:lang w:eastAsia="en-US"/>
        </w:rPr>
        <w:lastRenderedPageBreak/>
        <w:t>f)</w:t>
      </w:r>
      <w:r w:rsidRPr="00AA7DF5">
        <w:rPr>
          <w:szCs w:val="24"/>
          <w:lang w:eastAsia="en-US"/>
        </w:rPr>
        <w:tab/>
        <w:t xml:space="preserve">Projetos de investigação e publicações </w:t>
      </w:r>
      <w:r w:rsidRPr="00AA7DF5">
        <w:rPr>
          <w:b/>
          <w:i/>
          <w:szCs w:val="24"/>
          <w:lang w:eastAsia="en-US"/>
        </w:rPr>
        <w:t xml:space="preserve">e provas </w:t>
      </w:r>
      <w:r w:rsidRPr="00AA7DF5">
        <w:rPr>
          <w:szCs w:val="24"/>
          <w:lang w:eastAsia="en-US"/>
        </w:rPr>
        <w:t>científicas, incluindo informações</w:t>
      </w:r>
      <w:r w:rsidRPr="00AA7DF5">
        <w:rPr>
          <w:b/>
          <w:i/>
          <w:szCs w:val="24"/>
          <w:lang w:eastAsia="en-US"/>
        </w:rPr>
        <w:t xml:space="preserve"> sobre o impacto dos contaminantes materiais e térmicos, bem como sobre os impactos das infraestruturas e atividades extrativas à superfície e subterrâneas nos ecossistemas de águas subterrâneas e nos ecossistemas dependentes das águas subterrâneas e na sua biodiversidade, informação</w:t>
      </w:r>
      <w:r w:rsidRPr="00AA7DF5">
        <w:rPr>
          <w:szCs w:val="24"/>
          <w:lang w:eastAsia="en-US"/>
        </w:rPr>
        <w:t xml:space="preserve"> sobre tendências e previsões baseadas em modelização ou noutras avaliações preditivas</w:t>
      </w:r>
      <w:r w:rsidRPr="00AA7DF5">
        <w:rPr>
          <w:strike/>
          <w:szCs w:val="24"/>
          <w:lang w:eastAsia="en-US"/>
        </w:rPr>
        <w:t xml:space="preserve"> e dados e</w:t>
      </w:r>
      <w:r w:rsidRPr="00AA7DF5">
        <w:rPr>
          <w:b/>
          <w:i/>
          <w:szCs w:val="24"/>
          <w:lang w:eastAsia="en-US"/>
        </w:rPr>
        <w:t>, bem como</w:t>
      </w:r>
      <w:r w:rsidRPr="00AA7DF5">
        <w:rPr>
          <w:szCs w:val="24"/>
          <w:lang w:eastAsia="en-US"/>
        </w:rPr>
        <w:t xml:space="preserve"> informações </w:t>
      </w:r>
      <w:proofErr w:type="spellStart"/>
      <w:r w:rsidRPr="00AA7DF5">
        <w:rPr>
          <w:strike/>
          <w:szCs w:val="24"/>
          <w:lang w:eastAsia="en-US"/>
        </w:rPr>
        <w:t>de</w:t>
      </w:r>
      <w:r w:rsidRPr="00AA7DF5">
        <w:rPr>
          <w:b/>
          <w:i/>
          <w:szCs w:val="24"/>
          <w:lang w:eastAsia="en-US"/>
        </w:rPr>
        <w:t>e</w:t>
      </w:r>
      <w:proofErr w:type="spellEnd"/>
      <w:r w:rsidRPr="00AA7DF5">
        <w:rPr>
          <w:b/>
          <w:i/>
          <w:szCs w:val="24"/>
          <w:lang w:eastAsia="en-US"/>
        </w:rPr>
        <w:t xml:space="preserve"> dados recolhidos pelas</w:t>
      </w:r>
      <w:r w:rsidRPr="00AA7DF5">
        <w:rPr>
          <w:szCs w:val="24"/>
          <w:lang w:eastAsia="en-US"/>
        </w:rPr>
        <w:t xml:space="preserve"> tecnologias de teledeteção, observação da Terra (serviços </w:t>
      </w:r>
      <w:proofErr w:type="spellStart"/>
      <w:r w:rsidRPr="00AA7DF5">
        <w:rPr>
          <w:szCs w:val="24"/>
          <w:lang w:eastAsia="en-US"/>
        </w:rPr>
        <w:t>Copernicus</w:t>
      </w:r>
      <w:proofErr w:type="spellEnd"/>
      <w:r w:rsidRPr="00AA7DF5">
        <w:rPr>
          <w:szCs w:val="24"/>
          <w:lang w:eastAsia="en-US"/>
        </w:rPr>
        <w:t xml:space="preserve">), sensores e dispositivos in situ ou dados da ciência cidadã, tirando partido das oportunidades </w:t>
      </w:r>
      <w:proofErr w:type="spellStart"/>
      <w:r w:rsidRPr="00AA7DF5">
        <w:rPr>
          <w:strike/>
          <w:szCs w:val="24"/>
          <w:lang w:eastAsia="en-US"/>
        </w:rPr>
        <w:t>proporcionadas</w:t>
      </w:r>
      <w:r w:rsidRPr="00AA7DF5">
        <w:rPr>
          <w:b/>
          <w:i/>
          <w:szCs w:val="24"/>
          <w:lang w:eastAsia="en-US"/>
        </w:rPr>
        <w:t>abertas</w:t>
      </w:r>
      <w:proofErr w:type="spellEnd"/>
      <w:r w:rsidRPr="00AA7DF5">
        <w:rPr>
          <w:szCs w:val="24"/>
          <w:lang w:eastAsia="en-US"/>
        </w:rPr>
        <w:t xml:space="preserve"> pela inteligência artificial e pela análise e tratamento avançados de dados;</w:t>
      </w:r>
      <w:r w:rsidR="00E2496E" w:rsidRPr="00AA7DF5">
        <w:rPr>
          <w:b/>
          <w:szCs w:val="24"/>
          <w:lang w:eastAsia="en-US"/>
        </w:rPr>
        <w:t xml:space="preserve"> [Alt. 88]</w:t>
      </w:r>
    </w:p>
    <w:p w14:paraId="7A2058EF"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g)</w:t>
      </w:r>
      <w:r w:rsidRPr="00AA7DF5">
        <w:rPr>
          <w:szCs w:val="24"/>
          <w:lang w:eastAsia="en-US"/>
        </w:rPr>
        <w:tab/>
        <w:t>Recomendações das partes interessadas.</w:t>
      </w:r>
    </w:p>
    <w:p w14:paraId="4600CCB3" w14:textId="77777777" w:rsidR="002E0FC5" w:rsidRPr="00AA7DF5" w:rsidRDefault="002E0FC5" w:rsidP="002E0FC5">
      <w:pPr>
        <w:spacing w:before="120" w:after="120" w:line="360" w:lineRule="auto"/>
        <w:ind w:left="1416"/>
        <w:rPr>
          <w:szCs w:val="24"/>
          <w:lang w:eastAsia="en-US"/>
        </w:rPr>
      </w:pPr>
      <w:r w:rsidRPr="00AA7DF5">
        <w:rPr>
          <w:szCs w:val="24"/>
          <w:lang w:eastAsia="en-US"/>
        </w:rPr>
        <w:t>A ECHA deve elaborar, trienalmente, um relatório de síntese das conclusões dos relatórios científicos elaborados nos termos do quarto parágrafo e disponibilizá-lo ao público. O primeiro relatório deve ser disponibilizado até X [Serviço das Publicações: inserir a data correspondente ao primeiro dia do vigésimo primeiro mês após a data de entrada em vigor da presente diretiva].</w:t>
      </w:r>
    </w:p>
    <w:p w14:paraId="06CF9E58" w14:textId="77777777" w:rsidR="00E2496E" w:rsidRPr="00AA7DF5" w:rsidRDefault="00E2496E">
      <w:pPr>
        <w:widowControl/>
        <w:rPr>
          <w:szCs w:val="24"/>
          <w:lang w:eastAsia="en-US"/>
        </w:rPr>
      </w:pPr>
      <w:r w:rsidRPr="00AA7DF5">
        <w:rPr>
          <w:szCs w:val="24"/>
          <w:lang w:eastAsia="en-US"/>
        </w:rPr>
        <w:br w:type="page"/>
      </w:r>
    </w:p>
    <w:p w14:paraId="27B9BCE1" w14:textId="1ED84148"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2.</w:t>
      </w:r>
      <w:r w:rsidRPr="00AA7DF5">
        <w:rPr>
          <w:szCs w:val="24"/>
          <w:lang w:eastAsia="en-US"/>
        </w:rPr>
        <w:tab/>
        <w:t xml:space="preserve">A primeira lista de vigilância é estabelecida até ... [Serviço das Publicações: inserir a data correspondente ao primeiro dia do mês seguinte a 24 meses após a data de entrada em vigor da presente diretiva]. A </w:t>
      </w:r>
      <w:r w:rsidRPr="00AA7DF5">
        <w:rPr>
          <w:strike/>
          <w:szCs w:val="24"/>
          <w:lang w:eastAsia="en-US"/>
        </w:rPr>
        <w:t xml:space="preserve">partir dessa data, a </w:t>
      </w:r>
      <w:r w:rsidRPr="00AA7DF5">
        <w:rPr>
          <w:szCs w:val="24"/>
          <w:lang w:eastAsia="en-US"/>
        </w:rPr>
        <w:t xml:space="preserve">lista de vigilância é atualizada </w:t>
      </w:r>
      <w:r w:rsidRPr="00AA7DF5">
        <w:rPr>
          <w:b/>
          <w:i/>
          <w:szCs w:val="24"/>
          <w:lang w:eastAsia="en-US"/>
        </w:rPr>
        <w:t xml:space="preserve">o mais tardar </w:t>
      </w:r>
      <w:r w:rsidRPr="00AA7DF5">
        <w:rPr>
          <w:szCs w:val="24"/>
          <w:lang w:eastAsia="en-US"/>
        </w:rPr>
        <w:t>a cada 36 meses</w:t>
      </w:r>
      <w:r w:rsidRPr="00AA7DF5">
        <w:rPr>
          <w:b/>
          <w:i/>
          <w:szCs w:val="24"/>
          <w:lang w:eastAsia="en-US"/>
        </w:rPr>
        <w:t>, ou com maior frequência se surgirem novas provas científicas que requeiram uma atualização da lista no período intercalar entre as diferentes revisões</w:t>
      </w:r>
      <w:r w:rsidRPr="00AA7DF5">
        <w:rPr>
          <w:szCs w:val="24"/>
          <w:lang w:eastAsia="en-US"/>
        </w:rPr>
        <w:t>.</w:t>
      </w:r>
      <w:r w:rsidR="00E2496E" w:rsidRPr="00AA7DF5">
        <w:rPr>
          <w:b/>
          <w:szCs w:val="24"/>
          <w:lang w:eastAsia="en-US"/>
        </w:rPr>
        <w:t xml:space="preserve"> [Alt. 89]</w:t>
      </w:r>
    </w:p>
    <w:p w14:paraId="1B8FD304" w14:textId="0403E5DB" w:rsidR="002E0FC5" w:rsidRPr="00AA7DF5" w:rsidRDefault="002E0FC5" w:rsidP="002E0FC5">
      <w:pPr>
        <w:spacing w:before="120" w:after="120" w:line="360" w:lineRule="auto"/>
        <w:ind w:left="1416"/>
        <w:rPr>
          <w:b/>
          <w:szCs w:val="24"/>
          <w:lang w:eastAsia="en-US"/>
        </w:rPr>
      </w:pPr>
      <w:r w:rsidRPr="00AA7DF5">
        <w:rPr>
          <w:b/>
          <w:i/>
          <w:szCs w:val="24"/>
          <w:lang w:eastAsia="en-US"/>
        </w:rPr>
        <w:t>Os Estados‑Membros devem avaliar cada dois anos o impacto sobre a qualidade da água das atividades industriais relacionadas com a transição energética e informar a Comissão sobre novas ameaças identificadas, no intuito de proceder à atualização da lista de vigilância em conformidade. O público deve ter acesso fácil à avaliação.</w:t>
      </w:r>
      <w:r w:rsidR="00E2496E" w:rsidRPr="00AA7DF5">
        <w:rPr>
          <w:b/>
          <w:szCs w:val="24"/>
          <w:lang w:eastAsia="en-US"/>
        </w:rPr>
        <w:t xml:space="preserve"> [Alt. 90]</w:t>
      </w:r>
    </w:p>
    <w:p w14:paraId="1EF3C341" w14:textId="77777777" w:rsidR="00E2496E" w:rsidRPr="00AA7DF5" w:rsidRDefault="00E2496E">
      <w:pPr>
        <w:widowControl/>
        <w:rPr>
          <w:szCs w:val="24"/>
          <w:lang w:eastAsia="en-US"/>
        </w:rPr>
      </w:pPr>
      <w:r w:rsidRPr="00AA7DF5">
        <w:rPr>
          <w:szCs w:val="24"/>
          <w:lang w:eastAsia="en-US"/>
        </w:rPr>
        <w:br w:type="page"/>
      </w:r>
    </w:p>
    <w:p w14:paraId="779EFAAB" w14:textId="2495B955" w:rsidR="002E0FC5" w:rsidRPr="00AA7DF5" w:rsidRDefault="002E0FC5" w:rsidP="002E0FC5">
      <w:pPr>
        <w:spacing w:before="120" w:after="120" w:line="360" w:lineRule="auto"/>
        <w:ind w:left="1416"/>
        <w:rPr>
          <w:szCs w:val="24"/>
          <w:lang w:eastAsia="en-US"/>
        </w:rPr>
      </w:pPr>
      <w:r w:rsidRPr="00AA7DF5">
        <w:rPr>
          <w:szCs w:val="24"/>
          <w:lang w:eastAsia="en-US"/>
        </w:rPr>
        <w:lastRenderedPageBreak/>
        <w:t>Ao atualizar a lista de vigilância em vigor, a Comissão retira qualquer substância ou grupo de substâncias em relação aos quais considere possível avaliar os seus riscos para o ambiente aquático sem recorrer a dados de monitorização suplementares. Quando a lista de vigilância for atualizada, uma substância específica ou um grupo de substâncias podem ser mantidos na lista por mais um período de três anos caso sejam necessários dados de monitorização suplementares para avaliar o risco para o ambiente aquático. A lista de vigilância atualizada deve também incluir uma ou mais substâncias suplementares relativamente às quais a Comissão considere, tendo em conta os relatórios científicos da ECHA, que pode existir um risco para o ambiente aquático.</w:t>
      </w:r>
    </w:p>
    <w:p w14:paraId="2903777F"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Os Estados-Membros devem monitorizar cada substância ou grupo de substâncias constante da lista de vigilância em estações de monitorização representativas durante um período de 24 meses. O período de monitorização tem início no prazo de seis meses a contar da elaboração da lista de vigilância.</w:t>
      </w:r>
    </w:p>
    <w:p w14:paraId="050C02E8" w14:textId="22559739" w:rsidR="002E0FC5" w:rsidRPr="00AA7DF5" w:rsidRDefault="002E0FC5" w:rsidP="002E0FC5">
      <w:pPr>
        <w:spacing w:before="120" w:after="120" w:line="360" w:lineRule="auto"/>
        <w:ind w:left="1416"/>
        <w:rPr>
          <w:b/>
          <w:szCs w:val="24"/>
          <w:lang w:eastAsia="en-US"/>
        </w:rPr>
      </w:pPr>
      <w:r w:rsidRPr="00AA7DF5">
        <w:rPr>
          <w:szCs w:val="24"/>
          <w:lang w:eastAsia="en-US"/>
        </w:rPr>
        <w:t xml:space="preserve">Cada Estado-Membro deve selecionar, pelo menos, </w:t>
      </w:r>
      <w:r w:rsidRPr="00AA7DF5">
        <w:rPr>
          <w:strike/>
          <w:szCs w:val="24"/>
          <w:lang w:eastAsia="en-US"/>
        </w:rPr>
        <w:t xml:space="preserve">uma </w:t>
      </w:r>
      <w:proofErr w:type="spellStart"/>
      <w:r w:rsidRPr="00AA7DF5">
        <w:rPr>
          <w:strike/>
          <w:szCs w:val="24"/>
          <w:lang w:eastAsia="en-US"/>
        </w:rPr>
        <w:t>estação</w:t>
      </w:r>
      <w:r w:rsidRPr="00AA7DF5">
        <w:rPr>
          <w:b/>
          <w:i/>
          <w:szCs w:val="24"/>
          <w:lang w:eastAsia="en-US"/>
        </w:rPr>
        <w:t>duas</w:t>
      </w:r>
      <w:proofErr w:type="spellEnd"/>
      <w:r w:rsidRPr="00AA7DF5">
        <w:rPr>
          <w:b/>
          <w:i/>
          <w:szCs w:val="24"/>
          <w:lang w:eastAsia="en-US"/>
        </w:rPr>
        <w:t xml:space="preserve"> estações</w:t>
      </w:r>
      <w:r w:rsidRPr="00AA7DF5">
        <w:rPr>
          <w:szCs w:val="24"/>
          <w:lang w:eastAsia="en-US"/>
        </w:rPr>
        <w:t xml:space="preserve"> de monitorização mais o número de estações correspondente à sua área total em km</w:t>
      </w:r>
      <w:r w:rsidRPr="00AA7DF5">
        <w:rPr>
          <w:szCs w:val="24"/>
          <w:vertAlign w:val="superscript"/>
          <w:lang w:eastAsia="en-US"/>
        </w:rPr>
        <w:t>2</w:t>
      </w:r>
      <w:r w:rsidRPr="00AA7DF5">
        <w:rPr>
          <w:szCs w:val="24"/>
          <w:lang w:eastAsia="en-US"/>
        </w:rPr>
        <w:t xml:space="preserve"> de massas de águas subterrâneas dividida por </w:t>
      </w:r>
      <w:r w:rsidRPr="00AA7DF5">
        <w:rPr>
          <w:strike/>
          <w:szCs w:val="24"/>
          <w:lang w:eastAsia="en-US"/>
        </w:rPr>
        <w:t>60 000</w:t>
      </w:r>
      <w:r w:rsidRPr="00AA7DF5">
        <w:rPr>
          <w:b/>
          <w:i/>
          <w:szCs w:val="24"/>
          <w:lang w:eastAsia="en-US"/>
        </w:rPr>
        <w:t>30 000</w:t>
      </w:r>
      <w:r w:rsidRPr="00AA7DF5">
        <w:rPr>
          <w:szCs w:val="24"/>
          <w:lang w:eastAsia="en-US"/>
        </w:rPr>
        <w:t xml:space="preserve"> (arredondado ao número inteiro seguinte).</w:t>
      </w:r>
      <w:r w:rsidR="00E2496E" w:rsidRPr="00AA7DF5">
        <w:rPr>
          <w:b/>
          <w:szCs w:val="24"/>
          <w:lang w:eastAsia="en-US"/>
        </w:rPr>
        <w:t xml:space="preserve"> [Alt. 91]</w:t>
      </w:r>
    </w:p>
    <w:p w14:paraId="3963BD80" w14:textId="77777777" w:rsidR="006E79CF" w:rsidRPr="00AA7DF5" w:rsidRDefault="006E79CF">
      <w:pPr>
        <w:widowControl/>
        <w:rPr>
          <w:szCs w:val="24"/>
          <w:lang w:eastAsia="en-US"/>
        </w:rPr>
      </w:pPr>
      <w:r w:rsidRPr="00AA7DF5">
        <w:rPr>
          <w:szCs w:val="24"/>
          <w:lang w:eastAsia="en-US"/>
        </w:rPr>
        <w:br w:type="page"/>
      </w:r>
    </w:p>
    <w:p w14:paraId="38D82180" w14:textId="48427A89" w:rsidR="002E0FC5" w:rsidRPr="00AA7DF5" w:rsidRDefault="002E0FC5" w:rsidP="002E0FC5">
      <w:pPr>
        <w:spacing w:before="120" w:after="120" w:line="360" w:lineRule="auto"/>
        <w:ind w:left="1416"/>
        <w:rPr>
          <w:szCs w:val="24"/>
          <w:lang w:eastAsia="en-US"/>
        </w:rPr>
      </w:pPr>
      <w:r w:rsidRPr="00AA7DF5">
        <w:rPr>
          <w:szCs w:val="24"/>
          <w:lang w:eastAsia="en-US"/>
        </w:rPr>
        <w:lastRenderedPageBreak/>
        <w:t>Na seleção das estações de monitorização representativas e no estabelecimento da frequência e do calendário de monitorização para cada substância ou grupo de substâncias, os Estados-Membros devem ter em conta os padrões de utilização e a possível ocorrência da substância ou grupo de substâncias em causa. A frequência de monitorização não pode ser inferior a uma vez por ano.</w:t>
      </w:r>
    </w:p>
    <w:p w14:paraId="5689ED36" w14:textId="77777777" w:rsidR="002E0FC5" w:rsidRPr="00AA7DF5" w:rsidRDefault="002E0FC5" w:rsidP="002E0FC5">
      <w:pPr>
        <w:spacing w:before="120" w:after="120" w:line="360" w:lineRule="auto"/>
        <w:ind w:left="1416"/>
        <w:rPr>
          <w:szCs w:val="24"/>
          <w:lang w:eastAsia="en-US"/>
        </w:rPr>
      </w:pPr>
      <w:r w:rsidRPr="00AA7DF5">
        <w:rPr>
          <w:szCs w:val="24"/>
          <w:lang w:eastAsia="en-US"/>
        </w:rPr>
        <w:t>Nos casos em que um Estado-Membro possa gerar, para uma substância ou um grupo de substâncias, dados de monitorização suficientes, comparáveis, representativos e recentes retirados de programas de monitorização ou estudos, pode decidir não proceder a monitorizações suplementares dessa substância ou grupo de substâncias no âmbito do mecanismo da lista de vigilância, desde que os mesmos tenham sido monitorizados com recurso a uma metodologia conforme com as matrizes de monitorização e os métodos de análise a que se refere o ato de execução que estabelece a lista de vigilância.</w:t>
      </w:r>
    </w:p>
    <w:p w14:paraId="6A6957EC" w14:textId="77777777" w:rsidR="006E79CF" w:rsidRPr="00AA7DF5" w:rsidRDefault="006E79CF">
      <w:pPr>
        <w:widowControl/>
        <w:rPr>
          <w:szCs w:val="24"/>
          <w:lang w:eastAsia="en-US"/>
        </w:rPr>
      </w:pPr>
      <w:r w:rsidRPr="00AA7DF5">
        <w:rPr>
          <w:szCs w:val="24"/>
          <w:lang w:eastAsia="en-US"/>
        </w:rPr>
        <w:br w:type="page"/>
      </w:r>
    </w:p>
    <w:p w14:paraId="045E15ED" w14:textId="4269A846"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4.</w:t>
      </w:r>
      <w:r w:rsidRPr="00AA7DF5">
        <w:rPr>
          <w:szCs w:val="24"/>
          <w:lang w:eastAsia="en-US"/>
        </w:rPr>
        <w:tab/>
        <w:t>Os Estados-Membros devem disponibilizar os resultados da monitorização a que se refere o n.º 3 do presente artigo em conformidade com o artigo 8.º, n.º 4, da Diretiva 2000/60/CE e com o ato de execução que estabelece a lista de vigilância adotada nos termos do n.º 1. Devem também disponibilizar informações sobre a representatividade das estações de monitorização e sobre a estratégia de monitorização.</w:t>
      </w:r>
    </w:p>
    <w:p w14:paraId="287BC86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5.</w:t>
      </w:r>
      <w:r w:rsidRPr="00AA7DF5">
        <w:rPr>
          <w:szCs w:val="24"/>
          <w:lang w:eastAsia="en-US"/>
        </w:rPr>
        <w:tab/>
        <w:t>A ECHA deve, no final do período de 24 meses a que se refere o n.º 3, rever os resultados da monitorização e avaliar quais as substâncias ou grupos de substâncias que devem ser monitorizados durante outro período de 24 meses e que, por conseguinte, devem ser mantidos na lista de vigilância, devendo igualmente avaliar quais as substâncias ou grupos de substâncias que podem ser retirados da lista de vigilância.</w:t>
      </w:r>
    </w:p>
    <w:p w14:paraId="2FC36D03" w14:textId="77777777" w:rsidR="002E0FC5" w:rsidRPr="00AA7DF5" w:rsidRDefault="002E0FC5" w:rsidP="002E0FC5">
      <w:pPr>
        <w:spacing w:before="120" w:after="120" w:line="360" w:lineRule="auto"/>
        <w:ind w:left="1416"/>
        <w:rPr>
          <w:szCs w:val="24"/>
          <w:lang w:eastAsia="en-US"/>
        </w:rPr>
      </w:pPr>
      <w:r w:rsidRPr="00AA7DF5">
        <w:rPr>
          <w:szCs w:val="24"/>
          <w:lang w:eastAsia="en-US"/>
        </w:rPr>
        <w:t>Se a Comissão, tendo em conta a avaliação realizada pela ECHA a que se refere o primeiro parágrafo, concluir que não é necessária uma monitorização adicional para avaliar mais aprofundadamente o risco para o ambiente aquático, essa avaliação deve ser tida em conta na revisão dos Anexos I ou II a que se refere o artigo 8.º.</w:t>
      </w:r>
    </w:p>
    <w:p w14:paraId="646CC1C3" w14:textId="77777777" w:rsidR="006E79CF" w:rsidRPr="00AA7DF5" w:rsidRDefault="006E79CF">
      <w:pPr>
        <w:widowControl/>
        <w:rPr>
          <w:szCs w:val="24"/>
          <w:lang w:eastAsia="en-US"/>
        </w:rPr>
      </w:pPr>
      <w:r w:rsidRPr="00AA7DF5">
        <w:rPr>
          <w:szCs w:val="24"/>
          <w:lang w:eastAsia="en-US"/>
        </w:rPr>
        <w:br w:type="page"/>
      </w:r>
    </w:p>
    <w:p w14:paraId="7739C6E8" w14:textId="665EF869" w:rsidR="002E0FC5" w:rsidRPr="00AA7DF5" w:rsidRDefault="002E0FC5" w:rsidP="002E0FC5">
      <w:pPr>
        <w:spacing w:before="120" w:after="120" w:line="360" w:lineRule="auto"/>
        <w:ind w:left="1416"/>
        <w:rPr>
          <w:szCs w:val="24"/>
          <w:lang w:eastAsia="en-US"/>
        </w:rPr>
      </w:pPr>
      <w:r w:rsidRPr="00AA7DF5">
        <w:rPr>
          <w:szCs w:val="24"/>
          <w:lang w:eastAsia="en-US"/>
        </w:rPr>
        <w:lastRenderedPageBreak/>
        <w:t>* Diretiva 2008/105/CE do Parlamento Europeu e do Conselho, de 16 de dezembro de 2008, relativa a normas de qualidade ambiental no domínio da política da água, que altera e subsequentemente revoga as Diretivas 82/176/CEE, 83/513/CEE, 84/156/CEE, 84/491/CEE e 86/280/CEE do Conselho, e que altera a Diretiva 2000/60/CE (JO L 348 de 24.12.2008, p. 84).</w:t>
      </w:r>
    </w:p>
    <w:p w14:paraId="7E90A2AC"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(UE) 2020/2184 do Parlamento Europeu e do Conselho, de 16 de dezembro de 2020, relativa à qualidade da água destinada ao consumo humano (JO L 435 de 23.12.2020, p. 1).</w:t>
      </w:r>
    </w:p>
    <w:p w14:paraId="0DBD8C03" w14:textId="77777777" w:rsidR="002E0FC5" w:rsidRPr="00AA7DF5" w:rsidRDefault="002E0FC5" w:rsidP="002E0FC5">
      <w:pPr>
        <w:spacing w:before="120" w:after="120" w:line="360" w:lineRule="auto"/>
        <w:ind w:left="1416"/>
        <w:rPr>
          <w:szCs w:val="24"/>
          <w:lang w:eastAsia="en-US"/>
        </w:rPr>
      </w:pPr>
      <w:r w:rsidRPr="00AA7DF5">
        <w:rPr>
          <w:szCs w:val="24"/>
          <w:lang w:eastAsia="en-US"/>
        </w:rPr>
        <w:t>*** Regulamento (CE) n.º 1907/2006 do Parlamento Europeu e do Conselho, de 18 de dezembro de 2006, relativo ao registo, avaliação, autorização e restrição dos produtos químicos (JO L 396 de 30.12.2006, p. 1).</w:t>
      </w:r>
    </w:p>
    <w:p w14:paraId="3BB0F561" w14:textId="77777777" w:rsidR="002E0FC5" w:rsidRPr="00AA7DF5" w:rsidRDefault="002E0FC5" w:rsidP="002E0FC5">
      <w:pPr>
        <w:spacing w:before="120" w:after="120" w:line="360" w:lineRule="auto"/>
        <w:ind w:left="1416"/>
        <w:rPr>
          <w:szCs w:val="24"/>
          <w:lang w:eastAsia="en-US"/>
        </w:rPr>
      </w:pPr>
      <w:r w:rsidRPr="00AA7DF5">
        <w:rPr>
          <w:szCs w:val="24"/>
          <w:lang w:eastAsia="en-US"/>
        </w:rPr>
        <w:t>**** Regulamento (CE) n.º 1107/2009 do Parlamento Europeu e do Conselho, de 21 de outubro de 2009, relativo à colocação dos produtos fitofarmacêuticos no mercado (JO L 309 de 24.11.2009, p. 1).</w:t>
      </w:r>
    </w:p>
    <w:p w14:paraId="5F3D66DE" w14:textId="77777777" w:rsidR="006E79CF" w:rsidRPr="00AA7DF5" w:rsidRDefault="006E79CF">
      <w:pPr>
        <w:widowControl/>
        <w:rPr>
          <w:szCs w:val="24"/>
          <w:lang w:eastAsia="en-US"/>
        </w:rPr>
      </w:pPr>
      <w:r w:rsidRPr="00AA7DF5">
        <w:rPr>
          <w:szCs w:val="24"/>
          <w:lang w:eastAsia="en-US"/>
        </w:rPr>
        <w:br w:type="page"/>
      </w:r>
    </w:p>
    <w:p w14:paraId="0EC25D1D" w14:textId="3B524C14" w:rsidR="002E0FC5" w:rsidRPr="00AA7DF5" w:rsidRDefault="002E0FC5" w:rsidP="002E0FC5">
      <w:pPr>
        <w:spacing w:before="120" w:after="120" w:line="360" w:lineRule="auto"/>
        <w:ind w:left="1416"/>
        <w:rPr>
          <w:szCs w:val="24"/>
          <w:lang w:eastAsia="en-US"/>
        </w:rPr>
      </w:pPr>
      <w:r w:rsidRPr="00AA7DF5">
        <w:rPr>
          <w:szCs w:val="24"/>
          <w:lang w:eastAsia="en-US"/>
        </w:rPr>
        <w:lastRenderedPageBreak/>
        <w:t>***** Regulamento (UE) n.º 528/2012 do Parlamento Europeu e do Conselho, de 22 de maio de 2012, relativo à disponibilização no mercado e à utilização de produtos biocidas (JO L 167 de 27.6.2012, p. 1).</w:t>
      </w:r>
    </w:p>
    <w:p w14:paraId="517AD0F7" w14:textId="77777777" w:rsidR="002E0FC5" w:rsidRPr="00AA7DF5" w:rsidRDefault="002E0FC5" w:rsidP="002E0FC5">
      <w:pPr>
        <w:spacing w:before="120" w:after="120" w:line="360" w:lineRule="auto"/>
        <w:ind w:left="1416"/>
        <w:rPr>
          <w:szCs w:val="24"/>
          <w:lang w:eastAsia="en-US"/>
        </w:rPr>
      </w:pPr>
      <w:r w:rsidRPr="00AA7DF5">
        <w:rPr>
          <w:szCs w:val="24"/>
          <w:lang w:eastAsia="en-US"/>
        </w:rPr>
        <w:t>****** Regulamento (UE) 2019/6 do Parlamento Europeu e do Conselho, de 11 de dezembro de 2018, relativo aos medicamentos veterinários (JO L 4 de 7.1.2019, p. 43).</w:t>
      </w:r>
    </w:p>
    <w:p w14:paraId="6FAF6CBE"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2001/83/CE do Parlamento Europeu e do Conselho, de 6 de novembro de 2001, que estabelece um código comunitário relativo aos medicamentos para uso humano (JO L 311 de 28.11.2001, p. 67).</w:t>
      </w:r>
    </w:p>
    <w:p w14:paraId="37EBAD22"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2009/128/CE do Parlamento Europeu e do Conselho, de 21 de outubro de 2009, que estabelece um quadro de ação ao nível comunitário para uma utilização sustentável dos pesticidas (JO L 309 de 24.11.2009, p. 71).;»</w:t>
      </w:r>
    </w:p>
    <w:p w14:paraId="0A6CD6DA" w14:textId="77777777" w:rsidR="006E79CF" w:rsidRPr="00AA7DF5" w:rsidRDefault="006E79CF">
      <w:pPr>
        <w:widowControl/>
        <w:rPr>
          <w:b/>
          <w:i/>
          <w:szCs w:val="24"/>
          <w:lang w:eastAsia="en-US"/>
        </w:rPr>
      </w:pPr>
      <w:r w:rsidRPr="00AA7DF5">
        <w:rPr>
          <w:b/>
          <w:i/>
          <w:szCs w:val="24"/>
          <w:lang w:eastAsia="en-US"/>
        </w:rPr>
        <w:br w:type="page"/>
      </w:r>
    </w:p>
    <w:p w14:paraId="675DD1C8" w14:textId="2075D873"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6</w:t>
      </w:r>
      <w:r w:rsidR="006E79CF"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É inserido o seguinte artigo:</w:t>
      </w:r>
    </w:p>
    <w:p w14:paraId="1545DD18" w14:textId="77777777"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6.º-A-A</w:t>
      </w:r>
      <w:r w:rsidRPr="00AA7DF5">
        <w:rPr>
          <w:szCs w:val="24"/>
          <w:lang w:eastAsia="en-US"/>
        </w:rPr>
        <w:br/>
      </w:r>
      <w:r w:rsidRPr="00AA7DF5">
        <w:rPr>
          <w:b/>
          <w:i/>
          <w:szCs w:val="24"/>
          <w:lang w:eastAsia="en-US"/>
        </w:rPr>
        <w:t xml:space="preserve">Melhorar a proteção dos ecossistemas de águas subterrâneas </w:t>
      </w:r>
    </w:p>
    <w:p w14:paraId="343FA9BA" w14:textId="6EEFC887" w:rsidR="002E0FC5" w:rsidRPr="00AA7DF5" w:rsidRDefault="002E0FC5" w:rsidP="002E0FC5">
      <w:pPr>
        <w:spacing w:before="120" w:after="120" w:line="360" w:lineRule="auto"/>
        <w:ind w:left="850"/>
        <w:rPr>
          <w:b/>
          <w:szCs w:val="24"/>
          <w:lang w:eastAsia="en-US"/>
        </w:rPr>
      </w:pPr>
      <w:r w:rsidRPr="00AA7DF5">
        <w:rPr>
          <w:b/>
          <w:i/>
          <w:szCs w:val="24"/>
          <w:lang w:eastAsia="en-US"/>
        </w:rPr>
        <w:t>A Comissão deve publicar, até [Serviço das Publicações: inserir a data = quatro anos após a data de entrada em vigor da presente diretiva], uma avaliação dos impactos dos elementos físico‑químicos, como o pH, a oxigenação e a temperatura, referente ao estado de saúde dos ecossistemas de águas subterrâneas, acompanhada, sendo caso disso, por uma proposta legislativa para rever em conformidade a presente diretiva, de modo a estabelecer os parâmetros correspondentes, prever métodos harmonizados de monitorização e definir o que constituiria uma boa situação ecológica para as águas subterrâneas.</w:t>
      </w:r>
      <w:r w:rsidRPr="00AA7DF5">
        <w:rPr>
          <w:szCs w:val="24"/>
          <w:lang w:eastAsia="en-US"/>
        </w:rPr>
        <w:t>»</w:t>
      </w:r>
      <w:r w:rsidR="006E79CF" w:rsidRPr="00AA7DF5">
        <w:rPr>
          <w:b/>
          <w:szCs w:val="24"/>
          <w:lang w:eastAsia="en-US"/>
        </w:rPr>
        <w:t xml:space="preserve"> [Alt. 92]</w:t>
      </w:r>
    </w:p>
    <w:p w14:paraId="3E10370C" w14:textId="77777777" w:rsidR="006E79CF" w:rsidRPr="00AA7DF5" w:rsidRDefault="006E79CF">
      <w:pPr>
        <w:widowControl/>
        <w:rPr>
          <w:b/>
          <w:i/>
          <w:szCs w:val="24"/>
          <w:lang w:eastAsia="en-US"/>
        </w:rPr>
      </w:pPr>
      <w:r w:rsidRPr="00AA7DF5">
        <w:rPr>
          <w:b/>
          <w:i/>
          <w:szCs w:val="24"/>
          <w:lang w:eastAsia="en-US"/>
        </w:rPr>
        <w:br w:type="page"/>
      </w:r>
    </w:p>
    <w:p w14:paraId="095F0D67" w14:textId="63FD7DD8"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6</w:t>
      </w:r>
      <w:r w:rsidR="006E79CF"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É inserido o seguinte artigo:</w:t>
      </w:r>
    </w:p>
    <w:p w14:paraId="1E91F12D" w14:textId="77777777"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6.º-A-B</w:t>
      </w:r>
      <w:r w:rsidRPr="00AA7DF5">
        <w:rPr>
          <w:szCs w:val="24"/>
          <w:lang w:eastAsia="en-US"/>
        </w:rPr>
        <w:br/>
      </w:r>
      <w:r w:rsidRPr="00AA7DF5">
        <w:rPr>
          <w:b/>
          <w:i/>
          <w:szCs w:val="24"/>
          <w:lang w:eastAsia="en-US"/>
        </w:rPr>
        <w:t>Tratamento específico para áreas com elevada importância ecológica, alta vulnerabilidade ou elevada poluição</w:t>
      </w:r>
    </w:p>
    <w:p w14:paraId="5FDE0D22" w14:textId="0ED1A34C" w:rsidR="002E0FC5" w:rsidRPr="00AA7DF5" w:rsidRDefault="002E0FC5" w:rsidP="002E0FC5">
      <w:pPr>
        <w:spacing w:before="120" w:after="120" w:line="360" w:lineRule="auto"/>
        <w:ind w:left="850"/>
        <w:rPr>
          <w:b/>
          <w:szCs w:val="24"/>
          <w:lang w:eastAsia="en-US"/>
        </w:rPr>
      </w:pPr>
      <w:r w:rsidRPr="00AA7DF5">
        <w:rPr>
          <w:b/>
          <w:i/>
          <w:szCs w:val="24"/>
          <w:lang w:eastAsia="en-US"/>
        </w:rPr>
        <w:t>A Comissão deve, até ... [no máximo quatro anos após a entrada em vigor da presente diretiva], publicar uma avaliação da situação química das zonas caracterizadas por apresentarem uma elevada importância ecológica, alta vulnerabilidade ou elevada poluição, como grutas e zonas cársicas, locais de antigas instalações industriais e outras áreas com um historial conhecido de contaminação, acompanhada, quando pertinente, por uma proposta legislativa destinada a alterar a presente diretiva.</w:t>
      </w:r>
      <w:r w:rsidRPr="00AA7DF5">
        <w:rPr>
          <w:szCs w:val="24"/>
          <w:lang w:eastAsia="en-US"/>
        </w:rPr>
        <w:t>»</w:t>
      </w:r>
      <w:r w:rsidR="006E79CF" w:rsidRPr="00AA7DF5">
        <w:rPr>
          <w:szCs w:val="24"/>
          <w:lang w:eastAsia="en-US"/>
        </w:rPr>
        <w:t>;</w:t>
      </w:r>
      <w:r w:rsidR="006E79CF" w:rsidRPr="00AA7DF5">
        <w:rPr>
          <w:b/>
          <w:szCs w:val="24"/>
          <w:lang w:eastAsia="en-US"/>
        </w:rPr>
        <w:t xml:space="preserve"> [Alt. 93]</w:t>
      </w:r>
    </w:p>
    <w:p w14:paraId="6B8DE848" w14:textId="77777777" w:rsidR="006E79CF" w:rsidRPr="00AA7DF5" w:rsidRDefault="006E79CF">
      <w:pPr>
        <w:widowControl/>
        <w:rPr>
          <w:b/>
          <w:i/>
          <w:szCs w:val="24"/>
          <w:lang w:eastAsia="en-US"/>
        </w:rPr>
      </w:pPr>
      <w:r w:rsidRPr="00AA7DF5">
        <w:rPr>
          <w:b/>
          <w:i/>
          <w:szCs w:val="24"/>
          <w:lang w:eastAsia="en-US"/>
        </w:rPr>
        <w:br w:type="page"/>
      </w:r>
    </w:p>
    <w:p w14:paraId="64AABD9F" w14:textId="1B7251E9"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6</w:t>
      </w:r>
      <w:r w:rsidR="006E79CF"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É inserido o seguinte artigo:</w:t>
      </w:r>
    </w:p>
    <w:p w14:paraId="053968AA" w14:textId="0BBD0D12"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6.º-A-C</w:t>
      </w:r>
    </w:p>
    <w:p w14:paraId="0670E474" w14:textId="6676F59F" w:rsidR="002E0FC5" w:rsidRPr="00AA7DF5" w:rsidRDefault="002E0FC5" w:rsidP="002E0FC5">
      <w:pPr>
        <w:spacing w:before="120" w:after="120" w:line="360" w:lineRule="auto"/>
        <w:ind w:left="850"/>
        <w:rPr>
          <w:b/>
          <w:szCs w:val="24"/>
          <w:lang w:eastAsia="en-US"/>
        </w:rPr>
      </w:pPr>
      <w:r w:rsidRPr="00AA7DF5">
        <w:rPr>
          <w:b/>
          <w:i/>
          <w:szCs w:val="24"/>
          <w:lang w:eastAsia="en-US"/>
        </w:rPr>
        <w:t>O mais tardar... [inserir data correspondente ao período de um ano após a data de entrada em vigor da presente diretiva] deve a Comissão apresentar uma avaliação de impacto da inclusão na presente diretiva de um mecanismo de responsabilidade alargada do produtor, destinado a garantir que os produtores que coloquem no mercado produtos contendo quaisquer das substâncias ou compostos enumerados no anexo I, bem como substâncias que suscitem preocupação emergente e constem da lista de vigilância prevista pela presente diretiva, contribuem para os custos dos programas de monitorização concebidos em conformidade com o artigo 8.º da Diretiva 2000/60/CE. A avaliação de impacto é acompanhada, se for caso disso, por uma proposta legislativa destinada a alterar a presente diretiva.</w:t>
      </w:r>
      <w:r w:rsidRPr="00AA7DF5">
        <w:rPr>
          <w:szCs w:val="24"/>
          <w:lang w:eastAsia="en-US"/>
        </w:rPr>
        <w:t>»</w:t>
      </w:r>
      <w:r w:rsidR="006E79CF" w:rsidRPr="00AA7DF5">
        <w:rPr>
          <w:b/>
          <w:szCs w:val="24"/>
          <w:lang w:eastAsia="en-US"/>
        </w:rPr>
        <w:t xml:space="preserve"> [Alt. 94]</w:t>
      </w:r>
    </w:p>
    <w:p w14:paraId="7B800F33" w14:textId="77777777" w:rsidR="006E79CF" w:rsidRPr="00AA7DF5" w:rsidRDefault="006E79CF">
      <w:pPr>
        <w:widowControl/>
        <w:rPr>
          <w:b/>
          <w:i/>
          <w:szCs w:val="24"/>
          <w:lang w:eastAsia="en-US"/>
        </w:rPr>
      </w:pPr>
      <w:r w:rsidRPr="00AA7DF5">
        <w:rPr>
          <w:b/>
          <w:i/>
          <w:szCs w:val="24"/>
          <w:lang w:eastAsia="en-US"/>
        </w:rPr>
        <w:br w:type="page"/>
      </w:r>
    </w:p>
    <w:p w14:paraId="33F8ED70" w14:textId="6EAB3292"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6</w:t>
      </w:r>
      <w:r w:rsidR="006E79CF" w:rsidRPr="00AA7DF5">
        <w:rPr>
          <w:b/>
          <w:i/>
          <w:szCs w:val="24"/>
          <w:lang w:eastAsia="en-US"/>
        </w:rPr>
        <w:t>-D</w:t>
      </w:r>
      <w:r w:rsidRPr="00AA7DF5">
        <w:rPr>
          <w:b/>
          <w:i/>
          <w:szCs w:val="24"/>
          <w:lang w:eastAsia="en-US"/>
        </w:rPr>
        <w:t>)</w:t>
      </w:r>
      <w:r w:rsidRPr="00AA7DF5">
        <w:rPr>
          <w:szCs w:val="24"/>
          <w:lang w:eastAsia="en-US"/>
        </w:rPr>
        <w:tab/>
      </w:r>
      <w:r w:rsidRPr="00AA7DF5">
        <w:rPr>
          <w:b/>
          <w:i/>
          <w:szCs w:val="24"/>
          <w:lang w:eastAsia="en-US"/>
        </w:rPr>
        <w:t>É inserido o seguinte artigo:</w:t>
      </w:r>
    </w:p>
    <w:p w14:paraId="6FB9BD79" w14:textId="77777777"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6.º-A-D</w:t>
      </w:r>
      <w:r w:rsidRPr="00AA7DF5">
        <w:rPr>
          <w:szCs w:val="24"/>
          <w:lang w:eastAsia="en-US"/>
        </w:rPr>
        <w:br/>
      </w:r>
      <w:r w:rsidRPr="00AA7DF5">
        <w:rPr>
          <w:b/>
          <w:i/>
          <w:szCs w:val="24"/>
          <w:lang w:eastAsia="en-US"/>
        </w:rPr>
        <w:t>Mecanismo de monitorização europeu</w:t>
      </w:r>
    </w:p>
    <w:p w14:paraId="43A6B85A" w14:textId="77777777" w:rsidR="002E0FC5" w:rsidRPr="00AA7DF5" w:rsidRDefault="002E0FC5" w:rsidP="002E0FC5">
      <w:pPr>
        <w:spacing w:before="120" w:after="120" w:line="360" w:lineRule="auto"/>
        <w:ind w:left="850"/>
        <w:rPr>
          <w:szCs w:val="24"/>
          <w:lang w:eastAsia="en-US"/>
        </w:rPr>
      </w:pPr>
      <w:r w:rsidRPr="00AA7DF5">
        <w:rPr>
          <w:b/>
          <w:i/>
          <w:szCs w:val="24"/>
          <w:lang w:eastAsia="en-US"/>
        </w:rPr>
        <w:t xml:space="preserve">A Comissão deve criar, até ... [um ano após a data de entrada em vigor da presente diretiva], um mecanismo de monitorização único para gerir as necessidades de controlo na sequência de pedidos formulados pelos Estados‑Membros. </w:t>
      </w:r>
    </w:p>
    <w:p w14:paraId="6DFB3606" w14:textId="77777777" w:rsidR="002E0FC5" w:rsidRPr="00AA7DF5" w:rsidRDefault="002E0FC5" w:rsidP="002E0FC5">
      <w:pPr>
        <w:spacing w:before="120" w:after="120" w:line="360" w:lineRule="auto"/>
        <w:ind w:left="850"/>
        <w:rPr>
          <w:szCs w:val="24"/>
          <w:lang w:eastAsia="en-US"/>
        </w:rPr>
      </w:pPr>
      <w:r w:rsidRPr="00AA7DF5">
        <w:rPr>
          <w:b/>
          <w:i/>
          <w:szCs w:val="24"/>
          <w:lang w:eastAsia="en-US"/>
        </w:rPr>
        <w:t xml:space="preserve">A Comissão deve definir o funcionamento do mecanismo de monitorização, que contemplará, designadamente, os seguintes aspetos: </w:t>
      </w:r>
    </w:p>
    <w:p w14:paraId="59548282"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a)</w:t>
      </w:r>
      <w:r w:rsidRPr="00AA7DF5">
        <w:rPr>
          <w:szCs w:val="24"/>
          <w:lang w:eastAsia="en-US"/>
        </w:rPr>
        <w:tab/>
      </w:r>
      <w:r w:rsidRPr="00AA7DF5">
        <w:rPr>
          <w:b/>
          <w:i/>
          <w:szCs w:val="24"/>
          <w:lang w:eastAsia="en-US"/>
        </w:rPr>
        <w:t xml:space="preserve">A natureza voluntária da utilização do mecanismo de monitorização, sem prejuízo das disposições já adotadas pelos Estados‑Membros; </w:t>
      </w:r>
    </w:p>
    <w:p w14:paraId="1A1F98A9"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b)</w:t>
      </w:r>
      <w:r w:rsidRPr="00AA7DF5">
        <w:rPr>
          <w:szCs w:val="24"/>
          <w:lang w:eastAsia="en-US"/>
        </w:rPr>
        <w:tab/>
      </w:r>
      <w:r w:rsidRPr="00AA7DF5">
        <w:rPr>
          <w:b/>
          <w:i/>
          <w:szCs w:val="24"/>
          <w:lang w:eastAsia="en-US"/>
        </w:rPr>
        <w:t>Os procedimentos operacionais para os Estados‑Membros que tencionem recorrer ao mecanismo de monitorização, que deverá, designadamente, incluir a notificação obrigatória da Comissão sobre as suas exatas necessidades ou capacidades de monitorização, os protocolos exatos para a gestão de amostras e o período durante o qual tencionam continuar a fazer parte do mecanismo;</w:t>
      </w:r>
    </w:p>
    <w:p w14:paraId="4BB44A74" w14:textId="77777777" w:rsidR="006E79CF" w:rsidRPr="00AA7DF5" w:rsidRDefault="006E79CF">
      <w:pPr>
        <w:widowControl/>
        <w:rPr>
          <w:b/>
          <w:i/>
          <w:szCs w:val="24"/>
          <w:lang w:eastAsia="en-US"/>
        </w:rPr>
      </w:pPr>
      <w:r w:rsidRPr="00AA7DF5">
        <w:rPr>
          <w:b/>
          <w:i/>
          <w:szCs w:val="24"/>
          <w:lang w:eastAsia="en-US"/>
        </w:rPr>
        <w:br w:type="page"/>
      </w:r>
    </w:p>
    <w:p w14:paraId="4930404B" w14:textId="0B8D7FE8" w:rsidR="002E0FC5" w:rsidRPr="00AA7DF5" w:rsidRDefault="002E0FC5" w:rsidP="002E0FC5">
      <w:pPr>
        <w:spacing w:before="120" w:after="120" w:line="360" w:lineRule="auto"/>
        <w:ind w:left="1416" w:hanging="566"/>
        <w:rPr>
          <w:b/>
          <w:szCs w:val="24"/>
          <w:lang w:eastAsia="en-US"/>
        </w:rPr>
      </w:pPr>
      <w:r w:rsidRPr="00AA7DF5">
        <w:rPr>
          <w:b/>
          <w:i/>
          <w:szCs w:val="24"/>
          <w:lang w:eastAsia="en-US"/>
        </w:rPr>
        <w:lastRenderedPageBreak/>
        <w:t>c)</w:t>
      </w:r>
      <w:r w:rsidRPr="00AA7DF5">
        <w:rPr>
          <w:szCs w:val="24"/>
          <w:lang w:eastAsia="en-US"/>
        </w:rPr>
        <w:tab/>
      </w:r>
      <w:r w:rsidRPr="00AA7DF5">
        <w:rPr>
          <w:b/>
          <w:i/>
          <w:szCs w:val="24"/>
          <w:lang w:eastAsia="en-US"/>
        </w:rPr>
        <w:t>As fontes de financiamento, que podem incluir programas e fundos estruturais relevantes da UE, bem como contributos do setor privado, inclusivamente ao abrigo do mecanismo de responsabilidade alargada do produtor, assim que passe a existir nos termos do artigo 6.º‑A‑C.</w:t>
      </w:r>
      <w:r w:rsidRPr="00AA7DF5">
        <w:rPr>
          <w:szCs w:val="24"/>
          <w:lang w:eastAsia="en-US"/>
        </w:rPr>
        <w:t>»</w:t>
      </w:r>
      <w:r w:rsidR="006E79CF" w:rsidRPr="00AA7DF5">
        <w:rPr>
          <w:szCs w:val="24"/>
          <w:lang w:eastAsia="en-US"/>
        </w:rPr>
        <w:t>;</w:t>
      </w:r>
      <w:r w:rsidR="006E79CF" w:rsidRPr="00AA7DF5">
        <w:rPr>
          <w:b/>
          <w:szCs w:val="24"/>
          <w:lang w:eastAsia="en-US"/>
        </w:rPr>
        <w:t xml:space="preserve"> [Alt. 95]</w:t>
      </w:r>
    </w:p>
    <w:p w14:paraId="5B1F603A"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7)</w:t>
      </w:r>
      <w:r w:rsidRPr="00AA7DF5">
        <w:rPr>
          <w:szCs w:val="24"/>
          <w:lang w:eastAsia="en-US"/>
        </w:rPr>
        <w:tab/>
        <w:t>O artigo 8.º passa a ter a seguinte redação:</w:t>
      </w:r>
    </w:p>
    <w:p w14:paraId="5DBB68E3"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8.º</w:t>
      </w:r>
    </w:p>
    <w:p w14:paraId="79B3A1CE" w14:textId="77777777" w:rsidR="002E0FC5" w:rsidRPr="00AA7DF5" w:rsidRDefault="002E0FC5" w:rsidP="002E0FC5">
      <w:pPr>
        <w:spacing w:before="120" w:after="120" w:line="360" w:lineRule="auto"/>
        <w:ind w:left="850"/>
        <w:rPr>
          <w:szCs w:val="24"/>
          <w:lang w:eastAsia="en-US"/>
        </w:rPr>
      </w:pPr>
      <w:r w:rsidRPr="00AA7DF5">
        <w:rPr>
          <w:szCs w:val="24"/>
          <w:lang w:eastAsia="en-US"/>
        </w:rPr>
        <w:t>Revisão dos Anexos I a IV</w:t>
      </w:r>
    </w:p>
    <w:p w14:paraId="7B5357C4" w14:textId="59283FC8" w:rsidR="002E0FC5" w:rsidRPr="00AA7DF5" w:rsidRDefault="002E0FC5" w:rsidP="002E0FC5">
      <w:pPr>
        <w:spacing w:before="120" w:after="120" w:line="360" w:lineRule="auto"/>
        <w:ind w:left="1416" w:hanging="566"/>
        <w:rPr>
          <w:b/>
          <w:szCs w:val="24"/>
          <w:lang w:eastAsia="en-US"/>
        </w:rPr>
      </w:pPr>
      <w:r w:rsidRPr="00AA7DF5">
        <w:rPr>
          <w:szCs w:val="24"/>
          <w:lang w:eastAsia="en-US"/>
        </w:rPr>
        <w:t>1.</w:t>
      </w:r>
      <w:r w:rsidRPr="00AA7DF5">
        <w:rPr>
          <w:szCs w:val="24"/>
          <w:lang w:eastAsia="en-US"/>
        </w:rPr>
        <w:tab/>
        <w:t xml:space="preserve">A Comissão revê, pela primeira vez até [Serviço das Publicações: inserir a data correspondente a </w:t>
      </w:r>
      <w:proofErr w:type="spellStart"/>
      <w:r w:rsidRPr="00AA7DF5">
        <w:rPr>
          <w:strike/>
          <w:szCs w:val="24"/>
          <w:lang w:eastAsia="en-US"/>
        </w:rPr>
        <w:t>seis</w:t>
      </w:r>
      <w:r w:rsidRPr="00AA7DF5">
        <w:rPr>
          <w:b/>
          <w:i/>
          <w:szCs w:val="24"/>
          <w:lang w:eastAsia="en-US"/>
        </w:rPr>
        <w:t>quatro</w:t>
      </w:r>
      <w:proofErr w:type="spellEnd"/>
      <w:r w:rsidRPr="00AA7DF5">
        <w:rPr>
          <w:szCs w:val="24"/>
          <w:lang w:eastAsia="en-US"/>
        </w:rPr>
        <w:t xml:space="preserve"> anos após a data de entrada em vigor da presente diretiva] e, posteriormente, de </w:t>
      </w:r>
      <w:r w:rsidRPr="00AA7DF5">
        <w:rPr>
          <w:strike/>
          <w:szCs w:val="24"/>
          <w:lang w:eastAsia="en-US"/>
        </w:rPr>
        <w:t xml:space="preserve">seis em </w:t>
      </w:r>
      <w:proofErr w:type="spellStart"/>
      <w:r w:rsidRPr="00AA7DF5">
        <w:rPr>
          <w:strike/>
          <w:szCs w:val="24"/>
          <w:lang w:eastAsia="en-US"/>
        </w:rPr>
        <w:t>seis</w:t>
      </w:r>
      <w:r w:rsidRPr="00AA7DF5">
        <w:rPr>
          <w:b/>
          <w:i/>
          <w:szCs w:val="24"/>
          <w:lang w:eastAsia="en-US"/>
        </w:rPr>
        <w:t>quatro</w:t>
      </w:r>
      <w:proofErr w:type="spellEnd"/>
      <w:r w:rsidRPr="00AA7DF5">
        <w:rPr>
          <w:b/>
          <w:i/>
          <w:szCs w:val="24"/>
          <w:lang w:eastAsia="en-US"/>
        </w:rPr>
        <w:t xml:space="preserve"> em quatro</w:t>
      </w:r>
      <w:r w:rsidRPr="00AA7DF5">
        <w:rPr>
          <w:szCs w:val="24"/>
          <w:lang w:eastAsia="en-US"/>
        </w:rPr>
        <w:t xml:space="preserve"> anos, a lista de poluentes estabelecida no Anexo I, as normas de qualidade para esses poluentes estabelecidas no mesmo Anexo e a lista de poluentes e indicadores estabelecida no Anexo II, Parte B.</w:t>
      </w:r>
      <w:r w:rsidR="00BC3F23" w:rsidRPr="00AA7DF5">
        <w:rPr>
          <w:b/>
          <w:szCs w:val="24"/>
          <w:lang w:eastAsia="en-US"/>
        </w:rPr>
        <w:t xml:space="preserve"> [Alt. 96]</w:t>
      </w:r>
    </w:p>
    <w:p w14:paraId="0DFF0EEA" w14:textId="77777777" w:rsidR="00BC3F23" w:rsidRPr="00AA7DF5" w:rsidRDefault="00BC3F23">
      <w:pPr>
        <w:widowControl/>
        <w:rPr>
          <w:szCs w:val="24"/>
          <w:lang w:eastAsia="en-US"/>
        </w:rPr>
      </w:pPr>
      <w:r w:rsidRPr="00AA7DF5">
        <w:rPr>
          <w:szCs w:val="24"/>
          <w:lang w:eastAsia="en-US"/>
        </w:rPr>
        <w:br w:type="page"/>
      </w:r>
    </w:p>
    <w:p w14:paraId="475AE4D3" w14:textId="765EEB60"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2.</w:t>
      </w:r>
      <w:r w:rsidRPr="00AA7DF5">
        <w:rPr>
          <w:szCs w:val="24"/>
          <w:lang w:eastAsia="en-US"/>
        </w:rPr>
        <w:tab/>
      </w:r>
      <w:r w:rsidRPr="00AA7DF5">
        <w:rPr>
          <w:b/>
          <w:i/>
          <w:szCs w:val="24"/>
          <w:lang w:eastAsia="en-US"/>
        </w:rPr>
        <w:t xml:space="preserve">Com base na revisão, </w:t>
      </w:r>
      <w:r w:rsidRPr="00AA7DF5">
        <w:rPr>
          <w:szCs w:val="24"/>
          <w:lang w:eastAsia="en-US"/>
        </w:rPr>
        <w:t xml:space="preserve">a Comissão </w:t>
      </w:r>
      <w:r w:rsidRPr="00AA7DF5">
        <w:rPr>
          <w:strike/>
          <w:szCs w:val="24"/>
          <w:lang w:eastAsia="en-US"/>
        </w:rPr>
        <w:t>fica habilitada a adotar atos delegados nos termos do artigo 8.º-A</w:t>
      </w:r>
      <w:r w:rsidRPr="00AA7DF5">
        <w:rPr>
          <w:b/>
          <w:i/>
          <w:szCs w:val="24"/>
          <w:lang w:eastAsia="en-US"/>
        </w:rPr>
        <w:t>deve, se for caso disso, apresentar propostas legislativas</w:t>
      </w:r>
      <w:r w:rsidRPr="00AA7DF5">
        <w:rPr>
          <w:szCs w:val="24"/>
          <w:lang w:eastAsia="en-US"/>
        </w:rPr>
        <w:t xml:space="preserve"> para alterar o Anexo I a fim de o adaptar ao progresso técnico e científico acrescentando ou suprimindo poluentes das águas subterrâneas e normas de qualidade para esses poluentes estabelecidas no mesmo Anexo</w:t>
      </w:r>
      <w:r w:rsidRPr="00AA7DF5">
        <w:rPr>
          <w:b/>
          <w:i/>
          <w:szCs w:val="24"/>
          <w:lang w:eastAsia="en-US"/>
        </w:rPr>
        <w:t>. A Comissão fica habilitada a adotar atos delegados nos termos do artigo 8.º-A</w:t>
      </w:r>
      <w:r w:rsidRPr="00AA7DF5">
        <w:rPr>
          <w:strike/>
          <w:szCs w:val="24"/>
          <w:lang w:eastAsia="en-US"/>
        </w:rPr>
        <w:t xml:space="preserve"> e</w:t>
      </w:r>
      <w:r w:rsidRPr="00AA7DF5">
        <w:rPr>
          <w:szCs w:val="24"/>
          <w:lang w:eastAsia="en-US"/>
        </w:rPr>
        <w:t xml:space="preserve"> para alterar a Parte B</w:t>
      </w:r>
      <w:r w:rsidRPr="00AA7DF5">
        <w:rPr>
          <w:b/>
          <w:i/>
          <w:szCs w:val="24"/>
          <w:lang w:eastAsia="en-US"/>
        </w:rPr>
        <w:t xml:space="preserve"> do Anexo II,</w:t>
      </w:r>
      <w:r w:rsidRPr="00AA7DF5">
        <w:rPr>
          <w:szCs w:val="24"/>
          <w:lang w:eastAsia="en-US"/>
        </w:rPr>
        <w:t xml:space="preserve"> a fim de a adaptar ao progresso técnico e científico</w:t>
      </w:r>
      <w:r w:rsidRPr="00AA7DF5">
        <w:rPr>
          <w:b/>
          <w:i/>
          <w:szCs w:val="24"/>
          <w:lang w:eastAsia="en-US"/>
        </w:rPr>
        <w:t>,</w:t>
      </w:r>
      <w:r w:rsidRPr="00AA7DF5">
        <w:rPr>
          <w:szCs w:val="24"/>
          <w:lang w:eastAsia="en-US"/>
        </w:rPr>
        <w:t xml:space="preserve"> acrescentando poluentes ou indicadores para os quais os Estados-Membros devem ponderar o estabelecimento de limiares nacionais.</w:t>
      </w:r>
      <w:r w:rsidR="00BC3F23" w:rsidRPr="00AA7DF5">
        <w:rPr>
          <w:b/>
          <w:szCs w:val="24"/>
          <w:lang w:eastAsia="en-US"/>
        </w:rPr>
        <w:t xml:space="preserve"> [Alt. 97]</w:t>
      </w:r>
    </w:p>
    <w:p w14:paraId="05095EC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A Comissão fica habilitada a adotar atos delegados nos termos do artigo 8.º-A para alterar o Anexo II, Parte D, a fim de o adaptar ao progresso científico e técnico, acrescentando ou alterando limiares harmonizados para um ou mais poluentes enumerados na Parte B do mesmo anexo.</w:t>
      </w:r>
    </w:p>
    <w:p w14:paraId="5385AFE4" w14:textId="25699B2A" w:rsidR="002E0FC5" w:rsidRPr="00AA7DF5" w:rsidRDefault="002E0FC5" w:rsidP="002E0FC5">
      <w:pPr>
        <w:spacing w:before="120" w:after="120" w:line="360" w:lineRule="auto"/>
        <w:ind w:left="1416" w:hanging="566"/>
        <w:rPr>
          <w:b/>
          <w:szCs w:val="24"/>
          <w:lang w:eastAsia="en-US"/>
        </w:rPr>
      </w:pPr>
      <w:r w:rsidRPr="00AA7DF5">
        <w:rPr>
          <w:szCs w:val="24"/>
          <w:lang w:eastAsia="en-US"/>
        </w:rPr>
        <w:t>4.</w:t>
      </w:r>
      <w:r w:rsidRPr="00AA7DF5">
        <w:rPr>
          <w:szCs w:val="24"/>
          <w:lang w:eastAsia="en-US"/>
        </w:rPr>
        <w:tab/>
        <w:t>Ao adotar</w:t>
      </w:r>
      <w:r w:rsidRPr="00AA7DF5">
        <w:rPr>
          <w:b/>
          <w:i/>
          <w:szCs w:val="24"/>
          <w:lang w:eastAsia="en-US"/>
        </w:rPr>
        <w:t xml:space="preserve"> as propostas legislativas e</w:t>
      </w:r>
      <w:r w:rsidRPr="00AA7DF5">
        <w:rPr>
          <w:szCs w:val="24"/>
          <w:lang w:eastAsia="en-US"/>
        </w:rPr>
        <w:t xml:space="preserve"> os atos delegados a que se referem os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2 e 3, a Comissão tem em conta os relatórios científicos elaborados pela ECHA nos termos do n.º 6 do presente artigo.</w:t>
      </w:r>
      <w:r w:rsidR="00BC3F23" w:rsidRPr="00AA7DF5">
        <w:rPr>
          <w:b/>
          <w:szCs w:val="24"/>
          <w:lang w:eastAsia="en-US"/>
        </w:rPr>
        <w:t xml:space="preserve"> [Alt. 98]</w:t>
      </w:r>
    </w:p>
    <w:p w14:paraId="420B3537" w14:textId="77777777" w:rsidR="00BC3F23" w:rsidRPr="00AA7DF5" w:rsidRDefault="00BC3F23">
      <w:pPr>
        <w:widowControl/>
        <w:rPr>
          <w:szCs w:val="24"/>
          <w:lang w:eastAsia="en-US"/>
        </w:rPr>
      </w:pPr>
      <w:r w:rsidRPr="00AA7DF5">
        <w:rPr>
          <w:szCs w:val="24"/>
          <w:lang w:eastAsia="en-US"/>
        </w:rPr>
        <w:br w:type="page"/>
      </w:r>
    </w:p>
    <w:p w14:paraId="4AB98F20" w14:textId="5F72614A"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5.</w:t>
      </w:r>
      <w:r w:rsidRPr="00AA7DF5">
        <w:rPr>
          <w:szCs w:val="24"/>
          <w:lang w:eastAsia="en-US"/>
        </w:rPr>
        <w:tab/>
        <w:t>A Comissão fica habilitada a adotar atos delegados nos termos do artigo 8.º-A para alterar o Anexo II, Partes A e C, e os Anexos III e IV a fim de os adaptar ao progresso científico e técnico.</w:t>
      </w:r>
    </w:p>
    <w:p w14:paraId="4BB49B89"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6.</w:t>
      </w:r>
      <w:r w:rsidRPr="00AA7DF5">
        <w:rPr>
          <w:szCs w:val="24"/>
          <w:lang w:eastAsia="en-US"/>
        </w:rPr>
        <w:tab/>
        <w:t>A ECHA deve elaborar relatórios científicos para assistir a Comissão no que respeita à revisão dos Anexos I e II. Esses relatórios devem ter em conta os seguintes elementos:</w:t>
      </w:r>
    </w:p>
    <w:p w14:paraId="6ABFB999"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Os pareceres do Comité de Avaliação dos Riscos e do Comité de Análise Socioeconómica da ECHA;</w:t>
      </w:r>
    </w:p>
    <w:p w14:paraId="584012D3"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Os resultados dos programas de monitorização estabelecidos em conformidade com o artigo 8.º da Diretiva 2000/60/CE;</w:t>
      </w:r>
    </w:p>
    <w:p w14:paraId="2D1F063D"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c)</w:t>
      </w:r>
      <w:r w:rsidRPr="00AA7DF5">
        <w:rPr>
          <w:szCs w:val="24"/>
          <w:lang w:eastAsia="en-US"/>
        </w:rPr>
        <w:tab/>
        <w:t>Os dados de monitorização recolhidos em conformidade com o artigo 6.º-A, n.º 4, da presente diretiva;</w:t>
      </w:r>
    </w:p>
    <w:p w14:paraId="1A3F26FB"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d)</w:t>
      </w:r>
      <w:r w:rsidRPr="00AA7DF5">
        <w:rPr>
          <w:szCs w:val="24"/>
          <w:lang w:eastAsia="en-US"/>
        </w:rPr>
        <w:tab/>
        <w:t>Os resultados das revisões dos Anexos das Diretivas 2008/105/CE e (UE) 2020/2184;</w:t>
      </w:r>
    </w:p>
    <w:p w14:paraId="3EE56532" w14:textId="77777777" w:rsidR="00BC3F23" w:rsidRPr="00AA7DF5" w:rsidRDefault="00BC3F23">
      <w:pPr>
        <w:widowControl/>
        <w:rPr>
          <w:szCs w:val="24"/>
          <w:lang w:eastAsia="en-US"/>
        </w:rPr>
      </w:pPr>
      <w:r w:rsidRPr="00AA7DF5">
        <w:rPr>
          <w:szCs w:val="24"/>
          <w:lang w:eastAsia="en-US"/>
        </w:rPr>
        <w:br w:type="page"/>
      </w:r>
    </w:p>
    <w:p w14:paraId="03C73657" w14:textId="430556F2"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e)</w:t>
      </w:r>
      <w:r w:rsidRPr="00AA7DF5">
        <w:rPr>
          <w:szCs w:val="24"/>
          <w:lang w:eastAsia="en-US"/>
        </w:rPr>
        <w:tab/>
        <w:t>Informações e requisitos para combater a poluição do solo;</w:t>
      </w:r>
    </w:p>
    <w:p w14:paraId="0C7C6234" w14:textId="7548EA42" w:rsidR="002E0FC5" w:rsidRPr="00AA7DF5" w:rsidRDefault="002E0FC5" w:rsidP="002E0FC5">
      <w:pPr>
        <w:spacing w:before="120" w:after="120" w:line="360" w:lineRule="auto"/>
        <w:ind w:left="1982" w:hanging="566"/>
        <w:rPr>
          <w:b/>
          <w:szCs w:val="24"/>
          <w:lang w:eastAsia="en-US"/>
        </w:rPr>
      </w:pPr>
      <w:r w:rsidRPr="00AA7DF5">
        <w:rPr>
          <w:szCs w:val="24"/>
          <w:lang w:eastAsia="en-US"/>
        </w:rPr>
        <w:t>f)</w:t>
      </w:r>
      <w:r w:rsidRPr="00AA7DF5">
        <w:rPr>
          <w:szCs w:val="24"/>
          <w:lang w:eastAsia="en-US"/>
        </w:rPr>
        <w:tab/>
        <w:t>Programas de investigação da União e publicações científicas, incluindo informações</w:t>
      </w:r>
      <w:r w:rsidRPr="00AA7DF5">
        <w:rPr>
          <w:b/>
          <w:i/>
          <w:szCs w:val="24"/>
          <w:lang w:eastAsia="en-US"/>
        </w:rPr>
        <w:t xml:space="preserve"> atualizadas</w:t>
      </w:r>
      <w:r w:rsidRPr="00AA7DF5">
        <w:rPr>
          <w:szCs w:val="24"/>
          <w:lang w:eastAsia="en-US"/>
        </w:rPr>
        <w:t xml:space="preserve"> resultantes de tecnologias de teledeteção, de observação da Terra (serviços </w:t>
      </w:r>
      <w:proofErr w:type="spellStart"/>
      <w:r w:rsidRPr="00AA7DF5">
        <w:rPr>
          <w:szCs w:val="24"/>
          <w:lang w:eastAsia="en-US"/>
        </w:rPr>
        <w:t>Copernicus</w:t>
      </w:r>
      <w:proofErr w:type="spellEnd"/>
      <w:r w:rsidRPr="00AA7DF5">
        <w:rPr>
          <w:szCs w:val="24"/>
          <w:lang w:eastAsia="en-US"/>
        </w:rPr>
        <w:t xml:space="preserve">) e de sensores e dispositivos </w:t>
      </w:r>
      <w:r w:rsidRPr="00AA7DF5">
        <w:rPr>
          <w:i/>
          <w:szCs w:val="24"/>
          <w:lang w:eastAsia="en-US"/>
        </w:rPr>
        <w:t>in situ</w:t>
      </w:r>
      <w:r w:rsidRPr="00AA7DF5">
        <w:rPr>
          <w:szCs w:val="24"/>
          <w:lang w:eastAsia="en-US"/>
        </w:rPr>
        <w:t xml:space="preserve"> e/ou dados da ciência cidadã, tirando partido das oportunidades proporcionadas </w:t>
      </w:r>
      <w:proofErr w:type="spellStart"/>
      <w:r w:rsidRPr="00AA7DF5">
        <w:rPr>
          <w:strike/>
          <w:szCs w:val="24"/>
          <w:lang w:eastAsia="en-US"/>
        </w:rPr>
        <w:t>pela</w:t>
      </w:r>
      <w:r w:rsidRPr="00AA7DF5">
        <w:rPr>
          <w:b/>
          <w:i/>
          <w:szCs w:val="24"/>
          <w:lang w:eastAsia="en-US"/>
        </w:rPr>
        <w:t>pelas</w:t>
      </w:r>
      <w:proofErr w:type="spellEnd"/>
      <w:r w:rsidRPr="00AA7DF5">
        <w:rPr>
          <w:b/>
          <w:i/>
          <w:szCs w:val="24"/>
          <w:lang w:eastAsia="en-US"/>
        </w:rPr>
        <w:t xml:space="preserve"> melhores técnicas disponíveis, que podem incluir a</w:t>
      </w:r>
      <w:r w:rsidRPr="00AA7DF5">
        <w:rPr>
          <w:szCs w:val="24"/>
          <w:lang w:eastAsia="en-US"/>
        </w:rPr>
        <w:t xml:space="preserve"> inteligência artificial e </w:t>
      </w:r>
      <w:proofErr w:type="spellStart"/>
      <w:r w:rsidRPr="00AA7DF5">
        <w:rPr>
          <w:strike/>
          <w:szCs w:val="24"/>
          <w:lang w:eastAsia="en-US"/>
        </w:rPr>
        <w:t>pela</w:t>
      </w:r>
      <w:r w:rsidRPr="00AA7DF5">
        <w:rPr>
          <w:b/>
          <w:i/>
          <w:szCs w:val="24"/>
          <w:lang w:eastAsia="en-US"/>
        </w:rPr>
        <w:t>a</w:t>
      </w:r>
      <w:proofErr w:type="spellEnd"/>
      <w:r w:rsidRPr="00AA7DF5">
        <w:rPr>
          <w:szCs w:val="24"/>
          <w:lang w:eastAsia="en-US"/>
        </w:rPr>
        <w:t xml:space="preserve"> análise e tratamento avançados de dados;</w:t>
      </w:r>
      <w:r w:rsidR="00BC3F23" w:rsidRPr="00AA7DF5">
        <w:rPr>
          <w:b/>
          <w:szCs w:val="24"/>
          <w:lang w:eastAsia="en-US"/>
        </w:rPr>
        <w:t xml:space="preserve"> [Alt. 99]</w:t>
      </w:r>
    </w:p>
    <w:p w14:paraId="1AD01A04" w14:textId="1EC7A40F" w:rsidR="002E0FC5" w:rsidRPr="00AA7DF5" w:rsidRDefault="002E0FC5" w:rsidP="002E0FC5">
      <w:pPr>
        <w:spacing w:before="120" w:after="120" w:line="360" w:lineRule="auto"/>
        <w:ind w:left="1982" w:hanging="566"/>
        <w:rPr>
          <w:b/>
          <w:szCs w:val="24"/>
          <w:lang w:eastAsia="en-US"/>
        </w:rPr>
      </w:pPr>
      <w:r w:rsidRPr="00AA7DF5">
        <w:rPr>
          <w:szCs w:val="24"/>
          <w:lang w:eastAsia="en-US"/>
        </w:rPr>
        <w:t>g)</w:t>
      </w:r>
      <w:r w:rsidRPr="00AA7DF5">
        <w:rPr>
          <w:szCs w:val="24"/>
          <w:lang w:eastAsia="en-US"/>
        </w:rPr>
        <w:tab/>
        <w:t>Observações e informações das partes interessadas</w:t>
      </w:r>
      <w:r w:rsidRPr="00AA7DF5">
        <w:rPr>
          <w:b/>
          <w:i/>
          <w:szCs w:val="24"/>
          <w:lang w:eastAsia="en-US"/>
        </w:rPr>
        <w:t>, nomeadamente das autoridades reguladoras nacionais e de outros organismos pertinentes</w:t>
      </w:r>
      <w:r w:rsidRPr="00AA7DF5">
        <w:rPr>
          <w:szCs w:val="24"/>
          <w:lang w:eastAsia="en-US"/>
        </w:rPr>
        <w:t>.</w:t>
      </w:r>
      <w:r w:rsidR="00BC3F23" w:rsidRPr="00AA7DF5">
        <w:rPr>
          <w:b/>
          <w:szCs w:val="24"/>
          <w:lang w:eastAsia="en-US"/>
        </w:rPr>
        <w:t xml:space="preserve"> [Alt. 100]</w:t>
      </w:r>
    </w:p>
    <w:p w14:paraId="3C82DCFA" w14:textId="38BFEC5F" w:rsidR="002E0FC5" w:rsidRPr="00AA7DF5" w:rsidRDefault="002E0FC5" w:rsidP="002E0FC5">
      <w:pPr>
        <w:spacing w:before="120" w:after="120" w:line="360" w:lineRule="auto"/>
        <w:ind w:left="1416" w:hanging="566"/>
        <w:rPr>
          <w:b/>
          <w:szCs w:val="24"/>
          <w:lang w:eastAsia="en-US"/>
        </w:rPr>
      </w:pPr>
      <w:r w:rsidRPr="00AA7DF5">
        <w:rPr>
          <w:b/>
          <w:i/>
          <w:szCs w:val="24"/>
          <w:lang w:eastAsia="en-US"/>
        </w:rPr>
        <w:t>6</w:t>
      </w:r>
      <w:r w:rsidR="00BC3F23"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 xml:space="preserve">Até 12 de janeiro de 2025, a Comissão elabora orientações técnicas relativas aos métodos de análise para a monitorização das substâncias </w:t>
      </w:r>
      <w:proofErr w:type="spellStart"/>
      <w:r w:rsidRPr="00AA7DF5">
        <w:rPr>
          <w:b/>
          <w:i/>
          <w:szCs w:val="24"/>
          <w:lang w:eastAsia="en-US"/>
        </w:rPr>
        <w:t>perfluoroalquiladas</w:t>
      </w:r>
      <w:proofErr w:type="spellEnd"/>
      <w:r w:rsidRPr="00AA7DF5">
        <w:rPr>
          <w:b/>
          <w:i/>
          <w:szCs w:val="24"/>
          <w:lang w:eastAsia="en-US"/>
        </w:rPr>
        <w:t xml:space="preserve"> e </w:t>
      </w:r>
      <w:proofErr w:type="spellStart"/>
      <w:r w:rsidRPr="00AA7DF5">
        <w:rPr>
          <w:b/>
          <w:i/>
          <w:szCs w:val="24"/>
          <w:lang w:eastAsia="en-US"/>
        </w:rPr>
        <w:t>polifluoroalquiladas</w:t>
      </w:r>
      <w:proofErr w:type="spellEnd"/>
      <w:r w:rsidRPr="00AA7DF5">
        <w:rPr>
          <w:b/>
          <w:i/>
          <w:szCs w:val="24"/>
          <w:lang w:eastAsia="en-US"/>
        </w:rPr>
        <w:t xml:space="preserve"> no âmbito do parâmetro «Total de PFAS». A Comissão fica habilitada a adotar atos delegados em conformidade com o artigo 8.º‑A, a fim de alterar a presente diretiva, estabelecendo uma norma de qualidade para o «total de FPAS» e alterando o Anexo I em conformidade. A Comissão adota esses atos delegados até 12 de janeiro de 2026.</w:t>
      </w:r>
      <w:r w:rsidR="00BC3F23" w:rsidRPr="00AA7DF5">
        <w:rPr>
          <w:b/>
          <w:szCs w:val="24"/>
          <w:lang w:eastAsia="en-US"/>
        </w:rPr>
        <w:t xml:space="preserve"> [Alt. 101]</w:t>
      </w:r>
    </w:p>
    <w:p w14:paraId="0CC5B083" w14:textId="77777777" w:rsidR="00BC3F23" w:rsidRPr="00AA7DF5" w:rsidRDefault="00BC3F23">
      <w:pPr>
        <w:widowControl/>
        <w:rPr>
          <w:szCs w:val="24"/>
          <w:lang w:eastAsia="en-US"/>
        </w:rPr>
      </w:pPr>
      <w:r w:rsidRPr="00AA7DF5">
        <w:rPr>
          <w:szCs w:val="24"/>
          <w:lang w:eastAsia="en-US"/>
        </w:rPr>
        <w:br w:type="page"/>
      </w:r>
    </w:p>
    <w:p w14:paraId="03642E47" w14:textId="140367AE"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7.</w:t>
      </w:r>
      <w:r w:rsidRPr="00AA7DF5">
        <w:rPr>
          <w:szCs w:val="24"/>
          <w:lang w:eastAsia="en-US"/>
        </w:rPr>
        <w:tab/>
        <w:t xml:space="preserve">De </w:t>
      </w:r>
      <w:r w:rsidRPr="00AA7DF5">
        <w:rPr>
          <w:strike/>
          <w:szCs w:val="24"/>
          <w:lang w:eastAsia="en-US"/>
        </w:rPr>
        <w:t xml:space="preserve">seis em </w:t>
      </w:r>
      <w:proofErr w:type="spellStart"/>
      <w:r w:rsidRPr="00AA7DF5">
        <w:rPr>
          <w:strike/>
          <w:szCs w:val="24"/>
          <w:lang w:eastAsia="en-US"/>
        </w:rPr>
        <w:t>seis</w:t>
      </w:r>
      <w:r w:rsidRPr="00AA7DF5">
        <w:rPr>
          <w:b/>
          <w:i/>
          <w:szCs w:val="24"/>
          <w:lang w:eastAsia="en-US"/>
        </w:rPr>
        <w:t>quatro</w:t>
      </w:r>
      <w:proofErr w:type="spellEnd"/>
      <w:r w:rsidRPr="00AA7DF5">
        <w:rPr>
          <w:b/>
          <w:i/>
          <w:szCs w:val="24"/>
          <w:lang w:eastAsia="en-US"/>
        </w:rPr>
        <w:t xml:space="preserve"> em quatro</w:t>
      </w:r>
      <w:r w:rsidRPr="00AA7DF5">
        <w:rPr>
          <w:szCs w:val="24"/>
          <w:lang w:eastAsia="en-US"/>
        </w:rPr>
        <w:t xml:space="preserve"> anos, a ECHA deve elaborar e disponibilizar ao público um relatório de síntese das conclusões da revisão a que se referem os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2 e 3. O primeiro relatório é apresentado à Comissão em... [Serviço das Publicações: inserir a data correspondente a </w:t>
      </w:r>
      <w:proofErr w:type="spellStart"/>
      <w:r w:rsidRPr="00AA7DF5">
        <w:rPr>
          <w:strike/>
          <w:szCs w:val="24"/>
          <w:lang w:eastAsia="en-US"/>
        </w:rPr>
        <w:t>cinco</w:t>
      </w:r>
      <w:r w:rsidRPr="00AA7DF5">
        <w:rPr>
          <w:b/>
          <w:i/>
          <w:szCs w:val="24"/>
          <w:lang w:eastAsia="en-US"/>
        </w:rPr>
        <w:t>três</w:t>
      </w:r>
      <w:proofErr w:type="spellEnd"/>
      <w:r w:rsidRPr="00AA7DF5">
        <w:rPr>
          <w:szCs w:val="24"/>
          <w:lang w:eastAsia="en-US"/>
        </w:rPr>
        <w:t xml:space="preserve"> anos após a data de entrada em vigor da presente diretiva].»</w:t>
      </w:r>
      <w:r w:rsidR="00BC3F23" w:rsidRPr="00AA7DF5">
        <w:rPr>
          <w:b/>
          <w:szCs w:val="24"/>
          <w:lang w:eastAsia="en-US"/>
        </w:rPr>
        <w:t xml:space="preserve"> [Alt. 102]</w:t>
      </w:r>
    </w:p>
    <w:p w14:paraId="355009E6"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8)</w:t>
      </w:r>
      <w:r w:rsidRPr="00AA7DF5">
        <w:rPr>
          <w:szCs w:val="24"/>
          <w:lang w:eastAsia="en-US"/>
        </w:rPr>
        <w:tab/>
        <w:t>É inserido o seguinte artigo 8.º-A:</w:t>
      </w:r>
    </w:p>
    <w:p w14:paraId="5A98878E"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8.º-A</w:t>
      </w:r>
    </w:p>
    <w:p w14:paraId="28954BF9" w14:textId="77777777" w:rsidR="002E0FC5" w:rsidRPr="00AA7DF5" w:rsidRDefault="002E0FC5" w:rsidP="002E0FC5">
      <w:pPr>
        <w:spacing w:before="120" w:after="120" w:line="360" w:lineRule="auto"/>
        <w:ind w:left="850"/>
        <w:rPr>
          <w:szCs w:val="24"/>
          <w:lang w:eastAsia="en-US"/>
        </w:rPr>
      </w:pPr>
      <w:r w:rsidRPr="00AA7DF5">
        <w:rPr>
          <w:szCs w:val="24"/>
          <w:lang w:eastAsia="en-US"/>
        </w:rPr>
        <w:t>Exercício da delegação</w:t>
      </w:r>
    </w:p>
    <w:p w14:paraId="02904CD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O poder de adotar atos delegados é conferido à Comissão nas condições estabelecidas no presente artigo.</w:t>
      </w:r>
    </w:p>
    <w:p w14:paraId="74E00B6C" w14:textId="3E2E4670" w:rsidR="002E0FC5" w:rsidRPr="00AA7DF5" w:rsidRDefault="002E0FC5" w:rsidP="002E0FC5">
      <w:pPr>
        <w:spacing w:before="120" w:after="120" w:line="360" w:lineRule="auto"/>
        <w:ind w:left="1416" w:hanging="566"/>
        <w:rPr>
          <w:b/>
          <w:szCs w:val="24"/>
          <w:lang w:eastAsia="en-US"/>
        </w:rPr>
      </w:pPr>
      <w:r w:rsidRPr="00AA7DF5">
        <w:rPr>
          <w:szCs w:val="24"/>
          <w:lang w:eastAsia="en-US"/>
        </w:rPr>
        <w:t>2.</w:t>
      </w:r>
      <w:r w:rsidRPr="00AA7DF5">
        <w:rPr>
          <w:szCs w:val="24"/>
          <w:lang w:eastAsia="en-US"/>
        </w:rPr>
        <w:tab/>
        <w:t xml:space="preserve">O poder de adotar atos delegados </w:t>
      </w:r>
      <w:r w:rsidRPr="00AA7DF5">
        <w:rPr>
          <w:strike/>
          <w:szCs w:val="24"/>
          <w:lang w:eastAsia="en-US"/>
        </w:rPr>
        <w:t xml:space="preserve">a que se refere </w:t>
      </w:r>
      <w:proofErr w:type="spellStart"/>
      <w:r w:rsidRPr="00AA7DF5">
        <w:rPr>
          <w:strike/>
          <w:szCs w:val="24"/>
          <w:lang w:eastAsia="en-US"/>
        </w:rPr>
        <w:t>o</w:t>
      </w:r>
      <w:r w:rsidRPr="00AA7DF5">
        <w:rPr>
          <w:b/>
          <w:i/>
          <w:szCs w:val="24"/>
          <w:lang w:eastAsia="en-US"/>
        </w:rPr>
        <w:t>referido</w:t>
      </w:r>
      <w:proofErr w:type="spellEnd"/>
      <w:r w:rsidRPr="00AA7DF5">
        <w:rPr>
          <w:b/>
          <w:i/>
          <w:szCs w:val="24"/>
          <w:lang w:eastAsia="en-US"/>
        </w:rPr>
        <w:t xml:space="preserve"> no</w:t>
      </w:r>
      <w:r w:rsidRPr="00AA7DF5">
        <w:rPr>
          <w:szCs w:val="24"/>
          <w:lang w:eastAsia="en-US"/>
        </w:rPr>
        <w:t xml:space="preserve"> artigo </w:t>
      </w:r>
      <w:r w:rsidRPr="00AA7DF5">
        <w:rPr>
          <w:strike/>
          <w:szCs w:val="24"/>
          <w:lang w:eastAsia="en-US"/>
        </w:rPr>
        <w:t xml:space="preserve">8.º, </w:t>
      </w:r>
      <w:proofErr w:type="spellStart"/>
      <w:r w:rsidRPr="00AA7DF5">
        <w:rPr>
          <w:strike/>
          <w:szCs w:val="24"/>
          <w:lang w:eastAsia="en-US"/>
        </w:rPr>
        <w:t>n.os</w:t>
      </w:r>
      <w:proofErr w:type="spellEnd"/>
      <w:r w:rsidRPr="00AA7DF5">
        <w:rPr>
          <w:strike/>
          <w:szCs w:val="24"/>
          <w:lang w:eastAsia="en-US"/>
        </w:rPr>
        <w:t xml:space="preserve"> 1 e 2</w:t>
      </w:r>
      <w:r w:rsidRPr="00AA7DF5">
        <w:rPr>
          <w:b/>
          <w:i/>
          <w:szCs w:val="24"/>
          <w:lang w:eastAsia="en-US"/>
        </w:rPr>
        <w:t>18.º, n.ºs 2, 3 e 6‑A</w:t>
      </w:r>
      <w:r w:rsidRPr="00AA7DF5">
        <w:rPr>
          <w:szCs w:val="24"/>
          <w:lang w:eastAsia="en-US"/>
        </w:rPr>
        <w:t xml:space="preserve">, é conferido à Comissão por </w:t>
      </w:r>
      <w:r w:rsidRPr="00AA7DF5">
        <w:rPr>
          <w:strike/>
          <w:szCs w:val="24"/>
          <w:lang w:eastAsia="en-US"/>
        </w:rPr>
        <w:t xml:space="preserve">tempo </w:t>
      </w:r>
      <w:proofErr w:type="spellStart"/>
      <w:r w:rsidRPr="00AA7DF5">
        <w:rPr>
          <w:strike/>
          <w:szCs w:val="24"/>
          <w:lang w:eastAsia="en-US"/>
        </w:rPr>
        <w:t>indeterminado</w:t>
      </w:r>
      <w:r w:rsidRPr="00AA7DF5">
        <w:rPr>
          <w:b/>
          <w:i/>
          <w:szCs w:val="24"/>
          <w:lang w:eastAsia="en-US"/>
        </w:rPr>
        <w:t>um</w:t>
      </w:r>
      <w:proofErr w:type="spellEnd"/>
      <w:r w:rsidRPr="00AA7DF5">
        <w:rPr>
          <w:b/>
          <w:i/>
          <w:szCs w:val="24"/>
          <w:lang w:eastAsia="en-US"/>
        </w:rPr>
        <w:t xml:space="preserve"> período de seis anos</w:t>
      </w:r>
      <w:r w:rsidRPr="00AA7DF5">
        <w:rPr>
          <w:szCs w:val="24"/>
          <w:lang w:eastAsia="en-US"/>
        </w:rPr>
        <w:t xml:space="preserve"> a contar de </w:t>
      </w:r>
      <w:r w:rsidRPr="00AA7DF5">
        <w:rPr>
          <w:strike/>
          <w:szCs w:val="24"/>
          <w:lang w:eastAsia="en-US"/>
        </w:rPr>
        <w:t xml:space="preserve">[Serviço das Publicações: inserir a </w:t>
      </w:r>
      <w:r w:rsidRPr="00AA7DF5">
        <w:rPr>
          <w:b/>
          <w:i/>
          <w:szCs w:val="24"/>
          <w:lang w:eastAsia="en-US"/>
        </w:rPr>
        <w:t>… [</w:t>
      </w:r>
      <w:r w:rsidRPr="00AA7DF5">
        <w:rPr>
          <w:szCs w:val="24"/>
          <w:lang w:eastAsia="en-US"/>
        </w:rPr>
        <w:t>data de entrada em vigor da presente diretiva].</w:t>
      </w:r>
      <w:r w:rsidRPr="00AA7DF5">
        <w:rPr>
          <w:b/>
          <w:i/>
          <w:szCs w:val="24"/>
          <w:lang w:eastAsia="en-US"/>
        </w:rPr>
        <w:t xml:space="preserve"> A Comissão apresenta um relatório sobre a delegação de poderes o mais tardar nove meses antes de terminar o período de seis anos. A delegação de poderes é tacitamente prorrogada por prazos de igual duração, salvo se o Parlamento Europeu ou o Conselho a tal se opuserem pelo menos três meses antes do final de cada prazo.</w:t>
      </w:r>
      <w:r w:rsidR="00BC3F23" w:rsidRPr="00AA7DF5">
        <w:rPr>
          <w:b/>
          <w:szCs w:val="24"/>
          <w:lang w:eastAsia="en-US"/>
        </w:rPr>
        <w:t xml:space="preserve"> [Alt. 103]</w:t>
      </w:r>
    </w:p>
    <w:p w14:paraId="1180B662" w14:textId="77777777" w:rsidR="00BC3F23" w:rsidRPr="00AA7DF5" w:rsidRDefault="00BC3F23">
      <w:pPr>
        <w:widowControl/>
        <w:rPr>
          <w:szCs w:val="24"/>
          <w:lang w:eastAsia="en-US"/>
        </w:rPr>
      </w:pPr>
      <w:r w:rsidRPr="00AA7DF5">
        <w:rPr>
          <w:szCs w:val="24"/>
          <w:lang w:eastAsia="en-US"/>
        </w:rPr>
        <w:br w:type="page"/>
      </w:r>
    </w:p>
    <w:p w14:paraId="52232718" w14:textId="5A471CFF"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3.</w:t>
      </w:r>
      <w:r w:rsidRPr="00AA7DF5">
        <w:rPr>
          <w:szCs w:val="24"/>
          <w:lang w:eastAsia="en-US"/>
        </w:rPr>
        <w:tab/>
        <w:t>A delegação de poderes a que se refere o artigo 8.º, n.</w:t>
      </w:r>
      <w:r w:rsidRPr="00AA7DF5">
        <w:rPr>
          <w:szCs w:val="24"/>
          <w:vertAlign w:val="superscript"/>
          <w:lang w:eastAsia="en-US"/>
        </w:rPr>
        <w:t>os</w:t>
      </w:r>
      <w:r w:rsidRPr="00AA7DF5">
        <w:rPr>
          <w:strike/>
          <w:szCs w:val="24"/>
          <w:lang w:eastAsia="en-US"/>
        </w:rPr>
        <w:t>1 e 2</w:t>
      </w:r>
      <w:r w:rsidRPr="00AA7DF5">
        <w:rPr>
          <w:b/>
          <w:i/>
          <w:szCs w:val="24"/>
          <w:lang w:eastAsia="en-US"/>
        </w:rPr>
        <w:t>2 e 6‑A</w:t>
      </w:r>
      <w:r w:rsidRPr="00AA7DF5">
        <w:rPr>
          <w:szCs w:val="24"/>
          <w:lang w:eastAsia="en-US"/>
        </w:rPr>
        <w:t xml:space="preserve">, pode ser revogada em qualquer momento pelo Parlamento Europeu e pelo Conselho. A decisão de revogação põe termo à delegação dos poderes nela especificados. A decisão de revogação produz efeitos a partir do dia seguinte ao da sua publicação no </w:t>
      </w:r>
      <w:r w:rsidRPr="00AA7DF5">
        <w:rPr>
          <w:i/>
          <w:szCs w:val="24"/>
          <w:lang w:eastAsia="en-US"/>
        </w:rPr>
        <w:t>Jornal Oficial da União Europeia</w:t>
      </w:r>
      <w:r w:rsidRPr="00AA7DF5">
        <w:rPr>
          <w:szCs w:val="24"/>
          <w:lang w:eastAsia="en-US"/>
        </w:rPr>
        <w:t xml:space="preserve"> ou de uma data posterior nela especificada. A decisão de revogação não prejudica a validade dos atos delegados já em vigor.</w:t>
      </w:r>
      <w:r w:rsidR="00BC3F23" w:rsidRPr="00AA7DF5">
        <w:rPr>
          <w:b/>
          <w:szCs w:val="24"/>
          <w:lang w:eastAsia="en-US"/>
        </w:rPr>
        <w:t xml:space="preserve"> [Alt. 104]</w:t>
      </w:r>
    </w:p>
    <w:p w14:paraId="299FB40A" w14:textId="46740E93" w:rsidR="002E0FC5" w:rsidRPr="00AA7DF5" w:rsidRDefault="002E0FC5" w:rsidP="002E0FC5">
      <w:pPr>
        <w:spacing w:before="120" w:after="120" w:line="360" w:lineRule="auto"/>
        <w:ind w:left="1416" w:hanging="566"/>
        <w:rPr>
          <w:b/>
          <w:szCs w:val="24"/>
          <w:lang w:eastAsia="en-US"/>
        </w:rPr>
      </w:pPr>
      <w:r w:rsidRPr="00AA7DF5">
        <w:rPr>
          <w:szCs w:val="24"/>
          <w:lang w:eastAsia="en-US"/>
        </w:rPr>
        <w:t>4.</w:t>
      </w:r>
      <w:r w:rsidRPr="00AA7DF5">
        <w:rPr>
          <w:szCs w:val="24"/>
          <w:lang w:eastAsia="en-US"/>
        </w:rPr>
        <w:tab/>
        <w:t>Antes de adotar um ato delegado, a Comissão consulta os peritos designados por cada Estado-Membro de acordo com os princípios estabelecidos no Acordo Interinstitucional sobre legislar melhor de 13 de abril de 2016.</w:t>
      </w:r>
      <w:r w:rsidR="00BC3F23" w:rsidRPr="00AA7DF5">
        <w:rPr>
          <w:b/>
          <w:szCs w:val="24"/>
          <w:lang w:eastAsia="en-US"/>
        </w:rPr>
        <w:t xml:space="preserve"> [Alt. 105 - Não se aplica à versão portuguesa]</w:t>
      </w:r>
    </w:p>
    <w:p w14:paraId="6ECAA1D2"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5.</w:t>
      </w:r>
      <w:r w:rsidRPr="00AA7DF5">
        <w:rPr>
          <w:szCs w:val="24"/>
          <w:lang w:eastAsia="en-US"/>
        </w:rPr>
        <w:tab/>
        <w:t>Assim que adotar um ato delegado, a Comissão notifica-o simultaneamente ao Parlamento Europeu e ao Conselho.</w:t>
      </w:r>
    </w:p>
    <w:p w14:paraId="156ED944" w14:textId="77777777" w:rsidR="00BC3F23" w:rsidRPr="00AA7DF5" w:rsidRDefault="00BC3F23">
      <w:pPr>
        <w:widowControl/>
        <w:rPr>
          <w:szCs w:val="24"/>
          <w:lang w:eastAsia="en-US"/>
        </w:rPr>
      </w:pPr>
      <w:r w:rsidRPr="00AA7DF5">
        <w:rPr>
          <w:szCs w:val="24"/>
          <w:lang w:eastAsia="en-US"/>
        </w:rPr>
        <w:br w:type="page"/>
      </w:r>
    </w:p>
    <w:p w14:paraId="6EAEEC59" w14:textId="0A431971"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6.</w:t>
      </w:r>
      <w:r w:rsidRPr="00AA7DF5">
        <w:rPr>
          <w:szCs w:val="24"/>
          <w:lang w:eastAsia="en-US"/>
        </w:rPr>
        <w:tab/>
        <w:t xml:space="preserve">Os atos delegados adotados nos termos do artigo 8.º, </w:t>
      </w:r>
      <w:proofErr w:type="spellStart"/>
      <w:r w:rsidRPr="00AA7DF5">
        <w:rPr>
          <w:strike/>
          <w:szCs w:val="24"/>
          <w:lang w:eastAsia="en-US"/>
        </w:rPr>
        <w:t>n.os</w:t>
      </w:r>
      <w:proofErr w:type="spellEnd"/>
      <w:r w:rsidRPr="00AA7DF5">
        <w:rPr>
          <w:strike/>
          <w:szCs w:val="24"/>
          <w:lang w:eastAsia="en-US"/>
        </w:rPr>
        <w:t xml:space="preserve"> 1 ou 2,</w:t>
      </w:r>
      <w:r w:rsidRPr="00AA7DF5">
        <w:rPr>
          <w:b/>
          <w:i/>
          <w:szCs w:val="24"/>
          <w:lang w:eastAsia="en-US"/>
        </w:rPr>
        <w:t>n.ºs 2, 3 ou 6-A</w:t>
      </w:r>
      <w:r w:rsidRPr="00AA7DF5">
        <w:rPr>
          <w:szCs w:val="24"/>
          <w:lang w:eastAsia="en-US"/>
        </w:rPr>
        <w:t xml:space="preserve">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00BC3F23" w:rsidRPr="00AA7DF5">
        <w:rPr>
          <w:b/>
          <w:szCs w:val="24"/>
          <w:lang w:eastAsia="en-US"/>
        </w:rPr>
        <w:t xml:space="preserve"> [Alt. 106]</w:t>
      </w:r>
    </w:p>
    <w:p w14:paraId="47AE044C"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9)</w:t>
      </w:r>
      <w:r w:rsidRPr="00AA7DF5">
        <w:rPr>
          <w:szCs w:val="24"/>
          <w:lang w:eastAsia="en-US"/>
        </w:rPr>
        <w:tab/>
        <w:t>O artigo 9.º passa a ter a seguinte redação:</w:t>
      </w:r>
    </w:p>
    <w:p w14:paraId="79E7BC16"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9.º</w:t>
      </w:r>
    </w:p>
    <w:p w14:paraId="4A278816" w14:textId="77777777" w:rsidR="002E0FC5" w:rsidRPr="00AA7DF5" w:rsidRDefault="002E0FC5" w:rsidP="002E0FC5">
      <w:pPr>
        <w:spacing w:before="120" w:after="120" w:line="360" w:lineRule="auto"/>
        <w:ind w:left="850"/>
        <w:rPr>
          <w:szCs w:val="24"/>
          <w:lang w:eastAsia="en-US"/>
        </w:rPr>
      </w:pPr>
      <w:r w:rsidRPr="00AA7DF5">
        <w:rPr>
          <w:szCs w:val="24"/>
          <w:lang w:eastAsia="en-US"/>
        </w:rPr>
        <w:t>Procedimento de comité</w:t>
      </w:r>
    </w:p>
    <w:p w14:paraId="699C83A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A Comissão é assistida por um comité. O referido comité é um comité na aceção do Regulamento (UE) n.º 182/2011 do Parlamento Europeu e do Conselho*.</w:t>
      </w:r>
    </w:p>
    <w:p w14:paraId="609123F0" w14:textId="77777777" w:rsidR="00F37569" w:rsidRPr="00AA7DF5" w:rsidRDefault="00F37569">
      <w:pPr>
        <w:widowControl/>
        <w:rPr>
          <w:szCs w:val="24"/>
          <w:lang w:eastAsia="en-US"/>
        </w:rPr>
      </w:pPr>
      <w:r w:rsidRPr="00AA7DF5">
        <w:rPr>
          <w:szCs w:val="24"/>
          <w:lang w:eastAsia="en-US"/>
        </w:rPr>
        <w:br w:type="page"/>
      </w:r>
    </w:p>
    <w:p w14:paraId="347307A4" w14:textId="004E8D58"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2.</w:t>
      </w:r>
      <w:r w:rsidRPr="00AA7DF5">
        <w:rPr>
          <w:szCs w:val="24"/>
          <w:lang w:eastAsia="en-US"/>
        </w:rPr>
        <w:tab/>
        <w:t>Caso se remeta para o presente número, aplica-se o artigo 5.º do Regulamento (UE) n.º 182/2011.</w:t>
      </w:r>
    </w:p>
    <w:p w14:paraId="3BF8E8FC" w14:textId="35DBD08E" w:rsidR="002E0FC5" w:rsidRPr="00AA7DF5" w:rsidRDefault="002E0FC5" w:rsidP="002E0FC5">
      <w:pPr>
        <w:spacing w:before="120" w:after="120" w:line="360" w:lineRule="auto"/>
        <w:ind w:left="850"/>
        <w:rPr>
          <w:szCs w:val="24"/>
          <w:lang w:eastAsia="en-US"/>
        </w:rPr>
      </w:pPr>
      <w:r w:rsidRPr="00AA7DF5">
        <w:rPr>
          <w:szCs w:val="24"/>
          <w:lang w:eastAsia="en-US"/>
        </w:rPr>
        <w:t>Na falta de parecer do comité, a Comissão não adota o projeto de ato de execução, aplicando-se o artigo 5.º, n.º 4, terceiro parágrafo, do Regulamento (UE) n.º 182/2011.</w:t>
      </w:r>
    </w:p>
    <w:p w14:paraId="570ECD2F" w14:textId="77777777" w:rsidR="002E0FC5" w:rsidRPr="00AA7DF5" w:rsidRDefault="002E0FC5" w:rsidP="002E0FC5">
      <w:pPr>
        <w:spacing w:before="120" w:after="120" w:line="360" w:lineRule="auto"/>
        <w:ind w:left="850"/>
        <w:rPr>
          <w:szCs w:val="24"/>
          <w:lang w:eastAsia="en-US"/>
        </w:rPr>
      </w:pPr>
      <w:r w:rsidRPr="00AA7DF5">
        <w:rPr>
          <w:szCs w:val="24"/>
          <w:lang w:eastAsia="en-US"/>
        </w:rPr>
        <w:t>*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p w14:paraId="6DE2626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10)</w:t>
      </w:r>
      <w:r w:rsidRPr="00AA7DF5">
        <w:rPr>
          <w:szCs w:val="24"/>
          <w:lang w:eastAsia="en-US"/>
        </w:rPr>
        <w:tab/>
        <w:t>O artigo 10.º é suprimido;</w:t>
      </w:r>
    </w:p>
    <w:p w14:paraId="20E623EC"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11)</w:t>
      </w:r>
      <w:r w:rsidRPr="00AA7DF5">
        <w:rPr>
          <w:szCs w:val="24"/>
          <w:lang w:eastAsia="en-US"/>
        </w:rPr>
        <w:tab/>
        <w:t>O anexo I é substituído pelo texto constante do anexo III da presente diretiva;</w:t>
      </w:r>
    </w:p>
    <w:p w14:paraId="37FCDD31"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12)</w:t>
      </w:r>
      <w:r w:rsidRPr="00AA7DF5">
        <w:rPr>
          <w:szCs w:val="24"/>
          <w:lang w:eastAsia="en-US"/>
        </w:rPr>
        <w:tab/>
        <w:t>O anexo II é alterado em conformidade com o anexo IV da presente diretiva;</w:t>
      </w:r>
    </w:p>
    <w:p w14:paraId="27706B1B" w14:textId="77777777" w:rsidR="00F37569" w:rsidRPr="00AA7DF5" w:rsidRDefault="00F37569">
      <w:pPr>
        <w:widowControl/>
        <w:rPr>
          <w:szCs w:val="24"/>
          <w:lang w:eastAsia="en-US"/>
        </w:rPr>
      </w:pPr>
      <w:r w:rsidRPr="00AA7DF5">
        <w:rPr>
          <w:szCs w:val="24"/>
          <w:lang w:eastAsia="en-US"/>
        </w:rPr>
        <w:br w:type="page"/>
      </w:r>
    </w:p>
    <w:p w14:paraId="7ABE6D13" w14:textId="2D1205AC"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13)</w:t>
      </w:r>
      <w:r w:rsidRPr="00AA7DF5">
        <w:rPr>
          <w:szCs w:val="24"/>
          <w:lang w:eastAsia="en-US"/>
        </w:rPr>
        <w:tab/>
        <w:t>No anexo III, ponto 2, a alínea c) passa a ter a seguinte redação:</w:t>
      </w:r>
    </w:p>
    <w:p w14:paraId="766B6EA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«c)</w:t>
      </w:r>
      <w:r w:rsidRPr="00AA7DF5">
        <w:rPr>
          <w:szCs w:val="24"/>
          <w:lang w:eastAsia="en-US"/>
        </w:rPr>
        <w:tab/>
        <w:t>Qualquer outra informação relevante, incluindo uma comparação da média aritmética anual de concentração dos principais poluentes num ponto de monitorização com os padrões de qualidade das águas subterrâneas definidos no Anexo I e com os limiares a que se refere o artigo 3.º, n.º 1, alíneas b) e c).;»</w:t>
      </w:r>
    </w:p>
    <w:p w14:paraId="12810D82"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14)</w:t>
      </w:r>
      <w:r w:rsidRPr="00AA7DF5">
        <w:rPr>
          <w:szCs w:val="24"/>
          <w:lang w:eastAsia="en-US"/>
        </w:rPr>
        <w:tab/>
        <w:t>No anexo IV, parte B, ponto 1), a frase introdutória passa a ter a seguinte redação:</w:t>
      </w:r>
    </w:p>
    <w:p w14:paraId="7BEFEC0B" w14:textId="13F0219D" w:rsidR="002E0FC5" w:rsidRPr="00AA7DF5" w:rsidRDefault="002E0FC5" w:rsidP="002E0FC5">
      <w:pPr>
        <w:spacing w:before="120" w:after="120" w:line="360" w:lineRule="auto"/>
        <w:ind w:left="850"/>
        <w:rPr>
          <w:b/>
          <w:szCs w:val="24"/>
          <w:lang w:eastAsia="en-US"/>
        </w:rPr>
      </w:pPr>
      <w:r w:rsidRPr="00AA7DF5">
        <w:rPr>
          <w:szCs w:val="24"/>
          <w:lang w:eastAsia="en-US"/>
        </w:rPr>
        <w:t>«O ponto de partida para a implementação de medidas destinadas a inverter as tendências significativas e persistentes para o aumento das concentrações</w:t>
      </w:r>
      <w:r w:rsidRPr="00AA7DF5">
        <w:rPr>
          <w:b/>
          <w:i/>
          <w:szCs w:val="24"/>
          <w:lang w:eastAsia="en-US"/>
        </w:rPr>
        <w:t>, incluindo as tendências sazonais para o aumento da concentração de poluentes devido, nomeadamente, a descargas reduzidas de uma massa de água,</w:t>
      </w:r>
      <w:r w:rsidRPr="00AA7DF5">
        <w:rPr>
          <w:szCs w:val="24"/>
          <w:lang w:eastAsia="en-US"/>
        </w:rPr>
        <w:t xml:space="preserve"> será quando a concentração do poluente atinge 75 % dos valores paramétricos das normas de qualidade das águas subterrâneas definidas no Anexo I e dos limiares a que se refere o artigo 3.º, n.º 1, alíneas b) e c), a menos que:</w:t>
      </w:r>
      <w:r w:rsidRPr="00AA7DF5">
        <w:rPr>
          <w:strike/>
          <w:szCs w:val="24"/>
          <w:lang w:eastAsia="en-US"/>
        </w:rPr>
        <w:t>.</w:t>
      </w:r>
      <w:r w:rsidRPr="00AA7DF5">
        <w:rPr>
          <w:szCs w:val="24"/>
          <w:lang w:eastAsia="en-US"/>
        </w:rPr>
        <w:t>»</w:t>
      </w:r>
      <w:r w:rsidR="00F37569" w:rsidRPr="00AA7DF5">
        <w:rPr>
          <w:b/>
          <w:szCs w:val="24"/>
          <w:lang w:eastAsia="en-US"/>
        </w:rPr>
        <w:t xml:space="preserve"> [Alt. 107]</w:t>
      </w:r>
    </w:p>
    <w:p w14:paraId="678D0598" w14:textId="77777777" w:rsidR="00F37569" w:rsidRPr="00AA7DF5" w:rsidRDefault="00F37569">
      <w:pPr>
        <w:widowControl/>
        <w:rPr>
          <w:szCs w:val="24"/>
          <w:lang w:eastAsia="en-US"/>
        </w:rPr>
      </w:pPr>
      <w:r w:rsidRPr="00AA7DF5">
        <w:rPr>
          <w:szCs w:val="24"/>
          <w:lang w:eastAsia="en-US"/>
        </w:rPr>
        <w:br w:type="page"/>
      </w:r>
    </w:p>
    <w:p w14:paraId="3E3F6E90" w14:textId="7E463C87" w:rsidR="002E0FC5" w:rsidRPr="00AA7DF5" w:rsidRDefault="002E0FC5" w:rsidP="002E0FC5">
      <w:pPr>
        <w:spacing w:before="120" w:after="120" w:line="360" w:lineRule="auto"/>
        <w:jc w:val="center"/>
        <w:rPr>
          <w:szCs w:val="24"/>
          <w:lang w:eastAsia="en-US"/>
        </w:rPr>
      </w:pPr>
      <w:r w:rsidRPr="00AA7DF5">
        <w:rPr>
          <w:szCs w:val="24"/>
          <w:lang w:eastAsia="en-US"/>
        </w:rPr>
        <w:lastRenderedPageBreak/>
        <w:t>Artigo 3.º</w:t>
      </w:r>
      <w:r w:rsidRPr="00AA7DF5">
        <w:rPr>
          <w:szCs w:val="24"/>
          <w:lang w:eastAsia="en-US"/>
        </w:rPr>
        <w:br/>
        <w:t>Alterações da Diretiva 2008/105/CE</w:t>
      </w:r>
    </w:p>
    <w:p w14:paraId="22815ADD" w14:textId="77777777" w:rsidR="002E0FC5" w:rsidRPr="00AA7DF5" w:rsidRDefault="002E0FC5" w:rsidP="002E0FC5">
      <w:pPr>
        <w:spacing w:before="120" w:after="120" w:line="360" w:lineRule="auto"/>
        <w:rPr>
          <w:szCs w:val="24"/>
          <w:lang w:eastAsia="en-US"/>
        </w:rPr>
      </w:pPr>
      <w:r w:rsidRPr="00AA7DF5">
        <w:rPr>
          <w:szCs w:val="24"/>
          <w:lang w:eastAsia="en-US"/>
        </w:rPr>
        <w:t>A Diretiva 2008/105/CE é alterada do seguinte modo:</w:t>
      </w:r>
    </w:p>
    <w:p w14:paraId="57878DE0"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O título passa a ter a seguinte redação:</w:t>
      </w:r>
    </w:p>
    <w:p w14:paraId="065AB00E" w14:textId="77777777" w:rsidR="002E0FC5" w:rsidRPr="00AA7DF5" w:rsidRDefault="002E0FC5" w:rsidP="002E0FC5">
      <w:pPr>
        <w:spacing w:before="120" w:after="120" w:line="360" w:lineRule="auto"/>
        <w:ind w:left="850"/>
        <w:rPr>
          <w:szCs w:val="24"/>
          <w:lang w:eastAsia="en-US"/>
        </w:rPr>
      </w:pPr>
      <w:r w:rsidRPr="00AA7DF5">
        <w:rPr>
          <w:szCs w:val="24"/>
          <w:lang w:eastAsia="en-US"/>
        </w:rPr>
        <w:t>«Diretiva 2008/105/CE do Parlamento Europeu e do Conselho, de 16 de dezembro de 2008, relativa à prevenção e controlo da poluição das águas de superfície, que altera e subsequentemente revoga as Diretivas 82/176/CEE, 83/513/CEE, 84/156/CEE, 84/491/CEE e 86/280/CEE do Conselho, e que altera a Diretiva 2000/60/CE do Parlamento Europeu e do Conselho;»</w:t>
      </w:r>
    </w:p>
    <w:p w14:paraId="6020CF38" w14:textId="4CDC9B78" w:rsidR="002E0FC5" w:rsidRPr="00AA7DF5" w:rsidRDefault="002E0FC5" w:rsidP="002E0FC5">
      <w:pPr>
        <w:spacing w:before="120" w:after="120" w:line="360" w:lineRule="auto"/>
        <w:ind w:left="850" w:hanging="850"/>
        <w:rPr>
          <w:szCs w:val="24"/>
          <w:lang w:eastAsia="en-US"/>
        </w:rPr>
      </w:pPr>
      <w:r w:rsidRPr="00AA7DF5">
        <w:rPr>
          <w:b/>
          <w:i/>
          <w:szCs w:val="24"/>
          <w:lang w:eastAsia="en-US"/>
        </w:rPr>
        <w:t>1</w:t>
      </w:r>
      <w:r w:rsidR="00F37569"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O artigo 1.º é alterado do seguinte modo:</w:t>
      </w:r>
    </w:p>
    <w:p w14:paraId="65BA71C8" w14:textId="77777777"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1.º</w:t>
      </w:r>
      <w:r w:rsidRPr="00AA7DF5">
        <w:rPr>
          <w:szCs w:val="24"/>
          <w:lang w:eastAsia="en-US"/>
        </w:rPr>
        <w:br/>
      </w:r>
      <w:r w:rsidRPr="00AA7DF5">
        <w:rPr>
          <w:b/>
          <w:i/>
          <w:szCs w:val="24"/>
          <w:lang w:eastAsia="en-US"/>
        </w:rPr>
        <w:t>Objeto</w:t>
      </w:r>
    </w:p>
    <w:p w14:paraId="3CABE8B6" w14:textId="38FEE526" w:rsidR="002E0FC5" w:rsidRPr="00AA7DF5" w:rsidRDefault="002E0FC5" w:rsidP="002E0FC5">
      <w:pPr>
        <w:spacing w:before="120" w:after="120" w:line="360" w:lineRule="auto"/>
        <w:ind w:left="850"/>
        <w:rPr>
          <w:b/>
          <w:szCs w:val="24"/>
          <w:lang w:eastAsia="en-US"/>
        </w:rPr>
      </w:pPr>
      <w:r w:rsidRPr="00AA7DF5">
        <w:rPr>
          <w:b/>
          <w:i/>
          <w:szCs w:val="24"/>
          <w:lang w:eastAsia="en-US"/>
        </w:rPr>
        <w:t>A presente diretiva estabelece normas de qualidade ambiental (NQA) para substâncias prioritárias e para substâncias perigosas prioritárias, a fim de alcançar um bom estado químico das águas de superfície e em conformidade com as disposições e objetivos do artigo 4.º da Diretiva 2000/60/CE.</w:t>
      </w:r>
      <w:r w:rsidRPr="00AA7DF5">
        <w:rPr>
          <w:szCs w:val="24"/>
          <w:lang w:eastAsia="en-US"/>
        </w:rPr>
        <w:t>»</w:t>
      </w:r>
      <w:r w:rsidR="00F37569" w:rsidRPr="00AA7DF5">
        <w:rPr>
          <w:b/>
          <w:szCs w:val="24"/>
          <w:lang w:eastAsia="en-US"/>
        </w:rPr>
        <w:t xml:space="preserve"> [Alt. 108]</w:t>
      </w:r>
    </w:p>
    <w:p w14:paraId="795B32C5" w14:textId="77777777" w:rsidR="00F37569" w:rsidRPr="00AA7DF5" w:rsidRDefault="00F37569">
      <w:pPr>
        <w:widowControl/>
        <w:rPr>
          <w:szCs w:val="24"/>
          <w:lang w:eastAsia="en-US"/>
        </w:rPr>
      </w:pPr>
      <w:r w:rsidRPr="00AA7DF5">
        <w:rPr>
          <w:szCs w:val="24"/>
          <w:lang w:eastAsia="en-US"/>
        </w:rPr>
        <w:br w:type="page"/>
      </w:r>
    </w:p>
    <w:p w14:paraId="2A0B6CE7" w14:textId="25A9ACE9"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w:t>
      </w:r>
      <w:r w:rsidRPr="00AA7DF5">
        <w:rPr>
          <w:szCs w:val="24"/>
          <w:lang w:eastAsia="en-US"/>
        </w:rPr>
        <w:tab/>
        <w:t>O artigo 3.º é alterado do seguinte modo:</w:t>
      </w:r>
    </w:p>
    <w:p w14:paraId="135DAB2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 xml:space="preserve">No n.º 1-A, primeiro parágrafo, é inserida a seguinte alínea </w:t>
      </w:r>
      <w:proofErr w:type="spellStart"/>
      <w:r w:rsidRPr="00AA7DF5">
        <w:rPr>
          <w:szCs w:val="24"/>
          <w:lang w:eastAsia="en-US"/>
        </w:rPr>
        <w:t>iii</w:t>
      </w:r>
      <w:proofErr w:type="spellEnd"/>
      <w:r w:rsidRPr="00AA7DF5">
        <w:rPr>
          <w:szCs w:val="24"/>
          <w:lang w:eastAsia="en-US"/>
        </w:rPr>
        <w:t>):</w:t>
      </w:r>
    </w:p>
    <w:p w14:paraId="0B7B5A06"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w:t>
      </w:r>
      <w:proofErr w:type="spellStart"/>
      <w:r w:rsidRPr="00AA7DF5">
        <w:rPr>
          <w:szCs w:val="24"/>
          <w:lang w:eastAsia="en-US"/>
        </w:rPr>
        <w:t>iii</w:t>
      </w:r>
      <w:proofErr w:type="spellEnd"/>
      <w:r w:rsidRPr="00AA7DF5">
        <w:rPr>
          <w:szCs w:val="24"/>
          <w:lang w:eastAsia="en-US"/>
        </w:rPr>
        <w:t>)</w:t>
      </w:r>
      <w:r w:rsidRPr="00AA7DF5">
        <w:rPr>
          <w:szCs w:val="24"/>
          <w:lang w:eastAsia="en-US"/>
        </w:rPr>
        <w:tab/>
        <w:t xml:space="preserve">às substâncias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5, 9, 13, 15, 17, 21, 23, 24, 28, 30, 34, 37, 41 e 44 do Anexo I, Parte A, para as quais são estabelecidas NQA revistas e às substâncias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46 a 70 do Anexo I, Parte A, recentemente identificadas com efeitos a partir de... [Serviço das Publicações: inserir a data correspondente ao primeiro dia do mês seguinte a 18 meses após a data de entrada em vigor da presente diretiva] a fim de evitar a deterioração do estado químico das massas de água de superfície e de alcançar um bom estado químico das águas de superfície no que se refere a essas substâncias.;»</w:t>
      </w:r>
    </w:p>
    <w:p w14:paraId="163958C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O n.º 2 passa a ter a seguinte redação:</w:t>
      </w:r>
    </w:p>
    <w:p w14:paraId="310F4713"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«2.</w:t>
      </w:r>
      <w:r w:rsidRPr="00AA7DF5">
        <w:rPr>
          <w:szCs w:val="24"/>
          <w:lang w:eastAsia="en-US"/>
        </w:rPr>
        <w:tab/>
        <w:t>No que diz respeito às substâncias para as quais o Anexo I, Parte A, estabelece uma NQA para o biota ou os sedimentos, os Estados-Membros devem aplicar essa NQA.</w:t>
      </w:r>
    </w:p>
    <w:p w14:paraId="32265EA6" w14:textId="77777777" w:rsidR="002E0FC5" w:rsidRPr="00AA7DF5" w:rsidRDefault="002E0FC5" w:rsidP="002E0FC5">
      <w:pPr>
        <w:spacing w:before="120" w:after="120" w:line="360" w:lineRule="auto"/>
        <w:ind w:left="1982"/>
        <w:rPr>
          <w:szCs w:val="24"/>
          <w:lang w:eastAsia="en-US"/>
        </w:rPr>
      </w:pPr>
      <w:r w:rsidRPr="00AA7DF5">
        <w:rPr>
          <w:szCs w:val="24"/>
          <w:lang w:eastAsia="en-US"/>
        </w:rPr>
        <w:t>No que diz respeito às substâncias que não abrangidas pelo primeiro parágrafo, os Estados-Membros devem aplicar as NQA para as águas de superfície estabelecidas no Anexo I, Parte A.;»</w:t>
      </w:r>
    </w:p>
    <w:p w14:paraId="31440851" w14:textId="77777777" w:rsidR="00F37569" w:rsidRPr="00AA7DF5" w:rsidRDefault="00F37569">
      <w:pPr>
        <w:widowControl/>
        <w:rPr>
          <w:szCs w:val="24"/>
          <w:lang w:eastAsia="en-US"/>
        </w:rPr>
      </w:pPr>
      <w:r w:rsidRPr="00AA7DF5">
        <w:rPr>
          <w:szCs w:val="24"/>
          <w:lang w:eastAsia="en-US"/>
        </w:rPr>
        <w:br w:type="page"/>
      </w:r>
    </w:p>
    <w:p w14:paraId="0509C95F" w14:textId="3AB79E63"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c)</w:t>
      </w:r>
      <w:r w:rsidRPr="00AA7DF5">
        <w:rPr>
          <w:szCs w:val="24"/>
          <w:lang w:eastAsia="en-US"/>
        </w:rPr>
        <w:tab/>
        <w:t>No n.º 6, primeiro parágrafo, a primeira frase passa a ter a seguinte redação:</w:t>
      </w:r>
    </w:p>
    <w:p w14:paraId="637EE46D" w14:textId="77777777" w:rsidR="002E0FC5" w:rsidRPr="00AA7DF5" w:rsidRDefault="002E0FC5" w:rsidP="002E0FC5">
      <w:pPr>
        <w:spacing w:before="120" w:after="120" w:line="360" w:lineRule="auto"/>
        <w:ind w:left="1416"/>
        <w:rPr>
          <w:szCs w:val="24"/>
          <w:lang w:eastAsia="en-US"/>
        </w:rPr>
      </w:pPr>
      <w:r w:rsidRPr="00AA7DF5">
        <w:rPr>
          <w:szCs w:val="24"/>
          <w:lang w:eastAsia="en-US"/>
        </w:rPr>
        <w:t>«Os Estados-Membros velam por que se proceda à análise das tendências a longo prazo das concentrações das substâncias prioritárias identificadas no Anexo I, Parte A, como substâncias que tendem a acumular-se nos sedimentos e/ou biota, com base na monitorização dos sedimentos ou do biota no âmbito da monitorização do estado das águas de superfície efetuada de acordo com o artigo 8.º da Diretiva 2000/60/CE.;»</w:t>
      </w:r>
    </w:p>
    <w:p w14:paraId="160E1C2A"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d)</w:t>
      </w:r>
      <w:r w:rsidRPr="00AA7DF5">
        <w:rPr>
          <w:szCs w:val="24"/>
          <w:lang w:eastAsia="en-US"/>
        </w:rPr>
        <w:tab/>
        <w:t>É suprimido o n.º 7;</w:t>
      </w:r>
    </w:p>
    <w:p w14:paraId="365B46AF"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e)</w:t>
      </w:r>
      <w:r w:rsidRPr="00AA7DF5">
        <w:rPr>
          <w:szCs w:val="24"/>
          <w:lang w:eastAsia="en-US"/>
        </w:rPr>
        <w:tab/>
        <w:t>O n.º 8 passa a ter a seguinte redação:</w:t>
      </w:r>
    </w:p>
    <w:p w14:paraId="66B36FBA"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«8.</w:t>
      </w:r>
      <w:r w:rsidRPr="00AA7DF5">
        <w:rPr>
          <w:szCs w:val="24"/>
          <w:lang w:eastAsia="en-US"/>
        </w:rPr>
        <w:tab/>
        <w:t>A Comissão fica habilitada a adotar atos delegados nos termos do artigo 9.º-A para alterar o Anexo I, Parte B, ponto 3, a fim de o adaptar ao progresso científico e técnico.;»</w:t>
      </w:r>
    </w:p>
    <w:p w14:paraId="09924D4D" w14:textId="77777777" w:rsidR="00F37569" w:rsidRPr="00AA7DF5" w:rsidRDefault="00F37569">
      <w:pPr>
        <w:widowControl/>
        <w:rPr>
          <w:szCs w:val="24"/>
          <w:lang w:eastAsia="en-US"/>
        </w:rPr>
      </w:pPr>
      <w:r w:rsidRPr="00AA7DF5">
        <w:rPr>
          <w:szCs w:val="24"/>
          <w:lang w:eastAsia="en-US"/>
        </w:rPr>
        <w:br w:type="page"/>
      </w:r>
    </w:p>
    <w:p w14:paraId="0CD22FB4" w14:textId="19FFE8CA"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3)</w:t>
      </w:r>
      <w:r w:rsidRPr="00AA7DF5">
        <w:rPr>
          <w:szCs w:val="24"/>
          <w:lang w:eastAsia="en-US"/>
        </w:rPr>
        <w:tab/>
        <w:t>O artigo 5.º é alterado do seguinte modo:</w:t>
      </w:r>
    </w:p>
    <w:p w14:paraId="767CCCE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O n.º 1 passa a ter a seguinte redação:</w:t>
      </w:r>
    </w:p>
    <w:p w14:paraId="2CCDA2D2" w14:textId="0906DC44" w:rsidR="002E0FC5" w:rsidRPr="00AA7DF5" w:rsidRDefault="002E0FC5" w:rsidP="002E0FC5">
      <w:pPr>
        <w:spacing w:before="120" w:after="120" w:line="360" w:lineRule="auto"/>
        <w:ind w:left="1982" w:hanging="566"/>
        <w:rPr>
          <w:b/>
          <w:szCs w:val="24"/>
          <w:lang w:eastAsia="en-US"/>
        </w:rPr>
      </w:pPr>
      <w:r w:rsidRPr="00AA7DF5">
        <w:rPr>
          <w:szCs w:val="24"/>
          <w:lang w:eastAsia="en-US"/>
        </w:rPr>
        <w:t>«1.</w:t>
      </w:r>
      <w:r w:rsidRPr="00AA7DF5">
        <w:rPr>
          <w:szCs w:val="24"/>
          <w:lang w:eastAsia="en-US"/>
        </w:rPr>
        <w:tab/>
        <w:t>Com base na informação recolhida nos termos dos artigos 5.º e 8.º da Diretiva 2000/60/CE</w:t>
      </w:r>
      <w:r w:rsidRPr="00AA7DF5">
        <w:rPr>
          <w:b/>
          <w:i/>
          <w:szCs w:val="24"/>
          <w:lang w:eastAsia="en-US"/>
        </w:rPr>
        <w:t xml:space="preserve"> e do Regulamento (UE ).../... do Parlamento Europeu e do Conselho</w:t>
      </w:r>
      <w:r w:rsidR="00F37569" w:rsidRPr="00AA7DF5">
        <w:rPr>
          <w:b/>
          <w:i/>
          <w:szCs w:val="24"/>
          <w:vertAlign w:val="superscript"/>
          <w:lang w:eastAsia="en-US"/>
        </w:rPr>
        <w:t>1-A</w:t>
      </w:r>
      <w:r w:rsidRPr="00AA7DF5">
        <w:rPr>
          <w:szCs w:val="24"/>
          <w:lang w:eastAsia="en-US"/>
        </w:rPr>
        <w:t xml:space="preserve"> e tendo em conta outros dados disponíveis, os Estados‑Membros devem estabelecer um inventário, incluindo mapas, se existirem, de emissões, descargas e perdas de todas as substâncias prioritárias enumeradas no Anexo I, Parte A, da presente diretiva e de todos os poluentes enumerados no Anexo II, Parte A, da presente diretiva para cada região hidrográfica ou parte de região hidrográfica que se encontre dentro do seu território, incluindo, se for caso disso, as respetivas concentrações nos sedimentos e no biota.</w:t>
      </w:r>
      <w:r w:rsidR="00F37569" w:rsidRPr="00AA7DF5">
        <w:rPr>
          <w:b/>
          <w:szCs w:val="24"/>
          <w:lang w:eastAsia="en-US"/>
        </w:rPr>
        <w:t xml:space="preserve"> [Alt. 109]</w:t>
      </w:r>
    </w:p>
    <w:p w14:paraId="673CC96F" w14:textId="7280B4B2" w:rsidR="00F37569" w:rsidRPr="00AA7DF5" w:rsidRDefault="00F37569" w:rsidP="002E0FC5">
      <w:pPr>
        <w:spacing w:before="120" w:after="120" w:line="360" w:lineRule="auto"/>
        <w:ind w:left="1982" w:hanging="566"/>
        <w:rPr>
          <w:b/>
          <w:szCs w:val="24"/>
          <w:lang w:eastAsia="en-US"/>
        </w:rPr>
      </w:pPr>
      <w:r w:rsidRPr="00AA7DF5">
        <w:rPr>
          <w:b/>
          <w:szCs w:val="24"/>
          <w:lang w:eastAsia="en-US"/>
        </w:rPr>
        <w:t>_________________</w:t>
      </w:r>
    </w:p>
    <w:p w14:paraId="4EA1069A" w14:textId="761015E0" w:rsidR="00F37569" w:rsidRPr="00AA7DF5" w:rsidRDefault="00F37569" w:rsidP="002E0FC5">
      <w:pPr>
        <w:spacing w:before="120" w:after="120" w:line="360" w:lineRule="auto"/>
        <w:ind w:left="1982" w:hanging="566"/>
        <w:rPr>
          <w:b/>
          <w:i/>
          <w:szCs w:val="24"/>
          <w:lang w:eastAsia="en-US"/>
        </w:rPr>
      </w:pPr>
      <w:r w:rsidRPr="00AA7DF5">
        <w:rPr>
          <w:b/>
          <w:i/>
          <w:szCs w:val="24"/>
          <w:vertAlign w:val="superscript"/>
          <w:lang w:eastAsia="en-US"/>
        </w:rPr>
        <w:t>1-A</w:t>
      </w:r>
      <w:r w:rsidRPr="00AA7DF5">
        <w:rPr>
          <w:b/>
          <w:i/>
          <w:szCs w:val="24"/>
          <w:lang w:eastAsia="en-US"/>
        </w:rPr>
        <w:tab/>
        <w:t>JO: inserir no texto o número do regulamento que consta do documento COM(2022)0157.</w:t>
      </w:r>
    </w:p>
    <w:p w14:paraId="67EC1127" w14:textId="48D1DDF0" w:rsidR="002E0FC5" w:rsidRPr="00AA7DF5" w:rsidRDefault="002E0FC5" w:rsidP="002E0FC5">
      <w:pPr>
        <w:spacing w:before="120" w:after="120" w:line="360" w:lineRule="auto"/>
        <w:ind w:left="1982"/>
        <w:rPr>
          <w:b/>
          <w:szCs w:val="24"/>
          <w:lang w:eastAsia="en-US"/>
        </w:rPr>
      </w:pPr>
      <w:r w:rsidRPr="00AA7DF5">
        <w:rPr>
          <w:b/>
          <w:i/>
          <w:szCs w:val="24"/>
          <w:lang w:eastAsia="en-US"/>
        </w:rPr>
        <w:t>Os inventários de emissões devem ser disponibilizados numa base de dados eletrónica regularmente atualizada e facilmente acessível ao público.</w:t>
      </w:r>
      <w:r w:rsidR="00F37569" w:rsidRPr="00AA7DF5">
        <w:rPr>
          <w:b/>
          <w:szCs w:val="24"/>
          <w:lang w:eastAsia="en-US"/>
        </w:rPr>
        <w:t xml:space="preserve"> [Alt. 110]</w:t>
      </w:r>
    </w:p>
    <w:p w14:paraId="3BEA42C4" w14:textId="77777777" w:rsidR="00F37569" w:rsidRPr="00AA7DF5" w:rsidRDefault="00F37569">
      <w:pPr>
        <w:widowControl/>
        <w:rPr>
          <w:strike/>
          <w:szCs w:val="24"/>
          <w:lang w:eastAsia="en-US"/>
        </w:rPr>
      </w:pPr>
      <w:r w:rsidRPr="00AA7DF5">
        <w:rPr>
          <w:strike/>
          <w:szCs w:val="24"/>
          <w:lang w:eastAsia="en-US"/>
        </w:rPr>
        <w:br w:type="page"/>
      </w:r>
    </w:p>
    <w:p w14:paraId="665AEE37" w14:textId="66EB32DC" w:rsidR="002E0FC5" w:rsidRPr="00AA7DF5" w:rsidRDefault="002E0FC5" w:rsidP="002E0FC5">
      <w:pPr>
        <w:spacing w:before="120" w:after="120" w:line="360" w:lineRule="auto"/>
        <w:ind w:left="1982"/>
        <w:rPr>
          <w:b/>
          <w:szCs w:val="24"/>
          <w:lang w:eastAsia="en-US"/>
        </w:rPr>
      </w:pPr>
      <w:r w:rsidRPr="00AA7DF5">
        <w:rPr>
          <w:strike/>
          <w:szCs w:val="24"/>
          <w:lang w:eastAsia="en-US"/>
        </w:rPr>
        <w:lastRenderedPageBreak/>
        <w:t>O primeiro parágrafo não é aplicável às emissões, descargas e perdas comunicadas à Comissão por meios eletrónicos em conformidade com o Regulamento (UE) .../... do Parlamento Europeu e do Conselho. ;</w:t>
      </w:r>
      <w:r w:rsidRPr="00AA7DF5">
        <w:rPr>
          <w:szCs w:val="24"/>
          <w:lang w:eastAsia="en-US"/>
        </w:rPr>
        <w:t>»</w:t>
      </w:r>
      <w:r w:rsidR="00F37569" w:rsidRPr="00AA7DF5">
        <w:rPr>
          <w:b/>
          <w:szCs w:val="24"/>
          <w:lang w:eastAsia="en-US"/>
        </w:rPr>
        <w:t xml:space="preserve"> [Alt. 111]</w:t>
      </w:r>
    </w:p>
    <w:p w14:paraId="4971A72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 xml:space="preserve">São suprimidos os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2 e 3;</w:t>
      </w:r>
    </w:p>
    <w:p w14:paraId="28261740"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c)</w:t>
      </w:r>
      <w:r w:rsidRPr="00AA7DF5">
        <w:rPr>
          <w:szCs w:val="24"/>
          <w:lang w:eastAsia="en-US"/>
        </w:rPr>
        <w:tab/>
        <w:t>O n.º 4 passa a ter a seguinte redação:</w:t>
      </w:r>
    </w:p>
    <w:p w14:paraId="5856BFCD" w14:textId="226E7484" w:rsidR="002E0FC5" w:rsidRPr="00AA7DF5" w:rsidRDefault="002E0FC5" w:rsidP="002E0FC5">
      <w:pPr>
        <w:spacing w:before="120" w:after="120" w:line="360" w:lineRule="auto"/>
        <w:ind w:left="1982" w:hanging="566"/>
        <w:rPr>
          <w:b/>
          <w:szCs w:val="24"/>
          <w:lang w:eastAsia="en-US"/>
        </w:rPr>
      </w:pPr>
      <w:r w:rsidRPr="00AA7DF5">
        <w:rPr>
          <w:szCs w:val="24"/>
          <w:lang w:eastAsia="en-US"/>
        </w:rPr>
        <w:t>«4.</w:t>
      </w:r>
      <w:r w:rsidRPr="00AA7DF5">
        <w:rPr>
          <w:szCs w:val="24"/>
          <w:lang w:eastAsia="en-US"/>
        </w:rPr>
        <w:tab/>
        <w:t>Os Estados-Membros devem atualizar os seus inventários no âmbito das revisões das análises especificadas no artigo 5.º, n.º 2, da Diretiva 2000/60/CE e assegurar que as emissões</w:t>
      </w:r>
      <w:r w:rsidRPr="00AA7DF5">
        <w:rPr>
          <w:b/>
          <w:i/>
          <w:szCs w:val="24"/>
          <w:lang w:eastAsia="en-US"/>
        </w:rPr>
        <w:t>, nomeadamente as que são</w:t>
      </w:r>
      <w:r w:rsidRPr="00AA7DF5">
        <w:rPr>
          <w:strike/>
          <w:szCs w:val="24"/>
          <w:lang w:eastAsia="en-US"/>
        </w:rPr>
        <w:t xml:space="preserve"> não</w:t>
      </w:r>
      <w:r w:rsidRPr="00AA7DF5">
        <w:rPr>
          <w:szCs w:val="24"/>
          <w:lang w:eastAsia="en-US"/>
        </w:rPr>
        <w:t xml:space="preserve"> comunicadas ao Portal das Emissões Industriais criado nos termos do Regulamento (UE) .../...++ são publicadas nos seus planos de gestão das bacias hidrográficas atualizados em conformidade com o artigo 13.º, n.º 7, dessa diretiva.</w:t>
      </w:r>
      <w:r w:rsidR="00F37569" w:rsidRPr="00AA7DF5">
        <w:rPr>
          <w:b/>
          <w:szCs w:val="24"/>
          <w:lang w:eastAsia="en-US"/>
        </w:rPr>
        <w:t xml:space="preserve"> [Alt. 112]</w:t>
      </w:r>
    </w:p>
    <w:p w14:paraId="1308F53D" w14:textId="77777777" w:rsidR="002E0FC5" w:rsidRPr="00AA7DF5" w:rsidRDefault="002E0FC5" w:rsidP="002E0FC5">
      <w:pPr>
        <w:spacing w:before="120" w:after="120" w:line="360" w:lineRule="auto"/>
        <w:ind w:left="1982"/>
        <w:rPr>
          <w:szCs w:val="24"/>
          <w:lang w:eastAsia="en-US"/>
        </w:rPr>
      </w:pPr>
      <w:r w:rsidRPr="00AA7DF5">
        <w:rPr>
          <w:szCs w:val="24"/>
          <w:lang w:eastAsia="en-US"/>
        </w:rPr>
        <w:t>O período de referência para o estabelecimento dos valores inscritos nos inventários atualizados é o ano anterior ao da conclusão das análises a que se refere o primeiro parágrafo.</w:t>
      </w:r>
    </w:p>
    <w:p w14:paraId="6A12DEEA" w14:textId="77777777" w:rsidR="00F37569" w:rsidRPr="00AA7DF5" w:rsidRDefault="00F37569">
      <w:pPr>
        <w:widowControl/>
        <w:rPr>
          <w:strike/>
          <w:szCs w:val="24"/>
          <w:lang w:eastAsia="en-US"/>
        </w:rPr>
      </w:pPr>
      <w:r w:rsidRPr="00AA7DF5">
        <w:rPr>
          <w:strike/>
          <w:szCs w:val="24"/>
          <w:lang w:eastAsia="en-US"/>
        </w:rPr>
        <w:br w:type="page"/>
      </w:r>
    </w:p>
    <w:p w14:paraId="59B4EFDD" w14:textId="39EBDD45" w:rsidR="002E0FC5" w:rsidRPr="00AA7DF5" w:rsidRDefault="002E0FC5" w:rsidP="002E0FC5">
      <w:pPr>
        <w:spacing w:before="120" w:after="120" w:line="360" w:lineRule="auto"/>
        <w:ind w:left="1982"/>
        <w:rPr>
          <w:b/>
          <w:szCs w:val="24"/>
          <w:lang w:eastAsia="en-US"/>
        </w:rPr>
      </w:pPr>
      <w:r w:rsidRPr="00AA7DF5">
        <w:rPr>
          <w:strike/>
          <w:szCs w:val="24"/>
          <w:lang w:eastAsia="en-US"/>
        </w:rPr>
        <w:lastRenderedPageBreak/>
        <w:t>Para as substâncias prioritárias ou para os poluentes abrangidos pelo Regulamento (CE) n.º 1107/2009, os dados podem ser calculados como a média dos três anos anteriores à conclusão das análises a que se refere o primeiro parágrafo.</w:t>
      </w:r>
      <w:r w:rsidR="00F37569" w:rsidRPr="00AA7DF5">
        <w:rPr>
          <w:b/>
          <w:szCs w:val="24"/>
          <w:lang w:eastAsia="en-US"/>
        </w:rPr>
        <w:t xml:space="preserve"> [Alt. 113]</w:t>
      </w:r>
    </w:p>
    <w:p w14:paraId="0D62CECD" w14:textId="77777777" w:rsidR="002E0FC5" w:rsidRPr="00AA7DF5" w:rsidRDefault="002E0FC5" w:rsidP="002E0FC5">
      <w:pPr>
        <w:spacing w:before="120" w:after="120" w:line="360" w:lineRule="auto"/>
        <w:ind w:left="1982"/>
        <w:rPr>
          <w:szCs w:val="24"/>
          <w:lang w:eastAsia="en-US"/>
        </w:rPr>
      </w:pPr>
      <w:r w:rsidRPr="00AA7DF5">
        <w:rPr>
          <w:szCs w:val="24"/>
          <w:lang w:eastAsia="en-US"/>
        </w:rPr>
        <w:t>Para as emissões de fontes tópicas não comunicadas em conformidade com o regulamento (UE) .../... por não se enquadrarem no âmbito de aplicação do mesmo ou por estarem abaixo dos limiares para a comunicação anual de informações nele estabelecidos, a obrigação de comunicação de informações estabelecida no primeiro parágrafo do presente artigo deve ser cumprida através da comunicação por meios eletrónicos ao Portal das Emissões Industriais criado nos termos desse regulamento.</w:t>
      </w:r>
    </w:p>
    <w:p w14:paraId="22A435F6" w14:textId="77777777" w:rsidR="002E0FC5" w:rsidRPr="00AA7DF5" w:rsidRDefault="002E0FC5" w:rsidP="002E0FC5">
      <w:pPr>
        <w:spacing w:before="120" w:after="120" w:line="360" w:lineRule="auto"/>
        <w:ind w:left="1982"/>
        <w:rPr>
          <w:szCs w:val="24"/>
          <w:lang w:eastAsia="en-US"/>
        </w:rPr>
      </w:pPr>
      <w:r w:rsidRPr="00AA7DF5">
        <w:rPr>
          <w:szCs w:val="24"/>
          <w:lang w:eastAsia="en-US"/>
        </w:rPr>
        <w:t>A Comissão, assistida pela Agência Europeia do Ambiente, adota um ato de execução que estabelece o formato, o nível de granularidade e a frequência da comunicação de informações a que se refere o quarto parágrafo. O referido ato de execução é adotado em conformidade com o procedimento de exame a que se refere o artigo 9.º, n.º 2.;»</w:t>
      </w:r>
    </w:p>
    <w:p w14:paraId="10B6EDA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d)</w:t>
      </w:r>
      <w:r w:rsidRPr="00AA7DF5">
        <w:rPr>
          <w:szCs w:val="24"/>
          <w:lang w:eastAsia="en-US"/>
        </w:rPr>
        <w:tab/>
        <w:t>É suprimido o n.º 5;</w:t>
      </w:r>
    </w:p>
    <w:p w14:paraId="0CE9E5A6" w14:textId="77777777" w:rsidR="00F37569" w:rsidRPr="00AA7DF5" w:rsidRDefault="00F37569">
      <w:pPr>
        <w:widowControl/>
        <w:rPr>
          <w:szCs w:val="24"/>
          <w:lang w:eastAsia="en-US"/>
        </w:rPr>
      </w:pPr>
      <w:r w:rsidRPr="00AA7DF5">
        <w:rPr>
          <w:szCs w:val="24"/>
          <w:lang w:eastAsia="en-US"/>
        </w:rPr>
        <w:br w:type="page"/>
      </w:r>
    </w:p>
    <w:p w14:paraId="54C78D29" w14:textId="585340CD"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4)</w:t>
      </w:r>
      <w:r w:rsidRPr="00AA7DF5">
        <w:rPr>
          <w:szCs w:val="24"/>
          <w:lang w:eastAsia="en-US"/>
        </w:rPr>
        <w:tab/>
        <w:t>no artigo 7.º-A, n.º 1, o primeiro parágrafo passa a ter a seguinte redação:</w:t>
      </w:r>
    </w:p>
    <w:p w14:paraId="067F3CE8" w14:textId="0A235824" w:rsidR="002E0FC5" w:rsidRPr="00AA7DF5" w:rsidRDefault="002E0FC5" w:rsidP="002E0FC5">
      <w:pPr>
        <w:spacing w:before="120" w:after="120" w:line="360" w:lineRule="auto"/>
        <w:ind w:left="1416" w:hanging="566"/>
        <w:rPr>
          <w:b/>
          <w:szCs w:val="24"/>
          <w:lang w:eastAsia="en-US"/>
        </w:rPr>
      </w:pPr>
      <w:r w:rsidRPr="00AA7DF5">
        <w:rPr>
          <w:szCs w:val="24"/>
          <w:lang w:eastAsia="en-US"/>
        </w:rPr>
        <w:t>«1.</w:t>
      </w:r>
      <w:r w:rsidRPr="00AA7DF5">
        <w:rPr>
          <w:szCs w:val="24"/>
          <w:lang w:eastAsia="en-US"/>
        </w:rPr>
        <w:tab/>
        <w:t xml:space="preserve">No caso das substâncias prioritárias que se enquadram no âmbito de aplicação dos Regulamentos (CE) n.º 1907/2006, (CE) n.º 1107/2009, (UE) n.º 528/2012 ou (UE) 2019/6 do Parlamento Europeu e do Conselho* ou das Diretivas 2001/83/CE**, 2009/128/CE*** ou 2010/75/UE do Parlamento Europeu e do Conselho, a Comissão, no âmbito do relatório a que se refere o artigo 18.º, n.º 1, da Diretiva 2000/60/CE, avalia </w:t>
      </w:r>
      <w:r w:rsidRPr="00AA7DF5">
        <w:rPr>
          <w:b/>
          <w:i/>
          <w:szCs w:val="24"/>
          <w:lang w:eastAsia="en-US"/>
        </w:rPr>
        <w:t xml:space="preserve">de dois em dois anos </w:t>
      </w:r>
      <w:r w:rsidRPr="00AA7DF5">
        <w:rPr>
          <w:szCs w:val="24"/>
          <w:lang w:eastAsia="en-US"/>
        </w:rPr>
        <w:t>se as medidas adotadas a nível da União e dos Estados-Membros são suficientes para cumprir as NQA aplicáveis às substâncias prioritárias e alcançar o objetivo de cessação ou de eliminação faseada das descargas, emissões e perdas das substâncias perigosas prioritárias, nos termos do artigo 4.º, n.º 1, alínea a), da Diretiva 2000/60/CE.</w:t>
      </w:r>
      <w:r w:rsidR="00E55EEF" w:rsidRPr="00AA7DF5">
        <w:rPr>
          <w:b/>
          <w:szCs w:val="24"/>
          <w:lang w:eastAsia="en-US"/>
        </w:rPr>
        <w:t xml:space="preserve"> [Alt. 114]</w:t>
      </w:r>
    </w:p>
    <w:p w14:paraId="5A50500B" w14:textId="555265CD" w:rsidR="002E0FC5" w:rsidRPr="00AA7DF5" w:rsidRDefault="002E0FC5" w:rsidP="002E0FC5">
      <w:pPr>
        <w:spacing w:before="120" w:after="120" w:line="360" w:lineRule="auto"/>
        <w:ind w:left="1416"/>
        <w:rPr>
          <w:b/>
          <w:szCs w:val="24"/>
          <w:lang w:eastAsia="en-US"/>
        </w:rPr>
      </w:pPr>
      <w:r w:rsidRPr="00AA7DF5">
        <w:rPr>
          <w:b/>
          <w:i/>
          <w:szCs w:val="24"/>
          <w:lang w:eastAsia="en-US"/>
        </w:rPr>
        <w:t>A hierarquia das medidas a tomar deve dar prioridade às restrições e a outras medidas de controlo na fonte. Neste contexto, a Comissão apresenta, se for caso disso, propostas de alteração dos atos jurídicos da UE para garantir que as descargas, emissões e perdas de substâncias prioritárias sejam impedidas na fonte.</w:t>
      </w:r>
      <w:r w:rsidR="00E55EEF" w:rsidRPr="00AA7DF5">
        <w:rPr>
          <w:b/>
          <w:szCs w:val="24"/>
          <w:lang w:eastAsia="en-US"/>
        </w:rPr>
        <w:t xml:space="preserve"> [Alt. 115]</w:t>
      </w:r>
    </w:p>
    <w:p w14:paraId="20E36E54" w14:textId="77777777" w:rsidR="00E55EEF" w:rsidRPr="00AA7DF5" w:rsidRDefault="00E55EEF">
      <w:pPr>
        <w:widowControl/>
        <w:rPr>
          <w:szCs w:val="24"/>
          <w:lang w:eastAsia="en-US"/>
        </w:rPr>
      </w:pPr>
      <w:r w:rsidRPr="00AA7DF5">
        <w:rPr>
          <w:szCs w:val="24"/>
          <w:lang w:eastAsia="en-US"/>
        </w:rPr>
        <w:br w:type="page"/>
      </w:r>
    </w:p>
    <w:p w14:paraId="561BA5F0" w14:textId="551850DF" w:rsidR="002E0FC5" w:rsidRPr="00AA7DF5" w:rsidRDefault="002E0FC5" w:rsidP="002E0FC5">
      <w:pPr>
        <w:spacing w:before="120" w:after="120" w:line="360" w:lineRule="auto"/>
        <w:ind w:left="850"/>
        <w:rPr>
          <w:szCs w:val="24"/>
          <w:lang w:eastAsia="en-US"/>
        </w:rPr>
      </w:pPr>
      <w:r w:rsidRPr="00AA7DF5">
        <w:rPr>
          <w:szCs w:val="24"/>
          <w:lang w:eastAsia="en-US"/>
        </w:rPr>
        <w:lastRenderedPageBreak/>
        <w:t>* Regulamento (UE) 2019/6 do Parlamento Europeu e do Conselho, de 11 de dezembro de 2018, relativo aos medicamentos veterinários e que revoga a Diretiva 2001/82/CE (JO L 4 de 7.1.2019, p. 43).</w:t>
      </w:r>
    </w:p>
    <w:p w14:paraId="7DB9D042" w14:textId="77777777" w:rsidR="002E0FC5" w:rsidRPr="00AA7DF5" w:rsidRDefault="002E0FC5" w:rsidP="002E0FC5">
      <w:pPr>
        <w:spacing w:before="120" w:after="120" w:line="360" w:lineRule="auto"/>
        <w:ind w:left="850"/>
        <w:rPr>
          <w:szCs w:val="24"/>
          <w:lang w:eastAsia="en-US"/>
        </w:rPr>
      </w:pPr>
      <w:r w:rsidRPr="00AA7DF5">
        <w:rPr>
          <w:szCs w:val="24"/>
          <w:lang w:eastAsia="en-US"/>
        </w:rPr>
        <w:t>** Diretiva 2001/83/CE do Parlamento Europeu e do Conselho, de 6 de novembro de 2001, que estabelece um código comunitário relativo aos medicamentos para uso humano (JO L 311 de 28.11.2001, p. 67).</w:t>
      </w:r>
    </w:p>
    <w:p w14:paraId="5C777FA4" w14:textId="77777777" w:rsidR="002E0FC5" w:rsidRPr="00AA7DF5" w:rsidRDefault="002E0FC5" w:rsidP="002E0FC5">
      <w:pPr>
        <w:spacing w:before="120" w:after="120" w:line="360" w:lineRule="auto"/>
        <w:ind w:left="850"/>
        <w:rPr>
          <w:szCs w:val="24"/>
          <w:lang w:eastAsia="en-US"/>
        </w:rPr>
      </w:pPr>
      <w:r w:rsidRPr="00AA7DF5">
        <w:rPr>
          <w:szCs w:val="24"/>
          <w:lang w:eastAsia="en-US"/>
        </w:rPr>
        <w:t>*** Diretiva 2009/128/CE do Parlamento Europeu e do Conselho, de 21 de outubro de 2009, que estabelece um quadro de ação ao nível comunitário para uma utilização sustentável dos pesticidas (JO L 309 de 24.11.2009, p. 71).;»</w:t>
      </w:r>
    </w:p>
    <w:p w14:paraId="6F68A698" w14:textId="46453A29" w:rsidR="002E0FC5" w:rsidRPr="00AA7DF5" w:rsidRDefault="002E0FC5" w:rsidP="002E0FC5">
      <w:pPr>
        <w:spacing w:before="120" w:after="120" w:line="360" w:lineRule="auto"/>
        <w:ind w:left="850" w:hanging="850"/>
        <w:rPr>
          <w:szCs w:val="24"/>
          <w:lang w:eastAsia="en-US"/>
        </w:rPr>
      </w:pPr>
      <w:r w:rsidRPr="00AA7DF5">
        <w:rPr>
          <w:b/>
          <w:i/>
          <w:szCs w:val="24"/>
          <w:lang w:eastAsia="en-US"/>
        </w:rPr>
        <w:t>4</w:t>
      </w:r>
      <w:r w:rsidR="00E55EEF"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No artigo 7.º‑A, o n.º 2 passa a ter a seguinte redação:</w:t>
      </w:r>
    </w:p>
    <w:p w14:paraId="1CCC0444" w14:textId="2DC924A9" w:rsidR="002E0FC5" w:rsidRPr="00AA7DF5" w:rsidRDefault="002E0FC5" w:rsidP="002E0FC5">
      <w:pPr>
        <w:spacing w:before="120" w:after="120" w:line="360" w:lineRule="auto"/>
        <w:ind w:left="1416" w:hanging="566"/>
        <w:rPr>
          <w:b/>
          <w:szCs w:val="24"/>
          <w:lang w:eastAsia="en-US"/>
        </w:rPr>
      </w:pPr>
      <w:r w:rsidRPr="00AA7DF5">
        <w:rPr>
          <w:szCs w:val="24"/>
          <w:lang w:eastAsia="en-US"/>
        </w:rPr>
        <w:t>«</w:t>
      </w:r>
      <w:r w:rsidRPr="00AA7DF5">
        <w:rPr>
          <w:b/>
          <w:i/>
          <w:szCs w:val="24"/>
          <w:lang w:eastAsia="en-US"/>
        </w:rPr>
        <w:t>1.</w:t>
      </w:r>
      <w:r w:rsidRPr="00AA7DF5">
        <w:rPr>
          <w:szCs w:val="24"/>
          <w:lang w:eastAsia="en-US"/>
        </w:rPr>
        <w:tab/>
      </w:r>
      <w:r w:rsidRPr="00AA7DF5">
        <w:rPr>
          <w:b/>
          <w:i/>
          <w:szCs w:val="24"/>
          <w:lang w:eastAsia="en-US"/>
        </w:rPr>
        <w:t>A Comissão apresenta ao Parlamento Europeu e ao Conselho um relatório sobre o resultado da avaliação referida no n.º 1 do presente artigo, o mais tardar seis meses após ter concluído a sua avaliação, e faz acompanhar esse relatório de propostas adequadas, nomeadamente de medidas de controlo.</w:t>
      </w:r>
      <w:r w:rsidRPr="00AA7DF5">
        <w:rPr>
          <w:szCs w:val="24"/>
          <w:lang w:eastAsia="en-US"/>
        </w:rPr>
        <w:t>»</w:t>
      </w:r>
      <w:r w:rsidR="00E55EEF" w:rsidRPr="00AA7DF5">
        <w:rPr>
          <w:b/>
          <w:szCs w:val="24"/>
          <w:lang w:eastAsia="en-US"/>
        </w:rPr>
        <w:t xml:space="preserve"> [Alt. 116]</w:t>
      </w:r>
    </w:p>
    <w:p w14:paraId="68CE02A5" w14:textId="77777777" w:rsidR="00CE667A" w:rsidRPr="00AA7DF5" w:rsidRDefault="00CE667A">
      <w:pPr>
        <w:widowControl/>
        <w:rPr>
          <w:szCs w:val="24"/>
          <w:lang w:eastAsia="en-US"/>
        </w:rPr>
      </w:pPr>
      <w:r w:rsidRPr="00AA7DF5">
        <w:rPr>
          <w:szCs w:val="24"/>
          <w:lang w:eastAsia="en-US"/>
        </w:rPr>
        <w:br w:type="page"/>
      </w:r>
    </w:p>
    <w:p w14:paraId="59CC5FAC" w14:textId="320AF10B"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5)</w:t>
      </w:r>
      <w:r w:rsidRPr="00AA7DF5">
        <w:rPr>
          <w:szCs w:val="24"/>
          <w:lang w:eastAsia="en-US"/>
        </w:rPr>
        <w:tab/>
        <w:t>O artigo 8.º passa a ter a seguinte redação:</w:t>
      </w:r>
    </w:p>
    <w:p w14:paraId="107F2174"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8.º</w:t>
      </w:r>
    </w:p>
    <w:p w14:paraId="78331C0E" w14:textId="77777777" w:rsidR="002E0FC5" w:rsidRPr="00AA7DF5" w:rsidRDefault="002E0FC5" w:rsidP="002E0FC5">
      <w:pPr>
        <w:spacing w:before="120" w:after="120" w:line="360" w:lineRule="auto"/>
        <w:ind w:left="850"/>
        <w:rPr>
          <w:szCs w:val="24"/>
          <w:lang w:eastAsia="en-US"/>
        </w:rPr>
      </w:pPr>
      <w:r w:rsidRPr="00AA7DF5">
        <w:rPr>
          <w:szCs w:val="24"/>
          <w:lang w:eastAsia="en-US"/>
        </w:rPr>
        <w:t>Revisão dos Anexos I e II</w:t>
      </w:r>
    </w:p>
    <w:p w14:paraId="5BC838C6" w14:textId="4EAB73D8" w:rsidR="002E0FC5" w:rsidRPr="00AA7DF5" w:rsidRDefault="002E0FC5" w:rsidP="002E0FC5">
      <w:pPr>
        <w:spacing w:before="120" w:after="120" w:line="360" w:lineRule="auto"/>
        <w:ind w:left="1416" w:hanging="566"/>
        <w:rPr>
          <w:b/>
          <w:szCs w:val="24"/>
          <w:lang w:eastAsia="en-US"/>
        </w:rPr>
      </w:pPr>
      <w:r w:rsidRPr="00AA7DF5">
        <w:rPr>
          <w:szCs w:val="24"/>
          <w:lang w:eastAsia="en-US"/>
        </w:rPr>
        <w:t>1.</w:t>
      </w:r>
      <w:r w:rsidRPr="00AA7DF5">
        <w:rPr>
          <w:szCs w:val="24"/>
          <w:lang w:eastAsia="en-US"/>
        </w:rPr>
        <w:tab/>
        <w:t xml:space="preserve">A Comissão revê, pela primeira vez até [Serviço das Publicações: inserir a data correspondente a </w:t>
      </w:r>
      <w:proofErr w:type="spellStart"/>
      <w:r w:rsidRPr="00AA7DF5">
        <w:rPr>
          <w:strike/>
          <w:szCs w:val="24"/>
          <w:lang w:eastAsia="en-US"/>
        </w:rPr>
        <w:t>seis</w:t>
      </w:r>
      <w:r w:rsidRPr="00AA7DF5">
        <w:rPr>
          <w:b/>
          <w:i/>
          <w:szCs w:val="24"/>
          <w:lang w:eastAsia="en-US"/>
        </w:rPr>
        <w:t>quatro</w:t>
      </w:r>
      <w:proofErr w:type="spellEnd"/>
      <w:r w:rsidRPr="00AA7DF5">
        <w:rPr>
          <w:szCs w:val="24"/>
          <w:lang w:eastAsia="en-US"/>
        </w:rPr>
        <w:t xml:space="preserve"> anos após a data de entrada em vigor da presente diretiva] e, posteriormente, de </w:t>
      </w:r>
      <w:r w:rsidRPr="00AA7DF5">
        <w:rPr>
          <w:strike/>
          <w:szCs w:val="24"/>
          <w:lang w:eastAsia="en-US"/>
        </w:rPr>
        <w:t xml:space="preserve">seis em </w:t>
      </w:r>
      <w:proofErr w:type="spellStart"/>
      <w:r w:rsidRPr="00AA7DF5">
        <w:rPr>
          <w:strike/>
          <w:szCs w:val="24"/>
          <w:lang w:eastAsia="en-US"/>
        </w:rPr>
        <w:t>seis</w:t>
      </w:r>
      <w:r w:rsidRPr="00AA7DF5">
        <w:rPr>
          <w:b/>
          <w:i/>
          <w:szCs w:val="24"/>
          <w:lang w:eastAsia="en-US"/>
        </w:rPr>
        <w:t>quatro</w:t>
      </w:r>
      <w:proofErr w:type="spellEnd"/>
      <w:r w:rsidRPr="00AA7DF5">
        <w:rPr>
          <w:b/>
          <w:i/>
          <w:szCs w:val="24"/>
          <w:lang w:eastAsia="en-US"/>
        </w:rPr>
        <w:t xml:space="preserve"> em quatro</w:t>
      </w:r>
      <w:r w:rsidRPr="00AA7DF5">
        <w:rPr>
          <w:szCs w:val="24"/>
          <w:lang w:eastAsia="en-US"/>
        </w:rPr>
        <w:t xml:space="preserve"> anos, a lista de substâncias prioritárias e as NQA correspondentes a essas substâncias estabelecidas no Anexo I, Parte A, e a lista de poluentes estabelecida no Anexo II, Parte A.</w:t>
      </w:r>
      <w:r w:rsidR="00CE667A" w:rsidRPr="00AA7DF5">
        <w:rPr>
          <w:b/>
          <w:szCs w:val="24"/>
          <w:lang w:eastAsia="en-US"/>
        </w:rPr>
        <w:t xml:space="preserve"> [Alt. 117]</w:t>
      </w:r>
    </w:p>
    <w:p w14:paraId="2B36EF27" w14:textId="351E67C7" w:rsidR="002E0FC5" w:rsidRPr="00AA7DF5" w:rsidRDefault="002E0FC5" w:rsidP="002E0FC5">
      <w:pPr>
        <w:spacing w:before="120" w:after="120" w:line="360" w:lineRule="auto"/>
        <w:ind w:left="1416" w:hanging="566"/>
        <w:rPr>
          <w:b/>
          <w:szCs w:val="24"/>
          <w:lang w:eastAsia="en-US"/>
        </w:rPr>
      </w:pPr>
      <w:r w:rsidRPr="00AA7DF5">
        <w:rPr>
          <w:szCs w:val="24"/>
          <w:lang w:eastAsia="en-US"/>
        </w:rPr>
        <w:t>2.</w:t>
      </w:r>
      <w:r w:rsidRPr="00AA7DF5">
        <w:rPr>
          <w:szCs w:val="24"/>
          <w:lang w:eastAsia="en-US"/>
        </w:rPr>
        <w:tab/>
      </w:r>
      <w:r w:rsidRPr="00AA7DF5">
        <w:rPr>
          <w:b/>
          <w:i/>
          <w:szCs w:val="24"/>
          <w:lang w:eastAsia="en-US"/>
        </w:rPr>
        <w:t xml:space="preserve">Com base na revisão, </w:t>
      </w:r>
      <w:r w:rsidRPr="00AA7DF5">
        <w:rPr>
          <w:szCs w:val="24"/>
          <w:lang w:eastAsia="en-US"/>
        </w:rPr>
        <w:t>a Comissão</w:t>
      </w:r>
      <w:r w:rsidRPr="00AA7DF5">
        <w:rPr>
          <w:strike/>
          <w:szCs w:val="24"/>
          <w:lang w:eastAsia="en-US"/>
        </w:rPr>
        <w:t xml:space="preserve"> fica habilitada a adotar atos delegados nos termos do artigo 9.º-A para alterar o Anexo I</w:t>
      </w:r>
      <w:r w:rsidRPr="00AA7DF5">
        <w:rPr>
          <w:b/>
          <w:i/>
          <w:szCs w:val="24"/>
          <w:lang w:eastAsia="en-US"/>
        </w:rPr>
        <w:t>, se for caso disso, apresenta propostas legislativas</w:t>
      </w:r>
      <w:r w:rsidRPr="00AA7DF5">
        <w:rPr>
          <w:szCs w:val="24"/>
          <w:lang w:eastAsia="en-US"/>
        </w:rPr>
        <w:t>, tendo em conta os relatórios científicos elaborados pela Agência Europeia dos Produtos Químicos (ECHA) nos termos do n.º 6 do presente artigo, a fim de o adaptar ao progresso científico e tecnológico pelos seguintes meios:</w:t>
      </w:r>
      <w:r w:rsidR="00CE667A" w:rsidRPr="00AA7DF5">
        <w:rPr>
          <w:b/>
          <w:szCs w:val="24"/>
          <w:lang w:eastAsia="en-US"/>
        </w:rPr>
        <w:t xml:space="preserve"> [Alt. 118]</w:t>
      </w:r>
    </w:p>
    <w:p w14:paraId="4B21B1C5" w14:textId="77777777" w:rsidR="00CE667A" w:rsidRPr="00AA7DF5" w:rsidRDefault="00CE667A">
      <w:pPr>
        <w:widowControl/>
        <w:rPr>
          <w:szCs w:val="24"/>
          <w:lang w:eastAsia="en-US"/>
        </w:rPr>
      </w:pPr>
      <w:r w:rsidRPr="00AA7DF5">
        <w:rPr>
          <w:szCs w:val="24"/>
          <w:lang w:eastAsia="en-US"/>
        </w:rPr>
        <w:br w:type="page"/>
      </w:r>
    </w:p>
    <w:p w14:paraId="7581823B" w14:textId="6A7FFD34"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a)</w:t>
      </w:r>
      <w:r w:rsidRPr="00AA7DF5">
        <w:rPr>
          <w:szCs w:val="24"/>
          <w:lang w:eastAsia="en-US"/>
        </w:rPr>
        <w:tab/>
        <w:t>Aditamento ou retirada de substâncias da lista de substâncias prioritárias;</w:t>
      </w:r>
    </w:p>
    <w:p w14:paraId="046E1430"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Designação ou retirada da designação nessa lista de substâncias selecionadas como substâncias perigosas prioritárias e/ou como substâncias persistentes, bioacumuláveis e tóxicas muito disseminadas (</w:t>
      </w:r>
      <w:proofErr w:type="spellStart"/>
      <w:r w:rsidRPr="00AA7DF5">
        <w:rPr>
          <w:szCs w:val="24"/>
          <w:lang w:eastAsia="en-US"/>
        </w:rPr>
        <w:t>uPBT</w:t>
      </w:r>
      <w:proofErr w:type="spellEnd"/>
      <w:r w:rsidRPr="00AA7DF5">
        <w:rPr>
          <w:szCs w:val="24"/>
          <w:lang w:eastAsia="en-US"/>
        </w:rPr>
        <w:t>) e/ou substâncias que tendem a acumular-se nos sedimentos e/ou no biota;</w:t>
      </w:r>
    </w:p>
    <w:p w14:paraId="0E092791"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c)</w:t>
      </w:r>
      <w:r w:rsidRPr="00AA7DF5">
        <w:rPr>
          <w:szCs w:val="24"/>
          <w:lang w:eastAsia="en-US"/>
        </w:rPr>
        <w:tab/>
        <w:t>Estabelecimento das NQA correspondentes para as águas de superfície, os sedimentos ou o biota, consoante o caso.</w:t>
      </w:r>
    </w:p>
    <w:p w14:paraId="103FAD03"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A Comissão fica habilitada a adotar atos delegados nos termos do artigo 9.º-A para alterar o Anexo II, tendo em conta os relatórios científicos elaborados pela ECHA nos termos do n.º 6 do presente artigo, a fim de o adaptar ao progresso científico e tecnológico pelos seguintes meios:</w:t>
      </w:r>
    </w:p>
    <w:p w14:paraId="75DCFC91"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Aditamento ou retirada de poluentes da lista de categorias de poluentes estabelecida no Anexo II, Parte A;</w:t>
      </w:r>
    </w:p>
    <w:p w14:paraId="39D23485"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Atualização da metodologia estabelecida no Anexo II, Parte B;</w:t>
      </w:r>
    </w:p>
    <w:p w14:paraId="30A1D91C" w14:textId="77777777" w:rsidR="00CE667A" w:rsidRPr="00AA7DF5" w:rsidRDefault="00CE667A">
      <w:pPr>
        <w:widowControl/>
        <w:rPr>
          <w:szCs w:val="24"/>
          <w:lang w:eastAsia="en-US"/>
        </w:rPr>
      </w:pPr>
      <w:r w:rsidRPr="00AA7DF5">
        <w:rPr>
          <w:szCs w:val="24"/>
          <w:lang w:eastAsia="en-US"/>
        </w:rPr>
        <w:br w:type="page"/>
      </w:r>
    </w:p>
    <w:p w14:paraId="5035B73F" w14:textId="66ADB266"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c)</w:t>
      </w:r>
      <w:r w:rsidRPr="00AA7DF5">
        <w:rPr>
          <w:szCs w:val="24"/>
          <w:lang w:eastAsia="en-US"/>
        </w:rPr>
        <w:tab/>
        <w:t>Inclusão no Anexo II, Parte C, da presente diretiva, dos poluentes específicos das bacias hidrográficas para os quais tenha estabelecido que as NQA definidas a nível da União devem ser aplicadas, a fim de garantir uma aplicação harmonizada e baseada em dados científicos dos objetivos estabelecidos no artigo 4.º da Diretiva 2000/60/CE, e enumeração das NQA correspondentes a esses poluentes no Anexo II, Parte C, da presente diretiva.</w:t>
      </w:r>
    </w:p>
    <w:p w14:paraId="37C3B910"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4.</w:t>
      </w:r>
      <w:r w:rsidRPr="00AA7DF5">
        <w:rPr>
          <w:szCs w:val="24"/>
          <w:lang w:eastAsia="en-US"/>
        </w:rPr>
        <w:tab/>
        <w:t>Ao identificar os poluentes específicos das bacias hidrográficas para os quais pode ser necessário estabelecer NQA a nível da União, a Comissão tem em conta os seguintes critérios:</w:t>
      </w:r>
    </w:p>
    <w:p w14:paraId="6A9F7819" w14:textId="37616AC2" w:rsidR="002E0FC5" w:rsidRPr="00AA7DF5" w:rsidRDefault="002E0FC5" w:rsidP="002E0FC5">
      <w:pPr>
        <w:spacing w:before="120" w:after="120" w:line="360" w:lineRule="auto"/>
        <w:ind w:left="1982" w:hanging="566"/>
        <w:rPr>
          <w:b/>
          <w:szCs w:val="24"/>
          <w:lang w:eastAsia="en-US"/>
        </w:rPr>
      </w:pPr>
      <w:r w:rsidRPr="00AA7DF5">
        <w:rPr>
          <w:szCs w:val="24"/>
          <w:lang w:eastAsia="en-US"/>
        </w:rPr>
        <w:t>a)</w:t>
      </w:r>
      <w:r w:rsidRPr="00AA7DF5">
        <w:rPr>
          <w:szCs w:val="24"/>
          <w:lang w:eastAsia="en-US"/>
        </w:rPr>
        <w:tab/>
        <w:t>O risco dos poluentes, incluindo o seu perigo, as suas concentrações no ambiente</w:t>
      </w:r>
      <w:r w:rsidRPr="00AA7DF5">
        <w:rPr>
          <w:strike/>
          <w:szCs w:val="24"/>
          <w:lang w:eastAsia="en-US"/>
        </w:rPr>
        <w:t xml:space="preserve"> e</w:t>
      </w:r>
      <w:r w:rsidRPr="00AA7DF5">
        <w:rPr>
          <w:b/>
          <w:i/>
          <w:szCs w:val="24"/>
          <w:lang w:eastAsia="en-US"/>
        </w:rPr>
        <w:t>,</w:t>
      </w:r>
      <w:r w:rsidRPr="00AA7DF5">
        <w:rPr>
          <w:szCs w:val="24"/>
          <w:lang w:eastAsia="en-US"/>
        </w:rPr>
        <w:t xml:space="preserve"> a concentração acima da qual </w:t>
      </w:r>
      <w:r w:rsidRPr="00AA7DF5">
        <w:rPr>
          <w:strike/>
          <w:szCs w:val="24"/>
          <w:lang w:eastAsia="en-US"/>
        </w:rPr>
        <w:t xml:space="preserve">são </w:t>
      </w:r>
      <w:proofErr w:type="spellStart"/>
      <w:r w:rsidRPr="00AA7DF5">
        <w:rPr>
          <w:strike/>
          <w:szCs w:val="24"/>
          <w:lang w:eastAsia="en-US"/>
        </w:rPr>
        <w:t>previsíveis</w:t>
      </w:r>
      <w:r w:rsidRPr="00AA7DF5">
        <w:rPr>
          <w:b/>
          <w:i/>
          <w:szCs w:val="24"/>
          <w:lang w:eastAsia="en-US"/>
        </w:rPr>
        <w:t>é</w:t>
      </w:r>
      <w:proofErr w:type="spellEnd"/>
      <w:r w:rsidRPr="00AA7DF5">
        <w:rPr>
          <w:b/>
          <w:i/>
          <w:szCs w:val="24"/>
          <w:lang w:eastAsia="en-US"/>
        </w:rPr>
        <w:t xml:space="preserve"> de esperar que se verifiquem</w:t>
      </w:r>
      <w:r w:rsidRPr="00AA7DF5">
        <w:rPr>
          <w:szCs w:val="24"/>
          <w:lang w:eastAsia="en-US"/>
        </w:rPr>
        <w:t xml:space="preserve"> efeitos</w:t>
      </w:r>
      <w:r w:rsidRPr="00AA7DF5">
        <w:rPr>
          <w:b/>
          <w:i/>
          <w:szCs w:val="24"/>
          <w:lang w:eastAsia="en-US"/>
        </w:rPr>
        <w:t>, incluindo efeitos cumulativos</w:t>
      </w:r>
      <w:r w:rsidRPr="00AA7DF5">
        <w:rPr>
          <w:szCs w:val="24"/>
          <w:lang w:eastAsia="en-US"/>
        </w:rPr>
        <w:t>;</w:t>
      </w:r>
      <w:r w:rsidR="00CE667A" w:rsidRPr="00AA7DF5">
        <w:rPr>
          <w:b/>
          <w:szCs w:val="24"/>
          <w:lang w:eastAsia="en-US"/>
        </w:rPr>
        <w:t xml:space="preserve"> [Alt. 119]</w:t>
      </w:r>
    </w:p>
    <w:p w14:paraId="02CF3665"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A disparidade entre as NQA nacionais estabelecidas para os poluentes específicos das bacias hidrográficas pelos diferentes Estados-Membros e o grau em que essa disparidade é justificável;</w:t>
      </w:r>
    </w:p>
    <w:p w14:paraId="2FEBC1A8" w14:textId="77777777" w:rsidR="00CE667A" w:rsidRPr="00AA7DF5" w:rsidRDefault="00CE667A">
      <w:pPr>
        <w:widowControl/>
        <w:rPr>
          <w:szCs w:val="24"/>
          <w:lang w:eastAsia="en-US"/>
        </w:rPr>
      </w:pPr>
      <w:r w:rsidRPr="00AA7DF5">
        <w:rPr>
          <w:szCs w:val="24"/>
          <w:lang w:eastAsia="en-US"/>
        </w:rPr>
        <w:br w:type="page"/>
      </w:r>
    </w:p>
    <w:p w14:paraId="626675F7" w14:textId="2F4973C9"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c)</w:t>
      </w:r>
      <w:r w:rsidRPr="00AA7DF5">
        <w:rPr>
          <w:szCs w:val="24"/>
          <w:lang w:eastAsia="en-US"/>
        </w:rPr>
        <w:tab/>
        <w:t>O número de Estados-Membros que já aplicam NQA para os poluentes específicos das bacias hidrográficas em causa.</w:t>
      </w:r>
    </w:p>
    <w:p w14:paraId="0FC86432"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5.</w:t>
      </w:r>
      <w:r w:rsidRPr="00AA7DF5">
        <w:rPr>
          <w:szCs w:val="24"/>
          <w:lang w:eastAsia="en-US"/>
        </w:rPr>
        <w:tab/>
        <w:t>As substâncias prioritárias que, em resultado da revisão a que se refere o n.º 1, tenham sido retiradas da lista de substâncias prioritárias por já não constituírem um risco a nível da União, são incluídas no Anexo II, Parte C, enumerando-se os poluentes específicos das bacias hidrográficas e as NQA harmonizadas conexas que devem ser aplicadas caso os poluentes suscitem preocupação a nível nacional ou regional, nos termos do artigo 8.º-D.</w:t>
      </w:r>
    </w:p>
    <w:p w14:paraId="15B8860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6.</w:t>
      </w:r>
      <w:r w:rsidRPr="00AA7DF5">
        <w:rPr>
          <w:szCs w:val="24"/>
          <w:lang w:eastAsia="en-US"/>
        </w:rPr>
        <w:tab/>
        <w:t>A ECHA deve elaborar relatórios científicos para assistir a Comissão no que respeita à revisão dos Anexos I e II. Esses relatórios científicos devem ter em conta os seguintes elementos:</w:t>
      </w:r>
    </w:p>
    <w:p w14:paraId="62FA159A"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Os pareceres do Comité de Avaliação dos Riscos e do Comité de Análise Socioeconómica da ECHA;</w:t>
      </w:r>
    </w:p>
    <w:p w14:paraId="2F1BA018"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Os resultados dos programas de monitorização estabelecidos em conformidade com o artigo 8.º da Diretiva 2000/60/CE;</w:t>
      </w:r>
    </w:p>
    <w:p w14:paraId="4A5189FC" w14:textId="77777777" w:rsidR="00CE667A" w:rsidRPr="00AA7DF5" w:rsidRDefault="00CE667A">
      <w:pPr>
        <w:widowControl/>
        <w:rPr>
          <w:szCs w:val="24"/>
          <w:lang w:eastAsia="en-US"/>
        </w:rPr>
      </w:pPr>
      <w:r w:rsidRPr="00AA7DF5">
        <w:rPr>
          <w:szCs w:val="24"/>
          <w:lang w:eastAsia="en-US"/>
        </w:rPr>
        <w:br w:type="page"/>
      </w:r>
    </w:p>
    <w:p w14:paraId="51D988D1" w14:textId="0271297E"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c)</w:t>
      </w:r>
      <w:r w:rsidRPr="00AA7DF5">
        <w:rPr>
          <w:szCs w:val="24"/>
          <w:lang w:eastAsia="en-US"/>
        </w:rPr>
        <w:tab/>
        <w:t>Os dados de monitorização recolhidos em conformidade com o artigo 8.º-B, n.º 4, da presente diretiva;</w:t>
      </w:r>
    </w:p>
    <w:p w14:paraId="21629A70" w14:textId="1A83CD03" w:rsidR="002E0FC5" w:rsidRPr="00AA7DF5" w:rsidRDefault="002E0FC5" w:rsidP="002E0FC5">
      <w:pPr>
        <w:spacing w:before="120" w:after="120" w:line="360" w:lineRule="auto"/>
        <w:ind w:left="1982" w:hanging="566"/>
        <w:rPr>
          <w:szCs w:val="24"/>
          <w:lang w:eastAsia="en-US"/>
        </w:rPr>
      </w:pPr>
      <w:r w:rsidRPr="00AA7DF5">
        <w:rPr>
          <w:szCs w:val="24"/>
          <w:lang w:eastAsia="en-US"/>
        </w:rPr>
        <w:t>d)</w:t>
      </w:r>
      <w:r w:rsidRPr="00AA7DF5">
        <w:rPr>
          <w:szCs w:val="24"/>
          <w:lang w:eastAsia="en-US"/>
        </w:rPr>
        <w:tab/>
        <w:t>Os resultados das revisões dos Anexos das Diretivas 2006/118/CE* e (UE) 2020/2184** do Parlamento Europeu e do Conselho;</w:t>
      </w:r>
    </w:p>
    <w:p w14:paraId="5ECB6C5D"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e)</w:t>
      </w:r>
      <w:r w:rsidRPr="00AA7DF5">
        <w:rPr>
          <w:szCs w:val="24"/>
          <w:lang w:eastAsia="en-US"/>
        </w:rPr>
        <w:tab/>
        <w:t>Requisitos para combater a poluição do solo, incluindo os dados de monitorização conexos;</w:t>
      </w:r>
    </w:p>
    <w:p w14:paraId="3D091609"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f)</w:t>
      </w:r>
      <w:r w:rsidRPr="00AA7DF5">
        <w:rPr>
          <w:szCs w:val="24"/>
          <w:lang w:eastAsia="en-US"/>
        </w:rPr>
        <w:tab/>
        <w:t xml:space="preserve">Programas de investigação da União e publicações científicas, incluindo informações resultantes de tecnologias de teledeteção, de observação da Terra (serviços </w:t>
      </w:r>
      <w:proofErr w:type="spellStart"/>
      <w:r w:rsidRPr="00AA7DF5">
        <w:rPr>
          <w:szCs w:val="24"/>
          <w:lang w:eastAsia="en-US"/>
        </w:rPr>
        <w:t>Copernicus</w:t>
      </w:r>
      <w:proofErr w:type="spellEnd"/>
      <w:r w:rsidRPr="00AA7DF5">
        <w:rPr>
          <w:szCs w:val="24"/>
          <w:lang w:eastAsia="en-US"/>
        </w:rPr>
        <w:t>) e de sensores e dispositivos in situ e/ou dados da ciência cidadã, tirando partido das oportunidades proporcionadas pela inteligência artificial e pela análise e tratamento avançados de dados;</w:t>
      </w:r>
    </w:p>
    <w:p w14:paraId="209F207A"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g)</w:t>
      </w:r>
      <w:r w:rsidRPr="00AA7DF5">
        <w:rPr>
          <w:szCs w:val="24"/>
          <w:lang w:eastAsia="en-US"/>
        </w:rPr>
        <w:tab/>
        <w:t>Observações e informações das partes interessadas.</w:t>
      </w:r>
    </w:p>
    <w:p w14:paraId="4291BD2B" w14:textId="77777777" w:rsidR="00CE667A" w:rsidRPr="00AA7DF5" w:rsidRDefault="00CE667A">
      <w:pPr>
        <w:widowControl/>
        <w:rPr>
          <w:b/>
          <w:i/>
          <w:szCs w:val="24"/>
          <w:lang w:eastAsia="en-US"/>
        </w:rPr>
      </w:pPr>
      <w:r w:rsidRPr="00AA7DF5">
        <w:rPr>
          <w:b/>
          <w:i/>
          <w:szCs w:val="24"/>
          <w:lang w:eastAsia="en-US"/>
        </w:rPr>
        <w:br w:type="page"/>
      </w:r>
    </w:p>
    <w:p w14:paraId="13ADAD8F" w14:textId="68D5227D" w:rsidR="002E0FC5" w:rsidRPr="00AA7DF5" w:rsidRDefault="002E0FC5" w:rsidP="002E0FC5">
      <w:pPr>
        <w:spacing w:before="120" w:after="120" w:line="360" w:lineRule="auto"/>
        <w:ind w:left="1416" w:hanging="566"/>
        <w:rPr>
          <w:b/>
          <w:szCs w:val="24"/>
          <w:lang w:eastAsia="en-US"/>
        </w:rPr>
      </w:pPr>
      <w:r w:rsidRPr="00AA7DF5">
        <w:rPr>
          <w:b/>
          <w:i/>
          <w:szCs w:val="24"/>
          <w:lang w:eastAsia="en-US"/>
        </w:rPr>
        <w:lastRenderedPageBreak/>
        <w:t>6</w:t>
      </w:r>
      <w:r w:rsidR="00CE667A"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 xml:space="preserve">Até 12 de janeiro de 2025, a Comissão elabora orientações técnicas relativas aos métodos de análise para a monitorização das substâncias </w:t>
      </w:r>
      <w:proofErr w:type="spellStart"/>
      <w:r w:rsidRPr="00AA7DF5">
        <w:rPr>
          <w:b/>
          <w:i/>
          <w:szCs w:val="24"/>
          <w:lang w:eastAsia="en-US"/>
        </w:rPr>
        <w:t>perfluoroalquiladas</w:t>
      </w:r>
      <w:proofErr w:type="spellEnd"/>
      <w:r w:rsidRPr="00AA7DF5">
        <w:rPr>
          <w:b/>
          <w:i/>
          <w:szCs w:val="24"/>
          <w:lang w:eastAsia="en-US"/>
        </w:rPr>
        <w:t xml:space="preserve"> e </w:t>
      </w:r>
      <w:proofErr w:type="spellStart"/>
      <w:r w:rsidRPr="00AA7DF5">
        <w:rPr>
          <w:b/>
          <w:i/>
          <w:szCs w:val="24"/>
          <w:lang w:eastAsia="en-US"/>
        </w:rPr>
        <w:t>polifluoroalquiladas</w:t>
      </w:r>
      <w:proofErr w:type="spellEnd"/>
      <w:r w:rsidRPr="00AA7DF5">
        <w:rPr>
          <w:b/>
          <w:i/>
          <w:szCs w:val="24"/>
          <w:lang w:eastAsia="en-US"/>
        </w:rPr>
        <w:t xml:space="preserve"> no âmbito do parâmetro «Total de PFAS». Até 12 de janeiro de 2026, a Comissão adota atos delegados em conformidade com o artigo 9.º‑A, a fim de alterar a presente diretiva, estabelecendo uma norma de qualidade para o «total de FPAS» e alterando o Anexo I em conformidade. </w:t>
      </w:r>
      <w:r w:rsidR="00CE667A" w:rsidRPr="00AA7DF5">
        <w:rPr>
          <w:b/>
          <w:szCs w:val="24"/>
          <w:lang w:eastAsia="en-US"/>
        </w:rPr>
        <w:t>[Alt. 120]</w:t>
      </w:r>
    </w:p>
    <w:p w14:paraId="08E7F422" w14:textId="53990F51" w:rsidR="002E0FC5" w:rsidRPr="00AA7DF5" w:rsidRDefault="002E0FC5" w:rsidP="002E0FC5">
      <w:pPr>
        <w:spacing w:before="120" w:after="120" w:line="360" w:lineRule="auto"/>
        <w:ind w:left="1416" w:hanging="566"/>
        <w:rPr>
          <w:b/>
          <w:szCs w:val="24"/>
          <w:lang w:eastAsia="en-US"/>
        </w:rPr>
      </w:pPr>
      <w:r w:rsidRPr="00AA7DF5">
        <w:rPr>
          <w:b/>
          <w:i/>
          <w:szCs w:val="24"/>
          <w:lang w:eastAsia="en-US"/>
        </w:rPr>
        <w:t>6</w:t>
      </w:r>
      <w:r w:rsidR="00CE667A"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 xml:space="preserve">Até ... [dois anos após a entrada em vigor da presente diretiva], a Comissão elabora orientações técnicas relativas aos métodos de análise para a monitorização dos bisfenóis, incluindo, pelo menos, o </w:t>
      </w:r>
      <w:proofErr w:type="spellStart"/>
      <w:r w:rsidRPr="00AA7DF5">
        <w:rPr>
          <w:b/>
          <w:i/>
          <w:szCs w:val="24"/>
          <w:lang w:eastAsia="en-US"/>
        </w:rPr>
        <w:t>bisfenol‑A</w:t>
      </w:r>
      <w:proofErr w:type="spellEnd"/>
      <w:r w:rsidRPr="00AA7DF5">
        <w:rPr>
          <w:b/>
          <w:i/>
          <w:szCs w:val="24"/>
          <w:lang w:eastAsia="en-US"/>
        </w:rPr>
        <w:t>, o bisfenol‑B e o bisfenol‑S, no âmbito do parâmetro «Total de bisfenóis». Até ... [três anos após a entrada em vigor da presente diretiva], a Comissão adota um ato delegado nos termos do artigo 9.º‑A, a fim de alterar a presente diretiva, estabelecendo uma NQA para o «Total de bisfenóis», recorrendo para tal a uma abordagem baseada no fator de potência relativa e alterando o Anexo I em conformidade.</w:t>
      </w:r>
      <w:r w:rsidR="00CE667A" w:rsidRPr="00AA7DF5">
        <w:rPr>
          <w:b/>
          <w:szCs w:val="24"/>
          <w:lang w:eastAsia="en-US"/>
        </w:rPr>
        <w:t xml:space="preserve"> [Alt. 121]</w:t>
      </w:r>
    </w:p>
    <w:p w14:paraId="7E86190E" w14:textId="77777777" w:rsidR="00CE667A" w:rsidRPr="00AA7DF5" w:rsidRDefault="00CE667A">
      <w:pPr>
        <w:widowControl/>
        <w:rPr>
          <w:szCs w:val="24"/>
          <w:lang w:eastAsia="en-US"/>
        </w:rPr>
      </w:pPr>
      <w:r w:rsidRPr="00AA7DF5">
        <w:rPr>
          <w:szCs w:val="24"/>
          <w:lang w:eastAsia="en-US"/>
        </w:rPr>
        <w:br w:type="page"/>
      </w:r>
    </w:p>
    <w:p w14:paraId="458D8422" w14:textId="4C03E269"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7.</w:t>
      </w:r>
      <w:r w:rsidRPr="00AA7DF5">
        <w:rPr>
          <w:szCs w:val="24"/>
          <w:lang w:eastAsia="en-US"/>
        </w:rPr>
        <w:tab/>
        <w:t xml:space="preserve">De </w:t>
      </w:r>
      <w:r w:rsidRPr="00AA7DF5">
        <w:rPr>
          <w:strike/>
          <w:szCs w:val="24"/>
          <w:lang w:eastAsia="en-US"/>
        </w:rPr>
        <w:t xml:space="preserve">seis em </w:t>
      </w:r>
      <w:proofErr w:type="spellStart"/>
      <w:r w:rsidRPr="00AA7DF5">
        <w:rPr>
          <w:strike/>
          <w:szCs w:val="24"/>
          <w:lang w:eastAsia="en-US"/>
        </w:rPr>
        <w:t>seis</w:t>
      </w:r>
      <w:r w:rsidRPr="00AA7DF5">
        <w:rPr>
          <w:b/>
          <w:i/>
          <w:szCs w:val="24"/>
          <w:lang w:eastAsia="en-US"/>
        </w:rPr>
        <w:t>quatro</w:t>
      </w:r>
      <w:proofErr w:type="spellEnd"/>
      <w:r w:rsidRPr="00AA7DF5">
        <w:rPr>
          <w:b/>
          <w:i/>
          <w:szCs w:val="24"/>
          <w:lang w:eastAsia="en-US"/>
        </w:rPr>
        <w:t xml:space="preserve"> em quatro</w:t>
      </w:r>
      <w:r w:rsidRPr="00AA7DF5">
        <w:rPr>
          <w:szCs w:val="24"/>
          <w:lang w:eastAsia="en-US"/>
        </w:rPr>
        <w:t xml:space="preserve"> anos, a ECHA deve elaborar e disponibilizar ao público um relatório de síntese das conclusões dos relatórios científicos a que se refere o </w:t>
      </w:r>
      <w:proofErr w:type="spellStart"/>
      <w:r w:rsidRPr="00AA7DF5">
        <w:rPr>
          <w:szCs w:val="24"/>
          <w:lang w:eastAsia="en-US"/>
        </w:rPr>
        <w:t>n.</w:t>
      </w:r>
      <w:r w:rsidRPr="00AA7DF5">
        <w:rPr>
          <w:szCs w:val="24"/>
          <w:vertAlign w:val="superscript"/>
          <w:lang w:eastAsia="en-US"/>
        </w:rPr>
        <w:t>o</w:t>
      </w:r>
      <w:proofErr w:type="spellEnd"/>
      <w:r w:rsidRPr="00AA7DF5">
        <w:rPr>
          <w:szCs w:val="24"/>
          <w:lang w:eastAsia="en-US"/>
        </w:rPr>
        <w:t xml:space="preserve"> 6. O primeiro relatório é apresentado à Comissão em... [Serviço das Publicações: inserir a data correspondente a </w:t>
      </w:r>
      <w:proofErr w:type="spellStart"/>
      <w:r w:rsidRPr="00AA7DF5">
        <w:rPr>
          <w:strike/>
          <w:szCs w:val="24"/>
          <w:lang w:eastAsia="en-US"/>
        </w:rPr>
        <w:t>cinco</w:t>
      </w:r>
      <w:r w:rsidRPr="00AA7DF5">
        <w:rPr>
          <w:b/>
          <w:i/>
          <w:szCs w:val="24"/>
          <w:lang w:eastAsia="en-US"/>
        </w:rPr>
        <w:t>três</w:t>
      </w:r>
      <w:proofErr w:type="spellEnd"/>
      <w:r w:rsidRPr="00AA7DF5">
        <w:rPr>
          <w:szCs w:val="24"/>
          <w:lang w:eastAsia="en-US"/>
        </w:rPr>
        <w:t xml:space="preserve"> anos após a data de entrada em vigor da presente diretiva].</w:t>
      </w:r>
      <w:r w:rsidR="00951B86" w:rsidRPr="00AA7DF5">
        <w:rPr>
          <w:b/>
          <w:szCs w:val="24"/>
          <w:lang w:eastAsia="en-US"/>
        </w:rPr>
        <w:t xml:space="preserve"> [Alt. 122]</w:t>
      </w:r>
    </w:p>
    <w:p w14:paraId="6112E6A3" w14:textId="77777777" w:rsidR="002E0FC5" w:rsidRPr="00AA7DF5" w:rsidRDefault="002E0FC5" w:rsidP="002E0FC5">
      <w:pPr>
        <w:spacing w:before="120" w:after="120" w:line="360" w:lineRule="auto"/>
        <w:ind w:left="850"/>
        <w:rPr>
          <w:szCs w:val="24"/>
          <w:lang w:eastAsia="en-US"/>
        </w:rPr>
      </w:pPr>
      <w:r w:rsidRPr="00AA7DF5">
        <w:rPr>
          <w:szCs w:val="24"/>
          <w:lang w:eastAsia="en-US"/>
        </w:rPr>
        <w:t>* Diretiva 2006/118/CE do Parlamento Europeu e do Conselho, de 12 de dezembro de 2006, relativa à prevenção e controlo da poluição das águas subterrâneas (JO L 372 de 27.12.2006, p. 19).</w:t>
      </w:r>
    </w:p>
    <w:p w14:paraId="2D26F6B3" w14:textId="31ED8492" w:rsidR="002E0FC5" w:rsidRPr="00AA7DF5" w:rsidRDefault="002E0FC5" w:rsidP="002E0FC5">
      <w:pPr>
        <w:spacing w:before="120" w:after="120" w:line="360" w:lineRule="auto"/>
        <w:ind w:left="850"/>
        <w:rPr>
          <w:szCs w:val="24"/>
          <w:lang w:eastAsia="en-US"/>
        </w:rPr>
      </w:pPr>
      <w:r w:rsidRPr="00AA7DF5">
        <w:rPr>
          <w:szCs w:val="24"/>
          <w:lang w:eastAsia="en-US"/>
        </w:rPr>
        <w:t>** Diretiva (UE) 2020/2184 do Parlamento Europeu e do Conselho, de 16 de dezembro de 2020, relativa à qualidade da água destinada ao consumo humano (JO L 435 de 23.12.2020, p. 1).»</w:t>
      </w:r>
      <w:r w:rsidR="00951B86" w:rsidRPr="00AA7DF5">
        <w:rPr>
          <w:szCs w:val="24"/>
          <w:lang w:eastAsia="en-US"/>
        </w:rPr>
        <w:t>;</w:t>
      </w:r>
    </w:p>
    <w:p w14:paraId="59708CB0" w14:textId="77777777" w:rsidR="00951B86" w:rsidRPr="00AA7DF5" w:rsidRDefault="00951B86">
      <w:pPr>
        <w:widowControl/>
        <w:rPr>
          <w:szCs w:val="24"/>
          <w:lang w:eastAsia="en-US"/>
        </w:rPr>
      </w:pPr>
      <w:r w:rsidRPr="00AA7DF5">
        <w:rPr>
          <w:szCs w:val="24"/>
          <w:lang w:eastAsia="en-US"/>
        </w:rPr>
        <w:br w:type="page"/>
      </w:r>
    </w:p>
    <w:p w14:paraId="4AD2F1B1" w14:textId="5EBB7B28"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6)</w:t>
      </w:r>
      <w:r w:rsidRPr="00AA7DF5">
        <w:rPr>
          <w:szCs w:val="24"/>
          <w:lang w:eastAsia="en-US"/>
        </w:rPr>
        <w:tab/>
        <w:t>O artigo 8.º-A passa a ter a seguinte redação:</w:t>
      </w:r>
    </w:p>
    <w:p w14:paraId="198EE3C7"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8.º-A</w:t>
      </w:r>
    </w:p>
    <w:p w14:paraId="19C4FFEB" w14:textId="77777777" w:rsidR="002E0FC5" w:rsidRPr="00AA7DF5" w:rsidRDefault="002E0FC5" w:rsidP="002E0FC5">
      <w:pPr>
        <w:spacing w:before="120" w:after="120" w:line="360" w:lineRule="auto"/>
        <w:ind w:left="850"/>
        <w:rPr>
          <w:szCs w:val="24"/>
          <w:lang w:eastAsia="en-US"/>
        </w:rPr>
      </w:pPr>
      <w:r w:rsidRPr="00AA7DF5">
        <w:rPr>
          <w:szCs w:val="24"/>
          <w:lang w:eastAsia="en-US"/>
        </w:rPr>
        <w:t>Disposições específicas para certas substâncias</w:t>
      </w:r>
    </w:p>
    <w:p w14:paraId="359A9DCF"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Nos planos de gestão das bacias hidrográficas elaborados de acordo com o artigo 13.º da Diretiva 2000/60/CE, sem prejuízo dos requisitos previstos no Anexo V, ponto 1.4.3, no que respeita à apresentação do estado químico geral, e dos objetivos e obrigações estabelecidos no artigo 4.º, n.º 1, alínea a), dessa diretiva, os Estados-Membros podem fornecer mapas suplementares que apresentem os dados relativos ao estado químico de uma ou mais das seguintes substâncias, separadamente dos dados relativos às restantes substâncias identificadas no Anexo I, Parte A, da presente diretiva:</w:t>
      </w:r>
    </w:p>
    <w:p w14:paraId="07A4D3F6"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Substâncias identificadas no Anexo I, Parte A, como substâncias que se comportam como PBT muito disseminadas;</w:t>
      </w:r>
    </w:p>
    <w:p w14:paraId="59643BF6"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Substâncias recém-identificadas na última revisão nos termos do artigo 8.º;</w:t>
      </w:r>
    </w:p>
    <w:p w14:paraId="138857B4" w14:textId="77777777" w:rsidR="00951B86" w:rsidRPr="00AA7DF5" w:rsidRDefault="00951B86">
      <w:pPr>
        <w:widowControl/>
        <w:rPr>
          <w:szCs w:val="24"/>
          <w:lang w:eastAsia="en-US"/>
        </w:rPr>
      </w:pPr>
      <w:r w:rsidRPr="00AA7DF5">
        <w:rPr>
          <w:szCs w:val="24"/>
          <w:lang w:eastAsia="en-US"/>
        </w:rPr>
        <w:br w:type="page"/>
      </w:r>
    </w:p>
    <w:p w14:paraId="755D4406" w14:textId="4DD23000"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c)</w:t>
      </w:r>
      <w:r w:rsidRPr="00AA7DF5">
        <w:rPr>
          <w:szCs w:val="24"/>
          <w:lang w:eastAsia="en-US"/>
        </w:rPr>
        <w:tab/>
        <w:t>Substâncias para as quais tenha sido estabelecida uma NQA mais estrita na última revisão nos termos do artigo 8.º.</w:t>
      </w:r>
    </w:p>
    <w:p w14:paraId="16079D75" w14:textId="7E576284" w:rsidR="002E0FC5" w:rsidRPr="00AA7DF5" w:rsidRDefault="002E0FC5" w:rsidP="002E0FC5">
      <w:pPr>
        <w:spacing w:before="120" w:after="120" w:line="360" w:lineRule="auto"/>
        <w:ind w:left="1416"/>
        <w:rPr>
          <w:b/>
          <w:szCs w:val="24"/>
          <w:lang w:eastAsia="en-US"/>
        </w:rPr>
      </w:pPr>
      <w:r w:rsidRPr="00AA7DF5">
        <w:rPr>
          <w:szCs w:val="24"/>
          <w:lang w:eastAsia="en-US"/>
        </w:rPr>
        <w:t xml:space="preserve">Os Estados-Membros </w:t>
      </w:r>
      <w:proofErr w:type="spellStart"/>
      <w:r w:rsidRPr="00AA7DF5">
        <w:rPr>
          <w:strike/>
          <w:szCs w:val="24"/>
          <w:lang w:eastAsia="en-US"/>
        </w:rPr>
        <w:t>podem</w:t>
      </w:r>
      <w:r w:rsidRPr="00AA7DF5">
        <w:rPr>
          <w:b/>
          <w:i/>
          <w:szCs w:val="24"/>
          <w:lang w:eastAsia="en-US"/>
        </w:rPr>
        <w:t>devem</w:t>
      </w:r>
      <w:proofErr w:type="spellEnd"/>
      <w:r w:rsidRPr="00AA7DF5">
        <w:rPr>
          <w:szCs w:val="24"/>
          <w:lang w:eastAsia="en-US"/>
        </w:rPr>
        <w:t xml:space="preserve"> apresentar, nos planos de gestão das bacias hidrográficas elaborados nos termos do artigo 13.º da Diretiva 2000/60/CE, para as substâncias a que se refere o primeiro parágrafo, alíneas a), b) e c), o grau de qualquer desvio em relação ao valor das NQA. Os Estados-Membros que forneçam os mapas suplementares a que se refere o primeiro parágrafo devem procurar assegurar a sua </w:t>
      </w:r>
      <w:proofErr w:type="spellStart"/>
      <w:r w:rsidRPr="00AA7DF5">
        <w:rPr>
          <w:szCs w:val="24"/>
          <w:lang w:eastAsia="en-US"/>
        </w:rPr>
        <w:t>intercomparabilidade</w:t>
      </w:r>
      <w:proofErr w:type="spellEnd"/>
      <w:r w:rsidRPr="00AA7DF5">
        <w:rPr>
          <w:szCs w:val="24"/>
          <w:lang w:eastAsia="en-US"/>
        </w:rPr>
        <w:t xml:space="preserve"> a nível de bacia hidrográfica e da União e disponibilizar os dados em conformidade com as Diretivas 2003/4/CE, 2007/2/CE* e (UE) 2019/1024** do Parlamento Europeu e do Conselho.</w:t>
      </w:r>
      <w:r w:rsidR="00951B86" w:rsidRPr="00AA7DF5">
        <w:rPr>
          <w:b/>
          <w:szCs w:val="24"/>
          <w:lang w:eastAsia="en-US"/>
        </w:rPr>
        <w:t xml:space="preserve"> [Alt. 123]</w:t>
      </w:r>
    </w:p>
    <w:p w14:paraId="28FD4618" w14:textId="77777777" w:rsidR="00951B86" w:rsidRPr="00AA7DF5" w:rsidRDefault="00951B86">
      <w:pPr>
        <w:widowControl/>
        <w:rPr>
          <w:szCs w:val="24"/>
          <w:lang w:eastAsia="en-US"/>
        </w:rPr>
      </w:pPr>
      <w:r w:rsidRPr="00AA7DF5">
        <w:rPr>
          <w:szCs w:val="24"/>
          <w:lang w:eastAsia="en-US"/>
        </w:rPr>
        <w:br w:type="page"/>
      </w:r>
    </w:p>
    <w:p w14:paraId="3D304DF9" w14:textId="29757E00" w:rsidR="002E0FC5" w:rsidRPr="00AA7DF5" w:rsidRDefault="002E0FC5" w:rsidP="002E0FC5">
      <w:pPr>
        <w:spacing w:before="120" w:after="120" w:line="360" w:lineRule="auto"/>
        <w:ind w:left="1416" w:hanging="566"/>
        <w:rPr>
          <w:b/>
          <w:szCs w:val="24"/>
          <w:lang w:eastAsia="en-US"/>
        </w:rPr>
      </w:pPr>
      <w:r w:rsidRPr="00AA7DF5">
        <w:rPr>
          <w:szCs w:val="24"/>
          <w:lang w:eastAsia="en-US"/>
        </w:rPr>
        <w:lastRenderedPageBreak/>
        <w:t>2.</w:t>
      </w:r>
      <w:r w:rsidRPr="00AA7DF5">
        <w:rPr>
          <w:szCs w:val="24"/>
          <w:lang w:eastAsia="en-US"/>
        </w:rPr>
        <w:tab/>
        <w:t>Os Estados-Membros podem monitorizar as substâncias identificadas no Anexo I, Parte A, como substâncias que se comportam como PTB muito disseminadas</w:t>
      </w:r>
      <w:r w:rsidRPr="00AA7DF5">
        <w:rPr>
          <w:b/>
          <w:i/>
          <w:szCs w:val="24"/>
          <w:lang w:eastAsia="en-US"/>
        </w:rPr>
        <w:t xml:space="preserve"> e que deixaram de ser autorizadas e utilizadas na União</w:t>
      </w:r>
      <w:r w:rsidRPr="00AA7DF5">
        <w:rPr>
          <w:szCs w:val="24"/>
          <w:lang w:eastAsia="en-US"/>
        </w:rPr>
        <w:t xml:space="preserve"> menos intensivamente do que o exigido para as substâncias prioritárias nos termos do artigo 3.º, n.º 4, da presente diretiva e do Anexo V da Diretiva 2000/60/CE, desde que a monitorização efetuada seja representativa e que se disponha de dados de base estatisticamente sólidos relativos à presença dessas substâncias no meio aquático. A título indicativo, nos termos do artigo 3.º, n.º 6, segundo parágrafo, da presente diretiva, a monitorização deverá realizar-se de três em três anos, salvo se os conhecimentos técnicos e o parecer dos peritos justificarem outra periodicidade.</w:t>
      </w:r>
      <w:r w:rsidR="00951B86" w:rsidRPr="00AA7DF5">
        <w:rPr>
          <w:b/>
          <w:szCs w:val="24"/>
          <w:lang w:eastAsia="en-US"/>
        </w:rPr>
        <w:t xml:space="preserve"> [Alt. 124]</w:t>
      </w:r>
    </w:p>
    <w:p w14:paraId="1FD8E061" w14:textId="77777777" w:rsidR="00951B86" w:rsidRPr="00AA7DF5" w:rsidRDefault="00951B86">
      <w:pPr>
        <w:widowControl/>
        <w:rPr>
          <w:szCs w:val="24"/>
          <w:lang w:eastAsia="en-US"/>
        </w:rPr>
      </w:pPr>
      <w:r w:rsidRPr="00AA7DF5">
        <w:rPr>
          <w:szCs w:val="24"/>
          <w:lang w:eastAsia="en-US"/>
        </w:rPr>
        <w:br w:type="page"/>
      </w:r>
    </w:p>
    <w:p w14:paraId="012C1357" w14:textId="1B6F81F2"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3.</w:t>
      </w:r>
      <w:r w:rsidRPr="00AA7DF5">
        <w:rPr>
          <w:szCs w:val="24"/>
          <w:lang w:eastAsia="en-US"/>
        </w:rPr>
        <w:tab/>
        <w:t>Os Estados-Membros devem monitorizar a presença de substâncias estrogénicas nas massas de água, recorrendo a métodos de monitorização baseados nos efeitos, a partir de ... [Serviço das Publicações: inserir a data correspondente ao primeiro dia do mês seguinte a 18 meses após a data de entrada em vigor da presente diretiva], por um período de dois anos. Devem realizar a monitorização pelo menos quatro vezes durante cada um dos dois anos nos locais onde as três hormonas estrogénicas 7-beta-estradiol (E2), estrona (E1) e alfa-</w:t>
      </w:r>
      <w:proofErr w:type="spellStart"/>
      <w:r w:rsidRPr="00AA7DF5">
        <w:rPr>
          <w:szCs w:val="24"/>
          <w:lang w:eastAsia="en-US"/>
        </w:rPr>
        <w:t>etinilestradiol</w:t>
      </w:r>
      <w:proofErr w:type="spellEnd"/>
      <w:r w:rsidRPr="00AA7DF5">
        <w:rPr>
          <w:szCs w:val="24"/>
          <w:lang w:eastAsia="en-US"/>
        </w:rPr>
        <w:t xml:space="preserve"> (EE2), enumeradas no Anexo I, Parte A, da presente diretiva, são monitorizadas recorrendo a métodos analíticos convencionais nos termos do artigo 8.º e do Anexo V da Diretiva 2000/60/CE. Os Estados-Membros podem utilizar a rede de pontos de monitorização identificados para a monitorização de vigilância de massas de água de superfície representativas nos termos dos do Anexo V, ponto 1.3.1, da Diretiva 2000/60/CE.</w:t>
      </w:r>
    </w:p>
    <w:p w14:paraId="12EEA7D5" w14:textId="0003AF55" w:rsidR="002E0FC5" w:rsidRPr="00AA7DF5" w:rsidRDefault="002E0FC5" w:rsidP="002E0FC5">
      <w:pPr>
        <w:spacing w:before="120" w:after="120" w:line="360" w:lineRule="auto"/>
        <w:ind w:left="1416" w:hanging="566"/>
        <w:rPr>
          <w:szCs w:val="24"/>
          <w:lang w:eastAsia="en-US"/>
        </w:rPr>
      </w:pPr>
      <w:r w:rsidRPr="00AA7DF5">
        <w:rPr>
          <w:b/>
          <w:i/>
          <w:szCs w:val="24"/>
          <w:lang w:eastAsia="en-US"/>
        </w:rPr>
        <w:t>3</w:t>
      </w:r>
      <w:r w:rsidR="00951B86"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No prazo de 12 meses a contar do período de dois anos a que se refere o n.º 3, a Comissão publica um relatório sobre a fiabilidade dos métodos baseados nos efeitos, comparando os resultados baseados nos efeitos com os resultados obtidos utilizando os métodos convencionais de monitorização das três substâncias estrogénicas enumeradas no n.º 3, na perspetiva de, no futuro, serem eventualmente fixados valores de desencadeamento baseados nos efeitos.</w:t>
      </w:r>
    </w:p>
    <w:p w14:paraId="14F3D69E" w14:textId="77777777" w:rsidR="00951B86" w:rsidRPr="00AA7DF5" w:rsidRDefault="00951B86">
      <w:pPr>
        <w:widowControl/>
        <w:rPr>
          <w:b/>
          <w:i/>
          <w:szCs w:val="24"/>
          <w:lang w:eastAsia="en-US"/>
        </w:rPr>
      </w:pPr>
      <w:r w:rsidRPr="00AA7DF5">
        <w:rPr>
          <w:b/>
          <w:i/>
          <w:szCs w:val="24"/>
          <w:lang w:eastAsia="en-US"/>
        </w:rPr>
        <w:br w:type="page"/>
      </w:r>
    </w:p>
    <w:p w14:paraId="68A944D5" w14:textId="55A5027D" w:rsidR="002E0FC5" w:rsidRPr="00AA7DF5" w:rsidRDefault="002E0FC5" w:rsidP="002E0FC5">
      <w:pPr>
        <w:spacing w:before="120" w:after="120" w:line="360" w:lineRule="auto"/>
        <w:ind w:left="1416"/>
        <w:rPr>
          <w:b/>
          <w:szCs w:val="24"/>
          <w:lang w:eastAsia="en-US"/>
        </w:rPr>
      </w:pPr>
      <w:r w:rsidRPr="00AA7DF5">
        <w:rPr>
          <w:b/>
          <w:i/>
          <w:szCs w:val="24"/>
          <w:lang w:eastAsia="en-US"/>
        </w:rPr>
        <w:lastRenderedPageBreak/>
        <w:t>Logo que os métodos baseados nos efeitos estejam prontos a ser utilizados também no que diz respeito a outras substâncias, a Comissão fica habilitada a adotar atos delegados, em conformidade com o artigo 9.º‑A, a fim de completar a presente diretiva, impondo aos Estados‑Membros a obrigação adicional de utilizarem métodos baseados nos efeitos, a par dos métodos de monitorização convencionais, para levarem a cabo uma monitorização com vista a verificar a presença dessas substâncias nas massas de água.</w:t>
      </w:r>
      <w:r w:rsidR="00951B86" w:rsidRPr="00AA7DF5">
        <w:rPr>
          <w:b/>
          <w:szCs w:val="24"/>
          <w:lang w:eastAsia="en-US"/>
        </w:rPr>
        <w:t xml:space="preserve"> [Alt. 125]</w:t>
      </w:r>
    </w:p>
    <w:p w14:paraId="40C29C66" w14:textId="77777777" w:rsidR="002E0FC5" w:rsidRPr="00AA7DF5" w:rsidRDefault="002E0FC5" w:rsidP="002E0FC5">
      <w:pPr>
        <w:spacing w:before="120" w:after="120" w:line="360" w:lineRule="auto"/>
        <w:ind w:left="850"/>
        <w:rPr>
          <w:szCs w:val="24"/>
          <w:lang w:eastAsia="en-US"/>
        </w:rPr>
      </w:pPr>
      <w:r w:rsidRPr="00AA7DF5">
        <w:rPr>
          <w:szCs w:val="24"/>
          <w:lang w:eastAsia="en-US"/>
        </w:rPr>
        <w:t>* Diretiva 2007/2/CE do Parlamento Europeu e do Conselho, de 14 de março de 2007, que estabelece uma infraestrutura de informação geográfica na Comunidade Europeia (Inspire) (JO L 108 de 25.4.2007, p. 1).</w:t>
      </w:r>
    </w:p>
    <w:p w14:paraId="04F6BE57" w14:textId="77777777" w:rsidR="002E0FC5" w:rsidRPr="00AA7DF5" w:rsidRDefault="002E0FC5" w:rsidP="002E0FC5">
      <w:pPr>
        <w:spacing w:before="120" w:after="120" w:line="360" w:lineRule="auto"/>
        <w:ind w:left="850"/>
        <w:rPr>
          <w:szCs w:val="24"/>
          <w:lang w:eastAsia="en-US"/>
        </w:rPr>
      </w:pPr>
      <w:r w:rsidRPr="00AA7DF5">
        <w:rPr>
          <w:szCs w:val="24"/>
          <w:lang w:eastAsia="en-US"/>
        </w:rPr>
        <w:t>** Diretiva (UE) 2019/1024 do Parlamento Europeu e do Conselho, de 20 de junho de 2019, relativa aos dados abertos e à reutilização de informações do setor público (JO L 172 de 26.6.2019, p. 56).;»</w:t>
      </w:r>
    </w:p>
    <w:p w14:paraId="37F86E5E" w14:textId="77777777" w:rsidR="00951B86" w:rsidRPr="00AA7DF5" w:rsidRDefault="00951B86">
      <w:pPr>
        <w:widowControl/>
        <w:rPr>
          <w:szCs w:val="24"/>
          <w:lang w:eastAsia="en-US"/>
        </w:rPr>
      </w:pPr>
      <w:r w:rsidRPr="00AA7DF5">
        <w:rPr>
          <w:szCs w:val="24"/>
          <w:lang w:eastAsia="en-US"/>
        </w:rPr>
        <w:br w:type="page"/>
      </w:r>
    </w:p>
    <w:p w14:paraId="08F0B573" w14:textId="365D64FF"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7)</w:t>
      </w:r>
      <w:r w:rsidRPr="00AA7DF5">
        <w:rPr>
          <w:szCs w:val="24"/>
          <w:lang w:eastAsia="en-US"/>
        </w:rPr>
        <w:tab/>
        <w:t>O artigo 8.º-B passa a ter a seguinte redação:</w:t>
      </w:r>
    </w:p>
    <w:p w14:paraId="156DA5D7"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8.º-B</w:t>
      </w:r>
    </w:p>
    <w:p w14:paraId="2A7FF143" w14:textId="77777777" w:rsidR="002E0FC5" w:rsidRPr="00AA7DF5" w:rsidRDefault="002E0FC5" w:rsidP="002E0FC5">
      <w:pPr>
        <w:spacing w:before="120" w:after="120" w:line="360" w:lineRule="auto"/>
        <w:ind w:left="850"/>
        <w:rPr>
          <w:szCs w:val="24"/>
          <w:lang w:eastAsia="en-US"/>
        </w:rPr>
      </w:pPr>
      <w:r w:rsidRPr="00AA7DF5">
        <w:rPr>
          <w:szCs w:val="24"/>
          <w:lang w:eastAsia="en-US"/>
        </w:rPr>
        <w:t>Lista de vigilância</w:t>
      </w:r>
    </w:p>
    <w:p w14:paraId="09576E1C"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A Comissão fica habilitada a adotar atos de execução para estabelecer, tendo em conta os relatórios científicos elaborados pela ECHA, uma lista de vigilância das substâncias para as quais é necessário recolher dados de monitorização em toda a União dos Estados-Membros e estabelecer os modelos a utilizar pelos Estados-Membros para comunicar à Comissão os resultados dessa monitorização e as informações conexas. Os referidos atos de execução são adotados pelo procedimento de exame a que se refere o artigo 9.º, n.º 2.</w:t>
      </w:r>
    </w:p>
    <w:p w14:paraId="5F5E1C3B" w14:textId="77777777" w:rsidR="00951B86" w:rsidRPr="00AA7DF5" w:rsidRDefault="00951B86">
      <w:pPr>
        <w:widowControl/>
        <w:rPr>
          <w:szCs w:val="24"/>
          <w:lang w:eastAsia="en-US"/>
        </w:rPr>
      </w:pPr>
      <w:r w:rsidRPr="00AA7DF5">
        <w:rPr>
          <w:szCs w:val="24"/>
          <w:lang w:eastAsia="en-US"/>
        </w:rPr>
        <w:br w:type="page"/>
      </w:r>
    </w:p>
    <w:p w14:paraId="7A27E8AF" w14:textId="3F44F99C" w:rsidR="002E0FC5" w:rsidRPr="00AA7DF5" w:rsidRDefault="002E0FC5" w:rsidP="002E0FC5">
      <w:pPr>
        <w:spacing w:before="120" w:after="120" w:line="360" w:lineRule="auto"/>
        <w:ind w:left="1416"/>
        <w:rPr>
          <w:szCs w:val="24"/>
          <w:lang w:eastAsia="en-US"/>
        </w:rPr>
      </w:pPr>
      <w:r w:rsidRPr="00AA7DF5">
        <w:rPr>
          <w:szCs w:val="24"/>
          <w:lang w:eastAsia="en-US"/>
        </w:rPr>
        <w:lastRenderedPageBreak/>
        <w:t xml:space="preserve">A lista de vigilância deve conter um número </w:t>
      </w:r>
      <w:r w:rsidRPr="00AA7DF5">
        <w:rPr>
          <w:strike/>
          <w:szCs w:val="24"/>
          <w:lang w:eastAsia="en-US"/>
        </w:rPr>
        <w:t xml:space="preserve">máximo de </w:t>
      </w:r>
      <w:proofErr w:type="spellStart"/>
      <w:r w:rsidRPr="00AA7DF5">
        <w:rPr>
          <w:strike/>
          <w:szCs w:val="24"/>
          <w:lang w:eastAsia="en-US"/>
        </w:rPr>
        <w:t>dez</w:t>
      </w:r>
      <w:r w:rsidRPr="00AA7DF5">
        <w:rPr>
          <w:b/>
          <w:i/>
          <w:szCs w:val="24"/>
          <w:lang w:eastAsia="en-US"/>
        </w:rPr>
        <w:t>mínimo</w:t>
      </w:r>
      <w:proofErr w:type="spellEnd"/>
      <w:r w:rsidRPr="00AA7DF5">
        <w:rPr>
          <w:b/>
          <w:i/>
          <w:szCs w:val="24"/>
          <w:lang w:eastAsia="en-US"/>
        </w:rPr>
        <w:t xml:space="preserve"> de cinco</w:t>
      </w:r>
      <w:r w:rsidRPr="00AA7DF5">
        <w:rPr>
          <w:szCs w:val="24"/>
          <w:lang w:eastAsia="en-US"/>
        </w:rPr>
        <w:t xml:space="preserve"> substâncias ou grupos de substâncias </w:t>
      </w:r>
      <w:r w:rsidRPr="00AA7DF5">
        <w:rPr>
          <w:strike/>
          <w:szCs w:val="24"/>
          <w:lang w:eastAsia="en-US"/>
        </w:rPr>
        <w:t xml:space="preserve">em simultâneo e </w:t>
      </w:r>
      <w:r w:rsidRPr="00AA7DF5">
        <w:rPr>
          <w:b/>
          <w:i/>
          <w:szCs w:val="24"/>
          <w:lang w:eastAsia="en-US"/>
        </w:rPr>
        <w:t>que sejam fonte de preocupação crescente,</w:t>
      </w:r>
      <w:r w:rsidRPr="00AA7DF5">
        <w:rPr>
          <w:szCs w:val="24"/>
          <w:lang w:eastAsia="en-US"/>
        </w:rPr>
        <w:t xml:space="preserve"> </w:t>
      </w:r>
      <w:r w:rsidRPr="00AA7DF5">
        <w:rPr>
          <w:b/>
          <w:i/>
          <w:szCs w:val="24"/>
          <w:lang w:eastAsia="en-US"/>
        </w:rPr>
        <w:t>selecionadas de entre aquelas substâncias em relação às quais a informação disponível, inclusivamente nos termos do quarto parágrafo infra, indique que podem representar um risco significativo, a nível da União, para o meio aquático, ou por intermédio deste, e para as quais os dados de monitorização sejam insuficientes</w:t>
      </w:r>
      <w:r w:rsidRPr="00AA7DF5">
        <w:rPr>
          <w:b/>
          <w:i/>
          <w:strike/>
          <w:szCs w:val="24"/>
          <w:lang w:eastAsia="en-US"/>
        </w:rPr>
        <w:t>.</w:t>
      </w:r>
      <w:r w:rsidRPr="00AA7DF5">
        <w:rPr>
          <w:b/>
          <w:i/>
          <w:szCs w:val="24"/>
          <w:lang w:eastAsia="en-US"/>
        </w:rPr>
        <w:t>, exceto quando seja inferior a cinco o número de substâncias ou grupos de substâncias a selecionar para as quais a informação disponível indique que podem representar um risco significativo para o meio aquático, ou por intermédio deste, caso em que a lista de vigilância deve incluir todas essas substâncias</w:t>
      </w:r>
      <w:r w:rsidRPr="00AA7DF5">
        <w:rPr>
          <w:szCs w:val="24"/>
          <w:lang w:eastAsia="en-US"/>
        </w:rPr>
        <w:t>.</w:t>
      </w:r>
    </w:p>
    <w:p w14:paraId="68166A79" w14:textId="77777777" w:rsidR="002E0FC5" w:rsidRPr="00AA7DF5" w:rsidRDefault="002E0FC5" w:rsidP="002E0FC5">
      <w:pPr>
        <w:spacing w:before="120" w:after="120" w:line="360" w:lineRule="auto"/>
        <w:ind w:left="1416"/>
        <w:rPr>
          <w:szCs w:val="24"/>
          <w:lang w:eastAsia="en-US"/>
        </w:rPr>
      </w:pPr>
      <w:r w:rsidRPr="00AA7DF5">
        <w:rPr>
          <w:b/>
          <w:i/>
          <w:szCs w:val="24"/>
          <w:lang w:eastAsia="en-US"/>
        </w:rPr>
        <w:t xml:space="preserve">Para além do número mínimo de substâncias ou grupos de substâncias, a lista de vigilância deve incluir também indicadores de poluição. </w:t>
      </w:r>
    </w:p>
    <w:p w14:paraId="3EFF892F" w14:textId="32CCFD0B" w:rsidR="002E0FC5" w:rsidRPr="00AA7DF5" w:rsidRDefault="002E0FC5" w:rsidP="002E0FC5">
      <w:pPr>
        <w:spacing w:before="120" w:after="120" w:line="360" w:lineRule="auto"/>
        <w:ind w:left="1416"/>
        <w:rPr>
          <w:b/>
          <w:szCs w:val="24"/>
          <w:lang w:eastAsia="en-US"/>
        </w:rPr>
      </w:pPr>
      <w:r w:rsidRPr="00AA7DF5">
        <w:rPr>
          <w:b/>
          <w:i/>
          <w:szCs w:val="24"/>
          <w:lang w:eastAsia="en-US"/>
        </w:rPr>
        <w:t xml:space="preserve">A lista de vigilância deve especificar, </w:t>
      </w:r>
      <w:r w:rsidRPr="00AA7DF5">
        <w:rPr>
          <w:szCs w:val="24"/>
          <w:lang w:eastAsia="en-US"/>
        </w:rPr>
        <w:t>para cada substância, as matrizes de monitorização e os eventuais métodos de análise. As matrizes de monitorização e os métodos não devem implicar custos excessivos para as autoridades competentes.</w:t>
      </w:r>
      <w:r w:rsidR="006D69B9" w:rsidRPr="00AA7DF5">
        <w:rPr>
          <w:b/>
          <w:szCs w:val="24"/>
          <w:lang w:eastAsia="en-US"/>
        </w:rPr>
        <w:t xml:space="preserve"> </w:t>
      </w:r>
      <w:r w:rsidR="00235013" w:rsidRPr="00AA7DF5">
        <w:rPr>
          <w:strike/>
          <w:szCs w:val="24"/>
          <w:lang w:eastAsia="en-US"/>
        </w:rPr>
        <w:t xml:space="preserve">As substâncias a incluir na lista de vigilância devem ser selecionadas de entre as substâncias em relação às quais a informação disponível indique que podem representar um risco significativo, a nível da União, para o meio aquático, ou por intermédio deste, e para as quais os dados de monitorização sejam insuficientes. A lista de vigilância deve incluir substâncias que suscitam preocupação emergente. </w:t>
      </w:r>
      <w:r w:rsidR="006D69B9" w:rsidRPr="00AA7DF5">
        <w:rPr>
          <w:b/>
          <w:szCs w:val="24"/>
          <w:lang w:eastAsia="en-US"/>
        </w:rPr>
        <w:t>[Alt. 126]</w:t>
      </w:r>
    </w:p>
    <w:p w14:paraId="59C45346" w14:textId="77777777" w:rsidR="006D69B9" w:rsidRPr="00AA7DF5" w:rsidRDefault="006D69B9">
      <w:pPr>
        <w:widowControl/>
        <w:rPr>
          <w:strike/>
          <w:szCs w:val="24"/>
          <w:lang w:eastAsia="en-US"/>
        </w:rPr>
      </w:pPr>
      <w:r w:rsidRPr="00AA7DF5">
        <w:rPr>
          <w:strike/>
          <w:szCs w:val="24"/>
          <w:lang w:eastAsia="en-US"/>
        </w:rPr>
        <w:br w:type="page"/>
      </w:r>
    </w:p>
    <w:p w14:paraId="6C3EB91F" w14:textId="71ACB265" w:rsidR="002E0FC5" w:rsidRPr="00AA7DF5" w:rsidRDefault="002E0FC5" w:rsidP="002E0FC5">
      <w:pPr>
        <w:spacing w:before="120" w:after="120" w:line="360" w:lineRule="auto"/>
        <w:ind w:left="1416"/>
        <w:rPr>
          <w:b/>
          <w:szCs w:val="24"/>
          <w:lang w:eastAsia="en-US"/>
        </w:rPr>
      </w:pPr>
      <w:r w:rsidRPr="00AA7DF5">
        <w:rPr>
          <w:strike/>
          <w:szCs w:val="24"/>
          <w:lang w:eastAsia="en-US"/>
        </w:rPr>
        <w:lastRenderedPageBreak/>
        <w:t xml:space="preserve">Logo que </w:t>
      </w:r>
      <w:proofErr w:type="spellStart"/>
      <w:r w:rsidRPr="00AA7DF5">
        <w:rPr>
          <w:strike/>
          <w:szCs w:val="24"/>
          <w:lang w:eastAsia="en-US"/>
        </w:rPr>
        <w:t>sejam</w:t>
      </w:r>
      <w:r w:rsidRPr="00AA7DF5">
        <w:rPr>
          <w:b/>
          <w:i/>
          <w:szCs w:val="24"/>
          <w:lang w:eastAsia="en-US"/>
        </w:rPr>
        <w:t>Devem</w:t>
      </w:r>
      <w:proofErr w:type="spellEnd"/>
      <w:r w:rsidRPr="00AA7DF5">
        <w:rPr>
          <w:b/>
          <w:i/>
          <w:szCs w:val="24"/>
          <w:lang w:eastAsia="en-US"/>
        </w:rPr>
        <w:t xml:space="preserve"> ser</w:t>
      </w:r>
      <w:r w:rsidRPr="00AA7DF5">
        <w:rPr>
          <w:szCs w:val="24"/>
          <w:lang w:eastAsia="en-US"/>
        </w:rPr>
        <w:t xml:space="preserve"> identificados métodos de monitorização adequados para os </w:t>
      </w:r>
      <w:proofErr w:type="spellStart"/>
      <w:r w:rsidRPr="00AA7DF5">
        <w:rPr>
          <w:szCs w:val="24"/>
          <w:lang w:eastAsia="en-US"/>
        </w:rPr>
        <w:t>microplásticos</w:t>
      </w:r>
      <w:proofErr w:type="spellEnd"/>
      <w:r w:rsidRPr="00AA7DF5">
        <w:rPr>
          <w:szCs w:val="24"/>
          <w:lang w:eastAsia="en-US"/>
        </w:rPr>
        <w:t xml:space="preserve"> e </w:t>
      </w:r>
      <w:proofErr w:type="spellStart"/>
      <w:r w:rsidRPr="00AA7DF5">
        <w:rPr>
          <w:strike/>
          <w:szCs w:val="24"/>
          <w:lang w:eastAsia="en-US"/>
        </w:rPr>
        <w:t>selecionados</w:t>
      </w:r>
      <w:r w:rsidRPr="00AA7DF5">
        <w:rPr>
          <w:b/>
          <w:i/>
          <w:szCs w:val="24"/>
          <w:lang w:eastAsia="en-US"/>
        </w:rPr>
        <w:t>para</w:t>
      </w:r>
      <w:proofErr w:type="spellEnd"/>
      <w:r w:rsidRPr="00AA7DF5">
        <w:rPr>
          <w:b/>
          <w:i/>
          <w:szCs w:val="24"/>
          <w:lang w:eastAsia="en-US"/>
        </w:rPr>
        <w:t xml:space="preserve"> determinados</w:t>
      </w:r>
      <w:r w:rsidRPr="00AA7DF5">
        <w:rPr>
          <w:szCs w:val="24"/>
          <w:lang w:eastAsia="en-US"/>
        </w:rPr>
        <w:t xml:space="preserve"> genes resistentes aos antimicrobianos</w:t>
      </w:r>
      <w:r w:rsidRPr="00AA7DF5">
        <w:rPr>
          <w:b/>
          <w:i/>
          <w:szCs w:val="24"/>
          <w:lang w:eastAsia="en-US"/>
        </w:rPr>
        <w:t xml:space="preserve"> o mais rapidamente possível e o mais tardar em [primeiro dia do mês seguinte a 18 meses após a data de entrada em vigor da presente diretiva modificativa]. Uma vez identificados esses métodos de monitorização, os </w:t>
      </w:r>
      <w:proofErr w:type="spellStart"/>
      <w:r w:rsidRPr="00AA7DF5">
        <w:rPr>
          <w:b/>
          <w:i/>
          <w:szCs w:val="24"/>
          <w:lang w:eastAsia="en-US"/>
        </w:rPr>
        <w:t>microplásticos</w:t>
      </w:r>
      <w:proofErr w:type="spellEnd"/>
      <w:r w:rsidRPr="00AA7DF5">
        <w:rPr>
          <w:b/>
          <w:i/>
          <w:szCs w:val="24"/>
          <w:lang w:eastAsia="en-US"/>
        </w:rPr>
        <w:t xml:space="preserve"> e determinados genes resistentes aos antimicrobianos são incluídos</w:t>
      </w:r>
      <w:r w:rsidRPr="00AA7DF5">
        <w:rPr>
          <w:strike/>
          <w:szCs w:val="24"/>
          <w:lang w:eastAsia="en-US"/>
        </w:rPr>
        <w:t>, essas substâncias são incluídas</w:t>
      </w:r>
      <w:r w:rsidRPr="00AA7DF5">
        <w:rPr>
          <w:szCs w:val="24"/>
          <w:lang w:eastAsia="en-US"/>
        </w:rPr>
        <w:t xml:space="preserve"> na lista de vigilância</w:t>
      </w:r>
      <w:r w:rsidRPr="00AA7DF5">
        <w:rPr>
          <w:b/>
          <w:i/>
          <w:szCs w:val="24"/>
          <w:lang w:eastAsia="en-US"/>
        </w:rPr>
        <w:t xml:space="preserve"> nos termos do n.º 2</w:t>
      </w:r>
      <w:r w:rsidRPr="00AA7DF5">
        <w:rPr>
          <w:szCs w:val="24"/>
          <w:lang w:eastAsia="en-US"/>
        </w:rPr>
        <w:t>.</w:t>
      </w:r>
      <w:r w:rsidRPr="00AA7DF5">
        <w:rPr>
          <w:b/>
          <w:i/>
          <w:szCs w:val="24"/>
          <w:lang w:eastAsia="en-US"/>
        </w:rPr>
        <w:t xml:space="preserve"> A Comissão avalia também a necessidade de incluir sulfatos, xantatos e metabolitos de pesticidas não relevantes na lista de vigilância para melhorar a disponibilidade de dados sobre a sua presença no que diz respeito ao âmbito de aplicação da presente diretiva.</w:t>
      </w:r>
      <w:r w:rsidR="002403B7" w:rsidRPr="00AA7DF5">
        <w:rPr>
          <w:b/>
          <w:szCs w:val="24"/>
          <w:lang w:eastAsia="en-US"/>
        </w:rPr>
        <w:t xml:space="preserve"> [Alt. 127]</w:t>
      </w:r>
    </w:p>
    <w:p w14:paraId="3D50CD6D" w14:textId="76946766" w:rsidR="002E0FC5" w:rsidRPr="00AA7DF5" w:rsidRDefault="002E0FC5" w:rsidP="002E0FC5">
      <w:pPr>
        <w:spacing w:before="120" w:after="120" w:line="360" w:lineRule="auto"/>
        <w:ind w:left="1416"/>
        <w:rPr>
          <w:b/>
          <w:szCs w:val="24"/>
          <w:lang w:eastAsia="en-US"/>
        </w:rPr>
      </w:pPr>
      <w:r w:rsidRPr="00AA7DF5">
        <w:rPr>
          <w:szCs w:val="24"/>
          <w:lang w:eastAsia="en-US"/>
        </w:rPr>
        <w:t xml:space="preserve">A ECHA deve elaborar relatórios científicos para assistir a Comissão na seleção das substâncias </w:t>
      </w:r>
      <w:r w:rsidRPr="00AA7DF5">
        <w:rPr>
          <w:b/>
          <w:i/>
          <w:szCs w:val="24"/>
          <w:lang w:eastAsia="en-US"/>
        </w:rPr>
        <w:t xml:space="preserve">e indicadores de poluição </w:t>
      </w:r>
      <w:r w:rsidRPr="00AA7DF5">
        <w:rPr>
          <w:szCs w:val="24"/>
          <w:lang w:eastAsia="en-US"/>
        </w:rPr>
        <w:t>para a lista de vigilância, tendo em conta as seguintes informações:</w:t>
      </w:r>
      <w:r w:rsidR="002403B7" w:rsidRPr="00AA7DF5">
        <w:rPr>
          <w:b/>
          <w:szCs w:val="24"/>
          <w:lang w:eastAsia="en-US"/>
        </w:rPr>
        <w:t xml:space="preserve"> [Alt. 128]</w:t>
      </w:r>
    </w:p>
    <w:p w14:paraId="5FE5AF7A"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a)</w:t>
      </w:r>
      <w:r w:rsidRPr="00AA7DF5">
        <w:rPr>
          <w:szCs w:val="24"/>
          <w:lang w:eastAsia="en-US"/>
        </w:rPr>
        <w:tab/>
        <w:t>Os resultados da revisão periódica mais recente do Anexo I da presente diretiva;</w:t>
      </w:r>
    </w:p>
    <w:p w14:paraId="0989D635"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As recomendações das partes interessadas a que se refere o artigo 8.º da Diretiva 2008/105/CE;</w:t>
      </w:r>
    </w:p>
    <w:p w14:paraId="2817040B" w14:textId="77777777" w:rsidR="002403B7" w:rsidRPr="00AA7DF5" w:rsidRDefault="002403B7">
      <w:pPr>
        <w:widowControl/>
        <w:rPr>
          <w:szCs w:val="24"/>
          <w:lang w:eastAsia="en-US"/>
        </w:rPr>
      </w:pPr>
      <w:r w:rsidRPr="00AA7DF5">
        <w:rPr>
          <w:szCs w:val="24"/>
          <w:lang w:eastAsia="en-US"/>
        </w:rPr>
        <w:br w:type="page"/>
      </w:r>
    </w:p>
    <w:p w14:paraId="07EB5E8A" w14:textId="364FA26D"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c)</w:t>
      </w:r>
      <w:r w:rsidRPr="00AA7DF5">
        <w:rPr>
          <w:szCs w:val="24"/>
          <w:lang w:eastAsia="en-US"/>
        </w:rPr>
        <w:tab/>
        <w:t>A caracterização das regiões hidrográficas efetuada pelos Estados‑Membros em conformidade com o artigo 5.º da Diretiva 2000/60/CE e os resultados dos programas de monitorização estabelecidos em conformidade com o artigo 8.º da mesma diretiva;</w:t>
      </w:r>
    </w:p>
    <w:p w14:paraId="6B9678D8"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d)</w:t>
      </w:r>
      <w:r w:rsidRPr="00AA7DF5">
        <w:rPr>
          <w:szCs w:val="24"/>
          <w:lang w:eastAsia="en-US"/>
        </w:rPr>
        <w:tab/>
        <w:t>Informações sobre os volumes de produção, padrões de utilização, propriedades intrínsecas (incluindo, se pertinente, o tamanho das partículas) concentrações no ambiente e efeitos adversos de uma substância para a saúde humana e o ambiente aquático, incluindo informações recolhidas em conformidade com os Regulamentos (CE) n.º 1907/2006, (CE) n.º 1107/2009, (UE) n.º 528/2012 e (UE) 2019/6 e as Diretivas 2001/83/CE e 2009/128/CE;</w:t>
      </w:r>
    </w:p>
    <w:p w14:paraId="06A6F6D3" w14:textId="75722B58" w:rsidR="002E0FC5" w:rsidRPr="00AA7DF5" w:rsidRDefault="002E0FC5" w:rsidP="002E0FC5">
      <w:pPr>
        <w:spacing w:before="120" w:after="120" w:line="360" w:lineRule="auto"/>
        <w:ind w:left="1982" w:hanging="566"/>
        <w:rPr>
          <w:b/>
          <w:szCs w:val="24"/>
          <w:lang w:eastAsia="en-US"/>
        </w:rPr>
      </w:pPr>
      <w:r w:rsidRPr="00AA7DF5">
        <w:rPr>
          <w:szCs w:val="24"/>
          <w:lang w:eastAsia="en-US"/>
        </w:rPr>
        <w:t>e)</w:t>
      </w:r>
      <w:r w:rsidRPr="00AA7DF5">
        <w:rPr>
          <w:szCs w:val="24"/>
          <w:lang w:eastAsia="en-US"/>
        </w:rPr>
        <w:tab/>
        <w:t>Projetos de investigação e publicações</w:t>
      </w:r>
      <w:r w:rsidRPr="00AA7DF5">
        <w:rPr>
          <w:b/>
          <w:i/>
          <w:szCs w:val="24"/>
          <w:lang w:eastAsia="en-US"/>
        </w:rPr>
        <w:t xml:space="preserve"> e provas</w:t>
      </w:r>
      <w:r w:rsidRPr="00AA7DF5">
        <w:rPr>
          <w:szCs w:val="24"/>
          <w:lang w:eastAsia="en-US"/>
        </w:rPr>
        <w:t xml:space="preserve"> científicas, incluindo informações sobre tendências e previsões baseadas em modelização ou noutras avaliações preditivas</w:t>
      </w:r>
      <w:r w:rsidRPr="00AA7DF5">
        <w:rPr>
          <w:strike/>
          <w:szCs w:val="24"/>
          <w:lang w:eastAsia="en-US"/>
        </w:rPr>
        <w:t xml:space="preserve"> e dados e</w:t>
      </w:r>
      <w:r w:rsidRPr="00AA7DF5">
        <w:rPr>
          <w:b/>
          <w:i/>
          <w:szCs w:val="24"/>
          <w:lang w:eastAsia="en-US"/>
        </w:rPr>
        <w:t>, bem como</w:t>
      </w:r>
      <w:r w:rsidRPr="00AA7DF5">
        <w:rPr>
          <w:szCs w:val="24"/>
          <w:lang w:eastAsia="en-US"/>
        </w:rPr>
        <w:t xml:space="preserve"> informações</w:t>
      </w:r>
      <w:r w:rsidRPr="00AA7DF5">
        <w:rPr>
          <w:b/>
          <w:i/>
          <w:szCs w:val="24"/>
          <w:lang w:eastAsia="en-US"/>
        </w:rPr>
        <w:t xml:space="preserve"> e dados recolhidos através</w:t>
      </w:r>
      <w:r w:rsidRPr="00AA7DF5">
        <w:rPr>
          <w:szCs w:val="24"/>
          <w:lang w:eastAsia="en-US"/>
        </w:rPr>
        <w:t xml:space="preserve"> de tecnologias de teledeteção, observação da Terra (serviços </w:t>
      </w:r>
      <w:proofErr w:type="spellStart"/>
      <w:r w:rsidRPr="00AA7DF5">
        <w:rPr>
          <w:szCs w:val="24"/>
          <w:lang w:eastAsia="en-US"/>
        </w:rPr>
        <w:t>Copernicus</w:t>
      </w:r>
      <w:proofErr w:type="spellEnd"/>
      <w:r w:rsidRPr="00AA7DF5">
        <w:rPr>
          <w:szCs w:val="24"/>
          <w:lang w:eastAsia="en-US"/>
        </w:rPr>
        <w:t xml:space="preserve">), sensores e dispositivos </w:t>
      </w:r>
      <w:r w:rsidRPr="00AA7DF5">
        <w:rPr>
          <w:i/>
          <w:szCs w:val="24"/>
          <w:lang w:eastAsia="en-US"/>
        </w:rPr>
        <w:t>in situ</w:t>
      </w:r>
      <w:r w:rsidRPr="00AA7DF5">
        <w:rPr>
          <w:szCs w:val="24"/>
          <w:lang w:eastAsia="en-US"/>
        </w:rPr>
        <w:t xml:space="preserve"> ou dados da ciência cidadã, tirando partido das oportunidades proporcionadas pela inteligência artificial e pela análise e tratamento avançados de dados;</w:t>
      </w:r>
      <w:r w:rsidR="00576603" w:rsidRPr="00AA7DF5">
        <w:rPr>
          <w:b/>
          <w:szCs w:val="24"/>
          <w:lang w:eastAsia="en-US"/>
        </w:rPr>
        <w:t xml:space="preserve"> [Alt. 129]</w:t>
      </w:r>
    </w:p>
    <w:p w14:paraId="6ADD6AF4" w14:textId="77777777" w:rsidR="00576603" w:rsidRPr="00AA7DF5" w:rsidRDefault="00576603">
      <w:pPr>
        <w:widowControl/>
        <w:rPr>
          <w:szCs w:val="24"/>
          <w:lang w:eastAsia="en-US"/>
        </w:rPr>
      </w:pPr>
      <w:r w:rsidRPr="00AA7DF5">
        <w:rPr>
          <w:szCs w:val="24"/>
          <w:lang w:eastAsia="en-US"/>
        </w:rPr>
        <w:br w:type="page"/>
      </w:r>
    </w:p>
    <w:p w14:paraId="4E57B5F9" w14:textId="37F5C6EE" w:rsidR="002E0FC5" w:rsidRPr="00AA7DF5" w:rsidRDefault="002E0FC5" w:rsidP="002E0FC5">
      <w:pPr>
        <w:spacing w:before="120" w:after="120" w:line="360" w:lineRule="auto"/>
        <w:ind w:left="1416"/>
        <w:rPr>
          <w:szCs w:val="24"/>
          <w:lang w:eastAsia="en-US"/>
        </w:rPr>
      </w:pPr>
      <w:r w:rsidRPr="00AA7DF5">
        <w:rPr>
          <w:szCs w:val="24"/>
          <w:lang w:eastAsia="en-US"/>
        </w:rPr>
        <w:lastRenderedPageBreak/>
        <w:t>A ECHA deve elaborar, trienalmente, um relatório de síntese das conclusões dos relatórios científicos elaborados nos termos do quarto parágrafo e disponibilizá-lo ao público. O primeiro relatório da ECHA deve ser disponibilizado até ... [Serviço das Publicações: inserir a data correspondente ao primeiro dia do vigésimo primeiro mês após a data de entrada em vigor da presente diretiva].</w:t>
      </w:r>
    </w:p>
    <w:p w14:paraId="15ECE993" w14:textId="4331228D"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A lista de vigilância deve ser atualizada até X [Serviço das Publicações: inserir a data correspondente ao último dia do vigésimo terceiro mês após a data de entrada em vigor da presente diretiva] e, posteriormente, a cada 36 meses</w:t>
      </w:r>
      <w:r w:rsidRPr="00AA7DF5">
        <w:rPr>
          <w:b/>
          <w:i/>
          <w:szCs w:val="24"/>
          <w:lang w:eastAsia="en-US"/>
        </w:rPr>
        <w:t>, o mais tardar, ou com maior frequência, se, à luz de novas provas científicas, uma atualização da</w:t>
      </w:r>
      <w:r w:rsidRPr="00AA7DF5">
        <w:rPr>
          <w:szCs w:val="24"/>
          <w:lang w:eastAsia="en-US"/>
        </w:rPr>
        <w:t xml:space="preserve"> </w:t>
      </w:r>
      <w:r w:rsidRPr="00AA7DF5">
        <w:rPr>
          <w:b/>
          <w:i/>
          <w:szCs w:val="24"/>
          <w:lang w:eastAsia="en-US"/>
        </w:rPr>
        <w:t>lista</w:t>
      </w:r>
      <w:r w:rsidRPr="00AA7DF5">
        <w:rPr>
          <w:szCs w:val="24"/>
          <w:lang w:eastAsia="en-US"/>
        </w:rPr>
        <w:t xml:space="preserve"> </w:t>
      </w:r>
      <w:r w:rsidR="00A06656" w:rsidRPr="00AA7DF5">
        <w:rPr>
          <w:b/>
          <w:i/>
          <w:szCs w:val="24"/>
          <w:lang w:eastAsia="en-US"/>
        </w:rPr>
        <w:t>se impuser no lapso de tempo decorrente entre as diferentes revisões</w:t>
      </w:r>
      <w:r w:rsidRPr="00AA7DF5">
        <w:rPr>
          <w:b/>
          <w:i/>
          <w:szCs w:val="24"/>
          <w:lang w:eastAsia="en-US"/>
        </w:rPr>
        <w:t xml:space="preserve">. </w:t>
      </w:r>
    </w:p>
    <w:p w14:paraId="3CC97742" w14:textId="7C0CEB3B" w:rsidR="002E0FC5" w:rsidRPr="00AA7DF5" w:rsidRDefault="002E0FC5" w:rsidP="002E0FC5">
      <w:pPr>
        <w:spacing w:before="120" w:after="120" w:line="360" w:lineRule="auto"/>
        <w:ind w:left="1416"/>
        <w:rPr>
          <w:szCs w:val="24"/>
          <w:lang w:eastAsia="en-US"/>
        </w:rPr>
      </w:pPr>
      <w:r w:rsidRPr="00AA7DF5">
        <w:rPr>
          <w:b/>
          <w:i/>
          <w:szCs w:val="24"/>
          <w:lang w:eastAsia="en-US"/>
        </w:rPr>
        <w:t>Os Estados‑Membros devem avaliar de dois em dois anos o impacto sobre a qualidade da água das atividades industriais relacionadas com a transição energética e comunicar à Comissão novas ameaças identificadas, de molde a que a Comissão possa atualizar a lista de vigilância em conformidade. A avaliação deve ser facilmente acessível ao público.</w:t>
      </w:r>
    </w:p>
    <w:p w14:paraId="39D95C1A" w14:textId="77777777" w:rsidR="00A06656" w:rsidRPr="00AA7DF5" w:rsidRDefault="00A06656">
      <w:pPr>
        <w:widowControl/>
        <w:rPr>
          <w:szCs w:val="24"/>
          <w:lang w:eastAsia="en-US"/>
        </w:rPr>
      </w:pPr>
      <w:r w:rsidRPr="00AA7DF5">
        <w:rPr>
          <w:szCs w:val="24"/>
          <w:lang w:eastAsia="en-US"/>
        </w:rPr>
        <w:br w:type="page"/>
      </w:r>
    </w:p>
    <w:p w14:paraId="17F0E410" w14:textId="40A87EAF" w:rsidR="002E0FC5" w:rsidRPr="00AA7DF5" w:rsidRDefault="002E0FC5" w:rsidP="002E0FC5">
      <w:pPr>
        <w:spacing w:before="120" w:after="120" w:line="360" w:lineRule="auto"/>
        <w:ind w:left="1416"/>
        <w:rPr>
          <w:b/>
          <w:szCs w:val="24"/>
          <w:lang w:eastAsia="en-US"/>
        </w:rPr>
      </w:pPr>
      <w:r w:rsidRPr="00AA7DF5">
        <w:rPr>
          <w:szCs w:val="24"/>
          <w:lang w:eastAsia="en-US"/>
        </w:rPr>
        <w:lastRenderedPageBreak/>
        <w:t>Ao atualizar a lista de vigilância em vigor, a Comissão retira qualquer substância em relação à qual considere possível avaliar os seus riscos para o ambiente aquático sem recorrer a dados de monitorização suplementares. Quando a lista de vigilância for atualizada, uma substância específica ou um grupo de substâncias podem ser mantidos na lista por mais um período de três anos caso sejam necessários dados de monitorização suplementares para avaliar o risco para o ambiente aquático. Cada lista de vigilância atualizada deve também incluir uma ou mais substâncias novas relativamente às quais a Comissão considere, com base nos relatórios científicos da ECHA, que existe um risco para o ambiente aquático.</w:t>
      </w:r>
      <w:r w:rsidR="00A06656" w:rsidRPr="00AA7DF5">
        <w:rPr>
          <w:b/>
          <w:szCs w:val="24"/>
          <w:lang w:eastAsia="en-US"/>
        </w:rPr>
        <w:t xml:space="preserve"> [Alt. 130]</w:t>
      </w:r>
    </w:p>
    <w:p w14:paraId="0F69FF6D"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Os Estados-Membros devem monitorizar cada substância ou grupo de substâncias constante da lista de vigilância em estações de monitorização representativas durante um período de 24 meses. O período de monitorização tem início no prazo de seis meses a contar da inclusão da substância na lista.</w:t>
      </w:r>
    </w:p>
    <w:p w14:paraId="7078A241" w14:textId="77777777" w:rsidR="002E0FC5" w:rsidRPr="00AA7DF5" w:rsidRDefault="002E0FC5" w:rsidP="002E0FC5">
      <w:pPr>
        <w:spacing w:before="120" w:after="120" w:line="360" w:lineRule="auto"/>
        <w:ind w:left="1416"/>
        <w:rPr>
          <w:szCs w:val="24"/>
          <w:lang w:eastAsia="en-US"/>
        </w:rPr>
      </w:pPr>
      <w:r w:rsidRPr="00AA7DF5">
        <w:rPr>
          <w:szCs w:val="24"/>
          <w:lang w:eastAsia="en-US"/>
        </w:rPr>
        <w:t>Cada Estado-Membro deve selecionar, pelo menos, uma estação de monitorização mais uma estação se tiver mais de um milhão de habitantes, mais o número de estações correspondente à sua área geográfica em km</w:t>
      </w:r>
      <w:r w:rsidRPr="00AA7DF5">
        <w:rPr>
          <w:szCs w:val="24"/>
          <w:vertAlign w:val="superscript"/>
          <w:lang w:eastAsia="en-US"/>
        </w:rPr>
        <w:t>2</w:t>
      </w:r>
      <w:r w:rsidRPr="00AA7DF5">
        <w:rPr>
          <w:szCs w:val="24"/>
          <w:lang w:eastAsia="en-US"/>
        </w:rPr>
        <w:t xml:space="preserve"> dividida por 60 000 (arredondado ao número inteiro seguinte), mais o número de estações correspondente à sua população dividida por cinco milhões (arredondado ao número inteiro seguinte).</w:t>
      </w:r>
    </w:p>
    <w:p w14:paraId="6DFEE55F" w14:textId="77777777" w:rsidR="00A06656" w:rsidRPr="00AA7DF5" w:rsidRDefault="00A06656">
      <w:pPr>
        <w:widowControl/>
        <w:rPr>
          <w:szCs w:val="24"/>
          <w:lang w:eastAsia="en-US"/>
        </w:rPr>
      </w:pPr>
      <w:r w:rsidRPr="00AA7DF5">
        <w:rPr>
          <w:szCs w:val="24"/>
          <w:lang w:eastAsia="en-US"/>
        </w:rPr>
        <w:br w:type="page"/>
      </w:r>
    </w:p>
    <w:p w14:paraId="5EF59784" w14:textId="3B31F6E6" w:rsidR="002E0FC5" w:rsidRPr="00AA7DF5" w:rsidRDefault="002E0FC5" w:rsidP="002E0FC5">
      <w:pPr>
        <w:spacing w:before="120" w:after="120" w:line="360" w:lineRule="auto"/>
        <w:ind w:left="1416"/>
        <w:rPr>
          <w:b/>
          <w:szCs w:val="24"/>
          <w:lang w:eastAsia="en-US"/>
        </w:rPr>
      </w:pPr>
      <w:r w:rsidRPr="00AA7DF5">
        <w:rPr>
          <w:szCs w:val="24"/>
          <w:lang w:eastAsia="en-US"/>
        </w:rPr>
        <w:lastRenderedPageBreak/>
        <w:t xml:space="preserve">Na seleção das estações de monitorização representativas e no estabelecimento da frequência e do calendário de monitorização para cada substância ou grupo de substâncias, os </w:t>
      </w:r>
      <w:r w:rsidRPr="00AA7DF5">
        <w:rPr>
          <w:strike/>
          <w:szCs w:val="24"/>
          <w:lang w:eastAsia="en-US"/>
        </w:rPr>
        <w:t>Estados-</w:t>
      </w:r>
      <w:proofErr w:type="spellStart"/>
      <w:r w:rsidRPr="00AA7DF5">
        <w:rPr>
          <w:strike/>
          <w:szCs w:val="24"/>
          <w:lang w:eastAsia="en-US"/>
        </w:rPr>
        <w:t>Membros</w:t>
      </w:r>
      <w:r w:rsidRPr="00AA7DF5">
        <w:rPr>
          <w:b/>
          <w:i/>
          <w:szCs w:val="24"/>
          <w:lang w:eastAsia="en-US"/>
        </w:rPr>
        <w:t>Estados</w:t>
      </w:r>
      <w:proofErr w:type="spellEnd"/>
      <w:r w:rsidRPr="00AA7DF5">
        <w:rPr>
          <w:b/>
          <w:i/>
          <w:szCs w:val="24"/>
          <w:lang w:eastAsia="en-US"/>
        </w:rPr>
        <w:t>‑Membros</w:t>
      </w:r>
      <w:r w:rsidRPr="00AA7DF5">
        <w:rPr>
          <w:szCs w:val="24"/>
          <w:lang w:eastAsia="en-US"/>
        </w:rPr>
        <w:t xml:space="preserve"> devem ter em conta os padrões de utilização e a possível ocorrência da substância ou grupo de substâncias em causa. A frequência de monitorização não pode ser inferior a duas vezes por ano</w:t>
      </w:r>
      <w:r w:rsidRPr="00AA7DF5">
        <w:rPr>
          <w:strike/>
          <w:szCs w:val="24"/>
          <w:lang w:eastAsia="en-US"/>
        </w:rPr>
        <w:t>, exceto no que diz respeito às</w:t>
      </w:r>
      <w:r w:rsidRPr="00AA7DF5">
        <w:rPr>
          <w:b/>
          <w:i/>
          <w:szCs w:val="24"/>
          <w:lang w:eastAsia="en-US"/>
        </w:rPr>
        <w:t>. Para as</w:t>
      </w:r>
      <w:r w:rsidRPr="00AA7DF5">
        <w:rPr>
          <w:szCs w:val="24"/>
          <w:lang w:eastAsia="en-US"/>
        </w:rPr>
        <w:t xml:space="preserve"> substâncias sensíveis </w:t>
      </w:r>
      <w:proofErr w:type="spellStart"/>
      <w:r w:rsidRPr="00AA7DF5">
        <w:rPr>
          <w:strike/>
          <w:szCs w:val="24"/>
          <w:lang w:eastAsia="en-US"/>
        </w:rPr>
        <w:t>a</w:t>
      </w:r>
      <w:r w:rsidRPr="00AA7DF5">
        <w:rPr>
          <w:b/>
          <w:i/>
          <w:szCs w:val="24"/>
          <w:lang w:eastAsia="en-US"/>
        </w:rPr>
        <w:t>às</w:t>
      </w:r>
      <w:proofErr w:type="spellEnd"/>
      <w:r w:rsidRPr="00AA7DF5">
        <w:rPr>
          <w:szCs w:val="24"/>
          <w:lang w:eastAsia="en-US"/>
        </w:rPr>
        <w:t xml:space="preserve"> variações climáticas</w:t>
      </w:r>
      <w:r w:rsidRPr="00AA7DF5">
        <w:rPr>
          <w:b/>
          <w:i/>
          <w:szCs w:val="24"/>
          <w:lang w:eastAsia="en-US"/>
        </w:rPr>
        <w:t>, nomeadamente a pluviosidade, e as substâncias cuja concentração é suscetível de atingir um pico durante períodos curtos em resultado de flutuações</w:t>
      </w:r>
      <w:r w:rsidRPr="00AA7DF5">
        <w:rPr>
          <w:strike/>
          <w:szCs w:val="24"/>
          <w:lang w:eastAsia="en-US"/>
        </w:rPr>
        <w:t xml:space="preserve"> ou</w:t>
      </w:r>
      <w:r w:rsidRPr="00AA7DF5">
        <w:rPr>
          <w:szCs w:val="24"/>
          <w:lang w:eastAsia="en-US"/>
        </w:rPr>
        <w:t xml:space="preserve"> sazonais</w:t>
      </w:r>
      <w:r w:rsidRPr="00AA7DF5">
        <w:rPr>
          <w:strike/>
          <w:szCs w:val="24"/>
          <w:lang w:eastAsia="en-US"/>
        </w:rPr>
        <w:t>, cuja monitorização deve ser realizada com</w:t>
      </w:r>
      <w:r w:rsidRPr="00AA7DF5">
        <w:rPr>
          <w:b/>
          <w:i/>
          <w:szCs w:val="24"/>
          <w:lang w:eastAsia="en-US"/>
        </w:rPr>
        <w:t xml:space="preserve"> na utilização dessas substâncias, deve prever‑se uma</w:t>
      </w:r>
      <w:r w:rsidRPr="00AA7DF5">
        <w:rPr>
          <w:szCs w:val="24"/>
          <w:lang w:eastAsia="en-US"/>
        </w:rPr>
        <w:t xml:space="preserve"> maior frequência, tal como previsto no ato de execução que estabelece a lista de vigilância adotado nos termos do n.º 1.</w:t>
      </w:r>
      <w:r w:rsidR="00DA42DB" w:rsidRPr="00AA7DF5">
        <w:rPr>
          <w:b/>
          <w:szCs w:val="24"/>
          <w:lang w:eastAsia="en-US"/>
        </w:rPr>
        <w:t xml:space="preserve"> [Alt. 131]</w:t>
      </w:r>
    </w:p>
    <w:p w14:paraId="66811A80" w14:textId="77777777" w:rsidR="00DA42DB" w:rsidRPr="00AA7DF5" w:rsidRDefault="00DA42DB">
      <w:pPr>
        <w:widowControl/>
        <w:rPr>
          <w:szCs w:val="24"/>
          <w:lang w:eastAsia="en-US"/>
        </w:rPr>
      </w:pPr>
      <w:r w:rsidRPr="00AA7DF5">
        <w:rPr>
          <w:szCs w:val="24"/>
          <w:lang w:eastAsia="en-US"/>
        </w:rPr>
        <w:br w:type="page"/>
      </w:r>
    </w:p>
    <w:p w14:paraId="0EC27F31" w14:textId="06D9A44F" w:rsidR="002E0FC5" w:rsidRPr="00AA7DF5" w:rsidRDefault="002E0FC5" w:rsidP="002E0FC5">
      <w:pPr>
        <w:spacing w:before="120" w:after="120" w:line="360" w:lineRule="auto"/>
        <w:ind w:left="1416"/>
        <w:rPr>
          <w:szCs w:val="24"/>
          <w:lang w:eastAsia="en-US"/>
        </w:rPr>
      </w:pPr>
      <w:r w:rsidRPr="00AA7DF5">
        <w:rPr>
          <w:szCs w:val="24"/>
          <w:lang w:eastAsia="en-US"/>
        </w:rPr>
        <w:lastRenderedPageBreak/>
        <w:t>Nos casos em que um Estado-Membro possa gerar e fornecer à Comissão, para uma substância ou um grupo de substâncias, dados de monitorização suficientes, comparáveis, representativos e recentes retirados de programas de monitorização ou estudos, pode decidir não proceder a monitorizações suplementares dessa substância ou desse grupo de substâncias no âmbito do mecanismo da lista de vigilância, desde que os mesmos tenham sido monitorizados com recurso a uma metodologia conforme com as matrizes de monitorização e os métodos de análise a que se refere o ato de execução que estabelece a lista de vigilância, bem como com a Diretiva 2009/90/CE*.</w:t>
      </w:r>
    </w:p>
    <w:p w14:paraId="5696454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4.</w:t>
      </w:r>
      <w:r w:rsidRPr="00AA7DF5">
        <w:rPr>
          <w:szCs w:val="24"/>
          <w:lang w:eastAsia="en-US"/>
        </w:rPr>
        <w:tab/>
        <w:t>Os Estados-Membros devem disponibilizar os resultados da monitorização a que se refere o n.º 3 do presente artigo em conformidade com o artigo 8.º, n.º 4, da Diretiva 2000/60/CE e com o ato de execução que estabelece a lista de vigilância adotada nos termos do n.º 1. Devem também disponibilizar informações sobre a representatividade das estações de monitorização e sobre a estratégia de monitorização.</w:t>
      </w:r>
    </w:p>
    <w:p w14:paraId="6D953290" w14:textId="77777777" w:rsidR="00DA42DB" w:rsidRPr="00AA7DF5" w:rsidRDefault="00DA42DB">
      <w:pPr>
        <w:widowControl/>
        <w:rPr>
          <w:szCs w:val="24"/>
          <w:lang w:eastAsia="en-US"/>
        </w:rPr>
      </w:pPr>
      <w:r w:rsidRPr="00AA7DF5">
        <w:rPr>
          <w:szCs w:val="24"/>
          <w:lang w:eastAsia="en-US"/>
        </w:rPr>
        <w:br w:type="page"/>
      </w:r>
    </w:p>
    <w:p w14:paraId="5DECA3C3" w14:textId="01E29C5C"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5.</w:t>
      </w:r>
      <w:r w:rsidRPr="00AA7DF5">
        <w:rPr>
          <w:szCs w:val="24"/>
          <w:lang w:eastAsia="en-US"/>
        </w:rPr>
        <w:tab/>
        <w:t>A ECHA deve, no final do período de 24 meses a que se refere o n.º 3, rever os resultados da monitorização e avaliar quais as substâncias ou grupos de substâncias que devem ser monitorizados durante outro período de 24 meses e que, por conseguinte, devem ser mantidos na lista de vigilância, devendo igualmente avaliar quais as substâncias ou grupos de substâncias que podem ser retirados da lista de vigilância.</w:t>
      </w:r>
    </w:p>
    <w:p w14:paraId="5A534A0D" w14:textId="77777777" w:rsidR="002E0FC5" w:rsidRPr="00AA7DF5" w:rsidRDefault="002E0FC5" w:rsidP="002E0FC5">
      <w:pPr>
        <w:spacing w:before="120" w:after="120" w:line="360" w:lineRule="auto"/>
        <w:ind w:left="1416"/>
        <w:rPr>
          <w:szCs w:val="24"/>
          <w:lang w:eastAsia="en-US"/>
        </w:rPr>
      </w:pPr>
      <w:r w:rsidRPr="00AA7DF5">
        <w:rPr>
          <w:szCs w:val="24"/>
          <w:lang w:eastAsia="en-US"/>
        </w:rPr>
        <w:t>Se a Comissão, tendo em conta a avaliação realizada pela ECHA a que se refere o primeiro parágrafo, concluir que não é necessária uma monitorização suplementar para avaliar mais aprofundadamente o risco para o ambiente aquático, esta avaliação deve ser tida em conta na revisão dos Anexos I ou II a que se refere o artigo 8.º.</w:t>
      </w:r>
    </w:p>
    <w:p w14:paraId="484CC93C" w14:textId="77777777" w:rsidR="002E0FC5" w:rsidRPr="00AA7DF5" w:rsidRDefault="002E0FC5" w:rsidP="002E0FC5">
      <w:pPr>
        <w:spacing w:before="120" w:after="120" w:line="360" w:lineRule="auto"/>
        <w:ind w:left="1416"/>
        <w:rPr>
          <w:szCs w:val="24"/>
          <w:lang w:eastAsia="en-US"/>
        </w:rPr>
      </w:pPr>
      <w:r w:rsidRPr="00AA7DF5">
        <w:rPr>
          <w:szCs w:val="24"/>
          <w:lang w:eastAsia="en-US"/>
        </w:rPr>
        <w:t>* Diretiva 2009/90/CE da Comissão, de 31 de julho de 2009, que estabelece, nos termos da Diretiva 2000/60/CE do Parlamento Europeu e do Conselho, especificações técnicas para a análise e monitorização químicas do estado da água (JO L 201 de 1.8.2009, p. 36).;»</w:t>
      </w:r>
    </w:p>
    <w:p w14:paraId="1238EA5D" w14:textId="77777777" w:rsidR="00DA42DB" w:rsidRPr="00AA7DF5" w:rsidRDefault="00DA42DB">
      <w:pPr>
        <w:widowControl/>
        <w:rPr>
          <w:b/>
          <w:i/>
          <w:szCs w:val="24"/>
          <w:lang w:eastAsia="en-US"/>
        </w:rPr>
      </w:pPr>
      <w:r w:rsidRPr="00AA7DF5">
        <w:rPr>
          <w:b/>
          <w:i/>
          <w:szCs w:val="24"/>
          <w:lang w:eastAsia="en-US"/>
        </w:rPr>
        <w:br w:type="page"/>
      </w:r>
    </w:p>
    <w:p w14:paraId="44D0EDF2" w14:textId="4F0751C4"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7</w:t>
      </w:r>
      <w:r w:rsidR="00DA42D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É inserido o seguinte artigo 8.º‑B‑A:</w:t>
      </w:r>
    </w:p>
    <w:p w14:paraId="5EDCAC99" w14:textId="1F38F340" w:rsidR="002E0FC5" w:rsidRPr="00AA7DF5" w:rsidRDefault="002E0FC5" w:rsidP="002E0FC5">
      <w:pPr>
        <w:spacing w:before="120" w:after="120" w:line="360" w:lineRule="auto"/>
        <w:ind w:left="850"/>
        <w:rPr>
          <w:b/>
          <w:szCs w:val="24"/>
          <w:lang w:eastAsia="en-US"/>
        </w:rPr>
      </w:pPr>
      <w:r w:rsidRPr="00AA7DF5">
        <w:rPr>
          <w:szCs w:val="24"/>
          <w:lang w:eastAsia="en-US"/>
        </w:rPr>
        <w:t>«</w:t>
      </w:r>
      <w:r w:rsidRPr="00AA7DF5">
        <w:rPr>
          <w:b/>
          <w:i/>
          <w:szCs w:val="24"/>
          <w:lang w:eastAsia="en-US"/>
        </w:rPr>
        <w:t>Artigo 8.º-B-A</w:t>
      </w:r>
      <w:r w:rsidRPr="00AA7DF5">
        <w:rPr>
          <w:szCs w:val="24"/>
          <w:lang w:eastAsia="en-US"/>
        </w:rPr>
        <w:br/>
      </w:r>
      <w:r w:rsidRPr="00AA7DF5">
        <w:rPr>
          <w:b/>
          <w:i/>
          <w:szCs w:val="24"/>
          <w:lang w:eastAsia="en-US"/>
        </w:rPr>
        <w:t>O mais tardar ... [inserir data correspondente ao período de um ano após a data de entrada em vigor da presente diretiva], a Comissão deve apresentar uma avaliação de impacto da inclusão na presente diretiva de um mecanismo de responsabilidade alargada do produtor, destinado a garantir que os produtores que coloquem no mercado produtos contendo quaisquer das substâncias ou compostos enumerados no anexo I, bem como substâncias que suscitem preocupação emergente e constem da lista de vigilância prevista pela presente diretiva, contribuem para os custos dos programas de monitorização concebidos em conformidade com o artigo 8.º da Diretiva 2000/60/CE. A avaliação de impacto, se for caso disso, ser acompanhada de uma proposta legislativa destinada a alterar a presente diretiva.</w:t>
      </w:r>
      <w:r w:rsidRPr="00AA7DF5">
        <w:rPr>
          <w:szCs w:val="24"/>
          <w:lang w:eastAsia="en-US"/>
        </w:rPr>
        <w:t>»</w:t>
      </w:r>
      <w:r w:rsidR="00DA42DB" w:rsidRPr="00AA7DF5">
        <w:rPr>
          <w:b/>
          <w:szCs w:val="24"/>
          <w:lang w:eastAsia="en-US"/>
        </w:rPr>
        <w:t xml:space="preserve"> [Alt. 132]</w:t>
      </w:r>
    </w:p>
    <w:p w14:paraId="7F52FF96" w14:textId="77777777" w:rsidR="00DA42DB" w:rsidRPr="00AA7DF5" w:rsidRDefault="00DA42DB">
      <w:pPr>
        <w:widowControl/>
        <w:rPr>
          <w:b/>
          <w:i/>
          <w:szCs w:val="24"/>
          <w:lang w:eastAsia="en-US"/>
        </w:rPr>
      </w:pPr>
      <w:r w:rsidRPr="00AA7DF5">
        <w:rPr>
          <w:b/>
          <w:i/>
          <w:szCs w:val="24"/>
          <w:lang w:eastAsia="en-US"/>
        </w:rPr>
        <w:br w:type="page"/>
      </w:r>
    </w:p>
    <w:p w14:paraId="52D6419F" w14:textId="66D89BFD"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7</w:t>
      </w:r>
      <w:r w:rsidR="00DA42DB"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É inserido o seguinte artigo:</w:t>
      </w:r>
    </w:p>
    <w:p w14:paraId="00A05B04" w14:textId="77777777" w:rsidR="002E0FC5" w:rsidRPr="00AA7DF5" w:rsidRDefault="002E0FC5" w:rsidP="002E0FC5">
      <w:pPr>
        <w:spacing w:before="120" w:after="120" w:line="360" w:lineRule="auto"/>
        <w:ind w:left="850"/>
        <w:rPr>
          <w:szCs w:val="24"/>
          <w:lang w:eastAsia="en-US"/>
        </w:rPr>
      </w:pPr>
      <w:r w:rsidRPr="00AA7DF5">
        <w:rPr>
          <w:szCs w:val="24"/>
          <w:lang w:eastAsia="en-US"/>
        </w:rPr>
        <w:t>«</w:t>
      </w:r>
      <w:r w:rsidRPr="00AA7DF5">
        <w:rPr>
          <w:b/>
          <w:i/>
          <w:szCs w:val="24"/>
          <w:lang w:eastAsia="en-US"/>
        </w:rPr>
        <w:t>Artigo 8.º-B-B</w:t>
      </w:r>
      <w:r w:rsidRPr="00AA7DF5">
        <w:rPr>
          <w:szCs w:val="24"/>
          <w:lang w:eastAsia="en-US"/>
        </w:rPr>
        <w:br/>
      </w:r>
      <w:r w:rsidRPr="00AA7DF5">
        <w:rPr>
          <w:b/>
          <w:i/>
          <w:szCs w:val="24"/>
          <w:lang w:eastAsia="en-US"/>
        </w:rPr>
        <w:t>Mecanismo de monitorização europeu</w:t>
      </w:r>
    </w:p>
    <w:p w14:paraId="22D04B4C" w14:textId="77777777" w:rsidR="002E0FC5" w:rsidRPr="00AA7DF5" w:rsidRDefault="002E0FC5" w:rsidP="002E0FC5">
      <w:pPr>
        <w:spacing w:before="120" w:after="120" w:line="360" w:lineRule="auto"/>
        <w:ind w:left="850"/>
        <w:rPr>
          <w:szCs w:val="24"/>
          <w:lang w:eastAsia="en-US"/>
        </w:rPr>
      </w:pPr>
      <w:r w:rsidRPr="00AA7DF5">
        <w:rPr>
          <w:b/>
          <w:i/>
          <w:szCs w:val="24"/>
          <w:lang w:eastAsia="en-US"/>
        </w:rPr>
        <w:t>A Comissão deve criar, até ... [um ano após a data de entrada em vigor da presente diretiva], um mecanismo de monitorização único para gerir as necessidades de controlo quando tal lhe for solicitado pelos Estados‑Membros.</w:t>
      </w:r>
    </w:p>
    <w:p w14:paraId="2BE567D9" w14:textId="77777777" w:rsidR="002E0FC5" w:rsidRPr="00AA7DF5" w:rsidRDefault="002E0FC5" w:rsidP="002E0FC5">
      <w:pPr>
        <w:spacing w:before="120" w:after="120" w:line="360" w:lineRule="auto"/>
        <w:ind w:left="850"/>
        <w:rPr>
          <w:szCs w:val="24"/>
          <w:lang w:eastAsia="en-US"/>
        </w:rPr>
      </w:pPr>
      <w:r w:rsidRPr="00AA7DF5">
        <w:rPr>
          <w:b/>
          <w:i/>
          <w:szCs w:val="24"/>
          <w:lang w:eastAsia="en-US"/>
        </w:rPr>
        <w:t>A Comissão deve definir o funcionamento do mecanismo de monitorização, que contemplará, designadamente, os seguintes aspetos:</w:t>
      </w:r>
    </w:p>
    <w:p w14:paraId="1ACDA885"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a)</w:t>
      </w:r>
      <w:r w:rsidRPr="00AA7DF5">
        <w:rPr>
          <w:szCs w:val="24"/>
          <w:lang w:eastAsia="en-US"/>
        </w:rPr>
        <w:tab/>
      </w:r>
      <w:r w:rsidRPr="00AA7DF5">
        <w:rPr>
          <w:b/>
          <w:i/>
          <w:szCs w:val="24"/>
          <w:lang w:eastAsia="en-US"/>
        </w:rPr>
        <w:t>A natureza voluntária da utilização do mecanismo de monitorização, sem prejuízo das disposições já adotadas pelos Estados‑Membros;</w:t>
      </w:r>
    </w:p>
    <w:p w14:paraId="5EC6A662" w14:textId="77777777" w:rsidR="002E0FC5" w:rsidRPr="00AA7DF5" w:rsidRDefault="002E0FC5" w:rsidP="002E0FC5">
      <w:pPr>
        <w:spacing w:before="120" w:after="120" w:line="360" w:lineRule="auto"/>
        <w:ind w:left="1416" w:hanging="566"/>
        <w:rPr>
          <w:szCs w:val="24"/>
          <w:lang w:eastAsia="en-US"/>
        </w:rPr>
      </w:pPr>
      <w:r w:rsidRPr="00AA7DF5">
        <w:rPr>
          <w:b/>
          <w:i/>
          <w:szCs w:val="24"/>
          <w:lang w:eastAsia="en-US"/>
        </w:rPr>
        <w:t>b)</w:t>
      </w:r>
      <w:r w:rsidRPr="00AA7DF5">
        <w:rPr>
          <w:szCs w:val="24"/>
          <w:lang w:eastAsia="en-US"/>
        </w:rPr>
        <w:tab/>
      </w:r>
      <w:r w:rsidRPr="00AA7DF5">
        <w:rPr>
          <w:b/>
          <w:i/>
          <w:szCs w:val="24"/>
          <w:lang w:eastAsia="en-US"/>
        </w:rPr>
        <w:t>Os procedimentos operacionais para os Estados‑Membros que tencionem recorrer ao mecanismo de monitorização, que devem, designadamente, incluir a notificação obrigatória da Comissão sobre as suas exatas necessidades ou capacidades de monitorização, os protocolos exatos para a gestão de amostras e o período durante o qual tencionam continuar a fazer parte do mecanismo;</w:t>
      </w:r>
    </w:p>
    <w:p w14:paraId="5243E3EC" w14:textId="77777777" w:rsidR="00DA42DB" w:rsidRPr="00AA7DF5" w:rsidRDefault="00DA42DB">
      <w:pPr>
        <w:widowControl/>
        <w:rPr>
          <w:b/>
          <w:i/>
          <w:szCs w:val="24"/>
          <w:lang w:eastAsia="en-US"/>
        </w:rPr>
      </w:pPr>
      <w:r w:rsidRPr="00AA7DF5">
        <w:rPr>
          <w:b/>
          <w:i/>
          <w:szCs w:val="24"/>
          <w:lang w:eastAsia="en-US"/>
        </w:rPr>
        <w:br w:type="page"/>
      </w:r>
    </w:p>
    <w:p w14:paraId="05E9D84E" w14:textId="081E1F58" w:rsidR="002E0FC5" w:rsidRPr="00AA7DF5" w:rsidRDefault="002E0FC5" w:rsidP="002E0FC5">
      <w:pPr>
        <w:spacing w:before="120" w:after="120" w:line="360" w:lineRule="auto"/>
        <w:ind w:left="1416" w:hanging="566"/>
        <w:rPr>
          <w:b/>
          <w:szCs w:val="24"/>
          <w:lang w:eastAsia="en-US"/>
        </w:rPr>
      </w:pPr>
      <w:r w:rsidRPr="00AA7DF5">
        <w:rPr>
          <w:b/>
          <w:i/>
          <w:szCs w:val="24"/>
          <w:lang w:eastAsia="en-US"/>
        </w:rPr>
        <w:lastRenderedPageBreak/>
        <w:t>c)</w:t>
      </w:r>
      <w:r w:rsidRPr="00AA7DF5">
        <w:rPr>
          <w:szCs w:val="24"/>
          <w:lang w:eastAsia="en-US"/>
        </w:rPr>
        <w:tab/>
      </w:r>
      <w:r w:rsidRPr="00AA7DF5">
        <w:rPr>
          <w:b/>
          <w:i/>
          <w:szCs w:val="24"/>
          <w:lang w:eastAsia="en-US"/>
        </w:rPr>
        <w:t>As fontes de financiamento, que podem incluir programas e fundos estruturais relevantes da UE, bem como contributos do setor privado, inclusivamente ao abrigo do mecanismo de responsabilidade alargada do produtor, uma vez estabelecido nos termos do artigo 8.º‑B‑A.</w:t>
      </w:r>
      <w:r w:rsidRPr="00AA7DF5">
        <w:rPr>
          <w:szCs w:val="24"/>
          <w:lang w:eastAsia="en-US"/>
        </w:rPr>
        <w:t>»</w:t>
      </w:r>
      <w:r w:rsidR="00DA42DB" w:rsidRPr="00AA7DF5">
        <w:rPr>
          <w:b/>
          <w:szCs w:val="24"/>
          <w:lang w:eastAsia="en-US"/>
        </w:rPr>
        <w:t xml:space="preserve"> [Alt. 133]</w:t>
      </w:r>
    </w:p>
    <w:p w14:paraId="771BEA45"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8)</w:t>
      </w:r>
      <w:r w:rsidRPr="00AA7DF5">
        <w:rPr>
          <w:szCs w:val="24"/>
          <w:lang w:eastAsia="en-US"/>
        </w:rPr>
        <w:tab/>
        <w:t>É inserido o seguinte artigo 8.º-D:</w:t>
      </w:r>
    </w:p>
    <w:p w14:paraId="04F75347" w14:textId="77777777" w:rsidR="002E0FC5" w:rsidRPr="00AA7DF5" w:rsidRDefault="002E0FC5" w:rsidP="002E0FC5">
      <w:pPr>
        <w:spacing w:before="120" w:after="120" w:line="360" w:lineRule="auto"/>
        <w:ind w:left="850"/>
        <w:rPr>
          <w:szCs w:val="24"/>
          <w:lang w:eastAsia="en-US"/>
        </w:rPr>
      </w:pPr>
      <w:r w:rsidRPr="00AA7DF5">
        <w:rPr>
          <w:szCs w:val="24"/>
          <w:lang w:eastAsia="en-US"/>
        </w:rPr>
        <w:t>«Artigo 8.º-D</w:t>
      </w:r>
    </w:p>
    <w:p w14:paraId="1F428829" w14:textId="77777777" w:rsidR="002E0FC5" w:rsidRPr="00AA7DF5" w:rsidRDefault="002E0FC5" w:rsidP="002E0FC5">
      <w:pPr>
        <w:spacing w:before="120" w:after="120" w:line="360" w:lineRule="auto"/>
        <w:ind w:left="850"/>
        <w:rPr>
          <w:szCs w:val="24"/>
          <w:lang w:eastAsia="en-US"/>
        </w:rPr>
      </w:pPr>
      <w:r w:rsidRPr="00AA7DF5">
        <w:rPr>
          <w:szCs w:val="24"/>
          <w:lang w:eastAsia="en-US"/>
        </w:rPr>
        <w:t>Poluentes específicos das bacias hidrográficas</w:t>
      </w:r>
    </w:p>
    <w:p w14:paraId="566E5DAB"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Os Estados-Membros devem estabelecer e aplicar NQA para os poluentes específicos das bacias hidrográficas abrangidos pelas categorias enumeradas no Anexo II, Parte A, da presente diretiva, se esses poluentes representarem um risco para as massas de água de uma ou mais das suas regiões hidrográficas com base nas análises e estudos previstos no artigo 5.º da Diretiva 2000/60/UE, em conformidade com o procedimento estabelecido no Anexo II, Parte B, da presente diretiva.</w:t>
      </w:r>
    </w:p>
    <w:p w14:paraId="630C3B9E" w14:textId="77777777" w:rsidR="002E0FC5" w:rsidRPr="00AA7DF5" w:rsidRDefault="002E0FC5" w:rsidP="002E0FC5">
      <w:pPr>
        <w:spacing w:before="120" w:after="120" w:line="360" w:lineRule="auto"/>
        <w:ind w:left="1416"/>
        <w:rPr>
          <w:szCs w:val="24"/>
          <w:lang w:eastAsia="en-US"/>
        </w:rPr>
      </w:pPr>
      <w:r w:rsidRPr="00AA7DF5">
        <w:rPr>
          <w:szCs w:val="24"/>
          <w:lang w:eastAsia="en-US"/>
        </w:rPr>
        <w:t>Os Estados-Membros devem informar a ECHA, até [Serviço das Publicações: inserir a data correspondente ao primeiro dia do mês seguinte a 18 meses após a data de entrada em vigor da presente diretiva], das NQA a que se refere o primeiro parágrafo. A ECHA deve disponibilizar essas informações ao público.</w:t>
      </w:r>
    </w:p>
    <w:p w14:paraId="06902E4F" w14:textId="77777777" w:rsidR="00DA42DB" w:rsidRPr="00AA7DF5" w:rsidRDefault="00DA42DB">
      <w:pPr>
        <w:widowControl/>
        <w:rPr>
          <w:szCs w:val="24"/>
          <w:lang w:eastAsia="en-US"/>
        </w:rPr>
      </w:pPr>
      <w:r w:rsidRPr="00AA7DF5">
        <w:rPr>
          <w:szCs w:val="24"/>
          <w:lang w:eastAsia="en-US"/>
        </w:rPr>
        <w:br w:type="page"/>
      </w:r>
    </w:p>
    <w:p w14:paraId="6757F5B6" w14:textId="06A517D6"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2.</w:t>
      </w:r>
      <w:r w:rsidRPr="00AA7DF5">
        <w:rPr>
          <w:szCs w:val="24"/>
          <w:lang w:eastAsia="en-US"/>
        </w:rPr>
        <w:tab/>
        <w:t>Sempre que tenham sido estabelecidas NQA para os poluentes específicos das bacias hidrográficas a nível da União e enumeradas no Anexo II, Parte C, nos termos do artigo 8.º, essas NQA têm precedência sobre as NQA para os poluentes específicos das bacias hidrográficas estabelecidas a nível nacional nos termos do n.º 1. As NQA estabelecidas a nível da União devem igualmente ser aplicadas pelos Estados-Membros para determinar se os poluentes específicos das bacias hidrográficas enumerados no Anexo II, Parte C, constituem um risco.</w:t>
      </w:r>
    </w:p>
    <w:p w14:paraId="347A34BD"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Para que uma massa de água esteja em bom estado químico segundo a definição estabelecida no artigo 2.º, ponto 24, da Diretiva 2000/60/CE, é obrigatório o cumprimento das NQA nacionais ou das NQA estabelecidas a nível da União aplicáveis.;</w:t>
      </w:r>
    </w:p>
    <w:p w14:paraId="4F460688" w14:textId="1EE52C87" w:rsidR="002E0FC5" w:rsidRPr="00AA7DF5" w:rsidRDefault="002E0FC5" w:rsidP="002E0FC5">
      <w:pPr>
        <w:spacing w:before="120" w:after="120" w:line="360" w:lineRule="auto"/>
        <w:ind w:left="1416" w:hanging="566"/>
        <w:rPr>
          <w:b/>
          <w:szCs w:val="24"/>
          <w:lang w:eastAsia="en-US"/>
        </w:rPr>
      </w:pPr>
      <w:r w:rsidRPr="00AA7DF5">
        <w:rPr>
          <w:b/>
          <w:i/>
          <w:szCs w:val="24"/>
          <w:lang w:eastAsia="en-US"/>
        </w:rPr>
        <w:t>3</w:t>
      </w:r>
      <w:r w:rsidR="00DA42D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Na definição e aplicação das NQA para os poluentes específicos das bacias hidrográficas, os Estados‑Membros podem ter em conta a biodisponibilidade dos metais.</w:t>
      </w:r>
      <w:r w:rsidRPr="00AA7DF5">
        <w:rPr>
          <w:szCs w:val="24"/>
          <w:lang w:eastAsia="en-US"/>
        </w:rPr>
        <w:t>»</w:t>
      </w:r>
      <w:r w:rsidR="00DA42DB" w:rsidRPr="00AA7DF5">
        <w:rPr>
          <w:b/>
          <w:szCs w:val="24"/>
          <w:lang w:eastAsia="en-US"/>
        </w:rPr>
        <w:t xml:space="preserve"> [Alt. 134]</w:t>
      </w:r>
    </w:p>
    <w:p w14:paraId="4C63B162" w14:textId="77777777" w:rsidR="00DA42DB" w:rsidRPr="00AA7DF5" w:rsidRDefault="00DA42DB">
      <w:pPr>
        <w:widowControl/>
        <w:rPr>
          <w:b/>
          <w:i/>
          <w:szCs w:val="24"/>
          <w:lang w:eastAsia="en-US"/>
        </w:rPr>
      </w:pPr>
      <w:r w:rsidRPr="00AA7DF5">
        <w:rPr>
          <w:b/>
          <w:i/>
          <w:szCs w:val="24"/>
          <w:lang w:eastAsia="en-US"/>
        </w:rPr>
        <w:br w:type="page"/>
      </w:r>
    </w:p>
    <w:p w14:paraId="4C75815F" w14:textId="58E9F4EF"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8</w:t>
      </w:r>
      <w:r w:rsidR="00DA42DB" w:rsidRPr="00AA7DF5">
        <w:rPr>
          <w:b/>
          <w:i/>
          <w:szCs w:val="24"/>
          <w:lang w:eastAsia="en-US"/>
        </w:rPr>
        <w:t>-A</w:t>
      </w:r>
      <w:r w:rsidRPr="00AA7DF5">
        <w:rPr>
          <w:b/>
          <w:i/>
          <w:szCs w:val="24"/>
          <w:lang w:eastAsia="en-US"/>
        </w:rPr>
        <w:t>)</w:t>
      </w:r>
      <w:r w:rsidRPr="00AA7DF5">
        <w:rPr>
          <w:szCs w:val="24"/>
          <w:lang w:eastAsia="en-US"/>
        </w:rPr>
        <w:tab/>
      </w:r>
      <w:r w:rsidRPr="00AA7DF5">
        <w:rPr>
          <w:b/>
          <w:i/>
          <w:szCs w:val="24"/>
          <w:lang w:eastAsia="en-US"/>
        </w:rPr>
        <w:t>No artigo 9.º‑A, o n.º 2 é alterado do seguinte modo:</w:t>
      </w:r>
    </w:p>
    <w:p w14:paraId="52F0FDEA" w14:textId="22665004" w:rsidR="002E0FC5" w:rsidRPr="00AA7DF5" w:rsidRDefault="002E0FC5" w:rsidP="002E0FC5">
      <w:pPr>
        <w:spacing w:before="120" w:after="120" w:line="360" w:lineRule="auto"/>
        <w:ind w:left="1416" w:hanging="566"/>
        <w:rPr>
          <w:b/>
          <w:szCs w:val="24"/>
          <w:lang w:eastAsia="en-US"/>
        </w:rPr>
      </w:pPr>
      <w:r w:rsidRPr="00AA7DF5">
        <w:rPr>
          <w:szCs w:val="24"/>
          <w:lang w:eastAsia="en-US"/>
        </w:rPr>
        <w:t>«</w:t>
      </w:r>
      <w:r w:rsidR="001C4006" w:rsidRPr="00AA7DF5">
        <w:rPr>
          <w:b/>
          <w:i/>
          <w:szCs w:val="24"/>
          <w:lang w:eastAsia="en-US"/>
        </w:rPr>
        <w:t>2</w:t>
      </w:r>
      <w:r w:rsidRPr="00AA7DF5">
        <w:rPr>
          <w:b/>
          <w:i/>
          <w:szCs w:val="24"/>
          <w:lang w:eastAsia="en-US"/>
        </w:rPr>
        <w:t>.</w:t>
      </w:r>
      <w:r w:rsidRPr="00AA7DF5">
        <w:rPr>
          <w:szCs w:val="24"/>
          <w:lang w:eastAsia="en-US"/>
        </w:rPr>
        <w:tab/>
      </w:r>
      <w:r w:rsidRPr="00AA7DF5">
        <w:rPr>
          <w:b/>
          <w:i/>
          <w:szCs w:val="24"/>
          <w:lang w:eastAsia="en-US"/>
        </w:rPr>
        <w:t>O poder de adotar atos delegados referido no artigo 3.º, n.º 8, no artigo 8.º, n.ºs 3, 6‑A, 6‑B e no artigo 8.º‑A, n.º 3‑A, é conferido à Comissão por um prazo de seis anos a contar de [Serviço das Publicações: inserir a data correspondente à data de entrada em vigor da presente diretiva]. A Comissão elabora um relatório sobre a delegação de poderes o mais tardar nove meses antes do final do prazo de seis anos. A delegação de poderes é tacitamente prorrogada por prazos de igual duração, salvo se o Parlamento Europeu ou o Conselho a tal se opuserem pelo menos três meses antes do final de cada prazo.</w:t>
      </w:r>
      <w:r w:rsidRPr="00AA7DF5">
        <w:rPr>
          <w:szCs w:val="24"/>
          <w:lang w:eastAsia="en-US"/>
        </w:rPr>
        <w:t>»</w:t>
      </w:r>
      <w:r w:rsidR="001C4006" w:rsidRPr="00AA7DF5">
        <w:rPr>
          <w:b/>
          <w:szCs w:val="24"/>
          <w:lang w:eastAsia="en-US"/>
        </w:rPr>
        <w:t xml:space="preserve"> [Alt. 135]</w:t>
      </w:r>
    </w:p>
    <w:p w14:paraId="0249E323" w14:textId="4A185F1A" w:rsidR="002E0FC5" w:rsidRPr="00AA7DF5" w:rsidRDefault="002E0FC5" w:rsidP="002E0FC5">
      <w:pPr>
        <w:spacing w:before="120" w:after="120" w:line="360" w:lineRule="auto"/>
        <w:ind w:left="850" w:hanging="850"/>
        <w:rPr>
          <w:szCs w:val="24"/>
          <w:lang w:eastAsia="en-US"/>
        </w:rPr>
      </w:pPr>
      <w:r w:rsidRPr="00AA7DF5">
        <w:rPr>
          <w:b/>
          <w:i/>
          <w:szCs w:val="24"/>
          <w:lang w:eastAsia="en-US"/>
        </w:rPr>
        <w:t>8</w:t>
      </w:r>
      <w:r w:rsidR="001C4006" w:rsidRPr="00AA7DF5">
        <w:rPr>
          <w:b/>
          <w:i/>
          <w:szCs w:val="24"/>
          <w:lang w:eastAsia="en-US"/>
        </w:rPr>
        <w:t>-B</w:t>
      </w:r>
      <w:r w:rsidRPr="00AA7DF5">
        <w:rPr>
          <w:b/>
          <w:i/>
          <w:szCs w:val="24"/>
          <w:lang w:eastAsia="en-US"/>
        </w:rPr>
        <w:t>)</w:t>
      </w:r>
      <w:r w:rsidRPr="00AA7DF5">
        <w:rPr>
          <w:szCs w:val="24"/>
          <w:lang w:eastAsia="en-US"/>
        </w:rPr>
        <w:tab/>
      </w:r>
      <w:r w:rsidRPr="00AA7DF5">
        <w:rPr>
          <w:b/>
          <w:i/>
          <w:szCs w:val="24"/>
          <w:lang w:eastAsia="en-US"/>
        </w:rPr>
        <w:t>No artigo 9.º‑A, o n.º 3 é alterado do seguinte modo:</w:t>
      </w:r>
    </w:p>
    <w:p w14:paraId="679B631F" w14:textId="791D3891" w:rsidR="002E0FC5" w:rsidRPr="00AA7DF5" w:rsidRDefault="002E0FC5" w:rsidP="002E0FC5">
      <w:pPr>
        <w:spacing w:before="120" w:after="120" w:line="360" w:lineRule="auto"/>
        <w:ind w:left="1416" w:hanging="566"/>
        <w:rPr>
          <w:b/>
          <w:szCs w:val="24"/>
          <w:lang w:eastAsia="en-US"/>
        </w:rPr>
      </w:pPr>
      <w:r w:rsidRPr="00AA7DF5">
        <w:rPr>
          <w:szCs w:val="24"/>
          <w:lang w:eastAsia="en-US"/>
        </w:rPr>
        <w:t>«</w:t>
      </w:r>
      <w:r w:rsidRPr="00AA7DF5">
        <w:rPr>
          <w:b/>
          <w:i/>
          <w:szCs w:val="24"/>
          <w:lang w:eastAsia="en-US"/>
        </w:rPr>
        <w:t>3.</w:t>
      </w:r>
      <w:r w:rsidR="001C4006" w:rsidRPr="00AA7DF5">
        <w:rPr>
          <w:b/>
          <w:i/>
          <w:szCs w:val="24"/>
          <w:lang w:eastAsia="en-US"/>
        </w:rPr>
        <w:tab/>
      </w:r>
      <w:r w:rsidRPr="00AA7DF5">
        <w:rPr>
          <w:b/>
          <w:i/>
          <w:szCs w:val="24"/>
          <w:lang w:eastAsia="en-US"/>
        </w:rPr>
        <w:t>A delegação de poderes referida no artigo 3.º, n.º 8, no artigo 8.º, n.ºs 3, 6‑A e 6‑B, e no artigo 8.º‑A, n.º 3‑A,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r w:rsidRPr="00AA7DF5">
        <w:rPr>
          <w:szCs w:val="24"/>
          <w:lang w:eastAsia="en-US"/>
        </w:rPr>
        <w:t>»</w:t>
      </w:r>
      <w:r w:rsidR="001C4006" w:rsidRPr="00AA7DF5">
        <w:rPr>
          <w:b/>
          <w:szCs w:val="24"/>
          <w:lang w:eastAsia="en-US"/>
        </w:rPr>
        <w:t xml:space="preserve"> [Alt. 136]</w:t>
      </w:r>
    </w:p>
    <w:p w14:paraId="072C04E5" w14:textId="77777777" w:rsidR="001C4006" w:rsidRPr="00AA7DF5" w:rsidRDefault="001C4006">
      <w:pPr>
        <w:widowControl/>
        <w:rPr>
          <w:b/>
          <w:i/>
          <w:szCs w:val="24"/>
          <w:lang w:eastAsia="en-US"/>
        </w:rPr>
      </w:pPr>
      <w:r w:rsidRPr="00AA7DF5">
        <w:rPr>
          <w:b/>
          <w:i/>
          <w:szCs w:val="24"/>
          <w:lang w:eastAsia="en-US"/>
        </w:rPr>
        <w:br w:type="page"/>
      </w:r>
    </w:p>
    <w:p w14:paraId="4F3678F3" w14:textId="71101220"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8</w:t>
      </w:r>
      <w:r w:rsidR="001C4006" w:rsidRPr="00AA7DF5">
        <w:rPr>
          <w:b/>
          <w:i/>
          <w:szCs w:val="24"/>
          <w:lang w:eastAsia="en-US"/>
        </w:rPr>
        <w:t>-C</w:t>
      </w:r>
      <w:r w:rsidRPr="00AA7DF5">
        <w:rPr>
          <w:b/>
          <w:i/>
          <w:szCs w:val="24"/>
          <w:lang w:eastAsia="en-US"/>
        </w:rPr>
        <w:t>)</w:t>
      </w:r>
      <w:r w:rsidRPr="00AA7DF5">
        <w:rPr>
          <w:szCs w:val="24"/>
          <w:lang w:eastAsia="en-US"/>
        </w:rPr>
        <w:tab/>
      </w:r>
      <w:r w:rsidRPr="00AA7DF5">
        <w:rPr>
          <w:b/>
          <w:i/>
          <w:szCs w:val="24"/>
          <w:lang w:eastAsia="en-US"/>
        </w:rPr>
        <w:t>No artigo 9.º‑A, é inserido o seguinte n.º 3‑A:</w:t>
      </w:r>
    </w:p>
    <w:p w14:paraId="77CAE734" w14:textId="25853993" w:rsidR="002E0FC5" w:rsidRPr="00AA7DF5" w:rsidRDefault="002E0FC5" w:rsidP="002E0FC5">
      <w:pPr>
        <w:spacing w:before="120" w:after="120" w:line="360" w:lineRule="auto"/>
        <w:ind w:left="1416" w:hanging="566"/>
        <w:rPr>
          <w:b/>
          <w:szCs w:val="24"/>
          <w:lang w:eastAsia="en-US"/>
        </w:rPr>
      </w:pPr>
      <w:r w:rsidRPr="00AA7DF5">
        <w:rPr>
          <w:szCs w:val="24"/>
          <w:lang w:eastAsia="en-US"/>
        </w:rPr>
        <w:t>«</w:t>
      </w:r>
      <w:r w:rsidR="001C4006" w:rsidRPr="00AA7DF5">
        <w:rPr>
          <w:b/>
          <w:i/>
          <w:szCs w:val="24"/>
          <w:lang w:eastAsia="en-US"/>
        </w:rPr>
        <w:t>3-A</w:t>
      </w:r>
      <w:r w:rsidRPr="00AA7DF5">
        <w:rPr>
          <w:b/>
          <w:i/>
          <w:szCs w:val="24"/>
          <w:lang w:eastAsia="en-US"/>
        </w:rPr>
        <w:t>.</w:t>
      </w:r>
      <w:r w:rsidRPr="00AA7DF5">
        <w:rPr>
          <w:szCs w:val="24"/>
          <w:lang w:eastAsia="en-US"/>
        </w:rPr>
        <w:tab/>
      </w:r>
      <w:r w:rsidRPr="00AA7DF5">
        <w:rPr>
          <w:b/>
          <w:i/>
          <w:szCs w:val="24"/>
          <w:lang w:eastAsia="en-US"/>
        </w:rPr>
        <w:t>Antes de adotar um ato delegado, a Comissão consulta os peritos designados por cada Estado‑Membro de acordo com os princípios estabelecidos no Acordo Interinstitucional sobre legislar melhor de 13 de abril de 2016.</w:t>
      </w:r>
      <w:r w:rsidRPr="00AA7DF5">
        <w:rPr>
          <w:szCs w:val="24"/>
          <w:lang w:eastAsia="en-US"/>
        </w:rPr>
        <w:t>»</w:t>
      </w:r>
      <w:r w:rsidR="009D07FD" w:rsidRPr="00AA7DF5">
        <w:rPr>
          <w:b/>
          <w:szCs w:val="24"/>
          <w:lang w:eastAsia="en-US"/>
        </w:rPr>
        <w:t xml:space="preserve"> [Alt. 137]</w:t>
      </w:r>
    </w:p>
    <w:p w14:paraId="3E14A96E" w14:textId="02FE89BB" w:rsidR="002E0FC5" w:rsidRPr="00AA7DF5" w:rsidRDefault="002E0FC5" w:rsidP="002E0FC5">
      <w:pPr>
        <w:spacing w:before="120" w:after="120" w:line="360" w:lineRule="auto"/>
        <w:ind w:left="850" w:hanging="850"/>
        <w:rPr>
          <w:szCs w:val="24"/>
          <w:lang w:eastAsia="en-US"/>
        </w:rPr>
      </w:pPr>
      <w:r w:rsidRPr="00AA7DF5">
        <w:rPr>
          <w:b/>
          <w:i/>
          <w:szCs w:val="24"/>
          <w:lang w:eastAsia="en-US"/>
        </w:rPr>
        <w:t>8</w:t>
      </w:r>
      <w:r w:rsidR="001C4006" w:rsidRPr="00AA7DF5">
        <w:rPr>
          <w:b/>
          <w:i/>
          <w:szCs w:val="24"/>
          <w:lang w:eastAsia="en-US"/>
        </w:rPr>
        <w:t>-D</w:t>
      </w:r>
      <w:r w:rsidRPr="00AA7DF5">
        <w:rPr>
          <w:b/>
          <w:i/>
          <w:szCs w:val="24"/>
          <w:lang w:eastAsia="en-US"/>
        </w:rPr>
        <w:t>)</w:t>
      </w:r>
      <w:r w:rsidRPr="00AA7DF5">
        <w:rPr>
          <w:szCs w:val="24"/>
          <w:lang w:eastAsia="en-US"/>
        </w:rPr>
        <w:tab/>
      </w:r>
      <w:r w:rsidRPr="00AA7DF5">
        <w:rPr>
          <w:b/>
          <w:i/>
          <w:szCs w:val="24"/>
          <w:lang w:eastAsia="en-US"/>
        </w:rPr>
        <w:t>No artigo 9.º‑A, o n.º 5 é alterado do seguinte modo:</w:t>
      </w:r>
    </w:p>
    <w:p w14:paraId="39B4BE66" w14:textId="5806C76E" w:rsidR="002E0FC5" w:rsidRPr="00AA7DF5" w:rsidRDefault="002E0FC5" w:rsidP="002E0FC5">
      <w:pPr>
        <w:spacing w:before="120" w:after="120" w:line="360" w:lineRule="auto"/>
        <w:ind w:left="1416" w:hanging="566"/>
        <w:rPr>
          <w:b/>
          <w:szCs w:val="24"/>
          <w:lang w:eastAsia="en-US"/>
        </w:rPr>
      </w:pPr>
      <w:r w:rsidRPr="00E42ABC">
        <w:rPr>
          <w:b/>
          <w:bCs/>
          <w:i/>
          <w:iCs/>
          <w:szCs w:val="24"/>
          <w:lang w:eastAsia="en-US"/>
        </w:rPr>
        <w:t>«</w:t>
      </w:r>
      <w:r w:rsidR="00E42ABC" w:rsidRPr="00E42ABC">
        <w:rPr>
          <w:b/>
          <w:bCs/>
          <w:i/>
          <w:iCs/>
          <w:szCs w:val="24"/>
          <w:lang w:eastAsia="en-US"/>
        </w:rPr>
        <w:t>5</w:t>
      </w:r>
      <w:r w:rsidRPr="00E42ABC">
        <w:rPr>
          <w:b/>
          <w:bCs/>
          <w:i/>
          <w:iCs/>
          <w:szCs w:val="24"/>
          <w:lang w:eastAsia="en-US"/>
        </w:rPr>
        <w:t>.</w:t>
      </w:r>
      <w:r w:rsidRPr="00E42ABC">
        <w:rPr>
          <w:b/>
          <w:bCs/>
          <w:i/>
          <w:iCs/>
          <w:szCs w:val="24"/>
          <w:lang w:eastAsia="en-US"/>
        </w:rPr>
        <w:tab/>
      </w:r>
      <w:r w:rsidRPr="00AA7DF5">
        <w:rPr>
          <w:b/>
          <w:i/>
          <w:szCs w:val="24"/>
          <w:lang w:eastAsia="en-US"/>
        </w:rPr>
        <w:t>Os atos delegados adotados nos termos do artigo 3.º, n.º 8, do artigo 8.º, n.</w:t>
      </w:r>
      <w:r w:rsidR="001C4006" w:rsidRPr="00AA7DF5">
        <w:rPr>
          <w:b/>
          <w:i/>
          <w:szCs w:val="24"/>
          <w:lang w:eastAsia="en-US"/>
        </w:rPr>
        <w:t>º</w:t>
      </w:r>
      <w:r w:rsidRPr="00AA7DF5">
        <w:rPr>
          <w:b/>
          <w:i/>
          <w:szCs w:val="24"/>
          <w:lang w:eastAsia="en-US"/>
        </w:rPr>
        <w:t>s 3, 6‑A e 6‑B, e do artigo 8.º‑A, n.º 3‑A,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r w:rsidRPr="00AA7DF5">
        <w:rPr>
          <w:szCs w:val="24"/>
          <w:lang w:eastAsia="en-US"/>
        </w:rPr>
        <w:t>»</w:t>
      </w:r>
      <w:r w:rsidR="001C4006" w:rsidRPr="00AA7DF5">
        <w:rPr>
          <w:b/>
          <w:szCs w:val="24"/>
          <w:lang w:eastAsia="en-US"/>
        </w:rPr>
        <w:t xml:space="preserve"> [Alt. 138]</w:t>
      </w:r>
    </w:p>
    <w:p w14:paraId="563C84A9" w14:textId="77777777" w:rsidR="001C4006" w:rsidRPr="00AA7DF5" w:rsidRDefault="001C4006">
      <w:pPr>
        <w:widowControl/>
        <w:rPr>
          <w:szCs w:val="24"/>
          <w:lang w:eastAsia="en-US"/>
        </w:rPr>
      </w:pPr>
      <w:r w:rsidRPr="00AA7DF5">
        <w:rPr>
          <w:szCs w:val="24"/>
          <w:lang w:eastAsia="en-US"/>
        </w:rPr>
        <w:br w:type="page"/>
      </w:r>
    </w:p>
    <w:p w14:paraId="65F915EF" w14:textId="50D9FFF0"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9)</w:t>
      </w:r>
      <w:r w:rsidRPr="00AA7DF5">
        <w:rPr>
          <w:szCs w:val="24"/>
          <w:lang w:eastAsia="en-US"/>
        </w:rPr>
        <w:tab/>
        <w:t>O artigo 10.º é suprimido;</w:t>
      </w:r>
    </w:p>
    <w:p w14:paraId="1FCB6B96"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10)</w:t>
      </w:r>
      <w:r w:rsidRPr="00AA7DF5">
        <w:rPr>
          <w:szCs w:val="24"/>
          <w:lang w:eastAsia="en-US"/>
        </w:rPr>
        <w:tab/>
        <w:t>O anexo I é alterado em conformidade com o anexo V da presente diretiva;</w:t>
      </w:r>
    </w:p>
    <w:p w14:paraId="59EB1356"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11)</w:t>
      </w:r>
      <w:r w:rsidRPr="00AA7DF5">
        <w:rPr>
          <w:szCs w:val="24"/>
          <w:lang w:eastAsia="en-US"/>
        </w:rPr>
        <w:tab/>
        <w:t>É aditado o anexo II conforme consta do anexo VI da presente diretiva.</w:t>
      </w:r>
    </w:p>
    <w:p w14:paraId="2A51ACC6" w14:textId="77777777" w:rsidR="002E0FC5" w:rsidRPr="00AA7DF5" w:rsidRDefault="002E0FC5" w:rsidP="002E0FC5">
      <w:pPr>
        <w:spacing w:before="120" w:after="120" w:line="360" w:lineRule="auto"/>
        <w:jc w:val="center"/>
        <w:rPr>
          <w:szCs w:val="24"/>
          <w:lang w:eastAsia="en-US"/>
        </w:rPr>
      </w:pPr>
      <w:r w:rsidRPr="00AA7DF5">
        <w:rPr>
          <w:szCs w:val="24"/>
          <w:lang w:eastAsia="en-US"/>
        </w:rPr>
        <w:t>Artigo 4.º</w:t>
      </w:r>
    </w:p>
    <w:p w14:paraId="1A5DFC4D"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Os Estados-Membros devem pôr em vigor, até [Serviço das Publicações: inserir a data correspondente ao primeiro dia do mês iniciado 18 meses após a data de entrada em vigor da presente diretiva], as disposições legislativas, regulamentares e administrativas necessárias para dar cumprimento à presente diretiva.</w:t>
      </w:r>
    </w:p>
    <w:p w14:paraId="22A4DDAE"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w:t>
      </w:r>
      <w:r w:rsidRPr="00AA7DF5">
        <w:rPr>
          <w:szCs w:val="24"/>
          <w:lang w:eastAsia="en-US"/>
        </w:rPr>
        <w:tab/>
        <w:t>Os Estados-Membros devem comunicar imediatamente à Comissão o texto dessas disposições. As disposições adotadas pelos Estados-Membros devem fazer referência à presente diretiva ou ser acompanhadas dessa referência aquando da sua publicação oficial. Os Estados-Membros estabelecem o modo como deve ser feita a referência. Os Estados-Membros devem comunicar à Comissão o texto das principais disposições de direito interno que adotarem no domínio abrangido pela presente diretiva.</w:t>
      </w:r>
    </w:p>
    <w:p w14:paraId="51142784" w14:textId="77777777" w:rsidR="00F34638" w:rsidRPr="00AA7DF5" w:rsidRDefault="00F34638">
      <w:pPr>
        <w:widowControl/>
        <w:rPr>
          <w:szCs w:val="24"/>
          <w:lang w:eastAsia="en-US"/>
        </w:rPr>
      </w:pPr>
      <w:r w:rsidRPr="00AA7DF5">
        <w:rPr>
          <w:szCs w:val="24"/>
          <w:lang w:eastAsia="en-US"/>
        </w:rPr>
        <w:br w:type="page"/>
      </w:r>
    </w:p>
    <w:p w14:paraId="29D92F88" w14:textId="04F89FB9" w:rsidR="002E0FC5" w:rsidRPr="00AA7DF5" w:rsidRDefault="002E0FC5" w:rsidP="002E0FC5">
      <w:pPr>
        <w:spacing w:before="120" w:after="120" w:line="360" w:lineRule="auto"/>
        <w:jc w:val="center"/>
        <w:rPr>
          <w:szCs w:val="24"/>
          <w:lang w:eastAsia="en-US"/>
        </w:rPr>
      </w:pPr>
      <w:r w:rsidRPr="00AA7DF5">
        <w:rPr>
          <w:szCs w:val="24"/>
          <w:lang w:eastAsia="en-US"/>
        </w:rPr>
        <w:lastRenderedPageBreak/>
        <w:t>Artigo 5.º</w:t>
      </w:r>
    </w:p>
    <w:p w14:paraId="0C014DA6" w14:textId="77777777" w:rsidR="002E0FC5" w:rsidRPr="00AA7DF5" w:rsidRDefault="002E0FC5" w:rsidP="002E0FC5">
      <w:pPr>
        <w:spacing w:before="120" w:after="120" w:line="360" w:lineRule="auto"/>
        <w:rPr>
          <w:szCs w:val="24"/>
          <w:lang w:eastAsia="en-US"/>
        </w:rPr>
      </w:pPr>
      <w:r w:rsidRPr="00AA7DF5">
        <w:rPr>
          <w:szCs w:val="24"/>
          <w:lang w:eastAsia="en-US"/>
        </w:rPr>
        <w:t xml:space="preserve">A presente diretiva entra em vigor no vigésimo dia seguinte ao da sua publicação no </w:t>
      </w:r>
      <w:r w:rsidRPr="00AA7DF5">
        <w:rPr>
          <w:i/>
          <w:szCs w:val="24"/>
          <w:lang w:eastAsia="en-US"/>
        </w:rPr>
        <w:t>Jornal Oficial da União Europeia</w:t>
      </w:r>
      <w:r w:rsidRPr="00AA7DF5">
        <w:rPr>
          <w:szCs w:val="24"/>
          <w:lang w:eastAsia="en-US"/>
        </w:rPr>
        <w:t>.</w:t>
      </w:r>
    </w:p>
    <w:p w14:paraId="290C9998" w14:textId="77777777" w:rsidR="002E0FC5" w:rsidRPr="00AA7DF5" w:rsidRDefault="002E0FC5" w:rsidP="002E0FC5">
      <w:pPr>
        <w:spacing w:before="120" w:after="120" w:line="360" w:lineRule="auto"/>
        <w:jc w:val="center"/>
        <w:rPr>
          <w:szCs w:val="24"/>
          <w:lang w:eastAsia="en-US"/>
        </w:rPr>
      </w:pPr>
      <w:r w:rsidRPr="00AA7DF5">
        <w:rPr>
          <w:szCs w:val="24"/>
          <w:lang w:eastAsia="en-US"/>
        </w:rPr>
        <w:t>Artigo 6.º</w:t>
      </w:r>
    </w:p>
    <w:p w14:paraId="636D3036" w14:textId="77777777" w:rsidR="002E0FC5" w:rsidRPr="00AA7DF5" w:rsidRDefault="002E0FC5" w:rsidP="002E0FC5">
      <w:pPr>
        <w:spacing w:before="120" w:after="120" w:line="360" w:lineRule="auto"/>
        <w:rPr>
          <w:szCs w:val="24"/>
          <w:lang w:eastAsia="en-US"/>
        </w:rPr>
      </w:pPr>
      <w:r w:rsidRPr="00AA7DF5">
        <w:rPr>
          <w:szCs w:val="24"/>
          <w:lang w:eastAsia="en-US"/>
        </w:rPr>
        <w:t>Os destinatários da presente diretiva são os Estados-Membros.</w:t>
      </w:r>
    </w:p>
    <w:p w14:paraId="6EDF7935" w14:textId="4894839A" w:rsidR="002E0FC5" w:rsidRPr="00AA7DF5" w:rsidRDefault="002E0FC5" w:rsidP="002E0FC5">
      <w:pPr>
        <w:keepNext/>
        <w:widowControl/>
        <w:spacing w:before="120" w:line="360" w:lineRule="auto"/>
        <w:rPr>
          <w:szCs w:val="24"/>
          <w:lang w:eastAsia="en-US"/>
        </w:rPr>
      </w:pPr>
      <w:r w:rsidRPr="00AA7DF5">
        <w:rPr>
          <w:szCs w:val="24"/>
          <w:lang w:eastAsia="en-US"/>
        </w:rPr>
        <w:t xml:space="preserve">Feito em </w:t>
      </w:r>
      <w:r w:rsidR="00D003AA">
        <w:rPr>
          <w:szCs w:val="24"/>
          <w:lang w:eastAsia="en-US"/>
        </w:rPr>
        <w:t>…</w:t>
      </w:r>
      <w:r w:rsidRPr="00AA7DF5">
        <w:rPr>
          <w:szCs w:val="24"/>
          <w:lang w:eastAsia="en-US"/>
        </w:rPr>
        <w:t>, em</w:t>
      </w:r>
    </w:p>
    <w:p w14:paraId="0E39CE2F" w14:textId="77777777" w:rsidR="002E0FC5" w:rsidRPr="00AA7DF5" w:rsidRDefault="002E0FC5" w:rsidP="002E0FC5">
      <w:pPr>
        <w:keepNext/>
        <w:widowControl/>
        <w:tabs>
          <w:tab w:val="left" w:pos="4252"/>
        </w:tabs>
        <w:spacing w:before="720" w:after="100" w:line="360" w:lineRule="auto"/>
        <w:jc w:val="both"/>
        <w:rPr>
          <w:i/>
          <w:szCs w:val="24"/>
          <w:lang w:eastAsia="en-US"/>
        </w:rPr>
      </w:pPr>
      <w:r w:rsidRPr="00AA7DF5">
        <w:rPr>
          <w:i/>
          <w:szCs w:val="24"/>
          <w:lang w:eastAsia="en-US"/>
        </w:rPr>
        <w:t>Pelo Parlamento Europeu</w:t>
      </w:r>
      <w:r w:rsidRPr="00AA7DF5">
        <w:rPr>
          <w:i/>
          <w:szCs w:val="24"/>
          <w:lang w:eastAsia="en-US"/>
        </w:rPr>
        <w:tab/>
        <w:t>Pelo Conselho</w:t>
      </w:r>
    </w:p>
    <w:p w14:paraId="5AA79227" w14:textId="77777777" w:rsidR="002E0FC5" w:rsidRPr="00AA7DF5" w:rsidRDefault="002E0FC5" w:rsidP="002E0FC5">
      <w:pPr>
        <w:widowControl/>
        <w:tabs>
          <w:tab w:val="left" w:pos="4252"/>
        </w:tabs>
        <w:spacing w:line="360" w:lineRule="auto"/>
        <w:rPr>
          <w:i/>
          <w:szCs w:val="24"/>
          <w:lang w:eastAsia="en-US"/>
        </w:rPr>
      </w:pPr>
      <w:r w:rsidRPr="00AA7DF5">
        <w:rPr>
          <w:i/>
          <w:szCs w:val="24"/>
          <w:lang w:eastAsia="en-US"/>
        </w:rPr>
        <w:t>A Presidente</w:t>
      </w:r>
      <w:r w:rsidRPr="00AA7DF5">
        <w:rPr>
          <w:i/>
          <w:szCs w:val="24"/>
          <w:lang w:eastAsia="en-US"/>
        </w:rPr>
        <w:tab/>
        <w:t>O Presidente</w:t>
      </w:r>
    </w:p>
    <w:p w14:paraId="699EBB08" w14:textId="77777777" w:rsidR="002E0FC5" w:rsidRPr="00AA7DF5" w:rsidRDefault="002E0FC5" w:rsidP="002E0FC5">
      <w:pPr>
        <w:spacing w:before="120" w:after="120" w:line="360" w:lineRule="auto"/>
        <w:rPr>
          <w:szCs w:val="24"/>
          <w:lang w:eastAsia="en-US"/>
        </w:rPr>
        <w:sectPr w:rsidR="002E0FC5" w:rsidRPr="00AA7DF5">
          <w:footerReference w:type="even" r:id="rId9"/>
          <w:footerReference w:type="first" r:id="rId10"/>
          <w:footnotePr>
            <w:numRestart w:val="eachSect"/>
          </w:footnotePr>
          <w:endnotePr>
            <w:numFmt w:val="decimal"/>
          </w:endnotePr>
          <w:pgSz w:w="11909" w:h="16834"/>
          <w:pgMar w:top="1134" w:right="1417" w:bottom="1417" w:left="1417" w:header="1134" w:footer="567" w:gutter="0"/>
          <w:cols w:space="720"/>
        </w:sectPr>
      </w:pPr>
    </w:p>
    <w:p w14:paraId="097A0C15" w14:textId="77777777" w:rsidR="002E0FC5" w:rsidRPr="00AA7DF5" w:rsidRDefault="002E0FC5" w:rsidP="002E0FC5">
      <w:pPr>
        <w:spacing w:before="120" w:after="120" w:line="360" w:lineRule="auto"/>
        <w:jc w:val="center"/>
        <w:rPr>
          <w:lang w:eastAsia="en-US"/>
        </w:rPr>
      </w:pPr>
      <w:r w:rsidRPr="00AA7DF5">
        <w:rPr>
          <w:lang w:eastAsia="en-US"/>
        </w:rPr>
        <w:lastRenderedPageBreak/>
        <w:t>ANEXO I</w:t>
      </w:r>
    </w:p>
    <w:p w14:paraId="2A2E43DE" w14:textId="77777777" w:rsidR="002E0FC5" w:rsidRPr="00AA7DF5" w:rsidRDefault="002E0FC5" w:rsidP="002E0FC5">
      <w:pPr>
        <w:spacing w:before="120" w:after="120" w:line="360" w:lineRule="auto"/>
        <w:rPr>
          <w:szCs w:val="24"/>
          <w:lang w:eastAsia="en-US"/>
        </w:rPr>
      </w:pPr>
      <w:r w:rsidRPr="00AA7DF5">
        <w:rPr>
          <w:szCs w:val="24"/>
          <w:lang w:eastAsia="en-US"/>
        </w:rPr>
        <w:t>O anexo V da Diretiva 2000/60/CE é alterado do seguinte modo:</w:t>
      </w:r>
    </w:p>
    <w:p w14:paraId="4BEE6501"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Os pontos 1.1.1 a 1.1.4 passam a ter a seguinte redação:</w:t>
      </w:r>
    </w:p>
    <w:p w14:paraId="13A5AA89"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«1.1.1.</w:t>
      </w:r>
      <w:r w:rsidRPr="00AA7DF5">
        <w:rPr>
          <w:szCs w:val="24"/>
          <w:lang w:eastAsia="en-US"/>
        </w:rPr>
        <w:tab/>
        <w:t>«Rios</w:t>
      </w:r>
    </w:p>
    <w:p w14:paraId="558C1512"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biológicos</w:t>
      </w:r>
    </w:p>
    <w:p w14:paraId="7A11426E"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da flora aquática</w:t>
      </w:r>
    </w:p>
    <w:p w14:paraId="032E6F93"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dos invertebrados bentónicos</w:t>
      </w:r>
    </w:p>
    <w:p w14:paraId="277B0663"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abundância e estrutura etária da fauna piscícola</w:t>
      </w:r>
    </w:p>
    <w:p w14:paraId="35B0CF59" w14:textId="77777777" w:rsidR="002E0FC5" w:rsidRPr="00AA7DF5" w:rsidRDefault="002E0FC5" w:rsidP="002E0FC5">
      <w:pPr>
        <w:spacing w:before="120" w:after="120" w:line="360" w:lineRule="auto"/>
        <w:ind w:left="1416"/>
        <w:rPr>
          <w:szCs w:val="24"/>
          <w:lang w:eastAsia="en-US"/>
        </w:rPr>
      </w:pPr>
      <w:r w:rsidRPr="00AA7DF5">
        <w:rPr>
          <w:szCs w:val="24"/>
          <w:lang w:eastAsia="en-US"/>
        </w:rPr>
        <w:t xml:space="preserve">Elementos </w:t>
      </w:r>
      <w:proofErr w:type="spellStart"/>
      <w:r w:rsidRPr="00AA7DF5">
        <w:rPr>
          <w:szCs w:val="24"/>
          <w:lang w:eastAsia="en-US"/>
        </w:rPr>
        <w:t>hidromorfológicos</w:t>
      </w:r>
      <w:proofErr w:type="spellEnd"/>
      <w:r w:rsidRPr="00AA7DF5">
        <w:rPr>
          <w:szCs w:val="24"/>
          <w:lang w:eastAsia="en-US"/>
        </w:rPr>
        <w:t xml:space="preserve"> de suporte dos elementos biológicos</w:t>
      </w:r>
    </w:p>
    <w:p w14:paraId="5B0F4978" w14:textId="77777777" w:rsidR="002E0FC5" w:rsidRPr="00AA7DF5" w:rsidRDefault="002E0FC5" w:rsidP="002E0FC5">
      <w:pPr>
        <w:spacing w:before="120" w:after="120" w:line="360" w:lineRule="auto"/>
        <w:ind w:left="850"/>
        <w:rPr>
          <w:szCs w:val="24"/>
          <w:lang w:eastAsia="en-US"/>
        </w:rPr>
      </w:pPr>
      <w:r w:rsidRPr="00AA7DF5">
        <w:rPr>
          <w:szCs w:val="24"/>
          <w:lang w:eastAsia="en-US"/>
        </w:rPr>
        <w:t>Regime hidrológico</w:t>
      </w:r>
    </w:p>
    <w:p w14:paraId="74826D03" w14:textId="77777777" w:rsidR="002E0FC5" w:rsidRPr="00AA7DF5" w:rsidRDefault="002E0FC5" w:rsidP="002E0FC5">
      <w:pPr>
        <w:spacing w:before="120" w:after="120" w:line="360" w:lineRule="auto"/>
        <w:ind w:left="1416"/>
        <w:rPr>
          <w:szCs w:val="24"/>
          <w:lang w:eastAsia="en-US"/>
        </w:rPr>
      </w:pPr>
      <w:r w:rsidRPr="00AA7DF5">
        <w:rPr>
          <w:szCs w:val="24"/>
          <w:lang w:eastAsia="en-US"/>
        </w:rPr>
        <w:t>caudais e condições de escoamento</w:t>
      </w:r>
    </w:p>
    <w:p w14:paraId="4A9D05EC" w14:textId="77777777" w:rsidR="002E0FC5" w:rsidRPr="00AA7DF5" w:rsidRDefault="002E0FC5" w:rsidP="002E0FC5">
      <w:pPr>
        <w:spacing w:before="120" w:after="120" w:line="360" w:lineRule="auto"/>
        <w:ind w:left="1416"/>
        <w:rPr>
          <w:szCs w:val="24"/>
          <w:lang w:eastAsia="en-US"/>
        </w:rPr>
      </w:pPr>
      <w:r w:rsidRPr="00AA7DF5">
        <w:rPr>
          <w:szCs w:val="24"/>
          <w:lang w:eastAsia="en-US"/>
        </w:rPr>
        <w:t>ligação a massas de águas subterrâneas</w:t>
      </w:r>
    </w:p>
    <w:p w14:paraId="04F91610" w14:textId="77777777" w:rsidR="002E0FC5" w:rsidRPr="00AA7DF5" w:rsidRDefault="002E0FC5" w:rsidP="002E0FC5">
      <w:pPr>
        <w:spacing w:before="120" w:after="120" w:line="360" w:lineRule="auto"/>
        <w:ind w:left="1416"/>
        <w:rPr>
          <w:szCs w:val="24"/>
          <w:lang w:eastAsia="en-US"/>
        </w:rPr>
      </w:pPr>
      <w:r w:rsidRPr="00AA7DF5">
        <w:rPr>
          <w:szCs w:val="24"/>
          <w:lang w:eastAsia="en-US"/>
        </w:rPr>
        <w:t>Continuidade do rio</w:t>
      </w:r>
    </w:p>
    <w:p w14:paraId="3DE57964" w14:textId="77777777" w:rsidR="009153E2" w:rsidRPr="00AA7DF5" w:rsidRDefault="009153E2">
      <w:pPr>
        <w:widowControl/>
        <w:rPr>
          <w:szCs w:val="24"/>
          <w:lang w:eastAsia="en-US"/>
        </w:rPr>
      </w:pPr>
      <w:r w:rsidRPr="00AA7DF5">
        <w:rPr>
          <w:szCs w:val="24"/>
          <w:lang w:eastAsia="en-US"/>
        </w:rPr>
        <w:br w:type="page"/>
      </w:r>
    </w:p>
    <w:p w14:paraId="62D029CB" w14:textId="447B0116" w:rsidR="002E0FC5" w:rsidRPr="00AA7DF5" w:rsidRDefault="002E0FC5" w:rsidP="002E0FC5">
      <w:pPr>
        <w:spacing w:before="120" w:after="120" w:line="360" w:lineRule="auto"/>
        <w:ind w:left="850"/>
        <w:rPr>
          <w:szCs w:val="24"/>
          <w:lang w:eastAsia="en-US"/>
        </w:rPr>
      </w:pPr>
      <w:r w:rsidRPr="00AA7DF5">
        <w:rPr>
          <w:szCs w:val="24"/>
          <w:lang w:eastAsia="en-US"/>
        </w:rPr>
        <w:lastRenderedPageBreak/>
        <w:t>Condições morfológicas</w:t>
      </w:r>
    </w:p>
    <w:p w14:paraId="66E0439C" w14:textId="77777777" w:rsidR="002E0FC5" w:rsidRPr="00AA7DF5" w:rsidRDefault="002E0FC5" w:rsidP="002E0FC5">
      <w:pPr>
        <w:spacing w:before="120" w:after="120" w:line="360" w:lineRule="auto"/>
        <w:ind w:left="1416"/>
        <w:rPr>
          <w:szCs w:val="24"/>
          <w:lang w:eastAsia="en-US"/>
        </w:rPr>
      </w:pPr>
      <w:r w:rsidRPr="00AA7DF5">
        <w:rPr>
          <w:szCs w:val="24"/>
          <w:lang w:eastAsia="en-US"/>
        </w:rPr>
        <w:t>variação da profundidade e largura do rio</w:t>
      </w:r>
    </w:p>
    <w:p w14:paraId="448EA2F8" w14:textId="77777777" w:rsidR="002E0FC5" w:rsidRPr="00AA7DF5" w:rsidRDefault="002E0FC5" w:rsidP="002E0FC5">
      <w:pPr>
        <w:spacing w:before="120" w:after="120" w:line="360" w:lineRule="auto"/>
        <w:ind w:left="1416"/>
        <w:rPr>
          <w:szCs w:val="24"/>
          <w:lang w:eastAsia="en-US"/>
        </w:rPr>
      </w:pPr>
      <w:r w:rsidRPr="00AA7DF5">
        <w:rPr>
          <w:szCs w:val="24"/>
          <w:lang w:eastAsia="en-US"/>
        </w:rPr>
        <w:t>estrutura e substrato do leito do rio</w:t>
      </w:r>
    </w:p>
    <w:p w14:paraId="2F0EE221" w14:textId="77777777" w:rsidR="002E0FC5" w:rsidRPr="00AA7DF5" w:rsidRDefault="002E0FC5" w:rsidP="002E0FC5">
      <w:pPr>
        <w:spacing w:before="120" w:after="120" w:line="360" w:lineRule="auto"/>
        <w:ind w:left="1416"/>
        <w:rPr>
          <w:szCs w:val="24"/>
          <w:lang w:eastAsia="en-US"/>
        </w:rPr>
      </w:pPr>
      <w:r w:rsidRPr="00AA7DF5">
        <w:rPr>
          <w:szCs w:val="24"/>
          <w:lang w:eastAsia="en-US"/>
        </w:rPr>
        <w:t>estrutura da zona ripícola</w:t>
      </w:r>
    </w:p>
    <w:p w14:paraId="6905E440"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físico-químicos gerais de suporte dos elementos biológicos</w:t>
      </w:r>
    </w:p>
    <w:p w14:paraId="22126A68"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térmicas</w:t>
      </w:r>
    </w:p>
    <w:p w14:paraId="3788D4A0"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de oxigenação</w:t>
      </w:r>
    </w:p>
    <w:p w14:paraId="1751C47C" w14:textId="77777777" w:rsidR="002E0FC5" w:rsidRPr="00AA7DF5" w:rsidRDefault="002E0FC5" w:rsidP="002E0FC5">
      <w:pPr>
        <w:spacing w:before="120" w:after="120" w:line="360" w:lineRule="auto"/>
        <w:ind w:left="1416"/>
        <w:rPr>
          <w:szCs w:val="24"/>
          <w:lang w:eastAsia="en-US"/>
        </w:rPr>
      </w:pPr>
      <w:r w:rsidRPr="00AA7DF5">
        <w:rPr>
          <w:szCs w:val="24"/>
          <w:lang w:eastAsia="en-US"/>
        </w:rPr>
        <w:t>Salinidade</w:t>
      </w:r>
    </w:p>
    <w:p w14:paraId="36EB9207" w14:textId="77777777" w:rsidR="002E0FC5" w:rsidRPr="00AA7DF5" w:rsidRDefault="002E0FC5" w:rsidP="002E0FC5">
      <w:pPr>
        <w:spacing w:before="120" w:after="120" w:line="360" w:lineRule="auto"/>
        <w:ind w:left="1416"/>
        <w:rPr>
          <w:szCs w:val="24"/>
          <w:lang w:eastAsia="en-US"/>
        </w:rPr>
      </w:pPr>
      <w:r w:rsidRPr="00AA7DF5">
        <w:rPr>
          <w:szCs w:val="24"/>
          <w:lang w:eastAsia="en-US"/>
        </w:rPr>
        <w:t>Estado de acidificação</w:t>
      </w:r>
    </w:p>
    <w:p w14:paraId="064DED3D"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relativas aos nutrientes</w:t>
      </w:r>
    </w:p>
    <w:p w14:paraId="7692F6B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1.1.2.</w:t>
      </w:r>
      <w:r w:rsidRPr="00AA7DF5">
        <w:rPr>
          <w:szCs w:val="24"/>
          <w:lang w:eastAsia="en-US"/>
        </w:rPr>
        <w:tab/>
        <w:t xml:space="preserve"> Lagos</w:t>
      </w:r>
    </w:p>
    <w:p w14:paraId="7F0F4468"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biológicos</w:t>
      </w:r>
    </w:p>
    <w:p w14:paraId="5FE268E3" w14:textId="77777777" w:rsidR="009153E2" w:rsidRPr="00AA7DF5" w:rsidRDefault="009153E2">
      <w:pPr>
        <w:widowControl/>
        <w:rPr>
          <w:szCs w:val="24"/>
          <w:lang w:eastAsia="en-US"/>
        </w:rPr>
      </w:pPr>
      <w:r w:rsidRPr="00AA7DF5">
        <w:rPr>
          <w:szCs w:val="24"/>
          <w:lang w:eastAsia="en-US"/>
        </w:rPr>
        <w:br w:type="page"/>
      </w:r>
    </w:p>
    <w:p w14:paraId="07C05514" w14:textId="276EC759" w:rsidR="002E0FC5" w:rsidRPr="00AA7DF5" w:rsidRDefault="002E0FC5" w:rsidP="002E0FC5">
      <w:pPr>
        <w:spacing w:before="120" w:after="120" w:line="360" w:lineRule="auto"/>
        <w:ind w:left="1416"/>
        <w:rPr>
          <w:szCs w:val="24"/>
          <w:lang w:eastAsia="en-US"/>
        </w:rPr>
      </w:pPr>
      <w:r w:rsidRPr="00AA7DF5">
        <w:rPr>
          <w:szCs w:val="24"/>
          <w:lang w:eastAsia="en-US"/>
        </w:rPr>
        <w:lastRenderedPageBreak/>
        <w:t>Composição, abundância e biomassa do fitoplâncton</w:t>
      </w:r>
    </w:p>
    <w:p w14:paraId="788C8726"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da restante flora aquática</w:t>
      </w:r>
    </w:p>
    <w:p w14:paraId="4229C76C"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dos invertebrados bentónicos</w:t>
      </w:r>
    </w:p>
    <w:p w14:paraId="57D45592"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abundância e estrutura etária da fauna piscícola</w:t>
      </w:r>
    </w:p>
    <w:p w14:paraId="07E3ABFE" w14:textId="77777777" w:rsidR="002E0FC5" w:rsidRPr="00AA7DF5" w:rsidRDefault="002E0FC5" w:rsidP="002E0FC5">
      <w:pPr>
        <w:spacing w:before="120" w:after="120" w:line="360" w:lineRule="auto"/>
        <w:ind w:left="1416"/>
        <w:rPr>
          <w:szCs w:val="24"/>
          <w:lang w:eastAsia="en-US"/>
        </w:rPr>
      </w:pPr>
      <w:r w:rsidRPr="00AA7DF5">
        <w:rPr>
          <w:szCs w:val="24"/>
          <w:lang w:eastAsia="en-US"/>
        </w:rPr>
        <w:t xml:space="preserve">Elementos </w:t>
      </w:r>
      <w:proofErr w:type="spellStart"/>
      <w:r w:rsidRPr="00AA7DF5">
        <w:rPr>
          <w:szCs w:val="24"/>
          <w:lang w:eastAsia="en-US"/>
        </w:rPr>
        <w:t>hidromorfológicos</w:t>
      </w:r>
      <w:proofErr w:type="spellEnd"/>
      <w:r w:rsidRPr="00AA7DF5">
        <w:rPr>
          <w:szCs w:val="24"/>
          <w:lang w:eastAsia="en-US"/>
        </w:rPr>
        <w:t xml:space="preserve"> de suporte dos elementos biológicos</w:t>
      </w:r>
    </w:p>
    <w:p w14:paraId="4449DC9B" w14:textId="77777777" w:rsidR="002E0FC5" w:rsidRPr="00AA7DF5" w:rsidRDefault="002E0FC5" w:rsidP="002E0FC5">
      <w:pPr>
        <w:spacing w:before="120" w:after="120" w:line="360" w:lineRule="auto"/>
        <w:ind w:left="850"/>
        <w:rPr>
          <w:szCs w:val="24"/>
          <w:lang w:eastAsia="en-US"/>
        </w:rPr>
      </w:pPr>
      <w:r w:rsidRPr="00AA7DF5">
        <w:rPr>
          <w:szCs w:val="24"/>
          <w:lang w:eastAsia="en-US"/>
        </w:rPr>
        <w:t>Regime hidrológico</w:t>
      </w:r>
    </w:p>
    <w:p w14:paraId="60A0FC06" w14:textId="77777777" w:rsidR="002E0FC5" w:rsidRPr="00AA7DF5" w:rsidRDefault="002E0FC5" w:rsidP="002E0FC5">
      <w:pPr>
        <w:spacing w:before="120" w:after="120" w:line="360" w:lineRule="auto"/>
        <w:ind w:left="1416"/>
        <w:rPr>
          <w:szCs w:val="24"/>
          <w:lang w:eastAsia="en-US"/>
        </w:rPr>
      </w:pPr>
      <w:r w:rsidRPr="00AA7DF5">
        <w:rPr>
          <w:szCs w:val="24"/>
          <w:lang w:eastAsia="en-US"/>
        </w:rPr>
        <w:t>caudais e condições de escoamento</w:t>
      </w:r>
    </w:p>
    <w:p w14:paraId="1AF16A98" w14:textId="77777777" w:rsidR="002E0FC5" w:rsidRPr="00AA7DF5" w:rsidRDefault="002E0FC5" w:rsidP="002E0FC5">
      <w:pPr>
        <w:spacing w:before="120" w:after="120" w:line="360" w:lineRule="auto"/>
        <w:ind w:left="1416"/>
        <w:rPr>
          <w:szCs w:val="24"/>
          <w:lang w:eastAsia="en-US"/>
        </w:rPr>
      </w:pPr>
      <w:r w:rsidRPr="00AA7DF5">
        <w:rPr>
          <w:szCs w:val="24"/>
          <w:lang w:eastAsia="en-US"/>
        </w:rPr>
        <w:t>tempo de residência</w:t>
      </w:r>
    </w:p>
    <w:p w14:paraId="3A92F8B9" w14:textId="77777777" w:rsidR="002E0FC5" w:rsidRPr="00AA7DF5" w:rsidRDefault="002E0FC5" w:rsidP="002E0FC5">
      <w:pPr>
        <w:spacing w:before="120" w:after="120" w:line="360" w:lineRule="auto"/>
        <w:ind w:left="1416"/>
        <w:rPr>
          <w:szCs w:val="24"/>
          <w:lang w:eastAsia="en-US"/>
        </w:rPr>
      </w:pPr>
      <w:r w:rsidRPr="00AA7DF5">
        <w:rPr>
          <w:szCs w:val="24"/>
          <w:lang w:eastAsia="en-US"/>
        </w:rPr>
        <w:t>ligação a massas de águas subterrâneas</w:t>
      </w:r>
    </w:p>
    <w:p w14:paraId="335CB131" w14:textId="77777777" w:rsidR="002E0FC5" w:rsidRPr="00AA7DF5" w:rsidRDefault="002E0FC5" w:rsidP="002E0FC5">
      <w:pPr>
        <w:spacing w:before="120" w:after="120" w:line="360" w:lineRule="auto"/>
        <w:ind w:left="850"/>
        <w:rPr>
          <w:szCs w:val="24"/>
          <w:lang w:eastAsia="en-US"/>
        </w:rPr>
      </w:pPr>
      <w:r w:rsidRPr="00AA7DF5">
        <w:rPr>
          <w:szCs w:val="24"/>
          <w:lang w:eastAsia="en-US"/>
        </w:rPr>
        <w:t>Condições morfológicas</w:t>
      </w:r>
    </w:p>
    <w:p w14:paraId="0606726E" w14:textId="77777777" w:rsidR="002E0FC5" w:rsidRPr="00AA7DF5" w:rsidRDefault="002E0FC5" w:rsidP="002E0FC5">
      <w:pPr>
        <w:spacing w:before="120" w:after="120" w:line="360" w:lineRule="auto"/>
        <w:ind w:left="1416"/>
        <w:rPr>
          <w:szCs w:val="24"/>
          <w:lang w:eastAsia="en-US"/>
        </w:rPr>
      </w:pPr>
      <w:r w:rsidRPr="00AA7DF5">
        <w:rPr>
          <w:szCs w:val="24"/>
          <w:lang w:eastAsia="en-US"/>
        </w:rPr>
        <w:t>variação da profundidade do lago</w:t>
      </w:r>
    </w:p>
    <w:p w14:paraId="4060A055" w14:textId="77777777" w:rsidR="002E0FC5" w:rsidRPr="00AA7DF5" w:rsidRDefault="002E0FC5" w:rsidP="002E0FC5">
      <w:pPr>
        <w:spacing w:before="120" w:after="120" w:line="360" w:lineRule="auto"/>
        <w:ind w:left="1416"/>
        <w:rPr>
          <w:szCs w:val="24"/>
          <w:lang w:eastAsia="en-US"/>
        </w:rPr>
      </w:pPr>
      <w:r w:rsidRPr="00AA7DF5">
        <w:rPr>
          <w:szCs w:val="24"/>
          <w:lang w:eastAsia="en-US"/>
        </w:rPr>
        <w:t>quantidade, estrutura e substrato do leito do lago</w:t>
      </w:r>
    </w:p>
    <w:p w14:paraId="55F3A376" w14:textId="77777777" w:rsidR="002E0FC5" w:rsidRPr="00AA7DF5" w:rsidRDefault="002E0FC5" w:rsidP="002E0FC5">
      <w:pPr>
        <w:spacing w:before="120" w:after="120" w:line="360" w:lineRule="auto"/>
        <w:ind w:left="1416"/>
        <w:rPr>
          <w:szCs w:val="24"/>
          <w:lang w:eastAsia="en-US"/>
        </w:rPr>
      </w:pPr>
      <w:r w:rsidRPr="00AA7DF5">
        <w:rPr>
          <w:szCs w:val="24"/>
          <w:lang w:eastAsia="en-US"/>
        </w:rPr>
        <w:t>estrutura das margens do lago</w:t>
      </w:r>
    </w:p>
    <w:p w14:paraId="7A4DD118" w14:textId="77777777" w:rsidR="009153E2" w:rsidRPr="00AA7DF5" w:rsidRDefault="009153E2">
      <w:pPr>
        <w:widowControl/>
        <w:rPr>
          <w:szCs w:val="24"/>
          <w:lang w:eastAsia="en-US"/>
        </w:rPr>
      </w:pPr>
      <w:r w:rsidRPr="00AA7DF5">
        <w:rPr>
          <w:szCs w:val="24"/>
          <w:lang w:eastAsia="en-US"/>
        </w:rPr>
        <w:br w:type="page"/>
      </w:r>
    </w:p>
    <w:p w14:paraId="7ED2C3C0" w14:textId="0BDEB837" w:rsidR="002E0FC5" w:rsidRPr="00AA7DF5" w:rsidRDefault="002E0FC5" w:rsidP="002E0FC5">
      <w:pPr>
        <w:spacing w:before="120" w:after="120" w:line="360" w:lineRule="auto"/>
        <w:ind w:left="1416"/>
        <w:rPr>
          <w:szCs w:val="24"/>
          <w:lang w:eastAsia="en-US"/>
        </w:rPr>
      </w:pPr>
      <w:r w:rsidRPr="00AA7DF5">
        <w:rPr>
          <w:szCs w:val="24"/>
          <w:lang w:eastAsia="en-US"/>
        </w:rPr>
        <w:lastRenderedPageBreak/>
        <w:t>Elementos físico-químicos gerais de suporte dos elementos biológicos</w:t>
      </w:r>
    </w:p>
    <w:p w14:paraId="76AC8D70" w14:textId="77777777" w:rsidR="002E0FC5" w:rsidRPr="00AA7DF5" w:rsidRDefault="002E0FC5" w:rsidP="002E0FC5">
      <w:pPr>
        <w:spacing w:before="120" w:after="120" w:line="360" w:lineRule="auto"/>
        <w:ind w:left="1416"/>
        <w:rPr>
          <w:szCs w:val="24"/>
          <w:lang w:eastAsia="en-US"/>
        </w:rPr>
      </w:pPr>
      <w:r w:rsidRPr="00AA7DF5">
        <w:rPr>
          <w:szCs w:val="24"/>
          <w:lang w:eastAsia="en-US"/>
        </w:rPr>
        <w:t>Transparência</w:t>
      </w:r>
    </w:p>
    <w:p w14:paraId="54BB0915"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térmicas</w:t>
      </w:r>
    </w:p>
    <w:p w14:paraId="26584D29"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de oxigenação</w:t>
      </w:r>
    </w:p>
    <w:p w14:paraId="2494F244" w14:textId="77777777" w:rsidR="002E0FC5" w:rsidRPr="00AA7DF5" w:rsidRDefault="002E0FC5" w:rsidP="002E0FC5">
      <w:pPr>
        <w:spacing w:before="120" w:after="120" w:line="360" w:lineRule="auto"/>
        <w:ind w:left="1416"/>
        <w:rPr>
          <w:szCs w:val="24"/>
          <w:lang w:eastAsia="en-US"/>
        </w:rPr>
      </w:pPr>
      <w:r w:rsidRPr="00AA7DF5">
        <w:rPr>
          <w:szCs w:val="24"/>
          <w:lang w:eastAsia="en-US"/>
        </w:rPr>
        <w:t>Salinidade</w:t>
      </w:r>
    </w:p>
    <w:p w14:paraId="011EE26A" w14:textId="77777777" w:rsidR="002E0FC5" w:rsidRPr="00AA7DF5" w:rsidRDefault="002E0FC5" w:rsidP="002E0FC5">
      <w:pPr>
        <w:spacing w:before="120" w:after="120" w:line="360" w:lineRule="auto"/>
        <w:ind w:left="1416"/>
        <w:rPr>
          <w:szCs w:val="24"/>
          <w:lang w:eastAsia="en-US"/>
        </w:rPr>
      </w:pPr>
      <w:r w:rsidRPr="00AA7DF5">
        <w:rPr>
          <w:szCs w:val="24"/>
          <w:lang w:eastAsia="en-US"/>
        </w:rPr>
        <w:t>Estado de acidificação</w:t>
      </w:r>
    </w:p>
    <w:p w14:paraId="18E0A978"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relativas aos nutrientes</w:t>
      </w:r>
    </w:p>
    <w:p w14:paraId="7DD2137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1.1.3.</w:t>
      </w:r>
      <w:r w:rsidRPr="00AA7DF5">
        <w:rPr>
          <w:szCs w:val="24"/>
          <w:lang w:eastAsia="en-US"/>
        </w:rPr>
        <w:tab/>
        <w:t>Águas de transição</w:t>
      </w:r>
    </w:p>
    <w:p w14:paraId="7F41D4BE"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biológicos</w:t>
      </w:r>
    </w:p>
    <w:p w14:paraId="1B8B8612"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abundância e biomassa do fitoplâncton</w:t>
      </w:r>
    </w:p>
    <w:p w14:paraId="52A31C8E"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da restante flora aquática</w:t>
      </w:r>
    </w:p>
    <w:p w14:paraId="568B6061"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dos invertebrados bentónicos</w:t>
      </w:r>
    </w:p>
    <w:p w14:paraId="3BFD5F8D"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da fauna piscícola</w:t>
      </w:r>
    </w:p>
    <w:p w14:paraId="51FC4B95" w14:textId="77777777" w:rsidR="009153E2" w:rsidRPr="00AA7DF5" w:rsidRDefault="009153E2">
      <w:pPr>
        <w:widowControl/>
        <w:rPr>
          <w:szCs w:val="24"/>
          <w:lang w:eastAsia="en-US"/>
        </w:rPr>
      </w:pPr>
      <w:r w:rsidRPr="00AA7DF5">
        <w:rPr>
          <w:szCs w:val="24"/>
          <w:lang w:eastAsia="en-US"/>
        </w:rPr>
        <w:br w:type="page"/>
      </w:r>
    </w:p>
    <w:p w14:paraId="024776CC" w14:textId="165B91FD" w:rsidR="002E0FC5" w:rsidRPr="00AA7DF5" w:rsidRDefault="002E0FC5" w:rsidP="002E0FC5">
      <w:pPr>
        <w:spacing w:before="120" w:after="120" w:line="360" w:lineRule="auto"/>
        <w:ind w:left="1416"/>
        <w:rPr>
          <w:szCs w:val="24"/>
          <w:lang w:eastAsia="en-US"/>
        </w:rPr>
      </w:pPr>
      <w:r w:rsidRPr="00AA7DF5">
        <w:rPr>
          <w:szCs w:val="24"/>
          <w:lang w:eastAsia="en-US"/>
        </w:rPr>
        <w:lastRenderedPageBreak/>
        <w:t xml:space="preserve">Elementos </w:t>
      </w:r>
      <w:proofErr w:type="spellStart"/>
      <w:r w:rsidRPr="00AA7DF5">
        <w:rPr>
          <w:szCs w:val="24"/>
          <w:lang w:eastAsia="en-US"/>
        </w:rPr>
        <w:t>hidromorfológicos</w:t>
      </w:r>
      <w:proofErr w:type="spellEnd"/>
      <w:r w:rsidRPr="00AA7DF5">
        <w:rPr>
          <w:szCs w:val="24"/>
          <w:lang w:eastAsia="en-US"/>
        </w:rPr>
        <w:t xml:space="preserve"> de suporte dos elementos biológicos</w:t>
      </w:r>
    </w:p>
    <w:p w14:paraId="0AA52A08" w14:textId="77777777" w:rsidR="002E0FC5" w:rsidRPr="00AA7DF5" w:rsidRDefault="002E0FC5" w:rsidP="002E0FC5">
      <w:pPr>
        <w:spacing w:before="120" w:after="120" w:line="360" w:lineRule="auto"/>
        <w:ind w:left="850"/>
        <w:rPr>
          <w:szCs w:val="24"/>
          <w:lang w:eastAsia="en-US"/>
        </w:rPr>
      </w:pPr>
      <w:r w:rsidRPr="00AA7DF5">
        <w:rPr>
          <w:szCs w:val="24"/>
          <w:lang w:eastAsia="en-US"/>
        </w:rPr>
        <w:t>Condições morfológicas</w:t>
      </w:r>
    </w:p>
    <w:p w14:paraId="7D4A380A" w14:textId="77777777" w:rsidR="002E0FC5" w:rsidRPr="00AA7DF5" w:rsidRDefault="002E0FC5" w:rsidP="002E0FC5">
      <w:pPr>
        <w:spacing w:before="120" w:after="120" w:line="360" w:lineRule="auto"/>
        <w:ind w:left="1416"/>
        <w:rPr>
          <w:szCs w:val="24"/>
          <w:lang w:eastAsia="en-US"/>
        </w:rPr>
      </w:pPr>
      <w:r w:rsidRPr="00AA7DF5">
        <w:rPr>
          <w:szCs w:val="24"/>
          <w:lang w:eastAsia="en-US"/>
        </w:rPr>
        <w:t>variação da profundidade</w:t>
      </w:r>
    </w:p>
    <w:p w14:paraId="2354E53D" w14:textId="77777777" w:rsidR="002E0FC5" w:rsidRPr="00AA7DF5" w:rsidRDefault="002E0FC5" w:rsidP="002E0FC5">
      <w:pPr>
        <w:spacing w:before="120" w:after="120" w:line="360" w:lineRule="auto"/>
        <w:ind w:left="1416"/>
        <w:rPr>
          <w:szCs w:val="24"/>
          <w:lang w:eastAsia="en-US"/>
        </w:rPr>
      </w:pPr>
      <w:r w:rsidRPr="00AA7DF5">
        <w:rPr>
          <w:szCs w:val="24"/>
          <w:lang w:eastAsia="en-US"/>
        </w:rPr>
        <w:t>quantidade, estrutura e substrato do leito</w:t>
      </w:r>
    </w:p>
    <w:p w14:paraId="0AEB2B68" w14:textId="77777777" w:rsidR="002E0FC5" w:rsidRPr="00AA7DF5" w:rsidRDefault="002E0FC5" w:rsidP="002E0FC5">
      <w:pPr>
        <w:spacing w:before="120" w:after="120" w:line="360" w:lineRule="auto"/>
        <w:ind w:left="1416"/>
        <w:rPr>
          <w:szCs w:val="24"/>
          <w:lang w:eastAsia="en-US"/>
        </w:rPr>
      </w:pPr>
      <w:r w:rsidRPr="00AA7DF5">
        <w:rPr>
          <w:szCs w:val="24"/>
          <w:lang w:eastAsia="en-US"/>
        </w:rPr>
        <w:t xml:space="preserve">estrutura da zona </w:t>
      </w:r>
      <w:proofErr w:type="spellStart"/>
      <w:r w:rsidRPr="00AA7DF5">
        <w:rPr>
          <w:szCs w:val="24"/>
          <w:lang w:eastAsia="en-US"/>
        </w:rPr>
        <w:t>intermareal</w:t>
      </w:r>
      <w:proofErr w:type="spellEnd"/>
    </w:p>
    <w:p w14:paraId="7AECEAE0" w14:textId="77777777" w:rsidR="002E0FC5" w:rsidRPr="00AA7DF5" w:rsidRDefault="002E0FC5" w:rsidP="002E0FC5">
      <w:pPr>
        <w:spacing w:before="120" w:after="120" w:line="360" w:lineRule="auto"/>
        <w:ind w:left="850"/>
        <w:rPr>
          <w:szCs w:val="24"/>
          <w:lang w:eastAsia="en-US"/>
        </w:rPr>
      </w:pPr>
      <w:r w:rsidRPr="00AA7DF5">
        <w:rPr>
          <w:szCs w:val="24"/>
          <w:lang w:eastAsia="en-US"/>
        </w:rPr>
        <w:t>Regime de marés</w:t>
      </w:r>
    </w:p>
    <w:p w14:paraId="6DFB991F" w14:textId="77777777" w:rsidR="002E0FC5" w:rsidRPr="00AA7DF5" w:rsidRDefault="002E0FC5" w:rsidP="002E0FC5">
      <w:pPr>
        <w:spacing w:before="120" w:after="120" w:line="360" w:lineRule="auto"/>
        <w:ind w:left="1416"/>
        <w:rPr>
          <w:szCs w:val="24"/>
          <w:lang w:eastAsia="en-US"/>
        </w:rPr>
      </w:pPr>
      <w:r w:rsidRPr="00AA7DF5">
        <w:rPr>
          <w:szCs w:val="24"/>
          <w:lang w:eastAsia="en-US"/>
        </w:rPr>
        <w:t>caudal de água doce</w:t>
      </w:r>
    </w:p>
    <w:p w14:paraId="682E1CF1" w14:textId="77777777" w:rsidR="002E0FC5" w:rsidRPr="00AA7DF5" w:rsidRDefault="002E0FC5" w:rsidP="002E0FC5">
      <w:pPr>
        <w:spacing w:before="120" w:after="120" w:line="360" w:lineRule="auto"/>
        <w:ind w:left="1416"/>
        <w:rPr>
          <w:szCs w:val="24"/>
          <w:lang w:eastAsia="en-US"/>
        </w:rPr>
      </w:pPr>
      <w:r w:rsidRPr="00AA7DF5">
        <w:rPr>
          <w:szCs w:val="24"/>
          <w:lang w:eastAsia="en-US"/>
        </w:rPr>
        <w:t>exposição às vagas</w:t>
      </w:r>
    </w:p>
    <w:p w14:paraId="4C192BEE"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físico-químicos gerais de suporte dos elementos biológicos</w:t>
      </w:r>
    </w:p>
    <w:p w14:paraId="7CB73641" w14:textId="77777777" w:rsidR="002E0FC5" w:rsidRPr="00AA7DF5" w:rsidRDefault="002E0FC5" w:rsidP="002E0FC5">
      <w:pPr>
        <w:spacing w:before="120" w:after="120" w:line="360" w:lineRule="auto"/>
        <w:ind w:left="1416"/>
        <w:rPr>
          <w:szCs w:val="24"/>
          <w:lang w:eastAsia="en-US"/>
        </w:rPr>
      </w:pPr>
      <w:r w:rsidRPr="00AA7DF5">
        <w:rPr>
          <w:szCs w:val="24"/>
          <w:lang w:eastAsia="en-US"/>
        </w:rPr>
        <w:t>Transparência</w:t>
      </w:r>
    </w:p>
    <w:p w14:paraId="1BA951ED"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térmicas</w:t>
      </w:r>
    </w:p>
    <w:p w14:paraId="49B8C3BE"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de oxigenação</w:t>
      </w:r>
    </w:p>
    <w:p w14:paraId="4B19A9DB" w14:textId="77777777" w:rsidR="009153E2" w:rsidRPr="00AA7DF5" w:rsidRDefault="009153E2">
      <w:pPr>
        <w:widowControl/>
        <w:rPr>
          <w:szCs w:val="24"/>
          <w:lang w:eastAsia="en-US"/>
        </w:rPr>
      </w:pPr>
      <w:r w:rsidRPr="00AA7DF5">
        <w:rPr>
          <w:szCs w:val="24"/>
          <w:lang w:eastAsia="en-US"/>
        </w:rPr>
        <w:br w:type="page"/>
      </w:r>
    </w:p>
    <w:p w14:paraId="503A3746" w14:textId="56EC8791" w:rsidR="002E0FC5" w:rsidRPr="00AA7DF5" w:rsidRDefault="002E0FC5" w:rsidP="002E0FC5">
      <w:pPr>
        <w:spacing w:before="120" w:after="120" w:line="360" w:lineRule="auto"/>
        <w:ind w:left="1416"/>
        <w:rPr>
          <w:szCs w:val="24"/>
          <w:lang w:eastAsia="en-US"/>
        </w:rPr>
      </w:pPr>
      <w:r w:rsidRPr="00AA7DF5">
        <w:rPr>
          <w:szCs w:val="24"/>
          <w:lang w:eastAsia="en-US"/>
        </w:rPr>
        <w:lastRenderedPageBreak/>
        <w:t>Salinidade</w:t>
      </w:r>
    </w:p>
    <w:p w14:paraId="64675DCE"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relativas aos nutrientes</w:t>
      </w:r>
    </w:p>
    <w:p w14:paraId="6C869ED2"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1.1.4.</w:t>
      </w:r>
      <w:r w:rsidRPr="00AA7DF5">
        <w:rPr>
          <w:szCs w:val="24"/>
          <w:lang w:eastAsia="en-US"/>
        </w:rPr>
        <w:tab/>
        <w:t xml:space="preserve"> Águas costeiras</w:t>
      </w:r>
    </w:p>
    <w:p w14:paraId="0387C937"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biológicos</w:t>
      </w:r>
    </w:p>
    <w:p w14:paraId="0B3EFE41"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abundância e biomassa do fitoplâncton</w:t>
      </w:r>
    </w:p>
    <w:p w14:paraId="0AACAABB"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da restante flora aquática</w:t>
      </w:r>
    </w:p>
    <w:p w14:paraId="1D1E745E" w14:textId="77777777" w:rsidR="002E0FC5" w:rsidRPr="00AA7DF5" w:rsidRDefault="002E0FC5" w:rsidP="002E0FC5">
      <w:pPr>
        <w:spacing w:before="120" w:after="120" w:line="360" w:lineRule="auto"/>
        <w:ind w:left="1416"/>
        <w:rPr>
          <w:szCs w:val="24"/>
          <w:lang w:eastAsia="en-US"/>
        </w:rPr>
      </w:pPr>
      <w:r w:rsidRPr="00AA7DF5">
        <w:rPr>
          <w:szCs w:val="24"/>
          <w:lang w:eastAsia="en-US"/>
        </w:rPr>
        <w:t>Composição e abundância dos invertebrados bentónicos</w:t>
      </w:r>
    </w:p>
    <w:p w14:paraId="346308F9" w14:textId="77777777" w:rsidR="002E0FC5" w:rsidRPr="00AA7DF5" w:rsidRDefault="002E0FC5" w:rsidP="002E0FC5">
      <w:pPr>
        <w:spacing w:before="120" w:after="120" w:line="360" w:lineRule="auto"/>
        <w:ind w:left="1416"/>
        <w:rPr>
          <w:szCs w:val="24"/>
          <w:lang w:eastAsia="en-US"/>
        </w:rPr>
      </w:pPr>
      <w:r w:rsidRPr="00AA7DF5">
        <w:rPr>
          <w:szCs w:val="24"/>
          <w:lang w:eastAsia="en-US"/>
        </w:rPr>
        <w:t xml:space="preserve">Elementos </w:t>
      </w:r>
      <w:proofErr w:type="spellStart"/>
      <w:r w:rsidRPr="00AA7DF5">
        <w:rPr>
          <w:szCs w:val="24"/>
          <w:lang w:eastAsia="en-US"/>
        </w:rPr>
        <w:t>hidromorfológicos</w:t>
      </w:r>
      <w:proofErr w:type="spellEnd"/>
      <w:r w:rsidRPr="00AA7DF5">
        <w:rPr>
          <w:szCs w:val="24"/>
          <w:lang w:eastAsia="en-US"/>
        </w:rPr>
        <w:t xml:space="preserve"> de suporte dos elementos biológicos</w:t>
      </w:r>
    </w:p>
    <w:p w14:paraId="565C1598" w14:textId="77777777" w:rsidR="002E0FC5" w:rsidRPr="00AA7DF5" w:rsidRDefault="002E0FC5" w:rsidP="002E0FC5">
      <w:pPr>
        <w:spacing w:before="120" w:after="120" w:line="360" w:lineRule="auto"/>
        <w:ind w:left="850"/>
        <w:rPr>
          <w:szCs w:val="24"/>
          <w:lang w:eastAsia="en-US"/>
        </w:rPr>
      </w:pPr>
      <w:r w:rsidRPr="00AA7DF5">
        <w:rPr>
          <w:szCs w:val="24"/>
          <w:lang w:eastAsia="en-US"/>
        </w:rPr>
        <w:t>Condições morfológicas</w:t>
      </w:r>
    </w:p>
    <w:p w14:paraId="25B53998" w14:textId="77777777" w:rsidR="002E0FC5" w:rsidRPr="00AA7DF5" w:rsidRDefault="002E0FC5" w:rsidP="002E0FC5">
      <w:pPr>
        <w:spacing w:before="120" w:after="120" w:line="360" w:lineRule="auto"/>
        <w:ind w:left="1416"/>
        <w:rPr>
          <w:szCs w:val="24"/>
          <w:lang w:eastAsia="en-US"/>
        </w:rPr>
      </w:pPr>
      <w:r w:rsidRPr="00AA7DF5">
        <w:rPr>
          <w:szCs w:val="24"/>
          <w:lang w:eastAsia="en-US"/>
        </w:rPr>
        <w:t>variação da profundidade</w:t>
      </w:r>
    </w:p>
    <w:p w14:paraId="346F39BC" w14:textId="77777777" w:rsidR="002E0FC5" w:rsidRPr="00AA7DF5" w:rsidRDefault="002E0FC5" w:rsidP="002E0FC5">
      <w:pPr>
        <w:spacing w:before="120" w:after="120" w:line="360" w:lineRule="auto"/>
        <w:ind w:left="1416"/>
        <w:rPr>
          <w:szCs w:val="24"/>
          <w:lang w:eastAsia="en-US"/>
        </w:rPr>
      </w:pPr>
      <w:r w:rsidRPr="00AA7DF5">
        <w:rPr>
          <w:szCs w:val="24"/>
          <w:lang w:eastAsia="en-US"/>
        </w:rPr>
        <w:t>estrutura e substrato do leito</w:t>
      </w:r>
    </w:p>
    <w:p w14:paraId="2A06C002" w14:textId="77777777" w:rsidR="002E0FC5" w:rsidRPr="00AA7DF5" w:rsidRDefault="002E0FC5" w:rsidP="002E0FC5">
      <w:pPr>
        <w:spacing w:before="120" w:after="120" w:line="360" w:lineRule="auto"/>
        <w:ind w:left="1416"/>
        <w:rPr>
          <w:szCs w:val="24"/>
          <w:lang w:eastAsia="en-US"/>
        </w:rPr>
      </w:pPr>
      <w:r w:rsidRPr="00AA7DF5">
        <w:rPr>
          <w:szCs w:val="24"/>
          <w:lang w:eastAsia="en-US"/>
        </w:rPr>
        <w:t xml:space="preserve">estrutura da zona </w:t>
      </w:r>
      <w:proofErr w:type="spellStart"/>
      <w:r w:rsidRPr="00AA7DF5">
        <w:rPr>
          <w:szCs w:val="24"/>
          <w:lang w:eastAsia="en-US"/>
        </w:rPr>
        <w:t>intermareal</w:t>
      </w:r>
      <w:proofErr w:type="spellEnd"/>
    </w:p>
    <w:p w14:paraId="4128546D" w14:textId="77777777" w:rsidR="009153E2" w:rsidRPr="00AA7DF5" w:rsidRDefault="009153E2">
      <w:pPr>
        <w:widowControl/>
        <w:rPr>
          <w:szCs w:val="24"/>
          <w:lang w:eastAsia="en-US"/>
        </w:rPr>
      </w:pPr>
      <w:r w:rsidRPr="00AA7DF5">
        <w:rPr>
          <w:szCs w:val="24"/>
          <w:lang w:eastAsia="en-US"/>
        </w:rPr>
        <w:br w:type="page"/>
      </w:r>
    </w:p>
    <w:p w14:paraId="6000D6FB" w14:textId="32960AC7" w:rsidR="002E0FC5" w:rsidRPr="00AA7DF5" w:rsidRDefault="002E0FC5" w:rsidP="002E0FC5">
      <w:pPr>
        <w:spacing w:before="120" w:after="120" w:line="360" w:lineRule="auto"/>
        <w:ind w:left="850"/>
        <w:rPr>
          <w:szCs w:val="24"/>
          <w:lang w:eastAsia="en-US"/>
        </w:rPr>
      </w:pPr>
      <w:r w:rsidRPr="00AA7DF5">
        <w:rPr>
          <w:szCs w:val="24"/>
          <w:lang w:eastAsia="en-US"/>
        </w:rPr>
        <w:lastRenderedPageBreak/>
        <w:t>Regime de marés</w:t>
      </w:r>
    </w:p>
    <w:p w14:paraId="1B443540" w14:textId="77777777" w:rsidR="002E0FC5" w:rsidRPr="00AA7DF5" w:rsidRDefault="002E0FC5" w:rsidP="002E0FC5">
      <w:pPr>
        <w:spacing w:before="120" w:after="120" w:line="360" w:lineRule="auto"/>
        <w:ind w:left="1416"/>
        <w:rPr>
          <w:szCs w:val="24"/>
          <w:lang w:eastAsia="en-US"/>
        </w:rPr>
      </w:pPr>
      <w:r w:rsidRPr="00AA7DF5">
        <w:rPr>
          <w:szCs w:val="24"/>
          <w:lang w:eastAsia="en-US"/>
        </w:rPr>
        <w:t>Direção das correntes dominantes</w:t>
      </w:r>
    </w:p>
    <w:p w14:paraId="22BB9877" w14:textId="77777777" w:rsidR="002E0FC5" w:rsidRPr="00AA7DF5" w:rsidRDefault="002E0FC5" w:rsidP="002E0FC5">
      <w:pPr>
        <w:spacing w:before="120" w:after="120" w:line="360" w:lineRule="auto"/>
        <w:ind w:left="1416"/>
        <w:rPr>
          <w:szCs w:val="24"/>
          <w:lang w:eastAsia="en-US"/>
        </w:rPr>
      </w:pPr>
      <w:r w:rsidRPr="00AA7DF5">
        <w:rPr>
          <w:szCs w:val="24"/>
          <w:lang w:eastAsia="en-US"/>
        </w:rPr>
        <w:t>exposição às vagas</w:t>
      </w:r>
    </w:p>
    <w:p w14:paraId="11D4DA43" w14:textId="77777777" w:rsidR="002E0FC5" w:rsidRPr="00AA7DF5" w:rsidRDefault="002E0FC5" w:rsidP="002E0FC5">
      <w:pPr>
        <w:spacing w:before="120" w:after="120" w:line="360" w:lineRule="auto"/>
        <w:ind w:left="1416"/>
        <w:rPr>
          <w:szCs w:val="24"/>
          <w:lang w:eastAsia="en-US"/>
        </w:rPr>
      </w:pPr>
      <w:r w:rsidRPr="00AA7DF5">
        <w:rPr>
          <w:szCs w:val="24"/>
          <w:lang w:eastAsia="en-US"/>
        </w:rPr>
        <w:t>Elementos físico-químicos gerais de suporte dos elementos biológicos</w:t>
      </w:r>
    </w:p>
    <w:p w14:paraId="2DC5E554" w14:textId="77777777" w:rsidR="002E0FC5" w:rsidRPr="00AA7DF5" w:rsidRDefault="002E0FC5" w:rsidP="002E0FC5">
      <w:pPr>
        <w:spacing w:before="120" w:after="120" w:line="360" w:lineRule="auto"/>
        <w:ind w:left="1416"/>
        <w:rPr>
          <w:szCs w:val="24"/>
          <w:lang w:eastAsia="en-US"/>
        </w:rPr>
      </w:pPr>
      <w:r w:rsidRPr="00AA7DF5">
        <w:rPr>
          <w:szCs w:val="24"/>
          <w:lang w:eastAsia="en-US"/>
        </w:rPr>
        <w:t>Transparência</w:t>
      </w:r>
    </w:p>
    <w:p w14:paraId="1BFB88B5"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térmicas</w:t>
      </w:r>
    </w:p>
    <w:p w14:paraId="1BB83C48"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de oxigenação</w:t>
      </w:r>
    </w:p>
    <w:p w14:paraId="05ED564C" w14:textId="77777777" w:rsidR="002E0FC5" w:rsidRPr="00AA7DF5" w:rsidRDefault="002E0FC5" w:rsidP="002E0FC5">
      <w:pPr>
        <w:spacing w:before="120" w:after="120" w:line="360" w:lineRule="auto"/>
        <w:ind w:left="1416"/>
        <w:rPr>
          <w:szCs w:val="24"/>
          <w:lang w:eastAsia="en-US"/>
        </w:rPr>
      </w:pPr>
      <w:r w:rsidRPr="00AA7DF5">
        <w:rPr>
          <w:szCs w:val="24"/>
          <w:lang w:eastAsia="en-US"/>
        </w:rPr>
        <w:t>Salinidade</w:t>
      </w:r>
    </w:p>
    <w:p w14:paraId="7D1467AA" w14:textId="77777777" w:rsidR="002E0FC5" w:rsidRPr="00AA7DF5" w:rsidRDefault="002E0FC5" w:rsidP="002E0FC5">
      <w:pPr>
        <w:spacing w:before="120" w:after="120" w:line="360" w:lineRule="auto"/>
        <w:ind w:left="1416"/>
        <w:rPr>
          <w:szCs w:val="24"/>
          <w:lang w:eastAsia="en-US"/>
        </w:rPr>
      </w:pPr>
      <w:r w:rsidRPr="00AA7DF5">
        <w:rPr>
          <w:szCs w:val="24"/>
          <w:lang w:eastAsia="en-US"/>
        </w:rPr>
        <w:t>Condições relativas aos nutrientes;»</w:t>
      </w:r>
    </w:p>
    <w:p w14:paraId="12D9DE9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w:t>
      </w:r>
      <w:r w:rsidRPr="00AA7DF5">
        <w:rPr>
          <w:szCs w:val="24"/>
          <w:lang w:eastAsia="en-US"/>
        </w:rPr>
        <w:tab/>
        <w:t>No ponto 1.2.1, o quadro intitulado «Elementos de qualidade físico-química» passa a ter a seguinte redação:</w:t>
      </w:r>
    </w:p>
    <w:p w14:paraId="4B3D2E2E" w14:textId="467FD1BC" w:rsidR="00113BB1" w:rsidRPr="00AA7DF5" w:rsidRDefault="002E0FC5" w:rsidP="002E0FC5">
      <w:pPr>
        <w:spacing w:before="120" w:after="120" w:line="360" w:lineRule="auto"/>
        <w:ind w:left="850"/>
        <w:rPr>
          <w:szCs w:val="24"/>
          <w:lang w:eastAsia="en-US"/>
        </w:rPr>
      </w:pPr>
      <w:r w:rsidRPr="00AA7DF5">
        <w:rPr>
          <w:szCs w:val="24"/>
          <w:lang w:eastAsia="en-US"/>
        </w:rPr>
        <w:t>«Elementos gerais de qualidade físico-química</w:t>
      </w:r>
    </w:p>
    <w:p w14:paraId="309DFED3" w14:textId="77777777" w:rsidR="00113BB1" w:rsidRPr="00AA7DF5" w:rsidRDefault="00113BB1">
      <w:pPr>
        <w:widowControl/>
        <w:rPr>
          <w:szCs w:val="24"/>
          <w:lang w:eastAsia="en-US"/>
        </w:rPr>
      </w:pPr>
      <w:r w:rsidRPr="00AA7DF5">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4"/>
        <w:gridCol w:w="2629"/>
        <w:gridCol w:w="2616"/>
        <w:gridCol w:w="2116"/>
      </w:tblGrid>
      <w:tr w:rsidR="002E0FC5" w:rsidRPr="00AA7DF5" w14:paraId="3BD8FCF4" w14:textId="77777777" w:rsidTr="00951B86">
        <w:trPr>
          <w:tblHeader/>
        </w:trPr>
        <w:tc>
          <w:tcPr>
            <w:tcW w:w="0" w:type="auto"/>
          </w:tcPr>
          <w:p w14:paraId="05218710" w14:textId="77777777" w:rsidR="002E0FC5" w:rsidRPr="00AA7DF5" w:rsidRDefault="002E0FC5" w:rsidP="00113BB1">
            <w:pPr>
              <w:spacing w:before="120" w:after="120"/>
              <w:rPr>
                <w:szCs w:val="24"/>
                <w:lang w:eastAsia="en-US"/>
              </w:rPr>
            </w:pPr>
            <w:r w:rsidRPr="00AA7DF5">
              <w:rPr>
                <w:szCs w:val="24"/>
                <w:lang w:eastAsia="en-US"/>
              </w:rPr>
              <w:lastRenderedPageBreak/>
              <w:t>Elemento</w:t>
            </w:r>
          </w:p>
        </w:tc>
        <w:tc>
          <w:tcPr>
            <w:tcW w:w="0" w:type="auto"/>
          </w:tcPr>
          <w:p w14:paraId="724716F3" w14:textId="77777777" w:rsidR="002E0FC5" w:rsidRPr="00AA7DF5" w:rsidRDefault="002E0FC5" w:rsidP="00113BB1">
            <w:pPr>
              <w:spacing w:before="120" w:after="120"/>
              <w:rPr>
                <w:szCs w:val="24"/>
                <w:lang w:eastAsia="en-US"/>
              </w:rPr>
            </w:pPr>
            <w:r w:rsidRPr="00AA7DF5">
              <w:rPr>
                <w:szCs w:val="24"/>
                <w:lang w:eastAsia="en-US"/>
              </w:rPr>
              <w:t>Estado excelente</w:t>
            </w:r>
          </w:p>
        </w:tc>
        <w:tc>
          <w:tcPr>
            <w:tcW w:w="0" w:type="auto"/>
          </w:tcPr>
          <w:p w14:paraId="2C485394" w14:textId="77777777" w:rsidR="002E0FC5" w:rsidRPr="00AA7DF5" w:rsidRDefault="002E0FC5" w:rsidP="00113BB1">
            <w:pPr>
              <w:spacing w:before="120" w:after="120"/>
              <w:rPr>
                <w:szCs w:val="24"/>
                <w:lang w:eastAsia="en-US"/>
              </w:rPr>
            </w:pPr>
            <w:r w:rsidRPr="00AA7DF5">
              <w:rPr>
                <w:szCs w:val="24"/>
                <w:lang w:eastAsia="en-US"/>
              </w:rPr>
              <w:t>Estado bom</w:t>
            </w:r>
          </w:p>
        </w:tc>
        <w:tc>
          <w:tcPr>
            <w:tcW w:w="0" w:type="auto"/>
          </w:tcPr>
          <w:p w14:paraId="6DBB0C6F" w14:textId="77777777" w:rsidR="002E0FC5" w:rsidRPr="00AA7DF5" w:rsidRDefault="002E0FC5" w:rsidP="00113BB1">
            <w:pPr>
              <w:spacing w:before="120" w:after="120"/>
              <w:rPr>
                <w:szCs w:val="24"/>
                <w:lang w:eastAsia="en-US"/>
              </w:rPr>
            </w:pPr>
            <w:r w:rsidRPr="00AA7DF5">
              <w:rPr>
                <w:szCs w:val="24"/>
                <w:lang w:eastAsia="en-US"/>
              </w:rPr>
              <w:t>Estado razoável</w:t>
            </w:r>
          </w:p>
        </w:tc>
      </w:tr>
      <w:tr w:rsidR="002E0FC5" w:rsidRPr="00AA7DF5" w14:paraId="03CAEDB1" w14:textId="77777777" w:rsidTr="00951B86">
        <w:tc>
          <w:tcPr>
            <w:tcW w:w="0" w:type="auto"/>
          </w:tcPr>
          <w:p w14:paraId="0E6CF595" w14:textId="77777777" w:rsidR="002E0FC5" w:rsidRPr="00AA7DF5" w:rsidRDefault="002E0FC5" w:rsidP="00113BB1">
            <w:pPr>
              <w:spacing w:before="120" w:after="120"/>
              <w:rPr>
                <w:szCs w:val="24"/>
                <w:lang w:eastAsia="en-US"/>
              </w:rPr>
            </w:pPr>
            <w:r w:rsidRPr="00AA7DF5">
              <w:rPr>
                <w:szCs w:val="24"/>
                <w:lang w:eastAsia="en-US"/>
              </w:rPr>
              <w:t>Condições gerais</w:t>
            </w:r>
          </w:p>
        </w:tc>
        <w:tc>
          <w:tcPr>
            <w:tcW w:w="0" w:type="auto"/>
          </w:tcPr>
          <w:p w14:paraId="05161FE9" w14:textId="77777777" w:rsidR="002E0FC5" w:rsidRPr="00AA7DF5" w:rsidRDefault="002E0FC5" w:rsidP="00113BB1">
            <w:pPr>
              <w:spacing w:before="120" w:after="120"/>
              <w:rPr>
                <w:szCs w:val="24"/>
                <w:lang w:eastAsia="en-US"/>
              </w:rPr>
            </w:pPr>
            <w:r w:rsidRPr="00AA7DF5">
              <w:rPr>
                <w:szCs w:val="24"/>
                <w:lang w:eastAsia="en-US"/>
              </w:rPr>
              <w:t>Os valores dos elementos físico-químicos gerais correspondem totalmente ou quase aos que se verificam em condições não perturbadas. As concentrações de nutrientes permanecem dentro dos valores normalmente associados às condições não perturbadas. Os níveis de salinidade, pH, balanço de oxigénio, capacidade de neutralização dos ácidos e temperatura não mostram sinais de perturbações antropogénicas e permanecem dentro dos valores normalmente associados às condições não perturbadas.</w:t>
            </w:r>
          </w:p>
        </w:tc>
        <w:tc>
          <w:tcPr>
            <w:tcW w:w="0" w:type="auto"/>
          </w:tcPr>
          <w:p w14:paraId="3CD2EBC3" w14:textId="77777777" w:rsidR="002E0FC5" w:rsidRPr="00AA7DF5" w:rsidRDefault="002E0FC5" w:rsidP="00113BB1">
            <w:pPr>
              <w:spacing w:before="120" w:after="120"/>
              <w:rPr>
                <w:szCs w:val="24"/>
                <w:lang w:eastAsia="en-US"/>
              </w:rPr>
            </w:pPr>
            <w:r w:rsidRPr="00AA7DF5">
              <w:rPr>
                <w:szCs w:val="24"/>
                <w:lang w:eastAsia="en-US"/>
              </w:rPr>
              <w:t>A temperatura, o balanço de oxigénio, o pH, a capacidade de neutralização dos ácidos e a salinidade permanecem dentro dos níveis estabelecidos, de forma a garantir o funcionamento do ecossistema específico do tipo e os valores acima especificados para os elementos de qualidade biológica. As concentrações de nutrientes não excedem os níveis estabelecidos, de forma a garantir o funcionamento do ecossistema e os valores acima especificados para os elementos de qualidade biológica.</w:t>
            </w:r>
          </w:p>
        </w:tc>
        <w:tc>
          <w:tcPr>
            <w:tcW w:w="0" w:type="auto"/>
          </w:tcPr>
          <w:p w14:paraId="02AB6193" w14:textId="02F735D2" w:rsidR="002E0FC5" w:rsidRPr="00AA7DF5" w:rsidRDefault="002E0FC5" w:rsidP="00113BB1">
            <w:pPr>
              <w:spacing w:before="120" w:after="120"/>
              <w:rPr>
                <w:szCs w:val="24"/>
                <w:lang w:eastAsia="en-US"/>
              </w:rPr>
            </w:pPr>
            <w:r w:rsidRPr="00AA7DF5">
              <w:rPr>
                <w:szCs w:val="24"/>
                <w:lang w:eastAsia="en-US"/>
              </w:rPr>
              <w:t>Condições compatíveis com os valores acima especificados para os elementos de qualidade biológica.</w:t>
            </w:r>
          </w:p>
        </w:tc>
      </w:tr>
    </w:tbl>
    <w:p w14:paraId="1B0D5601" w14:textId="25FD62B3" w:rsidR="002E0FC5" w:rsidRPr="00AA7DF5" w:rsidRDefault="00113BB1" w:rsidP="002E0FC5">
      <w:pPr>
        <w:spacing w:before="120" w:after="120" w:line="360" w:lineRule="auto"/>
        <w:ind w:left="850"/>
        <w:rPr>
          <w:szCs w:val="24"/>
          <w:lang w:eastAsia="en-US"/>
        </w:rPr>
      </w:pPr>
      <w:r w:rsidRPr="00AA7DF5">
        <w:rPr>
          <w:szCs w:val="24"/>
          <w:lang w:eastAsia="en-US"/>
        </w:rPr>
        <w:t>»</w:t>
      </w:r>
      <w:r w:rsidR="009D07FD" w:rsidRPr="00AA7DF5">
        <w:rPr>
          <w:szCs w:val="24"/>
          <w:lang w:eastAsia="en-US"/>
        </w:rPr>
        <w:t>;</w:t>
      </w:r>
    </w:p>
    <w:p w14:paraId="254C6F02" w14:textId="77777777" w:rsidR="00113BB1" w:rsidRPr="00AA7DF5" w:rsidRDefault="00113BB1">
      <w:pPr>
        <w:widowControl/>
        <w:rPr>
          <w:szCs w:val="24"/>
          <w:lang w:eastAsia="en-US"/>
        </w:rPr>
      </w:pPr>
      <w:r w:rsidRPr="00AA7DF5">
        <w:rPr>
          <w:szCs w:val="24"/>
          <w:lang w:eastAsia="en-US"/>
        </w:rPr>
        <w:br w:type="page"/>
      </w:r>
    </w:p>
    <w:p w14:paraId="69A91F65" w14:textId="634D3DE5"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3)</w:t>
      </w:r>
      <w:r w:rsidRPr="00AA7DF5">
        <w:rPr>
          <w:szCs w:val="24"/>
          <w:lang w:eastAsia="en-US"/>
        </w:rPr>
        <w:tab/>
        <w:t>No ponto 1.2.2, o quadro intitulado «Elementos de qualidade físico-química» passa a ter a seguinte redação:</w:t>
      </w:r>
    </w:p>
    <w:p w14:paraId="18265BBE" w14:textId="77777777" w:rsidR="002E0FC5" w:rsidRPr="00AA7DF5" w:rsidRDefault="002E0FC5" w:rsidP="002E0FC5">
      <w:pPr>
        <w:spacing w:before="120" w:after="120" w:line="360" w:lineRule="auto"/>
        <w:ind w:left="850"/>
        <w:rPr>
          <w:szCs w:val="24"/>
          <w:lang w:eastAsia="en-US"/>
        </w:rPr>
      </w:pPr>
      <w:r w:rsidRPr="00AA7DF5">
        <w:rPr>
          <w:szCs w:val="24"/>
          <w:lang w:eastAsia="en-US"/>
        </w:rPr>
        <w:t>«Elementos gerais de qualidade físico-química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4"/>
        <w:gridCol w:w="2629"/>
        <w:gridCol w:w="2616"/>
        <w:gridCol w:w="2116"/>
      </w:tblGrid>
      <w:tr w:rsidR="002E0FC5" w:rsidRPr="00AA7DF5" w14:paraId="7CF1A07F" w14:textId="77777777" w:rsidTr="00951B86">
        <w:trPr>
          <w:tblHeader/>
        </w:trPr>
        <w:tc>
          <w:tcPr>
            <w:tcW w:w="0" w:type="auto"/>
          </w:tcPr>
          <w:p w14:paraId="129A555A" w14:textId="77777777" w:rsidR="002E0FC5" w:rsidRPr="00AA7DF5" w:rsidRDefault="002E0FC5" w:rsidP="00113BB1">
            <w:pPr>
              <w:spacing w:before="120" w:after="120"/>
              <w:rPr>
                <w:szCs w:val="24"/>
                <w:lang w:eastAsia="en-US"/>
              </w:rPr>
            </w:pPr>
            <w:r w:rsidRPr="00AA7DF5">
              <w:rPr>
                <w:szCs w:val="24"/>
                <w:lang w:eastAsia="en-US"/>
              </w:rPr>
              <w:t>Elemento</w:t>
            </w:r>
          </w:p>
        </w:tc>
        <w:tc>
          <w:tcPr>
            <w:tcW w:w="0" w:type="auto"/>
          </w:tcPr>
          <w:p w14:paraId="45C9228E" w14:textId="77777777" w:rsidR="002E0FC5" w:rsidRPr="00AA7DF5" w:rsidRDefault="002E0FC5" w:rsidP="00113BB1">
            <w:pPr>
              <w:spacing w:before="120" w:after="120"/>
              <w:rPr>
                <w:szCs w:val="24"/>
                <w:lang w:eastAsia="en-US"/>
              </w:rPr>
            </w:pPr>
            <w:r w:rsidRPr="00AA7DF5">
              <w:rPr>
                <w:szCs w:val="24"/>
                <w:lang w:eastAsia="en-US"/>
              </w:rPr>
              <w:t>Estado excelente</w:t>
            </w:r>
          </w:p>
        </w:tc>
        <w:tc>
          <w:tcPr>
            <w:tcW w:w="0" w:type="auto"/>
          </w:tcPr>
          <w:p w14:paraId="503F78A7" w14:textId="77777777" w:rsidR="002E0FC5" w:rsidRPr="00AA7DF5" w:rsidRDefault="002E0FC5" w:rsidP="00113BB1">
            <w:pPr>
              <w:spacing w:before="120" w:after="120"/>
              <w:rPr>
                <w:szCs w:val="24"/>
                <w:lang w:eastAsia="en-US"/>
              </w:rPr>
            </w:pPr>
            <w:r w:rsidRPr="00AA7DF5">
              <w:rPr>
                <w:szCs w:val="24"/>
                <w:lang w:eastAsia="en-US"/>
              </w:rPr>
              <w:t>Estado bom</w:t>
            </w:r>
          </w:p>
        </w:tc>
        <w:tc>
          <w:tcPr>
            <w:tcW w:w="0" w:type="auto"/>
          </w:tcPr>
          <w:p w14:paraId="2E047B0E" w14:textId="77777777" w:rsidR="002E0FC5" w:rsidRPr="00AA7DF5" w:rsidRDefault="002E0FC5" w:rsidP="00113BB1">
            <w:pPr>
              <w:spacing w:before="120" w:after="120"/>
              <w:rPr>
                <w:szCs w:val="24"/>
                <w:lang w:eastAsia="en-US"/>
              </w:rPr>
            </w:pPr>
            <w:r w:rsidRPr="00AA7DF5">
              <w:rPr>
                <w:szCs w:val="24"/>
                <w:lang w:eastAsia="en-US"/>
              </w:rPr>
              <w:t>Estado razoável</w:t>
            </w:r>
          </w:p>
        </w:tc>
      </w:tr>
      <w:tr w:rsidR="002E0FC5" w:rsidRPr="00AA7DF5" w14:paraId="5BC44265" w14:textId="77777777" w:rsidTr="00951B86">
        <w:tc>
          <w:tcPr>
            <w:tcW w:w="0" w:type="auto"/>
          </w:tcPr>
          <w:p w14:paraId="5CA7353A" w14:textId="77777777" w:rsidR="002E0FC5" w:rsidRPr="00AA7DF5" w:rsidRDefault="002E0FC5" w:rsidP="00113BB1">
            <w:pPr>
              <w:spacing w:before="120" w:after="120"/>
              <w:rPr>
                <w:szCs w:val="24"/>
                <w:lang w:eastAsia="en-US"/>
              </w:rPr>
            </w:pPr>
            <w:r w:rsidRPr="00AA7DF5">
              <w:rPr>
                <w:szCs w:val="24"/>
                <w:lang w:eastAsia="en-US"/>
              </w:rPr>
              <w:t>Condições gerais</w:t>
            </w:r>
          </w:p>
        </w:tc>
        <w:tc>
          <w:tcPr>
            <w:tcW w:w="0" w:type="auto"/>
          </w:tcPr>
          <w:p w14:paraId="15B1CD1C" w14:textId="77777777" w:rsidR="002E0FC5" w:rsidRPr="00AA7DF5" w:rsidRDefault="002E0FC5" w:rsidP="00113BB1">
            <w:pPr>
              <w:spacing w:before="120" w:after="120"/>
              <w:rPr>
                <w:szCs w:val="24"/>
                <w:lang w:eastAsia="en-US"/>
              </w:rPr>
            </w:pPr>
            <w:r w:rsidRPr="00AA7DF5">
              <w:rPr>
                <w:szCs w:val="24"/>
                <w:lang w:eastAsia="en-US"/>
              </w:rPr>
              <w:t>Os valores dos elementos físico-químicos gerais correspondem totalmente ou quase aos que se verificam em condições não perturbadas. As concentrações de nutrientes permanecem dentro dos valores normalmente associados às condições não perturbadas. Os níveis de salinidade, pH, balanço de oxigénio, capacidade de neutralização dos ácidos, transparência e temperatura não mostram sinais de perturbações antropogénicas e permanecem dentro dos valores normalmente associados às condições não perturbadas.</w:t>
            </w:r>
          </w:p>
        </w:tc>
        <w:tc>
          <w:tcPr>
            <w:tcW w:w="0" w:type="auto"/>
          </w:tcPr>
          <w:p w14:paraId="6116793F" w14:textId="77777777" w:rsidR="002E0FC5" w:rsidRPr="00AA7DF5" w:rsidRDefault="002E0FC5" w:rsidP="00113BB1">
            <w:pPr>
              <w:spacing w:before="120" w:after="120"/>
              <w:rPr>
                <w:szCs w:val="24"/>
                <w:lang w:eastAsia="en-US"/>
              </w:rPr>
            </w:pPr>
            <w:r w:rsidRPr="00AA7DF5">
              <w:rPr>
                <w:szCs w:val="24"/>
                <w:lang w:eastAsia="en-US"/>
              </w:rPr>
              <w:t>A temperatura, o balanço de oxigénio, o pH, a capacidade de neutralização dos ácidos, a transparência e a salinidade permanecem dentro dos níveis estabelecidos, de forma a garantir o funcionamento do ecossistema e os valores acima especificados para os elementos de qualidade biológica. As concentrações de nutrientes não excedem os níveis estabelecidos, de forma a garantir o funcionamento do ecossistema e os valores acima especificados para os elementos de qualidade biológica.</w:t>
            </w:r>
          </w:p>
        </w:tc>
        <w:tc>
          <w:tcPr>
            <w:tcW w:w="0" w:type="auto"/>
          </w:tcPr>
          <w:p w14:paraId="36364A11" w14:textId="60D86006" w:rsidR="002E0FC5" w:rsidRPr="00AA7DF5" w:rsidRDefault="002E0FC5" w:rsidP="00113BB1">
            <w:pPr>
              <w:spacing w:before="120" w:after="120"/>
              <w:rPr>
                <w:szCs w:val="24"/>
                <w:lang w:eastAsia="en-US"/>
              </w:rPr>
            </w:pPr>
            <w:r w:rsidRPr="00AA7DF5">
              <w:rPr>
                <w:szCs w:val="24"/>
                <w:lang w:eastAsia="en-US"/>
              </w:rPr>
              <w:t>Condições compatíveis com os valores acima especificados para os elementos de qualidade biológica.</w:t>
            </w:r>
          </w:p>
        </w:tc>
      </w:tr>
    </w:tbl>
    <w:p w14:paraId="1333FCD4" w14:textId="04C0229B" w:rsidR="002E0FC5" w:rsidRPr="00AA7DF5" w:rsidRDefault="00113BB1" w:rsidP="002E0FC5">
      <w:pPr>
        <w:spacing w:before="120" w:after="120" w:line="360" w:lineRule="auto"/>
        <w:ind w:left="850"/>
        <w:rPr>
          <w:szCs w:val="24"/>
          <w:lang w:eastAsia="en-US"/>
        </w:rPr>
      </w:pPr>
      <w:r w:rsidRPr="00AA7DF5">
        <w:rPr>
          <w:szCs w:val="24"/>
          <w:lang w:eastAsia="en-US"/>
        </w:rPr>
        <w:t>»</w:t>
      </w:r>
      <w:r w:rsidR="009D07FD" w:rsidRPr="00AA7DF5">
        <w:rPr>
          <w:szCs w:val="24"/>
          <w:lang w:eastAsia="en-US"/>
        </w:rPr>
        <w:t>;</w:t>
      </w:r>
    </w:p>
    <w:p w14:paraId="610AAD22" w14:textId="77777777" w:rsidR="00113BB1" w:rsidRPr="00AA7DF5" w:rsidRDefault="00113BB1">
      <w:pPr>
        <w:widowControl/>
        <w:rPr>
          <w:szCs w:val="24"/>
          <w:lang w:eastAsia="en-US"/>
        </w:rPr>
      </w:pPr>
      <w:r w:rsidRPr="00AA7DF5">
        <w:rPr>
          <w:szCs w:val="24"/>
          <w:lang w:eastAsia="en-US"/>
        </w:rPr>
        <w:br w:type="page"/>
      </w:r>
    </w:p>
    <w:p w14:paraId="4C770637" w14:textId="374B5BBA"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4)</w:t>
      </w:r>
      <w:r w:rsidRPr="00AA7DF5">
        <w:rPr>
          <w:szCs w:val="24"/>
          <w:lang w:eastAsia="en-US"/>
        </w:rPr>
        <w:tab/>
        <w:t>No ponto 1.2.3, o quadro intitulado «Elementos de qualidade físico-química» passa a ter a seguinte redação:</w:t>
      </w:r>
    </w:p>
    <w:p w14:paraId="0D364479" w14:textId="77777777" w:rsidR="002E0FC5" w:rsidRPr="00AA7DF5" w:rsidRDefault="002E0FC5" w:rsidP="002E0FC5">
      <w:pPr>
        <w:spacing w:before="120" w:after="120" w:line="360" w:lineRule="auto"/>
        <w:ind w:left="850"/>
        <w:rPr>
          <w:szCs w:val="24"/>
          <w:lang w:eastAsia="en-US"/>
        </w:rPr>
      </w:pPr>
      <w:r w:rsidRPr="00AA7DF5">
        <w:rPr>
          <w:szCs w:val="24"/>
          <w:lang w:eastAsia="en-US"/>
        </w:rPr>
        <w:t>«Elementos gerais de qualidade físico-química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4"/>
        <w:gridCol w:w="2629"/>
        <w:gridCol w:w="2616"/>
        <w:gridCol w:w="2116"/>
      </w:tblGrid>
      <w:tr w:rsidR="002E0FC5" w:rsidRPr="00AA7DF5" w14:paraId="11B285FF" w14:textId="77777777" w:rsidTr="00951B86">
        <w:trPr>
          <w:tblHeader/>
        </w:trPr>
        <w:tc>
          <w:tcPr>
            <w:tcW w:w="0" w:type="auto"/>
          </w:tcPr>
          <w:p w14:paraId="75ED9D49" w14:textId="77777777" w:rsidR="002E0FC5" w:rsidRPr="00AA7DF5" w:rsidRDefault="002E0FC5" w:rsidP="00AA7DF5">
            <w:pPr>
              <w:spacing w:before="120" w:after="120"/>
              <w:rPr>
                <w:szCs w:val="24"/>
                <w:lang w:eastAsia="en-US"/>
              </w:rPr>
            </w:pPr>
            <w:r w:rsidRPr="00AA7DF5">
              <w:rPr>
                <w:szCs w:val="24"/>
                <w:lang w:eastAsia="en-US"/>
              </w:rPr>
              <w:t>Elemento</w:t>
            </w:r>
          </w:p>
        </w:tc>
        <w:tc>
          <w:tcPr>
            <w:tcW w:w="0" w:type="auto"/>
          </w:tcPr>
          <w:p w14:paraId="37B7F6BA" w14:textId="77777777" w:rsidR="002E0FC5" w:rsidRPr="00AA7DF5" w:rsidRDefault="002E0FC5" w:rsidP="00AA7DF5">
            <w:pPr>
              <w:spacing w:before="120" w:after="120"/>
              <w:rPr>
                <w:szCs w:val="24"/>
                <w:lang w:eastAsia="en-US"/>
              </w:rPr>
            </w:pPr>
            <w:r w:rsidRPr="00AA7DF5">
              <w:rPr>
                <w:szCs w:val="24"/>
                <w:lang w:eastAsia="en-US"/>
              </w:rPr>
              <w:t>Estado excelente</w:t>
            </w:r>
          </w:p>
        </w:tc>
        <w:tc>
          <w:tcPr>
            <w:tcW w:w="0" w:type="auto"/>
          </w:tcPr>
          <w:p w14:paraId="27810521" w14:textId="77777777" w:rsidR="002E0FC5" w:rsidRPr="00AA7DF5" w:rsidRDefault="002E0FC5" w:rsidP="00AA7DF5">
            <w:pPr>
              <w:spacing w:before="120" w:after="120"/>
              <w:rPr>
                <w:szCs w:val="24"/>
                <w:lang w:eastAsia="en-US"/>
              </w:rPr>
            </w:pPr>
            <w:r w:rsidRPr="00AA7DF5">
              <w:rPr>
                <w:szCs w:val="24"/>
                <w:lang w:eastAsia="en-US"/>
              </w:rPr>
              <w:t>Estado bom</w:t>
            </w:r>
          </w:p>
        </w:tc>
        <w:tc>
          <w:tcPr>
            <w:tcW w:w="0" w:type="auto"/>
          </w:tcPr>
          <w:p w14:paraId="1BAE8860" w14:textId="77777777" w:rsidR="002E0FC5" w:rsidRPr="00AA7DF5" w:rsidRDefault="002E0FC5" w:rsidP="00AA7DF5">
            <w:pPr>
              <w:spacing w:before="120" w:after="120"/>
              <w:rPr>
                <w:szCs w:val="24"/>
                <w:lang w:eastAsia="en-US"/>
              </w:rPr>
            </w:pPr>
            <w:r w:rsidRPr="00AA7DF5">
              <w:rPr>
                <w:szCs w:val="24"/>
                <w:lang w:eastAsia="en-US"/>
              </w:rPr>
              <w:t>Estado razoável</w:t>
            </w:r>
          </w:p>
        </w:tc>
      </w:tr>
      <w:tr w:rsidR="002E0FC5" w:rsidRPr="00AA7DF5" w14:paraId="68556E85" w14:textId="77777777" w:rsidTr="00951B86">
        <w:tc>
          <w:tcPr>
            <w:tcW w:w="0" w:type="auto"/>
          </w:tcPr>
          <w:p w14:paraId="08CB472E" w14:textId="77777777" w:rsidR="002E0FC5" w:rsidRPr="00AA7DF5" w:rsidRDefault="002E0FC5" w:rsidP="00AA7DF5">
            <w:pPr>
              <w:spacing w:before="120" w:after="120"/>
              <w:rPr>
                <w:szCs w:val="24"/>
                <w:lang w:eastAsia="en-US"/>
              </w:rPr>
            </w:pPr>
            <w:r w:rsidRPr="00AA7DF5">
              <w:rPr>
                <w:szCs w:val="24"/>
                <w:lang w:eastAsia="en-US"/>
              </w:rPr>
              <w:t>Condições gerais</w:t>
            </w:r>
          </w:p>
        </w:tc>
        <w:tc>
          <w:tcPr>
            <w:tcW w:w="0" w:type="auto"/>
          </w:tcPr>
          <w:p w14:paraId="79766462" w14:textId="77777777" w:rsidR="002E0FC5" w:rsidRPr="00AA7DF5" w:rsidRDefault="002E0FC5" w:rsidP="00AA7DF5">
            <w:pPr>
              <w:spacing w:before="120" w:after="120"/>
              <w:rPr>
                <w:szCs w:val="24"/>
                <w:lang w:eastAsia="en-US"/>
              </w:rPr>
            </w:pPr>
            <w:r w:rsidRPr="00AA7DF5">
              <w:rPr>
                <w:szCs w:val="24"/>
                <w:lang w:eastAsia="en-US"/>
              </w:rPr>
              <w:t>Os elementos físico-químicos gerais correspondem totalmente ou quase aos que se verificam em condições não perturbadas. As concentrações de nutrientes permanecem dentro dos valores normalmente associados às condições não perturbadas. A temperatura, o balanço de oxigénio e a transparência não mostram sinais de perturbações antropogénicas e permanecem dentro dos valores normalmente associados às condições não perturbadas.</w:t>
            </w:r>
          </w:p>
        </w:tc>
        <w:tc>
          <w:tcPr>
            <w:tcW w:w="0" w:type="auto"/>
          </w:tcPr>
          <w:p w14:paraId="4DF5F80A" w14:textId="77777777" w:rsidR="002E0FC5" w:rsidRPr="00AA7DF5" w:rsidRDefault="002E0FC5" w:rsidP="00AA7DF5">
            <w:pPr>
              <w:spacing w:before="120" w:after="120"/>
              <w:rPr>
                <w:szCs w:val="24"/>
                <w:lang w:eastAsia="en-US"/>
              </w:rPr>
            </w:pPr>
            <w:r w:rsidRPr="00AA7DF5">
              <w:rPr>
                <w:szCs w:val="24"/>
                <w:lang w:eastAsia="en-US"/>
              </w:rPr>
              <w:t>A temperatura, as condições de oxigenação e a transparência permanecem dentro dos níveis estabelecidos, de forma a garantir o funcionamento do ecossistema e os valores acima especificados para os elementos de qualidade biológica. As concentrações de nutrientes não excedem os níveis estabelecidos, de forma a garantir o funcionamento do ecossistema e os valores acima especificados para os elementos de qualidade biológica.</w:t>
            </w:r>
          </w:p>
        </w:tc>
        <w:tc>
          <w:tcPr>
            <w:tcW w:w="0" w:type="auto"/>
          </w:tcPr>
          <w:p w14:paraId="70397BF6" w14:textId="67E8C2DC" w:rsidR="002E0FC5" w:rsidRPr="00AA7DF5" w:rsidRDefault="002E0FC5" w:rsidP="00AA7DF5">
            <w:pPr>
              <w:spacing w:before="120" w:after="120"/>
              <w:rPr>
                <w:szCs w:val="24"/>
                <w:lang w:eastAsia="en-US"/>
              </w:rPr>
            </w:pPr>
            <w:r w:rsidRPr="00AA7DF5">
              <w:rPr>
                <w:szCs w:val="24"/>
                <w:lang w:eastAsia="en-US"/>
              </w:rPr>
              <w:t>Condições compatíveis com os valores acima especificados para os elementos de qualidade biológica.</w:t>
            </w:r>
          </w:p>
        </w:tc>
      </w:tr>
    </w:tbl>
    <w:p w14:paraId="307DE2B9" w14:textId="67886C5A" w:rsidR="002E0FC5" w:rsidRPr="00AA7DF5" w:rsidRDefault="002E0FC5" w:rsidP="002E0FC5">
      <w:pPr>
        <w:spacing w:before="120" w:after="120" w:line="360" w:lineRule="auto"/>
        <w:ind w:left="850"/>
        <w:rPr>
          <w:szCs w:val="24"/>
          <w:lang w:eastAsia="en-US"/>
        </w:rPr>
      </w:pPr>
      <w:r w:rsidRPr="00AA7DF5">
        <w:rPr>
          <w:szCs w:val="24"/>
          <w:lang w:eastAsia="en-US"/>
        </w:rPr>
        <w:t>»</w:t>
      </w:r>
      <w:r w:rsidR="009D07FD" w:rsidRPr="00AA7DF5">
        <w:rPr>
          <w:szCs w:val="24"/>
          <w:lang w:eastAsia="en-US"/>
        </w:rPr>
        <w:t>;</w:t>
      </w:r>
    </w:p>
    <w:p w14:paraId="75F5C9B6" w14:textId="77777777" w:rsidR="00C0350D" w:rsidRPr="00AA7DF5" w:rsidRDefault="00C0350D">
      <w:pPr>
        <w:widowControl/>
        <w:rPr>
          <w:szCs w:val="24"/>
          <w:lang w:eastAsia="en-US"/>
        </w:rPr>
      </w:pPr>
      <w:r w:rsidRPr="00AA7DF5">
        <w:rPr>
          <w:szCs w:val="24"/>
          <w:lang w:eastAsia="en-US"/>
        </w:rPr>
        <w:br w:type="page"/>
      </w:r>
    </w:p>
    <w:p w14:paraId="686F9717" w14:textId="444A6AF3"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5)</w:t>
      </w:r>
      <w:r w:rsidRPr="00AA7DF5">
        <w:rPr>
          <w:szCs w:val="24"/>
          <w:lang w:eastAsia="en-US"/>
        </w:rPr>
        <w:tab/>
        <w:t>No ponto 1.2.4, o quadro intitulado «Elementos de qualidade físico-química» passa a ter a seguinte redação:</w:t>
      </w:r>
    </w:p>
    <w:p w14:paraId="1C043CED" w14:textId="77B1B140" w:rsidR="002E0FC5" w:rsidRPr="00AA7DF5" w:rsidRDefault="002E0FC5" w:rsidP="002E0FC5">
      <w:pPr>
        <w:spacing w:before="120" w:after="120" w:line="360" w:lineRule="auto"/>
        <w:ind w:left="850"/>
        <w:rPr>
          <w:szCs w:val="24"/>
          <w:lang w:eastAsia="en-US"/>
        </w:rPr>
      </w:pPr>
      <w:r w:rsidRPr="00AA7DF5">
        <w:rPr>
          <w:szCs w:val="24"/>
          <w:lang w:eastAsia="en-US"/>
        </w:rPr>
        <w:t>«Elementos gerais de qualidade físico-química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4"/>
        <w:gridCol w:w="2629"/>
        <w:gridCol w:w="2616"/>
        <w:gridCol w:w="2116"/>
      </w:tblGrid>
      <w:tr w:rsidR="002E0FC5" w:rsidRPr="00AA7DF5" w14:paraId="33D0C12A" w14:textId="77777777" w:rsidTr="00951B86">
        <w:trPr>
          <w:tblHeader/>
        </w:trPr>
        <w:tc>
          <w:tcPr>
            <w:tcW w:w="0" w:type="auto"/>
          </w:tcPr>
          <w:p w14:paraId="69A21554" w14:textId="77777777" w:rsidR="002E0FC5" w:rsidRPr="00AA7DF5" w:rsidRDefault="002E0FC5" w:rsidP="00AA7DF5">
            <w:pPr>
              <w:spacing w:before="120" w:after="120"/>
              <w:rPr>
                <w:szCs w:val="24"/>
                <w:lang w:eastAsia="en-US"/>
              </w:rPr>
            </w:pPr>
            <w:r w:rsidRPr="00AA7DF5">
              <w:rPr>
                <w:szCs w:val="24"/>
                <w:lang w:eastAsia="en-US"/>
              </w:rPr>
              <w:t>Elemento</w:t>
            </w:r>
          </w:p>
        </w:tc>
        <w:tc>
          <w:tcPr>
            <w:tcW w:w="0" w:type="auto"/>
          </w:tcPr>
          <w:p w14:paraId="0A19316D" w14:textId="77777777" w:rsidR="002E0FC5" w:rsidRPr="00AA7DF5" w:rsidRDefault="002E0FC5" w:rsidP="00AA7DF5">
            <w:pPr>
              <w:spacing w:before="120" w:after="120"/>
              <w:rPr>
                <w:szCs w:val="24"/>
                <w:lang w:eastAsia="en-US"/>
              </w:rPr>
            </w:pPr>
            <w:r w:rsidRPr="00AA7DF5">
              <w:rPr>
                <w:szCs w:val="24"/>
                <w:lang w:eastAsia="en-US"/>
              </w:rPr>
              <w:t>Estado excelente</w:t>
            </w:r>
          </w:p>
        </w:tc>
        <w:tc>
          <w:tcPr>
            <w:tcW w:w="0" w:type="auto"/>
          </w:tcPr>
          <w:p w14:paraId="0389EA62" w14:textId="77777777" w:rsidR="002E0FC5" w:rsidRPr="00AA7DF5" w:rsidRDefault="002E0FC5" w:rsidP="00AA7DF5">
            <w:pPr>
              <w:spacing w:before="120" w:after="120"/>
              <w:rPr>
                <w:szCs w:val="24"/>
                <w:lang w:eastAsia="en-US"/>
              </w:rPr>
            </w:pPr>
            <w:r w:rsidRPr="00AA7DF5">
              <w:rPr>
                <w:szCs w:val="24"/>
                <w:lang w:eastAsia="en-US"/>
              </w:rPr>
              <w:t>Estado bom</w:t>
            </w:r>
          </w:p>
        </w:tc>
        <w:tc>
          <w:tcPr>
            <w:tcW w:w="0" w:type="auto"/>
          </w:tcPr>
          <w:p w14:paraId="5CF16587" w14:textId="77777777" w:rsidR="002E0FC5" w:rsidRPr="00AA7DF5" w:rsidRDefault="002E0FC5" w:rsidP="00AA7DF5">
            <w:pPr>
              <w:spacing w:before="120" w:after="120"/>
              <w:rPr>
                <w:szCs w:val="24"/>
                <w:lang w:eastAsia="en-US"/>
              </w:rPr>
            </w:pPr>
            <w:r w:rsidRPr="00AA7DF5">
              <w:rPr>
                <w:szCs w:val="24"/>
                <w:lang w:eastAsia="en-US"/>
              </w:rPr>
              <w:t>Estado razoável</w:t>
            </w:r>
          </w:p>
        </w:tc>
      </w:tr>
      <w:tr w:rsidR="002E0FC5" w:rsidRPr="00AA7DF5" w14:paraId="3766A820" w14:textId="77777777" w:rsidTr="00951B86">
        <w:tc>
          <w:tcPr>
            <w:tcW w:w="0" w:type="auto"/>
          </w:tcPr>
          <w:p w14:paraId="6A8F28EB" w14:textId="77777777" w:rsidR="002E0FC5" w:rsidRPr="00AA7DF5" w:rsidRDefault="002E0FC5" w:rsidP="00AA7DF5">
            <w:pPr>
              <w:spacing w:before="120" w:after="120"/>
              <w:rPr>
                <w:szCs w:val="24"/>
                <w:lang w:eastAsia="en-US"/>
              </w:rPr>
            </w:pPr>
            <w:r w:rsidRPr="00AA7DF5">
              <w:rPr>
                <w:szCs w:val="24"/>
                <w:lang w:eastAsia="en-US"/>
              </w:rPr>
              <w:t>Condições gerais</w:t>
            </w:r>
          </w:p>
        </w:tc>
        <w:tc>
          <w:tcPr>
            <w:tcW w:w="0" w:type="auto"/>
          </w:tcPr>
          <w:p w14:paraId="1121B636" w14:textId="77777777" w:rsidR="002E0FC5" w:rsidRPr="00AA7DF5" w:rsidRDefault="002E0FC5" w:rsidP="00AA7DF5">
            <w:pPr>
              <w:spacing w:before="120" w:after="120"/>
              <w:rPr>
                <w:szCs w:val="24"/>
                <w:lang w:eastAsia="en-US"/>
              </w:rPr>
            </w:pPr>
            <w:r w:rsidRPr="00AA7DF5">
              <w:rPr>
                <w:szCs w:val="24"/>
                <w:lang w:eastAsia="en-US"/>
              </w:rPr>
              <w:t>Os elementos físico-químicos gerais correspondem totalmente ou quase aos que se verificam em condições não perturbadas. As concentrações de nutrientes permanecem dentro dos valores normalmente associados às condições não perturbadas. A temperatura, o balanço de oxigénio e a transparência não mostram sinais de perturbações antropogénicas e permanecem dentro dos valores normalmente associados às condições não perturbadas.</w:t>
            </w:r>
          </w:p>
        </w:tc>
        <w:tc>
          <w:tcPr>
            <w:tcW w:w="0" w:type="auto"/>
          </w:tcPr>
          <w:p w14:paraId="5557EC3D" w14:textId="77777777" w:rsidR="002E0FC5" w:rsidRPr="00AA7DF5" w:rsidRDefault="002E0FC5" w:rsidP="00AA7DF5">
            <w:pPr>
              <w:spacing w:before="120" w:after="120"/>
              <w:rPr>
                <w:szCs w:val="24"/>
                <w:lang w:eastAsia="en-US"/>
              </w:rPr>
            </w:pPr>
            <w:r w:rsidRPr="00AA7DF5">
              <w:rPr>
                <w:szCs w:val="24"/>
                <w:lang w:eastAsia="en-US"/>
              </w:rPr>
              <w:t>A temperatura, as condições de oxigenação e a transparência permanecem dentro dos níveis estabelecidos, de forma a garantir o funcionamento do ecossistema e os valores acima especificados para os elementos de qualidade biológica. As concentrações de nutrientes não excedem os níveis estabelecidos, de forma a garantir o funcionamento do ecossistema e os valores acima especificados para os elementos de qualidade biológica.</w:t>
            </w:r>
          </w:p>
        </w:tc>
        <w:tc>
          <w:tcPr>
            <w:tcW w:w="0" w:type="auto"/>
          </w:tcPr>
          <w:p w14:paraId="290EC9F6" w14:textId="76E9EE6A" w:rsidR="002E0FC5" w:rsidRPr="00AA7DF5" w:rsidRDefault="002E0FC5" w:rsidP="00AA7DF5">
            <w:pPr>
              <w:spacing w:before="120" w:after="120"/>
              <w:rPr>
                <w:szCs w:val="24"/>
                <w:lang w:eastAsia="en-US"/>
              </w:rPr>
            </w:pPr>
            <w:r w:rsidRPr="00AA7DF5">
              <w:rPr>
                <w:szCs w:val="24"/>
                <w:lang w:eastAsia="en-US"/>
              </w:rPr>
              <w:t>Condições compatíveis com os valores acima especificados para os elementos de qualidade biológica.</w:t>
            </w:r>
          </w:p>
        </w:tc>
      </w:tr>
    </w:tbl>
    <w:p w14:paraId="784CB195" w14:textId="076C569E" w:rsidR="002E0FC5" w:rsidRPr="00AA7DF5" w:rsidRDefault="002E0FC5" w:rsidP="002E0FC5">
      <w:pPr>
        <w:spacing w:before="120" w:after="120" w:line="360" w:lineRule="auto"/>
        <w:ind w:left="850"/>
        <w:rPr>
          <w:szCs w:val="24"/>
          <w:lang w:eastAsia="en-US"/>
        </w:rPr>
      </w:pPr>
      <w:r w:rsidRPr="00AA7DF5">
        <w:rPr>
          <w:szCs w:val="24"/>
          <w:lang w:eastAsia="en-US"/>
        </w:rPr>
        <w:t>»</w:t>
      </w:r>
      <w:r w:rsidR="009D07FD" w:rsidRPr="00AA7DF5">
        <w:rPr>
          <w:szCs w:val="24"/>
          <w:lang w:eastAsia="en-US"/>
        </w:rPr>
        <w:t>;</w:t>
      </w:r>
    </w:p>
    <w:p w14:paraId="4A1D114A" w14:textId="77777777" w:rsidR="00C0350D" w:rsidRPr="00AA7DF5" w:rsidRDefault="00C0350D">
      <w:pPr>
        <w:widowControl/>
        <w:rPr>
          <w:szCs w:val="24"/>
          <w:lang w:eastAsia="en-US"/>
        </w:rPr>
      </w:pPr>
      <w:r w:rsidRPr="00AA7DF5">
        <w:rPr>
          <w:szCs w:val="24"/>
          <w:lang w:eastAsia="en-US"/>
        </w:rPr>
        <w:br w:type="page"/>
      </w:r>
    </w:p>
    <w:p w14:paraId="314598CA" w14:textId="6243937C"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6)</w:t>
      </w:r>
      <w:r w:rsidRPr="00AA7DF5">
        <w:rPr>
          <w:szCs w:val="24"/>
          <w:lang w:eastAsia="en-US"/>
        </w:rPr>
        <w:tab/>
        <w:t>No ponto 1.2.5, o quadro é alterado do seguinte modo:</w:t>
      </w:r>
    </w:p>
    <w:p w14:paraId="56035A5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É suprimida a quinta linha, correspondente à rubrica «Poluentes sintéticos específicos»;</w:t>
      </w:r>
    </w:p>
    <w:p w14:paraId="59AEB1F2"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É suprimida a sexta linha, correspondente à rubrica «Poluentes não sintéticos específicos»;</w:t>
      </w:r>
    </w:p>
    <w:p w14:paraId="1DED7D0A"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c)</w:t>
      </w:r>
      <w:r w:rsidRPr="00AA7DF5">
        <w:rPr>
          <w:szCs w:val="24"/>
          <w:lang w:eastAsia="en-US"/>
        </w:rPr>
        <w:tab/>
        <w:t>É suprimida a sétima linha, correspondente à nota (</w:t>
      </w:r>
      <w:r w:rsidRPr="00AA7DF5">
        <w:rPr>
          <w:szCs w:val="24"/>
          <w:vertAlign w:val="superscript"/>
          <w:lang w:eastAsia="en-US"/>
        </w:rPr>
        <w:t>1</w:t>
      </w:r>
      <w:r w:rsidRPr="00AA7DF5">
        <w:rPr>
          <w:szCs w:val="24"/>
          <w:lang w:eastAsia="en-US"/>
        </w:rPr>
        <w:t>);</w:t>
      </w:r>
    </w:p>
    <w:p w14:paraId="3AE2A03B"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7)</w:t>
      </w:r>
      <w:r w:rsidRPr="00AA7DF5">
        <w:rPr>
          <w:szCs w:val="24"/>
          <w:lang w:eastAsia="en-US"/>
        </w:rPr>
        <w:tab/>
        <w:t>É suprimido o ponto 1.2.6;</w:t>
      </w:r>
    </w:p>
    <w:p w14:paraId="2329C8BC"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8)</w:t>
      </w:r>
      <w:r w:rsidRPr="00AA7DF5">
        <w:rPr>
          <w:szCs w:val="24"/>
          <w:lang w:eastAsia="en-US"/>
        </w:rPr>
        <w:tab/>
        <w:t xml:space="preserve">No ponto 1.3, são aditados os seguintes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4 e 5:</w:t>
      </w:r>
    </w:p>
    <w:p w14:paraId="15068AD9" w14:textId="77777777" w:rsidR="002E0FC5" w:rsidRPr="00AA7DF5" w:rsidRDefault="002E0FC5" w:rsidP="002E0FC5">
      <w:pPr>
        <w:spacing w:before="120" w:after="120" w:line="360" w:lineRule="auto"/>
        <w:ind w:left="850"/>
        <w:rPr>
          <w:szCs w:val="24"/>
          <w:lang w:eastAsia="en-US"/>
        </w:rPr>
      </w:pPr>
      <w:r w:rsidRPr="00AA7DF5">
        <w:rPr>
          <w:szCs w:val="24"/>
          <w:lang w:eastAsia="en-US"/>
        </w:rPr>
        <w:t>«Caso a rede de monitorização implique a observação da Terra e a teledeteção em vez de pontos de amostragem locais, ou outras técnicas inovadoras, o mapa da rede de monitorização deverá incluir informações relativas aos elementos de qualidade e às massas de água ou grupos de massas de água que tenham sido monitorizados com recurso a esses métodos de monitorização. Deverá ser feita referência às normas CEN, ISO ou outras normas internacionais ou nacionais que tenham sido aplicadas para garantir que os dados temporais e espaciais obtidos são tão fiáveis como os obtidos através de métodos de monitorização convencionais nos pontos de amostragem locais.</w:t>
      </w:r>
    </w:p>
    <w:p w14:paraId="07119849" w14:textId="77777777" w:rsidR="00C0350D" w:rsidRPr="00AA7DF5" w:rsidRDefault="00C0350D">
      <w:pPr>
        <w:widowControl/>
        <w:rPr>
          <w:szCs w:val="24"/>
          <w:lang w:eastAsia="en-US"/>
        </w:rPr>
      </w:pPr>
      <w:r w:rsidRPr="00AA7DF5">
        <w:rPr>
          <w:szCs w:val="24"/>
          <w:lang w:eastAsia="en-US"/>
        </w:rPr>
        <w:br w:type="page"/>
      </w:r>
    </w:p>
    <w:p w14:paraId="3709634D" w14:textId="3AFFEC1B" w:rsidR="002E0FC5" w:rsidRPr="00AA7DF5" w:rsidRDefault="002E0FC5" w:rsidP="002E0FC5">
      <w:pPr>
        <w:spacing w:before="120" w:after="120" w:line="360" w:lineRule="auto"/>
        <w:ind w:left="850"/>
        <w:rPr>
          <w:szCs w:val="24"/>
          <w:lang w:eastAsia="en-US"/>
        </w:rPr>
      </w:pPr>
      <w:r w:rsidRPr="00AA7DF5">
        <w:rPr>
          <w:szCs w:val="24"/>
          <w:lang w:eastAsia="en-US"/>
        </w:rPr>
        <w:lastRenderedPageBreak/>
        <w:t>Sempre que necessário, os Estados-Membros poderão aplicar métodos de amostragem passiva para monitorizar os poluentes químicos, em particular para efeitos de rastreio, na condição de que esses métodos de amostragem não subestimem as concentrações de poluentes aos quais se apliquem normas de qualidade ambiental e, por conseguinte, determinem de forma fiável os casos em que o estado «bom» não tenha sido alcançado, e de que, sempre que esse estado não seja alcançado, seja realizada uma análise química das amostras de água, biota ou sedimentos de acordo com as normas de qualidade ambiental aplicadas. Os Estados-Membros poderão igualmente aplicar métodos de amostragem baseados nos efeitos, sujeitos às mesmas condições.;»</w:t>
      </w:r>
    </w:p>
    <w:p w14:paraId="7E334AD9"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9)</w:t>
      </w:r>
      <w:r w:rsidRPr="00AA7DF5">
        <w:rPr>
          <w:szCs w:val="24"/>
          <w:lang w:eastAsia="en-US"/>
        </w:rPr>
        <w:tab/>
        <w:t>No ponto 1.3.1, o último parágrafo, intitulado «Seleção dos elementos de qualidade», passa a ter a seguinte redação:</w:t>
      </w:r>
    </w:p>
    <w:p w14:paraId="10CB6AC9" w14:textId="77777777" w:rsidR="002E0FC5" w:rsidRPr="00AA7DF5" w:rsidRDefault="002E0FC5" w:rsidP="002E0FC5">
      <w:pPr>
        <w:spacing w:before="120" w:after="120" w:line="360" w:lineRule="auto"/>
        <w:ind w:left="850"/>
        <w:rPr>
          <w:szCs w:val="24"/>
          <w:lang w:eastAsia="en-US"/>
        </w:rPr>
      </w:pPr>
      <w:r w:rsidRPr="00AA7DF5">
        <w:rPr>
          <w:szCs w:val="24"/>
          <w:lang w:eastAsia="en-US"/>
        </w:rPr>
        <w:t>«Seleção dos elementos de qualidade</w:t>
      </w:r>
    </w:p>
    <w:p w14:paraId="66CC4F8C" w14:textId="77777777" w:rsidR="002E0FC5" w:rsidRPr="00AA7DF5" w:rsidRDefault="002E0FC5" w:rsidP="002E0FC5">
      <w:pPr>
        <w:spacing w:before="120" w:after="120" w:line="360" w:lineRule="auto"/>
        <w:ind w:left="850"/>
        <w:rPr>
          <w:szCs w:val="24"/>
          <w:lang w:eastAsia="en-US"/>
        </w:rPr>
      </w:pPr>
      <w:r w:rsidRPr="00AA7DF5">
        <w:rPr>
          <w:szCs w:val="24"/>
          <w:lang w:eastAsia="en-US"/>
        </w:rPr>
        <w:t>A monitorização de vigilância será efetuada, para cada ponto de monitorização, ao longo de um ano durante o período de vigência de cada plano de gestão de bacia hidrográfica. A monitorização de vigilância abrangerá o seguinte:</w:t>
      </w:r>
    </w:p>
    <w:p w14:paraId="4714A65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Parâmetros indicativos de todos os elementos de qualidade biológica;</w:t>
      </w:r>
    </w:p>
    <w:p w14:paraId="677C51E0" w14:textId="77777777" w:rsidR="00C0350D" w:rsidRPr="00AA7DF5" w:rsidRDefault="00C0350D">
      <w:pPr>
        <w:widowControl/>
        <w:rPr>
          <w:szCs w:val="24"/>
          <w:lang w:eastAsia="en-US"/>
        </w:rPr>
      </w:pPr>
      <w:r w:rsidRPr="00AA7DF5">
        <w:rPr>
          <w:szCs w:val="24"/>
          <w:lang w:eastAsia="en-US"/>
        </w:rPr>
        <w:br w:type="page"/>
      </w:r>
    </w:p>
    <w:p w14:paraId="7E3E5ACD" w14:textId="490BDF24"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b)</w:t>
      </w:r>
      <w:r w:rsidRPr="00AA7DF5">
        <w:rPr>
          <w:szCs w:val="24"/>
          <w:lang w:eastAsia="en-US"/>
        </w:rPr>
        <w:tab/>
        <w:t xml:space="preserve">Parâmetros indicativos de todos os elementos de qualidade </w:t>
      </w:r>
      <w:proofErr w:type="spellStart"/>
      <w:r w:rsidRPr="00AA7DF5">
        <w:rPr>
          <w:szCs w:val="24"/>
          <w:lang w:eastAsia="en-US"/>
        </w:rPr>
        <w:t>hidromorfológica</w:t>
      </w:r>
      <w:proofErr w:type="spellEnd"/>
      <w:r w:rsidRPr="00AA7DF5">
        <w:rPr>
          <w:szCs w:val="24"/>
          <w:lang w:eastAsia="en-US"/>
        </w:rPr>
        <w:t>;</w:t>
      </w:r>
    </w:p>
    <w:p w14:paraId="392E6CB3"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c)</w:t>
      </w:r>
      <w:r w:rsidRPr="00AA7DF5">
        <w:rPr>
          <w:szCs w:val="24"/>
          <w:lang w:eastAsia="en-US"/>
        </w:rPr>
        <w:tab/>
        <w:t>Parâmetros indicativos de todos os elementos gerais de qualidade físico-química;</w:t>
      </w:r>
    </w:p>
    <w:p w14:paraId="450CDD2D"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d)</w:t>
      </w:r>
      <w:r w:rsidRPr="00AA7DF5">
        <w:rPr>
          <w:szCs w:val="24"/>
          <w:lang w:eastAsia="en-US"/>
        </w:rPr>
        <w:tab/>
        <w:t xml:space="preserve">Poluentes da lista prioritária descarregados ou depositados de outra forma na bacia ou </w:t>
      </w:r>
      <w:proofErr w:type="spellStart"/>
      <w:r w:rsidRPr="00AA7DF5">
        <w:rPr>
          <w:szCs w:val="24"/>
          <w:lang w:eastAsia="en-US"/>
        </w:rPr>
        <w:t>sub-bacia</w:t>
      </w:r>
      <w:proofErr w:type="spellEnd"/>
      <w:r w:rsidRPr="00AA7DF5">
        <w:rPr>
          <w:szCs w:val="24"/>
          <w:lang w:eastAsia="en-US"/>
        </w:rPr>
        <w:t xml:space="preserve"> hidrográfica;</w:t>
      </w:r>
    </w:p>
    <w:p w14:paraId="198DF27F"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e)</w:t>
      </w:r>
      <w:r w:rsidRPr="00AA7DF5">
        <w:rPr>
          <w:szCs w:val="24"/>
          <w:lang w:eastAsia="en-US"/>
        </w:rPr>
        <w:tab/>
        <w:t xml:space="preserve">Outros poluentes descarregados ou depositados de outra forma em quantidades significativas na bacia ou </w:t>
      </w:r>
      <w:proofErr w:type="spellStart"/>
      <w:r w:rsidRPr="00AA7DF5">
        <w:rPr>
          <w:szCs w:val="24"/>
          <w:lang w:eastAsia="en-US"/>
        </w:rPr>
        <w:t>sub-bacia</w:t>
      </w:r>
      <w:proofErr w:type="spellEnd"/>
      <w:r w:rsidRPr="00AA7DF5">
        <w:rPr>
          <w:szCs w:val="24"/>
          <w:lang w:eastAsia="en-US"/>
        </w:rPr>
        <w:t xml:space="preserve"> hidrográfica.</w:t>
      </w:r>
    </w:p>
    <w:p w14:paraId="759CC23B" w14:textId="77777777" w:rsidR="002E0FC5" w:rsidRPr="00AA7DF5" w:rsidRDefault="002E0FC5" w:rsidP="002E0FC5">
      <w:pPr>
        <w:spacing w:before="120" w:after="120" w:line="360" w:lineRule="auto"/>
        <w:ind w:left="850"/>
        <w:rPr>
          <w:szCs w:val="24"/>
          <w:lang w:eastAsia="en-US"/>
        </w:rPr>
      </w:pPr>
      <w:r w:rsidRPr="00AA7DF5">
        <w:rPr>
          <w:szCs w:val="24"/>
          <w:lang w:eastAsia="en-US"/>
        </w:rPr>
        <w:t>No entanto, caso o exercício de monitorização de vigilância anterior tenha demonstrado que a massa de água em questão atingiu um estado «bom» e a análise do impacto da atividade humana a que se refere o anexo II não tenha revelado qualquer alteração dos impactos sobre a massa de água, a monitorização de vigilância será efetuada uma vez durante o período de vigência de três planos de gestão de bacia hidrográfica consecutivos.;»</w:t>
      </w:r>
    </w:p>
    <w:p w14:paraId="19D4584F"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10)</w:t>
      </w:r>
      <w:r w:rsidRPr="00AA7DF5">
        <w:rPr>
          <w:szCs w:val="24"/>
          <w:lang w:eastAsia="en-US"/>
        </w:rPr>
        <w:tab/>
        <w:t>O ponto 1.3.2 é alterado do seguinte modo:</w:t>
      </w:r>
    </w:p>
    <w:p w14:paraId="024C8061" w14:textId="557DDCB4"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No terceiro parágrafo, «Seleção dos pontos de monitorização», a primeira frase passa a ter a seguinte redação:</w:t>
      </w:r>
    </w:p>
    <w:p w14:paraId="7FCCB427" w14:textId="77777777" w:rsidR="00C0350D" w:rsidRPr="00AA7DF5" w:rsidRDefault="00C0350D">
      <w:pPr>
        <w:widowControl/>
        <w:rPr>
          <w:szCs w:val="24"/>
          <w:lang w:eastAsia="en-US"/>
        </w:rPr>
      </w:pPr>
      <w:r w:rsidRPr="00AA7DF5">
        <w:rPr>
          <w:szCs w:val="24"/>
          <w:lang w:eastAsia="en-US"/>
        </w:rPr>
        <w:br w:type="page"/>
      </w:r>
    </w:p>
    <w:p w14:paraId="4BE5CD1F" w14:textId="3C03FB4E" w:rsidR="002E0FC5" w:rsidRPr="00AA7DF5" w:rsidRDefault="002E0FC5" w:rsidP="002E0FC5">
      <w:pPr>
        <w:spacing w:before="120" w:after="120" w:line="360" w:lineRule="auto"/>
        <w:ind w:left="1416"/>
        <w:rPr>
          <w:szCs w:val="24"/>
          <w:lang w:eastAsia="en-US"/>
        </w:rPr>
      </w:pPr>
      <w:r w:rsidRPr="00AA7DF5">
        <w:rPr>
          <w:szCs w:val="24"/>
          <w:lang w:eastAsia="en-US"/>
        </w:rPr>
        <w:lastRenderedPageBreak/>
        <w:t>«A monitorização operacional será efetuada para todas as massas de água que, com base no estudo de impacto realizado nos termos do disposto no anexo II ou na monitorização de vigilância, sejam identificadas como estando em risco de não atingirem os seus objetivos ambientais nos termos do artigo 4.º, bem como para as massas de água em que sejam descarregadas ou depositadas de outra forma substâncias prioritárias ou em que sejam descarregados ou depositados de outra forma poluentes específicos das bacias hidrográficas em quantidades significativas.»;</w:t>
      </w:r>
    </w:p>
    <w:p w14:paraId="49FB0DD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No quarto parágrafo, «Seleção dos elementos de qualidade», o segundo travessão passa a ter a seguinte redação:</w:t>
      </w:r>
    </w:p>
    <w:p w14:paraId="3F4E809E" w14:textId="77777777" w:rsidR="002E0FC5" w:rsidRPr="00AA7DF5" w:rsidRDefault="002E0FC5" w:rsidP="002E0FC5">
      <w:pPr>
        <w:spacing w:before="120" w:after="120" w:line="360" w:lineRule="auto"/>
        <w:ind w:left="1416"/>
        <w:rPr>
          <w:szCs w:val="24"/>
          <w:lang w:eastAsia="en-US"/>
        </w:rPr>
      </w:pPr>
      <w:r w:rsidRPr="00AA7DF5">
        <w:rPr>
          <w:szCs w:val="24"/>
          <w:lang w:eastAsia="en-US"/>
        </w:rPr>
        <w:t>«— todas as substâncias prioritárias descarregadas ou depositadas de outra forma em massas de água e todos os poluentes específicos das bacias hidrográficas descarregados ou depositados em massas de água em quantidades significativas.;»</w:t>
      </w:r>
    </w:p>
    <w:p w14:paraId="7F6D739A" w14:textId="77777777" w:rsidR="00C0350D" w:rsidRPr="00AA7DF5" w:rsidRDefault="00C0350D">
      <w:pPr>
        <w:widowControl/>
        <w:rPr>
          <w:b/>
          <w:i/>
          <w:szCs w:val="24"/>
          <w:lang w:eastAsia="en-US"/>
        </w:rPr>
      </w:pPr>
      <w:r w:rsidRPr="00AA7DF5">
        <w:rPr>
          <w:b/>
          <w:i/>
          <w:szCs w:val="24"/>
          <w:lang w:eastAsia="en-US"/>
        </w:rPr>
        <w:br w:type="page"/>
      </w:r>
    </w:p>
    <w:p w14:paraId="41A8F7E1" w14:textId="6B282DAF" w:rsidR="002E0FC5" w:rsidRPr="00AA7DF5" w:rsidRDefault="002E0FC5" w:rsidP="002E0FC5">
      <w:pPr>
        <w:spacing w:before="120" w:after="120" w:line="360" w:lineRule="auto"/>
        <w:ind w:left="850" w:hanging="850"/>
        <w:rPr>
          <w:szCs w:val="24"/>
          <w:lang w:eastAsia="en-US"/>
        </w:rPr>
      </w:pPr>
      <w:r w:rsidRPr="00AA7DF5">
        <w:rPr>
          <w:b/>
          <w:i/>
          <w:szCs w:val="24"/>
          <w:lang w:eastAsia="en-US"/>
        </w:rPr>
        <w:lastRenderedPageBreak/>
        <w:t>10-A.</w:t>
      </w:r>
      <w:r w:rsidRPr="00AA7DF5">
        <w:rPr>
          <w:szCs w:val="24"/>
          <w:lang w:eastAsia="en-US"/>
        </w:rPr>
        <w:tab/>
      </w:r>
      <w:r w:rsidRPr="00AA7DF5">
        <w:rPr>
          <w:b/>
          <w:i/>
          <w:szCs w:val="24"/>
          <w:lang w:eastAsia="en-US"/>
        </w:rPr>
        <w:t>No ponto 1.3.4, o n.º 4 é alterado do seguinte modo:</w:t>
      </w:r>
    </w:p>
    <w:p w14:paraId="0A3A3B59" w14:textId="7B9F2977" w:rsidR="002E0FC5" w:rsidRPr="00AA7DF5" w:rsidRDefault="002E0FC5" w:rsidP="002E0FC5">
      <w:pPr>
        <w:spacing w:before="120" w:after="120" w:line="360" w:lineRule="auto"/>
        <w:ind w:left="850"/>
        <w:rPr>
          <w:b/>
          <w:szCs w:val="24"/>
          <w:lang w:eastAsia="en-US"/>
        </w:rPr>
      </w:pPr>
      <w:r w:rsidRPr="00AA7DF5">
        <w:rPr>
          <w:szCs w:val="24"/>
          <w:lang w:eastAsia="en-US"/>
        </w:rPr>
        <w:t>«</w:t>
      </w:r>
      <w:r w:rsidRPr="00AA7DF5">
        <w:rPr>
          <w:b/>
          <w:i/>
          <w:szCs w:val="24"/>
          <w:lang w:eastAsia="en-US"/>
        </w:rPr>
        <w:t>As frequências de monitorização são escolhidas e, se for caso disso, aumentadas, a fim de ter em conta a variabilidade dos parâmetros resultante tanto das condições naturais como das condições antropogénicas. Além disso, os momentos em que a monitorização é efetuada serão selecionados de modo a ter em conta o impacto na avaliação do estado das flutuações sazonais no uso de substâncias e da variação dos níveis de água, garantindo assim que os resultados reflitam as alterações registadas na massa de água causadas por pressões antropogénicas e pela variação climática. No que diz respeito às substâncias prioritárias sensíveis às variações climáticas e às substâncias prioritárias cuja concentração é suscetível de atingir um pico durante períodos curtos devido a flutuações sazonais na utilização dessas substâncias, a monitorização deve ser efetuada com maior frequência do que para outras substâncias.</w:t>
      </w:r>
      <w:r w:rsidRPr="00AA7DF5">
        <w:rPr>
          <w:szCs w:val="24"/>
          <w:lang w:eastAsia="en-US"/>
        </w:rPr>
        <w:t>»</w:t>
      </w:r>
      <w:r w:rsidR="00C0350D" w:rsidRPr="00AA7DF5">
        <w:rPr>
          <w:b/>
          <w:szCs w:val="24"/>
          <w:lang w:eastAsia="en-US"/>
        </w:rPr>
        <w:t xml:space="preserve"> [Alt. 139]</w:t>
      </w:r>
    </w:p>
    <w:p w14:paraId="7703792E"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11)</w:t>
      </w:r>
      <w:r w:rsidRPr="00AA7DF5">
        <w:rPr>
          <w:szCs w:val="24"/>
          <w:lang w:eastAsia="en-US"/>
        </w:rPr>
        <w:tab/>
        <w:t>No ponto 1.3.4, no quadro, na sexta linha sob a rubrica «Físico-química», o termo «Outros poluentes» é substituído por «Poluentes específicos da bacia hidrográfica»;</w:t>
      </w:r>
    </w:p>
    <w:p w14:paraId="31534443" w14:textId="77777777" w:rsidR="00C0350D" w:rsidRPr="00AA7DF5" w:rsidRDefault="00C0350D">
      <w:pPr>
        <w:widowControl/>
        <w:rPr>
          <w:szCs w:val="24"/>
          <w:lang w:eastAsia="en-US"/>
        </w:rPr>
      </w:pPr>
      <w:r w:rsidRPr="00AA7DF5">
        <w:rPr>
          <w:szCs w:val="24"/>
          <w:lang w:eastAsia="en-US"/>
        </w:rPr>
        <w:br w:type="page"/>
      </w:r>
    </w:p>
    <w:p w14:paraId="5B4CCE39" w14:textId="2406BB7C"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12)</w:t>
      </w:r>
      <w:r w:rsidRPr="00AA7DF5">
        <w:rPr>
          <w:szCs w:val="24"/>
          <w:lang w:eastAsia="en-US"/>
        </w:rPr>
        <w:tab/>
        <w:t>O ponto 1.4.1 é alterado do seguinte modo:</w:t>
      </w:r>
    </w:p>
    <w:p w14:paraId="2C904BE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 xml:space="preserve">No ponto </w:t>
      </w:r>
      <w:proofErr w:type="spellStart"/>
      <w:r w:rsidRPr="00AA7DF5">
        <w:rPr>
          <w:szCs w:val="24"/>
          <w:lang w:eastAsia="en-US"/>
        </w:rPr>
        <w:t>vii</w:t>
      </w:r>
      <w:proofErr w:type="spellEnd"/>
      <w:r w:rsidRPr="00AA7DF5">
        <w:rPr>
          <w:szCs w:val="24"/>
          <w:lang w:eastAsia="en-US"/>
        </w:rPr>
        <w:t>), é suprimida a segunda frase;</w:t>
      </w:r>
    </w:p>
    <w:p w14:paraId="36BDC08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 xml:space="preserve">O ponto </w:t>
      </w:r>
      <w:proofErr w:type="spellStart"/>
      <w:r w:rsidRPr="00AA7DF5">
        <w:rPr>
          <w:szCs w:val="24"/>
          <w:lang w:eastAsia="en-US"/>
        </w:rPr>
        <w:t>viii</w:t>
      </w:r>
      <w:proofErr w:type="spellEnd"/>
      <w:r w:rsidRPr="00AA7DF5">
        <w:rPr>
          <w:szCs w:val="24"/>
          <w:lang w:eastAsia="en-US"/>
        </w:rPr>
        <w:t>) é suprimido;</w:t>
      </w:r>
    </w:p>
    <w:p w14:paraId="288FD76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c)</w:t>
      </w:r>
      <w:r w:rsidRPr="00AA7DF5">
        <w:rPr>
          <w:szCs w:val="24"/>
          <w:lang w:eastAsia="en-US"/>
        </w:rPr>
        <w:tab/>
        <w:t xml:space="preserve">O ponto </w:t>
      </w:r>
      <w:proofErr w:type="spellStart"/>
      <w:r w:rsidRPr="00AA7DF5">
        <w:rPr>
          <w:szCs w:val="24"/>
          <w:lang w:eastAsia="en-US"/>
        </w:rPr>
        <w:t>ix</w:t>
      </w:r>
      <w:proofErr w:type="spellEnd"/>
      <w:r w:rsidRPr="00AA7DF5">
        <w:rPr>
          <w:szCs w:val="24"/>
          <w:lang w:eastAsia="en-US"/>
        </w:rPr>
        <w:t>) passa a ter a seguinte redação:</w:t>
      </w:r>
    </w:p>
    <w:p w14:paraId="31486F61"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w:t>
      </w:r>
      <w:proofErr w:type="spellStart"/>
      <w:r w:rsidRPr="00AA7DF5">
        <w:rPr>
          <w:szCs w:val="24"/>
          <w:lang w:eastAsia="en-US"/>
        </w:rPr>
        <w:t>ix</w:t>
      </w:r>
      <w:proofErr w:type="spellEnd"/>
      <w:r w:rsidRPr="00AA7DF5">
        <w:rPr>
          <w:szCs w:val="24"/>
          <w:lang w:eastAsia="en-US"/>
        </w:rPr>
        <w:t>)</w:t>
      </w:r>
      <w:r w:rsidRPr="00AA7DF5">
        <w:rPr>
          <w:szCs w:val="24"/>
          <w:lang w:eastAsia="en-US"/>
        </w:rPr>
        <w:tab/>
        <w:t xml:space="preserve">Os resultados do exercício de intercalibração e os valores estabelecidos para as classificações a atribuir no âmbito dos sistemas de monitorização dos Estados-Membros nos termos dos pontos i) a </w:t>
      </w:r>
      <w:proofErr w:type="spellStart"/>
      <w:r w:rsidRPr="00AA7DF5">
        <w:rPr>
          <w:szCs w:val="24"/>
          <w:lang w:eastAsia="en-US"/>
        </w:rPr>
        <w:t>viii</w:t>
      </w:r>
      <w:proofErr w:type="spellEnd"/>
      <w:r w:rsidRPr="00AA7DF5">
        <w:rPr>
          <w:szCs w:val="24"/>
          <w:lang w:eastAsia="en-US"/>
        </w:rPr>
        <w:t>) são publicados no prazo de seis meses a contar da adoção do ato delegado nos termos do artigo 20.º.;»</w:t>
      </w:r>
    </w:p>
    <w:p w14:paraId="42E59C9A"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13)</w:t>
      </w:r>
      <w:r w:rsidRPr="00AA7DF5">
        <w:rPr>
          <w:szCs w:val="24"/>
          <w:lang w:eastAsia="en-US"/>
        </w:rPr>
        <w:tab/>
        <w:t xml:space="preserve">No ponto 1.4.2, é suprimido o ponto </w:t>
      </w:r>
      <w:proofErr w:type="spellStart"/>
      <w:r w:rsidRPr="00AA7DF5">
        <w:rPr>
          <w:szCs w:val="24"/>
          <w:lang w:eastAsia="en-US"/>
        </w:rPr>
        <w:t>iii</w:t>
      </w:r>
      <w:proofErr w:type="spellEnd"/>
      <w:r w:rsidRPr="00AA7DF5">
        <w:rPr>
          <w:szCs w:val="24"/>
          <w:lang w:eastAsia="en-US"/>
        </w:rPr>
        <w:t>);</w:t>
      </w:r>
    </w:p>
    <w:p w14:paraId="7DB59AE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14)</w:t>
      </w:r>
      <w:r w:rsidRPr="00AA7DF5">
        <w:rPr>
          <w:szCs w:val="24"/>
          <w:lang w:eastAsia="en-US"/>
        </w:rPr>
        <w:tab/>
        <w:t>No ponto 1.4.3, primeiro parágrafo, a primeira frase passa a ter a seguinte redação:</w:t>
      </w:r>
    </w:p>
    <w:p w14:paraId="3B04A3C1" w14:textId="77777777" w:rsidR="002E0FC5" w:rsidRPr="00AA7DF5" w:rsidRDefault="002E0FC5" w:rsidP="002E0FC5">
      <w:pPr>
        <w:spacing w:before="120" w:after="120" w:line="360" w:lineRule="auto"/>
        <w:ind w:left="850"/>
        <w:rPr>
          <w:szCs w:val="24"/>
          <w:lang w:eastAsia="en-US"/>
        </w:rPr>
      </w:pPr>
      <w:r w:rsidRPr="00AA7DF5">
        <w:rPr>
          <w:szCs w:val="24"/>
          <w:lang w:eastAsia="en-US"/>
        </w:rPr>
        <w:t>«Uma massa de água será registada como estando em bom estado químico caso cumpra todas as normas de qualidade ambiental previstas no anexo I, parte A, da Diretiva 2008/105/CE e as normas de qualidade ambiental estabelecidas nos termos dos artigos 8.º e 8.º-D dessa diretiva.;»</w:t>
      </w:r>
    </w:p>
    <w:p w14:paraId="45E5647F" w14:textId="77777777" w:rsidR="00C0350D" w:rsidRPr="00AA7DF5" w:rsidRDefault="00C0350D">
      <w:pPr>
        <w:widowControl/>
        <w:rPr>
          <w:szCs w:val="24"/>
          <w:lang w:eastAsia="en-US"/>
        </w:rPr>
      </w:pPr>
      <w:r w:rsidRPr="00AA7DF5">
        <w:rPr>
          <w:szCs w:val="24"/>
          <w:lang w:eastAsia="en-US"/>
        </w:rPr>
        <w:br w:type="page"/>
      </w:r>
    </w:p>
    <w:p w14:paraId="3C0AE520" w14:textId="626E8B5D"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15)</w:t>
      </w:r>
      <w:r w:rsidRPr="00AA7DF5">
        <w:rPr>
          <w:szCs w:val="24"/>
          <w:lang w:eastAsia="en-US"/>
        </w:rPr>
        <w:tab/>
        <w:t>No ponto 2.2.1, é aditado o seguinte parágrafo:</w:t>
      </w:r>
    </w:p>
    <w:p w14:paraId="0904D771" w14:textId="77777777" w:rsidR="002E0FC5" w:rsidRPr="00AA7DF5" w:rsidRDefault="002E0FC5" w:rsidP="002E0FC5">
      <w:pPr>
        <w:spacing w:before="120" w:after="120" w:line="360" w:lineRule="auto"/>
        <w:ind w:left="850"/>
        <w:rPr>
          <w:szCs w:val="24"/>
          <w:lang w:eastAsia="en-US"/>
        </w:rPr>
      </w:pPr>
      <w:r w:rsidRPr="00AA7DF5">
        <w:rPr>
          <w:szCs w:val="24"/>
          <w:lang w:eastAsia="en-US"/>
        </w:rPr>
        <w:t>«Caso a rede de monitorização implique métodos de observação da Terra ou teledeteção em vez de pontos de amostragem locais, ou outras técnicas inovadoras, deverá ser feita referência às normas CEN, ISO ou outras normas internacionais ou nacionais que tenham sido aplicadas para garantir que os dados temporais e espaciais obtidos são tão fiáveis como os obtidos através de métodos de monitorização convencionais nos pontos de amostragem locais.;»</w:t>
      </w:r>
    </w:p>
    <w:p w14:paraId="0B2A91D4" w14:textId="77777777" w:rsidR="00C0350D" w:rsidRPr="00AA7DF5" w:rsidRDefault="00C0350D">
      <w:pPr>
        <w:widowControl/>
        <w:rPr>
          <w:szCs w:val="24"/>
          <w:lang w:eastAsia="en-US"/>
        </w:rPr>
      </w:pPr>
      <w:r w:rsidRPr="00AA7DF5">
        <w:rPr>
          <w:szCs w:val="24"/>
          <w:lang w:eastAsia="en-US"/>
        </w:rPr>
        <w:br w:type="page"/>
      </w:r>
    </w:p>
    <w:p w14:paraId="19C9C339" w14:textId="0C4D43B1"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16)</w:t>
      </w:r>
      <w:r w:rsidRPr="00AA7DF5">
        <w:rPr>
          <w:szCs w:val="24"/>
          <w:lang w:eastAsia="en-US"/>
        </w:rPr>
        <w:tab/>
        <w:t>O ponto 2.3.2 passa a ter a seguinte redação:</w:t>
      </w:r>
    </w:p>
    <w:p w14:paraId="6C532BE2" w14:textId="5888CB5E" w:rsidR="002E0FC5" w:rsidRPr="00AA7DF5" w:rsidRDefault="002E0FC5" w:rsidP="002E0FC5">
      <w:pPr>
        <w:spacing w:before="120" w:after="120" w:line="360" w:lineRule="auto"/>
        <w:ind w:left="1416" w:hanging="566"/>
        <w:rPr>
          <w:szCs w:val="24"/>
          <w:lang w:eastAsia="en-US"/>
        </w:rPr>
      </w:pPr>
      <w:r w:rsidRPr="00AA7DF5">
        <w:rPr>
          <w:szCs w:val="24"/>
          <w:lang w:eastAsia="en-US"/>
        </w:rPr>
        <w:t>«2.3.2.</w:t>
      </w:r>
      <w:r w:rsidRPr="00AA7DF5">
        <w:rPr>
          <w:szCs w:val="24"/>
          <w:lang w:eastAsia="en-US"/>
        </w:rPr>
        <w:tab/>
        <w:t>Definição do bom estado químico das águas subterrâneas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94"/>
        <w:gridCol w:w="6971"/>
      </w:tblGrid>
      <w:tr w:rsidR="002E0FC5" w:rsidRPr="00AA7DF5" w14:paraId="6D6C2AD3" w14:textId="77777777" w:rsidTr="00951B86">
        <w:trPr>
          <w:tblHeader/>
        </w:trPr>
        <w:tc>
          <w:tcPr>
            <w:tcW w:w="0" w:type="auto"/>
          </w:tcPr>
          <w:p w14:paraId="4DC7768F" w14:textId="77777777" w:rsidR="002E0FC5" w:rsidRPr="00AA7DF5" w:rsidRDefault="002E0FC5" w:rsidP="002E0FC5">
            <w:pPr>
              <w:spacing w:before="120" w:after="120" w:line="360" w:lineRule="auto"/>
              <w:rPr>
                <w:szCs w:val="24"/>
                <w:lang w:eastAsia="en-US"/>
              </w:rPr>
            </w:pPr>
            <w:r w:rsidRPr="00AA7DF5">
              <w:rPr>
                <w:szCs w:val="24"/>
                <w:lang w:eastAsia="en-US"/>
              </w:rPr>
              <w:t>Elementos</w:t>
            </w:r>
          </w:p>
        </w:tc>
        <w:tc>
          <w:tcPr>
            <w:tcW w:w="0" w:type="auto"/>
          </w:tcPr>
          <w:p w14:paraId="781C36B8" w14:textId="77777777" w:rsidR="002E0FC5" w:rsidRPr="00AA7DF5" w:rsidRDefault="002E0FC5" w:rsidP="002E0FC5">
            <w:pPr>
              <w:spacing w:before="120" w:after="120" w:line="360" w:lineRule="auto"/>
              <w:rPr>
                <w:szCs w:val="24"/>
                <w:lang w:eastAsia="en-US"/>
              </w:rPr>
            </w:pPr>
            <w:r w:rsidRPr="00AA7DF5">
              <w:rPr>
                <w:szCs w:val="24"/>
                <w:lang w:eastAsia="en-US"/>
              </w:rPr>
              <w:t>Estado bom</w:t>
            </w:r>
          </w:p>
        </w:tc>
      </w:tr>
      <w:tr w:rsidR="002E0FC5" w:rsidRPr="00AA7DF5" w14:paraId="6AC46FE0" w14:textId="77777777" w:rsidTr="00951B86">
        <w:tc>
          <w:tcPr>
            <w:tcW w:w="0" w:type="auto"/>
          </w:tcPr>
          <w:p w14:paraId="69B3D5C3" w14:textId="77777777" w:rsidR="002E0FC5" w:rsidRPr="00AA7DF5" w:rsidRDefault="002E0FC5" w:rsidP="002E0FC5">
            <w:pPr>
              <w:spacing w:before="120" w:after="120" w:line="360" w:lineRule="auto"/>
              <w:rPr>
                <w:szCs w:val="24"/>
                <w:lang w:eastAsia="en-US"/>
              </w:rPr>
            </w:pPr>
            <w:r w:rsidRPr="00AA7DF5">
              <w:rPr>
                <w:szCs w:val="24"/>
                <w:lang w:eastAsia="en-US"/>
              </w:rPr>
              <w:t>Geral</w:t>
            </w:r>
          </w:p>
        </w:tc>
        <w:tc>
          <w:tcPr>
            <w:tcW w:w="0" w:type="auto"/>
          </w:tcPr>
          <w:p w14:paraId="331C9672" w14:textId="77777777" w:rsidR="002E0FC5" w:rsidRPr="00AA7DF5" w:rsidRDefault="002E0FC5" w:rsidP="002E0FC5">
            <w:pPr>
              <w:spacing w:before="120" w:after="120" w:line="360" w:lineRule="auto"/>
              <w:rPr>
                <w:szCs w:val="24"/>
                <w:lang w:eastAsia="en-US"/>
              </w:rPr>
            </w:pPr>
            <w:r w:rsidRPr="00AA7DF5">
              <w:rPr>
                <w:szCs w:val="24"/>
                <w:lang w:eastAsia="en-US"/>
              </w:rPr>
              <w:t>A composição química da massa de águas subterrâneas é tal que as concentrações de poluentes: — conforme especificado adiante, não apresentam os efeitos de intrusões salinas ou outras — não ultrapassam as normas de qualidade das águas subterrâneas a que se refere o anexo I da Diretiva 2006/118/CE, os limiares para os poluentes e indicadores de poluição das águas subterrâneas fixados nos termos do artigo 3.º, n.º 1, alínea b), dessa diretiva e os limiares a nível da União fixados nos termos do artigo 8.º, n.º 3, da mesma diretiva — não são de molde a impedir que sejam alcançados os objetivos ambientais especificados nos termos do artigo 4.º para as águas de superfície associadas, nem a reduzir significativamente a qualidade química ou ecológica dessas massas, nem a provocar danos significativos nos ecossistemas terrestres diretamente dependentes da massa de águas subterrâneas</w:t>
            </w:r>
          </w:p>
        </w:tc>
      </w:tr>
      <w:tr w:rsidR="002E0FC5" w:rsidRPr="00AA7DF5" w14:paraId="6D62FCD6" w14:textId="77777777" w:rsidTr="00951B86">
        <w:tc>
          <w:tcPr>
            <w:tcW w:w="0" w:type="auto"/>
          </w:tcPr>
          <w:p w14:paraId="0D04C3C3" w14:textId="77777777" w:rsidR="002E0FC5" w:rsidRPr="00AA7DF5" w:rsidRDefault="002E0FC5" w:rsidP="002E0FC5">
            <w:pPr>
              <w:spacing w:before="120" w:after="120" w:line="360" w:lineRule="auto"/>
              <w:rPr>
                <w:szCs w:val="24"/>
                <w:lang w:eastAsia="en-US"/>
              </w:rPr>
            </w:pPr>
            <w:r w:rsidRPr="00AA7DF5">
              <w:rPr>
                <w:szCs w:val="24"/>
                <w:lang w:eastAsia="en-US"/>
              </w:rPr>
              <w:t>Condutividade</w:t>
            </w:r>
          </w:p>
        </w:tc>
        <w:tc>
          <w:tcPr>
            <w:tcW w:w="0" w:type="auto"/>
          </w:tcPr>
          <w:p w14:paraId="0AD6CC29" w14:textId="12EEB728" w:rsidR="002E0FC5" w:rsidRPr="00AA7DF5" w:rsidRDefault="002E0FC5" w:rsidP="002E0FC5">
            <w:pPr>
              <w:spacing w:before="120" w:after="120" w:line="360" w:lineRule="auto"/>
              <w:rPr>
                <w:szCs w:val="24"/>
                <w:lang w:eastAsia="en-US"/>
              </w:rPr>
            </w:pPr>
            <w:r w:rsidRPr="00AA7DF5">
              <w:rPr>
                <w:szCs w:val="24"/>
                <w:lang w:eastAsia="en-US"/>
              </w:rPr>
              <w:t>As modificações da condutividade não revelam a ocorrência de intrusões salinas ou outras na massa de águas subterrâneas</w:t>
            </w:r>
          </w:p>
        </w:tc>
      </w:tr>
    </w:tbl>
    <w:p w14:paraId="098A8393" w14:textId="6AF5437C" w:rsidR="002E0FC5" w:rsidRPr="00AA7DF5" w:rsidRDefault="002E0FC5" w:rsidP="002E0FC5">
      <w:pPr>
        <w:spacing w:before="120" w:after="120" w:line="360" w:lineRule="auto"/>
        <w:ind w:left="850"/>
        <w:rPr>
          <w:szCs w:val="24"/>
          <w:lang w:eastAsia="en-US"/>
        </w:rPr>
      </w:pPr>
      <w:r w:rsidRPr="00AA7DF5">
        <w:rPr>
          <w:szCs w:val="24"/>
          <w:lang w:eastAsia="en-US"/>
        </w:rPr>
        <w:t>»</w:t>
      </w:r>
      <w:r w:rsidR="009D07FD" w:rsidRPr="00AA7DF5">
        <w:rPr>
          <w:szCs w:val="24"/>
          <w:lang w:eastAsia="en-US"/>
        </w:rPr>
        <w:t>;</w:t>
      </w:r>
    </w:p>
    <w:p w14:paraId="7675EE96" w14:textId="77777777" w:rsidR="00C0350D" w:rsidRPr="00AA7DF5" w:rsidRDefault="00C0350D">
      <w:pPr>
        <w:widowControl/>
        <w:rPr>
          <w:szCs w:val="24"/>
          <w:lang w:eastAsia="en-US"/>
        </w:rPr>
      </w:pPr>
      <w:r w:rsidRPr="00AA7DF5">
        <w:rPr>
          <w:szCs w:val="24"/>
          <w:lang w:eastAsia="en-US"/>
        </w:rPr>
        <w:br w:type="page"/>
      </w:r>
    </w:p>
    <w:p w14:paraId="21E64C30" w14:textId="7B293227"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17)</w:t>
      </w:r>
      <w:r w:rsidRPr="00AA7DF5">
        <w:rPr>
          <w:szCs w:val="24"/>
          <w:lang w:eastAsia="en-US"/>
        </w:rPr>
        <w:tab/>
        <w:t>No ponto 2.4.1, é aditado o seguinte parágrafo:</w:t>
      </w:r>
    </w:p>
    <w:p w14:paraId="1B05803E" w14:textId="77777777" w:rsidR="002E0FC5" w:rsidRPr="00AA7DF5" w:rsidRDefault="002E0FC5" w:rsidP="002E0FC5">
      <w:pPr>
        <w:spacing w:before="120" w:after="120" w:line="360" w:lineRule="auto"/>
        <w:ind w:left="850"/>
        <w:rPr>
          <w:szCs w:val="24"/>
          <w:lang w:eastAsia="en-US"/>
        </w:rPr>
      </w:pPr>
      <w:r w:rsidRPr="00AA7DF5">
        <w:rPr>
          <w:szCs w:val="24"/>
          <w:lang w:eastAsia="en-US"/>
        </w:rPr>
        <w:t>«Caso a rede de monitorização implique a observação da Terra ou a teledeteção em vez de pontos de amostragem locais, ou outras técnicas inovadoras, deverá ser feita referência às normas CEN, ISO ou outras normas internacionais ou nacionais que tenham sido aplicadas para garantir que os dados temporais e espaciais obtidos são tão fiáveis como os obtidos através de métodos de monitorização convencionais nos pontos de amostragem locais.;»</w:t>
      </w:r>
    </w:p>
    <w:p w14:paraId="3D1583D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18)</w:t>
      </w:r>
      <w:r w:rsidRPr="00AA7DF5">
        <w:rPr>
          <w:szCs w:val="24"/>
          <w:lang w:eastAsia="en-US"/>
        </w:rPr>
        <w:tab/>
        <w:t>O ponto 2.4.5 passa a ter a seguinte redação:</w:t>
      </w:r>
    </w:p>
    <w:p w14:paraId="7D6FCD95"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«2.4.5.</w:t>
      </w:r>
      <w:r w:rsidRPr="00AA7DF5">
        <w:rPr>
          <w:szCs w:val="24"/>
          <w:lang w:eastAsia="en-US"/>
        </w:rPr>
        <w:tab/>
        <w:t>Interpretação e apresentação do estado químico das águas subterrâneas</w:t>
      </w:r>
    </w:p>
    <w:p w14:paraId="2D49217E" w14:textId="77777777" w:rsidR="002E0FC5" w:rsidRPr="00AA7DF5" w:rsidRDefault="002E0FC5" w:rsidP="002E0FC5">
      <w:pPr>
        <w:spacing w:before="120" w:after="120" w:line="360" w:lineRule="auto"/>
        <w:ind w:left="1416"/>
        <w:rPr>
          <w:szCs w:val="24"/>
          <w:lang w:eastAsia="en-US"/>
        </w:rPr>
      </w:pPr>
      <w:r w:rsidRPr="00AA7DF5">
        <w:rPr>
          <w:szCs w:val="24"/>
          <w:lang w:eastAsia="en-US"/>
        </w:rPr>
        <w:t>Na avaliação do estado químico das águas subterrâneas, os resultados de cada um dos pontos de monitorização de uma massa de águas subterrâneas serão agregados como um conjunto para essa massa de água. O valor médio dos resultados da monitorização de cada ponto da massa ou grupo de massas de águas subterrâneas será calculado para os seguintes parâmetros:</w:t>
      </w:r>
    </w:p>
    <w:p w14:paraId="3E2A5F90" w14:textId="77777777" w:rsidR="003850B4" w:rsidRPr="00AA7DF5" w:rsidRDefault="003850B4">
      <w:pPr>
        <w:widowControl/>
        <w:rPr>
          <w:szCs w:val="24"/>
          <w:lang w:eastAsia="en-US"/>
        </w:rPr>
      </w:pPr>
      <w:r w:rsidRPr="00AA7DF5">
        <w:rPr>
          <w:szCs w:val="24"/>
          <w:lang w:eastAsia="en-US"/>
        </w:rPr>
        <w:br w:type="page"/>
      </w:r>
    </w:p>
    <w:p w14:paraId="6996AB59" w14:textId="70426505" w:rsidR="002E0FC5" w:rsidRPr="00AA7DF5" w:rsidRDefault="002E0FC5" w:rsidP="002E0FC5">
      <w:pPr>
        <w:spacing w:before="120" w:after="120" w:line="360" w:lineRule="auto"/>
        <w:ind w:left="1982" w:hanging="566"/>
        <w:rPr>
          <w:szCs w:val="24"/>
          <w:lang w:eastAsia="en-US"/>
        </w:rPr>
      </w:pPr>
      <w:r w:rsidRPr="00AA7DF5">
        <w:rPr>
          <w:szCs w:val="24"/>
          <w:lang w:eastAsia="en-US"/>
        </w:rPr>
        <w:lastRenderedPageBreak/>
        <w:t>a)</w:t>
      </w:r>
      <w:r w:rsidRPr="00AA7DF5">
        <w:rPr>
          <w:szCs w:val="24"/>
          <w:lang w:eastAsia="en-US"/>
        </w:rPr>
        <w:tab/>
        <w:t>Parâmetros químicos para os quais foram estabelecidas normas de qualidade no anexo I da Diretiva 2006/118/CE;</w:t>
      </w:r>
    </w:p>
    <w:p w14:paraId="54386799"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b)</w:t>
      </w:r>
      <w:r w:rsidRPr="00AA7DF5">
        <w:rPr>
          <w:szCs w:val="24"/>
          <w:lang w:eastAsia="en-US"/>
        </w:rPr>
        <w:tab/>
        <w:t>Parâmetros químicos para os quais foram estabelecidos limiares nacionais nos termos do artigo 3.º, n.º 1, alínea b), da Diretiva 2006/118/CE;</w:t>
      </w:r>
    </w:p>
    <w:p w14:paraId="12EB3280" w14:textId="77777777" w:rsidR="002E0FC5" w:rsidRPr="00AA7DF5" w:rsidRDefault="002E0FC5" w:rsidP="002E0FC5">
      <w:pPr>
        <w:spacing w:before="120" w:after="120" w:line="360" w:lineRule="auto"/>
        <w:ind w:left="1982" w:hanging="566"/>
        <w:rPr>
          <w:szCs w:val="24"/>
          <w:lang w:eastAsia="en-US"/>
        </w:rPr>
      </w:pPr>
      <w:r w:rsidRPr="00AA7DF5">
        <w:rPr>
          <w:szCs w:val="24"/>
          <w:lang w:eastAsia="en-US"/>
        </w:rPr>
        <w:t>c)</w:t>
      </w:r>
      <w:r w:rsidRPr="00AA7DF5">
        <w:rPr>
          <w:szCs w:val="24"/>
          <w:lang w:eastAsia="en-US"/>
        </w:rPr>
        <w:tab/>
        <w:t>Parâmetros químicos para os quais foram estabelecidos limiares a nível da União nos termos do artigo 8.º, n.º 3, da Diretiva 2006/118/CE.</w:t>
      </w:r>
    </w:p>
    <w:p w14:paraId="63FD0AC6" w14:textId="77777777" w:rsidR="002E0FC5" w:rsidRPr="00AA7DF5" w:rsidRDefault="002E0FC5" w:rsidP="002E0FC5">
      <w:pPr>
        <w:spacing w:before="120" w:after="120" w:line="360" w:lineRule="auto"/>
        <w:ind w:left="1416"/>
        <w:rPr>
          <w:szCs w:val="24"/>
          <w:lang w:eastAsia="en-US"/>
        </w:rPr>
      </w:pPr>
      <w:r w:rsidRPr="00AA7DF5">
        <w:rPr>
          <w:szCs w:val="24"/>
          <w:lang w:eastAsia="en-US"/>
        </w:rPr>
        <w:t>Os valores médios a que se refere o primeiro parágrafo serão utilizados para demonstrar o cumprimento do requisito de um bom estado químico das águas subterrâneas definido por referência às normas de qualidade e aos limiares a que se refere o primeiro parágrafo.</w:t>
      </w:r>
    </w:p>
    <w:p w14:paraId="1679E7EA" w14:textId="77777777" w:rsidR="002E0FC5" w:rsidRPr="00AA7DF5" w:rsidRDefault="002E0FC5" w:rsidP="002E0FC5">
      <w:pPr>
        <w:spacing w:before="120" w:after="120" w:line="360" w:lineRule="auto"/>
        <w:ind w:left="1416"/>
        <w:rPr>
          <w:szCs w:val="24"/>
          <w:lang w:eastAsia="en-US"/>
        </w:rPr>
      </w:pPr>
      <w:r w:rsidRPr="00AA7DF5">
        <w:rPr>
          <w:szCs w:val="24"/>
          <w:lang w:eastAsia="en-US"/>
        </w:rPr>
        <w:t>Sob reserva do disposto no ponto 2.5, os Estados-Membros elaborarão um mapa do estado químico das águas subterrâneas, colorido de acordo com o seguinte esquema:</w:t>
      </w:r>
    </w:p>
    <w:p w14:paraId="5DC2C450" w14:textId="77777777" w:rsidR="002E0FC5" w:rsidRPr="00AA7DF5" w:rsidRDefault="002E0FC5" w:rsidP="002E0FC5">
      <w:pPr>
        <w:spacing w:before="120" w:after="120" w:line="360" w:lineRule="auto"/>
        <w:ind w:left="1416"/>
        <w:rPr>
          <w:szCs w:val="24"/>
          <w:lang w:eastAsia="en-US"/>
        </w:rPr>
      </w:pPr>
      <w:r w:rsidRPr="00AA7DF5">
        <w:rPr>
          <w:szCs w:val="24"/>
          <w:lang w:eastAsia="en-US"/>
        </w:rPr>
        <w:t>Bom — verde</w:t>
      </w:r>
    </w:p>
    <w:p w14:paraId="13F215C5" w14:textId="77777777" w:rsidR="002E0FC5" w:rsidRPr="00AA7DF5" w:rsidRDefault="002E0FC5" w:rsidP="002E0FC5">
      <w:pPr>
        <w:spacing w:before="120" w:after="120" w:line="360" w:lineRule="auto"/>
        <w:ind w:left="1416"/>
        <w:rPr>
          <w:szCs w:val="24"/>
          <w:lang w:eastAsia="en-US"/>
        </w:rPr>
      </w:pPr>
      <w:r w:rsidRPr="00AA7DF5">
        <w:rPr>
          <w:szCs w:val="24"/>
          <w:lang w:eastAsia="en-US"/>
        </w:rPr>
        <w:t>Medíocre — vermelho</w:t>
      </w:r>
    </w:p>
    <w:p w14:paraId="74842D62" w14:textId="77777777" w:rsidR="003850B4" w:rsidRPr="00AA7DF5" w:rsidRDefault="003850B4">
      <w:pPr>
        <w:widowControl/>
        <w:rPr>
          <w:szCs w:val="24"/>
          <w:lang w:eastAsia="en-US"/>
        </w:rPr>
      </w:pPr>
      <w:r w:rsidRPr="00AA7DF5">
        <w:rPr>
          <w:szCs w:val="24"/>
          <w:lang w:eastAsia="en-US"/>
        </w:rPr>
        <w:br w:type="page"/>
      </w:r>
    </w:p>
    <w:p w14:paraId="4939DED6" w14:textId="3CCC69D1" w:rsidR="002E0FC5" w:rsidRPr="00AA7DF5" w:rsidRDefault="002E0FC5" w:rsidP="002E0FC5">
      <w:pPr>
        <w:spacing w:before="120" w:after="120" w:line="360" w:lineRule="auto"/>
        <w:ind w:left="1416"/>
        <w:rPr>
          <w:b/>
          <w:szCs w:val="24"/>
          <w:lang w:eastAsia="en-US"/>
        </w:rPr>
      </w:pPr>
      <w:r w:rsidRPr="00AA7DF5">
        <w:rPr>
          <w:szCs w:val="24"/>
          <w:lang w:eastAsia="en-US"/>
        </w:rPr>
        <w:lastRenderedPageBreak/>
        <w:t xml:space="preserve">Os Estados-Membros indicarão também com uma bola preta no mapa as massas de águas subterrâneas sujeitas a </w:t>
      </w:r>
      <w:r w:rsidRPr="00AA7DF5">
        <w:rPr>
          <w:strike/>
          <w:szCs w:val="24"/>
          <w:lang w:eastAsia="en-US"/>
        </w:rPr>
        <w:t xml:space="preserve">uma tendência significativa e </w:t>
      </w:r>
      <w:proofErr w:type="spellStart"/>
      <w:r w:rsidRPr="00AA7DF5">
        <w:rPr>
          <w:strike/>
          <w:szCs w:val="24"/>
          <w:lang w:eastAsia="en-US"/>
        </w:rPr>
        <w:t>constante</w:t>
      </w:r>
      <w:r w:rsidRPr="00AA7DF5">
        <w:rPr>
          <w:b/>
          <w:i/>
          <w:szCs w:val="24"/>
          <w:lang w:eastAsia="en-US"/>
        </w:rPr>
        <w:t>tendências</w:t>
      </w:r>
      <w:proofErr w:type="spellEnd"/>
      <w:r w:rsidRPr="00AA7DF5">
        <w:rPr>
          <w:b/>
          <w:i/>
          <w:szCs w:val="24"/>
          <w:lang w:eastAsia="en-US"/>
        </w:rPr>
        <w:t xml:space="preserve"> em alta significativas e constantes, incluindo tendências sazonais</w:t>
      </w:r>
      <w:r w:rsidRPr="00AA7DF5">
        <w:rPr>
          <w:szCs w:val="24"/>
          <w:lang w:eastAsia="en-US"/>
        </w:rPr>
        <w:t xml:space="preserve"> para o aumento das concentrações de qualquer poluente </w:t>
      </w:r>
      <w:r w:rsidRPr="00AA7DF5">
        <w:rPr>
          <w:strike/>
          <w:szCs w:val="24"/>
          <w:lang w:eastAsia="en-US"/>
        </w:rPr>
        <w:t xml:space="preserve">em resultado do impacto da atividade </w:t>
      </w:r>
      <w:proofErr w:type="spellStart"/>
      <w:r w:rsidRPr="00AA7DF5">
        <w:rPr>
          <w:strike/>
          <w:szCs w:val="24"/>
          <w:lang w:eastAsia="en-US"/>
        </w:rPr>
        <w:t>humana</w:t>
      </w:r>
      <w:r w:rsidRPr="00AA7DF5">
        <w:rPr>
          <w:b/>
          <w:i/>
          <w:szCs w:val="24"/>
          <w:lang w:eastAsia="en-US"/>
        </w:rPr>
        <w:t>devido</w:t>
      </w:r>
      <w:proofErr w:type="spellEnd"/>
      <w:r w:rsidRPr="00AA7DF5">
        <w:rPr>
          <w:b/>
          <w:i/>
          <w:szCs w:val="24"/>
          <w:lang w:eastAsia="en-US"/>
        </w:rPr>
        <w:t>, nomeadamente, a descargas reduzidas de uma massa de água</w:t>
      </w:r>
      <w:r w:rsidRPr="00AA7DF5">
        <w:rPr>
          <w:szCs w:val="24"/>
          <w:lang w:eastAsia="en-US"/>
        </w:rPr>
        <w:t>. A inversão da tendência será indicada no mapa por uma bola azul.</w:t>
      </w:r>
      <w:r w:rsidR="003850B4" w:rsidRPr="00AA7DF5">
        <w:rPr>
          <w:b/>
          <w:szCs w:val="24"/>
          <w:lang w:eastAsia="en-US"/>
        </w:rPr>
        <w:t xml:space="preserve"> [Alt. 140]</w:t>
      </w:r>
    </w:p>
    <w:p w14:paraId="4C26A164" w14:textId="5E2AD099" w:rsidR="002E0FC5" w:rsidRPr="00AA7DF5" w:rsidRDefault="002E0FC5" w:rsidP="002E0FC5">
      <w:pPr>
        <w:spacing w:before="120" w:after="120" w:line="360" w:lineRule="auto"/>
        <w:ind w:left="1416"/>
        <w:rPr>
          <w:szCs w:val="24"/>
          <w:lang w:eastAsia="en-US"/>
        </w:rPr>
      </w:pPr>
      <w:r w:rsidRPr="00AA7DF5">
        <w:rPr>
          <w:szCs w:val="24"/>
          <w:lang w:eastAsia="en-US"/>
        </w:rPr>
        <w:t>Estes mapas constarão dos planos de gestão de bacia hidrográfica.»</w:t>
      </w:r>
    </w:p>
    <w:p w14:paraId="010A5784" w14:textId="77777777" w:rsidR="002E0FC5" w:rsidRPr="00AA7DF5" w:rsidRDefault="002E0FC5" w:rsidP="002E0FC5">
      <w:pPr>
        <w:spacing w:before="120" w:after="120" w:line="360" w:lineRule="auto"/>
        <w:rPr>
          <w:szCs w:val="24"/>
          <w:lang w:eastAsia="en-US"/>
        </w:rPr>
        <w:sectPr w:rsidR="002E0FC5" w:rsidRPr="00AA7DF5">
          <w:footnotePr>
            <w:numRestart w:val="eachSect"/>
          </w:footnotePr>
          <w:endnotePr>
            <w:numFmt w:val="decimal"/>
          </w:endnotePr>
          <w:pgSz w:w="11909" w:h="16834"/>
          <w:pgMar w:top="1134" w:right="1417" w:bottom="1417" w:left="1417" w:header="1134" w:footer="567" w:gutter="0"/>
          <w:cols w:space="720"/>
        </w:sectPr>
      </w:pPr>
    </w:p>
    <w:p w14:paraId="265F964C" w14:textId="77777777" w:rsidR="002E0FC5" w:rsidRPr="00AA7DF5" w:rsidRDefault="002E0FC5" w:rsidP="002E0FC5">
      <w:pPr>
        <w:spacing w:before="120" w:after="120" w:line="360" w:lineRule="auto"/>
        <w:jc w:val="center"/>
        <w:rPr>
          <w:lang w:eastAsia="en-US"/>
        </w:rPr>
      </w:pPr>
      <w:r w:rsidRPr="00AA7DF5">
        <w:rPr>
          <w:lang w:eastAsia="en-US"/>
        </w:rPr>
        <w:lastRenderedPageBreak/>
        <w:t>ANEXO II</w:t>
      </w:r>
    </w:p>
    <w:p w14:paraId="3C15AAB3" w14:textId="77777777" w:rsidR="002E0FC5" w:rsidRPr="00AA7DF5" w:rsidRDefault="002E0FC5" w:rsidP="002E0FC5">
      <w:pPr>
        <w:spacing w:before="120" w:after="120" w:line="360" w:lineRule="auto"/>
        <w:rPr>
          <w:szCs w:val="24"/>
          <w:lang w:eastAsia="en-US"/>
        </w:rPr>
      </w:pPr>
      <w:r w:rsidRPr="00AA7DF5">
        <w:rPr>
          <w:szCs w:val="24"/>
          <w:lang w:eastAsia="en-US"/>
        </w:rPr>
        <w:t>O anexo VIII da Diretiva 2000/60/CE é alterado do seguinte modo:</w:t>
      </w:r>
    </w:p>
    <w:p w14:paraId="26425B59"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O ponto 10 passa a ter a seguinte redação:</w:t>
      </w:r>
    </w:p>
    <w:p w14:paraId="5AB73E0C" w14:textId="1E8B15CF" w:rsidR="002E0FC5" w:rsidRPr="00AA7DF5" w:rsidRDefault="002E0FC5" w:rsidP="002E0FC5">
      <w:pPr>
        <w:spacing w:before="120" w:after="120" w:line="360" w:lineRule="auto"/>
        <w:ind w:left="1416" w:hanging="566"/>
        <w:rPr>
          <w:b/>
          <w:szCs w:val="24"/>
          <w:lang w:eastAsia="en-US"/>
        </w:rPr>
      </w:pPr>
      <w:r w:rsidRPr="00AA7DF5">
        <w:rPr>
          <w:szCs w:val="24"/>
          <w:lang w:eastAsia="en-US"/>
        </w:rPr>
        <w:t>«10.</w:t>
      </w:r>
      <w:r w:rsidRPr="00AA7DF5">
        <w:rPr>
          <w:szCs w:val="24"/>
          <w:lang w:eastAsia="en-US"/>
        </w:rPr>
        <w:tab/>
        <w:t>Materiais em suspensão, incluindo micro/</w:t>
      </w:r>
      <w:proofErr w:type="spellStart"/>
      <w:r w:rsidRPr="00AA7DF5">
        <w:rPr>
          <w:szCs w:val="24"/>
          <w:lang w:eastAsia="en-US"/>
        </w:rPr>
        <w:t>nanoplásticos</w:t>
      </w:r>
      <w:proofErr w:type="spellEnd"/>
      <w:r w:rsidRPr="00AA7DF5">
        <w:rPr>
          <w:strike/>
          <w:szCs w:val="24"/>
          <w:lang w:eastAsia="en-US"/>
        </w:rPr>
        <w:t>.</w:t>
      </w:r>
      <w:r w:rsidRPr="00AA7DF5">
        <w:rPr>
          <w:b/>
          <w:i/>
          <w:szCs w:val="24"/>
          <w:lang w:eastAsia="en-US"/>
        </w:rPr>
        <w:t>, bem como materiais que dão comprovadamente origem a micro/</w:t>
      </w:r>
      <w:proofErr w:type="spellStart"/>
      <w:r w:rsidRPr="00AA7DF5">
        <w:rPr>
          <w:b/>
          <w:i/>
          <w:szCs w:val="24"/>
          <w:lang w:eastAsia="en-US"/>
        </w:rPr>
        <w:t>nanoplásticos</w:t>
      </w:r>
      <w:proofErr w:type="spellEnd"/>
      <w:r w:rsidRPr="00AA7DF5">
        <w:rPr>
          <w:szCs w:val="24"/>
          <w:lang w:eastAsia="en-US"/>
        </w:rPr>
        <w:t>;»</w:t>
      </w:r>
      <w:r w:rsidR="00BC5A8D" w:rsidRPr="00AA7DF5">
        <w:rPr>
          <w:b/>
          <w:szCs w:val="24"/>
          <w:lang w:eastAsia="en-US"/>
        </w:rPr>
        <w:t xml:space="preserve"> [Alt. 141]</w:t>
      </w:r>
    </w:p>
    <w:p w14:paraId="42D42E99" w14:textId="58D075C6" w:rsidR="002E0FC5" w:rsidRPr="00AA7DF5" w:rsidRDefault="002E0FC5" w:rsidP="002E0FC5">
      <w:pPr>
        <w:spacing w:before="120" w:after="120" w:line="360" w:lineRule="auto"/>
        <w:ind w:left="850" w:hanging="850"/>
        <w:rPr>
          <w:szCs w:val="24"/>
          <w:lang w:eastAsia="en-US"/>
        </w:rPr>
      </w:pPr>
      <w:r w:rsidRPr="00AA7DF5">
        <w:rPr>
          <w:szCs w:val="24"/>
          <w:lang w:eastAsia="en-US"/>
        </w:rPr>
        <w:t>2)</w:t>
      </w:r>
      <w:r w:rsidRPr="00AA7DF5">
        <w:rPr>
          <w:szCs w:val="24"/>
          <w:lang w:eastAsia="en-US"/>
        </w:rPr>
        <w:tab/>
        <w:t>É aditado um ponto 13, com a seguinte redação:</w:t>
      </w:r>
    </w:p>
    <w:p w14:paraId="610C6E0F" w14:textId="2B9174CB" w:rsidR="002E0FC5" w:rsidRPr="00AA7DF5" w:rsidRDefault="002E0FC5" w:rsidP="002E0FC5">
      <w:pPr>
        <w:spacing w:before="120" w:after="120" w:line="360" w:lineRule="auto"/>
        <w:ind w:left="1416" w:hanging="566"/>
        <w:rPr>
          <w:szCs w:val="24"/>
          <w:lang w:eastAsia="en-US"/>
        </w:rPr>
      </w:pPr>
      <w:r w:rsidRPr="00AA7DF5">
        <w:rPr>
          <w:szCs w:val="24"/>
          <w:lang w:eastAsia="en-US"/>
        </w:rPr>
        <w:t>«13.</w:t>
      </w:r>
      <w:r w:rsidRPr="00AA7DF5">
        <w:rPr>
          <w:szCs w:val="24"/>
          <w:lang w:eastAsia="en-US"/>
        </w:rPr>
        <w:tab/>
        <w:t>Microrganismos, genes ou material genético que reflitam a presença de microrganismos resistentes a agentes antimicrobianos, em particular microrganismos patogénicos para os seres humanos ou para o gado.»</w:t>
      </w:r>
    </w:p>
    <w:p w14:paraId="34E7246B" w14:textId="77777777" w:rsidR="002E0FC5" w:rsidRPr="00AA7DF5" w:rsidRDefault="002E0FC5" w:rsidP="002E0FC5">
      <w:pPr>
        <w:spacing w:before="120" w:after="120" w:line="360" w:lineRule="auto"/>
        <w:rPr>
          <w:szCs w:val="24"/>
          <w:lang w:eastAsia="en-US"/>
        </w:rPr>
        <w:sectPr w:rsidR="002E0FC5" w:rsidRPr="00AA7DF5">
          <w:footnotePr>
            <w:numRestart w:val="eachSect"/>
          </w:footnotePr>
          <w:endnotePr>
            <w:numFmt w:val="decimal"/>
          </w:endnotePr>
          <w:pgSz w:w="11909" w:h="16834"/>
          <w:pgMar w:top="1134" w:right="1417" w:bottom="1417" w:left="1417" w:header="1134" w:footer="567" w:gutter="0"/>
          <w:cols w:space="720"/>
        </w:sectPr>
      </w:pPr>
    </w:p>
    <w:p w14:paraId="494FD524" w14:textId="77777777" w:rsidR="002E0FC5" w:rsidRPr="00AA7DF5" w:rsidRDefault="002E0FC5" w:rsidP="002E0FC5">
      <w:pPr>
        <w:spacing w:before="120" w:after="120" w:line="360" w:lineRule="auto"/>
        <w:jc w:val="center"/>
        <w:rPr>
          <w:lang w:eastAsia="en-US"/>
        </w:rPr>
      </w:pPr>
      <w:r w:rsidRPr="00AA7DF5">
        <w:rPr>
          <w:lang w:eastAsia="en-US"/>
        </w:rPr>
        <w:lastRenderedPageBreak/>
        <w:t>ANEXO III</w:t>
      </w:r>
    </w:p>
    <w:p w14:paraId="138BCE2C" w14:textId="77777777" w:rsidR="002E0FC5" w:rsidRPr="00AA7DF5" w:rsidRDefault="002E0FC5" w:rsidP="002E0FC5">
      <w:pPr>
        <w:spacing w:before="120" w:after="120" w:line="360" w:lineRule="auto"/>
        <w:ind w:left="850"/>
        <w:rPr>
          <w:szCs w:val="24"/>
          <w:lang w:eastAsia="en-US"/>
        </w:rPr>
      </w:pPr>
      <w:r w:rsidRPr="00AA7DF5">
        <w:rPr>
          <w:szCs w:val="24"/>
          <w:lang w:eastAsia="en-US"/>
        </w:rPr>
        <w:t>«ANEXO I</w:t>
      </w:r>
    </w:p>
    <w:p w14:paraId="75712820" w14:textId="77777777" w:rsidR="002E0FC5" w:rsidRPr="00AA7DF5" w:rsidRDefault="002E0FC5" w:rsidP="002E0FC5">
      <w:pPr>
        <w:spacing w:before="120" w:after="120" w:line="360" w:lineRule="auto"/>
        <w:ind w:left="850"/>
        <w:rPr>
          <w:szCs w:val="24"/>
          <w:lang w:eastAsia="en-US"/>
        </w:rPr>
      </w:pPr>
      <w:r w:rsidRPr="00AA7DF5">
        <w:rPr>
          <w:szCs w:val="24"/>
          <w:lang w:eastAsia="en-US"/>
        </w:rPr>
        <w:t>NORMAS DE QUALIDADE PARA AS ÁGUAS SUBTERRÂNEAS (NQ)</w:t>
      </w:r>
    </w:p>
    <w:p w14:paraId="111D5208" w14:textId="3D4F6A89" w:rsidR="002E0FC5" w:rsidRPr="00AA7DF5" w:rsidRDefault="002E0FC5" w:rsidP="002E0FC5">
      <w:pPr>
        <w:spacing w:before="120" w:after="120" w:line="360" w:lineRule="auto"/>
        <w:ind w:left="850"/>
        <w:rPr>
          <w:b/>
          <w:szCs w:val="24"/>
          <w:lang w:eastAsia="en-US"/>
        </w:rPr>
      </w:pPr>
      <w:r w:rsidRPr="00AA7DF5">
        <w:rPr>
          <w:szCs w:val="24"/>
          <w:lang w:eastAsia="en-US"/>
        </w:rPr>
        <w:t xml:space="preserve">Nota 1: As NQ para os poluentes enumerados nas rubricas 3 a 7 são aplicáveis a partir de... [Serviço das Publicações: inserir a data = ao primeiro dia do mês seguinte a </w:t>
      </w:r>
      <w:r w:rsidRPr="00AA7DF5">
        <w:rPr>
          <w:strike/>
          <w:szCs w:val="24"/>
          <w:lang w:eastAsia="en-US"/>
        </w:rPr>
        <w:t>18</w:t>
      </w:r>
      <w:r w:rsidRPr="00AA7DF5">
        <w:rPr>
          <w:b/>
          <w:i/>
          <w:szCs w:val="24"/>
          <w:lang w:eastAsia="en-US"/>
        </w:rPr>
        <w:t>seis</w:t>
      </w:r>
      <w:r w:rsidRPr="00AA7DF5">
        <w:rPr>
          <w:szCs w:val="24"/>
          <w:lang w:eastAsia="en-US"/>
        </w:rPr>
        <w:t xml:space="preserve"> meses a contar da data de entrada em vigor da presente diretiva modificativa], com o objetivo de alcançar o bom estado químicos das águas, o mais tardar, até 22 de dezembro de 2033.</w:t>
      </w:r>
      <w:r w:rsidR="00BC5A8D" w:rsidRPr="00AA7DF5">
        <w:rPr>
          <w:b/>
          <w:szCs w:val="24"/>
          <w:lang w:eastAsia="en-US"/>
        </w:rPr>
        <w:t xml:space="preserve"> [Alt. 142]</w:t>
      </w:r>
    </w:p>
    <w:p w14:paraId="687FD350" w14:textId="77777777" w:rsidR="00BC5A8D" w:rsidRPr="00AA7DF5" w:rsidRDefault="002E0FC5" w:rsidP="002E0FC5">
      <w:pPr>
        <w:spacing w:before="120" w:after="120" w:line="360" w:lineRule="auto"/>
        <w:ind w:left="850"/>
        <w:rPr>
          <w:b/>
          <w:szCs w:val="24"/>
          <w:lang w:eastAsia="en-US"/>
        </w:rPr>
        <w:sectPr w:rsidR="00BC5A8D" w:rsidRPr="00AA7DF5">
          <w:footnotePr>
            <w:numRestart w:val="eachSect"/>
          </w:footnotePr>
          <w:endnotePr>
            <w:numFmt w:val="decimal"/>
          </w:endnotePr>
          <w:pgSz w:w="11909" w:h="16834"/>
          <w:pgMar w:top="1134" w:right="1417" w:bottom="1417" w:left="1417" w:header="1134" w:footer="567" w:gutter="0"/>
          <w:cols w:space="720"/>
        </w:sectPr>
      </w:pPr>
      <w:r w:rsidRPr="00AA7DF5">
        <w:rPr>
          <w:b/>
          <w:i/>
          <w:szCs w:val="24"/>
          <w:lang w:eastAsia="en-US"/>
        </w:rPr>
        <w:t>Se, para uma dada massa de águas subterrâneas, em particular uma massa de águas subterrâneas situada na rede ecológica de áreas especiais de conservação ao abrigo da Diretiva 92/43/CEE do Conselho, se considerar que as normas de qualidade das águas subterrâneas podem resultar num não cumprimento dos objetivos ambientais especificados no artigo 4.º da Diretiva 2000/60/CE para as massas de águas de superfície associadas ou provocar uma diminuição significativa da qualidade ambiental ou química dessas massas, ou eventuais danos significativos aos ecossistemas terrestres diretamente dependentes da massa de águas subterrâneas, devem ser estabelecidos limiares mais rigorosos em conformidade com o artigo 3.º e com o Anexo II da presente diretiva. Os programas e as medidas necessários em relação a esses limiares devem igualmente ser aplicáveis às atividades abrangidas pelo âmbito de aplicação da Diretiva 91/676/CEE.</w:t>
      </w:r>
      <w:r w:rsidR="00BC5A8D" w:rsidRPr="00AA7DF5">
        <w:rPr>
          <w:b/>
          <w:szCs w:val="24"/>
          <w:lang w:eastAsia="en-US"/>
        </w:rPr>
        <w:t xml:space="preserve"> [Alt. 143]</w:t>
      </w:r>
    </w:p>
    <w:p w14:paraId="2CE0C0DE" w14:textId="5B65B93A" w:rsidR="002E0FC5" w:rsidRPr="00AA7DF5" w:rsidRDefault="002E0FC5" w:rsidP="002E0FC5">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17"/>
        <w:gridCol w:w="4170"/>
        <w:gridCol w:w="2211"/>
        <w:gridCol w:w="1769"/>
        <w:gridCol w:w="1769"/>
        <w:gridCol w:w="2637"/>
      </w:tblGrid>
      <w:tr w:rsidR="002E0FC5" w:rsidRPr="00AA7DF5" w14:paraId="43457E87" w14:textId="77777777" w:rsidTr="00951B86">
        <w:trPr>
          <w:tblHeader/>
        </w:trPr>
        <w:tc>
          <w:tcPr>
            <w:tcW w:w="0" w:type="auto"/>
          </w:tcPr>
          <w:p w14:paraId="4553D4D2" w14:textId="77777777" w:rsidR="002E0FC5" w:rsidRPr="00AA7DF5" w:rsidRDefault="002E0FC5" w:rsidP="002E0FC5">
            <w:pPr>
              <w:spacing w:before="120" w:after="120" w:line="360" w:lineRule="auto"/>
              <w:rPr>
                <w:szCs w:val="24"/>
                <w:lang w:eastAsia="en-US"/>
              </w:rPr>
            </w:pPr>
            <w:r w:rsidRPr="00AA7DF5">
              <w:rPr>
                <w:szCs w:val="24"/>
                <w:lang w:eastAsia="en-US"/>
              </w:rPr>
              <w:t>(1)</w:t>
            </w:r>
          </w:p>
        </w:tc>
        <w:tc>
          <w:tcPr>
            <w:tcW w:w="0" w:type="auto"/>
          </w:tcPr>
          <w:p w14:paraId="3C1863C4" w14:textId="77777777" w:rsidR="002E0FC5" w:rsidRPr="00AA7DF5" w:rsidRDefault="002E0FC5" w:rsidP="002E0FC5">
            <w:pPr>
              <w:spacing w:before="120" w:after="120" w:line="360" w:lineRule="auto"/>
              <w:rPr>
                <w:szCs w:val="24"/>
                <w:lang w:eastAsia="en-US"/>
              </w:rPr>
            </w:pPr>
            <w:r w:rsidRPr="00AA7DF5">
              <w:rPr>
                <w:szCs w:val="24"/>
                <w:lang w:eastAsia="en-US"/>
              </w:rPr>
              <w:t>(2)</w:t>
            </w:r>
          </w:p>
        </w:tc>
        <w:tc>
          <w:tcPr>
            <w:tcW w:w="0" w:type="auto"/>
          </w:tcPr>
          <w:p w14:paraId="0EB82A20" w14:textId="77777777" w:rsidR="002E0FC5" w:rsidRPr="00AA7DF5" w:rsidRDefault="002E0FC5" w:rsidP="002E0FC5">
            <w:pPr>
              <w:spacing w:before="120" w:after="120" w:line="360" w:lineRule="auto"/>
              <w:rPr>
                <w:szCs w:val="24"/>
                <w:lang w:eastAsia="en-US"/>
              </w:rPr>
            </w:pPr>
            <w:r w:rsidRPr="00AA7DF5">
              <w:rPr>
                <w:szCs w:val="24"/>
                <w:lang w:eastAsia="en-US"/>
              </w:rPr>
              <w:t>(3)</w:t>
            </w:r>
          </w:p>
        </w:tc>
        <w:tc>
          <w:tcPr>
            <w:tcW w:w="0" w:type="auto"/>
          </w:tcPr>
          <w:p w14:paraId="4A34D1E2" w14:textId="77777777" w:rsidR="002E0FC5" w:rsidRPr="00AA7DF5" w:rsidRDefault="002E0FC5" w:rsidP="002E0FC5">
            <w:pPr>
              <w:spacing w:before="120" w:after="120" w:line="360" w:lineRule="auto"/>
              <w:rPr>
                <w:szCs w:val="24"/>
                <w:lang w:eastAsia="en-US"/>
              </w:rPr>
            </w:pPr>
            <w:r w:rsidRPr="00AA7DF5">
              <w:rPr>
                <w:szCs w:val="24"/>
                <w:lang w:eastAsia="en-US"/>
              </w:rPr>
              <w:t>(4)</w:t>
            </w:r>
          </w:p>
        </w:tc>
        <w:tc>
          <w:tcPr>
            <w:tcW w:w="0" w:type="auto"/>
          </w:tcPr>
          <w:p w14:paraId="6764B725" w14:textId="77777777" w:rsidR="002E0FC5" w:rsidRPr="00AA7DF5" w:rsidRDefault="002E0FC5" w:rsidP="002E0FC5">
            <w:pPr>
              <w:spacing w:before="120" w:after="120" w:line="360" w:lineRule="auto"/>
              <w:rPr>
                <w:szCs w:val="24"/>
                <w:lang w:eastAsia="en-US"/>
              </w:rPr>
            </w:pPr>
            <w:r w:rsidRPr="00AA7DF5">
              <w:rPr>
                <w:szCs w:val="24"/>
                <w:lang w:eastAsia="en-US"/>
              </w:rPr>
              <w:t>(5)</w:t>
            </w:r>
          </w:p>
        </w:tc>
        <w:tc>
          <w:tcPr>
            <w:tcW w:w="0" w:type="auto"/>
          </w:tcPr>
          <w:p w14:paraId="1DD303CD" w14:textId="77777777" w:rsidR="002E0FC5" w:rsidRPr="00AA7DF5" w:rsidRDefault="002E0FC5" w:rsidP="002E0FC5">
            <w:pPr>
              <w:spacing w:before="120" w:after="120" w:line="360" w:lineRule="auto"/>
              <w:rPr>
                <w:szCs w:val="24"/>
                <w:lang w:eastAsia="en-US"/>
              </w:rPr>
            </w:pPr>
            <w:r w:rsidRPr="00AA7DF5">
              <w:rPr>
                <w:szCs w:val="24"/>
                <w:lang w:eastAsia="en-US"/>
              </w:rPr>
              <w:t>(6)</w:t>
            </w:r>
          </w:p>
        </w:tc>
      </w:tr>
      <w:tr w:rsidR="002E0FC5" w:rsidRPr="00AA7DF5" w14:paraId="02439B77" w14:textId="77777777" w:rsidTr="00951B86">
        <w:tc>
          <w:tcPr>
            <w:tcW w:w="0" w:type="auto"/>
          </w:tcPr>
          <w:p w14:paraId="5C13DD94" w14:textId="77777777" w:rsidR="002E0FC5" w:rsidRPr="00AA7DF5" w:rsidRDefault="002E0FC5" w:rsidP="002E0FC5">
            <w:pPr>
              <w:spacing w:before="120" w:after="120" w:line="360" w:lineRule="auto"/>
              <w:rPr>
                <w:szCs w:val="24"/>
                <w:lang w:eastAsia="en-US"/>
              </w:rPr>
            </w:pPr>
            <w:r w:rsidRPr="00AA7DF5">
              <w:rPr>
                <w:szCs w:val="24"/>
                <w:lang w:eastAsia="en-US"/>
              </w:rPr>
              <w:t>[Rubrica] N.º</w:t>
            </w:r>
          </w:p>
        </w:tc>
        <w:tc>
          <w:tcPr>
            <w:tcW w:w="0" w:type="auto"/>
          </w:tcPr>
          <w:p w14:paraId="01285D1F" w14:textId="77777777" w:rsidR="002E0FC5" w:rsidRPr="00AA7DF5" w:rsidRDefault="002E0FC5" w:rsidP="002E0FC5">
            <w:pPr>
              <w:spacing w:before="120" w:after="120" w:line="360" w:lineRule="auto"/>
              <w:rPr>
                <w:szCs w:val="24"/>
                <w:lang w:eastAsia="en-US"/>
              </w:rPr>
            </w:pPr>
            <w:r w:rsidRPr="00AA7DF5">
              <w:rPr>
                <w:szCs w:val="24"/>
                <w:lang w:eastAsia="en-US"/>
              </w:rPr>
              <w:t>Nome da substância</w:t>
            </w:r>
          </w:p>
        </w:tc>
        <w:tc>
          <w:tcPr>
            <w:tcW w:w="0" w:type="auto"/>
          </w:tcPr>
          <w:p w14:paraId="04892663" w14:textId="77777777" w:rsidR="002E0FC5" w:rsidRPr="00AA7DF5" w:rsidRDefault="002E0FC5" w:rsidP="002E0FC5">
            <w:pPr>
              <w:spacing w:before="120" w:after="120" w:line="360" w:lineRule="auto"/>
              <w:rPr>
                <w:szCs w:val="24"/>
                <w:lang w:eastAsia="en-US"/>
              </w:rPr>
            </w:pPr>
            <w:r w:rsidRPr="00AA7DF5">
              <w:rPr>
                <w:szCs w:val="24"/>
                <w:lang w:eastAsia="en-US"/>
              </w:rPr>
              <w:t>Categoria de substâncias</w:t>
            </w:r>
          </w:p>
        </w:tc>
        <w:tc>
          <w:tcPr>
            <w:tcW w:w="0" w:type="auto"/>
          </w:tcPr>
          <w:p w14:paraId="1C925951" w14:textId="77777777" w:rsidR="002E0FC5" w:rsidRPr="00AA7DF5" w:rsidRDefault="002E0FC5" w:rsidP="002E0FC5">
            <w:pPr>
              <w:spacing w:before="120" w:after="120" w:line="360" w:lineRule="auto"/>
              <w:rPr>
                <w:szCs w:val="24"/>
                <w:lang w:eastAsia="en-US"/>
              </w:rPr>
            </w:pPr>
            <w:r w:rsidRPr="00AA7DF5">
              <w:rPr>
                <w:szCs w:val="24"/>
                <w:lang w:eastAsia="en-US"/>
              </w:rPr>
              <w:t xml:space="preserve">Número CAS </w:t>
            </w:r>
            <w:r w:rsidRPr="00AA7DF5">
              <w:rPr>
                <w:szCs w:val="24"/>
                <w:vertAlign w:val="superscript"/>
                <w:lang w:eastAsia="en-US"/>
              </w:rPr>
              <w:t>(1)</w:t>
            </w:r>
          </w:p>
        </w:tc>
        <w:tc>
          <w:tcPr>
            <w:tcW w:w="0" w:type="auto"/>
          </w:tcPr>
          <w:p w14:paraId="357943FD" w14:textId="77777777" w:rsidR="002E0FC5" w:rsidRPr="00AA7DF5" w:rsidRDefault="002E0FC5" w:rsidP="002E0FC5">
            <w:pPr>
              <w:spacing w:before="120" w:after="120" w:line="360" w:lineRule="auto"/>
              <w:rPr>
                <w:szCs w:val="24"/>
                <w:lang w:eastAsia="en-US"/>
              </w:rPr>
            </w:pPr>
            <w:r w:rsidRPr="00AA7DF5">
              <w:rPr>
                <w:szCs w:val="24"/>
                <w:lang w:eastAsia="en-US"/>
              </w:rPr>
              <w:t xml:space="preserve">Número UE </w:t>
            </w:r>
            <w:r w:rsidRPr="00AA7DF5">
              <w:rPr>
                <w:szCs w:val="24"/>
                <w:vertAlign w:val="superscript"/>
                <w:lang w:eastAsia="en-US"/>
              </w:rPr>
              <w:t>(2)</w:t>
            </w:r>
          </w:p>
        </w:tc>
        <w:tc>
          <w:tcPr>
            <w:tcW w:w="0" w:type="auto"/>
          </w:tcPr>
          <w:p w14:paraId="08320702" w14:textId="77777777" w:rsidR="002E0FC5" w:rsidRPr="00AA7DF5" w:rsidRDefault="002E0FC5" w:rsidP="002E0FC5">
            <w:pPr>
              <w:spacing w:before="120" w:after="120" w:line="360" w:lineRule="auto"/>
              <w:rPr>
                <w:szCs w:val="24"/>
                <w:lang w:eastAsia="en-US"/>
              </w:rPr>
            </w:pPr>
            <w:r w:rsidRPr="00AA7DF5">
              <w:rPr>
                <w:szCs w:val="24"/>
                <w:lang w:eastAsia="en-US"/>
              </w:rPr>
              <w:t xml:space="preserve">Norma de qualidade </w:t>
            </w:r>
            <w:r w:rsidRPr="00AA7DF5">
              <w:rPr>
                <w:szCs w:val="24"/>
                <w:vertAlign w:val="superscript"/>
                <w:lang w:eastAsia="en-US"/>
              </w:rPr>
              <w:t>(3)</w:t>
            </w:r>
            <w:r w:rsidRPr="00AA7DF5">
              <w:rPr>
                <w:szCs w:val="24"/>
                <w:lang w:eastAsia="en-US"/>
              </w:rPr>
              <w:t xml:space="preserve"> [µg/l, salvo indicação em contrário]</w:t>
            </w:r>
          </w:p>
        </w:tc>
      </w:tr>
      <w:tr w:rsidR="002E0FC5" w:rsidRPr="00AA7DF5" w14:paraId="693C56C9" w14:textId="77777777" w:rsidTr="00951B86">
        <w:tc>
          <w:tcPr>
            <w:tcW w:w="0" w:type="auto"/>
          </w:tcPr>
          <w:p w14:paraId="76AFDF7F" w14:textId="77777777" w:rsidR="002E0FC5" w:rsidRPr="00AA7DF5" w:rsidRDefault="002E0FC5" w:rsidP="002E0FC5">
            <w:pPr>
              <w:spacing w:before="120" w:after="120" w:line="360" w:lineRule="auto"/>
              <w:rPr>
                <w:szCs w:val="24"/>
                <w:lang w:eastAsia="en-US"/>
              </w:rPr>
            </w:pPr>
            <w:r w:rsidRPr="00AA7DF5">
              <w:rPr>
                <w:szCs w:val="24"/>
                <w:lang w:eastAsia="en-US"/>
              </w:rPr>
              <w:t>1</w:t>
            </w:r>
          </w:p>
        </w:tc>
        <w:tc>
          <w:tcPr>
            <w:tcW w:w="0" w:type="auto"/>
          </w:tcPr>
          <w:p w14:paraId="541DFEFA" w14:textId="77777777" w:rsidR="002E0FC5" w:rsidRPr="00AA7DF5" w:rsidRDefault="002E0FC5" w:rsidP="002E0FC5">
            <w:pPr>
              <w:spacing w:before="120" w:after="120" w:line="360" w:lineRule="auto"/>
              <w:rPr>
                <w:szCs w:val="24"/>
                <w:lang w:eastAsia="en-US"/>
              </w:rPr>
            </w:pPr>
            <w:r w:rsidRPr="00AA7DF5">
              <w:rPr>
                <w:szCs w:val="24"/>
                <w:lang w:eastAsia="en-US"/>
              </w:rPr>
              <w:t>Nitratos</w:t>
            </w:r>
          </w:p>
        </w:tc>
        <w:tc>
          <w:tcPr>
            <w:tcW w:w="0" w:type="auto"/>
          </w:tcPr>
          <w:p w14:paraId="1DCBA6B2" w14:textId="77777777" w:rsidR="002E0FC5" w:rsidRPr="00AA7DF5" w:rsidRDefault="002E0FC5" w:rsidP="002E0FC5">
            <w:pPr>
              <w:spacing w:before="120" w:after="120" w:line="360" w:lineRule="auto"/>
              <w:rPr>
                <w:szCs w:val="24"/>
                <w:lang w:eastAsia="en-US"/>
              </w:rPr>
            </w:pPr>
            <w:r w:rsidRPr="00AA7DF5">
              <w:rPr>
                <w:szCs w:val="24"/>
                <w:lang w:eastAsia="en-US"/>
              </w:rPr>
              <w:t>Nutrientes</w:t>
            </w:r>
          </w:p>
        </w:tc>
        <w:tc>
          <w:tcPr>
            <w:tcW w:w="0" w:type="auto"/>
          </w:tcPr>
          <w:p w14:paraId="28C6C764"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6CDC212A"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53F1404B" w14:textId="77777777" w:rsidR="002E0FC5" w:rsidRPr="00AA7DF5" w:rsidRDefault="002E0FC5" w:rsidP="002E0FC5">
            <w:pPr>
              <w:spacing w:before="120" w:after="120" w:line="360" w:lineRule="auto"/>
              <w:rPr>
                <w:szCs w:val="24"/>
                <w:lang w:eastAsia="en-US"/>
              </w:rPr>
            </w:pPr>
            <w:r w:rsidRPr="00AA7DF5">
              <w:rPr>
                <w:szCs w:val="24"/>
                <w:lang w:eastAsia="en-US"/>
              </w:rPr>
              <w:t>50 mg/l</w:t>
            </w:r>
          </w:p>
        </w:tc>
      </w:tr>
      <w:tr w:rsidR="002E0FC5" w:rsidRPr="00AA7DF5" w14:paraId="7F846884" w14:textId="77777777" w:rsidTr="00951B86">
        <w:tc>
          <w:tcPr>
            <w:tcW w:w="0" w:type="auto"/>
            <w:vMerge w:val="restart"/>
          </w:tcPr>
          <w:p w14:paraId="4ADA392E" w14:textId="291DFB5E" w:rsidR="002E0FC5" w:rsidRPr="00AA7DF5" w:rsidRDefault="002E0FC5" w:rsidP="002E0FC5">
            <w:pPr>
              <w:spacing w:before="120" w:after="120" w:line="360" w:lineRule="auto"/>
              <w:rPr>
                <w:b/>
                <w:szCs w:val="24"/>
                <w:lang w:eastAsia="en-US"/>
              </w:rPr>
            </w:pPr>
            <w:r w:rsidRPr="00AA7DF5">
              <w:rPr>
                <w:szCs w:val="24"/>
                <w:lang w:eastAsia="en-US"/>
              </w:rPr>
              <w:t>2</w:t>
            </w:r>
            <w:r w:rsidR="00ED2CFA" w:rsidRPr="00AA7DF5">
              <w:rPr>
                <w:b/>
                <w:szCs w:val="24"/>
                <w:lang w:eastAsia="en-US"/>
              </w:rPr>
              <w:t xml:space="preserve"> [Alt. 144]</w:t>
            </w:r>
          </w:p>
        </w:tc>
        <w:tc>
          <w:tcPr>
            <w:tcW w:w="0" w:type="auto"/>
            <w:vMerge w:val="restart"/>
          </w:tcPr>
          <w:p w14:paraId="30D08396" w14:textId="77777777" w:rsidR="002E0FC5" w:rsidRPr="00AA7DF5" w:rsidRDefault="002E0FC5" w:rsidP="002E0FC5">
            <w:pPr>
              <w:spacing w:before="120" w:after="120" w:line="360" w:lineRule="auto"/>
              <w:rPr>
                <w:szCs w:val="24"/>
                <w:lang w:eastAsia="en-US"/>
              </w:rPr>
            </w:pPr>
            <w:r w:rsidRPr="00AA7DF5">
              <w:rPr>
                <w:szCs w:val="24"/>
                <w:lang w:eastAsia="en-US"/>
              </w:rPr>
              <w:t xml:space="preserve">Substâncias ativas dos pesticidas, incluindo os respetivos metabolitos e produtos de degradação e de reação </w:t>
            </w:r>
            <w:r w:rsidRPr="00AA7DF5">
              <w:rPr>
                <w:szCs w:val="24"/>
                <w:vertAlign w:val="superscript"/>
                <w:lang w:eastAsia="en-US"/>
              </w:rPr>
              <w:t>(4)</w:t>
            </w:r>
          </w:p>
        </w:tc>
        <w:tc>
          <w:tcPr>
            <w:tcW w:w="0" w:type="auto"/>
            <w:vMerge w:val="restart"/>
          </w:tcPr>
          <w:p w14:paraId="4A54DE38" w14:textId="77777777" w:rsidR="002E0FC5" w:rsidRPr="00AA7DF5" w:rsidRDefault="002E0FC5" w:rsidP="002E0FC5">
            <w:pPr>
              <w:spacing w:before="120" w:after="120" w:line="360" w:lineRule="auto"/>
              <w:rPr>
                <w:szCs w:val="24"/>
                <w:lang w:eastAsia="en-US"/>
              </w:rPr>
            </w:pPr>
            <w:r w:rsidRPr="00AA7DF5">
              <w:rPr>
                <w:szCs w:val="24"/>
                <w:lang w:eastAsia="en-US"/>
              </w:rPr>
              <w:t>Pesticidas</w:t>
            </w:r>
          </w:p>
        </w:tc>
        <w:tc>
          <w:tcPr>
            <w:tcW w:w="0" w:type="auto"/>
            <w:vMerge w:val="restart"/>
          </w:tcPr>
          <w:p w14:paraId="34DDE42F"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vMerge w:val="restart"/>
          </w:tcPr>
          <w:p w14:paraId="3F87B0BF"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539468C6" w14:textId="564809A2" w:rsidR="002E0FC5" w:rsidRPr="00AA7DF5" w:rsidRDefault="002E0FC5" w:rsidP="002E0FC5">
            <w:pPr>
              <w:spacing w:before="120" w:after="120" w:line="360" w:lineRule="auto"/>
              <w:rPr>
                <w:szCs w:val="24"/>
                <w:lang w:eastAsia="en-US"/>
              </w:rPr>
            </w:pPr>
            <w:r w:rsidRPr="00AA7DF5">
              <w:rPr>
                <w:strike/>
                <w:szCs w:val="24"/>
                <w:lang w:eastAsia="en-US"/>
              </w:rPr>
              <w:t>0,1</w:t>
            </w:r>
            <w:r w:rsidR="00215909" w:rsidRPr="00AA7DF5">
              <w:rPr>
                <w:b/>
                <w:i/>
                <w:szCs w:val="24"/>
                <w:lang w:eastAsia="en-US"/>
              </w:rPr>
              <w:t>0,</w:t>
            </w:r>
            <w:r w:rsidR="00CF062F">
              <w:rPr>
                <w:b/>
                <w:i/>
                <w:szCs w:val="24"/>
                <w:lang w:eastAsia="en-US"/>
              </w:rPr>
              <w:t>0</w:t>
            </w:r>
            <w:r w:rsidR="00215909" w:rsidRPr="00AA7DF5">
              <w:rPr>
                <w:b/>
                <w:i/>
                <w:szCs w:val="24"/>
                <w:lang w:eastAsia="en-US"/>
              </w:rPr>
              <w:t>5</w:t>
            </w:r>
            <w:r w:rsidRPr="00AA7DF5">
              <w:rPr>
                <w:szCs w:val="24"/>
                <w:lang w:eastAsia="en-US"/>
              </w:rPr>
              <w:t xml:space="preserve"> (individual)</w:t>
            </w:r>
            <w:r w:rsidR="00215909" w:rsidRPr="00AA7DF5">
              <w:rPr>
                <w:szCs w:val="24"/>
                <w:lang w:eastAsia="en-US"/>
              </w:rPr>
              <w:t xml:space="preserve"> </w:t>
            </w:r>
            <w:r w:rsidR="00215909" w:rsidRPr="00AA7DF5">
              <w:rPr>
                <w:b/>
                <w:i/>
                <w:szCs w:val="24"/>
                <w:vertAlign w:val="superscript"/>
                <w:lang w:eastAsia="en-US"/>
              </w:rPr>
              <w:t>(4-A)</w:t>
            </w:r>
          </w:p>
        </w:tc>
      </w:tr>
      <w:tr w:rsidR="002E0FC5" w:rsidRPr="00AA7DF5" w14:paraId="088CC219" w14:textId="77777777" w:rsidTr="00951B86">
        <w:tc>
          <w:tcPr>
            <w:tcW w:w="0" w:type="auto"/>
            <w:vMerge/>
          </w:tcPr>
          <w:p w14:paraId="15AA8212" w14:textId="77777777" w:rsidR="002E0FC5" w:rsidRPr="00AA7DF5" w:rsidRDefault="002E0FC5" w:rsidP="002E0FC5">
            <w:pPr>
              <w:spacing w:before="120" w:after="120" w:line="360" w:lineRule="auto"/>
              <w:rPr>
                <w:szCs w:val="24"/>
                <w:lang w:eastAsia="en-US"/>
              </w:rPr>
            </w:pPr>
          </w:p>
        </w:tc>
        <w:tc>
          <w:tcPr>
            <w:tcW w:w="0" w:type="auto"/>
            <w:vMerge/>
          </w:tcPr>
          <w:p w14:paraId="494CB897" w14:textId="77777777" w:rsidR="002E0FC5" w:rsidRPr="00AA7DF5" w:rsidRDefault="002E0FC5" w:rsidP="002E0FC5">
            <w:pPr>
              <w:spacing w:before="120" w:after="120" w:line="360" w:lineRule="auto"/>
              <w:rPr>
                <w:szCs w:val="24"/>
                <w:lang w:eastAsia="en-US"/>
              </w:rPr>
            </w:pPr>
          </w:p>
        </w:tc>
        <w:tc>
          <w:tcPr>
            <w:tcW w:w="0" w:type="auto"/>
            <w:vMerge/>
          </w:tcPr>
          <w:p w14:paraId="1F5260B5" w14:textId="77777777" w:rsidR="002E0FC5" w:rsidRPr="00AA7DF5" w:rsidRDefault="002E0FC5" w:rsidP="002E0FC5">
            <w:pPr>
              <w:spacing w:before="120" w:after="120" w:line="360" w:lineRule="auto"/>
              <w:rPr>
                <w:szCs w:val="24"/>
                <w:lang w:eastAsia="en-US"/>
              </w:rPr>
            </w:pPr>
          </w:p>
        </w:tc>
        <w:tc>
          <w:tcPr>
            <w:tcW w:w="0" w:type="auto"/>
            <w:vMerge/>
          </w:tcPr>
          <w:p w14:paraId="3654D027" w14:textId="77777777" w:rsidR="002E0FC5" w:rsidRPr="00AA7DF5" w:rsidRDefault="002E0FC5" w:rsidP="002E0FC5">
            <w:pPr>
              <w:spacing w:before="120" w:after="120" w:line="360" w:lineRule="auto"/>
              <w:rPr>
                <w:szCs w:val="24"/>
                <w:lang w:eastAsia="en-US"/>
              </w:rPr>
            </w:pPr>
          </w:p>
        </w:tc>
        <w:tc>
          <w:tcPr>
            <w:tcW w:w="0" w:type="auto"/>
            <w:vMerge/>
          </w:tcPr>
          <w:p w14:paraId="6EC23E2F" w14:textId="77777777" w:rsidR="002E0FC5" w:rsidRPr="00AA7DF5" w:rsidRDefault="002E0FC5" w:rsidP="002E0FC5">
            <w:pPr>
              <w:spacing w:before="120" w:after="120" w:line="360" w:lineRule="auto"/>
              <w:rPr>
                <w:szCs w:val="24"/>
                <w:lang w:eastAsia="en-US"/>
              </w:rPr>
            </w:pPr>
          </w:p>
        </w:tc>
        <w:tc>
          <w:tcPr>
            <w:tcW w:w="0" w:type="auto"/>
          </w:tcPr>
          <w:p w14:paraId="2CD87EFF" w14:textId="4B99DAE3" w:rsidR="002E0FC5" w:rsidRPr="00AA7DF5" w:rsidRDefault="002E0FC5" w:rsidP="002E0FC5">
            <w:pPr>
              <w:spacing w:before="120" w:after="120" w:line="360" w:lineRule="auto"/>
              <w:rPr>
                <w:szCs w:val="24"/>
                <w:lang w:eastAsia="en-US"/>
              </w:rPr>
            </w:pPr>
            <w:r w:rsidRPr="00AA7DF5">
              <w:rPr>
                <w:strike/>
                <w:szCs w:val="24"/>
                <w:lang w:eastAsia="en-US"/>
              </w:rPr>
              <w:t>0,5</w:t>
            </w:r>
            <w:r w:rsidR="00215909" w:rsidRPr="00AA7DF5">
              <w:rPr>
                <w:b/>
                <w:i/>
                <w:szCs w:val="24"/>
                <w:lang w:eastAsia="en-US"/>
              </w:rPr>
              <w:t>0,25</w:t>
            </w:r>
            <w:r w:rsidRPr="00AA7DF5">
              <w:rPr>
                <w:szCs w:val="24"/>
                <w:lang w:eastAsia="en-US"/>
              </w:rPr>
              <w:t xml:space="preserve"> (total) </w:t>
            </w:r>
            <w:r w:rsidRPr="00AA7DF5">
              <w:rPr>
                <w:szCs w:val="24"/>
                <w:vertAlign w:val="superscript"/>
                <w:lang w:eastAsia="en-US"/>
              </w:rPr>
              <w:t>(5)</w:t>
            </w:r>
          </w:p>
        </w:tc>
      </w:tr>
      <w:tr w:rsidR="002E0FC5" w:rsidRPr="00AA7DF5" w14:paraId="0A05B055" w14:textId="77777777" w:rsidTr="00951B86">
        <w:tc>
          <w:tcPr>
            <w:tcW w:w="0" w:type="auto"/>
          </w:tcPr>
          <w:p w14:paraId="1AFEFB2C" w14:textId="77777777" w:rsidR="002E0FC5" w:rsidRPr="00AA7DF5" w:rsidRDefault="002E0FC5" w:rsidP="002E0FC5">
            <w:pPr>
              <w:spacing w:before="120" w:after="120" w:line="360" w:lineRule="auto"/>
              <w:rPr>
                <w:szCs w:val="24"/>
                <w:lang w:eastAsia="en-US"/>
              </w:rPr>
            </w:pPr>
            <w:r w:rsidRPr="00AA7DF5">
              <w:rPr>
                <w:szCs w:val="24"/>
                <w:lang w:eastAsia="en-US"/>
              </w:rPr>
              <w:t>3</w:t>
            </w:r>
          </w:p>
        </w:tc>
        <w:tc>
          <w:tcPr>
            <w:tcW w:w="0" w:type="auto"/>
          </w:tcPr>
          <w:p w14:paraId="42F68267" w14:textId="77777777" w:rsidR="002E0FC5" w:rsidRPr="00AA7DF5" w:rsidRDefault="002E0FC5" w:rsidP="002E0FC5">
            <w:pPr>
              <w:spacing w:before="120" w:after="120" w:line="360" w:lineRule="auto"/>
              <w:rPr>
                <w:szCs w:val="24"/>
                <w:lang w:eastAsia="en-US"/>
              </w:rPr>
            </w:pPr>
            <w:r w:rsidRPr="00AA7DF5">
              <w:rPr>
                <w:szCs w:val="24"/>
                <w:lang w:eastAsia="en-US"/>
              </w:rPr>
              <w:t xml:space="preserve">Substâncias </w:t>
            </w:r>
            <w:proofErr w:type="spellStart"/>
            <w:r w:rsidRPr="00AA7DF5">
              <w:rPr>
                <w:szCs w:val="24"/>
                <w:lang w:eastAsia="en-US"/>
              </w:rPr>
              <w:t>perfluoroalquiladas</w:t>
            </w:r>
            <w:proofErr w:type="spellEnd"/>
            <w:r w:rsidRPr="00AA7DF5">
              <w:rPr>
                <w:szCs w:val="24"/>
                <w:lang w:eastAsia="en-US"/>
              </w:rPr>
              <w:t xml:space="preserve"> e </w:t>
            </w:r>
            <w:proofErr w:type="spellStart"/>
            <w:r w:rsidRPr="00AA7DF5">
              <w:rPr>
                <w:szCs w:val="24"/>
                <w:lang w:eastAsia="en-US"/>
              </w:rPr>
              <w:t>polifluoroalquiladas</w:t>
            </w:r>
            <w:proofErr w:type="spellEnd"/>
            <w:r w:rsidRPr="00AA7DF5">
              <w:rPr>
                <w:szCs w:val="24"/>
                <w:lang w:eastAsia="en-US"/>
              </w:rPr>
              <w:t xml:space="preserve"> (PFAS) — soma das 24 </w:t>
            </w:r>
            <w:r w:rsidRPr="00AA7DF5">
              <w:rPr>
                <w:szCs w:val="24"/>
                <w:vertAlign w:val="superscript"/>
                <w:lang w:eastAsia="en-US"/>
              </w:rPr>
              <w:t>(6)</w:t>
            </w:r>
          </w:p>
        </w:tc>
        <w:tc>
          <w:tcPr>
            <w:tcW w:w="0" w:type="auto"/>
          </w:tcPr>
          <w:p w14:paraId="05F584D6" w14:textId="77777777" w:rsidR="002E0FC5" w:rsidRPr="00AA7DF5" w:rsidRDefault="002E0FC5" w:rsidP="002E0FC5">
            <w:pPr>
              <w:spacing w:before="120" w:after="120" w:line="360" w:lineRule="auto"/>
              <w:rPr>
                <w:szCs w:val="24"/>
                <w:lang w:eastAsia="en-US"/>
              </w:rPr>
            </w:pPr>
            <w:r w:rsidRPr="00AA7DF5">
              <w:rPr>
                <w:szCs w:val="24"/>
                <w:lang w:eastAsia="en-US"/>
              </w:rPr>
              <w:t>Substâncias industriais</w:t>
            </w:r>
          </w:p>
        </w:tc>
        <w:tc>
          <w:tcPr>
            <w:tcW w:w="0" w:type="auto"/>
          </w:tcPr>
          <w:p w14:paraId="36F5A9EF" w14:textId="77777777" w:rsidR="002E0FC5" w:rsidRPr="00AA7DF5" w:rsidRDefault="002E0FC5" w:rsidP="002E0FC5">
            <w:pPr>
              <w:spacing w:before="120" w:after="120" w:line="360" w:lineRule="auto"/>
              <w:rPr>
                <w:szCs w:val="24"/>
                <w:lang w:eastAsia="en-US"/>
              </w:rPr>
            </w:pPr>
            <w:r w:rsidRPr="00AA7DF5">
              <w:rPr>
                <w:szCs w:val="24"/>
                <w:lang w:eastAsia="en-US"/>
              </w:rPr>
              <w:t>Ver nota 6 do quadro</w:t>
            </w:r>
          </w:p>
        </w:tc>
        <w:tc>
          <w:tcPr>
            <w:tcW w:w="0" w:type="auto"/>
          </w:tcPr>
          <w:p w14:paraId="09850567" w14:textId="77777777" w:rsidR="002E0FC5" w:rsidRPr="00AA7DF5" w:rsidRDefault="002E0FC5" w:rsidP="002E0FC5">
            <w:pPr>
              <w:spacing w:before="120" w:after="120" w:line="360" w:lineRule="auto"/>
              <w:rPr>
                <w:szCs w:val="24"/>
                <w:lang w:eastAsia="en-US"/>
              </w:rPr>
            </w:pPr>
            <w:r w:rsidRPr="00AA7DF5">
              <w:rPr>
                <w:szCs w:val="24"/>
                <w:lang w:eastAsia="en-US"/>
              </w:rPr>
              <w:t>Ver nota 6 do quadro</w:t>
            </w:r>
          </w:p>
        </w:tc>
        <w:tc>
          <w:tcPr>
            <w:tcW w:w="0" w:type="auto"/>
          </w:tcPr>
          <w:p w14:paraId="4F2CF026" w14:textId="77777777" w:rsidR="002E0FC5" w:rsidRPr="00AA7DF5" w:rsidRDefault="002E0FC5" w:rsidP="002E0FC5">
            <w:pPr>
              <w:spacing w:before="120" w:after="120" w:line="360" w:lineRule="auto"/>
              <w:rPr>
                <w:szCs w:val="24"/>
                <w:lang w:eastAsia="en-US"/>
              </w:rPr>
            </w:pPr>
            <w:r w:rsidRPr="00AA7DF5">
              <w:rPr>
                <w:szCs w:val="24"/>
                <w:lang w:eastAsia="en-US"/>
              </w:rPr>
              <w:t xml:space="preserve">0,0044 </w:t>
            </w:r>
            <w:r w:rsidRPr="00AA7DF5">
              <w:rPr>
                <w:szCs w:val="24"/>
                <w:vertAlign w:val="superscript"/>
                <w:lang w:eastAsia="en-US"/>
              </w:rPr>
              <w:t>(7)</w:t>
            </w:r>
          </w:p>
        </w:tc>
      </w:tr>
      <w:tr w:rsidR="00ED2CFA" w:rsidRPr="00AA7DF5" w14:paraId="7CD54AF3" w14:textId="77777777" w:rsidTr="00951B86">
        <w:tc>
          <w:tcPr>
            <w:tcW w:w="0" w:type="auto"/>
          </w:tcPr>
          <w:p w14:paraId="3DCFADAB" w14:textId="668F90FF" w:rsidR="00ED2CFA" w:rsidRPr="00AA7DF5" w:rsidRDefault="00ED2CFA" w:rsidP="002E0FC5">
            <w:pPr>
              <w:spacing w:before="120" w:after="120" w:line="360" w:lineRule="auto"/>
              <w:rPr>
                <w:b/>
                <w:szCs w:val="24"/>
                <w:lang w:eastAsia="en-US"/>
              </w:rPr>
            </w:pPr>
            <w:r w:rsidRPr="00AA7DF5">
              <w:rPr>
                <w:b/>
                <w:i/>
                <w:szCs w:val="24"/>
                <w:lang w:eastAsia="en-US"/>
              </w:rPr>
              <w:t xml:space="preserve">3-A </w:t>
            </w:r>
            <w:r w:rsidRPr="00AA7DF5">
              <w:rPr>
                <w:b/>
                <w:szCs w:val="24"/>
                <w:lang w:eastAsia="en-US"/>
              </w:rPr>
              <w:t>[Alt. 145]</w:t>
            </w:r>
          </w:p>
        </w:tc>
        <w:tc>
          <w:tcPr>
            <w:tcW w:w="0" w:type="auto"/>
          </w:tcPr>
          <w:p w14:paraId="63464D30" w14:textId="72355389" w:rsidR="00ED2CFA" w:rsidRPr="00AA7DF5" w:rsidRDefault="001C70F8" w:rsidP="002E0FC5">
            <w:pPr>
              <w:spacing w:before="120" w:after="120" w:line="360" w:lineRule="auto"/>
              <w:rPr>
                <w:szCs w:val="24"/>
                <w:lang w:eastAsia="en-US"/>
              </w:rPr>
            </w:pPr>
            <w:r w:rsidRPr="00AA7DF5">
              <w:rPr>
                <w:b/>
                <w:i/>
                <w:szCs w:val="24"/>
              </w:rPr>
              <w:t xml:space="preserve">PFAS </w:t>
            </w:r>
            <w:r w:rsidRPr="00AA7DF5">
              <w:rPr>
                <w:b/>
                <w:i/>
                <w:szCs w:val="24"/>
              </w:rPr>
              <w:noBreakHyphen/>
              <w:t xml:space="preserve"> total</w:t>
            </w:r>
          </w:p>
        </w:tc>
        <w:tc>
          <w:tcPr>
            <w:tcW w:w="0" w:type="auto"/>
          </w:tcPr>
          <w:p w14:paraId="1B0C2300" w14:textId="79F03AF5" w:rsidR="00ED2CFA" w:rsidRPr="00AA7DF5" w:rsidRDefault="001C70F8" w:rsidP="002E0FC5">
            <w:pPr>
              <w:spacing w:before="120" w:after="120" w:line="360" w:lineRule="auto"/>
              <w:rPr>
                <w:b/>
                <w:i/>
                <w:szCs w:val="24"/>
                <w:lang w:eastAsia="en-US"/>
              </w:rPr>
            </w:pPr>
            <w:r w:rsidRPr="00AA7DF5">
              <w:rPr>
                <w:b/>
                <w:i/>
                <w:szCs w:val="24"/>
                <w:lang w:eastAsia="en-US"/>
              </w:rPr>
              <w:t>Substâncias industriais</w:t>
            </w:r>
          </w:p>
        </w:tc>
        <w:tc>
          <w:tcPr>
            <w:tcW w:w="0" w:type="auto"/>
          </w:tcPr>
          <w:p w14:paraId="3BA77471" w14:textId="00C19612" w:rsidR="00ED2CFA" w:rsidRPr="00AA7DF5" w:rsidRDefault="001C70F8" w:rsidP="002E0FC5">
            <w:pPr>
              <w:spacing w:before="120" w:after="120" w:line="360" w:lineRule="auto"/>
              <w:rPr>
                <w:b/>
                <w:i/>
                <w:szCs w:val="24"/>
                <w:lang w:eastAsia="en-US"/>
              </w:rPr>
            </w:pPr>
            <w:r w:rsidRPr="00AA7DF5">
              <w:rPr>
                <w:b/>
                <w:i/>
                <w:szCs w:val="24"/>
                <w:lang w:eastAsia="en-US"/>
              </w:rPr>
              <w:t>não aplicável</w:t>
            </w:r>
          </w:p>
        </w:tc>
        <w:tc>
          <w:tcPr>
            <w:tcW w:w="0" w:type="auto"/>
          </w:tcPr>
          <w:p w14:paraId="222AEACB" w14:textId="0E6C8EE3" w:rsidR="00ED2CFA" w:rsidRPr="00AA7DF5" w:rsidRDefault="001C70F8" w:rsidP="002E0FC5">
            <w:pPr>
              <w:spacing w:before="120" w:after="120" w:line="360" w:lineRule="auto"/>
              <w:rPr>
                <w:b/>
                <w:i/>
                <w:szCs w:val="24"/>
                <w:lang w:eastAsia="en-US"/>
              </w:rPr>
            </w:pPr>
            <w:r w:rsidRPr="00AA7DF5">
              <w:rPr>
                <w:b/>
                <w:i/>
                <w:szCs w:val="24"/>
                <w:lang w:eastAsia="en-US"/>
              </w:rPr>
              <w:t>não aplicável</w:t>
            </w:r>
          </w:p>
        </w:tc>
        <w:tc>
          <w:tcPr>
            <w:tcW w:w="0" w:type="auto"/>
          </w:tcPr>
          <w:p w14:paraId="637E3C1F" w14:textId="0BE414AC" w:rsidR="00ED2CFA" w:rsidRPr="00AA7DF5" w:rsidRDefault="001C70F8" w:rsidP="002E0FC5">
            <w:pPr>
              <w:spacing w:before="120" w:after="120" w:line="360" w:lineRule="auto"/>
              <w:rPr>
                <w:b/>
                <w:i/>
                <w:szCs w:val="24"/>
                <w:vertAlign w:val="superscript"/>
                <w:lang w:eastAsia="en-US"/>
              </w:rPr>
            </w:pPr>
            <w:r w:rsidRPr="00AA7DF5">
              <w:rPr>
                <w:b/>
                <w:i/>
                <w:szCs w:val="24"/>
                <w:vertAlign w:val="superscript"/>
                <w:lang w:eastAsia="en-US"/>
              </w:rPr>
              <w:t>(7-A)</w:t>
            </w:r>
          </w:p>
        </w:tc>
      </w:tr>
      <w:tr w:rsidR="002E0FC5" w:rsidRPr="00AA7DF5" w14:paraId="6A945D6C" w14:textId="77777777" w:rsidTr="00951B86">
        <w:tc>
          <w:tcPr>
            <w:tcW w:w="0" w:type="auto"/>
          </w:tcPr>
          <w:p w14:paraId="174A6E25" w14:textId="3C978702" w:rsidR="002E0FC5" w:rsidRPr="00AA7DF5" w:rsidRDefault="002E0FC5" w:rsidP="002E0FC5">
            <w:pPr>
              <w:spacing w:before="120" w:after="120" w:line="360" w:lineRule="auto"/>
              <w:rPr>
                <w:b/>
                <w:szCs w:val="24"/>
                <w:lang w:eastAsia="en-US"/>
              </w:rPr>
            </w:pPr>
            <w:r w:rsidRPr="00AA7DF5">
              <w:rPr>
                <w:szCs w:val="24"/>
                <w:lang w:eastAsia="en-US"/>
              </w:rPr>
              <w:lastRenderedPageBreak/>
              <w:t>4</w:t>
            </w:r>
            <w:r w:rsidR="00ED2CFA" w:rsidRPr="00AA7DF5">
              <w:rPr>
                <w:b/>
                <w:szCs w:val="24"/>
                <w:lang w:eastAsia="en-US"/>
              </w:rPr>
              <w:t xml:space="preserve"> [Alt. 146]</w:t>
            </w:r>
          </w:p>
        </w:tc>
        <w:tc>
          <w:tcPr>
            <w:tcW w:w="0" w:type="auto"/>
          </w:tcPr>
          <w:p w14:paraId="1D703CF0" w14:textId="77777777" w:rsidR="002E0FC5" w:rsidRPr="00AA7DF5" w:rsidRDefault="002E0FC5" w:rsidP="002E0FC5">
            <w:pPr>
              <w:spacing w:before="120" w:after="120" w:line="360" w:lineRule="auto"/>
              <w:rPr>
                <w:szCs w:val="24"/>
                <w:lang w:eastAsia="en-US"/>
              </w:rPr>
            </w:pPr>
            <w:r w:rsidRPr="00AA7DF5">
              <w:rPr>
                <w:szCs w:val="24"/>
                <w:lang w:eastAsia="en-US"/>
              </w:rPr>
              <w:t>Carbamazepina</w:t>
            </w:r>
          </w:p>
        </w:tc>
        <w:tc>
          <w:tcPr>
            <w:tcW w:w="0" w:type="auto"/>
          </w:tcPr>
          <w:p w14:paraId="75DE7F34" w14:textId="77777777" w:rsidR="002E0FC5" w:rsidRPr="00AA7DF5" w:rsidRDefault="002E0FC5" w:rsidP="002E0FC5">
            <w:pPr>
              <w:spacing w:before="120" w:after="120" w:line="360" w:lineRule="auto"/>
              <w:rPr>
                <w:szCs w:val="24"/>
                <w:lang w:eastAsia="en-US"/>
              </w:rPr>
            </w:pPr>
            <w:r w:rsidRPr="00AA7DF5">
              <w:rPr>
                <w:szCs w:val="24"/>
                <w:lang w:eastAsia="en-US"/>
              </w:rPr>
              <w:t>Produtos farmacêuticos</w:t>
            </w:r>
          </w:p>
        </w:tc>
        <w:tc>
          <w:tcPr>
            <w:tcW w:w="0" w:type="auto"/>
          </w:tcPr>
          <w:p w14:paraId="73C2DAAF" w14:textId="77777777" w:rsidR="002E0FC5" w:rsidRPr="00AA7DF5" w:rsidRDefault="002E0FC5" w:rsidP="002E0FC5">
            <w:pPr>
              <w:spacing w:before="120" w:after="120" w:line="360" w:lineRule="auto"/>
              <w:rPr>
                <w:szCs w:val="24"/>
                <w:lang w:eastAsia="en-US"/>
              </w:rPr>
            </w:pPr>
            <w:r w:rsidRPr="00AA7DF5">
              <w:rPr>
                <w:szCs w:val="24"/>
                <w:lang w:eastAsia="en-US"/>
              </w:rPr>
              <w:t>298- 46-4</w:t>
            </w:r>
          </w:p>
        </w:tc>
        <w:tc>
          <w:tcPr>
            <w:tcW w:w="0" w:type="auto"/>
          </w:tcPr>
          <w:p w14:paraId="154C61E4"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2E54141D" w14:textId="08FFEC83" w:rsidR="002E0FC5" w:rsidRPr="00AA7DF5" w:rsidRDefault="002E0FC5" w:rsidP="002E0FC5">
            <w:pPr>
              <w:spacing w:before="120" w:after="120" w:line="360" w:lineRule="auto"/>
              <w:rPr>
                <w:szCs w:val="24"/>
                <w:lang w:eastAsia="en-US"/>
              </w:rPr>
            </w:pPr>
            <w:r w:rsidRPr="00AA7DF5">
              <w:rPr>
                <w:strike/>
                <w:szCs w:val="24"/>
                <w:lang w:eastAsia="en-US"/>
              </w:rPr>
              <w:t>0,25</w:t>
            </w:r>
            <w:r w:rsidR="00215909" w:rsidRPr="00AA7DF5">
              <w:rPr>
                <w:b/>
                <w:i/>
                <w:szCs w:val="24"/>
                <w:lang w:eastAsia="en-US"/>
              </w:rPr>
              <w:t>0,025</w:t>
            </w:r>
          </w:p>
        </w:tc>
      </w:tr>
      <w:tr w:rsidR="002E0FC5" w:rsidRPr="00AA7DF5" w14:paraId="554193E3" w14:textId="77777777" w:rsidTr="00951B86">
        <w:tc>
          <w:tcPr>
            <w:tcW w:w="0" w:type="auto"/>
          </w:tcPr>
          <w:p w14:paraId="58D0DD9C" w14:textId="77777777" w:rsidR="002E0FC5" w:rsidRPr="00AA7DF5" w:rsidRDefault="002E0FC5" w:rsidP="002E0FC5">
            <w:pPr>
              <w:spacing w:before="120" w:after="120" w:line="360" w:lineRule="auto"/>
              <w:rPr>
                <w:szCs w:val="24"/>
                <w:lang w:eastAsia="en-US"/>
              </w:rPr>
            </w:pPr>
            <w:r w:rsidRPr="00AA7DF5">
              <w:rPr>
                <w:szCs w:val="24"/>
                <w:lang w:eastAsia="en-US"/>
              </w:rPr>
              <w:t>5</w:t>
            </w:r>
          </w:p>
        </w:tc>
        <w:tc>
          <w:tcPr>
            <w:tcW w:w="0" w:type="auto"/>
          </w:tcPr>
          <w:p w14:paraId="5FD2A0A8" w14:textId="77777777" w:rsidR="002E0FC5" w:rsidRPr="00AA7DF5" w:rsidRDefault="002E0FC5" w:rsidP="002E0FC5">
            <w:pPr>
              <w:spacing w:before="120" w:after="120" w:line="360" w:lineRule="auto"/>
              <w:rPr>
                <w:szCs w:val="24"/>
                <w:lang w:eastAsia="en-US"/>
              </w:rPr>
            </w:pPr>
            <w:proofErr w:type="spellStart"/>
            <w:r w:rsidRPr="00AA7DF5">
              <w:rPr>
                <w:szCs w:val="24"/>
                <w:lang w:eastAsia="en-US"/>
              </w:rPr>
              <w:t>Sulfametoxazole</w:t>
            </w:r>
            <w:proofErr w:type="spellEnd"/>
          </w:p>
        </w:tc>
        <w:tc>
          <w:tcPr>
            <w:tcW w:w="0" w:type="auto"/>
          </w:tcPr>
          <w:p w14:paraId="2E6A37F5" w14:textId="77777777" w:rsidR="002E0FC5" w:rsidRPr="00AA7DF5" w:rsidRDefault="002E0FC5" w:rsidP="002E0FC5">
            <w:pPr>
              <w:spacing w:before="120" w:after="120" w:line="360" w:lineRule="auto"/>
              <w:rPr>
                <w:szCs w:val="24"/>
                <w:lang w:eastAsia="en-US"/>
              </w:rPr>
            </w:pPr>
            <w:r w:rsidRPr="00AA7DF5">
              <w:rPr>
                <w:szCs w:val="24"/>
                <w:lang w:eastAsia="en-US"/>
              </w:rPr>
              <w:t>Produtos farmacêuticos</w:t>
            </w:r>
          </w:p>
        </w:tc>
        <w:tc>
          <w:tcPr>
            <w:tcW w:w="0" w:type="auto"/>
          </w:tcPr>
          <w:p w14:paraId="3BF16D33" w14:textId="77777777" w:rsidR="002E0FC5" w:rsidRPr="00AA7DF5" w:rsidRDefault="002E0FC5" w:rsidP="002E0FC5">
            <w:pPr>
              <w:spacing w:before="120" w:after="120" w:line="360" w:lineRule="auto"/>
              <w:rPr>
                <w:szCs w:val="24"/>
                <w:lang w:eastAsia="en-US"/>
              </w:rPr>
            </w:pPr>
            <w:r w:rsidRPr="00AA7DF5">
              <w:rPr>
                <w:szCs w:val="24"/>
                <w:lang w:eastAsia="en-US"/>
              </w:rPr>
              <w:t>723- 46-6</w:t>
            </w:r>
          </w:p>
        </w:tc>
        <w:tc>
          <w:tcPr>
            <w:tcW w:w="0" w:type="auto"/>
          </w:tcPr>
          <w:p w14:paraId="37F70409"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1A62A430" w14:textId="77777777" w:rsidR="002E0FC5" w:rsidRPr="00AA7DF5" w:rsidRDefault="002E0FC5" w:rsidP="002E0FC5">
            <w:pPr>
              <w:spacing w:before="120" w:after="120" w:line="360" w:lineRule="auto"/>
              <w:rPr>
                <w:szCs w:val="24"/>
                <w:lang w:eastAsia="en-US"/>
              </w:rPr>
            </w:pPr>
            <w:r w:rsidRPr="00AA7DF5">
              <w:rPr>
                <w:szCs w:val="24"/>
                <w:lang w:eastAsia="en-US"/>
              </w:rPr>
              <w:t>0,01</w:t>
            </w:r>
          </w:p>
        </w:tc>
      </w:tr>
      <w:tr w:rsidR="002E0FC5" w:rsidRPr="00AA7DF5" w14:paraId="77F0E4CE" w14:textId="77777777" w:rsidTr="00951B86">
        <w:tc>
          <w:tcPr>
            <w:tcW w:w="0" w:type="auto"/>
          </w:tcPr>
          <w:p w14:paraId="4FD34C1F" w14:textId="06B63D3D" w:rsidR="002E0FC5" w:rsidRPr="00AA7DF5" w:rsidRDefault="002E0FC5" w:rsidP="002E0FC5">
            <w:pPr>
              <w:spacing w:before="120" w:after="120" w:line="360" w:lineRule="auto"/>
              <w:rPr>
                <w:b/>
                <w:szCs w:val="24"/>
                <w:lang w:eastAsia="en-US"/>
              </w:rPr>
            </w:pPr>
            <w:r w:rsidRPr="00AA7DF5">
              <w:rPr>
                <w:szCs w:val="24"/>
                <w:lang w:eastAsia="en-US"/>
              </w:rPr>
              <w:t>6</w:t>
            </w:r>
            <w:r w:rsidR="00ED2CFA" w:rsidRPr="00AA7DF5">
              <w:rPr>
                <w:b/>
                <w:szCs w:val="24"/>
                <w:lang w:eastAsia="en-US"/>
              </w:rPr>
              <w:t xml:space="preserve"> [Alt. 147]</w:t>
            </w:r>
          </w:p>
        </w:tc>
        <w:tc>
          <w:tcPr>
            <w:tcW w:w="0" w:type="auto"/>
          </w:tcPr>
          <w:p w14:paraId="781C273C" w14:textId="77777777" w:rsidR="002E0FC5" w:rsidRPr="00AA7DF5" w:rsidRDefault="002E0FC5" w:rsidP="002E0FC5">
            <w:pPr>
              <w:spacing w:before="120" w:after="120" w:line="360" w:lineRule="auto"/>
              <w:rPr>
                <w:szCs w:val="24"/>
                <w:lang w:eastAsia="en-US"/>
              </w:rPr>
            </w:pPr>
            <w:r w:rsidRPr="00AA7DF5">
              <w:rPr>
                <w:szCs w:val="24"/>
                <w:lang w:eastAsia="en-US"/>
              </w:rPr>
              <w:t xml:space="preserve">Substâncias ativas farmacêuticas — total </w:t>
            </w:r>
            <w:r w:rsidRPr="00AA7DF5">
              <w:rPr>
                <w:szCs w:val="24"/>
                <w:vertAlign w:val="superscript"/>
                <w:lang w:eastAsia="en-US"/>
              </w:rPr>
              <w:t>(8)</w:t>
            </w:r>
          </w:p>
        </w:tc>
        <w:tc>
          <w:tcPr>
            <w:tcW w:w="0" w:type="auto"/>
          </w:tcPr>
          <w:p w14:paraId="6B1A312A" w14:textId="77777777" w:rsidR="002E0FC5" w:rsidRPr="00AA7DF5" w:rsidRDefault="002E0FC5" w:rsidP="002E0FC5">
            <w:pPr>
              <w:spacing w:before="120" w:after="120" w:line="360" w:lineRule="auto"/>
              <w:rPr>
                <w:szCs w:val="24"/>
                <w:lang w:eastAsia="en-US"/>
              </w:rPr>
            </w:pPr>
            <w:r w:rsidRPr="00AA7DF5">
              <w:rPr>
                <w:szCs w:val="24"/>
                <w:lang w:eastAsia="en-US"/>
              </w:rPr>
              <w:t>Produtos farmacêuticos</w:t>
            </w:r>
          </w:p>
        </w:tc>
        <w:tc>
          <w:tcPr>
            <w:tcW w:w="0" w:type="auto"/>
          </w:tcPr>
          <w:p w14:paraId="66DD0893"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489ED408"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10390E93" w14:textId="22787B98" w:rsidR="002E0FC5" w:rsidRPr="00AA7DF5" w:rsidRDefault="002E0FC5" w:rsidP="002E0FC5">
            <w:pPr>
              <w:spacing w:before="120" w:after="120" w:line="360" w:lineRule="auto"/>
              <w:rPr>
                <w:szCs w:val="24"/>
                <w:lang w:eastAsia="en-US"/>
              </w:rPr>
            </w:pPr>
            <w:r w:rsidRPr="00AA7DF5">
              <w:rPr>
                <w:strike/>
                <w:szCs w:val="24"/>
                <w:lang w:eastAsia="en-US"/>
              </w:rPr>
              <w:t>0,25</w:t>
            </w:r>
            <w:r w:rsidR="00215909" w:rsidRPr="00AA7DF5">
              <w:rPr>
                <w:b/>
                <w:i/>
                <w:szCs w:val="24"/>
                <w:lang w:eastAsia="en-US"/>
              </w:rPr>
              <w:t>0,025</w:t>
            </w:r>
          </w:p>
        </w:tc>
      </w:tr>
      <w:tr w:rsidR="002E0FC5" w:rsidRPr="00AA7DF5" w14:paraId="5C20F76E" w14:textId="77777777" w:rsidTr="00951B86">
        <w:tc>
          <w:tcPr>
            <w:tcW w:w="0" w:type="auto"/>
            <w:vMerge w:val="restart"/>
          </w:tcPr>
          <w:p w14:paraId="6F86B702" w14:textId="704C8A50" w:rsidR="002E0FC5" w:rsidRPr="00AA7DF5" w:rsidRDefault="002E0FC5" w:rsidP="002E0FC5">
            <w:pPr>
              <w:spacing w:before="120" w:after="120" w:line="360" w:lineRule="auto"/>
              <w:rPr>
                <w:b/>
                <w:szCs w:val="24"/>
                <w:lang w:eastAsia="en-US"/>
              </w:rPr>
            </w:pPr>
            <w:r w:rsidRPr="00AA7DF5">
              <w:rPr>
                <w:szCs w:val="24"/>
                <w:lang w:eastAsia="en-US"/>
              </w:rPr>
              <w:t>7</w:t>
            </w:r>
            <w:r w:rsidR="00ED2CFA" w:rsidRPr="00AA7DF5">
              <w:rPr>
                <w:b/>
                <w:szCs w:val="24"/>
                <w:lang w:eastAsia="en-US"/>
              </w:rPr>
              <w:t xml:space="preserve"> [Alt. 148]</w:t>
            </w:r>
          </w:p>
        </w:tc>
        <w:tc>
          <w:tcPr>
            <w:tcW w:w="0" w:type="auto"/>
            <w:vMerge w:val="restart"/>
          </w:tcPr>
          <w:p w14:paraId="1E27B174" w14:textId="77777777" w:rsidR="002E0FC5" w:rsidRPr="00AA7DF5" w:rsidRDefault="002E0FC5" w:rsidP="002E0FC5">
            <w:pPr>
              <w:spacing w:before="120" w:after="120" w:line="360" w:lineRule="auto"/>
              <w:rPr>
                <w:szCs w:val="24"/>
                <w:lang w:eastAsia="en-US"/>
              </w:rPr>
            </w:pPr>
            <w:r w:rsidRPr="00AA7DF5">
              <w:rPr>
                <w:szCs w:val="24"/>
                <w:lang w:eastAsia="en-US"/>
              </w:rPr>
              <w:t>Metabolitos de pesticidas não relevantes</w:t>
            </w:r>
          </w:p>
        </w:tc>
        <w:tc>
          <w:tcPr>
            <w:tcW w:w="0" w:type="auto"/>
            <w:vMerge w:val="restart"/>
          </w:tcPr>
          <w:p w14:paraId="73CF6E01" w14:textId="77777777" w:rsidR="002E0FC5" w:rsidRPr="00AA7DF5" w:rsidRDefault="002E0FC5" w:rsidP="002E0FC5">
            <w:pPr>
              <w:spacing w:before="120" w:after="120" w:line="360" w:lineRule="auto"/>
              <w:rPr>
                <w:szCs w:val="24"/>
                <w:lang w:eastAsia="en-US"/>
              </w:rPr>
            </w:pPr>
            <w:r w:rsidRPr="00AA7DF5">
              <w:rPr>
                <w:szCs w:val="24"/>
                <w:lang w:eastAsia="en-US"/>
              </w:rPr>
              <w:t>Pesticidas</w:t>
            </w:r>
          </w:p>
        </w:tc>
        <w:tc>
          <w:tcPr>
            <w:tcW w:w="0" w:type="auto"/>
            <w:vMerge w:val="restart"/>
          </w:tcPr>
          <w:p w14:paraId="77BC0569"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vMerge w:val="restart"/>
          </w:tcPr>
          <w:p w14:paraId="03288077" w14:textId="77777777" w:rsidR="002E0FC5" w:rsidRPr="00AA7DF5" w:rsidRDefault="002E0FC5" w:rsidP="002E0FC5">
            <w:pPr>
              <w:spacing w:before="120" w:after="120" w:line="360" w:lineRule="auto"/>
              <w:rPr>
                <w:szCs w:val="24"/>
                <w:lang w:eastAsia="en-US"/>
              </w:rPr>
            </w:pPr>
            <w:r w:rsidRPr="00AA7DF5">
              <w:rPr>
                <w:szCs w:val="24"/>
                <w:lang w:eastAsia="en-US"/>
              </w:rPr>
              <w:t>não aplicável</w:t>
            </w:r>
          </w:p>
        </w:tc>
        <w:tc>
          <w:tcPr>
            <w:tcW w:w="0" w:type="auto"/>
          </w:tcPr>
          <w:p w14:paraId="43D4F753" w14:textId="77777777" w:rsidR="002E0FC5" w:rsidRPr="00AA7DF5" w:rsidRDefault="002E0FC5" w:rsidP="002E0FC5">
            <w:pPr>
              <w:spacing w:before="120" w:after="120" w:line="360" w:lineRule="auto"/>
              <w:rPr>
                <w:szCs w:val="24"/>
                <w:lang w:eastAsia="en-US"/>
              </w:rPr>
            </w:pPr>
            <w:r w:rsidRPr="00AA7DF5">
              <w:rPr>
                <w:szCs w:val="24"/>
                <w:lang w:eastAsia="en-US"/>
              </w:rPr>
              <w:t xml:space="preserve">0,1 </w:t>
            </w:r>
            <w:r w:rsidRPr="00AA7DF5">
              <w:rPr>
                <w:strike/>
                <w:szCs w:val="24"/>
                <w:vertAlign w:val="superscript"/>
                <w:lang w:eastAsia="en-US"/>
              </w:rPr>
              <w:t>(9)</w:t>
            </w:r>
            <w:r w:rsidRPr="00AA7DF5">
              <w:rPr>
                <w:strike/>
                <w:szCs w:val="24"/>
                <w:lang w:eastAsia="en-US"/>
              </w:rPr>
              <w:t xml:space="preserve"> ou 1 </w:t>
            </w:r>
            <w:r w:rsidRPr="00AA7DF5">
              <w:rPr>
                <w:strike/>
                <w:szCs w:val="24"/>
                <w:vertAlign w:val="superscript"/>
                <w:lang w:eastAsia="en-US"/>
              </w:rPr>
              <w:t>(10)</w:t>
            </w:r>
            <w:r w:rsidRPr="00AA7DF5">
              <w:rPr>
                <w:strike/>
                <w:szCs w:val="24"/>
                <w:lang w:eastAsia="en-US"/>
              </w:rPr>
              <w:t xml:space="preserve"> ou 2,5 ou 5 </w:t>
            </w:r>
            <w:r w:rsidRPr="00AA7DF5">
              <w:rPr>
                <w:strike/>
                <w:szCs w:val="24"/>
                <w:vertAlign w:val="superscript"/>
                <w:lang w:eastAsia="en-US"/>
              </w:rPr>
              <w:t>(11)</w:t>
            </w:r>
            <w:r w:rsidRPr="00AA7DF5">
              <w:rPr>
                <w:strike/>
                <w:szCs w:val="24"/>
                <w:lang w:eastAsia="en-US"/>
              </w:rPr>
              <w:t xml:space="preserve"> </w:t>
            </w:r>
            <w:r w:rsidRPr="00AA7DF5">
              <w:rPr>
                <w:szCs w:val="24"/>
                <w:lang w:eastAsia="en-US"/>
              </w:rPr>
              <w:t>(individual)</w:t>
            </w:r>
          </w:p>
        </w:tc>
      </w:tr>
      <w:tr w:rsidR="002E0FC5" w:rsidRPr="00AA7DF5" w14:paraId="549DFBF2" w14:textId="77777777" w:rsidTr="00951B86">
        <w:tc>
          <w:tcPr>
            <w:tcW w:w="0" w:type="auto"/>
            <w:vMerge/>
          </w:tcPr>
          <w:p w14:paraId="77C1245A" w14:textId="77777777" w:rsidR="002E0FC5" w:rsidRPr="00AA7DF5" w:rsidRDefault="002E0FC5" w:rsidP="002E0FC5">
            <w:pPr>
              <w:spacing w:before="120" w:after="120" w:line="360" w:lineRule="auto"/>
              <w:rPr>
                <w:szCs w:val="24"/>
                <w:lang w:eastAsia="en-US"/>
              </w:rPr>
            </w:pPr>
          </w:p>
        </w:tc>
        <w:tc>
          <w:tcPr>
            <w:tcW w:w="0" w:type="auto"/>
            <w:vMerge/>
          </w:tcPr>
          <w:p w14:paraId="479C9864" w14:textId="77777777" w:rsidR="002E0FC5" w:rsidRPr="00AA7DF5" w:rsidRDefault="002E0FC5" w:rsidP="002E0FC5">
            <w:pPr>
              <w:spacing w:before="120" w:after="120" w:line="360" w:lineRule="auto"/>
              <w:rPr>
                <w:szCs w:val="24"/>
                <w:lang w:eastAsia="en-US"/>
              </w:rPr>
            </w:pPr>
          </w:p>
        </w:tc>
        <w:tc>
          <w:tcPr>
            <w:tcW w:w="0" w:type="auto"/>
            <w:vMerge/>
          </w:tcPr>
          <w:p w14:paraId="5D8F0C5E" w14:textId="77777777" w:rsidR="002E0FC5" w:rsidRPr="00AA7DF5" w:rsidRDefault="002E0FC5" w:rsidP="002E0FC5">
            <w:pPr>
              <w:spacing w:before="120" w:after="120" w:line="360" w:lineRule="auto"/>
              <w:rPr>
                <w:szCs w:val="24"/>
                <w:lang w:eastAsia="en-US"/>
              </w:rPr>
            </w:pPr>
          </w:p>
        </w:tc>
        <w:tc>
          <w:tcPr>
            <w:tcW w:w="0" w:type="auto"/>
            <w:vMerge/>
          </w:tcPr>
          <w:p w14:paraId="53DA5C65" w14:textId="77777777" w:rsidR="002E0FC5" w:rsidRPr="00AA7DF5" w:rsidRDefault="002E0FC5" w:rsidP="002E0FC5">
            <w:pPr>
              <w:spacing w:before="120" w:after="120" w:line="360" w:lineRule="auto"/>
              <w:rPr>
                <w:szCs w:val="24"/>
                <w:lang w:eastAsia="en-US"/>
              </w:rPr>
            </w:pPr>
          </w:p>
        </w:tc>
        <w:tc>
          <w:tcPr>
            <w:tcW w:w="0" w:type="auto"/>
            <w:vMerge/>
          </w:tcPr>
          <w:p w14:paraId="7B177E42" w14:textId="77777777" w:rsidR="002E0FC5" w:rsidRPr="00AA7DF5" w:rsidRDefault="002E0FC5" w:rsidP="002E0FC5">
            <w:pPr>
              <w:spacing w:before="120" w:after="120" w:line="360" w:lineRule="auto"/>
              <w:rPr>
                <w:szCs w:val="24"/>
                <w:lang w:eastAsia="en-US"/>
              </w:rPr>
            </w:pPr>
          </w:p>
        </w:tc>
        <w:tc>
          <w:tcPr>
            <w:tcW w:w="0" w:type="auto"/>
          </w:tcPr>
          <w:p w14:paraId="4F539593" w14:textId="77777777" w:rsidR="002E0FC5" w:rsidRPr="00AA7DF5" w:rsidRDefault="002E0FC5" w:rsidP="002E0FC5">
            <w:pPr>
              <w:spacing w:before="120" w:after="120" w:line="360" w:lineRule="auto"/>
              <w:rPr>
                <w:szCs w:val="24"/>
                <w:lang w:eastAsia="en-US"/>
              </w:rPr>
            </w:pPr>
            <w:r w:rsidRPr="00AA7DF5">
              <w:rPr>
                <w:szCs w:val="24"/>
                <w:lang w:eastAsia="en-US"/>
              </w:rPr>
              <w:t>0,5</w:t>
            </w:r>
            <w:r w:rsidRPr="00AA7DF5">
              <w:rPr>
                <w:szCs w:val="24"/>
                <w:vertAlign w:val="superscript"/>
                <w:lang w:eastAsia="en-US"/>
              </w:rPr>
              <w:t xml:space="preserve"> </w:t>
            </w:r>
            <w:r w:rsidRPr="00AA7DF5">
              <w:rPr>
                <w:strike/>
                <w:szCs w:val="24"/>
                <w:vertAlign w:val="superscript"/>
                <w:lang w:eastAsia="en-US"/>
              </w:rPr>
              <w:t>(9)</w:t>
            </w:r>
            <w:r w:rsidRPr="00AA7DF5">
              <w:rPr>
                <w:strike/>
                <w:szCs w:val="24"/>
                <w:lang w:eastAsia="en-US"/>
              </w:rPr>
              <w:t xml:space="preserve"> ou 5 </w:t>
            </w:r>
            <w:r w:rsidRPr="00AA7DF5">
              <w:rPr>
                <w:strike/>
                <w:szCs w:val="24"/>
                <w:vertAlign w:val="superscript"/>
                <w:lang w:eastAsia="en-US"/>
              </w:rPr>
              <w:t>(10)</w:t>
            </w:r>
            <w:r w:rsidRPr="00AA7DF5">
              <w:rPr>
                <w:strike/>
                <w:szCs w:val="24"/>
                <w:lang w:eastAsia="en-US"/>
              </w:rPr>
              <w:t xml:space="preserve"> ou 12,5 </w:t>
            </w:r>
            <w:r w:rsidRPr="00AA7DF5">
              <w:rPr>
                <w:strike/>
                <w:szCs w:val="24"/>
                <w:vertAlign w:val="superscript"/>
                <w:lang w:eastAsia="en-US"/>
              </w:rPr>
              <w:t>(11)</w:t>
            </w:r>
            <w:r w:rsidRPr="00AA7DF5">
              <w:rPr>
                <w:strike/>
                <w:szCs w:val="24"/>
                <w:lang w:eastAsia="en-US"/>
              </w:rPr>
              <w:t xml:space="preserve"> </w:t>
            </w:r>
            <w:r w:rsidRPr="00AA7DF5">
              <w:rPr>
                <w:szCs w:val="24"/>
                <w:lang w:eastAsia="en-US"/>
              </w:rPr>
              <w:t xml:space="preserve">(total) </w:t>
            </w:r>
            <w:r w:rsidRPr="00AA7DF5">
              <w:rPr>
                <w:szCs w:val="24"/>
                <w:vertAlign w:val="superscript"/>
                <w:lang w:eastAsia="en-US"/>
              </w:rPr>
              <w:t>(12)</w:t>
            </w:r>
          </w:p>
        </w:tc>
      </w:tr>
    </w:tbl>
    <w:p w14:paraId="45664C5A" w14:textId="77777777" w:rsidR="00BC5A8D" w:rsidRPr="00AA7DF5" w:rsidRDefault="00BC5A8D" w:rsidP="002E0FC5">
      <w:pPr>
        <w:spacing w:before="120" w:after="120" w:line="360" w:lineRule="auto"/>
        <w:ind w:left="1416" w:hanging="566"/>
        <w:rPr>
          <w:szCs w:val="24"/>
          <w:lang w:eastAsia="en-US"/>
        </w:rPr>
        <w:sectPr w:rsidR="00BC5A8D" w:rsidRPr="00AA7DF5" w:rsidSect="00AA7DF5">
          <w:footnotePr>
            <w:numRestart w:val="eachSect"/>
          </w:footnotePr>
          <w:endnotePr>
            <w:numFmt w:val="decimal"/>
          </w:endnotePr>
          <w:pgSz w:w="16834" w:h="11909" w:orient="landscape"/>
          <w:pgMar w:top="1417" w:right="1134" w:bottom="1417" w:left="1417" w:header="1134" w:footer="567" w:gutter="0"/>
          <w:cols w:space="720"/>
          <w:docGrid w:linePitch="326"/>
        </w:sectPr>
      </w:pPr>
    </w:p>
    <w:p w14:paraId="4BD7610F" w14:textId="55309F90"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(1)</w:t>
      </w:r>
      <w:r w:rsidRPr="00AA7DF5">
        <w:rPr>
          <w:szCs w:val="24"/>
          <w:lang w:eastAsia="en-US"/>
        </w:rPr>
        <w:tab/>
        <w:t xml:space="preserve">CAS: </w:t>
      </w:r>
      <w:proofErr w:type="spellStart"/>
      <w:r w:rsidRPr="00AA7DF5">
        <w:rPr>
          <w:szCs w:val="24"/>
          <w:lang w:eastAsia="en-US"/>
        </w:rPr>
        <w:t>Chemical</w:t>
      </w:r>
      <w:proofErr w:type="spellEnd"/>
      <w:r w:rsidRPr="00AA7DF5">
        <w:rPr>
          <w:szCs w:val="24"/>
          <w:lang w:eastAsia="en-US"/>
        </w:rPr>
        <w:t xml:space="preserve"> </w:t>
      </w:r>
      <w:proofErr w:type="spellStart"/>
      <w:r w:rsidRPr="00AA7DF5">
        <w:rPr>
          <w:szCs w:val="24"/>
          <w:lang w:eastAsia="en-US"/>
        </w:rPr>
        <w:t>Abstracts</w:t>
      </w:r>
      <w:proofErr w:type="spellEnd"/>
      <w:r w:rsidRPr="00AA7DF5">
        <w:rPr>
          <w:szCs w:val="24"/>
          <w:lang w:eastAsia="en-US"/>
        </w:rPr>
        <w:t xml:space="preserve"> Service.</w:t>
      </w:r>
    </w:p>
    <w:p w14:paraId="20B356BD"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w:t>
      </w:r>
      <w:r w:rsidRPr="00AA7DF5">
        <w:rPr>
          <w:szCs w:val="24"/>
          <w:lang w:eastAsia="en-US"/>
        </w:rPr>
        <w:tab/>
        <w:t>Número UE: Inventário Europeu das Substâncias Químicas Existentes no Mercado (EINECS) ou Lista Europeia das Substâncias Químicas Notificadas (ELINCS).</w:t>
      </w:r>
    </w:p>
    <w:p w14:paraId="1B1365C8"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(3)</w:t>
      </w:r>
      <w:r w:rsidRPr="00AA7DF5">
        <w:rPr>
          <w:szCs w:val="24"/>
          <w:lang w:eastAsia="en-US"/>
        </w:rPr>
        <w:tab/>
        <w:t>Este parâmetro constitui a NQ expressa em valor médio anual. Salvo indicação em contrário, aplica-se à concentração total de todas as substâncias e isómeros.</w:t>
      </w:r>
    </w:p>
    <w:p w14:paraId="52346A52"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(4)</w:t>
      </w:r>
      <w:r w:rsidRPr="00AA7DF5">
        <w:rPr>
          <w:szCs w:val="24"/>
          <w:lang w:eastAsia="en-US"/>
        </w:rPr>
        <w:tab/>
        <w:t>Entende-se por «pesticidas» os produtos fitofarmacêuticos e os produtos biocidas a que se referem, respetivamente, o artigo 2.º do Regulamento (CE) n.º 1107/2009 do Parlamento Europeu e do Conselho, de 21 de outubro de 2009, relativo à colocação dos produtos fitofarmacêuticos no mercado, e o artigo 3.º do Regulamento (UE) n.º 528/2012 do Parlamento Europeu e do Conselho, de 22 de maio de 2012, relativo à disponibilização no mercado e à utilização de produtos biocidas.</w:t>
      </w:r>
    </w:p>
    <w:p w14:paraId="3FDF9C43" w14:textId="063A6937" w:rsidR="002E0FC5" w:rsidRPr="00AA7DF5" w:rsidRDefault="00215909" w:rsidP="002E0FC5">
      <w:pPr>
        <w:spacing w:before="120" w:after="120" w:line="360" w:lineRule="auto"/>
        <w:ind w:left="1416" w:hanging="566"/>
        <w:rPr>
          <w:szCs w:val="24"/>
          <w:lang w:eastAsia="en-US"/>
        </w:rPr>
      </w:pPr>
      <w:r w:rsidRPr="00AA7DF5">
        <w:rPr>
          <w:b/>
          <w:i/>
          <w:szCs w:val="24"/>
          <w:vertAlign w:val="superscript"/>
          <w:lang w:eastAsia="en-US"/>
        </w:rPr>
        <w:t>(</w:t>
      </w:r>
      <w:r w:rsidR="002E0FC5" w:rsidRPr="00AA7DF5">
        <w:rPr>
          <w:b/>
          <w:i/>
          <w:szCs w:val="24"/>
          <w:vertAlign w:val="superscript"/>
          <w:lang w:eastAsia="en-US"/>
        </w:rPr>
        <w:t>4</w:t>
      </w:r>
      <w:r w:rsidRPr="00AA7DF5">
        <w:rPr>
          <w:b/>
          <w:i/>
          <w:szCs w:val="24"/>
          <w:vertAlign w:val="superscript"/>
          <w:lang w:eastAsia="en-US"/>
        </w:rPr>
        <w:t>-A)</w:t>
      </w:r>
      <w:r w:rsidR="002E0FC5" w:rsidRPr="00AA7DF5">
        <w:rPr>
          <w:szCs w:val="24"/>
          <w:lang w:eastAsia="en-US"/>
        </w:rPr>
        <w:tab/>
      </w:r>
      <w:r w:rsidR="002E0FC5" w:rsidRPr="00AA7DF5">
        <w:rPr>
          <w:b/>
          <w:i/>
          <w:szCs w:val="24"/>
          <w:lang w:eastAsia="en-US"/>
        </w:rPr>
        <w:t>Este limiar só é aplicável na pendência da revisão da Comissão.</w:t>
      </w:r>
    </w:p>
    <w:p w14:paraId="007A9354"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(5)</w:t>
      </w:r>
      <w:r w:rsidRPr="00AA7DF5">
        <w:rPr>
          <w:szCs w:val="24"/>
          <w:lang w:eastAsia="en-US"/>
        </w:rPr>
        <w:tab/>
        <w:t>Entende-se por «total» a soma de todos os pesticidas individuais detetados e quantificados durante o processo de monitorização, incluindo os respetivos metabolitos e produtos de degradação e de reação.</w:t>
      </w:r>
      <w:r w:rsidRPr="00AA7DF5">
        <w:rPr>
          <w:b/>
          <w:i/>
          <w:szCs w:val="24"/>
          <w:lang w:eastAsia="en-US"/>
        </w:rPr>
        <w:t xml:space="preserve"> O limiar fixado para a soma de todos os pesticidas individuais só é aplicável na pendência da revisão da Comissão.</w:t>
      </w:r>
    </w:p>
    <w:p w14:paraId="1BB666B0" w14:textId="77777777" w:rsidR="00215909" w:rsidRPr="00AA7DF5" w:rsidRDefault="00215909">
      <w:pPr>
        <w:widowControl/>
        <w:rPr>
          <w:szCs w:val="24"/>
          <w:vertAlign w:val="superscript"/>
          <w:lang w:eastAsia="en-US"/>
        </w:rPr>
      </w:pPr>
      <w:r w:rsidRPr="00AA7DF5">
        <w:rPr>
          <w:szCs w:val="24"/>
          <w:vertAlign w:val="superscript"/>
          <w:lang w:eastAsia="en-US"/>
        </w:rPr>
        <w:br w:type="page"/>
      </w:r>
    </w:p>
    <w:p w14:paraId="7CBD5948" w14:textId="07171D57" w:rsidR="00215909" w:rsidRPr="00AA7DF5" w:rsidRDefault="002E0FC5" w:rsidP="00AA7DF5">
      <w:pPr>
        <w:spacing w:before="120" w:after="120" w:line="360" w:lineRule="auto"/>
        <w:ind w:left="1416" w:hanging="566"/>
        <w:rPr>
          <w:szCs w:val="24"/>
          <w:lang w:eastAsia="en-US"/>
        </w:rPr>
      </w:pPr>
      <w:r w:rsidRPr="00AA7DF5">
        <w:rPr>
          <w:szCs w:val="24"/>
          <w:vertAlign w:val="superscript"/>
          <w:lang w:eastAsia="en-US"/>
        </w:rPr>
        <w:lastRenderedPageBreak/>
        <w:t>(6)</w:t>
      </w:r>
      <w:r w:rsidRPr="00AA7DF5">
        <w:rPr>
          <w:szCs w:val="24"/>
          <w:lang w:eastAsia="en-US"/>
        </w:rPr>
        <w:tab/>
        <w:t xml:space="preserve">Refere-se aos seguintes compostos, enumerados com os respetivos números CAS e UE e o seu fator de potência relativa (RPF): Ácido </w:t>
      </w:r>
      <w:proofErr w:type="spellStart"/>
      <w:r w:rsidRPr="00AA7DF5">
        <w:rPr>
          <w:szCs w:val="24"/>
          <w:lang w:eastAsia="en-US"/>
        </w:rPr>
        <w:t>perfluoro-octanoico</w:t>
      </w:r>
      <w:proofErr w:type="spellEnd"/>
      <w:r w:rsidRPr="00AA7DF5">
        <w:rPr>
          <w:szCs w:val="24"/>
          <w:lang w:eastAsia="en-US"/>
        </w:rPr>
        <w:t xml:space="preserve"> (PFOA) (n.º CAS 335-67-1, n.º UE 206-397-9) (RPF 1), ácido </w:t>
      </w:r>
      <w:proofErr w:type="spellStart"/>
      <w:r w:rsidRPr="00AA7DF5">
        <w:rPr>
          <w:szCs w:val="24"/>
          <w:lang w:eastAsia="en-US"/>
        </w:rPr>
        <w:t>perfluoro-octanossulfónico</w:t>
      </w:r>
      <w:proofErr w:type="spellEnd"/>
      <w:r w:rsidRPr="00AA7DF5">
        <w:rPr>
          <w:szCs w:val="24"/>
          <w:lang w:eastAsia="en-US"/>
        </w:rPr>
        <w:t xml:space="preserve"> (PFOS) (n.º CAS 1763-23-1, n.º UE 217-179-8) (RPF 2), ácido </w:t>
      </w:r>
      <w:proofErr w:type="spellStart"/>
      <w:r w:rsidRPr="00AA7DF5">
        <w:rPr>
          <w:szCs w:val="24"/>
          <w:lang w:eastAsia="en-US"/>
        </w:rPr>
        <w:t>perfluoro-hexanossulfónico</w:t>
      </w:r>
      <w:proofErr w:type="spellEnd"/>
      <w:r w:rsidRPr="00AA7DF5">
        <w:rPr>
          <w:szCs w:val="24"/>
          <w:lang w:eastAsia="en-US"/>
        </w:rPr>
        <w:t xml:space="preserve"> (</w:t>
      </w:r>
      <w:proofErr w:type="spellStart"/>
      <w:r w:rsidRPr="00AA7DF5">
        <w:rPr>
          <w:szCs w:val="24"/>
          <w:lang w:eastAsia="en-US"/>
        </w:rPr>
        <w:t>PFHxS</w:t>
      </w:r>
      <w:proofErr w:type="spellEnd"/>
      <w:r w:rsidRPr="00AA7DF5">
        <w:rPr>
          <w:szCs w:val="24"/>
          <w:lang w:eastAsia="en-US"/>
        </w:rPr>
        <w:t xml:space="preserve">) (n.º CAS 355-46-4, n.º UE 206-587-1) (RPF 0,6), ácido </w:t>
      </w:r>
      <w:proofErr w:type="spellStart"/>
      <w:r w:rsidRPr="00AA7DF5">
        <w:rPr>
          <w:szCs w:val="24"/>
          <w:lang w:eastAsia="en-US"/>
        </w:rPr>
        <w:t>perfluorononanoico</w:t>
      </w:r>
      <w:proofErr w:type="spellEnd"/>
      <w:r w:rsidRPr="00AA7DF5">
        <w:rPr>
          <w:szCs w:val="24"/>
          <w:lang w:eastAsia="en-US"/>
        </w:rPr>
        <w:t xml:space="preserve"> (PFNA) (n.º CAS 375-95-1, n.º UE 206-801-3) (RPF 10), ácido </w:t>
      </w:r>
      <w:proofErr w:type="spellStart"/>
      <w:r w:rsidRPr="00AA7DF5">
        <w:rPr>
          <w:szCs w:val="24"/>
          <w:lang w:eastAsia="en-US"/>
        </w:rPr>
        <w:t>perfluorobutanossulfónico</w:t>
      </w:r>
      <w:proofErr w:type="spellEnd"/>
      <w:r w:rsidRPr="00AA7DF5">
        <w:rPr>
          <w:szCs w:val="24"/>
          <w:lang w:eastAsia="en-US"/>
        </w:rPr>
        <w:t xml:space="preserve"> (PFBS) (n.º CAS 375-73-5, n.º UE 206-793-1) (RPF 0,001), ácido </w:t>
      </w:r>
      <w:proofErr w:type="spellStart"/>
      <w:r w:rsidRPr="00AA7DF5">
        <w:rPr>
          <w:szCs w:val="24"/>
          <w:lang w:eastAsia="en-US"/>
        </w:rPr>
        <w:t>perfluoro-hexanoico</w:t>
      </w:r>
      <w:proofErr w:type="spellEnd"/>
      <w:r w:rsidRPr="00AA7DF5">
        <w:rPr>
          <w:szCs w:val="24"/>
          <w:lang w:eastAsia="en-US"/>
        </w:rPr>
        <w:t xml:space="preserve"> (</w:t>
      </w:r>
      <w:proofErr w:type="spellStart"/>
      <w:r w:rsidRPr="00AA7DF5">
        <w:rPr>
          <w:szCs w:val="24"/>
          <w:lang w:eastAsia="en-US"/>
        </w:rPr>
        <w:t>PFHxA</w:t>
      </w:r>
      <w:proofErr w:type="spellEnd"/>
      <w:r w:rsidRPr="00AA7DF5">
        <w:rPr>
          <w:szCs w:val="24"/>
          <w:lang w:eastAsia="en-US"/>
        </w:rPr>
        <w:t xml:space="preserve">) (n.º CAS 307-24-4, n.º UE 206-196-6) (RPF 0,01), ácido </w:t>
      </w:r>
      <w:proofErr w:type="spellStart"/>
      <w:r w:rsidRPr="00AA7DF5">
        <w:rPr>
          <w:szCs w:val="24"/>
          <w:lang w:eastAsia="en-US"/>
        </w:rPr>
        <w:t>perfluorobutanoico</w:t>
      </w:r>
      <w:proofErr w:type="spellEnd"/>
      <w:r w:rsidRPr="00AA7DF5">
        <w:rPr>
          <w:szCs w:val="24"/>
          <w:lang w:eastAsia="en-US"/>
        </w:rPr>
        <w:t xml:space="preserve"> (PFBA) (n.º CAS 375-22-4, n.º UE 206-786-3) (RPF 0,05), ácido </w:t>
      </w:r>
      <w:proofErr w:type="spellStart"/>
      <w:r w:rsidRPr="00AA7DF5">
        <w:rPr>
          <w:szCs w:val="24"/>
          <w:lang w:eastAsia="en-US"/>
        </w:rPr>
        <w:t>perfluoropentanoico</w:t>
      </w:r>
      <w:proofErr w:type="spellEnd"/>
      <w:r w:rsidRPr="00AA7DF5">
        <w:rPr>
          <w:szCs w:val="24"/>
          <w:lang w:eastAsia="en-US"/>
        </w:rPr>
        <w:t xml:space="preserve"> (</w:t>
      </w:r>
      <w:proofErr w:type="spellStart"/>
      <w:r w:rsidRPr="00AA7DF5">
        <w:rPr>
          <w:szCs w:val="24"/>
          <w:lang w:eastAsia="en-US"/>
        </w:rPr>
        <w:t>PFPeA</w:t>
      </w:r>
      <w:proofErr w:type="spellEnd"/>
      <w:r w:rsidRPr="00AA7DF5">
        <w:rPr>
          <w:szCs w:val="24"/>
          <w:lang w:eastAsia="en-US"/>
        </w:rPr>
        <w:t xml:space="preserve">) (n.º CAS 2706-90-3, n.º UE 220-300-7) (RPF 0,03), ácido </w:t>
      </w:r>
      <w:proofErr w:type="spellStart"/>
      <w:r w:rsidRPr="00AA7DF5">
        <w:rPr>
          <w:szCs w:val="24"/>
          <w:lang w:eastAsia="en-US"/>
        </w:rPr>
        <w:t>perfluoropentanossulfónico</w:t>
      </w:r>
      <w:proofErr w:type="spellEnd"/>
      <w:r w:rsidRPr="00AA7DF5">
        <w:rPr>
          <w:szCs w:val="24"/>
          <w:lang w:eastAsia="en-US"/>
        </w:rPr>
        <w:t xml:space="preserve"> (</w:t>
      </w:r>
      <w:proofErr w:type="spellStart"/>
      <w:r w:rsidRPr="00AA7DF5">
        <w:rPr>
          <w:szCs w:val="24"/>
          <w:lang w:eastAsia="en-US"/>
        </w:rPr>
        <w:t>PFPeS</w:t>
      </w:r>
      <w:proofErr w:type="spellEnd"/>
      <w:r w:rsidRPr="00AA7DF5">
        <w:rPr>
          <w:szCs w:val="24"/>
          <w:lang w:eastAsia="en-US"/>
        </w:rPr>
        <w:t xml:space="preserve">) (n.º CAS 2706-91-4, n.º UE 220-301-2) (RPF 0,3005), ácido </w:t>
      </w:r>
      <w:proofErr w:type="spellStart"/>
      <w:r w:rsidRPr="00AA7DF5">
        <w:rPr>
          <w:szCs w:val="24"/>
          <w:lang w:eastAsia="en-US"/>
        </w:rPr>
        <w:t>perfluorodecanoico</w:t>
      </w:r>
      <w:proofErr w:type="spellEnd"/>
      <w:r w:rsidRPr="00AA7DF5">
        <w:rPr>
          <w:szCs w:val="24"/>
          <w:lang w:eastAsia="en-US"/>
        </w:rPr>
        <w:t xml:space="preserve"> (PFDA) (n.º CAS 335-76-2, n.º UE 206-400-3) (RPF 7), ácido </w:t>
      </w:r>
      <w:proofErr w:type="spellStart"/>
      <w:r w:rsidRPr="00AA7DF5">
        <w:rPr>
          <w:szCs w:val="24"/>
          <w:lang w:eastAsia="en-US"/>
        </w:rPr>
        <w:t>perfluorododecanoico</w:t>
      </w:r>
      <w:proofErr w:type="spellEnd"/>
      <w:r w:rsidRPr="00AA7DF5">
        <w:rPr>
          <w:szCs w:val="24"/>
          <w:lang w:eastAsia="en-US"/>
        </w:rPr>
        <w:t xml:space="preserve"> (</w:t>
      </w:r>
      <w:proofErr w:type="spellStart"/>
      <w:r w:rsidRPr="00AA7DF5">
        <w:rPr>
          <w:szCs w:val="24"/>
          <w:lang w:eastAsia="en-US"/>
        </w:rPr>
        <w:t>PFDoDA</w:t>
      </w:r>
      <w:proofErr w:type="spellEnd"/>
      <w:r w:rsidRPr="00AA7DF5">
        <w:rPr>
          <w:szCs w:val="24"/>
          <w:lang w:eastAsia="en-US"/>
        </w:rPr>
        <w:t xml:space="preserve"> ou </w:t>
      </w:r>
      <w:proofErr w:type="spellStart"/>
      <w:r w:rsidRPr="00AA7DF5">
        <w:rPr>
          <w:szCs w:val="24"/>
          <w:lang w:eastAsia="en-US"/>
        </w:rPr>
        <w:t>PFDoA</w:t>
      </w:r>
      <w:proofErr w:type="spellEnd"/>
      <w:r w:rsidRPr="00AA7DF5">
        <w:rPr>
          <w:szCs w:val="24"/>
          <w:lang w:eastAsia="en-US"/>
        </w:rPr>
        <w:t xml:space="preserve">) (n.º CAS 307-55-1, n.º UE 206-203-2) (RPF 3), ácido </w:t>
      </w:r>
      <w:proofErr w:type="spellStart"/>
      <w:r w:rsidRPr="00AA7DF5">
        <w:rPr>
          <w:szCs w:val="24"/>
          <w:lang w:eastAsia="en-US"/>
        </w:rPr>
        <w:t>perfluoroundecanoico</w:t>
      </w:r>
      <w:proofErr w:type="spellEnd"/>
      <w:r w:rsidRPr="00AA7DF5">
        <w:rPr>
          <w:szCs w:val="24"/>
          <w:lang w:eastAsia="en-US"/>
        </w:rPr>
        <w:t xml:space="preserve"> (</w:t>
      </w:r>
      <w:proofErr w:type="spellStart"/>
      <w:r w:rsidRPr="00AA7DF5">
        <w:rPr>
          <w:szCs w:val="24"/>
          <w:lang w:eastAsia="en-US"/>
        </w:rPr>
        <w:t>PFUnDA</w:t>
      </w:r>
      <w:proofErr w:type="spellEnd"/>
      <w:r w:rsidRPr="00AA7DF5">
        <w:rPr>
          <w:szCs w:val="24"/>
          <w:lang w:eastAsia="en-US"/>
        </w:rPr>
        <w:t xml:space="preserve"> ou </w:t>
      </w:r>
      <w:proofErr w:type="spellStart"/>
      <w:r w:rsidRPr="00AA7DF5">
        <w:rPr>
          <w:szCs w:val="24"/>
          <w:lang w:eastAsia="en-US"/>
        </w:rPr>
        <w:t>PFUnA</w:t>
      </w:r>
      <w:proofErr w:type="spellEnd"/>
      <w:r w:rsidRPr="00AA7DF5">
        <w:rPr>
          <w:szCs w:val="24"/>
          <w:lang w:eastAsia="en-US"/>
        </w:rPr>
        <w:t xml:space="preserve">) (n.º CAS 2058-94-8, n.º UE 218-165-4) (RPF 4), ácido </w:t>
      </w:r>
      <w:proofErr w:type="spellStart"/>
      <w:r w:rsidRPr="00AA7DF5">
        <w:rPr>
          <w:szCs w:val="24"/>
          <w:lang w:eastAsia="en-US"/>
        </w:rPr>
        <w:t>perfluoro-heptanoico</w:t>
      </w:r>
      <w:proofErr w:type="spellEnd"/>
      <w:r w:rsidRPr="00AA7DF5">
        <w:rPr>
          <w:szCs w:val="24"/>
          <w:lang w:eastAsia="en-US"/>
        </w:rPr>
        <w:t xml:space="preserve"> (</w:t>
      </w:r>
      <w:proofErr w:type="spellStart"/>
      <w:r w:rsidRPr="00AA7DF5">
        <w:rPr>
          <w:szCs w:val="24"/>
          <w:lang w:eastAsia="en-US"/>
        </w:rPr>
        <w:t>PFHpA</w:t>
      </w:r>
      <w:proofErr w:type="spellEnd"/>
      <w:r w:rsidRPr="00AA7DF5">
        <w:rPr>
          <w:szCs w:val="24"/>
          <w:lang w:eastAsia="en-US"/>
        </w:rPr>
        <w:t xml:space="preserve">) (n.º CAS 375-85-9, n.º UE 206-798-9) (RPF 0,505), ácido </w:t>
      </w:r>
      <w:proofErr w:type="spellStart"/>
      <w:r w:rsidRPr="00AA7DF5">
        <w:rPr>
          <w:szCs w:val="24"/>
          <w:lang w:eastAsia="en-US"/>
        </w:rPr>
        <w:t>perfluorotridecanoico</w:t>
      </w:r>
      <w:proofErr w:type="spellEnd"/>
      <w:r w:rsidRPr="00AA7DF5">
        <w:rPr>
          <w:szCs w:val="24"/>
          <w:lang w:eastAsia="en-US"/>
        </w:rPr>
        <w:t xml:space="preserve"> (</w:t>
      </w:r>
      <w:proofErr w:type="spellStart"/>
      <w:r w:rsidRPr="00AA7DF5">
        <w:rPr>
          <w:szCs w:val="24"/>
          <w:lang w:eastAsia="en-US"/>
        </w:rPr>
        <w:t>PFTrDA</w:t>
      </w:r>
      <w:proofErr w:type="spellEnd"/>
      <w:r w:rsidRPr="00AA7DF5">
        <w:rPr>
          <w:szCs w:val="24"/>
          <w:lang w:eastAsia="en-US"/>
        </w:rPr>
        <w:t xml:space="preserve">) (n.º CAS 72629-94-8, n.º UE 276-745-2) (RPF 1,65), ácido </w:t>
      </w:r>
      <w:proofErr w:type="spellStart"/>
      <w:r w:rsidRPr="00AA7DF5">
        <w:rPr>
          <w:szCs w:val="24"/>
          <w:lang w:eastAsia="en-US"/>
        </w:rPr>
        <w:t>perfluoro-heptanossulfónico</w:t>
      </w:r>
      <w:proofErr w:type="spellEnd"/>
      <w:r w:rsidRPr="00AA7DF5">
        <w:rPr>
          <w:szCs w:val="24"/>
          <w:lang w:eastAsia="en-US"/>
        </w:rPr>
        <w:t xml:space="preserve"> (</w:t>
      </w:r>
      <w:proofErr w:type="spellStart"/>
      <w:r w:rsidRPr="00AA7DF5">
        <w:rPr>
          <w:szCs w:val="24"/>
          <w:lang w:eastAsia="en-US"/>
        </w:rPr>
        <w:t>PFHpS</w:t>
      </w:r>
      <w:proofErr w:type="spellEnd"/>
      <w:r w:rsidRPr="00AA7DF5">
        <w:rPr>
          <w:szCs w:val="24"/>
          <w:lang w:eastAsia="en-US"/>
        </w:rPr>
        <w:t xml:space="preserve">) (n.º CAS 375-92-8, n.º UE 206-800-8) (RPF 1,3), ácido </w:t>
      </w:r>
      <w:proofErr w:type="spellStart"/>
      <w:r w:rsidRPr="00AA7DF5">
        <w:rPr>
          <w:szCs w:val="24"/>
          <w:lang w:eastAsia="en-US"/>
        </w:rPr>
        <w:t>perfluorodecanossulfónico</w:t>
      </w:r>
      <w:proofErr w:type="spellEnd"/>
      <w:r w:rsidRPr="00AA7DF5">
        <w:rPr>
          <w:szCs w:val="24"/>
          <w:lang w:eastAsia="en-US"/>
        </w:rPr>
        <w:t xml:space="preserve"> (PFDS) (n.º CAS 335-77-3, n.º UE 206-401-9) (RPF 2), ácido </w:t>
      </w:r>
      <w:proofErr w:type="spellStart"/>
      <w:r w:rsidRPr="00AA7DF5">
        <w:rPr>
          <w:szCs w:val="24"/>
          <w:lang w:eastAsia="en-US"/>
        </w:rPr>
        <w:t>perfluorotetradecanoico</w:t>
      </w:r>
      <w:proofErr w:type="spellEnd"/>
      <w:r w:rsidRPr="00AA7DF5">
        <w:rPr>
          <w:szCs w:val="24"/>
          <w:lang w:eastAsia="en-US"/>
        </w:rPr>
        <w:t xml:space="preserve"> (</w:t>
      </w:r>
      <w:proofErr w:type="spellStart"/>
      <w:r w:rsidRPr="00AA7DF5">
        <w:rPr>
          <w:szCs w:val="24"/>
          <w:lang w:eastAsia="en-US"/>
        </w:rPr>
        <w:t>PFTeDA</w:t>
      </w:r>
      <w:proofErr w:type="spellEnd"/>
      <w:r w:rsidRPr="00AA7DF5">
        <w:rPr>
          <w:szCs w:val="24"/>
          <w:lang w:eastAsia="en-US"/>
        </w:rPr>
        <w:t xml:space="preserve">) (n.º CAS 376-06-7, n.º UE 206-803-4) (RPF 0,3), ácido </w:t>
      </w:r>
      <w:proofErr w:type="spellStart"/>
      <w:r w:rsidRPr="00AA7DF5">
        <w:rPr>
          <w:szCs w:val="24"/>
          <w:lang w:eastAsia="en-US"/>
        </w:rPr>
        <w:t>perfluorohexadecanoico</w:t>
      </w:r>
      <w:proofErr w:type="spellEnd"/>
      <w:r w:rsidRPr="00AA7DF5">
        <w:rPr>
          <w:szCs w:val="24"/>
          <w:lang w:eastAsia="en-US"/>
        </w:rPr>
        <w:t xml:space="preserve"> (</w:t>
      </w:r>
      <w:proofErr w:type="spellStart"/>
      <w:r w:rsidRPr="00AA7DF5">
        <w:rPr>
          <w:szCs w:val="24"/>
          <w:lang w:eastAsia="en-US"/>
        </w:rPr>
        <w:t>PFHxDA</w:t>
      </w:r>
      <w:proofErr w:type="spellEnd"/>
      <w:r w:rsidRPr="00AA7DF5">
        <w:rPr>
          <w:szCs w:val="24"/>
          <w:lang w:eastAsia="en-US"/>
        </w:rPr>
        <w:t xml:space="preserve">) (n.º CAS 67905-19-5, n.º UE 267-638-1) (RPF 0,02), ácido </w:t>
      </w:r>
      <w:proofErr w:type="spellStart"/>
      <w:r w:rsidRPr="00AA7DF5">
        <w:rPr>
          <w:szCs w:val="24"/>
          <w:lang w:eastAsia="en-US"/>
        </w:rPr>
        <w:t>perfluoro-octadecanoico</w:t>
      </w:r>
      <w:proofErr w:type="spellEnd"/>
      <w:r w:rsidRPr="00AA7DF5">
        <w:rPr>
          <w:szCs w:val="24"/>
          <w:lang w:eastAsia="en-US"/>
        </w:rPr>
        <w:t xml:space="preserve"> (PFODA) (n.º CAS 16517-11-6, n.º UE 240-582-5) (RPF 0,02), </w:t>
      </w:r>
      <w:proofErr w:type="spellStart"/>
      <w:r w:rsidRPr="00AA7DF5">
        <w:rPr>
          <w:szCs w:val="24"/>
          <w:lang w:eastAsia="en-US"/>
        </w:rPr>
        <w:t>perfluoro</w:t>
      </w:r>
      <w:proofErr w:type="spellEnd"/>
      <w:r w:rsidRPr="00AA7DF5">
        <w:rPr>
          <w:szCs w:val="24"/>
          <w:lang w:eastAsia="en-US"/>
        </w:rPr>
        <w:t xml:space="preserve"> de amónio (2-metil-3-oxahexanoato) (HFPO-DA ou </w:t>
      </w:r>
      <w:proofErr w:type="spellStart"/>
      <w:r w:rsidRPr="00AA7DF5">
        <w:rPr>
          <w:szCs w:val="24"/>
          <w:lang w:eastAsia="en-US"/>
        </w:rPr>
        <w:t>Gen</w:t>
      </w:r>
      <w:proofErr w:type="spellEnd"/>
      <w:r w:rsidRPr="00AA7DF5">
        <w:rPr>
          <w:szCs w:val="24"/>
          <w:lang w:eastAsia="en-US"/>
        </w:rPr>
        <w:t xml:space="preserve"> X) (n.º CAS 62037-80-3) (RPF 0,06), ácido propanoico / amónio 2,2,3-trifluoro-3-(1,1,2,2,3,3-hexafluoro-3-(trifluorometoxi)propoxi)-propanoato (ADONA) (n.º CAS 958445-44-8) (RPF 0,03), álcool 2-(</w:t>
      </w:r>
      <w:proofErr w:type="spellStart"/>
      <w:r w:rsidRPr="00AA7DF5">
        <w:rPr>
          <w:szCs w:val="24"/>
          <w:lang w:eastAsia="en-US"/>
        </w:rPr>
        <w:t>perfluorohexílico</w:t>
      </w:r>
      <w:proofErr w:type="spellEnd"/>
      <w:r w:rsidRPr="00AA7DF5">
        <w:rPr>
          <w:szCs w:val="24"/>
          <w:lang w:eastAsia="en-US"/>
        </w:rPr>
        <w:t>)etílico (6:2 FTOH) (n.º CAS 647-42-7, UE 211-477-1) (RPF 0,02), 2-(</w:t>
      </w:r>
      <w:proofErr w:type="spellStart"/>
      <w:r w:rsidRPr="00AA7DF5">
        <w:rPr>
          <w:szCs w:val="24"/>
          <w:lang w:eastAsia="en-US"/>
        </w:rPr>
        <w:t>perfluoro</w:t>
      </w:r>
      <w:proofErr w:type="spellEnd"/>
      <w:r w:rsidRPr="00AA7DF5">
        <w:rPr>
          <w:szCs w:val="24"/>
          <w:lang w:eastAsia="en-US"/>
        </w:rPr>
        <w:t>-octil)etanol (8:2 FTOH) (n.º CAS 678-39-7, UE 211-648-0) (RPF 0,04) e ácido acético / 2,2-difluoro-2-((2,2,4,5-tetrafluoro-5-(trifluorometoxi)-1,3-dioxolano-4-ilo)oxi]- (C6O4) (n.º CAS 1190931-41-9) (RPF 0,06).</w:t>
      </w:r>
      <w:r w:rsidR="00215909" w:rsidRPr="00AA7DF5">
        <w:rPr>
          <w:szCs w:val="24"/>
          <w:lang w:eastAsia="en-US"/>
        </w:rPr>
        <w:br w:type="page"/>
      </w:r>
    </w:p>
    <w:p w14:paraId="42611666"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(7)</w:t>
      </w:r>
      <w:r w:rsidRPr="00AA7DF5">
        <w:rPr>
          <w:szCs w:val="24"/>
          <w:lang w:eastAsia="en-US"/>
        </w:rPr>
        <w:tab/>
        <w:t>A NQ refere-se à soma das 24 PFAS enumeradas na nota 6, expressas em equivalentes de PFOA com base nas potências das substâncias relativamente às do PFOA, ou seja, as RPF constantes da nota 6.</w:t>
      </w:r>
    </w:p>
    <w:p w14:paraId="21A530A1" w14:textId="09E311D0" w:rsidR="002E0FC5" w:rsidRPr="00AA7DF5" w:rsidRDefault="00215909" w:rsidP="002E0FC5">
      <w:pPr>
        <w:spacing w:before="120" w:after="120" w:line="360" w:lineRule="auto"/>
        <w:ind w:left="1416" w:hanging="566"/>
        <w:rPr>
          <w:szCs w:val="24"/>
          <w:lang w:eastAsia="en-US"/>
        </w:rPr>
      </w:pPr>
      <w:r w:rsidRPr="00AA7DF5">
        <w:rPr>
          <w:b/>
          <w:i/>
          <w:szCs w:val="24"/>
          <w:vertAlign w:val="superscript"/>
          <w:lang w:eastAsia="en-US"/>
        </w:rPr>
        <w:t>(</w:t>
      </w:r>
      <w:r w:rsidR="002E0FC5" w:rsidRPr="00AA7DF5">
        <w:rPr>
          <w:b/>
          <w:i/>
          <w:szCs w:val="24"/>
          <w:vertAlign w:val="superscript"/>
          <w:lang w:eastAsia="en-US"/>
        </w:rPr>
        <w:t>7</w:t>
      </w:r>
      <w:r w:rsidRPr="00AA7DF5">
        <w:rPr>
          <w:b/>
          <w:i/>
          <w:szCs w:val="24"/>
          <w:vertAlign w:val="superscript"/>
          <w:lang w:eastAsia="en-US"/>
        </w:rPr>
        <w:t>-A)</w:t>
      </w:r>
      <w:r w:rsidR="002E0FC5" w:rsidRPr="00AA7DF5">
        <w:rPr>
          <w:b/>
          <w:i/>
          <w:szCs w:val="24"/>
          <w:lang w:eastAsia="en-US"/>
        </w:rPr>
        <w:t>.</w:t>
      </w:r>
      <w:r w:rsidR="002E0FC5" w:rsidRPr="00AA7DF5">
        <w:rPr>
          <w:szCs w:val="24"/>
          <w:lang w:eastAsia="en-US"/>
        </w:rPr>
        <w:tab/>
      </w:r>
      <w:r w:rsidR="002E0FC5" w:rsidRPr="00AA7DF5">
        <w:rPr>
          <w:b/>
          <w:i/>
          <w:szCs w:val="24"/>
          <w:lang w:eastAsia="en-US"/>
        </w:rPr>
        <w:t>As normas de qualidade são estabelecidas pela Comissão por meio de um ato delegado.</w:t>
      </w:r>
    </w:p>
    <w:p w14:paraId="594767B4"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(8)</w:t>
      </w:r>
      <w:r w:rsidRPr="00AA7DF5">
        <w:rPr>
          <w:szCs w:val="24"/>
          <w:lang w:eastAsia="en-US"/>
        </w:rPr>
        <w:tab/>
        <w:t>Entende-se por «total» a soma de todos os produtos farmacêuticos individuais detetados e quantificados durante o processo de monitorização, incluindo os metabolitos e produtos de degradação.</w:t>
      </w:r>
    </w:p>
    <w:p w14:paraId="23624EB7" w14:textId="77777777" w:rsidR="002E0FC5" w:rsidRPr="00AA7DF5" w:rsidRDefault="002E0FC5" w:rsidP="002E0FC5">
      <w:pPr>
        <w:spacing w:before="120" w:after="120" w:line="360" w:lineRule="auto"/>
        <w:ind w:left="1416" w:hanging="566"/>
        <w:rPr>
          <w:szCs w:val="24"/>
          <w:lang w:eastAsia="en-US"/>
        </w:rPr>
      </w:pPr>
      <w:r w:rsidRPr="00AA7DF5">
        <w:rPr>
          <w:strike/>
          <w:szCs w:val="24"/>
          <w:vertAlign w:val="superscript"/>
          <w:lang w:eastAsia="en-US"/>
        </w:rPr>
        <w:t>(9)</w:t>
      </w:r>
      <w:r w:rsidRPr="00AA7DF5">
        <w:rPr>
          <w:szCs w:val="24"/>
          <w:lang w:eastAsia="en-US"/>
        </w:rPr>
        <w:tab/>
      </w:r>
      <w:r w:rsidRPr="00AA7DF5">
        <w:rPr>
          <w:strike/>
          <w:szCs w:val="24"/>
          <w:lang w:eastAsia="en-US"/>
        </w:rPr>
        <w:t>Aplicável aos metabolitos de pesticidas não relevantes «pobres em dados», ou seja, metabolitos de pesticidas não relevantes para os quais não estão disponíveis dados experimentais fiáveis relativos aos seus efeitos crónicos ou agudos sobre os grupos taxonómicos que, segundo previsões fiáveis, são os mais sensíveis.</w:t>
      </w:r>
    </w:p>
    <w:p w14:paraId="0D7292A8" w14:textId="77777777" w:rsidR="002E0FC5" w:rsidRPr="00AA7DF5" w:rsidRDefault="002E0FC5" w:rsidP="002E0FC5">
      <w:pPr>
        <w:spacing w:before="120" w:after="120" w:line="360" w:lineRule="auto"/>
        <w:ind w:left="1416" w:hanging="566"/>
        <w:rPr>
          <w:szCs w:val="24"/>
          <w:lang w:eastAsia="en-US"/>
        </w:rPr>
      </w:pPr>
      <w:r w:rsidRPr="00AA7DF5">
        <w:rPr>
          <w:strike/>
          <w:szCs w:val="24"/>
          <w:vertAlign w:val="superscript"/>
          <w:lang w:eastAsia="en-US"/>
        </w:rPr>
        <w:t>(10)</w:t>
      </w:r>
      <w:r w:rsidRPr="00AA7DF5">
        <w:rPr>
          <w:szCs w:val="24"/>
          <w:lang w:eastAsia="en-US"/>
        </w:rPr>
        <w:tab/>
      </w:r>
      <w:r w:rsidRPr="00AA7DF5">
        <w:rPr>
          <w:strike/>
          <w:szCs w:val="24"/>
          <w:lang w:eastAsia="en-US"/>
        </w:rPr>
        <w:t>Aplicável aos metabolitos de pesticidas não relevantes «suficientes em dados», ou seja, metabolitos de pesticidas não relevantes para os quais estão disponíveis dados experimentais fiáveis relativos aos seus efeitos crónicos ou agudos nos grupos taxonómicos que, segundo previsões fiáveis, são os mais sensíveis, mas em que os dados são insuficientes para qualificar as substâncias como «ricas em dados».</w:t>
      </w:r>
    </w:p>
    <w:p w14:paraId="728A7EB3" w14:textId="77777777" w:rsidR="00215909" w:rsidRPr="00AA7DF5" w:rsidRDefault="00215909">
      <w:pPr>
        <w:widowControl/>
        <w:rPr>
          <w:strike/>
          <w:szCs w:val="24"/>
          <w:vertAlign w:val="superscript"/>
          <w:lang w:eastAsia="en-US"/>
        </w:rPr>
      </w:pPr>
      <w:r w:rsidRPr="00AA7DF5">
        <w:rPr>
          <w:strike/>
          <w:szCs w:val="24"/>
          <w:vertAlign w:val="superscript"/>
          <w:lang w:eastAsia="en-US"/>
        </w:rPr>
        <w:br w:type="page"/>
      </w:r>
    </w:p>
    <w:p w14:paraId="7F70F824" w14:textId="3E5C35D8" w:rsidR="002E0FC5" w:rsidRPr="00AA7DF5" w:rsidRDefault="002E0FC5" w:rsidP="002E0FC5">
      <w:pPr>
        <w:spacing w:before="120" w:after="120" w:line="360" w:lineRule="auto"/>
        <w:ind w:left="1416" w:hanging="566"/>
        <w:rPr>
          <w:szCs w:val="24"/>
          <w:lang w:eastAsia="en-US"/>
        </w:rPr>
      </w:pPr>
      <w:r w:rsidRPr="00AA7DF5">
        <w:rPr>
          <w:strike/>
          <w:szCs w:val="24"/>
          <w:vertAlign w:val="superscript"/>
          <w:lang w:eastAsia="en-US"/>
        </w:rPr>
        <w:lastRenderedPageBreak/>
        <w:t>(11)</w:t>
      </w:r>
      <w:r w:rsidRPr="00AA7DF5">
        <w:rPr>
          <w:szCs w:val="24"/>
          <w:lang w:eastAsia="en-US"/>
        </w:rPr>
        <w:tab/>
      </w:r>
      <w:r w:rsidRPr="00AA7DF5">
        <w:rPr>
          <w:strike/>
          <w:szCs w:val="24"/>
          <w:lang w:eastAsia="en-US"/>
        </w:rPr>
        <w:t>Aplicável aos metabolitos de pesticidas não relevantes «ricos em dados», ou seja, metabolitos de pesticidas não relevantes para os quais estão disponíveis dados experimentais fiáveis, ou dados igualmente fiáveis obtidos por métodos alternativos cientificamente validados, relativos aos seus efeitos crónicos ou agudos em, pelo menos, uma espécie de algas, de invertebrados e de peixes, que permitam confirmar com confiança o grupo taxonómico mais sensível, e para os quais se possa calcular uma NQ utilizando uma abordagem determinística baseada em dados experimentais fiáveis sobre a sua toxicidade crónica para esse grupo taxonómico; Para o efeito, os Estados-Membros podem aplicar as últimas orientações estabelecidas no âmbito da estratégia de execução comum da Diretiva 2000/60/CE (documento de orientação n.º 27, na sua versão mais atualizada). Aos metabolitos de pesticidas não relevantes individuais é aplicável a NQ de 2,5, a menos que a NQ calculada pela abordagem determinística seja mais elevada, aplicando-se nesse caso uma NQ de 5.</w:t>
      </w:r>
    </w:p>
    <w:p w14:paraId="2BEC775D"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(12)</w:t>
      </w:r>
      <w:r w:rsidRPr="00AA7DF5">
        <w:rPr>
          <w:szCs w:val="24"/>
          <w:lang w:eastAsia="en-US"/>
        </w:rPr>
        <w:tab/>
        <w:t>Entende-se por «total» a soma de todos os metabolitos de pesticidas não relevantes individuais em cada categoria de dados detetados e quantificados no âmbito do procedimento de monitorização.»</w:t>
      </w:r>
    </w:p>
    <w:p w14:paraId="29ABEF0C" w14:textId="77777777" w:rsidR="002E0FC5" w:rsidRPr="00AA7DF5" w:rsidRDefault="002E0FC5" w:rsidP="002E0FC5">
      <w:pPr>
        <w:spacing w:before="120" w:after="120" w:line="360" w:lineRule="auto"/>
        <w:rPr>
          <w:szCs w:val="24"/>
          <w:lang w:eastAsia="en-US"/>
        </w:rPr>
        <w:sectPr w:rsidR="002E0FC5" w:rsidRPr="00AA7DF5">
          <w:footnotePr>
            <w:numRestart w:val="eachSect"/>
          </w:footnotePr>
          <w:endnotePr>
            <w:numFmt w:val="decimal"/>
          </w:endnotePr>
          <w:pgSz w:w="11909" w:h="16834"/>
          <w:pgMar w:top="1134" w:right="1417" w:bottom="1417" w:left="1417" w:header="1134" w:footer="567" w:gutter="0"/>
          <w:cols w:space="720"/>
        </w:sectPr>
      </w:pPr>
    </w:p>
    <w:p w14:paraId="11772DFE" w14:textId="77777777" w:rsidR="002E0FC5" w:rsidRPr="00AA7DF5" w:rsidRDefault="002E0FC5" w:rsidP="002E0FC5">
      <w:pPr>
        <w:spacing w:before="120" w:after="120" w:line="360" w:lineRule="auto"/>
        <w:jc w:val="center"/>
        <w:rPr>
          <w:lang w:eastAsia="en-US"/>
        </w:rPr>
      </w:pPr>
      <w:r w:rsidRPr="00AA7DF5">
        <w:rPr>
          <w:lang w:eastAsia="en-US"/>
        </w:rPr>
        <w:lastRenderedPageBreak/>
        <w:t>ANEXO IV</w:t>
      </w:r>
    </w:p>
    <w:p w14:paraId="242C1855" w14:textId="77777777" w:rsidR="002E0FC5" w:rsidRPr="00AA7DF5" w:rsidRDefault="002E0FC5" w:rsidP="002E0FC5">
      <w:pPr>
        <w:spacing w:before="120" w:after="120" w:line="360" w:lineRule="auto"/>
        <w:rPr>
          <w:szCs w:val="24"/>
          <w:lang w:eastAsia="en-US"/>
        </w:rPr>
      </w:pPr>
      <w:r w:rsidRPr="00AA7DF5">
        <w:rPr>
          <w:szCs w:val="24"/>
          <w:lang w:eastAsia="en-US"/>
        </w:rPr>
        <w:t>O anexo II da Diretiva 2006/118/CE é alterado do seguinte modo:</w:t>
      </w:r>
    </w:p>
    <w:p w14:paraId="4AAE2B0D"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Na parte A, depois do primeiro parágrafo, é inserido o seguinte parágrafo:</w:t>
      </w:r>
    </w:p>
    <w:p w14:paraId="16B67814" w14:textId="77777777" w:rsidR="002E0FC5" w:rsidRPr="00AA7DF5" w:rsidRDefault="002E0FC5" w:rsidP="002E0FC5">
      <w:pPr>
        <w:spacing w:before="120" w:after="120" w:line="360" w:lineRule="auto"/>
        <w:ind w:left="850"/>
        <w:rPr>
          <w:szCs w:val="24"/>
          <w:lang w:eastAsia="en-US"/>
        </w:rPr>
      </w:pPr>
      <w:r w:rsidRPr="00AA7DF5">
        <w:rPr>
          <w:szCs w:val="24"/>
          <w:lang w:eastAsia="en-US"/>
        </w:rPr>
        <w:t>«Os Estados-Membros certificar-se-ão de que as autoridades competentes informam a Agência Europeia dos Produtos Químicos (ECHA) dos limiares para os poluentes e dos indicadores de poluição. A ECHA publicará sem demora essas informações.;»</w:t>
      </w:r>
    </w:p>
    <w:p w14:paraId="71294F62" w14:textId="672F2031" w:rsidR="002E0FC5" w:rsidRPr="00AA7DF5" w:rsidRDefault="00215909" w:rsidP="002E0FC5">
      <w:pPr>
        <w:spacing w:before="120" w:after="120" w:line="360" w:lineRule="auto"/>
        <w:ind w:left="850" w:hanging="850"/>
        <w:rPr>
          <w:szCs w:val="24"/>
          <w:lang w:eastAsia="en-US"/>
        </w:rPr>
      </w:pPr>
      <w:r w:rsidRPr="00AA7DF5">
        <w:rPr>
          <w:szCs w:val="24"/>
          <w:lang w:eastAsia="en-US"/>
        </w:rPr>
        <w:t>1-A)</w:t>
      </w:r>
      <w:r w:rsidR="002E0FC5" w:rsidRPr="00AA7DF5">
        <w:rPr>
          <w:szCs w:val="24"/>
          <w:lang w:eastAsia="en-US"/>
        </w:rPr>
        <w:tab/>
      </w:r>
      <w:r w:rsidR="002E0FC5" w:rsidRPr="00AA7DF5">
        <w:rPr>
          <w:b/>
          <w:i/>
          <w:szCs w:val="24"/>
          <w:lang w:eastAsia="en-US"/>
        </w:rPr>
        <w:t>Na parte B, o título passa a ter a seguinte redação:</w:t>
      </w:r>
    </w:p>
    <w:p w14:paraId="58D764AD" w14:textId="1938FE42" w:rsidR="002E0FC5" w:rsidRPr="00AA7DF5" w:rsidRDefault="002E0FC5" w:rsidP="002E0FC5">
      <w:pPr>
        <w:spacing w:before="120" w:after="120" w:line="360" w:lineRule="auto"/>
        <w:ind w:left="850"/>
        <w:rPr>
          <w:b/>
          <w:szCs w:val="24"/>
          <w:lang w:eastAsia="en-US"/>
        </w:rPr>
      </w:pPr>
      <w:r w:rsidRPr="00AA7DF5">
        <w:rPr>
          <w:szCs w:val="24"/>
          <w:lang w:eastAsia="en-US"/>
        </w:rPr>
        <w:t>«</w:t>
      </w:r>
      <w:r w:rsidRPr="00AA7DF5">
        <w:rPr>
          <w:b/>
          <w:i/>
          <w:szCs w:val="24"/>
          <w:lang w:eastAsia="en-US"/>
        </w:rPr>
        <w:t>Listas mínimas de poluentes e dos respetivos indicadores para os quais os Estados‑Membros têm de fixar limiares nos termos do artigo 3.º</w:t>
      </w:r>
      <w:r w:rsidRPr="00AA7DF5">
        <w:rPr>
          <w:szCs w:val="24"/>
          <w:lang w:eastAsia="en-US"/>
        </w:rPr>
        <w:t>»</w:t>
      </w:r>
      <w:r w:rsidR="00215909" w:rsidRPr="00AA7DF5">
        <w:rPr>
          <w:b/>
          <w:szCs w:val="24"/>
          <w:lang w:eastAsia="en-US"/>
        </w:rPr>
        <w:t xml:space="preserve"> [Alt. 149]</w:t>
      </w:r>
    </w:p>
    <w:p w14:paraId="332478BB" w14:textId="77777777" w:rsidR="00215909" w:rsidRPr="00AA7DF5" w:rsidRDefault="00215909">
      <w:pPr>
        <w:widowControl/>
        <w:rPr>
          <w:szCs w:val="24"/>
          <w:lang w:eastAsia="en-US"/>
        </w:rPr>
      </w:pPr>
      <w:r w:rsidRPr="00AA7DF5">
        <w:rPr>
          <w:szCs w:val="24"/>
          <w:lang w:eastAsia="en-US"/>
        </w:rPr>
        <w:br w:type="page"/>
      </w:r>
    </w:p>
    <w:p w14:paraId="5A3E2746" w14:textId="3A7EF25C"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2)</w:t>
      </w:r>
      <w:r w:rsidRPr="00AA7DF5">
        <w:rPr>
          <w:szCs w:val="24"/>
          <w:lang w:eastAsia="en-US"/>
        </w:rPr>
        <w:tab/>
        <w:t>Na parte B, o ponto 2 passa a ter a seguinte redação:</w:t>
      </w:r>
    </w:p>
    <w:p w14:paraId="1D758DE3"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Substâncias sintéticas artificiais</w:t>
      </w:r>
    </w:p>
    <w:p w14:paraId="41D0EEB1" w14:textId="77777777" w:rsidR="002E0FC5" w:rsidRPr="00AA7DF5" w:rsidRDefault="002E0FC5" w:rsidP="002E0FC5">
      <w:pPr>
        <w:spacing w:before="120" w:after="120" w:line="360" w:lineRule="auto"/>
        <w:ind w:left="1416"/>
        <w:rPr>
          <w:szCs w:val="24"/>
          <w:lang w:eastAsia="en-US"/>
        </w:rPr>
      </w:pPr>
      <w:proofErr w:type="spellStart"/>
      <w:r w:rsidRPr="00AA7DF5">
        <w:rPr>
          <w:szCs w:val="24"/>
          <w:lang w:eastAsia="en-US"/>
        </w:rPr>
        <w:t>Primidona</w:t>
      </w:r>
      <w:proofErr w:type="spellEnd"/>
    </w:p>
    <w:p w14:paraId="0761E31B" w14:textId="77777777" w:rsidR="002E0FC5" w:rsidRPr="00AA7DF5" w:rsidRDefault="002E0FC5" w:rsidP="002E0FC5">
      <w:pPr>
        <w:spacing w:before="120" w:after="120" w:line="360" w:lineRule="auto"/>
        <w:ind w:left="1416"/>
        <w:rPr>
          <w:szCs w:val="24"/>
          <w:lang w:eastAsia="en-US"/>
        </w:rPr>
      </w:pPr>
      <w:proofErr w:type="spellStart"/>
      <w:r w:rsidRPr="00AA7DF5">
        <w:rPr>
          <w:szCs w:val="24"/>
          <w:lang w:eastAsia="en-US"/>
        </w:rPr>
        <w:t>Tricloroetileno</w:t>
      </w:r>
      <w:proofErr w:type="spellEnd"/>
    </w:p>
    <w:p w14:paraId="51523E60" w14:textId="77777777" w:rsidR="002E0FC5" w:rsidRPr="00AA7DF5" w:rsidRDefault="002E0FC5" w:rsidP="002E0FC5">
      <w:pPr>
        <w:spacing w:before="120" w:after="120" w:line="360" w:lineRule="auto"/>
        <w:ind w:left="1416"/>
        <w:rPr>
          <w:szCs w:val="24"/>
          <w:lang w:eastAsia="en-US"/>
        </w:rPr>
      </w:pPr>
      <w:proofErr w:type="spellStart"/>
      <w:r w:rsidRPr="00AA7DF5">
        <w:rPr>
          <w:szCs w:val="24"/>
          <w:lang w:eastAsia="en-US"/>
        </w:rPr>
        <w:t>Tetracloroetileno</w:t>
      </w:r>
      <w:proofErr w:type="spellEnd"/>
      <w:r w:rsidRPr="00AA7DF5">
        <w:rPr>
          <w:szCs w:val="24"/>
          <w:lang w:eastAsia="en-US"/>
        </w:rPr>
        <w:t>»</w:t>
      </w:r>
    </w:p>
    <w:p w14:paraId="5B2FD239"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3)</w:t>
      </w:r>
      <w:r w:rsidRPr="00AA7DF5">
        <w:rPr>
          <w:szCs w:val="24"/>
          <w:lang w:eastAsia="en-US"/>
        </w:rPr>
        <w:tab/>
        <w:t>Na parte C, o título passa a ter a seguinte redação:</w:t>
      </w:r>
    </w:p>
    <w:p w14:paraId="54A0BD62" w14:textId="77777777" w:rsidR="002E0FC5" w:rsidRPr="00AA7DF5" w:rsidRDefault="002E0FC5" w:rsidP="002E0FC5">
      <w:pPr>
        <w:spacing w:before="120" w:after="120" w:line="360" w:lineRule="auto"/>
        <w:ind w:left="850"/>
        <w:rPr>
          <w:szCs w:val="24"/>
          <w:lang w:eastAsia="en-US"/>
        </w:rPr>
      </w:pPr>
      <w:r w:rsidRPr="00AA7DF5">
        <w:rPr>
          <w:szCs w:val="24"/>
          <w:lang w:eastAsia="en-US"/>
        </w:rPr>
        <w:t>«Informações a fornecer pelos Estados-Membros relativas aos poluentes e aos respetivos indicadores para os quais foram estabelecidos limiares pelos Estados-Membros;»</w:t>
      </w:r>
    </w:p>
    <w:p w14:paraId="26719771" w14:textId="77777777" w:rsidR="00215909" w:rsidRPr="00AA7DF5" w:rsidRDefault="00215909" w:rsidP="002E0FC5">
      <w:pPr>
        <w:spacing w:before="120" w:after="120" w:line="360" w:lineRule="auto"/>
        <w:ind w:left="850" w:hanging="850"/>
        <w:rPr>
          <w:szCs w:val="24"/>
          <w:lang w:eastAsia="en-US"/>
        </w:rPr>
        <w:sectPr w:rsidR="00215909" w:rsidRPr="00AA7DF5">
          <w:footnotePr>
            <w:numRestart w:val="eachSect"/>
          </w:footnotePr>
          <w:endnotePr>
            <w:numFmt w:val="decimal"/>
          </w:endnotePr>
          <w:pgSz w:w="11909" w:h="16834"/>
          <w:pgMar w:top="1134" w:right="1417" w:bottom="1417" w:left="1417" w:header="1134" w:footer="567" w:gutter="0"/>
          <w:cols w:space="720"/>
        </w:sectPr>
      </w:pPr>
    </w:p>
    <w:p w14:paraId="358E28ED" w14:textId="19387873"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4)</w:t>
      </w:r>
      <w:r w:rsidRPr="00AA7DF5">
        <w:rPr>
          <w:szCs w:val="24"/>
          <w:lang w:eastAsia="en-US"/>
        </w:rPr>
        <w:tab/>
        <w:t>É aditada a seguinte parte D:</w:t>
      </w:r>
    </w:p>
    <w:p w14:paraId="29C4DB26" w14:textId="77777777" w:rsidR="002E0FC5" w:rsidRPr="00AA7DF5" w:rsidRDefault="002E0FC5" w:rsidP="002E0FC5">
      <w:pPr>
        <w:spacing w:before="120" w:after="120" w:line="360" w:lineRule="auto"/>
        <w:ind w:left="850"/>
        <w:rPr>
          <w:szCs w:val="24"/>
          <w:lang w:eastAsia="en-US"/>
        </w:rPr>
      </w:pPr>
      <w:r w:rsidRPr="00AA7DF5">
        <w:rPr>
          <w:szCs w:val="24"/>
          <w:lang w:eastAsia="en-US"/>
        </w:rPr>
        <w:t>«Parte D</w:t>
      </w:r>
    </w:p>
    <w:p w14:paraId="00180C7D" w14:textId="77777777" w:rsidR="002E0FC5" w:rsidRPr="00AA7DF5" w:rsidRDefault="002E0FC5" w:rsidP="002E0FC5">
      <w:pPr>
        <w:spacing w:before="120" w:after="120" w:line="360" w:lineRule="auto"/>
        <w:ind w:left="850"/>
        <w:rPr>
          <w:szCs w:val="24"/>
          <w:lang w:eastAsia="en-US"/>
        </w:rPr>
      </w:pPr>
      <w:r w:rsidRPr="00AA7DF5">
        <w:rPr>
          <w:szCs w:val="24"/>
          <w:lang w:eastAsia="en-US"/>
        </w:rPr>
        <w:t>Repositório de limiares harmonizados para os poluentes das águas subterrâneas que suscitam preocupação a nível nacional, regional ou local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41"/>
        <w:gridCol w:w="3452"/>
        <w:gridCol w:w="2287"/>
        <w:gridCol w:w="1902"/>
        <w:gridCol w:w="2040"/>
        <w:gridCol w:w="2851"/>
      </w:tblGrid>
      <w:tr w:rsidR="002E0FC5" w:rsidRPr="00AA7DF5" w14:paraId="5769BAA1" w14:textId="77777777" w:rsidTr="00951B86">
        <w:trPr>
          <w:tblHeader/>
        </w:trPr>
        <w:tc>
          <w:tcPr>
            <w:tcW w:w="0" w:type="auto"/>
          </w:tcPr>
          <w:p w14:paraId="35A3B60F" w14:textId="77777777" w:rsidR="002E0FC5" w:rsidRPr="00AA7DF5" w:rsidRDefault="002E0FC5" w:rsidP="002E0FC5">
            <w:pPr>
              <w:spacing w:before="120" w:after="120" w:line="360" w:lineRule="auto"/>
              <w:rPr>
                <w:szCs w:val="24"/>
                <w:lang w:eastAsia="en-US"/>
              </w:rPr>
            </w:pPr>
            <w:r w:rsidRPr="00AA7DF5">
              <w:rPr>
                <w:szCs w:val="24"/>
                <w:lang w:eastAsia="en-US"/>
              </w:rPr>
              <w:t>(1)</w:t>
            </w:r>
          </w:p>
        </w:tc>
        <w:tc>
          <w:tcPr>
            <w:tcW w:w="0" w:type="auto"/>
          </w:tcPr>
          <w:p w14:paraId="648C1C17" w14:textId="77777777" w:rsidR="002E0FC5" w:rsidRPr="00AA7DF5" w:rsidRDefault="002E0FC5" w:rsidP="002E0FC5">
            <w:pPr>
              <w:spacing w:before="120" w:after="120" w:line="360" w:lineRule="auto"/>
              <w:rPr>
                <w:szCs w:val="24"/>
                <w:lang w:eastAsia="en-US"/>
              </w:rPr>
            </w:pPr>
            <w:r w:rsidRPr="00AA7DF5">
              <w:rPr>
                <w:szCs w:val="24"/>
                <w:lang w:eastAsia="en-US"/>
              </w:rPr>
              <w:t>(2)</w:t>
            </w:r>
          </w:p>
        </w:tc>
        <w:tc>
          <w:tcPr>
            <w:tcW w:w="0" w:type="auto"/>
          </w:tcPr>
          <w:p w14:paraId="6E1E8022" w14:textId="77777777" w:rsidR="002E0FC5" w:rsidRPr="00AA7DF5" w:rsidRDefault="002E0FC5" w:rsidP="002E0FC5">
            <w:pPr>
              <w:spacing w:before="120" w:after="120" w:line="360" w:lineRule="auto"/>
              <w:rPr>
                <w:szCs w:val="24"/>
                <w:lang w:eastAsia="en-US"/>
              </w:rPr>
            </w:pPr>
            <w:r w:rsidRPr="00AA7DF5">
              <w:rPr>
                <w:szCs w:val="24"/>
                <w:lang w:eastAsia="en-US"/>
              </w:rPr>
              <w:t>(3)</w:t>
            </w:r>
          </w:p>
        </w:tc>
        <w:tc>
          <w:tcPr>
            <w:tcW w:w="0" w:type="auto"/>
          </w:tcPr>
          <w:p w14:paraId="23269A21" w14:textId="77777777" w:rsidR="002E0FC5" w:rsidRPr="00AA7DF5" w:rsidRDefault="002E0FC5" w:rsidP="002E0FC5">
            <w:pPr>
              <w:spacing w:before="120" w:after="120" w:line="360" w:lineRule="auto"/>
              <w:rPr>
                <w:szCs w:val="24"/>
                <w:lang w:eastAsia="en-US"/>
              </w:rPr>
            </w:pPr>
            <w:r w:rsidRPr="00AA7DF5">
              <w:rPr>
                <w:szCs w:val="24"/>
                <w:lang w:eastAsia="en-US"/>
              </w:rPr>
              <w:t>(4)</w:t>
            </w:r>
          </w:p>
        </w:tc>
        <w:tc>
          <w:tcPr>
            <w:tcW w:w="0" w:type="auto"/>
          </w:tcPr>
          <w:p w14:paraId="1AF3AE8B" w14:textId="77777777" w:rsidR="002E0FC5" w:rsidRPr="00AA7DF5" w:rsidRDefault="002E0FC5" w:rsidP="002E0FC5">
            <w:pPr>
              <w:spacing w:before="120" w:after="120" w:line="360" w:lineRule="auto"/>
              <w:rPr>
                <w:szCs w:val="24"/>
                <w:lang w:eastAsia="en-US"/>
              </w:rPr>
            </w:pPr>
            <w:r w:rsidRPr="00AA7DF5">
              <w:rPr>
                <w:szCs w:val="24"/>
                <w:lang w:eastAsia="en-US"/>
              </w:rPr>
              <w:t>(5)</w:t>
            </w:r>
          </w:p>
        </w:tc>
        <w:tc>
          <w:tcPr>
            <w:tcW w:w="0" w:type="auto"/>
          </w:tcPr>
          <w:p w14:paraId="117BDA13" w14:textId="77777777" w:rsidR="002E0FC5" w:rsidRPr="00AA7DF5" w:rsidRDefault="002E0FC5" w:rsidP="002E0FC5">
            <w:pPr>
              <w:spacing w:before="120" w:after="120" w:line="360" w:lineRule="auto"/>
              <w:rPr>
                <w:szCs w:val="24"/>
                <w:lang w:eastAsia="en-US"/>
              </w:rPr>
            </w:pPr>
            <w:r w:rsidRPr="00AA7DF5">
              <w:rPr>
                <w:szCs w:val="24"/>
                <w:lang w:eastAsia="en-US"/>
              </w:rPr>
              <w:t>(6)</w:t>
            </w:r>
          </w:p>
        </w:tc>
      </w:tr>
      <w:tr w:rsidR="002E0FC5" w:rsidRPr="00AA7DF5" w14:paraId="2CABFE81" w14:textId="77777777" w:rsidTr="00951B86">
        <w:tc>
          <w:tcPr>
            <w:tcW w:w="0" w:type="auto"/>
          </w:tcPr>
          <w:p w14:paraId="0E29A761" w14:textId="77777777" w:rsidR="002E0FC5" w:rsidRPr="00AA7DF5" w:rsidRDefault="002E0FC5" w:rsidP="002E0FC5">
            <w:pPr>
              <w:spacing w:before="120" w:after="120" w:line="360" w:lineRule="auto"/>
              <w:rPr>
                <w:szCs w:val="24"/>
                <w:lang w:eastAsia="en-US"/>
              </w:rPr>
            </w:pPr>
            <w:r w:rsidRPr="00AA7DF5">
              <w:rPr>
                <w:szCs w:val="24"/>
                <w:lang w:eastAsia="en-US"/>
              </w:rPr>
              <w:t>[Rubrica] N.º</w:t>
            </w:r>
          </w:p>
        </w:tc>
        <w:tc>
          <w:tcPr>
            <w:tcW w:w="0" w:type="auto"/>
          </w:tcPr>
          <w:p w14:paraId="6F06F580" w14:textId="77777777" w:rsidR="002E0FC5" w:rsidRPr="00AA7DF5" w:rsidRDefault="002E0FC5" w:rsidP="002E0FC5">
            <w:pPr>
              <w:spacing w:before="120" w:after="120" w:line="360" w:lineRule="auto"/>
              <w:rPr>
                <w:szCs w:val="24"/>
                <w:lang w:eastAsia="en-US"/>
              </w:rPr>
            </w:pPr>
            <w:r w:rsidRPr="00AA7DF5">
              <w:rPr>
                <w:szCs w:val="24"/>
                <w:lang w:eastAsia="en-US"/>
              </w:rPr>
              <w:t>Nome da substância</w:t>
            </w:r>
          </w:p>
        </w:tc>
        <w:tc>
          <w:tcPr>
            <w:tcW w:w="0" w:type="auto"/>
          </w:tcPr>
          <w:p w14:paraId="7905115A" w14:textId="77777777" w:rsidR="002E0FC5" w:rsidRPr="00AA7DF5" w:rsidRDefault="002E0FC5" w:rsidP="002E0FC5">
            <w:pPr>
              <w:spacing w:before="120" w:after="120" w:line="360" w:lineRule="auto"/>
              <w:rPr>
                <w:szCs w:val="24"/>
                <w:lang w:eastAsia="en-US"/>
              </w:rPr>
            </w:pPr>
            <w:r w:rsidRPr="00AA7DF5">
              <w:rPr>
                <w:szCs w:val="24"/>
                <w:lang w:eastAsia="en-US"/>
              </w:rPr>
              <w:t>Categoria de substâncias</w:t>
            </w:r>
          </w:p>
        </w:tc>
        <w:tc>
          <w:tcPr>
            <w:tcW w:w="0" w:type="auto"/>
          </w:tcPr>
          <w:p w14:paraId="5277B297" w14:textId="4786C5DD" w:rsidR="002E0FC5" w:rsidRPr="00AA7DF5" w:rsidRDefault="002E0FC5" w:rsidP="002E0FC5">
            <w:pPr>
              <w:spacing w:before="120" w:after="120" w:line="360" w:lineRule="auto"/>
              <w:rPr>
                <w:szCs w:val="24"/>
                <w:lang w:eastAsia="en-US"/>
              </w:rPr>
            </w:pPr>
            <w:r w:rsidRPr="00AA7DF5">
              <w:rPr>
                <w:szCs w:val="24"/>
                <w:lang w:eastAsia="en-US"/>
              </w:rPr>
              <w:t xml:space="preserve">Número CAS </w:t>
            </w:r>
            <w:r w:rsidRPr="00AA7DF5">
              <w:rPr>
                <w:szCs w:val="24"/>
                <w:vertAlign w:val="superscript"/>
                <w:lang w:eastAsia="en-US"/>
              </w:rPr>
              <w:t>(1)</w:t>
            </w:r>
          </w:p>
        </w:tc>
        <w:tc>
          <w:tcPr>
            <w:tcW w:w="0" w:type="auto"/>
          </w:tcPr>
          <w:p w14:paraId="550B1F4C" w14:textId="77777777" w:rsidR="002E0FC5" w:rsidRPr="00AA7DF5" w:rsidRDefault="002E0FC5" w:rsidP="002E0FC5">
            <w:pPr>
              <w:spacing w:before="120" w:after="120" w:line="360" w:lineRule="auto"/>
              <w:rPr>
                <w:szCs w:val="24"/>
                <w:lang w:eastAsia="en-US"/>
              </w:rPr>
            </w:pPr>
            <w:r w:rsidRPr="00AA7DF5">
              <w:rPr>
                <w:szCs w:val="24"/>
                <w:lang w:eastAsia="en-US"/>
              </w:rPr>
              <w:t xml:space="preserve">Número EU </w:t>
            </w:r>
            <w:r w:rsidRPr="00AA7DF5">
              <w:rPr>
                <w:szCs w:val="24"/>
                <w:vertAlign w:val="superscript"/>
                <w:lang w:eastAsia="en-US"/>
              </w:rPr>
              <w:t>(2)</w:t>
            </w:r>
          </w:p>
        </w:tc>
        <w:tc>
          <w:tcPr>
            <w:tcW w:w="0" w:type="auto"/>
          </w:tcPr>
          <w:p w14:paraId="26BC9BA6" w14:textId="77777777" w:rsidR="002E0FC5" w:rsidRPr="00AA7DF5" w:rsidRDefault="002E0FC5" w:rsidP="002E0FC5">
            <w:pPr>
              <w:spacing w:before="120" w:after="120" w:line="360" w:lineRule="auto"/>
              <w:rPr>
                <w:szCs w:val="24"/>
                <w:lang w:eastAsia="en-US"/>
              </w:rPr>
            </w:pPr>
            <w:r w:rsidRPr="00AA7DF5">
              <w:rPr>
                <w:szCs w:val="24"/>
                <w:lang w:eastAsia="en-US"/>
              </w:rPr>
              <w:t>Limiar [µg/l, salvo indicação em contrário]</w:t>
            </w:r>
          </w:p>
        </w:tc>
      </w:tr>
      <w:tr w:rsidR="002E0FC5" w:rsidRPr="00AA7DF5" w14:paraId="77AD6D5C" w14:textId="77777777" w:rsidTr="00951B86">
        <w:tc>
          <w:tcPr>
            <w:tcW w:w="0" w:type="auto"/>
          </w:tcPr>
          <w:p w14:paraId="5D4F747A" w14:textId="77777777" w:rsidR="002E0FC5" w:rsidRPr="00AA7DF5" w:rsidRDefault="002E0FC5" w:rsidP="002E0FC5">
            <w:pPr>
              <w:spacing w:before="120" w:after="120" w:line="360" w:lineRule="auto"/>
              <w:rPr>
                <w:szCs w:val="24"/>
                <w:lang w:eastAsia="en-US"/>
              </w:rPr>
            </w:pPr>
            <w:r w:rsidRPr="00AA7DF5">
              <w:rPr>
                <w:szCs w:val="24"/>
                <w:lang w:eastAsia="en-US"/>
              </w:rPr>
              <w:t>1</w:t>
            </w:r>
          </w:p>
        </w:tc>
        <w:tc>
          <w:tcPr>
            <w:tcW w:w="0" w:type="auto"/>
          </w:tcPr>
          <w:p w14:paraId="4C344F73" w14:textId="77777777" w:rsidR="002E0FC5" w:rsidRPr="00AA7DF5" w:rsidRDefault="002E0FC5" w:rsidP="002E0FC5">
            <w:pPr>
              <w:spacing w:before="120" w:after="120" w:line="360" w:lineRule="auto"/>
              <w:rPr>
                <w:szCs w:val="24"/>
                <w:lang w:eastAsia="en-US"/>
              </w:rPr>
            </w:pPr>
            <w:proofErr w:type="spellStart"/>
            <w:r w:rsidRPr="00AA7DF5">
              <w:rPr>
                <w:szCs w:val="24"/>
                <w:lang w:eastAsia="en-US"/>
              </w:rPr>
              <w:t>Tricloroetileno</w:t>
            </w:r>
            <w:proofErr w:type="spellEnd"/>
            <w:r w:rsidRPr="00AA7DF5">
              <w:rPr>
                <w:szCs w:val="24"/>
                <w:lang w:eastAsia="en-US"/>
              </w:rPr>
              <w:t xml:space="preserve"> e </w:t>
            </w:r>
            <w:proofErr w:type="spellStart"/>
            <w:r w:rsidRPr="00AA7DF5">
              <w:rPr>
                <w:szCs w:val="24"/>
                <w:lang w:eastAsia="en-US"/>
              </w:rPr>
              <w:t>tetracloroetileno</w:t>
            </w:r>
            <w:proofErr w:type="spellEnd"/>
            <w:r w:rsidRPr="00AA7DF5">
              <w:rPr>
                <w:szCs w:val="24"/>
                <w:lang w:eastAsia="en-US"/>
              </w:rPr>
              <w:t xml:space="preserve"> (soma de dois)</w:t>
            </w:r>
          </w:p>
        </w:tc>
        <w:tc>
          <w:tcPr>
            <w:tcW w:w="0" w:type="auto"/>
          </w:tcPr>
          <w:p w14:paraId="0DD8D489" w14:textId="77777777" w:rsidR="002E0FC5" w:rsidRPr="00AA7DF5" w:rsidRDefault="002E0FC5" w:rsidP="002E0FC5">
            <w:pPr>
              <w:spacing w:before="120" w:after="120" w:line="360" w:lineRule="auto"/>
              <w:rPr>
                <w:szCs w:val="24"/>
                <w:lang w:eastAsia="en-US"/>
              </w:rPr>
            </w:pPr>
            <w:r w:rsidRPr="00AA7DF5">
              <w:rPr>
                <w:szCs w:val="24"/>
                <w:lang w:eastAsia="en-US"/>
              </w:rPr>
              <w:t>Substâncias industriais</w:t>
            </w:r>
          </w:p>
        </w:tc>
        <w:tc>
          <w:tcPr>
            <w:tcW w:w="0" w:type="auto"/>
          </w:tcPr>
          <w:p w14:paraId="525E3282" w14:textId="77777777" w:rsidR="002E0FC5" w:rsidRPr="00AA7DF5" w:rsidRDefault="002E0FC5" w:rsidP="002E0FC5">
            <w:pPr>
              <w:spacing w:before="120" w:after="120" w:line="360" w:lineRule="auto"/>
              <w:rPr>
                <w:szCs w:val="24"/>
                <w:lang w:eastAsia="en-US"/>
              </w:rPr>
            </w:pPr>
            <w:r w:rsidRPr="00AA7DF5">
              <w:rPr>
                <w:szCs w:val="24"/>
                <w:lang w:eastAsia="en-US"/>
              </w:rPr>
              <w:t>79- 01-6 e 127-18-4</w:t>
            </w:r>
          </w:p>
        </w:tc>
        <w:tc>
          <w:tcPr>
            <w:tcW w:w="0" w:type="auto"/>
          </w:tcPr>
          <w:p w14:paraId="02C47B8C" w14:textId="77777777" w:rsidR="002E0FC5" w:rsidRPr="00AA7DF5" w:rsidRDefault="002E0FC5" w:rsidP="002E0FC5">
            <w:pPr>
              <w:spacing w:before="120" w:after="120" w:line="360" w:lineRule="auto"/>
              <w:rPr>
                <w:szCs w:val="24"/>
                <w:lang w:eastAsia="en-US"/>
              </w:rPr>
            </w:pPr>
            <w:r w:rsidRPr="00AA7DF5">
              <w:rPr>
                <w:szCs w:val="24"/>
                <w:lang w:eastAsia="en-US"/>
              </w:rPr>
              <w:t>201- 167-4 e 204-825-9</w:t>
            </w:r>
          </w:p>
        </w:tc>
        <w:tc>
          <w:tcPr>
            <w:tcW w:w="0" w:type="auto"/>
          </w:tcPr>
          <w:p w14:paraId="46C466ED" w14:textId="77777777" w:rsidR="002E0FC5" w:rsidRPr="00AA7DF5" w:rsidRDefault="002E0FC5" w:rsidP="002E0FC5">
            <w:pPr>
              <w:spacing w:before="120" w:after="120" w:line="360" w:lineRule="auto"/>
              <w:rPr>
                <w:szCs w:val="24"/>
                <w:lang w:eastAsia="en-US"/>
              </w:rPr>
            </w:pPr>
            <w:r w:rsidRPr="00AA7DF5">
              <w:rPr>
                <w:szCs w:val="24"/>
                <w:lang w:eastAsia="en-US"/>
              </w:rPr>
              <w:t xml:space="preserve">10 (total) </w:t>
            </w:r>
            <w:r w:rsidRPr="00AA7DF5">
              <w:rPr>
                <w:szCs w:val="24"/>
                <w:vertAlign w:val="superscript"/>
                <w:lang w:eastAsia="en-US"/>
              </w:rPr>
              <w:t>(3)</w:t>
            </w:r>
          </w:p>
        </w:tc>
      </w:tr>
    </w:tbl>
    <w:p w14:paraId="53495C67"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w:t>
      </w:r>
      <w:r w:rsidRPr="00AA7DF5">
        <w:rPr>
          <w:szCs w:val="24"/>
          <w:lang w:eastAsia="en-US"/>
        </w:rPr>
        <w:tab/>
        <w:t xml:space="preserve">CAS: </w:t>
      </w:r>
      <w:proofErr w:type="spellStart"/>
      <w:r w:rsidRPr="00AA7DF5">
        <w:rPr>
          <w:szCs w:val="24"/>
          <w:lang w:eastAsia="en-US"/>
        </w:rPr>
        <w:t>Chemical</w:t>
      </w:r>
      <w:proofErr w:type="spellEnd"/>
      <w:r w:rsidRPr="00AA7DF5">
        <w:rPr>
          <w:szCs w:val="24"/>
          <w:lang w:eastAsia="en-US"/>
        </w:rPr>
        <w:t xml:space="preserve"> </w:t>
      </w:r>
      <w:proofErr w:type="spellStart"/>
      <w:r w:rsidRPr="00AA7DF5">
        <w:rPr>
          <w:szCs w:val="24"/>
          <w:lang w:eastAsia="en-US"/>
        </w:rPr>
        <w:t>Abstracts</w:t>
      </w:r>
      <w:proofErr w:type="spellEnd"/>
      <w:r w:rsidRPr="00AA7DF5">
        <w:rPr>
          <w:szCs w:val="24"/>
          <w:lang w:eastAsia="en-US"/>
        </w:rPr>
        <w:t xml:space="preserve"> Service.</w:t>
      </w:r>
    </w:p>
    <w:p w14:paraId="406AD088"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w:t>
      </w:r>
      <w:r w:rsidRPr="00AA7DF5">
        <w:rPr>
          <w:szCs w:val="24"/>
          <w:lang w:eastAsia="en-US"/>
        </w:rPr>
        <w:tab/>
        <w:t>Número UE: Inventário Europeu das Substâncias Químicas Existentes no Mercado (EINECS) ou Lista Europeia das Substâncias Químicas Notificadas (ELINCS).</w:t>
      </w:r>
    </w:p>
    <w:p w14:paraId="5CCEC793"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(3)</w:t>
      </w:r>
      <w:r w:rsidRPr="00AA7DF5">
        <w:rPr>
          <w:szCs w:val="24"/>
          <w:lang w:eastAsia="en-US"/>
        </w:rPr>
        <w:tab/>
        <w:t xml:space="preserve">Entende-se por «total» a soma das concentrações de </w:t>
      </w:r>
      <w:proofErr w:type="spellStart"/>
      <w:r w:rsidRPr="00AA7DF5">
        <w:rPr>
          <w:szCs w:val="24"/>
          <w:lang w:eastAsia="en-US"/>
        </w:rPr>
        <w:t>tricloroetileno</w:t>
      </w:r>
      <w:proofErr w:type="spellEnd"/>
      <w:r w:rsidRPr="00AA7DF5">
        <w:rPr>
          <w:szCs w:val="24"/>
          <w:lang w:eastAsia="en-US"/>
        </w:rPr>
        <w:t xml:space="preserve"> e </w:t>
      </w:r>
      <w:proofErr w:type="spellStart"/>
      <w:r w:rsidRPr="00AA7DF5">
        <w:rPr>
          <w:szCs w:val="24"/>
          <w:lang w:eastAsia="en-US"/>
        </w:rPr>
        <w:t>tetracloroetileno</w:t>
      </w:r>
      <w:proofErr w:type="spellEnd"/>
      <w:r w:rsidRPr="00AA7DF5">
        <w:rPr>
          <w:szCs w:val="24"/>
          <w:lang w:eastAsia="en-US"/>
        </w:rPr>
        <w:t>»</w:t>
      </w:r>
    </w:p>
    <w:p w14:paraId="03CB27E6" w14:textId="77777777" w:rsidR="002E0FC5" w:rsidRPr="00AA7DF5" w:rsidRDefault="002E0FC5" w:rsidP="002E0FC5">
      <w:pPr>
        <w:spacing w:before="120" w:after="120" w:line="360" w:lineRule="auto"/>
        <w:rPr>
          <w:szCs w:val="24"/>
          <w:lang w:eastAsia="en-US"/>
        </w:rPr>
        <w:sectPr w:rsidR="002E0FC5" w:rsidRPr="00AA7DF5" w:rsidSect="00AA7DF5">
          <w:footnotePr>
            <w:numRestart w:val="eachSect"/>
          </w:footnotePr>
          <w:endnotePr>
            <w:numFmt w:val="decimal"/>
          </w:endnotePr>
          <w:pgSz w:w="16834" w:h="11909" w:orient="landscape"/>
          <w:pgMar w:top="1417" w:right="1134" w:bottom="1417" w:left="1417" w:header="1134" w:footer="567" w:gutter="0"/>
          <w:cols w:space="720"/>
          <w:docGrid w:linePitch="326"/>
        </w:sectPr>
      </w:pPr>
    </w:p>
    <w:p w14:paraId="0C5211E6" w14:textId="77777777" w:rsidR="002E0FC5" w:rsidRPr="00AA7DF5" w:rsidRDefault="002E0FC5" w:rsidP="002E0FC5">
      <w:pPr>
        <w:spacing w:before="120" w:after="120" w:line="360" w:lineRule="auto"/>
        <w:jc w:val="center"/>
        <w:rPr>
          <w:lang w:eastAsia="en-US"/>
        </w:rPr>
      </w:pPr>
      <w:r w:rsidRPr="00AA7DF5">
        <w:rPr>
          <w:lang w:eastAsia="en-US"/>
        </w:rPr>
        <w:lastRenderedPageBreak/>
        <w:t>ANEXO V</w:t>
      </w:r>
    </w:p>
    <w:p w14:paraId="43855D0D" w14:textId="77777777" w:rsidR="002E0FC5" w:rsidRPr="00AA7DF5" w:rsidRDefault="002E0FC5" w:rsidP="002E0FC5">
      <w:pPr>
        <w:spacing w:before="120" w:after="120" w:line="360" w:lineRule="auto"/>
        <w:rPr>
          <w:szCs w:val="24"/>
          <w:lang w:eastAsia="en-US"/>
        </w:rPr>
      </w:pPr>
      <w:r w:rsidRPr="00AA7DF5">
        <w:rPr>
          <w:szCs w:val="24"/>
          <w:lang w:eastAsia="en-US"/>
        </w:rPr>
        <w:t>O anexo I da Diretiva 2008/105/CE é alterado do seguinte modo:</w:t>
      </w:r>
    </w:p>
    <w:p w14:paraId="6E4F93E9"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1)</w:t>
      </w:r>
      <w:r w:rsidRPr="00AA7DF5">
        <w:rPr>
          <w:szCs w:val="24"/>
          <w:lang w:eastAsia="en-US"/>
        </w:rPr>
        <w:tab/>
        <w:t>O título passa a ter a seguinte redação:</w:t>
      </w:r>
    </w:p>
    <w:p w14:paraId="7DEA49D3" w14:textId="77777777" w:rsidR="002E0FC5" w:rsidRPr="00AA7DF5" w:rsidRDefault="002E0FC5" w:rsidP="002E0FC5">
      <w:pPr>
        <w:spacing w:before="120" w:after="120" w:line="360" w:lineRule="auto"/>
        <w:ind w:left="850"/>
        <w:rPr>
          <w:szCs w:val="24"/>
          <w:lang w:eastAsia="en-US"/>
        </w:rPr>
      </w:pPr>
      <w:r w:rsidRPr="00AA7DF5">
        <w:rPr>
          <w:szCs w:val="24"/>
          <w:lang w:eastAsia="en-US"/>
        </w:rPr>
        <w:t>«NORMAS DE QUALIDADE AMBIENTAL (NQA) PARA AS SUBSTÂNCIAS PRIORITÁRIAS NAS ÁGUAS DE SUPERFÍCIE;»</w:t>
      </w:r>
    </w:p>
    <w:p w14:paraId="201F3158" w14:textId="77777777" w:rsidR="002E0FC5" w:rsidRPr="00AA7DF5" w:rsidRDefault="002E0FC5" w:rsidP="002E0FC5">
      <w:pPr>
        <w:spacing w:before="120" w:after="120" w:line="360" w:lineRule="auto"/>
        <w:ind w:left="850" w:hanging="850"/>
        <w:rPr>
          <w:szCs w:val="24"/>
          <w:lang w:eastAsia="en-US"/>
        </w:rPr>
      </w:pPr>
      <w:r w:rsidRPr="00AA7DF5">
        <w:rPr>
          <w:szCs w:val="24"/>
          <w:lang w:eastAsia="en-US"/>
        </w:rPr>
        <w:t>2)</w:t>
      </w:r>
      <w:r w:rsidRPr="00AA7DF5">
        <w:rPr>
          <w:szCs w:val="24"/>
          <w:lang w:eastAsia="en-US"/>
        </w:rPr>
        <w:tab/>
        <w:t>A parte A passa a ter a seguinte redação:</w:t>
      </w:r>
    </w:p>
    <w:p w14:paraId="67B4C306" w14:textId="77777777" w:rsidR="002E0FC5" w:rsidRPr="00AA7DF5" w:rsidRDefault="002E0FC5" w:rsidP="002E0FC5">
      <w:pPr>
        <w:spacing w:before="120" w:after="120" w:line="360" w:lineRule="auto"/>
        <w:ind w:left="850"/>
        <w:rPr>
          <w:szCs w:val="24"/>
          <w:lang w:eastAsia="en-US"/>
        </w:rPr>
      </w:pPr>
      <w:r w:rsidRPr="00AA7DF5">
        <w:rPr>
          <w:szCs w:val="24"/>
          <w:lang w:eastAsia="en-US"/>
        </w:rPr>
        <w:t>«PARTE A: NORMAS DE QUALIDADE AMBIENTAL</w:t>
      </w:r>
    </w:p>
    <w:p w14:paraId="1CAAB704" w14:textId="77777777" w:rsidR="002E0FC5" w:rsidRPr="00AA7DF5" w:rsidRDefault="002E0FC5" w:rsidP="002E0FC5">
      <w:pPr>
        <w:spacing w:before="120" w:after="120" w:line="360" w:lineRule="auto"/>
        <w:ind w:left="850"/>
        <w:rPr>
          <w:szCs w:val="24"/>
          <w:lang w:eastAsia="en-US"/>
        </w:rPr>
      </w:pPr>
      <w:r w:rsidRPr="00AA7DF5">
        <w:rPr>
          <w:szCs w:val="24"/>
          <w:lang w:eastAsia="en-US"/>
        </w:rPr>
        <w:t>Nota 1: No caso das NQA que figuram entre parênteses retos ([]), esse valor está sujeito a confirmação à luz do parecer solicitado ao Comité Científico dos Riscos Sanitários, Ambientais e Emergentes.</w:t>
      </w:r>
    </w:p>
    <w:p w14:paraId="31A0C539" w14:textId="77777777" w:rsidR="00F03A57" w:rsidRPr="00AA7DF5" w:rsidRDefault="00F03A57" w:rsidP="002E0FC5">
      <w:pPr>
        <w:spacing w:before="120" w:after="120" w:line="360" w:lineRule="auto"/>
        <w:ind w:left="1416" w:hanging="566"/>
        <w:rPr>
          <w:szCs w:val="24"/>
          <w:lang w:eastAsia="en-US"/>
        </w:rPr>
      </w:pP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F03A57" w:rsidRPr="00AA7DF5" w14:paraId="0A01A916" w14:textId="77777777" w:rsidTr="00F03A57">
        <w:trPr>
          <w:gridBefore w:val="1"/>
          <w:wBefore w:w="12" w:type="dxa"/>
          <w:cantSplit/>
          <w:trHeight w:val="309"/>
          <w:tblHeader/>
          <w:jc w:val="center"/>
        </w:trPr>
        <w:tc>
          <w:tcPr>
            <w:tcW w:w="640" w:type="dxa"/>
            <w:gridSpan w:val="2"/>
            <w:tcMar>
              <w:left w:w="28" w:type="dxa"/>
              <w:right w:w="28" w:type="dxa"/>
            </w:tcMar>
          </w:tcPr>
          <w:p w14:paraId="53AB4E1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lastRenderedPageBreak/>
              <w:t>(1)</w:t>
            </w:r>
          </w:p>
        </w:tc>
        <w:tc>
          <w:tcPr>
            <w:tcW w:w="2273" w:type="dxa"/>
            <w:gridSpan w:val="3"/>
            <w:tcMar>
              <w:left w:w="28" w:type="dxa"/>
              <w:right w:w="28" w:type="dxa"/>
            </w:tcMar>
          </w:tcPr>
          <w:p w14:paraId="6DE0E17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w:t>
            </w:r>
          </w:p>
        </w:tc>
        <w:tc>
          <w:tcPr>
            <w:tcW w:w="1278" w:type="dxa"/>
            <w:gridSpan w:val="3"/>
            <w:tcMar>
              <w:left w:w="28" w:type="dxa"/>
              <w:right w:w="28" w:type="dxa"/>
            </w:tcMar>
          </w:tcPr>
          <w:p w14:paraId="673662C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w:t>
            </w:r>
          </w:p>
        </w:tc>
        <w:tc>
          <w:tcPr>
            <w:tcW w:w="1015" w:type="dxa"/>
            <w:gridSpan w:val="2"/>
            <w:tcMar>
              <w:left w:w="28" w:type="dxa"/>
              <w:right w:w="28" w:type="dxa"/>
            </w:tcMar>
          </w:tcPr>
          <w:p w14:paraId="2C78505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(4)</w:t>
            </w:r>
          </w:p>
        </w:tc>
        <w:tc>
          <w:tcPr>
            <w:tcW w:w="1257" w:type="dxa"/>
            <w:gridSpan w:val="3"/>
          </w:tcPr>
          <w:p w14:paraId="1EAE46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w:t>
            </w:r>
          </w:p>
        </w:tc>
        <w:tc>
          <w:tcPr>
            <w:tcW w:w="1257" w:type="dxa"/>
            <w:gridSpan w:val="2"/>
            <w:tcMar>
              <w:left w:w="28" w:type="dxa"/>
              <w:right w:w="28" w:type="dxa"/>
            </w:tcMar>
          </w:tcPr>
          <w:p w14:paraId="1ED0F8B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w:t>
            </w:r>
          </w:p>
        </w:tc>
        <w:tc>
          <w:tcPr>
            <w:tcW w:w="1351" w:type="dxa"/>
            <w:gridSpan w:val="2"/>
            <w:tcMar>
              <w:left w:w="28" w:type="dxa"/>
              <w:right w:w="28" w:type="dxa"/>
            </w:tcMar>
          </w:tcPr>
          <w:p w14:paraId="51E1C5D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w:t>
            </w:r>
          </w:p>
        </w:tc>
        <w:tc>
          <w:tcPr>
            <w:tcW w:w="1246" w:type="dxa"/>
            <w:gridSpan w:val="2"/>
            <w:tcMar>
              <w:left w:w="28" w:type="dxa"/>
              <w:right w:w="28" w:type="dxa"/>
            </w:tcMar>
          </w:tcPr>
          <w:p w14:paraId="5D6FA8A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w:t>
            </w:r>
          </w:p>
        </w:tc>
        <w:tc>
          <w:tcPr>
            <w:tcW w:w="1237" w:type="dxa"/>
            <w:gridSpan w:val="2"/>
            <w:tcMar>
              <w:left w:w="28" w:type="dxa"/>
              <w:right w:w="28" w:type="dxa"/>
            </w:tcMar>
          </w:tcPr>
          <w:p w14:paraId="1FA565C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(9)</w:t>
            </w:r>
          </w:p>
        </w:tc>
        <w:tc>
          <w:tcPr>
            <w:tcW w:w="1087" w:type="dxa"/>
            <w:tcMar>
              <w:left w:w="28" w:type="dxa"/>
              <w:right w:w="28" w:type="dxa"/>
            </w:tcMar>
          </w:tcPr>
          <w:p w14:paraId="273D969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62" w:type="dxa"/>
            <w:tcMar>
              <w:left w:w="28" w:type="dxa"/>
              <w:right w:w="28" w:type="dxa"/>
            </w:tcMar>
          </w:tcPr>
          <w:p w14:paraId="00C649B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(11)</w:t>
            </w:r>
          </w:p>
        </w:tc>
        <w:tc>
          <w:tcPr>
            <w:tcW w:w="1153" w:type="dxa"/>
            <w:gridSpan w:val="2"/>
            <w:tcMar>
              <w:left w:w="28" w:type="dxa"/>
              <w:right w:w="28" w:type="dxa"/>
            </w:tcMar>
          </w:tcPr>
          <w:p w14:paraId="5207A45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(12)</w:t>
            </w:r>
          </w:p>
        </w:tc>
        <w:tc>
          <w:tcPr>
            <w:tcW w:w="970" w:type="dxa"/>
            <w:tcMar>
              <w:left w:w="28" w:type="dxa"/>
              <w:right w:w="28" w:type="dxa"/>
            </w:tcMar>
          </w:tcPr>
          <w:p w14:paraId="0A3763F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w:t>
            </w:r>
          </w:p>
        </w:tc>
      </w:tr>
      <w:tr w:rsidR="00F03A57" w:rsidRPr="00AA7DF5" w14:paraId="7E59B5A1" w14:textId="77777777" w:rsidTr="00F03A57">
        <w:trPr>
          <w:gridBefore w:val="1"/>
          <w:wBefore w:w="12" w:type="dxa"/>
          <w:cantSplit/>
          <w:trHeight w:val="1020"/>
          <w:tblHeader/>
          <w:jc w:val="center"/>
        </w:trPr>
        <w:tc>
          <w:tcPr>
            <w:tcW w:w="640" w:type="dxa"/>
            <w:gridSpan w:val="2"/>
            <w:tcMar>
              <w:left w:w="28" w:type="dxa"/>
              <w:right w:w="28" w:type="dxa"/>
            </w:tcMar>
          </w:tcPr>
          <w:p w14:paraId="7CC05B9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[Rubrica] N.º</w:t>
            </w:r>
          </w:p>
        </w:tc>
        <w:tc>
          <w:tcPr>
            <w:tcW w:w="2273" w:type="dxa"/>
            <w:gridSpan w:val="3"/>
            <w:tcMar>
              <w:left w:w="28" w:type="dxa"/>
              <w:right w:w="28" w:type="dxa"/>
            </w:tcMar>
          </w:tcPr>
          <w:p w14:paraId="7A87F08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Nome da substância</w:t>
            </w:r>
          </w:p>
        </w:tc>
        <w:tc>
          <w:tcPr>
            <w:tcW w:w="1278" w:type="dxa"/>
            <w:gridSpan w:val="3"/>
            <w:shd w:val="clear" w:color="auto" w:fill="auto"/>
            <w:tcMar>
              <w:left w:w="28" w:type="dxa"/>
              <w:right w:w="28" w:type="dxa"/>
            </w:tcMar>
          </w:tcPr>
          <w:p w14:paraId="4C2337F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Categoria de substâncias</w:t>
            </w:r>
          </w:p>
        </w:tc>
        <w:tc>
          <w:tcPr>
            <w:tcW w:w="1015" w:type="dxa"/>
            <w:gridSpan w:val="2"/>
            <w:tcMar>
              <w:left w:w="28" w:type="dxa"/>
              <w:right w:w="28" w:type="dxa"/>
            </w:tcMar>
          </w:tcPr>
          <w:p w14:paraId="7E27FA17"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Número CAS (</w:t>
            </w:r>
            <w:r w:rsidRPr="00AA7DF5">
              <w:rPr>
                <w:rFonts w:eastAsia="Calibri"/>
                <w:noProof/>
                <w:sz w:val="22"/>
                <w:szCs w:val="22"/>
                <w:vertAlign w:val="superscript"/>
                <w:lang w:eastAsia="en-US"/>
              </w:rPr>
              <w:t>1</w:t>
            </w:r>
            <w:r w:rsidRPr="00AA7DF5">
              <w:rPr>
                <w:rFonts w:eastAsia="Calibri"/>
                <w:noProof/>
                <w:sz w:val="22"/>
                <w:szCs w:val="22"/>
                <w:lang w:eastAsia="en-US"/>
              </w:rPr>
              <w:t>)</w:t>
            </w:r>
            <w:bookmarkStart w:id="8" w:name="_DV_M292"/>
            <w:bookmarkEnd w:id="8"/>
          </w:p>
        </w:tc>
        <w:tc>
          <w:tcPr>
            <w:tcW w:w="1257" w:type="dxa"/>
            <w:gridSpan w:val="3"/>
          </w:tcPr>
          <w:p w14:paraId="5EB236F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Número EU (</w:t>
            </w:r>
            <w:r w:rsidRPr="00AA7DF5">
              <w:rPr>
                <w:rFonts w:eastAsia="Calibri"/>
                <w:noProof/>
                <w:sz w:val="22"/>
                <w:szCs w:val="22"/>
                <w:vertAlign w:val="superscript"/>
                <w:lang w:eastAsia="en-US"/>
              </w:rPr>
              <w:t>2</w:t>
            </w:r>
            <w:r w:rsidRPr="00AA7DF5">
              <w:rPr>
                <w:rFonts w:eastAsia="Calibri"/>
                <w:noProof/>
                <w:sz w:val="22"/>
                <w:szCs w:val="22"/>
                <w:lang w:eastAsia="en-US"/>
              </w:rPr>
              <w:t>)</w:t>
            </w:r>
          </w:p>
        </w:tc>
        <w:tc>
          <w:tcPr>
            <w:tcW w:w="1257" w:type="dxa"/>
            <w:gridSpan w:val="2"/>
            <w:tcMar>
              <w:left w:w="28" w:type="dxa"/>
              <w:right w:w="28" w:type="dxa"/>
            </w:tcMar>
          </w:tcPr>
          <w:p w14:paraId="75F4AB2D" w14:textId="77777777" w:rsidR="00F03A57" w:rsidRPr="00AA7DF5" w:rsidRDefault="00F03A57" w:rsidP="00F03A57">
            <w:pPr>
              <w:widowControl/>
              <w:spacing w:before="40" w:after="40"/>
              <w:rPr>
                <w:rFonts w:eastAsia="Calibri"/>
                <w:noProof/>
                <w:sz w:val="22"/>
                <w:szCs w:val="22"/>
                <w:vertAlign w:val="superscript"/>
                <w:lang w:eastAsia="en-US"/>
              </w:rPr>
            </w:pPr>
            <w:bookmarkStart w:id="9" w:name="_Hlk115349616"/>
            <w:bookmarkStart w:id="10" w:name="_Hlk115803578"/>
            <w:r w:rsidRPr="00AA7DF5">
              <w:rPr>
                <w:rFonts w:eastAsia="Calibri"/>
                <w:noProof/>
                <w:sz w:val="22"/>
                <w:szCs w:val="22"/>
                <w:lang w:eastAsia="en-US"/>
              </w:rPr>
              <w:t xml:space="preserve">NQA-MA </w:t>
            </w:r>
            <w:bookmarkEnd w:id="9"/>
            <w:r w:rsidRPr="00AA7DF5">
              <w:rPr>
                <w:rFonts w:eastAsia="Calibri"/>
                <w:noProof/>
                <w:sz w:val="22"/>
                <w:szCs w:val="22"/>
                <w:lang w:eastAsia="en-US"/>
              </w:rPr>
              <w:t>(</w:t>
            </w:r>
            <w:r w:rsidRPr="00AA7DF5">
              <w:rPr>
                <w:rFonts w:eastAsia="Calibri"/>
                <w:noProof/>
                <w:sz w:val="22"/>
                <w:szCs w:val="22"/>
                <w:vertAlign w:val="superscript"/>
                <w:lang w:eastAsia="en-US"/>
              </w:rPr>
              <w:t>3</w:t>
            </w:r>
            <w:r w:rsidRPr="00AA7DF5">
              <w:rPr>
                <w:rFonts w:eastAsia="Calibri"/>
                <w:noProof/>
                <w:sz w:val="22"/>
                <w:szCs w:val="22"/>
                <w:lang w:eastAsia="en-US"/>
              </w:rPr>
              <w:t xml:space="preserve">) </w:t>
            </w:r>
            <w:bookmarkStart w:id="11" w:name="_DV_M293"/>
            <w:bookmarkEnd w:id="11"/>
            <w:r w:rsidRPr="00AA7DF5">
              <w:rPr>
                <w:rFonts w:eastAsia="Calibri"/>
                <w:noProof/>
                <w:sz w:val="22"/>
                <w:szCs w:val="22"/>
                <w:lang w:eastAsia="en-US"/>
              </w:rPr>
              <w:t xml:space="preserve">Águas de superfície interiores </w:t>
            </w:r>
            <w:bookmarkEnd w:id="10"/>
            <w:r w:rsidRPr="00AA7DF5">
              <w:rPr>
                <w:rFonts w:eastAsia="Calibri"/>
                <w:noProof/>
                <w:sz w:val="22"/>
                <w:szCs w:val="22"/>
                <w:lang w:eastAsia="en-US"/>
              </w:rPr>
              <w:t>(</w:t>
            </w:r>
            <w:r w:rsidRPr="00AA7DF5">
              <w:rPr>
                <w:rFonts w:eastAsia="Calibri"/>
                <w:noProof/>
                <w:sz w:val="22"/>
                <w:szCs w:val="22"/>
                <w:vertAlign w:val="superscript"/>
                <w:lang w:eastAsia="en-US"/>
              </w:rPr>
              <w:t>4</w:t>
            </w:r>
            <w:r w:rsidRPr="00AA7DF5">
              <w:rPr>
                <w:rFonts w:eastAsia="Calibri"/>
                <w:noProof/>
                <w:sz w:val="22"/>
                <w:szCs w:val="22"/>
                <w:lang w:eastAsia="en-US"/>
              </w:rPr>
              <w:t>)</w:t>
            </w:r>
            <w:bookmarkStart w:id="12" w:name="_DV_M294"/>
            <w:bookmarkEnd w:id="12"/>
          </w:p>
          <w:p w14:paraId="4657D5AF" w14:textId="77777777" w:rsidR="00F03A57" w:rsidRPr="00AA7DF5" w:rsidRDefault="00F03A57" w:rsidP="00F03A57">
            <w:pPr>
              <w:widowControl/>
              <w:spacing w:before="40" w:after="40"/>
              <w:rPr>
                <w:rFonts w:eastAsia="Calibri"/>
                <w:noProof/>
                <w:sz w:val="22"/>
                <w:szCs w:val="22"/>
                <w:lang w:eastAsia="en-US"/>
              </w:rPr>
            </w:pPr>
          </w:p>
          <w:p w14:paraId="32AD69A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[µg/l]</w:t>
            </w:r>
          </w:p>
        </w:tc>
        <w:tc>
          <w:tcPr>
            <w:tcW w:w="1351" w:type="dxa"/>
            <w:gridSpan w:val="2"/>
            <w:tcMar>
              <w:left w:w="28" w:type="dxa"/>
              <w:right w:w="28" w:type="dxa"/>
            </w:tcMar>
          </w:tcPr>
          <w:p w14:paraId="41B9EAC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NQA-MA</w:t>
            </w:r>
            <w:bookmarkStart w:id="13" w:name="_DV_M295"/>
            <w:bookmarkEnd w:id="13"/>
            <w:r w:rsidRPr="00AA7DF5">
              <w:rPr>
                <w:rFonts w:eastAsia="Calibri"/>
                <w:noProof/>
                <w:sz w:val="22"/>
                <w:szCs w:val="22"/>
                <w:lang w:eastAsia="en-US"/>
              </w:rPr>
              <w:t xml:space="preserve"> (</w:t>
            </w:r>
            <w:r w:rsidRPr="00AA7DF5">
              <w:rPr>
                <w:rFonts w:eastAsia="Calibri"/>
                <w:noProof/>
                <w:sz w:val="22"/>
                <w:szCs w:val="22"/>
                <w:vertAlign w:val="superscript"/>
                <w:lang w:eastAsia="en-US"/>
              </w:rPr>
              <w:t>3</w:t>
            </w:r>
            <w:r w:rsidRPr="00AA7DF5">
              <w:rPr>
                <w:rFonts w:eastAsia="Calibri"/>
                <w:noProof/>
                <w:sz w:val="22"/>
                <w:szCs w:val="22"/>
                <w:lang w:eastAsia="en-US"/>
              </w:rPr>
              <w:t>)</w:t>
            </w:r>
          </w:p>
          <w:p w14:paraId="1471A5D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Outras águas de superfície</w:t>
            </w:r>
          </w:p>
          <w:p w14:paraId="66F43478" w14:textId="77777777" w:rsidR="00F03A57" w:rsidRPr="00AA7DF5" w:rsidRDefault="00F03A57" w:rsidP="00F03A57">
            <w:pPr>
              <w:widowControl/>
              <w:spacing w:before="40" w:after="40"/>
              <w:rPr>
                <w:rFonts w:eastAsia="Calibri"/>
                <w:noProof/>
                <w:sz w:val="22"/>
                <w:szCs w:val="22"/>
                <w:lang w:eastAsia="en-US"/>
              </w:rPr>
            </w:pPr>
          </w:p>
          <w:p w14:paraId="418DDA1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[µg/l]</w:t>
            </w:r>
          </w:p>
        </w:tc>
        <w:tc>
          <w:tcPr>
            <w:tcW w:w="1246" w:type="dxa"/>
            <w:gridSpan w:val="2"/>
            <w:tcMar>
              <w:left w:w="28" w:type="dxa"/>
              <w:right w:w="28" w:type="dxa"/>
            </w:tcMar>
          </w:tcPr>
          <w:p w14:paraId="79F4F09B" w14:textId="77777777" w:rsidR="00F03A57" w:rsidRPr="00AA7DF5" w:rsidRDefault="00F03A57" w:rsidP="00F03A57">
            <w:pPr>
              <w:widowControl/>
              <w:spacing w:before="40" w:after="40"/>
              <w:rPr>
                <w:rFonts w:eastAsia="Calibri"/>
                <w:noProof/>
                <w:sz w:val="22"/>
                <w:szCs w:val="22"/>
                <w:lang w:eastAsia="en-US"/>
              </w:rPr>
            </w:pPr>
            <w:bookmarkStart w:id="14" w:name="_Hlk115349625"/>
            <w:r w:rsidRPr="00AA7DF5">
              <w:rPr>
                <w:rFonts w:eastAsia="Calibri"/>
                <w:noProof/>
                <w:sz w:val="22"/>
                <w:szCs w:val="22"/>
                <w:lang w:eastAsia="en-US"/>
              </w:rPr>
              <w:t xml:space="preserve">NQA-CMA </w:t>
            </w:r>
            <w:bookmarkEnd w:id="14"/>
            <w:r w:rsidRPr="00AA7DF5">
              <w:rPr>
                <w:rFonts w:eastAsia="Calibri"/>
                <w:noProof/>
                <w:sz w:val="22"/>
                <w:szCs w:val="22"/>
                <w:lang w:eastAsia="en-US"/>
              </w:rPr>
              <w:t>(</w:t>
            </w:r>
            <w:r w:rsidRPr="00AA7DF5">
              <w:rPr>
                <w:rFonts w:eastAsia="Calibri"/>
                <w:noProof/>
                <w:sz w:val="22"/>
                <w:szCs w:val="22"/>
                <w:vertAlign w:val="superscript"/>
                <w:lang w:eastAsia="en-US"/>
              </w:rPr>
              <w:t>5</w:t>
            </w:r>
            <w:r w:rsidRPr="00AA7DF5">
              <w:rPr>
                <w:rFonts w:eastAsia="Calibri"/>
                <w:noProof/>
                <w:sz w:val="22"/>
                <w:szCs w:val="22"/>
                <w:lang w:eastAsia="en-US"/>
              </w:rPr>
              <w:t>)</w:t>
            </w:r>
            <w:bookmarkStart w:id="15" w:name="_DV_M296"/>
            <w:bookmarkEnd w:id="15"/>
          </w:p>
          <w:p w14:paraId="44BF705B"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 xml:space="preserve">Águas de superfície interiores </w:t>
            </w:r>
            <w:bookmarkStart w:id="16" w:name="_DV_M297"/>
            <w:bookmarkEnd w:id="16"/>
            <w:r w:rsidRPr="00AA7DF5">
              <w:rPr>
                <w:rFonts w:eastAsia="Calibri"/>
                <w:noProof/>
                <w:sz w:val="22"/>
                <w:szCs w:val="22"/>
                <w:lang w:eastAsia="en-US"/>
              </w:rPr>
              <w:t>(</w:t>
            </w:r>
            <w:r w:rsidRPr="00AA7DF5">
              <w:rPr>
                <w:rFonts w:eastAsia="Calibri"/>
                <w:noProof/>
                <w:sz w:val="22"/>
                <w:szCs w:val="22"/>
                <w:vertAlign w:val="superscript"/>
                <w:lang w:eastAsia="en-US"/>
              </w:rPr>
              <w:t>4</w:t>
            </w:r>
            <w:r w:rsidRPr="00AA7DF5">
              <w:rPr>
                <w:rFonts w:eastAsia="Calibri"/>
                <w:noProof/>
                <w:sz w:val="22"/>
                <w:szCs w:val="22"/>
                <w:lang w:eastAsia="en-US"/>
              </w:rPr>
              <w:t>)</w:t>
            </w:r>
          </w:p>
          <w:p w14:paraId="7F462B3F" w14:textId="77777777" w:rsidR="00F03A57" w:rsidRPr="00AA7DF5" w:rsidRDefault="00F03A57" w:rsidP="00F03A57">
            <w:pPr>
              <w:widowControl/>
              <w:spacing w:before="40" w:after="40"/>
              <w:rPr>
                <w:rFonts w:eastAsia="Calibri"/>
                <w:noProof/>
                <w:sz w:val="22"/>
                <w:szCs w:val="22"/>
                <w:lang w:eastAsia="en-US"/>
              </w:rPr>
            </w:pPr>
          </w:p>
          <w:p w14:paraId="41F6081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[µg/l]</w:t>
            </w:r>
          </w:p>
        </w:tc>
        <w:tc>
          <w:tcPr>
            <w:tcW w:w="1237" w:type="dxa"/>
            <w:gridSpan w:val="2"/>
            <w:tcMar>
              <w:left w:w="28" w:type="dxa"/>
              <w:right w:w="28" w:type="dxa"/>
            </w:tcMar>
          </w:tcPr>
          <w:p w14:paraId="16A081D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NQA-CMA (</w:t>
            </w:r>
            <w:r w:rsidRPr="00AA7DF5">
              <w:rPr>
                <w:rFonts w:eastAsia="Calibri"/>
                <w:noProof/>
                <w:sz w:val="22"/>
                <w:szCs w:val="22"/>
                <w:vertAlign w:val="superscript"/>
                <w:lang w:eastAsia="en-US"/>
              </w:rPr>
              <w:t>5</w:t>
            </w:r>
            <w:r w:rsidRPr="00AA7DF5">
              <w:rPr>
                <w:rFonts w:eastAsia="Calibri"/>
                <w:noProof/>
                <w:sz w:val="22"/>
                <w:szCs w:val="22"/>
                <w:lang w:eastAsia="en-US"/>
              </w:rPr>
              <w:t>)</w:t>
            </w:r>
            <w:bookmarkStart w:id="17" w:name="_DV_M298"/>
            <w:bookmarkEnd w:id="17"/>
          </w:p>
          <w:p w14:paraId="26A2E7A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Outras águas de superfície</w:t>
            </w:r>
          </w:p>
          <w:p w14:paraId="529CFE5A" w14:textId="77777777" w:rsidR="00F03A57" w:rsidRPr="00AA7DF5" w:rsidRDefault="00F03A57" w:rsidP="00F03A57">
            <w:pPr>
              <w:widowControl/>
              <w:spacing w:before="40" w:after="40"/>
              <w:rPr>
                <w:rFonts w:eastAsia="Calibri"/>
                <w:noProof/>
                <w:sz w:val="22"/>
                <w:szCs w:val="22"/>
                <w:lang w:eastAsia="en-US"/>
              </w:rPr>
            </w:pPr>
          </w:p>
          <w:p w14:paraId="6BD6ADF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[µg/l]</w:t>
            </w:r>
          </w:p>
        </w:tc>
        <w:tc>
          <w:tcPr>
            <w:tcW w:w="1087" w:type="dxa"/>
            <w:tcMar>
              <w:left w:w="28" w:type="dxa"/>
              <w:right w:w="28" w:type="dxa"/>
            </w:tcMar>
          </w:tcPr>
          <w:p w14:paraId="25DDC7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NQA</w:t>
            </w:r>
          </w:p>
          <w:p w14:paraId="4833FA0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para o biota </w:t>
            </w:r>
            <w:bookmarkStart w:id="18" w:name="_DV_M299"/>
            <w:bookmarkEnd w:id="18"/>
            <w:r w:rsidRPr="00AA7DF5">
              <w:rPr>
                <w:rFonts w:eastAsia="Calibri"/>
                <w:noProof/>
                <w:sz w:val="22"/>
                <w:szCs w:val="22"/>
                <w:lang w:eastAsia="en-US"/>
              </w:rPr>
              <w:t>(</w:t>
            </w:r>
            <w:r w:rsidRPr="00AA7DF5">
              <w:rPr>
                <w:rFonts w:eastAsia="Calibri"/>
                <w:noProof/>
                <w:sz w:val="22"/>
                <w:szCs w:val="22"/>
                <w:vertAlign w:val="superscript"/>
                <w:lang w:eastAsia="en-US"/>
              </w:rPr>
              <w:t>6</w:t>
            </w:r>
            <w:r w:rsidRPr="00AA7DF5">
              <w:rPr>
                <w:rFonts w:eastAsia="Calibri"/>
                <w:noProof/>
                <w:sz w:val="22"/>
                <w:szCs w:val="22"/>
                <w:lang w:eastAsia="en-US"/>
              </w:rPr>
              <w:t>)</w:t>
            </w:r>
          </w:p>
          <w:p w14:paraId="0D0C316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[µg/kg de massa húmida] </w:t>
            </w:r>
          </w:p>
          <w:p w14:paraId="27CFA86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ou, quando indicado, NQA para os sedimentos [µg/kg de massa seca]</w:t>
            </w:r>
          </w:p>
        </w:tc>
        <w:tc>
          <w:tcPr>
            <w:tcW w:w="1262" w:type="dxa"/>
            <w:tcMar>
              <w:left w:w="28" w:type="dxa"/>
              <w:right w:w="28" w:type="dxa"/>
            </w:tcMar>
          </w:tcPr>
          <w:p w14:paraId="647CB13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Identificada como substância perigosa prioritária </w:t>
            </w:r>
          </w:p>
        </w:tc>
        <w:tc>
          <w:tcPr>
            <w:tcW w:w="1153" w:type="dxa"/>
            <w:gridSpan w:val="2"/>
            <w:tcMar>
              <w:left w:w="28" w:type="dxa"/>
              <w:right w:w="28" w:type="dxa"/>
            </w:tcMar>
          </w:tcPr>
          <w:p w14:paraId="1EA85CF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Identificada como substância persistente, bioacumulável e tóxica muito disseminada (uPBT)</w:t>
            </w:r>
          </w:p>
        </w:tc>
        <w:tc>
          <w:tcPr>
            <w:tcW w:w="970" w:type="dxa"/>
            <w:tcMar>
              <w:left w:w="28" w:type="dxa"/>
              <w:right w:w="28" w:type="dxa"/>
            </w:tcMar>
          </w:tcPr>
          <w:p w14:paraId="3C03F1A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Identificada como substância que tende a acumular-se em sedimentos e/ou biota </w:t>
            </w:r>
          </w:p>
        </w:tc>
      </w:tr>
      <w:tr w:rsidR="00F03A57" w:rsidRPr="00AA7DF5" w14:paraId="301C1D8D" w14:textId="77777777" w:rsidTr="00F03A57">
        <w:trPr>
          <w:gridBefore w:val="1"/>
          <w:wBefore w:w="12" w:type="dxa"/>
          <w:cantSplit/>
          <w:tblHeader/>
          <w:jc w:val="center"/>
        </w:trPr>
        <w:tc>
          <w:tcPr>
            <w:tcW w:w="651" w:type="dxa"/>
            <w:gridSpan w:val="3"/>
            <w:tcMar>
              <w:left w:w="28" w:type="dxa"/>
              <w:right w:w="28" w:type="dxa"/>
            </w:tcMar>
          </w:tcPr>
          <w:p w14:paraId="5299E34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w:t>
            </w:r>
          </w:p>
        </w:tc>
        <w:tc>
          <w:tcPr>
            <w:tcW w:w="15375" w:type="dxa"/>
            <w:gridSpan w:val="23"/>
            <w:tcMar>
              <w:left w:w="28" w:type="dxa"/>
              <w:right w:w="28" w:type="dxa"/>
            </w:tcMar>
          </w:tcPr>
          <w:p w14:paraId="74B0724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A substância «alacloro» foi transferida para o anexo II, parte C </w:t>
            </w:r>
          </w:p>
        </w:tc>
      </w:tr>
      <w:tr w:rsidR="00F03A57" w:rsidRPr="00AA7DF5" w14:paraId="687B676F" w14:textId="77777777" w:rsidTr="00F03A57">
        <w:trPr>
          <w:gridBefore w:val="1"/>
          <w:wBefore w:w="12" w:type="dxa"/>
          <w:cantSplit/>
          <w:tblHeader/>
          <w:jc w:val="center"/>
        </w:trPr>
        <w:tc>
          <w:tcPr>
            <w:tcW w:w="651" w:type="dxa"/>
            <w:gridSpan w:val="3"/>
            <w:tcMar>
              <w:left w:w="28" w:type="dxa"/>
              <w:right w:w="28" w:type="dxa"/>
            </w:tcMar>
          </w:tcPr>
          <w:p w14:paraId="41A68077"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w:t>
            </w:r>
          </w:p>
        </w:tc>
        <w:tc>
          <w:tcPr>
            <w:tcW w:w="2286" w:type="dxa"/>
            <w:gridSpan w:val="3"/>
            <w:tcMar>
              <w:left w:w="28" w:type="dxa"/>
              <w:right w:w="28" w:type="dxa"/>
            </w:tcMar>
          </w:tcPr>
          <w:p w14:paraId="2B9B31B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Antraceno</w:t>
            </w:r>
          </w:p>
        </w:tc>
        <w:tc>
          <w:tcPr>
            <w:tcW w:w="1329" w:type="dxa"/>
            <w:gridSpan w:val="3"/>
            <w:tcMar>
              <w:left w:w="28" w:type="dxa"/>
              <w:right w:w="28" w:type="dxa"/>
            </w:tcMar>
          </w:tcPr>
          <w:p w14:paraId="7BCE32A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Substâncias industriais </w:t>
            </w:r>
          </w:p>
        </w:tc>
        <w:tc>
          <w:tcPr>
            <w:tcW w:w="992" w:type="dxa"/>
            <w:gridSpan w:val="2"/>
            <w:tcMar>
              <w:left w:w="28" w:type="dxa"/>
              <w:right w:w="28" w:type="dxa"/>
            </w:tcMar>
          </w:tcPr>
          <w:p w14:paraId="307B462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120-12-7</w:t>
            </w:r>
          </w:p>
        </w:tc>
        <w:tc>
          <w:tcPr>
            <w:tcW w:w="1134" w:type="dxa"/>
          </w:tcPr>
          <w:p w14:paraId="04402E0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204-371-1</w:t>
            </w:r>
          </w:p>
        </w:tc>
        <w:tc>
          <w:tcPr>
            <w:tcW w:w="1279" w:type="dxa"/>
            <w:gridSpan w:val="2"/>
            <w:tcMar>
              <w:left w:w="28" w:type="dxa"/>
              <w:right w:w="28" w:type="dxa"/>
            </w:tcMar>
          </w:tcPr>
          <w:p w14:paraId="2D336C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w:t>
            </w:r>
          </w:p>
        </w:tc>
        <w:tc>
          <w:tcPr>
            <w:tcW w:w="1279" w:type="dxa"/>
            <w:gridSpan w:val="2"/>
            <w:tcMar>
              <w:left w:w="28" w:type="dxa"/>
              <w:right w:w="28" w:type="dxa"/>
            </w:tcMar>
          </w:tcPr>
          <w:p w14:paraId="28CEE66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w:t>
            </w:r>
          </w:p>
        </w:tc>
        <w:tc>
          <w:tcPr>
            <w:tcW w:w="1278" w:type="dxa"/>
            <w:gridSpan w:val="2"/>
            <w:tcMar>
              <w:left w:w="28" w:type="dxa"/>
              <w:right w:w="28" w:type="dxa"/>
            </w:tcMar>
          </w:tcPr>
          <w:p w14:paraId="2469866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w:t>
            </w:r>
          </w:p>
        </w:tc>
        <w:tc>
          <w:tcPr>
            <w:tcW w:w="1277" w:type="dxa"/>
            <w:gridSpan w:val="2"/>
            <w:tcMar>
              <w:left w:w="28" w:type="dxa"/>
              <w:right w:w="28" w:type="dxa"/>
            </w:tcMar>
          </w:tcPr>
          <w:p w14:paraId="7F563C3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w:t>
            </w:r>
          </w:p>
        </w:tc>
        <w:tc>
          <w:tcPr>
            <w:tcW w:w="1136" w:type="dxa"/>
            <w:gridSpan w:val="2"/>
            <w:tcMar>
              <w:left w:w="28" w:type="dxa"/>
              <w:right w:w="28" w:type="dxa"/>
            </w:tcMar>
          </w:tcPr>
          <w:p w14:paraId="2A4FF9AC"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5929F54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39B29A2D"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13D188D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4E2CF364" w14:textId="77777777" w:rsidTr="00F03A57">
        <w:trPr>
          <w:gridBefore w:val="1"/>
          <w:wBefore w:w="12" w:type="dxa"/>
          <w:cantSplit/>
          <w:tblHeader/>
          <w:jc w:val="center"/>
        </w:trPr>
        <w:tc>
          <w:tcPr>
            <w:tcW w:w="651" w:type="dxa"/>
            <w:gridSpan w:val="3"/>
            <w:tcMar>
              <w:left w:w="28" w:type="dxa"/>
              <w:right w:w="28" w:type="dxa"/>
            </w:tcMar>
          </w:tcPr>
          <w:p w14:paraId="613C0A87" w14:textId="32437EB5" w:rsidR="00F03A57" w:rsidRPr="00AA7DF5" w:rsidRDefault="00F03A57" w:rsidP="00F03A57">
            <w:pPr>
              <w:widowControl/>
              <w:spacing w:before="40" w:after="40"/>
              <w:jc w:val="both"/>
              <w:rPr>
                <w:rFonts w:eastAsia="Calibri"/>
                <w:b/>
                <w:noProof/>
                <w:sz w:val="22"/>
                <w:szCs w:val="22"/>
                <w:lang w:eastAsia="en-US"/>
              </w:rPr>
            </w:pPr>
            <w:r w:rsidRPr="00AA7DF5">
              <w:rPr>
                <w:rFonts w:eastAsia="Calibri"/>
                <w:noProof/>
                <w:sz w:val="22"/>
                <w:szCs w:val="22"/>
                <w:lang w:eastAsia="en-US"/>
              </w:rPr>
              <w:t>(3)</w:t>
            </w:r>
            <w:r w:rsidRPr="00AA7DF5">
              <w:rPr>
                <w:rFonts w:eastAsia="Calibri"/>
                <w:b/>
                <w:noProof/>
                <w:sz w:val="22"/>
                <w:szCs w:val="22"/>
                <w:lang w:eastAsia="en-US"/>
              </w:rPr>
              <w:t xml:space="preserve"> [Alt. 150]</w:t>
            </w:r>
          </w:p>
        </w:tc>
        <w:tc>
          <w:tcPr>
            <w:tcW w:w="2286" w:type="dxa"/>
            <w:gridSpan w:val="3"/>
            <w:tcMar>
              <w:left w:w="28" w:type="dxa"/>
              <w:right w:w="28" w:type="dxa"/>
            </w:tcMar>
          </w:tcPr>
          <w:p w14:paraId="576CCAE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Atrazina</w:t>
            </w:r>
          </w:p>
        </w:tc>
        <w:tc>
          <w:tcPr>
            <w:tcW w:w="1329" w:type="dxa"/>
            <w:gridSpan w:val="3"/>
            <w:tcMar>
              <w:left w:w="28" w:type="dxa"/>
              <w:right w:w="28" w:type="dxa"/>
            </w:tcMar>
          </w:tcPr>
          <w:p w14:paraId="03B04B3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1D436F2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1912-24-9</w:t>
            </w:r>
          </w:p>
        </w:tc>
        <w:tc>
          <w:tcPr>
            <w:tcW w:w="1134" w:type="dxa"/>
          </w:tcPr>
          <w:p w14:paraId="3F0B042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217-617-8</w:t>
            </w:r>
          </w:p>
        </w:tc>
        <w:tc>
          <w:tcPr>
            <w:tcW w:w="1279" w:type="dxa"/>
            <w:gridSpan w:val="2"/>
            <w:tcMar>
              <w:left w:w="28" w:type="dxa"/>
              <w:right w:w="28" w:type="dxa"/>
            </w:tcMar>
          </w:tcPr>
          <w:p w14:paraId="24AB2ABB" w14:textId="1B377D8D" w:rsidR="00F03A57" w:rsidRPr="00AA7DF5" w:rsidRDefault="00F03A57" w:rsidP="00F03A57">
            <w:pPr>
              <w:widowControl/>
              <w:spacing w:before="40" w:after="40"/>
              <w:rPr>
                <w:rFonts w:eastAsia="Calibri"/>
                <w:noProof/>
                <w:sz w:val="22"/>
                <w:szCs w:val="22"/>
                <w:lang w:eastAsia="en-US"/>
              </w:rPr>
            </w:pPr>
            <w:r w:rsidRPr="00AA7DF5">
              <w:rPr>
                <w:rFonts w:eastAsia="Calibri"/>
                <w:strike/>
                <w:noProof/>
                <w:sz w:val="22"/>
                <w:szCs w:val="22"/>
                <w:lang w:eastAsia="en-US"/>
              </w:rPr>
              <w:t>0,6</w:t>
            </w:r>
            <w:r w:rsidRPr="00AA7DF5">
              <w:rPr>
                <w:rFonts w:eastAsia="Calibri"/>
                <w:b/>
                <w:i/>
                <w:noProof/>
                <w:sz w:val="22"/>
                <w:szCs w:val="22"/>
                <w:lang w:eastAsia="en-US"/>
              </w:rPr>
              <w:t>0,1</w:t>
            </w:r>
          </w:p>
        </w:tc>
        <w:tc>
          <w:tcPr>
            <w:tcW w:w="1279" w:type="dxa"/>
            <w:gridSpan w:val="2"/>
            <w:tcMar>
              <w:left w:w="28" w:type="dxa"/>
              <w:right w:w="28" w:type="dxa"/>
            </w:tcMar>
          </w:tcPr>
          <w:p w14:paraId="55930440" w14:textId="4C1F668C" w:rsidR="00F03A57" w:rsidRPr="00AA7DF5" w:rsidRDefault="00F03A57" w:rsidP="00F03A57">
            <w:pPr>
              <w:widowControl/>
              <w:spacing w:before="40" w:after="40"/>
              <w:rPr>
                <w:rFonts w:eastAsia="Calibri"/>
                <w:noProof/>
                <w:sz w:val="22"/>
                <w:szCs w:val="22"/>
                <w:lang w:eastAsia="en-US"/>
              </w:rPr>
            </w:pPr>
            <w:r w:rsidRPr="00AA7DF5">
              <w:rPr>
                <w:rFonts w:eastAsia="Calibri"/>
                <w:strike/>
                <w:noProof/>
                <w:sz w:val="22"/>
                <w:szCs w:val="22"/>
                <w:lang w:eastAsia="en-US"/>
              </w:rPr>
              <w:t>0,6</w:t>
            </w:r>
            <w:r w:rsidRPr="00AA7DF5">
              <w:rPr>
                <w:rFonts w:eastAsia="Calibri"/>
                <w:b/>
                <w:i/>
                <w:noProof/>
                <w:sz w:val="22"/>
                <w:szCs w:val="22"/>
                <w:lang w:eastAsia="en-US"/>
              </w:rPr>
              <w:t>0,1</w:t>
            </w:r>
          </w:p>
        </w:tc>
        <w:tc>
          <w:tcPr>
            <w:tcW w:w="1278" w:type="dxa"/>
            <w:gridSpan w:val="2"/>
            <w:tcMar>
              <w:left w:w="28" w:type="dxa"/>
              <w:right w:w="28" w:type="dxa"/>
            </w:tcMar>
          </w:tcPr>
          <w:p w14:paraId="0416ED8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w:t>
            </w:r>
          </w:p>
        </w:tc>
        <w:tc>
          <w:tcPr>
            <w:tcW w:w="1277" w:type="dxa"/>
            <w:gridSpan w:val="2"/>
            <w:tcMar>
              <w:left w:w="28" w:type="dxa"/>
              <w:right w:w="28" w:type="dxa"/>
            </w:tcMar>
          </w:tcPr>
          <w:p w14:paraId="7EA4466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w:t>
            </w:r>
          </w:p>
        </w:tc>
        <w:tc>
          <w:tcPr>
            <w:tcW w:w="1136" w:type="dxa"/>
            <w:gridSpan w:val="2"/>
            <w:tcMar>
              <w:left w:w="28" w:type="dxa"/>
              <w:right w:w="28" w:type="dxa"/>
            </w:tcMar>
          </w:tcPr>
          <w:p w14:paraId="7F2E2493"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83E141D"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709667FC"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55202B60"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29743A13" w14:textId="77777777" w:rsidTr="00F03A57">
        <w:trPr>
          <w:gridBefore w:val="1"/>
          <w:wBefore w:w="12" w:type="dxa"/>
          <w:cantSplit/>
          <w:tblHeader/>
          <w:jc w:val="center"/>
        </w:trPr>
        <w:tc>
          <w:tcPr>
            <w:tcW w:w="651" w:type="dxa"/>
            <w:gridSpan w:val="3"/>
            <w:tcMar>
              <w:left w:w="28" w:type="dxa"/>
              <w:right w:w="28" w:type="dxa"/>
            </w:tcMar>
          </w:tcPr>
          <w:p w14:paraId="2D822449"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w:t>
            </w:r>
          </w:p>
        </w:tc>
        <w:tc>
          <w:tcPr>
            <w:tcW w:w="2286" w:type="dxa"/>
            <w:gridSpan w:val="3"/>
            <w:tcMar>
              <w:left w:w="28" w:type="dxa"/>
              <w:right w:w="28" w:type="dxa"/>
            </w:tcMar>
          </w:tcPr>
          <w:p w14:paraId="74B6E00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Benzeno</w:t>
            </w:r>
          </w:p>
        </w:tc>
        <w:tc>
          <w:tcPr>
            <w:tcW w:w="1329" w:type="dxa"/>
            <w:gridSpan w:val="3"/>
            <w:tcMar>
              <w:left w:w="28" w:type="dxa"/>
              <w:right w:w="28" w:type="dxa"/>
            </w:tcMar>
          </w:tcPr>
          <w:p w14:paraId="26BC7E4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284428B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71-43-2</w:t>
            </w:r>
          </w:p>
        </w:tc>
        <w:tc>
          <w:tcPr>
            <w:tcW w:w="1134" w:type="dxa"/>
          </w:tcPr>
          <w:p w14:paraId="59DA57D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200-753-7</w:t>
            </w:r>
          </w:p>
        </w:tc>
        <w:tc>
          <w:tcPr>
            <w:tcW w:w="1279" w:type="dxa"/>
            <w:gridSpan w:val="2"/>
            <w:tcMar>
              <w:left w:w="28" w:type="dxa"/>
              <w:right w:w="28" w:type="dxa"/>
            </w:tcMar>
          </w:tcPr>
          <w:p w14:paraId="28695DE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79" w:type="dxa"/>
            <w:gridSpan w:val="2"/>
            <w:tcMar>
              <w:left w:w="28" w:type="dxa"/>
              <w:right w:w="28" w:type="dxa"/>
            </w:tcMar>
          </w:tcPr>
          <w:p w14:paraId="6D45201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w:t>
            </w:r>
          </w:p>
        </w:tc>
        <w:tc>
          <w:tcPr>
            <w:tcW w:w="1278" w:type="dxa"/>
            <w:gridSpan w:val="2"/>
            <w:tcMar>
              <w:left w:w="28" w:type="dxa"/>
              <w:right w:w="28" w:type="dxa"/>
            </w:tcMar>
          </w:tcPr>
          <w:p w14:paraId="0FEE02A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50</w:t>
            </w:r>
          </w:p>
        </w:tc>
        <w:tc>
          <w:tcPr>
            <w:tcW w:w="1277" w:type="dxa"/>
            <w:gridSpan w:val="2"/>
            <w:tcMar>
              <w:left w:w="28" w:type="dxa"/>
              <w:right w:w="28" w:type="dxa"/>
            </w:tcMar>
          </w:tcPr>
          <w:p w14:paraId="38E7AB5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50</w:t>
            </w:r>
          </w:p>
        </w:tc>
        <w:tc>
          <w:tcPr>
            <w:tcW w:w="1136" w:type="dxa"/>
            <w:gridSpan w:val="2"/>
            <w:tcMar>
              <w:left w:w="28" w:type="dxa"/>
              <w:right w:w="28" w:type="dxa"/>
            </w:tcMar>
          </w:tcPr>
          <w:p w14:paraId="2AA4DBB5"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18D83F3"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7D0BC8E8"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48275EFF"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54AF29A0" w14:textId="77777777" w:rsidTr="00F03A57">
        <w:trPr>
          <w:gridBefore w:val="1"/>
          <w:wBefore w:w="12" w:type="dxa"/>
          <w:cantSplit/>
          <w:trHeight w:val="567"/>
          <w:tblHeader/>
          <w:jc w:val="center"/>
        </w:trPr>
        <w:tc>
          <w:tcPr>
            <w:tcW w:w="651" w:type="dxa"/>
            <w:gridSpan w:val="3"/>
            <w:tcMar>
              <w:left w:w="28" w:type="dxa"/>
              <w:right w:w="28" w:type="dxa"/>
            </w:tcMar>
          </w:tcPr>
          <w:p w14:paraId="6AE4B1C8"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w:t>
            </w:r>
          </w:p>
        </w:tc>
        <w:tc>
          <w:tcPr>
            <w:tcW w:w="2286" w:type="dxa"/>
            <w:gridSpan w:val="3"/>
            <w:tcMar>
              <w:left w:w="28" w:type="dxa"/>
              <w:right w:w="28" w:type="dxa"/>
            </w:tcMar>
          </w:tcPr>
          <w:p w14:paraId="62853F6A"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Éteres difenílicos bromados</w:t>
            </w:r>
            <w:bookmarkStart w:id="19" w:name="_DV_M300"/>
            <w:bookmarkEnd w:id="19"/>
          </w:p>
        </w:tc>
        <w:tc>
          <w:tcPr>
            <w:tcW w:w="1329" w:type="dxa"/>
            <w:gridSpan w:val="3"/>
            <w:tcMar>
              <w:left w:w="28" w:type="dxa"/>
              <w:right w:w="28" w:type="dxa"/>
            </w:tcMar>
          </w:tcPr>
          <w:p w14:paraId="2CDEA5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748B1FE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4" w:type="dxa"/>
          </w:tcPr>
          <w:p w14:paraId="1852F15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4101D1DA" w14:textId="77777777" w:rsidR="00F03A57" w:rsidRPr="00AA7DF5" w:rsidRDefault="00F03A57" w:rsidP="00F03A57">
            <w:pPr>
              <w:widowControl/>
              <w:spacing w:before="40" w:after="40"/>
              <w:rPr>
                <w:rFonts w:eastAsia="Calibri"/>
                <w:noProof/>
                <w:sz w:val="22"/>
                <w:szCs w:val="22"/>
                <w:lang w:eastAsia="en-US"/>
              </w:rPr>
            </w:pPr>
          </w:p>
        </w:tc>
        <w:tc>
          <w:tcPr>
            <w:tcW w:w="1279" w:type="dxa"/>
            <w:gridSpan w:val="2"/>
            <w:tcMar>
              <w:left w:w="28" w:type="dxa"/>
              <w:right w:w="28" w:type="dxa"/>
            </w:tcMar>
          </w:tcPr>
          <w:p w14:paraId="7DDC6EF5" w14:textId="77777777" w:rsidR="00F03A57" w:rsidRPr="00AA7DF5" w:rsidRDefault="00F03A57" w:rsidP="00F03A57">
            <w:pPr>
              <w:widowControl/>
              <w:spacing w:before="40" w:after="40"/>
              <w:rPr>
                <w:rFonts w:eastAsia="Calibri"/>
                <w:noProof/>
                <w:sz w:val="22"/>
                <w:szCs w:val="22"/>
                <w:lang w:eastAsia="en-US"/>
              </w:rPr>
            </w:pPr>
          </w:p>
        </w:tc>
        <w:tc>
          <w:tcPr>
            <w:tcW w:w="1278" w:type="dxa"/>
            <w:gridSpan w:val="2"/>
            <w:tcMar>
              <w:left w:w="28" w:type="dxa"/>
              <w:right w:w="28" w:type="dxa"/>
            </w:tcMar>
          </w:tcPr>
          <w:p w14:paraId="0C99BA3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0,14 (</w:t>
            </w:r>
            <w:r w:rsidRPr="00AA7DF5">
              <w:rPr>
                <w:rFonts w:eastAsia="Calibri"/>
                <w:noProof/>
                <w:sz w:val="22"/>
                <w:szCs w:val="22"/>
                <w:vertAlign w:val="superscript"/>
                <w:lang w:eastAsia="en-US"/>
              </w:rPr>
              <w:t>7</w:t>
            </w:r>
            <w:r w:rsidRPr="00AA7DF5">
              <w:rPr>
                <w:rFonts w:eastAsia="Calibri"/>
                <w:noProof/>
                <w:sz w:val="22"/>
                <w:szCs w:val="22"/>
                <w:lang w:eastAsia="en-US"/>
              </w:rPr>
              <w:t>)</w:t>
            </w:r>
          </w:p>
        </w:tc>
        <w:tc>
          <w:tcPr>
            <w:tcW w:w="1277" w:type="dxa"/>
            <w:gridSpan w:val="2"/>
            <w:tcMar>
              <w:left w:w="28" w:type="dxa"/>
              <w:right w:w="28" w:type="dxa"/>
            </w:tcMar>
          </w:tcPr>
          <w:p w14:paraId="008AC58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0,014 (</w:t>
            </w:r>
            <w:r w:rsidRPr="00AA7DF5">
              <w:rPr>
                <w:rFonts w:eastAsia="Calibri"/>
                <w:noProof/>
                <w:sz w:val="22"/>
                <w:szCs w:val="22"/>
                <w:vertAlign w:val="superscript"/>
                <w:lang w:eastAsia="en-US"/>
              </w:rPr>
              <w:t>7</w:t>
            </w:r>
            <w:r w:rsidRPr="00AA7DF5">
              <w:rPr>
                <w:rFonts w:eastAsia="Calibri"/>
                <w:noProof/>
                <w:sz w:val="22"/>
                <w:szCs w:val="22"/>
                <w:lang w:eastAsia="en-US"/>
              </w:rPr>
              <w:t>)</w:t>
            </w:r>
          </w:p>
        </w:tc>
        <w:tc>
          <w:tcPr>
            <w:tcW w:w="1136" w:type="dxa"/>
            <w:gridSpan w:val="2"/>
            <w:tcMar>
              <w:left w:w="28" w:type="dxa"/>
              <w:right w:w="28" w:type="dxa"/>
            </w:tcMar>
          </w:tcPr>
          <w:p w14:paraId="66C7855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[0,00028] (</w:t>
            </w:r>
            <w:r w:rsidRPr="00AA7DF5">
              <w:rPr>
                <w:rFonts w:eastAsia="Calibri"/>
                <w:noProof/>
                <w:sz w:val="22"/>
                <w:szCs w:val="22"/>
                <w:vertAlign w:val="superscript"/>
                <w:lang w:eastAsia="en-US"/>
              </w:rPr>
              <w:t>7</w:t>
            </w:r>
            <w:r w:rsidRPr="00AA7DF5">
              <w:rPr>
                <w:rFonts w:eastAsia="Calibri"/>
                <w:noProof/>
                <w:sz w:val="22"/>
                <w:szCs w:val="22"/>
                <w:lang w:eastAsia="en-US"/>
              </w:rPr>
              <w:t>)</w:t>
            </w:r>
          </w:p>
        </w:tc>
        <w:tc>
          <w:tcPr>
            <w:tcW w:w="1262" w:type="dxa"/>
            <w:tcMar>
              <w:left w:w="28" w:type="dxa"/>
              <w:right w:w="28" w:type="dxa"/>
            </w:tcMar>
          </w:tcPr>
          <w:p w14:paraId="0F52F2D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 (</w:t>
            </w:r>
            <w:r w:rsidRPr="00AA7DF5">
              <w:rPr>
                <w:rFonts w:eastAsia="Calibri"/>
                <w:noProof/>
                <w:sz w:val="22"/>
                <w:szCs w:val="22"/>
                <w:vertAlign w:val="superscript"/>
                <w:lang w:eastAsia="en-US"/>
              </w:rPr>
              <w:t>8</w:t>
            </w:r>
            <w:r w:rsidRPr="00AA7DF5">
              <w:rPr>
                <w:rFonts w:eastAsia="Calibri"/>
                <w:noProof/>
                <w:sz w:val="22"/>
                <w:szCs w:val="22"/>
                <w:lang w:eastAsia="en-US"/>
              </w:rPr>
              <w:t>)</w:t>
            </w:r>
          </w:p>
        </w:tc>
        <w:tc>
          <w:tcPr>
            <w:tcW w:w="1153" w:type="dxa"/>
            <w:gridSpan w:val="2"/>
            <w:tcMar>
              <w:left w:w="28" w:type="dxa"/>
              <w:right w:w="28" w:type="dxa"/>
            </w:tcMar>
          </w:tcPr>
          <w:p w14:paraId="7C39C7D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4FB4586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200C4417" w14:textId="77777777" w:rsidTr="00F03A57">
        <w:trPr>
          <w:gridBefore w:val="1"/>
          <w:wBefore w:w="12" w:type="dxa"/>
          <w:cantSplit/>
          <w:tblHeader/>
          <w:jc w:val="center"/>
        </w:trPr>
        <w:tc>
          <w:tcPr>
            <w:tcW w:w="651" w:type="dxa"/>
            <w:gridSpan w:val="3"/>
            <w:tcMar>
              <w:left w:w="28" w:type="dxa"/>
              <w:right w:w="28" w:type="dxa"/>
            </w:tcMar>
          </w:tcPr>
          <w:p w14:paraId="5EDCB54A" w14:textId="77777777" w:rsidR="00F03A57" w:rsidRPr="00AA7DF5" w:rsidRDefault="00F03A57" w:rsidP="00F03A57">
            <w:pPr>
              <w:keepNext/>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(6)</w:t>
            </w:r>
          </w:p>
        </w:tc>
        <w:tc>
          <w:tcPr>
            <w:tcW w:w="2286" w:type="dxa"/>
            <w:gridSpan w:val="3"/>
            <w:tcMar>
              <w:left w:w="28" w:type="dxa"/>
              <w:right w:w="28" w:type="dxa"/>
            </w:tcMar>
          </w:tcPr>
          <w:p w14:paraId="5423D3B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Cádmio e seus compostos</w:t>
            </w:r>
          </w:p>
          <w:p w14:paraId="7D7EDD29" w14:textId="77777777" w:rsidR="00F03A57" w:rsidRPr="00AA7DF5" w:rsidRDefault="00F03A57" w:rsidP="00F03A57">
            <w:pPr>
              <w:keepNext/>
              <w:widowControl/>
              <w:spacing w:before="40" w:after="40"/>
              <w:rPr>
                <w:rFonts w:eastAsia="Calibri"/>
                <w:noProof/>
                <w:sz w:val="22"/>
                <w:szCs w:val="22"/>
                <w:vertAlign w:val="superscript"/>
                <w:lang w:eastAsia="en-US"/>
              </w:rPr>
            </w:pPr>
            <w:r w:rsidRPr="00AA7DF5">
              <w:rPr>
                <w:rFonts w:eastAsia="Calibri"/>
                <w:noProof/>
                <w:sz w:val="22"/>
                <w:szCs w:val="22"/>
                <w:lang w:eastAsia="en-US"/>
              </w:rPr>
              <w:t>(consoante a classe de dureza da água) (</w:t>
            </w:r>
            <w:r w:rsidRPr="00AA7DF5">
              <w:rPr>
                <w:rFonts w:eastAsia="Calibri"/>
                <w:noProof/>
                <w:sz w:val="22"/>
                <w:szCs w:val="22"/>
                <w:vertAlign w:val="superscript"/>
                <w:lang w:eastAsia="en-US"/>
              </w:rPr>
              <w:t>9</w:t>
            </w:r>
            <w:r w:rsidRPr="00AA7DF5">
              <w:rPr>
                <w:rFonts w:eastAsia="Calibri"/>
                <w:noProof/>
                <w:sz w:val="22"/>
                <w:szCs w:val="22"/>
                <w:lang w:eastAsia="en-US"/>
              </w:rPr>
              <w:t>)</w:t>
            </w:r>
          </w:p>
        </w:tc>
        <w:tc>
          <w:tcPr>
            <w:tcW w:w="1329" w:type="dxa"/>
            <w:gridSpan w:val="3"/>
            <w:tcMar>
              <w:left w:w="28" w:type="dxa"/>
              <w:right w:w="28" w:type="dxa"/>
            </w:tcMar>
          </w:tcPr>
          <w:p w14:paraId="06F7767E"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Metais</w:t>
            </w:r>
          </w:p>
        </w:tc>
        <w:tc>
          <w:tcPr>
            <w:tcW w:w="992" w:type="dxa"/>
            <w:gridSpan w:val="2"/>
            <w:tcMar>
              <w:left w:w="28" w:type="dxa"/>
              <w:right w:w="28" w:type="dxa"/>
            </w:tcMar>
          </w:tcPr>
          <w:p w14:paraId="5E897858"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7440-43-9</w:t>
            </w:r>
          </w:p>
        </w:tc>
        <w:tc>
          <w:tcPr>
            <w:tcW w:w="1134" w:type="dxa"/>
          </w:tcPr>
          <w:p w14:paraId="5ADAA720"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231-152-8</w:t>
            </w:r>
          </w:p>
        </w:tc>
        <w:tc>
          <w:tcPr>
            <w:tcW w:w="1279" w:type="dxa"/>
            <w:gridSpan w:val="2"/>
            <w:tcMar>
              <w:left w:w="28" w:type="dxa"/>
              <w:right w:w="28" w:type="dxa"/>
            </w:tcMar>
          </w:tcPr>
          <w:p w14:paraId="114A6AB1"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 0,08 (Classe 1)</w:t>
            </w:r>
          </w:p>
          <w:p w14:paraId="6EEBC9A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0,08 (Classe 2)</w:t>
            </w:r>
          </w:p>
          <w:p w14:paraId="66A35B0A"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0,09 (Classe 3)</w:t>
            </w:r>
          </w:p>
          <w:p w14:paraId="23E86CF8"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0,15 (Classe 4)</w:t>
            </w:r>
          </w:p>
          <w:p w14:paraId="26A933DF"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0,25 (Classe 5)</w:t>
            </w:r>
          </w:p>
        </w:tc>
        <w:tc>
          <w:tcPr>
            <w:tcW w:w="1279" w:type="dxa"/>
            <w:gridSpan w:val="2"/>
            <w:tcMar>
              <w:left w:w="28" w:type="dxa"/>
              <w:right w:w="28" w:type="dxa"/>
            </w:tcMar>
          </w:tcPr>
          <w:p w14:paraId="4437BA51"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0,2</w:t>
            </w:r>
          </w:p>
        </w:tc>
        <w:tc>
          <w:tcPr>
            <w:tcW w:w="1278" w:type="dxa"/>
            <w:gridSpan w:val="2"/>
            <w:tcMar>
              <w:left w:w="28" w:type="dxa"/>
              <w:right w:w="28" w:type="dxa"/>
            </w:tcMar>
          </w:tcPr>
          <w:p w14:paraId="28F39A22"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 0,45 (Classe 1)</w:t>
            </w:r>
          </w:p>
          <w:p w14:paraId="246CC2A0"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0,45 (Classe 2)</w:t>
            </w:r>
          </w:p>
          <w:p w14:paraId="7B733768"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0,6 (Classe 3)</w:t>
            </w:r>
          </w:p>
          <w:p w14:paraId="0E219555"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0,9 (Classe 4)</w:t>
            </w:r>
          </w:p>
          <w:p w14:paraId="396A9DCB"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1,5 (Classe 5)</w:t>
            </w:r>
          </w:p>
        </w:tc>
        <w:tc>
          <w:tcPr>
            <w:tcW w:w="1277" w:type="dxa"/>
            <w:gridSpan w:val="2"/>
            <w:tcMar>
              <w:left w:w="28" w:type="dxa"/>
              <w:right w:w="28" w:type="dxa"/>
            </w:tcMar>
          </w:tcPr>
          <w:p w14:paraId="4A344C4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 0,45 (Classe 1)</w:t>
            </w:r>
          </w:p>
          <w:p w14:paraId="535E862C"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0,45 (Classe 2)</w:t>
            </w:r>
          </w:p>
          <w:p w14:paraId="6C4E2C09"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0,6 (Classe 3)</w:t>
            </w:r>
          </w:p>
          <w:p w14:paraId="0DFC3E3F"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0,9 (Classe 4)</w:t>
            </w:r>
          </w:p>
          <w:p w14:paraId="20ECBCCC"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1,5 (Classe 5)</w:t>
            </w:r>
          </w:p>
        </w:tc>
        <w:tc>
          <w:tcPr>
            <w:tcW w:w="1136" w:type="dxa"/>
            <w:gridSpan w:val="2"/>
            <w:tcMar>
              <w:left w:w="28" w:type="dxa"/>
              <w:right w:w="28" w:type="dxa"/>
            </w:tcMar>
          </w:tcPr>
          <w:p w14:paraId="3513A3A5" w14:textId="77777777" w:rsidR="00F03A57" w:rsidRPr="00AA7DF5" w:rsidRDefault="00F03A57" w:rsidP="00F03A57">
            <w:pPr>
              <w:keepNext/>
              <w:widowControl/>
              <w:spacing w:before="40" w:after="40"/>
              <w:rPr>
                <w:rFonts w:eastAsia="Calibri"/>
                <w:noProof/>
                <w:sz w:val="22"/>
                <w:szCs w:val="22"/>
                <w:lang w:eastAsia="en-US"/>
              </w:rPr>
            </w:pPr>
          </w:p>
        </w:tc>
        <w:tc>
          <w:tcPr>
            <w:tcW w:w="1262" w:type="dxa"/>
            <w:tcMar>
              <w:left w:w="28" w:type="dxa"/>
              <w:right w:w="28" w:type="dxa"/>
            </w:tcMar>
          </w:tcPr>
          <w:p w14:paraId="4D79B9FF"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51E1494C" w14:textId="77777777" w:rsidR="00F03A57" w:rsidRPr="00AA7DF5" w:rsidRDefault="00F03A57" w:rsidP="00F03A57">
            <w:pPr>
              <w:keepNext/>
              <w:widowControl/>
              <w:spacing w:before="40" w:after="40"/>
              <w:rPr>
                <w:rFonts w:eastAsia="Calibri"/>
                <w:noProof/>
                <w:sz w:val="22"/>
                <w:szCs w:val="22"/>
                <w:lang w:eastAsia="en-US"/>
              </w:rPr>
            </w:pPr>
          </w:p>
        </w:tc>
        <w:tc>
          <w:tcPr>
            <w:tcW w:w="970" w:type="dxa"/>
            <w:tcMar>
              <w:left w:w="28" w:type="dxa"/>
              <w:right w:w="28" w:type="dxa"/>
            </w:tcMar>
          </w:tcPr>
          <w:p w14:paraId="4AC5C465"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393A332E" w14:textId="77777777" w:rsidTr="00F03A57">
        <w:trPr>
          <w:gridBefore w:val="1"/>
          <w:wBefore w:w="12" w:type="dxa"/>
          <w:cantSplit/>
          <w:tblHeader/>
          <w:jc w:val="center"/>
        </w:trPr>
        <w:tc>
          <w:tcPr>
            <w:tcW w:w="651" w:type="dxa"/>
            <w:gridSpan w:val="3"/>
            <w:tcMar>
              <w:left w:w="28" w:type="dxa"/>
              <w:right w:w="28" w:type="dxa"/>
            </w:tcMar>
          </w:tcPr>
          <w:p w14:paraId="119CE154"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(6-A)</w:t>
            </w:r>
          </w:p>
        </w:tc>
        <w:tc>
          <w:tcPr>
            <w:tcW w:w="15375" w:type="dxa"/>
            <w:gridSpan w:val="23"/>
            <w:tcMar>
              <w:left w:w="28" w:type="dxa"/>
              <w:right w:w="28" w:type="dxa"/>
            </w:tcMar>
          </w:tcPr>
          <w:p w14:paraId="4A7D051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A substância «tetracloreto de carbono» foi transferida para o anexo II, parte C </w:t>
            </w:r>
          </w:p>
        </w:tc>
      </w:tr>
      <w:tr w:rsidR="00F03A57" w:rsidRPr="00AA7DF5" w14:paraId="0513C040" w14:textId="77777777" w:rsidTr="00F03A57">
        <w:trPr>
          <w:gridBefore w:val="1"/>
          <w:wBefore w:w="12" w:type="dxa"/>
          <w:cantSplit/>
          <w:tblHeader/>
          <w:jc w:val="center"/>
        </w:trPr>
        <w:tc>
          <w:tcPr>
            <w:tcW w:w="651" w:type="dxa"/>
            <w:gridSpan w:val="3"/>
            <w:tcMar>
              <w:left w:w="28" w:type="dxa"/>
              <w:right w:w="28" w:type="dxa"/>
            </w:tcMar>
          </w:tcPr>
          <w:p w14:paraId="08CA390A"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(7)</w:t>
            </w:r>
          </w:p>
        </w:tc>
        <w:tc>
          <w:tcPr>
            <w:tcW w:w="2286" w:type="dxa"/>
            <w:gridSpan w:val="3"/>
            <w:tcMar>
              <w:left w:w="28" w:type="dxa"/>
              <w:right w:w="28" w:type="dxa"/>
            </w:tcMar>
          </w:tcPr>
          <w:p w14:paraId="50FAF97E"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Cloroalcanos C</w:t>
            </w:r>
            <w:r w:rsidRPr="00AA7DF5">
              <w:rPr>
                <w:rFonts w:eastAsia="Calibri"/>
                <w:noProof/>
                <w:sz w:val="22"/>
                <w:szCs w:val="22"/>
                <w:vertAlign w:val="subscript"/>
                <w:lang w:eastAsia="en-US"/>
              </w:rPr>
              <w:t>10-13</w:t>
            </w:r>
            <w:r w:rsidRPr="00AA7DF5">
              <w:rPr>
                <w:rFonts w:eastAsia="Calibri"/>
                <w:noProof/>
                <w:sz w:val="22"/>
                <w:szCs w:val="22"/>
                <w:lang w:eastAsia="en-US"/>
              </w:rPr>
              <w:t xml:space="preserve"> (</w:t>
            </w:r>
            <w:r w:rsidRPr="00AA7DF5">
              <w:rPr>
                <w:rFonts w:eastAsia="Calibri"/>
                <w:noProof/>
                <w:sz w:val="22"/>
                <w:szCs w:val="22"/>
                <w:vertAlign w:val="superscript"/>
                <w:lang w:eastAsia="en-US"/>
              </w:rPr>
              <w:t>10</w:t>
            </w:r>
            <w:r w:rsidRPr="00AA7DF5">
              <w:rPr>
                <w:rFonts w:eastAsia="Calibri"/>
                <w:noProof/>
                <w:sz w:val="22"/>
                <w:szCs w:val="22"/>
                <w:lang w:eastAsia="en-US"/>
              </w:rPr>
              <w:t>)</w:t>
            </w:r>
          </w:p>
        </w:tc>
        <w:tc>
          <w:tcPr>
            <w:tcW w:w="1329" w:type="dxa"/>
            <w:gridSpan w:val="3"/>
            <w:tcMar>
              <w:left w:w="28" w:type="dxa"/>
              <w:right w:w="28" w:type="dxa"/>
            </w:tcMar>
          </w:tcPr>
          <w:p w14:paraId="47422DD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50E56D7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85535-84-8</w:t>
            </w:r>
          </w:p>
        </w:tc>
        <w:tc>
          <w:tcPr>
            <w:tcW w:w="1134" w:type="dxa"/>
          </w:tcPr>
          <w:p w14:paraId="0CA6533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287-476-5</w:t>
            </w:r>
          </w:p>
        </w:tc>
        <w:tc>
          <w:tcPr>
            <w:tcW w:w="1279" w:type="dxa"/>
            <w:gridSpan w:val="2"/>
            <w:tcMar>
              <w:left w:w="28" w:type="dxa"/>
              <w:right w:w="28" w:type="dxa"/>
            </w:tcMar>
          </w:tcPr>
          <w:p w14:paraId="63D23F2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0,4 </w:t>
            </w:r>
          </w:p>
        </w:tc>
        <w:tc>
          <w:tcPr>
            <w:tcW w:w="1279" w:type="dxa"/>
            <w:gridSpan w:val="2"/>
            <w:tcMar>
              <w:left w:w="28" w:type="dxa"/>
              <w:right w:w="28" w:type="dxa"/>
            </w:tcMar>
          </w:tcPr>
          <w:p w14:paraId="13CE093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0,4</w:t>
            </w:r>
          </w:p>
        </w:tc>
        <w:tc>
          <w:tcPr>
            <w:tcW w:w="1278" w:type="dxa"/>
            <w:gridSpan w:val="2"/>
            <w:tcMar>
              <w:left w:w="28" w:type="dxa"/>
              <w:right w:w="28" w:type="dxa"/>
            </w:tcMar>
          </w:tcPr>
          <w:p w14:paraId="624496D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1,4</w:t>
            </w:r>
          </w:p>
        </w:tc>
        <w:tc>
          <w:tcPr>
            <w:tcW w:w="1277" w:type="dxa"/>
            <w:gridSpan w:val="2"/>
            <w:tcMar>
              <w:left w:w="28" w:type="dxa"/>
              <w:right w:w="28" w:type="dxa"/>
            </w:tcMar>
          </w:tcPr>
          <w:p w14:paraId="7C5A91D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1,4</w:t>
            </w:r>
          </w:p>
        </w:tc>
        <w:tc>
          <w:tcPr>
            <w:tcW w:w="1136" w:type="dxa"/>
            <w:gridSpan w:val="2"/>
            <w:tcMar>
              <w:left w:w="28" w:type="dxa"/>
              <w:right w:w="28" w:type="dxa"/>
            </w:tcMar>
          </w:tcPr>
          <w:p w14:paraId="399A9F21"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7BD798B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190A9B9F"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4700CF0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1004FE14" w14:textId="77777777" w:rsidTr="00F03A57">
        <w:trPr>
          <w:gridBefore w:val="1"/>
          <w:wBefore w:w="12" w:type="dxa"/>
          <w:cantSplit/>
          <w:tblHeader/>
          <w:jc w:val="center"/>
        </w:trPr>
        <w:tc>
          <w:tcPr>
            <w:tcW w:w="651" w:type="dxa"/>
            <w:gridSpan w:val="3"/>
            <w:tcMar>
              <w:left w:w="28" w:type="dxa"/>
              <w:right w:w="28" w:type="dxa"/>
            </w:tcMar>
          </w:tcPr>
          <w:p w14:paraId="61C3164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(8)</w:t>
            </w:r>
          </w:p>
        </w:tc>
        <w:tc>
          <w:tcPr>
            <w:tcW w:w="15375" w:type="dxa"/>
            <w:gridSpan w:val="23"/>
            <w:tcMar>
              <w:left w:w="28" w:type="dxa"/>
              <w:right w:w="28" w:type="dxa"/>
            </w:tcMar>
          </w:tcPr>
          <w:p w14:paraId="1439FF5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A substância «clorfenvinfos» foi transferida para o anexo II, parte C </w:t>
            </w:r>
          </w:p>
        </w:tc>
      </w:tr>
      <w:tr w:rsidR="00F03A57" w:rsidRPr="00AA7DF5" w14:paraId="52216EC0" w14:textId="77777777" w:rsidTr="00F03A57">
        <w:trPr>
          <w:gridBefore w:val="1"/>
          <w:wBefore w:w="12" w:type="dxa"/>
          <w:cantSplit/>
          <w:tblHeader/>
          <w:jc w:val="center"/>
        </w:trPr>
        <w:tc>
          <w:tcPr>
            <w:tcW w:w="651" w:type="dxa"/>
            <w:gridSpan w:val="3"/>
            <w:tcMar>
              <w:left w:w="28" w:type="dxa"/>
              <w:right w:w="28" w:type="dxa"/>
            </w:tcMar>
          </w:tcPr>
          <w:p w14:paraId="2A940076"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(9)</w:t>
            </w:r>
          </w:p>
        </w:tc>
        <w:tc>
          <w:tcPr>
            <w:tcW w:w="2286" w:type="dxa"/>
            <w:gridSpan w:val="3"/>
            <w:tcMar>
              <w:left w:w="28" w:type="dxa"/>
              <w:right w:w="28" w:type="dxa"/>
            </w:tcMar>
          </w:tcPr>
          <w:p w14:paraId="0AE2756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Clorpirifos (Clorpirifos-etilo)</w:t>
            </w:r>
          </w:p>
        </w:tc>
        <w:tc>
          <w:tcPr>
            <w:tcW w:w="1329" w:type="dxa"/>
            <w:gridSpan w:val="3"/>
            <w:tcMar>
              <w:left w:w="28" w:type="dxa"/>
              <w:right w:w="28" w:type="dxa"/>
            </w:tcMar>
          </w:tcPr>
          <w:p w14:paraId="2CBDBA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organofosfatados</w:t>
            </w:r>
          </w:p>
        </w:tc>
        <w:tc>
          <w:tcPr>
            <w:tcW w:w="992" w:type="dxa"/>
            <w:gridSpan w:val="2"/>
            <w:tcMar>
              <w:left w:w="28" w:type="dxa"/>
              <w:right w:w="28" w:type="dxa"/>
            </w:tcMar>
          </w:tcPr>
          <w:p w14:paraId="05B3CC3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2921-88-2</w:t>
            </w:r>
          </w:p>
        </w:tc>
        <w:tc>
          <w:tcPr>
            <w:tcW w:w="1134" w:type="dxa"/>
          </w:tcPr>
          <w:p w14:paraId="5DAD7AD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220-864-4</w:t>
            </w:r>
          </w:p>
        </w:tc>
        <w:tc>
          <w:tcPr>
            <w:tcW w:w="1279" w:type="dxa"/>
            <w:gridSpan w:val="2"/>
            <w:tcMar>
              <w:left w:w="28" w:type="dxa"/>
              <w:right w:w="28" w:type="dxa"/>
            </w:tcMar>
          </w:tcPr>
          <w:p w14:paraId="634DB04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4,6 × 10</w:t>
            </w:r>
            <w:r w:rsidRPr="00AA7DF5">
              <w:rPr>
                <w:rFonts w:eastAsia="Calibri"/>
                <w:noProof/>
                <w:sz w:val="22"/>
                <w:szCs w:val="22"/>
                <w:vertAlign w:val="superscript"/>
                <w:lang w:eastAsia="en-US"/>
              </w:rPr>
              <w:t>-4</w:t>
            </w:r>
          </w:p>
        </w:tc>
        <w:tc>
          <w:tcPr>
            <w:tcW w:w="1279" w:type="dxa"/>
            <w:gridSpan w:val="2"/>
            <w:tcMar>
              <w:left w:w="28" w:type="dxa"/>
              <w:right w:w="28" w:type="dxa"/>
            </w:tcMar>
          </w:tcPr>
          <w:p w14:paraId="367002B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4,6 × 10</w:t>
            </w:r>
            <w:r w:rsidRPr="00AA7DF5">
              <w:rPr>
                <w:rFonts w:eastAsia="Calibri"/>
                <w:noProof/>
                <w:sz w:val="22"/>
                <w:szCs w:val="22"/>
                <w:vertAlign w:val="superscript"/>
                <w:lang w:eastAsia="en-US"/>
              </w:rPr>
              <w:t>-5</w:t>
            </w:r>
          </w:p>
        </w:tc>
        <w:tc>
          <w:tcPr>
            <w:tcW w:w="1278" w:type="dxa"/>
            <w:gridSpan w:val="2"/>
            <w:tcMar>
              <w:left w:w="28" w:type="dxa"/>
              <w:right w:w="28" w:type="dxa"/>
            </w:tcMar>
          </w:tcPr>
          <w:p w14:paraId="0224CA1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0,0026</w:t>
            </w:r>
          </w:p>
        </w:tc>
        <w:tc>
          <w:tcPr>
            <w:tcW w:w="1277" w:type="dxa"/>
            <w:gridSpan w:val="2"/>
            <w:tcMar>
              <w:left w:w="28" w:type="dxa"/>
              <w:right w:w="28" w:type="dxa"/>
            </w:tcMar>
          </w:tcPr>
          <w:p w14:paraId="5868F91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5,2 × 10</w:t>
            </w:r>
            <w:r w:rsidRPr="00AA7DF5">
              <w:rPr>
                <w:rFonts w:eastAsia="Calibri"/>
                <w:noProof/>
                <w:sz w:val="22"/>
                <w:szCs w:val="22"/>
                <w:vertAlign w:val="superscript"/>
                <w:lang w:eastAsia="en-US"/>
              </w:rPr>
              <w:t>-4</w:t>
            </w:r>
          </w:p>
        </w:tc>
        <w:tc>
          <w:tcPr>
            <w:tcW w:w="1136" w:type="dxa"/>
            <w:gridSpan w:val="2"/>
            <w:tcMar>
              <w:left w:w="28" w:type="dxa"/>
              <w:right w:w="28" w:type="dxa"/>
            </w:tcMar>
          </w:tcPr>
          <w:p w14:paraId="4E28DE6B"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0E9916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6B7BF0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0CD13D1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2A608E03" w14:textId="77777777" w:rsidTr="00F03A57">
        <w:trPr>
          <w:gridBefore w:val="1"/>
          <w:wBefore w:w="12" w:type="dxa"/>
          <w:cantSplit/>
          <w:tblHeader/>
          <w:jc w:val="center"/>
        </w:trPr>
        <w:tc>
          <w:tcPr>
            <w:tcW w:w="651" w:type="dxa"/>
            <w:gridSpan w:val="3"/>
            <w:tcMar>
              <w:left w:w="28" w:type="dxa"/>
              <w:right w:w="28" w:type="dxa"/>
            </w:tcMar>
          </w:tcPr>
          <w:p w14:paraId="67A29BF5"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br w:type="page"/>
              <w:t>(9-A)</w:t>
            </w:r>
          </w:p>
        </w:tc>
        <w:tc>
          <w:tcPr>
            <w:tcW w:w="2286" w:type="dxa"/>
            <w:gridSpan w:val="3"/>
            <w:tcMar>
              <w:left w:w="28" w:type="dxa"/>
              <w:right w:w="28" w:type="dxa"/>
            </w:tcMar>
          </w:tcPr>
          <w:p w14:paraId="6445E8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ciclodienos:</w:t>
            </w:r>
          </w:p>
          <w:p w14:paraId="68F6A42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Aldrina </w:t>
            </w:r>
            <w:bookmarkStart w:id="20" w:name="_DV_M301"/>
            <w:bookmarkEnd w:id="20"/>
          </w:p>
          <w:p w14:paraId="5903C0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Dieldrina </w:t>
            </w:r>
            <w:bookmarkStart w:id="21" w:name="_DV_M302"/>
            <w:bookmarkEnd w:id="21"/>
          </w:p>
          <w:p w14:paraId="0007B25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Endrina </w:t>
            </w:r>
            <w:bookmarkStart w:id="22" w:name="_DV_M303"/>
            <w:bookmarkEnd w:id="22"/>
          </w:p>
          <w:p w14:paraId="42518CD8"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 xml:space="preserve">Isodrina </w:t>
            </w:r>
            <w:bookmarkStart w:id="23" w:name="_DV_M304"/>
            <w:bookmarkEnd w:id="23"/>
          </w:p>
        </w:tc>
        <w:tc>
          <w:tcPr>
            <w:tcW w:w="1329" w:type="dxa"/>
            <w:gridSpan w:val="3"/>
            <w:tcMar>
              <w:left w:w="28" w:type="dxa"/>
              <w:right w:w="28" w:type="dxa"/>
            </w:tcMar>
          </w:tcPr>
          <w:p w14:paraId="4D95211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6D2483E4" w14:textId="77777777" w:rsidR="00F03A57" w:rsidRPr="00AA7DF5" w:rsidRDefault="00F03A57" w:rsidP="00F03A57">
            <w:pPr>
              <w:widowControl/>
              <w:spacing w:before="40" w:after="40"/>
              <w:rPr>
                <w:rFonts w:eastAsia="Calibri"/>
                <w:noProof/>
                <w:sz w:val="22"/>
                <w:szCs w:val="22"/>
                <w:lang w:eastAsia="en-US"/>
              </w:rPr>
            </w:pPr>
          </w:p>
          <w:p w14:paraId="2CE4B5A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309-00-2</w:t>
            </w:r>
          </w:p>
          <w:p w14:paraId="5D1A341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60-57-1</w:t>
            </w:r>
          </w:p>
          <w:p w14:paraId="514C4CF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72-20-8</w:t>
            </w:r>
          </w:p>
          <w:p w14:paraId="7730681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465-73-6</w:t>
            </w:r>
          </w:p>
        </w:tc>
        <w:tc>
          <w:tcPr>
            <w:tcW w:w="1134" w:type="dxa"/>
          </w:tcPr>
          <w:p w14:paraId="1715BFC1" w14:textId="77777777" w:rsidR="00F03A57" w:rsidRPr="00AA7DF5" w:rsidRDefault="00F03A57" w:rsidP="00F03A57">
            <w:pPr>
              <w:widowControl/>
              <w:spacing w:before="40" w:after="40"/>
              <w:rPr>
                <w:rFonts w:eastAsia="Calibri"/>
                <w:noProof/>
                <w:sz w:val="22"/>
                <w:szCs w:val="22"/>
                <w:lang w:eastAsia="en-US"/>
              </w:rPr>
            </w:pPr>
          </w:p>
          <w:p w14:paraId="386A059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206-215-8</w:t>
            </w:r>
          </w:p>
          <w:p w14:paraId="5665275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200-484-5</w:t>
            </w:r>
          </w:p>
          <w:p w14:paraId="01A39C1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200-775-7</w:t>
            </w:r>
          </w:p>
          <w:p w14:paraId="7CA6C8A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207-366-2</w:t>
            </w:r>
          </w:p>
        </w:tc>
        <w:tc>
          <w:tcPr>
            <w:tcW w:w="1279" w:type="dxa"/>
            <w:gridSpan w:val="2"/>
            <w:tcMar>
              <w:left w:w="28" w:type="dxa"/>
              <w:right w:w="28" w:type="dxa"/>
            </w:tcMar>
          </w:tcPr>
          <w:p w14:paraId="256CD3B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Σ = 0,01</w:t>
            </w:r>
          </w:p>
        </w:tc>
        <w:tc>
          <w:tcPr>
            <w:tcW w:w="1279" w:type="dxa"/>
            <w:gridSpan w:val="2"/>
            <w:tcMar>
              <w:left w:w="28" w:type="dxa"/>
              <w:right w:w="28" w:type="dxa"/>
            </w:tcMar>
          </w:tcPr>
          <w:p w14:paraId="5B03BEA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Σ = 0,005</w:t>
            </w:r>
          </w:p>
        </w:tc>
        <w:tc>
          <w:tcPr>
            <w:tcW w:w="1278" w:type="dxa"/>
            <w:gridSpan w:val="2"/>
            <w:tcMar>
              <w:left w:w="28" w:type="dxa"/>
              <w:right w:w="28" w:type="dxa"/>
            </w:tcMar>
          </w:tcPr>
          <w:p w14:paraId="39B68B2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2B041EC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581D44BB"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75E2999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112C1A84"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640204CE" w14:textId="77777777" w:rsidR="00F03A57" w:rsidRPr="00AA7DF5" w:rsidRDefault="00F03A57" w:rsidP="00F03A57">
            <w:pPr>
              <w:widowControl/>
              <w:spacing w:before="40" w:after="40"/>
              <w:rPr>
                <w:rFonts w:eastAsia="Calibri"/>
                <w:noProof/>
                <w:sz w:val="22"/>
                <w:szCs w:val="22"/>
                <w:lang w:eastAsia="en-US"/>
              </w:rPr>
            </w:pPr>
          </w:p>
          <w:p w14:paraId="3C7F3E49" w14:textId="77777777" w:rsidR="00F03A57" w:rsidRPr="00AA7DF5" w:rsidRDefault="00F03A57" w:rsidP="00F03A57">
            <w:pPr>
              <w:widowControl/>
              <w:spacing w:before="40" w:after="40"/>
              <w:rPr>
                <w:rFonts w:eastAsia="Calibri"/>
                <w:noProof/>
                <w:sz w:val="22"/>
                <w:szCs w:val="22"/>
                <w:lang w:eastAsia="en-US"/>
              </w:rPr>
            </w:pPr>
          </w:p>
          <w:p w14:paraId="78853C20"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4B76ECBC" w14:textId="77777777" w:rsidTr="00F03A57">
        <w:trPr>
          <w:gridBefore w:val="1"/>
          <w:wBefore w:w="12" w:type="dxa"/>
          <w:cantSplit/>
          <w:tblHeader/>
          <w:jc w:val="center"/>
        </w:trPr>
        <w:tc>
          <w:tcPr>
            <w:tcW w:w="651" w:type="dxa"/>
            <w:gridSpan w:val="3"/>
            <w:tcMar>
              <w:left w:w="28" w:type="dxa"/>
              <w:right w:w="28" w:type="dxa"/>
            </w:tcMar>
          </w:tcPr>
          <w:p w14:paraId="5534E2A1"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(9-B)</w:t>
            </w:r>
          </w:p>
        </w:tc>
        <w:tc>
          <w:tcPr>
            <w:tcW w:w="2286" w:type="dxa"/>
            <w:gridSpan w:val="3"/>
            <w:tcMar>
              <w:left w:w="28" w:type="dxa"/>
              <w:right w:w="28" w:type="dxa"/>
            </w:tcMar>
          </w:tcPr>
          <w:p w14:paraId="68E716A6"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DDT total (</w:t>
            </w:r>
            <w:r w:rsidRPr="00AA7DF5">
              <w:rPr>
                <w:rFonts w:eastAsia="Calibri"/>
                <w:noProof/>
                <w:sz w:val="22"/>
                <w:szCs w:val="22"/>
                <w:vertAlign w:val="superscript"/>
                <w:lang w:eastAsia="en-US"/>
              </w:rPr>
              <w:t>11</w:t>
            </w:r>
            <w:r w:rsidRPr="00AA7DF5">
              <w:rPr>
                <w:rFonts w:eastAsia="Calibri"/>
                <w:noProof/>
                <w:sz w:val="22"/>
                <w:szCs w:val="22"/>
                <w:lang w:eastAsia="en-US"/>
              </w:rPr>
              <w:t>)</w:t>
            </w:r>
          </w:p>
        </w:tc>
        <w:tc>
          <w:tcPr>
            <w:tcW w:w="1329" w:type="dxa"/>
            <w:gridSpan w:val="3"/>
            <w:tcMar>
              <w:left w:w="28" w:type="dxa"/>
              <w:right w:w="28" w:type="dxa"/>
            </w:tcMar>
          </w:tcPr>
          <w:p w14:paraId="045CC82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7678596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4" w:type="dxa"/>
          </w:tcPr>
          <w:p w14:paraId="020BF7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2023C7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0,025</w:t>
            </w:r>
          </w:p>
        </w:tc>
        <w:tc>
          <w:tcPr>
            <w:tcW w:w="1279" w:type="dxa"/>
            <w:gridSpan w:val="2"/>
            <w:tcMar>
              <w:left w:w="28" w:type="dxa"/>
              <w:right w:w="28" w:type="dxa"/>
            </w:tcMar>
          </w:tcPr>
          <w:p w14:paraId="17B470B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0,025</w:t>
            </w:r>
          </w:p>
        </w:tc>
        <w:tc>
          <w:tcPr>
            <w:tcW w:w="1278" w:type="dxa"/>
            <w:gridSpan w:val="2"/>
            <w:tcMar>
              <w:left w:w="28" w:type="dxa"/>
              <w:right w:w="28" w:type="dxa"/>
            </w:tcMar>
          </w:tcPr>
          <w:p w14:paraId="00560A2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7FCF7D6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560B14CA"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022963F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08ED1217"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9DBAC8A"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2423D64A" w14:textId="77777777" w:rsidTr="00F03A57">
        <w:trPr>
          <w:gridBefore w:val="1"/>
          <w:wBefore w:w="12" w:type="dxa"/>
          <w:cantSplit/>
          <w:tblHeader/>
          <w:jc w:val="center"/>
        </w:trPr>
        <w:tc>
          <w:tcPr>
            <w:tcW w:w="651" w:type="dxa"/>
            <w:gridSpan w:val="3"/>
            <w:tcMar>
              <w:left w:w="28" w:type="dxa"/>
              <w:right w:w="28" w:type="dxa"/>
            </w:tcMar>
          </w:tcPr>
          <w:p w14:paraId="2C64C53D"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30EF790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 p-DDT</w:t>
            </w:r>
          </w:p>
        </w:tc>
        <w:tc>
          <w:tcPr>
            <w:tcW w:w="1329" w:type="dxa"/>
            <w:gridSpan w:val="3"/>
            <w:tcMar>
              <w:left w:w="28" w:type="dxa"/>
              <w:right w:w="28" w:type="dxa"/>
            </w:tcMar>
          </w:tcPr>
          <w:p w14:paraId="6E038A90"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18E7A1E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50-29-3</w:t>
            </w:r>
          </w:p>
        </w:tc>
        <w:tc>
          <w:tcPr>
            <w:tcW w:w="1134" w:type="dxa"/>
          </w:tcPr>
          <w:p w14:paraId="093B3B3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200-024-3</w:t>
            </w:r>
          </w:p>
        </w:tc>
        <w:tc>
          <w:tcPr>
            <w:tcW w:w="1279" w:type="dxa"/>
            <w:gridSpan w:val="2"/>
            <w:tcMar>
              <w:left w:w="28" w:type="dxa"/>
              <w:right w:w="28" w:type="dxa"/>
            </w:tcMar>
          </w:tcPr>
          <w:p w14:paraId="405A8E9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0,01</w:t>
            </w:r>
          </w:p>
        </w:tc>
        <w:tc>
          <w:tcPr>
            <w:tcW w:w="1279" w:type="dxa"/>
            <w:gridSpan w:val="2"/>
            <w:tcMar>
              <w:left w:w="28" w:type="dxa"/>
              <w:right w:w="28" w:type="dxa"/>
            </w:tcMar>
          </w:tcPr>
          <w:p w14:paraId="6D1CC46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0,01</w:t>
            </w:r>
          </w:p>
        </w:tc>
        <w:tc>
          <w:tcPr>
            <w:tcW w:w="1278" w:type="dxa"/>
            <w:gridSpan w:val="2"/>
            <w:tcMar>
              <w:left w:w="28" w:type="dxa"/>
              <w:right w:w="28" w:type="dxa"/>
            </w:tcMar>
          </w:tcPr>
          <w:p w14:paraId="03A811F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61C6FDE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2A08B0AA"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A6E2062" w14:textId="77777777" w:rsidR="00F03A57" w:rsidRPr="00AA7DF5" w:rsidDel="004E5B33"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5DDD1309"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5302C65"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4D28CC61" w14:textId="77777777" w:rsidTr="00F03A57">
        <w:trPr>
          <w:gridBefore w:val="1"/>
          <w:wBefore w:w="12" w:type="dxa"/>
          <w:cantSplit/>
          <w:tblHeader/>
          <w:jc w:val="center"/>
        </w:trPr>
        <w:tc>
          <w:tcPr>
            <w:tcW w:w="651" w:type="dxa"/>
            <w:gridSpan w:val="3"/>
            <w:tcMar>
              <w:left w:w="28" w:type="dxa"/>
              <w:right w:w="28" w:type="dxa"/>
            </w:tcMar>
          </w:tcPr>
          <w:p w14:paraId="0DE0A62F"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(10)</w:t>
            </w:r>
          </w:p>
        </w:tc>
        <w:tc>
          <w:tcPr>
            <w:tcW w:w="2286" w:type="dxa"/>
            <w:gridSpan w:val="3"/>
            <w:tcMar>
              <w:left w:w="28" w:type="dxa"/>
              <w:right w:w="28" w:type="dxa"/>
            </w:tcMar>
          </w:tcPr>
          <w:p w14:paraId="7E540F9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1,2-dicloroetano</w:t>
            </w:r>
          </w:p>
        </w:tc>
        <w:tc>
          <w:tcPr>
            <w:tcW w:w="1329" w:type="dxa"/>
            <w:gridSpan w:val="3"/>
            <w:tcMar>
              <w:left w:w="28" w:type="dxa"/>
              <w:right w:w="28" w:type="dxa"/>
            </w:tcMar>
          </w:tcPr>
          <w:p w14:paraId="79E8299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5A90762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107-06-2</w:t>
            </w:r>
          </w:p>
        </w:tc>
        <w:tc>
          <w:tcPr>
            <w:tcW w:w="1134" w:type="dxa"/>
          </w:tcPr>
          <w:p w14:paraId="73125A9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203-458-1</w:t>
            </w:r>
          </w:p>
        </w:tc>
        <w:tc>
          <w:tcPr>
            <w:tcW w:w="1279" w:type="dxa"/>
            <w:gridSpan w:val="2"/>
            <w:tcMar>
              <w:left w:w="28" w:type="dxa"/>
              <w:right w:w="28" w:type="dxa"/>
            </w:tcMar>
          </w:tcPr>
          <w:p w14:paraId="222B10B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10 </w:t>
            </w:r>
          </w:p>
        </w:tc>
        <w:tc>
          <w:tcPr>
            <w:tcW w:w="1279" w:type="dxa"/>
            <w:gridSpan w:val="2"/>
            <w:tcMar>
              <w:left w:w="28" w:type="dxa"/>
              <w:right w:w="28" w:type="dxa"/>
            </w:tcMar>
          </w:tcPr>
          <w:p w14:paraId="692C90F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10 </w:t>
            </w:r>
          </w:p>
        </w:tc>
        <w:tc>
          <w:tcPr>
            <w:tcW w:w="1278" w:type="dxa"/>
            <w:gridSpan w:val="2"/>
            <w:tcMar>
              <w:left w:w="28" w:type="dxa"/>
              <w:right w:w="28" w:type="dxa"/>
            </w:tcMar>
          </w:tcPr>
          <w:p w14:paraId="6DC17FA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334B57E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6C77125A"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F07E8B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5D770B58"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3AFB1386"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516F2DA4" w14:textId="77777777" w:rsidTr="00F03A57">
        <w:trPr>
          <w:gridBefore w:val="1"/>
          <w:wBefore w:w="12" w:type="dxa"/>
          <w:cantSplit/>
          <w:tblHeader/>
          <w:jc w:val="center"/>
        </w:trPr>
        <w:tc>
          <w:tcPr>
            <w:tcW w:w="651" w:type="dxa"/>
            <w:gridSpan w:val="3"/>
            <w:tcMar>
              <w:left w:w="28" w:type="dxa"/>
              <w:right w:w="28" w:type="dxa"/>
            </w:tcMar>
          </w:tcPr>
          <w:p w14:paraId="313570C4" w14:textId="77777777" w:rsidR="00F03A57" w:rsidRPr="00AA7DF5" w:rsidRDefault="00F03A57" w:rsidP="00F03A57">
            <w:pPr>
              <w:keepNext/>
              <w:widowControl/>
              <w:spacing w:before="40" w:after="40"/>
              <w:jc w:val="both"/>
              <w:rPr>
                <w:rFonts w:eastAsia="Calibri"/>
                <w:noProof/>
                <w:sz w:val="22"/>
                <w:szCs w:val="22"/>
                <w:lang w:eastAsia="en-US"/>
              </w:rPr>
            </w:pPr>
            <w:r w:rsidRPr="00AA7DF5">
              <w:rPr>
                <w:rFonts w:eastAsia="Calibri"/>
                <w:noProof/>
                <w:sz w:val="22"/>
                <w:szCs w:val="22"/>
                <w:lang w:eastAsia="en-US"/>
              </w:rPr>
              <w:t>(11)</w:t>
            </w:r>
          </w:p>
        </w:tc>
        <w:tc>
          <w:tcPr>
            <w:tcW w:w="2286" w:type="dxa"/>
            <w:gridSpan w:val="3"/>
            <w:tcMar>
              <w:left w:w="28" w:type="dxa"/>
              <w:right w:w="28" w:type="dxa"/>
            </w:tcMar>
          </w:tcPr>
          <w:p w14:paraId="6A33ECA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Diclorometano</w:t>
            </w:r>
          </w:p>
        </w:tc>
        <w:tc>
          <w:tcPr>
            <w:tcW w:w="1329" w:type="dxa"/>
            <w:gridSpan w:val="3"/>
            <w:tcMar>
              <w:left w:w="28" w:type="dxa"/>
              <w:right w:w="28" w:type="dxa"/>
            </w:tcMar>
          </w:tcPr>
          <w:p w14:paraId="650A1675"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4F0C804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75-09-2</w:t>
            </w:r>
          </w:p>
        </w:tc>
        <w:tc>
          <w:tcPr>
            <w:tcW w:w="1134" w:type="dxa"/>
          </w:tcPr>
          <w:p w14:paraId="2DA16A8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200-838-9</w:t>
            </w:r>
          </w:p>
        </w:tc>
        <w:tc>
          <w:tcPr>
            <w:tcW w:w="1279" w:type="dxa"/>
            <w:gridSpan w:val="2"/>
            <w:tcMar>
              <w:left w:w="28" w:type="dxa"/>
              <w:right w:w="28" w:type="dxa"/>
            </w:tcMar>
          </w:tcPr>
          <w:p w14:paraId="24815F64"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20</w:t>
            </w:r>
          </w:p>
        </w:tc>
        <w:tc>
          <w:tcPr>
            <w:tcW w:w="1279" w:type="dxa"/>
            <w:gridSpan w:val="2"/>
            <w:tcMar>
              <w:left w:w="28" w:type="dxa"/>
              <w:right w:w="28" w:type="dxa"/>
            </w:tcMar>
          </w:tcPr>
          <w:p w14:paraId="123553B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20</w:t>
            </w:r>
          </w:p>
        </w:tc>
        <w:tc>
          <w:tcPr>
            <w:tcW w:w="1278" w:type="dxa"/>
            <w:gridSpan w:val="2"/>
            <w:tcMar>
              <w:left w:w="28" w:type="dxa"/>
              <w:right w:w="28" w:type="dxa"/>
            </w:tcMar>
          </w:tcPr>
          <w:p w14:paraId="22D8C1BC"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708D1C9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708FB2A3" w14:textId="77777777" w:rsidR="00F03A57" w:rsidRPr="00AA7DF5" w:rsidRDefault="00F03A57" w:rsidP="00F03A57">
            <w:pPr>
              <w:keepNext/>
              <w:widowControl/>
              <w:spacing w:before="40" w:after="40"/>
              <w:rPr>
                <w:rFonts w:eastAsia="Calibri"/>
                <w:noProof/>
                <w:sz w:val="22"/>
                <w:szCs w:val="22"/>
                <w:lang w:eastAsia="en-US"/>
              </w:rPr>
            </w:pPr>
          </w:p>
        </w:tc>
        <w:tc>
          <w:tcPr>
            <w:tcW w:w="1262" w:type="dxa"/>
            <w:tcMar>
              <w:left w:w="28" w:type="dxa"/>
              <w:right w:w="28" w:type="dxa"/>
            </w:tcMar>
          </w:tcPr>
          <w:p w14:paraId="53C4FDF1" w14:textId="77777777" w:rsidR="00F03A57" w:rsidRPr="00AA7DF5" w:rsidRDefault="00F03A57" w:rsidP="00F03A57">
            <w:pPr>
              <w:keepNext/>
              <w:widowControl/>
              <w:spacing w:before="40" w:after="40"/>
              <w:rPr>
                <w:rFonts w:eastAsia="Calibri"/>
                <w:noProof/>
                <w:sz w:val="22"/>
                <w:szCs w:val="22"/>
                <w:lang w:eastAsia="en-US"/>
              </w:rPr>
            </w:pPr>
          </w:p>
        </w:tc>
        <w:tc>
          <w:tcPr>
            <w:tcW w:w="1153" w:type="dxa"/>
            <w:gridSpan w:val="2"/>
            <w:tcMar>
              <w:left w:w="28" w:type="dxa"/>
              <w:right w:w="28" w:type="dxa"/>
            </w:tcMar>
          </w:tcPr>
          <w:p w14:paraId="474EE197" w14:textId="77777777" w:rsidR="00F03A57" w:rsidRPr="00AA7DF5" w:rsidRDefault="00F03A57" w:rsidP="00F03A57">
            <w:pPr>
              <w:keepNext/>
              <w:widowControl/>
              <w:spacing w:before="40" w:after="40"/>
              <w:rPr>
                <w:rFonts w:eastAsia="Calibri"/>
                <w:noProof/>
                <w:sz w:val="22"/>
                <w:szCs w:val="22"/>
                <w:lang w:eastAsia="en-US"/>
              </w:rPr>
            </w:pPr>
          </w:p>
        </w:tc>
        <w:tc>
          <w:tcPr>
            <w:tcW w:w="970" w:type="dxa"/>
            <w:tcMar>
              <w:left w:w="28" w:type="dxa"/>
              <w:right w:w="28" w:type="dxa"/>
            </w:tcMar>
          </w:tcPr>
          <w:p w14:paraId="38312BEE" w14:textId="77777777" w:rsidR="00F03A57" w:rsidRPr="00AA7DF5" w:rsidRDefault="00F03A57" w:rsidP="00F03A57">
            <w:pPr>
              <w:keepNext/>
              <w:widowControl/>
              <w:spacing w:before="40" w:after="40"/>
              <w:rPr>
                <w:rFonts w:eastAsia="Calibri"/>
                <w:noProof/>
                <w:sz w:val="22"/>
                <w:szCs w:val="22"/>
                <w:lang w:eastAsia="en-US"/>
              </w:rPr>
            </w:pPr>
          </w:p>
        </w:tc>
      </w:tr>
      <w:tr w:rsidR="00F03A57" w:rsidRPr="00AA7DF5" w14:paraId="7DAAB950" w14:textId="77777777" w:rsidTr="00F03A57">
        <w:trPr>
          <w:gridBefore w:val="1"/>
          <w:wBefore w:w="12" w:type="dxa"/>
          <w:cantSplit/>
          <w:tblHeader/>
          <w:jc w:val="center"/>
        </w:trPr>
        <w:tc>
          <w:tcPr>
            <w:tcW w:w="651" w:type="dxa"/>
            <w:gridSpan w:val="3"/>
            <w:tcMar>
              <w:left w:w="28" w:type="dxa"/>
              <w:right w:w="28" w:type="dxa"/>
            </w:tcMar>
          </w:tcPr>
          <w:p w14:paraId="3136C0CC"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(12)</w:t>
            </w:r>
          </w:p>
        </w:tc>
        <w:tc>
          <w:tcPr>
            <w:tcW w:w="2286" w:type="dxa"/>
            <w:gridSpan w:val="3"/>
            <w:tcMar>
              <w:left w:w="28" w:type="dxa"/>
              <w:right w:w="28" w:type="dxa"/>
            </w:tcMar>
          </w:tcPr>
          <w:p w14:paraId="1C8F323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Ftalato de bis(2-etil-hexilo) (DEHP)</w:t>
            </w:r>
          </w:p>
        </w:tc>
        <w:tc>
          <w:tcPr>
            <w:tcW w:w="1329" w:type="dxa"/>
            <w:gridSpan w:val="3"/>
            <w:tcMar>
              <w:left w:w="28" w:type="dxa"/>
              <w:right w:w="28" w:type="dxa"/>
            </w:tcMar>
          </w:tcPr>
          <w:p w14:paraId="3C87501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2E18347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117-81-7</w:t>
            </w:r>
          </w:p>
        </w:tc>
        <w:tc>
          <w:tcPr>
            <w:tcW w:w="1134" w:type="dxa"/>
          </w:tcPr>
          <w:p w14:paraId="71A2406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204-211-0</w:t>
            </w:r>
          </w:p>
        </w:tc>
        <w:tc>
          <w:tcPr>
            <w:tcW w:w="1279" w:type="dxa"/>
            <w:gridSpan w:val="2"/>
            <w:tcMar>
              <w:left w:w="28" w:type="dxa"/>
              <w:right w:w="28" w:type="dxa"/>
            </w:tcMar>
          </w:tcPr>
          <w:p w14:paraId="788CA01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w:t>
            </w:r>
          </w:p>
        </w:tc>
        <w:tc>
          <w:tcPr>
            <w:tcW w:w="1279" w:type="dxa"/>
            <w:gridSpan w:val="2"/>
            <w:tcMar>
              <w:left w:w="28" w:type="dxa"/>
              <w:right w:w="28" w:type="dxa"/>
            </w:tcMar>
          </w:tcPr>
          <w:p w14:paraId="45E60D2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w:t>
            </w:r>
          </w:p>
        </w:tc>
        <w:tc>
          <w:tcPr>
            <w:tcW w:w="1278" w:type="dxa"/>
            <w:gridSpan w:val="2"/>
            <w:tcMar>
              <w:left w:w="28" w:type="dxa"/>
              <w:right w:w="28" w:type="dxa"/>
            </w:tcMar>
          </w:tcPr>
          <w:p w14:paraId="2594AFE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542CCCA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55B3915C"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64DC51D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733C494B"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6AD4B82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191D9A1E" w14:textId="77777777" w:rsidTr="00F03A57">
        <w:trPr>
          <w:gridBefore w:val="1"/>
          <w:wBefore w:w="12" w:type="dxa"/>
          <w:cantSplit/>
          <w:tblHeader/>
          <w:jc w:val="center"/>
        </w:trPr>
        <w:tc>
          <w:tcPr>
            <w:tcW w:w="651" w:type="dxa"/>
            <w:gridSpan w:val="3"/>
            <w:tcMar>
              <w:left w:w="28" w:type="dxa"/>
              <w:right w:w="28" w:type="dxa"/>
            </w:tcMar>
          </w:tcPr>
          <w:p w14:paraId="199434F7"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(13)</w:t>
            </w:r>
          </w:p>
        </w:tc>
        <w:tc>
          <w:tcPr>
            <w:tcW w:w="2286" w:type="dxa"/>
            <w:gridSpan w:val="3"/>
            <w:tcMar>
              <w:left w:w="28" w:type="dxa"/>
              <w:right w:w="28" w:type="dxa"/>
            </w:tcMar>
          </w:tcPr>
          <w:p w14:paraId="65C0A7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Diurão</w:t>
            </w:r>
          </w:p>
        </w:tc>
        <w:tc>
          <w:tcPr>
            <w:tcW w:w="1329" w:type="dxa"/>
            <w:gridSpan w:val="3"/>
            <w:tcMar>
              <w:left w:w="28" w:type="dxa"/>
              <w:right w:w="28" w:type="dxa"/>
            </w:tcMar>
          </w:tcPr>
          <w:p w14:paraId="2AF1FC3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2065081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330-54-1</w:t>
            </w:r>
          </w:p>
        </w:tc>
        <w:tc>
          <w:tcPr>
            <w:tcW w:w="1134" w:type="dxa"/>
          </w:tcPr>
          <w:p w14:paraId="5EF54DB3" w14:textId="77777777"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206-354-4</w:t>
            </w:r>
          </w:p>
        </w:tc>
        <w:tc>
          <w:tcPr>
            <w:tcW w:w="1279" w:type="dxa"/>
            <w:gridSpan w:val="2"/>
            <w:tcMar>
              <w:left w:w="28" w:type="dxa"/>
              <w:right w:w="28" w:type="dxa"/>
            </w:tcMar>
          </w:tcPr>
          <w:p w14:paraId="03B2ADF6" w14:textId="3A4EB44D"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0</w:t>
            </w:r>
            <w:r w:rsidR="00CF062F" w:rsidRPr="00CF062F">
              <w:rPr>
                <w:rFonts w:eastAsia="Calibri"/>
                <w:b/>
                <w:bCs/>
                <w:i/>
                <w:iCs/>
                <w:noProof/>
                <w:sz w:val="22"/>
                <w:szCs w:val="22"/>
                <w:lang w:eastAsia="en-US"/>
              </w:rPr>
              <w:t>,</w:t>
            </w:r>
            <w:r w:rsidRPr="00AA7DF5">
              <w:rPr>
                <w:rFonts w:eastAsia="Calibri"/>
                <w:noProof/>
                <w:sz w:val="22"/>
                <w:szCs w:val="22"/>
                <w:lang w:eastAsia="en-US"/>
              </w:rPr>
              <w:t>049</w:t>
            </w:r>
          </w:p>
        </w:tc>
        <w:tc>
          <w:tcPr>
            <w:tcW w:w="1279" w:type="dxa"/>
            <w:gridSpan w:val="2"/>
            <w:tcMar>
              <w:left w:w="28" w:type="dxa"/>
              <w:right w:w="28" w:type="dxa"/>
            </w:tcMar>
          </w:tcPr>
          <w:p w14:paraId="78C8795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0,0049</w:t>
            </w:r>
          </w:p>
        </w:tc>
        <w:tc>
          <w:tcPr>
            <w:tcW w:w="1278" w:type="dxa"/>
            <w:gridSpan w:val="2"/>
            <w:tcMar>
              <w:left w:w="28" w:type="dxa"/>
              <w:right w:w="28" w:type="dxa"/>
            </w:tcMar>
          </w:tcPr>
          <w:p w14:paraId="3DE45A5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0,27</w:t>
            </w:r>
          </w:p>
        </w:tc>
        <w:tc>
          <w:tcPr>
            <w:tcW w:w="1277" w:type="dxa"/>
            <w:gridSpan w:val="2"/>
            <w:tcMar>
              <w:left w:w="28" w:type="dxa"/>
              <w:right w:w="28" w:type="dxa"/>
            </w:tcMar>
          </w:tcPr>
          <w:p w14:paraId="7C6BBEE8" w14:textId="59D74534"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CF062F" w:rsidRPr="00CF062F">
              <w:rPr>
                <w:rFonts w:eastAsia="Calibri"/>
                <w:b/>
                <w:bCs/>
                <w:i/>
                <w:iCs/>
                <w:noProof/>
                <w:sz w:val="22"/>
                <w:szCs w:val="22"/>
                <w:lang w:eastAsia="en-US"/>
              </w:rPr>
              <w:t>,</w:t>
            </w:r>
            <w:r w:rsidRPr="00AA7DF5">
              <w:rPr>
                <w:rFonts w:eastAsia="Calibri"/>
                <w:noProof/>
                <w:sz w:val="22"/>
                <w:szCs w:val="22"/>
                <w:lang w:eastAsia="en-US"/>
              </w:rPr>
              <w:t>054</w:t>
            </w:r>
          </w:p>
        </w:tc>
        <w:tc>
          <w:tcPr>
            <w:tcW w:w="1136" w:type="dxa"/>
            <w:gridSpan w:val="2"/>
            <w:tcMar>
              <w:left w:w="28" w:type="dxa"/>
              <w:right w:w="28" w:type="dxa"/>
            </w:tcMar>
          </w:tcPr>
          <w:p w14:paraId="4C87C6A9"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0FDD2F51"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336CFBCF"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770515AE"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2D22A6D9" w14:textId="77777777" w:rsidTr="00F03A57">
        <w:trPr>
          <w:gridBefore w:val="1"/>
          <w:wBefore w:w="12" w:type="dxa"/>
          <w:cantSplit/>
          <w:tblHeader/>
          <w:jc w:val="center"/>
        </w:trPr>
        <w:tc>
          <w:tcPr>
            <w:tcW w:w="651" w:type="dxa"/>
            <w:gridSpan w:val="3"/>
            <w:tcMar>
              <w:left w:w="28" w:type="dxa"/>
              <w:right w:w="28" w:type="dxa"/>
            </w:tcMar>
          </w:tcPr>
          <w:p w14:paraId="1FAE259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(14)</w:t>
            </w:r>
          </w:p>
        </w:tc>
        <w:tc>
          <w:tcPr>
            <w:tcW w:w="2286" w:type="dxa"/>
            <w:gridSpan w:val="3"/>
            <w:tcMar>
              <w:left w:w="28" w:type="dxa"/>
              <w:right w:w="28" w:type="dxa"/>
            </w:tcMar>
          </w:tcPr>
          <w:p w14:paraId="76E4467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Endossulfão</w:t>
            </w:r>
          </w:p>
        </w:tc>
        <w:tc>
          <w:tcPr>
            <w:tcW w:w="1329" w:type="dxa"/>
            <w:gridSpan w:val="3"/>
            <w:tcMar>
              <w:left w:w="28" w:type="dxa"/>
              <w:right w:w="28" w:type="dxa"/>
            </w:tcMar>
          </w:tcPr>
          <w:p w14:paraId="2E709A8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30E3F4C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115-29-7</w:t>
            </w:r>
          </w:p>
        </w:tc>
        <w:tc>
          <w:tcPr>
            <w:tcW w:w="1134" w:type="dxa"/>
          </w:tcPr>
          <w:p w14:paraId="3432F6D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204-079-4</w:t>
            </w:r>
          </w:p>
        </w:tc>
        <w:tc>
          <w:tcPr>
            <w:tcW w:w="1279" w:type="dxa"/>
            <w:gridSpan w:val="2"/>
            <w:tcMar>
              <w:left w:w="28" w:type="dxa"/>
              <w:right w:w="28" w:type="dxa"/>
            </w:tcMar>
          </w:tcPr>
          <w:p w14:paraId="2234BA47" w14:textId="3ECB5ADC"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CF062F" w:rsidRPr="00CF062F">
              <w:rPr>
                <w:rFonts w:eastAsia="Calibri"/>
                <w:b/>
                <w:bCs/>
                <w:i/>
                <w:iCs/>
                <w:noProof/>
                <w:sz w:val="22"/>
                <w:szCs w:val="22"/>
                <w:lang w:eastAsia="en-US"/>
              </w:rPr>
              <w:t>,</w:t>
            </w:r>
            <w:r w:rsidRPr="00AA7DF5">
              <w:rPr>
                <w:rFonts w:eastAsia="Calibri"/>
                <w:noProof/>
                <w:sz w:val="22"/>
                <w:szCs w:val="22"/>
                <w:lang w:eastAsia="en-US"/>
              </w:rPr>
              <w:t>005</w:t>
            </w:r>
          </w:p>
        </w:tc>
        <w:tc>
          <w:tcPr>
            <w:tcW w:w="1279" w:type="dxa"/>
            <w:gridSpan w:val="2"/>
            <w:tcMar>
              <w:left w:w="28" w:type="dxa"/>
              <w:right w:w="28" w:type="dxa"/>
            </w:tcMar>
          </w:tcPr>
          <w:p w14:paraId="5BDAE84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0,0005</w:t>
            </w:r>
          </w:p>
        </w:tc>
        <w:tc>
          <w:tcPr>
            <w:tcW w:w="1278" w:type="dxa"/>
            <w:gridSpan w:val="2"/>
            <w:tcMar>
              <w:left w:w="28" w:type="dxa"/>
              <w:right w:w="28" w:type="dxa"/>
            </w:tcMar>
          </w:tcPr>
          <w:p w14:paraId="780E6F6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0,01</w:t>
            </w:r>
          </w:p>
        </w:tc>
        <w:tc>
          <w:tcPr>
            <w:tcW w:w="1277" w:type="dxa"/>
            <w:gridSpan w:val="2"/>
            <w:tcMar>
              <w:left w:w="28" w:type="dxa"/>
              <w:right w:w="28" w:type="dxa"/>
            </w:tcMar>
          </w:tcPr>
          <w:p w14:paraId="5CD54478" w14:textId="3EE51A4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CF062F" w:rsidRPr="00CF062F">
              <w:rPr>
                <w:rFonts w:eastAsia="Calibri"/>
                <w:b/>
                <w:bCs/>
                <w:i/>
                <w:iCs/>
                <w:noProof/>
                <w:sz w:val="22"/>
                <w:szCs w:val="22"/>
                <w:lang w:eastAsia="en-US"/>
              </w:rPr>
              <w:t>,</w:t>
            </w:r>
            <w:r w:rsidRPr="00AA7DF5">
              <w:rPr>
                <w:rFonts w:eastAsia="Calibri"/>
                <w:noProof/>
                <w:sz w:val="22"/>
                <w:szCs w:val="22"/>
                <w:lang w:eastAsia="en-US"/>
              </w:rPr>
              <w:t>004</w:t>
            </w:r>
          </w:p>
        </w:tc>
        <w:tc>
          <w:tcPr>
            <w:tcW w:w="1136" w:type="dxa"/>
            <w:gridSpan w:val="2"/>
            <w:tcMar>
              <w:left w:w="28" w:type="dxa"/>
              <w:right w:w="28" w:type="dxa"/>
            </w:tcMar>
          </w:tcPr>
          <w:p w14:paraId="7CB09F4F"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EDC933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0F093041"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6E8CDDB7"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15744DA3" w14:textId="77777777" w:rsidTr="00F03A57">
        <w:trPr>
          <w:gridBefore w:val="1"/>
          <w:wBefore w:w="12" w:type="dxa"/>
          <w:cantSplit/>
          <w:tblHeader/>
          <w:jc w:val="center"/>
        </w:trPr>
        <w:tc>
          <w:tcPr>
            <w:tcW w:w="651" w:type="dxa"/>
            <w:gridSpan w:val="3"/>
            <w:tcMar>
              <w:left w:w="28" w:type="dxa"/>
              <w:right w:w="28" w:type="dxa"/>
            </w:tcMar>
          </w:tcPr>
          <w:p w14:paraId="2567A5EE"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(15)</w:t>
            </w:r>
          </w:p>
        </w:tc>
        <w:tc>
          <w:tcPr>
            <w:tcW w:w="2286" w:type="dxa"/>
            <w:gridSpan w:val="3"/>
            <w:tcMar>
              <w:left w:w="28" w:type="dxa"/>
              <w:right w:w="28" w:type="dxa"/>
            </w:tcMar>
          </w:tcPr>
          <w:p w14:paraId="14555FC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Fluoranteno</w:t>
            </w:r>
          </w:p>
        </w:tc>
        <w:tc>
          <w:tcPr>
            <w:tcW w:w="1329" w:type="dxa"/>
            <w:gridSpan w:val="3"/>
            <w:tcMar>
              <w:left w:w="28" w:type="dxa"/>
              <w:right w:w="28" w:type="dxa"/>
            </w:tcMar>
          </w:tcPr>
          <w:p w14:paraId="2A48E1C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Substâncias industriais </w:t>
            </w:r>
          </w:p>
        </w:tc>
        <w:tc>
          <w:tcPr>
            <w:tcW w:w="992" w:type="dxa"/>
            <w:gridSpan w:val="2"/>
            <w:tcMar>
              <w:left w:w="28" w:type="dxa"/>
              <w:right w:w="28" w:type="dxa"/>
            </w:tcMar>
          </w:tcPr>
          <w:p w14:paraId="4909C8B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206-44-0</w:t>
            </w:r>
          </w:p>
        </w:tc>
        <w:tc>
          <w:tcPr>
            <w:tcW w:w="1134" w:type="dxa"/>
          </w:tcPr>
          <w:p w14:paraId="1765C3EA" w14:textId="77777777"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205-912-4</w:t>
            </w:r>
          </w:p>
        </w:tc>
        <w:tc>
          <w:tcPr>
            <w:tcW w:w="1279" w:type="dxa"/>
            <w:gridSpan w:val="2"/>
            <w:tcMar>
              <w:left w:w="28" w:type="dxa"/>
              <w:right w:w="28" w:type="dxa"/>
            </w:tcMar>
          </w:tcPr>
          <w:p w14:paraId="36199AA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7,62 × 10</w:t>
            </w:r>
            <w:r w:rsidRPr="00AA7DF5">
              <w:rPr>
                <w:rFonts w:eastAsia="Calibri"/>
                <w:noProof/>
                <w:sz w:val="22"/>
                <w:szCs w:val="22"/>
                <w:vertAlign w:val="superscript"/>
                <w:lang w:eastAsia="en-US"/>
              </w:rPr>
              <w:t>-4</w:t>
            </w:r>
          </w:p>
        </w:tc>
        <w:tc>
          <w:tcPr>
            <w:tcW w:w="1279" w:type="dxa"/>
            <w:gridSpan w:val="2"/>
            <w:tcMar>
              <w:left w:w="28" w:type="dxa"/>
              <w:right w:w="28" w:type="dxa"/>
            </w:tcMar>
          </w:tcPr>
          <w:p w14:paraId="0F4F172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7,62 × 10</w:t>
            </w:r>
            <w:r w:rsidRPr="00AA7DF5">
              <w:rPr>
                <w:rFonts w:eastAsia="Calibri"/>
                <w:noProof/>
                <w:sz w:val="22"/>
                <w:szCs w:val="22"/>
                <w:vertAlign w:val="superscript"/>
                <w:lang w:eastAsia="en-US"/>
              </w:rPr>
              <w:t>-4</w:t>
            </w:r>
          </w:p>
        </w:tc>
        <w:tc>
          <w:tcPr>
            <w:tcW w:w="1278" w:type="dxa"/>
            <w:gridSpan w:val="2"/>
            <w:tcMar>
              <w:left w:w="28" w:type="dxa"/>
              <w:right w:w="28" w:type="dxa"/>
            </w:tcMar>
          </w:tcPr>
          <w:p w14:paraId="6837A06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0,12</w:t>
            </w:r>
          </w:p>
        </w:tc>
        <w:tc>
          <w:tcPr>
            <w:tcW w:w="1277" w:type="dxa"/>
            <w:gridSpan w:val="2"/>
            <w:tcMar>
              <w:left w:w="28" w:type="dxa"/>
              <w:right w:w="28" w:type="dxa"/>
            </w:tcMar>
          </w:tcPr>
          <w:p w14:paraId="3912B2CB" w14:textId="5B408C2B"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CF062F" w:rsidRPr="00CF062F">
              <w:rPr>
                <w:rFonts w:eastAsia="Calibri"/>
                <w:b/>
                <w:bCs/>
                <w:i/>
                <w:iCs/>
                <w:noProof/>
                <w:sz w:val="22"/>
                <w:szCs w:val="22"/>
                <w:lang w:eastAsia="en-US"/>
              </w:rPr>
              <w:t>,</w:t>
            </w:r>
            <w:r w:rsidRPr="00AA7DF5">
              <w:rPr>
                <w:rFonts w:eastAsia="Calibri"/>
                <w:noProof/>
                <w:sz w:val="22"/>
                <w:szCs w:val="22"/>
                <w:lang w:eastAsia="en-US"/>
              </w:rPr>
              <w:t>012</w:t>
            </w:r>
          </w:p>
        </w:tc>
        <w:tc>
          <w:tcPr>
            <w:tcW w:w="1136" w:type="dxa"/>
            <w:gridSpan w:val="2"/>
            <w:tcMar>
              <w:left w:w="28" w:type="dxa"/>
              <w:right w:w="28" w:type="dxa"/>
            </w:tcMar>
          </w:tcPr>
          <w:p w14:paraId="1D61E1E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6,1</w:t>
            </w:r>
          </w:p>
        </w:tc>
        <w:tc>
          <w:tcPr>
            <w:tcW w:w="1262" w:type="dxa"/>
            <w:tcMar>
              <w:left w:w="28" w:type="dxa"/>
              <w:right w:w="28" w:type="dxa"/>
            </w:tcMar>
          </w:tcPr>
          <w:p w14:paraId="4F2316D4" w14:textId="77777777"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102FB5A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1158C46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367EB6DC" w14:textId="77777777" w:rsidTr="00F03A57">
        <w:trPr>
          <w:gridBefore w:val="1"/>
          <w:wBefore w:w="12" w:type="dxa"/>
          <w:cantSplit/>
          <w:tblHeader/>
          <w:jc w:val="center"/>
        </w:trPr>
        <w:tc>
          <w:tcPr>
            <w:tcW w:w="651" w:type="dxa"/>
            <w:gridSpan w:val="3"/>
            <w:tcMar>
              <w:left w:w="28" w:type="dxa"/>
              <w:right w:w="28" w:type="dxa"/>
            </w:tcMar>
          </w:tcPr>
          <w:p w14:paraId="29D316FF"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(16)</w:t>
            </w:r>
          </w:p>
        </w:tc>
        <w:tc>
          <w:tcPr>
            <w:tcW w:w="2286" w:type="dxa"/>
            <w:gridSpan w:val="3"/>
            <w:tcMar>
              <w:left w:w="28" w:type="dxa"/>
              <w:right w:w="28" w:type="dxa"/>
            </w:tcMar>
          </w:tcPr>
          <w:p w14:paraId="2225F1A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Hexaclorobenzeno</w:t>
            </w:r>
          </w:p>
        </w:tc>
        <w:tc>
          <w:tcPr>
            <w:tcW w:w="1329" w:type="dxa"/>
            <w:gridSpan w:val="3"/>
            <w:tcMar>
              <w:left w:w="28" w:type="dxa"/>
              <w:right w:w="28" w:type="dxa"/>
            </w:tcMar>
          </w:tcPr>
          <w:p w14:paraId="24B381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1586BCC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118-74-1</w:t>
            </w:r>
          </w:p>
        </w:tc>
        <w:tc>
          <w:tcPr>
            <w:tcW w:w="1134" w:type="dxa"/>
          </w:tcPr>
          <w:p w14:paraId="6D0435E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204-273-9</w:t>
            </w:r>
          </w:p>
        </w:tc>
        <w:tc>
          <w:tcPr>
            <w:tcW w:w="1279" w:type="dxa"/>
            <w:gridSpan w:val="2"/>
            <w:tcMar>
              <w:left w:w="28" w:type="dxa"/>
              <w:right w:w="28" w:type="dxa"/>
            </w:tcMar>
          </w:tcPr>
          <w:p w14:paraId="5595513C" w14:textId="77777777" w:rsidR="00F03A57" w:rsidRPr="00AA7DF5" w:rsidRDefault="00F03A57" w:rsidP="00F03A57">
            <w:pPr>
              <w:widowControl/>
              <w:spacing w:before="40" w:after="40"/>
              <w:rPr>
                <w:rFonts w:eastAsia="Calibri"/>
                <w:noProof/>
                <w:sz w:val="22"/>
                <w:szCs w:val="22"/>
                <w:lang w:eastAsia="en-US"/>
              </w:rPr>
            </w:pPr>
          </w:p>
        </w:tc>
        <w:tc>
          <w:tcPr>
            <w:tcW w:w="1279" w:type="dxa"/>
            <w:gridSpan w:val="2"/>
            <w:tcMar>
              <w:left w:w="28" w:type="dxa"/>
              <w:right w:w="28" w:type="dxa"/>
            </w:tcMar>
          </w:tcPr>
          <w:p w14:paraId="5C5A551E" w14:textId="77777777" w:rsidR="00F03A57" w:rsidRPr="00AA7DF5" w:rsidRDefault="00F03A57" w:rsidP="00F03A57">
            <w:pPr>
              <w:widowControl/>
              <w:spacing w:before="40" w:after="40"/>
              <w:rPr>
                <w:rFonts w:eastAsia="Calibri"/>
                <w:noProof/>
                <w:sz w:val="22"/>
                <w:szCs w:val="22"/>
                <w:lang w:eastAsia="en-US"/>
              </w:rPr>
            </w:pPr>
          </w:p>
        </w:tc>
        <w:tc>
          <w:tcPr>
            <w:tcW w:w="1278" w:type="dxa"/>
            <w:gridSpan w:val="2"/>
            <w:tcMar>
              <w:left w:w="28" w:type="dxa"/>
              <w:right w:w="28" w:type="dxa"/>
            </w:tcMar>
          </w:tcPr>
          <w:p w14:paraId="108056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0,5</w:t>
            </w:r>
          </w:p>
        </w:tc>
        <w:tc>
          <w:tcPr>
            <w:tcW w:w="1277" w:type="dxa"/>
            <w:gridSpan w:val="2"/>
            <w:tcMar>
              <w:left w:w="28" w:type="dxa"/>
              <w:right w:w="28" w:type="dxa"/>
            </w:tcMar>
          </w:tcPr>
          <w:p w14:paraId="2680C7C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0,05</w:t>
            </w:r>
          </w:p>
        </w:tc>
        <w:tc>
          <w:tcPr>
            <w:tcW w:w="1136" w:type="dxa"/>
            <w:gridSpan w:val="2"/>
            <w:tcMar>
              <w:left w:w="28" w:type="dxa"/>
              <w:right w:w="28" w:type="dxa"/>
            </w:tcMar>
          </w:tcPr>
          <w:p w14:paraId="357DD76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w:t>
            </w:r>
          </w:p>
        </w:tc>
        <w:tc>
          <w:tcPr>
            <w:tcW w:w="1262" w:type="dxa"/>
            <w:tcMar>
              <w:left w:w="28" w:type="dxa"/>
              <w:right w:w="28" w:type="dxa"/>
            </w:tcMar>
          </w:tcPr>
          <w:p w14:paraId="37BD01F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6900B352"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5AEC4E2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2CA9D4D7" w14:textId="77777777" w:rsidTr="00F03A57">
        <w:trPr>
          <w:gridBefore w:val="1"/>
          <w:wBefore w:w="12" w:type="dxa"/>
          <w:cantSplit/>
          <w:tblHeader/>
          <w:jc w:val="center"/>
        </w:trPr>
        <w:tc>
          <w:tcPr>
            <w:tcW w:w="651" w:type="dxa"/>
            <w:gridSpan w:val="3"/>
            <w:tcMar>
              <w:left w:w="28" w:type="dxa"/>
              <w:right w:w="28" w:type="dxa"/>
            </w:tcMar>
          </w:tcPr>
          <w:p w14:paraId="3639F276"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(17)</w:t>
            </w:r>
          </w:p>
        </w:tc>
        <w:tc>
          <w:tcPr>
            <w:tcW w:w="2286" w:type="dxa"/>
            <w:gridSpan w:val="3"/>
            <w:tcMar>
              <w:left w:w="28" w:type="dxa"/>
              <w:right w:w="28" w:type="dxa"/>
            </w:tcMar>
          </w:tcPr>
          <w:p w14:paraId="681758D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Hexaclorobutadieno</w:t>
            </w:r>
          </w:p>
        </w:tc>
        <w:tc>
          <w:tcPr>
            <w:tcW w:w="1329" w:type="dxa"/>
            <w:gridSpan w:val="3"/>
            <w:tcMar>
              <w:left w:w="28" w:type="dxa"/>
              <w:right w:w="28" w:type="dxa"/>
            </w:tcMar>
          </w:tcPr>
          <w:p w14:paraId="62B8A80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 (solventes)</w:t>
            </w:r>
          </w:p>
        </w:tc>
        <w:tc>
          <w:tcPr>
            <w:tcW w:w="992" w:type="dxa"/>
            <w:gridSpan w:val="2"/>
            <w:tcMar>
              <w:left w:w="28" w:type="dxa"/>
              <w:right w:w="28" w:type="dxa"/>
            </w:tcMar>
          </w:tcPr>
          <w:p w14:paraId="611389B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87-68-3</w:t>
            </w:r>
          </w:p>
        </w:tc>
        <w:tc>
          <w:tcPr>
            <w:tcW w:w="1134" w:type="dxa"/>
          </w:tcPr>
          <w:p w14:paraId="4596CB2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201-765-5</w:t>
            </w:r>
          </w:p>
        </w:tc>
        <w:tc>
          <w:tcPr>
            <w:tcW w:w="1279" w:type="dxa"/>
            <w:gridSpan w:val="2"/>
            <w:tcMar>
              <w:left w:w="28" w:type="dxa"/>
              <w:right w:w="28" w:type="dxa"/>
            </w:tcMar>
          </w:tcPr>
          <w:p w14:paraId="44FD892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9 × 10</w:t>
            </w:r>
            <w:r w:rsidRPr="00AA7DF5">
              <w:rPr>
                <w:rFonts w:eastAsia="Calibri"/>
                <w:noProof/>
                <w:sz w:val="22"/>
                <w:szCs w:val="22"/>
                <w:vertAlign w:val="superscript"/>
                <w:lang w:eastAsia="en-US"/>
              </w:rPr>
              <w:t>-4</w:t>
            </w:r>
          </w:p>
        </w:tc>
        <w:tc>
          <w:tcPr>
            <w:tcW w:w="1279" w:type="dxa"/>
            <w:gridSpan w:val="2"/>
            <w:tcMar>
              <w:left w:w="28" w:type="dxa"/>
              <w:right w:w="28" w:type="dxa"/>
            </w:tcMar>
          </w:tcPr>
          <w:p w14:paraId="4D83E7D9" w14:textId="77777777" w:rsidR="00F03A57" w:rsidRPr="00AA7DF5" w:rsidRDefault="00F03A57" w:rsidP="00F03A57">
            <w:pPr>
              <w:widowControl/>
              <w:spacing w:before="40" w:after="40"/>
              <w:rPr>
                <w:rFonts w:eastAsia="Calibri"/>
                <w:noProof/>
                <w:sz w:val="22"/>
                <w:szCs w:val="22"/>
                <w:lang w:eastAsia="en-US"/>
              </w:rPr>
            </w:pPr>
          </w:p>
        </w:tc>
        <w:tc>
          <w:tcPr>
            <w:tcW w:w="1278" w:type="dxa"/>
            <w:gridSpan w:val="2"/>
            <w:tcMar>
              <w:left w:w="28" w:type="dxa"/>
              <w:right w:w="28" w:type="dxa"/>
            </w:tcMar>
          </w:tcPr>
          <w:p w14:paraId="586256A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0,6</w:t>
            </w:r>
          </w:p>
        </w:tc>
        <w:tc>
          <w:tcPr>
            <w:tcW w:w="1277" w:type="dxa"/>
            <w:gridSpan w:val="2"/>
            <w:tcMar>
              <w:left w:w="28" w:type="dxa"/>
              <w:right w:w="28" w:type="dxa"/>
            </w:tcMar>
          </w:tcPr>
          <w:p w14:paraId="4FA266C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0,6</w:t>
            </w:r>
          </w:p>
        </w:tc>
        <w:tc>
          <w:tcPr>
            <w:tcW w:w="1136" w:type="dxa"/>
            <w:gridSpan w:val="2"/>
            <w:tcMar>
              <w:left w:w="28" w:type="dxa"/>
              <w:right w:w="28" w:type="dxa"/>
            </w:tcMar>
          </w:tcPr>
          <w:p w14:paraId="244DF00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w:t>
            </w:r>
          </w:p>
        </w:tc>
        <w:tc>
          <w:tcPr>
            <w:tcW w:w="1262" w:type="dxa"/>
            <w:tcMar>
              <w:left w:w="28" w:type="dxa"/>
              <w:right w:w="28" w:type="dxa"/>
            </w:tcMar>
          </w:tcPr>
          <w:p w14:paraId="5CFD3F0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7A6832F4"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A77B00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773C9497" w14:textId="77777777" w:rsidTr="00F03A57">
        <w:trPr>
          <w:gridBefore w:val="1"/>
          <w:wBefore w:w="12" w:type="dxa"/>
          <w:cantSplit/>
          <w:tblHeader/>
          <w:jc w:val="center"/>
        </w:trPr>
        <w:tc>
          <w:tcPr>
            <w:tcW w:w="651" w:type="dxa"/>
            <w:gridSpan w:val="3"/>
            <w:tcMar>
              <w:left w:w="28" w:type="dxa"/>
              <w:right w:w="28" w:type="dxa"/>
            </w:tcMar>
          </w:tcPr>
          <w:p w14:paraId="0A570816"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(18)</w:t>
            </w:r>
          </w:p>
        </w:tc>
        <w:tc>
          <w:tcPr>
            <w:tcW w:w="2286" w:type="dxa"/>
            <w:gridSpan w:val="3"/>
            <w:tcMar>
              <w:left w:w="28" w:type="dxa"/>
              <w:right w:w="28" w:type="dxa"/>
            </w:tcMar>
          </w:tcPr>
          <w:p w14:paraId="47DDEE8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Hexaclorociclo-hexano</w:t>
            </w:r>
          </w:p>
        </w:tc>
        <w:tc>
          <w:tcPr>
            <w:tcW w:w="1329" w:type="dxa"/>
            <w:gridSpan w:val="3"/>
            <w:tcMar>
              <w:left w:w="28" w:type="dxa"/>
              <w:right w:w="28" w:type="dxa"/>
            </w:tcMar>
          </w:tcPr>
          <w:p w14:paraId="2813EC1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Inseticidas</w:t>
            </w:r>
          </w:p>
        </w:tc>
        <w:tc>
          <w:tcPr>
            <w:tcW w:w="992" w:type="dxa"/>
            <w:gridSpan w:val="2"/>
            <w:tcMar>
              <w:left w:w="28" w:type="dxa"/>
              <w:right w:w="28" w:type="dxa"/>
            </w:tcMar>
          </w:tcPr>
          <w:p w14:paraId="1F55C3D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608-73-1</w:t>
            </w:r>
          </w:p>
        </w:tc>
        <w:tc>
          <w:tcPr>
            <w:tcW w:w="1134" w:type="dxa"/>
          </w:tcPr>
          <w:p w14:paraId="3845F40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210-168-9</w:t>
            </w:r>
          </w:p>
        </w:tc>
        <w:tc>
          <w:tcPr>
            <w:tcW w:w="1279" w:type="dxa"/>
            <w:gridSpan w:val="2"/>
            <w:tcMar>
              <w:left w:w="28" w:type="dxa"/>
              <w:right w:w="28" w:type="dxa"/>
            </w:tcMar>
          </w:tcPr>
          <w:p w14:paraId="6EAEA45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0,02</w:t>
            </w:r>
          </w:p>
        </w:tc>
        <w:tc>
          <w:tcPr>
            <w:tcW w:w="1279" w:type="dxa"/>
            <w:gridSpan w:val="2"/>
            <w:tcMar>
              <w:left w:w="28" w:type="dxa"/>
              <w:right w:w="28" w:type="dxa"/>
            </w:tcMar>
          </w:tcPr>
          <w:p w14:paraId="3CE3F04E" w14:textId="162AC3DD"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002</w:t>
            </w:r>
          </w:p>
        </w:tc>
        <w:tc>
          <w:tcPr>
            <w:tcW w:w="1278" w:type="dxa"/>
            <w:gridSpan w:val="2"/>
            <w:tcMar>
              <w:left w:w="28" w:type="dxa"/>
              <w:right w:w="28" w:type="dxa"/>
            </w:tcMar>
          </w:tcPr>
          <w:p w14:paraId="0F86B17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0,04</w:t>
            </w:r>
          </w:p>
        </w:tc>
        <w:tc>
          <w:tcPr>
            <w:tcW w:w="1277" w:type="dxa"/>
            <w:gridSpan w:val="2"/>
            <w:tcMar>
              <w:left w:w="28" w:type="dxa"/>
              <w:right w:w="28" w:type="dxa"/>
            </w:tcMar>
          </w:tcPr>
          <w:p w14:paraId="3D53B10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0,02</w:t>
            </w:r>
          </w:p>
        </w:tc>
        <w:tc>
          <w:tcPr>
            <w:tcW w:w="1136" w:type="dxa"/>
            <w:gridSpan w:val="2"/>
            <w:tcMar>
              <w:left w:w="28" w:type="dxa"/>
              <w:right w:w="28" w:type="dxa"/>
            </w:tcMar>
          </w:tcPr>
          <w:p w14:paraId="4EBAF7E3"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75C4AEF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1578D1A3"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570F0B9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62FFD3DE" w14:textId="77777777" w:rsidTr="00F03A57">
        <w:trPr>
          <w:gridBefore w:val="1"/>
          <w:wBefore w:w="12" w:type="dxa"/>
          <w:cantSplit/>
          <w:tblHeader/>
          <w:jc w:val="center"/>
        </w:trPr>
        <w:tc>
          <w:tcPr>
            <w:tcW w:w="651" w:type="dxa"/>
            <w:gridSpan w:val="3"/>
            <w:tcMar>
              <w:left w:w="28" w:type="dxa"/>
              <w:right w:w="28" w:type="dxa"/>
            </w:tcMar>
          </w:tcPr>
          <w:p w14:paraId="6A1D64E8"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(19)</w:t>
            </w:r>
          </w:p>
        </w:tc>
        <w:tc>
          <w:tcPr>
            <w:tcW w:w="2286" w:type="dxa"/>
            <w:gridSpan w:val="3"/>
            <w:tcMar>
              <w:left w:w="28" w:type="dxa"/>
              <w:right w:w="28" w:type="dxa"/>
            </w:tcMar>
          </w:tcPr>
          <w:p w14:paraId="04B5027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Isoproturão</w:t>
            </w:r>
          </w:p>
        </w:tc>
        <w:tc>
          <w:tcPr>
            <w:tcW w:w="1329" w:type="dxa"/>
            <w:gridSpan w:val="3"/>
            <w:tcMar>
              <w:left w:w="28" w:type="dxa"/>
              <w:right w:w="28" w:type="dxa"/>
            </w:tcMar>
          </w:tcPr>
          <w:p w14:paraId="2F2C04B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46BEB66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34123-59-6</w:t>
            </w:r>
          </w:p>
        </w:tc>
        <w:tc>
          <w:tcPr>
            <w:tcW w:w="1134" w:type="dxa"/>
          </w:tcPr>
          <w:p w14:paraId="1D677A6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251-835-4</w:t>
            </w:r>
          </w:p>
        </w:tc>
        <w:tc>
          <w:tcPr>
            <w:tcW w:w="1279" w:type="dxa"/>
            <w:gridSpan w:val="2"/>
            <w:tcMar>
              <w:left w:w="28" w:type="dxa"/>
              <w:right w:w="28" w:type="dxa"/>
            </w:tcMar>
          </w:tcPr>
          <w:p w14:paraId="25CFD97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0,3</w:t>
            </w:r>
          </w:p>
        </w:tc>
        <w:tc>
          <w:tcPr>
            <w:tcW w:w="1279" w:type="dxa"/>
            <w:gridSpan w:val="2"/>
            <w:tcMar>
              <w:left w:w="28" w:type="dxa"/>
              <w:right w:w="28" w:type="dxa"/>
            </w:tcMar>
          </w:tcPr>
          <w:p w14:paraId="31D5D9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0,3</w:t>
            </w:r>
          </w:p>
        </w:tc>
        <w:tc>
          <w:tcPr>
            <w:tcW w:w="1278" w:type="dxa"/>
            <w:gridSpan w:val="2"/>
            <w:tcMar>
              <w:left w:w="28" w:type="dxa"/>
              <w:right w:w="28" w:type="dxa"/>
            </w:tcMar>
          </w:tcPr>
          <w:p w14:paraId="73FE7EF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77" w:type="dxa"/>
            <w:gridSpan w:val="2"/>
            <w:tcMar>
              <w:left w:w="28" w:type="dxa"/>
              <w:right w:w="28" w:type="dxa"/>
            </w:tcMar>
          </w:tcPr>
          <w:p w14:paraId="0558DC3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w:t>
            </w:r>
          </w:p>
        </w:tc>
        <w:tc>
          <w:tcPr>
            <w:tcW w:w="1136" w:type="dxa"/>
            <w:gridSpan w:val="2"/>
            <w:tcMar>
              <w:left w:w="28" w:type="dxa"/>
              <w:right w:w="28" w:type="dxa"/>
            </w:tcMar>
          </w:tcPr>
          <w:p w14:paraId="3D03E1FF"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5901D531"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365CA5AC"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1B4C8E67"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593AB63E" w14:textId="77777777" w:rsidTr="00F03A57">
        <w:trPr>
          <w:gridBefore w:val="1"/>
          <w:wBefore w:w="12" w:type="dxa"/>
          <w:cantSplit/>
          <w:tblHeader/>
          <w:jc w:val="center"/>
        </w:trPr>
        <w:tc>
          <w:tcPr>
            <w:tcW w:w="651" w:type="dxa"/>
            <w:gridSpan w:val="3"/>
            <w:tcMar>
              <w:left w:w="28" w:type="dxa"/>
              <w:right w:w="28" w:type="dxa"/>
            </w:tcMar>
          </w:tcPr>
          <w:p w14:paraId="0B6FCC4F"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(20)</w:t>
            </w:r>
          </w:p>
        </w:tc>
        <w:tc>
          <w:tcPr>
            <w:tcW w:w="2286" w:type="dxa"/>
            <w:gridSpan w:val="3"/>
            <w:tcMar>
              <w:left w:w="28" w:type="dxa"/>
              <w:right w:w="28" w:type="dxa"/>
            </w:tcMar>
          </w:tcPr>
          <w:p w14:paraId="5AFDB25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Chumbo e seus compostos</w:t>
            </w:r>
          </w:p>
        </w:tc>
        <w:tc>
          <w:tcPr>
            <w:tcW w:w="1329" w:type="dxa"/>
            <w:gridSpan w:val="3"/>
            <w:tcMar>
              <w:left w:w="28" w:type="dxa"/>
              <w:right w:w="28" w:type="dxa"/>
            </w:tcMar>
          </w:tcPr>
          <w:p w14:paraId="51AE891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Metais</w:t>
            </w:r>
          </w:p>
        </w:tc>
        <w:tc>
          <w:tcPr>
            <w:tcW w:w="992" w:type="dxa"/>
            <w:gridSpan w:val="2"/>
            <w:tcMar>
              <w:left w:w="28" w:type="dxa"/>
              <w:right w:w="28" w:type="dxa"/>
            </w:tcMar>
          </w:tcPr>
          <w:p w14:paraId="2FCD417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7439-92-1</w:t>
            </w:r>
          </w:p>
        </w:tc>
        <w:tc>
          <w:tcPr>
            <w:tcW w:w="1134" w:type="dxa"/>
          </w:tcPr>
          <w:p w14:paraId="70566353" w14:textId="77777777" w:rsidR="00F03A57" w:rsidRPr="00AA7DF5" w:rsidRDefault="00F03A57" w:rsidP="00F03A57">
            <w:pPr>
              <w:widowControl/>
              <w:spacing w:before="40" w:after="40"/>
              <w:rPr>
                <w:rFonts w:eastAsia="Calibri"/>
                <w:bCs/>
                <w:iCs/>
                <w:noProof/>
                <w:sz w:val="22"/>
                <w:szCs w:val="22"/>
                <w:lang w:eastAsia="en-US"/>
              </w:rPr>
            </w:pPr>
            <w:r w:rsidRPr="00AA7DF5">
              <w:rPr>
                <w:rFonts w:eastAsia="Calibri"/>
                <w:noProof/>
                <w:sz w:val="22"/>
                <w:szCs w:val="22"/>
                <w:lang w:eastAsia="en-US"/>
              </w:rPr>
              <w:t>231-100-4</w:t>
            </w:r>
          </w:p>
        </w:tc>
        <w:tc>
          <w:tcPr>
            <w:tcW w:w="1279" w:type="dxa"/>
            <w:gridSpan w:val="2"/>
            <w:tcMar>
              <w:left w:w="28" w:type="dxa"/>
              <w:right w:w="28" w:type="dxa"/>
            </w:tcMar>
          </w:tcPr>
          <w:p w14:paraId="3D2D5E37" w14:textId="77777777" w:rsidR="00F03A57" w:rsidRPr="00AA7DF5" w:rsidRDefault="00F03A57" w:rsidP="00F03A57">
            <w:pPr>
              <w:widowControl/>
              <w:spacing w:before="40" w:after="40"/>
              <w:rPr>
                <w:rFonts w:eastAsia="Calibri"/>
                <w:i/>
                <w:noProof/>
                <w:sz w:val="22"/>
                <w:szCs w:val="22"/>
                <w:vertAlign w:val="superscript"/>
                <w:lang w:eastAsia="en-US"/>
              </w:rPr>
            </w:pPr>
            <w:bookmarkStart w:id="24" w:name="_DV_C331"/>
            <w:r w:rsidRPr="00AA7DF5">
              <w:rPr>
                <w:rFonts w:eastAsia="Calibri"/>
                <w:noProof/>
                <w:sz w:val="22"/>
                <w:szCs w:val="22"/>
                <w:lang w:eastAsia="en-US"/>
              </w:rPr>
              <w:t xml:space="preserve">1,2 </w:t>
            </w:r>
            <w:r w:rsidRPr="00AA7DF5">
              <w:rPr>
                <w:rFonts w:eastAsia="Calibri"/>
                <w:noProof/>
                <w:sz w:val="22"/>
                <w:szCs w:val="22"/>
                <w:vertAlign w:val="superscript"/>
                <w:lang w:eastAsia="en-US"/>
              </w:rPr>
              <w:t>(12)</w:t>
            </w:r>
            <w:bookmarkEnd w:id="24"/>
          </w:p>
        </w:tc>
        <w:tc>
          <w:tcPr>
            <w:tcW w:w="1279" w:type="dxa"/>
            <w:gridSpan w:val="2"/>
            <w:tcMar>
              <w:left w:w="28" w:type="dxa"/>
              <w:right w:w="28" w:type="dxa"/>
            </w:tcMar>
          </w:tcPr>
          <w:p w14:paraId="10842F9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w:t>
            </w:r>
          </w:p>
        </w:tc>
        <w:tc>
          <w:tcPr>
            <w:tcW w:w="1278" w:type="dxa"/>
            <w:gridSpan w:val="2"/>
            <w:tcMar>
              <w:left w:w="28" w:type="dxa"/>
              <w:right w:w="28" w:type="dxa"/>
            </w:tcMar>
          </w:tcPr>
          <w:p w14:paraId="3A224B8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14</w:t>
            </w:r>
          </w:p>
        </w:tc>
        <w:tc>
          <w:tcPr>
            <w:tcW w:w="1277" w:type="dxa"/>
            <w:gridSpan w:val="2"/>
            <w:tcMar>
              <w:left w:w="28" w:type="dxa"/>
              <w:right w:w="28" w:type="dxa"/>
            </w:tcMar>
          </w:tcPr>
          <w:p w14:paraId="50B889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14</w:t>
            </w:r>
          </w:p>
        </w:tc>
        <w:tc>
          <w:tcPr>
            <w:tcW w:w="1136" w:type="dxa"/>
            <w:gridSpan w:val="2"/>
            <w:tcMar>
              <w:left w:w="28" w:type="dxa"/>
              <w:right w:w="28" w:type="dxa"/>
            </w:tcMar>
          </w:tcPr>
          <w:p w14:paraId="5280FA2D"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90A6D0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6005C031"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57AB146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45171FF9" w14:textId="77777777" w:rsidTr="00F03A57">
        <w:trPr>
          <w:gridBefore w:val="1"/>
          <w:wBefore w:w="12" w:type="dxa"/>
          <w:cantSplit/>
          <w:tblHeader/>
          <w:jc w:val="center"/>
        </w:trPr>
        <w:tc>
          <w:tcPr>
            <w:tcW w:w="651" w:type="dxa"/>
            <w:gridSpan w:val="3"/>
            <w:tcMar>
              <w:left w:w="28" w:type="dxa"/>
              <w:right w:w="28" w:type="dxa"/>
            </w:tcMar>
          </w:tcPr>
          <w:p w14:paraId="3C6E47E8"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(21)</w:t>
            </w:r>
          </w:p>
        </w:tc>
        <w:tc>
          <w:tcPr>
            <w:tcW w:w="2286" w:type="dxa"/>
            <w:gridSpan w:val="3"/>
            <w:tcMar>
              <w:left w:w="28" w:type="dxa"/>
              <w:right w:w="28" w:type="dxa"/>
            </w:tcMar>
          </w:tcPr>
          <w:p w14:paraId="6DC971E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Mercúrio e seus compostos</w:t>
            </w:r>
          </w:p>
        </w:tc>
        <w:tc>
          <w:tcPr>
            <w:tcW w:w="1329" w:type="dxa"/>
            <w:gridSpan w:val="3"/>
            <w:tcMar>
              <w:left w:w="28" w:type="dxa"/>
              <w:right w:w="28" w:type="dxa"/>
            </w:tcMar>
          </w:tcPr>
          <w:p w14:paraId="6422ECC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Metais</w:t>
            </w:r>
          </w:p>
        </w:tc>
        <w:tc>
          <w:tcPr>
            <w:tcW w:w="992" w:type="dxa"/>
            <w:gridSpan w:val="2"/>
            <w:tcMar>
              <w:left w:w="28" w:type="dxa"/>
              <w:right w:w="28" w:type="dxa"/>
            </w:tcMar>
          </w:tcPr>
          <w:p w14:paraId="2AE35E7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7439-97-6</w:t>
            </w:r>
          </w:p>
        </w:tc>
        <w:tc>
          <w:tcPr>
            <w:tcW w:w="1134" w:type="dxa"/>
          </w:tcPr>
          <w:p w14:paraId="6FAD08C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231-106-7</w:t>
            </w:r>
          </w:p>
        </w:tc>
        <w:tc>
          <w:tcPr>
            <w:tcW w:w="1279" w:type="dxa"/>
            <w:gridSpan w:val="2"/>
            <w:tcMar>
              <w:left w:w="28" w:type="dxa"/>
              <w:right w:w="28" w:type="dxa"/>
            </w:tcMar>
          </w:tcPr>
          <w:p w14:paraId="5C377211" w14:textId="77777777" w:rsidR="00F03A57" w:rsidRPr="00AA7DF5" w:rsidRDefault="00F03A57" w:rsidP="00F03A57">
            <w:pPr>
              <w:widowControl/>
              <w:spacing w:before="40" w:after="40"/>
              <w:rPr>
                <w:rFonts w:eastAsia="Calibri"/>
                <w:noProof/>
                <w:sz w:val="22"/>
                <w:szCs w:val="22"/>
                <w:lang w:eastAsia="en-US"/>
              </w:rPr>
            </w:pPr>
          </w:p>
        </w:tc>
        <w:tc>
          <w:tcPr>
            <w:tcW w:w="1279" w:type="dxa"/>
            <w:gridSpan w:val="2"/>
            <w:tcMar>
              <w:left w:w="28" w:type="dxa"/>
              <w:right w:w="28" w:type="dxa"/>
            </w:tcMar>
          </w:tcPr>
          <w:p w14:paraId="561FEF09" w14:textId="77777777" w:rsidR="00F03A57" w:rsidRPr="00AA7DF5" w:rsidRDefault="00F03A57" w:rsidP="00F03A57">
            <w:pPr>
              <w:widowControl/>
              <w:spacing w:before="40" w:after="40"/>
              <w:rPr>
                <w:rFonts w:eastAsia="Calibri"/>
                <w:noProof/>
                <w:sz w:val="22"/>
                <w:szCs w:val="22"/>
                <w:lang w:eastAsia="en-US"/>
              </w:rPr>
            </w:pPr>
          </w:p>
        </w:tc>
        <w:tc>
          <w:tcPr>
            <w:tcW w:w="1278" w:type="dxa"/>
            <w:gridSpan w:val="2"/>
            <w:tcMar>
              <w:left w:w="28" w:type="dxa"/>
              <w:right w:w="28" w:type="dxa"/>
            </w:tcMar>
          </w:tcPr>
          <w:p w14:paraId="2222059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0,07</w:t>
            </w:r>
          </w:p>
        </w:tc>
        <w:tc>
          <w:tcPr>
            <w:tcW w:w="1277" w:type="dxa"/>
            <w:gridSpan w:val="2"/>
            <w:tcMar>
              <w:left w:w="28" w:type="dxa"/>
              <w:right w:w="28" w:type="dxa"/>
            </w:tcMar>
          </w:tcPr>
          <w:p w14:paraId="0E3D12C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0,07</w:t>
            </w:r>
          </w:p>
        </w:tc>
        <w:tc>
          <w:tcPr>
            <w:tcW w:w="1136" w:type="dxa"/>
            <w:gridSpan w:val="2"/>
            <w:tcMar>
              <w:left w:w="28" w:type="dxa"/>
              <w:right w:w="28" w:type="dxa"/>
            </w:tcMar>
          </w:tcPr>
          <w:p w14:paraId="58051F9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 (</w:t>
            </w:r>
            <w:r w:rsidRPr="00AA7DF5">
              <w:rPr>
                <w:rFonts w:eastAsia="Calibri"/>
                <w:noProof/>
                <w:sz w:val="22"/>
                <w:szCs w:val="22"/>
                <w:vertAlign w:val="superscript"/>
                <w:lang w:eastAsia="en-US"/>
              </w:rPr>
              <w:t>13</w:t>
            </w:r>
            <w:r w:rsidRPr="00AA7DF5">
              <w:rPr>
                <w:rFonts w:eastAsia="Calibri"/>
                <w:noProof/>
                <w:sz w:val="22"/>
                <w:szCs w:val="22"/>
                <w:lang w:eastAsia="en-US"/>
              </w:rPr>
              <w:t>)</w:t>
            </w:r>
          </w:p>
        </w:tc>
        <w:tc>
          <w:tcPr>
            <w:tcW w:w="1262" w:type="dxa"/>
            <w:tcMar>
              <w:left w:w="28" w:type="dxa"/>
              <w:right w:w="28" w:type="dxa"/>
            </w:tcMar>
          </w:tcPr>
          <w:p w14:paraId="579B08B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71AAABF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3B94589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79125A1B" w14:textId="77777777" w:rsidTr="00F03A57">
        <w:trPr>
          <w:gridBefore w:val="1"/>
          <w:wBefore w:w="12" w:type="dxa"/>
          <w:cantSplit/>
          <w:tblHeader/>
          <w:jc w:val="center"/>
        </w:trPr>
        <w:tc>
          <w:tcPr>
            <w:tcW w:w="651" w:type="dxa"/>
            <w:gridSpan w:val="3"/>
            <w:tcMar>
              <w:left w:w="28" w:type="dxa"/>
              <w:right w:w="28" w:type="dxa"/>
            </w:tcMar>
          </w:tcPr>
          <w:p w14:paraId="2332771D"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(22)</w:t>
            </w:r>
          </w:p>
        </w:tc>
        <w:tc>
          <w:tcPr>
            <w:tcW w:w="2286" w:type="dxa"/>
            <w:gridSpan w:val="3"/>
            <w:tcMar>
              <w:left w:w="28" w:type="dxa"/>
              <w:right w:w="28" w:type="dxa"/>
            </w:tcMar>
          </w:tcPr>
          <w:p w14:paraId="62105D5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Naftaleno</w:t>
            </w:r>
          </w:p>
        </w:tc>
        <w:tc>
          <w:tcPr>
            <w:tcW w:w="1329" w:type="dxa"/>
            <w:gridSpan w:val="3"/>
            <w:tcMar>
              <w:left w:w="28" w:type="dxa"/>
              <w:right w:w="28" w:type="dxa"/>
            </w:tcMar>
          </w:tcPr>
          <w:p w14:paraId="28D9A93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Substâncias industriais </w:t>
            </w:r>
          </w:p>
        </w:tc>
        <w:tc>
          <w:tcPr>
            <w:tcW w:w="992" w:type="dxa"/>
            <w:gridSpan w:val="2"/>
            <w:tcMar>
              <w:left w:w="28" w:type="dxa"/>
              <w:right w:w="28" w:type="dxa"/>
            </w:tcMar>
          </w:tcPr>
          <w:p w14:paraId="413DC8A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91-20-3</w:t>
            </w:r>
          </w:p>
        </w:tc>
        <w:tc>
          <w:tcPr>
            <w:tcW w:w="1134" w:type="dxa"/>
          </w:tcPr>
          <w:p w14:paraId="7A47531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202-049-5</w:t>
            </w:r>
          </w:p>
        </w:tc>
        <w:tc>
          <w:tcPr>
            <w:tcW w:w="1279" w:type="dxa"/>
            <w:gridSpan w:val="2"/>
            <w:tcMar>
              <w:left w:w="28" w:type="dxa"/>
              <w:right w:w="28" w:type="dxa"/>
            </w:tcMar>
          </w:tcPr>
          <w:p w14:paraId="1D4B311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w:t>
            </w:r>
          </w:p>
        </w:tc>
        <w:tc>
          <w:tcPr>
            <w:tcW w:w="1279" w:type="dxa"/>
            <w:gridSpan w:val="2"/>
            <w:tcMar>
              <w:left w:w="28" w:type="dxa"/>
              <w:right w:w="28" w:type="dxa"/>
            </w:tcMar>
          </w:tcPr>
          <w:p w14:paraId="68A7C8F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w:t>
            </w:r>
          </w:p>
        </w:tc>
        <w:tc>
          <w:tcPr>
            <w:tcW w:w="1278" w:type="dxa"/>
            <w:gridSpan w:val="2"/>
            <w:tcMar>
              <w:left w:w="28" w:type="dxa"/>
              <w:right w:w="28" w:type="dxa"/>
            </w:tcMar>
          </w:tcPr>
          <w:p w14:paraId="07D5F57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130</w:t>
            </w:r>
          </w:p>
        </w:tc>
        <w:tc>
          <w:tcPr>
            <w:tcW w:w="1277" w:type="dxa"/>
            <w:gridSpan w:val="2"/>
            <w:tcMar>
              <w:left w:w="28" w:type="dxa"/>
              <w:right w:w="28" w:type="dxa"/>
            </w:tcMar>
          </w:tcPr>
          <w:p w14:paraId="3635A2A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130</w:t>
            </w:r>
          </w:p>
        </w:tc>
        <w:tc>
          <w:tcPr>
            <w:tcW w:w="1136" w:type="dxa"/>
            <w:gridSpan w:val="2"/>
            <w:tcMar>
              <w:left w:w="28" w:type="dxa"/>
              <w:right w:w="28" w:type="dxa"/>
            </w:tcMar>
          </w:tcPr>
          <w:p w14:paraId="42ACC544"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7918A62E"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41AC22CE"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3C0087D"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5DD0889E" w14:textId="77777777" w:rsidTr="00F03A57">
        <w:trPr>
          <w:gridBefore w:val="1"/>
          <w:wBefore w:w="12" w:type="dxa"/>
          <w:cantSplit/>
          <w:tblHeader/>
          <w:jc w:val="center"/>
        </w:trPr>
        <w:tc>
          <w:tcPr>
            <w:tcW w:w="651" w:type="dxa"/>
            <w:gridSpan w:val="3"/>
            <w:tcMar>
              <w:left w:w="28" w:type="dxa"/>
              <w:right w:w="28" w:type="dxa"/>
            </w:tcMar>
          </w:tcPr>
          <w:p w14:paraId="5017AE9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(23)</w:t>
            </w:r>
          </w:p>
        </w:tc>
        <w:tc>
          <w:tcPr>
            <w:tcW w:w="2286" w:type="dxa"/>
            <w:gridSpan w:val="3"/>
            <w:tcMar>
              <w:left w:w="28" w:type="dxa"/>
              <w:right w:w="28" w:type="dxa"/>
            </w:tcMar>
          </w:tcPr>
          <w:p w14:paraId="3791257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Níquel e seus compostos</w:t>
            </w:r>
          </w:p>
        </w:tc>
        <w:tc>
          <w:tcPr>
            <w:tcW w:w="1329" w:type="dxa"/>
            <w:gridSpan w:val="3"/>
            <w:tcMar>
              <w:left w:w="28" w:type="dxa"/>
              <w:right w:w="28" w:type="dxa"/>
            </w:tcMar>
          </w:tcPr>
          <w:p w14:paraId="56579E9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Metais</w:t>
            </w:r>
          </w:p>
        </w:tc>
        <w:tc>
          <w:tcPr>
            <w:tcW w:w="992" w:type="dxa"/>
            <w:gridSpan w:val="2"/>
            <w:tcMar>
              <w:left w:w="28" w:type="dxa"/>
              <w:right w:w="28" w:type="dxa"/>
            </w:tcMar>
          </w:tcPr>
          <w:p w14:paraId="7A6D29C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7440-02-0</w:t>
            </w:r>
          </w:p>
        </w:tc>
        <w:tc>
          <w:tcPr>
            <w:tcW w:w="1134" w:type="dxa"/>
          </w:tcPr>
          <w:p w14:paraId="48E8A656" w14:textId="77777777" w:rsidR="00F03A57" w:rsidRPr="00AA7DF5" w:rsidDel="00EC120E"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231-111-4</w:t>
            </w:r>
          </w:p>
        </w:tc>
        <w:tc>
          <w:tcPr>
            <w:tcW w:w="1279" w:type="dxa"/>
            <w:gridSpan w:val="2"/>
            <w:tcMar>
              <w:left w:w="28" w:type="dxa"/>
              <w:right w:w="28" w:type="dxa"/>
            </w:tcMar>
          </w:tcPr>
          <w:p w14:paraId="20421294"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2 (</w:t>
            </w:r>
            <w:r w:rsidRPr="00AA7DF5">
              <w:rPr>
                <w:rFonts w:eastAsia="Calibri"/>
                <w:noProof/>
                <w:sz w:val="22"/>
                <w:szCs w:val="22"/>
                <w:vertAlign w:val="superscript"/>
                <w:lang w:eastAsia="en-US"/>
              </w:rPr>
              <w:t>12</w:t>
            </w:r>
            <w:r w:rsidRPr="00AA7DF5">
              <w:rPr>
                <w:rFonts w:eastAsia="Calibri"/>
                <w:noProof/>
                <w:sz w:val="22"/>
                <w:szCs w:val="22"/>
                <w:lang w:eastAsia="en-US"/>
              </w:rPr>
              <w:t>)</w:t>
            </w:r>
          </w:p>
        </w:tc>
        <w:tc>
          <w:tcPr>
            <w:tcW w:w="1279" w:type="dxa"/>
            <w:gridSpan w:val="2"/>
            <w:tcMar>
              <w:left w:w="28" w:type="dxa"/>
              <w:right w:w="28" w:type="dxa"/>
            </w:tcMar>
          </w:tcPr>
          <w:p w14:paraId="21CF695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3,1</w:t>
            </w:r>
          </w:p>
        </w:tc>
        <w:tc>
          <w:tcPr>
            <w:tcW w:w="1278" w:type="dxa"/>
            <w:gridSpan w:val="2"/>
            <w:tcMar>
              <w:left w:w="28" w:type="dxa"/>
              <w:right w:w="28" w:type="dxa"/>
            </w:tcMar>
          </w:tcPr>
          <w:p w14:paraId="2D0A1E6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8,2</w:t>
            </w:r>
          </w:p>
        </w:tc>
        <w:tc>
          <w:tcPr>
            <w:tcW w:w="1277" w:type="dxa"/>
            <w:gridSpan w:val="2"/>
            <w:tcMar>
              <w:left w:w="28" w:type="dxa"/>
              <w:right w:w="28" w:type="dxa"/>
            </w:tcMar>
          </w:tcPr>
          <w:p w14:paraId="783E2F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8,2</w:t>
            </w:r>
          </w:p>
        </w:tc>
        <w:tc>
          <w:tcPr>
            <w:tcW w:w="1136" w:type="dxa"/>
            <w:gridSpan w:val="2"/>
            <w:tcMar>
              <w:left w:w="28" w:type="dxa"/>
              <w:right w:w="28" w:type="dxa"/>
            </w:tcMar>
          </w:tcPr>
          <w:p w14:paraId="04A8EEBF"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5FDBC62A" w14:textId="77777777" w:rsidR="00F03A57" w:rsidRPr="00AA7DF5" w:rsidRDefault="00F03A57" w:rsidP="00F03A57">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0D4E1C9E" w14:textId="77777777" w:rsidR="00F03A57" w:rsidRPr="00AA7DF5" w:rsidRDefault="00F03A57" w:rsidP="00F03A57">
            <w:pPr>
              <w:widowControl/>
              <w:spacing w:before="40" w:after="40"/>
              <w:rPr>
                <w:rFonts w:eastAsia="Calibri"/>
                <w:noProof/>
                <w:sz w:val="22"/>
                <w:szCs w:val="22"/>
                <w:vertAlign w:val="superscript"/>
                <w:lang w:eastAsia="en-US"/>
              </w:rPr>
            </w:pPr>
          </w:p>
        </w:tc>
        <w:tc>
          <w:tcPr>
            <w:tcW w:w="970" w:type="dxa"/>
            <w:tcMar>
              <w:left w:w="28" w:type="dxa"/>
              <w:right w:w="28" w:type="dxa"/>
            </w:tcMar>
          </w:tcPr>
          <w:p w14:paraId="08AC8755" w14:textId="77777777" w:rsidR="00F03A57" w:rsidRPr="00AA7DF5" w:rsidRDefault="00F03A57" w:rsidP="00F03A57">
            <w:pPr>
              <w:widowControl/>
              <w:spacing w:before="40" w:after="40"/>
              <w:rPr>
                <w:rFonts w:eastAsia="Calibri"/>
                <w:noProof/>
                <w:sz w:val="22"/>
                <w:szCs w:val="22"/>
                <w:vertAlign w:val="superscript"/>
                <w:lang w:eastAsia="en-US"/>
              </w:rPr>
            </w:pPr>
          </w:p>
        </w:tc>
      </w:tr>
      <w:tr w:rsidR="00F03A57" w:rsidRPr="00AA7DF5" w14:paraId="1389A645" w14:textId="77777777" w:rsidTr="00F03A57">
        <w:trPr>
          <w:gridBefore w:val="1"/>
          <w:wBefore w:w="12" w:type="dxa"/>
          <w:cantSplit/>
          <w:tblHeader/>
          <w:jc w:val="center"/>
        </w:trPr>
        <w:tc>
          <w:tcPr>
            <w:tcW w:w="651" w:type="dxa"/>
            <w:gridSpan w:val="3"/>
            <w:tcMar>
              <w:left w:w="28" w:type="dxa"/>
              <w:right w:w="28" w:type="dxa"/>
            </w:tcMar>
          </w:tcPr>
          <w:p w14:paraId="2415ECD7"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(24)</w:t>
            </w:r>
          </w:p>
        </w:tc>
        <w:tc>
          <w:tcPr>
            <w:tcW w:w="2286" w:type="dxa"/>
            <w:gridSpan w:val="3"/>
            <w:tcMar>
              <w:left w:w="28" w:type="dxa"/>
              <w:right w:w="28" w:type="dxa"/>
            </w:tcMar>
          </w:tcPr>
          <w:p w14:paraId="782BCCF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Nonilfenóis </w:t>
            </w:r>
            <w:r w:rsidRPr="00AA7DF5">
              <w:rPr>
                <w:rFonts w:eastAsia="Calibri"/>
                <w:noProof/>
                <w:sz w:val="22"/>
                <w:szCs w:val="22"/>
                <w:vertAlign w:val="superscript"/>
                <w:lang w:eastAsia="en-US"/>
              </w:rPr>
              <w:t>(14)</w:t>
            </w:r>
            <w:r w:rsidRPr="00AA7DF5">
              <w:rPr>
                <w:rFonts w:eastAsia="Calibri"/>
                <w:noProof/>
                <w:szCs w:val="22"/>
                <w:lang w:eastAsia="en-US"/>
              </w:rPr>
              <w:t xml:space="preserve"> </w:t>
            </w:r>
            <w:r w:rsidRPr="00AA7DF5">
              <w:rPr>
                <w:rFonts w:eastAsia="Calibri"/>
                <w:noProof/>
                <w:szCs w:val="22"/>
                <w:lang w:eastAsia="en-US"/>
              </w:rPr>
              <w:br/>
            </w:r>
            <w:r w:rsidRPr="00AA7DF5">
              <w:rPr>
                <w:rFonts w:eastAsia="Calibri"/>
                <w:noProof/>
                <w:sz w:val="22"/>
                <w:szCs w:val="22"/>
                <w:lang w:eastAsia="en-US"/>
              </w:rPr>
              <w:t>(4-nonilfenol)</w:t>
            </w:r>
          </w:p>
        </w:tc>
        <w:tc>
          <w:tcPr>
            <w:tcW w:w="1329" w:type="dxa"/>
            <w:gridSpan w:val="3"/>
            <w:tcMar>
              <w:left w:w="28" w:type="dxa"/>
              <w:right w:w="28" w:type="dxa"/>
            </w:tcMar>
          </w:tcPr>
          <w:p w14:paraId="4363304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4F3F896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84852-15-3</w:t>
            </w:r>
          </w:p>
        </w:tc>
        <w:tc>
          <w:tcPr>
            <w:tcW w:w="1134" w:type="dxa"/>
          </w:tcPr>
          <w:p w14:paraId="53861E8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284-325-5</w:t>
            </w:r>
          </w:p>
        </w:tc>
        <w:tc>
          <w:tcPr>
            <w:tcW w:w="1279" w:type="dxa"/>
            <w:gridSpan w:val="2"/>
            <w:tcMar>
              <w:left w:w="28" w:type="dxa"/>
              <w:right w:w="28" w:type="dxa"/>
            </w:tcMar>
          </w:tcPr>
          <w:p w14:paraId="5B4F495C" w14:textId="0134AAC0"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8D1D0E" w:rsidRPr="00F367E5">
              <w:rPr>
                <w:rFonts w:eastAsia="Calibri"/>
                <w:b/>
                <w:bCs/>
                <w:i/>
                <w:iCs/>
                <w:noProof/>
                <w:sz w:val="22"/>
                <w:szCs w:val="22"/>
                <w:lang w:eastAsia="en-US"/>
              </w:rPr>
              <w:t>,</w:t>
            </w:r>
            <w:r w:rsidRPr="00AA7DF5">
              <w:rPr>
                <w:rFonts w:eastAsia="Calibri"/>
                <w:noProof/>
                <w:sz w:val="22"/>
                <w:szCs w:val="22"/>
                <w:lang w:eastAsia="en-US"/>
              </w:rPr>
              <w:t>037</w:t>
            </w:r>
          </w:p>
        </w:tc>
        <w:tc>
          <w:tcPr>
            <w:tcW w:w="1279" w:type="dxa"/>
            <w:gridSpan w:val="2"/>
            <w:tcMar>
              <w:left w:w="28" w:type="dxa"/>
              <w:right w:w="28" w:type="dxa"/>
            </w:tcMar>
          </w:tcPr>
          <w:p w14:paraId="0BBE407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0,0018</w:t>
            </w:r>
          </w:p>
        </w:tc>
        <w:tc>
          <w:tcPr>
            <w:tcW w:w="1278" w:type="dxa"/>
            <w:gridSpan w:val="2"/>
            <w:tcMar>
              <w:left w:w="28" w:type="dxa"/>
              <w:right w:w="28" w:type="dxa"/>
            </w:tcMar>
          </w:tcPr>
          <w:p w14:paraId="1CBBDA3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w:t>
            </w:r>
          </w:p>
        </w:tc>
        <w:tc>
          <w:tcPr>
            <w:tcW w:w="1277" w:type="dxa"/>
            <w:gridSpan w:val="2"/>
            <w:tcMar>
              <w:left w:w="28" w:type="dxa"/>
              <w:right w:w="28" w:type="dxa"/>
            </w:tcMar>
          </w:tcPr>
          <w:p w14:paraId="6DB03B2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0,17</w:t>
            </w:r>
          </w:p>
        </w:tc>
        <w:tc>
          <w:tcPr>
            <w:tcW w:w="1136" w:type="dxa"/>
            <w:gridSpan w:val="2"/>
            <w:tcMar>
              <w:left w:w="28" w:type="dxa"/>
              <w:right w:w="28" w:type="dxa"/>
            </w:tcMar>
          </w:tcPr>
          <w:p w14:paraId="1CDA8E68"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0795DEA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1B8BB9B0"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5A5F4291"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495CDB24" w14:textId="77777777" w:rsidTr="00F03A57">
        <w:trPr>
          <w:gridBefore w:val="1"/>
          <w:wBefore w:w="12" w:type="dxa"/>
          <w:cantSplit/>
          <w:tblHeader/>
          <w:jc w:val="center"/>
        </w:trPr>
        <w:tc>
          <w:tcPr>
            <w:tcW w:w="651" w:type="dxa"/>
            <w:gridSpan w:val="3"/>
            <w:tcMar>
              <w:left w:w="28" w:type="dxa"/>
              <w:right w:w="28" w:type="dxa"/>
            </w:tcMar>
          </w:tcPr>
          <w:p w14:paraId="22BC66A1" w14:textId="77777777" w:rsidR="00F03A57" w:rsidRPr="00AA7DF5" w:rsidRDefault="00F03A57" w:rsidP="00F03A57">
            <w:pPr>
              <w:keepNext/>
              <w:widowControl/>
              <w:spacing w:before="40" w:after="40"/>
              <w:jc w:val="both"/>
              <w:rPr>
                <w:rFonts w:eastAsia="Calibri"/>
                <w:noProof/>
                <w:sz w:val="22"/>
                <w:szCs w:val="22"/>
                <w:lang w:eastAsia="en-US"/>
              </w:rPr>
            </w:pPr>
            <w:r w:rsidRPr="00AA7DF5">
              <w:rPr>
                <w:rFonts w:eastAsia="Calibri"/>
                <w:noProof/>
                <w:sz w:val="22"/>
                <w:szCs w:val="22"/>
                <w:lang w:eastAsia="en-US"/>
              </w:rPr>
              <w:t>(25)</w:t>
            </w:r>
          </w:p>
        </w:tc>
        <w:tc>
          <w:tcPr>
            <w:tcW w:w="2286" w:type="dxa"/>
            <w:gridSpan w:val="3"/>
            <w:tcMar>
              <w:left w:w="28" w:type="dxa"/>
              <w:right w:w="28" w:type="dxa"/>
            </w:tcMar>
          </w:tcPr>
          <w:p w14:paraId="30BA05DB" w14:textId="77777777" w:rsidR="00F03A57" w:rsidRPr="00AA7DF5" w:rsidRDefault="00F03A57" w:rsidP="00F03A57">
            <w:pPr>
              <w:keepNext/>
              <w:widowControl/>
              <w:spacing w:before="40" w:after="40"/>
              <w:rPr>
                <w:rFonts w:eastAsia="Calibri"/>
                <w:noProof/>
                <w:sz w:val="22"/>
                <w:szCs w:val="22"/>
                <w:lang w:val="da-DK" w:eastAsia="en-US"/>
              </w:rPr>
            </w:pPr>
            <w:r w:rsidRPr="00AA7DF5">
              <w:rPr>
                <w:rFonts w:eastAsia="Calibri"/>
                <w:noProof/>
                <w:szCs w:val="22"/>
                <w:lang w:val="da-DK" w:eastAsia="en-US"/>
              </w:rPr>
              <w:t>Octilfenóis (</w:t>
            </w:r>
            <w:r w:rsidRPr="00AA7DF5">
              <w:rPr>
                <w:rFonts w:eastAsia="Calibri"/>
                <w:noProof/>
                <w:szCs w:val="22"/>
                <w:vertAlign w:val="superscript"/>
                <w:lang w:val="da-DK" w:eastAsia="en-US"/>
              </w:rPr>
              <w:t>15</w:t>
            </w:r>
            <w:r w:rsidRPr="00AA7DF5">
              <w:rPr>
                <w:rFonts w:eastAsia="Calibri"/>
                <w:noProof/>
                <w:szCs w:val="22"/>
                <w:lang w:val="da-DK" w:eastAsia="en-US"/>
              </w:rPr>
              <w:t xml:space="preserve">) </w:t>
            </w:r>
            <w:r w:rsidRPr="00AA7DF5">
              <w:rPr>
                <w:rFonts w:eastAsia="Calibri"/>
                <w:noProof/>
                <w:szCs w:val="22"/>
                <w:lang w:val="da-DK" w:eastAsia="en-US"/>
              </w:rPr>
              <w:br/>
              <w:t>((4-(1,1’,3,3’-tetrametilbutil)-fenol))</w:t>
            </w:r>
          </w:p>
        </w:tc>
        <w:tc>
          <w:tcPr>
            <w:tcW w:w="1329" w:type="dxa"/>
            <w:gridSpan w:val="3"/>
            <w:tcMar>
              <w:left w:w="28" w:type="dxa"/>
              <w:right w:w="28" w:type="dxa"/>
            </w:tcMar>
          </w:tcPr>
          <w:p w14:paraId="6B7F7474"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13A37470"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140-66-9</w:t>
            </w:r>
          </w:p>
        </w:tc>
        <w:tc>
          <w:tcPr>
            <w:tcW w:w="1134" w:type="dxa"/>
          </w:tcPr>
          <w:p w14:paraId="00B6AE8E"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205-426-2</w:t>
            </w:r>
          </w:p>
        </w:tc>
        <w:tc>
          <w:tcPr>
            <w:tcW w:w="1279" w:type="dxa"/>
            <w:gridSpan w:val="2"/>
            <w:tcMar>
              <w:left w:w="28" w:type="dxa"/>
              <w:right w:w="28" w:type="dxa"/>
            </w:tcMar>
          </w:tcPr>
          <w:p w14:paraId="7B532419"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0,1</w:t>
            </w:r>
          </w:p>
        </w:tc>
        <w:tc>
          <w:tcPr>
            <w:tcW w:w="1279" w:type="dxa"/>
            <w:gridSpan w:val="2"/>
            <w:tcMar>
              <w:left w:w="28" w:type="dxa"/>
              <w:right w:w="28" w:type="dxa"/>
            </w:tcMar>
          </w:tcPr>
          <w:p w14:paraId="3F9CBADC"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0,01</w:t>
            </w:r>
          </w:p>
        </w:tc>
        <w:tc>
          <w:tcPr>
            <w:tcW w:w="1278" w:type="dxa"/>
            <w:gridSpan w:val="2"/>
            <w:tcMar>
              <w:left w:w="28" w:type="dxa"/>
              <w:right w:w="28" w:type="dxa"/>
            </w:tcMar>
          </w:tcPr>
          <w:p w14:paraId="7AB95EF6"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347D09CA"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3BED5F21" w14:textId="77777777" w:rsidR="00F03A57" w:rsidRPr="00AA7DF5" w:rsidRDefault="00F03A57" w:rsidP="00F03A57">
            <w:pPr>
              <w:keepNext/>
              <w:widowControl/>
              <w:spacing w:before="40" w:after="40"/>
              <w:rPr>
                <w:rFonts w:eastAsia="Calibri"/>
                <w:noProof/>
                <w:sz w:val="22"/>
                <w:szCs w:val="22"/>
                <w:lang w:eastAsia="en-US"/>
              </w:rPr>
            </w:pPr>
          </w:p>
        </w:tc>
        <w:tc>
          <w:tcPr>
            <w:tcW w:w="1262" w:type="dxa"/>
            <w:tcMar>
              <w:left w:w="28" w:type="dxa"/>
              <w:right w:w="28" w:type="dxa"/>
            </w:tcMar>
          </w:tcPr>
          <w:p w14:paraId="1C67392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3F093210" w14:textId="77777777" w:rsidR="00F03A57" w:rsidRPr="00AA7DF5" w:rsidRDefault="00F03A57" w:rsidP="00F03A57">
            <w:pPr>
              <w:keepNext/>
              <w:widowControl/>
              <w:spacing w:before="40" w:after="40"/>
              <w:rPr>
                <w:rFonts w:eastAsia="Calibri"/>
                <w:noProof/>
                <w:sz w:val="22"/>
                <w:szCs w:val="22"/>
                <w:lang w:eastAsia="en-US"/>
              </w:rPr>
            </w:pPr>
          </w:p>
        </w:tc>
        <w:tc>
          <w:tcPr>
            <w:tcW w:w="970" w:type="dxa"/>
            <w:tcMar>
              <w:left w:w="28" w:type="dxa"/>
              <w:right w:w="28" w:type="dxa"/>
            </w:tcMar>
          </w:tcPr>
          <w:p w14:paraId="5ED26AEC" w14:textId="77777777" w:rsidR="00F03A57" w:rsidRPr="00AA7DF5" w:rsidRDefault="00F03A57" w:rsidP="00F03A57">
            <w:pPr>
              <w:keepNext/>
              <w:widowControl/>
              <w:spacing w:before="40" w:after="40"/>
              <w:rPr>
                <w:rFonts w:eastAsia="Calibri"/>
                <w:noProof/>
                <w:sz w:val="22"/>
                <w:szCs w:val="22"/>
                <w:lang w:eastAsia="en-US"/>
              </w:rPr>
            </w:pPr>
          </w:p>
        </w:tc>
      </w:tr>
      <w:tr w:rsidR="00F03A57" w:rsidRPr="00AA7DF5" w14:paraId="0C9A1D0A" w14:textId="77777777" w:rsidTr="00F03A57">
        <w:trPr>
          <w:gridBefore w:val="1"/>
          <w:wBefore w:w="12" w:type="dxa"/>
          <w:cantSplit/>
          <w:tblHeader/>
          <w:jc w:val="center"/>
        </w:trPr>
        <w:tc>
          <w:tcPr>
            <w:tcW w:w="651" w:type="dxa"/>
            <w:gridSpan w:val="3"/>
            <w:tcMar>
              <w:left w:w="28" w:type="dxa"/>
              <w:right w:w="28" w:type="dxa"/>
            </w:tcMar>
          </w:tcPr>
          <w:p w14:paraId="0A4FD424"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(26)</w:t>
            </w:r>
          </w:p>
        </w:tc>
        <w:tc>
          <w:tcPr>
            <w:tcW w:w="2286" w:type="dxa"/>
            <w:gridSpan w:val="3"/>
            <w:tcMar>
              <w:left w:w="28" w:type="dxa"/>
              <w:right w:w="28" w:type="dxa"/>
            </w:tcMar>
          </w:tcPr>
          <w:p w14:paraId="338A17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Pentaclorobenzeno</w:t>
            </w:r>
          </w:p>
        </w:tc>
        <w:tc>
          <w:tcPr>
            <w:tcW w:w="1329" w:type="dxa"/>
            <w:gridSpan w:val="3"/>
            <w:tcMar>
              <w:left w:w="28" w:type="dxa"/>
              <w:right w:w="28" w:type="dxa"/>
            </w:tcMar>
          </w:tcPr>
          <w:p w14:paraId="53AD0E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310ADA0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608-93-5</w:t>
            </w:r>
          </w:p>
        </w:tc>
        <w:tc>
          <w:tcPr>
            <w:tcW w:w="1134" w:type="dxa"/>
          </w:tcPr>
          <w:p w14:paraId="085ACC2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210-172-0</w:t>
            </w:r>
          </w:p>
        </w:tc>
        <w:tc>
          <w:tcPr>
            <w:tcW w:w="1279" w:type="dxa"/>
            <w:gridSpan w:val="2"/>
            <w:tcMar>
              <w:left w:w="28" w:type="dxa"/>
              <w:right w:w="28" w:type="dxa"/>
            </w:tcMar>
          </w:tcPr>
          <w:p w14:paraId="1E57DCCD" w14:textId="4A991603"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8D1D0E" w:rsidRPr="00F367E5">
              <w:rPr>
                <w:rFonts w:eastAsia="Calibri"/>
                <w:b/>
                <w:bCs/>
                <w:i/>
                <w:iCs/>
                <w:noProof/>
                <w:sz w:val="22"/>
                <w:szCs w:val="22"/>
                <w:lang w:eastAsia="en-US"/>
              </w:rPr>
              <w:t>,</w:t>
            </w:r>
            <w:r w:rsidRPr="00AA7DF5">
              <w:rPr>
                <w:rFonts w:eastAsia="Calibri"/>
                <w:noProof/>
                <w:sz w:val="22"/>
                <w:szCs w:val="22"/>
                <w:lang w:eastAsia="en-US"/>
              </w:rPr>
              <w:t>007</w:t>
            </w:r>
          </w:p>
        </w:tc>
        <w:tc>
          <w:tcPr>
            <w:tcW w:w="1279" w:type="dxa"/>
            <w:gridSpan w:val="2"/>
            <w:tcMar>
              <w:left w:w="28" w:type="dxa"/>
              <w:right w:w="28" w:type="dxa"/>
            </w:tcMar>
          </w:tcPr>
          <w:p w14:paraId="2BBE610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0,0007</w:t>
            </w:r>
          </w:p>
        </w:tc>
        <w:tc>
          <w:tcPr>
            <w:tcW w:w="1278" w:type="dxa"/>
            <w:gridSpan w:val="2"/>
            <w:tcMar>
              <w:left w:w="28" w:type="dxa"/>
              <w:right w:w="28" w:type="dxa"/>
            </w:tcMar>
          </w:tcPr>
          <w:p w14:paraId="419CA74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31CB0E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55F5B3E1"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4E02ACB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57A974A6"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1AECE1A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219E6DBC" w14:textId="77777777" w:rsidTr="00F03A57">
        <w:trPr>
          <w:gridBefore w:val="1"/>
          <w:wBefore w:w="12" w:type="dxa"/>
          <w:cantSplit/>
          <w:tblHeader/>
          <w:jc w:val="center"/>
        </w:trPr>
        <w:tc>
          <w:tcPr>
            <w:tcW w:w="651" w:type="dxa"/>
            <w:gridSpan w:val="3"/>
            <w:tcMar>
              <w:left w:w="28" w:type="dxa"/>
              <w:right w:w="28" w:type="dxa"/>
            </w:tcMar>
          </w:tcPr>
          <w:p w14:paraId="0F58B9CA"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(27)</w:t>
            </w:r>
          </w:p>
        </w:tc>
        <w:tc>
          <w:tcPr>
            <w:tcW w:w="2286" w:type="dxa"/>
            <w:gridSpan w:val="3"/>
            <w:tcMar>
              <w:left w:w="28" w:type="dxa"/>
              <w:right w:w="28" w:type="dxa"/>
            </w:tcMar>
          </w:tcPr>
          <w:p w14:paraId="59DC33D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Pentaclorofenol</w:t>
            </w:r>
          </w:p>
        </w:tc>
        <w:tc>
          <w:tcPr>
            <w:tcW w:w="1329" w:type="dxa"/>
            <w:gridSpan w:val="3"/>
            <w:tcMar>
              <w:left w:w="28" w:type="dxa"/>
              <w:right w:w="28" w:type="dxa"/>
            </w:tcMar>
          </w:tcPr>
          <w:p w14:paraId="6FBE183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6AB511D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87-86-5</w:t>
            </w:r>
          </w:p>
        </w:tc>
        <w:tc>
          <w:tcPr>
            <w:tcW w:w="1134" w:type="dxa"/>
          </w:tcPr>
          <w:p w14:paraId="3F7B113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201-778-6</w:t>
            </w:r>
          </w:p>
        </w:tc>
        <w:tc>
          <w:tcPr>
            <w:tcW w:w="1279" w:type="dxa"/>
            <w:gridSpan w:val="2"/>
            <w:tcMar>
              <w:left w:w="28" w:type="dxa"/>
              <w:right w:w="28" w:type="dxa"/>
            </w:tcMar>
          </w:tcPr>
          <w:p w14:paraId="6F4F70B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0,4</w:t>
            </w:r>
          </w:p>
        </w:tc>
        <w:tc>
          <w:tcPr>
            <w:tcW w:w="1279" w:type="dxa"/>
            <w:gridSpan w:val="2"/>
            <w:tcMar>
              <w:left w:w="28" w:type="dxa"/>
              <w:right w:w="28" w:type="dxa"/>
            </w:tcMar>
          </w:tcPr>
          <w:p w14:paraId="55A34C1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0,4</w:t>
            </w:r>
          </w:p>
        </w:tc>
        <w:tc>
          <w:tcPr>
            <w:tcW w:w="1278" w:type="dxa"/>
            <w:gridSpan w:val="2"/>
            <w:tcMar>
              <w:left w:w="28" w:type="dxa"/>
              <w:right w:w="28" w:type="dxa"/>
            </w:tcMar>
          </w:tcPr>
          <w:p w14:paraId="74AA9F5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w:t>
            </w:r>
          </w:p>
        </w:tc>
        <w:tc>
          <w:tcPr>
            <w:tcW w:w="1277" w:type="dxa"/>
            <w:gridSpan w:val="2"/>
            <w:tcMar>
              <w:left w:w="28" w:type="dxa"/>
              <w:right w:w="28" w:type="dxa"/>
            </w:tcMar>
          </w:tcPr>
          <w:p w14:paraId="50B0958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w:t>
            </w:r>
          </w:p>
        </w:tc>
        <w:tc>
          <w:tcPr>
            <w:tcW w:w="1136" w:type="dxa"/>
            <w:gridSpan w:val="2"/>
            <w:tcMar>
              <w:left w:w="28" w:type="dxa"/>
              <w:right w:w="28" w:type="dxa"/>
            </w:tcMar>
          </w:tcPr>
          <w:p w14:paraId="2165B88F"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56660F3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246316A3"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8683AA4"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6F8A0F50" w14:textId="77777777" w:rsidTr="00F03A57">
        <w:trPr>
          <w:gridBefore w:val="1"/>
          <w:wBefore w:w="12" w:type="dxa"/>
          <w:cantSplit/>
          <w:tblHeader/>
          <w:jc w:val="center"/>
        </w:trPr>
        <w:tc>
          <w:tcPr>
            <w:tcW w:w="651" w:type="dxa"/>
            <w:gridSpan w:val="3"/>
            <w:tcMar>
              <w:left w:w="28" w:type="dxa"/>
              <w:right w:w="28" w:type="dxa"/>
            </w:tcMar>
          </w:tcPr>
          <w:p w14:paraId="55E49C10"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(28)</w:t>
            </w:r>
          </w:p>
        </w:tc>
        <w:tc>
          <w:tcPr>
            <w:tcW w:w="2286" w:type="dxa"/>
            <w:gridSpan w:val="3"/>
            <w:tcMar>
              <w:left w:w="28" w:type="dxa"/>
              <w:right w:w="28" w:type="dxa"/>
            </w:tcMar>
          </w:tcPr>
          <w:p w14:paraId="3E43F8B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Hidrocarbonetos aromáticos policíclicos (HAP) (</w:t>
            </w:r>
            <w:r w:rsidRPr="00AA7DF5">
              <w:rPr>
                <w:rFonts w:eastAsia="Calibri"/>
                <w:noProof/>
                <w:sz w:val="22"/>
                <w:szCs w:val="22"/>
                <w:vertAlign w:val="superscript"/>
                <w:lang w:eastAsia="en-US"/>
              </w:rPr>
              <w:t>16</w:t>
            </w:r>
            <w:r w:rsidRPr="00AA7DF5">
              <w:rPr>
                <w:rFonts w:eastAsia="Calibri"/>
                <w:noProof/>
                <w:sz w:val="22"/>
                <w:szCs w:val="22"/>
                <w:lang w:eastAsia="en-US"/>
              </w:rPr>
              <w:t>)</w:t>
            </w:r>
          </w:p>
        </w:tc>
        <w:tc>
          <w:tcPr>
            <w:tcW w:w="1329" w:type="dxa"/>
            <w:gridSpan w:val="3"/>
            <w:tcMar>
              <w:left w:w="28" w:type="dxa"/>
              <w:right w:w="28" w:type="dxa"/>
            </w:tcMar>
          </w:tcPr>
          <w:p w14:paraId="50A860D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Produtos de combustão</w:t>
            </w:r>
          </w:p>
        </w:tc>
        <w:tc>
          <w:tcPr>
            <w:tcW w:w="992" w:type="dxa"/>
            <w:gridSpan w:val="2"/>
            <w:tcMar>
              <w:left w:w="28" w:type="dxa"/>
              <w:right w:w="28" w:type="dxa"/>
            </w:tcMar>
          </w:tcPr>
          <w:p w14:paraId="6697D6F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4" w:type="dxa"/>
          </w:tcPr>
          <w:p w14:paraId="6A1ED12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3B4A453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2B4F3C5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8" w:type="dxa"/>
            <w:gridSpan w:val="2"/>
            <w:tcMar>
              <w:left w:w="28" w:type="dxa"/>
              <w:right w:w="28" w:type="dxa"/>
            </w:tcMar>
          </w:tcPr>
          <w:p w14:paraId="19CA566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026293B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1ACA114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Soma de equivalentes de benzo(a)pireno [0,6]</w:t>
            </w:r>
            <w:r w:rsidRPr="00AA7DF5">
              <w:rPr>
                <w:rFonts w:eastAsia="Calibri"/>
                <w:noProof/>
                <w:sz w:val="22"/>
                <w:szCs w:val="22"/>
                <w:vertAlign w:val="superscript"/>
                <w:lang w:eastAsia="en-US"/>
              </w:rPr>
              <w:t xml:space="preserve"> </w:t>
            </w:r>
            <w:r w:rsidRPr="00AA7DF5">
              <w:rPr>
                <w:rFonts w:eastAsia="Calibri"/>
                <w:noProof/>
                <w:sz w:val="22"/>
                <w:szCs w:val="22"/>
                <w:lang w:eastAsia="en-US"/>
              </w:rPr>
              <w:t>(</w:t>
            </w:r>
            <w:r w:rsidRPr="00AA7DF5">
              <w:rPr>
                <w:rFonts w:eastAsia="Calibri"/>
                <w:noProof/>
                <w:sz w:val="22"/>
                <w:szCs w:val="22"/>
                <w:vertAlign w:val="superscript"/>
                <w:lang w:eastAsia="en-US"/>
              </w:rPr>
              <w:t>17</w:t>
            </w:r>
            <w:r w:rsidRPr="00AA7DF5">
              <w:rPr>
                <w:rFonts w:eastAsia="Calibri"/>
                <w:noProof/>
                <w:sz w:val="22"/>
                <w:szCs w:val="22"/>
                <w:lang w:eastAsia="en-US"/>
              </w:rPr>
              <w:t>)</w:t>
            </w:r>
          </w:p>
        </w:tc>
        <w:tc>
          <w:tcPr>
            <w:tcW w:w="1262" w:type="dxa"/>
            <w:tcMar>
              <w:left w:w="28" w:type="dxa"/>
              <w:right w:w="28" w:type="dxa"/>
            </w:tcMar>
          </w:tcPr>
          <w:p w14:paraId="550587F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X </w:t>
            </w:r>
          </w:p>
        </w:tc>
        <w:tc>
          <w:tcPr>
            <w:tcW w:w="1153" w:type="dxa"/>
            <w:gridSpan w:val="2"/>
            <w:tcMar>
              <w:left w:w="28" w:type="dxa"/>
              <w:right w:w="28" w:type="dxa"/>
            </w:tcMar>
          </w:tcPr>
          <w:p w14:paraId="503D0D6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513814F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36D9ACE5" w14:textId="77777777" w:rsidTr="00F03A57">
        <w:trPr>
          <w:gridBefore w:val="1"/>
          <w:wBefore w:w="12" w:type="dxa"/>
          <w:cantSplit/>
          <w:tblHeader/>
          <w:jc w:val="center"/>
        </w:trPr>
        <w:tc>
          <w:tcPr>
            <w:tcW w:w="651" w:type="dxa"/>
            <w:gridSpan w:val="3"/>
            <w:vMerge w:val="restart"/>
            <w:tcMar>
              <w:left w:w="28" w:type="dxa"/>
              <w:right w:w="28" w:type="dxa"/>
            </w:tcMar>
          </w:tcPr>
          <w:p w14:paraId="1E7A755D"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AF529A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Benzo(a)pireno</w:t>
            </w:r>
          </w:p>
        </w:tc>
        <w:tc>
          <w:tcPr>
            <w:tcW w:w="1329" w:type="dxa"/>
            <w:gridSpan w:val="3"/>
            <w:tcMar>
              <w:left w:w="28" w:type="dxa"/>
              <w:right w:w="28" w:type="dxa"/>
            </w:tcMar>
          </w:tcPr>
          <w:p w14:paraId="0A4BE6B4"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1CDE449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50-32-8</w:t>
            </w:r>
          </w:p>
        </w:tc>
        <w:tc>
          <w:tcPr>
            <w:tcW w:w="1134" w:type="dxa"/>
            <w:shd w:val="clear" w:color="auto" w:fill="auto"/>
          </w:tcPr>
          <w:p w14:paraId="15FAD783" w14:textId="77777777" w:rsidR="00F03A57" w:rsidRPr="00AA7DF5" w:rsidRDefault="00F03A57" w:rsidP="00F03A57">
            <w:pPr>
              <w:widowControl/>
              <w:spacing w:before="40" w:after="40"/>
              <w:rPr>
                <w:rFonts w:eastAsia="Calibri"/>
                <w:bCs/>
                <w:noProof/>
                <w:sz w:val="22"/>
                <w:szCs w:val="22"/>
                <w:lang w:eastAsia="en-US"/>
              </w:rPr>
            </w:pPr>
            <w:r w:rsidRPr="00AA7DF5">
              <w:rPr>
                <w:rFonts w:eastAsia="Calibri"/>
                <w:noProof/>
                <w:sz w:val="22"/>
                <w:szCs w:val="22"/>
                <w:lang w:eastAsia="en-US"/>
              </w:rPr>
              <w:t>200-028-5</w:t>
            </w:r>
          </w:p>
        </w:tc>
        <w:tc>
          <w:tcPr>
            <w:tcW w:w="1279" w:type="dxa"/>
            <w:gridSpan w:val="2"/>
            <w:shd w:val="clear" w:color="auto" w:fill="auto"/>
            <w:tcMar>
              <w:left w:w="28" w:type="dxa"/>
              <w:right w:w="28" w:type="dxa"/>
            </w:tcMar>
          </w:tcPr>
          <w:p w14:paraId="532A70F7" w14:textId="77777777" w:rsidR="00F03A57" w:rsidRPr="00AA7DF5" w:rsidRDefault="00F03A57" w:rsidP="00F03A57">
            <w:pPr>
              <w:widowControl/>
              <w:spacing w:before="40" w:after="40"/>
              <w:rPr>
                <w:rFonts w:eastAsia="Calibri"/>
                <w:bCs/>
                <w:noProof/>
                <w:sz w:val="22"/>
                <w:szCs w:val="22"/>
                <w:vertAlign w:val="superscript"/>
                <w:lang w:eastAsia="en-US"/>
              </w:rPr>
            </w:pPr>
          </w:p>
        </w:tc>
        <w:tc>
          <w:tcPr>
            <w:tcW w:w="1279" w:type="dxa"/>
            <w:gridSpan w:val="2"/>
            <w:shd w:val="clear" w:color="auto" w:fill="auto"/>
            <w:tcMar>
              <w:left w:w="28" w:type="dxa"/>
              <w:right w:w="28" w:type="dxa"/>
            </w:tcMar>
          </w:tcPr>
          <w:p w14:paraId="1E3C8C4C" w14:textId="77777777" w:rsidR="00F03A57" w:rsidRPr="00AA7DF5" w:rsidRDefault="00F03A57" w:rsidP="00F03A57">
            <w:pPr>
              <w:widowControl/>
              <w:spacing w:before="40" w:after="40"/>
              <w:rPr>
                <w:rFonts w:eastAsia="Calibri"/>
                <w:bCs/>
                <w:noProof/>
                <w:sz w:val="22"/>
                <w:szCs w:val="22"/>
                <w:lang w:eastAsia="en-US"/>
              </w:rPr>
            </w:pPr>
          </w:p>
        </w:tc>
        <w:tc>
          <w:tcPr>
            <w:tcW w:w="1278" w:type="dxa"/>
            <w:gridSpan w:val="2"/>
            <w:tcMar>
              <w:left w:w="28" w:type="dxa"/>
              <w:right w:w="28" w:type="dxa"/>
            </w:tcMar>
          </w:tcPr>
          <w:p w14:paraId="13DF0DEA" w14:textId="77777777" w:rsidR="00F03A57" w:rsidRPr="00AA7DF5" w:rsidRDefault="00F03A57" w:rsidP="00F03A57">
            <w:pPr>
              <w:widowControl/>
              <w:spacing w:before="40" w:after="40"/>
              <w:rPr>
                <w:rFonts w:eastAsia="Calibri"/>
                <w:bCs/>
                <w:noProof/>
                <w:sz w:val="22"/>
                <w:szCs w:val="22"/>
                <w:lang w:eastAsia="en-US"/>
              </w:rPr>
            </w:pPr>
            <w:r w:rsidRPr="00AA7DF5">
              <w:rPr>
                <w:rFonts w:eastAsia="Calibri"/>
                <w:noProof/>
                <w:sz w:val="22"/>
                <w:szCs w:val="22"/>
                <w:lang w:eastAsia="en-US"/>
              </w:rPr>
              <w:t>0,27</w:t>
            </w:r>
          </w:p>
        </w:tc>
        <w:tc>
          <w:tcPr>
            <w:tcW w:w="1277" w:type="dxa"/>
            <w:gridSpan w:val="2"/>
            <w:tcMar>
              <w:left w:w="28" w:type="dxa"/>
              <w:right w:w="28" w:type="dxa"/>
            </w:tcMar>
          </w:tcPr>
          <w:p w14:paraId="6F25765D" w14:textId="3F7BA5B5" w:rsidR="00F03A57" w:rsidRPr="00AA7DF5" w:rsidRDefault="00F03A57" w:rsidP="00F03A57">
            <w:pPr>
              <w:widowControl/>
              <w:spacing w:before="40" w:after="40"/>
              <w:rPr>
                <w:rFonts w:eastAsia="Calibri"/>
                <w:bCs/>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027</w:t>
            </w:r>
          </w:p>
        </w:tc>
        <w:tc>
          <w:tcPr>
            <w:tcW w:w="1136" w:type="dxa"/>
            <w:gridSpan w:val="2"/>
            <w:tcMar>
              <w:left w:w="28" w:type="dxa"/>
              <w:right w:w="28" w:type="dxa"/>
            </w:tcMar>
          </w:tcPr>
          <w:p w14:paraId="0B3ABC02" w14:textId="77777777" w:rsidR="00F03A57" w:rsidRPr="00AA7DF5" w:rsidRDefault="00F03A57" w:rsidP="00F03A57">
            <w:pPr>
              <w:widowControl/>
              <w:spacing w:before="40" w:after="40"/>
              <w:rPr>
                <w:rFonts w:eastAsia="Calibri"/>
                <w:b/>
                <w:bCs/>
                <w:i/>
                <w:noProof/>
                <w:sz w:val="22"/>
                <w:szCs w:val="22"/>
                <w:lang w:eastAsia="en-US"/>
              </w:rPr>
            </w:pPr>
            <w:bookmarkStart w:id="25" w:name="_DV_C335"/>
            <w:r w:rsidRPr="00AA7DF5">
              <w:rPr>
                <w:rFonts w:eastAsia="Calibri"/>
                <w:noProof/>
                <w:sz w:val="22"/>
                <w:szCs w:val="22"/>
                <w:lang w:eastAsia="en-US"/>
              </w:rPr>
              <w:t>[0,6</w:t>
            </w:r>
            <w:bookmarkEnd w:id="25"/>
            <w:r w:rsidRPr="00AA7DF5">
              <w:rPr>
                <w:rFonts w:eastAsia="Calibri"/>
                <w:noProof/>
                <w:sz w:val="22"/>
                <w:szCs w:val="22"/>
                <w:lang w:eastAsia="en-US"/>
              </w:rPr>
              <w:t>]</w:t>
            </w:r>
          </w:p>
        </w:tc>
        <w:tc>
          <w:tcPr>
            <w:tcW w:w="1262" w:type="dxa"/>
            <w:tcMar>
              <w:left w:w="28" w:type="dxa"/>
              <w:right w:w="28" w:type="dxa"/>
            </w:tcMar>
          </w:tcPr>
          <w:p w14:paraId="674B53B1" w14:textId="77777777" w:rsidR="00F03A57" w:rsidRPr="00AA7DF5" w:rsidRDefault="00F03A57" w:rsidP="00F03A57">
            <w:pPr>
              <w:widowControl/>
              <w:spacing w:before="40" w:after="40"/>
              <w:rPr>
                <w:rFonts w:eastAsia="Calibri"/>
                <w:bCs/>
                <w:iCs/>
                <w:noProof/>
                <w:sz w:val="22"/>
                <w:szCs w:val="22"/>
                <w:lang w:eastAsia="en-US"/>
              </w:rPr>
            </w:pPr>
          </w:p>
        </w:tc>
        <w:tc>
          <w:tcPr>
            <w:tcW w:w="1153" w:type="dxa"/>
            <w:gridSpan w:val="2"/>
            <w:tcMar>
              <w:left w:w="28" w:type="dxa"/>
              <w:right w:w="28" w:type="dxa"/>
            </w:tcMar>
          </w:tcPr>
          <w:p w14:paraId="4FD6ABA1" w14:textId="77777777" w:rsidR="00F03A57" w:rsidRPr="00AA7DF5" w:rsidRDefault="00F03A57" w:rsidP="00F03A57">
            <w:pPr>
              <w:widowControl/>
              <w:spacing w:before="40" w:after="40"/>
              <w:rPr>
                <w:rFonts w:eastAsia="Calibri"/>
                <w:bCs/>
                <w:iCs/>
                <w:strike/>
                <w:noProof/>
                <w:sz w:val="22"/>
                <w:szCs w:val="22"/>
                <w:lang w:eastAsia="en-US"/>
              </w:rPr>
            </w:pPr>
          </w:p>
        </w:tc>
        <w:tc>
          <w:tcPr>
            <w:tcW w:w="970" w:type="dxa"/>
            <w:tcMar>
              <w:left w:w="28" w:type="dxa"/>
              <w:right w:w="28" w:type="dxa"/>
            </w:tcMar>
          </w:tcPr>
          <w:p w14:paraId="798322C4" w14:textId="77777777" w:rsidR="00F03A57" w:rsidRPr="00AA7DF5" w:rsidRDefault="00F03A57" w:rsidP="00F03A57">
            <w:pPr>
              <w:widowControl/>
              <w:spacing w:before="40" w:after="40"/>
              <w:rPr>
                <w:rFonts w:eastAsia="Calibri"/>
                <w:bCs/>
                <w:iCs/>
                <w:strike/>
                <w:noProof/>
                <w:sz w:val="22"/>
                <w:szCs w:val="22"/>
                <w:lang w:eastAsia="en-US"/>
              </w:rPr>
            </w:pPr>
          </w:p>
        </w:tc>
      </w:tr>
      <w:tr w:rsidR="00F03A57" w:rsidRPr="00AA7DF5" w14:paraId="21C77161" w14:textId="77777777" w:rsidTr="00F03A57">
        <w:trPr>
          <w:gridBefore w:val="1"/>
          <w:wBefore w:w="12" w:type="dxa"/>
          <w:cantSplit/>
          <w:tblHeader/>
          <w:jc w:val="center"/>
        </w:trPr>
        <w:tc>
          <w:tcPr>
            <w:tcW w:w="651" w:type="dxa"/>
            <w:gridSpan w:val="3"/>
            <w:vMerge/>
            <w:tcMar>
              <w:left w:w="28" w:type="dxa"/>
              <w:right w:w="28" w:type="dxa"/>
            </w:tcMar>
          </w:tcPr>
          <w:p w14:paraId="57CA920D"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1151D3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Benzo(b)fluoranteno</w:t>
            </w:r>
          </w:p>
        </w:tc>
        <w:tc>
          <w:tcPr>
            <w:tcW w:w="1329" w:type="dxa"/>
            <w:gridSpan w:val="3"/>
            <w:tcMar>
              <w:left w:w="28" w:type="dxa"/>
              <w:right w:w="28" w:type="dxa"/>
            </w:tcMar>
          </w:tcPr>
          <w:p w14:paraId="0B36C8C6"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4FC105F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205-99-2</w:t>
            </w:r>
          </w:p>
        </w:tc>
        <w:tc>
          <w:tcPr>
            <w:tcW w:w="1134" w:type="dxa"/>
          </w:tcPr>
          <w:p w14:paraId="3B0F54E9" w14:textId="77777777" w:rsidR="00F03A57" w:rsidRPr="00AA7DF5" w:rsidDel="00BD2DD7"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205-911-9</w:t>
            </w:r>
          </w:p>
        </w:tc>
        <w:tc>
          <w:tcPr>
            <w:tcW w:w="1279" w:type="dxa"/>
            <w:gridSpan w:val="2"/>
            <w:tcMar>
              <w:left w:w="28" w:type="dxa"/>
              <w:right w:w="28" w:type="dxa"/>
            </w:tcMar>
          </w:tcPr>
          <w:p w14:paraId="5639499B" w14:textId="77777777" w:rsidR="00F03A57" w:rsidRPr="00AA7DF5" w:rsidRDefault="00F03A57" w:rsidP="00F03A57">
            <w:pPr>
              <w:widowControl/>
              <w:spacing w:before="40" w:after="40"/>
              <w:rPr>
                <w:rFonts w:eastAsia="Calibri"/>
                <w:b/>
                <w:i/>
                <w:noProof/>
                <w:sz w:val="22"/>
                <w:szCs w:val="22"/>
                <w:lang w:eastAsia="en-US"/>
              </w:rPr>
            </w:pPr>
          </w:p>
        </w:tc>
        <w:tc>
          <w:tcPr>
            <w:tcW w:w="1279" w:type="dxa"/>
            <w:gridSpan w:val="2"/>
            <w:tcMar>
              <w:left w:w="28" w:type="dxa"/>
              <w:right w:w="28" w:type="dxa"/>
            </w:tcMar>
          </w:tcPr>
          <w:p w14:paraId="6EC9ACC7" w14:textId="77777777" w:rsidR="00F03A57" w:rsidRPr="00AA7DF5" w:rsidRDefault="00F03A57" w:rsidP="00F03A57">
            <w:pPr>
              <w:widowControl/>
              <w:spacing w:before="40" w:after="40"/>
              <w:rPr>
                <w:rFonts w:eastAsia="Calibri"/>
                <w:b/>
                <w:i/>
                <w:noProof/>
                <w:sz w:val="22"/>
                <w:szCs w:val="22"/>
                <w:lang w:eastAsia="en-US"/>
              </w:rPr>
            </w:pPr>
          </w:p>
        </w:tc>
        <w:tc>
          <w:tcPr>
            <w:tcW w:w="1278" w:type="dxa"/>
            <w:gridSpan w:val="2"/>
            <w:tcMar>
              <w:left w:w="28" w:type="dxa"/>
              <w:right w:w="28" w:type="dxa"/>
            </w:tcMar>
          </w:tcPr>
          <w:p w14:paraId="49F63698" w14:textId="258CEEF3"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017</w:t>
            </w:r>
          </w:p>
        </w:tc>
        <w:tc>
          <w:tcPr>
            <w:tcW w:w="1277" w:type="dxa"/>
            <w:gridSpan w:val="2"/>
            <w:tcMar>
              <w:left w:w="28" w:type="dxa"/>
              <w:right w:w="28" w:type="dxa"/>
            </w:tcMar>
          </w:tcPr>
          <w:p w14:paraId="05993911" w14:textId="228AC93F"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017</w:t>
            </w:r>
          </w:p>
        </w:tc>
        <w:tc>
          <w:tcPr>
            <w:tcW w:w="1136" w:type="dxa"/>
            <w:gridSpan w:val="2"/>
            <w:tcMar>
              <w:left w:w="28" w:type="dxa"/>
              <w:right w:w="28" w:type="dxa"/>
            </w:tcMar>
          </w:tcPr>
          <w:p w14:paraId="622EFE77" w14:textId="77777777" w:rsidR="00F03A57" w:rsidRPr="00AA7DF5" w:rsidRDefault="00F03A57" w:rsidP="00F03A57">
            <w:pPr>
              <w:widowControl/>
              <w:spacing w:before="40" w:after="40"/>
              <w:rPr>
                <w:rFonts w:eastAsia="Calibri"/>
                <w:b/>
                <w:noProof/>
                <w:sz w:val="22"/>
                <w:szCs w:val="22"/>
                <w:lang w:eastAsia="en-US"/>
              </w:rPr>
            </w:pPr>
            <w:bookmarkStart w:id="26" w:name="_DV_C338"/>
            <w:r w:rsidRPr="00AA7DF5">
              <w:rPr>
                <w:rFonts w:eastAsia="Calibri"/>
                <w:noProof/>
                <w:sz w:val="22"/>
                <w:szCs w:val="22"/>
                <w:lang w:eastAsia="en-US"/>
              </w:rPr>
              <w:t xml:space="preserve">Ver nota </w:t>
            </w:r>
            <w:bookmarkEnd w:id="26"/>
            <w:r w:rsidRPr="00AA7DF5">
              <w:rPr>
                <w:rFonts w:eastAsia="Calibri"/>
                <w:noProof/>
                <w:sz w:val="22"/>
                <w:szCs w:val="22"/>
                <w:lang w:eastAsia="en-US"/>
              </w:rPr>
              <w:t>17</w:t>
            </w:r>
          </w:p>
        </w:tc>
        <w:tc>
          <w:tcPr>
            <w:tcW w:w="1262" w:type="dxa"/>
            <w:tcMar>
              <w:left w:w="28" w:type="dxa"/>
              <w:right w:w="28" w:type="dxa"/>
            </w:tcMar>
          </w:tcPr>
          <w:p w14:paraId="3FE50B66" w14:textId="77777777" w:rsidR="00F03A57" w:rsidRPr="00AA7DF5" w:rsidRDefault="00F03A57" w:rsidP="00F03A57">
            <w:pPr>
              <w:widowControl/>
              <w:spacing w:before="40" w:after="40"/>
              <w:rPr>
                <w:rFonts w:eastAsia="Calibri"/>
                <w:iCs/>
                <w:noProof/>
                <w:sz w:val="22"/>
                <w:szCs w:val="22"/>
                <w:lang w:eastAsia="en-US"/>
              </w:rPr>
            </w:pPr>
          </w:p>
        </w:tc>
        <w:tc>
          <w:tcPr>
            <w:tcW w:w="1153" w:type="dxa"/>
            <w:gridSpan w:val="2"/>
            <w:tcMar>
              <w:left w:w="28" w:type="dxa"/>
              <w:right w:w="28" w:type="dxa"/>
            </w:tcMar>
          </w:tcPr>
          <w:p w14:paraId="50F31EAC"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19EC856D"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614BBE71" w14:textId="77777777" w:rsidTr="00F03A57">
        <w:trPr>
          <w:gridBefore w:val="1"/>
          <w:wBefore w:w="12" w:type="dxa"/>
          <w:cantSplit/>
          <w:tblHeader/>
          <w:jc w:val="center"/>
        </w:trPr>
        <w:tc>
          <w:tcPr>
            <w:tcW w:w="651" w:type="dxa"/>
            <w:gridSpan w:val="3"/>
            <w:vMerge/>
            <w:tcMar>
              <w:left w:w="28" w:type="dxa"/>
              <w:right w:w="28" w:type="dxa"/>
            </w:tcMar>
          </w:tcPr>
          <w:p w14:paraId="7B55545A"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1391F0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Benzo(k)fluoranteno</w:t>
            </w:r>
          </w:p>
        </w:tc>
        <w:tc>
          <w:tcPr>
            <w:tcW w:w="1329" w:type="dxa"/>
            <w:gridSpan w:val="3"/>
            <w:tcMar>
              <w:left w:w="28" w:type="dxa"/>
              <w:right w:w="28" w:type="dxa"/>
            </w:tcMar>
          </w:tcPr>
          <w:p w14:paraId="60CF4508"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0A9820F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207-08-9</w:t>
            </w:r>
          </w:p>
        </w:tc>
        <w:tc>
          <w:tcPr>
            <w:tcW w:w="1134" w:type="dxa"/>
          </w:tcPr>
          <w:p w14:paraId="09359480" w14:textId="77777777" w:rsidR="00F03A57" w:rsidRPr="00AA7DF5" w:rsidDel="00BD2DD7"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205-916-6</w:t>
            </w:r>
          </w:p>
        </w:tc>
        <w:tc>
          <w:tcPr>
            <w:tcW w:w="1279" w:type="dxa"/>
            <w:gridSpan w:val="2"/>
            <w:tcMar>
              <w:left w:w="28" w:type="dxa"/>
              <w:right w:w="28" w:type="dxa"/>
            </w:tcMar>
          </w:tcPr>
          <w:p w14:paraId="678EB423" w14:textId="77777777" w:rsidR="00F03A57" w:rsidRPr="00AA7DF5" w:rsidRDefault="00F03A57" w:rsidP="00F03A57">
            <w:pPr>
              <w:widowControl/>
              <w:spacing w:before="40" w:after="40"/>
              <w:rPr>
                <w:rFonts w:eastAsia="Calibri"/>
                <w:b/>
                <w:i/>
                <w:noProof/>
                <w:sz w:val="22"/>
                <w:szCs w:val="22"/>
                <w:lang w:eastAsia="en-US"/>
              </w:rPr>
            </w:pPr>
          </w:p>
        </w:tc>
        <w:tc>
          <w:tcPr>
            <w:tcW w:w="1279" w:type="dxa"/>
            <w:gridSpan w:val="2"/>
            <w:tcMar>
              <w:left w:w="28" w:type="dxa"/>
              <w:right w:w="28" w:type="dxa"/>
            </w:tcMar>
          </w:tcPr>
          <w:p w14:paraId="68A1810C" w14:textId="77777777" w:rsidR="00F03A57" w:rsidRPr="00AA7DF5" w:rsidRDefault="00F03A57" w:rsidP="00F03A57">
            <w:pPr>
              <w:widowControl/>
              <w:spacing w:before="40" w:after="40"/>
              <w:rPr>
                <w:rFonts w:eastAsia="Calibri"/>
                <w:b/>
                <w:i/>
                <w:noProof/>
                <w:sz w:val="22"/>
                <w:szCs w:val="22"/>
                <w:lang w:eastAsia="en-US"/>
              </w:rPr>
            </w:pPr>
          </w:p>
        </w:tc>
        <w:tc>
          <w:tcPr>
            <w:tcW w:w="1278" w:type="dxa"/>
            <w:gridSpan w:val="2"/>
            <w:tcMar>
              <w:left w:w="28" w:type="dxa"/>
              <w:right w:w="28" w:type="dxa"/>
            </w:tcMar>
          </w:tcPr>
          <w:p w14:paraId="16E09D80" w14:textId="619A8E8A"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017</w:t>
            </w:r>
          </w:p>
        </w:tc>
        <w:tc>
          <w:tcPr>
            <w:tcW w:w="1277" w:type="dxa"/>
            <w:gridSpan w:val="2"/>
            <w:tcMar>
              <w:left w:w="28" w:type="dxa"/>
              <w:right w:w="28" w:type="dxa"/>
            </w:tcMar>
          </w:tcPr>
          <w:p w14:paraId="4206FFCE" w14:textId="4AA17AB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017</w:t>
            </w:r>
          </w:p>
        </w:tc>
        <w:tc>
          <w:tcPr>
            <w:tcW w:w="1136" w:type="dxa"/>
            <w:gridSpan w:val="2"/>
            <w:tcMar>
              <w:left w:w="28" w:type="dxa"/>
              <w:right w:w="28" w:type="dxa"/>
            </w:tcMar>
          </w:tcPr>
          <w:p w14:paraId="2190668B" w14:textId="77777777" w:rsidR="00F03A57" w:rsidRPr="00AA7DF5" w:rsidRDefault="00F03A57" w:rsidP="00F03A57">
            <w:pPr>
              <w:widowControl/>
              <w:spacing w:before="40" w:after="40"/>
              <w:rPr>
                <w:rFonts w:eastAsia="Calibri"/>
                <w:b/>
                <w:noProof/>
                <w:sz w:val="22"/>
                <w:szCs w:val="22"/>
                <w:lang w:eastAsia="en-US"/>
              </w:rPr>
            </w:pPr>
            <w:bookmarkStart w:id="27" w:name="_DV_C341"/>
            <w:r w:rsidRPr="00AA7DF5">
              <w:rPr>
                <w:rFonts w:eastAsia="Calibri"/>
                <w:noProof/>
                <w:sz w:val="22"/>
                <w:szCs w:val="22"/>
                <w:lang w:eastAsia="en-US"/>
              </w:rPr>
              <w:t xml:space="preserve">Ver nota </w:t>
            </w:r>
            <w:bookmarkEnd w:id="27"/>
            <w:r w:rsidRPr="00AA7DF5">
              <w:rPr>
                <w:rFonts w:eastAsia="Calibri"/>
                <w:noProof/>
                <w:sz w:val="22"/>
                <w:szCs w:val="22"/>
                <w:lang w:eastAsia="en-US"/>
              </w:rPr>
              <w:t>17</w:t>
            </w:r>
          </w:p>
        </w:tc>
        <w:tc>
          <w:tcPr>
            <w:tcW w:w="1262" w:type="dxa"/>
            <w:tcMar>
              <w:left w:w="28" w:type="dxa"/>
              <w:right w:w="28" w:type="dxa"/>
            </w:tcMar>
          </w:tcPr>
          <w:p w14:paraId="3BBA9AC5" w14:textId="77777777" w:rsidR="00F03A57" w:rsidRPr="00AA7DF5" w:rsidRDefault="00F03A57" w:rsidP="00F03A57">
            <w:pPr>
              <w:widowControl/>
              <w:spacing w:before="40" w:after="40"/>
              <w:rPr>
                <w:rFonts w:eastAsia="Calibri"/>
                <w:iCs/>
                <w:noProof/>
                <w:sz w:val="22"/>
                <w:szCs w:val="22"/>
                <w:lang w:eastAsia="en-US"/>
              </w:rPr>
            </w:pPr>
          </w:p>
        </w:tc>
        <w:tc>
          <w:tcPr>
            <w:tcW w:w="1153" w:type="dxa"/>
            <w:gridSpan w:val="2"/>
            <w:tcMar>
              <w:left w:w="28" w:type="dxa"/>
              <w:right w:w="28" w:type="dxa"/>
            </w:tcMar>
          </w:tcPr>
          <w:p w14:paraId="00D03ADB"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4F6E9B61"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1A0C8F2A" w14:textId="77777777" w:rsidTr="00F03A57">
        <w:trPr>
          <w:gridBefore w:val="1"/>
          <w:wBefore w:w="12" w:type="dxa"/>
          <w:cantSplit/>
          <w:tblHeader/>
          <w:jc w:val="center"/>
        </w:trPr>
        <w:tc>
          <w:tcPr>
            <w:tcW w:w="651" w:type="dxa"/>
            <w:gridSpan w:val="3"/>
            <w:vMerge/>
            <w:tcMar>
              <w:left w:w="28" w:type="dxa"/>
              <w:right w:w="28" w:type="dxa"/>
            </w:tcMar>
          </w:tcPr>
          <w:p w14:paraId="31D5D110"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2C22EB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Benzo(g,h,i)perileno</w:t>
            </w:r>
          </w:p>
        </w:tc>
        <w:tc>
          <w:tcPr>
            <w:tcW w:w="1329" w:type="dxa"/>
            <w:gridSpan w:val="3"/>
            <w:tcMar>
              <w:left w:w="28" w:type="dxa"/>
              <w:right w:w="28" w:type="dxa"/>
            </w:tcMar>
          </w:tcPr>
          <w:p w14:paraId="1E8850B9"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6E8D7C1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191-24-2</w:t>
            </w:r>
          </w:p>
        </w:tc>
        <w:tc>
          <w:tcPr>
            <w:tcW w:w="1134" w:type="dxa"/>
          </w:tcPr>
          <w:p w14:paraId="44DE1848" w14:textId="77777777" w:rsidR="00F03A57" w:rsidRPr="00AA7DF5" w:rsidDel="00BD2DD7"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205-883-8</w:t>
            </w:r>
          </w:p>
        </w:tc>
        <w:tc>
          <w:tcPr>
            <w:tcW w:w="1279" w:type="dxa"/>
            <w:gridSpan w:val="2"/>
            <w:tcMar>
              <w:left w:w="28" w:type="dxa"/>
              <w:right w:w="28" w:type="dxa"/>
            </w:tcMar>
          </w:tcPr>
          <w:p w14:paraId="1756564E" w14:textId="77777777" w:rsidR="00F03A57" w:rsidRPr="00AA7DF5" w:rsidRDefault="00F03A57" w:rsidP="00F03A57">
            <w:pPr>
              <w:widowControl/>
              <w:spacing w:before="40" w:after="40"/>
              <w:rPr>
                <w:rFonts w:eastAsia="Calibri"/>
                <w:b/>
                <w:i/>
                <w:noProof/>
                <w:sz w:val="22"/>
                <w:szCs w:val="22"/>
                <w:lang w:eastAsia="en-US"/>
              </w:rPr>
            </w:pPr>
          </w:p>
        </w:tc>
        <w:tc>
          <w:tcPr>
            <w:tcW w:w="1279" w:type="dxa"/>
            <w:gridSpan w:val="2"/>
            <w:tcMar>
              <w:left w:w="28" w:type="dxa"/>
              <w:right w:w="28" w:type="dxa"/>
            </w:tcMar>
          </w:tcPr>
          <w:p w14:paraId="6639A123" w14:textId="77777777" w:rsidR="00F03A57" w:rsidRPr="00AA7DF5" w:rsidRDefault="00F03A57" w:rsidP="00F03A57">
            <w:pPr>
              <w:widowControl/>
              <w:spacing w:before="40" w:after="40"/>
              <w:rPr>
                <w:rFonts w:eastAsia="Calibri"/>
                <w:b/>
                <w:i/>
                <w:noProof/>
                <w:sz w:val="22"/>
                <w:szCs w:val="22"/>
                <w:lang w:eastAsia="en-US"/>
              </w:rPr>
            </w:pPr>
          </w:p>
        </w:tc>
        <w:tc>
          <w:tcPr>
            <w:tcW w:w="1278" w:type="dxa"/>
            <w:gridSpan w:val="2"/>
            <w:tcMar>
              <w:left w:w="28" w:type="dxa"/>
              <w:right w:w="28" w:type="dxa"/>
            </w:tcMar>
          </w:tcPr>
          <w:p w14:paraId="4BE79B66"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8,2 × 10</w:t>
            </w:r>
            <w:r w:rsidRPr="00AA7DF5">
              <w:rPr>
                <w:rFonts w:eastAsia="Calibri"/>
                <w:noProof/>
                <w:sz w:val="22"/>
                <w:szCs w:val="22"/>
                <w:vertAlign w:val="superscript"/>
                <w:lang w:eastAsia="en-US"/>
              </w:rPr>
              <w:t>-3</w:t>
            </w:r>
          </w:p>
        </w:tc>
        <w:tc>
          <w:tcPr>
            <w:tcW w:w="1277" w:type="dxa"/>
            <w:gridSpan w:val="2"/>
            <w:tcMar>
              <w:left w:w="28" w:type="dxa"/>
              <w:right w:w="28" w:type="dxa"/>
            </w:tcMar>
          </w:tcPr>
          <w:p w14:paraId="0F41702C"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8,2 × 10</w:t>
            </w:r>
            <w:r w:rsidRPr="00AA7DF5">
              <w:rPr>
                <w:rFonts w:eastAsia="Calibri"/>
                <w:noProof/>
                <w:sz w:val="22"/>
                <w:szCs w:val="22"/>
                <w:vertAlign w:val="superscript"/>
                <w:lang w:eastAsia="en-US"/>
              </w:rPr>
              <w:t>-4</w:t>
            </w:r>
          </w:p>
        </w:tc>
        <w:tc>
          <w:tcPr>
            <w:tcW w:w="1136" w:type="dxa"/>
            <w:gridSpan w:val="2"/>
            <w:tcMar>
              <w:left w:w="28" w:type="dxa"/>
              <w:right w:w="28" w:type="dxa"/>
            </w:tcMar>
          </w:tcPr>
          <w:p w14:paraId="5C7912D6" w14:textId="77777777" w:rsidR="00F03A57" w:rsidRPr="00AA7DF5" w:rsidRDefault="00F03A57" w:rsidP="00F03A57">
            <w:pPr>
              <w:widowControl/>
              <w:spacing w:before="40" w:after="40"/>
              <w:rPr>
                <w:rFonts w:eastAsia="Calibri"/>
                <w:b/>
                <w:noProof/>
                <w:sz w:val="22"/>
                <w:szCs w:val="22"/>
                <w:lang w:eastAsia="en-US"/>
              </w:rPr>
            </w:pPr>
            <w:bookmarkStart w:id="28" w:name="_DV_C344"/>
            <w:r w:rsidRPr="00AA7DF5">
              <w:rPr>
                <w:rFonts w:eastAsia="Calibri"/>
                <w:noProof/>
                <w:sz w:val="22"/>
                <w:szCs w:val="22"/>
                <w:lang w:eastAsia="en-US"/>
              </w:rPr>
              <w:t xml:space="preserve">Ver nota </w:t>
            </w:r>
            <w:bookmarkEnd w:id="28"/>
            <w:r w:rsidRPr="00AA7DF5">
              <w:rPr>
                <w:rFonts w:eastAsia="Calibri"/>
                <w:noProof/>
                <w:sz w:val="22"/>
                <w:szCs w:val="22"/>
                <w:lang w:eastAsia="en-US"/>
              </w:rPr>
              <w:t>17</w:t>
            </w:r>
          </w:p>
        </w:tc>
        <w:tc>
          <w:tcPr>
            <w:tcW w:w="1262" w:type="dxa"/>
            <w:tcMar>
              <w:left w:w="28" w:type="dxa"/>
              <w:right w:w="28" w:type="dxa"/>
            </w:tcMar>
          </w:tcPr>
          <w:p w14:paraId="2BD48731" w14:textId="77777777" w:rsidR="00F03A57" w:rsidRPr="00AA7DF5" w:rsidRDefault="00F03A57" w:rsidP="00F03A57">
            <w:pPr>
              <w:widowControl/>
              <w:spacing w:before="40" w:after="40"/>
              <w:rPr>
                <w:rFonts w:eastAsia="Calibri"/>
                <w:iCs/>
                <w:noProof/>
                <w:sz w:val="22"/>
                <w:szCs w:val="22"/>
                <w:lang w:eastAsia="en-US"/>
              </w:rPr>
            </w:pPr>
          </w:p>
        </w:tc>
        <w:tc>
          <w:tcPr>
            <w:tcW w:w="1153" w:type="dxa"/>
            <w:gridSpan w:val="2"/>
            <w:tcMar>
              <w:left w:w="28" w:type="dxa"/>
              <w:right w:w="28" w:type="dxa"/>
            </w:tcMar>
          </w:tcPr>
          <w:p w14:paraId="1353286A"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7842142A"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4792B62F" w14:textId="77777777" w:rsidTr="00F03A57">
        <w:trPr>
          <w:gridBefore w:val="1"/>
          <w:wBefore w:w="12" w:type="dxa"/>
          <w:cantSplit/>
          <w:tblHeader/>
          <w:jc w:val="center"/>
        </w:trPr>
        <w:tc>
          <w:tcPr>
            <w:tcW w:w="651" w:type="dxa"/>
            <w:gridSpan w:val="3"/>
            <w:vMerge/>
            <w:tcMar>
              <w:left w:w="28" w:type="dxa"/>
              <w:right w:w="28" w:type="dxa"/>
            </w:tcMar>
          </w:tcPr>
          <w:p w14:paraId="6EDCF421"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2D8E86D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Indeno(1,2,3-cd)pireno</w:t>
            </w:r>
          </w:p>
        </w:tc>
        <w:tc>
          <w:tcPr>
            <w:tcW w:w="1329" w:type="dxa"/>
            <w:gridSpan w:val="3"/>
            <w:tcMar>
              <w:left w:w="28" w:type="dxa"/>
              <w:right w:w="28" w:type="dxa"/>
            </w:tcMar>
          </w:tcPr>
          <w:p w14:paraId="4FD76222"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14DC9A8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193-39-5</w:t>
            </w:r>
          </w:p>
        </w:tc>
        <w:tc>
          <w:tcPr>
            <w:tcW w:w="1134" w:type="dxa"/>
          </w:tcPr>
          <w:p w14:paraId="6E200CC5" w14:textId="77777777" w:rsidR="00F03A57" w:rsidRPr="00AA7DF5" w:rsidDel="00BD2DD7"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205-893-2</w:t>
            </w:r>
          </w:p>
        </w:tc>
        <w:tc>
          <w:tcPr>
            <w:tcW w:w="1279" w:type="dxa"/>
            <w:gridSpan w:val="2"/>
            <w:tcMar>
              <w:left w:w="28" w:type="dxa"/>
              <w:right w:w="28" w:type="dxa"/>
            </w:tcMar>
          </w:tcPr>
          <w:p w14:paraId="5E96CD76" w14:textId="77777777" w:rsidR="00F03A57" w:rsidRPr="00AA7DF5" w:rsidRDefault="00F03A57" w:rsidP="00F03A57">
            <w:pPr>
              <w:widowControl/>
              <w:spacing w:before="40" w:after="40"/>
              <w:rPr>
                <w:rFonts w:eastAsia="Calibri"/>
                <w:b/>
                <w:i/>
                <w:noProof/>
                <w:sz w:val="22"/>
                <w:szCs w:val="22"/>
                <w:lang w:eastAsia="en-US"/>
              </w:rPr>
            </w:pPr>
          </w:p>
        </w:tc>
        <w:tc>
          <w:tcPr>
            <w:tcW w:w="1279" w:type="dxa"/>
            <w:gridSpan w:val="2"/>
            <w:tcMar>
              <w:left w:w="28" w:type="dxa"/>
              <w:right w:w="28" w:type="dxa"/>
            </w:tcMar>
          </w:tcPr>
          <w:p w14:paraId="5A551749" w14:textId="77777777" w:rsidR="00F03A57" w:rsidRPr="00AA7DF5" w:rsidRDefault="00F03A57" w:rsidP="00F03A57">
            <w:pPr>
              <w:widowControl/>
              <w:spacing w:before="40" w:after="40"/>
              <w:rPr>
                <w:rFonts w:eastAsia="Calibri"/>
                <w:b/>
                <w:i/>
                <w:noProof/>
                <w:sz w:val="22"/>
                <w:szCs w:val="22"/>
                <w:lang w:eastAsia="en-US"/>
              </w:rPr>
            </w:pPr>
          </w:p>
        </w:tc>
        <w:tc>
          <w:tcPr>
            <w:tcW w:w="1278" w:type="dxa"/>
            <w:gridSpan w:val="2"/>
            <w:tcMar>
              <w:left w:w="28" w:type="dxa"/>
              <w:right w:w="28" w:type="dxa"/>
            </w:tcMar>
          </w:tcPr>
          <w:p w14:paraId="0D6B292F" w14:textId="77777777" w:rsidR="00F03A57" w:rsidRPr="00AA7DF5" w:rsidRDefault="00F03A57" w:rsidP="00F03A57">
            <w:pPr>
              <w:widowControl/>
              <w:spacing w:before="40" w:after="40"/>
              <w:rPr>
                <w:rFonts w:eastAsia="Calibri"/>
                <w:b/>
                <w:i/>
                <w:noProof/>
                <w:sz w:val="22"/>
                <w:szCs w:val="22"/>
                <w:lang w:eastAsia="en-US"/>
              </w:rPr>
            </w:pPr>
            <w:bookmarkStart w:id="29" w:name="_DV_C347"/>
            <w:r w:rsidRPr="00AA7DF5">
              <w:rPr>
                <w:rFonts w:eastAsia="Calibri"/>
                <w:noProof/>
                <w:sz w:val="22"/>
                <w:szCs w:val="22"/>
                <w:lang w:eastAsia="en-US"/>
              </w:rPr>
              <w:t>não aplicável</w:t>
            </w:r>
            <w:bookmarkEnd w:id="29"/>
          </w:p>
        </w:tc>
        <w:tc>
          <w:tcPr>
            <w:tcW w:w="1277" w:type="dxa"/>
            <w:gridSpan w:val="2"/>
            <w:tcMar>
              <w:left w:w="28" w:type="dxa"/>
              <w:right w:w="28" w:type="dxa"/>
            </w:tcMar>
          </w:tcPr>
          <w:p w14:paraId="6317A57F" w14:textId="77777777" w:rsidR="00F03A57" w:rsidRPr="00AA7DF5" w:rsidRDefault="00F03A57" w:rsidP="00F03A57">
            <w:pPr>
              <w:widowControl/>
              <w:spacing w:before="40" w:after="40"/>
              <w:rPr>
                <w:rFonts w:eastAsia="Calibri"/>
                <w:b/>
                <w:i/>
                <w:noProof/>
                <w:sz w:val="22"/>
                <w:szCs w:val="22"/>
                <w:lang w:eastAsia="en-US"/>
              </w:rPr>
            </w:pPr>
            <w:bookmarkStart w:id="30" w:name="_DV_C348"/>
            <w:r w:rsidRPr="00AA7DF5">
              <w:rPr>
                <w:rFonts w:eastAsia="Calibri"/>
                <w:noProof/>
                <w:sz w:val="22"/>
                <w:szCs w:val="22"/>
                <w:lang w:eastAsia="en-US"/>
              </w:rPr>
              <w:t>não aplicável</w:t>
            </w:r>
            <w:bookmarkEnd w:id="30"/>
          </w:p>
        </w:tc>
        <w:tc>
          <w:tcPr>
            <w:tcW w:w="1136" w:type="dxa"/>
            <w:gridSpan w:val="2"/>
            <w:tcMar>
              <w:left w:w="28" w:type="dxa"/>
              <w:right w:w="28" w:type="dxa"/>
            </w:tcMar>
          </w:tcPr>
          <w:p w14:paraId="1D34E689" w14:textId="77777777" w:rsidR="00F03A57" w:rsidRPr="00AA7DF5" w:rsidRDefault="00F03A57" w:rsidP="00F03A57">
            <w:pPr>
              <w:widowControl/>
              <w:spacing w:before="40" w:after="40"/>
              <w:rPr>
                <w:rFonts w:eastAsia="Calibri"/>
                <w:b/>
                <w:noProof/>
                <w:sz w:val="22"/>
                <w:szCs w:val="22"/>
                <w:lang w:eastAsia="en-US"/>
              </w:rPr>
            </w:pPr>
            <w:bookmarkStart w:id="31" w:name="_DV_C349"/>
            <w:r w:rsidRPr="00AA7DF5">
              <w:rPr>
                <w:rFonts w:eastAsia="Calibri"/>
                <w:noProof/>
                <w:sz w:val="22"/>
                <w:szCs w:val="22"/>
                <w:lang w:eastAsia="en-US"/>
              </w:rPr>
              <w:t xml:space="preserve">Ver nota </w:t>
            </w:r>
            <w:bookmarkEnd w:id="31"/>
            <w:r w:rsidRPr="00AA7DF5">
              <w:rPr>
                <w:rFonts w:eastAsia="Calibri"/>
                <w:noProof/>
                <w:sz w:val="22"/>
                <w:szCs w:val="22"/>
                <w:lang w:eastAsia="en-US"/>
              </w:rPr>
              <w:t>17</w:t>
            </w:r>
          </w:p>
        </w:tc>
        <w:tc>
          <w:tcPr>
            <w:tcW w:w="1262" w:type="dxa"/>
            <w:tcMar>
              <w:left w:w="28" w:type="dxa"/>
              <w:right w:w="28" w:type="dxa"/>
            </w:tcMar>
          </w:tcPr>
          <w:p w14:paraId="117CD0BE" w14:textId="77777777" w:rsidR="00F03A57" w:rsidRPr="00AA7DF5" w:rsidRDefault="00F03A57" w:rsidP="00F03A57">
            <w:pPr>
              <w:widowControl/>
              <w:spacing w:before="40" w:after="40"/>
              <w:rPr>
                <w:rFonts w:eastAsia="Calibri"/>
                <w:iCs/>
                <w:noProof/>
                <w:sz w:val="22"/>
                <w:szCs w:val="22"/>
                <w:lang w:eastAsia="en-US"/>
              </w:rPr>
            </w:pPr>
          </w:p>
        </w:tc>
        <w:tc>
          <w:tcPr>
            <w:tcW w:w="1153" w:type="dxa"/>
            <w:gridSpan w:val="2"/>
            <w:tcMar>
              <w:left w:w="28" w:type="dxa"/>
              <w:right w:w="28" w:type="dxa"/>
            </w:tcMar>
          </w:tcPr>
          <w:p w14:paraId="7C60BA9F"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25E46F68"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75810759" w14:textId="77777777" w:rsidTr="00F03A57">
        <w:trPr>
          <w:gridBefore w:val="1"/>
          <w:wBefore w:w="12" w:type="dxa"/>
          <w:cantSplit/>
          <w:tblHeader/>
          <w:jc w:val="center"/>
        </w:trPr>
        <w:tc>
          <w:tcPr>
            <w:tcW w:w="651" w:type="dxa"/>
            <w:gridSpan w:val="3"/>
            <w:vMerge/>
            <w:tcMar>
              <w:left w:w="28" w:type="dxa"/>
              <w:right w:w="28" w:type="dxa"/>
            </w:tcMar>
          </w:tcPr>
          <w:p w14:paraId="6263F4E6" w14:textId="77777777" w:rsidR="00F03A57" w:rsidRPr="00AA7DF5" w:rsidRDefault="00F03A57" w:rsidP="00F03A57">
            <w:pPr>
              <w:widowControl/>
              <w:spacing w:before="40" w:after="40"/>
              <w:jc w:val="both"/>
              <w:rPr>
                <w:rFonts w:eastAsia="Calibri"/>
                <w:noProof/>
                <w:sz w:val="22"/>
                <w:szCs w:val="22"/>
                <w:lang w:eastAsia="en-US"/>
              </w:rPr>
            </w:pPr>
            <w:bookmarkStart w:id="32" w:name="_Hlk115700632"/>
          </w:p>
        </w:tc>
        <w:tc>
          <w:tcPr>
            <w:tcW w:w="2286" w:type="dxa"/>
            <w:gridSpan w:val="3"/>
            <w:tcMar>
              <w:left w:w="28" w:type="dxa"/>
              <w:right w:w="28" w:type="dxa"/>
            </w:tcMar>
          </w:tcPr>
          <w:p w14:paraId="2FB714D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Criseno</w:t>
            </w:r>
          </w:p>
        </w:tc>
        <w:tc>
          <w:tcPr>
            <w:tcW w:w="1329" w:type="dxa"/>
            <w:gridSpan w:val="3"/>
            <w:tcMar>
              <w:left w:w="28" w:type="dxa"/>
              <w:right w:w="28" w:type="dxa"/>
            </w:tcMar>
          </w:tcPr>
          <w:p w14:paraId="1DA83F0C"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5A87844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218-01-9</w:t>
            </w:r>
          </w:p>
        </w:tc>
        <w:tc>
          <w:tcPr>
            <w:tcW w:w="1134" w:type="dxa"/>
          </w:tcPr>
          <w:p w14:paraId="1BE983BD"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205-923-4</w:t>
            </w:r>
          </w:p>
        </w:tc>
        <w:tc>
          <w:tcPr>
            <w:tcW w:w="1279" w:type="dxa"/>
            <w:gridSpan w:val="2"/>
            <w:tcMar>
              <w:left w:w="28" w:type="dxa"/>
              <w:right w:w="28" w:type="dxa"/>
            </w:tcMar>
          </w:tcPr>
          <w:p w14:paraId="686FA022" w14:textId="77777777" w:rsidR="00F03A57" w:rsidRPr="00AA7DF5" w:rsidRDefault="00F03A57" w:rsidP="00F03A57">
            <w:pPr>
              <w:widowControl/>
              <w:spacing w:before="40" w:after="40"/>
              <w:rPr>
                <w:rFonts w:eastAsia="Calibri"/>
                <w:i/>
                <w:iCs/>
                <w:noProof/>
                <w:sz w:val="22"/>
                <w:szCs w:val="22"/>
                <w:lang w:eastAsia="en-US"/>
              </w:rPr>
            </w:pPr>
          </w:p>
        </w:tc>
        <w:tc>
          <w:tcPr>
            <w:tcW w:w="1279" w:type="dxa"/>
            <w:gridSpan w:val="2"/>
            <w:tcMar>
              <w:left w:w="28" w:type="dxa"/>
              <w:right w:w="28" w:type="dxa"/>
            </w:tcMar>
          </w:tcPr>
          <w:p w14:paraId="1D5F1437" w14:textId="77777777" w:rsidR="00F03A57" w:rsidRPr="00AA7DF5" w:rsidRDefault="00F03A57" w:rsidP="00F03A57">
            <w:pPr>
              <w:widowControl/>
              <w:spacing w:before="40" w:after="40"/>
              <w:rPr>
                <w:rFonts w:eastAsia="Calibri"/>
                <w:i/>
                <w:iCs/>
                <w:noProof/>
                <w:sz w:val="22"/>
                <w:szCs w:val="22"/>
                <w:lang w:eastAsia="en-US"/>
              </w:rPr>
            </w:pPr>
          </w:p>
        </w:tc>
        <w:tc>
          <w:tcPr>
            <w:tcW w:w="1278" w:type="dxa"/>
            <w:gridSpan w:val="2"/>
            <w:tcMar>
              <w:left w:w="28" w:type="dxa"/>
              <w:right w:w="28" w:type="dxa"/>
            </w:tcMar>
          </w:tcPr>
          <w:p w14:paraId="63974FFB"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0,07</w:t>
            </w:r>
          </w:p>
        </w:tc>
        <w:tc>
          <w:tcPr>
            <w:tcW w:w="1277" w:type="dxa"/>
            <w:gridSpan w:val="2"/>
            <w:tcMar>
              <w:left w:w="28" w:type="dxa"/>
              <w:right w:w="28" w:type="dxa"/>
            </w:tcMar>
          </w:tcPr>
          <w:p w14:paraId="3EE42D65" w14:textId="477B04A9"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007</w:t>
            </w:r>
          </w:p>
        </w:tc>
        <w:tc>
          <w:tcPr>
            <w:tcW w:w="1136" w:type="dxa"/>
            <w:gridSpan w:val="2"/>
            <w:tcMar>
              <w:left w:w="28" w:type="dxa"/>
              <w:right w:w="28" w:type="dxa"/>
            </w:tcMar>
          </w:tcPr>
          <w:p w14:paraId="52AE5408"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Ver nota 17</w:t>
            </w:r>
          </w:p>
        </w:tc>
        <w:tc>
          <w:tcPr>
            <w:tcW w:w="1262" w:type="dxa"/>
            <w:tcMar>
              <w:left w:w="28" w:type="dxa"/>
              <w:right w:w="28" w:type="dxa"/>
            </w:tcMar>
          </w:tcPr>
          <w:p w14:paraId="04DA96AB" w14:textId="77777777" w:rsidR="00F03A57" w:rsidRPr="00AA7DF5" w:rsidRDefault="00F03A57" w:rsidP="00F03A57">
            <w:pPr>
              <w:widowControl/>
              <w:spacing w:before="40" w:after="40"/>
              <w:rPr>
                <w:rFonts w:eastAsia="Calibri"/>
                <w:i/>
                <w:iCs/>
                <w:noProof/>
                <w:sz w:val="22"/>
                <w:szCs w:val="22"/>
                <w:lang w:eastAsia="en-US"/>
              </w:rPr>
            </w:pPr>
          </w:p>
        </w:tc>
        <w:tc>
          <w:tcPr>
            <w:tcW w:w="1153" w:type="dxa"/>
            <w:gridSpan w:val="2"/>
            <w:tcMar>
              <w:left w:w="28" w:type="dxa"/>
              <w:right w:w="28" w:type="dxa"/>
            </w:tcMar>
          </w:tcPr>
          <w:p w14:paraId="50D2D6D7"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4388E333"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27600971" w14:textId="77777777" w:rsidTr="00F03A57">
        <w:trPr>
          <w:gridBefore w:val="1"/>
          <w:wBefore w:w="12" w:type="dxa"/>
          <w:cantSplit/>
          <w:tblHeader/>
          <w:jc w:val="center"/>
        </w:trPr>
        <w:tc>
          <w:tcPr>
            <w:tcW w:w="651" w:type="dxa"/>
            <w:gridSpan w:val="3"/>
            <w:vMerge/>
            <w:tcMar>
              <w:left w:w="28" w:type="dxa"/>
              <w:right w:w="28" w:type="dxa"/>
            </w:tcMar>
          </w:tcPr>
          <w:p w14:paraId="7203C9C8"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1660DF9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Benzo(a)antraceno</w:t>
            </w:r>
          </w:p>
        </w:tc>
        <w:tc>
          <w:tcPr>
            <w:tcW w:w="1329" w:type="dxa"/>
            <w:gridSpan w:val="3"/>
            <w:vMerge w:val="restart"/>
            <w:tcMar>
              <w:left w:w="28" w:type="dxa"/>
              <w:right w:w="28" w:type="dxa"/>
            </w:tcMar>
          </w:tcPr>
          <w:p w14:paraId="1D6E66EB"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2F6F0EA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56-55-3</w:t>
            </w:r>
          </w:p>
        </w:tc>
        <w:tc>
          <w:tcPr>
            <w:tcW w:w="1134" w:type="dxa"/>
          </w:tcPr>
          <w:p w14:paraId="5291E8DF"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200-280-6</w:t>
            </w:r>
          </w:p>
        </w:tc>
        <w:tc>
          <w:tcPr>
            <w:tcW w:w="1279" w:type="dxa"/>
            <w:gridSpan w:val="2"/>
            <w:tcMar>
              <w:left w:w="28" w:type="dxa"/>
              <w:right w:w="28" w:type="dxa"/>
            </w:tcMar>
          </w:tcPr>
          <w:p w14:paraId="429F8270" w14:textId="77777777" w:rsidR="00F03A57" w:rsidRPr="00AA7DF5" w:rsidRDefault="00F03A57" w:rsidP="00F03A57">
            <w:pPr>
              <w:widowControl/>
              <w:spacing w:before="40" w:after="40"/>
              <w:rPr>
                <w:rFonts w:eastAsia="Calibri"/>
                <w:i/>
                <w:iCs/>
                <w:noProof/>
                <w:sz w:val="22"/>
                <w:szCs w:val="22"/>
                <w:lang w:eastAsia="en-US"/>
              </w:rPr>
            </w:pPr>
          </w:p>
        </w:tc>
        <w:tc>
          <w:tcPr>
            <w:tcW w:w="1279" w:type="dxa"/>
            <w:gridSpan w:val="2"/>
            <w:tcMar>
              <w:left w:w="28" w:type="dxa"/>
              <w:right w:w="28" w:type="dxa"/>
            </w:tcMar>
          </w:tcPr>
          <w:p w14:paraId="7C5BCAD7" w14:textId="77777777" w:rsidR="00F03A57" w:rsidRPr="00AA7DF5" w:rsidRDefault="00F03A57" w:rsidP="00F03A57">
            <w:pPr>
              <w:widowControl/>
              <w:spacing w:before="40" w:after="40"/>
              <w:rPr>
                <w:rFonts w:eastAsia="Calibri"/>
                <w:i/>
                <w:iCs/>
                <w:noProof/>
                <w:sz w:val="22"/>
                <w:szCs w:val="22"/>
                <w:lang w:eastAsia="en-US"/>
              </w:rPr>
            </w:pPr>
          </w:p>
        </w:tc>
        <w:tc>
          <w:tcPr>
            <w:tcW w:w="1278" w:type="dxa"/>
            <w:gridSpan w:val="2"/>
            <w:tcMar>
              <w:left w:w="28" w:type="dxa"/>
              <w:right w:w="28" w:type="dxa"/>
            </w:tcMar>
          </w:tcPr>
          <w:p w14:paraId="6881973C"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0,1</w:t>
            </w:r>
          </w:p>
        </w:tc>
        <w:tc>
          <w:tcPr>
            <w:tcW w:w="1277" w:type="dxa"/>
            <w:gridSpan w:val="2"/>
            <w:tcMar>
              <w:left w:w="28" w:type="dxa"/>
              <w:right w:w="28" w:type="dxa"/>
            </w:tcMar>
          </w:tcPr>
          <w:p w14:paraId="4E93BFD3"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0,01</w:t>
            </w:r>
          </w:p>
        </w:tc>
        <w:tc>
          <w:tcPr>
            <w:tcW w:w="1136" w:type="dxa"/>
            <w:gridSpan w:val="2"/>
            <w:tcMar>
              <w:left w:w="28" w:type="dxa"/>
              <w:right w:w="28" w:type="dxa"/>
            </w:tcMar>
          </w:tcPr>
          <w:p w14:paraId="1532D221"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Ver nota 17</w:t>
            </w:r>
          </w:p>
        </w:tc>
        <w:tc>
          <w:tcPr>
            <w:tcW w:w="1262" w:type="dxa"/>
            <w:tcMar>
              <w:left w:w="28" w:type="dxa"/>
              <w:right w:w="28" w:type="dxa"/>
            </w:tcMar>
          </w:tcPr>
          <w:p w14:paraId="59B3F29C" w14:textId="77777777" w:rsidR="00F03A57" w:rsidRPr="00AA7DF5" w:rsidRDefault="00F03A57" w:rsidP="00F03A57">
            <w:pPr>
              <w:widowControl/>
              <w:spacing w:before="40" w:after="40"/>
              <w:rPr>
                <w:rFonts w:eastAsia="Calibri"/>
                <w:i/>
                <w:iCs/>
                <w:noProof/>
                <w:sz w:val="22"/>
                <w:szCs w:val="22"/>
                <w:lang w:eastAsia="en-US"/>
              </w:rPr>
            </w:pPr>
          </w:p>
        </w:tc>
        <w:tc>
          <w:tcPr>
            <w:tcW w:w="1153" w:type="dxa"/>
            <w:gridSpan w:val="2"/>
            <w:tcMar>
              <w:left w:w="28" w:type="dxa"/>
              <w:right w:w="28" w:type="dxa"/>
            </w:tcMar>
          </w:tcPr>
          <w:p w14:paraId="676F3478"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303CCBB7"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49D00DDD" w14:textId="77777777" w:rsidTr="00F03A57">
        <w:trPr>
          <w:gridBefore w:val="1"/>
          <w:wBefore w:w="12" w:type="dxa"/>
          <w:cantSplit/>
          <w:tblHeader/>
          <w:jc w:val="center"/>
        </w:trPr>
        <w:tc>
          <w:tcPr>
            <w:tcW w:w="651" w:type="dxa"/>
            <w:gridSpan w:val="3"/>
            <w:vMerge/>
            <w:tcMar>
              <w:left w:w="28" w:type="dxa"/>
              <w:right w:w="28" w:type="dxa"/>
            </w:tcMar>
          </w:tcPr>
          <w:p w14:paraId="2A57055A" w14:textId="77777777" w:rsidR="00F03A57" w:rsidRPr="00AA7DF5" w:rsidRDefault="00F03A57" w:rsidP="00F03A57">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6775043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Dibenzo(a,h)antraceno</w:t>
            </w:r>
          </w:p>
        </w:tc>
        <w:tc>
          <w:tcPr>
            <w:tcW w:w="1329" w:type="dxa"/>
            <w:gridSpan w:val="3"/>
            <w:vMerge/>
            <w:tcMar>
              <w:left w:w="28" w:type="dxa"/>
              <w:right w:w="28" w:type="dxa"/>
            </w:tcMar>
          </w:tcPr>
          <w:p w14:paraId="0F30A15B" w14:textId="77777777" w:rsidR="00F03A57" w:rsidRPr="00AA7DF5" w:rsidRDefault="00F03A57" w:rsidP="00F03A57">
            <w:pPr>
              <w:widowControl/>
              <w:spacing w:before="40" w:after="40"/>
              <w:rPr>
                <w:rFonts w:eastAsia="Calibri"/>
                <w:noProof/>
                <w:sz w:val="22"/>
                <w:szCs w:val="22"/>
                <w:lang w:eastAsia="en-US"/>
              </w:rPr>
            </w:pPr>
          </w:p>
        </w:tc>
        <w:tc>
          <w:tcPr>
            <w:tcW w:w="992" w:type="dxa"/>
            <w:gridSpan w:val="2"/>
            <w:tcMar>
              <w:left w:w="28" w:type="dxa"/>
              <w:right w:w="28" w:type="dxa"/>
            </w:tcMar>
          </w:tcPr>
          <w:p w14:paraId="57AAE9F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53-70-3</w:t>
            </w:r>
          </w:p>
        </w:tc>
        <w:tc>
          <w:tcPr>
            <w:tcW w:w="1134" w:type="dxa"/>
          </w:tcPr>
          <w:p w14:paraId="52DD79C6"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200-181-8</w:t>
            </w:r>
          </w:p>
        </w:tc>
        <w:tc>
          <w:tcPr>
            <w:tcW w:w="1279" w:type="dxa"/>
            <w:gridSpan w:val="2"/>
            <w:tcMar>
              <w:left w:w="28" w:type="dxa"/>
              <w:right w:w="28" w:type="dxa"/>
            </w:tcMar>
          </w:tcPr>
          <w:p w14:paraId="159575C0" w14:textId="77777777" w:rsidR="00F03A57" w:rsidRPr="00AA7DF5" w:rsidRDefault="00F03A57" w:rsidP="00F03A57">
            <w:pPr>
              <w:widowControl/>
              <w:spacing w:before="40" w:after="40"/>
              <w:rPr>
                <w:rFonts w:eastAsia="Calibri"/>
                <w:i/>
                <w:iCs/>
                <w:noProof/>
                <w:sz w:val="22"/>
                <w:szCs w:val="22"/>
                <w:lang w:eastAsia="en-US"/>
              </w:rPr>
            </w:pPr>
          </w:p>
        </w:tc>
        <w:tc>
          <w:tcPr>
            <w:tcW w:w="1279" w:type="dxa"/>
            <w:gridSpan w:val="2"/>
            <w:tcMar>
              <w:left w:w="28" w:type="dxa"/>
              <w:right w:w="28" w:type="dxa"/>
            </w:tcMar>
          </w:tcPr>
          <w:p w14:paraId="21D311E8" w14:textId="77777777" w:rsidR="00F03A57" w:rsidRPr="00AA7DF5" w:rsidRDefault="00F03A57" w:rsidP="00F03A57">
            <w:pPr>
              <w:widowControl/>
              <w:spacing w:before="40" w:after="40"/>
              <w:rPr>
                <w:rFonts w:eastAsia="Calibri"/>
                <w:i/>
                <w:iCs/>
                <w:noProof/>
                <w:sz w:val="22"/>
                <w:szCs w:val="22"/>
                <w:lang w:eastAsia="en-US"/>
              </w:rPr>
            </w:pPr>
          </w:p>
        </w:tc>
        <w:tc>
          <w:tcPr>
            <w:tcW w:w="1278" w:type="dxa"/>
            <w:gridSpan w:val="2"/>
            <w:tcMar>
              <w:left w:w="28" w:type="dxa"/>
              <w:right w:w="28" w:type="dxa"/>
            </w:tcMar>
          </w:tcPr>
          <w:p w14:paraId="3962ABE0" w14:textId="11C19A3D"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014</w:t>
            </w:r>
          </w:p>
        </w:tc>
        <w:tc>
          <w:tcPr>
            <w:tcW w:w="1277" w:type="dxa"/>
            <w:gridSpan w:val="2"/>
            <w:tcMar>
              <w:left w:w="28" w:type="dxa"/>
              <w:right w:w="28" w:type="dxa"/>
            </w:tcMar>
          </w:tcPr>
          <w:p w14:paraId="19688BDD"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0,0014</w:t>
            </w:r>
          </w:p>
        </w:tc>
        <w:tc>
          <w:tcPr>
            <w:tcW w:w="1136" w:type="dxa"/>
            <w:gridSpan w:val="2"/>
            <w:tcMar>
              <w:left w:w="28" w:type="dxa"/>
              <w:right w:w="28" w:type="dxa"/>
            </w:tcMar>
          </w:tcPr>
          <w:p w14:paraId="5ACA6ECE" w14:textId="77777777" w:rsidR="00F03A57" w:rsidRPr="00AA7DF5" w:rsidRDefault="00F03A57" w:rsidP="00F03A57">
            <w:pPr>
              <w:widowControl/>
              <w:spacing w:before="40" w:after="40"/>
              <w:rPr>
                <w:rFonts w:eastAsia="Calibri"/>
                <w:iCs/>
                <w:noProof/>
                <w:sz w:val="22"/>
                <w:szCs w:val="22"/>
                <w:lang w:eastAsia="en-US"/>
              </w:rPr>
            </w:pPr>
            <w:r w:rsidRPr="00AA7DF5">
              <w:rPr>
                <w:rFonts w:eastAsia="Calibri"/>
                <w:noProof/>
                <w:sz w:val="22"/>
                <w:szCs w:val="22"/>
                <w:lang w:eastAsia="en-US"/>
              </w:rPr>
              <w:t>Ver nota 17</w:t>
            </w:r>
          </w:p>
        </w:tc>
        <w:tc>
          <w:tcPr>
            <w:tcW w:w="1262" w:type="dxa"/>
            <w:tcMar>
              <w:left w:w="28" w:type="dxa"/>
              <w:right w:w="28" w:type="dxa"/>
            </w:tcMar>
          </w:tcPr>
          <w:p w14:paraId="2309C6A7" w14:textId="77777777" w:rsidR="00F03A57" w:rsidRPr="00AA7DF5" w:rsidRDefault="00F03A57" w:rsidP="00F03A57">
            <w:pPr>
              <w:widowControl/>
              <w:spacing w:before="40" w:after="40"/>
              <w:rPr>
                <w:rFonts w:eastAsia="Calibri"/>
                <w:i/>
                <w:iCs/>
                <w:noProof/>
                <w:sz w:val="22"/>
                <w:szCs w:val="22"/>
                <w:lang w:eastAsia="en-US"/>
              </w:rPr>
            </w:pPr>
          </w:p>
        </w:tc>
        <w:tc>
          <w:tcPr>
            <w:tcW w:w="1153" w:type="dxa"/>
            <w:gridSpan w:val="2"/>
            <w:tcMar>
              <w:left w:w="28" w:type="dxa"/>
              <w:right w:w="28" w:type="dxa"/>
            </w:tcMar>
          </w:tcPr>
          <w:p w14:paraId="4916CB23" w14:textId="77777777" w:rsidR="00F03A57" w:rsidRPr="00AA7DF5" w:rsidRDefault="00F03A57" w:rsidP="00F03A57">
            <w:pPr>
              <w:widowControl/>
              <w:spacing w:before="40" w:after="40"/>
              <w:rPr>
                <w:rFonts w:eastAsia="Calibri"/>
                <w:i/>
                <w:iCs/>
                <w:noProof/>
                <w:sz w:val="22"/>
                <w:szCs w:val="22"/>
                <w:lang w:eastAsia="en-US"/>
              </w:rPr>
            </w:pPr>
          </w:p>
        </w:tc>
        <w:tc>
          <w:tcPr>
            <w:tcW w:w="970" w:type="dxa"/>
            <w:tcMar>
              <w:left w:w="28" w:type="dxa"/>
              <w:right w:w="28" w:type="dxa"/>
            </w:tcMar>
          </w:tcPr>
          <w:p w14:paraId="0A7BC8B9" w14:textId="77777777" w:rsidR="00F03A57" w:rsidRPr="00AA7DF5" w:rsidRDefault="00F03A57" w:rsidP="00F03A57">
            <w:pPr>
              <w:widowControl/>
              <w:spacing w:before="40" w:after="40"/>
              <w:rPr>
                <w:rFonts w:eastAsia="Calibri"/>
                <w:i/>
                <w:iCs/>
                <w:noProof/>
                <w:sz w:val="22"/>
                <w:szCs w:val="22"/>
                <w:lang w:eastAsia="en-US"/>
              </w:rPr>
            </w:pPr>
          </w:p>
        </w:tc>
      </w:tr>
      <w:tr w:rsidR="00F03A57" w:rsidRPr="00AA7DF5" w14:paraId="6B82D890" w14:textId="77777777" w:rsidTr="00F03A57">
        <w:trPr>
          <w:gridBefore w:val="1"/>
          <w:wBefore w:w="12" w:type="dxa"/>
          <w:cantSplit/>
          <w:tblHeader/>
          <w:jc w:val="center"/>
        </w:trPr>
        <w:tc>
          <w:tcPr>
            <w:tcW w:w="651" w:type="dxa"/>
            <w:gridSpan w:val="3"/>
            <w:tcMar>
              <w:left w:w="28" w:type="dxa"/>
              <w:right w:w="28" w:type="dxa"/>
            </w:tcMar>
          </w:tcPr>
          <w:p w14:paraId="4DB0BB04"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(29)</w:t>
            </w:r>
          </w:p>
        </w:tc>
        <w:tc>
          <w:tcPr>
            <w:tcW w:w="15375" w:type="dxa"/>
            <w:gridSpan w:val="23"/>
            <w:tcMar>
              <w:left w:w="28" w:type="dxa"/>
              <w:right w:w="28" w:type="dxa"/>
            </w:tcMar>
          </w:tcPr>
          <w:p w14:paraId="1003593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A substância «simazina» foi transferida para o anexo II, parte C </w:t>
            </w:r>
          </w:p>
        </w:tc>
      </w:tr>
      <w:bookmarkEnd w:id="32"/>
      <w:tr w:rsidR="00F03A57" w:rsidRPr="00AA7DF5" w14:paraId="284D1743" w14:textId="77777777" w:rsidTr="00F03A57">
        <w:trPr>
          <w:gridBefore w:val="1"/>
          <w:wBefore w:w="12" w:type="dxa"/>
          <w:cantSplit/>
          <w:tblHeader/>
          <w:jc w:val="center"/>
        </w:trPr>
        <w:tc>
          <w:tcPr>
            <w:tcW w:w="651" w:type="dxa"/>
            <w:gridSpan w:val="3"/>
            <w:tcMar>
              <w:left w:w="28" w:type="dxa"/>
              <w:right w:w="28" w:type="dxa"/>
            </w:tcMar>
          </w:tcPr>
          <w:p w14:paraId="15BB0BFE"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(29-A)</w:t>
            </w:r>
          </w:p>
        </w:tc>
        <w:tc>
          <w:tcPr>
            <w:tcW w:w="2286" w:type="dxa"/>
            <w:gridSpan w:val="3"/>
            <w:tcMar>
              <w:left w:w="28" w:type="dxa"/>
              <w:right w:w="28" w:type="dxa"/>
            </w:tcMar>
          </w:tcPr>
          <w:p w14:paraId="43C7D688"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 xml:space="preserve">Tetracloroetileno </w:t>
            </w:r>
            <w:bookmarkStart w:id="33" w:name="_DV_M305"/>
            <w:bookmarkEnd w:id="33"/>
          </w:p>
        </w:tc>
        <w:tc>
          <w:tcPr>
            <w:tcW w:w="1329" w:type="dxa"/>
            <w:gridSpan w:val="3"/>
            <w:tcMar>
              <w:left w:w="28" w:type="dxa"/>
              <w:right w:w="28" w:type="dxa"/>
            </w:tcMar>
          </w:tcPr>
          <w:p w14:paraId="647DEF4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4E5168C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127-18-4</w:t>
            </w:r>
          </w:p>
        </w:tc>
        <w:tc>
          <w:tcPr>
            <w:tcW w:w="1134" w:type="dxa"/>
          </w:tcPr>
          <w:p w14:paraId="242CBEE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204-825-9</w:t>
            </w:r>
          </w:p>
        </w:tc>
        <w:tc>
          <w:tcPr>
            <w:tcW w:w="1279" w:type="dxa"/>
            <w:gridSpan w:val="2"/>
            <w:tcMar>
              <w:left w:w="28" w:type="dxa"/>
              <w:right w:w="28" w:type="dxa"/>
            </w:tcMar>
          </w:tcPr>
          <w:p w14:paraId="63A3A6D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79" w:type="dxa"/>
            <w:gridSpan w:val="2"/>
            <w:tcMar>
              <w:left w:w="28" w:type="dxa"/>
              <w:right w:w="28" w:type="dxa"/>
            </w:tcMar>
          </w:tcPr>
          <w:p w14:paraId="1845400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78" w:type="dxa"/>
            <w:gridSpan w:val="2"/>
            <w:tcMar>
              <w:left w:w="28" w:type="dxa"/>
              <w:right w:w="28" w:type="dxa"/>
            </w:tcMar>
          </w:tcPr>
          <w:p w14:paraId="33B735C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1696BAD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2F8B39CD"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0B3549F0"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16623536"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50A014DC"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7E0D52F8" w14:textId="77777777" w:rsidTr="00F03A57">
        <w:trPr>
          <w:gridBefore w:val="1"/>
          <w:wBefore w:w="12" w:type="dxa"/>
          <w:cantSplit/>
          <w:tblHeader/>
          <w:jc w:val="center"/>
        </w:trPr>
        <w:tc>
          <w:tcPr>
            <w:tcW w:w="651" w:type="dxa"/>
            <w:gridSpan w:val="3"/>
            <w:tcMar>
              <w:left w:w="28" w:type="dxa"/>
              <w:right w:w="28" w:type="dxa"/>
            </w:tcMar>
          </w:tcPr>
          <w:p w14:paraId="308228ED" w14:textId="77777777" w:rsidR="00F03A57" w:rsidRPr="00AA7DF5" w:rsidRDefault="00F03A57" w:rsidP="00F03A57">
            <w:pPr>
              <w:keepNext/>
              <w:widowControl/>
              <w:spacing w:before="40" w:after="40"/>
              <w:jc w:val="both"/>
              <w:rPr>
                <w:rFonts w:eastAsia="Calibri"/>
                <w:noProof/>
                <w:sz w:val="22"/>
                <w:szCs w:val="22"/>
                <w:lang w:eastAsia="en-US"/>
              </w:rPr>
            </w:pPr>
            <w:r w:rsidRPr="00AA7DF5">
              <w:rPr>
                <w:rFonts w:eastAsia="Calibri"/>
                <w:noProof/>
                <w:sz w:val="22"/>
                <w:szCs w:val="22"/>
                <w:lang w:eastAsia="en-US"/>
              </w:rPr>
              <w:t>(29-B)</w:t>
            </w:r>
          </w:p>
        </w:tc>
        <w:tc>
          <w:tcPr>
            <w:tcW w:w="2286" w:type="dxa"/>
            <w:gridSpan w:val="3"/>
            <w:tcMar>
              <w:left w:w="28" w:type="dxa"/>
              <w:right w:w="28" w:type="dxa"/>
            </w:tcMar>
          </w:tcPr>
          <w:p w14:paraId="0C68DFCC" w14:textId="77777777" w:rsidR="00F03A57" w:rsidRPr="00AA7DF5" w:rsidRDefault="00F03A57" w:rsidP="00F03A57">
            <w:pPr>
              <w:keepNext/>
              <w:widowControl/>
              <w:spacing w:before="40" w:after="40"/>
              <w:rPr>
                <w:rFonts w:eastAsia="Calibri"/>
                <w:noProof/>
                <w:sz w:val="22"/>
                <w:szCs w:val="22"/>
                <w:vertAlign w:val="superscript"/>
                <w:lang w:eastAsia="en-US"/>
              </w:rPr>
            </w:pPr>
            <w:r w:rsidRPr="00AA7DF5">
              <w:rPr>
                <w:rFonts w:eastAsia="Calibri"/>
                <w:noProof/>
                <w:sz w:val="22"/>
                <w:szCs w:val="22"/>
                <w:lang w:eastAsia="en-US"/>
              </w:rPr>
              <w:t xml:space="preserve">Tricloroetileno </w:t>
            </w:r>
            <w:bookmarkStart w:id="34" w:name="_DV_M306"/>
            <w:bookmarkEnd w:id="34"/>
          </w:p>
        </w:tc>
        <w:tc>
          <w:tcPr>
            <w:tcW w:w="1329" w:type="dxa"/>
            <w:gridSpan w:val="3"/>
            <w:tcMar>
              <w:left w:w="28" w:type="dxa"/>
              <w:right w:w="28" w:type="dxa"/>
            </w:tcMar>
          </w:tcPr>
          <w:p w14:paraId="2E5E4477"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71755B46"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79-01-6</w:t>
            </w:r>
          </w:p>
        </w:tc>
        <w:tc>
          <w:tcPr>
            <w:tcW w:w="1134" w:type="dxa"/>
          </w:tcPr>
          <w:p w14:paraId="3E3B88A9"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201-167-4</w:t>
            </w:r>
          </w:p>
        </w:tc>
        <w:tc>
          <w:tcPr>
            <w:tcW w:w="1279" w:type="dxa"/>
            <w:gridSpan w:val="2"/>
            <w:tcMar>
              <w:left w:w="28" w:type="dxa"/>
              <w:right w:w="28" w:type="dxa"/>
            </w:tcMar>
          </w:tcPr>
          <w:p w14:paraId="0CF69B88"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79" w:type="dxa"/>
            <w:gridSpan w:val="2"/>
            <w:tcMar>
              <w:left w:w="28" w:type="dxa"/>
              <w:right w:w="28" w:type="dxa"/>
            </w:tcMar>
          </w:tcPr>
          <w:p w14:paraId="6BB9659A"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10</w:t>
            </w:r>
          </w:p>
        </w:tc>
        <w:tc>
          <w:tcPr>
            <w:tcW w:w="1278" w:type="dxa"/>
            <w:gridSpan w:val="2"/>
            <w:tcMar>
              <w:left w:w="28" w:type="dxa"/>
              <w:right w:w="28" w:type="dxa"/>
            </w:tcMar>
          </w:tcPr>
          <w:p w14:paraId="427BC3C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211356E2"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7DF8D38C" w14:textId="77777777" w:rsidR="00F03A57" w:rsidRPr="00AA7DF5" w:rsidRDefault="00F03A57" w:rsidP="00F03A57">
            <w:pPr>
              <w:keepNext/>
              <w:widowControl/>
              <w:spacing w:before="40" w:after="40"/>
              <w:rPr>
                <w:rFonts w:eastAsia="Calibri"/>
                <w:noProof/>
                <w:sz w:val="22"/>
                <w:szCs w:val="22"/>
                <w:lang w:eastAsia="en-US"/>
              </w:rPr>
            </w:pPr>
          </w:p>
        </w:tc>
        <w:tc>
          <w:tcPr>
            <w:tcW w:w="1262" w:type="dxa"/>
            <w:tcMar>
              <w:left w:w="28" w:type="dxa"/>
              <w:right w:w="28" w:type="dxa"/>
            </w:tcMar>
          </w:tcPr>
          <w:p w14:paraId="4DD88B95"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076FB85C" w14:textId="77777777" w:rsidR="00F03A57" w:rsidRPr="00AA7DF5" w:rsidRDefault="00F03A57" w:rsidP="00F03A57">
            <w:pPr>
              <w:keepNext/>
              <w:widowControl/>
              <w:spacing w:before="40" w:after="40"/>
              <w:rPr>
                <w:rFonts w:eastAsia="Calibri"/>
                <w:noProof/>
                <w:sz w:val="22"/>
                <w:szCs w:val="22"/>
                <w:lang w:eastAsia="en-US"/>
              </w:rPr>
            </w:pPr>
          </w:p>
        </w:tc>
        <w:tc>
          <w:tcPr>
            <w:tcW w:w="970" w:type="dxa"/>
            <w:tcMar>
              <w:left w:w="28" w:type="dxa"/>
              <w:right w:w="28" w:type="dxa"/>
            </w:tcMar>
          </w:tcPr>
          <w:p w14:paraId="6400641B" w14:textId="77777777" w:rsidR="00F03A57" w:rsidRPr="00AA7DF5" w:rsidRDefault="00F03A57" w:rsidP="00F03A57">
            <w:pPr>
              <w:keepNext/>
              <w:widowControl/>
              <w:spacing w:before="40" w:after="40"/>
              <w:rPr>
                <w:rFonts w:eastAsia="Calibri"/>
                <w:noProof/>
                <w:sz w:val="22"/>
                <w:szCs w:val="22"/>
                <w:lang w:eastAsia="en-US"/>
              </w:rPr>
            </w:pPr>
          </w:p>
        </w:tc>
      </w:tr>
      <w:tr w:rsidR="00F03A57" w:rsidRPr="00AA7DF5" w14:paraId="6A5C10CF" w14:textId="77777777" w:rsidTr="00F03A57">
        <w:trPr>
          <w:gridBefore w:val="1"/>
          <w:wBefore w:w="12" w:type="dxa"/>
          <w:cantSplit/>
          <w:tblHeader/>
          <w:jc w:val="center"/>
        </w:trPr>
        <w:tc>
          <w:tcPr>
            <w:tcW w:w="651" w:type="dxa"/>
            <w:gridSpan w:val="3"/>
            <w:tcMar>
              <w:left w:w="28" w:type="dxa"/>
              <w:right w:w="28" w:type="dxa"/>
            </w:tcMar>
          </w:tcPr>
          <w:p w14:paraId="6034FB4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(30)</w:t>
            </w:r>
          </w:p>
        </w:tc>
        <w:tc>
          <w:tcPr>
            <w:tcW w:w="2286" w:type="dxa"/>
            <w:gridSpan w:val="3"/>
            <w:tcMar>
              <w:left w:w="28" w:type="dxa"/>
              <w:right w:w="28" w:type="dxa"/>
            </w:tcMar>
          </w:tcPr>
          <w:p w14:paraId="6B982D4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Cs w:val="22"/>
                <w:lang w:eastAsia="en-US"/>
              </w:rPr>
              <w:t>Compostos de tributilestanho (</w:t>
            </w:r>
            <w:r w:rsidRPr="00AA7DF5">
              <w:rPr>
                <w:rFonts w:eastAsia="Calibri"/>
                <w:noProof/>
                <w:szCs w:val="22"/>
                <w:vertAlign w:val="superscript"/>
                <w:lang w:eastAsia="en-US"/>
              </w:rPr>
              <w:t>18</w:t>
            </w:r>
            <w:r w:rsidRPr="00AA7DF5">
              <w:rPr>
                <w:rFonts w:eastAsia="Calibri"/>
                <w:noProof/>
                <w:szCs w:val="22"/>
                <w:lang w:eastAsia="en-US"/>
              </w:rPr>
              <w:t xml:space="preserve">) (catião </w:t>
            </w:r>
            <w:bookmarkStart w:id="35" w:name="_DV_C351"/>
            <w:r w:rsidRPr="00AA7DF5">
              <w:rPr>
                <w:rFonts w:eastAsia="Calibri"/>
                <w:noProof/>
                <w:sz w:val="22"/>
                <w:szCs w:val="22"/>
                <w:lang w:eastAsia="en-US"/>
              </w:rPr>
              <w:t>tributilestanho</w:t>
            </w:r>
            <w:bookmarkStart w:id="36" w:name="_DV_M307"/>
            <w:bookmarkEnd w:id="35"/>
            <w:bookmarkEnd w:id="36"/>
            <w:r w:rsidRPr="00AA7DF5">
              <w:rPr>
                <w:rFonts w:eastAsia="Calibri"/>
                <w:noProof/>
                <w:szCs w:val="22"/>
                <w:lang w:eastAsia="en-US"/>
              </w:rPr>
              <w:t>)</w:t>
            </w:r>
          </w:p>
        </w:tc>
        <w:tc>
          <w:tcPr>
            <w:tcW w:w="1329" w:type="dxa"/>
            <w:gridSpan w:val="3"/>
            <w:tcMar>
              <w:left w:w="28" w:type="dxa"/>
              <w:right w:w="28" w:type="dxa"/>
            </w:tcMar>
          </w:tcPr>
          <w:p w14:paraId="480CF06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Biocidas</w:t>
            </w:r>
          </w:p>
        </w:tc>
        <w:tc>
          <w:tcPr>
            <w:tcW w:w="992" w:type="dxa"/>
            <w:gridSpan w:val="2"/>
            <w:tcMar>
              <w:left w:w="28" w:type="dxa"/>
              <w:right w:w="28" w:type="dxa"/>
            </w:tcMar>
          </w:tcPr>
          <w:p w14:paraId="336E841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36643-28-4</w:t>
            </w:r>
          </w:p>
        </w:tc>
        <w:tc>
          <w:tcPr>
            <w:tcW w:w="1134" w:type="dxa"/>
          </w:tcPr>
          <w:p w14:paraId="31CE51C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5325117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0,0002</w:t>
            </w:r>
          </w:p>
        </w:tc>
        <w:tc>
          <w:tcPr>
            <w:tcW w:w="1279" w:type="dxa"/>
            <w:gridSpan w:val="2"/>
            <w:tcMar>
              <w:left w:w="28" w:type="dxa"/>
              <w:right w:w="28" w:type="dxa"/>
            </w:tcMar>
          </w:tcPr>
          <w:p w14:paraId="501B12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0,0002</w:t>
            </w:r>
          </w:p>
        </w:tc>
        <w:tc>
          <w:tcPr>
            <w:tcW w:w="1278" w:type="dxa"/>
            <w:gridSpan w:val="2"/>
            <w:tcMar>
              <w:left w:w="28" w:type="dxa"/>
              <w:right w:w="28" w:type="dxa"/>
            </w:tcMar>
          </w:tcPr>
          <w:p w14:paraId="399F2C3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0,0015</w:t>
            </w:r>
          </w:p>
        </w:tc>
        <w:tc>
          <w:tcPr>
            <w:tcW w:w="1277" w:type="dxa"/>
            <w:gridSpan w:val="2"/>
            <w:tcMar>
              <w:left w:w="28" w:type="dxa"/>
              <w:right w:w="28" w:type="dxa"/>
            </w:tcMar>
          </w:tcPr>
          <w:p w14:paraId="2A70893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0,0015</w:t>
            </w:r>
          </w:p>
        </w:tc>
        <w:tc>
          <w:tcPr>
            <w:tcW w:w="1136" w:type="dxa"/>
            <w:gridSpan w:val="2"/>
            <w:tcMar>
              <w:left w:w="28" w:type="dxa"/>
              <w:right w:w="28" w:type="dxa"/>
            </w:tcMar>
          </w:tcPr>
          <w:p w14:paraId="3A4D86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[1,3] (</w:t>
            </w:r>
            <w:r w:rsidRPr="00AA7DF5">
              <w:rPr>
                <w:rFonts w:eastAsia="Calibri"/>
                <w:noProof/>
                <w:sz w:val="22"/>
                <w:szCs w:val="22"/>
                <w:vertAlign w:val="superscript"/>
                <w:lang w:eastAsia="en-US"/>
              </w:rPr>
              <w:t>19</w:t>
            </w:r>
            <w:r w:rsidRPr="00AA7DF5">
              <w:rPr>
                <w:rFonts w:eastAsia="Calibri"/>
                <w:noProof/>
                <w:sz w:val="22"/>
                <w:szCs w:val="22"/>
                <w:lang w:eastAsia="en-US"/>
              </w:rPr>
              <w:t>)</w:t>
            </w:r>
          </w:p>
        </w:tc>
        <w:tc>
          <w:tcPr>
            <w:tcW w:w="1262" w:type="dxa"/>
            <w:tcMar>
              <w:left w:w="28" w:type="dxa"/>
              <w:right w:w="28" w:type="dxa"/>
            </w:tcMar>
          </w:tcPr>
          <w:p w14:paraId="4B26516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X </w:t>
            </w:r>
          </w:p>
        </w:tc>
        <w:tc>
          <w:tcPr>
            <w:tcW w:w="1153" w:type="dxa"/>
            <w:gridSpan w:val="2"/>
            <w:tcMar>
              <w:left w:w="28" w:type="dxa"/>
              <w:right w:w="28" w:type="dxa"/>
            </w:tcMar>
          </w:tcPr>
          <w:p w14:paraId="180E9C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0394465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54EF1B1D" w14:textId="77777777" w:rsidTr="00F03A57">
        <w:trPr>
          <w:gridBefore w:val="1"/>
          <w:wBefore w:w="12" w:type="dxa"/>
          <w:cantSplit/>
          <w:tblHeader/>
          <w:jc w:val="center"/>
        </w:trPr>
        <w:tc>
          <w:tcPr>
            <w:tcW w:w="651" w:type="dxa"/>
            <w:gridSpan w:val="3"/>
            <w:tcMar>
              <w:left w:w="28" w:type="dxa"/>
              <w:right w:w="28" w:type="dxa"/>
            </w:tcMar>
          </w:tcPr>
          <w:p w14:paraId="68FDC9C9"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(31)</w:t>
            </w:r>
          </w:p>
        </w:tc>
        <w:tc>
          <w:tcPr>
            <w:tcW w:w="2286" w:type="dxa"/>
            <w:gridSpan w:val="3"/>
            <w:tcMar>
              <w:left w:w="28" w:type="dxa"/>
              <w:right w:w="28" w:type="dxa"/>
            </w:tcMar>
          </w:tcPr>
          <w:p w14:paraId="6B33162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Triclorobenzenos</w:t>
            </w:r>
          </w:p>
        </w:tc>
        <w:tc>
          <w:tcPr>
            <w:tcW w:w="1329" w:type="dxa"/>
            <w:gridSpan w:val="3"/>
            <w:tcMar>
              <w:left w:w="28" w:type="dxa"/>
              <w:right w:w="28" w:type="dxa"/>
            </w:tcMar>
          </w:tcPr>
          <w:p w14:paraId="21E508B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 (solventes)</w:t>
            </w:r>
          </w:p>
        </w:tc>
        <w:tc>
          <w:tcPr>
            <w:tcW w:w="992" w:type="dxa"/>
            <w:gridSpan w:val="2"/>
            <w:tcMar>
              <w:left w:w="28" w:type="dxa"/>
              <w:right w:w="28" w:type="dxa"/>
            </w:tcMar>
          </w:tcPr>
          <w:p w14:paraId="6A8B4F5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12002-48-1</w:t>
            </w:r>
          </w:p>
        </w:tc>
        <w:tc>
          <w:tcPr>
            <w:tcW w:w="1134" w:type="dxa"/>
          </w:tcPr>
          <w:p w14:paraId="7D6F525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234-413-4</w:t>
            </w:r>
          </w:p>
        </w:tc>
        <w:tc>
          <w:tcPr>
            <w:tcW w:w="1279" w:type="dxa"/>
            <w:gridSpan w:val="2"/>
            <w:tcMar>
              <w:left w:w="28" w:type="dxa"/>
              <w:right w:w="28" w:type="dxa"/>
            </w:tcMar>
          </w:tcPr>
          <w:p w14:paraId="32B67AA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0,4 </w:t>
            </w:r>
          </w:p>
        </w:tc>
        <w:tc>
          <w:tcPr>
            <w:tcW w:w="1279" w:type="dxa"/>
            <w:gridSpan w:val="2"/>
            <w:tcMar>
              <w:left w:w="28" w:type="dxa"/>
              <w:right w:w="28" w:type="dxa"/>
            </w:tcMar>
          </w:tcPr>
          <w:p w14:paraId="1D8BD7D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0,4</w:t>
            </w:r>
          </w:p>
        </w:tc>
        <w:tc>
          <w:tcPr>
            <w:tcW w:w="1278" w:type="dxa"/>
            <w:gridSpan w:val="2"/>
            <w:tcMar>
              <w:left w:w="28" w:type="dxa"/>
              <w:right w:w="28" w:type="dxa"/>
            </w:tcMar>
          </w:tcPr>
          <w:p w14:paraId="18E4536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0A5FAF3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13D2B2CB"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521E459"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5041F290"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D035C0D"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6B2181FD" w14:textId="77777777" w:rsidTr="00F03A57">
        <w:trPr>
          <w:gridBefore w:val="1"/>
          <w:wBefore w:w="12" w:type="dxa"/>
          <w:cantSplit/>
          <w:tblHeader/>
          <w:jc w:val="center"/>
        </w:trPr>
        <w:tc>
          <w:tcPr>
            <w:tcW w:w="651" w:type="dxa"/>
            <w:gridSpan w:val="3"/>
            <w:tcMar>
              <w:left w:w="28" w:type="dxa"/>
              <w:right w:w="28" w:type="dxa"/>
            </w:tcMar>
          </w:tcPr>
          <w:p w14:paraId="73F010CE"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(32)</w:t>
            </w:r>
          </w:p>
        </w:tc>
        <w:tc>
          <w:tcPr>
            <w:tcW w:w="2286" w:type="dxa"/>
            <w:gridSpan w:val="3"/>
            <w:tcMar>
              <w:left w:w="28" w:type="dxa"/>
              <w:right w:w="28" w:type="dxa"/>
            </w:tcMar>
          </w:tcPr>
          <w:p w14:paraId="5BC1B6E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Triclorometano</w:t>
            </w:r>
          </w:p>
        </w:tc>
        <w:tc>
          <w:tcPr>
            <w:tcW w:w="1329" w:type="dxa"/>
            <w:gridSpan w:val="3"/>
            <w:tcMar>
              <w:left w:w="28" w:type="dxa"/>
              <w:right w:w="28" w:type="dxa"/>
            </w:tcMar>
          </w:tcPr>
          <w:p w14:paraId="3192B6B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6478CC3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67-66-3</w:t>
            </w:r>
          </w:p>
        </w:tc>
        <w:tc>
          <w:tcPr>
            <w:tcW w:w="1134" w:type="dxa"/>
          </w:tcPr>
          <w:p w14:paraId="09405C1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200-663-8</w:t>
            </w:r>
          </w:p>
        </w:tc>
        <w:tc>
          <w:tcPr>
            <w:tcW w:w="1279" w:type="dxa"/>
            <w:gridSpan w:val="2"/>
            <w:tcMar>
              <w:left w:w="28" w:type="dxa"/>
              <w:right w:w="28" w:type="dxa"/>
            </w:tcMar>
          </w:tcPr>
          <w:p w14:paraId="0519919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2,5 </w:t>
            </w:r>
          </w:p>
        </w:tc>
        <w:tc>
          <w:tcPr>
            <w:tcW w:w="1279" w:type="dxa"/>
            <w:gridSpan w:val="2"/>
            <w:tcMar>
              <w:left w:w="28" w:type="dxa"/>
              <w:right w:w="28" w:type="dxa"/>
            </w:tcMar>
          </w:tcPr>
          <w:p w14:paraId="40F3CA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 xml:space="preserve">2,5 </w:t>
            </w:r>
          </w:p>
        </w:tc>
        <w:tc>
          <w:tcPr>
            <w:tcW w:w="1278" w:type="dxa"/>
            <w:gridSpan w:val="2"/>
            <w:tcMar>
              <w:left w:w="28" w:type="dxa"/>
              <w:right w:w="28" w:type="dxa"/>
            </w:tcMar>
          </w:tcPr>
          <w:p w14:paraId="63AA10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0E458C2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1D1E8A7D"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7B39A7A"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003A1596"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4F5AD81C"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62817210" w14:textId="77777777" w:rsidTr="00F03A57">
        <w:trPr>
          <w:gridBefore w:val="1"/>
          <w:wBefore w:w="12" w:type="dxa"/>
          <w:cantSplit/>
          <w:tblHeader/>
          <w:jc w:val="center"/>
        </w:trPr>
        <w:tc>
          <w:tcPr>
            <w:tcW w:w="651" w:type="dxa"/>
            <w:gridSpan w:val="3"/>
            <w:tcMar>
              <w:left w:w="28" w:type="dxa"/>
              <w:right w:w="28" w:type="dxa"/>
            </w:tcMar>
          </w:tcPr>
          <w:p w14:paraId="7F84AAA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(33)</w:t>
            </w:r>
          </w:p>
        </w:tc>
        <w:tc>
          <w:tcPr>
            <w:tcW w:w="2286" w:type="dxa"/>
            <w:gridSpan w:val="3"/>
            <w:tcMar>
              <w:left w:w="28" w:type="dxa"/>
              <w:right w:w="28" w:type="dxa"/>
            </w:tcMar>
          </w:tcPr>
          <w:p w14:paraId="1F93266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Trifluralina</w:t>
            </w:r>
          </w:p>
        </w:tc>
        <w:tc>
          <w:tcPr>
            <w:tcW w:w="1329" w:type="dxa"/>
            <w:gridSpan w:val="3"/>
            <w:tcMar>
              <w:left w:w="28" w:type="dxa"/>
              <w:right w:w="28" w:type="dxa"/>
            </w:tcMar>
          </w:tcPr>
          <w:p w14:paraId="6B35FD2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113D03E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1582-09-8</w:t>
            </w:r>
          </w:p>
        </w:tc>
        <w:tc>
          <w:tcPr>
            <w:tcW w:w="1134" w:type="dxa"/>
          </w:tcPr>
          <w:p w14:paraId="6CCA926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216-428-8</w:t>
            </w:r>
          </w:p>
        </w:tc>
        <w:tc>
          <w:tcPr>
            <w:tcW w:w="1279" w:type="dxa"/>
            <w:gridSpan w:val="2"/>
            <w:tcMar>
              <w:left w:w="28" w:type="dxa"/>
              <w:right w:w="28" w:type="dxa"/>
            </w:tcMar>
          </w:tcPr>
          <w:p w14:paraId="325F2DB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0,03</w:t>
            </w:r>
          </w:p>
        </w:tc>
        <w:tc>
          <w:tcPr>
            <w:tcW w:w="1279" w:type="dxa"/>
            <w:gridSpan w:val="2"/>
            <w:tcMar>
              <w:left w:w="28" w:type="dxa"/>
              <w:right w:w="28" w:type="dxa"/>
            </w:tcMar>
          </w:tcPr>
          <w:p w14:paraId="0869BD9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0,03</w:t>
            </w:r>
          </w:p>
        </w:tc>
        <w:tc>
          <w:tcPr>
            <w:tcW w:w="1278" w:type="dxa"/>
            <w:gridSpan w:val="2"/>
            <w:tcMar>
              <w:left w:w="28" w:type="dxa"/>
              <w:right w:w="28" w:type="dxa"/>
            </w:tcMar>
          </w:tcPr>
          <w:p w14:paraId="5B9B2A3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tcMar>
              <w:left w:w="28" w:type="dxa"/>
              <w:right w:w="28" w:type="dxa"/>
            </w:tcMar>
          </w:tcPr>
          <w:p w14:paraId="6AAF4A1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tcMar>
              <w:left w:w="28" w:type="dxa"/>
              <w:right w:w="28" w:type="dxa"/>
            </w:tcMar>
          </w:tcPr>
          <w:p w14:paraId="61B9FA1E"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6BD3FB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15424220"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29EF75A8"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37CF3056" w14:textId="77777777" w:rsidTr="00F03A57">
        <w:trPr>
          <w:gridBefore w:val="1"/>
          <w:wBefore w:w="12" w:type="dxa"/>
          <w:cantSplit/>
          <w:tblHeader/>
          <w:jc w:val="center"/>
        </w:trPr>
        <w:tc>
          <w:tcPr>
            <w:tcW w:w="651" w:type="dxa"/>
            <w:gridSpan w:val="3"/>
            <w:tcMar>
              <w:left w:w="28" w:type="dxa"/>
              <w:right w:w="28" w:type="dxa"/>
            </w:tcMar>
          </w:tcPr>
          <w:p w14:paraId="1B01CD52"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(34)</w:t>
            </w:r>
          </w:p>
        </w:tc>
        <w:tc>
          <w:tcPr>
            <w:tcW w:w="2286" w:type="dxa"/>
            <w:gridSpan w:val="3"/>
            <w:tcMar>
              <w:left w:w="28" w:type="dxa"/>
              <w:right w:w="28" w:type="dxa"/>
            </w:tcMar>
          </w:tcPr>
          <w:p w14:paraId="2F2E7FC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Dicofol</w:t>
            </w:r>
          </w:p>
        </w:tc>
        <w:tc>
          <w:tcPr>
            <w:tcW w:w="1329" w:type="dxa"/>
            <w:gridSpan w:val="3"/>
            <w:tcMar>
              <w:left w:w="28" w:type="dxa"/>
              <w:right w:w="28" w:type="dxa"/>
            </w:tcMar>
          </w:tcPr>
          <w:p w14:paraId="25E8EFF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744A246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115-32-2</w:t>
            </w:r>
          </w:p>
        </w:tc>
        <w:tc>
          <w:tcPr>
            <w:tcW w:w="1134" w:type="dxa"/>
          </w:tcPr>
          <w:p w14:paraId="5B6274AE" w14:textId="77777777"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204-082-0</w:t>
            </w:r>
          </w:p>
        </w:tc>
        <w:tc>
          <w:tcPr>
            <w:tcW w:w="1279" w:type="dxa"/>
            <w:gridSpan w:val="2"/>
            <w:tcMar>
              <w:left w:w="28" w:type="dxa"/>
              <w:right w:w="28" w:type="dxa"/>
            </w:tcMar>
          </w:tcPr>
          <w:p w14:paraId="6B231026"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[4,45 × 10</w:t>
            </w:r>
            <w:r w:rsidRPr="00AA7DF5">
              <w:rPr>
                <w:rFonts w:eastAsia="Calibri"/>
                <w:noProof/>
                <w:sz w:val="22"/>
                <w:szCs w:val="22"/>
                <w:vertAlign w:val="superscript"/>
                <w:lang w:eastAsia="en-US"/>
              </w:rPr>
              <w:t>-3</w:t>
            </w:r>
            <w:r w:rsidRPr="00AA7DF5">
              <w:rPr>
                <w:rFonts w:eastAsia="Calibri"/>
                <w:noProof/>
                <w:sz w:val="22"/>
                <w:szCs w:val="22"/>
                <w:lang w:eastAsia="en-US"/>
              </w:rPr>
              <w:t>]</w:t>
            </w:r>
          </w:p>
        </w:tc>
        <w:tc>
          <w:tcPr>
            <w:tcW w:w="1279" w:type="dxa"/>
            <w:gridSpan w:val="2"/>
            <w:tcMar>
              <w:left w:w="28" w:type="dxa"/>
              <w:right w:w="28" w:type="dxa"/>
            </w:tcMar>
          </w:tcPr>
          <w:p w14:paraId="3B2F72F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[0 185 × 10</w:t>
            </w:r>
            <w:r w:rsidRPr="00AA7DF5">
              <w:rPr>
                <w:rFonts w:eastAsia="Calibri"/>
                <w:noProof/>
                <w:sz w:val="22"/>
                <w:szCs w:val="22"/>
                <w:vertAlign w:val="superscript"/>
                <w:lang w:eastAsia="en-US"/>
              </w:rPr>
              <w:t>-3</w:t>
            </w:r>
            <w:r w:rsidRPr="00AA7DF5">
              <w:rPr>
                <w:rFonts w:eastAsia="Calibri"/>
                <w:noProof/>
                <w:sz w:val="22"/>
                <w:szCs w:val="22"/>
                <w:lang w:eastAsia="en-US"/>
              </w:rPr>
              <w:t>]</w:t>
            </w:r>
          </w:p>
        </w:tc>
        <w:tc>
          <w:tcPr>
            <w:tcW w:w="1278" w:type="dxa"/>
            <w:gridSpan w:val="2"/>
            <w:tcMar>
              <w:left w:w="28" w:type="dxa"/>
              <w:right w:w="28" w:type="dxa"/>
            </w:tcMar>
          </w:tcPr>
          <w:p w14:paraId="2659928B"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Cs w:val="22"/>
                <w:lang w:eastAsia="en-US"/>
              </w:rPr>
              <w:t xml:space="preserve">Não aplicável </w:t>
            </w:r>
            <w:bookmarkStart w:id="37" w:name="_DV_M308"/>
            <w:bookmarkStart w:id="38" w:name="_Ref101447957"/>
            <w:bookmarkEnd w:id="37"/>
            <w:r w:rsidRPr="00AA7DF5">
              <w:rPr>
                <w:rFonts w:eastAsia="Calibri"/>
                <w:noProof/>
                <w:szCs w:val="22"/>
                <w:lang w:eastAsia="en-US"/>
              </w:rPr>
              <w:t>(</w:t>
            </w:r>
            <w:r w:rsidRPr="00AA7DF5">
              <w:rPr>
                <w:rFonts w:eastAsia="Calibri"/>
                <w:noProof/>
                <w:szCs w:val="22"/>
                <w:vertAlign w:val="superscript"/>
                <w:lang w:eastAsia="en-US"/>
              </w:rPr>
              <w:t>20</w:t>
            </w:r>
            <w:r w:rsidRPr="00AA7DF5">
              <w:rPr>
                <w:rFonts w:eastAsia="Calibri"/>
                <w:noProof/>
                <w:szCs w:val="22"/>
                <w:lang w:eastAsia="en-US"/>
              </w:rPr>
              <w:t>)</w:t>
            </w:r>
            <w:bookmarkEnd w:id="38"/>
          </w:p>
        </w:tc>
        <w:tc>
          <w:tcPr>
            <w:tcW w:w="1277" w:type="dxa"/>
            <w:gridSpan w:val="2"/>
            <w:tcMar>
              <w:left w:w="28" w:type="dxa"/>
              <w:right w:w="28" w:type="dxa"/>
            </w:tcMar>
          </w:tcPr>
          <w:p w14:paraId="5557B629"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Não aplicável (</w:t>
            </w:r>
            <w:r w:rsidRPr="00AA7DF5">
              <w:rPr>
                <w:rFonts w:eastAsia="Calibri"/>
                <w:noProof/>
                <w:sz w:val="22"/>
                <w:szCs w:val="22"/>
                <w:vertAlign w:val="superscript"/>
                <w:lang w:eastAsia="en-US"/>
              </w:rPr>
              <w:t>20</w:t>
            </w:r>
            <w:r w:rsidRPr="00AA7DF5">
              <w:rPr>
                <w:rFonts w:eastAsia="Calibri"/>
                <w:noProof/>
                <w:sz w:val="22"/>
                <w:szCs w:val="22"/>
                <w:lang w:eastAsia="en-US"/>
              </w:rPr>
              <w:t>)</w:t>
            </w:r>
            <w:bookmarkStart w:id="39" w:name="_DV_M309"/>
            <w:bookmarkEnd w:id="39"/>
          </w:p>
        </w:tc>
        <w:tc>
          <w:tcPr>
            <w:tcW w:w="1136" w:type="dxa"/>
            <w:gridSpan w:val="2"/>
            <w:tcMar>
              <w:left w:w="28" w:type="dxa"/>
              <w:right w:w="28" w:type="dxa"/>
            </w:tcMar>
          </w:tcPr>
          <w:p w14:paraId="20F430A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[5,45]</w:t>
            </w:r>
          </w:p>
        </w:tc>
        <w:tc>
          <w:tcPr>
            <w:tcW w:w="1262" w:type="dxa"/>
            <w:tcMar>
              <w:left w:w="28" w:type="dxa"/>
              <w:right w:w="28" w:type="dxa"/>
            </w:tcMar>
          </w:tcPr>
          <w:p w14:paraId="52FBC79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2023EF67"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1DA4013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000A2CEC" w14:textId="77777777" w:rsidTr="00F03A57">
        <w:trPr>
          <w:gridBefore w:val="1"/>
          <w:wBefore w:w="12" w:type="dxa"/>
          <w:cantSplit/>
          <w:tblHeader/>
          <w:jc w:val="center"/>
        </w:trPr>
        <w:tc>
          <w:tcPr>
            <w:tcW w:w="651" w:type="dxa"/>
            <w:gridSpan w:val="3"/>
            <w:tcMar>
              <w:left w:w="28" w:type="dxa"/>
              <w:right w:w="28" w:type="dxa"/>
            </w:tcMar>
          </w:tcPr>
          <w:p w14:paraId="227E242B"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(35)</w:t>
            </w:r>
          </w:p>
        </w:tc>
        <w:tc>
          <w:tcPr>
            <w:tcW w:w="2286" w:type="dxa"/>
            <w:gridSpan w:val="3"/>
            <w:tcMar>
              <w:left w:w="28" w:type="dxa"/>
              <w:right w:w="28" w:type="dxa"/>
            </w:tcMar>
          </w:tcPr>
          <w:p w14:paraId="5C3E3FB0" w14:textId="77777777" w:rsidR="00F03A57" w:rsidRPr="00AA7DF5" w:rsidRDefault="00F03A57" w:rsidP="00F03A57">
            <w:pPr>
              <w:pageBreakBefore/>
              <w:widowControl/>
              <w:spacing w:before="40" w:after="40"/>
              <w:rPr>
                <w:rFonts w:eastAsia="Calibri"/>
                <w:noProof/>
                <w:sz w:val="22"/>
                <w:szCs w:val="22"/>
                <w:lang w:eastAsia="en-US"/>
              </w:rPr>
            </w:pPr>
            <w:r w:rsidRPr="00AA7DF5">
              <w:rPr>
                <w:rFonts w:eastAsia="Calibri"/>
                <w:noProof/>
                <w:sz w:val="22"/>
                <w:szCs w:val="22"/>
                <w:lang w:eastAsia="en-US"/>
              </w:rPr>
              <w:t>Ácido perfluoro-octanossulfónico e seus derivados (PFOS)</w:t>
            </w:r>
          </w:p>
        </w:tc>
        <w:tc>
          <w:tcPr>
            <w:tcW w:w="1329" w:type="dxa"/>
            <w:gridSpan w:val="3"/>
            <w:tcMar>
              <w:left w:w="28" w:type="dxa"/>
              <w:right w:w="28" w:type="dxa"/>
            </w:tcMar>
          </w:tcPr>
          <w:p w14:paraId="5B1E3A5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31B23CE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1763-23-1</w:t>
            </w:r>
          </w:p>
        </w:tc>
        <w:tc>
          <w:tcPr>
            <w:tcW w:w="1134" w:type="dxa"/>
          </w:tcPr>
          <w:p w14:paraId="1DD672E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217-179-8</w:t>
            </w:r>
          </w:p>
        </w:tc>
        <w:tc>
          <w:tcPr>
            <w:tcW w:w="9634" w:type="dxa"/>
            <w:gridSpan w:val="14"/>
            <w:tcMar>
              <w:left w:w="28" w:type="dxa"/>
              <w:right w:w="28" w:type="dxa"/>
            </w:tcMar>
          </w:tcPr>
          <w:p w14:paraId="4704039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Abrangidos pelo grupo de substâncias n.º 65 (substâncias perfluoroalquiladas e polifluoroalquiladas (PFAS) — soma das 24)</w:t>
            </w:r>
          </w:p>
        </w:tc>
      </w:tr>
      <w:tr w:rsidR="00F03A57" w:rsidRPr="00AA7DF5" w14:paraId="601DEAB1" w14:textId="77777777" w:rsidTr="00F03A57">
        <w:trPr>
          <w:gridBefore w:val="1"/>
          <w:wBefore w:w="12" w:type="dxa"/>
          <w:cantSplit/>
          <w:tblHeader/>
          <w:jc w:val="center"/>
        </w:trPr>
        <w:tc>
          <w:tcPr>
            <w:tcW w:w="651" w:type="dxa"/>
            <w:gridSpan w:val="3"/>
            <w:tcMar>
              <w:left w:w="28" w:type="dxa"/>
              <w:right w:w="28" w:type="dxa"/>
            </w:tcMar>
          </w:tcPr>
          <w:p w14:paraId="2169F948"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(36)</w:t>
            </w:r>
          </w:p>
        </w:tc>
        <w:tc>
          <w:tcPr>
            <w:tcW w:w="2286" w:type="dxa"/>
            <w:gridSpan w:val="3"/>
            <w:tcMar>
              <w:left w:w="28" w:type="dxa"/>
              <w:right w:w="28" w:type="dxa"/>
            </w:tcMar>
          </w:tcPr>
          <w:p w14:paraId="798D04B0" w14:textId="77777777" w:rsidR="00F03A57" w:rsidRPr="00AA7DF5" w:rsidRDefault="00F03A57" w:rsidP="00F03A57">
            <w:pPr>
              <w:pageBreakBefore/>
              <w:widowControl/>
              <w:spacing w:before="40" w:after="40"/>
              <w:rPr>
                <w:rFonts w:eastAsia="Calibri"/>
                <w:noProof/>
                <w:sz w:val="22"/>
                <w:szCs w:val="22"/>
                <w:lang w:eastAsia="en-US"/>
              </w:rPr>
            </w:pPr>
            <w:r w:rsidRPr="00AA7DF5">
              <w:rPr>
                <w:rFonts w:eastAsia="Calibri"/>
                <w:noProof/>
                <w:sz w:val="22"/>
                <w:szCs w:val="22"/>
                <w:lang w:eastAsia="en-US"/>
              </w:rPr>
              <w:t>Quinoxifena</w:t>
            </w:r>
          </w:p>
        </w:tc>
        <w:tc>
          <w:tcPr>
            <w:tcW w:w="1329" w:type="dxa"/>
            <w:gridSpan w:val="3"/>
            <w:tcMar>
              <w:left w:w="28" w:type="dxa"/>
              <w:right w:w="28" w:type="dxa"/>
            </w:tcMar>
          </w:tcPr>
          <w:p w14:paraId="31F9D0F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Produtos fitofarmacêuticos</w:t>
            </w:r>
          </w:p>
        </w:tc>
        <w:tc>
          <w:tcPr>
            <w:tcW w:w="992" w:type="dxa"/>
            <w:gridSpan w:val="2"/>
            <w:tcMar>
              <w:left w:w="28" w:type="dxa"/>
              <w:right w:w="28" w:type="dxa"/>
            </w:tcMar>
          </w:tcPr>
          <w:p w14:paraId="57D3804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124495-18-7</w:t>
            </w:r>
          </w:p>
        </w:tc>
        <w:tc>
          <w:tcPr>
            <w:tcW w:w="1134" w:type="dxa"/>
          </w:tcPr>
          <w:p w14:paraId="67EC319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6B37C1A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0,15</w:t>
            </w:r>
          </w:p>
        </w:tc>
        <w:tc>
          <w:tcPr>
            <w:tcW w:w="1279" w:type="dxa"/>
            <w:gridSpan w:val="2"/>
            <w:tcMar>
              <w:left w:w="28" w:type="dxa"/>
              <w:right w:w="28" w:type="dxa"/>
            </w:tcMar>
          </w:tcPr>
          <w:p w14:paraId="550DF6CB" w14:textId="5F9D202E"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015</w:t>
            </w:r>
          </w:p>
        </w:tc>
        <w:tc>
          <w:tcPr>
            <w:tcW w:w="1278" w:type="dxa"/>
            <w:gridSpan w:val="2"/>
            <w:tcMar>
              <w:left w:w="28" w:type="dxa"/>
              <w:right w:w="28" w:type="dxa"/>
            </w:tcMar>
          </w:tcPr>
          <w:p w14:paraId="13C1A7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2,7</w:t>
            </w:r>
          </w:p>
        </w:tc>
        <w:tc>
          <w:tcPr>
            <w:tcW w:w="1277" w:type="dxa"/>
            <w:gridSpan w:val="2"/>
            <w:tcMar>
              <w:left w:w="28" w:type="dxa"/>
              <w:right w:w="28" w:type="dxa"/>
            </w:tcMar>
          </w:tcPr>
          <w:p w14:paraId="074E7BE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0,54</w:t>
            </w:r>
          </w:p>
        </w:tc>
        <w:tc>
          <w:tcPr>
            <w:tcW w:w="1136" w:type="dxa"/>
            <w:gridSpan w:val="2"/>
            <w:tcMar>
              <w:left w:w="28" w:type="dxa"/>
              <w:right w:w="28" w:type="dxa"/>
            </w:tcMar>
          </w:tcPr>
          <w:p w14:paraId="68F4E586"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61628E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6B2B52D2"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781531A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048C2D7A" w14:textId="77777777" w:rsidTr="00F03A57">
        <w:trPr>
          <w:cantSplit/>
          <w:tblHeader/>
          <w:jc w:val="center"/>
        </w:trPr>
        <w:tc>
          <w:tcPr>
            <w:tcW w:w="663" w:type="dxa"/>
            <w:gridSpan w:val="4"/>
            <w:tcMar>
              <w:left w:w="28" w:type="dxa"/>
              <w:right w:w="28" w:type="dxa"/>
            </w:tcMar>
          </w:tcPr>
          <w:p w14:paraId="76C17638"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(37)</w:t>
            </w:r>
          </w:p>
        </w:tc>
        <w:tc>
          <w:tcPr>
            <w:tcW w:w="2193" w:type="dxa"/>
            <w:tcMar>
              <w:left w:w="28" w:type="dxa"/>
              <w:right w:w="28" w:type="dxa"/>
            </w:tcMar>
          </w:tcPr>
          <w:p w14:paraId="76E12E16" w14:textId="77777777" w:rsidR="00F03A57" w:rsidRPr="00AA7DF5" w:rsidRDefault="00F03A57" w:rsidP="00F03A57">
            <w:pPr>
              <w:widowControl/>
              <w:spacing w:before="40" w:after="40"/>
              <w:rPr>
                <w:rFonts w:eastAsia="Calibri"/>
                <w:noProof/>
                <w:color w:val="F79646"/>
                <w:sz w:val="22"/>
                <w:szCs w:val="22"/>
                <w:lang w:eastAsia="en-US"/>
              </w:rPr>
            </w:pPr>
            <w:r w:rsidRPr="00AA7DF5">
              <w:rPr>
                <w:rFonts w:eastAsia="Calibri"/>
                <w:noProof/>
                <w:sz w:val="22"/>
                <w:szCs w:val="22"/>
                <w:lang w:eastAsia="en-US"/>
              </w:rPr>
              <w:t>Dioxinas e compostos semelhantes a dioxinas (</w:t>
            </w:r>
            <w:r w:rsidRPr="00AA7DF5">
              <w:rPr>
                <w:rFonts w:eastAsia="Calibri"/>
                <w:noProof/>
                <w:sz w:val="22"/>
                <w:szCs w:val="22"/>
                <w:vertAlign w:val="superscript"/>
                <w:lang w:eastAsia="en-US"/>
              </w:rPr>
              <w:t>21</w:t>
            </w:r>
            <w:r w:rsidRPr="00AA7DF5">
              <w:rPr>
                <w:rFonts w:eastAsia="Calibri"/>
                <w:noProof/>
                <w:sz w:val="22"/>
                <w:szCs w:val="22"/>
                <w:lang w:eastAsia="en-US"/>
              </w:rPr>
              <w:t>)</w:t>
            </w:r>
          </w:p>
        </w:tc>
        <w:tc>
          <w:tcPr>
            <w:tcW w:w="1422" w:type="dxa"/>
            <w:gridSpan w:val="5"/>
            <w:tcMar>
              <w:left w:w="28" w:type="dxa"/>
              <w:right w:w="28" w:type="dxa"/>
            </w:tcMar>
          </w:tcPr>
          <w:p w14:paraId="37B209F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Subprodutos industriais</w:t>
            </w:r>
          </w:p>
        </w:tc>
        <w:tc>
          <w:tcPr>
            <w:tcW w:w="992" w:type="dxa"/>
            <w:gridSpan w:val="2"/>
            <w:tcMar>
              <w:left w:w="28" w:type="dxa"/>
              <w:right w:w="28" w:type="dxa"/>
            </w:tcMar>
          </w:tcPr>
          <w:p w14:paraId="4435FC7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4" w:type="dxa"/>
          </w:tcPr>
          <w:p w14:paraId="662314A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tcMar>
              <w:left w:w="28" w:type="dxa"/>
              <w:right w:w="28" w:type="dxa"/>
            </w:tcMar>
          </w:tcPr>
          <w:p w14:paraId="6ADB558E" w14:textId="77777777" w:rsidR="00F03A57" w:rsidRPr="00AA7DF5" w:rsidRDefault="00F03A57" w:rsidP="00F03A57">
            <w:pPr>
              <w:widowControl/>
              <w:spacing w:before="40" w:after="40"/>
              <w:rPr>
                <w:rFonts w:eastAsia="Calibri"/>
                <w:noProof/>
                <w:sz w:val="22"/>
                <w:szCs w:val="22"/>
                <w:lang w:eastAsia="en-US"/>
              </w:rPr>
            </w:pPr>
          </w:p>
        </w:tc>
        <w:tc>
          <w:tcPr>
            <w:tcW w:w="1279" w:type="dxa"/>
            <w:gridSpan w:val="2"/>
            <w:tcMar>
              <w:left w:w="28" w:type="dxa"/>
              <w:right w:w="28" w:type="dxa"/>
            </w:tcMar>
          </w:tcPr>
          <w:p w14:paraId="7B6E0618" w14:textId="77777777" w:rsidR="00F03A57" w:rsidRPr="00AA7DF5" w:rsidRDefault="00F03A57" w:rsidP="00F03A57">
            <w:pPr>
              <w:widowControl/>
              <w:spacing w:before="40" w:after="40"/>
              <w:rPr>
                <w:rFonts w:eastAsia="Calibri"/>
                <w:noProof/>
                <w:sz w:val="22"/>
                <w:szCs w:val="22"/>
                <w:lang w:eastAsia="en-US"/>
              </w:rPr>
            </w:pPr>
          </w:p>
        </w:tc>
        <w:tc>
          <w:tcPr>
            <w:tcW w:w="1278" w:type="dxa"/>
            <w:gridSpan w:val="2"/>
            <w:tcMar>
              <w:left w:w="28" w:type="dxa"/>
              <w:right w:w="28" w:type="dxa"/>
            </w:tcMar>
          </w:tcPr>
          <w:p w14:paraId="46ECBAEF" w14:textId="77777777" w:rsidR="00F03A57" w:rsidRPr="00AA7DF5" w:rsidRDefault="00F03A57" w:rsidP="00F03A57">
            <w:pPr>
              <w:widowControl/>
              <w:spacing w:before="40" w:after="40"/>
              <w:rPr>
                <w:rFonts w:eastAsia="Calibri"/>
                <w:b/>
                <w:i/>
                <w:noProof/>
                <w:sz w:val="22"/>
                <w:szCs w:val="22"/>
                <w:lang w:eastAsia="en-US"/>
              </w:rPr>
            </w:pPr>
            <w:bookmarkStart w:id="40" w:name="_DV_C352"/>
            <w:r w:rsidRPr="00AA7DF5">
              <w:rPr>
                <w:rFonts w:eastAsia="Calibri"/>
                <w:noProof/>
                <w:sz w:val="22"/>
                <w:szCs w:val="22"/>
                <w:lang w:eastAsia="en-US"/>
              </w:rPr>
              <w:t>não aplicável</w:t>
            </w:r>
            <w:bookmarkEnd w:id="40"/>
          </w:p>
        </w:tc>
        <w:tc>
          <w:tcPr>
            <w:tcW w:w="1277" w:type="dxa"/>
            <w:gridSpan w:val="2"/>
            <w:tcMar>
              <w:left w:w="28" w:type="dxa"/>
              <w:right w:w="28" w:type="dxa"/>
            </w:tcMar>
          </w:tcPr>
          <w:p w14:paraId="02CC322D" w14:textId="77777777" w:rsidR="00F03A57" w:rsidRPr="00AA7DF5" w:rsidRDefault="00F03A57" w:rsidP="00F03A57">
            <w:pPr>
              <w:widowControl/>
              <w:spacing w:before="40" w:after="40"/>
              <w:rPr>
                <w:rFonts w:eastAsia="Calibri"/>
                <w:b/>
                <w:i/>
                <w:noProof/>
                <w:sz w:val="22"/>
                <w:szCs w:val="22"/>
                <w:lang w:eastAsia="en-US"/>
              </w:rPr>
            </w:pPr>
            <w:bookmarkStart w:id="41" w:name="_DV_C353"/>
            <w:r w:rsidRPr="00AA7DF5">
              <w:rPr>
                <w:rFonts w:eastAsia="Calibri"/>
                <w:noProof/>
                <w:sz w:val="22"/>
                <w:szCs w:val="22"/>
                <w:lang w:eastAsia="en-US"/>
              </w:rPr>
              <w:t>não aplicável</w:t>
            </w:r>
            <w:bookmarkEnd w:id="41"/>
          </w:p>
        </w:tc>
        <w:tc>
          <w:tcPr>
            <w:tcW w:w="1136" w:type="dxa"/>
            <w:gridSpan w:val="2"/>
            <w:tcMar>
              <w:left w:w="28" w:type="dxa"/>
              <w:right w:w="28" w:type="dxa"/>
            </w:tcMar>
          </w:tcPr>
          <w:p w14:paraId="6EADA9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Soma de equivalentes de PCDD + PCDF + PCB-DL</w:t>
            </w:r>
          </w:p>
          <w:p w14:paraId="174DC7AA"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[3,5 10</w:t>
            </w:r>
            <w:r w:rsidRPr="00AA7DF5">
              <w:rPr>
                <w:rFonts w:eastAsia="Calibri"/>
                <w:noProof/>
                <w:sz w:val="22"/>
                <w:szCs w:val="22"/>
                <w:vertAlign w:val="superscript"/>
                <w:lang w:eastAsia="en-US"/>
              </w:rPr>
              <w:t>-5</w:t>
            </w:r>
            <w:r w:rsidRPr="00AA7DF5">
              <w:rPr>
                <w:rFonts w:eastAsia="Calibri"/>
                <w:noProof/>
                <w:sz w:val="22"/>
                <w:szCs w:val="22"/>
                <w:lang w:eastAsia="en-US"/>
              </w:rPr>
              <w:t>] (</w:t>
            </w:r>
            <w:r w:rsidRPr="00AA7DF5">
              <w:rPr>
                <w:rFonts w:eastAsia="Calibri"/>
                <w:noProof/>
                <w:sz w:val="22"/>
                <w:szCs w:val="22"/>
                <w:vertAlign w:val="superscript"/>
                <w:lang w:eastAsia="en-US"/>
              </w:rPr>
              <w:t>22</w:t>
            </w:r>
            <w:r w:rsidRPr="00AA7DF5">
              <w:rPr>
                <w:rFonts w:eastAsia="Calibri"/>
                <w:noProof/>
                <w:sz w:val="22"/>
                <w:szCs w:val="22"/>
                <w:lang w:eastAsia="en-US"/>
              </w:rPr>
              <w:t>)</w:t>
            </w:r>
          </w:p>
        </w:tc>
        <w:tc>
          <w:tcPr>
            <w:tcW w:w="1262" w:type="dxa"/>
            <w:tcMar>
              <w:left w:w="28" w:type="dxa"/>
              <w:right w:w="28" w:type="dxa"/>
            </w:tcMar>
          </w:tcPr>
          <w:p w14:paraId="1DF1758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5336EC2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7D0D5BE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5C9BA252" w14:textId="77777777" w:rsidTr="00F03A57">
        <w:trPr>
          <w:gridBefore w:val="1"/>
          <w:wBefore w:w="12" w:type="dxa"/>
          <w:cantSplit/>
          <w:tblHeader/>
          <w:jc w:val="center"/>
        </w:trPr>
        <w:tc>
          <w:tcPr>
            <w:tcW w:w="651" w:type="dxa"/>
            <w:gridSpan w:val="3"/>
            <w:tcMar>
              <w:left w:w="28" w:type="dxa"/>
              <w:right w:w="28" w:type="dxa"/>
            </w:tcMar>
          </w:tcPr>
          <w:p w14:paraId="10B95267"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(38)</w:t>
            </w:r>
          </w:p>
        </w:tc>
        <w:tc>
          <w:tcPr>
            <w:tcW w:w="2286" w:type="dxa"/>
            <w:gridSpan w:val="3"/>
            <w:tcMar>
              <w:left w:w="28" w:type="dxa"/>
              <w:right w:w="28" w:type="dxa"/>
            </w:tcMar>
          </w:tcPr>
          <w:p w14:paraId="309AEBE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Aclonifena</w:t>
            </w:r>
          </w:p>
        </w:tc>
        <w:tc>
          <w:tcPr>
            <w:tcW w:w="1329" w:type="dxa"/>
            <w:gridSpan w:val="3"/>
            <w:tcMar>
              <w:left w:w="28" w:type="dxa"/>
              <w:right w:w="28" w:type="dxa"/>
            </w:tcMar>
          </w:tcPr>
          <w:p w14:paraId="4259808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7EA53D1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74070-46-5</w:t>
            </w:r>
          </w:p>
        </w:tc>
        <w:tc>
          <w:tcPr>
            <w:tcW w:w="1134" w:type="dxa"/>
          </w:tcPr>
          <w:p w14:paraId="2425B17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277-704-1</w:t>
            </w:r>
          </w:p>
        </w:tc>
        <w:tc>
          <w:tcPr>
            <w:tcW w:w="1279" w:type="dxa"/>
            <w:gridSpan w:val="2"/>
            <w:tcMar>
              <w:left w:w="28" w:type="dxa"/>
              <w:right w:w="28" w:type="dxa"/>
            </w:tcMar>
          </w:tcPr>
          <w:p w14:paraId="5514E8E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0,12</w:t>
            </w:r>
          </w:p>
        </w:tc>
        <w:tc>
          <w:tcPr>
            <w:tcW w:w="1279" w:type="dxa"/>
            <w:gridSpan w:val="2"/>
            <w:tcMar>
              <w:left w:w="28" w:type="dxa"/>
              <w:right w:w="28" w:type="dxa"/>
            </w:tcMar>
          </w:tcPr>
          <w:p w14:paraId="1E38EB19" w14:textId="03E9397F"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012</w:t>
            </w:r>
          </w:p>
        </w:tc>
        <w:tc>
          <w:tcPr>
            <w:tcW w:w="1278" w:type="dxa"/>
            <w:gridSpan w:val="2"/>
            <w:tcMar>
              <w:left w:w="28" w:type="dxa"/>
              <w:right w:w="28" w:type="dxa"/>
            </w:tcMar>
          </w:tcPr>
          <w:p w14:paraId="089FE27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0,12</w:t>
            </w:r>
          </w:p>
        </w:tc>
        <w:tc>
          <w:tcPr>
            <w:tcW w:w="1277" w:type="dxa"/>
            <w:gridSpan w:val="2"/>
            <w:tcMar>
              <w:left w:w="28" w:type="dxa"/>
              <w:right w:w="28" w:type="dxa"/>
            </w:tcMar>
          </w:tcPr>
          <w:p w14:paraId="78C0CF64" w14:textId="40EAD5EE"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012</w:t>
            </w:r>
          </w:p>
        </w:tc>
        <w:tc>
          <w:tcPr>
            <w:tcW w:w="1136" w:type="dxa"/>
            <w:gridSpan w:val="2"/>
            <w:tcMar>
              <w:left w:w="28" w:type="dxa"/>
              <w:right w:w="28" w:type="dxa"/>
            </w:tcMar>
          </w:tcPr>
          <w:p w14:paraId="17E12472"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33FD94B"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337FEEB5"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4DF57523"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5AC1674B" w14:textId="77777777" w:rsidTr="00F03A57">
        <w:trPr>
          <w:gridBefore w:val="1"/>
          <w:wBefore w:w="12" w:type="dxa"/>
          <w:cantSplit/>
          <w:tblHeader/>
          <w:jc w:val="center"/>
        </w:trPr>
        <w:tc>
          <w:tcPr>
            <w:tcW w:w="651" w:type="dxa"/>
            <w:gridSpan w:val="3"/>
            <w:tcMar>
              <w:left w:w="28" w:type="dxa"/>
              <w:right w:w="28" w:type="dxa"/>
            </w:tcMar>
          </w:tcPr>
          <w:p w14:paraId="59AEFF20"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(39)</w:t>
            </w:r>
          </w:p>
        </w:tc>
        <w:tc>
          <w:tcPr>
            <w:tcW w:w="2286" w:type="dxa"/>
            <w:gridSpan w:val="3"/>
            <w:tcMar>
              <w:left w:w="28" w:type="dxa"/>
              <w:right w:w="28" w:type="dxa"/>
            </w:tcMar>
          </w:tcPr>
          <w:p w14:paraId="297E589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Bifenox</w:t>
            </w:r>
          </w:p>
        </w:tc>
        <w:tc>
          <w:tcPr>
            <w:tcW w:w="1329" w:type="dxa"/>
            <w:gridSpan w:val="3"/>
            <w:tcMar>
              <w:left w:w="28" w:type="dxa"/>
              <w:right w:w="28" w:type="dxa"/>
            </w:tcMar>
          </w:tcPr>
          <w:p w14:paraId="6F18D31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26673BC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42576-02-3</w:t>
            </w:r>
          </w:p>
        </w:tc>
        <w:tc>
          <w:tcPr>
            <w:tcW w:w="1134" w:type="dxa"/>
          </w:tcPr>
          <w:p w14:paraId="616DF98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255-894-7</w:t>
            </w:r>
          </w:p>
        </w:tc>
        <w:tc>
          <w:tcPr>
            <w:tcW w:w="1279" w:type="dxa"/>
            <w:gridSpan w:val="2"/>
            <w:tcMar>
              <w:left w:w="28" w:type="dxa"/>
              <w:right w:w="28" w:type="dxa"/>
            </w:tcMar>
          </w:tcPr>
          <w:p w14:paraId="530A392F" w14:textId="41AA0C13"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E42ABC" w:rsidRPr="00F367E5">
              <w:rPr>
                <w:rFonts w:eastAsia="Calibri"/>
                <w:b/>
                <w:bCs/>
                <w:i/>
                <w:iCs/>
                <w:noProof/>
                <w:sz w:val="22"/>
                <w:szCs w:val="22"/>
                <w:lang w:eastAsia="en-US"/>
              </w:rPr>
              <w:t>,</w:t>
            </w:r>
            <w:r w:rsidRPr="00AA7DF5">
              <w:rPr>
                <w:rFonts w:eastAsia="Calibri"/>
                <w:noProof/>
                <w:sz w:val="22"/>
                <w:szCs w:val="22"/>
                <w:lang w:eastAsia="en-US"/>
              </w:rPr>
              <w:t>012</w:t>
            </w:r>
          </w:p>
        </w:tc>
        <w:tc>
          <w:tcPr>
            <w:tcW w:w="1279" w:type="dxa"/>
            <w:gridSpan w:val="2"/>
            <w:tcMar>
              <w:left w:w="28" w:type="dxa"/>
              <w:right w:w="28" w:type="dxa"/>
            </w:tcMar>
          </w:tcPr>
          <w:p w14:paraId="4A40A00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0,0012</w:t>
            </w:r>
          </w:p>
        </w:tc>
        <w:tc>
          <w:tcPr>
            <w:tcW w:w="1278" w:type="dxa"/>
            <w:gridSpan w:val="2"/>
            <w:tcMar>
              <w:left w:w="28" w:type="dxa"/>
              <w:right w:w="28" w:type="dxa"/>
            </w:tcMar>
          </w:tcPr>
          <w:p w14:paraId="2C492D1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0,04</w:t>
            </w:r>
          </w:p>
        </w:tc>
        <w:tc>
          <w:tcPr>
            <w:tcW w:w="1277" w:type="dxa"/>
            <w:gridSpan w:val="2"/>
            <w:tcMar>
              <w:left w:w="28" w:type="dxa"/>
              <w:right w:w="28" w:type="dxa"/>
            </w:tcMar>
          </w:tcPr>
          <w:p w14:paraId="0E5312A3" w14:textId="72FDE09D"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004</w:t>
            </w:r>
          </w:p>
        </w:tc>
        <w:tc>
          <w:tcPr>
            <w:tcW w:w="1136" w:type="dxa"/>
            <w:gridSpan w:val="2"/>
            <w:tcMar>
              <w:left w:w="28" w:type="dxa"/>
              <w:right w:w="28" w:type="dxa"/>
            </w:tcMar>
          </w:tcPr>
          <w:p w14:paraId="23FEBDCD"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7EC418FE"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43FFB8F7"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4467BCC3"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1F62FC24" w14:textId="77777777" w:rsidTr="00F03A57">
        <w:trPr>
          <w:gridBefore w:val="1"/>
          <w:wBefore w:w="12" w:type="dxa"/>
          <w:cantSplit/>
          <w:tblHeader/>
          <w:jc w:val="center"/>
        </w:trPr>
        <w:tc>
          <w:tcPr>
            <w:tcW w:w="651" w:type="dxa"/>
            <w:gridSpan w:val="3"/>
            <w:tcMar>
              <w:left w:w="28" w:type="dxa"/>
              <w:right w:w="28" w:type="dxa"/>
            </w:tcMar>
          </w:tcPr>
          <w:p w14:paraId="48A49C0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(40)</w:t>
            </w:r>
          </w:p>
        </w:tc>
        <w:tc>
          <w:tcPr>
            <w:tcW w:w="2286" w:type="dxa"/>
            <w:gridSpan w:val="3"/>
            <w:tcMar>
              <w:left w:w="28" w:type="dxa"/>
              <w:right w:w="28" w:type="dxa"/>
            </w:tcMar>
          </w:tcPr>
          <w:p w14:paraId="6E01EAE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Cibutrina</w:t>
            </w:r>
          </w:p>
        </w:tc>
        <w:tc>
          <w:tcPr>
            <w:tcW w:w="1329" w:type="dxa"/>
            <w:gridSpan w:val="3"/>
            <w:tcMar>
              <w:left w:w="28" w:type="dxa"/>
              <w:right w:w="28" w:type="dxa"/>
            </w:tcMar>
          </w:tcPr>
          <w:p w14:paraId="5A9E0C5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Biocidas</w:t>
            </w:r>
          </w:p>
        </w:tc>
        <w:tc>
          <w:tcPr>
            <w:tcW w:w="992" w:type="dxa"/>
            <w:gridSpan w:val="2"/>
            <w:tcMar>
              <w:left w:w="28" w:type="dxa"/>
              <w:right w:w="28" w:type="dxa"/>
            </w:tcMar>
          </w:tcPr>
          <w:p w14:paraId="7C4B5C4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28159-98-0</w:t>
            </w:r>
          </w:p>
        </w:tc>
        <w:tc>
          <w:tcPr>
            <w:tcW w:w="1134" w:type="dxa"/>
          </w:tcPr>
          <w:p w14:paraId="721F523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248-872-3</w:t>
            </w:r>
          </w:p>
        </w:tc>
        <w:tc>
          <w:tcPr>
            <w:tcW w:w="1279" w:type="dxa"/>
            <w:gridSpan w:val="2"/>
            <w:tcMar>
              <w:left w:w="28" w:type="dxa"/>
              <w:right w:w="28" w:type="dxa"/>
            </w:tcMar>
          </w:tcPr>
          <w:p w14:paraId="36A1630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0,0025</w:t>
            </w:r>
          </w:p>
        </w:tc>
        <w:tc>
          <w:tcPr>
            <w:tcW w:w="1279" w:type="dxa"/>
            <w:gridSpan w:val="2"/>
            <w:tcMar>
              <w:left w:w="28" w:type="dxa"/>
              <w:right w:w="28" w:type="dxa"/>
            </w:tcMar>
          </w:tcPr>
          <w:p w14:paraId="686161D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0,0025</w:t>
            </w:r>
          </w:p>
        </w:tc>
        <w:tc>
          <w:tcPr>
            <w:tcW w:w="1278" w:type="dxa"/>
            <w:gridSpan w:val="2"/>
            <w:tcMar>
              <w:left w:w="28" w:type="dxa"/>
              <w:right w:w="28" w:type="dxa"/>
            </w:tcMar>
          </w:tcPr>
          <w:p w14:paraId="7AF3E59F" w14:textId="1A76EB5F"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016</w:t>
            </w:r>
          </w:p>
        </w:tc>
        <w:tc>
          <w:tcPr>
            <w:tcW w:w="1277" w:type="dxa"/>
            <w:gridSpan w:val="2"/>
            <w:tcMar>
              <w:left w:w="28" w:type="dxa"/>
              <w:right w:w="28" w:type="dxa"/>
            </w:tcMar>
          </w:tcPr>
          <w:p w14:paraId="79BD0782" w14:textId="3B17011D"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016</w:t>
            </w:r>
          </w:p>
        </w:tc>
        <w:tc>
          <w:tcPr>
            <w:tcW w:w="1136" w:type="dxa"/>
            <w:gridSpan w:val="2"/>
            <w:tcMar>
              <w:left w:w="28" w:type="dxa"/>
              <w:right w:w="28" w:type="dxa"/>
            </w:tcMar>
          </w:tcPr>
          <w:p w14:paraId="63D60514"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48DBE0A"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6CC03D14"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25F411FE"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43191443" w14:textId="77777777" w:rsidTr="00F03A57">
        <w:trPr>
          <w:gridBefore w:val="1"/>
          <w:wBefore w:w="12" w:type="dxa"/>
          <w:cantSplit/>
          <w:tblHeader/>
          <w:jc w:val="center"/>
        </w:trPr>
        <w:tc>
          <w:tcPr>
            <w:tcW w:w="651" w:type="dxa"/>
            <w:gridSpan w:val="3"/>
            <w:tcMar>
              <w:left w:w="28" w:type="dxa"/>
              <w:right w:w="28" w:type="dxa"/>
            </w:tcMar>
          </w:tcPr>
          <w:p w14:paraId="336FB3C4"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(41)</w:t>
            </w:r>
          </w:p>
        </w:tc>
        <w:tc>
          <w:tcPr>
            <w:tcW w:w="2286" w:type="dxa"/>
            <w:gridSpan w:val="3"/>
            <w:tcMar>
              <w:left w:w="28" w:type="dxa"/>
              <w:right w:w="28" w:type="dxa"/>
            </w:tcMar>
          </w:tcPr>
          <w:p w14:paraId="5F50330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Cipermetrina (</w:t>
            </w:r>
            <w:r w:rsidRPr="00AA7DF5">
              <w:rPr>
                <w:rFonts w:eastAsia="Calibri"/>
                <w:noProof/>
                <w:sz w:val="22"/>
                <w:szCs w:val="22"/>
                <w:vertAlign w:val="superscript"/>
                <w:lang w:eastAsia="en-US"/>
              </w:rPr>
              <w:t>23</w:t>
            </w:r>
            <w:r w:rsidRPr="00AA7DF5">
              <w:rPr>
                <w:rFonts w:eastAsia="Calibri"/>
                <w:noProof/>
                <w:sz w:val="22"/>
                <w:szCs w:val="22"/>
                <w:lang w:eastAsia="en-US"/>
              </w:rPr>
              <w:t>)</w:t>
            </w:r>
          </w:p>
        </w:tc>
        <w:tc>
          <w:tcPr>
            <w:tcW w:w="1329" w:type="dxa"/>
            <w:gridSpan w:val="3"/>
            <w:tcMar>
              <w:left w:w="28" w:type="dxa"/>
              <w:right w:w="28" w:type="dxa"/>
            </w:tcMar>
          </w:tcPr>
          <w:p w14:paraId="22C18E2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piretroides</w:t>
            </w:r>
          </w:p>
        </w:tc>
        <w:tc>
          <w:tcPr>
            <w:tcW w:w="992" w:type="dxa"/>
            <w:gridSpan w:val="2"/>
            <w:tcMar>
              <w:left w:w="28" w:type="dxa"/>
              <w:right w:w="28" w:type="dxa"/>
            </w:tcMar>
          </w:tcPr>
          <w:p w14:paraId="7677FB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52315-07-8</w:t>
            </w:r>
          </w:p>
        </w:tc>
        <w:tc>
          <w:tcPr>
            <w:tcW w:w="1134" w:type="dxa"/>
          </w:tcPr>
          <w:p w14:paraId="73F99088" w14:textId="77777777"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257-842-9</w:t>
            </w:r>
          </w:p>
        </w:tc>
        <w:tc>
          <w:tcPr>
            <w:tcW w:w="1279" w:type="dxa"/>
            <w:gridSpan w:val="2"/>
            <w:tcMar>
              <w:left w:w="28" w:type="dxa"/>
              <w:right w:w="28" w:type="dxa"/>
            </w:tcMar>
          </w:tcPr>
          <w:p w14:paraId="482AA29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 × 10</w:t>
            </w:r>
            <w:r w:rsidRPr="00AA7DF5">
              <w:rPr>
                <w:rFonts w:eastAsia="Calibri"/>
                <w:noProof/>
                <w:sz w:val="22"/>
                <w:szCs w:val="22"/>
                <w:vertAlign w:val="superscript"/>
                <w:lang w:eastAsia="en-US"/>
              </w:rPr>
              <w:t>-5</w:t>
            </w:r>
          </w:p>
        </w:tc>
        <w:tc>
          <w:tcPr>
            <w:tcW w:w="1279" w:type="dxa"/>
            <w:gridSpan w:val="2"/>
            <w:tcMar>
              <w:left w:w="28" w:type="dxa"/>
              <w:right w:w="28" w:type="dxa"/>
            </w:tcMar>
          </w:tcPr>
          <w:p w14:paraId="26AD99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 × 10</w:t>
            </w:r>
            <w:r w:rsidRPr="00AA7DF5">
              <w:rPr>
                <w:rFonts w:eastAsia="Calibri"/>
                <w:noProof/>
                <w:sz w:val="22"/>
                <w:szCs w:val="22"/>
                <w:vertAlign w:val="superscript"/>
                <w:lang w:eastAsia="en-US"/>
              </w:rPr>
              <w:t>-6</w:t>
            </w:r>
          </w:p>
        </w:tc>
        <w:tc>
          <w:tcPr>
            <w:tcW w:w="1278" w:type="dxa"/>
            <w:gridSpan w:val="2"/>
            <w:tcMar>
              <w:left w:w="28" w:type="dxa"/>
              <w:right w:w="28" w:type="dxa"/>
            </w:tcMar>
          </w:tcPr>
          <w:p w14:paraId="6CDE5218"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6 × 10</w:t>
            </w:r>
            <w:r w:rsidRPr="00AA7DF5">
              <w:rPr>
                <w:rFonts w:eastAsia="Calibri"/>
                <w:noProof/>
                <w:sz w:val="22"/>
                <w:szCs w:val="22"/>
                <w:vertAlign w:val="superscript"/>
                <w:lang w:eastAsia="en-US"/>
              </w:rPr>
              <w:t>-4</w:t>
            </w:r>
          </w:p>
        </w:tc>
        <w:tc>
          <w:tcPr>
            <w:tcW w:w="1277" w:type="dxa"/>
            <w:gridSpan w:val="2"/>
            <w:tcMar>
              <w:left w:w="28" w:type="dxa"/>
              <w:right w:w="28" w:type="dxa"/>
            </w:tcMar>
          </w:tcPr>
          <w:p w14:paraId="280054FC"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6 × 10</w:t>
            </w:r>
            <w:r w:rsidRPr="00AA7DF5">
              <w:rPr>
                <w:rFonts w:eastAsia="Calibri"/>
                <w:noProof/>
                <w:sz w:val="22"/>
                <w:szCs w:val="22"/>
                <w:vertAlign w:val="superscript"/>
                <w:lang w:eastAsia="en-US"/>
              </w:rPr>
              <w:t>-5</w:t>
            </w:r>
          </w:p>
        </w:tc>
        <w:tc>
          <w:tcPr>
            <w:tcW w:w="1136" w:type="dxa"/>
            <w:gridSpan w:val="2"/>
            <w:tcMar>
              <w:left w:w="28" w:type="dxa"/>
              <w:right w:w="28" w:type="dxa"/>
            </w:tcMar>
          </w:tcPr>
          <w:p w14:paraId="2FC92189"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52186461" w14:textId="77777777" w:rsidR="00F03A57" w:rsidRPr="00AA7DF5" w:rsidRDefault="00F03A57" w:rsidP="00F03A57">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0CCFAE64" w14:textId="77777777" w:rsidR="00F03A57" w:rsidRPr="00AA7DF5" w:rsidRDefault="00F03A57" w:rsidP="00F03A57">
            <w:pPr>
              <w:widowControl/>
              <w:spacing w:before="40" w:after="40"/>
              <w:rPr>
                <w:rFonts w:eastAsia="Calibri"/>
                <w:noProof/>
                <w:sz w:val="22"/>
                <w:szCs w:val="22"/>
                <w:vertAlign w:val="superscript"/>
                <w:lang w:eastAsia="en-US"/>
              </w:rPr>
            </w:pPr>
          </w:p>
        </w:tc>
        <w:tc>
          <w:tcPr>
            <w:tcW w:w="970" w:type="dxa"/>
            <w:tcMar>
              <w:left w:w="28" w:type="dxa"/>
              <w:right w:w="28" w:type="dxa"/>
            </w:tcMar>
          </w:tcPr>
          <w:p w14:paraId="1661DAF1"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X</w:t>
            </w:r>
          </w:p>
        </w:tc>
      </w:tr>
      <w:tr w:rsidR="00F03A57" w:rsidRPr="00AA7DF5" w14:paraId="053DF8AC" w14:textId="77777777" w:rsidTr="00F03A57">
        <w:trPr>
          <w:gridBefore w:val="1"/>
          <w:wBefore w:w="12" w:type="dxa"/>
          <w:cantSplit/>
          <w:tblHeader/>
          <w:jc w:val="center"/>
        </w:trPr>
        <w:tc>
          <w:tcPr>
            <w:tcW w:w="651" w:type="dxa"/>
            <w:gridSpan w:val="3"/>
            <w:tcMar>
              <w:left w:w="28" w:type="dxa"/>
              <w:right w:w="28" w:type="dxa"/>
            </w:tcMar>
          </w:tcPr>
          <w:p w14:paraId="342B1779"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(42)</w:t>
            </w:r>
          </w:p>
        </w:tc>
        <w:tc>
          <w:tcPr>
            <w:tcW w:w="2286" w:type="dxa"/>
            <w:gridSpan w:val="3"/>
            <w:tcMar>
              <w:left w:w="28" w:type="dxa"/>
              <w:right w:w="28" w:type="dxa"/>
            </w:tcMar>
          </w:tcPr>
          <w:p w14:paraId="74303B3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Diclorvos</w:t>
            </w:r>
          </w:p>
        </w:tc>
        <w:tc>
          <w:tcPr>
            <w:tcW w:w="1329" w:type="dxa"/>
            <w:gridSpan w:val="3"/>
            <w:tcMar>
              <w:left w:w="28" w:type="dxa"/>
              <w:right w:w="28" w:type="dxa"/>
            </w:tcMar>
          </w:tcPr>
          <w:p w14:paraId="795CD15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organofosfatados</w:t>
            </w:r>
          </w:p>
        </w:tc>
        <w:tc>
          <w:tcPr>
            <w:tcW w:w="992" w:type="dxa"/>
            <w:gridSpan w:val="2"/>
            <w:tcMar>
              <w:left w:w="28" w:type="dxa"/>
              <w:right w:w="28" w:type="dxa"/>
            </w:tcMar>
          </w:tcPr>
          <w:p w14:paraId="78D9176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62-73-7</w:t>
            </w:r>
          </w:p>
        </w:tc>
        <w:tc>
          <w:tcPr>
            <w:tcW w:w="1134" w:type="dxa"/>
          </w:tcPr>
          <w:p w14:paraId="3B64C2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200-547-7</w:t>
            </w:r>
          </w:p>
        </w:tc>
        <w:tc>
          <w:tcPr>
            <w:tcW w:w="1279" w:type="dxa"/>
            <w:gridSpan w:val="2"/>
            <w:tcMar>
              <w:left w:w="28" w:type="dxa"/>
              <w:right w:w="28" w:type="dxa"/>
            </w:tcMar>
          </w:tcPr>
          <w:p w14:paraId="23915B2F"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6 × 10</w:t>
            </w:r>
            <w:r w:rsidRPr="00AA7DF5">
              <w:rPr>
                <w:rFonts w:eastAsia="Calibri"/>
                <w:noProof/>
                <w:sz w:val="22"/>
                <w:szCs w:val="22"/>
                <w:vertAlign w:val="superscript"/>
                <w:lang w:eastAsia="en-US"/>
              </w:rPr>
              <w:t>-4</w:t>
            </w:r>
          </w:p>
        </w:tc>
        <w:tc>
          <w:tcPr>
            <w:tcW w:w="1279" w:type="dxa"/>
            <w:gridSpan w:val="2"/>
            <w:tcMar>
              <w:left w:w="28" w:type="dxa"/>
              <w:right w:w="28" w:type="dxa"/>
            </w:tcMar>
          </w:tcPr>
          <w:p w14:paraId="1A63DC77"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6 × 10</w:t>
            </w:r>
            <w:r w:rsidRPr="00AA7DF5">
              <w:rPr>
                <w:rFonts w:eastAsia="Calibri"/>
                <w:noProof/>
                <w:sz w:val="22"/>
                <w:szCs w:val="22"/>
                <w:vertAlign w:val="superscript"/>
                <w:lang w:eastAsia="en-US"/>
              </w:rPr>
              <w:t>-5</w:t>
            </w:r>
          </w:p>
        </w:tc>
        <w:tc>
          <w:tcPr>
            <w:tcW w:w="1278" w:type="dxa"/>
            <w:gridSpan w:val="2"/>
            <w:tcMar>
              <w:left w:w="28" w:type="dxa"/>
              <w:right w:w="28" w:type="dxa"/>
            </w:tcMar>
          </w:tcPr>
          <w:p w14:paraId="040D722A"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7 × 10</w:t>
            </w:r>
            <w:r w:rsidRPr="00AA7DF5">
              <w:rPr>
                <w:rFonts w:eastAsia="Calibri"/>
                <w:noProof/>
                <w:sz w:val="22"/>
                <w:szCs w:val="22"/>
                <w:vertAlign w:val="superscript"/>
                <w:lang w:eastAsia="en-US"/>
              </w:rPr>
              <w:t>-4</w:t>
            </w:r>
          </w:p>
        </w:tc>
        <w:tc>
          <w:tcPr>
            <w:tcW w:w="1277" w:type="dxa"/>
            <w:gridSpan w:val="2"/>
            <w:tcMar>
              <w:left w:w="28" w:type="dxa"/>
              <w:right w:w="28" w:type="dxa"/>
            </w:tcMar>
          </w:tcPr>
          <w:p w14:paraId="12E159D3"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7 × 10</w:t>
            </w:r>
            <w:r w:rsidRPr="00AA7DF5">
              <w:rPr>
                <w:rFonts w:eastAsia="Calibri"/>
                <w:noProof/>
                <w:sz w:val="22"/>
                <w:szCs w:val="22"/>
                <w:vertAlign w:val="superscript"/>
                <w:lang w:eastAsia="en-US"/>
              </w:rPr>
              <w:t>-5</w:t>
            </w:r>
          </w:p>
        </w:tc>
        <w:tc>
          <w:tcPr>
            <w:tcW w:w="1136" w:type="dxa"/>
            <w:gridSpan w:val="2"/>
            <w:tcMar>
              <w:left w:w="28" w:type="dxa"/>
              <w:right w:w="28" w:type="dxa"/>
            </w:tcMar>
          </w:tcPr>
          <w:p w14:paraId="6A3FBFB4" w14:textId="77777777" w:rsidR="00F03A57" w:rsidRPr="00AA7DF5" w:rsidRDefault="00F03A57" w:rsidP="00F03A57">
            <w:pPr>
              <w:widowControl/>
              <w:spacing w:before="40" w:after="40"/>
              <w:rPr>
                <w:rFonts w:eastAsia="Calibri"/>
                <w:noProof/>
                <w:sz w:val="22"/>
                <w:szCs w:val="22"/>
                <w:vertAlign w:val="superscript"/>
                <w:lang w:eastAsia="en-US"/>
              </w:rPr>
            </w:pPr>
          </w:p>
        </w:tc>
        <w:tc>
          <w:tcPr>
            <w:tcW w:w="1262" w:type="dxa"/>
            <w:tcMar>
              <w:left w:w="28" w:type="dxa"/>
              <w:right w:w="28" w:type="dxa"/>
            </w:tcMar>
          </w:tcPr>
          <w:p w14:paraId="2AAA443E" w14:textId="77777777" w:rsidR="00F03A57" w:rsidRPr="00AA7DF5" w:rsidRDefault="00F03A57" w:rsidP="00F03A57">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6108CEEB" w14:textId="77777777" w:rsidR="00F03A57" w:rsidRPr="00AA7DF5" w:rsidRDefault="00F03A57" w:rsidP="00F03A57">
            <w:pPr>
              <w:widowControl/>
              <w:spacing w:before="40" w:after="40"/>
              <w:rPr>
                <w:rFonts w:eastAsia="Calibri"/>
                <w:noProof/>
                <w:sz w:val="22"/>
                <w:szCs w:val="22"/>
                <w:vertAlign w:val="superscript"/>
                <w:lang w:eastAsia="en-US"/>
              </w:rPr>
            </w:pPr>
          </w:p>
        </w:tc>
        <w:tc>
          <w:tcPr>
            <w:tcW w:w="970" w:type="dxa"/>
            <w:tcMar>
              <w:left w:w="28" w:type="dxa"/>
              <w:right w:w="28" w:type="dxa"/>
            </w:tcMar>
          </w:tcPr>
          <w:p w14:paraId="29F709C1" w14:textId="77777777" w:rsidR="00F03A57" w:rsidRPr="00AA7DF5" w:rsidRDefault="00F03A57" w:rsidP="00F03A57">
            <w:pPr>
              <w:widowControl/>
              <w:spacing w:before="40" w:after="40"/>
              <w:rPr>
                <w:rFonts w:eastAsia="Calibri"/>
                <w:noProof/>
                <w:sz w:val="22"/>
                <w:szCs w:val="22"/>
                <w:vertAlign w:val="superscript"/>
                <w:lang w:eastAsia="en-US"/>
              </w:rPr>
            </w:pPr>
          </w:p>
        </w:tc>
      </w:tr>
      <w:tr w:rsidR="00F03A57" w:rsidRPr="00AA7DF5" w14:paraId="1870E2DF" w14:textId="77777777" w:rsidTr="00F03A57">
        <w:trPr>
          <w:gridBefore w:val="1"/>
          <w:wBefore w:w="12" w:type="dxa"/>
          <w:cantSplit/>
          <w:tblHeader/>
          <w:jc w:val="center"/>
        </w:trPr>
        <w:tc>
          <w:tcPr>
            <w:tcW w:w="651" w:type="dxa"/>
            <w:gridSpan w:val="3"/>
            <w:tcMar>
              <w:left w:w="28" w:type="dxa"/>
              <w:right w:w="28" w:type="dxa"/>
            </w:tcMar>
          </w:tcPr>
          <w:p w14:paraId="3579A3DE"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(43)</w:t>
            </w:r>
          </w:p>
        </w:tc>
        <w:tc>
          <w:tcPr>
            <w:tcW w:w="2286" w:type="dxa"/>
            <w:gridSpan w:val="3"/>
            <w:tcMar>
              <w:left w:w="28" w:type="dxa"/>
              <w:right w:w="28" w:type="dxa"/>
            </w:tcMar>
          </w:tcPr>
          <w:p w14:paraId="16905D2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Hexabromociclododecano (HBCDD) (</w:t>
            </w:r>
            <w:r w:rsidRPr="00AA7DF5">
              <w:rPr>
                <w:rFonts w:eastAsia="Calibri"/>
                <w:noProof/>
                <w:sz w:val="22"/>
                <w:szCs w:val="22"/>
                <w:vertAlign w:val="superscript"/>
                <w:lang w:eastAsia="en-US"/>
              </w:rPr>
              <w:t>24</w:t>
            </w:r>
            <w:r w:rsidRPr="00AA7DF5">
              <w:rPr>
                <w:rFonts w:eastAsia="Calibri"/>
                <w:noProof/>
                <w:sz w:val="22"/>
                <w:szCs w:val="22"/>
                <w:lang w:eastAsia="en-US"/>
              </w:rPr>
              <w:t>)</w:t>
            </w:r>
            <w:r w:rsidRPr="00AA7DF5">
              <w:rPr>
                <w:rFonts w:eastAsia="Calibri"/>
                <w:noProof/>
                <w:szCs w:val="22"/>
                <w:u w:val="single"/>
                <w:lang w:eastAsia="en-US"/>
              </w:rPr>
              <w:t xml:space="preserve"> </w:t>
            </w:r>
          </w:p>
        </w:tc>
        <w:tc>
          <w:tcPr>
            <w:tcW w:w="1329" w:type="dxa"/>
            <w:gridSpan w:val="3"/>
            <w:tcMar>
              <w:left w:w="28" w:type="dxa"/>
              <w:right w:w="28" w:type="dxa"/>
            </w:tcMar>
          </w:tcPr>
          <w:p w14:paraId="3B51A0E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Substâncias industriais</w:t>
            </w:r>
          </w:p>
        </w:tc>
        <w:tc>
          <w:tcPr>
            <w:tcW w:w="992" w:type="dxa"/>
            <w:gridSpan w:val="2"/>
            <w:tcMar>
              <w:left w:w="28" w:type="dxa"/>
              <w:right w:w="28" w:type="dxa"/>
            </w:tcMar>
          </w:tcPr>
          <w:p w14:paraId="459625D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Ver nota 24</w:t>
            </w:r>
          </w:p>
        </w:tc>
        <w:tc>
          <w:tcPr>
            <w:tcW w:w="1134" w:type="dxa"/>
          </w:tcPr>
          <w:p w14:paraId="2C3783B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Ver nota 24</w:t>
            </w:r>
          </w:p>
        </w:tc>
        <w:tc>
          <w:tcPr>
            <w:tcW w:w="1279" w:type="dxa"/>
            <w:gridSpan w:val="2"/>
            <w:tcMar>
              <w:left w:w="28" w:type="dxa"/>
              <w:right w:w="28" w:type="dxa"/>
            </w:tcMar>
          </w:tcPr>
          <w:p w14:paraId="68C5346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[4,6 × 10</w:t>
            </w:r>
            <w:r w:rsidRPr="00AA7DF5">
              <w:rPr>
                <w:rFonts w:eastAsia="Calibri"/>
                <w:noProof/>
                <w:sz w:val="22"/>
                <w:szCs w:val="22"/>
                <w:vertAlign w:val="superscript"/>
                <w:lang w:eastAsia="en-US"/>
              </w:rPr>
              <w:t>-4</w:t>
            </w:r>
            <w:r w:rsidRPr="00AA7DF5">
              <w:rPr>
                <w:rFonts w:eastAsia="Calibri"/>
                <w:noProof/>
                <w:sz w:val="22"/>
                <w:szCs w:val="22"/>
                <w:lang w:eastAsia="en-US"/>
              </w:rPr>
              <w:t>]</w:t>
            </w:r>
          </w:p>
        </w:tc>
        <w:tc>
          <w:tcPr>
            <w:tcW w:w="1279" w:type="dxa"/>
            <w:gridSpan w:val="2"/>
            <w:tcMar>
              <w:left w:w="28" w:type="dxa"/>
              <w:right w:w="28" w:type="dxa"/>
            </w:tcMar>
          </w:tcPr>
          <w:p w14:paraId="70778E2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 × 10</w:t>
            </w:r>
            <w:r w:rsidRPr="00AA7DF5">
              <w:rPr>
                <w:rFonts w:eastAsia="Calibri"/>
                <w:noProof/>
                <w:sz w:val="22"/>
                <w:szCs w:val="22"/>
                <w:vertAlign w:val="superscript"/>
                <w:lang w:eastAsia="en-US"/>
              </w:rPr>
              <w:t>-5</w:t>
            </w:r>
            <w:r w:rsidRPr="00AA7DF5">
              <w:rPr>
                <w:rFonts w:eastAsia="Calibri"/>
                <w:noProof/>
                <w:sz w:val="22"/>
                <w:szCs w:val="22"/>
                <w:lang w:eastAsia="en-US"/>
              </w:rPr>
              <w:t>]</w:t>
            </w:r>
          </w:p>
        </w:tc>
        <w:tc>
          <w:tcPr>
            <w:tcW w:w="1278" w:type="dxa"/>
            <w:gridSpan w:val="2"/>
            <w:tcMar>
              <w:left w:w="28" w:type="dxa"/>
              <w:right w:w="28" w:type="dxa"/>
            </w:tcMar>
          </w:tcPr>
          <w:p w14:paraId="3596813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0,5</w:t>
            </w:r>
          </w:p>
        </w:tc>
        <w:tc>
          <w:tcPr>
            <w:tcW w:w="1277" w:type="dxa"/>
            <w:gridSpan w:val="2"/>
            <w:tcMar>
              <w:left w:w="28" w:type="dxa"/>
              <w:right w:w="28" w:type="dxa"/>
            </w:tcMar>
          </w:tcPr>
          <w:p w14:paraId="69E7A9E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0,05</w:t>
            </w:r>
          </w:p>
        </w:tc>
        <w:tc>
          <w:tcPr>
            <w:tcW w:w="1136" w:type="dxa"/>
            <w:gridSpan w:val="2"/>
            <w:tcMar>
              <w:left w:w="28" w:type="dxa"/>
              <w:right w:w="28" w:type="dxa"/>
            </w:tcMar>
          </w:tcPr>
          <w:p w14:paraId="776D6F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[3,5]</w:t>
            </w:r>
          </w:p>
        </w:tc>
        <w:tc>
          <w:tcPr>
            <w:tcW w:w="1262" w:type="dxa"/>
            <w:tcMar>
              <w:left w:w="28" w:type="dxa"/>
              <w:right w:w="28" w:type="dxa"/>
            </w:tcMar>
          </w:tcPr>
          <w:p w14:paraId="3C532D1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5DF5C90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392D430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6922C1AC" w14:textId="77777777" w:rsidTr="00F03A57">
        <w:trPr>
          <w:gridBefore w:val="1"/>
          <w:wBefore w:w="12" w:type="dxa"/>
          <w:cantSplit/>
          <w:tblHeader/>
          <w:jc w:val="center"/>
        </w:trPr>
        <w:tc>
          <w:tcPr>
            <w:tcW w:w="651" w:type="dxa"/>
            <w:gridSpan w:val="3"/>
            <w:tcMar>
              <w:left w:w="28" w:type="dxa"/>
              <w:right w:w="28" w:type="dxa"/>
            </w:tcMar>
          </w:tcPr>
          <w:p w14:paraId="3DBC4680"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(44)</w:t>
            </w:r>
          </w:p>
        </w:tc>
        <w:tc>
          <w:tcPr>
            <w:tcW w:w="2286" w:type="dxa"/>
            <w:gridSpan w:val="3"/>
            <w:tcMar>
              <w:left w:w="28" w:type="dxa"/>
              <w:right w:w="28" w:type="dxa"/>
            </w:tcMar>
          </w:tcPr>
          <w:p w14:paraId="7AE96CE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Heptacloro e epóxido de heptacloro</w:t>
            </w:r>
          </w:p>
        </w:tc>
        <w:tc>
          <w:tcPr>
            <w:tcW w:w="1329" w:type="dxa"/>
            <w:gridSpan w:val="3"/>
            <w:tcMar>
              <w:left w:w="28" w:type="dxa"/>
              <w:right w:w="28" w:type="dxa"/>
            </w:tcMar>
          </w:tcPr>
          <w:p w14:paraId="6803899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organoclorados</w:t>
            </w:r>
          </w:p>
        </w:tc>
        <w:tc>
          <w:tcPr>
            <w:tcW w:w="992" w:type="dxa"/>
            <w:gridSpan w:val="2"/>
            <w:tcMar>
              <w:left w:w="28" w:type="dxa"/>
              <w:right w:w="28" w:type="dxa"/>
            </w:tcMar>
          </w:tcPr>
          <w:p w14:paraId="6AC193F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76-44-8/1024-57-3</w:t>
            </w:r>
          </w:p>
        </w:tc>
        <w:tc>
          <w:tcPr>
            <w:tcW w:w="1134" w:type="dxa"/>
          </w:tcPr>
          <w:p w14:paraId="1F5609C1" w14:textId="77777777" w:rsidR="00F03A57" w:rsidRPr="00AA7DF5" w:rsidRDefault="00F03A57" w:rsidP="00F03A57">
            <w:pPr>
              <w:widowControl/>
              <w:spacing w:before="40" w:after="40"/>
              <w:rPr>
                <w:rFonts w:eastAsia="Calibri"/>
                <w:strike/>
                <w:noProof/>
                <w:sz w:val="22"/>
                <w:szCs w:val="22"/>
                <w:lang w:eastAsia="en-US"/>
              </w:rPr>
            </w:pPr>
            <w:r w:rsidRPr="00AA7DF5">
              <w:rPr>
                <w:rFonts w:eastAsia="Calibri"/>
                <w:noProof/>
                <w:sz w:val="22"/>
                <w:szCs w:val="22"/>
                <w:lang w:eastAsia="en-US"/>
              </w:rPr>
              <w:t>200-962-3/213-831-0</w:t>
            </w:r>
          </w:p>
        </w:tc>
        <w:tc>
          <w:tcPr>
            <w:tcW w:w="1279" w:type="dxa"/>
            <w:gridSpan w:val="2"/>
            <w:tcMar>
              <w:left w:w="28" w:type="dxa"/>
              <w:right w:w="28" w:type="dxa"/>
            </w:tcMar>
          </w:tcPr>
          <w:p w14:paraId="42C0EC3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[1,7 × 10</w:t>
            </w:r>
            <w:r w:rsidRPr="00AA7DF5">
              <w:rPr>
                <w:rFonts w:eastAsia="Calibri"/>
                <w:noProof/>
                <w:sz w:val="22"/>
                <w:szCs w:val="22"/>
                <w:vertAlign w:val="superscript"/>
                <w:lang w:eastAsia="en-US"/>
              </w:rPr>
              <w:t>-7</w:t>
            </w:r>
            <w:r w:rsidRPr="00AA7DF5">
              <w:rPr>
                <w:rFonts w:eastAsia="Calibri"/>
                <w:noProof/>
                <w:sz w:val="22"/>
                <w:szCs w:val="22"/>
                <w:lang w:eastAsia="en-US"/>
              </w:rPr>
              <w:t>]</w:t>
            </w:r>
          </w:p>
        </w:tc>
        <w:tc>
          <w:tcPr>
            <w:tcW w:w="1279" w:type="dxa"/>
            <w:gridSpan w:val="2"/>
            <w:tcMar>
              <w:left w:w="28" w:type="dxa"/>
              <w:right w:w="28" w:type="dxa"/>
            </w:tcMar>
          </w:tcPr>
          <w:p w14:paraId="7E33795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[1,7 × 10</w:t>
            </w:r>
            <w:r w:rsidRPr="00AA7DF5">
              <w:rPr>
                <w:rFonts w:eastAsia="Calibri"/>
                <w:noProof/>
                <w:sz w:val="22"/>
                <w:szCs w:val="22"/>
                <w:vertAlign w:val="superscript"/>
                <w:lang w:eastAsia="en-US"/>
              </w:rPr>
              <w:t>-7</w:t>
            </w:r>
            <w:r w:rsidRPr="00AA7DF5">
              <w:rPr>
                <w:rFonts w:eastAsia="Calibri"/>
                <w:noProof/>
                <w:sz w:val="22"/>
                <w:szCs w:val="22"/>
                <w:lang w:eastAsia="en-US"/>
              </w:rPr>
              <w:t>]</w:t>
            </w:r>
          </w:p>
        </w:tc>
        <w:tc>
          <w:tcPr>
            <w:tcW w:w="1278" w:type="dxa"/>
            <w:gridSpan w:val="2"/>
            <w:tcMar>
              <w:left w:w="28" w:type="dxa"/>
              <w:right w:w="28" w:type="dxa"/>
            </w:tcMar>
          </w:tcPr>
          <w:p w14:paraId="17C2B348"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3 × 10</w:t>
            </w:r>
            <w:r w:rsidRPr="00AA7DF5">
              <w:rPr>
                <w:rFonts w:eastAsia="Calibri"/>
                <w:noProof/>
                <w:sz w:val="22"/>
                <w:szCs w:val="22"/>
                <w:vertAlign w:val="superscript"/>
                <w:lang w:eastAsia="en-US"/>
              </w:rPr>
              <w:t>-4</w:t>
            </w:r>
          </w:p>
        </w:tc>
        <w:tc>
          <w:tcPr>
            <w:tcW w:w="1277" w:type="dxa"/>
            <w:gridSpan w:val="2"/>
            <w:tcMar>
              <w:left w:w="28" w:type="dxa"/>
              <w:right w:w="28" w:type="dxa"/>
            </w:tcMar>
          </w:tcPr>
          <w:p w14:paraId="23649F4F" w14:textId="77777777"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lang w:eastAsia="en-US"/>
              </w:rPr>
              <w:t>3 × 10</w:t>
            </w:r>
            <w:r w:rsidRPr="00AA7DF5">
              <w:rPr>
                <w:rFonts w:eastAsia="Calibri"/>
                <w:noProof/>
                <w:sz w:val="22"/>
                <w:szCs w:val="22"/>
                <w:vertAlign w:val="superscript"/>
                <w:lang w:eastAsia="en-US"/>
              </w:rPr>
              <w:t>-5</w:t>
            </w:r>
          </w:p>
        </w:tc>
        <w:tc>
          <w:tcPr>
            <w:tcW w:w="1136" w:type="dxa"/>
            <w:gridSpan w:val="2"/>
            <w:tcMar>
              <w:left w:w="28" w:type="dxa"/>
              <w:right w:w="28" w:type="dxa"/>
            </w:tcMar>
          </w:tcPr>
          <w:p w14:paraId="66405E7B" w14:textId="523B1BFF" w:rsidR="00F03A57" w:rsidRPr="00AA7DF5" w:rsidRDefault="00F03A57" w:rsidP="00F03A57">
            <w:pPr>
              <w:widowControl/>
              <w:spacing w:before="40" w:after="40"/>
              <w:rPr>
                <w:rFonts w:eastAsia="Calibri"/>
                <w:noProof/>
                <w:sz w:val="22"/>
                <w:szCs w:val="22"/>
                <w:vertAlign w:val="superscript"/>
                <w:lang w:eastAsia="en-US"/>
              </w:rPr>
            </w:pPr>
            <w:r w:rsidRPr="00AA7DF5">
              <w:rPr>
                <w:rFonts w:eastAsia="Calibri"/>
                <w:noProof/>
                <w:sz w:val="22"/>
                <w:szCs w:val="22"/>
                <w:vertAlign w:val="superscript"/>
                <w:lang w:eastAsia="en-US"/>
              </w:rPr>
              <w:t xml:space="preserve"> </w:t>
            </w: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013]</w:t>
            </w:r>
          </w:p>
        </w:tc>
        <w:tc>
          <w:tcPr>
            <w:tcW w:w="1262" w:type="dxa"/>
            <w:tcMar>
              <w:left w:w="28" w:type="dxa"/>
              <w:right w:w="28" w:type="dxa"/>
            </w:tcMar>
          </w:tcPr>
          <w:p w14:paraId="4E758B2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0E67EAF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c>
          <w:tcPr>
            <w:tcW w:w="970" w:type="dxa"/>
            <w:tcMar>
              <w:left w:w="28" w:type="dxa"/>
              <w:right w:w="28" w:type="dxa"/>
            </w:tcMar>
          </w:tcPr>
          <w:p w14:paraId="43AD445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399D7EE2" w14:textId="77777777" w:rsidTr="00F03A57">
        <w:trPr>
          <w:gridBefore w:val="1"/>
          <w:wBefore w:w="12" w:type="dxa"/>
          <w:cantSplit/>
          <w:tblHeader/>
          <w:jc w:val="center"/>
        </w:trPr>
        <w:tc>
          <w:tcPr>
            <w:tcW w:w="651" w:type="dxa"/>
            <w:gridSpan w:val="3"/>
            <w:tcMar>
              <w:left w:w="28" w:type="dxa"/>
              <w:right w:w="28" w:type="dxa"/>
            </w:tcMar>
          </w:tcPr>
          <w:p w14:paraId="756CD30D"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(45)</w:t>
            </w:r>
          </w:p>
        </w:tc>
        <w:tc>
          <w:tcPr>
            <w:tcW w:w="2286" w:type="dxa"/>
            <w:gridSpan w:val="3"/>
            <w:tcMar>
              <w:left w:w="28" w:type="dxa"/>
              <w:right w:w="28" w:type="dxa"/>
            </w:tcMar>
          </w:tcPr>
          <w:p w14:paraId="6AE9855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Terbutrina</w:t>
            </w:r>
          </w:p>
        </w:tc>
        <w:tc>
          <w:tcPr>
            <w:tcW w:w="1329" w:type="dxa"/>
            <w:gridSpan w:val="3"/>
            <w:tcMar>
              <w:left w:w="28" w:type="dxa"/>
              <w:right w:w="28" w:type="dxa"/>
            </w:tcMar>
          </w:tcPr>
          <w:p w14:paraId="1BAC6E5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Herbicidas</w:t>
            </w:r>
          </w:p>
        </w:tc>
        <w:tc>
          <w:tcPr>
            <w:tcW w:w="992" w:type="dxa"/>
            <w:gridSpan w:val="2"/>
            <w:tcMar>
              <w:left w:w="28" w:type="dxa"/>
              <w:right w:w="28" w:type="dxa"/>
            </w:tcMar>
          </w:tcPr>
          <w:p w14:paraId="4111A11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886-50-0</w:t>
            </w:r>
          </w:p>
        </w:tc>
        <w:tc>
          <w:tcPr>
            <w:tcW w:w="1134" w:type="dxa"/>
          </w:tcPr>
          <w:p w14:paraId="5C5E1D5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212-950-5</w:t>
            </w:r>
          </w:p>
        </w:tc>
        <w:tc>
          <w:tcPr>
            <w:tcW w:w="1279" w:type="dxa"/>
            <w:gridSpan w:val="2"/>
            <w:tcMar>
              <w:left w:w="28" w:type="dxa"/>
              <w:right w:w="28" w:type="dxa"/>
            </w:tcMar>
          </w:tcPr>
          <w:p w14:paraId="2198639B" w14:textId="52F5D1B1"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E42ABC" w:rsidRPr="00F367E5">
              <w:rPr>
                <w:rFonts w:eastAsia="Calibri"/>
                <w:b/>
                <w:bCs/>
                <w:i/>
                <w:iCs/>
                <w:noProof/>
                <w:sz w:val="22"/>
                <w:szCs w:val="22"/>
                <w:lang w:eastAsia="en-US"/>
              </w:rPr>
              <w:t>,</w:t>
            </w:r>
            <w:r w:rsidRPr="00AA7DF5">
              <w:rPr>
                <w:rFonts w:eastAsia="Calibri"/>
                <w:noProof/>
                <w:sz w:val="22"/>
                <w:szCs w:val="22"/>
                <w:lang w:eastAsia="en-US"/>
              </w:rPr>
              <w:t>065</w:t>
            </w:r>
          </w:p>
        </w:tc>
        <w:tc>
          <w:tcPr>
            <w:tcW w:w="1279" w:type="dxa"/>
            <w:gridSpan w:val="2"/>
            <w:tcMar>
              <w:left w:w="28" w:type="dxa"/>
              <w:right w:w="28" w:type="dxa"/>
            </w:tcMar>
          </w:tcPr>
          <w:p w14:paraId="6E31F25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0,0065</w:t>
            </w:r>
          </w:p>
        </w:tc>
        <w:tc>
          <w:tcPr>
            <w:tcW w:w="1278" w:type="dxa"/>
            <w:gridSpan w:val="2"/>
            <w:tcMar>
              <w:left w:w="28" w:type="dxa"/>
              <w:right w:w="28" w:type="dxa"/>
            </w:tcMar>
          </w:tcPr>
          <w:p w14:paraId="0D2B0D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0,34</w:t>
            </w:r>
          </w:p>
        </w:tc>
        <w:tc>
          <w:tcPr>
            <w:tcW w:w="1277" w:type="dxa"/>
            <w:gridSpan w:val="2"/>
            <w:tcMar>
              <w:left w:w="28" w:type="dxa"/>
              <w:right w:w="28" w:type="dxa"/>
            </w:tcMar>
          </w:tcPr>
          <w:p w14:paraId="47A971FA" w14:textId="6CA4B77C"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0</w:t>
            </w:r>
            <w:r w:rsidR="00F367E5" w:rsidRPr="00F367E5">
              <w:rPr>
                <w:rFonts w:eastAsia="Calibri"/>
                <w:b/>
                <w:bCs/>
                <w:i/>
                <w:iCs/>
                <w:noProof/>
                <w:sz w:val="22"/>
                <w:szCs w:val="22"/>
                <w:lang w:eastAsia="en-US"/>
              </w:rPr>
              <w:t>,</w:t>
            </w:r>
            <w:r w:rsidRPr="00AA7DF5">
              <w:rPr>
                <w:rFonts w:eastAsia="Calibri"/>
                <w:noProof/>
                <w:sz w:val="22"/>
                <w:szCs w:val="22"/>
                <w:lang w:eastAsia="en-US"/>
              </w:rPr>
              <w:t>034</w:t>
            </w:r>
          </w:p>
        </w:tc>
        <w:tc>
          <w:tcPr>
            <w:tcW w:w="1136" w:type="dxa"/>
            <w:gridSpan w:val="2"/>
            <w:tcMar>
              <w:left w:w="28" w:type="dxa"/>
              <w:right w:w="28" w:type="dxa"/>
            </w:tcMar>
          </w:tcPr>
          <w:p w14:paraId="4A865019"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DBBA57A"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42C7FD5B"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0D4F6334" w14:textId="77777777" w:rsidR="00F03A57" w:rsidRPr="00AA7DF5" w:rsidRDefault="00F03A57" w:rsidP="00F03A57">
            <w:pPr>
              <w:widowControl/>
              <w:spacing w:before="40" w:after="40"/>
              <w:rPr>
                <w:rFonts w:eastAsia="Calibri"/>
                <w:noProof/>
                <w:sz w:val="22"/>
                <w:szCs w:val="22"/>
                <w:lang w:eastAsia="en-US"/>
              </w:rPr>
            </w:pPr>
          </w:p>
        </w:tc>
      </w:tr>
      <w:tr w:rsidR="00F03A57" w:rsidRPr="00AA7DF5" w14:paraId="12A8AF7C" w14:textId="77777777" w:rsidTr="00F03A57">
        <w:trPr>
          <w:gridBefore w:val="1"/>
          <w:wBefore w:w="12" w:type="dxa"/>
          <w:cantSplit/>
          <w:tblHeader/>
          <w:jc w:val="center"/>
        </w:trPr>
        <w:tc>
          <w:tcPr>
            <w:tcW w:w="651" w:type="dxa"/>
            <w:gridSpan w:val="3"/>
            <w:tcMar>
              <w:left w:w="28" w:type="dxa"/>
              <w:right w:w="28" w:type="dxa"/>
            </w:tcMar>
          </w:tcPr>
          <w:p w14:paraId="6A197865"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(46)</w:t>
            </w:r>
          </w:p>
        </w:tc>
        <w:tc>
          <w:tcPr>
            <w:tcW w:w="2286" w:type="dxa"/>
            <w:gridSpan w:val="3"/>
            <w:shd w:val="clear" w:color="auto" w:fill="auto"/>
            <w:tcMar>
              <w:left w:w="28" w:type="dxa"/>
              <w:right w:w="28" w:type="dxa"/>
            </w:tcMar>
          </w:tcPr>
          <w:p w14:paraId="6E2CA1C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17-alfa-etinilestradiol (EE2)</w:t>
            </w:r>
          </w:p>
        </w:tc>
        <w:tc>
          <w:tcPr>
            <w:tcW w:w="1329" w:type="dxa"/>
            <w:gridSpan w:val="3"/>
            <w:shd w:val="clear" w:color="auto" w:fill="auto"/>
            <w:tcMar>
              <w:left w:w="28" w:type="dxa"/>
              <w:right w:w="28" w:type="dxa"/>
            </w:tcMar>
          </w:tcPr>
          <w:p w14:paraId="4147C03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 (hormonas estrogénicas)</w:t>
            </w:r>
          </w:p>
        </w:tc>
        <w:tc>
          <w:tcPr>
            <w:tcW w:w="992" w:type="dxa"/>
            <w:gridSpan w:val="2"/>
            <w:shd w:val="clear" w:color="auto" w:fill="auto"/>
            <w:tcMar>
              <w:left w:w="28" w:type="dxa"/>
              <w:right w:w="28" w:type="dxa"/>
            </w:tcMar>
          </w:tcPr>
          <w:p w14:paraId="78A4CA6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57-63-6</w:t>
            </w:r>
          </w:p>
        </w:tc>
        <w:tc>
          <w:tcPr>
            <w:tcW w:w="1134" w:type="dxa"/>
          </w:tcPr>
          <w:p w14:paraId="64F4B60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200-342-2</w:t>
            </w:r>
          </w:p>
        </w:tc>
        <w:tc>
          <w:tcPr>
            <w:tcW w:w="1279" w:type="dxa"/>
            <w:gridSpan w:val="2"/>
            <w:shd w:val="clear" w:color="auto" w:fill="auto"/>
            <w:tcMar>
              <w:left w:w="28" w:type="dxa"/>
              <w:right w:w="28" w:type="dxa"/>
            </w:tcMar>
          </w:tcPr>
          <w:p w14:paraId="1AF79C1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 × 10</w:t>
            </w:r>
            <w:r w:rsidRPr="00AA7DF5">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282BA94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1,6 × 10</w:t>
            </w:r>
            <w:r w:rsidRPr="00AA7DF5">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2E0A900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não derivado</w:t>
            </w:r>
          </w:p>
        </w:tc>
        <w:tc>
          <w:tcPr>
            <w:tcW w:w="1277" w:type="dxa"/>
            <w:gridSpan w:val="2"/>
            <w:shd w:val="clear" w:color="auto" w:fill="auto"/>
            <w:tcMar>
              <w:left w:w="28" w:type="dxa"/>
              <w:right w:w="28" w:type="dxa"/>
            </w:tcMar>
          </w:tcPr>
          <w:p w14:paraId="6643C74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não derivado</w:t>
            </w:r>
          </w:p>
        </w:tc>
        <w:tc>
          <w:tcPr>
            <w:tcW w:w="1136" w:type="dxa"/>
            <w:gridSpan w:val="2"/>
            <w:shd w:val="clear" w:color="auto" w:fill="auto"/>
            <w:tcMar>
              <w:left w:w="28" w:type="dxa"/>
              <w:right w:w="28" w:type="dxa"/>
            </w:tcMar>
          </w:tcPr>
          <w:p w14:paraId="51403F10"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8C02DF8"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6FB03ECF"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5766827C"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79DCDD9C" w14:textId="77777777" w:rsidTr="00F03A57">
        <w:trPr>
          <w:gridBefore w:val="1"/>
          <w:wBefore w:w="12" w:type="dxa"/>
          <w:cantSplit/>
          <w:tblHeader/>
          <w:jc w:val="center"/>
        </w:trPr>
        <w:tc>
          <w:tcPr>
            <w:tcW w:w="651" w:type="dxa"/>
            <w:gridSpan w:val="3"/>
            <w:tcMar>
              <w:left w:w="28" w:type="dxa"/>
              <w:right w:w="28" w:type="dxa"/>
            </w:tcMar>
          </w:tcPr>
          <w:p w14:paraId="6C60D2C1"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(47)</w:t>
            </w:r>
          </w:p>
        </w:tc>
        <w:tc>
          <w:tcPr>
            <w:tcW w:w="2286" w:type="dxa"/>
            <w:gridSpan w:val="3"/>
            <w:shd w:val="clear" w:color="auto" w:fill="auto"/>
            <w:tcMar>
              <w:left w:w="28" w:type="dxa"/>
              <w:right w:w="28" w:type="dxa"/>
            </w:tcMar>
          </w:tcPr>
          <w:p w14:paraId="5982247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17-beta-estradiol (E2)</w:t>
            </w:r>
          </w:p>
        </w:tc>
        <w:tc>
          <w:tcPr>
            <w:tcW w:w="1329" w:type="dxa"/>
            <w:gridSpan w:val="3"/>
            <w:shd w:val="clear" w:color="auto" w:fill="auto"/>
            <w:tcMar>
              <w:left w:w="28" w:type="dxa"/>
              <w:right w:w="28" w:type="dxa"/>
            </w:tcMar>
          </w:tcPr>
          <w:p w14:paraId="70BE71F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 (hormonas estrogénicas)</w:t>
            </w:r>
          </w:p>
        </w:tc>
        <w:tc>
          <w:tcPr>
            <w:tcW w:w="992" w:type="dxa"/>
            <w:gridSpan w:val="2"/>
            <w:shd w:val="clear" w:color="auto" w:fill="auto"/>
            <w:tcMar>
              <w:left w:w="28" w:type="dxa"/>
              <w:right w:w="28" w:type="dxa"/>
            </w:tcMar>
          </w:tcPr>
          <w:p w14:paraId="55266D5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50-28-2</w:t>
            </w:r>
          </w:p>
        </w:tc>
        <w:tc>
          <w:tcPr>
            <w:tcW w:w="1134" w:type="dxa"/>
          </w:tcPr>
          <w:p w14:paraId="3E3E6CD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200-023-8</w:t>
            </w:r>
          </w:p>
        </w:tc>
        <w:tc>
          <w:tcPr>
            <w:tcW w:w="1279" w:type="dxa"/>
            <w:gridSpan w:val="2"/>
            <w:shd w:val="clear" w:color="auto" w:fill="auto"/>
            <w:tcMar>
              <w:left w:w="28" w:type="dxa"/>
              <w:right w:w="28" w:type="dxa"/>
            </w:tcMar>
          </w:tcPr>
          <w:p w14:paraId="7BE1543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0,00018</w:t>
            </w:r>
          </w:p>
        </w:tc>
        <w:tc>
          <w:tcPr>
            <w:tcW w:w="1279" w:type="dxa"/>
            <w:gridSpan w:val="2"/>
            <w:shd w:val="clear" w:color="auto" w:fill="auto"/>
            <w:tcMar>
              <w:left w:w="28" w:type="dxa"/>
              <w:right w:w="28" w:type="dxa"/>
            </w:tcMar>
          </w:tcPr>
          <w:p w14:paraId="0E685DA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9 × 10</w:t>
            </w:r>
            <w:r w:rsidRPr="00AA7DF5">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54DCC46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não derivado</w:t>
            </w:r>
          </w:p>
        </w:tc>
        <w:tc>
          <w:tcPr>
            <w:tcW w:w="1277" w:type="dxa"/>
            <w:gridSpan w:val="2"/>
            <w:shd w:val="clear" w:color="auto" w:fill="auto"/>
            <w:tcMar>
              <w:left w:w="28" w:type="dxa"/>
              <w:right w:w="28" w:type="dxa"/>
            </w:tcMar>
          </w:tcPr>
          <w:p w14:paraId="34667D6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não derivado</w:t>
            </w:r>
          </w:p>
        </w:tc>
        <w:tc>
          <w:tcPr>
            <w:tcW w:w="1136" w:type="dxa"/>
            <w:gridSpan w:val="2"/>
            <w:shd w:val="clear" w:color="auto" w:fill="auto"/>
            <w:tcMar>
              <w:left w:w="28" w:type="dxa"/>
              <w:right w:w="28" w:type="dxa"/>
            </w:tcMar>
          </w:tcPr>
          <w:p w14:paraId="5AE4B84B"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37F0F15"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C725972"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19DE2277"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6B466991" w14:textId="77777777" w:rsidTr="00F03A57">
        <w:trPr>
          <w:gridBefore w:val="1"/>
          <w:wBefore w:w="12" w:type="dxa"/>
          <w:cantSplit/>
          <w:tblHeader/>
          <w:jc w:val="center"/>
        </w:trPr>
        <w:tc>
          <w:tcPr>
            <w:tcW w:w="651" w:type="dxa"/>
            <w:gridSpan w:val="3"/>
            <w:tcMar>
              <w:left w:w="28" w:type="dxa"/>
              <w:right w:w="28" w:type="dxa"/>
            </w:tcMar>
          </w:tcPr>
          <w:p w14:paraId="292E9439"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(48)</w:t>
            </w:r>
          </w:p>
        </w:tc>
        <w:tc>
          <w:tcPr>
            <w:tcW w:w="2286" w:type="dxa"/>
            <w:gridSpan w:val="3"/>
            <w:shd w:val="clear" w:color="auto" w:fill="auto"/>
            <w:tcMar>
              <w:left w:w="28" w:type="dxa"/>
              <w:right w:w="28" w:type="dxa"/>
            </w:tcMar>
          </w:tcPr>
          <w:p w14:paraId="7AF90D9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Acetamipride</w:t>
            </w:r>
          </w:p>
        </w:tc>
        <w:tc>
          <w:tcPr>
            <w:tcW w:w="1329" w:type="dxa"/>
            <w:gridSpan w:val="3"/>
            <w:shd w:val="clear" w:color="auto" w:fill="auto"/>
            <w:tcMar>
              <w:left w:w="28" w:type="dxa"/>
              <w:right w:w="28" w:type="dxa"/>
            </w:tcMar>
          </w:tcPr>
          <w:p w14:paraId="3F8A831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neocotinoides</w:t>
            </w:r>
          </w:p>
        </w:tc>
        <w:tc>
          <w:tcPr>
            <w:tcW w:w="992" w:type="dxa"/>
            <w:gridSpan w:val="2"/>
            <w:shd w:val="clear" w:color="auto" w:fill="auto"/>
            <w:tcMar>
              <w:left w:w="28" w:type="dxa"/>
              <w:right w:w="28" w:type="dxa"/>
            </w:tcMar>
          </w:tcPr>
          <w:p w14:paraId="3FD3D64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135410-20-7/160430-64-8</w:t>
            </w:r>
          </w:p>
        </w:tc>
        <w:tc>
          <w:tcPr>
            <w:tcW w:w="1134" w:type="dxa"/>
          </w:tcPr>
          <w:p w14:paraId="3CD15D1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603-921-1</w:t>
            </w:r>
          </w:p>
        </w:tc>
        <w:tc>
          <w:tcPr>
            <w:tcW w:w="1279" w:type="dxa"/>
            <w:gridSpan w:val="2"/>
            <w:shd w:val="clear" w:color="auto" w:fill="auto"/>
            <w:tcMar>
              <w:left w:w="28" w:type="dxa"/>
              <w:right w:w="28" w:type="dxa"/>
            </w:tcMar>
          </w:tcPr>
          <w:p w14:paraId="46ECB3F0" w14:textId="35735DAC"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037</w:t>
            </w:r>
          </w:p>
        </w:tc>
        <w:tc>
          <w:tcPr>
            <w:tcW w:w="1279" w:type="dxa"/>
            <w:gridSpan w:val="2"/>
            <w:shd w:val="clear" w:color="auto" w:fill="auto"/>
            <w:tcMar>
              <w:left w:w="28" w:type="dxa"/>
              <w:right w:w="28" w:type="dxa"/>
            </w:tcMar>
          </w:tcPr>
          <w:p w14:paraId="01BFD8B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0,0037</w:t>
            </w:r>
          </w:p>
        </w:tc>
        <w:tc>
          <w:tcPr>
            <w:tcW w:w="1278" w:type="dxa"/>
            <w:gridSpan w:val="2"/>
            <w:shd w:val="clear" w:color="auto" w:fill="auto"/>
            <w:tcMar>
              <w:left w:w="28" w:type="dxa"/>
              <w:right w:w="28" w:type="dxa"/>
            </w:tcMar>
          </w:tcPr>
          <w:p w14:paraId="37E9350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0,16</w:t>
            </w:r>
          </w:p>
        </w:tc>
        <w:tc>
          <w:tcPr>
            <w:tcW w:w="1277" w:type="dxa"/>
            <w:gridSpan w:val="2"/>
            <w:shd w:val="clear" w:color="auto" w:fill="auto"/>
            <w:tcMar>
              <w:left w:w="28" w:type="dxa"/>
              <w:right w:w="28" w:type="dxa"/>
            </w:tcMar>
          </w:tcPr>
          <w:p w14:paraId="08A50E64" w14:textId="74C96E5C"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016</w:t>
            </w:r>
          </w:p>
        </w:tc>
        <w:tc>
          <w:tcPr>
            <w:tcW w:w="1136" w:type="dxa"/>
            <w:gridSpan w:val="2"/>
            <w:shd w:val="clear" w:color="auto" w:fill="auto"/>
            <w:tcMar>
              <w:left w:w="28" w:type="dxa"/>
              <w:right w:w="28" w:type="dxa"/>
            </w:tcMar>
          </w:tcPr>
          <w:p w14:paraId="3F25D491"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9588808"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44676E14"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4EF6C091"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3E4F0E18" w14:textId="77777777" w:rsidTr="00F03A57">
        <w:trPr>
          <w:gridBefore w:val="1"/>
          <w:wBefore w:w="12" w:type="dxa"/>
          <w:cantSplit/>
          <w:tblHeader/>
          <w:jc w:val="center"/>
        </w:trPr>
        <w:tc>
          <w:tcPr>
            <w:tcW w:w="651" w:type="dxa"/>
            <w:gridSpan w:val="3"/>
            <w:tcMar>
              <w:left w:w="28" w:type="dxa"/>
              <w:right w:w="28" w:type="dxa"/>
            </w:tcMar>
          </w:tcPr>
          <w:p w14:paraId="074CD94A"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(49)</w:t>
            </w:r>
          </w:p>
        </w:tc>
        <w:tc>
          <w:tcPr>
            <w:tcW w:w="2286" w:type="dxa"/>
            <w:gridSpan w:val="3"/>
            <w:shd w:val="clear" w:color="auto" w:fill="auto"/>
            <w:tcMar>
              <w:left w:w="28" w:type="dxa"/>
              <w:right w:w="28" w:type="dxa"/>
            </w:tcMar>
          </w:tcPr>
          <w:p w14:paraId="2A3897D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Azitromicina</w:t>
            </w:r>
          </w:p>
        </w:tc>
        <w:tc>
          <w:tcPr>
            <w:tcW w:w="1329" w:type="dxa"/>
            <w:gridSpan w:val="3"/>
            <w:shd w:val="clear" w:color="auto" w:fill="auto"/>
            <w:tcMar>
              <w:left w:w="28" w:type="dxa"/>
              <w:right w:w="28" w:type="dxa"/>
            </w:tcMar>
          </w:tcPr>
          <w:p w14:paraId="5826EB0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 (antibióticos macrólidos)</w:t>
            </w:r>
          </w:p>
        </w:tc>
        <w:tc>
          <w:tcPr>
            <w:tcW w:w="992" w:type="dxa"/>
            <w:gridSpan w:val="2"/>
            <w:shd w:val="clear" w:color="auto" w:fill="auto"/>
            <w:tcMar>
              <w:left w:w="28" w:type="dxa"/>
              <w:right w:w="28" w:type="dxa"/>
            </w:tcMar>
          </w:tcPr>
          <w:p w14:paraId="68133B0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83905-01-5</w:t>
            </w:r>
          </w:p>
        </w:tc>
        <w:tc>
          <w:tcPr>
            <w:tcW w:w="1134" w:type="dxa"/>
          </w:tcPr>
          <w:p w14:paraId="44CCE41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617-500-5</w:t>
            </w:r>
          </w:p>
        </w:tc>
        <w:tc>
          <w:tcPr>
            <w:tcW w:w="1279" w:type="dxa"/>
            <w:gridSpan w:val="2"/>
            <w:shd w:val="clear" w:color="auto" w:fill="auto"/>
            <w:tcMar>
              <w:left w:w="28" w:type="dxa"/>
              <w:right w:w="28" w:type="dxa"/>
            </w:tcMar>
          </w:tcPr>
          <w:p w14:paraId="03584BE9" w14:textId="35F116EF"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019</w:t>
            </w:r>
          </w:p>
        </w:tc>
        <w:tc>
          <w:tcPr>
            <w:tcW w:w="1279" w:type="dxa"/>
            <w:gridSpan w:val="2"/>
            <w:shd w:val="clear" w:color="auto" w:fill="auto"/>
            <w:tcMar>
              <w:left w:w="28" w:type="dxa"/>
              <w:right w:w="28" w:type="dxa"/>
            </w:tcMar>
          </w:tcPr>
          <w:p w14:paraId="6D64EA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0,0019</w:t>
            </w:r>
          </w:p>
        </w:tc>
        <w:tc>
          <w:tcPr>
            <w:tcW w:w="1278" w:type="dxa"/>
            <w:gridSpan w:val="2"/>
            <w:shd w:val="clear" w:color="auto" w:fill="auto"/>
            <w:tcMar>
              <w:left w:w="28" w:type="dxa"/>
              <w:right w:w="28" w:type="dxa"/>
            </w:tcMar>
          </w:tcPr>
          <w:p w14:paraId="538648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0,18</w:t>
            </w:r>
          </w:p>
        </w:tc>
        <w:tc>
          <w:tcPr>
            <w:tcW w:w="1277" w:type="dxa"/>
            <w:gridSpan w:val="2"/>
            <w:shd w:val="clear" w:color="auto" w:fill="auto"/>
            <w:tcMar>
              <w:left w:w="28" w:type="dxa"/>
              <w:right w:w="28" w:type="dxa"/>
            </w:tcMar>
          </w:tcPr>
          <w:p w14:paraId="61A317B7" w14:textId="664A235C"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018</w:t>
            </w:r>
          </w:p>
        </w:tc>
        <w:tc>
          <w:tcPr>
            <w:tcW w:w="1136" w:type="dxa"/>
            <w:gridSpan w:val="2"/>
            <w:shd w:val="clear" w:color="auto" w:fill="auto"/>
            <w:tcMar>
              <w:left w:w="28" w:type="dxa"/>
              <w:right w:w="28" w:type="dxa"/>
            </w:tcMar>
          </w:tcPr>
          <w:p w14:paraId="48D1B95F"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0C14EF3" w14:textId="77777777" w:rsidR="00F03A57" w:rsidRPr="00AA7DF5" w:rsidRDefault="00F03A57" w:rsidP="00F03A57">
            <w:pPr>
              <w:widowControl/>
              <w:spacing w:before="40" w:after="40"/>
              <w:rPr>
                <w:rFonts w:eastAsia="Calibri"/>
                <w:noProof/>
                <w:sz w:val="22"/>
                <w:szCs w:val="22"/>
                <w:lang w:eastAsia="en-US"/>
              </w:rPr>
            </w:pPr>
          </w:p>
        </w:tc>
        <w:tc>
          <w:tcPr>
            <w:tcW w:w="1153" w:type="dxa"/>
            <w:gridSpan w:val="2"/>
            <w:tcMar>
              <w:left w:w="28" w:type="dxa"/>
              <w:right w:w="28" w:type="dxa"/>
            </w:tcMar>
          </w:tcPr>
          <w:p w14:paraId="02FE872A" w14:textId="77777777" w:rsidR="00F03A57" w:rsidRPr="00AA7DF5" w:rsidRDefault="00F03A57" w:rsidP="00F03A57">
            <w:pPr>
              <w:widowControl/>
              <w:spacing w:before="40" w:after="40"/>
              <w:rPr>
                <w:rFonts w:eastAsia="Calibri"/>
                <w:noProof/>
                <w:sz w:val="22"/>
                <w:szCs w:val="22"/>
                <w:lang w:eastAsia="en-US"/>
              </w:rPr>
            </w:pPr>
          </w:p>
        </w:tc>
        <w:tc>
          <w:tcPr>
            <w:tcW w:w="970" w:type="dxa"/>
            <w:tcMar>
              <w:left w:w="28" w:type="dxa"/>
              <w:right w:w="28" w:type="dxa"/>
            </w:tcMar>
          </w:tcPr>
          <w:p w14:paraId="799403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X</w:t>
            </w:r>
          </w:p>
        </w:tc>
      </w:tr>
      <w:tr w:rsidR="00F03A57" w:rsidRPr="00AA7DF5" w14:paraId="6210BC0F" w14:textId="77777777" w:rsidTr="00F03A57">
        <w:trPr>
          <w:gridBefore w:val="1"/>
          <w:wBefore w:w="12" w:type="dxa"/>
          <w:cantSplit/>
          <w:tblHeader/>
          <w:jc w:val="center"/>
        </w:trPr>
        <w:tc>
          <w:tcPr>
            <w:tcW w:w="651" w:type="dxa"/>
            <w:gridSpan w:val="3"/>
            <w:tcMar>
              <w:left w:w="28" w:type="dxa"/>
              <w:right w:w="28" w:type="dxa"/>
            </w:tcMar>
          </w:tcPr>
          <w:p w14:paraId="79DC81F6"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(50)</w:t>
            </w:r>
          </w:p>
        </w:tc>
        <w:tc>
          <w:tcPr>
            <w:tcW w:w="2286" w:type="dxa"/>
            <w:gridSpan w:val="3"/>
            <w:shd w:val="clear" w:color="auto" w:fill="auto"/>
            <w:tcMar>
              <w:left w:w="28" w:type="dxa"/>
              <w:right w:w="28" w:type="dxa"/>
            </w:tcMar>
          </w:tcPr>
          <w:p w14:paraId="1B72B30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Bifentrina</w:t>
            </w:r>
          </w:p>
        </w:tc>
        <w:tc>
          <w:tcPr>
            <w:tcW w:w="1329" w:type="dxa"/>
            <w:gridSpan w:val="3"/>
            <w:shd w:val="clear" w:color="auto" w:fill="auto"/>
            <w:tcMar>
              <w:left w:w="28" w:type="dxa"/>
              <w:right w:w="28" w:type="dxa"/>
            </w:tcMar>
          </w:tcPr>
          <w:p w14:paraId="1A49F1E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piretroides</w:t>
            </w:r>
          </w:p>
        </w:tc>
        <w:tc>
          <w:tcPr>
            <w:tcW w:w="992" w:type="dxa"/>
            <w:gridSpan w:val="2"/>
            <w:shd w:val="clear" w:color="auto" w:fill="auto"/>
            <w:tcMar>
              <w:left w:w="28" w:type="dxa"/>
              <w:right w:w="28" w:type="dxa"/>
            </w:tcMar>
          </w:tcPr>
          <w:p w14:paraId="21D2CC4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82657-04-3</w:t>
            </w:r>
          </w:p>
        </w:tc>
        <w:tc>
          <w:tcPr>
            <w:tcW w:w="1134" w:type="dxa"/>
          </w:tcPr>
          <w:p w14:paraId="2EF41FC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617-373-6</w:t>
            </w:r>
          </w:p>
        </w:tc>
        <w:tc>
          <w:tcPr>
            <w:tcW w:w="1279" w:type="dxa"/>
            <w:gridSpan w:val="2"/>
            <w:shd w:val="clear" w:color="auto" w:fill="auto"/>
            <w:tcMar>
              <w:left w:w="28" w:type="dxa"/>
              <w:right w:w="28" w:type="dxa"/>
            </w:tcMar>
          </w:tcPr>
          <w:p w14:paraId="6673060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9,5 × 10</w:t>
            </w:r>
            <w:r w:rsidRPr="00AA7DF5">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65BB2F5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9,5 × 10</w:t>
            </w:r>
            <w:r w:rsidRPr="00AA7DF5">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591496B7" w14:textId="0ECE9E36"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011</w:t>
            </w:r>
          </w:p>
        </w:tc>
        <w:tc>
          <w:tcPr>
            <w:tcW w:w="1277" w:type="dxa"/>
            <w:gridSpan w:val="2"/>
            <w:shd w:val="clear" w:color="auto" w:fill="auto"/>
            <w:tcMar>
              <w:left w:w="28" w:type="dxa"/>
              <w:right w:w="28" w:type="dxa"/>
            </w:tcMar>
          </w:tcPr>
          <w:p w14:paraId="05E6D076" w14:textId="116A095C"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001</w:t>
            </w:r>
          </w:p>
        </w:tc>
        <w:tc>
          <w:tcPr>
            <w:tcW w:w="1136" w:type="dxa"/>
            <w:gridSpan w:val="2"/>
            <w:shd w:val="clear" w:color="auto" w:fill="auto"/>
            <w:tcMar>
              <w:left w:w="28" w:type="dxa"/>
              <w:right w:w="28" w:type="dxa"/>
            </w:tcMar>
          </w:tcPr>
          <w:p w14:paraId="02D7FA84"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2B23D8C"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7AEFE20D"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5FBFF46C"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r>
      <w:tr w:rsidR="00F03A57" w:rsidRPr="00AA7DF5" w14:paraId="64822572" w14:textId="77777777" w:rsidTr="00F03A57">
        <w:trPr>
          <w:gridBefore w:val="1"/>
          <w:wBefore w:w="12" w:type="dxa"/>
          <w:cantSplit/>
          <w:tblHeader/>
          <w:jc w:val="center"/>
        </w:trPr>
        <w:tc>
          <w:tcPr>
            <w:tcW w:w="651" w:type="dxa"/>
            <w:gridSpan w:val="3"/>
            <w:tcMar>
              <w:left w:w="28" w:type="dxa"/>
              <w:right w:w="28" w:type="dxa"/>
            </w:tcMar>
          </w:tcPr>
          <w:p w14:paraId="370B69B6" w14:textId="77777777" w:rsidR="00F03A57" w:rsidRPr="00AA7DF5" w:rsidRDefault="00F03A57" w:rsidP="00F03A57">
            <w:pPr>
              <w:keepNext/>
              <w:widowControl/>
              <w:spacing w:before="40" w:after="40"/>
              <w:jc w:val="both"/>
              <w:rPr>
                <w:rFonts w:eastAsia="Calibri"/>
                <w:noProof/>
                <w:sz w:val="22"/>
                <w:szCs w:val="22"/>
                <w:lang w:eastAsia="en-US"/>
              </w:rPr>
            </w:pPr>
            <w:r w:rsidRPr="00AA7DF5">
              <w:rPr>
                <w:rFonts w:eastAsia="Calibri"/>
                <w:noProof/>
                <w:sz w:val="22"/>
                <w:szCs w:val="22"/>
                <w:lang w:eastAsia="en-US"/>
              </w:rPr>
              <w:t>(51)</w:t>
            </w:r>
          </w:p>
        </w:tc>
        <w:tc>
          <w:tcPr>
            <w:tcW w:w="2286" w:type="dxa"/>
            <w:gridSpan w:val="3"/>
            <w:shd w:val="clear" w:color="auto" w:fill="auto"/>
            <w:tcMar>
              <w:left w:w="28" w:type="dxa"/>
              <w:right w:w="28" w:type="dxa"/>
            </w:tcMar>
          </w:tcPr>
          <w:p w14:paraId="4BE331E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Bisfenol-A (BPA)</w:t>
            </w:r>
          </w:p>
        </w:tc>
        <w:tc>
          <w:tcPr>
            <w:tcW w:w="1329" w:type="dxa"/>
            <w:gridSpan w:val="3"/>
            <w:shd w:val="clear" w:color="auto" w:fill="auto"/>
            <w:tcMar>
              <w:left w:w="28" w:type="dxa"/>
              <w:right w:w="28" w:type="dxa"/>
            </w:tcMar>
          </w:tcPr>
          <w:p w14:paraId="65FF1D86"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Substâncias industriais</w:t>
            </w:r>
          </w:p>
        </w:tc>
        <w:tc>
          <w:tcPr>
            <w:tcW w:w="992" w:type="dxa"/>
            <w:gridSpan w:val="2"/>
            <w:shd w:val="clear" w:color="auto" w:fill="auto"/>
            <w:tcMar>
              <w:left w:w="28" w:type="dxa"/>
              <w:right w:w="28" w:type="dxa"/>
            </w:tcMar>
          </w:tcPr>
          <w:p w14:paraId="071C820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80-05-7</w:t>
            </w:r>
          </w:p>
        </w:tc>
        <w:tc>
          <w:tcPr>
            <w:tcW w:w="1134" w:type="dxa"/>
          </w:tcPr>
          <w:p w14:paraId="6BB468E1" w14:textId="77777777" w:rsidR="00F03A57" w:rsidRPr="00AA7DF5" w:rsidDel="00E110E0"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201-245-8</w:t>
            </w:r>
          </w:p>
        </w:tc>
        <w:tc>
          <w:tcPr>
            <w:tcW w:w="1279" w:type="dxa"/>
            <w:gridSpan w:val="2"/>
            <w:shd w:val="clear" w:color="auto" w:fill="auto"/>
            <w:tcMar>
              <w:left w:w="28" w:type="dxa"/>
              <w:right w:w="28" w:type="dxa"/>
            </w:tcMar>
          </w:tcPr>
          <w:p w14:paraId="03287DFF"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3,4 × 10</w:t>
            </w:r>
            <w:r w:rsidRPr="00AA7DF5">
              <w:rPr>
                <w:rFonts w:eastAsia="Calibri"/>
                <w:noProof/>
                <w:color w:val="000000"/>
                <w:sz w:val="22"/>
                <w:szCs w:val="22"/>
                <w:vertAlign w:val="superscript"/>
                <w:lang w:eastAsia="en-US"/>
              </w:rPr>
              <w:t>-5</w:t>
            </w:r>
            <w:r w:rsidRPr="00AA7DF5">
              <w:rPr>
                <w:rFonts w:eastAsia="Calibri"/>
                <w:noProof/>
                <w:color w:val="000000"/>
                <w:sz w:val="22"/>
                <w:szCs w:val="22"/>
                <w:lang w:eastAsia="en-US"/>
              </w:rPr>
              <w:t xml:space="preserve"> </w:t>
            </w:r>
          </w:p>
        </w:tc>
        <w:tc>
          <w:tcPr>
            <w:tcW w:w="1279" w:type="dxa"/>
            <w:gridSpan w:val="2"/>
            <w:shd w:val="clear" w:color="auto" w:fill="auto"/>
            <w:tcMar>
              <w:left w:w="28" w:type="dxa"/>
              <w:right w:w="28" w:type="dxa"/>
            </w:tcMar>
          </w:tcPr>
          <w:p w14:paraId="437655A9"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3,4 × 10</w:t>
            </w:r>
            <w:r w:rsidRPr="00AA7DF5">
              <w:rPr>
                <w:rFonts w:eastAsia="Calibri"/>
                <w:noProof/>
                <w:color w:val="000000"/>
                <w:sz w:val="22"/>
                <w:szCs w:val="22"/>
                <w:vertAlign w:val="superscript"/>
                <w:lang w:eastAsia="en-US"/>
              </w:rPr>
              <w:t>-5</w:t>
            </w:r>
            <w:r w:rsidRPr="00AA7DF5">
              <w:rPr>
                <w:rFonts w:eastAsia="Calibri"/>
                <w:noProof/>
                <w:color w:val="000000"/>
                <w:sz w:val="22"/>
                <w:szCs w:val="22"/>
                <w:lang w:eastAsia="en-US"/>
              </w:rPr>
              <w:t xml:space="preserve"> </w:t>
            </w:r>
          </w:p>
        </w:tc>
        <w:tc>
          <w:tcPr>
            <w:tcW w:w="1278" w:type="dxa"/>
            <w:gridSpan w:val="2"/>
            <w:shd w:val="clear" w:color="auto" w:fill="auto"/>
            <w:tcMar>
              <w:left w:w="28" w:type="dxa"/>
              <w:right w:w="28" w:type="dxa"/>
            </w:tcMar>
          </w:tcPr>
          <w:p w14:paraId="2DC10CD0"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130</w:t>
            </w:r>
          </w:p>
        </w:tc>
        <w:tc>
          <w:tcPr>
            <w:tcW w:w="1277" w:type="dxa"/>
            <w:gridSpan w:val="2"/>
            <w:shd w:val="clear" w:color="auto" w:fill="auto"/>
            <w:tcMar>
              <w:left w:w="28" w:type="dxa"/>
              <w:right w:w="28" w:type="dxa"/>
            </w:tcMar>
          </w:tcPr>
          <w:p w14:paraId="62155EED"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51</w:t>
            </w:r>
          </w:p>
        </w:tc>
        <w:tc>
          <w:tcPr>
            <w:tcW w:w="1136" w:type="dxa"/>
            <w:gridSpan w:val="2"/>
            <w:shd w:val="clear" w:color="auto" w:fill="auto"/>
            <w:tcMar>
              <w:left w:w="28" w:type="dxa"/>
              <w:right w:w="28" w:type="dxa"/>
            </w:tcMar>
          </w:tcPr>
          <w:p w14:paraId="68E7A25B" w14:textId="7E627470"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0</w:t>
            </w:r>
            <w:r w:rsidR="00CF062F" w:rsidRPr="00CF062F">
              <w:rPr>
                <w:rFonts w:eastAsia="Calibri"/>
                <w:b/>
                <w:bCs/>
                <w:i/>
                <w:iCs/>
                <w:noProof/>
                <w:sz w:val="22"/>
                <w:szCs w:val="22"/>
                <w:lang w:eastAsia="en-US"/>
              </w:rPr>
              <w:t>,</w:t>
            </w:r>
            <w:r w:rsidRPr="00AA7DF5">
              <w:rPr>
                <w:rFonts w:eastAsia="Calibri"/>
                <w:noProof/>
                <w:sz w:val="22"/>
                <w:szCs w:val="22"/>
                <w:lang w:eastAsia="en-US"/>
              </w:rPr>
              <w:t>005</w:t>
            </w:r>
          </w:p>
        </w:tc>
        <w:tc>
          <w:tcPr>
            <w:tcW w:w="1262" w:type="dxa"/>
            <w:tcMar>
              <w:left w:w="28" w:type="dxa"/>
              <w:right w:w="28" w:type="dxa"/>
            </w:tcMar>
          </w:tcPr>
          <w:p w14:paraId="194C6B5B" w14:textId="77777777" w:rsidR="00F03A57" w:rsidRPr="00AA7DF5" w:rsidRDefault="00F03A57" w:rsidP="00F03A57">
            <w:pPr>
              <w:keepNext/>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c>
          <w:tcPr>
            <w:tcW w:w="1153" w:type="dxa"/>
            <w:gridSpan w:val="2"/>
            <w:tcMar>
              <w:left w:w="28" w:type="dxa"/>
              <w:right w:w="28" w:type="dxa"/>
            </w:tcMar>
          </w:tcPr>
          <w:p w14:paraId="23BF43EC" w14:textId="77777777" w:rsidR="00F03A57" w:rsidRPr="00AA7DF5" w:rsidRDefault="00F03A57" w:rsidP="00F03A57">
            <w:pPr>
              <w:keepNext/>
              <w:widowControl/>
              <w:spacing w:before="40" w:after="40"/>
              <w:rPr>
                <w:rFonts w:eastAsia="Calibri"/>
                <w:noProof/>
                <w:color w:val="000000"/>
                <w:sz w:val="22"/>
                <w:szCs w:val="22"/>
                <w:lang w:eastAsia="en-US"/>
              </w:rPr>
            </w:pPr>
          </w:p>
        </w:tc>
        <w:tc>
          <w:tcPr>
            <w:tcW w:w="970" w:type="dxa"/>
            <w:tcMar>
              <w:left w:w="28" w:type="dxa"/>
              <w:right w:w="28" w:type="dxa"/>
            </w:tcMar>
          </w:tcPr>
          <w:p w14:paraId="7B9D819C" w14:textId="77777777" w:rsidR="00F03A57" w:rsidRPr="00AA7DF5" w:rsidRDefault="00F03A57" w:rsidP="00F03A57">
            <w:pPr>
              <w:keepNext/>
              <w:widowControl/>
              <w:spacing w:before="40" w:after="40"/>
              <w:rPr>
                <w:rFonts w:eastAsia="Calibri"/>
                <w:noProof/>
                <w:color w:val="000000"/>
                <w:sz w:val="22"/>
                <w:szCs w:val="22"/>
                <w:lang w:eastAsia="en-US"/>
              </w:rPr>
            </w:pPr>
          </w:p>
        </w:tc>
      </w:tr>
      <w:tr w:rsidR="00F03A57" w:rsidRPr="00AA7DF5" w14:paraId="76F33899" w14:textId="77777777" w:rsidTr="00F03A57">
        <w:trPr>
          <w:gridBefore w:val="1"/>
          <w:wBefore w:w="12" w:type="dxa"/>
          <w:cantSplit/>
          <w:tblHeader/>
          <w:jc w:val="center"/>
        </w:trPr>
        <w:tc>
          <w:tcPr>
            <w:tcW w:w="651" w:type="dxa"/>
            <w:gridSpan w:val="3"/>
            <w:tcMar>
              <w:left w:w="28" w:type="dxa"/>
              <w:right w:w="28" w:type="dxa"/>
            </w:tcMar>
          </w:tcPr>
          <w:p w14:paraId="6FE37648"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(52)</w:t>
            </w:r>
          </w:p>
        </w:tc>
        <w:tc>
          <w:tcPr>
            <w:tcW w:w="2286" w:type="dxa"/>
            <w:gridSpan w:val="3"/>
            <w:shd w:val="clear" w:color="auto" w:fill="auto"/>
            <w:tcMar>
              <w:left w:w="28" w:type="dxa"/>
              <w:right w:w="28" w:type="dxa"/>
            </w:tcMar>
          </w:tcPr>
          <w:p w14:paraId="043D894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Carbamazepina</w:t>
            </w:r>
          </w:p>
        </w:tc>
        <w:tc>
          <w:tcPr>
            <w:tcW w:w="1329" w:type="dxa"/>
            <w:gridSpan w:val="3"/>
            <w:shd w:val="clear" w:color="auto" w:fill="auto"/>
            <w:tcMar>
              <w:left w:w="28" w:type="dxa"/>
              <w:right w:w="28" w:type="dxa"/>
            </w:tcMar>
          </w:tcPr>
          <w:p w14:paraId="47C7B8C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w:t>
            </w:r>
          </w:p>
        </w:tc>
        <w:tc>
          <w:tcPr>
            <w:tcW w:w="992" w:type="dxa"/>
            <w:gridSpan w:val="2"/>
            <w:shd w:val="clear" w:color="auto" w:fill="auto"/>
            <w:tcMar>
              <w:left w:w="28" w:type="dxa"/>
              <w:right w:w="28" w:type="dxa"/>
            </w:tcMar>
          </w:tcPr>
          <w:p w14:paraId="5408007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298-46-4</w:t>
            </w:r>
          </w:p>
        </w:tc>
        <w:tc>
          <w:tcPr>
            <w:tcW w:w="1134" w:type="dxa"/>
          </w:tcPr>
          <w:p w14:paraId="52076140" w14:textId="77777777" w:rsidR="00F03A57" w:rsidRPr="00AA7DF5" w:rsidDel="00F376D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206-062-7</w:t>
            </w:r>
          </w:p>
        </w:tc>
        <w:tc>
          <w:tcPr>
            <w:tcW w:w="1279" w:type="dxa"/>
            <w:gridSpan w:val="2"/>
            <w:shd w:val="clear" w:color="auto" w:fill="auto"/>
            <w:tcMar>
              <w:left w:w="28" w:type="dxa"/>
              <w:right w:w="28" w:type="dxa"/>
            </w:tcMar>
          </w:tcPr>
          <w:p w14:paraId="002AA3A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2,5</w:t>
            </w:r>
          </w:p>
        </w:tc>
        <w:tc>
          <w:tcPr>
            <w:tcW w:w="1279" w:type="dxa"/>
            <w:gridSpan w:val="2"/>
            <w:shd w:val="clear" w:color="auto" w:fill="auto"/>
            <w:tcMar>
              <w:left w:w="28" w:type="dxa"/>
              <w:right w:w="28" w:type="dxa"/>
            </w:tcMar>
          </w:tcPr>
          <w:p w14:paraId="7ED5EC0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0,25</w:t>
            </w:r>
          </w:p>
        </w:tc>
        <w:tc>
          <w:tcPr>
            <w:tcW w:w="1278" w:type="dxa"/>
            <w:gridSpan w:val="2"/>
            <w:shd w:val="clear" w:color="auto" w:fill="auto"/>
            <w:tcMar>
              <w:left w:w="28" w:type="dxa"/>
              <w:right w:w="28" w:type="dxa"/>
            </w:tcMar>
          </w:tcPr>
          <w:p w14:paraId="6FCBB92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1,6 × 10</w:t>
            </w:r>
            <w:r w:rsidRPr="00AA7DF5">
              <w:rPr>
                <w:rFonts w:eastAsia="Calibri"/>
                <w:noProof/>
                <w:color w:val="000000"/>
                <w:sz w:val="22"/>
                <w:szCs w:val="22"/>
                <w:vertAlign w:val="superscript"/>
                <w:lang w:eastAsia="en-US"/>
              </w:rPr>
              <w:t>3</w:t>
            </w:r>
          </w:p>
        </w:tc>
        <w:tc>
          <w:tcPr>
            <w:tcW w:w="1277" w:type="dxa"/>
            <w:gridSpan w:val="2"/>
            <w:shd w:val="clear" w:color="auto" w:fill="auto"/>
            <w:tcMar>
              <w:left w:w="28" w:type="dxa"/>
              <w:right w:w="28" w:type="dxa"/>
            </w:tcMar>
          </w:tcPr>
          <w:p w14:paraId="758A1C4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160</w:t>
            </w:r>
          </w:p>
        </w:tc>
        <w:tc>
          <w:tcPr>
            <w:tcW w:w="1136" w:type="dxa"/>
            <w:gridSpan w:val="2"/>
            <w:shd w:val="clear" w:color="auto" w:fill="auto"/>
            <w:tcMar>
              <w:left w:w="28" w:type="dxa"/>
              <w:right w:w="28" w:type="dxa"/>
            </w:tcMar>
          </w:tcPr>
          <w:p w14:paraId="4E6AA76E"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6CA5FB41"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36A4D3B7"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6C5AEAEB"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35A4732D" w14:textId="77777777" w:rsidTr="00F03A57">
        <w:trPr>
          <w:gridBefore w:val="1"/>
          <w:wBefore w:w="12" w:type="dxa"/>
          <w:cantSplit/>
          <w:tblHeader/>
          <w:jc w:val="center"/>
        </w:trPr>
        <w:tc>
          <w:tcPr>
            <w:tcW w:w="651" w:type="dxa"/>
            <w:gridSpan w:val="3"/>
            <w:tcMar>
              <w:left w:w="28" w:type="dxa"/>
              <w:right w:w="28" w:type="dxa"/>
            </w:tcMar>
          </w:tcPr>
          <w:p w14:paraId="6BCF2FE7"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(53)</w:t>
            </w:r>
          </w:p>
        </w:tc>
        <w:tc>
          <w:tcPr>
            <w:tcW w:w="2286" w:type="dxa"/>
            <w:gridSpan w:val="3"/>
            <w:shd w:val="clear" w:color="auto" w:fill="auto"/>
            <w:tcMar>
              <w:left w:w="28" w:type="dxa"/>
              <w:right w:w="28" w:type="dxa"/>
            </w:tcMar>
          </w:tcPr>
          <w:p w14:paraId="066DA78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Claritromicina</w:t>
            </w:r>
          </w:p>
        </w:tc>
        <w:tc>
          <w:tcPr>
            <w:tcW w:w="1329" w:type="dxa"/>
            <w:gridSpan w:val="3"/>
            <w:shd w:val="clear" w:color="auto" w:fill="auto"/>
            <w:tcMar>
              <w:left w:w="28" w:type="dxa"/>
              <w:right w:w="28" w:type="dxa"/>
            </w:tcMar>
          </w:tcPr>
          <w:p w14:paraId="37C0D49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 (antibióticos macrólidos)</w:t>
            </w:r>
          </w:p>
        </w:tc>
        <w:tc>
          <w:tcPr>
            <w:tcW w:w="992" w:type="dxa"/>
            <w:gridSpan w:val="2"/>
            <w:shd w:val="clear" w:color="auto" w:fill="auto"/>
            <w:tcMar>
              <w:left w:w="28" w:type="dxa"/>
              <w:right w:w="28" w:type="dxa"/>
            </w:tcMar>
          </w:tcPr>
          <w:p w14:paraId="7BA76F1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81103-11-9</w:t>
            </w:r>
          </w:p>
        </w:tc>
        <w:tc>
          <w:tcPr>
            <w:tcW w:w="1134" w:type="dxa"/>
          </w:tcPr>
          <w:p w14:paraId="615D392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658-034-2</w:t>
            </w:r>
          </w:p>
        </w:tc>
        <w:tc>
          <w:tcPr>
            <w:tcW w:w="1279" w:type="dxa"/>
            <w:gridSpan w:val="2"/>
            <w:shd w:val="clear" w:color="auto" w:fill="auto"/>
            <w:tcMar>
              <w:left w:w="28" w:type="dxa"/>
              <w:right w:w="28" w:type="dxa"/>
            </w:tcMar>
          </w:tcPr>
          <w:p w14:paraId="5066030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0,13</w:t>
            </w:r>
          </w:p>
        </w:tc>
        <w:tc>
          <w:tcPr>
            <w:tcW w:w="1279" w:type="dxa"/>
            <w:gridSpan w:val="2"/>
            <w:shd w:val="clear" w:color="auto" w:fill="auto"/>
            <w:tcMar>
              <w:left w:w="28" w:type="dxa"/>
              <w:right w:w="28" w:type="dxa"/>
            </w:tcMar>
          </w:tcPr>
          <w:p w14:paraId="748FF5EB" w14:textId="42BAF081"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013</w:t>
            </w:r>
          </w:p>
        </w:tc>
        <w:tc>
          <w:tcPr>
            <w:tcW w:w="1278" w:type="dxa"/>
            <w:gridSpan w:val="2"/>
            <w:shd w:val="clear" w:color="auto" w:fill="auto"/>
            <w:tcMar>
              <w:left w:w="28" w:type="dxa"/>
              <w:right w:w="28" w:type="dxa"/>
            </w:tcMar>
          </w:tcPr>
          <w:p w14:paraId="51DA1D4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0,13</w:t>
            </w:r>
          </w:p>
        </w:tc>
        <w:tc>
          <w:tcPr>
            <w:tcW w:w="1277" w:type="dxa"/>
            <w:gridSpan w:val="2"/>
            <w:shd w:val="clear" w:color="auto" w:fill="auto"/>
            <w:tcMar>
              <w:left w:w="28" w:type="dxa"/>
              <w:right w:w="28" w:type="dxa"/>
            </w:tcMar>
          </w:tcPr>
          <w:p w14:paraId="37A2E039" w14:textId="168321AB"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013</w:t>
            </w:r>
          </w:p>
        </w:tc>
        <w:tc>
          <w:tcPr>
            <w:tcW w:w="1136" w:type="dxa"/>
            <w:gridSpan w:val="2"/>
            <w:shd w:val="clear" w:color="auto" w:fill="auto"/>
            <w:tcMar>
              <w:left w:w="28" w:type="dxa"/>
              <w:right w:w="28" w:type="dxa"/>
            </w:tcMar>
          </w:tcPr>
          <w:p w14:paraId="7E80CEF5"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2E908E8E"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7AB9B9AB"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4214DE64"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r>
      <w:tr w:rsidR="00F03A57" w:rsidRPr="00AA7DF5" w14:paraId="02D54255" w14:textId="77777777" w:rsidTr="00F03A57">
        <w:trPr>
          <w:gridBefore w:val="1"/>
          <w:wBefore w:w="12" w:type="dxa"/>
          <w:cantSplit/>
          <w:tblHeader/>
          <w:jc w:val="center"/>
        </w:trPr>
        <w:tc>
          <w:tcPr>
            <w:tcW w:w="651" w:type="dxa"/>
            <w:gridSpan w:val="3"/>
            <w:tcMar>
              <w:left w:w="28" w:type="dxa"/>
              <w:right w:w="28" w:type="dxa"/>
            </w:tcMar>
          </w:tcPr>
          <w:p w14:paraId="00E35ED1"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(54)</w:t>
            </w:r>
          </w:p>
        </w:tc>
        <w:tc>
          <w:tcPr>
            <w:tcW w:w="2286" w:type="dxa"/>
            <w:gridSpan w:val="3"/>
            <w:shd w:val="clear" w:color="auto" w:fill="auto"/>
            <w:tcMar>
              <w:left w:w="28" w:type="dxa"/>
              <w:right w:w="28" w:type="dxa"/>
            </w:tcMar>
          </w:tcPr>
          <w:p w14:paraId="2DB926C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Clotianidina</w:t>
            </w:r>
          </w:p>
        </w:tc>
        <w:tc>
          <w:tcPr>
            <w:tcW w:w="1329" w:type="dxa"/>
            <w:gridSpan w:val="3"/>
            <w:shd w:val="clear" w:color="auto" w:fill="auto"/>
            <w:tcMar>
              <w:left w:w="28" w:type="dxa"/>
              <w:right w:w="28" w:type="dxa"/>
            </w:tcMar>
          </w:tcPr>
          <w:p w14:paraId="3310A81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neocotinoides</w:t>
            </w:r>
          </w:p>
        </w:tc>
        <w:tc>
          <w:tcPr>
            <w:tcW w:w="992" w:type="dxa"/>
            <w:gridSpan w:val="2"/>
            <w:shd w:val="clear" w:color="auto" w:fill="auto"/>
            <w:tcMar>
              <w:left w:w="28" w:type="dxa"/>
              <w:right w:w="28" w:type="dxa"/>
            </w:tcMar>
          </w:tcPr>
          <w:p w14:paraId="210E120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210880-92-5</w:t>
            </w:r>
          </w:p>
        </w:tc>
        <w:tc>
          <w:tcPr>
            <w:tcW w:w="1134" w:type="dxa"/>
          </w:tcPr>
          <w:p w14:paraId="33D65C3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433-460-1</w:t>
            </w:r>
          </w:p>
        </w:tc>
        <w:tc>
          <w:tcPr>
            <w:tcW w:w="1279" w:type="dxa"/>
            <w:gridSpan w:val="2"/>
            <w:shd w:val="clear" w:color="auto" w:fill="auto"/>
            <w:tcMar>
              <w:left w:w="28" w:type="dxa"/>
              <w:right w:w="28" w:type="dxa"/>
            </w:tcMar>
          </w:tcPr>
          <w:p w14:paraId="419B842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0628AA4A" w14:textId="36E1D733"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001</w:t>
            </w:r>
          </w:p>
        </w:tc>
        <w:tc>
          <w:tcPr>
            <w:tcW w:w="1278" w:type="dxa"/>
            <w:gridSpan w:val="2"/>
            <w:shd w:val="clear" w:color="auto" w:fill="auto"/>
            <w:tcMar>
              <w:left w:w="28" w:type="dxa"/>
              <w:right w:w="28" w:type="dxa"/>
            </w:tcMar>
          </w:tcPr>
          <w:p w14:paraId="61198ED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0,34</w:t>
            </w:r>
          </w:p>
        </w:tc>
        <w:tc>
          <w:tcPr>
            <w:tcW w:w="1277" w:type="dxa"/>
            <w:gridSpan w:val="2"/>
            <w:shd w:val="clear" w:color="auto" w:fill="auto"/>
            <w:tcMar>
              <w:left w:w="28" w:type="dxa"/>
              <w:right w:w="28" w:type="dxa"/>
            </w:tcMar>
          </w:tcPr>
          <w:p w14:paraId="2C8952D4" w14:textId="435D9322"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034</w:t>
            </w:r>
          </w:p>
        </w:tc>
        <w:tc>
          <w:tcPr>
            <w:tcW w:w="1136" w:type="dxa"/>
            <w:gridSpan w:val="2"/>
            <w:shd w:val="clear" w:color="auto" w:fill="auto"/>
            <w:tcMar>
              <w:left w:w="28" w:type="dxa"/>
              <w:right w:w="28" w:type="dxa"/>
            </w:tcMar>
          </w:tcPr>
          <w:p w14:paraId="2B3B5380"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DFF3017"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61E4ACFB"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1CCD1617"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684E93D3" w14:textId="77777777" w:rsidTr="00F03A57">
        <w:trPr>
          <w:gridBefore w:val="1"/>
          <w:wBefore w:w="12" w:type="dxa"/>
          <w:cantSplit/>
          <w:tblHeader/>
          <w:jc w:val="center"/>
        </w:trPr>
        <w:tc>
          <w:tcPr>
            <w:tcW w:w="651" w:type="dxa"/>
            <w:gridSpan w:val="3"/>
            <w:tcMar>
              <w:left w:w="28" w:type="dxa"/>
              <w:right w:w="28" w:type="dxa"/>
            </w:tcMar>
          </w:tcPr>
          <w:p w14:paraId="4A5E5F6A"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(55)</w:t>
            </w:r>
          </w:p>
        </w:tc>
        <w:tc>
          <w:tcPr>
            <w:tcW w:w="2286" w:type="dxa"/>
            <w:gridSpan w:val="3"/>
            <w:shd w:val="clear" w:color="auto" w:fill="auto"/>
            <w:tcMar>
              <w:left w:w="28" w:type="dxa"/>
              <w:right w:w="28" w:type="dxa"/>
            </w:tcMar>
          </w:tcPr>
          <w:p w14:paraId="217F499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Deltametrina</w:t>
            </w:r>
          </w:p>
        </w:tc>
        <w:tc>
          <w:tcPr>
            <w:tcW w:w="1329" w:type="dxa"/>
            <w:gridSpan w:val="3"/>
            <w:shd w:val="clear" w:color="auto" w:fill="auto"/>
            <w:tcMar>
              <w:left w:w="28" w:type="dxa"/>
              <w:right w:w="28" w:type="dxa"/>
            </w:tcMar>
          </w:tcPr>
          <w:p w14:paraId="2B37F04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piretroides</w:t>
            </w:r>
          </w:p>
        </w:tc>
        <w:tc>
          <w:tcPr>
            <w:tcW w:w="992" w:type="dxa"/>
            <w:gridSpan w:val="2"/>
            <w:shd w:val="clear" w:color="auto" w:fill="auto"/>
            <w:tcMar>
              <w:left w:w="28" w:type="dxa"/>
              <w:right w:w="28" w:type="dxa"/>
            </w:tcMar>
          </w:tcPr>
          <w:p w14:paraId="1C0A221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52918-63-5</w:t>
            </w:r>
          </w:p>
        </w:tc>
        <w:tc>
          <w:tcPr>
            <w:tcW w:w="1134" w:type="dxa"/>
          </w:tcPr>
          <w:p w14:paraId="4BC9E88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258-256-6</w:t>
            </w:r>
          </w:p>
        </w:tc>
        <w:tc>
          <w:tcPr>
            <w:tcW w:w="1279" w:type="dxa"/>
            <w:gridSpan w:val="2"/>
            <w:shd w:val="clear" w:color="auto" w:fill="auto"/>
            <w:tcMar>
              <w:left w:w="28" w:type="dxa"/>
              <w:right w:w="28" w:type="dxa"/>
            </w:tcMar>
          </w:tcPr>
          <w:p w14:paraId="1BEB452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 × 10</w:t>
            </w:r>
            <w:r w:rsidRPr="00AA7DF5">
              <w:rPr>
                <w:rFonts w:eastAsia="Calibri"/>
                <w:noProof/>
                <w:color w:val="000000"/>
                <w:sz w:val="22"/>
                <w:szCs w:val="22"/>
                <w:vertAlign w:val="superscript"/>
                <w:lang w:eastAsia="en-US"/>
              </w:rPr>
              <w:t>-6</w:t>
            </w:r>
          </w:p>
        </w:tc>
        <w:tc>
          <w:tcPr>
            <w:tcW w:w="1279" w:type="dxa"/>
            <w:gridSpan w:val="2"/>
            <w:shd w:val="clear" w:color="auto" w:fill="auto"/>
            <w:tcMar>
              <w:left w:w="28" w:type="dxa"/>
              <w:right w:w="28" w:type="dxa"/>
            </w:tcMar>
          </w:tcPr>
          <w:p w14:paraId="2BC90AD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 × 10</w:t>
            </w:r>
            <w:r w:rsidRPr="00AA7DF5">
              <w:rPr>
                <w:rFonts w:eastAsia="Calibri"/>
                <w:noProof/>
                <w:color w:val="000000"/>
                <w:sz w:val="22"/>
                <w:szCs w:val="22"/>
                <w:vertAlign w:val="superscript"/>
                <w:lang w:eastAsia="en-US"/>
              </w:rPr>
              <w:t>-7</w:t>
            </w:r>
          </w:p>
        </w:tc>
        <w:tc>
          <w:tcPr>
            <w:tcW w:w="1278" w:type="dxa"/>
            <w:gridSpan w:val="2"/>
            <w:shd w:val="clear" w:color="auto" w:fill="auto"/>
            <w:tcMar>
              <w:left w:w="28" w:type="dxa"/>
              <w:right w:w="28" w:type="dxa"/>
            </w:tcMar>
          </w:tcPr>
          <w:p w14:paraId="5AB2996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 × 10</w:t>
            </w:r>
            <w:r w:rsidRPr="00AA7DF5">
              <w:rPr>
                <w:rFonts w:eastAsia="Calibri"/>
                <w:noProof/>
                <w:color w:val="000000"/>
                <w:sz w:val="22"/>
                <w:szCs w:val="22"/>
                <w:vertAlign w:val="superscript"/>
                <w:lang w:eastAsia="en-US"/>
              </w:rPr>
              <w:t>-5</w:t>
            </w:r>
          </w:p>
        </w:tc>
        <w:tc>
          <w:tcPr>
            <w:tcW w:w="1277" w:type="dxa"/>
            <w:gridSpan w:val="2"/>
            <w:shd w:val="clear" w:color="auto" w:fill="auto"/>
            <w:tcMar>
              <w:left w:w="28" w:type="dxa"/>
              <w:right w:w="28" w:type="dxa"/>
            </w:tcMar>
          </w:tcPr>
          <w:p w14:paraId="10B2D09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3,4 × 10</w:t>
            </w:r>
            <w:r w:rsidRPr="00AA7DF5">
              <w:rPr>
                <w:rFonts w:eastAsia="Calibri"/>
                <w:noProof/>
                <w:color w:val="000000"/>
                <w:sz w:val="22"/>
                <w:szCs w:val="22"/>
                <w:vertAlign w:val="superscript"/>
                <w:lang w:eastAsia="en-US"/>
              </w:rPr>
              <w:t>-6</w:t>
            </w:r>
          </w:p>
        </w:tc>
        <w:tc>
          <w:tcPr>
            <w:tcW w:w="1136" w:type="dxa"/>
            <w:gridSpan w:val="2"/>
            <w:shd w:val="clear" w:color="auto" w:fill="auto"/>
            <w:tcMar>
              <w:left w:w="28" w:type="dxa"/>
              <w:right w:w="28" w:type="dxa"/>
            </w:tcMar>
          </w:tcPr>
          <w:p w14:paraId="36F90D18"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0B781C33"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19DE9923"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0BA58792"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r>
      <w:tr w:rsidR="00F03A57" w:rsidRPr="00AA7DF5" w14:paraId="2E2A954E" w14:textId="77777777" w:rsidTr="00F03A57">
        <w:trPr>
          <w:gridBefore w:val="1"/>
          <w:wBefore w:w="12" w:type="dxa"/>
          <w:cantSplit/>
          <w:tblHeader/>
          <w:jc w:val="center"/>
        </w:trPr>
        <w:tc>
          <w:tcPr>
            <w:tcW w:w="651" w:type="dxa"/>
            <w:gridSpan w:val="3"/>
            <w:tcMar>
              <w:left w:w="28" w:type="dxa"/>
              <w:right w:w="28" w:type="dxa"/>
            </w:tcMar>
          </w:tcPr>
          <w:p w14:paraId="2989F0CD"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(56)</w:t>
            </w:r>
          </w:p>
        </w:tc>
        <w:tc>
          <w:tcPr>
            <w:tcW w:w="2286" w:type="dxa"/>
            <w:gridSpan w:val="3"/>
            <w:shd w:val="clear" w:color="auto" w:fill="auto"/>
            <w:tcMar>
              <w:left w:w="28" w:type="dxa"/>
              <w:right w:w="28" w:type="dxa"/>
            </w:tcMar>
          </w:tcPr>
          <w:p w14:paraId="2BE7B89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Diclofenaco</w:t>
            </w:r>
          </w:p>
        </w:tc>
        <w:tc>
          <w:tcPr>
            <w:tcW w:w="1329" w:type="dxa"/>
            <w:gridSpan w:val="3"/>
            <w:shd w:val="clear" w:color="auto" w:fill="auto"/>
            <w:tcMar>
              <w:left w:w="28" w:type="dxa"/>
              <w:right w:w="28" w:type="dxa"/>
            </w:tcMar>
          </w:tcPr>
          <w:p w14:paraId="73A0998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w:t>
            </w:r>
          </w:p>
        </w:tc>
        <w:tc>
          <w:tcPr>
            <w:tcW w:w="992" w:type="dxa"/>
            <w:gridSpan w:val="2"/>
            <w:shd w:val="clear" w:color="auto" w:fill="auto"/>
            <w:tcMar>
              <w:left w:w="28" w:type="dxa"/>
              <w:right w:w="28" w:type="dxa"/>
            </w:tcMar>
          </w:tcPr>
          <w:p w14:paraId="732F67E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 xml:space="preserve">15307-86-5/15307-79-6 </w:t>
            </w:r>
          </w:p>
        </w:tc>
        <w:tc>
          <w:tcPr>
            <w:tcW w:w="1134" w:type="dxa"/>
          </w:tcPr>
          <w:p w14:paraId="7CB1CCE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239-348-5/239-346-4</w:t>
            </w:r>
          </w:p>
        </w:tc>
        <w:tc>
          <w:tcPr>
            <w:tcW w:w="1279" w:type="dxa"/>
            <w:gridSpan w:val="2"/>
            <w:shd w:val="clear" w:color="auto" w:fill="auto"/>
            <w:tcMar>
              <w:left w:w="28" w:type="dxa"/>
              <w:right w:w="28" w:type="dxa"/>
            </w:tcMar>
          </w:tcPr>
          <w:p w14:paraId="4C0DA3F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4258E911" w14:textId="7C1C4088"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color w:val="000000"/>
                <w:sz w:val="22"/>
                <w:szCs w:val="22"/>
                <w:lang w:eastAsia="en-US"/>
              </w:rPr>
              <w:t>,</w:t>
            </w:r>
            <w:r w:rsidRPr="00AA7DF5">
              <w:rPr>
                <w:rFonts w:eastAsia="Calibri"/>
                <w:noProof/>
                <w:color w:val="000000"/>
                <w:sz w:val="22"/>
                <w:szCs w:val="22"/>
                <w:lang w:eastAsia="en-US"/>
              </w:rPr>
              <w:t>004</w:t>
            </w:r>
          </w:p>
        </w:tc>
        <w:tc>
          <w:tcPr>
            <w:tcW w:w="1278" w:type="dxa"/>
            <w:gridSpan w:val="2"/>
            <w:shd w:val="clear" w:color="auto" w:fill="auto"/>
            <w:tcMar>
              <w:left w:w="28" w:type="dxa"/>
              <w:right w:w="28" w:type="dxa"/>
            </w:tcMar>
          </w:tcPr>
          <w:p w14:paraId="67F207F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250</w:t>
            </w:r>
          </w:p>
        </w:tc>
        <w:tc>
          <w:tcPr>
            <w:tcW w:w="1277" w:type="dxa"/>
            <w:gridSpan w:val="2"/>
            <w:shd w:val="clear" w:color="auto" w:fill="auto"/>
            <w:tcMar>
              <w:left w:w="28" w:type="dxa"/>
              <w:right w:w="28" w:type="dxa"/>
            </w:tcMar>
          </w:tcPr>
          <w:p w14:paraId="4B278F6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25</w:t>
            </w:r>
          </w:p>
        </w:tc>
        <w:tc>
          <w:tcPr>
            <w:tcW w:w="1136" w:type="dxa"/>
            <w:gridSpan w:val="2"/>
            <w:shd w:val="clear" w:color="auto" w:fill="auto"/>
            <w:tcMar>
              <w:left w:w="28" w:type="dxa"/>
              <w:right w:w="28" w:type="dxa"/>
            </w:tcMar>
          </w:tcPr>
          <w:p w14:paraId="47B6317F"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395BA5E"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121B6AD6"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40DE608B"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X</w:t>
            </w:r>
          </w:p>
        </w:tc>
      </w:tr>
      <w:tr w:rsidR="00F03A57" w:rsidRPr="00AA7DF5" w14:paraId="093A3A5F" w14:textId="77777777" w:rsidTr="00F03A57">
        <w:trPr>
          <w:gridBefore w:val="1"/>
          <w:wBefore w:w="12" w:type="dxa"/>
          <w:cantSplit/>
          <w:tblHeader/>
          <w:jc w:val="center"/>
        </w:trPr>
        <w:tc>
          <w:tcPr>
            <w:tcW w:w="651" w:type="dxa"/>
            <w:gridSpan w:val="3"/>
            <w:tcMar>
              <w:left w:w="28" w:type="dxa"/>
              <w:right w:w="28" w:type="dxa"/>
            </w:tcMar>
          </w:tcPr>
          <w:p w14:paraId="32AE9EE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(57)</w:t>
            </w:r>
          </w:p>
        </w:tc>
        <w:tc>
          <w:tcPr>
            <w:tcW w:w="2286" w:type="dxa"/>
            <w:gridSpan w:val="3"/>
            <w:shd w:val="clear" w:color="auto" w:fill="auto"/>
            <w:tcMar>
              <w:left w:w="28" w:type="dxa"/>
              <w:right w:w="28" w:type="dxa"/>
            </w:tcMar>
          </w:tcPr>
          <w:p w14:paraId="7012443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Eritromicina</w:t>
            </w:r>
          </w:p>
        </w:tc>
        <w:tc>
          <w:tcPr>
            <w:tcW w:w="1329" w:type="dxa"/>
            <w:gridSpan w:val="3"/>
            <w:shd w:val="clear" w:color="auto" w:fill="auto"/>
            <w:tcMar>
              <w:left w:w="28" w:type="dxa"/>
              <w:right w:w="28" w:type="dxa"/>
            </w:tcMar>
          </w:tcPr>
          <w:p w14:paraId="07D0562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 (antibióticos macrólidos)</w:t>
            </w:r>
          </w:p>
        </w:tc>
        <w:tc>
          <w:tcPr>
            <w:tcW w:w="992" w:type="dxa"/>
            <w:gridSpan w:val="2"/>
            <w:shd w:val="clear" w:color="auto" w:fill="auto"/>
            <w:tcMar>
              <w:left w:w="28" w:type="dxa"/>
              <w:right w:w="28" w:type="dxa"/>
            </w:tcMar>
          </w:tcPr>
          <w:p w14:paraId="5E855A4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114-07-8</w:t>
            </w:r>
          </w:p>
        </w:tc>
        <w:tc>
          <w:tcPr>
            <w:tcW w:w="1134" w:type="dxa"/>
          </w:tcPr>
          <w:p w14:paraId="3CE610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204-040-1</w:t>
            </w:r>
          </w:p>
        </w:tc>
        <w:tc>
          <w:tcPr>
            <w:tcW w:w="1279" w:type="dxa"/>
            <w:gridSpan w:val="2"/>
            <w:shd w:val="clear" w:color="auto" w:fill="auto"/>
            <w:tcMar>
              <w:left w:w="28" w:type="dxa"/>
              <w:right w:w="28" w:type="dxa"/>
            </w:tcMar>
          </w:tcPr>
          <w:p w14:paraId="611F06E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0,5</w:t>
            </w:r>
          </w:p>
        </w:tc>
        <w:tc>
          <w:tcPr>
            <w:tcW w:w="1279" w:type="dxa"/>
            <w:gridSpan w:val="2"/>
            <w:shd w:val="clear" w:color="auto" w:fill="auto"/>
            <w:tcMar>
              <w:left w:w="28" w:type="dxa"/>
              <w:right w:w="28" w:type="dxa"/>
            </w:tcMar>
          </w:tcPr>
          <w:p w14:paraId="7E58868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0,05</w:t>
            </w:r>
          </w:p>
        </w:tc>
        <w:tc>
          <w:tcPr>
            <w:tcW w:w="1278" w:type="dxa"/>
            <w:gridSpan w:val="2"/>
            <w:shd w:val="clear" w:color="auto" w:fill="auto"/>
            <w:tcMar>
              <w:left w:w="28" w:type="dxa"/>
              <w:right w:w="28" w:type="dxa"/>
            </w:tcMar>
          </w:tcPr>
          <w:p w14:paraId="252D2B1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w:t>
            </w:r>
          </w:p>
        </w:tc>
        <w:tc>
          <w:tcPr>
            <w:tcW w:w="1277" w:type="dxa"/>
            <w:gridSpan w:val="2"/>
            <w:shd w:val="clear" w:color="auto" w:fill="auto"/>
            <w:tcMar>
              <w:left w:w="28" w:type="dxa"/>
              <w:right w:w="28" w:type="dxa"/>
            </w:tcMar>
          </w:tcPr>
          <w:p w14:paraId="50DA6FD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0,1</w:t>
            </w:r>
          </w:p>
        </w:tc>
        <w:tc>
          <w:tcPr>
            <w:tcW w:w="1136" w:type="dxa"/>
            <w:gridSpan w:val="2"/>
            <w:shd w:val="clear" w:color="auto" w:fill="auto"/>
            <w:tcMar>
              <w:left w:w="28" w:type="dxa"/>
              <w:right w:w="28" w:type="dxa"/>
            </w:tcMar>
          </w:tcPr>
          <w:p w14:paraId="670243B4"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5CEC4919"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6FBD35D2"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48C6AF27"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r>
      <w:tr w:rsidR="00F03A57" w:rsidRPr="00AA7DF5" w14:paraId="44D28A6E" w14:textId="77777777" w:rsidTr="00F03A57">
        <w:trPr>
          <w:gridBefore w:val="1"/>
          <w:wBefore w:w="12" w:type="dxa"/>
          <w:cantSplit/>
          <w:tblHeader/>
          <w:jc w:val="center"/>
        </w:trPr>
        <w:tc>
          <w:tcPr>
            <w:tcW w:w="651" w:type="dxa"/>
            <w:gridSpan w:val="3"/>
            <w:tcMar>
              <w:left w:w="28" w:type="dxa"/>
              <w:right w:w="28" w:type="dxa"/>
            </w:tcMar>
          </w:tcPr>
          <w:p w14:paraId="19DE01C4"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(58)</w:t>
            </w:r>
          </w:p>
        </w:tc>
        <w:tc>
          <w:tcPr>
            <w:tcW w:w="2286" w:type="dxa"/>
            <w:gridSpan w:val="3"/>
            <w:shd w:val="clear" w:color="auto" w:fill="auto"/>
            <w:tcMar>
              <w:left w:w="28" w:type="dxa"/>
              <w:right w:w="28" w:type="dxa"/>
            </w:tcMar>
          </w:tcPr>
          <w:p w14:paraId="74F678F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Esfenvalerato</w:t>
            </w:r>
          </w:p>
        </w:tc>
        <w:tc>
          <w:tcPr>
            <w:tcW w:w="1329" w:type="dxa"/>
            <w:gridSpan w:val="3"/>
            <w:shd w:val="clear" w:color="auto" w:fill="auto"/>
            <w:tcMar>
              <w:left w:w="28" w:type="dxa"/>
              <w:right w:w="28" w:type="dxa"/>
            </w:tcMar>
          </w:tcPr>
          <w:p w14:paraId="2E8BA7D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piretroides</w:t>
            </w:r>
          </w:p>
        </w:tc>
        <w:tc>
          <w:tcPr>
            <w:tcW w:w="992" w:type="dxa"/>
            <w:gridSpan w:val="2"/>
            <w:shd w:val="clear" w:color="auto" w:fill="auto"/>
            <w:tcMar>
              <w:left w:w="28" w:type="dxa"/>
              <w:right w:w="28" w:type="dxa"/>
            </w:tcMar>
          </w:tcPr>
          <w:p w14:paraId="3EB2FD1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66230-04-4</w:t>
            </w:r>
          </w:p>
        </w:tc>
        <w:tc>
          <w:tcPr>
            <w:tcW w:w="1134" w:type="dxa"/>
          </w:tcPr>
          <w:p w14:paraId="73A3F2E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613-911-9</w:t>
            </w:r>
          </w:p>
        </w:tc>
        <w:tc>
          <w:tcPr>
            <w:tcW w:w="1279" w:type="dxa"/>
            <w:gridSpan w:val="2"/>
            <w:shd w:val="clear" w:color="auto" w:fill="auto"/>
            <w:tcMar>
              <w:left w:w="28" w:type="dxa"/>
              <w:right w:w="28" w:type="dxa"/>
            </w:tcMar>
          </w:tcPr>
          <w:p w14:paraId="73A9A3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 × 10</w:t>
            </w:r>
            <w:r w:rsidRPr="00AA7DF5">
              <w:rPr>
                <w:rFonts w:eastAsia="Calibri"/>
                <w:noProof/>
                <w:color w:val="000000"/>
                <w:sz w:val="22"/>
                <w:szCs w:val="22"/>
                <w:vertAlign w:val="superscript"/>
                <w:lang w:eastAsia="en-US"/>
              </w:rPr>
              <w:t>-5</w:t>
            </w:r>
          </w:p>
        </w:tc>
        <w:tc>
          <w:tcPr>
            <w:tcW w:w="1279" w:type="dxa"/>
            <w:gridSpan w:val="2"/>
            <w:shd w:val="clear" w:color="auto" w:fill="auto"/>
            <w:tcMar>
              <w:left w:w="28" w:type="dxa"/>
              <w:right w:w="28" w:type="dxa"/>
            </w:tcMar>
          </w:tcPr>
          <w:p w14:paraId="4DEA29F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1,7 × 10</w:t>
            </w:r>
            <w:r w:rsidRPr="00AA7DF5">
              <w:rPr>
                <w:rFonts w:eastAsia="Calibri"/>
                <w:noProof/>
                <w:color w:val="000000"/>
                <w:sz w:val="22"/>
                <w:szCs w:val="22"/>
                <w:vertAlign w:val="superscript"/>
                <w:lang w:eastAsia="en-US"/>
              </w:rPr>
              <w:t>-6</w:t>
            </w:r>
          </w:p>
        </w:tc>
        <w:tc>
          <w:tcPr>
            <w:tcW w:w="1278" w:type="dxa"/>
            <w:gridSpan w:val="2"/>
            <w:shd w:val="clear" w:color="auto" w:fill="auto"/>
            <w:tcMar>
              <w:left w:w="28" w:type="dxa"/>
              <w:right w:w="28" w:type="dxa"/>
            </w:tcMar>
          </w:tcPr>
          <w:p w14:paraId="2B58F21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0,0085</w:t>
            </w:r>
          </w:p>
        </w:tc>
        <w:tc>
          <w:tcPr>
            <w:tcW w:w="1277" w:type="dxa"/>
            <w:gridSpan w:val="2"/>
            <w:shd w:val="clear" w:color="auto" w:fill="auto"/>
            <w:tcMar>
              <w:left w:w="28" w:type="dxa"/>
              <w:right w:w="28" w:type="dxa"/>
            </w:tcMar>
          </w:tcPr>
          <w:p w14:paraId="0E4B9AB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0,00085</w:t>
            </w:r>
          </w:p>
        </w:tc>
        <w:tc>
          <w:tcPr>
            <w:tcW w:w="1136" w:type="dxa"/>
            <w:gridSpan w:val="2"/>
            <w:shd w:val="clear" w:color="auto" w:fill="auto"/>
            <w:tcMar>
              <w:left w:w="28" w:type="dxa"/>
              <w:right w:w="28" w:type="dxa"/>
            </w:tcMar>
          </w:tcPr>
          <w:p w14:paraId="057B5A31"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683FB901"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shd w:val="clear" w:color="auto" w:fill="auto"/>
            <w:tcMar>
              <w:left w:w="28" w:type="dxa"/>
              <w:right w:w="28" w:type="dxa"/>
            </w:tcMar>
          </w:tcPr>
          <w:p w14:paraId="6FA945D5"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shd w:val="clear" w:color="auto" w:fill="auto"/>
            <w:tcMar>
              <w:left w:w="28" w:type="dxa"/>
              <w:right w:w="28" w:type="dxa"/>
            </w:tcMar>
          </w:tcPr>
          <w:p w14:paraId="4BE900DA"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r>
      <w:tr w:rsidR="00F03A57" w:rsidRPr="00AA7DF5" w14:paraId="409389F9" w14:textId="77777777" w:rsidTr="00F03A57">
        <w:trPr>
          <w:gridBefore w:val="1"/>
          <w:wBefore w:w="12" w:type="dxa"/>
          <w:cantSplit/>
          <w:tblHeader/>
          <w:jc w:val="center"/>
        </w:trPr>
        <w:tc>
          <w:tcPr>
            <w:tcW w:w="651" w:type="dxa"/>
            <w:gridSpan w:val="3"/>
            <w:tcMar>
              <w:left w:w="28" w:type="dxa"/>
              <w:right w:w="28" w:type="dxa"/>
            </w:tcMar>
          </w:tcPr>
          <w:p w14:paraId="5C1572A1"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(59)</w:t>
            </w:r>
          </w:p>
        </w:tc>
        <w:tc>
          <w:tcPr>
            <w:tcW w:w="2286" w:type="dxa"/>
            <w:gridSpan w:val="3"/>
            <w:shd w:val="clear" w:color="auto" w:fill="auto"/>
            <w:tcMar>
              <w:left w:w="28" w:type="dxa"/>
              <w:right w:w="28" w:type="dxa"/>
            </w:tcMar>
          </w:tcPr>
          <w:p w14:paraId="3DDB6E1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Estrona (E1)</w:t>
            </w:r>
          </w:p>
        </w:tc>
        <w:tc>
          <w:tcPr>
            <w:tcW w:w="1329" w:type="dxa"/>
            <w:gridSpan w:val="3"/>
            <w:shd w:val="clear" w:color="auto" w:fill="auto"/>
            <w:tcMar>
              <w:left w:w="28" w:type="dxa"/>
              <w:right w:w="28" w:type="dxa"/>
            </w:tcMar>
          </w:tcPr>
          <w:p w14:paraId="261A6B6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 (hormonas estrogénicas)</w:t>
            </w:r>
          </w:p>
        </w:tc>
        <w:tc>
          <w:tcPr>
            <w:tcW w:w="992" w:type="dxa"/>
            <w:gridSpan w:val="2"/>
            <w:shd w:val="clear" w:color="auto" w:fill="auto"/>
            <w:tcMar>
              <w:left w:w="28" w:type="dxa"/>
              <w:right w:w="28" w:type="dxa"/>
            </w:tcMar>
          </w:tcPr>
          <w:p w14:paraId="5E961C9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53-16-7</w:t>
            </w:r>
          </w:p>
        </w:tc>
        <w:tc>
          <w:tcPr>
            <w:tcW w:w="1134" w:type="dxa"/>
          </w:tcPr>
          <w:p w14:paraId="3FD48B9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200-164-5</w:t>
            </w:r>
          </w:p>
        </w:tc>
        <w:tc>
          <w:tcPr>
            <w:tcW w:w="1279" w:type="dxa"/>
            <w:gridSpan w:val="2"/>
            <w:shd w:val="clear" w:color="auto" w:fill="auto"/>
            <w:tcMar>
              <w:left w:w="28" w:type="dxa"/>
              <w:right w:w="28" w:type="dxa"/>
            </w:tcMar>
          </w:tcPr>
          <w:p w14:paraId="57FC613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3,6 × 10</w:t>
            </w:r>
            <w:r w:rsidRPr="00AA7DF5">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082B809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1,8 × 10</w:t>
            </w:r>
            <w:r w:rsidRPr="00AA7DF5">
              <w:rPr>
                <w:rFonts w:eastAsia="Calibri"/>
                <w:noProof/>
                <w:color w:val="000000"/>
                <w:sz w:val="22"/>
                <w:szCs w:val="22"/>
                <w:vertAlign w:val="superscript"/>
                <w:lang w:eastAsia="en-US"/>
              </w:rPr>
              <w:t>-5</w:t>
            </w:r>
          </w:p>
        </w:tc>
        <w:tc>
          <w:tcPr>
            <w:tcW w:w="1278" w:type="dxa"/>
            <w:gridSpan w:val="2"/>
            <w:shd w:val="clear" w:color="auto" w:fill="auto"/>
            <w:tcMar>
              <w:left w:w="28" w:type="dxa"/>
              <w:right w:w="28" w:type="dxa"/>
            </w:tcMar>
          </w:tcPr>
          <w:p w14:paraId="07F1A88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derivado</w:t>
            </w:r>
          </w:p>
        </w:tc>
        <w:tc>
          <w:tcPr>
            <w:tcW w:w="1277" w:type="dxa"/>
            <w:gridSpan w:val="2"/>
            <w:shd w:val="clear" w:color="auto" w:fill="auto"/>
            <w:tcMar>
              <w:left w:w="28" w:type="dxa"/>
              <w:right w:w="28" w:type="dxa"/>
            </w:tcMar>
          </w:tcPr>
          <w:p w14:paraId="5CDB244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não derivado</w:t>
            </w:r>
          </w:p>
        </w:tc>
        <w:tc>
          <w:tcPr>
            <w:tcW w:w="1136" w:type="dxa"/>
            <w:gridSpan w:val="2"/>
            <w:shd w:val="clear" w:color="auto" w:fill="auto"/>
            <w:tcMar>
              <w:left w:w="28" w:type="dxa"/>
              <w:right w:w="28" w:type="dxa"/>
            </w:tcMar>
          </w:tcPr>
          <w:p w14:paraId="5E0C6EF8"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1E0A077F"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1CE6018"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65491ABC"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1C2FFE38" w14:textId="77777777" w:rsidTr="00F03A57">
        <w:trPr>
          <w:gridBefore w:val="1"/>
          <w:wBefore w:w="12" w:type="dxa"/>
          <w:cantSplit/>
          <w:tblHeader/>
          <w:jc w:val="center"/>
        </w:trPr>
        <w:tc>
          <w:tcPr>
            <w:tcW w:w="651" w:type="dxa"/>
            <w:gridSpan w:val="3"/>
            <w:tcMar>
              <w:left w:w="28" w:type="dxa"/>
              <w:right w:w="28" w:type="dxa"/>
            </w:tcMar>
          </w:tcPr>
          <w:p w14:paraId="7720E09B"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(60)</w:t>
            </w:r>
          </w:p>
        </w:tc>
        <w:tc>
          <w:tcPr>
            <w:tcW w:w="2286" w:type="dxa"/>
            <w:gridSpan w:val="3"/>
            <w:shd w:val="clear" w:color="auto" w:fill="auto"/>
            <w:tcMar>
              <w:left w:w="28" w:type="dxa"/>
              <w:right w:w="28" w:type="dxa"/>
            </w:tcMar>
          </w:tcPr>
          <w:p w14:paraId="4355A1A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Glifosato</w:t>
            </w:r>
          </w:p>
        </w:tc>
        <w:tc>
          <w:tcPr>
            <w:tcW w:w="1329" w:type="dxa"/>
            <w:gridSpan w:val="3"/>
            <w:shd w:val="clear" w:color="auto" w:fill="auto"/>
            <w:tcMar>
              <w:left w:w="28" w:type="dxa"/>
              <w:right w:w="28" w:type="dxa"/>
            </w:tcMar>
          </w:tcPr>
          <w:p w14:paraId="4726792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Herbicidas</w:t>
            </w:r>
          </w:p>
        </w:tc>
        <w:tc>
          <w:tcPr>
            <w:tcW w:w="992" w:type="dxa"/>
            <w:gridSpan w:val="2"/>
            <w:shd w:val="clear" w:color="auto" w:fill="auto"/>
            <w:tcMar>
              <w:left w:w="28" w:type="dxa"/>
              <w:right w:w="28" w:type="dxa"/>
            </w:tcMar>
          </w:tcPr>
          <w:p w14:paraId="2A01A01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1071-83-6</w:t>
            </w:r>
          </w:p>
        </w:tc>
        <w:tc>
          <w:tcPr>
            <w:tcW w:w="1134" w:type="dxa"/>
          </w:tcPr>
          <w:p w14:paraId="1B672F3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213-997-4</w:t>
            </w:r>
          </w:p>
        </w:tc>
        <w:tc>
          <w:tcPr>
            <w:tcW w:w="1279" w:type="dxa"/>
            <w:gridSpan w:val="2"/>
            <w:shd w:val="clear" w:color="auto" w:fill="auto"/>
            <w:tcMar>
              <w:left w:w="28" w:type="dxa"/>
              <w:right w:w="28" w:type="dxa"/>
            </w:tcMar>
          </w:tcPr>
          <w:p w14:paraId="608AB51B"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0,1 (</w:t>
            </w:r>
            <w:r w:rsidRPr="00AA7DF5">
              <w:rPr>
                <w:rFonts w:eastAsia="Calibri"/>
                <w:noProof/>
                <w:color w:val="000000"/>
                <w:sz w:val="22"/>
                <w:szCs w:val="22"/>
                <w:vertAlign w:val="superscript"/>
                <w:lang w:eastAsia="en-US"/>
              </w:rPr>
              <w:t>25</w:t>
            </w:r>
            <w:r w:rsidRPr="00AA7DF5">
              <w:rPr>
                <w:rFonts w:eastAsia="Calibri"/>
                <w:noProof/>
                <w:color w:val="000000"/>
                <w:sz w:val="22"/>
                <w:szCs w:val="22"/>
                <w:lang w:eastAsia="en-US"/>
              </w:rPr>
              <w:t>)</w:t>
            </w:r>
          </w:p>
          <w:p w14:paraId="4452B72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86,7 (</w:t>
            </w:r>
            <w:r w:rsidRPr="00AA7DF5">
              <w:rPr>
                <w:rFonts w:eastAsia="Calibri"/>
                <w:noProof/>
                <w:color w:val="000000"/>
                <w:sz w:val="22"/>
                <w:szCs w:val="22"/>
                <w:vertAlign w:val="superscript"/>
                <w:lang w:eastAsia="en-US"/>
              </w:rPr>
              <w:t>26</w:t>
            </w:r>
            <w:r w:rsidRPr="00AA7DF5">
              <w:rPr>
                <w:rFonts w:eastAsia="Calibri"/>
                <w:noProof/>
                <w:color w:val="000000"/>
                <w:sz w:val="22"/>
                <w:szCs w:val="22"/>
                <w:lang w:eastAsia="en-US"/>
              </w:rPr>
              <w:t>)</w:t>
            </w:r>
          </w:p>
        </w:tc>
        <w:tc>
          <w:tcPr>
            <w:tcW w:w="1279" w:type="dxa"/>
            <w:gridSpan w:val="2"/>
            <w:shd w:val="clear" w:color="auto" w:fill="auto"/>
            <w:tcMar>
              <w:left w:w="28" w:type="dxa"/>
              <w:right w:w="28" w:type="dxa"/>
            </w:tcMar>
          </w:tcPr>
          <w:p w14:paraId="3448638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 xml:space="preserve">8,67 </w:t>
            </w:r>
          </w:p>
        </w:tc>
        <w:tc>
          <w:tcPr>
            <w:tcW w:w="1278" w:type="dxa"/>
            <w:gridSpan w:val="2"/>
            <w:shd w:val="clear" w:color="auto" w:fill="auto"/>
            <w:tcMar>
              <w:left w:w="28" w:type="dxa"/>
              <w:right w:w="28" w:type="dxa"/>
            </w:tcMar>
          </w:tcPr>
          <w:p w14:paraId="581EF32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398,6</w:t>
            </w:r>
          </w:p>
        </w:tc>
        <w:tc>
          <w:tcPr>
            <w:tcW w:w="1277" w:type="dxa"/>
            <w:gridSpan w:val="2"/>
            <w:shd w:val="clear" w:color="auto" w:fill="auto"/>
            <w:tcMar>
              <w:left w:w="28" w:type="dxa"/>
              <w:right w:w="28" w:type="dxa"/>
            </w:tcMar>
          </w:tcPr>
          <w:p w14:paraId="3663197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39,86</w:t>
            </w:r>
          </w:p>
        </w:tc>
        <w:tc>
          <w:tcPr>
            <w:tcW w:w="1136" w:type="dxa"/>
            <w:gridSpan w:val="2"/>
            <w:shd w:val="clear" w:color="auto" w:fill="auto"/>
            <w:tcMar>
              <w:left w:w="28" w:type="dxa"/>
              <w:right w:w="28" w:type="dxa"/>
            </w:tcMar>
          </w:tcPr>
          <w:p w14:paraId="12D43B67"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72F7A419"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215F5070"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609DAE2E"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6A73A7EE" w14:textId="77777777" w:rsidTr="00F03A57">
        <w:trPr>
          <w:gridBefore w:val="2"/>
          <w:wBefore w:w="46" w:type="dxa"/>
          <w:cantSplit/>
          <w:tblHeader/>
          <w:jc w:val="center"/>
        </w:trPr>
        <w:tc>
          <w:tcPr>
            <w:tcW w:w="617" w:type="dxa"/>
            <w:gridSpan w:val="2"/>
            <w:tcMar>
              <w:left w:w="28" w:type="dxa"/>
              <w:right w:w="28" w:type="dxa"/>
            </w:tcMar>
          </w:tcPr>
          <w:p w14:paraId="78386635"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(61)</w:t>
            </w:r>
          </w:p>
        </w:tc>
        <w:tc>
          <w:tcPr>
            <w:tcW w:w="2303" w:type="dxa"/>
            <w:gridSpan w:val="4"/>
            <w:shd w:val="clear" w:color="auto" w:fill="auto"/>
            <w:tcMar>
              <w:left w:w="28" w:type="dxa"/>
              <w:right w:w="28" w:type="dxa"/>
            </w:tcMar>
          </w:tcPr>
          <w:p w14:paraId="26B6047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Ibuprofeno</w:t>
            </w:r>
          </w:p>
        </w:tc>
        <w:tc>
          <w:tcPr>
            <w:tcW w:w="1312" w:type="dxa"/>
            <w:gridSpan w:val="2"/>
            <w:shd w:val="clear" w:color="auto" w:fill="auto"/>
            <w:tcMar>
              <w:left w:w="28" w:type="dxa"/>
              <w:right w:w="28" w:type="dxa"/>
            </w:tcMar>
          </w:tcPr>
          <w:p w14:paraId="2FD694A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Produtos farmacêuticos</w:t>
            </w:r>
          </w:p>
        </w:tc>
        <w:tc>
          <w:tcPr>
            <w:tcW w:w="992" w:type="dxa"/>
            <w:gridSpan w:val="2"/>
            <w:shd w:val="clear" w:color="auto" w:fill="auto"/>
            <w:tcMar>
              <w:left w:w="28" w:type="dxa"/>
              <w:right w:w="28" w:type="dxa"/>
            </w:tcMar>
          </w:tcPr>
          <w:p w14:paraId="5611F727"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15687-27-1</w:t>
            </w:r>
          </w:p>
        </w:tc>
        <w:tc>
          <w:tcPr>
            <w:tcW w:w="1134" w:type="dxa"/>
          </w:tcPr>
          <w:p w14:paraId="0A43724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239-784-6</w:t>
            </w:r>
          </w:p>
        </w:tc>
        <w:tc>
          <w:tcPr>
            <w:tcW w:w="1279" w:type="dxa"/>
            <w:gridSpan w:val="2"/>
            <w:shd w:val="clear" w:color="auto" w:fill="auto"/>
            <w:tcMar>
              <w:left w:w="28" w:type="dxa"/>
              <w:right w:w="28" w:type="dxa"/>
            </w:tcMar>
          </w:tcPr>
          <w:p w14:paraId="5882EE5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0,22</w:t>
            </w:r>
          </w:p>
        </w:tc>
        <w:tc>
          <w:tcPr>
            <w:tcW w:w="1279" w:type="dxa"/>
            <w:gridSpan w:val="2"/>
            <w:shd w:val="clear" w:color="auto" w:fill="auto"/>
            <w:tcMar>
              <w:left w:w="28" w:type="dxa"/>
              <w:right w:w="28" w:type="dxa"/>
            </w:tcMar>
          </w:tcPr>
          <w:p w14:paraId="31FE91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0,022</w:t>
            </w:r>
          </w:p>
        </w:tc>
        <w:tc>
          <w:tcPr>
            <w:tcW w:w="1278" w:type="dxa"/>
            <w:gridSpan w:val="2"/>
            <w:shd w:val="clear" w:color="auto" w:fill="auto"/>
            <w:tcMar>
              <w:left w:w="28" w:type="dxa"/>
              <w:right w:w="28" w:type="dxa"/>
            </w:tcMar>
          </w:tcPr>
          <w:p w14:paraId="0E2BDAD6" w14:textId="77777777" w:rsidR="00F03A57" w:rsidRPr="00AA7DF5" w:rsidRDefault="00F03A57" w:rsidP="00F03A57">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4376FF29" w14:textId="77777777" w:rsidR="00F03A57" w:rsidRPr="00AA7DF5" w:rsidRDefault="00F03A57" w:rsidP="00F03A57">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4727A34F" w14:textId="77777777" w:rsidR="00F03A57" w:rsidRPr="00AA7DF5" w:rsidRDefault="00F03A57" w:rsidP="00F03A57">
            <w:pPr>
              <w:widowControl/>
              <w:spacing w:before="40" w:after="40"/>
              <w:rPr>
                <w:rFonts w:eastAsia="Calibri"/>
                <w:noProof/>
                <w:sz w:val="22"/>
                <w:szCs w:val="22"/>
                <w:lang w:eastAsia="en-US"/>
              </w:rPr>
            </w:pPr>
          </w:p>
        </w:tc>
        <w:tc>
          <w:tcPr>
            <w:tcW w:w="1279" w:type="dxa"/>
            <w:gridSpan w:val="2"/>
            <w:tcMar>
              <w:left w:w="28" w:type="dxa"/>
              <w:right w:w="28" w:type="dxa"/>
            </w:tcMar>
          </w:tcPr>
          <w:p w14:paraId="56B0D840" w14:textId="77777777" w:rsidR="00F03A57" w:rsidRPr="00AA7DF5" w:rsidRDefault="00F03A57" w:rsidP="00F03A57">
            <w:pPr>
              <w:widowControl/>
              <w:spacing w:before="40" w:after="40"/>
              <w:rPr>
                <w:rFonts w:eastAsia="Calibri"/>
                <w:noProof/>
                <w:color w:val="000000"/>
                <w:sz w:val="22"/>
                <w:szCs w:val="22"/>
                <w:lang w:eastAsia="en-US"/>
              </w:rPr>
            </w:pPr>
          </w:p>
        </w:tc>
        <w:tc>
          <w:tcPr>
            <w:tcW w:w="1136" w:type="dxa"/>
            <w:tcMar>
              <w:left w:w="28" w:type="dxa"/>
              <w:right w:w="28" w:type="dxa"/>
            </w:tcMar>
          </w:tcPr>
          <w:p w14:paraId="59650530"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1384D888"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X</w:t>
            </w:r>
          </w:p>
        </w:tc>
      </w:tr>
      <w:tr w:rsidR="00F03A57" w:rsidRPr="00AA7DF5" w14:paraId="228F5504" w14:textId="77777777" w:rsidTr="00F03A57">
        <w:trPr>
          <w:gridBefore w:val="1"/>
          <w:wBefore w:w="12" w:type="dxa"/>
          <w:cantSplit/>
          <w:tblHeader/>
          <w:jc w:val="center"/>
        </w:trPr>
        <w:tc>
          <w:tcPr>
            <w:tcW w:w="651" w:type="dxa"/>
            <w:gridSpan w:val="3"/>
            <w:tcMar>
              <w:left w:w="28" w:type="dxa"/>
              <w:right w:w="28" w:type="dxa"/>
            </w:tcMar>
          </w:tcPr>
          <w:p w14:paraId="71FE3D16"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(62)</w:t>
            </w:r>
          </w:p>
        </w:tc>
        <w:tc>
          <w:tcPr>
            <w:tcW w:w="2286" w:type="dxa"/>
            <w:gridSpan w:val="3"/>
            <w:shd w:val="clear" w:color="auto" w:fill="auto"/>
            <w:tcMar>
              <w:left w:w="28" w:type="dxa"/>
              <w:right w:w="28" w:type="dxa"/>
            </w:tcMar>
          </w:tcPr>
          <w:p w14:paraId="417A56D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Imidaclopride</w:t>
            </w:r>
          </w:p>
        </w:tc>
        <w:tc>
          <w:tcPr>
            <w:tcW w:w="1329" w:type="dxa"/>
            <w:gridSpan w:val="3"/>
            <w:shd w:val="clear" w:color="auto" w:fill="auto"/>
            <w:tcMar>
              <w:left w:w="28" w:type="dxa"/>
              <w:right w:w="28" w:type="dxa"/>
            </w:tcMar>
          </w:tcPr>
          <w:p w14:paraId="0D62A55E"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neocotinoides</w:t>
            </w:r>
          </w:p>
        </w:tc>
        <w:tc>
          <w:tcPr>
            <w:tcW w:w="992" w:type="dxa"/>
            <w:gridSpan w:val="2"/>
            <w:shd w:val="clear" w:color="auto" w:fill="auto"/>
            <w:tcMar>
              <w:left w:w="28" w:type="dxa"/>
              <w:right w:w="28" w:type="dxa"/>
            </w:tcMar>
          </w:tcPr>
          <w:p w14:paraId="1C6EB52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138261-41-3/105827-78-9</w:t>
            </w:r>
          </w:p>
        </w:tc>
        <w:tc>
          <w:tcPr>
            <w:tcW w:w="1134" w:type="dxa"/>
          </w:tcPr>
          <w:p w14:paraId="5E28873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428-040-8</w:t>
            </w:r>
          </w:p>
        </w:tc>
        <w:tc>
          <w:tcPr>
            <w:tcW w:w="1279" w:type="dxa"/>
            <w:gridSpan w:val="2"/>
            <w:shd w:val="clear" w:color="auto" w:fill="auto"/>
            <w:tcMar>
              <w:left w:w="28" w:type="dxa"/>
              <w:right w:w="28" w:type="dxa"/>
            </w:tcMar>
          </w:tcPr>
          <w:p w14:paraId="53D9027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0,0068</w:t>
            </w:r>
          </w:p>
        </w:tc>
        <w:tc>
          <w:tcPr>
            <w:tcW w:w="1279" w:type="dxa"/>
            <w:gridSpan w:val="2"/>
            <w:shd w:val="clear" w:color="auto" w:fill="auto"/>
            <w:tcMar>
              <w:left w:w="28" w:type="dxa"/>
              <w:right w:w="28" w:type="dxa"/>
            </w:tcMar>
          </w:tcPr>
          <w:p w14:paraId="474101E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6,8 × 10</w:t>
            </w:r>
            <w:r w:rsidRPr="00AA7DF5">
              <w:rPr>
                <w:rFonts w:eastAsia="Calibri"/>
                <w:noProof/>
                <w:color w:val="000000"/>
                <w:sz w:val="22"/>
                <w:szCs w:val="22"/>
                <w:vertAlign w:val="superscript"/>
                <w:lang w:eastAsia="en-US"/>
              </w:rPr>
              <w:t>-4</w:t>
            </w:r>
          </w:p>
        </w:tc>
        <w:tc>
          <w:tcPr>
            <w:tcW w:w="1278" w:type="dxa"/>
            <w:gridSpan w:val="2"/>
            <w:shd w:val="clear" w:color="auto" w:fill="auto"/>
            <w:tcMar>
              <w:left w:w="28" w:type="dxa"/>
              <w:right w:w="28" w:type="dxa"/>
            </w:tcMar>
          </w:tcPr>
          <w:p w14:paraId="23F3A163" w14:textId="60F64CD5"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E42ABC" w:rsidRPr="00F367E5">
              <w:rPr>
                <w:rFonts w:eastAsia="Calibri"/>
                <w:b/>
                <w:bCs/>
                <w:i/>
                <w:iCs/>
                <w:noProof/>
                <w:sz w:val="22"/>
                <w:szCs w:val="22"/>
                <w:lang w:eastAsia="en-US"/>
              </w:rPr>
              <w:t>,</w:t>
            </w:r>
            <w:r w:rsidRPr="00AA7DF5">
              <w:rPr>
                <w:rFonts w:eastAsia="Calibri"/>
                <w:noProof/>
                <w:color w:val="000000"/>
                <w:sz w:val="22"/>
                <w:szCs w:val="22"/>
                <w:lang w:eastAsia="en-US"/>
              </w:rPr>
              <w:t>057</w:t>
            </w:r>
          </w:p>
        </w:tc>
        <w:tc>
          <w:tcPr>
            <w:tcW w:w="1277" w:type="dxa"/>
            <w:gridSpan w:val="2"/>
            <w:shd w:val="clear" w:color="auto" w:fill="auto"/>
            <w:tcMar>
              <w:left w:w="28" w:type="dxa"/>
              <w:right w:w="28" w:type="dxa"/>
            </w:tcMar>
          </w:tcPr>
          <w:p w14:paraId="548326F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0,0057</w:t>
            </w:r>
          </w:p>
        </w:tc>
        <w:tc>
          <w:tcPr>
            <w:tcW w:w="1136" w:type="dxa"/>
            <w:gridSpan w:val="2"/>
            <w:shd w:val="clear" w:color="auto" w:fill="auto"/>
            <w:tcMar>
              <w:left w:w="28" w:type="dxa"/>
              <w:right w:w="28" w:type="dxa"/>
            </w:tcMar>
          </w:tcPr>
          <w:p w14:paraId="467A7698"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63248D24"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C479BD0"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32312619"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7563CDF3" w14:textId="77777777" w:rsidTr="00F03A57">
        <w:trPr>
          <w:gridBefore w:val="1"/>
          <w:wBefore w:w="12" w:type="dxa"/>
          <w:cantSplit/>
          <w:tblHeader/>
          <w:jc w:val="center"/>
        </w:trPr>
        <w:tc>
          <w:tcPr>
            <w:tcW w:w="651" w:type="dxa"/>
            <w:gridSpan w:val="3"/>
            <w:tcMar>
              <w:left w:w="28" w:type="dxa"/>
              <w:right w:w="28" w:type="dxa"/>
            </w:tcMar>
          </w:tcPr>
          <w:p w14:paraId="6FBD3C50"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(63)</w:t>
            </w:r>
          </w:p>
        </w:tc>
        <w:tc>
          <w:tcPr>
            <w:tcW w:w="2286" w:type="dxa"/>
            <w:gridSpan w:val="3"/>
            <w:shd w:val="clear" w:color="auto" w:fill="auto"/>
            <w:tcMar>
              <w:left w:w="28" w:type="dxa"/>
              <w:right w:w="28" w:type="dxa"/>
            </w:tcMar>
          </w:tcPr>
          <w:p w14:paraId="49BFBC4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Nicossulfurão</w:t>
            </w:r>
          </w:p>
        </w:tc>
        <w:tc>
          <w:tcPr>
            <w:tcW w:w="1329" w:type="dxa"/>
            <w:gridSpan w:val="3"/>
            <w:shd w:val="clear" w:color="auto" w:fill="auto"/>
            <w:tcMar>
              <w:left w:w="28" w:type="dxa"/>
              <w:right w:w="28" w:type="dxa"/>
            </w:tcMar>
          </w:tcPr>
          <w:p w14:paraId="5BA7BDE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Herbicidas</w:t>
            </w:r>
          </w:p>
        </w:tc>
        <w:tc>
          <w:tcPr>
            <w:tcW w:w="992" w:type="dxa"/>
            <w:gridSpan w:val="2"/>
            <w:shd w:val="clear" w:color="auto" w:fill="auto"/>
            <w:tcMar>
              <w:left w:w="28" w:type="dxa"/>
              <w:right w:w="28" w:type="dxa"/>
            </w:tcMar>
          </w:tcPr>
          <w:p w14:paraId="4D2CF7E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111991-09-4</w:t>
            </w:r>
          </w:p>
        </w:tc>
        <w:tc>
          <w:tcPr>
            <w:tcW w:w="1134" w:type="dxa"/>
          </w:tcPr>
          <w:p w14:paraId="512FEAA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601-148-4</w:t>
            </w:r>
          </w:p>
        </w:tc>
        <w:tc>
          <w:tcPr>
            <w:tcW w:w="1279" w:type="dxa"/>
            <w:gridSpan w:val="2"/>
            <w:shd w:val="clear" w:color="auto" w:fill="auto"/>
            <w:tcMar>
              <w:left w:w="28" w:type="dxa"/>
              <w:right w:w="28" w:type="dxa"/>
            </w:tcMar>
          </w:tcPr>
          <w:p w14:paraId="364910C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0,0087</w:t>
            </w:r>
          </w:p>
        </w:tc>
        <w:tc>
          <w:tcPr>
            <w:tcW w:w="1279" w:type="dxa"/>
            <w:gridSpan w:val="2"/>
            <w:shd w:val="clear" w:color="auto" w:fill="auto"/>
            <w:tcMar>
              <w:left w:w="28" w:type="dxa"/>
              <w:right w:w="28" w:type="dxa"/>
            </w:tcMar>
          </w:tcPr>
          <w:p w14:paraId="2C15B0E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8,7 × 10</w:t>
            </w:r>
            <w:r w:rsidRPr="00AA7DF5">
              <w:rPr>
                <w:rFonts w:eastAsia="Calibri"/>
                <w:noProof/>
                <w:color w:val="000000"/>
                <w:sz w:val="22"/>
                <w:szCs w:val="22"/>
                <w:vertAlign w:val="superscript"/>
                <w:lang w:eastAsia="en-US"/>
              </w:rPr>
              <w:t>-4</w:t>
            </w:r>
          </w:p>
        </w:tc>
        <w:tc>
          <w:tcPr>
            <w:tcW w:w="1278" w:type="dxa"/>
            <w:gridSpan w:val="2"/>
            <w:shd w:val="clear" w:color="auto" w:fill="auto"/>
            <w:tcMar>
              <w:left w:w="28" w:type="dxa"/>
              <w:right w:w="28" w:type="dxa"/>
            </w:tcMar>
          </w:tcPr>
          <w:p w14:paraId="572F9AFA"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0,23</w:t>
            </w:r>
          </w:p>
        </w:tc>
        <w:tc>
          <w:tcPr>
            <w:tcW w:w="1277" w:type="dxa"/>
            <w:gridSpan w:val="2"/>
            <w:shd w:val="clear" w:color="auto" w:fill="auto"/>
            <w:tcMar>
              <w:left w:w="28" w:type="dxa"/>
              <w:right w:w="28" w:type="dxa"/>
            </w:tcMar>
          </w:tcPr>
          <w:p w14:paraId="58595098" w14:textId="764D96CA"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023</w:t>
            </w:r>
          </w:p>
        </w:tc>
        <w:tc>
          <w:tcPr>
            <w:tcW w:w="1136" w:type="dxa"/>
            <w:gridSpan w:val="2"/>
            <w:shd w:val="clear" w:color="auto" w:fill="auto"/>
            <w:tcMar>
              <w:left w:w="28" w:type="dxa"/>
              <w:right w:w="28" w:type="dxa"/>
            </w:tcMar>
          </w:tcPr>
          <w:p w14:paraId="7575C702"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4260983B"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0EBCD6B2"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7D85142C"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5A435290" w14:textId="77777777" w:rsidTr="00F03A57">
        <w:trPr>
          <w:gridBefore w:val="1"/>
          <w:wBefore w:w="12" w:type="dxa"/>
          <w:cantSplit/>
          <w:tblHeader/>
          <w:jc w:val="center"/>
        </w:trPr>
        <w:tc>
          <w:tcPr>
            <w:tcW w:w="651" w:type="dxa"/>
            <w:gridSpan w:val="3"/>
            <w:tcMar>
              <w:left w:w="28" w:type="dxa"/>
              <w:right w:w="28" w:type="dxa"/>
            </w:tcMar>
          </w:tcPr>
          <w:p w14:paraId="10E0C7C2"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lastRenderedPageBreak/>
              <w:t>(64)</w:t>
            </w:r>
          </w:p>
        </w:tc>
        <w:tc>
          <w:tcPr>
            <w:tcW w:w="2286" w:type="dxa"/>
            <w:gridSpan w:val="3"/>
            <w:shd w:val="clear" w:color="auto" w:fill="auto"/>
            <w:tcMar>
              <w:left w:w="28" w:type="dxa"/>
              <w:right w:w="28" w:type="dxa"/>
            </w:tcMar>
          </w:tcPr>
          <w:p w14:paraId="1A5C274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Permetrina</w:t>
            </w:r>
          </w:p>
        </w:tc>
        <w:tc>
          <w:tcPr>
            <w:tcW w:w="1329" w:type="dxa"/>
            <w:gridSpan w:val="3"/>
            <w:shd w:val="clear" w:color="auto" w:fill="auto"/>
            <w:tcMar>
              <w:left w:w="28" w:type="dxa"/>
              <w:right w:w="28" w:type="dxa"/>
            </w:tcMar>
          </w:tcPr>
          <w:p w14:paraId="5C5BCBC6"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piretroides</w:t>
            </w:r>
          </w:p>
        </w:tc>
        <w:tc>
          <w:tcPr>
            <w:tcW w:w="992" w:type="dxa"/>
            <w:gridSpan w:val="2"/>
            <w:shd w:val="clear" w:color="auto" w:fill="auto"/>
            <w:tcMar>
              <w:left w:w="28" w:type="dxa"/>
              <w:right w:w="28" w:type="dxa"/>
            </w:tcMar>
          </w:tcPr>
          <w:p w14:paraId="48A543D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52645-53-1</w:t>
            </w:r>
          </w:p>
        </w:tc>
        <w:tc>
          <w:tcPr>
            <w:tcW w:w="1134" w:type="dxa"/>
          </w:tcPr>
          <w:p w14:paraId="07298C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258-067-9</w:t>
            </w:r>
          </w:p>
        </w:tc>
        <w:tc>
          <w:tcPr>
            <w:tcW w:w="1279" w:type="dxa"/>
            <w:gridSpan w:val="2"/>
            <w:shd w:val="clear" w:color="auto" w:fill="auto"/>
            <w:tcMar>
              <w:left w:w="28" w:type="dxa"/>
              <w:right w:w="28" w:type="dxa"/>
            </w:tcMar>
          </w:tcPr>
          <w:p w14:paraId="600B05D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2,7 × 10</w:t>
            </w:r>
            <w:r w:rsidRPr="00AA7DF5">
              <w:rPr>
                <w:rFonts w:eastAsia="Calibri"/>
                <w:noProof/>
                <w:color w:val="000000"/>
                <w:sz w:val="22"/>
                <w:szCs w:val="22"/>
                <w:vertAlign w:val="superscript"/>
                <w:lang w:eastAsia="en-US"/>
              </w:rPr>
              <w:t>-4</w:t>
            </w:r>
          </w:p>
        </w:tc>
        <w:tc>
          <w:tcPr>
            <w:tcW w:w="1279" w:type="dxa"/>
            <w:gridSpan w:val="2"/>
            <w:shd w:val="clear" w:color="auto" w:fill="auto"/>
            <w:tcMar>
              <w:left w:w="28" w:type="dxa"/>
              <w:right w:w="28" w:type="dxa"/>
            </w:tcMar>
          </w:tcPr>
          <w:p w14:paraId="21ECB90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2,7 × 10</w:t>
            </w:r>
            <w:r w:rsidRPr="00AA7DF5">
              <w:rPr>
                <w:rFonts w:eastAsia="Calibri"/>
                <w:noProof/>
                <w:color w:val="000000"/>
                <w:sz w:val="22"/>
                <w:szCs w:val="22"/>
                <w:vertAlign w:val="superscript"/>
                <w:lang w:eastAsia="en-US"/>
              </w:rPr>
              <w:t>-5</w:t>
            </w:r>
          </w:p>
        </w:tc>
        <w:tc>
          <w:tcPr>
            <w:tcW w:w="1278" w:type="dxa"/>
            <w:gridSpan w:val="2"/>
            <w:shd w:val="clear" w:color="auto" w:fill="auto"/>
            <w:tcMar>
              <w:left w:w="28" w:type="dxa"/>
              <w:right w:w="28" w:type="dxa"/>
            </w:tcMar>
          </w:tcPr>
          <w:p w14:paraId="11829E1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0,0025</w:t>
            </w:r>
          </w:p>
        </w:tc>
        <w:tc>
          <w:tcPr>
            <w:tcW w:w="1277" w:type="dxa"/>
            <w:gridSpan w:val="2"/>
            <w:shd w:val="clear" w:color="auto" w:fill="auto"/>
            <w:tcMar>
              <w:left w:w="28" w:type="dxa"/>
              <w:right w:w="28" w:type="dxa"/>
            </w:tcMar>
          </w:tcPr>
          <w:p w14:paraId="5AF82881"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2,5 × 10</w:t>
            </w:r>
            <w:r w:rsidRPr="00AA7DF5">
              <w:rPr>
                <w:rFonts w:eastAsia="Calibri"/>
                <w:noProof/>
                <w:color w:val="000000"/>
                <w:sz w:val="22"/>
                <w:szCs w:val="22"/>
                <w:vertAlign w:val="superscript"/>
                <w:lang w:eastAsia="en-US"/>
              </w:rPr>
              <w:t>-4</w:t>
            </w:r>
          </w:p>
        </w:tc>
        <w:tc>
          <w:tcPr>
            <w:tcW w:w="1136" w:type="dxa"/>
            <w:gridSpan w:val="2"/>
            <w:shd w:val="clear" w:color="auto" w:fill="auto"/>
            <w:tcMar>
              <w:left w:w="28" w:type="dxa"/>
              <w:right w:w="28" w:type="dxa"/>
            </w:tcMar>
          </w:tcPr>
          <w:p w14:paraId="7D36CDA0"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A7B817D"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2F2376BF"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7E8F4B29"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X</w:t>
            </w:r>
          </w:p>
        </w:tc>
      </w:tr>
      <w:tr w:rsidR="00F03A57" w:rsidRPr="00AA7DF5" w14:paraId="2DD0A920" w14:textId="77777777" w:rsidTr="00F03A57">
        <w:trPr>
          <w:gridBefore w:val="1"/>
          <w:wBefore w:w="12" w:type="dxa"/>
          <w:cantSplit/>
          <w:tblHeader/>
          <w:jc w:val="center"/>
        </w:trPr>
        <w:tc>
          <w:tcPr>
            <w:tcW w:w="651" w:type="dxa"/>
            <w:gridSpan w:val="3"/>
            <w:tcMar>
              <w:left w:w="28" w:type="dxa"/>
              <w:right w:w="28" w:type="dxa"/>
            </w:tcMar>
          </w:tcPr>
          <w:p w14:paraId="63C34317" w14:textId="77777777" w:rsidR="00F03A57" w:rsidRPr="00AA7DF5" w:rsidRDefault="00F03A57" w:rsidP="00F03A57">
            <w:pPr>
              <w:keepNext/>
              <w:widowControl/>
              <w:spacing w:before="40" w:after="40"/>
              <w:jc w:val="both"/>
              <w:rPr>
                <w:rFonts w:eastAsia="Calibri"/>
                <w:noProof/>
                <w:sz w:val="22"/>
                <w:szCs w:val="22"/>
                <w:lang w:eastAsia="en-US"/>
              </w:rPr>
            </w:pPr>
            <w:r w:rsidRPr="00AA7DF5">
              <w:rPr>
                <w:rFonts w:eastAsia="Calibri"/>
                <w:noProof/>
                <w:sz w:val="22"/>
                <w:szCs w:val="22"/>
                <w:lang w:eastAsia="en-US"/>
              </w:rPr>
              <w:t>(65)</w:t>
            </w:r>
          </w:p>
        </w:tc>
        <w:tc>
          <w:tcPr>
            <w:tcW w:w="2286" w:type="dxa"/>
            <w:gridSpan w:val="3"/>
            <w:shd w:val="clear" w:color="auto" w:fill="auto"/>
            <w:tcMar>
              <w:left w:w="28" w:type="dxa"/>
              <w:right w:w="28" w:type="dxa"/>
            </w:tcMar>
          </w:tcPr>
          <w:p w14:paraId="54F1AEF5"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 xml:space="preserve">Substâncias perfluoroalquiladas e polifluoroalquiladas (PFAS) — soma das 24 </w:t>
            </w:r>
            <w:bookmarkStart w:id="42" w:name="_Ref101448197"/>
            <w:r w:rsidRPr="00AA7DF5">
              <w:rPr>
                <w:rFonts w:eastAsia="Calibri"/>
                <w:noProof/>
                <w:sz w:val="22"/>
                <w:szCs w:val="22"/>
                <w:lang w:eastAsia="en-US"/>
              </w:rPr>
              <w:t>(</w:t>
            </w:r>
            <w:r w:rsidRPr="00AA7DF5">
              <w:rPr>
                <w:rFonts w:eastAsia="Calibri"/>
                <w:noProof/>
                <w:sz w:val="22"/>
                <w:szCs w:val="22"/>
                <w:vertAlign w:val="superscript"/>
                <w:lang w:eastAsia="en-US"/>
              </w:rPr>
              <w:t>27</w:t>
            </w:r>
            <w:r w:rsidRPr="00AA7DF5">
              <w:rPr>
                <w:rFonts w:eastAsia="Calibri"/>
                <w:noProof/>
                <w:sz w:val="22"/>
                <w:szCs w:val="22"/>
                <w:lang w:eastAsia="en-US"/>
              </w:rPr>
              <w:t>)</w:t>
            </w:r>
            <w:bookmarkEnd w:id="42"/>
          </w:p>
        </w:tc>
        <w:tc>
          <w:tcPr>
            <w:tcW w:w="1329" w:type="dxa"/>
            <w:gridSpan w:val="3"/>
            <w:shd w:val="clear" w:color="auto" w:fill="auto"/>
            <w:tcMar>
              <w:left w:w="28" w:type="dxa"/>
              <w:right w:w="28" w:type="dxa"/>
            </w:tcMar>
          </w:tcPr>
          <w:p w14:paraId="56D1D288"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Substâncias industriais</w:t>
            </w:r>
          </w:p>
        </w:tc>
        <w:tc>
          <w:tcPr>
            <w:tcW w:w="992" w:type="dxa"/>
            <w:gridSpan w:val="2"/>
            <w:shd w:val="clear" w:color="auto" w:fill="auto"/>
            <w:tcMar>
              <w:left w:w="28" w:type="dxa"/>
              <w:right w:w="28" w:type="dxa"/>
            </w:tcMar>
          </w:tcPr>
          <w:p w14:paraId="4A8689F7"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4" w:type="dxa"/>
          </w:tcPr>
          <w:p w14:paraId="2667AB6A"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9" w:type="dxa"/>
            <w:gridSpan w:val="2"/>
            <w:shd w:val="clear" w:color="auto" w:fill="auto"/>
            <w:tcMar>
              <w:left w:w="28" w:type="dxa"/>
              <w:right w:w="28" w:type="dxa"/>
            </w:tcMar>
          </w:tcPr>
          <w:p w14:paraId="7227BD7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 xml:space="preserve">Soma de equivalentes de PFOA 0,0044 </w:t>
            </w:r>
            <w:bookmarkStart w:id="43" w:name="_Ref101448285"/>
            <w:r w:rsidRPr="00AA7DF5">
              <w:rPr>
                <w:rFonts w:eastAsia="Calibri"/>
                <w:noProof/>
                <w:sz w:val="22"/>
                <w:szCs w:val="22"/>
                <w:lang w:eastAsia="en-US"/>
              </w:rPr>
              <w:t>(</w:t>
            </w:r>
            <w:r w:rsidRPr="00AA7DF5">
              <w:rPr>
                <w:rFonts w:eastAsia="Calibri"/>
                <w:noProof/>
                <w:sz w:val="22"/>
                <w:szCs w:val="22"/>
                <w:vertAlign w:val="superscript"/>
                <w:lang w:eastAsia="en-US"/>
              </w:rPr>
              <w:t>28</w:t>
            </w:r>
            <w:r w:rsidRPr="00AA7DF5">
              <w:rPr>
                <w:rFonts w:eastAsia="Calibri"/>
                <w:noProof/>
                <w:sz w:val="22"/>
                <w:szCs w:val="22"/>
                <w:lang w:eastAsia="en-US"/>
              </w:rPr>
              <w:t>)</w:t>
            </w:r>
            <w:bookmarkEnd w:id="43"/>
          </w:p>
        </w:tc>
        <w:tc>
          <w:tcPr>
            <w:tcW w:w="1279" w:type="dxa"/>
            <w:gridSpan w:val="2"/>
            <w:shd w:val="clear" w:color="auto" w:fill="auto"/>
            <w:tcMar>
              <w:left w:w="28" w:type="dxa"/>
              <w:right w:w="28" w:type="dxa"/>
            </w:tcMar>
          </w:tcPr>
          <w:p w14:paraId="799BCA9A"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Soma de equivalentes de PFOA 0,0044 (</w:t>
            </w:r>
            <w:r w:rsidRPr="00AA7DF5">
              <w:rPr>
                <w:rFonts w:eastAsia="Calibri"/>
                <w:noProof/>
                <w:color w:val="000000"/>
                <w:sz w:val="22"/>
                <w:szCs w:val="22"/>
                <w:vertAlign w:val="superscript"/>
                <w:lang w:eastAsia="en-US"/>
              </w:rPr>
              <w:t>28</w:t>
            </w:r>
            <w:r w:rsidRPr="00AA7DF5">
              <w:rPr>
                <w:rFonts w:eastAsia="Calibri"/>
                <w:noProof/>
                <w:color w:val="000000"/>
                <w:sz w:val="22"/>
                <w:szCs w:val="22"/>
                <w:lang w:eastAsia="en-US"/>
              </w:rPr>
              <w:t>)</w:t>
            </w:r>
          </w:p>
        </w:tc>
        <w:tc>
          <w:tcPr>
            <w:tcW w:w="1278" w:type="dxa"/>
            <w:gridSpan w:val="2"/>
            <w:shd w:val="clear" w:color="auto" w:fill="auto"/>
            <w:tcMar>
              <w:left w:w="28" w:type="dxa"/>
              <w:right w:w="28" w:type="dxa"/>
            </w:tcMar>
          </w:tcPr>
          <w:p w14:paraId="68B8707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277" w:type="dxa"/>
            <w:gridSpan w:val="2"/>
            <w:shd w:val="clear" w:color="auto" w:fill="auto"/>
            <w:tcMar>
              <w:left w:w="28" w:type="dxa"/>
              <w:right w:w="28" w:type="dxa"/>
            </w:tcMar>
          </w:tcPr>
          <w:p w14:paraId="06BEEB62"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sz w:val="22"/>
                <w:szCs w:val="22"/>
                <w:lang w:eastAsia="en-US"/>
              </w:rPr>
              <w:t>não aplicável</w:t>
            </w:r>
          </w:p>
        </w:tc>
        <w:tc>
          <w:tcPr>
            <w:tcW w:w="1136" w:type="dxa"/>
            <w:gridSpan w:val="2"/>
            <w:shd w:val="clear" w:color="auto" w:fill="auto"/>
            <w:tcMar>
              <w:left w:w="28" w:type="dxa"/>
              <w:right w:w="28" w:type="dxa"/>
            </w:tcMar>
          </w:tcPr>
          <w:p w14:paraId="6558CEE3" w14:textId="77777777" w:rsidR="00F03A57" w:rsidRPr="00AA7DF5" w:rsidRDefault="00F03A57" w:rsidP="00F03A57">
            <w:pPr>
              <w:keepNext/>
              <w:widowControl/>
              <w:spacing w:before="40" w:after="40"/>
              <w:rPr>
                <w:rFonts w:eastAsia="Calibri"/>
                <w:noProof/>
                <w:sz w:val="22"/>
                <w:szCs w:val="22"/>
                <w:lang w:eastAsia="en-US"/>
              </w:rPr>
            </w:pPr>
            <w:r w:rsidRPr="00AA7DF5">
              <w:rPr>
                <w:rFonts w:eastAsia="Calibri"/>
                <w:noProof/>
                <w:color w:val="000000"/>
                <w:sz w:val="22"/>
                <w:szCs w:val="22"/>
                <w:lang w:eastAsia="en-US"/>
              </w:rPr>
              <w:t>Soma de equivalentes de PFOA 0,077 (</w:t>
            </w:r>
            <w:r w:rsidRPr="00AA7DF5">
              <w:rPr>
                <w:rFonts w:eastAsia="Calibri"/>
                <w:noProof/>
                <w:color w:val="000000"/>
                <w:sz w:val="22"/>
                <w:szCs w:val="22"/>
                <w:vertAlign w:val="superscript"/>
                <w:lang w:eastAsia="en-US"/>
              </w:rPr>
              <w:t>28</w:t>
            </w:r>
            <w:r w:rsidRPr="00AA7DF5">
              <w:rPr>
                <w:rFonts w:eastAsia="Calibri"/>
                <w:noProof/>
                <w:color w:val="000000"/>
                <w:sz w:val="22"/>
                <w:szCs w:val="22"/>
                <w:lang w:eastAsia="en-US"/>
              </w:rPr>
              <w:t xml:space="preserve">) </w:t>
            </w:r>
          </w:p>
        </w:tc>
        <w:tc>
          <w:tcPr>
            <w:tcW w:w="1262" w:type="dxa"/>
            <w:tcMar>
              <w:left w:w="28" w:type="dxa"/>
              <w:right w:w="28" w:type="dxa"/>
            </w:tcMar>
          </w:tcPr>
          <w:p w14:paraId="1B05D4D3" w14:textId="77777777" w:rsidR="00F03A57" w:rsidRPr="00AA7DF5" w:rsidRDefault="00F03A57" w:rsidP="00F03A57">
            <w:pPr>
              <w:keepNext/>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X</w:t>
            </w:r>
          </w:p>
        </w:tc>
        <w:tc>
          <w:tcPr>
            <w:tcW w:w="1153" w:type="dxa"/>
            <w:gridSpan w:val="2"/>
            <w:tcMar>
              <w:left w:w="28" w:type="dxa"/>
              <w:right w:w="28" w:type="dxa"/>
            </w:tcMar>
          </w:tcPr>
          <w:p w14:paraId="49C26DE1" w14:textId="77777777" w:rsidR="00F03A57" w:rsidRPr="00AA7DF5" w:rsidRDefault="00F03A57" w:rsidP="00F03A57">
            <w:pPr>
              <w:keepNext/>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X</w:t>
            </w:r>
          </w:p>
        </w:tc>
        <w:tc>
          <w:tcPr>
            <w:tcW w:w="970" w:type="dxa"/>
            <w:tcMar>
              <w:left w:w="28" w:type="dxa"/>
              <w:right w:w="28" w:type="dxa"/>
            </w:tcMar>
          </w:tcPr>
          <w:p w14:paraId="42FE38AA" w14:textId="77777777" w:rsidR="00F03A57" w:rsidRPr="00AA7DF5" w:rsidRDefault="00F03A57" w:rsidP="00F03A57">
            <w:pPr>
              <w:keepNext/>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X</w:t>
            </w:r>
          </w:p>
        </w:tc>
      </w:tr>
      <w:tr w:rsidR="00F03A57" w:rsidRPr="00AA7DF5" w14:paraId="3764070B" w14:textId="77777777" w:rsidTr="00F03A57">
        <w:trPr>
          <w:gridBefore w:val="1"/>
          <w:wBefore w:w="12" w:type="dxa"/>
          <w:cantSplit/>
          <w:tblHeader/>
          <w:jc w:val="center"/>
        </w:trPr>
        <w:tc>
          <w:tcPr>
            <w:tcW w:w="651" w:type="dxa"/>
            <w:gridSpan w:val="3"/>
            <w:tcMar>
              <w:left w:w="28" w:type="dxa"/>
              <w:right w:w="28" w:type="dxa"/>
            </w:tcMar>
          </w:tcPr>
          <w:p w14:paraId="38F50286"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(66)</w:t>
            </w:r>
          </w:p>
        </w:tc>
        <w:tc>
          <w:tcPr>
            <w:tcW w:w="2286" w:type="dxa"/>
            <w:gridSpan w:val="3"/>
            <w:shd w:val="clear" w:color="auto" w:fill="auto"/>
            <w:tcMar>
              <w:left w:w="28" w:type="dxa"/>
              <w:right w:w="28" w:type="dxa"/>
            </w:tcMar>
          </w:tcPr>
          <w:p w14:paraId="2A6E969D"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Prata</w:t>
            </w:r>
          </w:p>
        </w:tc>
        <w:tc>
          <w:tcPr>
            <w:tcW w:w="1329" w:type="dxa"/>
            <w:gridSpan w:val="3"/>
            <w:shd w:val="clear" w:color="auto" w:fill="auto"/>
            <w:tcMar>
              <w:left w:w="28" w:type="dxa"/>
              <w:right w:w="28" w:type="dxa"/>
            </w:tcMar>
          </w:tcPr>
          <w:p w14:paraId="6F94C6E5"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sz w:val="22"/>
                <w:szCs w:val="22"/>
                <w:lang w:eastAsia="en-US"/>
              </w:rPr>
              <w:t>Metais</w:t>
            </w:r>
          </w:p>
        </w:tc>
        <w:tc>
          <w:tcPr>
            <w:tcW w:w="992" w:type="dxa"/>
            <w:gridSpan w:val="2"/>
            <w:shd w:val="clear" w:color="auto" w:fill="auto"/>
            <w:tcMar>
              <w:left w:w="28" w:type="dxa"/>
              <w:right w:w="28" w:type="dxa"/>
            </w:tcMar>
          </w:tcPr>
          <w:p w14:paraId="399F326F"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7440-22-4</w:t>
            </w:r>
          </w:p>
        </w:tc>
        <w:tc>
          <w:tcPr>
            <w:tcW w:w="1134" w:type="dxa"/>
          </w:tcPr>
          <w:p w14:paraId="2B5E8DE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231-131-3</w:t>
            </w:r>
          </w:p>
        </w:tc>
        <w:tc>
          <w:tcPr>
            <w:tcW w:w="1279" w:type="dxa"/>
            <w:gridSpan w:val="2"/>
            <w:shd w:val="clear" w:color="auto" w:fill="auto"/>
            <w:tcMar>
              <w:left w:w="28" w:type="dxa"/>
              <w:right w:w="28" w:type="dxa"/>
            </w:tcMar>
          </w:tcPr>
          <w:p w14:paraId="657614D4"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7E0A0146"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0,006 (10 % de salinidade)</w:t>
            </w:r>
            <w:r w:rsidRPr="00AA7DF5">
              <w:rPr>
                <w:rFonts w:eastAsia="Calibri"/>
                <w:noProof/>
                <w:sz w:val="22"/>
                <w:szCs w:val="22"/>
                <w:lang w:eastAsia="en-US"/>
              </w:rPr>
              <w:t xml:space="preserve"> </w:t>
            </w:r>
            <w:r w:rsidRPr="00AA7DF5">
              <w:rPr>
                <w:rFonts w:eastAsia="Calibri"/>
                <w:noProof/>
                <w:sz w:val="22"/>
                <w:szCs w:val="22"/>
                <w:lang w:eastAsia="en-US"/>
              </w:rPr>
              <w:br/>
            </w:r>
            <w:r w:rsidRPr="00AA7DF5">
              <w:rPr>
                <w:rFonts w:eastAsia="Calibri"/>
                <w:noProof/>
                <w:color w:val="000000"/>
                <w:sz w:val="22"/>
                <w:szCs w:val="22"/>
                <w:lang w:eastAsia="en-US"/>
              </w:rPr>
              <w:t>0,17 (30 % de salinidade)</w:t>
            </w:r>
          </w:p>
        </w:tc>
        <w:tc>
          <w:tcPr>
            <w:tcW w:w="1278" w:type="dxa"/>
            <w:gridSpan w:val="2"/>
            <w:shd w:val="clear" w:color="auto" w:fill="auto"/>
            <w:tcMar>
              <w:left w:w="28" w:type="dxa"/>
              <w:right w:w="28" w:type="dxa"/>
            </w:tcMar>
          </w:tcPr>
          <w:p w14:paraId="60DFC8B9"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0,022</w:t>
            </w:r>
          </w:p>
        </w:tc>
        <w:tc>
          <w:tcPr>
            <w:tcW w:w="1277" w:type="dxa"/>
            <w:gridSpan w:val="2"/>
            <w:shd w:val="clear" w:color="auto" w:fill="auto"/>
            <w:tcMar>
              <w:left w:w="28" w:type="dxa"/>
              <w:right w:w="28" w:type="dxa"/>
            </w:tcMar>
          </w:tcPr>
          <w:p w14:paraId="04244970"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não derivado</w:t>
            </w:r>
          </w:p>
        </w:tc>
        <w:tc>
          <w:tcPr>
            <w:tcW w:w="1136" w:type="dxa"/>
            <w:gridSpan w:val="2"/>
            <w:shd w:val="clear" w:color="auto" w:fill="auto"/>
            <w:tcMar>
              <w:left w:w="28" w:type="dxa"/>
              <w:right w:w="28" w:type="dxa"/>
            </w:tcMar>
          </w:tcPr>
          <w:p w14:paraId="7F21F432" w14:textId="77777777" w:rsidR="00F03A57" w:rsidRPr="00AA7DF5" w:rsidDel="00974569" w:rsidRDefault="00F03A57" w:rsidP="00F03A57">
            <w:pPr>
              <w:widowControl/>
              <w:spacing w:before="40" w:after="40"/>
              <w:rPr>
                <w:rFonts w:eastAsia="Calibri"/>
                <w:noProof/>
                <w:color w:val="000000"/>
                <w:sz w:val="22"/>
                <w:szCs w:val="22"/>
                <w:lang w:eastAsia="en-US"/>
              </w:rPr>
            </w:pPr>
          </w:p>
        </w:tc>
        <w:tc>
          <w:tcPr>
            <w:tcW w:w="1262" w:type="dxa"/>
            <w:tcMar>
              <w:left w:w="28" w:type="dxa"/>
              <w:right w:w="28" w:type="dxa"/>
            </w:tcMar>
          </w:tcPr>
          <w:p w14:paraId="54A2304D"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6D23E9D7"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15CEBE37"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2F62BD16" w14:textId="77777777" w:rsidTr="00F03A57">
        <w:trPr>
          <w:gridBefore w:val="1"/>
          <w:wBefore w:w="12" w:type="dxa"/>
          <w:cantSplit/>
          <w:tblHeader/>
          <w:jc w:val="center"/>
        </w:trPr>
        <w:tc>
          <w:tcPr>
            <w:tcW w:w="651" w:type="dxa"/>
            <w:gridSpan w:val="3"/>
            <w:tcMar>
              <w:left w:w="28" w:type="dxa"/>
              <w:right w:w="28" w:type="dxa"/>
            </w:tcMar>
          </w:tcPr>
          <w:p w14:paraId="136EFA47"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(67)</w:t>
            </w:r>
          </w:p>
        </w:tc>
        <w:tc>
          <w:tcPr>
            <w:tcW w:w="2286" w:type="dxa"/>
            <w:gridSpan w:val="3"/>
            <w:shd w:val="clear" w:color="auto" w:fill="auto"/>
            <w:tcMar>
              <w:left w:w="28" w:type="dxa"/>
              <w:right w:w="28" w:type="dxa"/>
            </w:tcMar>
          </w:tcPr>
          <w:p w14:paraId="238441F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Tiaclopride</w:t>
            </w:r>
          </w:p>
        </w:tc>
        <w:tc>
          <w:tcPr>
            <w:tcW w:w="1329" w:type="dxa"/>
            <w:gridSpan w:val="3"/>
            <w:shd w:val="clear" w:color="auto" w:fill="auto"/>
            <w:tcMar>
              <w:left w:w="28" w:type="dxa"/>
              <w:right w:w="28" w:type="dxa"/>
            </w:tcMar>
          </w:tcPr>
          <w:p w14:paraId="23E4A310"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neocotinoides</w:t>
            </w:r>
          </w:p>
        </w:tc>
        <w:tc>
          <w:tcPr>
            <w:tcW w:w="992" w:type="dxa"/>
            <w:gridSpan w:val="2"/>
            <w:shd w:val="clear" w:color="auto" w:fill="auto"/>
            <w:tcMar>
              <w:left w:w="28" w:type="dxa"/>
              <w:right w:w="28" w:type="dxa"/>
            </w:tcMar>
          </w:tcPr>
          <w:p w14:paraId="155064F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111988-49-9</w:t>
            </w:r>
          </w:p>
        </w:tc>
        <w:tc>
          <w:tcPr>
            <w:tcW w:w="1134" w:type="dxa"/>
          </w:tcPr>
          <w:p w14:paraId="483E54DC"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601-147-9</w:t>
            </w:r>
          </w:p>
        </w:tc>
        <w:tc>
          <w:tcPr>
            <w:tcW w:w="1279" w:type="dxa"/>
            <w:gridSpan w:val="2"/>
            <w:shd w:val="clear" w:color="auto" w:fill="auto"/>
            <w:tcMar>
              <w:left w:w="28" w:type="dxa"/>
              <w:right w:w="28" w:type="dxa"/>
            </w:tcMar>
          </w:tcPr>
          <w:p w14:paraId="1A4A62CD"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0,01</w:t>
            </w:r>
          </w:p>
        </w:tc>
        <w:tc>
          <w:tcPr>
            <w:tcW w:w="1279" w:type="dxa"/>
            <w:gridSpan w:val="2"/>
            <w:shd w:val="clear" w:color="auto" w:fill="auto"/>
            <w:tcMar>
              <w:left w:w="28" w:type="dxa"/>
              <w:right w:w="28" w:type="dxa"/>
            </w:tcMar>
          </w:tcPr>
          <w:p w14:paraId="32BD1503" w14:textId="4AFD740D"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E42ABC" w:rsidRPr="00F367E5">
              <w:rPr>
                <w:rFonts w:eastAsia="Calibri"/>
                <w:b/>
                <w:bCs/>
                <w:i/>
                <w:iCs/>
                <w:noProof/>
                <w:sz w:val="22"/>
                <w:szCs w:val="22"/>
                <w:lang w:eastAsia="en-US"/>
              </w:rPr>
              <w:t>,</w:t>
            </w:r>
            <w:r w:rsidRPr="00AA7DF5">
              <w:rPr>
                <w:rFonts w:eastAsia="Calibri"/>
                <w:noProof/>
                <w:color w:val="000000"/>
                <w:sz w:val="22"/>
                <w:szCs w:val="22"/>
                <w:lang w:eastAsia="en-US"/>
              </w:rPr>
              <w:t>001</w:t>
            </w:r>
          </w:p>
        </w:tc>
        <w:tc>
          <w:tcPr>
            <w:tcW w:w="1278" w:type="dxa"/>
            <w:gridSpan w:val="2"/>
            <w:shd w:val="clear" w:color="auto" w:fill="auto"/>
            <w:tcMar>
              <w:left w:w="28" w:type="dxa"/>
              <w:right w:w="28" w:type="dxa"/>
            </w:tcMar>
          </w:tcPr>
          <w:p w14:paraId="1ADBD2F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0,05</w:t>
            </w:r>
          </w:p>
        </w:tc>
        <w:tc>
          <w:tcPr>
            <w:tcW w:w="1277" w:type="dxa"/>
            <w:gridSpan w:val="2"/>
            <w:shd w:val="clear" w:color="auto" w:fill="auto"/>
            <w:tcMar>
              <w:left w:w="28" w:type="dxa"/>
              <w:right w:w="28" w:type="dxa"/>
            </w:tcMar>
          </w:tcPr>
          <w:p w14:paraId="7E38C3B0" w14:textId="798031B8"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005</w:t>
            </w:r>
          </w:p>
        </w:tc>
        <w:tc>
          <w:tcPr>
            <w:tcW w:w="1136" w:type="dxa"/>
            <w:gridSpan w:val="2"/>
            <w:shd w:val="clear" w:color="auto" w:fill="auto"/>
            <w:tcMar>
              <w:left w:w="28" w:type="dxa"/>
              <w:right w:w="28" w:type="dxa"/>
            </w:tcMar>
          </w:tcPr>
          <w:p w14:paraId="62B82A1A"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4E340854"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3D305309"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01EE55EB"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27B484A8" w14:textId="77777777" w:rsidTr="00F03A57">
        <w:trPr>
          <w:gridBefore w:val="1"/>
          <w:wBefore w:w="12" w:type="dxa"/>
          <w:cantSplit/>
          <w:tblHeader/>
          <w:jc w:val="center"/>
        </w:trPr>
        <w:tc>
          <w:tcPr>
            <w:tcW w:w="651" w:type="dxa"/>
            <w:gridSpan w:val="3"/>
            <w:tcMar>
              <w:left w:w="28" w:type="dxa"/>
              <w:right w:w="28" w:type="dxa"/>
            </w:tcMar>
          </w:tcPr>
          <w:p w14:paraId="79FCCEF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(68)</w:t>
            </w:r>
          </w:p>
        </w:tc>
        <w:tc>
          <w:tcPr>
            <w:tcW w:w="2286" w:type="dxa"/>
            <w:gridSpan w:val="3"/>
            <w:shd w:val="clear" w:color="auto" w:fill="auto"/>
            <w:tcMar>
              <w:left w:w="28" w:type="dxa"/>
              <w:right w:w="28" w:type="dxa"/>
            </w:tcMar>
          </w:tcPr>
          <w:p w14:paraId="729D69C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Tiametoxame</w:t>
            </w:r>
          </w:p>
        </w:tc>
        <w:tc>
          <w:tcPr>
            <w:tcW w:w="1329" w:type="dxa"/>
            <w:gridSpan w:val="3"/>
            <w:shd w:val="clear" w:color="auto" w:fill="auto"/>
            <w:tcMar>
              <w:left w:w="28" w:type="dxa"/>
              <w:right w:w="28" w:type="dxa"/>
            </w:tcMar>
          </w:tcPr>
          <w:p w14:paraId="1BF07F45"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sz w:val="22"/>
                <w:szCs w:val="22"/>
                <w:lang w:eastAsia="en-US"/>
              </w:rPr>
              <w:t>Pesticidas neocotinoides</w:t>
            </w:r>
          </w:p>
        </w:tc>
        <w:tc>
          <w:tcPr>
            <w:tcW w:w="992" w:type="dxa"/>
            <w:gridSpan w:val="2"/>
            <w:shd w:val="clear" w:color="auto" w:fill="auto"/>
            <w:tcMar>
              <w:left w:w="28" w:type="dxa"/>
              <w:right w:w="28" w:type="dxa"/>
            </w:tcMar>
          </w:tcPr>
          <w:p w14:paraId="744F2A8B"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153719-23-4</w:t>
            </w:r>
          </w:p>
        </w:tc>
        <w:tc>
          <w:tcPr>
            <w:tcW w:w="1134" w:type="dxa"/>
          </w:tcPr>
          <w:p w14:paraId="1C200458"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428-650-4</w:t>
            </w:r>
          </w:p>
        </w:tc>
        <w:tc>
          <w:tcPr>
            <w:tcW w:w="1279" w:type="dxa"/>
            <w:gridSpan w:val="2"/>
            <w:shd w:val="clear" w:color="auto" w:fill="auto"/>
            <w:tcMar>
              <w:left w:w="28" w:type="dxa"/>
              <w:right w:w="28" w:type="dxa"/>
            </w:tcMar>
          </w:tcPr>
          <w:p w14:paraId="13536289"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0,04</w:t>
            </w:r>
          </w:p>
        </w:tc>
        <w:tc>
          <w:tcPr>
            <w:tcW w:w="1279" w:type="dxa"/>
            <w:gridSpan w:val="2"/>
            <w:shd w:val="clear" w:color="auto" w:fill="auto"/>
            <w:tcMar>
              <w:left w:w="28" w:type="dxa"/>
              <w:right w:w="28" w:type="dxa"/>
            </w:tcMar>
          </w:tcPr>
          <w:p w14:paraId="00F7EEF3" w14:textId="2C8E6013"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E42ABC" w:rsidRPr="00F367E5">
              <w:rPr>
                <w:rFonts w:eastAsia="Calibri"/>
                <w:b/>
                <w:bCs/>
                <w:i/>
                <w:iCs/>
                <w:noProof/>
                <w:sz w:val="22"/>
                <w:szCs w:val="22"/>
                <w:lang w:eastAsia="en-US"/>
              </w:rPr>
              <w:t>,</w:t>
            </w:r>
            <w:r w:rsidRPr="00AA7DF5">
              <w:rPr>
                <w:rFonts w:eastAsia="Calibri"/>
                <w:noProof/>
                <w:color w:val="000000"/>
                <w:sz w:val="22"/>
                <w:szCs w:val="22"/>
                <w:lang w:eastAsia="en-US"/>
              </w:rPr>
              <w:t>004</w:t>
            </w:r>
          </w:p>
        </w:tc>
        <w:tc>
          <w:tcPr>
            <w:tcW w:w="1278" w:type="dxa"/>
            <w:gridSpan w:val="2"/>
            <w:shd w:val="clear" w:color="auto" w:fill="auto"/>
            <w:tcMar>
              <w:left w:w="28" w:type="dxa"/>
              <w:right w:w="28" w:type="dxa"/>
            </w:tcMar>
          </w:tcPr>
          <w:p w14:paraId="4296973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0,77</w:t>
            </w:r>
          </w:p>
        </w:tc>
        <w:tc>
          <w:tcPr>
            <w:tcW w:w="1277" w:type="dxa"/>
            <w:gridSpan w:val="2"/>
            <w:shd w:val="clear" w:color="auto" w:fill="auto"/>
            <w:tcMar>
              <w:left w:w="28" w:type="dxa"/>
              <w:right w:w="28" w:type="dxa"/>
            </w:tcMar>
          </w:tcPr>
          <w:p w14:paraId="26335ED7" w14:textId="189990DD"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077</w:t>
            </w:r>
          </w:p>
        </w:tc>
        <w:tc>
          <w:tcPr>
            <w:tcW w:w="1136" w:type="dxa"/>
            <w:gridSpan w:val="2"/>
            <w:shd w:val="clear" w:color="auto" w:fill="auto"/>
            <w:tcMar>
              <w:left w:w="28" w:type="dxa"/>
              <w:right w:w="28" w:type="dxa"/>
            </w:tcMar>
          </w:tcPr>
          <w:p w14:paraId="1BCA1ED9"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40E1BE9"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1C519283"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006E6F67"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715229B0" w14:textId="77777777" w:rsidTr="00F03A57">
        <w:trPr>
          <w:gridBefore w:val="1"/>
          <w:wBefore w:w="12" w:type="dxa"/>
          <w:cantSplit/>
          <w:tblHeader/>
          <w:jc w:val="center"/>
        </w:trPr>
        <w:tc>
          <w:tcPr>
            <w:tcW w:w="651" w:type="dxa"/>
            <w:gridSpan w:val="3"/>
            <w:tcMar>
              <w:left w:w="28" w:type="dxa"/>
              <w:right w:w="28" w:type="dxa"/>
            </w:tcMar>
          </w:tcPr>
          <w:p w14:paraId="5351EA63"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(69)</w:t>
            </w:r>
          </w:p>
        </w:tc>
        <w:tc>
          <w:tcPr>
            <w:tcW w:w="2286" w:type="dxa"/>
            <w:gridSpan w:val="3"/>
            <w:shd w:val="clear" w:color="auto" w:fill="auto"/>
            <w:tcMar>
              <w:left w:w="28" w:type="dxa"/>
              <w:right w:w="28" w:type="dxa"/>
            </w:tcMar>
          </w:tcPr>
          <w:p w14:paraId="0899B6A4"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Triclosano</w:t>
            </w:r>
          </w:p>
        </w:tc>
        <w:tc>
          <w:tcPr>
            <w:tcW w:w="1329" w:type="dxa"/>
            <w:gridSpan w:val="3"/>
            <w:shd w:val="clear" w:color="auto" w:fill="auto"/>
            <w:tcMar>
              <w:left w:w="28" w:type="dxa"/>
              <w:right w:w="28" w:type="dxa"/>
            </w:tcMar>
          </w:tcPr>
          <w:p w14:paraId="0C00652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Biocidas</w:t>
            </w:r>
          </w:p>
        </w:tc>
        <w:tc>
          <w:tcPr>
            <w:tcW w:w="992" w:type="dxa"/>
            <w:gridSpan w:val="2"/>
            <w:shd w:val="clear" w:color="auto" w:fill="auto"/>
            <w:tcMar>
              <w:left w:w="28" w:type="dxa"/>
              <w:right w:w="28" w:type="dxa"/>
            </w:tcMar>
          </w:tcPr>
          <w:p w14:paraId="06347BA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3380-34-5</w:t>
            </w:r>
          </w:p>
        </w:tc>
        <w:tc>
          <w:tcPr>
            <w:tcW w:w="1134" w:type="dxa"/>
          </w:tcPr>
          <w:p w14:paraId="2677A4C2"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222-182-2</w:t>
            </w:r>
          </w:p>
        </w:tc>
        <w:tc>
          <w:tcPr>
            <w:tcW w:w="1279" w:type="dxa"/>
            <w:gridSpan w:val="2"/>
            <w:shd w:val="clear" w:color="auto" w:fill="auto"/>
            <w:tcMar>
              <w:left w:w="28" w:type="dxa"/>
              <w:right w:w="28" w:type="dxa"/>
            </w:tcMar>
          </w:tcPr>
          <w:p w14:paraId="56F87513"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0,02</w:t>
            </w:r>
          </w:p>
        </w:tc>
        <w:tc>
          <w:tcPr>
            <w:tcW w:w="1279" w:type="dxa"/>
            <w:gridSpan w:val="2"/>
            <w:shd w:val="clear" w:color="auto" w:fill="auto"/>
            <w:tcMar>
              <w:left w:w="28" w:type="dxa"/>
              <w:right w:w="28" w:type="dxa"/>
            </w:tcMar>
          </w:tcPr>
          <w:p w14:paraId="14B04880" w14:textId="794EFE98"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E42ABC" w:rsidRPr="00F367E5">
              <w:rPr>
                <w:rFonts w:eastAsia="Calibri"/>
                <w:b/>
                <w:bCs/>
                <w:i/>
                <w:iCs/>
                <w:noProof/>
                <w:sz w:val="22"/>
                <w:szCs w:val="22"/>
                <w:lang w:eastAsia="en-US"/>
              </w:rPr>
              <w:t>,</w:t>
            </w:r>
            <w:r w:rsidRPr="00AA7DF5">
              <w:rPr>
                <w:rFonts w:eastAsia="Calibri"/>
                <w:noProof/>
                <w:color w:val="000000"/>
                <w:sz w:val="22"/>
                <w:szCs w:val="22"/>
                <w:lang w:eastAsia="en-US"/>
              </w:rPr>
              <w:t>002</w:t>
            </w:r>
          </w:p>
        </w:tc>
        <w:tc>
          <w:tcPr>
            <w:tcW w:w="1278" w:type="dxa"/>
            <w:gridSpan w:val="2"/>
            <w:shd w:val="clear" w:color="auto" w:fill="auto"/>
            <w:tcMar>
              <w:left w:w="28" w:type="dxa"/>
              <w:right w:w="28" w:type="dxa"/>
            </w:tcMar>
          </w:tcPr>
          <w:p w14:paraId="49DA0DDF" w14:textId="77777777"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0,02</w:t>
            </w:r>
          </w:p>
        </w:tc>
        <w:tc>
          <w:tcPr>
            <w:tcW w:w="1277" w:type="dxa"/>
            <w:gridSpan w:val="2"/>
            <w:shd w:val="clear" w:color="auto" w:fill="auto"/>
            <w:tcMar>
              <w:left w:w="28" w:type="dxa"/>
              <w:right w:w="28" w:type="dxa"/>
            </w:tcMar>
          </w:tcPr>
          <w:p w14:paraId="4D5306C4" w14:textId="695D9480" w:rsidR="00F03A57" w:rsidRPr="00AA7DF5" w:rsidRDefault="00F03A57" w:rsidP="00F03A57">
            <w:pPr>
              <w:widowControl/>
              <w:spacing w:before="40" w:after="40"/>
              <w:rPr>
                <w:rFonts w:eastAsia="Calibri"/>
                <w:noProof/>
                <w:sz w:val="22"/>
                <w:szCs w:val="22"/>
                <w:lang w:eastAsia="en-US"/>
              </w:rPr>
            </w:pPr>
            <w:r w:rsidRPr="00AA7DF5">
              <w:rPr>
                <w:rFonts w:eastAsia="Calibri"/>
                <w:noProof/>
                <w:color w:val="000000"/>
                <w:sz w:val="22"/>
                <w:szCs w:val="22"/>
                <w:lang w:eastAsia="en-US"/>
              </w:rPr>
              <w:t>0</w:t>
            </w:r>
            <w:r w:rsidR="00F367E5" w:rsidRPr="00F367E5">
              <w:rPr>
                <w:rFonts w:eastAsia="Calibri"/>
                <w:b/>
                <w:bCs/>
                <w:i/>
                <w:iCs/>
                <w:noProof/>
                <w:sz w:val="22"/>
                <w:szCs w:val="22"/>
                <w:lang w:eastAsia="en-US"/>
              </w:rPr>
              <w:t>,</w:t>
            </w:r>
            <w:r w:rsidRPr="00AA7DF5">
              <w:rPr>
                <w:rFonts w:eastAsia="Calibri"/>
                <w:noProof/>
                <w:color w:val="000000"/>
                <w:sz w:val="22"/>
                <w:szCs w:val="22"/>
                <w:lang w:eastAsia="en-US"/>
              </w:rPr>
              <w:t>002</w:t>
            </w:r>
          </w:p>
        </w:tc>
        <w:tc>
          <w:tcPr>
            <w:tcW w:w="1136" w:type="dxa"/>
            <w:gridSpan w:val="2"/>
            <w:shd w:val="clear" w:color="auto" w:fill="auto"/>
            <w:tcMar>
              <w:left w:w="28" w:type="dxa"/>
              <w:right w:w="28" w:type="dxa"/>
            </w:tcMar>
          </w:tcPr>
          <w:p w14:paraId="0537767B" w14:textId="77777777" w:rsidR="00F03A57" w:rsidRPr="00AA7DF5" w:rsidRDefault="00F03A57" w:rsidP="00F03A57">
            <w:pPr>
              <w:widowControl/>
              <w:spacing w:before="40" w:after="40"/>
              <w:rPr>
                <w:rFonts w:eastAsia="Calibri"/>
                <w:noProof/>
                <w:sz w:val="22"/>
                <w:szCs w:val="22"/>
                <w:lang w:eastAsia="en-US"/>
              </w:rPr>
            </w:pPr>
          </w:p>
        </w:tc>
        <w:tc>
          <w:tcPr>
            <w:tcW w:w="1262" w:type="dxa"/>
            <w:tcMar>
              <w:left w:w="28" w:type="dxa"/>
              <w:right w:w="28" w:type="dxa"/>
            </w:tcMar>
          </w:tcPr>
          <w:p w14:paraId="3BC90807"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2A45C8FD"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523C6096"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29B104A4" w14:textId="77777777" w:rsidTr="00F03A57">
        <w:trPr>
          <w:gridBefore w:val="1"/>
          <w:wBefore w:w="12" w:type="dxa"/>
          <w:cantSplit/>
          <w:tblHeader/>
          <w:jc w:val="center"/>
        </w:trPr>
        <w:tc>
          <w:tcPr>
            <w:tcW w:w="651" w:type="dxa"/>
            <w:gridSpan w:val="3"/>
            <w:tcMar>
              <w:left w:w="28" w:type="dxa"/>
              <w:right w:w="28" w:type="dxa"/>
            </w:tcMar>
          </w:tcPr>
          <w:p w14:paraId="781644E9" w14:textId="77777777" w:rsidR="00F03A57" w:rsidRPr="00AA7DF5" w:rsidRDefault="00F03A57" w:rsidP="00F03A57">
            <w:pPr>
              <w:widowControl/>
              <w:spacing w:before="40" w:after="40"/>
              <w:jc w:val="both"/>
              <w:rPr>
                <w:rFonts w:eastAsia="Calibri"/>
                <w:noProof/>
                <w:sz w:val="22"/>
                <w:szCs w:val="22"/>
                <w:lang w:eastAsia="en-US"/>
              </w:rPr>
            </w:pPr>
            <w:r w:rsidRPr="00AA7DF5">
              <w:rPr>
                <w:rFonts w:eastAsia="Calibri"/>
                <w:noProof/>
                <w:sz w:val="22"/>
                <w:szCs w:val="22"/>
                <w:lang w:eastAsia="en-US"/>
              </w:rPr>
              <w:t>(70)</w:t>
            </w:r>
          </w:p>
        </w:tc>
        <w:tc>
          <w:tcPr>
            <w:tcW w:w="2286" w:type="dxa"/>
            <w:gridSpan w:val="3"/>
            <w:shd w:val="clear" w:color="auto" w:fill="auto"/>
            <w:tcMar>
              <w:left w:w="28" w:type="dxa"/>
              <w:right w:w="28" w:type="dxa"/>
            </w:tcMar>
          </w:tcPr>
          <w:p w14:paraId="095EA824"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Total de substâncias ativas dos pesticidas, incluindo os respetivos metabolitos e produtos de degradação e de reação (</w:t>
            </w:r>
            <w:r w:rsidRPr="00AA7DF5">
              <w:rPr>
                <w:rFonts w:eastAsia="Calibri"/>
                <w:noProof/>
                <w:color w:val="000000"/>
                <w:sz w:val="22"/>
                <w:szCs w:val="22"/>
                <w:vertAlign w:val="superscript"/>
                <w:lang w:eastAsia="en-US"/>
              </w:rPr>
              <w:t>29</w:t>
            </w:r>
            <w:r w:rsidRPr="00AA7DF5">
              <w:rPr>
                <w:rFonts w:eastAsia="Calibri"/>
                <w:noProof/>
                <w:color w:val="000000"/>
                <w:sz w:val="22"/>
                <w:szCs w:val="22"/>
                <w:lang w:eastAsia="en-US"/>
              </w:rPr>
              <w:t>)</w:t>
            </w:r>
          </w:p>
        </w:tc>
        <w:tc>
          <w:tcPr>
            <w:tcW w:w="1329" w:type="dxa"/>
            <w:gridSpan w:val="3"/>
            <w:shd w:val="clear" w:color="auto" w:fill="auto"/>
            <w:tcMar>
              <w:left w:w="28" w:type="dxa"/>
              <w:right w:w="28" w:type="dxa"/>
            </w:tcMar>
          </w:tcPr>
          <w:p w14:paraId="0F652C8C"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Produtos fitossanitários e biocidas</w:t>
            </w:r>
          </w:p>
        </w:tc>
        <w:tc>
          <w:tcPr>
            <w:tcW w:w="992" w:type="dxa"/>
            <w:gridSpan w:val="2"/>
            <w:shd w:val="clear" w:color="auto" w:fill="auto"/>
            <w:tcMar>
              <w:left w:w="28" w:type="dxa"/>
              <w:right w:w="28" w:type="dxa"/>
            </w:tcMar>
          </w:tcPr>
          <w:p w14:paraId="376AA491" w14:textId="77777777" w:rsidR="00F03A57" w:rsidRPr="00AA7DF5" w:rsidRDefault="00F03A57" w:rsidP="00F03A57">
            <w:pPr>
              <w:widowControl/>
              <w:spacing w:before="40" w:after="40"/>
              <w:rPr>
                <w:rFonts w:eastAsia="Calibri"/>
                <w:noProof/>
                <w:color w:val="000000"/>
                <w:sz w:val="22"/>
                <w:szCs w:val="22"/>
                <w:lang w:eastAsia="en-US"/>
              </w:rPr>
            </w:pPr>
          </w:p>
        </w:tc>
        <w:tc>
          <w:tcPr>
            <w:tcW w:w="1134" w:type="dxa"/>
          </w:tcPr>
          <w:p w14:paraId="113820E0" w14:textId="77777777" w:rsidR="00F03A57" w:rsidRPr="00AA7DF5" w:rsidRDefault="00F03A57" w:rsidP="00F03A57">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3151EED1"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0,5 (</w:t>
            </w:r>
            <w:r w:rsidRPr="00AA7DF5">
              <w:rPr>
                <w:rFonts w:eastAsia="Calibri"/>
                <w:noProof/>
                <w:color w:val="000000"/>
                <w:sz w:val="22"/>
                <w:szCs w:val="22"/>
                <w:vertAlign w:val="superscript"/>
                <w:lang w:eastAsia="en-US"/>
              </w:rPr>
              <w:t>30</w:t>
            </w:r>
            <w:r w:rsidRPr="00AA7DF5">
              <w:rPr>
                <w:rFonts w:eastAsia="Calibri"/>
                <w:noProof/>
                <w:color w:val="000000"/>
                <w:sz w:val="22"/>
                <w:szCs w:val="22"/>
                <w:lang w:eastAsia="en-US"/>
              </w:rPr>
              <w:t>)</w:t>
            </w:r>
          </w:p>
        </w:tc>
        <w:tc>
          <w:tcPr>
            <w:tcW w:w="1279" w:type="dxa"/>
            <w:gridSpan w:val="2"/>
            <w:shd w:val="clear" w:color="auto" w:fill="auto"/>
            <w:tcMar>
              <w:left w:w="28" w:type="dxa"/>
              <w:right w:w="28" w:type="dxa"/>
            </w:tcMar>
          </w:tcPr>
          <w:p w14:paraId="2F439FAB" w14:textId="77777777" w:rsidR="00F03A57" w:rsidRPr="00AA7DF5" w:rsidRDefault="00F03A57" w:rsidP="00F03A57">
            <w:pPr>
              <w:widowControl/>
              <w:spacing w:before="40" w:after="40"/>
              <w:rPr>
                <w:rFonts w:eastAsia="Calibri"/>
                <w:noProof/>
                <w:color w:val="000000"/>
                <w:sz w:val="22"/>
                <w:szCs w:val="22"/>
                <w:lang w:eastAsia="en-US"/>
              </w:rPr>
            </w:pPr>
            <w:r w:rsidRPr="00AA7DF5">
              <w:rPr>
                <w:rFonts w:eastAsia="Calibri"/>
                <w:noProof/>
                <w:color w:val="000000"/>
                <w:sz w:val="22"/>
                <w:szCs w:val="22"/>
                <w:lang w:eastAsia="en-US"/>
              </w:rPr>
              <w:t>0,5 (</w:t>
            </w:r>
            <w:r w:rsidRPr="00AA7DF5">
              <w:rPr>
                <w:rFonts w:eastAsia="Calibri"/>
                <w:noProof/>
                <w:color w:val="000000"/>
                <w:sz w:val="22"/>
                <w:szCs w:val="22"/>
                <w:vertAlign w:val="superscript"/>
                <w:lang w:eastAsia="en-US"/>
              </w:rPr>
              <w:t>30</w:t>
            </w:r>
            <w:r w:rsidRPr="00AA7DF5">
              <w:rPr>
                <w:rFonts w:eastAsia="Calibri"/>
                <w:noProof/>
                <w:color w:val="000000"/>
                <w:sz w:val="22"/>
                <w:szCs w:val="22"/>
                <w:lang w:eastAsia="en-US"/>
              </w:rPr>
              <w:t>)</w:t>
            </w:r>
          </w:p>
        </w:tc>
        <w:tc>
          <w:tcPr>
            <w:tcW w:w="1278" w:type="dxa"/>
            <w:gridSpan w:val="2"/>
            <w:shd w:val="clear" w:color="auto" w:fill="auto"/>
            <w:tcMar>
              <w:left w:w="28" w:type="dxa"/>
              <w:right w:w="28" w:type="dxa"/>
            </w:tcMar>
          </w:tcPr>
          <w:p w14:paraId="5051317F" w14:textId="77777777" w:rsidR="00F03A57" w:rsidRPr="00AA7DF5" w:rsidRDefault="00F03A57" w:rsidP="00F03A57">
            <w:pPr>
              <w:widowControl/>
              <w:spacing w:before="40" w:after="40"/>
              <w:rPr>
                <w:rFonts w:eastAsia="Calibri"/>
                <w:noProof/>
                <w:color w:val="000000"/>
                <w:sz w:val="22"/>
                <w:szCs w:val="22"/>
                <w:lang w:eastAsia="en-US"/>
              </w:rPr>
            </w:pPr>
          </w:p>
        </w:tc>
        <w:tc>
          <w:tcPr>
            <w:tcW w:w="1277" w:type="dxa"/>
            <w:gridSpan w:val="2"/>
            <w:shd w:val="clear" w:color="auto" w:fill="auto"/>
            <w:tcMar>
              <w:left w:w="28" w:type="dxa"/>
              <w:right w:w="28" w:type="dxa"/>
            </w:tcMar>
          </w:tcPr>
          <w:p w14:paraId="55E4AED3" w14:textId="77777777" w:rsidR="00F03A57" w:rsidRPr="00AA7DF5" w:rsidRDefault="00F03A57" w:rsidP="00F03A57">
            <w:pPr>
              <w:widowControl/>
              <w:spacing w:before="40" w:after="40"/>
              <w:rPr>
                <w:rFonts w:eastAsia="Calibri"/>
                <w:noProof/>
                <w:color w:val="000000"/>
                <w:sz w:val="22"/>
                <w:szCs w:val="22"/>
                <w:lang w:eastAsia="en-US"/>
              </w:rPr>
            </w:pPr>
          </w:p>
        </w:tc>
        <w:tc>
          <w:tcPr>
            <w:tcW w:w="1136" w:type="dxa"/>
            <w:gridSpan w:val="2"/>
            <w:shd w:val="clear" w:color="auto" w:fill="auto"/>
            <w:tcMar>
              <w:left w:w="28" w:type="dxa"/>
              <w:right w:w="28" w:type="dxa"/>
            </w:tcMar>
          </w:tcPr>
          <w:p w14:paraId="4113BEC0" w14:textId="77777777" w:rsidR="00F03A57" w:rsidRPr="00AA7DF5" w:rsidRDefault="00F03A57" w:rsidP="00F03A57">
            <w:pPr>
              <w:widowControl/>
              <w:spacing w:before="40" w:after="40"/>
              <w:rPr>
                <w:rFonts w:eastAsia="Calibri"/>
                <w:noProof/>
                <w:color w:val="000000"/>
                <w:sz w:val="22"/>
                <w:szCs w:val="22"/>
                <w:lang w:eastAsia="en-US"/>
              </w:rPr>
            </w:pPr>
          </w:p>
        </w:tc>
        <w:tc>
          <w:tcPr>
            <w:tcW w:w="1262" w:type="dxa"/>
            <w:tcMar>
              <w:left w:w="28" w:type="dxa"/>
              <w:right w:w="28" w:type="dxa"/>
            </w:tcMar>
          </w:tcPr>
          <w:p w14:paraId="2D89AD62" w14:textId="77777777" w:rsidR="00F03A57" w:rsidRPr="00AA7DF5" w:rsidRDefault="00F03A57" w:rsidP="00F03A57">
            <w:pPr>
              <w:widowControl/>
              <w:spacing w:before="40" w:after="40"/>
              <w:rPr>
                <w:rFonts w:eastAsia="Calibri"/>
                <w:noProof/>
                <w:color w:val="000000"/>
                <w:sz w:val="22"/>
                <w:szCs w:val="22"/>
                <w:lang w:eastAsia="en-US"/>
              </w:rPr>
            </w:pPr>
          </w:p>
        </w:tc>
        <w:tc>
          <w:tcPr>
            <w:tcW w:w="1153" w:type="dxa"/>
            <w:gridSpan w:val="2"/>
            <w:tcMar>
              <w:left w:w="28" w:type="dxa"/>
              <w:right w:w="28" w:type="dxa"/>
            </w:tcMar>
          </w:tcPr>
          <w:p w14:paraId="15CD5615" w14:textId="77777777" w:rsidR="00F03A57" w:rsidRPr="00AA7DF5" w:rsidRDefault="00F03A57" w:rsidP="00F03A57">
            <w:pPr>
              <w:widowControl/>
              <w:spacing w:before="40" w:after="40"/>
              <w:rPr>
                <w:rFonts w:eastAsia="Calibri"/>
                <w:noProof/>
                <w:color w:val="000000"/>
                <w:sz w:val="22"/>
                <w:szCs w:val="22"/>
                <w:lang w:eastAsia="en-US"/>
              </w:rPr>
            </w:pPr>
          </w:p>
        </w:tc>
        <w:tc>
          <w:tcPr>
            <w:tcW w:w="970" w:type="dxa"/>
            <w:tcMar>
              <w:left w:w="28" w:type="dxa"/>
              <w:right w:w="28" w:type="dxa"/>
            </w:tcMar>
          </w:tcPr>
          <w:p w14:paraId="016C1011" w14:textId="77777777" w:rsidR="00F03A57" w:rsidRPr="00AA7DF5" w:rsidRDefault="00F03A57" w:rsidP="00F03A57">
            <w:pPr>
              <w:widowControl/>
              <w:spacing w:before="40" w:after="40"/>
              <w:rPr>
                <w:rFonts w:eastAsia="Calibri"/>
                <w:noProof/>
                <w:color w:val="000000"/>
                <w:sz w:val="22"/>
                <w:szCs w:val="22"/>
                <w:lang w:eastAsia="en-US"/>
              </w:rPr>
            </w:pPr>
          </w:p>
        </w:tc>
      </w:tr>
      <w:tr w:rsidR="00F03A57" w:rsidRPr="00AA7DF5" w14:paraId="23FDCE51" w14:textId="77777777" w:rsidTr="00F03A57">
        <w:trPr>
          <w:gridBefore w:val="1"/>
          <w:wBefore w:w="12" w:type="dxa"/>
          <w:cantSplit/>
          <w:tblHeader/>
          <w:jc w:val="center"/>
        </w:trPr>
        <w:tc>
          <w:tcPr>
            <w:tcW w:w="651" w:type="dxa"/>
            <w:gridSpan w:val="3"/>
            <w:tcMar>
              <w:left w:w="28" w:type="dxa"/>
              <w:right w:w="28" w:type="dxa"/>
            </w:tcMar>
          </w:tcPr>
          <w:p w14:paraId="160014C0" w14:textId="02684494" w:rsidR="00F03A57" w:rsidRPr="00AA7DF5" w:rsidRDefault="00F03A57" w:rsidP="00F03A57">
            <w:pPr>
              <w:widowControl/>
              <w:spacing w:before="40" w:after="40"/>
              <w:jc w:val="both"/>
              <w:rPr>
                <w:rFonts w:eastAsia="Calibri"/>
                <w:b/>
                <w:noProof/>
                <w:sz w:val="22"/>
                <w:szCs w:val="22"/>
                <w:lang w:eastAsia="en-US"/>
              </w:rPr>
            </w:pPr>
            <w:r w:rsidRPr="00AA7DF5">
              <w:rPr>
                <w:rFonts w:eastAsia="Calibri"/>
                <w:b/>
                <w:i/>
                <w:noProof/>
                <w:sz w:val="22"/>
                <w:szCs w:val="22"/>
                <w:lang w:eastAsia="en-US"/>
              </w:rPr>
              <w:t>(70-A)</w:t>
            </w:r>
            <w:r w:rsidR="009D07FD" w:rsidRPr="00AA7DF5">
              <w:rPr>
                <w:rFonts w:eastAsia="Calibri"/>
                <w:b/>
                <w:noProof/>
                <w:sz w:val="22"/>
                <w:szCs w:val="22"/>
                <w:lang w:eastAsia="en-US"/>
              </w:rPr>
              <w:t xml:space="preserve"> [Alt. 152]</w:t>
            </w:r>
          </w:p>
        </w:tc>
        <w:tc>
          <w:tcPr>
            <w:tcW w:w="2286" w:type="dxa"/>
            <w:gridSpan w:val="3"/>
            <w:shd w:val="clear" w:color="auto" w:fill="auto"/>
            <w:tcMar>
              <w:left w:w="28" w:type="dxa"/>
              <w:right w:w="28" w:type="dxa"/>
            </w:tcMar>
          </w:tcPr>
          <w:p w14:paraId="1C28B643" w14:textId="35341F2A"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Bisfenóis</w:t>
            </w:r>
          </w:p>
        </w:tc>
        <w:tc>
          <w:tcPr>
            <w:tcW w:w="1329" w:type="dxa"/>
            <w:gridSpan w:val="3"/>
            <w:shd w:val="clear" w:color="auto" w:fill="auto"/>
            <w:tcMar>
              <w:left w:w="28" w:type="dxa"/>
              <w:right w:w="28" w:type="dxa"/>
            </w:tcMar>
          </w:tcPr>
          <w:p w14:paraId="60E4D7C5" w14:textId="0EA2A1CC"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Produtos químicos industriais</w:t>
            </w:r>
          </w:p>
        </w:tc>
        <w:tc>
          <w:tcPr>
            <w:tcW w:w="992" w:type="dxa"/>
            <w:gridSpan w:val="2"/>
            <w:shd w:val="clear" w:color="auto" w:fill="auto"/>
            <w:tcMar>
              <w:left w:w="28" w:type="dxa"/>
              <w:right w:w="28" w:type="dxa"/>
            </w:tcMar>
          </w:tcPr>
          <w:p w14:paraId="46367995" w14:textId="47EEBAC4"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não aplicável</w:t>
            </w:r>
          </w:p>
        </w:tc>
        <w:tc>
          <w:tcPr>
            <w:tcW w:w="1134" w:type="dxa"/>
          </w:tcPr>
          <w:p w14:paraId="32E31AE0" w14:textId="61117A42" w:rsidR="00F03A57" w:rsidRPr="00AA7DF5" w:rsidRDefault="00F03A57" w:rsidP="00AA7DF5">
            <w:pPr>
              <w:widowControl/>
              <w:spacing w:before="40" w:after="40"/>
              <w:jc w:val="center"/>
              <w:rPr>
                <w:rFonts w:eastAsia="Calibri"/>
                <w:b/>
                <w:i/>
                <w:noProof/>
                <w:sz w:val="22"/>
                <w:szCs w:val="22"/>
                <w:lang w:eastAsia="en-US"/>
              </w:rPr>
            </w:pPr>
            <w:r w:rsidRPr="00AA7DF5">
              <w:rPr>
                <w:rFonts w:eastAsia="Calibri"/>
                <w:b/>
                <w:i/>
                <w:noProof/>
                <w:sz w:val="22"/>
                <w:szCs w:val="22"/>
                <w:lang w:eastAsia="en-US"/>
              </w:rPr>
              <w:t>não aplicável</w:t>
            </w:r>
          </w:p>
        </w:tc>
        <w:tc>
          <w:tcPr>
            <w:tcW w:w="1279" w:type="dxa"/>
            <w:gridSpan w:val="2"/>
            <w:shd w:val="clear" w:color="auto" w:fill="auto"/>
            <w:tcMar>
              <w:left w:w="28" w:type="dxa"/>
              <w:right w:w="28" w:type="dxa"/>
            </w:tcMar>
          </w:tcPr>
          <w:p w14:paraId="4D8AE3BB" w14:textId="0E1369CE"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279" w:type="dxa"/>
            <w:gridSpan w:val="2"/>
            <w:shd w:val="clear" w:color="auto" w:fill="auto"/>
            <w:tcMar>
              <w:left w:w="28" w:type="dxa"/>
              <w:right w:w="28" w:type="dxa"/>
            </w:tcMar>
          </w:tcPr>
          <w:p w14:paraId="644F6D66" w14:textId="19CEC939"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278" w:type="dxa"/>
            <w:gridSpan w:val="2"/>
            <w:shd w:val="clear" w:color="auto" w:fill="auto"/>
            <w:tcMar>
              <w:left w:w="28" w:type="dxa"/>
              <w:right w:w="28" w:type="dxa"/>
            </w:tcMar>
          </w:tcPr>
          <w:p w14:paraId="5624D48B" w14:textId="2D0A4AD4"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277" w:type="dxa"/>
            <w:gridSpan w:val="2"/>
            <w:shd w:val="clear" w:color="auto" w:fill="auto"/>
            <w:tcMar>
              <w:left w:w="28" w:type="dxa"/>
              <w:right w:w="28" w:type="dxa"/>
            </w:tcMar>
          </w:tcPr>
          <w:p w14:paraId="5DFAC750" w14:textId="7EE5668D"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136" w:type="dxa"/>
            <w:gridSpan w:val="2"/>
            <w:shd w:val="clear" w:color="auto" w:fill="auto"/>
            <w:tcMar>
              <w:left w:w="28" w:type="dxa"/>
              <w:right w:w="28" w:type="dxa"/>
            </w:tcMar>
          </w:tcPr>
          <w:p w14:paraId="78BD3AB3"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262" w:type="dxa"/>
            <w:tcMar>
              <w:left w:w="28" w:type="dxa"/>
              <w:right w:w="28" w:type="dxa"/>
            </w:tcMar>
          </w:tcPr>
          <w:p w14:paraId="0E81E1C9"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153" w:type="dxa"/>
            <w:gridSpan w:val="2"/>
            <w:tcMar>
              <w:left w:w="28" w:type="dxa"/>
              <w:right w:w="28" w:type="dxa"/>
            </w:tcMar>
          </w:tcPr>
          <w:p w14:paraId="27BFA022"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970" w:type="dxa"/>
            <w:tcMar>
              <w:left w:w="28" w:type="dxa"/>
              <w:right w:w="28" w:type="dxa"/>
            </w:tcMar>
          </w:tcPr>
          <w:p w14:paraId="7D6EF018" w14:textId="77777777" w:rsidR="00F03A57" w:rsidRPr="00AA7DF5" w:rsidRDefault="00F03A57" w:rsidP="00AA7DF5">
            <w:pPr>
              <w:widowControl/>
              <w:spacing w:before="40" w:after="40"/>
              <w:jc w:val="center"/>
              <w:rPr>
                <w:rFonts w:eastAsia="Calibri"/>
                <w:b/>
                <w:i/>
                <w:noProof/>
                <w:color w:val="000000"/>
                <w:sz w:val="22"/>
                <w:szCs w:val="22"/>
                <w:lang w:eastAsia="en-US"/>
              </w:rPr>
            </w:pPr>
          </w:p>
        </w:tc>
      </w:tr>
      <w:tr w:rsidR="00F03A57" w:rsidRPr="00AA7DF5" w14:paraId="2EFAA73C" w14:textId="77777777" w:rsidTr="00F03A57">
        <w:trPr>
          <w:gridBefore w:val="1"/>
          <w:wBefore w:w="12" w:type="dxa"/>
          <w:cantSplit/>
          <w:tblHeader/>
          <w:jc w:val="center"/>
        </w:trPr>
        <w:tc>
          <w:tcPr>
            <w:tcW w:w="651" w:type="dxa"/>
            <w:gridSpan w:val="3"/>
            <w:tcMar>
              <w:left w:w="28" w:type="dxa"/>
              <w:right w:w="28" w:type="dxa"/>
            </w:tcMar>
          </w:tcPr>
          <w:p w14:paraId="0501E0D1" w14:textId="5ECFE941" w:rsidR="00F03A57" w:rsidRPr="00AA7DF5" w:rsidRDefault="00F03A57" w:rsidP="00F03A57">
            <w:pPr>
              <w:widowControl/>
              <w:spacing w:before="40" w:after="40"/>
              <w:jc w:val="both"/>
              <w:rPr>
                <w:rFonts w:eastAsia="Calibri"/>
                <w:b/>
                <w:noProof/>
                <w:sz w:val="22"/>
                <w:szCs w:val="22"/>
                <w:lang w:eastAsia="en-US"/>
              </w:rPr>
            </w:pPr>
            <w:r w:rsidRPr="00AA7DF5">
              <w:rPr>
                <w:rFonts w:eastAsia="Calibri"/>
                <w:b/>
                <w:i/>
                <w:noProof/>
                <w:sz w:val="22"/>
                <w:szCs w:val="22"/>
                <w:lang w:eastAsia="en-US"/>
              </w:rPr>
              <w:t>(70-B)</w:t>
            </w:r>
            <w:r w:rsidR="009D07FD" w:rsidRPr="00AA7DF5">
              <w:rPr>
                <w:rFonts w:eastAsia="Calibri"/>
                <w:b/>
                <w:noProof/>
                <w:sz w:val="22"/>
                <w:szCs w:val="22"/>
                <w:lang w:eastAsia="en-US"/>
              </w:rPr>
              <w:t xml:space="preserve"> [Alt. 153]</w:t>
            </w:r>
          </w:p>
        </w:tc>
        <w:tc>
          <w:tcPr>
            <w:tcW w:w="2286" w:type="dxa"/>
            <w:gridSpan w:val="3"/>
            <w:shd w:val="clear" w:color="auto" w:fill="auto"/>
            <w:tcMar>
              <w:left w:w="28" w:type="dxa"/>
              <w:right w:w="28" w:type="dxa"/>
            </w:tcMar>
          </w:tcPr>
          <w:p w14:paraId="341A6733" w14:textId="4D782F68"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 xml:space="preserve">PFAS </w:t>
            </w:r>
            <w:r w:rsidRPr="00AA7DF5">
              <w:rPr>
                <w:rFonts w:eastAsia="Calibri"/>
                <w:b/>
                <w:i/>
                <w:noProof/>
                <w:color w:val="000000"/>
                <w:sz w:val="22"/>
                <w:szCs w:val="22"/>
                <w:lang w:eastAsia="en-US"/>
              </w:rPr>
              <w:noBreakHyphen/>
              <w:t xml:space="preserve"> total</w:t>
            </w:r>
          </w:p>
        </w:tc>
        <w:tc>
          <w:tcPr>
            <w:tcW w:w="1329" w:type="dxa"/>
            <w:gridSpan w:val="3"/>
            <w:shd w:val="clear" w:color="auto" w:fill="auto"/>
            <w:tcMar>
              <w:left w:w="28" w:type="dxa"/>
              <w:right w:w="28" w:type="dxa"/>
            </w:tcMar>
          </w:tcPr>
          <w:p w14:paraId="73F5EEFC" w14:textId="3AEEEC6D"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Produtos químicos industriais</w:t>
            </w:r>
          </w:p>
        </w:tc>
        <w:tc>
          <w:tcPr>
            <w:tcW w:w="992" w:type="dxa"/>
            <w:gridSpan w:val="2"/>
            <w:shd w:val="clear" w:color="auto" w:fill="auto"/>
            <w:tcMar>
              <w:left w:w="28" w:type="dxa"/>
              <w:right w:w="28" w:type="dxa"/>
            </w:tcMar>
          </w:tcPr>
          <w:p w14:paraId="3CDE231F" w14:textId="6B17F21E"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não aplicável</w:t>
            </w:r>
          </w:p>
        </w:tc>
        <w:tc>
          <w:tcPr>
            <w:tcW w:w="1134" w:type="dxa"/>
          </w:tcPr>
          <w:p w14:paraId="30F6338E" w14:textId="10B0491C" w:rsidR="00F03A57" w:rsidRPr="00AA7DF5" w:rsidRDefault="00F03A57" w:rsidP="00AA7DF5">
            <w:pPr>
              <w:widowControl/>
              <w:spacing w:before="40" w:after="40"/>
              <w:jc w:val="center"/>
              <w:rPr>
                <w:rFonts w:eastAsia="Calibri"/>
                <w:b/>
                <w:i/>
                <w:noProof/>
                <w:sz w:val="22"/>
                <w:szCs w:val="22"/>
                <w:lang w:eastAsia="en-US"/>
              </w:rPr>
            </w:pPr>
            <w:r w:rsidRPr="00AA7DF5">
              <w:rPr>
                <w:rFonts w:eastAsia="Calibri"/>
                <w:b/>
                <w:i/>
                <w:noProof/>
                <w:color w:val="000000"/>
                <w:sz w:val="22"/>
                <w:szCs w:val="22"/>
                <w:lang w:eastAsia="en-US"/>
              </w:rPr>
              <w:t>não aplicável</w:t>
            </w:r>
          </w:p>
        </w:tc>
        <w:tc>
          <w:tcPr>
            <w:tcW w:w="1279" w:type="dxa"/>
            <w:gridSpan w:val="2"/>
            <w:shd w:val="clear" w:color="auto" w:fill="auto"/>
            <w:tcMar>
              <w:left w:w="28" w:type="dxa"/>
              <w:right w:w="28" w:type="dxa"/>
            </w:tcMar>
          </w:tcPr>
          <w:p w14:paraId="70249983" w14:textId="55F17357"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279" w:type="dxa"/>
            <w:gridSpan w:val="2"/>
            <w:shd w:val="clear" w:color="auto" w:fill="auto"/>
            <w:tcMar>
              <w:left w:w="28" w:type="dxa"/>
              <w:right w:w="28" w:type="dxa"/>
            </w:tcMar>
          </w:tcPr>
          <w:p w14:paraId="47222901" w14:textId="2AE2A4FA"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278" w:type="dxa"/>
            <w:gridSpan w:val="2"/>
            <w:shd w:val="clear" w:color="auto" w:fill="auto"/>
            <w:tcMar>
              <w:left w:w="28" w:type="dxa"/>
              <w:right w:w="28" w:type="dxa"/>
            </w:tcMar>
          </w:tcPr>
          <w:p w14:paraId="048BF34B" w14:textId="53DFD287"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277" w:type="dxa"/>
            <w:gridSpan w:val="2"/>
            <w:shd w:val="clear" w:color="auto" w:fill="auto"/>
            <w:tcMar>
              <w:left w:w="28" w:type="dxa"/>
              <w:right w:w="28" w:type="dxa"/>
            </w:tcMar>
          </w:tcPr>
          <w:p w14:paraId="08013541" w14:textId="4C9C585D"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w:t>
            </w:r>
          </w:p>
        </w:tc>
        <w:tc>
          <w:tcPr>
            <w:tcW w:w="1136" w:type="dxa"/>
            <w:gridSpan w:val="2"/>
            <w:shd w:val="clear" w:color="auto" w:fill="auto"/>
            <w:tcMar>
              <w:left w:w="28" w:type="dxa"/>
              <w:right w:w="28" w:type="dxa"/>
            </w:tcMar>
          </w:tcPr>
          <w:p w14:paraId="3164AA26"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262" w:type="dxa"/>
            <w:tcMar>
              <w:left w:w="28" w:type="dxa"/>
              <w:right w:w="28" w:type="dxa"/>
            </w:tcMar>
          </w:tcPr>
          <w:p w14:paraId="7DE03BBB"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153" w:type="dxa"/>
            <w:gridSpan w:val="2"/>
            <w:tcMar>
              <w:left w:w="28" w:type="dxa"/>
              <w:right w:w="28" w:type="dxa"/>
            </w:tcMar>
          </w:tcPr>
          <w:p w14:paraId="1E608386"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970" w:type="dxa"/>
            <w:tcMar>
              <w:left w:w="28" w:type="dxa"/>
              <w:right w:w="28" w:type="dxa"/>
            </w:tcMar>
          </w:tcPr>
          <w:p w14:paraId="77A278A1" w14:textId="77777777" w:rsidR="00F03A57" w:rsidRPr="00AA7DF5" w:rsidRDefault="00F03A57" w:rsidP="00AA7DF5">
            <w:pPr>
              <w:widowControl/>
              <w:spacing w:before="40" w:after="40"/>
              <w:jc w:val="center"/>
              <w:rPr>
                <w:rFonts w:eastAsia="Calibri"/>
                <w:b/>
                <w:i/>
                <w:noProof/>
                <w:color w:val="000000"/>
                <w:sz w:val="22"/>
                <w:szCs w:val="22"/>
                <w:lang w:eastAsia="en-US"/>
              </w:rPr>
            </w:pPr>
          </w:p>
        </w:tc>
      </w:tr>
      <w:tr w:rsidR="00F03A57" w:rsidRPr="00AA7DF5" w14:paraId="49B1A930" w14:textId="77777777" w:rsidTr="00F03A57">
        <w:trPr>
          <w:gridBefore w:val="1"/>
          <w:wBefore w:w="12" w:type="dxa"/>
          <w:cantSplit/>
          <w:tblHeader/>
          <w:jc w:val="center"/>
        </w:trPr>
        <w:tc>
          <w:tcPr>
            <w:tcW w:w="651" w:type="dxa"/>
            <w:gridSpan w:val="3"/>
            <w:tcMar>
              <w:left w:w="28" w:type="dxa"/>
              <w:right w:w="28" w:type="dxa"/>
            </w:tcMar>
          </w:tcPr>
          <w:p w14:paraId="2D713F66" w14:textId="5F91C082" w:rsidR="00F03A57" w:rsidRPr="00AA7DF5" w:rsidRDefault="00F03A57" w:rsidP="00F03A57">
            <w:pPr>
              <w:widowControl/>
              <w:spacing w:before="40" w:after="40"/>
              <w:jc w:val="both"/>
              <w:rPr>
                <w:rFonts w:eastAsia="Calibri"/>
                <w:b/>
                <w:noProof/>
                <w:sz w:val="22"/>
                <w:szCs w:val="22"/>
                <w:lang w:eastAsia="en-US"/>
              </w:rPr>
            </w:pPr>
            <w:r w:rsidRPr="00AA7DF5">
              <w:rPr>
                <w:rFonts w:eastAsia="Calibri"/>
                <w:b/>
                <w:i/>
                <w:noProof/>
                <w:sz w:val="22"/>
                <w:szCs w:val="22"/>
                <w:lang w:eastAsia="en-US"/>
              </w:rPr>
              <w:lastRenderedPageBreak/>
              <w:t>(</w:t>
            </w:r>
            <w:r w:rsidRPr="00AA7DF5">
              <w:rPr>
                <w:rFonts w:eastAsia="Calibri"/>
                <w:b/>
                <w:noProof/>
                <w:sz w:val="22"/>
                <w:szCs w:val="22"/>
                <w:lang w:eastAsia="en-US"/>
              </w:rPr>
              <w:t>70</w:t>
            </w:r>
            <w:r w:rsidR="009D07FD" w:rsidRPr="00AA7DF5">
              <w:rPr>
                <w:rFonts w:eastAsia="Calibri"/>
                <w:b/>
                <w:i/>
                <w:noProof/>
                <w:sz w:val="22"/>
                <w:szCs w:val="22"/>
                <w:lang w:eastAsia="en-US"/>
              </w:rPr>
              <w:t>-</w:t>
            </w:r>
            <w:r w:rsidRPr="00AA7DF5">
              <w:rPr>
                <w:rFonts w:eastAsia="Calibri"/>
                <w:b/>
                <w:i/>
                <w:noProof/>
                <w:sz w:val="22"/>
                <w:szCs w:val="22"/>
                <w:lang w:eastAsia="en-US"/>
              </w:rPr>
              <w:t>C)</w:t>
            </w:r>
            <w:r w:rsidR="009D07FD" w:rsidRPr="00AA7DF5">
              <w:rPr>
                <w:rFonts w:eastAsia="Calibri"/>
                <w:b/>
                <w:noProof/>
                <w:sz w:val="22"/>
                <w:szCs w:val="22"/>
                <w:lang w:eastAsia="en-US"/>
              </w:rPr>
              <w:t xml:space="preserve"> [Alt. 154]</w:t>
            </w:r>
          </w:p>
        </w:tc>
        <w:tc>
          <w:tcPr>
            <w:tcW w:w="2286" w:type="dxa"/>
            <w:gridSpan w:val="3"/>
            <w:shd w:val="clear" w:color="auto" w:fill="auto"/>
            <w:tcMar>
              <w:left w:w="28" w:type="dxa"/>
              <w:right w:w="28" w:type="dxa"/>
            </w:tcMar>
          </w:tcPr>
          <w:p w14:paraId="6C99E599" w14:textId="2CB26460"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Substâncias ativas farmacêuticas – total</w:t>
            </w:r>
          </w:p>
        </w:tc>
        <w:tc>
          <w:tcPr>
            <w:tcW w:w="1329" w:type="dxa"/>
            <w:gridSpan w:val="3"/>
            <w:shd w:val="clear" w:color="auto" w:fill="auto"/>
            <w:tcMar>
              <w:left w:w="28" w:type="dxa"/>
              <w:right w:w="28" w:type="dxa"/>
            </w:tcMar>
          </w:tcPr>
          <w:p w14:paraId="670A0B9A" w14:textId="5D08CD69" w:rsidR="00F03A57" w:rsidRPr="00AA7DF5" w:rsidRDefault="00F03A57"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Produtos farmacêuticos</w:t>
            </w:r>
          </w:p>
        </w:tc>
        <w:tc>
          <w:tcPr>
            <w:tcW w:w="992" w:type="dxa"/>
            <w:gridSpan w:val="2"/>
            <w:shd w:val="clear" w:color="auto" w:fill="auto"/>
            <w:tcMar>
              <w:left w:w="28" w:type="dxa"/>
              <w:right w:w="28" w:type="dxa"/>
            </w:tcMar>
          </w:tcPr>
          <w:p w14:paraId="076BF7E1" w14:textId="604F66D3" w:rsidR="00F03A57" w:rsidRPr="00AA7DF5" w:rsidRDefault="009F244B"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não aplicável</w:t>
            </w:r>
          </w:p>
        </w:tc>
        <w:tc>
          <w:tcPr>
            <w:tcW w:w="1134" w:type="dxa"/>
          </w:tcPr>
          <w:p w14:paraId="5411198D" w14:textId="61288AFC" w:rsidR="00F03A57" w:rsidRPr="00AA7DF5" w:rsidRDefault="009F244B" w:rsidP="00AA7DF5">
            <w:pPr>
              <w:widowControl/>
              <w:spacing w:before="40" w:after="40"/>
              <w:jc w:val="center"/>
              <w:rPr>
                <w:rFonts w:eastAsia="Calibri"/>
                <w:b/>
                <w:i/>
                <w:noProof/>
                <w:sz w:val="22"/>
                <w:szCs w:val="22"/>
                <w:lang w:eastAsia="en-US"/>
              </w:rPr>
            </w:pPr>
            <w:r w:rsidRPr="00AA7DF5">
              <w:rPr>
                <w:rFonts w:eastAsia="Calibri"/>
                <w:b/>
                <w:i/>
                <w:noProof/>
                <w:color w:val="000000"/>
                <w:sz w:val="22"/>
                <w:szCs w:val="22"/>
                <w:lang w:eastAsia="en-US"/>
              </w:rPr>
              <w:t>não aplicável</w:t>
            </w:r>
          </w:p>
        </w:tc>
        <w:tc>
          <w:tcPr>
            <w:tcW w:w="1279" w:type="dxa"/>
            <w:gridSpan w:val="2"/>
            <w:shd w:val="clear" w:color="auto" w:fill="auto"/>
            <w:tcMar>
              <w:left w:w="28" w:type="dxa"/>
              <w:right w:w="28" w:type="dxa"/>
            </w:tcMar>
          </w:tcPr>
          <w:p w14:paraId="2F0E1382" w14:textId="2CFC2794" w:rsidR="00F03A57" w:rsidRPr="00AA7DF5" w:rsidRDefault="009F244B"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0,25</w:t>
            </w:r>
          </w:p>
        </w:tc>
        <w:tc>
          <w:tcPr>
            <w:tcW w:w="1279" w:type="dxa"/>
            <w:gridSpan w:val="2"/>
            <w:shd w:val="clear" w:color="auto" w:fill="auto"/>
            <w:tcMar>
              <w:left w:w="28" w:type="dxa"/>
              <w:right w:w="28" w:type="dxa"/>
            </w:tcMar>
          </w:tcPr>
          <w:p w14:paraId="4A0F4189" w14:textId="17D0B266" w:rsidR="00F03A57" w:rsidRPr="00AA7DF5" w:rsidRDefault="009F244B" w:rsidP="00AA7DF5">
            <w:pPr>
              <w:widowControl/>
              <w:spacing w:before="40" w:after="40"/>
              <w:jc w:val="center"/>
              <w:rPr>
                <w:rFonts w:eastAsia="Calibri"/>
                <w:b/>
                <w:i/>
                <w:noProof/>
                <w:color w:val="000000"/>
                <w:sz w:val="22"/>
                <w:szCs w:val="22"/>
                <w:lang w:eastAsia="en-US"/>
              </w:rPr>
            </w:pPr>
            <w:r w:rsidRPr="00AA7DF5">
              <w:rPr>
                <w:rFonts w:eastAsia="Calibri"/>
                <w:b/>
                <w:i/>
                <w:noProof/>
                <w:color w:val="000000"/>
                <w:sz w:val="22"/>
                <w:szCs w:val="22"/>
                <w:lang w:eastAsia="en-US"/>
              </w:rPr>
              <w:t>0,025</w:t>
            </w:r>
          </w:p>
        </w:tc>
        <w:tc>
          <w:tcPr>
            <w:tcW w:w="1278" w:type="dxa"/>
            <w:gridSpan w:val="2"/>
            <w:shd w:val="clear" w:color="auto" w:fill="auto"/>
            <w:tcMar>
              <w:left w:w="28" w:type="dxa"/>
              <w:right w:w="28" w:type="dxa"/>
            </w:tcMar>
          </w:tcPr>
          <w:p w14:paraId="46520068"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277" w:type="dxa"/>
            <w:gridSpan w:val="2"/>
            <w:shd w:val="clear" w:color="auto" w:fill="auto"/>
            <w:tcMar>
              <w:left w:w="28" w:type="dxa"/>
              <w:right w:w="28" w:type="dxa"/>
            </w:tcMar>
          </w:tcPr>
          <w:p w14:paraId="52E6753D"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136" w:type="dxa"/>
            <w:gridSpan w:val="2"/>
            <w:shd w:val="clear" w:color="auto" w:fill="auto"/>
            <w:tcMar>
              <w:left w:w="28" w:type="dxa"/>
              <w:right w:w="28" w:type="dxa"/>
            </w:tcMar>
          </w:tcPr>
          <w:p w14:paraId="6E2C8EBB"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262" w:type="dxa"/>
            <w:tcMar>
              <w:left w:w="28" w:type="dxa"/>
              <w:right w:w="28" w:type="dxa"/>
            </w:tcMar>
          </w:tcPr>
          <w:p w14:paraId="3E6C9984"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1153" w:type="dxa"/>
            <w:gridSpan w:val="2"/>
            <w:tcMar>
              <w:left w:w="28" w:type="dxa"/>
              <w:right w:w="28" w:type="dxa"/>
            </w:tcMar>
          </w:tcPr>
          <w:p w14:paraId="674A20E9" w14:textId="77777777" w:rsidR="00F03A57" w:rsidRPr="00AA7DF5" w:rsidRDefault="00F03A57" w:rsidP="00AA7DF5">
            <w:pPr>
              <w:widowControl/>
              <w:spacing w:before="40" w:after="40"/>
              <w:jc w:val="center"/>
              <w:rPr>
                <w:rFonts w:eastAsia="Calibri"/>
                <w:b/>
                <w:i/>
                <w:noProof/>
                <w:color w:val="000000"/>
                <w:sz w:val="22"/>
                <w:szCs w:val="22"/>
                <w:lang w:eastAsia="en-US"/>
              </w:rPr>
            </w:pPr>
          </w:p>
        </w:tc>
        <w:tc>
          <w:tcPr>
            <w:tcW w:w="970" w:type="dxa"/>
            <w:tcMar>
              <w:left w:w="28" w:type="dxa"/>
              <w:right w:w="28" w:type="dxa"/>
            </w:tcMar>
          </w:tcPr>
          <w:p w14:paraId="21DD812F" w14:textId="77777777" w:rsidR="00F03A57" w:rsidRPr="00AA7DF5" w:rsidRDefault="00F03A57" w:rsidP="00AA7DF5">
            <w:pPr>
              <w:widowControl/>
              <w:spacing w:before="40" w:after="40"/>
              <w:jc w:val="center"/>
              <w:rPr>
                <w:rFonts w:eastAsia="Calibri"/>
                <w:b/>
                <w:i/>
                <w:noProof/>
                <w:color w:val="000000"/>
                <w:sz w:val="22"/>
                <w:szCs w:val="22"/>
                <w:lang w:eastAsia="en-US"/>
              </w:rPr>
            </w:pPr>
          </w:p>
        </w:tc>
      </w:tr>
    </w:tbl>
    <w:p w14:paraId="4B887633" w14:textId="6A066599" w:rsidR="00F03A57" w:rsidRDefault="005C76CB" w:rsidP="002E0FC5">
      <w:pPr>
        <w:spacing w:before="120" w:after="120" w:line="360" w:lineRule="auto"/>
        <w:ind w:left="1416" w:hanging="566"/>
        <w:rPr>
          <w:szCs w:val="24"/>
          <w:lang w:eastAsia="en-US"/>
        </w:rPr>
      </w:pPr>
      <w:r w:rsidRPr="00C6498F">
        <w:rPr>
          <w:b/>
          <w:i/>
        </w:rPr>
        <w:t>*As normas de qualidade devem ser estabelecidas pela Comissão por meio de um ato delegado.</w:t>
      </w:r>
    </w:p>
    <w:p w14:paraId="008AB15E" w14:textId="6F3154FC" w:rsidR="005C76CB" w:rsidRDefault="005C76CB" w:rsidP="002E0FC5">
      <w:pPr>
        <w:spacing w:before="120" w:after="120" w:line="360" w:lineRule="auto"/>
        <w:ind w:left="1416" w:hanging="566"/>
        <w:rPr>
          <w:szCs w:val="24"/>
          <w:lang w:eastAsia="en-US"/>
        </w:rPr>
      </w:pPr>
    </w:p>
    <w:p w14:paraId="529645F3" w14:textId="77777777" w:rsidR="005C76CB" w:rsidRPr="00AA7DF5" w:rsidRDefault="005C76CB" w:rsidP="002E0FC5">
      <w:pPr>
        <w:spacing w:before="120" w:after="120" w:line="360" w:lineRule="auto"/>
        <w:ind w:left="1416" w:hanging="566"/>
        <w:rPr>
          <w:szCs w:val="24"/>
          <w:lang w:eastAsia="en-US"/>
        </w:rPr>
        <w:sectPr w:rsidR="005C76CB" w:rsidRPr="00AA7DF5" w:rsidSect="00AA7DF5">
          <w:footnotePr>
            <w:numRestart w:val="eachSect"/>
          </w:footnotePr>
          <w:endnotePr>
            <w:numFmt w:val="decimal"/>
          </w:endnotePr>
          <w:pgSz w:w="16834" w:h="11909" w:orient="landscape"/>
          <w:pgMar w:top="1417" w:right="1134" w:bottom="1417" w:left="1417" w:header="1134" w:footer="567" w:gutter="0"/>
          <w:cols w:space="720"/>
          <w:docGrid w:linePitch="326"/>
        </w:sectPr>
      </w:pPr>
    </w:p>
    <w:p w14:paraId="65835C85" w14:textId="5644DFCE"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(1)</w:t>
      </w:r>
      <w:r w:rsidRPr="00AA7DF5">
        <w:rPr>
          <w:szCs w:val="24"/>
          <w:lang w:eastAsia="en-US"/>
        </w:rPr>
        <w:tab/>
        <w:t xml:space="preserve">CAS: </w:t>
      </w:r>
      <w:proofErr w:type="spellStart"/>
      <w:r w:rsidRPr="00AA7DF5">
        <w:rPr>
          <w:szCs w:val="24"/>
          <w:lang w:eastAsia="en-US"/>
        </w:rPr>
        <w:t>Chemical</w:t>
      </w:r>
      <w:proofErr w:type="spellEnd"/>
      <w:r w:rsidRPr="00AA7DF5">
        <w:rPr>
          <w:szCs w:val="24"/>
          <w:lang w:eastAsia="en-US"/>
        </w:rPr>
        <w:t xml:space="preserve"> </w:t>
      </w:r>
      <w:proofErr w:type="spellStart"/>
      <w:r w:rsidRPr="00AA7DF5">
        <w:rPr>
          <w:szCs w:val="24"/>
          <w:lang w:eastAsia="en-US"/>
        </w:rPr>
        <w:t>Abstracts</w:t>
      </w:r>
      <w:proofErr w:type="spellEnd"/>
      <w:r w:rsidRPr="00AA7DF5">
        <w:rPr>
          <w:szCs w:val="24"/>
          <w:lang w:eastAsia="en-US"/>
        </w:rPr>
        <w:t xml:space="preserve"> Service.</w:t>
      </w:r>
    </w:p>
    <w:p w14:paraId="7B813AE5"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w:t>
      </w:r>
      <w:r w:rsidRPr="00AA7DF5">
        <w:rPr>
          <w:szCs w:val="24"/>
          <w:lang w:eastAsia="en-US"/>
        </w:rPr>
        <w:tab/>
        <w:t>Número UE: Inventário Europeu das Substâncias Químicas Existentes no Mercado (EINECS) ou Lista Europeia das Substâncias Químicas Notificadas (ELINCS).</w:t>
      </w:r>
    </w:p>
    <w:p w14:paraId="27BD6891"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(3)</w:t>
      </w:r>
      <w:r w:rsidRPr="00AA7DF5">
        <w:rPr>
          <w:szCs w:val="24"/>
          <w:lang w:eastAsia="en-US"/>
        </w:rPr>
        <w:tab/>
        <w:t>Este parâmetro constitui a NQA expressa em valor médio anual (NQA-MA). Salvo indicação em contrário, aplica-se à concentração total de todas as substâncias e isómeros.</w:t>
      </w:r>
    </w:p>
    <w:p w14:paraId="28614271"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(4)</w:t>
      </w:r>
      <w:r w:rsidRPr="00AA7DF5">
        <w:rPr>
          <w:szCs w:val="24"/>
          <w:lang w:eastAsia="en-US"/>
        </w:rPr>
        <w:tab/>
        <w:t>As águas de superfície interiores compreendem os rios e lagos e as massas de água artificiais, ou fortemente modificadas, afins.</w:t>
      </w:r>
    </w:p>
    <w:p w14:paraId="363EB2A2"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(5)</w:t>
      </w:r>
      <w:r w:rsidRPr="00AA7DF5">
        <w:rPr>
          <w:szCs w:val="24"/>
          <w:lang w:eastAsia="en-US"/>
        </w:rPr>
        <w:tab/>
        <w:t>Este parâmetro constitui a NQA expressa em concentração máxima admissível (NQA-CMA). A indicação «não aplicável» nesta coluna significa que se considera que os valores NQA-MA protegem contra os picos de poluição de curta duração em descargas contínuas, por serem significativamente inferiores aos valores determinados com base na toxicidade aguda.</w:t>
      </w:r>
    </w:p>
    <w:p w14:paraId="077B0CF9" w14:textId="77777777" w:rsidR="006E1EC0" w:rsidRPr="00AA7DF5" w:rsidRDefault="006E1EC0">
      <w:pPr>
        <w:widowControl/>
        <w:rPr>
          <w:szCs w:val="24"/>
          <w:vertAlign w:val="superscript"/>
          <w:lang w:eastAsia="en-US"/>
        </w:rPr>
      </w:pPr>
      <w:r w:rsidRPr="00AA7DF5">
        <w:rPr>
          <w:szCs w:val="24"/>
          <w:vertAlign w:val="superscript"/>
          <w:lang w:eastAsia="en-US"/>
        </w:rPr>
        <w:br w:type="page"/>
      </w:r>
    </w:p>
    <w:p w14:paraId="1E57B291" w14:textId="7F374C6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(6)</w:t>
      </w:r>
      <w:r w:rsidRPr="00AA7DF5">
        <w:rPr>
          <w:szCs w:val="24"/>
          <w:lang w:eastAsia="en-US"/>
        </w:rPr>
        <w:tab/>
        <w:t xml:space="preserve">Se for indicada uma NQA para o biota, deve ser aplicada em vez da NQA para a água, sem prejuízo do disposto no artigo 3.º, n.º 3, da presente diretiva, que permite a monitorização de um táxon do biota alternativo ou de outra matriz, desde que a NQA aplicada proporcione um nível de proteção equivalente. Salvo indicação em contrário, a NQA para o biota diz respeito aos peixes. Para as substâncias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15 (</w:t>
      </w:r>
      <w:proofErr w:type="spellStart"/>
      <w:r w:rsidRPr="00AA7DF5">
        <w:rPr>
          <w:szCs w:val="24"/>
          <w:lang w:eastAsia="en-US"/>
        </w:rPr>
        <w:t>fluoranteno</w:t>
      </w:r>
      <w:proofErr w:type="spellEnd"/>
      <w:r w:rsidRPr="00AA7DF5">
        <w:rPr>
          <w:szCs w:val="24"/>
          <w:lang w:eastAsia="en-US"/>
        </w:rPr>
        <w:t>), 21 (HAP) e 51 (</w:t>
      </w:r>
      <w:proofErr w:type="spellStart"/>
      <w:r w:rsidRPr="00AA7DF5">
        <w:rPr>
          <w:szCs w:val="24"/>
          <w:lang w:eastAsia="en-US"/>
        </w:rPr>
        <w:t>Bisfenol-A</w:t>
      </w:r>
      <w:proofErr w:type="spellEnd"/>
      <w:r w:rsidRPr="00AA7DF5">
        <w:rPr>
          <w:szCs w:val="24"/>
          <w:lang w:eastAsia="en-US"/>
        </w:rPr>
        <w:t xml:space="preserve">), a NQA para o biota refere-se aos crustáceos e moluscos. Para efeitos de avaliação do estado químico, a monitorização do </w:t>
      </w:r>
      <w:proofErr w:type="spellStart"/>
      <w:r w:rsidRPr="00AA7DF5">
        <w:rPr>
          <w:szCs w:val="24"/>
          <w:lang w:eastAsia="en-US"/>
        </w:rPr>
        <w:t>fluoranteno</w:t>
      </w:r>
      <w:proofErr w:type="spellEnd"/>
      <w:r w:rsidRPr="00AA7DF5">
        <w:rPr>
          <w:szCs w:val="24"/>
          <w:lang w:eastAsia="en-US"/>
        </w:rPr>
        <w:t xml:space="preserve">, dos HAP e do </w:t>
      </w:r>
      <w:proofErr w:type="spellStart"/>
      <w:r w:rsidRPr="00AA7DF5">
        <w:rPr>
          <w:szCs w:val="24"/>
          <w:lang w:eastAsia="en-US"/>
        </w:rPr>
        <w:t>Bisfenol-A</w:t>
      </w:r>
      <w:proofErr w:type="spellEnd"/>
      <w:r w:rsidRPr="00AA7DF5">
        <w:rPr>
          <w:szCs w:val="24"/>
          <w:lang w:eastAsia="en-US"/>
        </w:rPr>
        <w:t xml:space="preserve"> nos peixes não é adequada. Para a substância n.º 37 (Dioxinas e compostos semelhantes a dioxinas), a NQA para o biota refere-se aos peixes, crustáceos e moluscos, em conformidade com o anexo, secção 5.3, do Regulamento (UE) n.º 1259/2011 da Comissão*.</w:t>
      </w:r>
    </w:p>
    <w:p w14:paraId="256A239E"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(7)</w:t>
      </w:r>
      <w:r w:rsidRPr="00AA7DF5">
        <w:rPr>
          <w:szCs w:val="24"/>
          <w:lang w:eastAsia="en-US"/>
        </w:rPr>
        <w:tab/>
        <w:t xml:space="preserve">No caso do grupo de substâncias prioritárias «éteres </w:t>
      </w:r>
      <w:proofErr w:type="spellStart"/>
      <w:r w:rsidRPr="00AA7DF5">
        <w:rPr>
          <w:szCs w:val="24"/>
          <w:lang w:eastAsia="en-US"/>
        </w:rPr>
        <w:t>difenílicos</w:t>
      </w:r>
      <w:proofErr w:type="spellEnd"/>
      <w:r w:rsidRPr="00AA7DF5">
        <w:rPr>
          <w:szCs w:val="24"/>
          <w:lang w:eastAsia="en-US"/>
        </w:rPr>
        <w:t xml:space="preserve"> bromados» (</w:t>
      </w:r>
      <w:proofErr w:type="spellStart"/>
      <w:r w:rsidRPr="00AA7DF5">
        <w:rPr>
          <w:szCs w:val="24"/>
          <w:lang w:eastAsia="en-US"/>
        </w:rPr>
        <w:t>n.</w:t>
      </w:r>
      <w:r w:rsidRPr="00AA7DF5">
        <w:rPr>
          <w:szCs w:val="24"/>
          <w:vertAlign w:val="superscript"/>
          <w:lang w:eastAsia="en-US"/>
        </w:rPr>
        <w:t>o</w:t>
      </w:r>
      <w:proofErr w:type="spellEnd"/>
      <w:r w:rsidRPr="00AA7DF5">
        <w:rPr>
          <w:szCs w:val="24"/>
          <w:lang w:eastAsia="en-US"/>
        </w:rPr>
        <w:t xml:space="preserve"> 5), a NQA refere-se à soma das concentrações dos congéneres </w:t>
      </w:r>
      <w:proofErr w:type="spellStart"/>
      <w:r w:rsidRPr="00AA7DF5">
        <w:rPr>
          <w:szCs w:val="24"/>
          <w:lang w:eastAsia="en-US"/>
        </w:rPr>
        <w:t>n.</w:t>
      </w:r>
      <w:r w:rsidRPr="00AA7DF5">
        <w:rPr>
          <w:szCs w:val="24"/>
          <w:vertAlign w:val="superscript"/>
          <w:lang w:eastAsia="en-US"/>
        </w:rPr>
        <w:t>os</w:t>
      </w:r>
      <w:proofErr w:type="spellEnd"/>
      <w:r w:rsidRPr="00AA7DF5">
        <w:rPr>
          <w:szCs w:val="24"/>
          <w:lang w:eastAsia="en-US"/>
        </w:rPr>
        <w:t xml:space="preserve"> 28, 47, 99, 100, 153 e 154.</w:t>
      </w:r>
    </w:p>
    <w:p w14:paraId="784D1B37" w14:textId="77777777" w:rsidR="006E1EC0" w:rsidRPr="00AA7DF5" w:rsidRDefault="006E1EC0">
      <w:pPr>
        <w:widowControl/>
        <w:rPr>
          <w:szCs w:val="24"/>
          <w:vertAlign w:val="superscript"/>
          <w:lang w:eastAsia="en-US"/>
        </w:rPr>
      </w:pPr>
      <w:r w:rsidRPr="00AA7DF5">
        <w:rPr>
          <w:szCs w:val="24"/>
          <w:vertAlign w:val="superscript"/>
          <w:lang w:eastAsia="en-US"/>
        </w:rPr>
        <w:br w:type="page"/>
      </w:r>
    </w:p>
    <w:p w14:paraId="73E52E0D" w14:textId="0DBF20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(8)</w:t>
      </w:r>
      <w:r w:rsidRPr="00AA7DF5">
        <w:rPr>
          <w:szCs w:val="24"/>
          <w:lang w:eastAsia="en-US"/>
        </w:rPr>
        <w:tab/>
        <w:t xml:space="preserve">Éteres tetra, penta, </w:t>
      </w:r>
      <w:proofErr w:type="spellStart"/>
      <w:r w:rsidRPr="00AA7DF5">
        <w:rPr>
          <w:szCs w:val="24"/>
          <w:lang w:eastAsia="en-US"/>
        </w:rPr>
        <w:t>hexa</w:t>
      </w:r>
      <w:proofErr w:type="spellEnd"/>
      <w:r w:rsidRPr="00AA7DF5">
        <w:rPr>
          <w:szCs w:val="24"/>
          <w:lang w:eastAsia="en-US"/>
        </w:rPr>
        <w:t xml:space="preserve">, </w:t>
      </w:r>
      <w:proofErr w:type="spellStart"/>
      <w:r w:rsidRPr="00AA7DF5">
        <w:rPr>
          <w:szCs w:val="24"/>
          <w:lang w:eastAsia="en-US"/>
        </w:rPr>
        <w:t>hepta</w:t>
      </w:r>
      <w:proofErr w:type="spellEnd"/>
      <w:r w:rsidRPr="00AA7DF5">
        <w:rPr>
          <w:szCs w:val="24"/>
          <w:lang w:eastAsia="en-US"/>
        </w:rPr>
        <w:t xml:space="preserve">, </w:t>
      </w:r>
      <w:proofErr w:type="spellStart"/>
      <w:r w:rsidRPr="00AA7DF5">
        <w:rPr>
          <w:szCs w:val="24"/>
          <w:lang w:eastAsia="en-US"/>
        </w:rPr>
        <w:t>octa</w:t>
      </w:r>
      <w:proofErr w:type="spellEnd"/>
      <w:r w:rsidRPr="00AA7DF5">
        <w:rPr>
          <w:szCs w:val="24"/>
          <w:lang w:eastAsia="en-US"/>
        </w:rPr>
        <w:t xml:space="preserve"> e </w:t>
      </w:r>
      <w:proofErr w:type="spellStart"/>
      <w:r w:rsidRPr="00AA7DF5">
        <w:rPr>
          <w:szCs w:val="24"/>
          <w:lang w:eastAsia="en-US"/>
        </w:rPr>
        <w:t>decabromodifenílicos</w:t>
      </w:r>
      <w:proofErr w:type="spellEnd"/>
      <w:r w:rsidRPr="00AA7DF5">
        <w:rPr>
          <w:szCs w:val="24"/>
          <w:lang w:eastAsia="en-US"/>
        </w:rPr>
        <w:t xml:space="preserve"> (</w:t>
      </w:r>
      <w:proofErr w:type="spellStart"/>
      <w:r w:rsidRPr="00AA7DF5">
        <w:rPr>
          <w:szCs w:val="24"/>
          <w:lang w:eastAsia="en-US"/>
        </w:rPr>
        <w:t>n.</w:t>
      </w:r>
      <w:r w:rsidRPr="00AA7DF5">
        <w:rPr>
          <w:szCs w:val="24"/>
          <w:vertAlign w:val="superscript"/>
          <w:lang w:eastAsia="en-US"/>
        </w:rPr>
        <w:t>os</w:t>
      </w:r>
      <w:r w:rsidRPr="00AA7DF5">
        <w:rPr>
          <w:szCs w:val="24"/>
          <w:lang w:eastAsia="en-US"/>
        </w:rPr>
        <w:t>CAS</w:t>
      </w:r>
      <w:proofErr w:type="spellEnd"/>
      <w:r w:rsidRPr="00AA7DF5">
        <w:rPr>
          <w:szCs w:val="24"/>
          <w:lang w:eastAsia="en-US"/>
        </w:rPr>
        <w:t xml:space="preserve"> 40088-47-9, 32534-81-9, 36483-60-0, 68928-80-3, 32536-52-0, 1163-19-5, respetivamente).</w:t>
      </w:r>
    </w:p>
    <w:p w14:paraId="3A2497C4"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(9)</w:t>
      </w:r>
      <w:r w:rsidRPr="00AA7DF5">
        <w:rPr>
          <w:szCs w:val="24"/>
          <w:lang w:eastAsia="en-US"/>
        </w:rPr>
        <w:tab/>
        <w:t>No caso do cádmio e seus compostos (n.º 6), os valores NQA variam em função de cinco classes de dureza da água (Classe 1: &lt;40 mg CaCO3/l, Classe 2: 40 a &lt;50 mg CaCO3/l, Classe 3: 50 a &lt;100 mg CaCO3/l, Classe 4: 100 a &lt;200 mg CaCO3/l e Classe 5: ≥200 mg CaCO3/l).</w:t>
      </w:r>
    </w:p>
    <w:p w14:paraId="28DF1B89"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(10)</w:t>
      </w:r>
      <w:r w:rsidRPr="00AA7DF5">
        <w:rPr>
          <w:szCs w:val="24"/>
          <w:lang w:eastAsia="en-US"/>
        </w:rPr>
        <w:tab/>
        <w:t>Não está previsto nenhum parâmetro indicativo para este grupo de substâncias. O(s) parâmetro(s) indicativo(s) deve(m) ser definido(s) com base no método analítico.</w:t>
      </w:r>
    </w:p>
    <w:p w14:paraId="12302EBD"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(11)</w:t>
      </w:r>
      <w:r w:rsidRPr="00AA7DF5">
        <w:rPr>
          <w:szCs w:val="24"/>
          <w:lang w:eastAsia="en-US"/>
        </w:rPr>
        <w:tab/>
        <w:t>O «DDT total» inclui a soma dos isómeros 1,1,1-tricloro-2,2-bis(p-</w:t>
      </w:r>
      <w:proofErr w:type="spellStart"/>
      <w:r w:rsidRPr="00AA7DF5">
        <w:rPr>
          <w:szCs w:val="24"/>
          <w:lang w:eastAsia="en-US"/>
        </w:rPr>
        <w:t>clorofenil</w:t>
      </w:r>
      <w:proofErr w:type="spellEnd"/>
      <w:r w:rsidRPr="00AA7DF5">
        <w:rPr>
          <w:szCs w:val="24"/>
          <w:lang w:eastAsia="en-US"/>
        </w:rPr>
        <w:t>)etano (n.º CAS 50-29-3, n.º UE 200-024-3); 1,1,1-tricloro2-(o-</w:t>
      </w:r>
      <w:proofErr w:type="spellStart"/>
      <w:r w:rsidRPr="00AA7DF5">
        <w:rPr>
          <w:szCs w:val="24"/>
          <w:lang w:eastAsia="en-US"/>
        </w:rPr>
        <w:t>clorofenil</w:t>
      </w:r>
      <w:proofErr w:type="spellEnd"/>
      <w:r w:rsidRPr="00AA7DF5">
        <w:rPr>
          <w:szCs w:val="24"/>
          <w:lang w:eastAsia="en-US"/>
        </w:rPr>
        <w:t>)-2-(p-</w:t>
      </w:r>
      <w:proofErr w:type="spellStart"/>
      <w:r w:rsidRPr="00AA7DF5">
        <w:rPr>
          <w:szCs w:val="24"/>
          <w:lang w:eastAsia="en-US"/>
        </w:rPr>
        <w:t>clorofenil</w:t>
      </w:r>
      <w:proofErr w:type="spellEnd"/>
      <w:r w:rsidRPr="00AA7DF5">
        <w:rPr>
          <w:szCs w:val="24"/>
          <w:lang w:eastAsia="en-US"/>
        </w:rPr>
        <w:t>)etano (n.º CAS 789-02-6, n.º UE-212-332-5); 1,1-dicloro-2,2-bis-(p-</w:t>
      </w:r>
      <w:proofErr w:type="spellStart"/>
      <w:r w:rsidRPr="00AA7DF5">
        <w:rPr>
          <w:szCs w:val="24"/>
          <w:lang w:eastAsia="en-US"/>
        </w:rPr>
        <w:t>clorofenil</w:t>
      </w:r>
      <w:proofErr w:type="spellEnd"/>
      <w:r w:rsidRPr="00AA7DF5">
        <w:rPr>
          <w:szCs w:val="24"/>
          <w:lang w:eastAsia="en-US"/>
        </w:rPr>
        <w:t>)etileno (n.º CAS 72-55-9, n.º UE 200-784-6); e 1,1-dicloro-2,2-bis-(p-</w:t>
      </w:r>
      <w:proofErr w:type="spellStart"/>
      <w:r w:rsidRPr="00AA7DF5">
        <w:rPr>
          <w:szCs w:val="24"/>
          <w:lang w:eastAsia="en-US"/>
        </w:rPr>
        <w:t>clorofenil</w:t>
      </w:r>
      <w:proofErr w:type="spellEnd"/>
      <w:r w:rsidRPr="00AA7DF5">
        <w:rPr>
          <w:szCs w:val="24"/>
          <w:lang w:eastAsia="en-US"/>
        </w:rPr>
        <w:t>)etano (n.º CAS 72-54-8, n.º UE 200-783-0).</w:t>
      </w:r>
    </w:p>
    <w:p w14:paraId="5D7DC593"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(12)</w:t>
      </w:r>
      <w:r w:rsidRPr="00AA7DF5">
        <w:rPr>
          <w:szCs w:val="24"/>
          <w:lang w:eastAsia="en-US"/>
        </w:rPr>
        <w:tab/>
        <w:t xml:space="preserve">Estas NQA referem-se às concentrações </w:t>
      </w:r>
      <w:proofErr w:type="spellStart"/>
      <w:r w:rsidRPr="00AA7DF5">
        <w:rPr>
          <w:szCs w:val="24"/>
          <w:lang w:eastAsia="en-US"/>
        </w:rPr>
        <w:t>biodisponíveis</w:t>
      </w:r>
      <w:proofErr w:type="spellEnd"/>
      <w:r w:rsidRPr="00AA7DF5">
        <w:rPr>
          <w:szCs w:val="24"/>
          <w:lang w:eastAsia="en-US"/>
        </w:rPr>
        <w:t xml:space="preserve"> das substâncias.</w:t>
      </w:r>
    </w:p>
    <w:p w14:paraId="1FFFAFD2" w14:textId="77777777" w:rsidR="006E1EC0" w:rsidRPr="00AA7DF5" w:rsidRDefault="006E1EC0">
      <w:pPr>
        <w:widowControl/>
        <w:rPr>
          <w:szCs w:val="24"/>
          <w:vertAlign w:val="superscript"/>
          <w:lang w:eastAsia="en-US"/>
        </w:rPr>
      </w:pPr>
      <w:r w:rsidRPr="00AA7DF5">
        <w:rPr>
          <w:szCs w:val="24"/>
          <w:vertAlign w:val="superscript"/>
          <w:lang w:eastAsia="en-US"/>
        </w:rPr>
        <w:br w:type="page"/>
      </w:r>
    </w:p>
    <w:p w14:paraId="3D118C18" w14:textId="411A10B4"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(13)</w:t>
      </w:r>
      <w:r w:rsidRPr="00AA7DF5">
        <w:rPr>
          <w:szCs w:val="24"/>
          <w:lang w:eastAsia="en-US"/>
        </w:rPr>
        <w:tab/>
        <w:t xml:space="preserve">As NQA para o biota referem-se ao </w:t>
      </w:r>
      <w:proofErr w:type="spellStart"/>
      <w:r w:rsidRPr="00AA7DF5">
        <w:rPr>
          <w:szCs w:val="24"/>
          <w:lang w:eastAsia="en-US"/>
        </w:rPr>
        <w:t>metilmercúrio</w:t>
      </w:r>
      <w:proofErr w:type="spellEnd"/>
      <w:r w:rsidRPr="00AA7DF5">
        <w:rPr>
          <w:szCs w:val="24"/>
          <w:lang w:eastAsia="en-US"/>
        </w:rPr>
        <w:t>.</w:t>
      </w:r>
    </w:p>
    <w:p w14:paraId="65383993"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(14)</w:t>
      </w:r>
      <w:r w:rsidRPr="00AA7DF5">
        <w:rPr>
          <w:szCs w:val="24"/>
          <w:lang w:eastAsia="en-US"/>
        </w:rPr>
        <w:tab/>
      </w:r>
      <w:proofErr w:type="spellStart"/>
      <w:r w:rsidRPr="00AA7DF5">
        <w:rPr>
          <w:szCs w:val="24"/>
          <w:lang w:eastAsia="en-US"/>
        </w:rPr>
        <w:t>Nonilfenol</w:t>
      </w:r>
      <w:proofErr w:type="spellEnd"/>
      <w:r w:rsidRPr="00AA7DF5">
        <w:rPr>
          <w:szCs w:val="24"/>
          <w:lang w:eastAsia="en-US"/>
        </w:rPr>
        <w:t xml:space="preserve"> (n.º CAS 25154-52-3, n.º UE 246-672-0), incluindo os isómeros 4-nonilfenol (n.º CAS 104-40-5, n.º UE 203-199-4) e 4-nonilfenol ramificado (n.º CAS 84852-15-3, n.º UE 284-325-5).</w:t>
      </w:r>
    </w:p>
    <w:p w14:paraId="3905B9D5"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(15)</w:t>
      </w:r>
      <w:r w:rsidRPr="00AA7DF5">
        <w:rPr>
          <w:szCs w:val="24"/>
          <w:lang w:eastAsia="en-US"/>
        </w:rPr>
        <w:tab/>
      </w:r>
      <w:proofErr w:type="spellStart"/>
      <w:r w:rsidRPr="00AA7DF5">
        <w:rPr>
          <w:szCs w:val="24"/>
          <w:lang w:eastAsia="en-US"/>
        </w:rPr>
        <w:t>Octilfenol</w:t>
      </w:r>
      <w:proofErr w:type="spellEnd"/>
      <w:r w:rsidRPr="00AA7DF5">
        <w:rPr>
          <w:szCs w:val="24"/>
          <w:lang w:eastAsia="en-US"/>
        </w:rPr>
        <w:t xml:space="preserve"> (n.º CAS 1806-26-4, n.º UE 217-302-5), incluindo o isómero 4-(1,1’,3,3’-tetrametilbutil)fenol (n.º CAS 140-66-9, n.º UE 205-426-2).</w:t>
      </w:r>
    </w:p>
    <w:p w14:paraId="2BB6FCC4"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(16)</w:t>
      </w:r>
      <w:r w:rsidRPr="00AA7DF5">
        <w:rPr>
          <w:szCs w:val="24"/>
          <w:lang w:eastAsia="en-US"/>
        </w:rPr>
        <w:tab/>
        <w:t>Benzo(a)pireno (n.º CAS 50-32-8) (RPF 1), benzo(b)</w:t>
      </w:r>
      <w:proofErr w:type="spellStart"/>
      <w:r w:rsidRPr="00AA7DF5">
        <w:rPr>
          <w:szCs w:val="24"/>
          <w:lang w:eastAsia="en-US"/>
        </w:rPr>
        <w:t>fluoranteno</w:t>
      </w:r>
      <w:proofErr w:type="spellEnd"/>
      <w:r w:rsidRPr="00AA7DF5">
        <w:rPr>
          <w:szCs w:val="24"/>
          <w:lang w:eastAsia="en-US"/>
        </w:rPr>
        <w:t xml:space="preserve"> (n.º CAS 205-99-2) (RPF 0.1), benzo(</w:t>
      </w:r>
      <w:proofErr w:type="spellStart"/>
      <w:r w:rsidRPr="00AA7DF5">
        <w:rPr>
          <w:szCs w:val="24"/>
          <w:lang w:eastAsia="en-US"/>
        </w:rPr>
        <w:t>g,h,i</w:t>
      </w:r>
      <w:proofErr w:type="spellEnd"/>
      <w:r w:rsidRPr="00AA7DF5">
        <w:rPr>
          <w:szCs w:val="24"/>
          <w:lang w:eastAsia="en-US"/>
        </w:rPr>
        <w:t>)</w:t>
      </w:r>
      <w:proofErr w:type="spellStart"/>
      <w:r w:rsidRPr="00AA7DF5">
        <w:rPr>
          <w:szCs w:val="24"/>
          <w:lang w:eastAsia="en-US"/>
        </w:rPr>
        <w:t>perileno</w:t>
      </w:r>
      <w:proofErr w:type="spellEnd"/>
      <w:r w:rsidRPr="00AA7DF5">
        <w:rPr>
          <w:szCs w:val="24"/>
          <w:lang w:eastAsia="en-US"/>
        </w:rPr>
        <w:t xml:space="preserve"> (n.º CAS 207-08-2) (RPF 0), </w:t>
      </w:r>
      <w:proofErr w:type="spellStart"/>
      <w:r w:rsidRPr="00AA7DF5">
        <w:rPr>
          <w:szCs w:val="24"/>
          <w:lang w:eastAsia="en-US"/>
        </w:rPr>
        <w:t>indeno</w:t>
      </w:r>
      <w:proofErr w:type="spellEnd"/>
      <w:r w:rsidRPr="00AA7DF5">
        <w:rPr>
          <w:szCs w:val="24"/>
          <w:lang w:eastAsia="en-US"/>
        </w:rPr>
        <w:t xml:space="preserve">(1,2,3-cd)pireno (n.º CAS 193-39-5) (RPF 1), </w:t>
      </w:r>
      <w:proofErr w:type="spellStart"/>
      <w:r w:rsidRPr="00AA7DF5">
        <w:rPr>
          <w:szCs w:val="24"/>
          <w:lang w:eastAsia="en-US"/>
        </w:rPr>
        <w:t>criseno</w:t>
      </w:r>
      <w:proofErr w:type="spellEnd"/>
      <w:r w:rsidRPr="00AA7DF5">
        <w:rPr>
          <w:szCs w:val="24"/>
          <w:lang w:eastAsia="en-US"/>
        </w:rPr>
        <w:t xml:space="preserve"> (n.º CAS 218-01-9) (RPF 0,01), benzo(a)antraceno (n.º CAS 56-55-3) (RPF 0,1) e </w:t>
      </w:r>
      <w:proofErr w:type="spellStart"/>
      <w:r w:rsidRPr="00AA7DF5">
        <w:rPr>
          <w:szCs w:val="24"/>
          <w:lang w:eastAsia="en-US"/>
        </w:rPr>
        <w:t>dibenzo</w:t>
      </w:r>
      <w:proofErr w:type="spellEnd"/>
      <w:r w:rsidRPr="00AA7DF5">
        <w:rPr>
          <w:szCs w:val="24"/>
          <w:lang w:eastAsia="en-US"/>
        </w:rPr>
        <w:t>(</w:t>
      </w:r>
      <w:proofErr w:type="spellStart"/>
      <w:r w:rsidRPr="00AA7DF5">
        <w:rPr>
          <w:szCs w:val="24"/>
          <w:lang w:eastAsia="en-US"/>
        </w:rPr>
        <w:t>a,h</w:t>
      </w:r>
      <w:proofErr w:type="spellEnd"/>
      <w:r w:rsidRPr="00AA7DF5">
        <w:rPr>
          <w:szCs w:val="24"/>
          <w:lang w:eastAsia="en-US"/>
        </w:rPr>
        <w:t xml:space="preserve">)antraceno (n.º CAS 53-70-3) (RPF 1). Os HAP antraceno, </w:t>
      </w:r>
      <w:proofErr w:type="spellStart"/>
      <w:r w:rsidRPr="00AA7DF5">
        <w:rPr>
          <w:szCs w:val="24"/>
          <w:lang w:eastAsia="en-US"/>
        </w:rPr>
        <w:t>fluoranteno</w:t>
      </w:r>
      <w:proofErr w:type="spellEnd"/>
      <w:r w:rsidRPr="00AA7DF5">
        <w:rPr>
          <w:szCs w:val="24"/>
          <w:lang w:eastAsia="en-US"/>
        </w:rPr>
        <w:t xml:space="preserve"> e naftaleno são enumerados em separado.</w:t>
      </w:r>
    </w:p>
    <w:p w14:paraId="7F48C2D3" w14:textId="77777777" w:rsidR="006E1EC0" w:rsidRPr="00AA7DF5" w:rsidRDefault="006E1EC0">
      <w:pPr>
        <w:widowControl/>
        <w:rPr>
          <w:szCs w:val="24"/>
          <w:vertAlign w:val="superscript"/>
          <w:lang w:eastAsia="en-US"/>
        </w:rPr>
      </w:pPr>
      <w:r w:rsidRPr="00AA7DF5">
        <w:rPr>
          <w:szCs w:val="24"/>
          <w:vertAlign w:val="superscript"/>
          <w:lang w:eastAsia="en-US"/>
        </w:rPr>
        <w:br w:type="page"/>
      </w:r>
    </w:p>
    <w:p w14:paraId="260BC39F" w14:textId="2F08CA61"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(17)</w:t>
      </w:r>
      <w:r w:rsidRPr="00AA7DF5">
        <w:rPr>
          <w:szCs w:val="24"/>
          <w:lang w:eastAsia="en-US"/>
        </w:rPr>
        <w:tab/>
        <w:t xml:space="preserve">Para o grupo dos hidrocarbonetos aromáticos policíclicos (HAP) (n.º 28), a NQA para o biota refere-se à soma das concentrações de sete dos oito HAP enumerados na nota 6, expressas em equivalentes de benzo(a)pireno com base na potência carcinogénica das substâncias relativamente às do benzo(a)pireno, ou seja, as RPF constantes da nota 16. Não é necessário medir o benzo(g, </w:t>
      </w:r>
      <w:proofErr w:type="spellStart"/>
      <w:r w:rsidRPr="00AA7DF5">
        <w:rPr>
          <w:szCs w:val="24"/>
          <w:lang w:eastAsia="en-US"/>
        </w:rPr>
        <w:t>h,i</w:t>
      </w:r>
      <w:proofErr w:type="spellEnd"/>
      <w:r w:rsidRPr="00AA7DF5">
        <w:rPr>
          <w:szCs w:val="24"/>
          <w:lang w:eastAsia="en-US"/>
        </w:rPr>
        <w:t>)</w:t>
      </w:r>
      <w:proofErr w:type="spellStart"/>
      <w:r w:rsidRPr="00AA7DF5">
        <w:rPr>
          <w:szCs w:val="24"/>
          <w:lang w:eastAsia="en-US"/>
        </w:rPr>
        <w:t>perileno</w:t>
      </w:r>
      <w:proofErr w:type="spellEnd"/>
      <w:r w:rsidRPr="00AA7DF5">
        <w:rPr>
          <w:szCs w:val="24"/>
          <w:lang w:eastAsia="en-US"/>
        </w:rPr>
        <w:t xml:space="preserve"> no biota para efeitos de determinação da conformidade com a NQA global do biota.</w:t>
      </w:r>
    </w:p>
    <w:p w14:paraId="2C5C6B20"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(18)</w:t>
      </w:r>
      <w:r w:rsidRPr="00AA7DF5">
        <w:rPr>
          <w:szCs w:val="24"/>
          <w:lang w:eastAsia="en-US"/>
        </w:rPr>
        <w:tab/>
        <w:t xml:space="preserve">Compostos de </w:t>
      </w:r>
      <w:proofErr w:type="spellStart"/>
      <w:r w:rsidRPr="00AA7DF5">
        <w:rPr>
          <w:szCs w:val="24"/>
          <w:lang w:eastAsia="en-US"/>
        </w:rPr>
        <w:t>tributilestanho</w:t>
      </w:r>
      <w:proofErr w:type="spellEnd"/>
      <w:r w:rsidRPr="00AA7DF5">
        <w:rPr>
          <w:szCs w:val="24"/>
          <w:lang w:eastAsia="en-US"/>
        </w:rPr>
        <w:t xml:space="preserve">, incluindo o catião </w:t>
      </w:r>
      <w:proofErr w:type="spellStart"/>
      <w:r w:rsidRPr="00AA7DF5">
        <w:rPr>
          <w:szCs w:val="24"/>
          <w:lang w:eastAsia="en-US"/>
        </w:rPr>
        <w:t>tributilestanho</w:t>
      </w:r>
      <w:proofErr w:type="spellEnd"/>
      <w:r w:rsidRPr="00AA7DF5">
        <w:rPr>
          <w:szCs w:val="24"/>
          <w:lang w:eastAsia="en-US"/>
        </w:rPr>
        <w:t xml:space="preserve"> (n.º CAS 36643-28-4).</w:t>
      </w:r>
    </w:p>
    <w:p w14:paraId="70868596"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(19)</w:t>
      </w:r>
      <w:r w:rsidRPr="00AA7DF5">
        <w:rPr>
          <w:szCs w:val="24"/>
          <w:lang w:eastAsia="en-US"/>
        </w:rPr>
        <w:tab/>
        <w:t>NQA para sedimentos</w:t>
      </w:r>
    </w:p>
    <w:p w14:paraId="73BFB8F6"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(20)</w:t>
      </w:r>
      <w:r w:rsidRPr="00AA7DF5">
        <w:rPr>
          <w:szCs w:val="24"/>
          <w:lang w:eastAsia="en-US"/>
        </w:rPr>
        <w:tab/>
        <w:t>Não existem dados suficientes para estabelecer normas NQA-CMA para estas substâncias.</w:t>
      </w:r>
    </w:p>
    <w:p w14:paraId="1D279DBF"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(21)</w:t>
      </w:r>
      <w:r w:rsidRPr="00AA7DF5">
        <w:rPr>
          <w:szCs w:val="24"/>
          <w:lang w:eastAsia="en-US"/>
        </w:rPr>
        <w:tab/>
        <w:t>Refere-se aos seguintes compostos:</w:t>
      </w:r>
    </w:p>
    <w:p w14:paraId="13DB5CEA" w14:textId="77777777" w:rsidR="002E0FC5" w:rsidRPr="00AA7DF5" w:rsidRDefault="002E0FC5" w:rsidP="002E0FC5">
      <w:pPr>
        <w:spacing w:before="120" w:after="120" w:line="360" w:lineRule="auto"/>
        <w:ind w:left="1416"/>
        <w:rPr>
          <w:szCs w:val="24"/>
          <w:lang w:eastAsia="en-US"/>
        </w:rPr>
      </w:pPr>
      <w:r w:rsidRPr="00AA7DF5">
        <w:rPr>
          <w:szCs w:val="24"/>
          <w:lang w:eastAsia="en-US"/>
        </w:rPr>
        <w:tab/>
        <w:t xml:space="preserve">Sete </w:t>
      </w:r>
      <w:proofErr w:type="spellStart"/>
      <w:r w:rsidRPr="00AA7DF5">
        <w:rPr>
          <w:szCs w:val="24"/>
          <w:lang w:eastAsia="en-US"/>
        </w:rPr>
        <w:t>dibenzeno</w:t>
      </w:r>
      <w:proofErr w:type="spellEnd"/>
      <w:r w:rsidRPr="00AA7DF5">
        <w:rPr>
          <w:szCs w:val="24"/>
          <w:lang w:eastAsia="en-US"/>
        </w:rPr>
        <w:t xml:space="preserve">-p-dioxinas </w:t>
      </w:r>
      <w:proofErr w:type="spellStart"/>
      <w:r w:rsidRPr="00AA7DF5">
        <w:rPr>
          <w:szCs w:val="24"/>
          <w:lang w:eastAsia="en-US"/>
        </w:rPr>
        <w:t>policloradas</w:t>
      </w:r>
      <w:proofErr w:type="spellEnd"/>
      <w:r w:rsidRPr="00AA7DF5">
        <w:rPr>
          <w:szCs w:val="24"/>
          <w:lang w:eastAsia="en-US"/>
        </w:rPr>
        <w:t xml:space="preserve"> (PCDD): 2,3,7,8-T4CDD (n.º CAS 1746-01-6), 1,2,3,7,8-P5CDD (n.º CAS 40321-76-4), 1,2,3,4,7,8-H6CDD (n.º CAS 39227-28-6), 1,2,3,6,7,8-H6CDD (n.º CAS 57653-85-7), 1,2,3,7,8,9-H6CDD (n.º CAS 19408-74-3), 1,2,3,4,6,7,8-H7CDD (n.º CAS 35822-46-9) e 1,2,3,4,6,7,8,9-O8CDD (n.º CAS 3268-87-9).</w:t>
      </w:r>
    </w:p>
    <w:p w14:paraId="0122A4DC" w14:textId="77777777" w:rsidR="006E1EC0" w:rsidRPr="00AA7DF5" w:rsidRDefault="006E1EC0">
      <w:pPr>
        <w:widowControl/>
        <w:rPr>
          <w:szCs w:val="24"/>
          <w:lang w:eastAsia="en-US"/>
        </w:rPr>
      </w:pPr>
      <w:r w:rsidRPr="00AA7DF5">
        <w:rPr>
          <w:szCs w:val="24"/>
          <w:lang w:eastAsia="en-US"/>
        </w:rPr>
        <w:br w:type="page"/>
      </w:r>
    </w:p>
    <w:p w14:paraId="61883D25" w14:textId="256725D2" w:rsidR="002E0FC5" w:rsidRPr="00AA7DF5" w:rsidRDefault="002E0FC5" w:rsidP="002E0FC5">
      <w:pPr>
        <w:spacing w:before="120" w:after="120" w:line="360" w:lineRule="auto"/>
        <w:ind w:left="1416"/>
        <w:rPr>
          <w:szCs w:val="24"/>
          <w:lang w:eastAsia="en-US"/>
        </w:rPr>
      </w:pPr>
      <w:r w:rsidRPr="00AA7DF5">
        <w:rPr>
          <w:szCs w:val="24"/>
          <w:lang w:eastAsia="en-US"/>
        </w:rPr>
        <w:lastRenderedPageBreak/>
        <w:tab/>
        <w:t xml:space="preserve">Dez </w:t>
      </w:r>
      <w:proofErr w:type="spellStart"/>
      <w:r w:rsidRPr="00AA7DF5">
        <w:rPr>
          <w:szCs w:val="24"/>
          <w:lang w:eastAsia="en-US"/>
        </w:rPr>
        <w:t>dibenzofuranos</w:t>
      </w:r>
      <w:proofErr w:type="spellEnd"/>
      <w:r w:rsidRPr="00AA7DF5">
        <w:rPr>
          <w:szCs w:val="24"/>
          <w:lang w:eastAsia="en-US"/>
        </w:rPr>
        <w:t xml:space="preserve"> </w:t>
      </w:r>
      <w:proofErr w:type="spellStart"/>
      <w:r w:rsidRPr="00AA7DF5">
        <w:rPr>
          <w:szCs w:val="24"/>
          <w:lang w:eastAsia="en-US"/>
        </w:rPr>
        <w:t>policlorados</w:t>
      </w:r>
      <w:proofErr w:type="spellEnd"/>
      <w:r w:rsidRPr="00AA7DF5">
        <w:rPr>
          <w:szCs w:val="24"/>
          <w:lang w:eastAsia="en-US"/>
        </w:rPr>
        <w:t xml:space="preserve"> (PCDF): 2,3,7,8-T4CDF (n.º CAS 51207-31-9), 1,2,3,7,8-P5CDF (n.º CAS 57117-41-6), 2,3,4,7,8-P5CDF (n.º CAS 57117-31-4), 1,2,3,4,7,8-H6CDF (n.º CAS 70648-26-9), 1,2,3,6,7,8-H6CDF (n.º CAS 57117-44-9), 1,2,3,7,8,9-H6CDF (n.º CAS 72918-21-9), 2,3,4,6,7,8-H6CDF (n.º CAS 60851-34-5), 1,2,3,4,6,7,8-H7CDF (n.º CAS 67562-39-4), 1,2,3,4,7,8,9-H7CDF (n.º CAS 55673-89-7) e 1,2,3,4,6,7,8,9-O8CDF (n.º CAS 39001-02-0).</w:t>
      </w:r>
    </w:p>
    <w:p w14:paraId="429EA0DD" w14:textId="77777777" w:rsidR="002E0FC5" w:rsidRPr="00AA7DF5" w:rsidRDefault="002E0FC5" w:rsidP="002E0FC5">
      <w:pPr>
        <w:spacing w:before="120" w:after="120" w:line="360" w:lineRule="auto"/>
        <w:ind w:left="1416"/>
        <w:rPr>
          <w:szCs w:val="24"/>
          <w:lang w:eastAsia="en-US"/>
        </w:rPr>
      </w:pPr>
      <w:r w:rsidRPr="00AA7DF5">
        <w:rPr>
          <w:szCs w:val="24"/>
          <w:lang w:eastAsia="en-US"/>
        </w:rPr>
        <w:tab/>
        <w:t xml:space="preserve">Doze </w:t>
      </w:r>
      <w:proofErr w:type="spellStart"/>
      <w:r w:rsidRPr="00AA7DF5">
        <w:rPr>
          <w:szCs w:val="24"/>
          <w:lang w:eastAsia="en-US"/>
        </w:rPr>
        <w:t>bifenilos</w:t>
      </w:r>
      <w:proofErr w:type="spellEnd"/>
      <w:r w:rsidRPr="00AA7DF5">
        <w:rPr>
          <w:szCs w:val="24"/>
          <w:lang w:eastAsia="en-US"/>
        </w:rPr>
        <w:t xml:space="preserve"> </w:t>
      </w:r>
      <w:proofErr w:type="spellStart"/>
      <w:r w:rsidRPr="00AA7DF5">
        <w:rPr>
          <w:szCs w:val="24"/>
          <w:lang w:eastAsia="en-US"/>
        </w:rPr>
        <w:t>policlorados</w:t>
      </w:r>
      <w:proofErr w:type="spellEnd"/>
      <w:r w:rsidRPr="00AA7DF5">
        <w:rPr>
          <w:szCs w:val="24"/>
          <w:lang w:eastAsia="en-US"/>
        </w:rPr>
        <w:t xml:space="preserve"> semelhantes a dioxinas (PCB-DL): 3,3’,4,4’-T4CB (PCB 77, n.º CAS 32598-13-3), 3,3’,4’,5-T4CB (PCB 81, n.º CAS 70362-50-4), 2,3,3’,4,4’-P5CB (PCB 105, n.º CAS 32598-14-4), 2,3,4,4’,5-P5CB (PCB 114, n.º CAS 74472-37-0), 2,3’,4,4’,5-P5CB (PCB 118, n.º CAS 31508-00-6), 2,3’,4,4’,5’-P5CB (PCB 123, n.º CAS 65510-44-3), 3,3’,4,4’,5-P5CB (PCB 126, n.º CAS 57465-28-8), 2,3,3’,4,4’,5-H6CB (PCB 156, n.º CAS 38380-08-4), 2,3,3’,4,4’,5’-H6CB (PCB 157, n.º CAS 69782-90-7), 2,3’,4,4’,5,5’-H6CB (PCB 167, n.º CAS 52663-72-6), 3,3’,4,4’,5,5’-H6CB (PCB 169, n.º CAS 32774-16-6), 2,3,3’,4,4’,5,5’-H7CB (PCB 189, n.º CAS 39635-31-9).</w:t>
      </w:r>
    </w:p>
    <w:p w14:paraId="17AF02F6" w14:textId="77777777" w:rsidR="006E1EC0" w:rsidRPr="00AA7DF5" w:rsidRDefault="006E1EC0">
      <w:pPr>
        <w:widowControl/>
        <w:rPr>
          <w:szCs w:val="24"/>
          <w:vertAlign w:val="superscript"/>
          <w:lang w:eastAsia="en-US"/>
        </w:rPr>
      </w:pPr>
      <w:r w:rsidRPr="00AA7DF5">
        <w:rPr>
          <w:szCs w:val="24"/>
          <w:vertAlign w:val="superscript"/>
          <w:lang w:eastAsia="en-US"/>
        </w:rPr>
        <w:br w:type="page"/>
      </w:r>
    </w:p>
    <w:p w14:paraId="5A8E11C1" w14:textId="291B4EE9"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(22)</w:t>
      </w:r>
      <w:r w:rsidRPr="00AA7DF5">
        <w:rPr>
          <w:szCs w:val="24"/>
          <w:lang w:eastAsia="en-US"/>
        </w:rPr>
        <w:tab/>
        <w:t>Para o grupo das dioxinas e dos compostos semelhantes a dioxinas (n.º 37), a NQA para a biota refere-se à soma das concentrações das substâncias enumeradas na nota 20, expressas em equivalentes tóxicos com base nos fatores de equivalência tóxica 2005 da Organização Mundial da Saúde.</w:t>
      </w:r>
    </w:p>
    <w:p w14:paraId="174C004B"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(23)</w:t>
      </w:r>
      <w:r w:rsidRPr="00AA7DF5">
        <w:rPr>
          <w:szCs w:val="24"/>
          <w:lang w:eastAsia="en-US"/>
        </w:rPr>
        <w:tab/>
        <w:t xml:space="preserve">O n.º CAS 52315-07-8 refere-se a uma mistura de isómeros de </w:t>
      </w:r>
      <w:proofErr w:type="spellStart"/>
      <w:r w:rsidRPr="00AA7DF5">
        <w:rPr>
          <w:szCs w:val="24"/>
          <w:lang w:eastAsia="en-US"/>
        </w:rPr>
        <w:t>cipermetrina</w:t>
      </w:r>
      <w:proofErr w:type="spellEnd"/>
      <w:r w:rsidRPr="00AA7DF5">
        <w:rPr>
          <w:szCs w:val="24"/>
          <w:lang w:eastAsia="en-US"/>
        </w:rPr>
        <w:t>, alfa-</w:t>
      </w:r>
      <w:proofErr w:type="spellStart"/>
      <w:r w:rsidRPr="00AA7DF5">
        <w:rPr>
          <w:szCs w:val="24"/>
          <w:lang w:eastAsia="en-US"/>
        </w:rPr>
        <w:t>cipermetrina</w:t>
      </w:r>
      <w:proofErr w:type="spellEnd"/>
      <w:r w:rsidRPr="00AA7DF5">
        <w:rPr>
          <w:szCs w:val="24"/>
          <w:lang w:eastAsia="en-US"/>
        </w:rPr>
        <w:t xml:space="preserve"> (n.º CAS 67375-30-8, N.º UE 257-842-9), beta-</w:t>
      </w:r>
      <w:proofErr w:type="spellStart"/>
      <w:r w:rsidRPr="00AA7DF5">
        <w:rPr>
          <w:szCs w:val="24"/>
          <w:lang w:eastAsia="en-US"/>
        </w:rPr>
        <w:t>cipermetrina</w:t>
      </w:r>
      <w:proofErr w:type="spellEnd"/>
      <w:r w:rsidRPr="00AA7DF5">
        <w:rPr>
          <w:szCs w:val="24"/>
          <w:lang w:eastAsia="en-US"/>
        </w:rPr>
        <w:t xml:space="preserve"> (n.º CAS 65731-84-2, n.º UE 265-898-0), teta-</w:t>
      </w:r>
      <w:proofErr w:type="spellStart"/>
      <w:r w:rsidRPr="00AA7DF5">
        <w:rPr>
          <w:szCs w:val="24"/>
          <w:lang w:eastAsia="en-US"/>
        </w:rPr>
        <w:t>cipermetrina</w:t>
      </w:r>
      <w:proofErr w:type="spellEnd"/>
      <w:r w:rsidRPr="00AA7DF5">
        <w:rPr>
          <w:szCs w:val="24"/>
          <w:lang w:eastAsia="en-US"/>
        </w:rPr>
        <w:t xml:space="preserve"> (n.º CAS 71691-59-1) e zeta-</w:t>
      </w:r>
      <w:proofErr w:type="spellStart"/>
      <w:r w:rsidRPr="00AA7DF5">
        <w:rPr>
          <w:szCs w:val="24"/>
          <w:lang w:eastAsia="en-US"/>
        </w:rPr>
        <w:t>cipermetrina</w:t>
      </w:r>
      <w:proofErr w:type="spellEnd"/>
      <w:r w:rsidRPr="00AA7DF5">
        <w:rPr>
          <w:szCs w:val="24"/>
          <w:lang w:eastAsia="en-US"/>
        </w:rPr>
        <w:t xml:space="preserve"> (n.º CAS 52315-07-8, n.º UE 257-842-9).</w:t>
      </w:r>
    </w:p>
    <w:p w14:paraId="59B3F54B"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(24)</w:t>
      </w:r>
      <w:r w:rsidRPr="00AA7DF5">
        <w:rPr>
          <w:szCs w:val="24"/>
          <w:lang w:eastAsia="en-US"/>
        </w:rPr>
        <w:tab/>
        <w:t>Refere-se ao 1,3,5,7,9,11-hexabromociclododecano (n.º CAS 25637-99-4, n.º UE 247-148-4), 1,2,5,6,9,10-hexabromociclododecano (n.º CAS 3194-55-6, n.º UE 221-695-9), alfa-</w:t>
      </w:r>
      <w:proofErr w:type="spellStart"/>
      <w:r w:rsidRPr="00AA7DF5">
        <w:rPr>
          <w:szCs w:val="24"/>
          <w:lang w:eastAsia="en-US"/>
        </w:rPr>
        <w:t>hexabromociclododecano</w:t>
      </w:r>
      <w:proofErr w:type="spellEnd"/>
      <w:r w:rsidRPr="00AA7DF5">
        <w:rPr>
          <w:szCs w:val="24"/>
          <w:lang w:eastAsia="en-US"/>
        </w:rPr>
        <w:t xml:space="preserve"> (n.º CAS 134237-50-6), beta-</w:t>
      </w:r>
      <w:proofErr w:type="spellStart"/>
      <w:r w:rsidRPr="00AA7DF5">
        <w:rPr>
          <w:szCs w:val="24"/>
          <w:lang w:eastAsia="en-US"/>
        </w:rPr>
        <w:t>hexabromociclododecano</w:t>
      </w:r>
      <w:proofErr w:type="spellEnd"/>
      <w:r w:rsidRPr="00AA7DF5">
        <w:rPr>
          <w:szCs w:val="24"/>
          <w:lang w:eastAsia="en-US"/>
        </w:rPr>
        <w:t xml:space="preserve"> (n.º CAS 134237-51-7) e gama-</w:t>
      </w:r>
      <w:proofErr w:type="spellStart"/>
      <w:r w:rsidRPr="00AA7DF5">
        <w:rPr>
          <w:szCs w:val="24"/>
          <w:lang w:eastAsia="en-US"/>
        </w:rPr>
        <w:t>hexabromociclododecano</w:t>
      </w:r>
      <w:proofErr w:type="spellEnd"/>
      <w:r w:rsidRPr="00AA7DF5">
        <w:rPr>
          <w:szCs w:val="24"/>
          <w:lang w:eastAsia="en-US"/>
        </w:rPr>
        <w:t xml:space="preserve"> (n.º CAS 134237-52-8).</w:t>
      </w:r>
    </w:p>
    <w:p w14:paraId="67D612FD" w14:textId="77777777" w:rsidR="002E0FC5" w:rsidRPr="00AA7DF5" w:rsidRDefault="002E0FC5" w:rsidP="002E0FC5">
      <w:pPr>
        <w:spacing w:before="120" w:after="120" w:line="360" w:lineRule="auto"/>
        <w:ind w:left="1416" w:hanging="566"/>
        <w:rPr>
          <w:szCs w:val="24"/>
          <w:lang w:eastAsia="en-US"/>
        </w:rPr>
      </w:pPr>
      <w:r w:rsidRPr="00AA7DF5">
        <w:rPr>
          <w:strike/>
          <w:szCs w:val="24"/>
          <w:vertAlign w:val="superscript"/>
          <w:lang w:eastAsia="en-US"/>
        </w:rPr>
        <w:t>(25)</w:t>
      </w:r>
      <w:r w:rsidRPr="00AA7DF5">
        <w:rPr>
          <w:szCs w:val="24"/>
          <w:lang w:eastAsia="en-US"/>
        </w:rPr>
        <w:tab/>
      </w:r>
      <w:r w:rsidRPr="00AA7DF5">
        <w:rPr>
          <w:strike/>
          <w:szCs w:val="24"/>
          <w:lang w:eastAsia="en-US"/>
        </w:rPr>
        <w:t>Para a água doce utilizada para captação e preparação de água potável.</w:t>
      </w:r>
    </w:p>
    <w:p w14:paraId="1AA35E76" w14:textId="77777777" w:rsidR="002E0FC5" w:rsidRPr="00AA7DF5" w:rsidRDefault="002E0FC5" w:rsidP="002E0FC5">
      <w:pPr>
        <w:spacing w:before="120" w:after="120" w:line="360" w:lineRule="auto"/>
        <w:ind w:left="1416" w:hanging="566"/>
        <w:rPr>
          <w:szCs w:val="24"/>
          <w:lang w:eastAsia="en-US"/>
        </w:rPr>
      </w:pPr>
      <w:r w:rsidRPr="00AA7DF5">
        <w:rPr>
          <w:strike/>
          <w:szCs w:val="24"/>
          <w:vertAlign w:val="superscript"/>
          <w:lang w:eastAsia="en-US"/>
        </w:rPr>
        <w:t>(26)</w:t>
      </w:r>
      <w:r w:rsidRPr="00AA7DF5">
        <w:rPr>
          <w:szCs w:val="24"/>
          <w:lang w:eastAsia="en-US"/>
        </w:rPr>
        <w:tab/>
      </w:r>
      <w:r w:rsidRPr="00AA7DF5">
        <w:rPr>
          <w:strike/>
          <w:szCs w:val="24"/>
          <w:lang w:eastAsia="en-US"/>
        </w:rPr>
        <w:t>Para a água doce não utilizada para captação e preparação de água potável.</w:t>
      </w:r>
    </w:p>
    <w:p w14:paraId="22BD3EB7" w14:textId="77777777" w:rsidR="006E1EC0" w:rsidRPr="00AA7DF5" w:rsidRDefault="006E1EC0">
      <w:pPr>
        <w:widowControl/>
        <w:rPr>
          <w:szCs w:val="24"/>
          <w:vertAlign w:val="superscript"/>
          <w:lang w:eastAsia="en-US"/>
        </w:rPr>
      </w:pPr>
      <w:r w:rsidRPr="00AA7DF5">
        <w:rPr>
          <w:szCs w:val="24"/>
          <w:vertAlign w:val="superscript"/>
          <w:lang w:eastAsia="en-US"/>
        </w:rPr>
        <w:br w:type="page"/>
      </w:r>
    </w:p>
    <w:p w14:paraId="086B9396" w14:textId="30114CD4"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(27)</w:t>
      </w:r>
      <w:r w:rsidRPr="00AA7DF5">
        <w:rPr>
          <w:szCs w:val="24"/>
          <w:lang w:eastAsia="en-US"/>
        </w:rPr>
        <w:tab/>
        <w:t>Refere-se aos seguintes compostos, enumerados com os respetivos números CAS e UE e o seu fator de potência relativa (RPF):</w:t>
      </w:r>
    </w:p>
    <w:p w14:paraId="45BC3BEE" w14:textId="6153F060" w:rsidR="006E1EC0" w:rsidRPr="00AA7DF5" w:rsidRDefault="002E0FC5" w:rsidP="00AA7DF5">
      <w:pPr>
        <w:spacing w:before="120" w:after="120" w:line="360" w:lineRule="auto"/>
        <w:ind w:left="1416"/>
        <w:rPr>
          <w:szCs w:val="24"/>
          <w:lang w:eastAsia="en-US"/>
        </w:rPr>
      </w:pPr>
      <w:r w:rsidRPr="00AA7DF5">
        <w:rPr>
          <w:szCs w:val="24"/>
          <w:lang w:eastAsia="en-US"/>
        </w:rPr>
        <w:tab/>
        <w:t xml:space="preserve">Ácido </w:t>
      </w:r>
      <w:proofErr w:type="spellStart"/>
      <w:r w:rsidRPr="00AA7DF5">
        <w:rPr>
          <w:szCs w:val="24"/>
          <w:lang w:eastAsia="en-US"/>
        </w:rPr>
        <w:t>perfluoro-octanoico</w:t>
      </w:r>
      <w:proofErr w:type="spellEnd"/>
      <w:r w:rsidRPr="00AA7DF5">
        <w:rPr>
          <w:szCs w:val="24"/>
          <w:lang w:eastAsia="en-US"/>
        </w:rPr>
        <w:t xml:space="preserve"> (PFOA) (n.º CAS 335-67-1, n.º UE 206-397-9) (RPF 1), ácido </w:t>
      </w:r>
      <w:proofErr w:type="spellStart"/>
      <w:r w:rsidRPr="00AA7DF5">
        <w:rPr>
          <w:szCs w:val="24"/>
          <w:lang w:eastAsia="en-US"/>
        </w:rPr>
        <w:t>perfluoro-octanossulfónico</w:t>
      </w:r>
      <w:proofErr w:type="spellEnd"/>
      <w:r w:rsidRPr="00AA7DF5">
        <w:rPr>
          <w:szCs w:val="24"/>
          <w:lang w:eastAsia="en-US"/>
        </w:rPr>
        <w:t xml:space="preserve"> (PFOS) (n.º CAS 1763-23-1, n.º UE 217-179-8) (RPF 2), ácido </w:t>
      </w:r>
      <w:proofErr w:type="spellStart"/>
      <w:r w:rsidRPr="00AA7DF5">
        <w:rPr>
          <w:szCs w:val="24"/>
          <w:lang w:eastAsia="en-US"/>
        </w:rPr>
        <w:t>perfluoro-hexanossulfónico</w:t>
      </w:r>
      <w:proofErr w:type="spellEnd"/>
      <w:r w:rsidRPr="00AA7DF5">
        <w:rPr>
          <w:szCs w:val="24"/>
          <w:lang w:eastAsia="en-US"/>
        </w:rPr>
        <w:t xml:space="preserve"> (</w:t>
      </w:r>
      <w:proofErr w:type="spellStart"/>
      <w:r w:rsidRPr="00AA7DF5">
        <w:rPr>
          <w:szCs w:val="24"/>
          <w:lang w:eastAsia="en-US"/>
        </w:rPr>
        <w:t>PFHxS</w:t>
      </w:r>
      <w:proofErr w:type="spellEnd"/>
      <w:r w:rsidRPr="00AA7DF5">
        <w:rPr>
          <w:szCs w:val="24"/>
          <w:lang w:eastAsia="en-US"/>
        </w:rPr>
        <w:t xml:space="preserve">) (n.º CAS 355-46-4, n.º UE 206-587-1) (RPF 0,6), ácido </w:t>
      </w:r>
      <w:proofErr w:type="spellStart"/>
      <w:r w:rsidRPr="00AA7DF5">
        <w:rPr>
          <w:szCs w:val="24"/>
          <w:lang w:eastAsia="en-US"/>
        </w:rPr>
        <w:t>perfluorononanoico</w:t>
      </w:r>
      <w:proofErr w:type="spellEnd"/>
      <w:r w:rsidRPr="00AA7DF5">
        <w:rPr>
          <w:szCs w:val="24"/>
          <w:lang w:eastAsia="en-US"/>
        </w:rPr>
        <w:t xml:space="preserve"> (PFNA) (n.º CAS 375-95-1, n.º UE 206-801-3) (RPF 10), ácido </w:t>
      </w:r>
      <w:proofErr w:type="spellStart"/>
      <w:r w:rsidRPr="00AA7DF5">
        <w:rPr>
          <w:szCs w:val="24"/>
          <w:lang w:eastAsia="en-US"/>
        </w:rPr>
        <w:t>perfluorobutanossulfónico</w:t>
      </w:r>
      <w:proofErr w:type="spellEnd"/>
      <w:r w:rsidRPr="00AA7DF5">
        <w:rPr>
          <w:szCs w:val="24"/>
          <w:lang w:eastAsia="en-US"/>
        </w:rPr>
        <w:t xml:space="preserve"> (PFBS) (n.º CAS 375-73-5, n.º UE 206-793-1) (RPF 0,001), ácido </w:t>
      </w:r>
      <w:proofErr w:type="spellStart"/>
      <w:r w:rsidRPr="00AA7DF5">
        <w:rPr>
          <w:szCs w:val="24"/>
          <w:lang w:eastAsia="en-US"/>
        </w:rPr>
        <w:t>perfluoro-hexanoico</w:t>
      </w:r>
      <w:proofErr w:type="spellEnd"/>
      <w:r w:rsidRPr="00AA7DF5">
        <w:rPr>
          <w:szCs w:val="24"/>
          <w:lang w:eastAsia="en-US"/>
        </w:rPr>
        <w:t xml:space="preserve"> (</w:t>
      </w:r>
      <w:proofErr w:type="spellStart"/>
      <w:r w:rsidRPr="00AA7DF5">
        <w:rPr>
          <w:szCs w:val="24"/>
          <w:lang w:eastAsia="en-US"/>
        </w:rPr>
        <w:t>PFHxA</w:t>
      </w:r>
      <w:proofErr w:type="spellEnd"/>
      <w:r w:rsidRPr="00AA7DF5">
        <w:rPr>
          <w:szCs w:val="24"/>
          <w:lang w:eastAsia="en-US"/>
        </w:rPr>
        <w:t xml:space="preserve">) (n.º CAS 307-24-4, n.º UE 206-196-6) (RPF 0,01), ácido </w:t>
      </w:r>
      <w:proofErr w:type="spellStart"/>
      <w:r w:rsidRPr="00AA7DF5">
        <w:rPr>
          <w:szCs w:val="24"/>
          <w:lang w:eastAsia="en-US"/>
        </w:rPr>
        <w:t>perfluorobutanoico</w:t>
      </w:r>
      <w:proofErr w:type="spellEnd"/>
      <w:r w:rsidRPr="00AA7DF5">
        <w:rPr>
          <w:szCs w:val="24"/>
          <w:lang w:eastAsia="en-US"/>
        </w:rPr>
        <w:t xml:space="preserve"> (PFBA) (n.º CAS 375-22-4, n.º UE 206-786-3) (RPF 0,05), ácido </w:t>
      </w:r>
      <w:proofErr w:type="spellStart"/>
      <w:r w:rsidRPr="00AA7DF5">
        <w:rPr>
          <w:szCs w:val="24"/>
          <w:lang w:eastAsia="en-US"/>
        </w:rPr>
        <w:t>perfluoropentanoico</w:t>
      </w:r>
      <w:proofErr w:type="spellEnd"/>
      <w:r w:rsidRPr="00AA7DF5">
        <w:rPr>
          <w:szCs w:val="24"/>
          <w:lang w:eastAsia="en-US"/>
        </w:rPr>
        <w:t xml:space="preserve"> (</w:t>
      </w:r>
      <w:proofErr w:type="spellStart"/>
      <w:r w:rsidRPr="00AA7DF5">
        <w:rPr>
          <w:szCs w:val="24"/>
          <w:lang w:eastAsia="en-US"/>
        </w:rPr>
        <w:t>PFPeA</w:t>
      </w:r>
      <w:proofErr w:type="spellEnd"/>
      <w:r w:rsidRPr="00AA7DF5">
        <w:rPr>
          <w:szCs w:val="24"/>
          <w:lang w:eastAsia="en-US"/>
        </w:rPr>
        <w:t xml:space="preserve">) (n.º CAS 2706-90-3, n.º UE 220-300-7) (RPF 0,03), ácido </w:t>
      </w:r>
      <w:proofErr w:type="spellStart"/>
      <w:r w:rsidRPr="00AA7DF5">
        <w:rPr>
          <w:szCs w:val="24"/>
          <w:lang w:eastAsia="en-US"/>
        </w:rPr>
        <w:t>perfluoropentanossulfónico</w:t>
      </w:r>
      <w:proofErr w:type="spellEnd"/>
      <w:r w:rsidRPr="00AA7DF5">
        <w:rPr>
          <w:szCs w:val="24"/>
          <w:lang w:eastAsia="en-US"/>
        </w:rPr>
        <w:t xml:space="preserve"> (</w:t>
      </w:r>
      <w:proofErr w:type="spellStart"/>
      <w:r w:rsidRPr="00AA7DF5">
        <w:rPr>
          <w:szCs w:val="24"/>
          <w:lang w:eastAsia="en-US"/>
        </w:rPr>
        <w:t>PFPeS</w:t>
      </w:r>
      <w:proofErr w:type="spellEnd"/>
      <w:r w:rsidRPr="00AA7DF5">
        <w:rPr>
          <w:szCs w:val="24"/>
          <w:lang w:eastAsia="en-US"/>
        </w:rPr>
        <w:t xml:space="preserve">) (n.º CAS 2706-91-4, n.º UE 220-301-2) (RPF 0,3005), ácido </w:t>
      </w:r>
      <w:proofErr w:type="spellStart"/>
      <w:r w:rsidRPr="00AA7DF5">
        <w:rPr>
          <w:szCs w:val="24"/>
          <w:lang w:eastAsia="en-US"/>
        </w:rPr>
        <w:t>perfluorodecanoico</w:t>
      </w:r>
      <w:proofErr w:type="spellEnd"/>
      <w:r w:rsidRPr="00AA7DF5">
        <w:rPr>
          <w:szCs w:val="24"/>
          <w:lang w:eastAsia="en-US"/>
        </w:rPr>
        <w:t xml:space="preserve"> (PFDA) (n.º CAS 335-76-2, n.º UE 206-400-3) (RPF 7), ácido </w:t>
      </w:r>
      <w:proofErr w:type="spellStart"/>
      <w:r w:rsidRPr="00AA7DF5">
        <w:rPr>
          <w:szCs w:val="24"/>
          <w:lang w:eastAsia="en-US"/>
        </w:rPr>
        <w:t>perfluorododecanoico</w:t>
      </w:r>
      <w:proofErr w:type="spellEnd"/>
      <w:r w:rsidRPr="00AA7DF5">
        <w:rPr>
          <w:szCs w:val="24"/>
          <w:lang w:eastAsia="en-US"/>
        </w:rPr>
        <w:t xml:space="preserve"> (</w:t>
      </w:r>
      <w:proofErr w:type="spellStart"/>
      <w:r w:rsidRPr="00AA7DF5">
        <w:rPr>
          <w:szCs w:val="24"/>
          <w:lang w:eastAsia="en-US"/>
        </w:rPr>
        <w:t>PFDoDA</w:t>
      </w:r>
      <w:proofErr w:type="spellEnd"/>
      <w:r w:rsidRPr="00AA7DF5">
        <w:rPr>
          <w:szCs w:val="24"/>
          <w:lang w:eastAsia="en-US"/>
        </w:rPr>
        <w:t xml:space="preserve"> ou </w:t>
      </w:r>
      <w:proofErr w:type="spellStart"/>
      <w:r w:rsidRPr="00AA7DF5">
        <w:rPr>
          <w:szCs w:val="24"/>
          <w:lang w:eastAsia="en-US"/>
        </w:rPr>
        <w:t>PFDoA</w:t>
      </w:r>
      <w:proofErr w:type="spellEnd"/>
      <w:r w:rsidRPr="00AA7DF5">
        <w:rPr>
          <w:szCs w:val="24"/>
          <w:lang w:eastAsia="en-US"/>
        </w:rPr>
        <w:t xml:space="preserve">) (n.º CAS 307-55-1, n.º UE 206-203-2) (RPF 3), ácido </w:t>
      </w:r>
      <w:proofErr w:type="spellStart"/>
      <w:r w:rsidRPr="00AA7DF5">
        <w:rPr>
          <w:szCs w:val="24"/>
          <w:lang w:eastAsia="en-US"/>
        </w:rPr>
        <w:t>perfluoroundecanoico</w:t>
      </w:r>
      <w:proofErr w:type="spellEnd"/>
      <w:r w:rsidRPr="00AA7DF5">
        <w:rPr>
          <w:szCs w:val="24"/>
          <w:lang w:eastAsia="en-US"/>
        </w:rPr>
        <w:t xml:space="preserve"> (</w:t>
      </w:r>
      <w:proofErr w:type="spellStart"/>
      <w:r w:rsidRPr="00AA7DF5">
        <w:rPr>
          <w:szCs w:val="24"/>
          <w:lang w:eastAsia="en-US"/>
        </w:rPr>
        <w:t>PFUnDA</w:t>
      </w:r>
      <w:proofErr w:type="spellEnd"/>
      <w:r w:rsidRPr="00AA7DF5">
        <w:rPr>
          <w:szCs w:val="24"/>
          <w:lang w:eastAsia="en-US"/>
        </w:rPr>
        <w:t xml:space="preserve"> ou </w:t>
      </w:r>
      <w:proofErr w:type="spellStart"/>
      <w:r w:rsidRPr="00AA7DF5">
        <w:rPr>
          <w:szCs w:val="24"/>
          <w:lang w:eastAsia="en-US"/>
        </w:rPr>
        <w:t>PFUnA</w:t>
      </w:r>
      <w:proofErr w:type="spellEnd"/>
      <w:r w:rsidRPr="00AA7DF5">
        <w:rPr>
          <w:szCs w:val="24"/>
          <w:lang w:eastAsia="en-US"/>
        </w:rPr>
        <w:t xml:space="preserve">) (n.º CAS 2058-94-8, n.º UE 218-165-4) (RPF 4), ácido </w:t>
      </w:r>
      <w:proofErr w:type="spellStart"/>
      <w:r w:rsidRPr="00AA7DF5">
        <w:rPr>
          <w:szCs w:val="24"/>
          <w:lang w:eastAsia="en-US"/>
        </w:rPr>
        <w:t>perfluoro-heptanoico</w:t>
      </w:r>
      <w:proofErr w:type="spellEnd"/>
      <w:r w:rsidRPr="00AA7DF5">
        <w:rPr>
          <w:szCs w:val="24"/>
          <w:lang w:eastAsia="en-US"/>
        </w:rPr>
        <w:t xml:space="preserve"> (</w:t>
      </w:r>
      <w:proofErr w:type="spellStart"/>
      <w:r w:rsidRPr="00AA7DF5">
        <w:rPr>
          <w:szCs w:val="24"/>
          <w:lang w:eastAsia="en-US"/>
        </w:rPr>
        <w:t>PFHpA</w:t>
      </w:r>
      <w:proofErr w:type="spellEnd"/>
      <w:r w:rsidRPr="00AA7DF5">
        <w:rPr>
          <w:szCs w:val="24"/>
          <w:lang w:eastAsia="en-US"/>
        </w:rPr>
        <w:t xml:space="preserve">) (n.º CAS 375-85-9, n.º UE 206-798-9) (RPF 0,505), ácido </w:t>
      </w:r>
      <w:proofErr w:type="spellStart"/>
      <w:r w:rsidRPr="00AA7DF5">
        <w:rPr>
          <w:szCs w:val="24"/>
          <w:lang w:eastAsia="en-US"/>
        </w:rPr>
        <w:t>perfluorotridecanoico</w:t>
      </w:r>
      <w:proofErr w:type="spellEnd"/>
      <w:r w:rsidRPr="00AA7DF5">
        <w:rPr>
          <w:szCs w:val="24"/>
          <w:lang w:eastAsia="en-US"/>
        </w:rPr>
        <w:t xml:space="preserve"> (</w:t>
      </w:r>
      <w:proofErr w:type="spellStart"/>
      <w:r w:rsidRPr="00AA7DF5">
        <w:rPr>
          <w:szCs w:val="24"/>
          <w:lang w:eastAsia="en-US"/>
        </w:rPr>
        <w:t>PFTrDA</w:t>
      </w:r>
      <w:proofErr w:type="spellEnd"/>
      <w:r w:rsidRPr="00AA7DF5">
        <w:rPr>
          <w:szCs w:val="24"/>
          <w:lang w:eastAsia="en-US"/>
        </w:rPr>
        <w:t xml:space="preserve">) (n.º CAS 72629-94-8, n.º UE 276-745-2) (RPF 1,65), ácido </w:t>
      </w:r>
      <w:proofErr w:type="spellStart"/>
      <w:r w:rsidRPr="00AA7DF5">
        <w:rPr>
          <w:szCs w:val="24"/>
          <w:lang w:eastAsia="en-US"/>
        </w:rPr>
        <w:t>perfluoro-heptanossulfónico</w:t>
      </w:r>
      <w:proofErr w:type="spellEnd"/>
      <w:r w:rsidRPr="00AA7DF5">
        <w:rPr>
          <w:szCs w:val="24"/>
          <w:lang w:eastAsia="en-US"/>
        </w:rPr>
        <w:t xml:space="preserve"> (</w:t>
      </w:r>
      <w:proofErr w:type="spellStart"/>
      <w:r w:rsidRPr="00AA7DF5">
        <w:rPr>
          <w:szCs w:val="24"/>
          <w:lang w:eastAsia="en-US"/>
        </w:rPr>
        <w:t>PFHpS</w:t>
      </w:r>
      <w:proofErr w:type="spellEnd"/>
      <w:r w:rsidRPr="00AA7DF5">
        <w:rPr>
          <w:szCs w:val="24"/>
          <w:lang w:eastAsia="en-US"/>
        </w:rPr>
        <w:t xml:space="preserve">) (n.º CAS 375-92-8, n.º UE 206-800-8) (RPF 1,3), ácido </w:t>
      </w:r>
      <w:proofErr w:type="spellStart"/>
      <w:r w:rsidRPr="00AA7DF5">
        <w:rPr>
          <w:szCs w:val="24"/>
          <w:lang w:eastAsia="en-US"/>
        </w:rPr>
        <w:t>perfluorodecanossulfónico</w:t>
      </w:r>
      <w:proofErr w:type="spellEnd"/>
      <w:r w:rsidRPr="00AA7DF5">
        <w:rPr>
          <w:szCs w:val="24"/>
          <w:lang w:eastAsia="en-US"/>
        </w:rPr>
        <w:t xml:space="preserve"> (PFDS) (n.º CAS 335-77-3, n.º UE 206-401-9) (RPF 2), ácido </w:t>
      </w:r>
      <w:proofErr w:type="spellStart"/>
      <w:r w:rsidRPr="00AA7DF5">
        <w:rPr>
          <w:szCs w:val="24"/>
          <w:lang w:eastAsia="en-US"/>
        </w:rPr>
        <w:t>perfluorotetradecanoico</w:t>
      </w:r>
      <w:proofErr w:type="spellEnd"/>
      <w:r w:rsidRPr="00AA7DF5">
        <w:rPr>
          <w:szCs w:val="24"/>
          <w:lang w:eastAsia="en-US"/>
        </w:rPr>
        <w:t xml:space="preserve"> (</w:t>
      </w:r>
      <w:proofErr w:type="spellStart"/>
      <w:r w:rsidRPr="00AA7DF5">
        <w:rPr>
          <w:szCs w:val="24"/>
          <w:lang w:eastAsia="en-US"/>
        </w:rPr>
        <w:t>PFTeDA</w:t>
      </w:r>
      <w:proofErr w:type="spellEnd"/>
      <w:r w:rsidRPr="00AA7DF5">
        <w:rPr>
          <w:szCs w:val="24"/>
          <w:lang w:eastAsia="en-US"/>
        </w:rPr>
        <w:t xml:space="preserve">) (n.º CAS 376-06-7, n.º UE 206-803-4) (RPF 0,3), ácido </w:t>
      </w:r>
      <w:proofErr w:type="spellStart"/>
      <w:r w:rsidRPr="00AA7DF5">
        <w:rPr>
          <w:szCs w:val="24"/>
          <w:lang w:eastAsia="en-US"/>
        </w:rPr>
        <w:t>perfluorohexadecanoico</w:t>
      </w:r>
      <w:proofErr w:type="spellEnd"/>
      <w:r w:rsidRPr="00AA7DF5">
        <w:rPr>
          <w:szCs w:val="24"/>
          <w:lang w:eastAsia="en-US"/>
        </w:rPr>
        <w:t xml:space="preserve"> (</w:t>
      </w:r>
      <w:proofErr w:type="spellStart"/>
      <w:r w:rsidRPr="00AA7DF5">
        <w:rPr>
          <w:szCs w:val="24"/>
          <w:lang w:eastAsia="en-US"/>
        </w:rPr>
        <w:t>PFHxDA</w:t>
      </w:r>
      <w:proofErr w:type="spellEnd"/>
      <w:r w:rsidRPr="00AA7DF5">
        <w:rPr>
          <w:szCs w:val="24"/>
          <w:lang w:eastAsia="en-US"/>
        </w:rPr>
        <w:t xml:space="preserve">) (n.º CAS 67905-19-5, n.º UE 267-638-1) (RPF 0,02), ácido </w:t>
      </w:r>
      <w:proofErr w:type="spellStart"/>
      <w:r w:rsidRPr="00AA7DF5">
        <w:rPr>
          <w:szCs w:val="24"/>
          <w:lang w:eastAsia="en-US"/>
        </w:rPr>
        <w:t>perfluoro-octadecanoico</w:t>
      </w:r>
      <w:proofErr w:type="spellEnd"/>
      <w:r w:rsidRPr="00AA7DF5">
        <w:rPr>
          <w:szCs w:val="24"/>
          <w:lang w:eastAsia="en-US"/>
        </w:rPr>
        <w:t xml:space="preserve"> (PFODA) (n.º CAS 16517-11-6, n.º UE 240-582-5) (RPF 0,02), </w:t>
      </w:r>
      <w:proofErr w:type="spellStart"/>
      <w:r w:rsidRPr="00AA7DF5">
        <w:rPr>
          <w:szCs w:val="24"/>
          <w:lang w:eastAsia="en-US"/>
        </w:rPr>
        <w:t>perfluoro</w:t>
      </w:r>
      <w:proofErr w:type="spellEnd"/>
      <w:r w:rsidRPr="00AA7DF5">
        <w:rPr>
          <w:szCs w:val="24"/>
          <w:lang w:eastAsia="en-US"/>
        </w:rPr>
        <w:t xml:space="preserve"> de amónio (2-metil-3-oxahexanoato) (HFPO-DA ou </w:t>
      </w:r>
      <w:proofErr w:type="spellStart"/>
      <w:r w:rsidRPr="00AA7DF5">
        <w:rPr>
          <w:szCs w:val="24"/>
          <w:lang w:eastAsia="en-US"/>
        </w:rPr>
        <w:t>Gen</w:t>
      </w:r>
      <w:proofErr w:type="spellEnd"/>
      <w:r w:rsidRPr="00AA7DF5">
        <w:rPr>
          <w:szCs w:val="24"/>
          <w:lang w:eastAsia="en-US"/>
        </w:rPr>
        <w:t xml:space="preserve"> X) (n.º CAS 62037-80-3) (RPF 0,06), ácido propanoico / amónio 2,2,3-trifluoro-3-(1,1,2,2,3,3-hexafluoro-3-(trifluorometoxi)propoxi)-propanoato (ADONA) (n.º CAS 958445-44-8) (RPF 0,03), álcool 2-(</w:t>
      </w:r>
      <w:proofErr w:type="spellStart"/>
      <w:r w:rsidRPr="00AA7DF5">
        <w:rPr>
          <w:szCs w:val="24"/>
          <w:lang w:eastAsia="en-US"/>
        </w:rPr>
        <w:t>perfluorohexílico</w:t>
      </w:r>
      <w:proofErr w:type="spellEnd"/>
      <w:r w:rsidRPr="00AA7DF5">
        <w:rPr>
          <w:szCs w:val="24"/>
          <w:lang w:eastAsia="en-US"/>
        </w:rPr>
        <w:t>)etílico (6:2 FTOH) (n.º CAS 647-42-7, UE 211-477-1) (RPF 0,02), 2-(</w:t>
      </w:r>
      <w:proofErr w:type="spellStart"/>
      <w:r w:rsidRPr="00AA7DF5">
        <w:rPr>
          <w:szCs w:val="24"/>
          <w:lang w:eastAsia="en-US"/>
        </w:rPr>
        <w:t>perfluoro</w:t>
      </w:r>
      <w:proofErr w:type="spellEnd"/>
      <w:r w:rsidRPr="00AA7DF5">
        <w:rPr>
          <w:szCs w:val="24"/>
          <w:lang w:eastAsia="en-US"/>
        </w:rPr>
        <w:t>-octil)etanol (8:2 FTOH) (n.º CAS 678-39-7, UE 211-648-0) (RPF 0,04) e ácido acético / 2,2-difluoro-2-((2,2,4,5-tetrafluoro-5-(trifluorometoxi)-1,3-dioxolano-4-ilo)oxi]- (C6O4) (n.º CAS 1190931-41-9) (RPF 0,06).</w:t>
      </w:r>
      <w:r w:rsidR="006E1EC0" w:rsidRPr="00AA7DF5">
        <w:rPr>
          <w:szCs w:val="24"/>
          <w:lang w:eastAsia="en-US"/>
        </w:rPr>
        <w:br w:type="page"/>
      </w:r>
    </w:p>
    <w:p w14:paraId="64D59D91"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(28)</w:t>
      </w:r>
      <w:r w:rsidRPr="00AA7DF5">
        <w:rPr>
          <w:szCs w:val="24"/>
          <w:lang w:eastAsia="en-US"/>
        </w:rPr>
        <w:tab/>
        <w:t>Para o grupo das PFAS (n.º 65), a NQA refere-se à soma das concentrações das 24 PFAS enumeradas na nota 27, expressas em equivalentes de PFOA com base nas potências das substâncias relativamente às do PFOA, ou seja, as RPF constantes da nota 27.</w:t>
      </w:r>
    </w:p>
    <w:p w14:paraId="720AA3BB"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(29)</w:t>
      </w:r>
      <w:r w:rsidRPr="00AA7DF5">
        <w:rPr>
          <w:szCs w:val="24"/>
          <w:lang w:eastAsia="en-US"/>
        </w:rPr>
        <w:tab/>
        <w:t>Entende-se por «pesticidas» os produtos fitofarmacêuticos a que se refere o artigo 2.º do Regulamento (CE) n.º 1107/2009 e os produtos biocidas na aceção do artigo 3.º do Regulamento (UE) n.º 528/2012.</w:t>
      </w:r>
    </w:p>
    <w:p w14:paraId="1D3837E5"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(30)</w:t>
      </w:r>
      <w:r w:rsidRPr="00AA7DF5">
        <w:rPr>
          <w:szCs w:val="24"/>
          <w:lang w:eastAsia="en-US"/>
        </w:rPr>
        <w:tab/>
        <w:t>Entende-se por «total» a soma de todos os pesticidas individuais detetados e quantificados durante o processo de monitorização, incluindo os respetivos metabolitos e produtos de degradação e de reação.;»</w:t>
      </w:r>
    </w:p>
    <w:p w14:paraId="76BBEC58" w14:textId="77777777" w:rsidR="006E1EC0" w:rsidRPr="00AA7DF5" w:rsidRDefault="006E1EC0">
      <w:pPr>
        <w:widowControl/>
        <w:rPr>
          <w:szCs w:val="24"/>
          <w:lang w:eastAsia="en-US"/>
        </w:rPr>
      </w:pPr>
      <w:r w:rsidRPr="00AA7DF5">
        <w:rPr>
          <w:szCs w:val="24"/>
          <w:lang w:eastAsia="en-US"/>
        </w:rPr>
        <w:br w:type="page"/>
      </w:r>
    </w:p>
    <w:p w14:paraId="10C50285" w14:textId="76174B98" w:rsidR="002E0FC5" w:rsidRPr="00AA7DF5" w:rsidRDefault="002E0FC5" w:rsidP="002E0FC5">
      <w:pPr>
        <w:spacing w:before="120" w:after="120" w:line="360" w:lineRule="auto"/>
        <w:ind w:left="850" w:hanging="850"/>
        <w:rPr>
          <w:szCs w:val="24"/>
          <w:lang w:eastAsia="en-US"/>
        </w:rPr>
      </w:pPr>
      <w:r w:rsidRPr="00AA7DF5">
        <w:rPr>
          <w:szCs w:val="24"/>
          <w:lang w:eastAsia="en-US"/>
        </w:rPr>
        <w:lastRenderedPageBreak/>
        <w:t>3)</w:t>
      </w:r>
      <w:r w:rsidRPr="00AA7DF5">
        <w:rPr>
          <w:szCs w:val="24"/>
          <w:lang w:eastAsia="en-US"/>
        </w:rPr>
        <w:tab/>
        <w:t>A parte B é alterada do seguinte modo:</w:t>
      </w:r>
    </w:p>
    <w:p w14:paraId="70FE4FE0"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No ponto 1, o primeiro parágrafo passa a ter a seguinte redação:</w:t>
      </w:r>
    </w:p>
    <w:p w14:paraId="674B40FB" w14:textId="77777777" w:rsidR="002E0FC5" w:rsidRPr="00AA7DF5" w:rsidRDefault="002E0FC5" w:rsidP="002E0FC5">
      <w:pPr>
        <w:spacing w:before="120" w:after="120" w:line="360" w:lineRule="auto"/>
        <w:ind w:left="1416"/>
        <w:rPr>
          <w:szCs w:val="24"/>
          <w:lang w:eastAsia="en-US"/>
        </w:rPr>
      </w:pPr>
      <w:r w:rsidRPr="00AA7DF5">
        <w:rPr>
          <w:szCs w:val="24"/>
          <w:lang w:eastAsia="en-US"/>
        </w:rPr>
        <w:t>«Para uma dada massa de água de superfície, o cumprimento de uma NQA-MA exige que, em cada ponto de monitorização representativo situado na massa de água, a média aritmética das concentrações medidas em momentos diferentes do ano não exceda a norma.;»</w:t>
      </w:r>
    </w:p>
    <w:p w14:paraId="4D08B9B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No ponto 2, o primeiro parágrafo passa a ter a seguinte redação:</w:t>
      </w:r>
    </w:p>
    <w:p w14:paraId="62C9AE32" w14:textId="15F2EA85" w:rsidR="002E0FC5" w:rsidRPr="00AA7DF5" w:rsidRDefault="002E0FC5" w:rsidP="002E0FC5">
      <w:pPr>
        <w:spacing w:before="120" w:after="120" w:line="360" w:lineRule="auto"/>
        <w:ind w:left="1416"/>
        <w:rPr>
          <w:szCs w:val="24"/>
          <w:lang w:eastAsia="en-US"/>
        </w:rPr>
      </w:pPr>
      <w:r w:rsidRPr="00AA7DF5">
        <w:rPr>
          <w:szCs w:val="24"/>
          <w:lang w:eastAsia="en-US"/>
        </w:rPr>
        <w:t>«Para uma dada massa de água de superfície, o cumprimento de uma NQA-CMA exige que a concentração medida não exceda a norma em nenhum ponto de monitorização representativo situado na massa de água.»</w:t>
      </w:r>
    </w:p>
    <w:p w14:paraId="6E2C92A5" w14:textId="77777777" w:rsidR="002E0FC5" w:rsidRPr="00AA7DF5" w:rsidRDefault="002E0FC5" w:rsidP="002E0FC5">
      <w:pPr>
        <w:spacing w:before="120" w:after="120" w:line="360" w:lineRule="auto"/>
        <w:rPr>
          <w:szCs w:val="24"/>
          <w:lang w:eastAsia="en-US"/>
        </w:rPr>
        <w:sectPr w:rsidR="002E0FC5" w:rsidRPr="00AA7DF5">
          <w:footnotePr>
            <w:numRestart w:val="eachSect"/>
          </w:footnotePr>
          <w:endnotePr>
            <w:numFmt w:val="decimal"/>
          </w:endnotePr>
          <w:pgSz w:w="11909" w:h="16834"/>
          <w:pgMar w:top="1134" w:right="1417" w:bottom="1417" w:left="1417" w:header="1134" w:footer="567" w:gutter="0"/>
          <w:cols w:space="720"/>
        </w:sectPr>
      </w:pPr>
    </w:p>
    <w:p w14:paraId="68736DE1" w14:textId="77777777" w:rsidR="002E0FC5" w:rsidRPr="00AA7DF5" w:rsidRDefault="002E0FC5" w:rsidP="002E0FC5">
      <w:pPr>
        <w:spacing w:before="120" w:after="120" w:line="360" w:lineRule="auto"/>
        <w:jc w:val="center"/>
        <w:rPr>
          <w:lang w:eastAsia="en-US"/>
        </w:rPr>
      </w:pPr>
      <w:r w:rsidRPr="00AA7DF5">
        <w:rPr>
          <w:lang w:eastAsia="en-US"/>
        </w:rPr>
        <w:lastRenderedPageBreak/>
        <w:t>ANEXO VI</w:t>
      </w:r>
    </w:p>
    <w:p w14:paraId="736ACD64" w14:textId="77777777" w:rsidR="002E0FC5" w:rsidRPr="00AA7DF5" w:rsidRDefault="002E0FC5" w:rsidP="002E0FC5">
      <w:pPr>
        <w:spacing w:before="120" w:after="120" w:line="360" w:lineRule="auto"/>
        <w:ind w:left="850"/>
        <w:rPr>
          <w:szCs w:val="24"/>
          <w:lang w:eastAsia="en-US"/>
        </w:rPr>
      </w:pPr>
      <w:r w:rsidRPr="00AA7DF5">
        <w:rPr>
          <w:szCs w:val="24"/>
          <w:lang w:eastAsia="en-US"/>
        </w:rPr>
        <w:t>«ANEXO II</w:t>
      </w:r>
    </w:p>
    <w:p w14:paraId="63565C21" w14:textId="77777777" w:rsidR="002E0FC5" w:rsidRPr="00AA7DF5" w:rsidRDefault="002E0FC5" w:rsidP="002E0FC5">
      <w:pPr>
        <w:spacing w:before="120" w:after="120" w:line="360" w:lineRule="auto"/>
        <w:ind w:left="850"/>
        <w:rPr>
          <w:szCs w:val="24"/>
          <w:lang w:eastAsia="en-US"/>
        </w:rPr>
      </w:pPr>
      <w:r w:rsidRPr="00AA7DF5">
        <w:rPr>
          <w:szCs w:val="24"/>
          <w:lang w:eastAsia="en-US"/>
        </w:rPr>
        <w:t>NORMAS DE QUALIDADE AMBIENTAL PARA OS POLUENTES ESPECÍFICOS DAS BACIAS HIDROGRÁFICAS</w:t>
      </w:r>
    </w:p>
    <w:p w14:paraId="03193FEC" w14:textId="77777777" w:rsidR="002E0FC5" w:rsidRPr="00AA7DF5" w:rsidRDefault="002E0FC5" w:rsidP="002E0FC5">
      <w:pPr>
        <w:spacing w:before="120" w:after="120" w:line="360" w:lineRule="auto"/>
        <w:ind w:left="850"/>
        <w:rPr>
          <w:szCs w:val="24"/>
          <w:lang w:eastAsia="en-US"/>
        </w:rPr>
      </w:pPr>
      <w:r w:rsidRPr="00AA7DF5">
        <w:rPr>
          <w:szCs w:val="24"/>
          <w:lang w:eastAsia="en-US"/>
        </w:rPr>
        <w:t xml:space="preserve">Parte A: LISTA DE CATEGORIAS DE POLUENTES ESPECÍFICOS DAS BACIAS HIDROGRÁFICAS </w:t>
      </w:r>
    </w:p>
    <w:p w14:paraId="7AB603B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w:t>
      </w:r>
      <w:r w:rsidRPr="00AA7DF5">
        <w:rPr>
          <w:szCs w:val="24"/>
          <w:lang w:eastAsia="en-US"/>
        </w:rPr>
        <w:tab/>
        <w:t xml:space="preserve">Compostos </w:t>
      </w:r>
      <w:proofErr w:type="spellStart"/>
      <w:r w:rsidRPr="00AA7DF5">
        <w:rPr>
          <w:szCs w:val="24"/>
          <w:lang w:eastAsia="en-US"/>
        </w:rPr>
        <w:t>organo</w:t>
      </w:r>
      <w:proofErr w:type="spellEnd"/>
      <w:r w:rsidRPr="00AA7DF5">
        <w:rPr>
          <w:szCs w:val="24"/>
          <w:lang w:eastAsia="en-US"/>
        </w:rPr>
        <w:t>-halogenados e substâncias suscetíveis de formar esses compostos no meio aquático.</w:t>
      </w:r>
    </w:p>
    <w:p w14:paraId="7136DFA4"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2.</w:t>
      </w:r>
      <w:r w:rsidRPr="00AA7DF5">
        <w:rPr>
          <w:szCs w:val="24"/>
          <w:lang w:eastAsia="en-US"/>
        </w:rPr>
        <w:tab/>
        <w:t>Compostos organofosforados.</w:t>
      </w:r>
    </w:p>
    <w:p w14:paraId="612E82EC"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3.</w:t>
      </w:r>
      <w:r w:rsidRPr="00AA7DF5">
        <w:rPr>
          <w:szCs w:val="24"/>
          <w:lang w:eastAsia="en-US"/>
        </w:rPr>
        <w:tab/>
        <w:t xml:space="preserve">Compostos </w:t>
      </w:r>
      <w:proofErr w:type="spellStart"/>
      <w:r w:rsidRPr="00AA7DF5">
        <w:rPr>
          <w:szCs w:val="24"/>
          <w:lang w:eastAsia="en-US"/>
        </w:rPr>
        <w:t>organoestânicos</w:t>
      </w:r>
      <w:proofErr w:type="spellEnd"/>
      <w:r w:rsidRPr="00AA7DF5">
        <w:rPr>
          <w:szCs w:val="24"/>
          <w:lang w:eastAsia="en-US"/>
        </w:rPr>
        <w:t>.</w:t>
      </w:r>
    </w:p>
    <w:p w14:paraId="50618AC0"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4.</w:t>
      </w:r>
      <w:r w:rsidRPr="00AA7DF5">
        <w:rPr>
          <w:szCs w:val="24"/>
          <w:lang w:eastAsia="en-US"/>
        </w:rPr>
        <w:tab/>
        <w:t xml:space="preserve">Substâncias e preparações ou os produtos da sua degradação, com propriedades comprovadamente carcinogénicas ou mutagénicas ou com propriedades suscetíveis de afetar as funções </w:t>
      </w:r>
      <w:proofErr w:type="spellStart"/>
      <w:r w:rsidRPr="00AA7DF5">
        <w:rPr>
          <w:szCs w:val="24"/>
          <w:lang w:eastAsia="en-US"/>
        </w:rPr>
        <w:t>esteroidogénica</w:t>
      </w:r>
      <w:proofErr w:type="spellEnd"/>
      <w:r w:rsidRPr="00AA7DF5">
        <w:rPr>
          <w:szCs w:val="24"/>
          <w:lang w:eastAsia="en-US"/>
        </w:rPr>
        <w:t>, tiroide, reprodutiva ou outras funções endócrinas no meio aquático ou por intermédio deste.</w:t>
      </w:r>
    </w:p>
    <w:p w14:paraId="4539E4ED" w14:textId="77777777" w:rsidR="006D48D8" w:rsidRPr="00AA7DF5" w:rsidRDefault="006D48D8">
      <w:pPr>
        <w:widowControl/>
        <w:rPr>
          <w:szCs w:val="24"/>
          <w:lang w:eastAsia="en-US"/>
        </w:rPr>
      </w:pPr>
      <w:r w:rsidRPr="00AA7DF5">
        <w:rPr>
          <w:szCs w:val="24"/>
          <w:lang w:eastAsia="en-US"/>
        </w:rPr>
        <w:br w:type="page"/>
      </w:r>
    </w:p>
    <w:p w14:paraId="5D218F99" w14:textId="7049406F"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5.</w:t>
      </w:r>
      <w:r w:rsidRPr="00AA7DF5">
        <w:rPr>
          <w:szCs w:val="24"/>
          <w:lang w:eastAsia="en-US"/>
        </w:rPr>
        <w:tab/>
        <w:t>Hidrocarbonetos persistentes e substâncias orgânicas tóxicas persistentes e bioacumuláveis.</w:t>
      </w:r>
    </w:p>
    <w:p w14:paraId="621BDEA8"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6.</w:t>
      </w:r>
      <w:r w:rsidRPr="00AA7DF5">
        <w:rPr>
          <w:szCs w:val="24"/>
          <w:lang w:eastAsia="en-US"/>
        </w:rPr>
        <w:tab/>
        <w:t>Cianetos.</w:t>
      </w:r>
    </w:p>
    <w:p w14:paraId="6239C3A6"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7.</w:t>
      </w:r>
      <w:r w:rsidRPr="00AA7DF5">
        <w:rPr>
          <w:szCs w:val="24"/>
          <w:lang w:eastAsia="en-US"/>
        </w:rPr>
        <w:tab/>
        <w:t>Metais e respetivos compostos.</w:t>
      </w:r>
    </w:p>
    <w:p w14:paraId="5D13915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8.</w:t>
      </w:r>
      <w:r w:rsidRPr="00AA7DF5">
        <w:rPr>
          <w:szCs w:val="24"/>
          <w:lang w:eastAsia="en-US"/>
        </w:rPr>
        <w:tab/>
        <w:t>Arsénio e seus compostos.</w:t>
      </w:r>
    </w:p>
    <w:p w14:paraId="52BCA9B9"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9.</w:t>
      </w:r>
      <w:r w:rsidRPr="00AA7DF5">
        <w:rPr>
          <w:szCs w:val="24"/>
          <w:lang w:eastAsia="en-US"/>
        </w:rPr>
        <w:tab/>
        <w:t>Biocidas e produtos fitofarmacêuticos.</w:t>
      </w:r>
    </w:p>
    <w:p w14:paraId="2AC81199" w14:textId="2421E02E" w:rsidR="002E0FC5" w:rsidRPr="00AA7DF5" w:rsidRDefault="002E0FC5" w:rsidP="002E0FC5">
      <w:pPr>
        <w:spacing w:before="120" w:after="120" w:line="360" w:lineRule="auto"/>
        <w:ind w:left="1416" w:hanging="566"/>
        <w:rPr>
          <w:b/>
          <w:szCs w:val="24"/>
          <w:lang w:eastAsia="en-US"/>
        </w:rPr>
      </w:pPr>
      <w:r w:rsidRPr="00AA7DF5">
        <w:rPr>
          <w:szCs w:val="24"/>
          <w:lang w:eastAsia="en-US"/>
        </w:rPr>
        <w:t>10.</w:t>
      </w:r>
      <w:r w:rsidRPr="00AA7DF5">
        <w:rPr>
          <w:szCs w:val="24"/>
          <w:lang w:eastAsia="en-US"/>
        </w:rPr>
        <w:tab/>
        <w:t>Materiais em suspensão, incluindo micro/</w:t>
      </w:r>
      <w:proofErr w:type="spellStart"/>
      <w:r w:rsidRPr="00AA7DF5">
        <w:rPr>
          <w:szCs w:val="24"/>
          <w:lang w:eastAsia="en-US"/>
        </w:rPr>
        <w:t>nanoplásticos</w:t>
      </w:r>
      <w:proofErr w:type="spellEnd"/>
      <w:r w:rsidRPr="00AA7DF5">
        <w:rPr>
          <w:strike/>
          <w:szCs w:val="24"/>
          <w:lang w:eastAsia="en-US"/>
        </w:rPr>
        <w:t>.</w:t>
      </w:r>
      <w:r w:rsidRPr="00AA7DF5">
        <w:rPr>
          <w:b/>
          <w:i/>
          <w:szCs w:val="24"/>
          <w:lang w:eastAsia="en-US"/>
        </w:rPr>
        <w:t>, bem como materiais que dão comprovadamente origem a micro/</w:t>
      </w:r>
      <w:proofErr w:type="spellStart"/>
      <w:r w:rsidRPr="00AA7DF5">
        <w:rPr>
          <w:b/>
          <w:i/>
          <w:szCs w:val="24"/>
          <w:lang w:eastAsia="en-US"/>
        </w:rPr>
        <w:t>nanoplásticos</w:t>
      </w:r>
      <w:proofErr w:type="spellEnd"/>
      <w:r w:rsidRPr="00AA7DF5">
        <w:rPr>
          <w:b/>
          <w:i/>
          <w:szCs w:val="24"/>
          <w:lang w:eastAsia="en-US"/>
        </w:rPr>
        <w:t>;</w:t>
      </w:r>
      <w:r w:rsidR="006D48D8" w:rsidRPr="00AA7DF5">
        <w:rPr>
          <w:b/>
          <w:szCs w:val="24"/>
          <w:lang w:eastAsia="en-US"/>
        </w:rPr>
        <w:t xml:space="preserve"> [Alt. 155]</w:t>
      </w:r>
    </w:p>
    <w:p w14:paraId="5857E9EE"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11.</w:t>
      </w:r>
      <w:r w:rsidRPr="00AA7DF5">
        <w:rPr>
          <w:szCs w:val="24"/>
          <w:lang w:eastAsia="en-US"/>
        </w:rPr>
        <w:tab/>
        <w:t>Substâncias que contribuem para a eutrofização (em especial nitratos e fosfatos).</w:t>
      </w:r>
    </w:p>
    <w:p w14:paraId="4C6948FA"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12.</w:t>
      </w:r>
      <w:r w:rsidRPr="00AA7DF5">
        <w:rPr>
          <w:szCs w:val="24"/>
          <w:lang w:eastAsia="en-US"/>
        </w:rPr>
        <w:tab/>
        <w:t>Substâncias que exercem uma influência desfavorável no balanço de oxigénio e são mensuráveis por parâmetros como a CBO e a CQO.</w:t>
      </w:r>
    </w:p>
    <w:p w14:paraId="335A7421" w14:textId="77777777" w:rsidR="006D48D8" w:rsidRPr="00AA7DF5" w:rsidRDefault="006D48D8">
      <w:pPr>
        <w:widowControl/>
        <w:rPr>
          <w:szCs w:val="24"/>
          <w:lang w:eastAsia="en-US"/>
        </w:rPr>
      </w:pPr>
      <w:r w:rsidRPr="00AA7DF5">
        <w:rPr>
          <w:szCs w:val="24"/>
          <w:lang w:eastAsia="en-US"/>
        </w:rPr>
        <w:br w:type="page"/>
      </w:r>
    </w:p>
    <w:p w14:paraId="7E218552" w14:textId="5C368A09"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13.</w:t>
      </w:r>
      <w:r w:rsidRPr="00AA7DF5">
        <w:rPr>
          <w:szCs w:val="24"/>
          <w:lang w:eastAsia="en-US"/>
        </w:rPr>
        <w:tab/>
        <w:t>Microrganismos, genes ou material genético que reflitam a presença de microrganismos resistentes a agentes antimicrobianos, em particular microrganismos patogénicos para os seres humanos ou para o gado.</w:t>
      </w:r>
    </w:p>
    <w:p w14:paraId="67048735" w14:textId="77777777" w:rsidR="002E0FC5" w:rsidRPr="00AA7DF5" w:rsidRDefault="002E0FC5" w:rsidP="002E0FC5">
      <w:pPr>
        <w:spacing w:before="120" w:after="120" w:line="360" w:lineRule="auto"/>
        <w:ind w:left="850"/>
        <w:rPr>
          <w:szCs w:val="24"/>
          <w:lang w:eastAsia="en-US"/>
        </w:rPr>
      </w:pPr>
      <w:r w:rsidRPr="00AA7DF5">
        <w:rPr>
          <w:szCs w:val="24"/>
          <w:lang w:eastAsia="en-US"/>
        </w:rPr>
        <w:t>PARTE B: PROCEDIMENTO DE ELABORAÇÃO DE NORMAS DE QUALIDADE AMBIENTAL PARA OS POLUENTES ESPECÍFICOS DAS BACIAS HIDROGRÁFICAS</w:t>
      </w:r>
    </w:p>
    <w:p w14:paraId="33C3F62A" w14:textId="77777777" w:rsidR="002E0FC5" w:rsidRPr="00AA7DF5" w:rsidRDefault="002E0FC5" w:rsidP="002E0FC5">
      <w:pPr>
        <w:spacing w:before="120" w:after="120" w:line="360" w:lineRule="auto"/>
        <w:ind w:left="850"/>
        <w:rPr>
          <w:szCs w:val="24"/>
          <w:lang w:eastAsia="en-US"/>
        </w:rPr>
      </w:pPr>
      <w:r w:rsidRPr="00AA7DF5">
        <w:rPr>
          <w:szCs w:val="24"/>
          <w:lang w:eastAsia="en-US"/>
        </w:rPr>
        <w:t>Os métodos utilizados para o estabelecimento de NQA para os poluentes específicos das bacias hidrográficas devem incluir as seguintes etapas:</w:t>
      </w:r>
    </w:p>
    <w:p w14:paraId="7FC77109"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a)</w:t>
      </w:r>
      <w:r w:rsidRPr="00AA7DF5">
        <w:rPr>
          <w:szCs w:val="24"/>
          <w:lang w:eastAsia="en-US"/>
        </w:rPr>
        <w:tab/>
        <w:t>Identificação dos recetores e compartimentos ou matrizes expostos ao perigo da substância que suscita preocupação;</w:t>
      </w:r>
    </w:p>
    <w:p w14:paraId="214866EC"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b)</w:t>
      </w:r>
      <w:r w:rsidRPr="00AA7DF5">
        <w:rPr>
          <w:szCs w:val="24"/>
          <w:lang w:eastAsia="en-US"/>
        </w:rPr>
        <w:tab/>
        <w:t xml:space="preserve">Recolha e avaliação da qualidade dos dados sobre as propriedades da substância que suscita preocupação (incluindo a sua (eco)toxicidade), em particular de relatórios de estudos laboratoriais, de </w:t>
      </w:r>
      <w:proofErr w:type="spellStart"/>
      <w:r w:rsidRPr="00AA7DF5">
        <w:rPr>
          <w:szCs w:val="24"/>
          <w:lang w:eastAsia="en-US"/>
        </w:rPr>
        <w:t>mesocosmos</w:t>
      </w:r>
      <w:proofErr w:type="spellEnd"/>
      <w:r w:rsidRPr="00AA7DF5">
        <w:rPr>
          <w:szCs w:val="24"/>
          <w:lang w:eastAsia="en-US"/>
        </w:rPr>
        <w:t xml:space="preserve"> e de campo que abranjam os efeitos crónicos e agudos em ambientes de água doce e de água salgada;</w:t>
      </w:r>
    </w:p>
    <w:p w14:paraId="3A5A4A98" w14:textId="77777777" w:rsidR="006D48D8" w:rsidRPr="00AA7DF5" w:rsidRDefault="006D48D8">
      <w:pPr>
        <w:widowControl/>
        <w:rPr>
          <w:szCs w:val="24"/>
          <w:lang w:eastAsia="en-US"/>
        </w:rPr>
      </w:pPr>
      <w:r w:rsidRPr="00AA7DF5">
        <w:rPr>
          <w:szCs w:val="24"/>
          <w:lang w:eastAsia="en-US"/>
        </w:rPr>
        <w:br w:type="page"/>
      </w:r>
    </w:p>
    <w:p w14:paraId="71A140ED" w14:textId="3025EF4E" w:rsidR="002E0FC5" w:rsidRPr="00AA7DF5" w:rsidRDefault="002E0FC5" w:rsidP="002E0FC5">
      <w:pPr>
        <w:spacing w:before="120" w:after="120" w:line="360" w:lineRule="auto"/>
        <w:ind w:left="1416" w:hanging="566"/>
        <w:rPr>
          <w:szCs w:val="24"/>
          <w:lang w:eastAsia="en-US"/>
        </w:rPr>
      </w:pPr>
      <w:r w:rsidRPr="00AA7DF5">
        <w:rPr>
          <w:szCs w:val="24"/>
          <w:lang w:eastAsia="en-US"/>
        </w:rPr>
        <w:lastRenderedPageBreak/>
        <w:t>c)</w:t>
      </w:r>
      <w:r w:rsidRPr="00AA7DF5">
        <w:rPr>
          <w:szCs w:val="24"/>
          <w:lang w:eastAsia="en-US"/>
        </w:rPr>
        <w:tab/>
        <w:t>Extrapolação de dados de (eco)toxicidade para concentrações sem efeitos ou semelhantes, utilizando métodos determinísticos ou probabilísticos, e seleção e aplicação de fatores de avaliação adequados para fazer face às incertezas e derivar NQA;</w:t>
      </w:r>
    </w:p>
    <w:p w14:paraId="5244B217" w14:textId="77777777" w:rsidR="002E0FC5" w:rsidRPr="00AA7DF5" w:rsidRDefault="002E0FC5" w:rsidP="002E0FC5">
      <w:pPr>
        <w:spacing w:before="120" w:after="120" w:line="360" w:lineRule="auto"/>
        <w:ind w:left="1416" w:hanging="566"/>
        <w:rPr>
          <w:szCs w:val="24"/>
          <w:lang w:eastAsia="en-US"/>
        </w:rPr>
      </w:pPr>
      <w:r w:rsidRPr="00AA7DF5">
        <w:rPr>
          <w:szCs w:val="24"/>
          <w:lang w:eastAsia="en-US"/>
        </w:rPr>
        <w:t>d)</w:t>
      </w:r>
      <w:r w:rsidRPr="00AA7DF5">
        <w:rPr>
          <w:szCs w:val="24"/>
          <w:lang w:eastAsia="en-US"/>
        </w:rPr>
        <w:tab/>
        <w:t>Comparação das NQA para diferentes recetores e compartimentos e seleção de NQA críticas, ou seja, as NQA que proporcionam proteção ao recetor mais sensível no compartimento ou matriz mais relevante.</w:t>
      </w:r>
    </w:p>
    <w:p w14:paraId="30710F12" w14:textId="73210171" w:rsidR="002E0FC5" w:rsidRPr="00AA7DF5" w:rsidRDefault="002E0FC5" w:rsidP="002E0FC5">
      <w:pPr>
        <w:spacing w:before="120" w:after="120" w:line="360" w:lineRule="auto"/>
        <w:ind w:left="1416" w:hanging="566"/>
        <w:rPr>
          <w:b/>
          <w:szCs w:val="24"/>
          <w:lang w:eastAsia="en-US"/>
        </w:rPr>
      </w:pPr>
      <w:proofErr w:type="spellStart"/>
      <w:r w:rsidRPr="00AA7DF5">
        <w:rPr>
          <w:b/>
          <w:i/>
          <w:szCs w:val="24"/>
          <w:lang w:eastAsia="en-US"/>
        </w:rPr>
        <w:t>d</w:t>
      </w:r>
      <w:r w:rsidR="006D48D8" w:rsidRPr="00AA7DF5">
        <w:rPr>
          <w:b/>
          <w:i/>
          <w:szCs w:val="24"/>
          <w:lang w:eastAsia="en-US"/>
        </w:rPr>
        <w:t>-A</w:t>
      </w:r>
      <w:proofErr w:type="spellEnd"/>
      <w:r w:rsidRPr="00AA7DF5">
        <w:rPr>
          <w:b/>
          <w:i/>
          <w:szCs w:val="24"/>
          <w:lang w:eastAsia="en-US"/>
        </w:rPr>
        <w:t>)</w:t>
      </w:r>
      <w:r w:rsidRPr="00AA7DF5">
        <w:rPr>
          <w:szCs w:val="24"/>
          <w:lang w:eastAsia="en-US"/>
        </w:rPr>
        <w:tab/>
      </w:r>
      <w:r w:rsidRPr="00AA7DF5">
        <w:rPr>
          <w:b/>
          <w:i/>
          <w:szCs w:val="24"/>
          <w:lang w:eastAsia="en-US"/>
        </w:rPr>
        <w:t>Ao definir as NQA para os metais, devem ser considerados modelos de biodisponibilidade, a fim de ter em conta diferentes parâmetros de qualidade da água que afetam a biodisponibilidade dos metais.</w:t>
      </w:r>
      <w:r w:rsidR="006D48D8" w:rsidRPr="00AA7DF5">
        <w:rPr>
          <w:b/>
          <w:szCs w:val="24"/>
          <w:lang w:eastAsia="en-US"/>
        </w:rPr>
        <w:t xml:space="preserve"> [Alt. 156]</w:t>
      </w:r>
    </w:p>
    <w:p w14:paraId="161EFFC6" w14:textId="77777777" w:rsidR="006D48D8" w:rsidRPr="00AA7DF5" w:rsidRDefault="006D48D8" w:rsidP="002E0FC5">
      <w:pPr>
        <w:spacing w:before="120" w:after="120" w:line="360" w:lineRule="auto"/>
        <w:ind w:left="850"/>
        <w:rPr>
          <w:szCs w:val="24"/>
          <w:lang w:eastAsia="en-US"/>
        </w:rPr>
        <w:sectPr w:rsidR="006D48D8" w:rsidRPr="00AA7DF5" w:rsidSect="009D04C0">
          <w:footerReference w:type="defaul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5C02E5" w14:textId="7E5175BE" w:rsidR="002E0FC5" w:rsidRPr="00AA7DF5" w:rsidRDefault="002E0FC5" w:rsidP="002E0FC5">
      <w:pPr>
        <w:spacing w:before="120" w:after="120" w:line="360" w:lineRule="auto"/>
        <w:ind w:left="850"/>
        <w:rPr>
          <w:szCs w:val="24"/>
          <w:lang w:eastAsia="en-US"/>
        </w:rPr>
      </w:pPr>
      <w:r w:rsidRPr="00AA7DF5">
        <w:rPr>
          <w:szCs w:val="24"/>
          <w:lang w:eastAsia="en-US"/>
        </w:rPr>
        <w:lastRenderedPageBreak/>
        <w:t>PARTE C: REPOSITÓRIO DE NORMAS DE QUALIDADE AMBIENTAL HARMONIZADAS PARA OS POLUENTES ESPECÍFICOS DAS BACIAS HIDROGRÁFICAS</w:t>
      </w:r>
    </w:p>
    <w:tbl>
      <w:tblPr>
        <w:tblStyle w:val="TableGrid5"/>
        <w:tblW w:w="5000" w:type="pct"/>
        <w:tblLook w:val="04A0" w:firstRow="1" w:lastRow="0" w:firstColumn="1" w:lastColumn="0" w:noHBand="0" w:noVBand="1"/>
      </w:tblPr>
      <w:tblGrid>
        <w:gridCol w:w="1136"/>
        <w:gridCol w:w="1502"/>
        <w:gridCol w:w="1713"/>
        <w:gridCol w:w="1530"/>
        <w:gridCol w:w="1383"/>
        <w:gridCol w:w="1363"/>
        <w:gridCol w:w="1163"/>
        <w:gridCol w:w="1363"/>
        <w:gridCol w:w="1409"/>
        <w:gridCol w:w="1714"/>
      </w:tblGrid>
      <w:tr w:rsidR="00686855" w:rsidRPr="00AA7DF5" w14:paraId="774904B2" w14:textId="77777777" w:rsidTr="00686855">
        <w:tc>
          <w:tcPr>
            <w:tcW w:w="278" w:type="pct"/>
          </w:tcPr>
          <w:p w14:paraId="68461E3E"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[Rubrica] N.º</w:t>
            </w:r>
          </w:p>
        </w:tc>
        <w:tc>
          <w:tcPr>
            <w:tcW w:w="590" w:type="pct"/>
          </w:tcPr>
          <w:p w14:paraId="65031C0B" w14:textId="77777777" w:rsidR="00686855" w:rsidRPr="00AA7DF5" w:rsidRDefault="00686855" w:rsidP="00686855">
            <w:pPr>
              <w:widowControl/>
              <w:spacing w:before="120" w:after="120"/>
              <w:rPr>
                <w:rFonts w:ascii="Times New Roman" w:hAnsi="Times New Roman"/>
                <w:noProof/>
                <w:szCs w:val="24"/>
              </w:rPr>
            </w:pPr>
            <w:r w:rsidRPr="00AA7DF5">
              <w:rPr>
                <w:rFonts w:ascii="Times New Roman" w:hAnsi="Times New Roman"/>
                <w:noProof/>
                <w:szCs w:val="24"/>
              </w:rPr>
              <w:t>Nome da substância</w:t>
            </w:r>
          </w:p>
        </w:tc>
        <w:tc>
          <w:tcPr>
            <w:tcW w:w="664" w:type="pct"/>
          </w:tcPr>
          <w:p w14:paraId="4357C4F0"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Categoria de substâncias</w:t>
            </w:r>
          </w:p>
        </w:tc>
        <w:tc>
          <w:tcPr>
            <w:tcW w:w="517" w:type="pct"/>
          </w:tcPr>
          <w:p w14:paraId="192AF718"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Número CAS (</w:t>
            </w:r>
            <w:r w:rsidRPr="00AA7DF5">
              <w:rPr>
                <w:rFonts w:ascii="Times New Roman" w:hAnsi="Times New Roman"/>
                <w:noProof/>
                <w:szCs w:val="24"/>
                <w:vertAlign w:val="superscript"/>
              </w:rPr>
              <w:t>1</w:t>
            </w:r>
            <w:r w:rsidRPr="00AA7DF5">
              <w:rPr>
                <w:rFonts w:ascii="Times New Roman" w:hAnsi="Times New Roman"/>
                <w:noProof/>
                <w:szCs w:val="24"/>
              </w:rPr>
              <w:t>)</w:t>
            </w:r>
          </w:p>
        </w:tc>
        <w:tc>
          <w:tcPr>
            <w:tcW w:w="516" w:type="pct"/>
          </w:tcPr>
          <w:p w14:paraId="20560746"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Número EU (</w:t>
            </w:r>
            <w:r w:rsidRPr="00AA7DF5">
              <w:rPr>
                <w:rFonts w:ascii="Times New Roman" w:hAnsi="Times New Roman"/>
                <w:noProof/>
                <w:szCs w:val="24"/>
                <w:vertAlign w:val="superscript"/>
              </w:rPr>
              <w:t>2</w:t>
            </w:r>
            <w:r w:rsidRPr="00AA7DF5">
              <w:rPr>
                <w:rFonts w:ascii="Times New Roman" w:hAnsi="Times New Roman"/>
                <w:noProof/>
                <w:szCs w:val="24"/>
              </w:rPr>
              <w:t>)</w:t>
            </w:r>
          </w:p>
        </w:tc>
        <w:tc>
          <w:tcPr>
            <w:tcW w:w="369" w:type="pct"/>
          </w:tcPr>
          <w:p w14:paraId="1F61BAB5"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NQA-MA (</w:t>
            </w:r>
            <w:r w:rsidRPr="00AA7DF5">
              <w:rPr>
                <w:rFonts w:ascii="Times New Roman" w:hAnsi="Times New Roman"/>
                <w:noProof/>
                <w:szCs w:val="24"/>
                <w:vertAlign w:val="superscript"/>
              </w:rPr>
              <w:t>3</w:t>
            </w:r>
            <w:r w:rsidRPr="00AA7DF5">
              <w:rPr>
                <w:rFonts w:ascii="Times New Roman" w:hAnsi="Times New Roman"/>
                <w:noProof/>
                <w:szCs w:val="24"/>
              </w:rPr>
              <w:t xml:space="preserve">) </w:t>
            </w:r>
          </w:p>
          <w:p w14:paraId="03448707"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Águas de superfície interiores(</w:t>
            </w:r>
            <w:r w:rsidRPr="00AA7DF5">
              <w:rPr>
                <w:rFonts w:ascii="Times New Roman" w:hAnsi="Times New Roman"/>
                <w:noProof/>
                <w:szCs w:val="24"/>
                <w:vertAlign w:val="superscript"/>
              </w:rPr>
              <w:t>4</w:t>
            </w:r>
            <w:r w:rsidRPr="00AA7DF5">
              <w:rPr>
                <w:rFonts w:ascii="Times New Roman" w:hAnsi="Times New Roman"/>
                <w:noProof/>
                <w:szCs w:val="24"/>
              </w:rPr>
              <w:t>)</w:t>
            </w:r>
          </w:p>
          <w:p w14:paraId="76FCBFC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[µg/l]</w:t>
            </w:r>
          </w:p>
        </w:tc>
        <w:tc>
          <w:tcPr>
            <w:tcW w:w="369" w:type="pct"/>
          </w:tcPr>
          <w:p w14:paraId="595623E3" w14:textId="77777777" w:rsidR="00686855" w:rsidRPr="00AA7DF5" w:rsidRDefault="00686855" w:rsidP="00686855">
            <w:pPr>
              <w:widowControl/>
              <w:spacing w:before="40" w:after="40"/>
              <w:rPr>
                <w:rFonts w:ascii="Times New Roman" w:hAnsi="Times New Roman"/>
                <w:noProof/>
                <w:szCs w:val="24"/>
                <w:vertAlign w:val="superscript"/>
              </w:rPr>
            </w:pPr>
            <w:r w:rsidRPr="00AA7DF5">
              <w:rPr>
                <w:rFonts w:ascii="Times New Roman" w:hAnsi="Times New Roman"/>
                <w:noProof/>
                <w:szCs w:val="24"/>
              </w:rPr>
              <w:t>NQA-MA (</w:t>
            </w:r>
            <w:r w:rsidRPr="00AA7DF5">
              <w:rPr>
                <w:rFonts w:ascii="Times New Roman" w:hAnsi="Times New Roman"/>
                <w:noProof/>
                <w:szCs w:val="24"/>
                <w:vertAlign w:val="superscript"/>
              </w:rPr>
              <w:t>3</w:t>
            </w:r>
            <w:r w:rsidRPr="00AA7DF5">
              <w:rPr>
                <w:rFonts w:ascii="Times New Roman" w:hAnsi="Times New Roman"/>
                <w:noProof/>
                <w:szCs w:val="24"/>
              </w:rPr>
              <w:t>)</w:t>
            </w:r>
          </w:p>
          <w:p w14:paraId="58ABB047"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 xml:space="preserve">Outras águas de superfície </w:t>
            </w:r>
          </w:p>
          <w:p w14:paraId="4D967473"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[µg/l]</w:t>
            </w:r>
          </w:p>
        </w:tc>
        <w:tc>
          <w:tcPr>
            <w:tcW w:w="443" w:type="pct"/>
          </w:tcPr>
          <w:p w14:paraId="1FFE45C2"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NQA-CMA (</w:t>
            </w:r>
            <w:r w:rsidRPr="00AA7DF5">
              <w:rPr>
                <w:rFonts w:ascii="Times New Roman" w:hAnsi="Times New Roman"/>
                <w:noProof/>
                <w:szCs w:val="24"/>
                <w:vertAlign w:val="superscript"/>
              </w:rPr>
              <w:t>5</w:t>
            </w:r>
            <w:r w:rsidRPr="00AA7DF5">
              <w:rPr>
                <w:rFonts w:ascii="Times New Roman" w:hAnsi="Times New Roman"/>
                <w:noProof/>
                <w:szCs w:val="24"/>
              </w:rPr>
              <w:t xml:space="preserve">) </w:t>
            </w:r>
          </w:p>
          <w:p w14:paraId="78C6DF1E" w14:textId="77777777" w:rsidR="00686855" w:rsidRPr="00AA7DF5" w:rsidRDefault="00686855" w:rsidP="00686855">
            <w:pPr>
              <w:widowControl/>
              <w:spacing w:before="40" w:after="40"/>
              <w:rPr>
                <w:rFonts w:ascii="Times New Roman" w:hAnsi="Times New Roman"/>
                <w:noProof/>
                <w:szCs w:val="24"/>
                <w:vertAlign w:val="superscript"/>
              </w:rPr>
            </w:pPr>
            <w:r w:rsidRPr="00AA7DF5">
              <w:rPr>
                <w:rFonts w:ascii="Times New Roman" w:hAnsi="Times New Roman"/>
                <w:noProof/>
                <w:szCs w:val="24"/>
              </w:rPr>
              <w:t>Águas de superfície interiores(</w:t>
            </w:r>
            <w:r w:rsidRPr="00AA7DF5">
              <w:rPr>
                <w:rFonts w:ascii="Times New Roman" w:hAnsi="Times New Roman"/>
                <w:noProof/>
                <w:szCs w:val="24"/>
                <w:vertAlign w:val="superscript"/>
              </w:rPr>
              <w:t>4</w:t>
            </w:r>
            <w:r w:rsidRPr="00AA7DF5">
              <w:rPr>
                <w:rFonts w:ascii="Times New Roman" w:hAnsi="Times New Roman"/>
                <w:noProof/>
                <w:szCs w:val="24"/>
              </w:rPr>
              <w:t>)</w:t>
            </w:r>
          </w:p>
          <w:p w14:paraId="006A7238" w14:textId="77777777" w:rsidR="00686855" w:rsidRPr="00AA7DF5" w:rsidRDefault="00686855" w:rsidP="00686855">
            <w:pPr>
              <w:widowControl/>
              <w:spacing w:before="40" w:after="40"/>
              <w:rPr>
                <w:rFonts w:ascii="Times New Roman" w:hAnsi="Times New Roman"/>
                <w:noProof/>
                <w:szCs w:val="24"/>
                <w:vertAlign w:val="superscript"/>
              </w:rPr>
            </w:pPr>
            <w:r w:rsidRPr="00AA7DF5">
              <w:rPr>
                <w:rFonts w:ascii="Times New Roman" w:hAnsi="Times New Roman"/>
                <w:noProof/>
                <w:szCs w:val="24"/>
              </w:rPr>
              <w:t xml:space="preserve"> </w:t>
            </w:r>
          </w:p>
          <w:p w14:paraId="0EAC8C9D"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[µg/l]</w:t>
            </w:r>
          </w:p>
        </w:tc>
        <w:tc>
          <w:tcPr>
            <w:tcW w:w="590" w:type="pct"/>
          </w:tcPr>
          <w:p w14:paraId="0C9B1458"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NQA-CMA (</w:t>
            </w:r>
            <w:r w:rsidRPr="00AA7DF5">
              <w:rPr>
                <w:rFonts w:ascii="Times New Roman" w:hAnsi="Times New Roman"/>
                <w:noProof/>
                <w:szCs w:val="24"/>
                <w:vertAlign w:val="superscript"/>
              </w:rPr>
              <w:t>5</w:t>
            </w:r>
            <w:r w:rsidRPr="00AA7DF5">
              <w:rPr>
                <w:rFonts w:ascii="Times New Roman" w:hAnsi="Times New Roman"/>
                <w:noProof/>
                <w:szCs w:val="24"/>
              </w:rPr>
              <w:t>)</w:t>
            </w:r>
          </w:p>
          <w:p w14:paraId="34682084"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Outras águas de superfície</w:t>
            </w:r>
          </w:p>
          <w:p w14:paraId="19B42E0D"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[µg/l]</w:t>
            </w:r>
          </w:p>
        </w:tc>
        <w:tc>
          <w:tcPr>
            <w:tcW w:w="664" w:type="pct"/>
            <w:tcBorders>
              <w:right w:val="single" w:sz="4" w:space="0" w:color="auto"/>
            </w:tcBorders>
          </w:tcPr>
          <w:p w14:paraId="30576C7F"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NQA</w:t>
            </w:r>
          </w:p>
          <w:p w14:paraId="24EA1613" w14:textId="77777777" w:rsidR="00686855" w:rsidRPr="00AA7DF5" w:rsidRDefault="00686855" w:rsidP="00686855">
            <w:pPr>
              <w:widowControl/>
              <w:spacing w:before="40" w:after="40"/>
              <w:rPr>
                <w:rFonts w:ascii="Times New Roman" w:hAnsi="Times New Roman"/>
                <w:noProof/>
                <w:szCs w:val="24"/>
              </w:rPr>
            </w:pPr>
            <w:r w:rsidRPr="00AA7DF5">
              <w:rPr>
                <w:rFonts w:ascii="Times New Roman" w:hAnsi="Times New Roman"/>
                <w:noProof/>
                <w:szCs w:val="24"/>
              </w:rPr>
              <w:t>para o biota (</w:t>
            </w:r>
            <w:r w:rsidRPr="00AA7DF5">
              <w:rPr>
                <w:rFonts w:ascii="Times New Roman" w:hAnsi="Times New Roman"/>
                <w:noProof/>
                <w:szCs w:val="24"/>
                <w:vertAlign w:val="superscript"/>
              </w:rPr>
              <w:t>6</w:t>
            </w:r>
            <w:r w:rsidRPr="00AA7DF5">
              <w:rPr>
                <w:rFonts w:ascii="Times New Roman" w:hAnsi="Times New Roman"/>
                <w:noProof/>
                <w:szCs w:val="24"/>
              </w:rPr>
              <w:t>)</w:t>
            </w:r>
          </w:p>
          <w:p w14:paraId="435D8F23"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[µg/kg de massa húmida] ou, quando indicado, NQA para sedimentos [µg/kg de massa seca]</w:t>
            </w:r>
          </w:p>
        </w:tc>
      </w:tr>
      <w:tr w:rsidR="00686855" w:rsidRPr="00AA7DF5" w14:paraId="36BDE336" w14:textId="77777777" w:rsidTr="00686855">
        <w:tc>
          <w:tcPr>
            <w:tcW w:w="278" w:type="pct"/>
          </w:tcPr>
          <w:p w14:paraId="4746140E"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1</w:t>
            </w:r>
          </w:p>
        </w:tc>
        <w:tc>
          <w:tcPr>
            <w:tcW w:w="590" w:type="pct"/>
            <w:tcMar>
              <w:left w:w="57" w:type="dxa"/>
              <w:right w:w="57" w:type="dxa"/>
            </w:tcMar>
          </w:tcPr>
          <w:p w14:paraId="667C2C6F" w14:textId="77777777" w:rsidR="00686855" w:rsidRPr="00AA7DF5" w:rsidRDefault="00686855" w:rsidP="00686855">
            <w:pPr>
              <w:widowControl/>
              <w:spacing w:before="120" w:after="120"/>
              <w:rPr>
                <w:rFonts w:ascii="Times New Roman" w:hAnsi="Times New Roman"/>
                <w:noProof/>
                <w:szCs w:val="24"/>
              </w:rPr>
            </w:pPr>
            <w:r w:rsidRPr="00AA7DF5">
              <w:rPr>
                <w:rFonts w:ascii="Times New Roman" w:hAnsi="Times New Roman"/>
                <w:noProof/>
                <w:szCs w:val="24"/>
              </w:rPr>
              <w:t>Alacloro (</w:t>
            </w:r>
            <w:r w:rsidRPr="00AA7DF5">
              <w:rPr>
                <w:rFonts w:ascii="Times New Roman" w:hAnsi="Times New Roman"/>
                <w:noProof/>
                <w:szCs w:val="24"/>
                <w:vertAlign w:val="superscript"/>
              </w:rPr>
              <w:t>7</w:t>
            </w:r>
            <w:r w:rsidRPr="00AA7DF5">
              <w:rPr>
                <w:rFonts w:ascii="Times New Roman" w:hAnsi="Times New Roman"/>
                <w:noProof/>
                <w:szCs w:val="24"/>
              </w:rPr>
              <w:t>)</w:t>
            </w:r>
          </w:p>
        </w:tc>
        <w:tc>
          <w:tcPr>
            <w:tcW w:w="664" w:type="pct"/>
          </w:tcPr>
          <w:p w14:paraId="44C185E0"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Pesticidas</w:t>
            </w:r>
          </w:p>
        </w:tc>
        <w:tc>
          <w:tcPr>
            <w:tcW w:w="517" w:type="pct"/>
            <w:tcMar>
              <w:left w:w="28" w:type="dxa"/>
              <w:right w:w="28" w:type="dxa"/>
            </w:tcMar>
          </w:tcPr>
          <w:p w14:paraId="4F39BD43"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15972-60-8</w:t>
            </w:r>
          </w:p>
        </w:tc>
        <w:tc>
          <w:tcPr>
            <w:tcW w:w="516" w:type="pct"/>
          </w:tcPr>
          <w:p w14:paraId="751E99D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240-110-8</w:t>
            </w:r>
          </w:p>
        </w:tc>
        <w:tc>
          <w:tcPr>
            <w:tcW w:w="369" w:type="pct"/>
          </w:tcPr>
          <w:p w14:paraId="3200B98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0,3</w:t>
            </w:r>
          </w:p>
        </w:tc>
        <w:tc>
          <w:tcPr>
            <w:tcW w:w="369" w:type="pct"/>
          </w:tcPr>
          <w:p w14:paraId="60DA4396"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0,3</w:t>
            </w:r>
          </w:p>
        </w:tc>
        <w:tc>
          <w:tcPr>
            <w:tcW w:w="443" w:type="pct"/>
          </w:tcPr>
          <w:p w14:paraId="305FBFA3"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0,7</w:t>
            </w:r>
          </w:p>
        </w:tc>
        <w:tc>
          <w:tcPr>
            <w:tcW w:w="590" w:type="pct"/>
          </w:tcPr>
          <w:p w14:paraId="6447AA80"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0,7</w:t>
            </w:r>
          </w:p>
        </w:tc>
        <w:tc>
          <w:tcPr>
            <w:tcW w:w="664" w:type="pct"/>
          </w:tcPr>
          <w:p w14:paraId="2C64EBFC" w14:textId="77777777" w:rsidR="00686855" w:rsidRPr="00AA7DF5" w:rsidRDefault="00686855" w:rsidP="00686855">
            <w:pPr>
              <w:widowControl/>
              <w:spacing w:before="120" w:after="120"/>
              <w:jc w:val="both"/>
              <w:rPr>
                <w:rFonts w:ascii="Times New Roman" w:hAnsi="Times New Roman"/>
                <w:noProof/>
                <w:szCs w:val="24"/>
              </w:rPr>
            </w:pPr>
          </w:p>
        </w:tc>
      </w:tr>
      <w:tr w:rsidR="00686855" w:rsidRPr="00AA7DF5" w14:paraId="3114A33A" w14:textId="77777777" w:rsidTr="00686855">
        <w:tc>
          <w:tcPr>
            <w:tcW w:w="278" w:type="pct"/>
          </w:tcPr>
          <w:p w14:paraId="2DC25F1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2</w:t>
            </w:r>
          </w:p>
        </w:tc>
        <w:tc>
          <w:tcPr>
            <w:tcW w:w="590" w:type="pct"/>
            <w:tcMar>
              <w:left w:w="57" w:type="dxa"/>
              <w:right w:w="57" w:type="dxa"/>
            </w:tcMar>
          </w:tcPr>
          <w:p w14:paraId="14C6D258" w14:textId="77777777" w:rsidR="00686855" w:rsidRPr="00AA7DF5" w:rsidRDefault="00686855" w:rsidP="00686855">
            <w:pPr>
              <w:widowControl/>
              <w:spacing w:before="120" w:after="120"/>
              <w:rPr>
                <w:rFonts w:ascii="Times New Roman" w:hAnsi="Times New Roman"/>
                <w:noProof/>
                <w:szCs w:val="24"/>
              </w:rPr>
            </w:pPr>
            <w:r w:rsidRPr="00AA7DF5">
              <w:rPr>
                <w:rFonts w:ascii="Times New Roman" w:hAnsi="Times New Roman"/>
                <w:noProof/>
                <w:szCs w:val="24"/>
              </w:rPr>
              <w:t>Tetracloreto de carbono (</w:t>
            </w:r>
            <w:r w:rsidRPr="00AA7DF5">
              <w:rPr>
                <w:rFonts w:ascii="Times New Roman" w:hAnsi="Times New Roman"/>
                <w:noProof/>
                <w:szCs w:val="24"/>
                <w:vertAlign w:val="superscript"/>
              </w:rPr>
              <w:t>7</w:t>
            </w:r>
            <w:r w:rsidRPr="00AA7DF5">
              <w:rPr>
                <w:rFonts w:ascii="Times New Roman" w:hAnsi="Times New Roman"/>
                <w:noProof/>
                <w:szCs w:val="24"/>
              </w:rPr>
              <w:t>)</w:t>
            </w:r>
          </w:p>
        </w:tc>
        <w:tc>
          <w:tcPr>
            <w:tcW w:w="664" w:type="pct"/>
          </w:tcPr>
          <w:p w14:paraId="2A803D68"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Substâncias industriais</w:t>
            </w:r>
          </w:p>
        </w:tc>
        <w:tc>
          <w:tcPr>
            <w:tcW w:w="517" w:type="pct"/>
            <w:tcMar>
              <w:left w:w="28" w:type="dxa"/>
              <w:right w:w="28" w:type="dxa"/>
            </w:tcMar>
          </w:tcPr>
          <w:p w14:paraId="14C0848B"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56-23-5</w:t>
            </w:r>
          </w:p>
        </w:tc>
        <w:tc>
          <w:tcPr>
            <w:tcW w:w="516" w:type="pct"/>
          </w:tcPr>
          <w:p w14:paraId="38A98018"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200-262-8</w:t>
            </w:r>
          </w:p>
        </w:tc>
        <w:tc>
          <w:tcPr>
            <w:tcW w:w="369" w:type="pct"/>
          </w:tcPr>
          <w:p w14:paraId="59A3EA04"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 xml:space="preserve">12 </w:t>
            </w:r>
          </w:p>
        </w:tc>
        <w:tc>
          <w:tcPr>
            <w:tcW w:w="369" w:type="pct"/>
          </w:tcPr>
          <w:p w14:paraId="0055785E"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12</w:t>
            </w:r>
          </w:p>
        </w:tc>
        <w:tc>
          <w:tcPr>
            <w:tcW w:w="443" w:type="pct"/>
          </w:tcPr>
          <w:p w14:paraId="69F76A9D"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não aplicável</w:t>
            </w:r>
          </w:p>
        </w:tc>
        <w:tc>
          <w:tcPr>
            <w:tcW w:w="590" w:type="pct"/>
          </w:tcPr>
          <w:p w14:paraId="53C1F94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não aplicável</w:t>
            </w:r>
          </w:p>
        </w:tc>
        <w:tc>
          <w:tcPr>
            <w:tcW w:w="664" w:type="pct"/>
          </w:tcPr>
          <w:p w14:paraId="538504C4" w14:textId="77777777" w:rsidR="00686855" w:rsidRPr="00AA7DF5" w:rsidRDefault="00686855" w:rsidP="00686855">
            <w:pPr>
              <w:widowControl/>
              <w:spacing w:before="120" w:after="120"/>
              <w:jc w:val="both"/>
              <w:rPr>
                <w:rFonts w:ascii="Times New Roman" w:hAnsi="Times New Roman"/>
                <w:noProof/>
                <w:szCs w:val="24"/>
              </w:rPr>
            </w:pPr>
          </w:p>
        </w:tc>
      </w:tr>
      <w:tr w:rsidR="00686855" w:rsidRPr="00AA7DF5" w14:paraId="37C9B62D" w14:textId="77777777" w:rsidTr="00686855">
        <w:tc>
          <w:tcPr>
            <w:tcW w:w="278" w:type="pct"/>
          </w:tcPr>
          <w:p w14:paraId="7FC6C19B"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3</w:t>
            </w:r>
          </w:p>
        </w:tc>
        <w:tc>
          <w:tcPr>
            <w:tcW w:w="590" w:type="pct"/>
            <w:tcMar>
              <w:left w:w="57" w:type="dxa"/>
              <w:right w:w="57" w:type="dxa"/>
            </w:tcMar>
          </w:tcPr>
          <w:p w14:paraId="06FE59D6" w14:textId="77777777" w:rsidR="00686855" w:rsidRPr="00AA7DF5" w:rsidRDefault="00686855" w:rsidP="00686855">
            <w:pPr>
              <w:widowControl/>
              <w:spacing w:before="120" w:after="120"/>
              <w:rPr>
                <w:rFonts w:ascii="Times New Roman" w:hAnsi="Times New Roman"/>
                <w:noProof/>
                <w:szCs w:val="24"/>
              </w:rPr>
            </w:pPr>
            <w:r w:rsidRPr="00AA7DF5">
              <w:rPr>
                <w:rFonts w:ascii="Times New Roman" w:hAnsi="Times New Roman"/>
                <w:noProof/>
                <w:szCs w:val="24"/>
              </w:rPr>
              <w:t>Clorfenvinfos (</w:t>
            </w:r>
            <w:r w:rsidRPr="00AA7DF5">
              <w:rPr>
                <w:rFonts w:ascii="Times New Roman" w:hAnsi="Times New Roman"/>
                <w:noProof/>
                <w:szCs w:val="24"/>
                <w:vertAlign w:val="superscript"/>
              </w:rPr>
              <w:t>7</w:t>
            </w:r>
            <w:r w:rsidRPr="00AA7DF5">
              <w:rPr>
                <w:rFonts w:ascii="Times New Roman" w:hAnsi="Times New Roman"/>
                <w:noProof/>
                <w:szCs w:val="24"/>
              </w:rPr>
              <w:t>)</w:t>
            </w:r>
          </w:p>
        </w:tc>
        <w:tc>
          <w:tcPr>
            <w:tcW w:w="664" w:type="pct"/>
          </w:tcPr>
          <w:p w14:paraId="66C92A6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Pesticida</w:t>
            </w:r>
          </w:p>
        </w:tc>
        <w:tc>
          <w:tcPr>
            <w:tcW w:w="517" w:type="pct"/>
            <w:tcMar>
              <w:left w:w="28" w:type="dxa"/>
              <w:right w:w="28" w:type="dxa"/>
            </w:tcMar>
          </w:tcPr>
          <w:p w14:paraId="4E6C8C15"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470-90-6</w:t>
            </w:r>
          </w:p>
        </w:tc>
        <w:tc>
          <w:tcPr>
            <w:tcW w:w="516" w:type="pct"/>
          </w:tcPr>
          <w:p w14:paraId="3546D33A"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207-432-0</w:t>
            </w:r>
          </w:p>
        </w:tc>
        <w:tc>
          <w:tcPr>
            <w:tcW w:w="369" w:type="pct"/>
          </w:tcPr>
          <w:p w14:paraId="79222A7D"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0,1</w:t>
            </w:r>
          </w:p>
        </w:tc>
        <w:tc>
          <w:tcPr>
            <w:tcW w:w="369" w:type="pct"/>
          </w:tcPr>
          <w:p w14:paraId="2EC4F61F"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0,1</w:t>
            </w:r>
          </w:p>
        </w:tc>
        <w:tc>
          <w:tcPr>
            <w:tcW w:w="443" w:type="pct"/>
          </w:tcPr>
          <w:p w14:paraId="5522CEB7"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0,3</w:t>
            </w:r>
          </w:p>
        </w:tc>
        <w:tc>
          <w:tcPr>
            <w:tcW w:w="590" w:type="pct"/>
          </w:tcPr>
          <w:p w14:paraId="336118F3"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0,3</w:t>
            </w:r>
          </w:p>
        </w:tc>
        <w:tc>
          <w:tcPr>
            <w:tcW w:w="664" w:type="pct"/>
          </w:tcPr>
          <w:p w14:paraId="2F06ED48" w14:textId="77777777" w:rsidR="00686855" w:rsidRPr="00AA7DF5" w:rsidRDefault="00686855" w:rsidP="00686855">
            <w:pPr>
              <w:widowControl/>
              <w:spacing w:before="120" w:after="120"/>
              <w:jc w:val="both"/>
              <w:rPr>
                <w:rFonts w:ascii="Times New Roman" w:hAnsi="Times New Roman"/>
                <w:noProof/>
                <w:szCs w:val="24"/>
              </w:rPr>
            </w:pPr>
          </w:p>
        </w:tc>
      </w:tr>
      <w:tr w:rsidR="00686855" w:rsidRPr="00AA7DF5" w14:paraId="6047BF9D" w14:textId="77777777" w:rsidTr="00686855">
        <w:tc>
          <w:tcPr>
            <w:tcW w:w="278" w:type="pct"/>
          </w:tcPr>
          <w:p w14:paraId="505EC014"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4</w:t>
            </w:r>
          </w:p>
        </w:tc>
        <w:tc>
          <w:tcPr>
            <w:tcW w:w="590" w:type="pct"/>
            <w:tcMar>
              <w:left w:w="57" w:type="dxa"/>
              <w:right w:w="57" w:type="dxa"/>
            </w:tcMar>
          </w:tcPr>
          <w:p w14:paraId="5DFB9009" w14:textId="77777777" w:rsidR="00686855" w:rsidRPr="00AA7DF5" w:rsidRDefault="00686855" w:rsidP="00686855">
            <w:pPr>
              <w:widowControl/>
              <w:spacing w:before="120" w:after="120"/>
              <w:rPr>
                <w:rFonts w:ascii="Times New Roman" w:hAnsi="Times New Roman"/>
                <w:noProof/>
                <w:szCs w:val="24"/>
              </w:rPr>
            </w:pPr>
            <w:r w:rsidRPr="00AA7DF5">
              <w:rPr>
                <w:rFonts w:ascii="Times New Roman" w:hAnsi="Times New Roman"/>
                <w:noProof/>
                <w:szCs w:val="24"/>
              </w:rPr>
              <w:t>Simazina (</w:t>
            </w:r>
            <w:r w:rsidRPr="00AA7DF5">
              <w:rPr>
                <w:rFonts w:ascii="Times New Roman" w:hAnsi="Times New Roman"/>
                <w:noProof/>
                <w:szCs w:val="24"/>
                <w:vertAlign w:val="superscript"/>
              </w:rPr>
              <w:t>7</w:t>
            </w:r>
            <w:r w:rsidRPr="00AA7DF5">
              <w:rPr>
                <w:rFonts w:ascii="Times New Roman" w:hAnsi="Times New Roman"/>
                <w:noProof/>
                <w:szCs w:val="24"/>
              </w:rPr>
              <w:t>)</w:t>
            </w:r>
          </w:p>
        </w:tc>
        <w:tc>
          <w:tcPr>
            <w:tcW w:w="664" w:type="pct"/>
          </w:tcPr>
          <w:p w14:paraId="16D1A222"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Pesticida</w:t>
            </w:r>
          </w:p>
        </w:tc>
        <w:tc>
          <w:tcPr>
            <w:tcW w:w="517" w:type="pct"/>
            <w:tcMar>
              <w:left w:w="28" w:type="dxa"/>
              <w:right w:w="28" w:type="dxa"/>
            </w:tcMar>
          </w:tcPr>
          <w:p w14:paraId="0345A54F"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122-34-9</w:t>
            </w:r>
          </w:p>
        </w:tc>
        <w:tc>
          <w:tcPr>
            <w:tcW w:w="516" w:type="pct"/>
          </w:tcPr>
          <w:p w14:paraId="21E36898"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204-535-2</w:t>
            </w:r>
          </w:p>
        </w:tc>
        <w:tc>
          <w:tcPr>
            <w:tcW w:w="369" w:type="pct"/>
          </w:tcPr>
          <w:p w14:paraId="2C305F19"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1</w:t>
            </w:r>
          </w:p>
        </w:tc>
        <w:tc>
          <w:tcPr>
            <w:tcW w:w="369" w:type="pct"/>
          </w:tcPr>
          <w:p w14:paraId="56BCFE53"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1</w:t>
            </w:r>
          </w:p>
        </w:tc>
        <w:tc>
          <w:tcPr>
            <w:tcW w:w="443" w:type="pct"/>
          </w:tcPr>
          <w:p w14:paraId="2B75917E"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4</w:t>
            </w:r>
          </w:p>
        </w:tc>
        <w:tc>
          <w:tcPr>
            <w:tcW w:w="590" w:type="pct"/>
          </w:tcPr>
          <w:p w14:paraId="585B525C" w14:textId="77777777" w:rsidR="00686855" w:rsidRPr="00AA7DF5" w:rsidRDefault="00686855" w:rsidP="00686855">
            <w:pPr>
              <w:widowControl/>
              <w:spacing w:before="120" w:after="120"/>
              <w:jc w:val="both"/>
              <w:rPr>
                <w:rFonts w:ascii="Times New Roman" w:hAnsi="Times New Roman"/>
                <w:noProof/>
                <w:szCs w:val="24"/>
              </w:rPr>
            </w:pPr>
            <w:r w:rsidRPr="00AA7DF5">
              <w:rPr>
                <w:rFonts w:ascii="Times New Roman" w:hAnsi="Times New Roman"/>
                <w:noProof/>
                <w:szCs w:val="24"/>
              </w:rPr>
              <w:t>4</w:t>
            </w:r>
          </w:p>
        </w:tc>
        <w:tc>
          <w:tcPr>
            <w:tcW w:w="664" w:type="pct"/>
          </w:tcPr>
          <w:p w14:paraId="4273671E" w14:textId="77777777" w:rsidR="00686855" w:rsidRPr="00AA7DF5" w:rsidRDefault="00686855" w:rsidP="00686855">
            <w:pPr>
              <w:widowControl/>
              <w:spacing w:before="120" w:after="120"/>
              <w:jc w:val="both"/>
              <w:rPr>
                <w:rFonts w:ascii="Times New Roman" w:hAnsi="Times New Roman"/>
                <w:noProof/>
                <w:szCs w:val="24"/>
              </w:rPr>
            </w:pPr>
          </w:p>
        </w:tc>
      </w:tr>
    </w:tbl>
    <w:p w14:paraId="5D7C59CB" w14:textId="068DA84D" w:rsidR="00686855" w:rsidRPr="00AA7DF5" w:rsidRDefault="00686855" w:rsidP="002E0FC5">
      <w:pPr>
        <w:spacing w:before="120" w:after="120" w:line="360" w:lineRule="auto"/>
        <w:ind w:left="1416" w:hanging="566"/>
        <w:rPr>
          <w:szCs w:val="24"/>
          <w:lang w:eastAsia="en-US"/>
        </w:rPr>
      </w:pPr>
    </w:p>
    <w:p w14:paraId="037E4680" w14:textId="1E635CA4" w:rsidR="00686855" w:rsidRPr="00AA7DF5" w:rsidRDefault="00686855" w:rsidP="002E0FC5">
      <w:pPr>
        <w:spacing w:before="120" w:after="120" w:line="360" w:lineRule="auto"/>
        <w:ind w:left="1416" w:hanging="566"/>
        <w:rPr>
          <w:szCs w:val="24"/>
          <w:lang w:eastAsia="en-US"/>
        </w:rPr>
      </w:pPr>
    </w:p>
    <w:p w14:paraId="64E5C5A2" w14:textId="77777777" w:rsidR="00686855" w:rsidRPr="00AA7DF5" w:rsidRDefault="00686855" w:rsidP="002E0FC5">
      <w:pPr>
        <w:spacing w:before="120" w:after="120" w:line="360" w:lineRule="auto"/>
        <w:ind w:left="1416" w:hanging="566"/>
        <w:rPr>
          <w:szCs w:val="24"/>
          <w:lang w:eastAsia="en-US"/>
        </w:rPr>
        <w:sectPr w:rsidR="00686855" w:rsidRPr="00AA7DF5" w:rsidSect="00686855">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14:paraId="7466F4B6" w14:textId="0375E91B"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(1)</w:t>
      </w:r>
      <w:r w:rsidRPr="00AA7DF5">
        <w:rPr>
          <w:szCs w:val="24"/>
          <w:lang w:eastAsia="en-US"/>
        </w:rPr>
        <w:tab/>
        <w:t xml:space="preserve">CAS: </w:t>
      </w:r>
      <w:proofErr w:type="spellStart"/>
      <w:r w:rsidRPr="00AA7DF5">
        <w:rPr>
          <w:szCs w:val="24"/>
          <w:lang w:eastAsia="en-US"/>
        </w:rPr>
        <w:t>Chemical</w:t>
      </w:r>
      <w:proofErr w:type="spellEnd"/>
      <w:r w:rsidRPr="00AA7DF5">
        <w:rPr>
          <w:szCs w:val="24"/>
          <w:lang w:eastAsia="en-US"/>
        </w:rPr>
        <w:t xml:space="preserve"> </w:t>
      </w:r>
      <w:proofErr w:type="spellStart"/>
      <w:r w:rsidRPr="00AA7DF5">
        <w:rPr>
          <w:szCs w:val="24"/>
          <w:lang w:eastAsia="en-US"/>
        </w:rPr>
        <w:t>Abstracts</w:t>
      </w:r>
      <w:proofErr w:type="spellEnd"/>
      <w:r w:rsidRPr="00AA7DF5">
        <w:rPr>
          <w:szCs w:val="24"/>
          <w:lang w:eastAsia="en-US"/>
        </w:rPr>
        <w:t xml:space="preserve"> Service.</w:t>
      </w:r>
    </w:p>
    <w:p w14:paraId="2CC6E1B4"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(2)</w:t>
      </w:r>
      <w:r w:rsidRPr="00AA7DF5">
        <w:rPr>
          <w:szCs w:val="24"/>
          <w:lang w:eastAsia="en-US"/>
        </w:rPr>
        <w:tab/>
        <w:t>Número UE: Inventário Europeu das Substâncias Químicas Existentes no Mercado (EINECS) ou Lista Europeia das Substâncias Químicas Notificadas (ELINCS).</w:t>
      </w:r>
    </w:p>
    <w:p w14:paraId="64CD8C55"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(3)</w:t>
      </w:r>
      <w:r w:rsidRPr="00AA7DF5">
        <w:rPr>
          <w:szCs w:val="24"/>
          <w:lang w:eastAsia="en-US"/>
        </w:rPr>
        <w:tab/>
        <w:t>Este parâmetro constitui a NQA expressa em valor médio anual (NQA-MA). Salvo indicação em contrário, aplica-se à concentração total de todas as substâncias e isómeros.</w:t>
      </w:r>
    </w:p>
    <w:p w14:paraId="3C8D7FD5"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(4)</w:t>
      </w:r>
      <w:r w:rsidRPr="00AA7DF5">
        <w:rPr>
          <w:szCs w:val="24"/>
          <w:lang w:eastAsia="en-US"/>
        </w:rPr>
        <w:tab/>
        <w:t>As águas de superfície interiores compreendem os rios e lagos e as massas de água artificiais, ou fortemente modificadas, afins.</w:t>
      </w:r>
    </w:p>
    <w:p w14:paraId="1B6DD7E3" w14:textId="7777777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(5)</w:t>
      </w:r>
      <w:r w:rsidRPr="00AA7DF5">
        <w:rPr>
          <w:szCs w:val="24"/>
          <w:lang w:eastAsia="en-US"/>
        </w:rPr>
        <w:tab/>
        <w:t>Este parâmetro constitui a NQA expressa em concentração máxima admissível (NQA-CMA). A indicação «não aplicável» nesta coluna significa que se considera que os valores NQA-MA protegem contra os picos de poluição de curta duração em descargas contínuas, por serem significativamente inferiores aos valores determinados com base na toxicidade aguda.</w:t>
      </w:r>
    </w:p>
    <w:p w14:paraId="31F8620A" w14:textId="77777777" w:rsidR="00F33EDF" w:rsidRPr="00AA7DF5" w:rsidRDefault="00F33EDF">
      <w:pPr>
        <w:widowControl/>
        <w:rPr>
          <w:szCs w:val="24"/>
          <w:vertAlign w:val="superscript"/>
          <w:lang w:eastAsia="en-US"/>
        </w:rPr>
      </w:pPr>
      <w:r w:rsidRPr="00AA7DF5">
        <w:rPr>
          <w:szCs w:val="24"/>
          <w:vertAlign w:val="superscript"/>
          <w:lang w:eastAsia="en-US"/>
        </w:rPr>
        <w:br w:type="page"/>
      </w:r>
    </w:p>
    <w:p w14:paraId="5FFFDA35" w14:textId="4528314E"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lastRenderedPageBreak/>
        <w:t>(6)</w:t>
      </w:r>
      <w:r w:rsidRPr="00AA7DF5">
        <w:rPr>
          <w:szCs w:val="24"/>
          <w:lang w:eastAsia="en-US"/>
        </w:rPr>
        <w:tab/>
        <w:t>Se for indicada uma NQA para o biota, deve ser aplicada em vez da NQA para a água, sem prejuízo do disposto no artigo 3.º, n.º 3, da presente diretiva, que permite a monitorização de um táxon do biota alternativo ou de outra matriz, desde que a NQA aplicada proporcione um nível de proteção equivalente. Salvo indicação em contrário, a NQA para o biota diz respeito aos peixes.</w:t>
      </w:r>
    </w:p>
    <w:p w14:paraId="75630CAD" w14:textId="54413F97" w:rsidR="002E0FC5" w:rsidRPr="00AA7DF5" w:rsidRDefault="002E0FC5" w:rsidP="002E0FC5">
      <w:pPr>
        <w:spacing w:before="120" w:after="120" w:line="360" w:lineRule="auto"/>
        <w:ind w:left="1416" w:hanging="566"/>
        <w:rPr>
          <w:szCs w:val="24"/>
          <w:lang w:eastAsia="en-US"/>
        </w:rPr>
      </w:pPr>
      <w:r w:rsidRPr="00AA7DF5">
        <w:rPr>
          <w:szCs w:val="24"/>
          <w:vertAlign w:val="superscript"/>
          <w:lang w:eastAsia="en-US"/>
        </w:rPr>
        <w:t>(7)</w:t>
      </w:r>
      <w:r w:rsidRPr="00AA7DF5">
        <w:rPr>
          <w:szCs w:val="24"/>
          <w:lang w:eastAsia="en-US"/>
        </w:rPr>
        <w:tab/>
        <w:t>Substância anteriormente enumerada como substância prioritária no anexo X da Diretiva 2000/60/CE ou no anexo I da Diretiva 2008/105/CE.»</w:t>
      </w:r>
    </w:p>
    <w:p w14:paraId="521A2F71" w14:textId="77777777" w:rsidR="002E0FC5" w:rsidRPr="00AA7DF5" w:rsidRDefault="002E0FC5" w:rsidP="002E0FC5">
      <w:pPr>
        <w:pStyle w:val="AmNumberTabs"/>
      </w:pPr>
    </w:p>
    <w:sectPr w:rsidR="002E0FC5" w:rsidRPr="00AA7DF5" w:rsidSect="009D04C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CF2C1" w14:textId="77777777" w:rsidR="00ED1910" w:rsidRPr="00D5501C" w:rsidRDefault="00ED1910">
      <w:r w:rsidRPr="00D5501C">
        <w:separator/>
      </w:r>
    </w:p>
  </w:endnote>
  <w:endnote w:type="continuationSeparator" w:id="0">
    <w:p w14:paraId="2177BD47" w14:textId="77777777" w:rsidR="00ED1910" w:rsidRPr="00D5501C" w:rsidRDefault="00ED1910">
      <w:r w:rsidRPr="00D550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23A90" w14:textId="77777777" w:rsidR="00ED1910" w:rsidRDefault="00ED191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01518" w14:textId="77777777" w:rsidR="00ED1910" w:rsidRDefault="00ED191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8229" w14:textId="77777777" w:rsidR="00ED1910" w:rsidRPr="004A1FFD" w:rsidRDefault="00ED19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B0704" w14:textId="77777777" w:rsidR="00ED1910" w:rsidRPr="00D5501C" w:rsidRDefault="00ED1910">
      <w:r w:rsidRPr="00D5501C">
        <w:separator/>
      </w:r>
    </w:p>
  </w:footnote>
  <w:footnote w:type="continuationSeparator" w:id="0">
    <w:p w14:paraId="200A7A39" w14:textId="77777777" w:rsidR="00ED1910" w:rsidRPr="00D5501C" w:rsidRDefault="00ED1910">
      <w:r w:rsidRPr="00D5501C">
        <w:continuationSeparator/>
      </w:r>
    </w:p>
  </w:footnote>
  <w:footnote w:id="1">
    <w:p w14:paraId="6EDAF72F" w14:textId="77777777" w:rsidR="00ED1910" w:rsidRPr="00D5501C" w:rsidRDefault="00ED1910" w:rsidP="00D5501C">
      <w:pPr>
        <w:pStyle w:val="FootnoteText"/>
        <w:ind w:left="567" w:hanging="567"/>
        <w:rPr>
          <w:sz w:val="24"/>
          <w:lang w:val="pt-PT"/>
        </w:rPr>
      </w:pPr>
      <w:r w:rsidRPr="00D5501C">
        <w:rPr>
          <w:rStyle w:val="FootnoteReference"/>
          <w:sz w:val="24"/>
          <w:lang w:val="pt-PT"/>
        </w:rPr>
        <w:footnoteRef/>
      </w:r>
      <w:r w:rsidRPr="00D5501C">
        <w:rPr>
          <w:sz w:val="24"/>
          <w:lang w:val="pt-PT"/>
        </w:rPr>
        <w:t xml:space="preserve"> </w:t>
      </w:r>
      <w:r w:rsidRPr="00D5501C">
        <w:rPr>
          <w:sz w:val="24"/>
          <w:lang w:val="pt-PT"/>
        </w:rPr>
        <w:tab/>
        <w:t>JO C 146 de 27.4.2023, p. 41.</w:t>
      </w:r>
    </w:p>
  </w:footnote>
  <w:footnote w:id="2">
    <w:p w14:paraId="5448FE22" w14:textId="5F984AEF" w:rsidR="00ED1910" w:rsidRPr="0037616F" w:rsidRDefault="00ED1910" w:rsidP="0037616F">
      <w:pPr>
        <w:pStyle w:val="FootnoteText"/>
        <w:ind w:left="567" w:hanging="567"/>
        <w:rPr>
          <w:lang w:val="pt-PT"/>
        </w:rPr>
      </w:pPr>
      <w:r w:rsidRPr="0037616F">
        <w:rPr>
          <w:rStyle w:val="FootnoteReference"/>
          <w:sz w:val="24"/>
        </w:rPr>
        <w:footnoteRef/>
      </w:r>
      <w:r w:rsidRPr="0037616F">
        <w:rPr>
          <w:sz w:val="24"/>
          <w:lang w:val="pt-PT"/>
        </w:rPr>
        <w:t xml:space="preserve"> </w:t>
      </w:r>
      <w:r w:rsidRPr="0037616F">
        <w:rPr>
          <w:sz w:val="24"/>
          <w:lang w:val="pt-PT"/>
        </w:rPr>
        <w:tab/>
        <w:t xml:space="preserve">A presente posição substitui as alterações aprovadas em </w:t>
      </w:r>
      <w:r>
        <w:rPr>
          <w:sz w:val="24"/>
          <w:lang w:val="pt-PT"/>
        </w:rPr>
        <w:t>12</w:t>
      </w:r>
      <w:r w:rsidRPr="0037616F">
        <w:rPr>
          <w:sz w:val="24"/>
          <w:lang w:val="pt-PT"/>
        </w:rPr>
        <w:t xml:space="preserve"> de </w:t>
      </w:r>
      <w:r>
        <w:rPr>
          <w:sz w:val="24"/>
          <w:lang w:val="pt-PT"/>
        </w:rPr>
        <w:t>setembro</w:t>
      </w:r>
      <w:r w:rsidRPr="0037616F">
        <w:rPr>
          <w:sz w:val="24"/>
          <w:lang w:val="pt-PT"/>
        </w:rPr>
        <w:t xml:space="preserve"> de 2023 (</w:t>
      </w:r>
      <w:r>
        <w:rPr>
          <w:sz w:val="24"/>
          <w:lang w:val="pt-PT"/>
        </w:rPr>
        <w:t xml:space="preserve">JO </w:t>
      </w:r>
      <w:r w:rsidRPr="00F80170">
        <w:rPr>
          <w:sz w:val="24"/>
          <w:lang w:val="pt-PT"/>
        </w:rPr>
        <w:t xml:space="preserve">C, C/2024/1777, 22.3.2024, ELI: </w:t>
      </w:r>
      <w:r w:rsidR="001D0A0E">
        <w:fldChar w:fldCharType="begin"/>
      </w:r>
      <w:r w:rsidR="001D0A0E" w:rsidRPr="00CF062F">
        <w:rPr>
          <w:lang w:val="pt-PT"/>
        </w:rPr>
        <w:instrText>HYPERLINK "http://data.europa.eu/eli/C/2024/1777/oj"</w:instrText>
      </w:r>
      <w:r w:rsidR="001D0A0E">
        <w:fldChar w:fldCharType="separate"/>
      </w:r>
      <w:r w:rsidRPr="00250054">
        <w:rPr>
          <w:rStyle w:val="Hyperlink"/>
          <w:sz w:val="24"/>
          <w:lang w:val="pt-PT"/>
        </w:rPr>
        <w:t>http://data.europa.eu/eli/C/2024/1777/oj</w:t>
      </w:r>
      <w:r w:rsidR="001D0A0E">
        <w:rPr>
          <w:rStyle w:val="Hyperlink"/>
          <w:sz w:val="24"/>
          <w:lang w:val="pt-PT"/>
        </w:rPr>
        <w:fldChar w:fldCharType="end"/>
      </w:r>
      <w:r>
        <w:rPr>
          <w:sz w:val="24"/>
          <w:lang w:val="pt-PT"/>
        </w:rPr>
        <w:t>).</w:t>
      </w:r>
    </w:p>
  </w:footnote>
  <w:footnote w:id="3">
    <w:p w14:paraId="5FA5D70F" w14:textId="77777777" w:rsidR="00ED1910" w:rsidRPr="00D03162" w:rsidRDefault="00ED1910" w:rsidP="002E0FC5">
      <w:pPr>
        <w:pStyle w:val="FootnoteTextForceStyle"/>
        <w:rPr>
          <w:lang w:val="da-DK"/>
        </w:rPr>
      </w:pPr>
      <w:r>
        <w:rPr>
          <w:vertAlign w:val="superscript"/>
        </w:rPr>
        <w:footnoteRef/>
      </w:r>
      <w:r w:rsidRPr="00D03162">
        <w:rPr>
          <w:lang w:val="da-DK"/>
        </w:rPr>
        <w:tab/>
        <w:t xml:space="preserve">JO </w:t>
      </w:r>
      <w:proofErr w:type="gramStart"/>
      <w:r w:rsidRPr="00D03162">
        <w:rPr>
          <w:lang w:val="da-DK"/>
        </w:rPr>
        <w:t>C  de</w:t>
      </w:r>
      <w:proofErr w:type="gramEnd"/>
      <w:r w:rsidRPr="00D03162">
        <w:rPr>
          <w:lang w:val="da-DK"/>
        </w:rPr>
        <w:t xml:space="preserve"> , p. .</w:t>
      </w:r>
    </w:p>
  </w:footnote>
  <w:footnote w:id="4">
    <w:p w14:paraId="783847C4" w14:textId="77777777" w:rsidR="00ED1910" w:rsidRPr="00D03162" w:rsidRDefault="00ED1910" w:rsidP="002E0FC5">
      <w:pPr>
        <w:pStyle w:val="FootnoteTextForceStyle"/>
        <w:rPr>
          <w:lang w:val="da-DK"/>
        </w:rPr>
      </w:pPr>
      <w:r>
        <w:rPr>
          <w:vertAlign w:val="superscript"/>
        </w:rPr>
        <w:footnoteRef/>
      </w:r>
      <w:r w:rsidRPr="00D03162">
        <w:rPr>
          <w:lang w:val="da-DK"/>
        </w:rPr>
        <w:tab/>
        <w:t xml:space="preserve">JO </w:t>
      </w:r>
      <w:proofErr w:type="gramStart"/>
      <w:r w:rsidRPr="00D03162">
        <w:rPr>
          <w:lang w:val="da-DK"/>
        </w:rPr>
        <w:t>C  de</w:t>
      </w:r>
      <w:proofErr w:type="gramEnd"/>
      <w:r w:rsidRPr="00D03162">
        <w:rPr>
          <w:lang w:val="da-DK"/>
        </w:rPr>
        <w:t xml:space="preserve"> , p. .</w:t>
      </w:r>
    </w:p>
  </w:footnote>
  <w:footnote w:id="5">
    <w:p w14:paraId="22262AEF"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Decisão (UE) 2022/591 do Parlamento Europeu e do Conselho, de 6 de abril de 2022, relativa a um Programa Geral de Ação da União para 2030 em Matéria de Ambiente.</w:t>
      </w:r>
    </w:p>
  </w:footnote>
  <w:footnote w:id="6">
    <w:p w14:paraId="2D49C8B3"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 xml:space="preserve">«Drivers </w:t>
      </w:r>
      <w:proofErr w:type="spellStart"/>
      <w:r w:rsidRPr="00D03162">
        <w:rPr>
          <w:b/>
          <w:i/>
          <w:lang w:val="pt-PT"/>
        </w:rPr>
        <w:t>of</w:t>
      </w:r>
      <w:proofErr w:type="spellEnd"/>
      <w:r w:rsidRPr="00D03162">
        <w:rPr>
          <w:b/>
          <w:i/>
          <w:lang w:val="pt-PT"/>
        </w:rPr>
        <w:t xml:space="preserve"> </w:t>
      </w:r>
      <w:proofErr w:type="spellStart"/>
      <w:r w:rsidRPr="00D03162">
        <w:rPr>
          <w:b/>
          <w:i/>
          <w:lang w:val="pt-PT"/>
        </w:rPr>
        <w:t>and</w:t>
      </w:r>
      <w:proofErr w:type="spellEnd"/>
      <w:r w:rsidRPr="00D03162">
        <w:rPr>
          <w:b/>
          <w:i/>
          <w:lang w:val="pt-PT"/>
        </w:rPr>
        <w:t xml:space="preserve"> </w:t>
      </w:r>
      <w:proofErr w:type="spellStart"/>
      <w:r w:rsidRPr="00D03162">
        <w:rPr>
          <w:b/>
          <w:i/>
          <w:lang w:val="pt-PT"/>
        </w:rPr>
        <w:t>pressures</w:t>
      </w:r>
      <w:proofErr w:type="spellEnd"/>
      <w:r w:rsidRPr="00D03162">
        <w:rPr>
          <w:b/>
          <w:i/>
          <w:lang w:val="pt-PT"/>
        </w:rPr>
        <w:t xml:space="preserve"> </w:t>
      </w:r>
      <w:proofErr w:type="spellStart"/>
      <w:r w:rsidRPr="00D03162">
        <w:rPr>
          <w:b/>
          <w:i/>
          <w:lang w:val="pt-PT"/>
        </w:rPr>
        <w:t>arising</w:t>
      </w:r>
      <w:proofErr w:type="spellEnd"/>
      <w:r w:rsidRPr="00D03162">
        <w:rPr>
          <w:b/>
          <w:i/>
          <w:lang w:val="pt-PT"/>
        </w:rPr>
        <w:t xml:space="preserve"> </w:t>
      </w:r>
      <w:proofErr w:type="spellStart"/>
      <w:r w:rsidRPr="00D03162">
        <w:rPr>
          <w:b/>
          <w:i/>
          <w:lang w:val="pt-PT"/>
        </w:rPr>
        <w:t>from</w:t>
      </w:r>
      <w:proofErr w:type="spellEnd"/>
      <w:r w:rsidRPr="00D03162">
        <w:rPr>
          <w:b/>
          <w:i/>
          <w:lang w:val="pt-PT"/>
        </w:rPr>
        <w:t xml:space="preserve"> </w:t>
      </w:r>
      <w:proofErr w:type="spellStart"/>
      <w:r w:rsidRPr="00D03162">
        <w:rPr>
          <w:b/>
          <w:i/>
          <w:lang w:val="pt-PT"/>
        </w:rPr>
        <w:t>selected</w:t>
      </w:r>
      <w:proofErr w:type="spellEnd"/>
      <w:r w:rsidRPr="00D03162">
        <w:rPr>
          <w:b/>
          <w:i/>
          <w:lang w:val="pt-PT"/>
        </w:rPr>
        <w:t xml:space="preserve"> </w:t>
      </w:r>
      <w:proofErr w:type="spellStart"/>
      <w:r w:rsidRPr="00D03162">
        <w:rPr>
          <w:b/>
          <w:i/>
          <w:lang w:val="pt-PT"/>
        </w:rPr>
        <w:t>key</w:t>
      </w:r>
      <w:proofErr w:type="spellEnd"/>
      <w:r w:rsidRPr="00D03162">
        <w:rPr>
          <w:b/>
          <w:i/>
          <w:lang w:val="pt-PT"/>
        </w:rPr>
        <w:t xml:space="preserve"> </w:t>
      </w:r>
      <w:proofErr w:type="spellStart"/>
      <w:r w:rsidRPr="00D03162">
        <w:rPr>
          <w:b/>
          <w:i/>
          <w:lang w:val="pt-PT"/>
        </w:rPr>
        <w:t>water</w:t>
      </w:r>
      <w:proofErr w:type="spellEnd"/>
      <w:r w:rsidRPr="00D03162">
        <w:rPr>
          <w:b/>
          <w:i/>
          <w:lang w:val="pt-PT"/>
        </w:rPr>
        <w:t xml:space="preserve"> management </w:t>
      </w:r>
      <w:proofErr w:type="spellStart"/>
      <w:r w:rsidRPr="00D03162">
        <w:rPr>
          <w:b/>
          <w:i/>
          <w:lang w:val="pt-PT"/>
        </w:rPr>
        <w:t>challenges</w:t>
      </w:r>
      <w:proofErr w:type="spellEnd"/>
      <w:r w:rsidRPr="00D03162">
        <w:rPr>
          <w:b/>
          <w:i/>
          <w:lang w:val="pt-PT"/>
        </w:rPr>
        <w:t xml:space="preserve">: A </w:t>
      </w:r>
      <w:proofErr w:type="spellStart"/>
      <w:r w:rsidRPr="00D03162">
        <w:rPr>
          <w:b/>
          <w:i/>
          <w:lang w:val="pt-PT"/>
        </w:rPr>
        <w:t>European</w:t>
      </w:r>
      <w:proofErr w:type="spellEnd"/>
      <w:r w:rsidRPr="00D03162">
        <w:rPr>
          <w:b/>
          <w:i/>
          <w:lang w:val="pt-PT"/>
        </w:rPr>
        <w:t xml:space="preserve"> </w:t>
      </w:r>
      <w:proofErr w:type="spellStart"/>
      <w:r w:rsidRPr="00D03162">
        <w:rPr>
          <w:b/>
          <w:i/>
          <w:lang w:val="pt-PT"/>
        </w:rPr>
        <w:t>overview</w:t>
      </w:r>
      <w:proofErr w:type="spellEnd"/>
      <w:r w:rsidRPr="00D03162">
        <w:rPr>
          <w:b/>
          <w:i/>
          <w:lang w:val="pt-PT"/>
        </w:rPr>
        <w:t>» (Forças motrizes e pressões decorrentes de determinados desafios chave da gestão da água: Uma panorâmica europeia), Relatório 09/2021, AEA.</w:t>
      </w:r>
    </w:p>
  </w:footnote>
  <w:footnote w:id="7">
    <w:p w14:paraId="02A54583" w14:textId="77777777" w:rsidR="00ED1910" w:rsidRDefault="00ED1910" w:rsidP="002E0FC5">
      <w:pPr>
        <w:pStyle w:val="FootnoteTextForceStyle"/>
      </w:pPr>
      <w:r>
        <w:rPr>
          <w:vertAlign w:val="superscript"/>
        </w:rPr>
        <w:footnoteRef/>
      </w:r>
      <w:r>
        <w:tab/>
      </w:r>
      <w:r>
        <w:rPr>
          <w:b/>
          <w:i/>
        </w:rPr>
        <w:t>https://www.oecd.org/agriculture/topics/water and agriculture/</w:t>
      </w:r>
    </w:p>
  </w:footnote>
  <w:footnote w:id="8">
    <w:p w14:paraId="196854D6" w14:textId="77777777" w:rsidR="00ED1910" w:rsidRDefault="00ED1910" w:rsidP="002E0FC5">
      <w:pPr>
        <w:pStyle w:val="FootnoteTextForceStyle"/>
      </w:pPr>
      <w:r>
        <w:rPr>
          <w:vertAlign w:val="superscript"/>
        </w:rPr>
        <w:footnoteRef/>
      </w:r>
      <w:r>
        <w:tab/>
      </w:r>
      <w:r>
        <w:rPr>
          <w:b/>
          <w:i/>
        </w:rPr>
        <w:t>https://www.eea.europa.eu/publications/state of water</w:t>
      </w:r>
    </w:p>
  </w:footnote>
  <w:footnote w:id="9">
    <w:p w14:paraId="528B4998"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 xml:space="preserve">ttps://food.ec.europa.eu/plants/pesticides/sustainable use </w:t>
      </w:r>
      <w:proofErr w:type="spellStart"/>
      <w:r w:rsidRPr="00D03162">
        <w:rPr>
          <w:b/>
          <w:i/>
          <w:lang w:val="pt-PT"/>
        </w:rPr>
        <w:t>pesticides</w:t>
      </w:r>
      <w:proofErr w:type="spellEnd"/>
      <w:r w:rsidRPr="00D03162">
        <w:rPr>
          <w:b/>
          <w:i/>
          <w:lang w:val="pt-PT"/>
        </w:rPr>
        <w:t>/</w:t>
      </w:r>
      <w:proofErr w:type="spellStart"/>
      <w:r w:rsidRPr="00D03162">
        <w:rPr>
          <w:b/>
          <w:i/>
          <w:lang w:val="pt-PT"/>
        </w:rPr>
        <w:t>farm</w:t>
      </w:r>
      <w:proofErr w:type="spellEnd"/>
      <w:r w:rsidRPr="00D03162">
        <w:rPr>
          <w:b/>
          <w:i/>
          <w:lang w:val="pt-PT"/>
        </w:rPr>
        <w:t xml:space="preserve"> </w:t>
      </w:r>
      <w:proofErr w:type="spellStart"/>
      <w:r w:rsidRPr="00D03162">
        <w:rPr>
          <w:b/>
          <w:i/>
          <w:lang w:val="pt-PT"/>
        </w:rPr>
        <w:t>fork</w:t>
      </w:r>
      <w:proofErr w:type="spellEnd"/>
      <w:r w:rsidRPr="00D03162">
        <w:rPr>
          <w:b/>
          <w:i/>
          <w:lang w:val="pt-PT"/>
        </w:rPr>
        <w:t xml:space="preserve"> targets </w:t>
      </w:r>
      <w:proofErr w:type="spellStart"/>
      <w:r w:rsidRPr="00D03162">
        <w:rPr>
          <w:b/>
          <w:i/>
          <w:lang w:val="pt-PT"/>
        </w:rPr>
        <w:t>progress</w:t>
      </w:r>
      <w:proofErr w:type="spellEnd"/>
      <w:r w:rsidRPr="00D03162">
        <w:rPr>
          <w:b/>
          <w:i/>
          <w:lang w:val="pt-PT"/>
        </w:rPr>
        <w:t xml:space="preserve">/eu </w:t>
      </w:r>
      <w:proofErr w:type="spellStart"/>
      <w:r w:rsidRPr="00D03162">
        <w:rPr>
          <w:b/>
          <w:i/>
          <w:lang w:val="pt-PT"/>
        </w:rPr>
        <w:t>trends_en</w:t>
      </w:r>
      <w:proofErr w:type="spellEnd"/>
      <w:r w:rsidRPr="00D03162">
        <w:rPr>
          <w:b/>
          <w:i/>
          <w:lang w:val="pt-PT"/>
        </w:rPr>
        <w:t xml:space="preserve"> </w:t>
      </w:r>
    </w:p>
  </w:footnote>
  <w:footnote w:id="10">
    <w:p w14:paraId="4493315F"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Europeu, ao Conselho, ao Comité Económico e Social Europeu e ao Comité das Regiões — Pacto Ecológico Europeu [</w:t>
      </w:r>
      <w:proofErr w:type="gramStart"/>
      <w:r w:rsidRPr="00D03162">
        <w:rPr>
          <w:lang w:val="pt-PT"/>
        </w:rPr>
        <w:t>COM(</w:t>
      </w:r>
      <w:proofErr w:type="gramEnd"/>
      <w:r w:rsidRPr="00D03162">
        <w:rPr>
          <w:lang w:val="pt-PT"/>
        </w:rPr>
        <w:t>2019) 640 final].</w:t>
      </w:r>
    </w:p>
  </w:footnote>
  <w:footnote w:id="11">
    <w:p w14:paraId="5DD9EB97"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Estratégia para a sustentabilidade dos produtos químicos rumo a um ambiente sem substâncias tóxicas [</w:t>
      </w:r>
      <w:proofErr w:type="gramStart"/>
      <w:r w:rsidRPr="00D03162">
        <w:rPr>
          <w:lang w:val="pt-PT"/>
        </w:rPr>
        <w:t>COM(</w:t>
      </w:r>
      <w:proofErr w:type="gramEnd"/>
      <w:r w:rsidRPr="00D03162">
        <w:rPr>
          <w:lang w:val="pt-PT"/>
        </w:rPr>
        <w:t>2020) 667 final].</w:t>
      </w:r>
    </w:p>
  </w:footnote>
  <w:footnote w:id="12">
    <w:p w14:paraId="0C2FF725"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Caminho para um planeta saudável para todos – Plano de ação da UE: «Rumo à poluição zero no ar, na água e no solo» [</w:t>
      </w:r>
      <w:proofErr w:type="gramStart"/>
      <w:r w:rsidRPr="00D03162">
        <w:rPr>
          <w:lang w:val="pt-PT"/>
        </w:rPr>
        <w:t>COM(</w:t>
      </w:r>
      <w:proofErr w:type="gramEnd"/>
      <w:r w:rsidRPr="00D03162">
        <w:rPr>
          <w:lang w:val="pt-PT"/>
        </w:rPr>
        <w:t>2021) 400 final].</w:t>
      </w:r>
    </w:p>
  </w:footnote>
  <w:footnote w:id="13">
    <w:p w14:paraId="27290083"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Uma Estratégia Europeia para os Plásticos na Economia Circular [</w:t>
      </w:r>
      <w:proofErr w:type="gramStart"/>
      <w:r w:rsidRPr="00D03162">
        <w:rPr>
          <w:lang w:val="pt-PT"/>
        </w:rPr>
        <w:t>COM(</w:t>
      </w:r>
      <w:proofErr w:type="gramEnd"/>
      <w:r w:rsidRPr="00D03162">
        <w:rPr>
          <w:lang w:val="pt-PT"/>
        </w:rPr>
        <w:t>2018) 028 final].</w:t>
      </w:r>
    </w:p>
  </w:footnote>
  <w:footnote w:id="14">
    <w:p w14:paraId="6B0572A9"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Estratégia Farmacêutica para a Europa [</w:t>
      </w:r>
      <w:proofErr w:type="gramStart"/>
      <w:r w:rsidRPr="00D03162">
        <w:rPr>
          <w:lang w:val="pt-PT"/>
        </w:rPr>
        <w:t>COM(</w:t>
      </w:r>
      <w:proofErr w:type="gramEnd"/>
      <w:r w:rsidRPr="00D03162">
        <w:rPr>
          <w:lang w:val="pt-PT"/>
        </w:rPr>
        <w:t>2020) 761 final].</w:t>
      </w:r>
    </w:p>
  </w:footnote>
  <w:footnote w:id="15">
    <w:p w14:paraId="4B0CABC3"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Estratégia de Biodiversidade da UE para 2030 – Trazer a natureza de volta às nossas vidas [</w:t>
      </w:r>
      <w:proofErr w:type="gramStart"/>
      <w:r w:rsidRPr="00D03162">
        <w:rPr>
          <w:lang w:val="pt-PT"/>
        </w:rPr>
        <w:t>COM(</w:t>
      </w:r>
      <w:proofErr w:type="gramEnd"/>
      <w:r w:rsidRPr="00D03162">
        <w:rPr>
          <w:lang w:val="pt-PT"/>
        </w:rPr>
        <w:t>2020) 380 final].</w:t>
      </w:r>
    </w:p>
  </w:footnote>
  <w:footnote w:id="16">
    <w:p w14:paraId="4026471C"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Estratégia do Prado ao Prato para um sistema alimentar justo, saudável e respeitador do ambiente [</w:t>
      </w:r>
      <w:proofErr w:type="gramStart"/>
      <w:r w:rsidRPr="00D03162">
        <w:rPr>
          <w:lang w:val="pt-PT"/>
        </w:rPr>
        <w:t>COM(</w:t>
      </w:r>
      <w:proofErr w:type="gramEnd"/>
      <w:r w:rsidRPr="00D03162">
        <w:rPr>
          <w:lang w:val="pt-PT"/>
        </w:rPr>
        <w:t>2020) 381 final].</w:t>
      </w:r>
    </w:p>
  </w:footnote>
  <w:footnote w:id="17">
    <w:p w14:paraId="1782CCE6"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Estratégia de Proteção do Solo da UE para 2030 – Colher os benefícios dos solos saudáveis para as pessoas, a alimentação, a natureza e o clima [</w:t>
      </w:r>
      <w:proofErr w:type="gramStart"/>
      <w:r w:rsidRPr="00D03162">
        <w:rPr>
          <w:lang w:val="pt-PT"/>
        </w:rPr>
        <w:t>COM(</w:t>
      </w:r>
      <w:proofErr w:type="gramEnd"/>
      <w:r w:rsidRPr="00D03162">
        <w:rPr>
          <w:lang w:val="pt-PT"/>
        </w:rPr>
        <w:t>2021) 699 final].</w:t>
      </w:r>
    </w:p>
  </w:footnote>
  <w:footnote w:id="18">
    <w:p w14:paraId="0FFB5139" w14:textId="77777777" w:rsidR="00ED1910" w:rsidRPr="00D03162" w:rsidRDefault="00ED1910" w:rsidP="002E0FC5">
      <w:pPr>
        <w:pStyle w:val="FootnoteTextForceStyle"/>
        <w:rPr>
          <w:lang w:val="pt-PT"/>
        </w:rPr>
      </w:pPr>
      <w:r>
        <w:rPr>
          <w:vertAlign w:val="superscript"/>
        </w:rPr>
        <w:footnoteRef/>
      </w:r>
      <w:r w:rsidRPr="00D03162">
        <w:rPr>
          <w:lang w:val="pt-PT"/>
        </w:rPr>
        <w:tab/>
        <w:t xml:space="preserve">Comunicação da Comissão ao Parlamento Europeu, ao Conselho, ao Comité Económico e Social Europeu e ao Comité das Regiões — Construir o futuro digital da Europa </w:t>
      </w:r>
      <w:r w:rsidRPr="00D03162">
        <w:rPr>
          <w:lang w:val="pt-PT"/>
        </w:rPr>
        <w:tab/>
        <w:t>[</w:t>
      </w:r>
      <w:proofErr w:type="gramStart"/>
      <w:r w:rsidRPr="00D03162">
        <w:rPr>
          <w:lang w:val="pt-PT"/>
        </w:rPr>
        <w:t>COM(</w:t>
      </w:r>
      <w:proofErr w:type="gramEnd"/>
      <w:r w:rsidRPr="00D03162">
        <w:rPr>
          <w:lang w:val="pt-PT"/>
        </w:rPr>
        <w:t>2020) 67 final].</w:t>
      </w:r>
    </w:p>
  </w:footnote>
  <w:footnote w:id="19">
    <w:p w14:paraId="3767BDFE" w14:textId="77777777" w:rsidR="00ED1910" w:rsidRPr="00D03162" w:rsidRDefault="00ED1910" w:rsidP="002E0FC5">
      <w:pPr>
        <w:pStyle w:val="FootnoteTextForceStyle"/>
        <w:rPr>
          <w:lang w:val="pt-PT"/>
        </w:rPr>
      </w:pPr>
      <w:r>
        <w:rPr>
          <w:vertAlign w:val="superscript"/>
        </w:rPr>
        <w:footnoteRef/>
      </w:r>
      <w:r w:rsidRPr="00D03162">
        <w:rPr>
          <w:lang w:val="pt-PT"/>
        </w:rPr>
        <w:tab/>
        <w:t>Comunicação da Comissão ao Parlamento Europeu, ao Conselho, ao Comité Económico e Social Europeu e ao Comité das Regiões — Uma estratégia europeia para os dados [</w:t>
      </w:r>
      <w:proofErr w:type="gramStart"/>
      <w:r w:rsidRPr="00D03162">
        <w:rPr>
          <w:lang w:val="pt-PT"/>
        </w:rPr>
        <w:t>COM(</w:t>
      </w:r>
      <w:proofErr w:type="gramEnd"/>
      <w:r w:rsidRPr="00D03162">
        <w:rPr>
          <w:lang w:val="pt-PT"/>
        </w:rPr>
        <w:t>2020) 66 final].</w:t>
      </w:r>
    </w:p>
  </w:footnote>
  <w:footnote w:id="20">
    <w:p w14:paraId="21F07B4A" w14:textId="77777777" w:rsidR="00ED1910" w:rsidRPr="00D03162" w:rsidRDefault="00ED1910" w:rsidP="002E0FC5">
      <w:pPr>
        <w:pStyle w:val="FootnoteTextForceStyle"/>
        <w:rPr>
          <w:lang w:val="pt-PT"/>
        </w:rPr>
      </w:pPr>
      <w:r>
        <w:rPr>
          <w:vertAlign w:val="superscript"/>
        </w:rPr>
        <w:footnoteRef/>
      </w:r>
      <w:r w:rsidRPr="00D03162">
        <w:rPr>
          <w:lang w:val="pt-PT"/>
        </w:rPr>
        <w:tab/>
        <w:t>Diretiva 2000/60/CE do Parlamento Europeu e do Conselho, de 23 de outubro de 2000, que estabelece um quadro de ação comunitária no domínio da política da água (JO L 327 de 22.12.2000, p. 1).</w:t>
      </w:r>
    </w:p>
  </w:footnote>
  <w:footnote w:id="21">
    <w:p w14:paraId="21B67A56" w14:textId="77777777" w:rsidR="00ED1910" w:rsidRPr="00D03162" w:rsidRDefault="00ED1910" w:rsidP="002E0FC5">
      <w:pPr>
        <w:pStyle w:val="FootnoteTextForceStyle"/>
        <w:rPr>
          <w:lang w:val="pt-PT"/>
        </w:rPr>
      </w:pPr>
      <w:r>
        <w:rPr>
          <w:vertAlign w:val="superscript"/>
        </w:rPr>
        <w:footnoteRef/>
      </w:r>
      <w:r w:rsidRPr="00D03162">
        <w:rPr>
          <w:lang w:val="pt-PT"/>
        </w:rPr>
        <w:tab/>
        <w:t>Diretiva 2008/105/CE do Parlamento Europeu e do Conselho, de 16 de dezembro de 2008, relativa a normas de qualidade ambiental no domínio da política da água, que altera e subsequentemente revoga as Diretivas 82/176/CEE, 83/513/CEE, 84/156/CEE, 84/491/CEE e 86/280/CEE do Conselho, e que altera a Diretiva 2000/60/CE (JO L 348 de 24.12.2008, p. 84).</w:t>
      </w:r>
    </w:p>
  </w:footnote>
  <w:footnote w:id="22">
    <w:p w14:paraId="707FEE69" w14:textId="77777777" w:rsidR="00ED1910" w:rsidRPr="00D03162" w:rsidRDefault="00ED1910" w:rsidP="002E0FC5">
      <w:pPr>
        <w:pStyle w:val="FootnoteTextForceStyle"/>
        <w:rPr>
          <w:lang w:val="pt-PT"/>
        </w:rPr>
      </w:pPr>
      <w:r>
        <w:rPr>
          <w:vertAlign w:val="superscript"/>
        </w:rPr>
        <w:footnoteRef/>
      </w:r>
      <w:r w:rsidRPr="00D03162">
        <w:rPr>
          <w:lang w:val="pt-PT"/>
        </w:rPr>
        <w:tab/>
        <w:t>Decisão n.º 2455/2001/CE do Parlamento Europeu e do Conselho, de 20 de novembro de 2001, que estabelece a lista das substâncias prioritárias no domínio da política da água e altera a Diretiva 2000/60/CE (JO L 331 de 15.12.2001, p. 1).</w:t>
      </w:r>
    </w:p>
  </w:footnote>
  <w:footnote w:id="23">
    <w:p w14:paraId="76EA22AF" w14:textId="77777777" w:rsidR="00ED1910" w:rsidRPr="00D03162" w:rsidRDefault="00ED1910" w:rsidP="002E0FC5">
      <w:pPr>
        <w:pStyle w:val="FootnoteTextForceStyle"/>
        <w:rPr>
          <w:lang w:val="pt-PT"/>
        </w:rPr>
      </w:pPr>
      <w:r>
        <w:rPr>
          <w:vertAlign w:val="superscript"/>
        </w:rPr>
        <w:footnoteRef/>
      </w:r>
      <w:r w:rsidRPr="00D03162">
        <w:rPr>
          <w:lang w:val="pt-PT"/>
        </w:rPr>
        <w:tab/>
        <w:t>Diretiva 2006/118/CE do Parlamento Europeu e do Conselho, de 12 de dezembro de 2006, relativa à proteção das águas subterrâneas contra a poluição e a deterioração (JO L 372 de 27.12.2006, p. 19).</w:t>
      </w:r>
    </w:p>
  </w:footnote>
  <w:footnote w:id="24">
    <w:p w14:paraId="0F418D30" w14:textId="77777777" w:rsidR="00ED1910" w:rsidRPr="00D03162" w:rsidRDefault="00ED1910" w:rsidP="002E0FC5">
      <w:pPr>
        <w:pStyle w:val="FootnoteTextForceStyle"/>
        <w:rPr>
          <w:lang w:val="pt-PT"/>
        </w:rPr>
      </w:pPr>
      <w:r>
        <w:rPr>
          <w:vertAlign w:val="superscript"/>
        </w:rPr>
        <w:footnoteRef/>
      </w:r>
      <w:r w:rsidRPr="00D03162">
        <w:rPr>
          <w:lang w:val="pt-PT"/>
        </w:rPr>
        <w:tab/>
        <w:t>O Regulamento (CE) n.º 1907/2006 do Parlamento Europeu e do Conselho, de 18 de dezembro de 2006, relativo ao registo, avaliação, autorização e restrição dos produtos químicos (REACH), que cria a Agência Europeia dos Produtos Químicos (JO L 396 de 30.12.2006, p. 1).</w:t>
      </w:r>
    </w:p>
  </w:footnote>
  <w:footnote w:id="25">
    <w:p w14:paraId="60D2166B" w14:textId="77777777" w:rsidR="00ED1910" w:rsidRPr="00D03162" w:rsidRDefault="00ED1910" w:rsidP="002E0FC5">
      <w:pPr>
        <w:pStyle w:val="FootnoteTextForceStyle"/>
        <w:rPr>
          <w:lang w:val="pt-PT"/>
        </w:rPr>
      </w:pPr>
      <w:r>
        <w:rPr>
          <w:vertAlign w:val="superscript"/>
        </w:rPr>
        <w:footnoteRef/>
      </w:r>
      <w:r w:rsidRPr="00D03162">
        <w:rPr>
          <w:lang w:val="pt-PT"/>
        </w:rPr>
        <w:tab/>
        <w:t>Regulamento (CE) n.º 1107/2009 do Parlamento Europeu e do Conselho, de 21 de outubro de 2009, relativo à colocação dos produtos fitofarmacêuticos no mercado e que revoga as Diretivas 79/117/CEE e 91/414/CEE do Conselho (JO L 309 de 24.11.2009, p. 1).</w:t>
      </w:r>
    </w:p>
  </w:footnote>
  <w:footnote w:id="26">
    <w:p w14:paraId="76B2F89C" w14:textId="77777777" w:rsidR="00ED1910" w:rsidRPr="00D03162" w:rsidRDefault="00ED1910" w:rsidP="002E0FC5">
      <w:pPr>
        <w:pStyle w:val="FootnoteTextForceStyle"/>
        <w:rPr>
          <w:lang w:val="pt-PT"/>
        </w:rPr>
      </w:pPr>
      <w:r>
        <w:rPr>
          <w:vertAlign w:val="superscript"/>
        </w:rPr>
        <w:footnoteRef/>
      </w:r>
      <w:r w:rsidRPr="00D03162">
        <w:rPr>
          <w:lang w:val="pt-PT"/>
        </w:rPr>
        <w:tab/>
        <w:t>Regulamento (UE) n.º 528/2012 do Parlamento Europeu e do Conselho, de 22 de maio de 2012, relativo à disponibilização no mercado e à utilização de produtos biocidas (JO L 167 de 27.6.2012, p. 1).</w:t>
      </w:r>
    </w:p>
  </w:footnote>
  <w:footnote w:id="27">
    <w:p w14:paraId="4AF86E89" w14:textId="77777777" w:rsidR="00ED1910" w:rsidRPr="00D03162" w:rsidRDefault="00ED1910" w:rsidP="002E0FC5">
      <w:pPr>
        <w:pStyle w:val="FootnoteTextForceStyle"/>
        <w:rPr>
          <w:lang w:val="pt-PT"/>
        </w:rPr>
      </w:pPr>
      <w:r>
        <w:rPr>
          <w:vertAlign w:val="superscript"/>
        </w:rPr>
        <w:footnoteRef/>
      </w:r>
      <w:r w:rsidRPr="00D03162">
        <w:rPr>
          <w:lang w:val="pt-PT"/>
        </w:rPr>
        <w:tab/>
        <w:t>Regulamento (UE) 2019/6 do Parlamento Europeu e do Conselho, de 11 de dezembro de 2018, relativo aos medicamentos veterinários e que revoga a Diretiva 2001/82/CE (JO L 4 de 7.1.2019, p. 43).</w:t>
      </w:r>
    </w:p>
  </w:footnote>
  <w:footnote w:id="28">
    <w:p w14:paraId="37B54CF8" w14:textId="77777777" w:rsidR="00ED1910" w:rsidRPr="00D03162" w:rsidRDefault="00ED1910" w:rsidP="002E0FC5">
      <w:pPr>
        <w:pStyle w:val="FootnoteTextForceStyle"/>
        <w:rPr>
          <w:lang w:val="pt-PT"/>
        </w:rPr>
      </w:pPr>
      <w:r>
        <w:rPr>
          <w:vertAlign w:val="superscript"/>
        </w:rPr>
        <w:footnoteRef/>
      </w:r>
      <w:r w:rsidRPr="00D03162">
        <w:rPr>
          <w:lang w:val="pt-PT"/>
        </w:rPr>
        <w:tab/>
        <w:t>Diretiva 2001/83/CE do Parlamento Europeu e do Conselho, de 6 de novembro de 2001, que estabelece um código comunitário relativo aos medicamentos para uso humano (JO L 311 de 28.11.2001, p. 67).</w:t>
      </w:r>
    </w:p>
  </w:footnote>
  <w:footnote w:id="29">
    <w:p w14:paraId="41569FB5" w14:textId="77777777" w:rsidR="00ED1910" w:rsidRPr="00D03162" w:rsidRDefault="00ED1910" w:rsidP="002E0FC5">
      <w:pPr>
        <w:pStyle w:val="FootnoteTextForceStyle"/>
        <w:rPr>
          <w:lang w:val="pt-PT"/>
        </w:rPr>
      </w:pPr>
      <w:r>
        <w:rPr>
          <w:vertAlign w:val="superscript"/>
        </w:rPr>
        <w:footnoteRef/>
      </w:r>
      <w:r w:rsidRPr="00D03162">
        <w:rPr>
          <w:lang w:val="pt-PT"/>
        </w:rPr>
        <w:tab/>
        <w:t>Diretiva 2009/128/CE do Parlamento Europeu e do Conselho, de 21 de outubro de 2009, que estabelece um quadro de ação ao nível comunitário para uma utilização sustentável dos pesticidas (JO L 309 de 24.11.2009, p. 71).</w:t>
      </w:r>
    </w:p>
  </w:footnote>
  <w:footnote w:id="30">
    <w:p w14:paraId="3339C5E3" w14:textId="77777777" w:rsidR="00ED1910" w:rsidRPr="00D03162" w:rsidRDefault="00ED1910" w:rsidP="002E0FC5">
      <w:pPr>
        <w:pStyle w:val="FootnoteTextForceStyle"/>
        <w:rPr>
          <w:lang w:val="pt-PT"/>
        </w:rPr>
      </w:pPr>
      <w:r>
        <w:rPr>
          <w:vertAlign w:val="superscript"/>
        </w:rPr>
        <w:footnoteRef/>
      </w:r>
      <w:r w:rsidRPr="00D03162">
        <w:rPr>
          <w:lang w:val="pt-PT"/>
        </w:rPr>
        <w:tab/>
        <w:t>Diretiva 2010/75/UE do Parlamento Europeu e do Conselho, de 24 de novembro de 2010, relativa às emissões industriais (prevenção e controlo integrados da poluição) (JO L 334 de 17.12.2010, p. 17).</w:t>
      </w:r>
    </w:p>
  </w:footnote>
  <w:footnote w:id="31">
    <w:p w14:paraId="4A6954DB" w14:textId="77777777" w:rsidR="00ED1910" w:rsidRPr="00D03162" w:rsidRDefault="00ED1910" w:rsidP="002E0FC5">
      <w:pPr>
        <w:pStyle w:val="FootnoteTextForceStyle"/>
        <w:rPr>
          <w:lang w:val="pt-PT"/>
        </w:rPr>
      </w:pPr>
      <w:r>
        <w:rPr>
          <w:vertAlign w:val="superscript"/>
        </w:rPr>
        <w:footnoteRef/>
      </w:r>
      <w:r w:rsidRPr="00D03162">
        <w:rPr>
          <w:lang w:val="pt-PT"/>
        </w:rPr>
        <w:tab/>
        <w:t>Diretiva 91/271/CEE do Conselho, de 21 de maio de 1991, relativa ao tratamento de águas residuais urbanas (JO L 135 de 30.5.1991, p. 40).</w:t>
      </w:r>
    </w:p>
  </w:footnote>
  <w:footnote w:id="32">
    <w:p w14:paraId="45E922A9"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w:t>
      </w:r>
      <w:proofErr w:type="spellStart"/>
      <w:r w:rsidRPr="00D03162">
        <w:rPr>
          <w:b/>
          <w:i/>
          <w:lang w:val="pt-PT"/>
        </w:rPr>
        <w:t>Transcriptomic</w:t>
      </w:r>
      <w:proofErr w:type="spellEnd"/>
      <w:r w:rsidRPr="00D03162">
        <w:rPr>
          <w:b/>
          <w:i/>
          <w:lang w:val="pt-PT"/>
        </w:rPr>
        <w:t xml:space="preserve"> </w:t>
      </w:r>
      <w:proofErr w:type="spellStart"/>
      <w:r w:rsidRPr="00D03162">
        <w:rPr>
          <w:b/>
          <w:i/>
          <w:lang w:val="pt-PT"/>
        </w:rPr>
        <w:t>signalling</w:t>
      </w:r>
      <w:proofErr w:type="spellEnd"/>
      <w:r w:rsidRPr="00D03162">
        <w:rPr>
          <w:b/>
          <w:i/>
          <w:lang w:val="pt-PT"/>
        </w:rPr>
        <w:t xml:space="preserve"> in </w:t>
      </w:r>
      <w:proofErr w:type="spellStart"/>
      <w:r w:rsidRPr="00D03162">
        <w:rPr>
          <w:b/>
          <w:i/>
          <w:lang w:val="pt-PT"/>
        </w:rPr>
        <w:t>zebrafish</w:t>
      </w:r>
      <w:proofErr w:type="spellEnd"/>
      <w:r w:rsidRPr="00D03162">
        <w:rPr>
          <w:b/>
          <w:i/>
          <w:lang w:val="pt-PT"/>
        </w:rPr>
        <w:t xml:space="preserve"> </w:t>
      </w:r>
      <w:proofErr w:type="spellStart"/>
      <w:r w:rsidRPr="00D03162">
        <w:rPr>
          <w:b/>
          <w:i/>
          <w:lang w:val="pt-PT"/>
        </w:rPr>
        <w:t>embryos</w:t>
      </w:r>
      <w:proofErr w:type="spellEnd"/>
      <w:r w:rsidRPr="00D03162">
        <w:rPr>
          <w:b/>
          <w:i/>
          <w:lang w:val="pt-PT"/>
        </w:rPr>
        <w:t xml:space="preserve"> </w:t>
      </w:r>
      <w:proofErr w:type="spellStart"/>
      <w:r w:rsidRPr="00D03162">
        <w:rPr>
          <w:b/>
          <w:i/>
          <w:lang w:val="pt-PT"/>
        </w:rPr>
        <w:t>exposed</w:t>
      </w:r>
      <w:proofErr w:type="spellEnd"/>
      <w:r w:rsidRPr="00D03162">
        <w:rPr>
          <w:b/>
          <w:i/>
          <w:lang w:val="pt-PT"/>
        </w:rPr>
        <w:t xml:space="preserve"> to </w:t>
      </w:r>
      <w:proofErr w:type="spellStart"/>
      <w:r w:rsidRPr="00D03162">
        <w:rPr>
          <w:b/>
          <w:i/>
          <w:lang w:val="pt-PT"/>
        </w:rPr>
        <w:t>environmental</w:t>
      </w:r>
      <w:proofErr w:type="spellEnd"/>
      <w:r w:rsidRPr="00D03162">
        <w:rPr>
          <w:b/>
          <w:i/>
          <w:lang w:val="pt-PT"/>
        </w:rPr>
        <w:t xml:space="preserve"> </w:t>
      </w:r>
      <w:proofErr w:type="spellStart"/>
      <w:r w:rsidRPr="00D03162">
        <w:rPr>
          <w:b/>
          <w:i/>
          <w:lang w:val="pt-PT"/>
        </w:rPr>
        <w:t>concentrations</w:t>
      </w:r>
      <w:proofErr w:type="spellEnd"/>
      <w:r w:rsidRPr="00D03162">
        <w:rPr>
          <w:b/>
          <w:i/>
          <w:lang w:val="pt-PT"/>
        </w:rPr>
        <w:t xml:space="preserve"> </w:t>
      </w:r>
      <w:proofErr w:type="spellStart"/>
      <w:r w:rsidRPr="00D03162">
        <w:rPr>
          <w:b/>
          <w:i/>
          <w:lang w:val="pt-PT"/>
        </w:rPr>
        <w:t>of</w:t>
      </w:r>
      <w:proofErr w:type="spellEnd"/>
      <w:r w:rsidRPr="00D03162">
        <w:rPr>
          <w:b/>
          <w:i/>
          <w:lang w:val="pt-PT"/>
        </w:rPr>
        <w:t xml:space="preserve"> </w:t>
      </w:r>
      <w:proofErr w:type="spellStart"/>
      <w:r w:rsidRPr="00D03162">
        <w:rPr>
          <w:b/>
          <w:i/>
          <w:lang w:val="pt-PT"/>
        </w:rPr>
        <w:t>glyphosate</w:t>
      </w:r>
      <w:proofErr w:type="spellEnd"/>
      <w:r w:rsidRPr="00D03162">
        <w:rPr>
          <w:b/>
          <w:i/>
          <w:lang w:val="pt-PT"/>
        </w:rPr>
        <w:t xml:space="preserve">» (Sinalização </w:t>
      </w:r>
      <w:proofErr w:type="spellStart"/>
      <w:r w:rsidRPr="00D03162">
        <w:rPr>
          <w:b/>
          <w:i/>
          <w:lang w:val="pt-PT"/>
        </w:rPr>
        <w:t>transcriptómica</w:t>
      </w:r>
      <w:proofErr w:type="spellEnd"/>
      <w:r w:rsidRPr="00D03162">
        <w:rPr>
          <w:b/>
          <w:i/>
          <w:lang w:val="pt-PT"/>
        </w:rPr>
        <w:t xml:space="preserve"> em embriões de peixes zebra expostos a concentrações ambientais de glifosato), 2022. «</w:t>
      </w:r>
      <w:proofErr w:type="spellStart"/>
      <w:r w:rsidRPr="00D03162">
        <w:rPr>
          <w:b/>
          <w:i/>
          <w:lang w:val="pt-PT"/>
        </w:rPr>
        <w:t>Effects</w:t>
      </w:r>
      <w:proofErr w:type="spellEnd"/>
      <w:r w:rsidRPr="00D03162">
        <w:rPr>
          <w:b/>
          <w:i/>
          <w:lang w:val="pt-PT"/>
        </w:rPr>
        <w:t xml:space="preserve"> </w:t>
      </w:r>
      <w:proofErr w:type="spellStart"/>
      <w:r w:rsidRPr="00D03162">
        <w:rPr>
          <w:b/>
          <w:i/>
          <w:lang w:val="pt-PT"/>
        </w:rPr>
        <w:t>of</w:t>
      </w:r>
      <w:proofErr w:type="spellEnd"/>
      <w:r w:rsidRPr="00D03162">
        <w:rPr>
          <w:b/>
          <w:i/>
          <w:lang w:val="pt-PT"/>
        </w:rPr>
        <w:t xml:space="preserve"> </w:t>
      </w:r>
      <w:proofErr w:type="spellStart"/>
      <w:r w:rsidRPr="00D03162">
        <w:rPr>
          <w:b/>
          <w:i/>
          <w:lang w:val="pt-PT"/>
        </w:rPr>
        <w:t>low</w:t>
      </w:r>
      <w:proofErr w:type="spellEnd"/>
      <w:r w:rsidRPr="00D03162">
        <w:rPr>
          <w:b/>
          <w:i/>
          <w:lang w:val="pt-PT"/>
        </w:rPr>
        <w:t xml:space="preserve"> </w:t>
      </w:r>
      <w:proofErr w:type="spellStart"/>
      <w:r w:rsidRPr="00D03162">
        <w:rPr>
          <w:b/>
          <w:i/>
          <w:lang w:val="pt-PT"/>
        </w:rPr>
        <w:t>concentration</w:t>
      </w:r>
      <w:proofErr w:type="spellEnd"/>
      <w:r w:rsidRPr="00D03162">
        <w:rPr>
          <w:b/>
          <w:i/>
          <w:lang w:val="pt-PT"/>
        </w:rPr>
        <w:t xml:space="preserve"> </w:t>
      </w:r>
      <w:proofErr w:type="spellStart"/>
      <w:r w:rsidRPr="00D03162">
        <w:rPr>
          <w:b/>
          <w:i/>
          <w:lang w:val="pt-PT"/>
        </w:rPr>
        <w:t>glyphosate</w:t>
      </w:r>
      <w:proofErr w:type="spellEnd"/>
      <w:r w:rsidRPr="00D03162">
        <w:rPr>
          <w:b/>
          <w:i/>
          <w:lang w:val="pt-PT"/>
        </w:rPr>
        <w:t xml:space="preserve"> </w:t>
      </w:r>
      <w:proofErr w:type="spellStart"/>
      <w:r w:rsidRPr="00D03162">
        <w:rPr>
          <w:b/>
          <w:i/>
          <w:lang w:val="pt-PT"/>
        </w:rPr>
        <w:t>and</w:t>
      </w:r>
      <w:proofErr w:type="spellEnd"/>
      <w:r w:rsidRPr="00D03162">
        <w:rPr>
          <w:b/>
          <w:i/>
          <w:lang w:val="pt-PT"/>
        </w:rPr>
        <w:t xml:space="preserve"> </w:t>
      </w:r>
      <w:proofErr w:type="spellStart"/>
      <w:r w:rsidRPr="00D03162">
        <w:rPr>
          <w:b/>
          <w:i/>
          <w:lang w:val="pt-PT"/>
        </w:rPr>
        <w:t>aminomethyl</w:t>
      </w:r>
      <w:proofErr w:type="spellEnd"/>
      <w:r w:rsidRPr="00D03162">
        <w:rPr>
          <w:b/>
          <w:i/>
          <w:lang w:val="pt-PT"/>
        </w:rPr>
        <w:t xml:space="preserve"> </w:t>
      </w:r>
      <w:proofErr w:type="spellStart"/>
      <w:r w:rsidRPr="00D03162">
        <w:rPr>
          <w:b/>
          <w:i/>
          <w:lang w:val="pt-PT"/>
        </w:rPr>
        <w:t>phosphonic</w:t>
      </w:r>
      <w:proofErr w:type="spellEnd"/>
      <w:r w:rsidRPr="00D03162">
        <w:rPr>
          <w:b/>
          <w:i/>
          <w:lang w:val="pt-PT"/>
        </w:rPr>
        <w:t xml:space="preserve"> </w:t>
      </w:r>
      <w:proofErr w:type="spellStart"/>
      <w:r w:rsidRPr="00D03162">
        <w:rPr>
          <w:b/>
          <w:i/>
          <w:lang w:val="pt-PT"/>
        </w:rPr>
        <w:t>acid</w:t>
      </w:r>
      <w:proofErr w:type="spellEnd"/>
      <w:r w:rsidRPr="00D03162">
        <w:rPr>
          <w:b/>
          <w:i/>
          <w:lang w:val="pt-PT"/>
        </w:rPr>
        <w:t xml:space="preserve"> </w:t>
      </w:r>
      <w:proofErr w:type="spellStart"/>
      <w:r w:rsidRPr="00D03162">
        <w:rPr>
          <w:b/>
          <w:i/>
          <w:lang w:val="pt-PT"/>
        </w:rPr>
        <w:t>on</w:t>
      </w:r>
      <w:proofErr w:type="spellEnd"/>
      <w:r w:rsidRPr="00D03162">
        <w:rPr>
          <w:b/>
          <w:i/>
          <w:lang w:val="pt-PT"/>
        </w:rPr>
        <w:t xml:space="preserve"> </w:t>
      </w:r>
      <w:proofErr w:type="spellStart"/>
      <w:r w:rsidRPr="00D03162">
        <w:rPr>
          <w:b/>
          <w:i/>
          <w:lang w:val="pt-PT"/>
        </w:rPr>
        <w:t>zebrafish</w:t>
      </w:r>
      <w:proofErr w:type="spellEnd"/>
      <w:r w:rsidRPr="00D03162">
        <w:rPr>
          <w:b/>
          <w:i/>
          <w:lang w:val="pt-PT"/>
        </w:rPr>
        <w:t xml:space="preserve"> </w:t>
      </w:r>
      <w:proofErr w:type="spellStart"/>
      <w:r w:rsidRPr="00D03162">
        <w:rPr>
          <w:b/>
          <w:i/>
          <w:lang w:val="pt-PT"/>
        </w:rPr>
        <w:t>embryo</w:t>
      </w:r>
      <w:proofErr w:type="spellEnd"/>
      <w:r w:rsidRPr="00D03162">
        <w:rPr>
          <w:b/>
          <w:i/>
          <w:lang w:val="pt-PT"/>
        </w:rPr>
        <w:t xml:space="preserve"> </w:t>
      </w:r>
      <w:proofErr w:type="spellStart"/>
      <w:r w:rsidRPr="00D03162">
        <w:rPr>
          <w:b/>
          <w:i/>
          <w:lang w:val="pt-PT"/>
        </w:rPr>
        <w:t>development</w:t>
      </w:r>
      <w:proofErr w:type="spellEnd"/>
      <w:r w:rsidRPr="00D03162">
        <w:rPr>
          <w:b/>
          <w:i/>
          <w:lang w:val="pt-PT"/>
        </w:rPr>
        <w:t xml:space="preserve">» (Efeitos de baixas concentrações de glifosato e de ácido </w:t>
      </w:r>
      <w:proofErr w:type="spellStart"/>
      <w:r w:rsidRPr="00D03162">
        <w:rPr>
          <w:b/>
          <w:i/>
          <w:lang w:val="pt-PT"/>
        </w:rPr>
        <w:t>aminometil</w:t>
      </w:r>
      <w:proofErr w:type="spellEnd"/>
      <w:r w:rsidRPr="00D03162">
        <w:rPr>
          <w:b/>
          <w:i/>
          <w:lang w:val="pt-PT"/>
        </w:rPr>
        <w:t xml:space="preserve"> fosfónico no desenvolvimento de embriões de peixes zebra), 2021. «Global </w:t>
      </w:r>
      <w:proofErr w:type="spellStart"/>
      <w:r w:rsidRPr="00D03162">
        <w:rPr>
          <w:b/>
          <w:i/>
          <w:lang w:val="pt-PT"/>
        </w:rPr>
        <w:t>transcriptomic</w:t>
      </w:r>
      <w:proofErr w:type="spellEnd"/>
      <w:r w:rsidRPr="00D03162">
        <w:rPr>
          <w:b/>
          <w:i/>
          <w:lang w:val="pt-PT"/>
        </w:rPr>
        <w:t xml:space="preserve"> </w:t>
      </w:r>
      <w:proofErr w:type="spellStart"/>
      <w:r w:rsidRPr="00D03162">
        <w:rPr>
          <w:b/>
          <w:i/>
          <w:lang w:val="pt-PT"/>
        </w:rPr>
        <w:t>profiling</w:t>
      </w:r>
      <w:proofErr w:type="spellEnd"/>
      <w:r w:rsidRPr="00D03162">
        <w:rPr>
          <w:b/>
          <w:i/>
          <w:lang w:val="pt-PT"/>
        </w:rPr>
        <w:t xml:space="preserve"> </w:t>
      </w:r>
      <w:proofErr w:type="spellStart"/>
      <w:r w:rsidRPr="00D03162">
        <w:rPr>
          <w:b/>
          <w:i/>
          <w:lang w:val="pt-PT"/>
        </w:rPr>
        <w:t>demonstrates</w:t>
      </w:r>
      <w:proofErr w:type="spellEnd"/>
      <w:r w:rsidRPr="00D03162">
        <w:rPr>
          <w:b/>
          <w:i/>
          <w:lang w:val="pt-PT"/>
        </w:rPr>
        <w:t xml:space="preserve"> </w:t>
      </w:r>
      <w:proofErr w:type="spellStart"/>
      <w:r w:rsidRPr="00D03162">
        <w:rPr>
          <w:b/>
          <w:i/>
          <w:lang w:val="pt-PT"/>
        </w:rPr>
        <w:t>induction</w:t>
      </w:r>
      <w:proofErr w:type="spellEnd"/>
      <w:r w:rsidRPr="00D03162">
        <w:rPr>
          <w:b/>
          <w:i/>
          <w:lang w:val="pt-PT"/>
        </w:rPr>
        <w:t xml:space="preserve"> </w:t>
      </w:r>
      <w:proofErr w:type="spellStart"/>
      <w:r w:rsidRPr="00D03162">
        <w:rPr>
          <w:b/>
          <w:i/>
          <w:lang w:val="pt-PT"/>
        </w:rPr>
        <w:t>of</w:t>
      </w:r>
      <w:proofErr w:type="spellEnd"/>
      <w:r w:rsidRPr="00D03162">
        <w:rPr>
          <w:b/>
          <w:i/>
          <w:lang w:val="pt-PT"/>
        </w:rPr>
        <w:t xml:space="preserve"> </w:t>
      </w:r>
      <w:proofErr w:type="spellStart"/>
      <w:r w:rsidRPr="00D03162">
        <w:rPr>
          <w:b/>
          <w:i/>
          <w:lang w:val="pt-PT"/>
        </w:rPr>
        <w:t>oxidative</w:t>
      </w:r>
      <w:proofErr w:type="spellEnd"/>
      <w:r w:rsidRPr="00D03162">
        <w:rPr>
          <w:b/>
          <w:i/>
          <w:lang w:val="pt-PT"/>
        </w:rPr>
        <w:t xml:space="preserve"> stress </w:t>
      </w:r>
      <w:proofErr w:type="spellStart"/>
      <w:r w:rsidRPr="00D03162">
        <w:rPr>
          <w:b/>
          <w:i/>
          <w:lang w:val="pt-PT"/>
        </w:rPr>
        <w:t>and</w:t>
      </w:r>
      <w:proofErr w:type="spellEnd"/>
      <w:r w:rsidRPr="00D03162">
        <w:rPr>
          <w:b/>
          <w:i/>
          <w:lang w:val="pt-PT"/>
        </w:rPr>
        <w:t xml:space="preserve"> </w:t>
      </w:r>
      <w:proofErr w:type="spellStart"/>
      <w:r w:rsidRPr="00D03162">
        <w:rPr>
          <w:b/>
          <w:i/>
          <w:lang w:val="pt-PT"/>
        </w:rPr>
        <w:t>compensatory</w:t>
      </w:r>
      <w:proofErr w:type="spellEnd"/>
      <w:r w:rsidRPr="00D03162">
        <w:rPr>
          <w:b/>
          <w:i/>
          <w:lang w:val="pt-PT"/>
        </w:rPr>
        <w:t xml:space="preserve"> </w:t>
      </w:r>
      <w:proofErr w:type="spellStart"/>
      <w:r w:rsidRPr="00D03162">
        <w:rPr>
          <w:b/>
          <w:i/>
          <w:lang w:val="pt-PT"/>
        </w:rPr>
        <w:t>cellular</w:t>
      </w:r>
      <w:proofErr w:type="spellEnd"/>
      <w:r w:rsidRPr="00D03162">
        <w:rPr>
          <w:b/>
          <w:i/>
          <w:lang w:val="pt-PT"/>
        </w:rPr>
        <w:t xml:space="preserve"> stress responses in </w:t>
      </w:r>
      <w:proofErr w:type="spellStart"/>
      <w:r w:rsidRPr="00D03162">
        <w:rPr>
          <w:b/>
          <w:i/>
          <w:lang w:val="pt-PT"/>
        </w:rPr>
        <w:t>brown</w:t>
      </w:r>
      <w:proofErr w:type="spellEnd"/>
      <w:r w:rsidRPr="00D03162">
        <w:rPr>
          <w:b/>
          <w:i/>
          <w:lang w:val="pt-PT"/>
        </w:rPr>
        <w:t xml:space="preserve"> </w:t>
      </w:r>
      <w:proofErr w:type="spellStart"/>
      <w:r w:rsidRPr="00D03162">
        <w:rPr>
          <w:b/>
          <w:i/>
          <w:lang w:val="pt-PT"/>
        </w:rPr>
        <w:t>trout</w:t>
      </w:r>
      <w:proofErr w:type="spellEnd"/>
      <w:r w:rsidRPr="00D03162">
        <w:rPr>
          <w:b/>
          <w:i/>
          <w:lang w:val="pt-PT"/>
        </w:rPr>
        <w:t xml:space="preserve"> </w:t>
      </w:r>
      <w:proofErr w:type="spellStart"/>
      <w:r w:rsidRPr="00D03162">
        <w:rPr>
          <w:b/>
          <w:i/>
          <w:lang w:val="pt-PT"/>
        </w:rPr>
        <w:t>exposed</w:t>
      </w:r>
      <w:proofErr w:type="spellEnd"/>
      <w:r w:rsidRPr="00D03162">
        <w:rPr>
          <w:b/>
          <w:i/>
          <w:lang w:val="pt-PT"/>
        </w:rPr>
        <w:t xml:space="preserve"> to </w:t>
      </w:r>
      <w:proofErr w:type="spellStart"/>
      <w:r w:rsidRPr="00D03162">
        <w:rPr>
          <w:b/>
          <w:i/>
          <w:lang w:val="pt-PT"/>
        </w:rPr>
        <w:t>glyphosate</w:t>
      </w:r>
      <w:proofErr w:type="spellEnd"/>
      <w:r w:rsidRPr="00D03162">
        <w:rPr>
          <w:b/>
          <w:i/>
          <w:lang w:val="pt-PT"/>
        </w:rPr>
        <w:t xml:space="preserve"> </w:t>
      </w:r>
      <w:proofErr w:type="spellStart"/>
      <w:r w:rsidRPr="00D03162">
        <w:rPr>
          <w:b/>
          <w:i/>
          <w:lang w:val="pt-PT"/>
        </w:rPr>
        <w:t>and</w:t>
      </w:r>
      <w:proofErr w:type="spellEnd"/>
      <w:r w:rsidRPr="00D03162">
        <w:rPr>
          <w:b/>
          <w:i/>
          <w:lang w:val="pt-PT"/>
        </w:rPr>
        <w:t xml:space="preserve"> </w:t>
      </w:r>
      <w:proofErr w:type="spellStart"/>
      <w:r w:rsidRPr="00D03162">
        <w:rPr>
          <w:b/>
          <w:i/>
          <w:lang w:val="pt-PT"/>
        </w:rPr>
        <w:t>Roundup</w:t>
      </w:r>
      <w:proofErr w:type="spellEnd"/>
      <w:r w:rsidRPr="00D03162">
        <w:rPr>
          <w:b/>
          <w:i/>
          <w:lang w:val="pt-PT"/>
        </w:rPr>
        <w:t xml:space="preserve">» (O perfil </w:t>
      </w:r>
      <w:proofErr w:type="spellStart"/>
      <w:r w:rsidRPr="00D03162">
        <w:rPr>
          <w:b/>
          <w:i/>
          <w:lang w:val="pt-PT"/>
        </w:rPr>
        <w:t>transcritómico</w:t>
      </w:r>
      <w:proofErr w:type="spellEnd"/>
      <w:r w:rsidRPr="00D03162">
        <w:rPr>
          <w:b/>
          <w:i/>
          <w:lang w:val="pt-PT"/>
        </w:rPr>
        <w:t xml:space="preserve"> global demonstra a indução do stress oxidativo e as respostas compensatórias ao stress celular em trutas castanhas expostas ao glifosato e ao </w:t>
      </w:r>
      <w:proofErr w:type="spellStart"/>
      <w:r w:rsidRPr="00D03162">
        <w:rPr>
          <w:b/>
          <w:i/>
          <w:lang w:val="pt-PT"/>
        </w:rPr>
        <w:t>Roundup</w:t>
      </w:r>
      <w:proofErr w:type="spellEnd"/>
      <w:r w:rsidRPr="00D03162">
        <w:rPr>
          <w:b/>
          <w:i/>
          <w:lang w:val="pt-PT"/>
        </w:rPr>
        <w:t>), 2018.</w:t>
      </w:r>
    </w:p>
  </w:footnote>
  <w:footnote w:id="33">
    <w:p w14:paraId="1BE383B7"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 xml:space="preserve">Decisão 2004/248/CE da Comissão, de 10 de março de 2004, relativa à não inclusão da substância ativa </w:t>
      </w:r>
      <w:proofErr w:type="spellStart"/>
      <w:r w:rsidRPr="00D03162">
        <w:rPr>
          <w:b/>
          <w:i/>
          <w:lang w:val="pt-PT"/>
        </w:rPr>
        <w:t>atrazina</w:t>
      </w:r>
      <w:proofErr w:type="spellEnd"/>
      <w:r w:rsidRPr="00D03162">
        <w:rPr>
          <w:b/>
          <w:i/>
          <w:lang w:val="pt-PT"/>
        </w:rPr>
        <w:t xml:space="preserve"> no anexo I da Diretiva 91/414/CEE do Conselho e à retirada das autorizações dos produtos fitofarmacêuticos que a contenham (JO L 78 de 16.3.2004, p. 53).</w:t>
      </w:r>
    </w:p>
  </w:footnote>
  <w:footnote w:id="34">
    <w:p w14:paraId="0240C08D"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Diretiva (UE) 2020/2184 do Parlamento Europeu e do Conselho, de 16 de dezembro de 2020, relativa à qualidade da água destinada ao consumo humano (reformulação) (JO L 435 de 23.12.2020, p. 1).</w:t>
      </w:r>
    </w:p>
  </w:footnote>
  <w:footnote w:id="35">
    <w:p w14:paraId="09279620"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CCRSAE. Contributo para a consulta da Direção Geral do Ambiente: Comentários sobre a proposta da Comissão de alteração da DQA/DAS/DNQA, março de 2023. CCRSAE. Normas de qualidade das águas subterrâneas para os poluentes adicionais propostos nos anexos da Diretiva Águas Subterrâneas (2006/118/CE), julho de 2022.</w:t>
      </w:r>
    </w:p>
  </w:footnote>
  <w:footnote w:id="36">
    <w:p w14:paraId="4EB7063E"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EMA. Avaliação do risco toxicológico para a saúde humana e para as comunidades de águas subterrâneas dos produtos farmacêuticos veterinários nas águas subterrâneas - Orientação científica, abril de 2018.</w:t>
      </w:r>
    </w:p>
  </w:footnote>
  <w:footnote w:id="37">
    <w:p w14:paraId="5E776755"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w:t>
      </w:r>
      <w:proofErr w:type="spellStart"/>
      <w:r w:rsidRPr="00D03162">
        <w:rPr>
          <w:b/>
          <w:i/>
          <w:lang w:val="pt-PT"/>
        </w:rPr>
        <w:t>European</w:t>
      </w:r>
      <w:proofErr w:type="spellEnd"/>
      <w:r w:rsidRPr="00D03162">
        <w:rPr>
          <w:b/>
          <w:i/>
          <w:lang w:val="pt-PT"/>
        </w:rPr>
        <w:t xml:space="preserve"> </w:t>
      </w:r>
      <w:proofErr w:type="spellStart"/>
      <w:r w:rsidRPr="00D03162">
        <w:rPr>
          <w:b/>
          <w:i/>
          <w:lang w:val="pt-PT"/>
        </w:rPr>
        <w:t>Groundwater</w:t>
      </w:r>
      <w:proofErr w:type="spellEnd"/>
      <w:r w:rsidRPr="00D03162">
        <w:rPr>
          <w:b/>
          <w:i/>
          <w:lang w:val="pt-PT"/>
        </w:rPr>
        <w:t xml:space="preserve"> Memorandum: To secure </w:t>
      </w:r>
      <w:proofErr w:type="spellStart"/>
      <w:r w:rsidRPr="00D03162">
        <w:rPr>
          <w:b/>
          <w:i/>
          <w:lang w:val="pt-PT"/>
        </w:rPr>
        <w:t>the</w:t>
      </w:r>
      <w:proofErr w:type="spellEnd"/>
      <w:r w:rsidRPr="00D03162">
        <w:rPr>
          <w:b/>
          <w:i/>
          <w:lang w:val="pt-PT"/>
        </w:rPr>
        <w:t xml:space="preserve"> </w:t>
      </w:r>
      <w:proofErr w:type="spellStart"/>
      <w:r w:rsidRPr="00D03162">
        <w:rPr>
          <w:b/>
          <w:i/>
          <w:lang w:val="pt-PT"/>
        </w:rPr>
        <w:t>quality</w:t>
      </w:r>
      <w:proofErr w:type="spellEnd"/>
      <w:r w:rsidRPr="00D03162">
        <w:rPr>
          <w:b/>
          <w:i/>
          <w:lang w:val="pt-PT"/>
        </w:rPr>
        <w:t xml:space="preserve"> </w:t>
      </w:r>
      <w:proofErr w:type="spellStart"/>
      <w:r w:rsidRPr="00D03162">
        <w:rPr>
          <w:b/>
          <w:i/>
          <w:lang w:val="pt-PT"/>
        </w:rPr>
        <w:t>and</w:t>
      </w:r>
      <w:proofErr w:type="spellEnd"/>
      <w:r w:rsidRPr="00D03162">
        <w:rPr>
          <w:b/>
          <w:i/>
          <w:lang w:val="pt-PT"/>
        </w:rPr>
        <w:t xml:space="preserve"> </w:t>
      </w:r>
      <w:proofErr w:type="spellStart"/>
      <w:r w:rsidRPr="00D03162">
        <w:rPr>
          <w:b/>
          <w:i/>
          <w:lang w:val="pt-PT"/>
        </w:rPr>
        <w:t>quantity</w:t>
      </w:r>
      <w:proofErr w:type="spellEnd"/>
      <w:r w:rsidRPr="00D03162">
        <w:rPr>
          <w:b/>
          <w:i/>
          <w:lang w:val="pt-PT"/>
        </w:rPr>
        <w:t xml:space="preserve"> </w:t>
      </w:r>
      <w:proofErr w:type="spellStart"/>
      <w:r w:rsidRPr="00D03162">
        <w:rPr>
          <w:b/>
          <w:i/>
          <w:lang w:val="pt-PT"/>
        </w:rPr>
        <w:t>of</w:t>
      </w:r>
      <w:proofErr w:type="spellEnd"/>
      <w:r w:rsidRPr="00D03162">
        <w:rPr>
          <w:b/>
          <w:i/>
          <w:lang w:val="pt-PT"/>
        </w:rPr>
        <w:t xml:space="preserve"> </w:t>
      </w:r>
      <w:proofErr w:type="spellStart"/>
      <w:r w:rsidRPr="00D03162">
        <w:rPr>
          <w:b/>
          <w:i/>
          <w:lang w:val="pt-PT"/>
        </w:rPr>
        <w:t>drinking</w:t>
      </w:r>
      <w:proofErr w:type="spellEnd"/>
      <w:r w:rsidRPr="00D03162">
        <w:rPr>
          <w:b/>
          <w:i/>
          <w:lang w:val="pt-PT"/>
        </w:rPr>
        <w:t xml:space="preserve"> </w:t>
      </w:r>
      <w:proofErr w:type="spellStart"/>
      <w:r w:rsidRPr="00D03162">
        <w:rPr>
          <w:b/>
          <w:i/>
          <w:lang w:val="pt-PT"/>
        </w:rPr>
        <w:t>water</w:t>
      </w:r>
      <w:proofErr w:type="spellEnd"/>
      <w:r w:rsidRPr="00D03162">
        <w:rPr>
          <w:b/>
          <w:i/>
          <w:lang w:val="pt-PT"/>
        </w:rPr>
        <w:t xml:space="preserve"> for future </w:t>
      </w:r>
      <w:proofErr w:type="spellStart"/>
      <w:r w:rsidRPr="00D03162">
        <w:rPr>
          <w:b/>
          <w:i/>
          <w:lang w:val="pt-PT"/>
        </w:rPr>
        <w:t>generations</w:t>
      </w:r>
      <w:proofErr w:type="spellEnd"/>
      <w:r w:rsidRPr="00D03162">
        <w:rPr>
          <w:b/>
          <w:i/>
          <w:lang w:val="pt-PT"/>
        </w:rPr>
        <w:t xml:space="preserve"> (Memorando europeu sobre águas subterrâneas: Garantir a qualidade e a quantidade de água potável para as gerações futuras), março de 2022.</w:t>
      </w:r>
    </w:p>
  </w:footnote>
  <w:footnote w:id="38">
    <w:p w14:paraId="25C40B3C"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EMA. Avaliação do risco toxicológico para a saúde humana e para as comunidades de águas subterrâneas dos produtos farmacêuticos veterinários nas águas subterrâneas   Orientação científica, abril de 2018.</w:t>
      </w:r>
    </w:p>
  </w:footnote>
  <w:footnote w:id="39">
    <w:p w14:paraId="6CEFD117" w14:textId="77777777" w:rsidR="00ED1910" w:rsidRPr="00D03162" w:rsidRDefault="00ED1910" w:rsidP="002E0FC5">
      <w:pPr>
        <w:pStyle w:val="FootnoteTextForceStyle"/>
        <w:rPr>
          <w:lang w:val="pt-PT"/>
        </w:rPr>
      </w:pPr>
      <w:r>
        <w:rPr>
          <w:vertAlign w:val="superscript"/>
        </w:rPr>
        <w:footnoteRef/>
      </w:r>
      <w:r w:rsidRPr="00D03162">
        <w:rPr>
          <w:lang w:val="pt-PT"/>
        </w:rPr>
        <w:tab/>
        <w:t>Diretiva (UE) 2020/2184 do Parlamento Europeu e do Conselho, de 16 de dezembro de 2020, relativa à qualidade da água destinada ao consumo humano (reformulação) (JO L 435 de 23.12.2020, p. 1).</w:t>
      </w:r>
    </w:p>
  </w:footnote>
  <w:footnote w:id="40">
    <w:p w14:paraId="47354675"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 xml:space="preserve">«Global </w:t>
      </w:r>
      <w:proofErr w:type="spellStart"/>
      <w:r w:rsidRPr="00D03162">
        <w:rPr>
          <w:b/>
          <w:i/>
          <w:lang w:val="pt-PT"/>
        </w:rPr>
        <w:t>burden</w:t>
      </w:r>
      <w:proofErr w:type="spellEnd"/>
      <w:r w:rsidRPr="00D03162">
        <w:rPr>
          <w:b/>
          <w:i/>
          <w:lang w:val="pt-PT"/>
        </w:rPr>
        <w:t xml:space="preserve"> </w:t>
      </w:r>
      <w:proofErr w:type="spellStart"/>
      <w:r w:rsidRPr="00D03162">
        <w:rPr>
          <w:b/>
          <w:i/>
          <w:lang w:val="pt-PT"/>
        </w:rPr>
        <w:t>of</w:t>
      </w:r>
      <w:proofErr w:type="spellEnd"/>
      <w:r w:rsidRPr="00D03162">
        <w:rPr>
          <w:b/>
          <w:i/>
          <w:lang w:val="pt-PT"/>
        </w:rPr>
        <w:t xml:space="preserve"> bacterial </w:t>
      </w:r>
      <w:proofErr w:type="spellStart"/>
      <w:r w:rsidRPr="00D03162">
        <w:rPr>
          <w:b/>
          <w:i/>
          <w:lang w:val="pt-PT"/>
        </w:rPr>
        <w:t>antimicrobial</w:t>
      </w:r>
      <w:proofErr w:type="spellEnd"/>
      <w:r w:rsidRPr="00D03162">
        <w:rPr>
          <w:b/>
          <w:i/>
          <w:lang w:val="pt-PT"/>
        </w:rPr>
        <w:t xml:space="preserve"> </w:t>
      </w:r>
      <w:proofErr w:type="spellStart"/>
      <w:r w:rsidRPr="00D03162">
        <w:rPr>
          <w:b/>
          <w:i/>
          <w:lang w:val="pt-PT"/>
        </w:rPr>
        <w:t>resistance</w:t>
      </w:r>
      <w:proofErr w:type="spellEnd"/>
      <w:r w:rsidRPr="00D03162">
        <w:rPr>
          <w:b/>
          <w:i/>
          <w:lang w:val="pt-PT"/>
        </w:rPr>
        <w:t xml:space="preserve"> in 2019: a </w:t>
      </w:r>
      <w:proofErr w:type="spellStart"/>
      <w:r w:rsidRPr="00D03162">
        <w:rPr>
          <w:b/>
          <w:i/>
          <w:lang w:val="pt-PT"/>
        </w:rPr>
        <w:t>systematic</w:t>
      </w:r>
      <w:proofErr w:type="spellEnd"/>
      <w:r w:rsidRPr="00D03162">
        <w:rPr>
          <w:b/>
          <w:i/>
          <w:lang w:val="pt-PT"/>
        </w:rPr>
        <w:t xml:space="preserve"> </w:t>
      </w:r>
      <w:proofErr w:type="spellStart"/>
      <w:r w:rsidRPr="00D03162">
        <w:rPr>
          <w:b/>
          <w:i/>
          <w:lang w:val="pt-PT"/>
        </w:rPr>
        <w:t>analysis</w:t>
      </w:r>
      <w:proofErr w:type="spellEnd"/>
      <w:r w:rsidRPr="00D03162">
        <w:rPr>
          <w:b/>
          <w:i/>
          <w:lang w:val="pt-PT"/>
        </w:rPr>
        <w:t>» (Impacto mundial da resistência antimicrobiana bacteriana em 2019: uma análise sistemática), Lancet, 19 de janeiro de 2022 https://www.sciencedirect.com/science/article/pii/S0140673621027240?via%3Dihub</w:t>
      </w:r>
    </w:p>
  </w:footnote>
  <w:footnote w:id="41">
    <w:p w14:paraId="61DCCDF2"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https://www.sciencedirect.com/science/article/pii/S2352186422000724</w:t>
      </w:r>
    </w:p>
  </w:footnote>
  <w:footnote w:id="42">
    <w:p w14:paraId="6ED595C7" w14:textId="77777777" w:rsidR="00ED1910" w:rsidRPr="00D03162" w:rsidRDefault="00ED1910" w:rsidP="002E0FC5">
      <w:pPr>
        <w:pStyle w:val="FootnoteTextForceStyle"/>
        <w:rPr>
          <w:lang w:val="pt-PT"/>
        </w:rPr>
      </w:pPr>
      <w:r>
        <w:rPr>
          <w:vertAlign w:val="superscript"/>
        </w:rPr>
        <w:footnoteRef/>
      </w:r>
      <w:r w:rsidRPr="00D03162">
        <w:rPr>
          <w:lang w:val="pt-PT"/>
        </w:rPr>
        <w:tab/>
        <w:t>Documento de trabalho dos serviços da Comissão — Balanço de qualidade da Diretiva-Quadro da Água, Diretiva Águas Subterrâneas, Diretiva Normas de Qualidade Ambiental e Diretiva Inundações [</w:t>
      </w:r>
      <w:proofErr w:type="gramStart"/>
      <w:r w:rsidRPr="00D03162">
        <w:rPr>
          <w:lang w:val="pt-PT"/>
        </w:rPr>
        <w:t>SWD(</w:t>
      </w:r>
      <w:proofErr w:type="gramEnd"/>
      <w:r w:rsidRPr="00D03162">
        <w:rPr>
          <w:lang w:val="pt-PT"/>
        </w:rPr>
        <w:t>2019) 439 final].</w:t>
      </w:r>
    </w:p>
  </w:footnote>
  <w:footnote w:id="43">
    <w:p w14:paraId="12DFDD78"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https://www.igb berlin.de/sites/</w:t>
      </w:r>
      <w:proofErr w:type="spellStart"/>
      <w:r w:rsidRPr="00D03162">
        <w:rPr>
          <w:b/>
          <w:i/>
          <w:lang w:val="pt-PT"/>
        </w:rPr>
        <w:t>default</w:t>
      </w:r>
      <w:proofErr w:type="spellEnd"/>
      <w:r w:rsidRPr="00D03162">
        <w:rPr>
          <w:b/>
          <w:i/>
          <w:lang w:val="pt-PT"/>
        </w:rPr>
        <w:t>/files/media files/download files/IGB_Policy_Brief_WFD_2019.pdf</w:t>
      </w:r>
    </w:p>
  </w:footnote>
  <w:footnote w:id="44">
    <w:p w14:paraId="314006E8" w14:textId="77777777" w:rsidR="00ED1910" w:rsidRPr="00D03162" w:rsidRDefault="00ED1910" w:rsidP="002E0FC5">
      <w:pPr>
        <w:pStyle w:val="FootnoteTextForceStyle"/>
        <w:rPr>
          <w:lang w:val="pt-PT"/>
        </w:rPr>
      </w:pPr>
      <w:r>
        <w:rPr>
          <w:vertAlign w:val="superscript"/>
        </w:rPr>
        <w:footnoteRef/>
      </w:r>
      <w:r w:rsidRPr="00D03162">
        <w:rPr>
          <w:lang w:val="pt-PT"/>
        </w:rPr>
        <w:tab/>
        <w:t>Diretiva 2007/2/CE do Parlamento Europeu e do Conselho, de 14 de março de 2007, que estabelece uma infraestrutura de informação geográfica na Comunidade Europeia (Inspire) (JO L 108 de 25.4.2007, p. 1).</w:t>
      </w:r>
    </w:p>
  </w:footnote>
  <w:footnote w:id="45">
    <w:p w14:paraId="0055C29C" w14:textId="77777777" w:rsidR="00ED1910" w:rsidRPr="00D03162" w:rsidRDefault="00ED1910" w:rsidP="002E0FC5">
      <w:pPr>
        <w:pStyle w:val="FootnoteTextForceStyle"/>
        <w:rPr>
          <w:lang w:val="pt-PT"/>
        </w:rPr>
      </w:pPr>
      <w:r>
        <w:rPr>
          <w:vertAlign w:val="superscript"/>
        </w:rPr>
        <w:footnoteRef/>
      </w:r>
      <w:r w:rsidRPr="00D03162">
        <w:rPr>
          <w:lang w:val="pt-PT"/>
        </w:rPr>
        <w:tab/>
        <w:t>Diretiva (UE) 2019/1024 do Parlamento Europeu e do Conselho, de 20 de junho de 2019, relativa aos dados abertos e à reutilização de informações do setor público (JO L 172 de 26.6.2019, p. 56).</w:t>
      </w:r>
    </w:p>
  </w:footnote>
  <w:footnote w:id="46">
    <w:p w14:paraId="7517835B" w14:textId="77777777" w:rsidR="00ED1910" w:rsidRPr="00D03162" w:rsidRDefault="00ED1910" w:rsidP="002E0FC5">
      <w:pPr>
        <w:pStyle w:val="FootnoteTextForceStyle"/>
        <w:rPr>
          <w:lang w:val="pt-PT"/>
        </w:rPr>
      </w:pPr>
      <w:r w:rsidRPr="00AA7DF5">
        <w:rPr>
          <w:strike/>
          <w:vertAlign w:val="superscript"/>
        </w:rPr>
        <w:footnoteRef/>
      </w:r>
      <w:r w:rsidRPr="00D03162">
        <w:rPr>
          <w:lang w:val="pt-PT"/>
        </w:rPr>
        <w:tab/>
      </w:r>
      <w:r w:rsidRPr="00D03162">
        <w:rPr>
          <w:strike/>
          <w:lang w:val="pt-PT"/>
        </w:rPr>
        <w:t>Regulamento (CE) n.º 166/2006 do Parlamento Europeu e do Conselho, de 18 de janeiro de 2006, relativo à criação do Registo Europeu das Emissões e Transferências de Poluentes e que altera as Diretivas 91/689/CEE e 96/61/CE do Conselho (JO L 33 de 4.2.2006, p. 1).</w:t>
      </w:r>
    </w:p>
  </w:footnote>
  <w:footnote w:id="47">
    <w:p w14:paraId="22172C1A" w14:textId="77777777" w:rsidR="00ED1910" w:rsidRPr="00D03162" w:rsidRDefault="00ED1910" w:rsidP="002E0FC5">
      <w:pPr>
        <w:pStyle w:val="FootnoteTextForceStyle"/>
        <w:rPr>
          <w:lang w:val="pt-PT"/>
        </w:rPr>
      </w:pPr>
      <w:r>
        <w:rPr>
          <w:vertAlign w:val="superscript"/>
        </w:rPr>
        <w:footnoteRef/>
      </w:r>
      <w:r w:rsidRPr="00D03162">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48">
    <w:p w14:paraId="6E03B4D7"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vertAlign w:val="superscript"/>
          <w:lang w:val="pt-PT"/>
        </w:rPr>
        <w:t>+</w:t>
      </w:r>
      <w:r w:rsidRPr="00D03162">
        <w:rPr>
          <w:lang w:val="pt-PT"/>
        </w:rPr>
        <w:t xml:space="preserve">SP: Inserir no texto o número do regulamento constante do documento </w:t>
      </w:r>
      <w:proofErr w:type="gramStart"/>
      <w:r w:rsidRPr="00D03162">
        <w:rPr>
          <w:lang w:val="pt-PT"/>
        </w:rPr>
        <w:t>COM(</w:t>
      </w:r>
      <w:proofErr w:type="gramEnd"/>
      <w:r w:rsidRPr="00D03162">
        <w:rPr>
          <w:lang w:val="pt-PT"/>
        </w:rPr>
        <w:t>2022) 157 e inserir o número, a data, o título e a referência do JO dessa diretiva na nota de rodapé.</w:t>
      </w:r>
    </w:p>
  </w:footnote>
  <w:footnote w:id="49">
    <w:p w14:paraId="1F3D7C51" w14:textId="77777777" w:rsidR="00ED1910" w:rsidRPr="00D03162" w:rsidRDefault="00ED1910" w:rsidP="002E0FC5">
      <w:pPr>
        <w:pStyle w:val="FootnoteTextForceStyle"/>
        <w:rPr>
          <w:lang w:val="pt-PT"/>
        </w:rPr>
      </w:pPr>
      <w:r>
        <w:rPr>
          <w:vertAlign w:val="superscript"/>
        </w:rPr>
        <w:footnoteRef/>
      </w:r>
      <w:r w:rsidRPr="00D03162">
        <w:rPr>
          <w:lang w:val="pt-PT"/>
        </w:rPr>
        <w:tab/>
      </w:r>
      <w:r w:rsidRPr="00D03162">
        <w:rPr>
          <w:b/>
          <w:i/>
          <w:lang w:val="pt-PT"/>
        </w:rPr>
        <w:t xml:space="preserve">Processo C 535/18, Acórdão do Tribunal de Justiça (Primeira Secção) de 28 de maio de 2020; IL e o./ Land </w:t>
      </w:r>
      <w:proofErr w:type="spellStart"/>
      <w:r w:rsidRPr="00D03162">
        <w:rPr>
          <w:b/>
          <w:i/>
          <w:lang w:val="pt-PT"/>
        </w:rPr>
        <w:t>Nordrhein</w:t>
      </w:r>
      <w:proofErr w:type="spellEnd"/>
      <w:r w:rsidRPr="00D03162">
        <w:rPr>
          <w:b/>
          <w:i/>
          <w:lang w:val="pt-PT"/>
        </w:rPr>
        <w:t xml:space="preserve"> </w:t>
      </w:r>
      <w:proofErr w:type="spellStart"/>
      <w:r w:rsidRPr="00D03162">
        <w:rPr>
          <w:b/>
          <w:i/>
          <w:lang w:val="pt-PT"/>
        </w:rPr>
        <w:t>Westfalen</w:t>
      </w:r>
      <w:proofErr w:type="spellEnd"/>
      <w:r w:rsidRPr="00D03162">
        <w:rPr>
          <w:b/>
          <w:i/>
          <w:lang w:val="pt-PT"/>
        </w:rPr>
        <w:t xml:space="preserve">. Processo C 664/15, Acórdão do Tribunal de Justiça (Segunda Secção) de 20 de dezembro de 2017; </w:t>
      </w:r>
      <w:proofErr w:type="spellStart"/>
      <w:r w:rsidRPr="00D03162">
        <w:rPr>
          <w:b/>
          <w:i/>
          <w:lang w:val="pt-PT"/>
        </w:rPr>
        <w:t>Protect</w:t>
      </w:r>
      <w:proofErr w:type="spellEnd"/>
      <w:r w:rsidRPr="00D03162">
        <w:rPr>
          <w:b/>
          <w:i/>
          <w:lang w:val="pt-PT"/>
        </w:rPr>
        <w:t xml:space="preserve"> </w:t>
      </w:r>
      <w:proofErr w:type="spellStart"/>
      <w:proofErr w:type="gramStart"/>
      <w:r w:rsidRPr="00D03162">
        <w:rPr>
          <w:b/>
          <w:i/>
          <w:lang w:val="pt-PT"/>
        </w:rPr>
        <w:t>Natur</w:t>
      </w:r>
      <w:proofErr w:type="spellEnd"/>
      <w:r w:rsidRPr="00D03162">
        <w:rPr>
          <w:b/>
          <w:i/>
          <w:lang w:val="pt-PT"/>
        </w:rPr>
        <w:t xml:space="preserve"> ,</w:t>
      </w:r>
      <w:proofErr w:type="gramEnd"/>
      <w:r w:rsidRPr="00D03162">
        <w:rPr>
          <w:b/>
          <w:i/>
          <w:lang w:val="pt-PT"/>
        </w:rPr>
        <w:t xml:space="preserve"> </w:t>
      </w:r>
      <w:proofErr w:type="spellStart"/>
      <w:r w:rsidRPr="00D03162">
        <w:rPr>
          <w:b/>
          <w:i/>
          <w:lang w:val="pt-PT"/>
        </w:rPr>
        <w:t>Arten</w:t>
      </w:r>
      <w:proofErr w:type="spellEnd"/>
      <w:r w:rsidRPr="00D03162">
        <w:rPr>
          <w:b/>
          <w:i/>
          <w:lang w:val="pt-PT"/>
        </w:rPr>
        <w:t xml:space="preserve">  </w:t>
      </w:r>
      <w:proofErr w:type="spellStart"/>
      <w:r w:rsidRPr="00D03162">
        <w:rPr>
          <w:b/>
          <w:i/>
          <w:lang w:val="pt-PT"/>
        </w:rPr>
        <w:t>und</w:t>
      </w:r>
      <w:proofErr w:type="spellEnd"/>
      <w:r w:rsidRPr="00D03162">
        <w:rPr>
          <w:b/>
          <w:i/>
          <w:lang w:val="pt-PT"/>
        </w:rPr>
        <w:t xml:space="preserve"> </w:t>
      </w:r>
      <w:proofErr w:type="spellStart"/>
      <w:r w:rsidRPr="00D03162">
        <w:rPr>
          <w:b/>
          <w:i/>
          <w:lang w:val="pt-PT"/>
        </w:rPr>
        <w:t>Landschaftsschutz</w:t>
      </w:r>
      <w:proofErr w:type="spellEnd"/>
      <w:r w:rsidRPr="00D03162">
        <w:rPr>
          <w:b/>
          <w:i/>
          <w:lang w:val="pt-PT"/>
        </w:rPr>
        <w:t xml:space="preserve"> </w:t>
      </w:r>
      <w:proofErr w:type="spellStart"/>
      <w:r w:rsidRPr="00D03162">
        <w:rPr>
          <w:b/>
          <w:i/>
          <w:lang w:val="pt-PT"/>
        </w:rPr>
        <w:t>Umweltorganisation</w:t>
      </w:r>
      <w:proofErr w:type="spellEnd"/>
      <w:r w:rsidRPr="00D03162">
        <w:rPr>
          <w:b/>
          <w:i/>
          <w:lang w:val="pt-PT"/>
        </w:rPr>
        <w:t>/</w:t>
      </w:r>
      <w:proofErr w:type="spellStart"/>
      <w:r w:rsidRPr="00D03162">
        <w:rPr>
          <w:b/>
          <w:i/>
          <w:lang w:val="pt-PT"/>
        </w:rPr>
        <w:t>Bezirkshauptmannschaft</w:t>
      </w:r>
      <w:proofErr w:type="spellEnd"/>
      <w:r w:rsidRPr="00D03162">
        <w:rPr>
          <w:b/>
          <w:i/>
          <w:lang w:val="pt-PT"/>
        </w:rPr>
        <w:t xml:space="preserve"> </w:t>
      </w:r>
      <w:proofErr w:type="spellStart"/>
      <w:r w:rsidRPr="00D03162">
        <w:rPr>
          <w:b/>
          <w:i/>
          <w:lang w:val="pt-PT"/>
        </w:rPr>
        <w:t>Gmünd</w:t>
      </w:r>
      <w:proofErr w:type="spellEnd"/>
      <w:r w:rsidRPr="00D03162">
        <w:rPr>
          <w:b/>
          <w:i/>
          <w:lang w:val="pt-PT"/>
        </w:rPr>
        <w:t>.</w:t>
      </w:r>
    </w:p>
  </w:footnote>
  <w:footnote w:id="50">
    <w:p w14:paraId="14D6EB99" w14:textId="77777777" w:rsidR="00ED1910" w:rsidRPr="00D03162" w:rsidRDefault="00ED1910" w:rsidP="002E0FC5">
      <w:pPr>
        <w:pStyle w:val="FootnoteTextForceStyle"/>
        <w:rPr>
          <w:lang w:val="pt-PT"/>
        </w:rPr>
      </w:pPr>
      <w:r>
        <w:rPr>
          <w:vertAlign w:val="superscript"/>
        </w:rPr>
        <w:footnoteRef/>
      </w:r>
      <w:r w:rsidRPr="00D03162">
        <w:rPr>
          <w:lang w:val="pt-PT"/>
        </w:rPr>
        <w:tab/>
        <w:t>Decisão n.º 1313/2013/UE do Parlamento Europeu e do Conselho, de 17 de dezembro de 2013, relativa a um Mecanismo de Proteção Civil da União Europeia (JO L 347 de 20.12.2013, p. 924).</w:t>
      </w:r>
    </w:p>
  </w:footnote>
  <w:footnote w:id="51">
    <w:p w14:paraId="1418FA97" w14:textId="77777777" w:rsidR="00ED1910" w:rsidRDefault="00ED1910" w:rsidP="002E0FC5">
      <w:pPr>
        <w:pStyle w:val="FootnoteTextForceStyle"/>
      </w:pPr>
      <w:r>
        <w:rPr>
          <w:vertAlign w:val="superscript"/>
        </w:rPr>
        <w:footnoteRef/>
      </w:r>
      <w:r w:rsidRPr="00D03162">
        <w:rPr>
          <w:lang w:val="pt-PT"/>
        </w:rPr>
        <w:tab/>
      </w:r>
      <w:r w:rsidRPr="00D03162">
        <w:rPr>
          <w:b/>
          <w:i/>
          <w:lang w:val="pt-PT"/>
        </w:rPr>
        <w:t xml:space="preserve">OCDE, 6.ª Mesa Redonda sobre o Financiamento da Água. </w:t>
      </w:r>
      <w:proofErr w:type="spellStart"/>
      <w:r>
        <w:rPr>
          <w:b/>
          <w:i/>
        </w:rPr>
        <w:t>Disponível</w:t>
      </w:r>
      <w:proofErr w:type="spellEnd"/>
      <w:r>
        <w:rPr>
          <w:b/>
          <w:i/>
        </w:rPr>
        <w:t xml:space="preserve"> </w:t>
      </w:r>
      <w:proofErr w:type="spellStart"/>
      <w:r>
        <w:rPr>
          <w:b/>
          <w:i/>
        </w:rPr>
        <w:t>em</w:t>
      </w:r>
      <w:proofErr w:type="spellEnd"/>
      <w:r>
        <w:rPr>
          <w:b/>
          <w:i/>
        </w:rPr>
        <w:t>: https://www.oecd.org/water/6th Roundtable on Financing Water in Europe Summary and 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D2472C"/>
    <w:lvl w:ilvl="0">
      <w:start w:val="1"/>
      <w:numFmt w:val="decimal"/>
      <w:pStyle w:val="ThetitleofAnnexIPoint0number"/>
      <w:lvlText w:val="%1."/>
      <w:lvlJc w:val="left"/>
      <w:pPr>
        <w:tabs>
          <w:tab w:val="num" w:pos="1492"/>
        </w:tabs>
        <w:ind w:left="1492"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617566628">
    <w:abstractNumId w:val="0"/>
  </w:num>
  <w:num w:numId="2" w16cid:durableId="665936055">
    <w:abstractNumId w:val="2"/>
  </w:num>
  <w:num w:numId="3" w16cid:durableId="1238586949">
    <w:abstractNumId w:val="13"/>
  </w:num>
  <w:num w:numId="4" w16cid:durableId="1184904293">
    <w:abstractNumId w:val="5"/>
  </w:num>
  <w:num w:numId="5" w16cid:durableId="710956980">
    <w:abstractNumId w:val="1"/>
  </w:num>
  <w:num w:numId="6" w16cid:durableId="1628584989">
    <w:abstractNumId w:val="10"/>
  </w:num>
  <w:num w:numId="7" w16cid:durableId="1013797583">
    <w:abstractNumId w:val="20"/>
  </w:num>
  <w:num w:numId="8" w16cid:durableId="21059417">
    <w:abstractNumId w:val="19"/>
  </w:num>
  <w:num w:numId="9" w16cid:durableId="752239151">
    <w:abstractNumId w:val="28"/>
  </w:num>
  <w:num w:numId="10" w16cid:durableId="1326127657">
    <w:abstractNumId w:val="3"/>
  </w:num>
  <w:num w:numId="11" w16cid:durableId="1497722432">
    <w:abstractNumId w:val="12"/>
  </w:num>
  <w:num w:numId="12" w16cid:durableId="593704778">
    <w:abstractNumId w:val="4"/>
  </w:num>
  <w:num w:numId="13" w16cid:durableId="670570892">
    <w:abstractNumId w:val="14"/>
  </w:num>
  <w:num w:numId="14" w16cid:durableId="275648069">
    <w:abstractNumId w:val="11"/>
  </w:num>
  <w:num w:numId="15" w16cid:durableId="1788234977">
    <w:abstractNumId w:val="21"/>
  </w:num>
  <w:num w:numId="16" w16cid:durableId="1020474907">
    <w:abstractNumId w:val="9"/>
  </w:num>
  <w:num w:numId="17" w16cid:durableId="1814371921">
    <w:abstractNumId w:val="25"/>
  </w:num>
  <w:num w:numId="18" w16cid:durableId="1041903051">
    <w:abstractNumId w:val="15"/>
  </w:num>
  <w:num w:numId="19" w16cid:durableId="717321837">
    <w:abstractNumId w:val="27"/>
  </w:num>
  <w:num w:numId="20" w16cid:durableId="2118720323">
    <w:abstractNumId w:val="8"/>
  </w:num>
  <w:num w:numId="21" w16cid:durableId="726611383">
    <w:abstractNumId w:val="16"/>
  </w:num>
  <w:num w:numId="22" w16cid:durableId="77211609">
    <w:abstractNumId w:val="17"/>
  </w:num>
  <w:num w:numId="23" w16cid:durableId="51740049">
    <w:abstractNumId w:val="6"/>
  </w:num>
  <w:num w:numId="24" w16cid:durableId="1408574732">
    <w:abstractNumId w:val="18"/>
  </w:num>
  <w:num w:numId="25" w16cid:durableId="1457799071">
    <w:abstractNumId w:val="23"/>
  </w:num>
  <w:num w:numId="26" w16cid:durableId="1776711812">
    <w:abstractNumId w:val="24"/>
  </w:num>
  <w:num w:numId="27" w16cid:durableId="1063602723">
    <w:abstractNumId w:val="7"/>
  </w:num>
  <w:num w:numId="28" w16cid:durableId="57790457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PT"/>
    <w:docVar w:name="dvnumam" w:val="228"/>
    <w:docVar w:name="dvpe" w:val="740.884"/>
    <w:docVar w:name="dvrapporteur" w:val="Relator: "/>
    <w:docVar w:name="dvstar" w:val="***I"/>
    <w:docVar w:name="dvtitre" w:val="Resolução legislativa do Parlamento Europeu, de ... de ... de 2024, sobre a proposta de diretiva do Parlamento Europeu e do Conselho que altera a Diretiva 2000/60/CE que estabelece um quadro de ação comunitária no domínio da política da água, a Diretiva 2006/118/CE relativa à proteção das águas subterrâneas contra a poluição e a deterioração e a Diretiva 2008/105/CE relativa a normas de qualidade ambiental no domínio da política da água(COM(2022)0540 – C9-0361/2022 – 2022/0344(COD))"/>
  </w:docVars>
  <w:rsids>
    <w:rsidRoot w:val="00BB3AA4"/>
    <w:rsid w:val="00002272"/>
    <w:rsid w:val="00047C50"/>
    <w:rsid w:val="00064002"/>
    <w:rsid w:val="000668C6"/>
    <w:rsid w:val="000677B9"/>
    <w:rsid w:val="000831BA"/>
    <w:rsid w:val="000A42CC"/>
    <w:rsid w:val="000B3EF9"/>
    <w:rsid w:val="000E7DD9"/>
    <w:rsid w:val="0010095E"/>
    <w:rsid w:val="00113BB1"/>
    <w:rsid w:val="00125B37"/>
    <w:rsid w:val="00126547"/>
    <w:rsid w:val="00154B61"/>
    <w:rsid w:val="00187494"/>
    <w:rsid w:val="001B7E42"/>
    <w:rsid w:val="001C4006"/>
    <w:rsid w:val="001C70F8"/>
    <w:rsid w:val="001D0A0E"/>
    <w:rsid w:val="001F32AE"/>
    <w:rsid w:val="00215909"/>
    <w:rsid w:val="00235013"/>
    <w:rsid w:val="002403B7"/>
    <w:rsid w:val="00250054"/>
    <w:rsid w:val="002767FF"/>
    <w:rsid w:val="002B18FE"/>
    <w:rsid w:val="002B5493"/>
    <w:rsid w:val="002C0985"/>
    <w:rsid w:val="002E0FC5"/>
    <w:rsid w:val="00343214"/>
    <w:rsid w:val="00361C00"/>
    <w:rsid w:val="0037616F"/>
    <w:rsid w:val="003850B4"/>
    <w:rsid w:val="00395FA1"/>
    <w:rsid w:val="003E15D4"/>
    <w:rsid w:val="00406005"/>
    <w:rsid w:val="00411CCE"/>
    <w:rsid w:val="0041666E"/>
    <w:rsid w:val="00421060"/>
    <w:rsid w:val="004570DA"/>
    <w:rsid w:val="00471C19"/>
    <w:rsid w:val="0048284C"/>
    <w:rsid w:val="004867E3"/>
    <w:rsid w:val="00494A28"/>
    <w:rsid w:val="004C0004"/>
    <w:rsid w:val="004C5D52"/>
    <w:rsid w:val="004E1610"/>
    <w:rsid w:val="0050519A"/>
    <w:rsid w:val="005072A1"/>
    <w:rsid w:val="00514517"/>
    <w:rsid w:val="005324ED"/>
    <w:rsid w:val="00545827"/>
    <w:rsid w:val="00560270"/>
    <w:rsid w:val="00563050"/>
    <w:rsid w:val="00576603"/>
    <w:rsid w:val="005B728C"/>
    <w:rsid w:val="005C2568"/>
    <w:rsid w:val="005C76CB"/>
    <w:rsid w:val="006037C0"/>
    <w:rsid w:val="00626600"/>
    <w:rsid w:val="006631B6"/>
    <w:rsid w:val="00680577"/>
    <w:rsid w:val="0068547B"/>
    <w:rsid w:val="00686855"/>
    <w:rsid w:val="006D48D8"/>
    <w:rsid w:val="006D69B9"/>
    <w:rsid w:val="006E1EC0"/>
    <w:rsid w:val="006E79CF"/>
    <w:rsid w:val="006F6994"/>
    <w:rsid w:val="006F74FA"/>
    <w:rsid w:val="00731ADD"/>
    <w:rsid w:val="00734777"/>
    <w:rsid w:val="00747932"/>
    <w:rsid w:val="00751A4A"/>
    <w:rsid w:val="00756632"/>
    <w:rsid w:val="00762C74"/>
    <w:rsid w:val="00786EC0"/>
    <w:rsid w:val="007D1690"/>
    <w:rsid w:val="007E22AD"/>
    <w:rsid w:val="00817416"/>
    <w:rsid w:val="00842779"/>
    <w:rsid w:val="00860CF7"/>
    <w:rsid w:val="00865F67"/>
    <w:rsid w:val="00881A7B"/>
    <w:rsid w:val="008840E5"/>
    <w:rsid w:val="00887B3E"/>
    <w:rsid w:val="008C2AC6"/>
    <w:rsid w:val="008D1D0E"/>
    <w:rsid w:val="009153E2"/>
    <w:rsid w:val="00930C23"/>
    <w:rsid w:val="0093193B"/>
    <w:rsid w:val="009509D8"/>
    <w:rsid w:val="00950B64"/>
    <w:rsid w:val="00951B86"/>
    <w:rsid w:val="00962B41"/>
    <w:rsid w:val="00981893"/>
    <w:rsid w:val="009D04C0"/>
    <w:rsid w:val="009D07FD"/>
    <w:rsid w:val="009F244B"/>
    <w:rsid w:val="00A06656"/>
    <w:rsid w:val="00A1687D"/>
    <w:rsid w:val="00A43E52"/>
    <w:rsid w:val="00A4678D"/>
    <w:rsid w:val="00A6222D"/>
    <w:rsid w:val="00A778C7"/>
    <w:rsid w:val="00A87B09"/>
    <w:rsid w:val="00A9317E"/>
    <w:rsid w:val="00AA7DF5"/>
    <w:rsid w:val="00AB441E"/>
    <w:rsid w:val="00AB6293"/>
    <w:rsid w:val="00AC2FEB"/>
    <w:rsid w:val="00AE0928"/>
    <w:rsid w:val="00AF3B82"/>
    <w:rsid w:val="00B12E95"/>
    <w:rsid w:val="00B22876"/>
    <w:rsid w:val="00B44746"/>
    <w:rsid w:val="00B54D0B"/>
    <w:rsid w:val="00B558F0"/>
    <w:rsid w:val="00B97F78"/>
    <w:rsid w:val="00BB3AA4"/>
    <w:rsid w:val="00BC3F23"/>
    <w:rsid w:val="00BC5A8D"/>
    <w:rsid w:val="00BC69CC"/>
    <w:rsid w:val="00BD48FE"/>
    <w:rsid w:val="00BD7BD8"/>
    <w:rsid w:val="00BE6ADC"/>
    <w:rsid w:val="00C0350D"/>
    <w:rsid w:val="00C05BFE"/>
    <w:rsid w:val="00C23CD4"/>
    <w:rsid w:val="00C55521"/>
    <w:rsid w:val="00C61C0C"/>
    <w:rsid w:val="00C941CB"/>
    <w:rsid w:val="00CC2357"/>
    <w:rsid w:val="00CE667A"/>
    <w:rsid w:val="00CF062F"/>
    <w:rsid w:val="00CF071A"/>
    <w:rsid w:val="00D003AA"/>
    <w:rsid w:val="00D058B8"/>
    <w:rsid w:val="00D30B07"/>
    <w:rsid w:val="00D5501C"/>
    <w:rsid w:val="00D56C11"/>
    <w:rsid w:val="00D8112F"/>
    <w:rsid w:val="00D834A0"/>
    <w:rsid w:val="00D872DF"/>
    <w:rsid w:val="00D91E21"/>
    <w:rsid w:val="00DA42DB"/>
    <w:rsid w:val="00DA7FCD"/>
    <w:rsid w:val="00DD3C96"/>
    <w:rsid w:val="00E2496E"/>
    <w:rsid w:val="00E365E1"/>
    <w:rsid w:val="00E42ABC"/>
    <w:rsid w:val="00E50ED4"/>
    <w:rsid w:val="00E55EEF"/>
    <w:rsid w:val="00E820A4"/>
    <w:rsid w:val="00E87FD2"/>
    <w:rsid w:val="00E93301"/>
    <w:rsid w:val="00EB006A"/>
    <w:rsid w:val="00EB4772"/>
    <w:rsid w:val="00ED169E"/>
    <w:rsid w:val="00ED1910"/>
    <w:rsid w:val="00ED2CFA"/>
    <w:rsid w:val="00ED4235"/>
    <w:rsid w:val="00F03A57"/>
    <w:rsid w:val="00F04346"/>
    <w:rsid w:val="00F075DC"/>
    <w:rsid w:val="00F149E9"/>
    <w:rsid w:val="00F33EDF"/>
    <w:rsid w:val="00F34638"/>
    <w:rsid w:val="00F367E5"/>
    <w:rsid w:val="00F37569"/>
    <w:rsid w:val="00F5134D"/>
    <w:rsid w:val="00F5169B"/>
    <w:rsid w:val="00F74202"/>
    <w:rsid w:val="00F8017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79BD0"/>
  <w15:chartTrackingRefBased/>
  <w15:docId w15:val="{68C2E755-AF99-4019-95C9-D2F24A4BD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63050"/>
    <w:rPr>
      <w:b/>
      <w:kern w:val="28"/>
      <w:sz w:val="28"/>
      <w:lang w:val="fr-FR" w:eastAsia="fr-FR"/>
    </w:rPr>
  </w:style>
  <w:style w:type="character" w:customStyle="1" w:styleId="Heading2Char">
    <w:name w:val="Heading 2 Char"/>
    <w:basedOn w:val="DefaultParagraphFont"/>
    <w:link w:val="Heading2"/>
    <w:uiPriority w:val="9"/>
    <w:semiHidden/>
    <w:rsid w:val="00563050"/>
    <w:rPr>
      <w:sz w:val="24"/>
      <w:lang w:val="fr-FR" w:eastAsia="fr-FR"/>
    </w:rPr>
  </w:style>
  <w:style w:type="character" w:customStyle="1" w:styleId="Heading3Char">
    <w:name w:val="Heading 3 Char"/>
    <w:basedOn w:val="DefaultParagraphFont"/>
    <w:link w:val="Heading3"/>
    <w:uiPriority w:val="9"/>
    <w:semiHidden/>
    <w:rsid w:val="00563050"/>
    <w:rPr>
      <w:rFonts w:ascii="Arial" w:hAnsi="Arial"/>
      <w:sz w:val="24"/>
      <w:lang w:val="fr-FR" w:eastAsia="fr-FR"/>
    </w:rPr>
  </w:style>
  <w:style w:type="character" w:customStyle="1" w:styleId="Heading4Char">
    <w:name w:val="Heading 4 Char"/>
    <w:basedOn w:val="DefaultParagraphFont"/>
    <w:link w:val="Heading4"/>
    <w:uiPriority w:val="9"/>
    <w:semiHidden/>
    <w:rsid w:val="00563050"/>
    <w:rPr>
      <w:sz w:val="24"/>
      <w:lang w:val="en-US" w:eastAsia="fr-FR"/>
    </w:rPr>
  </w:style>
  <w:style w:type="character" w:customStyle="1" w:styleId="Heading5Char">
    <w:name w:val="Heading 5 Char"/>
    <w:basedOn w:val="DefaultParagraphFont"/>
    <w:link w:val="Heading5"/>
    <w:uiPriority w:val="9"/>
    <w:semiHidden/>
    <w:rsid w:val="00563050"/>
    <w:rPr>
      <w:sz w:val="24"/>
      <w:lang w:val="en-US" w:eastAsia="fr-FR"/>
    </w:rPr>
  </w:style>
  <w:style w:type="character" w:customStyle="1" w:styleId="Heading6Char">
    <w:name w:val="Heading 6 Char"/>
    <w:basedOn w:val="DefaultParagraphFont"/>
    <w:link w:val="Heading6"/>
    <w:uiPriority w:val="9"/>
    <w:semiHidden/>
    <w:rsid w:val="00563050"/>
    <w:rPr>
      <w:i/>
      <w:sz w:val="22"/>
      <w:lang w:val="pt-PT"/>
    </w:rPr>
  </w:style>
  <w:style w:type="character" w:customStyle="1" w:styleId="Heading7Char">
    <w:name w:val="Heading 7 Char"/>
    <w:basedOn w:val="DefaultParagraphFont"/>
    <w:link w:val="Heading7"/>
    <w:uiPriority w:val="9"/>
    <w:semiHidden/>
    <w:rsid w:val="00563050"/>
    <w:rPr>
      <w:rFonts w:ascii="Arial" w:hAnsi="Arial"/>
      <w:sz w:val="24"/>
      <w:lang w:val="pt-PT"/>
    </w:rPr>
  </w:style>
  <w:style w:type="character" w:customStyle="1" w:styleId="Heading8Char">
    <w:name w:val="Heading 8 Char"/>
    <w:basedOn w:val="DefaultParagraphFont"/>
    <w:link w:val="Heading8"/>
    <w:uiPriority w:val="9"/>
    <w:rsid w:val="00563050"/>
    <w:rPr>
      <w:rFonts w:ascii="Arial" w:hAnsi="Arial"/>
      <w:i/>
      <w:sz w:val="24"/>
      <w:lang w:val="pt-PT"/>
    </w:rPr>
  </w:style>
  <w:style w:type="character" w:customStyle="1" w:styleId="Heading9Char">
    <w:name w:val="Heading 9 Char"/>
    <w:basedOn w:val="DefaultParagraphFont"/>
    <w:link w:val="Heading9"/>
    <w:uiPriority w:val="9"/>
    <w:rsid w:val="00563050"/>
    <w:rPr>
      <w:rFonts w:ascii="Arial" w:hAnsi="Arial"/>
      <w:b/>
      <w:i/>
      <w:sz w:val="18"/>
      <w:lang w:val="pt-PT"/>
    </w:rPr>
  </w:style>
  <w:style w:type="paragraph" w:styleId="TOCHeading">
    <w:name w:val="TOC Heading"/>
    <w:basedOn w:val="Normal"/>
    <w:next w:val="Normal"/>
    <w:uiPriority w:val="39"/>
    <w:unhideWhenUsed/>
    <w:qFormat/>
    <w:rsid w:val="00563050"/>
    <w:pPr>
      <w:widowControl/>
      <w:spacing w:after="240"/>
    </w:pPr>
    <w:rPr>
      <w:lang w:val="en-GB"/>
    </w:rPr>
  </w:style>
  <w:style w:type="paragraph" w:customStyle="1" w:styleId="EPFooter2">
    <w:name w:val="EPFooter2"/>
    <w:basedOn w:val="Normal"/>
    <w:next w:val="Normal"/>
    <w:rsid w:val="0056305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63050"/>
    <w:pPr>
      <w:keepNext/>
      <w:spacing w:after="240"/>
      <w:jc w:val="right"/>
    </w:pPr>
    <w:rPr>
      <w:rFonts w:ascii="Arial" w:hAnsi="Arial"/>
      <w:b/>
    </w:rPr>
  </w:style>
  <w:style w:type="paragraph" w:customStyle="1" w:styleId="Normal6a">
    <w:name w:val="Normal6a"/>
    <w:basedOn w:val="Normal"/>
    <w:rsid w:val="00563050"/>
    <w:pPr>
      <w:spacing w:after="120"/>
    </w:pPr>
  </w:style>
  <w:style w:type="paragraph" w:customStyle="1" w:styleId="PageHeading">
    <w:name w:val="PageHeading"/>
    <w:basedOn w:val="Normal"/>
    <w:rsid w:val="00563050"/>
    <w:pPr>
      <w:keepNext/>
      <w:spacing w:after="480"/>
      <w:jc w:val="center"/>
    </w:pPr>
    <w:rPr>
      <w:rFonts w:ascii="Arial" w:hAnsi="Arial" w:cs="Arial"/>
      <w:b/>
    </w:rPr>
  </w:style>
  <w:style w:type="paragraph" w:customStyle="1" w:styleId="NormalBold">
    <w:name w:val="NormalBold"/>
    <w:basedOn w:val="Normal"/>
    <w:link w:val="NormalBoldChar"/>
    <w:rsid w:val="00563050"/>
    <w:rPr>
      <w:b/>
    </w:rPr>
  </w:style>
  <w:style w:type="paragraph" w:customStyle="1" w:styleId="NormalBold12a">
    <w:name w:val="NormalBold12a"/>
    <w:basedOn w:val="Normal"/>
    <w:rsid w:val="00563050"/>
    <w:pPr>
      <w:spacing w:after="240"/>
    </w:pPr>
    <w:rPr>
      <w:b/>
    </w:rPr>
  </w:style>
  <w:style w:type="paragraph" w:customStyle="1" w:styleId="AmJustText">
    <w:name w:val="AmJustText"/>
    <w:basedOn w:val="Normal"/>
    <w:rsid w:val="00563050"/>
    <w:pPr>
      <w:spacing w:after="240"/>
    </w:pPr>
    <w:rPr>
      <w:i/>
    </w:rPr>
  </w:style>
  <w:style w:type="paragraph" w:customStyle="1" w:styleId="NormalHanging12a">
    <w:name w:val="NormalHanging12a"/>
    <w:basedOn w:val="Normal"/>
    <w:rsid w:val="00563050"/>
    <w:pPr>
      <w:spacing w:after="240"/>
      <w:ind w:left="567" w:hanging="567"/>
    </w:pPr>
  </w:style>
  <w:style w:type="paragraph" w:customStyle="1" w:styleId="CoverNormal24a">
    <w:name w:val="CoverNormal24a"/>
    <w:basedOn w:val="Normal"/>
    <w:rsid w:val="00563050"/>
    <w:pPr>
      <w:spacing w:after="480"/>
      <w:ind w:left="1417"/>
    </w:pPr>
  </w:style>
  <w:style w:type="paragraph" w:customStyle="1" w:styleId="CoverNormal">
    <w:name w:val="CoverNormal"/>
    <w:basedOn w:val="Normal"/>
    <w:rsid w:val="00563050"/>
    <w:pPr>
      <w:ind w:left="1418"/>
    </w:pPr>
  </w:style>
  <w:style w:type="paragraph" w:customStyle="1" w:styleId="AmCrossRef">
    <w:name w:val="AmCrossRef"/>
    <w:basedOn w:val="Normal"/>
    <w:rsid w:val="00563050"/>
    <w:pPr>
      <w:spacing w:before="240" w:after="240"/>
      <w:jc w:val="center"/>
    </w:pPr>
    <w:rPr>
      <w:i/>
    </w:rPr>
  </w:style>
  <w:style w:type="paragraph" w:customStyle="1" w:styleId="AmJustTitle">
    <w:name w:val="AmJustTitle"/>
    <w:basedOn w:val="Normal"/>
    <w:next w:val="AmJustText"/>
    <w:rsid w:val="00563050"/>
    <w:pPr>
      <w:keepNext/>
      <w:spacing w:before="240" w:after="240"/>
      <w:jc w:val="center"/>
    </w:pPr>
    <w:rPr>
      <w:i/>
    </w:rPr>
  </w:style>
  <w:style w:type="paragraph" w:customStyle="1" w:styleId="CoverReference">
    <w:name w:val="CoverReference"/>
    <w:basedOn w:val="Normal"/>
    <w:rsid w:val="00563050"/>
    <w:pPr>
      <w:spacing w:before="1080"/>
      <w:jc w:val="right"/>
    </w:pPr>
    <w:rPr>
      <w:rFonts w:ascii="Arial" w:hAnsi="Arial" w:cs="Arial"/>
      <w:b/>
    </w:rPr>
  </w:style>
  <w:style w:type="paragraph" w:customStyle="1" w:styleId="CoverDocType">
    <w:name w:val="CoverDocType"/>
    <w:basedOn w:val="Normal"/>
    <w:rsid w:val="00563050"/>
    <w:pPr>
      <w:ind w:left="1418"/>
    </w:pPr>
    <w:rPr>
      <w:rFonts w:ascii="Arial" w:hAnsi="Arial"/>
      <w:b/>
      <w:sz w:val="48"/>
    </w:rPr>
  </w:style>
  <w:style w:type="paragraph" w:customStyle="1" w:styleId="CoverDocType24a">
    <w:name w:val="CoverDocType24a"/>
    <w:basedOn w:val="Normal"/>
    <w:rsid w:val="00563050"/>
    <w:pPr>
      <w:spacing w:after="480"/>
      <w:ind w:left="1418"/>
    </w:pPr>
    <w:rPr>
      <w:rFonts w:ascii="Arial" w:hAnsi="Arial"/>
      <w:b/>
      <w:sz w:val="48"/>
    </w:rPr>
  </w:style>
  <w:style w:type="paragraph" w:customStyle="1" w:styleId="CoverDate">
    <w:name w:val="CoverDate"/>
    <w:basedOn w:val="Normal"/>
    <w:rsid w:val="00563050"/>
    <w:pPr>
      <w:spacing w:before="240" w:after="1200"/>
    </w:pPr>
  </w:style>
  <w:style w:type="paragraph" w:styleId="Header">
    <w:name w:val="header"/>
    <w:basedOn w:val="Normal"/>
    <w:link w:val="HeaderChar"/>
    <w:uiPriority w:val="99"/>
    <w:rsid w:val="00563050"/>
    <w:pPr>
      <w:tabs>
        <w:tab w:val="center" w:pos="4513"/>
        <w:tab w:val="right" w:pos="9026"/>
      </w:tabs>
    </w:pPr>
  </w:style>
  <w:style w:type="character" w:customStyle="1" w:styleId="HeaderChar">
    <w:name w:val="Header Char"/>
    <w:basedOn w:val="DefaultParagraphFont"/>
    <w:link w:val="Header"/>
    <w:uiPriority w:val="99"/>
    <w:rsid w:val="00563050"/>
    <w:rPr>
      <w:sz w:val="24"/>
      <w:lang w:val="pt-PT"/>
    </w:rPr>
  </w:style>
  <w:style w:type="paragraph" w:customStyle="1" w:styleId="AmOrLang">
    <w:name w:val="AmOrLang"/>
    <w:basedOn w:val="Normal"/>
    <w:rsid w:val="00563050"/>
    <w:pPr>
      <w:spacing w:before="240" w:after="240"/>
      <w:jc w:val="right"/>
    </w:pPr>
  </w:style>
  <w:style w:type="paragraph" w:customStyle="1" w:styleId="AmColumnHeading">
    <w:name w:val="AmColumnHeading"/>
    <w:basedOn w:val="Normal"/>
    <w:rsid w:val="00563050"/>
    <w:pPr>
      <w:spacing w:after="240"/>
      <w:jc w:val="center"/>
    </w:pPr>
    <w:rPr>
      <w:i/>
    </w:rPr>
  </w:style>
  <w:style w:type="paragraph" w:customStyle="1" w:styleId="AmNumberTabs">
    <w:name w:val="AmNumberTabs"/>
    <w:basedOn w:val="Normal"/>
    <w:link w:val="AmNumberTabsChar"/>
    <w:rsid w:val="005630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63050"/>
    <w:pPr>
      <w:spacing w:before="240"/>
    </w:pPr>
    <w:rPr>
      <w:b/>
    </w:rPr>
  </w:style>
  <w:style w:type="paragraph" w:customStyle="1" w:styleId="EPBody">
    <w:name w:val="EPBody"/>
    <w:basedOn w:val="Normal"/>
    <w:rsid w:val="00563050"/>
    <w:pPr>
      <w:jc w:val="center"/>
    </w:pPr>
    <w:rPr>
      <w:rFonts w:ascii="Arial" w:hAnsi="Arial" w:cs="Arial"/>
      <w:i/>
      <w:sz w:val="22"/>
      <w:szCs w:val="22"/>
    </w:rPr>
  </w:style>
  <w:style w:type="paragraph" w:customStyle="1" w:styleId="EPFooter">
    <w:name w:val="EPFooter"/>
    <w:basedOn w:val="Normal"/>
    <w:rsid w:val="00563050"/>
    <w:pPr>
      <w:tabs>
        <w:tab w:val="center" w:pos="4535"/>
        <w:tab w:val="right" w:pos="9071"/>
      </w:tabs>
      <w:spacing w:before="240" w:after="240"/>
    </w:pPr>
    <w:rPr>
      <w:color w:val="010000"/>
      <w:sz w:val="22"/>
    </w:rPr>
  </w:style>
  <w:style w:type="paragraph" w:customStyle="1" w:styleId="EPComma">
    <w:name w:val="EPComma"/>
    <w:basedOn w:val="Normal"/>
    <w:rsid w:val="00563050"/>
    <w:pPr>
      <w:spacing w:before="480" w:after="240"/>
    </w:pPr>
  </w:style>
  <w:style w:type="paragraph" w:customStyle="1" w:styleId="Lgendesigne">
    <w:name w:val="Légende signe"/>
    <w:basedOn w:val="Normal"/>
    <w:rsid w:val="00563050"/>
    <w:pPr>
      <w:tabs>
        <w:tab w:val="right" w:pos="454"/>
        <w:tab w:val="left" w:pos="737"/>
      </w:tabs>
      <w:ind w:left="737" w:hanging="737"/>
    </w:pPr>
    <w:rPr>
      <w:snapToGrid w:val="0"/>
      <w:sz w:val="18"/>
      <w:lang w:eastAsia="en-US"/>
    </w:rPr>
  </w:style>
  <w:style w:type="paragraph" w:customStyle="1" w:styleId="Lgendetitre">
    <w:name w:val="Légende titre"/>
    <w:basedOn w:val="Normal"/>
    <w:rsid w:val="00563050"/>
    <w:pPr>
      <w:spacing w:before="240" w:after="240"/>
    </w:pPr>
    <w:rPr>
      <w:b/>
      <w:i/>
      <w:snapToGrid w:val="0"/>
      <w:lang w:eastAsia="en-US"/>
    </w:rPr>
  </w:style>
  <w:style w:type="paragraph" w:customStyle="1" w:styleId="Lgendestandard">
    <w:name w:val="Légende standard"/>
    <w:basedOn w:val="Normal"/>
    <w:rsid w:val="00563050"/>
    <w:rPr>
      <w:sz w:val="18"/>
    </w:rPr>
  </w:style>
  <w:style w:type="paragraph" w:customStyle="1" w:styleId="EntPE">
    <w:name w:val="EntPE"/>
    <w:basedOn w:val="Normal12"/>
    <w:rsid w:val="00563050"/>
    <w:pPr>
      <w:jc w:val="center"/>
    </w:pPr>
    <w:rPr>
      <w:noProof w:val="0"/>
      <w:sz w:val="56"/>
    </w:rPr>
  </w:style>
  <w:style w:type="paragraph" w:customStyle="1" w:styleId="Normal12">
    <w:name w:val="Normal12"/>
    <w:basedOn w:val="Normal"/>
    <w:link w:val="Normal12Char"/>
    <w:rsid w:val="00563050"/>
    <w:pPr>
      <w:spacing w:after="240"/>
    </w:pPr>
    <w:rPr>
      <w:noProof/>
    </w:rPr>
  </w:style>
  <w:style w:type="paragraph" w:customStyle="1" w:styleId="CommitteeAM">
    <w:name w:val="CommitteeAM"/>
    <w:basedOn w:val="Normal"/>
    <w:rsid w:val="00563050"/>
    <w:pPr>
      <w:spacing w:before="240" w:after="600"/>
      <w:jc w:val="center"/>
    </w:pPr>
    <w:rPr>
      <w:i/>
    </w:rPr>
  </w:style>
  <w:style w:type="paragraph" w:customStyle="1" w:styleId="ZDateAM">
    <w:name w:val="ZDateAM"/>
    <w:basedOn w:val="Normal"/>
    <w:rsid w:val="00563050"/>
    <w:pPr>
      <w:tabs>
        <w:tab w:val="right" w:pos="9356"/>
      </w:tabs>
      <w:spacing w:after="480"/>
    </w:pPr>
    <w:rPr>
      <w:noProof/>
    </w:rPr>
  </w:style>
  <w:style w:type="paragraph" w:customStyle="1" w:styleId="ProjRap">
    <w:name w:val="ProjRap"/>
    <w:basedOn w:val="Normal"/>
    <w:rsid w:val="00563050"/>
    <w:pPr>
      <w:tabs>
        <w:tab w:val="right" w:pos="9356"/>
      </w:tabs>
    </w:pPr>
    <w:rPr>
      <w:b/>
      <w:noProof/>
    </w:rPr>
  </w:style>
  <w:style w:type="character" w:customStyle="1" w:styleId="Normal12Char">
    <w:name w:val="Normal12 Char"/>
    <w:basedOn w:val="DefaultParagraphFont"/>
    <w:link w:val="Normal12"/>
    <w:locked/>
    <w:rsid w:val="00563050"/>
    <w:rPr>
      <w:noProof/>
      <w:sz w:val="24"/>
      <w:lang w:val="pt-PT"/>
    </w:rPr>
  </w:style>
  <w:style w:type="paragraph" w:customStyle="1" w:styleId="PELeft">
    <w:name w:val="PELeft"/>
    <w:basedOn w:val="Normal"/>
    <w:rsid w:val="00563050"/>
    <w:pPr>
      <w:spacing w:before="40" w:after="40"/>
    </w:pPr>
    <w:rPr>
      <w:rFonts w:ascii="Arial" w:hAnsi="Arial" w:cs="Arial"/>
      <w:sz w:val="22"/>
      <w:szCs w:val="22"/>
    </w:rPr>
  </w:style>
  <w:style w:type="paragraph" w:customStyle="1" w:styleId="PERight">
    <w:name w:val="PERight"/>
    <w:basedOn w:val="Normal"/>
    <w:next w:val="Normal"/>
    <w:rsid w:val="00563050"/>
    <w:pPr>
      <w:jc w:val="right"/>
    </w:pPr>
    <w:rPr>
      <w:rFonts w:ascii="Arial" w:hAnsi="Arial" w:cs="Arial"/>
      <w:sz w:val="22"/>
      <w:szCs w:val="22"/>
    </w:rPr>
  </w:style>
  <w:style w:type="paragraph" w:customStyle="1" w:styleId="Normal6">
    <w:name w:val="Normal6"/>
    <w:basedOn w:val="Normal"/>
    <w:link w:val="Normal6Char"/>
    <w:rsid w:val="00563050"/>
    <w:pPr>
      <w:spacing w:after="120"/>
    </w:pPr>
  </w:style>
  <w:style w:type="paragraph" w:customStyle="1" w:styleId="Normal12Italic">
    <w:name w:val="Normal12Italic"/>
    <w:basedOn w:val="Normal12"/>
    <w:rsid w:val="00563050"/>
    <w:rPr>
      <w:i/>
    </w:rPr>
  </w:style>
  <w:style w:type="character" w:customStyle="1" w:styleId="NormalBoldChar">
    <w:name w:val="NormalBold Char"/>
    <w:basedOn w:val="DefaultParagraphFont"/>
    <w:link w:val="NormalBold"/>
    <w:rsid w:val="00563050"/>
    <w:rPr>
      <w:b/>
      <w:sz w:val="24"/>
      <w:lang w:val="pt-PT"/>
    </w:rPr>
  </w:style>
  <w:style w:type="paragraph" w:customStyle="1" w:styleId="JustificationTitle">
    <w:name w:val="JustificationTitle"/>
    <w:basedOn w:val="Normal"/>
    <w:next w:val="Normal12"/>
    <w:rsid w:val="00563050"/>
    <w:pPr>
      <w:keepNext/>
      <w:spacing w:before="240" w:after="240"/>
      <w:jc w:val="center"/>
    </w:pPr>
    <w:rPr>
      <w:i/>
      <w:noProof/>
    </w:rPr>
  </w:style>
  <w:style w:type="paragraph" w:customStyle="1" w:styleId="Olang">
    <w:name w:val="Olang"/>
    <w:basedOn w:val="Normal"/>
    <w:rsid w:val="00563050"/>
    <w:pPr>
      <w:spacing w:before="240" w:after="240"/>
      <w:jc w:val="right"/>
    </w:pPr>
    <w:rPr>
      <w:noProof/>
      <w:szCs w:val="24"/>
    </w:rPr>
  </w:style>
  <w:style w:type="character" w:customStyle="1" w:styleId="Normal6Char">
    <w:name w:val="Normal6 Char"/>
    <w:basedOn w:val="DefaultParagraphFont"/>
    <w:link w:val="Normal6"/>
    <w:rsid w:val="00563050"/>
    <w:rPr>
      <w:sz w:val="24"/>
      <w:lang w:val="pt-PT"/>
    </w:rPr>
  </w:style>
  <w:style w:type="paragraph" w:customStyle="1" w:styleId="ColumnHeading">
    <w:name w:val="ColumnHeading"/>
    <w:basedOn w:val="Normal"/>
    <w:rsid w:val="00563050"/>
    <w:pPr>
      <w:spacing w:after="240"/>
      <w:jc w:val="center"/>
    </w:pPr>
    <w:rPr>
      <w:i/>
    </w:rPr>
  </w:style>
  <w:style w:type="paragraph" w:customStyle="1" w:styleId="AMNumberTabs0">
    <w:name w:val="AMNumberTabs"/>
    <w:basedOn w:val="Normal"/>
    <w:rsid w:val="0056305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63050"/>
    <w:pPr>
      <w:spacing w:before="240"/>
      <w:jc w:val="center"/>
    </w:pPr>
    <w:rPr>
      <w:i/>
    </w:rPr>
  </w:style>
  <w:style w:type="character" w:customStyle="1" w:styleId="Footer2Middle">
    <w:name w:val="Footer2Middle"/>
    <w:rsid w:val="00563050"/>
    <w:rPr>
      <w:rFonts w:ascii="Arial" w:cs="Arial"/>
      <w:b w:val="0"/>
      <w:i/>
      <w:color w:val="C0C0C0"/>
      <w:sz w:val="22"/>
    </w:rPr>
  </w:style>
  <w:style w:type="paragraph" w:customStyle="1" w:styleId="Normal24a">
    <w:name w:val="Normal24a"/>
    <w:basedOn w:val="Normal"/>
    <w:rsid w:val="00563050"/>
    <w:pPr>
      <w:spacing w:after="480"/>
    </w:pPr>
  </w:style>
  <w:style w:type="paragraph" w:customStyle="1" w:styleId="NormalBoldCenter">
    <w:name w:val="NormalBoldCenter"/>
    <w:basedOn w:val="Normal"/>
    <w:rsid w:val="00563050"/>
    <w:pPr>
      <w:jc w:val="center"/>
    </w:pPr>
    <w:rPr>
      <w:b/>
    </w:rPr>
  </w:style>
  <w:style w:type="paragraph" w:customStyle="1" w:styleId="Point0number">
    <w:name w:val="Point 0 (number)"/>
    <w:basedOn w:val="Normal"/>
    <w:rsid w:val="00563050"/>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563050"/>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563050"/>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563050"/>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563050"/>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563050"/>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563050"/>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563050"/>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563050"/>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563050"/>
    <w:rPr>
      <w:rFonts w:ascii="Segoe UI" w:hAnsi="Segoe UI" w:cs="Segoe UI"/>
      <w:sz w:val="18"/>
      <w:szCs w:val="18"/>
    </w:rPr>
  </w:style>
  <w:style w:type="character" w:customStyle="1" w:styleId="BalloonTextChar">
    <w:name w:val="Balloon Text Char"/>
    <w:basedOn w:val="DefaultParagraphFont"/>
    <w:link w:val="BalloonText"/>
    <w:uiPriority w:val="99"/>
    <w:rsid w:val="00563050"/>
    <w:rPr>
      <w:rFonts w:ascii="Segoe UI" w:hAnsi="Segoe UI" w:cs="Segoe UI"/>
      <w:sz w:val="18"/>
      <w:szCs w:val="18"/>
      <w:lang w:val="pt-PT"/>
    </w:rPr>
  </w:style>
  <w:style w:type="character" w:styleId="CommentReference">
    <w:name w:val="annotation reference"/>
    <w:basedOn w:val="DefaultParagraphFont"/>
    <w:uiPriority w:val="99"/>
    <w:rsid w:val="00563050"/>
    <w:rPr>
      <w:sz w:val="16"/>
      <w:szCs w:val="16"/>
    </w:rPr>
  </w:style>
  <w:style w:type="paragraph" w:styleId="CommentText">
    <w:name w:val="annotation text"/>
    <w:basedOn w:val="Normal"/>
    <w:link w:val="CommentTextChar"/>
    <w:uiPriority w:val="99"/>
    <w:rsid w:val="00563050"/>
    <w:rPr>
      <w:sz w:val="20"/>
    </w:rPr>
  </w:style>
  <w:style w:type="character" w:customStyle="1" w:styleId="CommentTextChar">
    <w:name w:val="Comment Text Char"/>
    <w:basedOn w:val="DefaultParagraphFont"/>
    <w:link w:val="CommentText"/>
    <w:uiPriority w:val="99"/>
    <w:rsid w:val="00563050"/>
    <w:rPr>
      <w:lang w:val="pt-PT"/>
    </w:rPr>
  </w:style>
  <w:style w:type="paragraph" w:styleId="CommentSubject">
    <w:name w:val="annotation subject"/>
    <w:basedOn w:val="CommentText"/>
    <w:next w:val="CommentText"/>
    <w:link w:val="CommentSubjectChar"/>
    <w:uiPriority w:val="99"/>
    <w:unhideWhenUsed/>
    <w:rsid w:val="00563050"/>
    <w:rPr>
      <w:b/>
      <w:bCs/>
    </w:rPr>
  </w:style>
  <w:style w:type="character" w:customStyle="1" w:styleId="CommentSubjectChar">
    <w:name w:val="Comment Subject Char"/>
    <w:basedOn w:val="CommentTextChar"/>
    <w:link w:val="CommentSubject"/>
    <w:uiPriority w:val="99"/>
    <w:rsid w:val="00563050"/>
    <w:rPr>
      <w:b/>
      <w:bCs/>
      <w:lang w:val="pt-PT"/>
    </w:rPr>
  </w:style>
  <w:style w:type="paragraph" w:styleId="Revision">
    <w:name w:val="Revision"/>
    <w:hidden/>
    <w:uiPriority w:val="99"/>
    <w:semiHidden/>
    <w:rsid w:val="00563050"/>
    <w:rPr>
      <w:sz w:val="24"/>
      <w:lang w:val="pt-PT"/>
    </w:rPr>
  </w:style>
  <w:style w:type="character" w:customStyle="1" w:styleId="AmNumberTabsChar">
    <w:name w:val="AmNumberTabs Char"/>
    <w:basedOn w:val="DefaultParagraphFont"/>
    <w:link w:val="AmNumberTabs"/>
    <w:rsid w:val="00563050"/>
    <w:rPr>
      <w:b/>
      <w:sz w:val="24"/>
      <w:lang w:val="pt-PT"/>
    </w:rPr>
  </w:style>
  <w:style w:type="character" w:customStyle="1" w:styleId="NormalBold12bChar">
    <w:name w:val="NormalBold12b Char"/>
    <w:basedOn w:val="AmNumberTabsChar"/>
    <w:link w:val="NormalBold12b"/>
    <w:rsid w:val="00563050"/>
    <w:rPr>
      <w:b/>
      <w:sz w:val="24"/>
      <w:lang w:val="pt-PT"/>
    </w:rPr>
  </w:style>
  <w:style w:type="character" w:customStyle="1" w:styleId="highlight-diff">
    <w:name w:val="highlight-diff"/>
    <w:basedOn w:val="DefaultParagraphFont"/>
    <w:rsid w:val="00563050"/>
  </w:style>
  <w:style w:type="paragraph" w:customStyle="1" w:styleId="Normal12a">
    <w:name w:val="Normal12a"/>
    <w:basedOn w:val="Normal"/>
    <w:rsid w:val="00563050"/>
    <w:pPr>
      <w:spacing w:after="240"/>
    </w:pPr>
  </w:style>
  <w:style w:type="paragraph" w:customStyle="1" w:styleId="PageHeadingNotTOC">
    <w:name w:val="PageHeadingNotTOC"/>
    <w:basedOn w:val="Normal"/>
    <w:rsid w:val="00563050"/>
    <w:pPr>
      <w:keepNext/>
      <w:spacing w:after="480"/>
      <w:jc w:val="center"/>
    </w:pPr>
    <w:rPr>
      <w:rFonts w:ascii="Arial" w:hAnsi="Arial" w:cs="Arial"/>
      <w:b/>
    </w:rPr>
  </w:style>
  <w:style w:type="paragraph" w:customStyle="1" w:styleId="AmHeadingPA">
    <w:name w:val="AmHeadingPA"/>
    <w:basedOn w:val="Normal"/>
    <w:next w:val="Normal"/>
    <w:rsid w:val="0056305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6305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63050"/>
    <w:pPr>
      <w:tabs>
        <w:tab w:val="center" w:pos="284"/>
        <w:tab w:val="left" w:pos="426"/>
      </w:tabs>
    </w:pPr>
    <w:rPr>
      <w:snapToGrid w:val="0"/>
      <w:lang w:eastAsia="en-US"/>
    </w:rPr>
  </w:style>
  <w:style w:type="paragraph" w:customStyle="1" w:styleId="RollCallVotes">
    <w:name w:val="RollCallVotes"/>
    <w:basedOn w:val="Normal"/>
    <w:rsid w:val="00563050"/>
    <w:pPr>
      <w:spacing w:before="120" w:after="120"/>
      <w:jc w:val="center"/>
    </w:pPr>
    <w:rPr>
      <w:b/>
      <w:bCs/>
      <w:snapToGrid w:val="0"/>
      <w:sz w:val="16"/>
      <w:lang w:eastAsia="en-US"/>
    </w:rPr>
  </w:style>
  <w:style w:type="paragraph" w:customStyle="1" w:styleId="RollCallTable">
    <w:name w:val="RollCallTable"/>
    <w:basedOn w:val="Normal"/>
    <w:rsid w:val="00563050"/>
    <w:pPr>
      <w:spacing w:before="120" w:after="120"/>
    </w:pPr>
    <w:rPr>
      <w:snapToGrid w:val="0"/>
      <w:sz w:val="16"/>
      <w:lang w:eastAsia="en-US"/>
    </w:rPr>
  </w:style>
  <w:style w:type="character" w:styleId="Hyperlink">
    <w:name w:val="Hyperlink"/>
    <w:uiPriority w:val="99"/>
    <w:rsid w:val="00563050"/>
    <w:rPr>
      <w:color w:val="0000FF"/>
      <w:u w:val="single"/>
      <w:shd w:val="clear" w:color="auto" w:fill="auto"/>
    </w:rPr>
  </w:style>
  <w:style w:type="paragraph" w:customStyle="1" w:styleId="CM1">
    <w:name w:val="CM1"/>
    <w:basedOn w:val="Normal"/>
    <w:next w:val="Normal"/>
    <w:uiPriority w:val="99"/>
    <w:rsid w:val="00563050"/>
    <w:pPr>
      <w:widowControl/>
      <w:autoSpaceDE w:val="0"/>
      <w:autoSpaceDN w:val="0"/>
      <w:adjustRightInd w:val="0"/>
    </w:pPr>
    <w:rPr>
      <w:szCs w:val="24"/>
    </w:rPr>
  </w:style>
  <w:style w:type="paragraph" w:customStyle="1" w:styleId="CM3">
    <w:name w:val="CM3"/>
    <w:basedOn w:val="Normal"/>
    <w:next w:val="Normal"/>
    <w:uiPriority w:val="99"/>
    <w:rsid w:val="00563050"/>
    <w:pPr>
      <w:widowControl/>
      <w:autoSpaceDE w:val="0"/>
      <w:autoSpaceDN w:val="0"/>
      <w:adjustRightInd w:val="0"/>
    </w:pPr>
    <w:rPr>
      <w:szCs w:val="24"/>
    </w:rPr>
  </w:style>
  <w:style w:type="paragraph" w:styleId="Footer">
    <w:name w:val="footer"/>
    <w:basedOn w:val="Normal"/>
    <w:link w:val="FooterChar"/>
    <w:uiPriority w:val="99"/>
    <w:rsid w:val="00563050"/>
    <w:pPr>
      <w:tabs>
        <w:tab w:val="center" w:pos="4513"/>
        <w:tab w:val="right" w:pos="9026"/>
      </w:tabs>
    </w:pPr>
  </w:style>
  <w:style w:type="character" w:customStyle="1" w:styleId="FooterChar">
    <w:name w:val="Footer Char"/>
    <w:basedOn w:val="DefaultParagraphFont"/>
    <w:link w:val="Footer"/>
    <w:uiPriority w:val="99"/>
    <w:rsid w:val="00563050"/>
    <w:rPr>
      <w:sz w:val="24"/>
      <w:lang w:val="pt-PT"/>
    </w:rPr>
  </w:style>
  <w:style w:type="character" w:styleId="FollowedHyperlink">
    <w:name w:val="FollowedHyperlink"/>
    <w:basedOn w:val="DefaultParagraphFont"/>
    <w:uiPriority w:val="99"/>
    <w:rsid w:val="00DD3C96"/>
    <w:rPr>
      <w:color w:val="954F72" w:themeColor="followedHyperlink"/>
      <w:u w:val="single"/>
    </w:rPr>
  </w:style>
  <w:style w:type="numbering" w:customStyle="1" w:styleId="NoList1">
    <w:name w:val="No List1"/>
    <w:next w:val="NoList"/>
    <w:uiPriority w:val="99"/>
    <w:semiHidden/>
    <w:unhideWhenUsed/>
    <w:rsid w:val="002E0FC5"/>
  </w:style>
  <w:style w:type="paragraph" w:customStyle="1" w:styleId="SignaturePersonne">
    <w:name w:val="Signature Personne"/>
    <w:basedOn w:val="Normal"/>
    <w:rsid w:val="002E0FC5"/>
    <w:pPr>
      <w:widowControl/>
      <w:tabs>
        <w:tab w:val="left" w:pos="4252"/>
      </w:tabs>
      <w:spacing w:line="360" w:lineRule="auto"/>
    </w:pPr>
    <w:rPr>
      <w:i/>
      <w:szCs w:val="24"/>
      <w:lang w:val="en-GB" w:eastAsia="en-US"/>
    </w:rPr>
  </w:style>
  <w:style w:type="paragraph" w:customStyle="1" w:styleId="Considrant">
    <w:name w:val="Considérant"/>
    <w:basedOn w:val="Normal"/>
    <w:rsid w:val="002E0FC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E0FC5"/>
    <w:pPr>
      <w:keepNext/>
      <w:spacing w:before="600" w:after="120" w:line="360" w:lineRule="auto"/>
    </w:pPr>
    <w:rPr>
      <w:szCs w:val="24"/>
      <w:lang w:val="en-GB" w:eastAsia="en-US"/>
    </w:rPr>
  </w:style>
  <w:style w:type="paragraph" w:customStyle="1" w:styleId="Institutionquisigne">
    <w:name w:val="Institution qui signe"/>
    <w:basedOn w:val="Normal"/>
    <w:next w:val="Normal"/>
    <w:rsid w:val="002E0FC5"/>
    <w:pPr>
      <w:keepNext/>
      <w:tabs>
        <w:tab w:val="left" w:pos="4252"/>
      </w:tabs>
      <w:spacing w:before="720" w:line="360" w:lineRule="auto"/>
    </w:pPr>
    <w:rPr>
      <w:i/>
      <w:szCs w:val="24"/>
      <w:lang w:val="en-GB" w:eastAsia="en-US"/>
    </w:rPr>
  </w:style>
  <w:style w:type="paragraph" w:customStyle="1" w:styleId="Fait">
    <w:name w:val="Fait à"/>
    <w:basedOn w:val="Normal"/>
    <w:rsid w:val="002E0FC5"/>
    <w:pPr>
      <w:keepNext/>
      <w:widowControl/>
      <w:spacing w:before="120" w:line="360" w:lineRule="auto"/>
    </w:pPr>
    <w:rPr>
      <w:szCs w:val="24"/>
      <w:lang w:val="en-GB" w:eastAsia="en-US"/>
    </w:rPr>
  </w:style>
  <w:style w:type="paragraph" w:customStyle="1" w:styleId="FootnoteTextForceStyle">
    <w:name w:val="Footnote Text ForceStyle"/>
    <w:rsid w:val="002E0FC5"/>
    <w:pPr>
      <w:keepLines/>
      <w:widowControl w:val="0"/>
      <w:ind w:left="850" w:hanging="850"/>
    </w:pPr>
    <w:rPr>
      <w:sz w:val="24"/>
      <w:lang w:eastAsia="en-US"/>
    </w:rPr>
  </w:style>
  <w:style w:type="character" w:customStyle="1" w:styleId="Footer2">
    <w:name w:val="Footer2"/>
    <w:rsid w:val="002E0FC5"/>
    <w:rPr>
      <w:rFonts w:ascii="Arial" w:hAnsi="Arial"/>
      <w:b/>
      <w:sz w:val="48"/>
    </w:rPr>
  </w:style>
  <w:style w:type="paragraph" w:customStyle="1" w:styleId="Applicationdirecte">
    <w:name w:val="Application directe"/>
    <w:basedOn w:val="Normal"/>
    <w:next w:val="Normal"/>
    <w:rsid w:val="002E0FC5"/>
    <w:pPr>
      <w:spacing w:before="120" w:after="120" w:line="360" w:lineRule="auto"/>
    </w:pPr>
    <w:rPr>
      <w:szCs w:val="24"/>
      <w:lang w:val="en-GB" w:eastAsia="en-US"/>
    </w:rPr>
  </w:style>
  <w:style w:type="paragraph" w:customStyle="1" w:styleId="Normale">
    <w:name w:val="Normale"/>
    <w:rsid w:val="002E0FC5"/>
    <w:pPr>
      <w:widowControl w:val="0"/>
      <w:spacing w:before="120" w:after="120" w:line="360" w:lineRule="auto"/>
    </w:pPr>
    <w:rPr>
      <w:sz w:val="24"/>
      <w:lang w:eastAsia="en-US"/>
    </w:rPr>
  </w:style>
  <w:style w:type="paragraph" w:customStyle="1" w:styleId="Formuledadoption">
    <w:name w:val="Formule d'adoption"/>
    <w:basedOn w:val="Normal"/>
    <w:next w:val="Normal"/>
    <w:rsid w:val="002E0FC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E0FC5"/>
    <w:pPr>
      <w:widowControl/>
      <w:spacing w:after="240" w:line="360" w:lineRule="auto"/>
      <w:ind w:left="5102"/>
    </w:pPr>
    <w:rPr>
      <w:szCs w:val="24"/>
      <w:lang w:val="en-GB" w:eastAsia="en-US"/>
    </w:rPr>
  </w:style>
  <w:style w:type="paragraph" w:customStyle="1" w:styleId="Footer1">
    <w:name w:val="Footer1"/>
    <w:basedOn w:val="Normal"/>
    <w:rsid w:val="002E0FC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E0FC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E0FC5"/>
    <w:pPr>
      <w:widowControl/>
      <w:spacing w:before="840" w:line="360" w:lineRule="auto"/>
      <w:jc w:val="center"/>
    </w:pPr>
    <w:rPr>
      <w:szCs w:val="24"/>
      <w:lang w:val="en-GB" w:eastAsia="en-US"/>
    </w:rPr>
  </w:style>
  <w:style w:type="paragraph" w:customStyle="1" w:styleId="Typedudocument">
    <w:name w:val="Type du document"/>
    <w:basedOn w:val="Normal"/>
    <w:next w:val="Normal"/>
    <w:rsid w:val="002E0FC5"/>
    <w:pPr>
      <w:widowControl/>
      <w:spacing w:before="360" w:line="360" w:lineRule="auto"/>
      <w:jc w:val="center"/>
    </w:pPr>
    <w:rPr>
      <w:b/>
      <w:szCs w:val="24"/>
      <w:lang w:val="en-GB" w:eastAsia="en-US"/>
    </w:rPr>
  </w:style>
  <w:style w:type="paragraph" w:customStyle="1" w:styleId="Titreobjet">
    <w:name w:val="Titre objet"/>
    <w:basedOn w:val="Normal"/>
    <w:next w:val="Normal"/>
    <w:rsid w:val="002E0FC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E0FC5"/>
    <w:pPr>
      <w:widowControl/>
      <w:spacing w:before="360" w:after="240" w:line="360" w:lineRule="auto"/>
      <w:jc w:val="center"/>
    </w:pPr>
    <w:rPr>
      <w:szCs w:val="24"/>
      <w:lang w:val="en-GB" w:eastAsia="en-US"/>
    </w:rPr>
  </w:style>
  <w:style w:type="character" w:customStyle="1" w:styleId="CMissingStyle">
    <w:name w:val="C_MissingStyle"/>
    <w:rsid w:val="002E0FC5"/>
    <w:rPr>
      <w:color w:val="FFFFFF"/>
      <w:sz w:val="22"/>
      <w:shd w:val="clear" w:color="000000" w:fill="000000"/>
    </w:rPr>
  </w:style>
  <w:style w:type="paragraph" w:customStyle="1" w:styleId="PMissingStyle">
    <w:name w:val="P_MissingStyle"/>
    <w:basedOn w:val="Normal"/>
    <w:rsid w:val="002E0FC5"/>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F03A57"/>
  </w:style>
  <w:style w:type="paragraph" w:styleId="ListBullet">
    <w:name w:val="List Bullet"/>
    <w:basedOn w:val="Normal"/>
    <w:uiPriority w:val="99"/>
    <w:unhideWhenUsed/>
    <w:rsid w:val="00F03A57"/>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F03A57"/>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F03A57"/>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F03A57"/>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F03A5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F03A57"/>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F03A5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F03A57"/>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F03A57"/>
    <w:pPr>
      <w:keepLines w:val="0"/>
      <w:spacing w:line="240" w:lineRule="auto"/>
      <w:ind w:left="0" w:firstLine="0"/>
    </w:pPr>
    <w:rPr>
      <w:rFonts w:eastAsia="Calibri"/>
      <w:sz w:val="16"/>
      <w:szCs w:val="16"/>
      <w:lang w:val="pt-PT" w:eastAsia="en-US"/>
    </w:rPr>
  </w:style>
  <w:style w:type="character" w:customStyle="1" w:styleId="foonoteChar">
    <w:name w:val="foonote Char"/>
    <w:basedOn w:val="DefaultParagraphFont"/>
    <w:link w:val="foonote"/>
    <w:rsid w:val="00F03A57"/>
    <w:rPr>
      <w:rFonts w:eastAsia="Calibri"/>
      <w:sz w:val="16"/>
      <w:szCs w:val="16"/>
      <w:lang w:val="pt-PT" w:eastAsia="en-US"/>
    </w:rPr>
  </w:style>
  <w:style w:type="paragraph" w:styleId="ListNumber">
    <w:name w:val="List Number"/>
    <w:basedOn w:val="Normal"/>
    <w:uiPriority w:val="99"/>
    <w:rsid w:val="00F03A57"/>
    <w:pPr>
      <w:widowControl/>
      <w:numPr>
        <w:numId w:val="9"/>
      </w:numPr>
      <w:spacing w:before="120" w:after="120"/>
      <w:jc w:val="both"/>
    </w:pPr>
    <w:rPr>
      <w:szCs w:val="22"/>
      <w:lang w:eastAsia="de-DE"/>
    </w:rPr>
  </w:style>
  <w:style w:type="paragraph" w:customStyle="1" w:styleId="ListBullet1">
    <w:name w:val="List Bullet 1"/>
    <w:basedOn w:val="Normal"/>
    <w:rsid w:val="00F03A57"/>
    <w:pPr>
      <w:widowControl/>
      <w:numPr>
        <w:numId w:val="5"/>
      </w:numPr>
      <w:spacing w:before="120" w:after="120"/>
      <w:jc w:val="both"/>
    </w:pPr>
    <w:rPr>
      <w:szCs w:val="22"/>
      <w:lang w:eastAsia="de-DE"/>
    </w:rPr>
  </w:style>
  <w:style w:type="paragraph" w:customStyle="1" w:styleId="ListDash">
    <w:name w:val="List Dash"/>
    <w:basedOn w:val="Normal"/>
    <w:rsid w:val="00F03A57"/>
    <w:pPr>
      <w:widowControl/>
      <w:numPr>
        <w:numId w:val="6"/>
      </w:numPr>
      <w:spacing w:before="120" w:after="120"/>
      <w:jc w:val="both"/>
    </w:pPr>
    <w:rPr>
      <w:szCs w:val="22"/>
      <w:lang w:eastAsia="de-DE"/>
    </w:rPr>
  </w:style>
  <w:style w:type="paragraph" w:customStyle="1" w:styleId="ListDash1">
    <w:name w:val="List Dash 1"/>
    <w:basedOn w:val="Normal"/>
    <w:rsid w:val="00F03A57"/>
    <w:pPr>
      <w:widowControl/>
      <w:numPr>
        <w:numId w:val="7"/>
      </w:numPr>
      <w:spacing w:before="120" w:after="120"/>
      <w:jc w:val="both"/>
    </w:pPr>
    <w:rPr>
      <w:szCs w:val="22"/>
      <w:lang w:eastAsia="de-DE"/>
    </w:rPr>
  </w:style>
  <w:style w:type="paragraph" w:customStyle="1" w:styleId="ListDash2">
    <w:name w:val="List Dash 2"/>
    <w:basedOn w:val="Normal"/>
    <w:rsid w:val="00F03A57"/>
    <w:pPr>
      <w:widowControl/>
      <w:numPr>
        <w:numId w:val="8"/>
      </w:numPr>
      <w:spacing w:before="120" w:after="120"/>
      <w:jc w:val="both"/>
    </w:pPr>
    <w:rPr>
      <w:szCs w:val="22"/>
      <w:lang w:eastAsia="de-DE"/>
    </w:rPr>
  </w:style>
  <w:style w:type="paragraph" w:customStyle="1" w:styleId="ListNumberLevel2">
    <w:name w:val="List Number (Level 2)"/>
    <w:basedOn w:val="Normal"/>
    <w:rsid w:val="00F03A57"/>
    <w:pPr>
      <w:widowControl/>
      <w:numPr>
        <w:ilvl w:val="1"/>
        <w:numId w:val="9"/>
      </w:numPr>
      <w:spacing w:before="120" w:after="120"/>
      <w:jc w:val="both"/>
    </w:pPr>
    <w:rPr>
      <w:szCs w:val="22"/>
      <w:lang w:eastAsia="de-DE"/>
    </w:rPr>
  </w:style>
  <w:style w:type="paragraph" w:customStyle="1" w:styleId="ListNumberLevel3">
    <w:name w:val="List Number (Level 3)"/>
    <w:basedOn w:val="Normal"/>
    <w:rsid w:val="00F03A57"/>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F03A57"/>
    <w:pPr>
      <w:widowControl/>
      <w:numPr>
        <w:ilvl w:val="3"/>
        <w:numId w:val="9"/>
      </w:numPr>
      <w:spacing w:before="120" w:after="120"/>
      <w:jc w:val="both"/>
    </w:pPr>
    <w:rPr>
      <w:szCs w:val="22"/>
      <w:lang w:eastAsia="de-DE"/>
    </w:rPr>
  </w:style>
  <w:style w:type="table" w:customStyle="1" w:styleId="TableGrid11">
    <w:name w:val="Table Grid11"/>
    <w:basedOn w:val="TableNormal"/>
    <w:next w:val="TableGrid"/>
    <w:rsid w:val="00F03A57"/>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F03A57"/>
    <w:pPr>
      <w:widowControl/>
      <w:numPr>
        <w:numId w:val="13"/>
      </w:numPr>
      <w:spacing w:before="120" w:after="120"/>
      <w:jc w:val="both"/>
    </w:pPr>
    <w:rPr>
      <w:szCs w:val="22"/>
    </w:rPr>
  </w:style>
  <w:style w:type="paragraph" w:styleId="ListNumber3">
    <w:name w:val="List Number 3"/>
    <w:basedOn w:val="Normal"/>
    <w:uiPriority w:val="99"/>
    <w:rsid w:val="00F03A57"/>
    <w:pPr>
      <w:widowControl/>
      <w:numPr>
        <w:numId w:val="14"/>
      </w:numPr>
      <w:spacing w:before="120" w:after="120"/>
      <w:jc w:val="both"/>
    </w:pPr>
    <w:rPr>
      <w:szCs w:val="22"/>
    </w:rPr>
  </w:style>
  <w:style w:type="paragraph" w:styleId="ListNumber4">
    <w:name w:val="List Number 4"/>
    <w:basedOn w:val="Normal"/>
    <w:uiPriority w:val="99"/>
    <w:rsid w:val="00F03A57"/>
    <w:pPr>
      <w:widowControl/>
      <w:numPr>
        <w:numId w:val="15"/>
      </w:numPr>
      <w:spacing w:before="120" w:after="120"/>
      <w:jc w:val="both"/>
    </w:pPr>
    <w:rPr>
      <w:szCs w:val="22"/>
    </w:rPr>
  </w:style>
  <w:style w:type="paragraph" w:customStyle="1" w:styleId="ListDash3">
    <w:name w:val="List Dash 3"/>
    <w:basedOn w:val="Normal"/>
    <w:rsid w:val="00F03A57"/>
    <w:pPr>
      <w:widowControl/>
      <w:numPr>
        <w:numId w:val="10"/>
      </w:numPr>
      <w:spacing w:before="120" w:after="120"/>
      <w:jc w:val="both"/>
    </w:pPr>
    <w:rPr>
      <w:szCs w:val="22"/>
    </w:rPr>
  </w:style>
  <w:style w:type="paragraph" w:customStyle="1" w:styleId="ListDash4">
    <w:name w:val="List Dash 4"/>
    <w:basedOn w:val="Normal"/>
    <w:rsid w:val="00F03A57"/>
    <w:pPr>
      <w:widowControl/>
      <w:numPr>
        <w:numId w:val="11"/>
      </w:numPr>
      <w:spacing w:before="120" w:after="120"/>
      <w:jc w:val="both"/>
    </w:pPr>
    <w:rPr>
      <w:szCs w:val="22"/>
    </w:rPr>
  </w:style>
  <w:style w:type="paragraph" w:customStyle="1" w:styleId="ListNumber1">
    <w:name w:val="List Number 1"/>
    <w:basedOn w:val="Text1"/>
    <w:rsid w:val="00F03A57"/>
    <w:pPr>
      <w:numPr>
        <w:numId w:val="12"/>
      </w:numPr>
      <w:tabs>
        <w:tab w:val="clear" w:pos="1701"/>
        <w:tab w:val="num" w:pos="360"/>
      </w:tabs>
      <w:ind w:left="360" w:hanging="360"/>
    </w:pPr>
    <w:rPr>
      <w:rFonts w:eastAsia="Times New Roman"/>
      <w:lang w:eastAsia="en-GB"/>
    </w:rPr>
  </w:style>
  <w:style w:type="paragraph" w:customStyle="1" w:styleId="ListNumber1Level2">
    <w:name w:val="List Number 1 (Level 2)"/>
    <w:basedOn w:val="Text1"/>
    <w:rsid w:val="00F03A57"/>
    <w:pPr>
      <w:numPr>
        <w:ilvl w:val="1"/>
        <w:numId w:val="12"/>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F03A57"/>
    <w:pPr>
      <w:numPr>
        <w:ilvl w:val="1"/>
        <w:numId w:val="13"/>
      </w:numPr>
      <w:tabs>
        <w:tab w:val="clear" w:pos="2268"/>
        <w:tab w:val="num" w:pos="643"/>
      </w:tabs>
      <w:ind w:left="643" w:hanging="360"/>
    </w:pPr>
    <w:rPr>
      <w:rFonts w:eastAsia="Times New Roman"/>
      <w:lang w:eastAsia="en-GB"/>
    </w:rPr>
  </w:style>
  <w:style w:type="paragraph" w:customStyle="1" w:styleId="ListNumber3Level2">
    <w:name w:val="List Number 3 (Level 2)"/>
    <w:basedOn w:val="Text3"/>
    <w:rsid w:val="00F03A57"/>
    <w:pPr>
      <w:numPr>
        <w:ilvl w:val="1"/>
        <w:numId w:val="14"/>
      </w:numPr>
      <w:tabs>
        <w:tab w:val="clear" w:pos="2268"/>
        <w:tab w:val="num" w:pos="643"/>
      </w:tabs>
      <w:ind w:left="643" w:hanging="360"/>
    </w:pPr>
    <w:rPr>
      <w:rFonts w:eastAsia="Times New Roman"/>
      <w:lang w:eastAsia="en-GB"/>
    </w:rPr>
  </w:style>
  <w:style w:type="paragraph" w:customStyle="1" w:styleId="ListNumber4Level2">
    <w:name w:val="List Number 4 (Level 2)"/>
    <w:basedOn w:val="Text4"/>
    <w:rsid w:val="00F03A57"/>
    <w:pPr>
      <w:numPr>
        <w:ilvl w:val="1"/>
        <w:numId w:val="15"/>
      </w:numPr>
      <w:tabs>
        <w:tab w:val="clear" w:pos="2268"/>
        <w:tab w:val="num" w:pos="926"/>
      </w:tabs>
      <w:ind w:left="926" w:hanging="360"/>
    </w:pPr>
    <w:rPr>
      <w:rFonts w:eastAsia="Times New Roman"/>
      <w:lang w:eastAsia="en-GB"/>
    </w:rPr>
  </w:style>
  <w:style w:type="paragraph" w:customStyle="1" w:styleId="ListNumber1Level3">
    <w:name w:val="List Number 1 (Level 3)"/>
    <w:basedOn w:val="Text1"/>
    <w:rsid w:val="00F03A57"/>
    <w:pPr>
      <w:numPr>
        <w:ilvl w:val="2"/>
        <w:numId w:val="12"/>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F03A57"/>
    <w:pPr>
      <w:numPr>
        <w:ilvl w:val="2"/>
        <w:numId w:val="13"/>
      </w:numPr>
      <w:tabs>
        <w:tab w:val="clear" w:pos="2977"/>
        <w:tab w:val="num" w:pos="643"/>
      </w:tabs>
      <w:ind w:left="643" w:hanging="360"/>
    </w:pPr>
    <w:rPr>
      <w:rFonts w:eastAsia="Times New Roman"/>
      <w:lang w:eastAsia="en-GB"/>
    </w:rPr>
  </w:style>
  <w:style w:type="paragraph" w:customStyle="1" w:styleId="ListNumber3Level3">
    <w:name w:val="List Number 3 (Level 3)"/>
    <w:basedOn w:val="Text3"/>
    <w:rsid w:val="00F03A57"/>
    <w:pPr>
      <w:numPr>
        <w:ilvl w:val="2"/>
        <w:numId w:val="14"/>
      </w:numPr>
      <w:tabs>
        <w:tab w:val="clear" w:pos="2977"/>
        <w:tab w:val="num" w:pos="643"/>
      </w:tabs>
      <w:ind w:left="643" w:hanging="360"/>
    </w:pPr>
    <w:rPr>
      <w:rFonts w:eastAsia="Times New Roman"/>
      <w:lang w:eastAsia="en-GB"/>
    </w:rPr>
  </w:style>
  <w:style w:type="paragraph" w:customStyle="1" w:styleId="ListNumber4Level3">
    <w:name w:val="List Number 4 (Level 3)"/>
    <w:basedOn w:val="Text4"/>
    <w:rsid w:val="00F03A57"/>
    <w:pPr>
      <w:numPr>
        <w:ilvl w:val="2"/>
        <w:numId w:val="15"/>
      </w:numPr>
      <w:tabs>
        <w:tab w:val="clear" w:pos="2977"/>
        <w:tab w:val="num" w:pos="926"/>
      </w:tabs>
      <w:ind w:left="926" w:hanging="360"/>
    </w:pPr>
    <w:rPr>
      <w:rFonts w:eastAsia="Times New Roman"/>
      <w:lang w:eastAsia="en-GB"/>
    </w:rPr>
  </w:style>
  <w:style w:type="paragraph" w:customStyle="1" w:styleId="ListNumber1Level4">
    <w:name w:val="List Number 1 (Level 4)"/>
    <w:basedOn w:val="Text1"/>
    <w:rsid w:val="00F03A57"/>
    <w:pPr>
      <w:numPr>
        <w:ilvl w:val="3"/>
        <w:numId w:val="12"/>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F03A57"/>
    <w:pPr>
      <w:numPr>
        <w:ilvl w:val="3"/>
        <w:numId w:val="13"/>
      </w:numPr>
      <w:tabs>
        <w:tab w:val="clear" w:pos="3686"/>
        <w:tab w:val="num" w:pos="643"/>
      </w:tabs>
      <w:ind w:left="643" w:hanging="360"/>
    </w:pPr>
    <w:rPr>
      <w:rFonts w:eastAsia="Times New Roman"/>
      <w:lang w:eastAsia="en-GB"/>
    </w:rPr>
  </w:style>
  <w:style w:type="paragraph" w:customStyle="1" w:styleId="ListNumber3Level4">
    <w:name w:val="List Number 3 (Level 4)"/>
    <w:basedOn w:val="Text3"/>
    <w:rsid w:val="00F03A57"/>
    <w:pPr>
      <w:numPr>
        <w:ilvl w:val="3"/>
        <w:numId w:val="14"/>
      </w:numPr>
      <w:tabs>
        <w:tab w:val="clear" w:pos="3686"/>
        <w:tab w:val="num" w:pos="643"/>
      </w:tabs>
      <w:ind w:left="643" w:hanging="360"/>
    </w:pPr>
    <w:rPr>
      <w:rFonts w:eastAsia="Times New Roman"/>
      <w:lang w:eastAsia="en-GB"/>
    </w:rPr>
  </w:style>
  <w:style w:type="paragraph" w:customStyle="1" w:styleId="ListNumber4Level4">
    <w:name w:val="List Number 4 (Level 4)"/>
    <w:basedOn w:val="Text4"/>
    <w:rsid w:val="00F03A57"/>
    <w:pPr>
      <w:numPr>
        <w:ilvl w:val="3"/>
        <w:numId w:val="15"/>
      </w:numPr>
      <w:tabs>
        <w:tab w:val="clear" w:pos="3686"/>
        <w:tab w:val="num" w:pos="926"/>
      </w:tabs>
      <w:ind w:left="926" w:hanging="360"/>
    </w:pPr>
    <w:rPr>
      <w:rFonts w:eastAsia="Times New Roman"/>
      <w:lang w:eastAsia="en-GB"/>
    </w:rPr>
  </w:style>
  <w:style w:type="paragraph" w:customStyle="1" w:styleId="Annexetitreacte">
    <w:name w:val="Annexe titre (acte)"/>
    <w:basedOn w:val="Normal"/>
    <w:next w:val="Normal"/>
    <w:rsid w:val="00F03A57"/>
    <w:pPr>
      <w:widowControl/>
      <w:spacing w:before="120" w:after="120"/>
      <w:jc w:val="center"/>
    </w:pPr>
    <w:rPr>
      <w:b/>
      <w:szCs w:val="22"/>
      <w:u w:val="single"/>
    </w:rPr>
  </w:style>
  <w:style w:type="paragraph" w:customStyle="1" w:styleId="Annexetitreexposglobal">
    <w:name w:val="Annexe titre (exposé global)"/>
    <w:basedOn w:val="Normal"/>
    <w:next w:val="Normal"/>
    <w:rsid w:val="00F03A57"/>
    <w:pPr>
      <w:widowControl/>
      <w:spacing w:before="120" w:after="120"/>
      <w:jc w:val="center"/>
    </w:pPr>
    <w:rPr>
      <w:b/>
      <w:szCs w:val="22"/>
      <w:u w:val="single"/>
    </w:rPr>
  </w:style>
  <w:style w:type="paragraph" w:customStyle="1" w:styleId="Annexetitrefichefinacte">
    <w:name w:val="Annexe titre (fiche fin. acte)"/>
    <w:basedOn w:val="Normal"/>
    <w:next w:val="Normal"/>
    <w:rsid w:val="00F03A57"/>
    <w:pPr>
      <w:widowControl/>
      <w:spacing w:before="120" w:after="120"/>
      <w:jc w:val="center"/>
    </w:pPr>
    <w:rPr>
      <w:b/>
      <w:szCs w:val="22"/>
      <w:u w:val="single"/>
    </w:rPr>
  </w:style>
  <w:style w:type="paragraph" w:customStyle="1" w:styleId="Annexetitrefichefinglobale">
    <w:name w:val="Annexe titre (fiche fin. globale)"/>
    <w:basedOn w:val="Normal"/>
    <w:next w:val="Normal"/>
    <w:rsid w:val="00F03A57"/>
    <w:pPr>
      <w:widowControl/>
      <w:spacing w:before="120" w:after="120"/>
      <w:jc w:val="center"/>
    </w:pPr>
    <w:rPr>
      <w:b/>
      <w:szCs w:val="22"/>
      <w:u w:val="single"/>
    </w:rPr>
  </w:style>
  <w:style w:type="paragraph" w:customStyle="1" w:styleId="Annexetitreglobale">
    <w:name w:val="Annexe titre (globale)"/>
    <w:basedOn w:val="Normal"/>
    <w:next w:val="Normal"/>
    <w:rsid w:val="00F03A57"/>
    <w:pPr>
      <w:widowControl/>
      <w:spacing w:before="120" w:after="120"/>
      <w:jc w:val="center"/>
    </w:pPr>
    <w:rPr>
      <w:b/>
      <w:szCs w:val="22"/>
      <w:u w:val="single"/>
    </w:rPr>
  </w:style>
  <w:style w:type="paragraph" w:customStyle="1" w:styleId="Exposdesmotifstitreglobal">
    <w:name w:val="Exposé des motifs titre (global)"/>
    <w:basedOn w:val="Normal"/>
    <w:next w:val="Normal"/>
    <w:rsid w:val="00F03A57"/>
    <w:pPr>
      <w:widowControl/>
      <w:spacing w:before="120" w:after="120"/>
      <w:jc w:val="center"/>
    </w:pPr>
    <w:rPr>
      <w:b/>
      <w:szCs w:val="22"/>
      <w:u w:val="single"/>
    </w:rPr>
  </w:style>
  <w:style w:type="paragraph" w:customStyle="1" w:styleId="Langueoriginale">
    <w:name w:val="Langue originale"/>
    <w:basedOn w:val="Normal"/>
    <w:rsid w:val="00F03A57"/>
    <w:pPr>
      <w:widowControl/>
      <w:spacing w:before="360" w:after="120"/>
      <w:jc w:val="center"/>
    </w:pPr>
    <w:rPr>
      <w:caps/>
      <w:szCs w:val="22"/>
    </w:rPr>
  </w:style>
  <w:style w:type="paragraph" w:customStyle="1" w:styleId="Phrasefinale">
    <w:name w:val="Phrase finale"/>
    <w:basedOn w:val="Normal"/>
    <w:next w:val="Normal"/>
    <w:rsid w:val="00F03A57"/>
    <w:pPr>
      <w:widowControl/>
      <w:spacing w:before="360"/>
      <w:jc w:val="center"/>
    </w:pPr>
    <w:rPr>
      <w:szCs w:val="22"/>
    </w:rPr>
  </w:style>
  <w:style w:type="paragraph" w:customStyle="1" w:styleId="Prliminairetitre">
    <w:name w:val="Préliminaire titre"/>
    <w:basedOn w:val="Normal"/>
    <w:next w:val="Normal"/>
    <w:rsid w:val="00F03A57"/>
    <w:pPr>
      <w:widowControl/>
      <w:spacing w:before="360" w:after="360"/>
      <w:jc w:val="center"/>
    </w:pPr>
    <w:rPr>
      <w:b/>
      <w:szCs w:val="22"/>
    </w:rPr>
  </w:style>
  <w:style w:type="paragraph" w:customStyle="1" w:styleId="Prliminairetype">
    <w:name w:val="Préliminaire type"/>
    <w:basedOn w:val="Normal"/>
    <w:next w:val="Normal"/>
    <w:rsid w:val="00F03A57"/>
    <w:pPr>
      <w:widowControl/>
      <w:spacing w:before="360"/>
      <w:jc w:val="center"/>
    </w:pPr>
    <w:rPr>
      <w:b/>
      <w:szCs w:val="22"/>
    </w:rPr>
  </w:style>
  <w:style w:type="paragraph" w:customStyle="1" w:styleId="Rfrenceinstitutionelle">
    <w:name w:val="Référence institutionelle"/>
    <w:basedOn w:val="Normal"/>
    <w:next w:val="Statut"/>
    <w:rsid w:val="00F03A57"/>
    <w:pPr>
      <w:widowControl/>
      <w:spacing w:after="240"/>
      <w:ind w:left="5103"/>
    </w:pPr>
    <w:rPr>
      <w:szCs w:val="22"/>
    </w:rPr>
  </w:style>
  <w:style w:type="paragraph" w:customStyle="1" w:styleId="Rfrenceinterinstitutionelle">
    <w:name w:val="Référence interinstitutionelle"/>
    <w:basedOn w:val="Normal"/>
    <w:next w:val="Statut"/>
    <w:rsid w:val="00F03A57"/>
    <w:pPr>
      <w:widowControl/>
      <w:ind w:left="5103"/>
    </w:pPr>
    <w:rPr>
      <w:szCs w:val="22"/>
    </w:rPr>
  </w:style>
  <w:style w:type="paragraph" w:customStyle="1" w:styleId="Rfrenceinterinstitutionelleprliminaire">
    <w:name w:val="Référence interinstitutionelle (préliminaire)"/>
    <w:basedOn w:val="Normal"/>
    <w:next w:val="Normal"/>
    <w:rsid w:val="00F03A57"/>
    <w:pPr>
      <w:widowControl/>
      <w:ind w:left="5103"/>
    </w:pPr>
    <w:rPr>
      <w:szCs w:val="22"/>
    </w:rPr>
  </w:style>
  <w:style w:type="paragraph" w:customStyle="1" w:styleId="Sous-titreobjetprliminaire">
    <w:name w:val="Sous-titre objet (préliminaire)"/>
    <w:basedOn w:val="Normal"/>
    <w:rsid w:val="00F03A57"/>
    <w:pPr>
      <w:widowControl/>
      <w:jc w:val="center"/>
    </w:pPr>
    <w:rPr>
      <w:b/>
      <w:szCs w:val="22"/>
    </w:rPr>
  </w:style>
  <w:style w:type="paragraph" w:customStyle="1" w:styleId="Statutprliminaire">
    <w:name w:val="Statut (préliminaire)"/>
    <w:basedOn w:val="Normal"/>
    <w:next w:val="Normal"/>
    <w:rsid w:val="00F03A57"/>
    <w:pPr>
      <w:widowControl/>
      <w:spacing w:before="360"/>
      <w:jc w:val="center"/>
    </w:pPr>
    <w:rPr>
      <w:szCs w:val="22"/>
    </w:rPr>
  </w:style>
  <w:style w:type="paragraph" w:customStyle="1" w:styleId="Titreobjetprliminaire">
    <w:name w:val="Titre objet (préliminaire)"/>
    <w:basedOn w:val="Normal"/>
    <w:next w:val="Normal"/>
    <w:rsid w:val="00F03A57"/>
    <w:pPr>
      <w:widowControl/>
      <w:spacing w:before="360" w:after="360"/>
      <w:jc w:val="center"/>
    </w:pPr>
    <w:rPr>
      <w:b/>
      <w:szCs w:val="22"/>
    </w:rPr>
  </w:style>
  <w:style w:type="paragraph" w:customStyle="1" w:styleId="Typedudocumentprliminaire">
    <w:name w:val="Type du document (préliminaire)"/>
    <w:basedOn w:val="Normal"/>
    <w:next w:val="Normal"/>
    <w:rsid w:val="00F03A57"/>
    <w:pPr>
      <w:widowControl/>
      <w:spacing w:before="360"/>
      <w:jc w:val="center"/>
    </w:pPr>
    <w:rPr>
      <w:b/>
      <w:szCs w:val="22"/>
    </w:rPr>
  </w:style>
  <w:style w:type="paragraph" w:customStyle="1" w:styleId="Fichefinancirestandardtitre">
    <w:name w:val="Fiche financière (standard) titre"/>
    <w:basedOn w:val="Normal"/>
    <w:next w:val="Normal"/>
    <w:rsid w:val="00F03A5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F03A5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F03A5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F03A5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F03A5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F03A57"/>
    <w:pPr>
      <w:widowControl/>
      <w:spacing w:before="120" w:after="120"/>
      <w:jc w:val="center"/>
    </w:pPr>
    <w:rPr>
      <w:b/>
      <w:szCs w:val="22"/>
      <w:u w:val="single"/>
    </w:rPr>
  </w:style>
  <w:style w:type="paragraph" w:styleId="Caption">
    <w:name w:val="caption"/>
    <w:basedOn w:val="Normal"/>
    <w:next w:val="Normal"/>
    <w:uiPriority w:val="35"/>
    <w:qFormat/>
    <w:rsid w:val="00F03A57"/>
    <w:pPr>
      <w:widowControl/>
      <w:spacing w:before="120" w:after="120"/>
      <w:jc w:val="both"/>
    </w:pPr>
    <w:rPr>
      <w:b/>
      <w:bCs/>
      <w:sz w:val="20"/>
    </w:rPr>
  </w:style>
  <w:style w:type="paragraph" w:styleId="TableofFigures">
    <w:name w:val="table of figures"/>
    <w:basedOn w:val="Normal"/>
    <w:next w:val="Normal"/>
    <w:uiPriority w:val="99"/>
    <w:rsid w:val="00F03A57"/>
    <w:pPr>
      <w:widowControl/>
      <w:spacing w:before="120" w:after="120"/>
      <w:jc w:val="both"/>
    </w:pPr>
    <w:rPr>
      <w:szCs w:val="22"/>
    </w:rPr>
  </w:style>
  <w:style w:type="character" w:customStyle="1" w:styleId="tw4winMark">
    <w:name w:val="tw4winMark"/>
    <w:rsid w:val="00F03A57"/>
    <w:rPr>
      <w:vanish/>
      <w:color w:val="800080"/>
      <w:vertAlign w:val="subscript"/>
    </w:rPr>
  </w:style>
  <w:style w:type="paragraph" w:customStyle="1" w:styleId="Sous-titreobjet">
    <w:name w:val="Sous-titre objet"/>
    <w:basedOn w:val="Normal"/>
    <w:rsid w:val="00F03A57"/>
    <w:pPr>
      <w:widowControl/>
      <w:jc w:val="center"/>
    </w:pPr>
    <w:rPr>
      <w:b/>
      <w:szCs w:val="22"/>
    </w:rPr>
  </w:style>
  <w:style w:type="paragraph" w:customStyle="1" w:styleId="Sous-titreobjetPagedecouverture">
    <w:name w:val="Sous-titre objet (Page de couverture)"/>
    <w:basedOn w:val="Sous-titreobjet"/>
    <w:rsid w:val="00F03A57"/>
  </w:style>
  <w:style w:type="paragraph" w:customStyle="1" w:styleId="FooterCoverPage">
    <w:name w:val="Footer Cover Page"/>
    <w:basedOn w:val="Normal"/>
    <w:link w:val="FooterCoverPageChar"/>
    <w:rsid w:val="00F03A57"/>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F03A57"/>
    <w:rPr>
      <w:rFonts w:ascii="Times New Roman" w:hAnsi="Times New Roman" w:cs="Times New Roman"/>
      <w:b/>
      <w:sz w:val="28"/>
      <w:lang w:val="pt-PT"/>
    </w:rPr>
  </w:style>
  <w:style w:type="character" w:customStyle="1" w:styleId="FooterCoverPageChar">
    <w:name w:val="Footer Cover Page Char"/>
    <w:link w:val="FooterCoverPage"/>
    <w:rsid w:val="00F03A57"/>
    <w:rPr>
      <w:rFonts w:eastAsia="Calibri"/>
      <w:sz w:val="24"/>
      <w:szCs w:val="22"/>
      <w:lang w:val="pt-PT"/>
    </w:rPr>
  </w:style>
  <w:style w:type="paragraph" w:customStyle="1" w:styleId="HeaderCoverPage">
    <w:name w:val="Header Cover Page"/>
    <w:basedOn w:val="Normal"/>
    <w:link w:val="HeaderCoverPageChar"/>
    <w:rsid w:val="00F03A5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F03A57"/>
    <w:rPr>
      <w:rFonts w:eastAsia="Calibri"/>
      <w:sz w:val="24"/>
      <w:szCs w:val="22"/>
      <w:lang w:val="pt-PT"/>
    </w:rPr>
  </w:style>
  <w:style w:type="paragraph" w:styleId="ListParagraph">
    <w:name w:val="List Paragraph"/>
    <w:basedOn w:val="Normal"/>
    <w:uiPriority w:val="34"/>
    <w:qFormat/>
    <w:rsid w:val="00F03A57"/>
    <w:pPr>
      <w:widowControl/>
      <w:spacing w:before="120" w:after="120"/>
      <w:ind w:left="720"/>
      <w:contextualSpacing/>
      <w:jc w:val="both"/>
    </w:pPr>
    <w:rPr>
      <w:rFonts w:eastAsia="Calibri"/>
      <w:szCs w:val="22"/>
      <w:lang w:eastAsia="en-US"/>
    </w:rPr>
  </w:style>
  <w:style w:type="paragraph" w:customStyle="1" w:styleId="Default">
    <w:name w:val="Default"/>
    <w:rsid w:val="00F03A57"/>
    <w:pPr>
      <w:autoSpaceDE w:val="0"/>
      <w:autoSpaceDN w:val="0"/>
      <w:adjustRightInd w:val="0"/>
    </w:pPr>
    <w:rPr>
      <w:rFonts w:eastAsia="Calibri"/>
      <w:color w:val="000000"/>
      <w:sz w:val="24"/>
      <w:szCs w:val="24"/>
      <w:lang w:val="en-US" w:eastAsia="en-US"/>
    </w:rPr>
  </w:style>
  <w:style w:type="table" w:customStyle="1" w:styleId="Table11">
    <w:name w:val="Table 11"/>
    <w:basedOn w:val="TableNormal"/>
    <w:uiPriority w:val="99"/>
    <w:rsid w:val="00F03A57"/>
    <w:pPr>
      <w:jc w:val="center"/>
    </w:pPr>
    <w:rPr>
      <w:rFonts w:ascii="Trebuchet MS" w:eastAsia="Calibri" w:hAnsi="Trebuchet MS"/>
      <w:sz w:val="16"/>
      <w:lang w:val="pt-PT"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F03A57"/>
    <w:pPr>
      <w:spacing w:line="240" w:lineRule="auto"/>
    </w:pPr>
    <w:rPr>
      <w:rFonts w:eastAsia="Calibri"/>
      <w:szCs w:val="22"/>
      <w:lang w:val="pt-PT"/>
    </w:rPr>
  </w:style>
  <w:style w:type="table" w:customStyle="1" w:styleId="TableGrid2">
    <w:name w:val="Table Grid2"/>
    <w:basedOn w:val="TableNormal"/>
    <w:next w:val="TableGrid"/>
    <w:rsid w:val="00F03A57"/>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F03A57"/>
    <w:pPr>
      <w:jc w:val="center"/>
    </w:pPr>
    <w:rPr>
      <w:rFonts w:ascii="Trebuchet MS" w:eastAsia="Calibri" w:hAnsi="Trebuchet MS"/>
      <w:sz w:val="16"/>
      <w:lang w:val="pt-PT"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F03A57"/>
  </w:style>
  <w:style w:type="table" w:customStyle="1" w:styleId="TableGrid3">
    <w:name w:val="Table Grid3"/>
    <w:basedOn w:val="TableNormal"/>
    <w:next w:val="TableGrid"/>
    <w:rsid w:val="00F03A57"/>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F03A57"/>
    <w:pPr>
      <w:jc w:val="center"/>
    </w:pPr>
    <w:rPr>
      <w:rFonts w:ascii="Trebuchet MS" w:eastAsia="Calibri" w:hAnsi="Trebuchet MS"/>
      <w:sz w:val="16"/>
      <w:lang w:val="pt-PT"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F03A57"/>
  </w:style>
  <w:style w:type="table" w:customStyle="1" w:styleId="TableGrid4">
    <w:name w:val="Table Grid4"/>
    <w:basedOn w:val="TableNormal"/>
    <w:next w:val="TableGrid"/>
    <w:rsid w:val="00F03A57"/>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F03A57"/>
    <w:pPr>
      <w:jc w:val="center"/>
    </w:pPr>
    <w:rPr>
      <w:rFonts w:ascii="Trebuchet MS" w:eastAsia="Calibri" w:hAnsi="Trebuchet MS"/>
      <w:sz w:val="16"/>
      <w:lang w:val="pt-PT"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F03A57"/>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F03A57"/>
    <w:pPr>
      <w:autoSpaceDE w:val="0"/>
      <w:autoSpaceDN w:val="0"/>
      <w:adjustRightInd w:val="0"/>
      <w:jc w:val="right"/>
    </w:pPr>
    <w:rPr>
      <w:b/>
      <w:bCs/>
      <w:szCs w:val="24"/>
      <w:lang w:eastAsia="fr-BE"/>
    </w:rPr>
  </w:style>
  <w:style w:type="paragraph" w:customStyle="1" w:styleId="EntRefer">
    <w:name w:val="EntRefer"/>
    <w:basedOn w:val="Normal"/>
    <w:rsid w:val="00F03A57"/>
    <w:pPr>
      <w:autoSpaceDE w:val="0"/>
      <w:autoSpaceDN w:val="0"/>
      <w:adjustRightInd w:val="0"/>
    </w:pPr>
    <w:rPr>
      <w:b/>
      <w:bCs/>
      <w:szCs w:val="24"/>
      <w:lang w:eastAsia="fr-BE"/>
    </w:rPr>
  </w:style>
  <w:style w:type="paragraph" w:customStyle="1" w:styleId="Par-number1">
    <w:name w:val="Par-number 1)"/>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F03A57"/>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F03A57"/>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F03A57"/>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F03A57"/>
    <w:rPr>
      <w:sz w:val="24"/>
      <w:szCs w:val="24"/>
      <w:lang w:val="pt-PT" w:eastAsia="fr-BE"/>
    </w:rPr>
  </w:style>
  <w:style w:type="character" w:styleId="EndnoteReference">
    <w:name w:val="endnote reference"/>
    <w:basedOn w:val="DefaultParagraphFont"/>
    <w:uiPriority w:val="99"/>
    <w:rsid w:val="00F03A57"/>
    <w:rPr>
      <w:rFonts w:cs="Times New Roman"/>
      <w:b/>
      <w:bCs/>
      <w:spacing w:val="0"/>
      <w:vertAlign w:val="superscript"/>
    </w:rPr>
  </w:style>
  <w:style w:type="paragraph" w:customStyle="1" w:styleId="AC">
    <w:name w:val="AC"/>
    <w:basedOn w:val="Normal"/>
    <w:next w:val="Normal"/>
    <w:rsid w:val="00F03A57"/>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F03A57"/>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F03A57"/>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F03A57"/>
    <w:rPr>
      <w:rFonts w:cs="Times New Roman"/>
      <w:color w:val="auto"/>
      <w:spacing w:val="0"/>
    </w:rPr>
  </w:style>
  <w:style w:type="paragraph" w:customStyle="1" w:styleId="AddReference">
    <w:name w:val="Add Reference"/>
    <w:basedOn w:val="Normal"/>
    <w:rsid w:val="00F03A57"/>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F03A57"/>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F03A57"/>
    <w:rPr>
      <w:rFonts w:ascii="Tahoma" w:hAnsi="Tahoma" w:cs="Tahoma"/>
      <w:sz w:val="24"/>
      <w:szCs w:val="24"/>
      <w:shd w:val="clear" w:color="auto" w:fill="000080"/>
      <w:lang w:val="pt-PT" w:eastAsia="fr-BE"/>
    </w:rPr>
  </w:style>
  <w:style w:type="paragraph" w:customStyle="1" w:styleId="RKrubrik">
    <w:name w:val="RKrubrik"/>
    <w:basedOn w:val="Normal"/>
    <w:next w:val="Normal"/>
    <w:rsid w:val="00F03A57"/>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1Char1">
    <w:name w:val="Heading 1 Char1"/>
    <w:basedOn w:val="DefaultParagraphFont"/>
    <w:rsid w:val="00F03A57"/>
    <w:rPr>
      <w:rFonts w:cs="Times New Roman"/>
      <w:b/>
      <w:bCs/>
      <w:smallCaps/>
      <w:spacing w:val="0"/>
      <w:sz w:val="24"/>
      <w:szCs w:val="24"/>
      <w:lang w:val="pt-PT"/>
    </w:rPr>
  </w:style>
  <w:style w:type="character" w:customStyle="1" w:styleId="Heading2Char1">
    <w:name w:val="Heading 2 Char1"/>
    <w:basedOn w:val="DefaultParagraphFont"/>
    <w:rsid w:val="00F03A57"/>
    <w:rPr>
      <w:rFonts w:cs="Times New Roman"/>
      <w:b/>
      <w:bCs/>
      <w:spacing w:val="0"/>
      <w:sz w:val="24"/>
      <w:szCs w:val="24"/>
      <w:lang w:val="pt-PT"/>
    </w:rPr>
  </w:style>
  <w:style w:type="character" w:customStyle="1" w:styleId="Heading3Char1">
    <w:name w:val="Heading 3 Char1"/>
    <w:basedOn w:val="DefaultParagraphFont"/>
    <w:rsid w:val="00F03A57"/>
    <w:rPr>
      <w:rFonts w:cs="Times New Roman"/>
      <w:i/>
      <w:iCs/>
      <w:spacing w:val="0"/>
      <w:sz w:val="24"/>
      <w:szCs w:val="24"/>
      <w:lang w:val="pt-PT"/>
    </w:rPr>
  </w:style>
  <w:style w:type="character" w:customStyle="1" w:styleId="Heading4Char1">
    <w:name w:val="Heading 4 Char1"/>
    <w:basedOn w:val="DefaultParagraphFont"/>
    <w:rsid w:val="00F03A57"/>
    <w:rPr>
      <w:rFonts w:cs="Times New Roman"/>
      <w:spacing w:val="0"/>
      <w:sz w:val="24"/>
      <w:szCs w:val="24"/>
      <w:lang w:val="pt-PT"/>
    </w:rPr>
  </w:style>
  <w:style w:type="character" w:customStyle="1" w:styleId="Heading5Char1">
    <w:name w:val="Heading 5 Char1"/>
    <w:basedOn w:val="DefaultParagraphFont"/>
    <w:rsid w:val="00F03A57"/>
    <w:rPr>
      <w:rFonts w:ascii="Arial" w:hAnsi="Arial" w:cs="Arial"/>
      <w:spacing w:val="0"/>
      <w:sz w:val="24"/>
      <w:szCs w:val="24"/>
      <w:lang w:val="pt-PT"/>
    </w:rPr>
  </w:style>
  <w:style w:type="character" w:customStyle="1" w:styleId="Heading6Char1">
    <w:name w:val="Heading 6 Char1"/>
    <w:basedOn w:val="DefaultParagraphFont"/>
    <w:rsid w:val="00F03A57"/>
    <w:rPr>
      <w:rFonts w:ascii="Arial" w:hAnsi="Arial" w:cs="Arial"/>
      <w:i/>
      <w:iCs/>
      <w:spacing w:val="0"/>
      <w:sz w:val="24"/>
      <w:szCs w:val="24"/>
      <w:lang w:val="pt-PT"/>
    </w:rPr>
  </w:style>
  <w:style w:type="character" w:customStyle="1" w:styleId="Heading7Char1">
    <w:name w:val="Heading 7 Char1"/>
    <w:basedOn w:val="DefaultParagraphFont"/>
    <w:rsid w:val="00F03A57"/>
    <w:rPr>
      <w:rFonts w:ascii="Arial" w:hAnsi="Arial" w:cs="Arial"/>
      <w:spacing w:val="0"/>
      <w:sz w:val="24"/>
      <w:szCs w:val="24"/>
      <w:lang w:val="pt-PT"/>
    </w:rPr>
  </w:style>
  <w:style w:type="character" w:customStyle="1" w:styleId="Heading8Char1">
    <w:name w:val="Heading 8 Char1"/>
    <w:basedOn w:val="DefaultParagraphFont"/>
    <w:rsid w:val="00F03A57"/>
    <w:rPr>
      <w:rFonts w:ascii="Arial" w:hAnsi="Arial" w:cs="Arial"/>
      <w:i/>
      <w:iCs/>
      <w:spacing w:val="0"/>
      <w:sz w:val="24"/>
      <w:szCs w:val="24"/>
      <w:lang w:val="pt-PT"/>
    </w:rPr>
  </w:style>
  <w:style w:type="character" w:customStyle="1" w:styleId="Heading9Char1">
    <w:name w:val="Heading 9 Char1"/>
    <w:basedOn w:val="DefaultParagraphFont"/>
    <w:rsid w:val="00F03A57"/>
    <w:rPr>
      <w:rFonts w:ascii="Arial" w:hAnsi="Arial" w:cs="Arial"/>
      <w:i/>
      <w:iCs/>
      <w:spacing w:val="0"/>
      <w:sz w:val="24"/>
      <w:szCs w:val="24"/>
      <w:lang w:val="pt-PT"/>
    </w:rPr>
  </w:style>
  <w:style w:type="character" w:customStyle="1" w:styleId="BalloonTextChar1">
    <w:name w:val="Balloon Text Char1"/>
    <w:basedOn w:val="DefaultParagraphFont"/>
    <w:rsid w:val="00F03A57"/>
    <w:rPr>
      <w:rFonts w:ascii="Tahoma" w:hAnsi="Tahoma" w:cs="Tahoma"/>
      <w:spacing w:val="0"/>
      <w:sz w:val="16"/>
      <w:szCs w:val="16"/>
      <w:lang w:val="pt-PT"/>
    </w:rPr>
  </w:style>
  <w:style w:type="character" w:customStyle="1" w:styleId="HeaderChar1">
    <w:name w:val="Header Char1"/>
    <w:basedOn w:val="DefaultParagraphFont"/>
    <w:rsid w:val="00F03A57"/>
    <w:rPr>
      <w:rFonts w:cs="Times New Roman"/>
      <w:spacing w:val="0"/>
      <w:sz w:val="24"/>
      <w:szCs w:val="24"/>
      <w:lang w:val="pt-PT"/>
    </w:rPr>
  </w:style>
  <w:style w:type="character" w:customStyle="1" w:styleId="FooterChar1">
    <w:name w:val="Footer Char1"/>
    <w:basedOn w:val="DefaultParagraphFont"/>
    <w:rsid w:val="00F03A57"/>
    <w:rPr>
      <w:rFonts w:cs="Times New Roman"/>
      <w:spacing w:val="0"/>
      <w:sz w:val="24"/>
      <w:szCs w:val="24"/>
      <w:lang w:val="pt-PT"/>
    </w:rPr>
  </w:style>
  <w:style w:type="paragraph" w:customStyle="1" w:styleId="Overskrift1">
    <w:name w:val="Overskrift1"/>
    <w:basedOn w:val="Normal"/>
    <w:next w:val="Normal"/>
    <w:rsid w:val="00F03A57"/>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F03A57"/>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F03A57"/>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F03A57"/>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F03A57"/>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F03A57"/>
    <w:pPr>
      <w:widowControl/>
      <w:autoSpaceDE w:val="0"/>
      <w:autoSpaceDN w:val="0"/>
      <w:adjustRightInd w:val="0"/>
      <w:jc w:val="center"/>
    </w:pPr>
    <w:rPr>
      <w:b/>
      <w:bCs/>
      <w:szCs w:val="24"/>
      <w:lang w:eastAsia="fr-BE"/>
    </w:rPr>
  </w:style>
  <w:style w:type="paragraph" w:customStyle="1" w:styleId="EntACP">
    <w:name w:val="EntACP"/>
    <w:basedOn w:val="Normal"/>
    <w:rsid w:val="00F03A57"/>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F03A57"/>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F03A57"/>
    <w:pPr>
      <w:widowControl/>
      <w:spacing w:before="240"/>
    </w:pPr>
  </w:style>
  <w:style w:type="paragraph" w:customStyle="1" w:styleId="Accordtitre">
    <w:name w:val="Accord titre"/>
    <w:basedOn w:val="Normal"/>
    <w:rsid w:val="00F03A57"/>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F03A57"/>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F03A57"/>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F03A57"/>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F03A57"/>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F03A57"/>
    <w:rPr>
      <w:sz w:val="24"/>
      <w:szCs w:val="24"/>
      <w:lang w:val="pt-PT" w:eastAsia="fr-BE"/>
    </w:rPr>
  </w:style>
  <w:style w:type="character" w:customStyle="1" w:styleId="BodyTextChar1">
    <w:name w:val="Body Text Char1"/>
    <w:basedOn w:val="DefaultParagraphFont"/>
    <w:rsid w:val="00F03A57"/>
    <w:rPr>
      <w:rFonts w:cs="Times New Roman"/>
      <w:spacing w:val="0"/>
      <w:sz w:val="24"/>
      <w:szCs w:val="24"/>
      <w:lang w:val="pt-PT"/>
    </w:rPr>
  </w:style>
  <w:style w:type="paragraph" w:styleId="BodyTextIndent">
    <w:name w:val="Body Text Indent"/>
    <w:basedOn w:val="Normal"/>
    <w:link w:val="BodyTextIndentChar"/>
    <w:uiPriority w:val="99"/>
    <w:rsid w:val="00F03A57"/>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F03A57"/>
    <w:rPr>
      <w:sz w:val="24"/>
      <w:szCs w:val="24"/>
      <w:lang w:val="pt-PT" w:eastAsia="fr-BE"/>
    </w:rPr>
  </w:style>
  <w:style w:type="character" w:customStyle="1" w:styleId="BodyText2Char">
    <w:name w:val="Body Text 2 Char"/>
    <w:basedOn w:val="DefaultParagraphFont"/>
    <w:rsid w:val="00F03A57"/>
    <w:rPr>
      <w:rFonts w:ascii="Times New Roman" w:hAnsi="Times New Roman" w:cs="Times New Roman"/>
      <w:spacing w:val="0"/>
      <w:sz w:val="24"/>
      <w:szCs w:val="24"/>
      <w:lang w:val="pt-PT"/>
    </w:rPr>
  </w:style>
  <w:style w:type="paragraph" w:styleId="BodyText3">
    <w:name w:val="Body Text 3"/>
    <w:basedOn w:val="Normal"/>
    <w:link w:val="BodyText3Char"/>
    <w:uiPriority w:val="99"/>
    <w:rsid w:val="00F03A57"/>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F03A57"/>
    <w:rPr>
      <w:sz w:val="16"/>
      <w:szCs w:val="16"/>
      <w:lang w:val="pt-PT" w:eastAsia="fr-BE"/>
    </w:rPr>
  </w:style>
  <w:style w:type="character" w:customStyle="1" w:styleId="BodyText3Char1">
    <w:name w:val="Body Text 3 Char1"/>
    <w:basedOn w:val="DefaultParagraphFont"/>
    <w:rsid w:val="00F03A57"/>
    <w:rPr>
      <w:rFonts w:cs="Times New Roman"/>
      <w:spacing w:val="0"/>
      <w:sz w:val="16"/>
      <w:szCs w:val="16"/>
      <w:lang w:val="pt-PT"/>
    </w:rPr>
  </w:style>
  <w:style w:type="paragraph" w:styleId="BodyTextFirstIndent">
    <w:name w:val="Body Text First Indent"/>
    <w:basedOn w:val="BodyText"/>
    <w:link w:val="BodyTextFirstIndentChar"/>
    <w:uiPriority w:val="99"/>
    <w:rsid w:val="00F03A57"/>
    <w:pPr>
      <w:ind w:firstLine="210"/>
    </w:pPr>
  </w:style>
  <w:style w:type="character" w:customStyle="1" w:styleId="BodyTextFirstIndentChar">
    <w:name w:val="Body Text First Indent Char"/>
    <w:basedOn w:val="BodyTextChar"/>
    <w:link w:val="BodyTextFirstIndent"/>
    <w:uiPriority w:val="99"/>
    <w:rsid w:val="00F03A57"/>
    <w:rPr>
      <w:sz w:val="24"/>
      <w:szCs w:val="24"/>
      <w:lang w:val="pt-PT" w:eastAsia="fr-BE"/>
    </w:rPr>
  </w:style>
  <w:style w:type="character" w:customStyle="1" w:styleId="BodyTextFirstIndentChar1">
    <w:name w:val="Body Text First Indent Char1"/>
    <w:basedOn w:val="BodyTextChar1"/>
    <w:rsid w:val="00F03A57"/>
    <w:rPr>
      <w:rFonts w:cs="Times New Roman"/>
      <w:spacing w:val="0"/>
      <w:sz w:val="24"/>
      <w:szCs w:val="24"/>
      <w:lang w:val="pt-PT"/>
    </w:rPr>
  </w:style>
  <w:style w:type="character" w:customStyle="1" w:styleId="BodyTextIndentChar1">
    <w:name w:val="Body Text Indent Char1"/>
    <w:basedOn w:val="DefaultParagraphFont"/>
    <w:rsid w:val="00F03A57"/>
    <w:rPr>
      <w:rFonts w:cs="Times New Roman"/>
      <w:spacing w:val="0"/>
      <w:sz w:val="24"/>
      <w:szCs w:val="24"/>
      <w:lang w:val="pt-PT"/>
    </w:rPr>
  </w:style>
  <w:style w:type="paragraph" w:styleId="BodyTextFirstIndent2">
    <w:name w:val="Body Text First Indent 2"/>
    <w:basedOn w:val="BodyTextIndent"/>
    <w:link w:val="BodyTextFirstIndent2Char"/>
    <w:uiPriority w:val="99"/>
    <w:rsid w:val="00F03A57"/>
    <w:pPr>
      <w:ind w:firstLine="210"/>
    </w:pPr>
  </w:style>
  <w:style w:type="character" w:customStyle="1" w:styleId="BodyTextFirstIndent2Char">
    <w:name w:val="Body Text First Indent 2 Char"/>
    <w:basedOn w:val="BodyTextIndentChar"/>
    <w:link w:val="BodyTextFirstIndent2"/>
    <w:uiPriority w:val="99"/>
    <w:rsid w:val="00F03A57"/>
    <w:rPr>
      <w:sz w:val="24"/>
      <w:szCs w:val="24"/>
      <w:lang w:val="pt-PT" w:eastAsia="fr-BE"/>
    </w:rPr>
  </w:style>
  <w:style w:type="character" w:customStyle="1" w:styleId="BodyTextFirstIndent2Char1">
    <w:name w:val="Body Text First Indent 2 Char1"/>
    <w:basedOn w:val="BodyTextIndentChar1"/>
    <w:rsid w:val="00F03A57"/>
    <w:rPr>
      <w:rFonts w:cs="Times New Roman"/>
      <w:spacing w:val="0"/>
      <w:sz w:val="24"/>
      <w:szCs w:val="24"/>
      <w:lang w:val="pt-PT"/>
    </w:rPr>
  </w:style>
  <w:style w:type="paragraph" w:styleId="BodyTextIndent2">
    <w:name w:val="Body Text Indent 2"/>
    <w:basedOn w:val="Normal"/>
    <w:link w:val="BodyTextIndent2Char"/>
    <w:uiPriority w:val="99"/>
    <w:rsid w:val="00F03A57"/>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F03A57"/>
    <w:rPr>
      <w:sz w:val="24"/>
      <w:szCs w:val="24"/>
      <w:lang w:val="pt-PT" w:eastAsia="fr-BE"/>
    </w:rPr>
  </w:style>
  <w:style w:type="character" w:customStyle="1" w:styleId="BodyTextIndent2Char1">
    <w:name w:val="Body Text Indent 2 Char1"/>
    <w:basedOn w:val="DefaultParagraphFont"/>
    <w:rsid w:val="00F03A57"/>
    <w:rPr>
      <w:rFonts w:cs="Times New Roman"/>
      <w:spacing w:val="0"/>
      <w:sz w:val="24"/>
      <w:szCs w:val="24"/>
      <w:lang w:val="pt-PT"/>
    </w:rPr>
  </w:style>
  <w:style w:type="paragraph" w:styleId="BodyTextIndent3">
    <w:name w:val="Body Text Indent 3"/>
    <w:basedOn w:val="Normal"/>
    <w:link w:val="BodyTextIndent3Char"/>
    <w:uiPriority w:val="99"/>
    <w:rsid w:val="00F03A57"/>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F03A57"/>
    <w:rPr>
      <w:sz w:val="16"/>
      <w:szCs w:val="16"/>
      <w:lang w:val="pt-PT" w:eastAsia="fr-BE"/>
    </w:rPr>
  </w:style>
  <w:style w:type="character" w:customStyle="1" w:styleId="BodyTextIndent3Char1">
    <w:name w:val="Body Text Indent 3 Char1"/>
    <w:basedOn w:val="DefaultParagraphFont"/>
    <w:rsid w:val="00F03A57"/>
    <w:rPr>
      <w:rFonts w:cs="Times New Roman"/>
      <w:spacing w:val="0"/>
      <w:sz w:val="16"/>
      <w:szCs w:val="16"/>
      <w:lang w:val="pt-PT"/>
    </w:rPr>
  </w:style>
  <w:style w:type="paragraph" w:styleId="Closing">
    <w:name w:val="Closing"/>
    <w:basedOn w:val="Normal"/>
    <w:link w:val="ClosingChar"/>
    <w:uiPriority w:val="99"/>
    <w:rsid w:val="00F03A57"/>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F03A57"/>
    <w:rPr>
      <w:sz w:val="24"/>
      <w:szCs w:val="24"/>
      <w:lang w:val="pt-PT" w:eastAsia="fr-BE"/>
    </w:rPr>
  </w:style>
  <w:style w:type="character" w:customStyle="1" w:styleId="ClosingChar1">
    <w:name w:val="Closing Char1"/>
    <w:basedOn w:val="DefaultParagraphFont"/>
    <w:rsid w:val="00F03A57"/>
    <w:rPr>
      <w:rFonts w:cs="Times New Roman"/>
      <w:spacing w:val="0"/>
      <w:sz w:val="24"/>
      <w:szCs w:val="24"/>
      <w:lang w:val="pt-PT"/>
    </w:rPr>
  </w:style>
  <w:style w:type="character" w:customStyle="1" w:styleId="CommentTextChar1">
    <w:name w:val="Comment Text Char1"/>
    <w:basedOn w:val="DefaultParagraphFont"/>
    <w:rsid w:val="00F03A57"/>
    <w:rPr>
      <w:rFonts w:cs="Times New Roman"/>
      <w:spacing w:val="0"/>
      <w:sz w:val="24"/>
      <w:szCs w:val="24"/>
      <w:lang w:val="pt-PT"/>
    </w:rPr>
  </w:style>
  <w:style w:type="character" w:customStyle="1" w:styleId="CommentSubjectChar1">
    <w:name w:val="Comment Subject Char1"/>
    <w:basedOn w:val="CommentTextChar1"/>
    <w:rsid w:val="00F03A57"/>
    <w:rPr>
      <w:rFonts w:cs="Times New Roman"/>
      <w:b/>
      <w:bCs/>
      <w:spacing w:val="0"/>
      <w:sz w:val="24"/>
      <w:szCs w:val="24"/>
      <w:lang w:val="pt-PT"/>
    </w:rPr>
  </w:style>
  <w:style w:type="character" w:customStyle="1" w:styleId="DocumentMapChar1">
    <w:name w:val="Document Map Char1"/>
    <w:basedOn w:val="DefaultParagraphFont"/>
    <w:rsid w:val="00F03A57"/>
    <w:rPr>
      <w:rFonts w:ascii="Tahoma" w:hAnsi="Tahoma" w:cs="Tahoma"/>
      <w:spacing w:val="0"/>
      <w:sz w:val="24"/>
      <w:szCs w:val="24"/>
      <w:lang w:val="pt-PT"/>
    </w:rPr>
  </w:style>
  <w:style w:type="paragraph" w:styleId="E-mailSignature">
    <w:name w:val="E-mail Signature"/>
    <w:basedOn w:val="Normal"/>
    <w:link w:val="E-mailSignatureChar"/>
    <w:uiPriority w:val="99"/>
    <w:rsid w:val="00F03A57"/>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F03A57"/>
    <w:rPr>
      <w:sz w:val="24"/>
      <w:szCs w:val="24"/>
      <w:lang w:val="pt-PT" w:eastAsia="fr-BE"/>
    </w:rPr>
  </w:style>
  <w:style w:type="character" w:customStyle="1" w:styleId="E-mailSignatureChar1">
    <w:name w:val="E-mail Signature Char1"/>
    <w:basedOn w:val="DefaultParagraphFont"/>
    <w:rsid w:val="00F03A57"/>
    <w:rPr>
      <w:rFonts w:cs="Times New Roman"/>
      <w:spacing w:val="0"/>
      <w:sz w:val="24"/>
      <w:szCs w:val="24"/>
      <w:lang w:val="pt-PT"/>
    </w:rPr>
  </w:style>
  <w:style w:type="character" w:styleId="Emphasis">
    <w:name w:val="Emphasis"/>
    <w:basedOn w:val="DefaultParagraphFont"/>
    <w:uiPriority w:val="20"/>
    <w:qFormat/>
    <w:rsid w:val="00F03A57"/>
    <w:rPr>
      <w:rFonts w:cs="Times New Roman"/>
      <w:i/>
      <w:iCs/>
      <w:spacing w:val="0"/>
    </w:rPr>
  </w:style>
  <w:style w:type="character" w:customStyle="1" w:styleId="EndnoteTextChar1">
    <w:name w:val="Endnote Text Char1"/>
    <w:basedOn w:val="DefaultParagraphFont"/>
    <w:rsid w:val="00F03A57"/>
    <w:rPr>
      <w:rFonts w:cs="Times New Roman"/>
      <w:spacing w:val="0"/>
      <w:sz w:val="24"/>
      <w:szCs w:val="24"/>
      <w:lang w:val="pt-PT"/>
    </w:rPr>
  </w:style>
  <w:style w:type="paragraph" w:styleId="EnvelopeAddress">
    <w:name w:val="envelope address"/>
    <w:basedOn w:val="Normal"/>
    <w:uiPriority w:val="99"/>
    <w:rsid w:val="00F03A57"/>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F03A57"/>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F03A57"/>
    <w:rPr>
      <w:rFonts w:cs="Times New Roman"/>
    </w:rPr>
  </w:style>
  <w:style w:type="paragraph" w:styleId="HTMLAddress">
    <w:name w:val="HTML Address"/>
    <w:basedOn w:val="Normal"/>
    <w:link w:val="HTMLAddressChar"/>
    <w:uiPriority w:val="99"/>
    <w:rsid w:val="00F03A57"/>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F03A57"/>
    <w:rPr>
      <w:i/>
      <w:iCs/>
      <w:sz w:val="24"/>
      <w:szCs w:val="24"/>
      <w:lang w:val="pt-PT" w:eastAsia="fr-BE"/>
    </w:rPr>
  </w:style>
  <w:style w:type="character" w:customStyle="1" w:styleId="HTMLAddressChar1">
    <w:name w:val="HTML Address Char1"/>
    <w:basedOn w:val="DefaultParagraphFont"/>
    <w:rsid w:val="00F03A57"/>
    <w:rPr>
      <w:rFonts w:cs="Times New Roman"/>
      <w:i/>
      <w:iCs/>
      <w:spacing w:val="0"/>
      <w:sz w:val="24"/>
      <w:szCs w:val="24"/>
      <w:lang w:val="pt-PT"/>
    </w:rPr>
  </w:style>
  <w:style w:type="character" w:styleId="HTMLCite">
    <w:name w:val="HTML Cite"/>
    <w:basedOn w:val="DefaultParagraphFont"/>
    <w:uiPriority w:val="99"/>
    <w:rsid w:val="00F03A57"/>
    <w:rPr>
      <w:rFonts w:cs="Times New Roman"/>
      <w:i/>
      <w:iCs/>
      <w:spacing w:val="0"/>
    </w:rPr>
  </w:style>
  <w:style w:type="character" w:styleId="HTMLCode">
    <w:name w:val="HTML Code"/>
    <w:basedOn w:val="DefaultParagraphFont"/>
    <w:uiPriority w:val="99"/>
    <w:rsid w:val="00F03A57"/>
    <w:rPr>
      <w:rFonts w:ascii="Courier New" w:hAnsi="Courier New" w:cs="Courier New"/>
      <w:spacing w:val="0"/>
      <w:sz w:val="20"/>
      <w:szCs w:val="20"/>
    </w:rPr>
  </w:style>
  <w:style w:type="character" w:styleId="HTMLDefinition">
    <w:name w:val="HTML Definition"/>
    <w:basedOn w:val="DefaultParagraphFont"/>
    <w:uiPriority w:val="99"/>
    <w:rsid w:val="00F03A57"/>
    <w:rPr>
      <w:rFonts w:cs="Times New Roman"/>
      <w:i/>
      <w:iCs/>
      <w:spacing w:val="0"/>
    </w:rPr>
  </w:style>
  <w:style w:type="character" w:styleId="HTMLKeyboard">
    <w:name w:val="HTML Keyboard"/>
    <w:basedOn w:val="DefaultParagraphFont"/>
    <w:uiPriority w:val="99"/>
    <w:rsid w:val="00F03A57"/>
    <w:rPr>
      <w:rFonts w:ascii="Courier New" w:hAnsi="Courier New" w:cs="Courier New"/>
      <w:spacing w:val="0"/>
      <w:sz w:val="20"/>
      <w:szCs w:val="20"/>
    </w:rPr>
  </w:style>
  <w:style w:type="paragraph" w:styleId="HTMLPreformatted">
    <w:name w:val="HTML Preformatted"/>
    <w:basedOn w:val="Normal"/>
    <w:link w:val="HTMLPreformattedChar"/>
    <w:uiPriority w:val="99"/>
    <w:rsid w:val="00F03A57"/>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F03A57"/>
    <w:rPr>
      <w:rFonts w:ascii="Courier New" w:hAnsi="Courier New" w:cs="Courier New"/>
      <w:sz w:val="24"/>
      <w:szCs w:val="24"/>
      <w:lang w:val="pt-PT" w:eastAsia="fr-BE"/>
    </w:rPr>
  </w:style>
  <w:style w:type="character" w:customStyle="1" w:styleId="HTMLPreformattedChar1">
    <w:name w:val="HTML Preformatted Char1"/>
    <w:basedOn w:val="DefaultParagraphFont"/>
    <w:rsid w:val="00F03A57"/>
    <w:rPr>
      <w:rFonts w:ascii="Courier New" w:hAnsi="Courier New" w:cs="Courier New"/>
      <w:spacing w:val="0"/>
      <w:sz w:val="24"/>
      <w:szCs w:val="24"/>
      <w:lang w:val="pt-PT"/>
    </w:rPr>
  </w:style>
  <w:style w:type="character" w:styleId="HTMLSample">
    <w:name w:val="HTML Sample"/>
    <w:basedOn w:val="DefaultParagraphFont"/>
    <w:uiPriority w:val="99"/>
    <w:rsid w:val="00F03A57"/>
    <w:rPr>
      <w:rFonts w:ascii="Courier New" w:hAnsi="Courier New" w:cs="Courier New"/>
      <w:spacing w:val="0"/>
    </w:rPr>
  </w:style>
  <w:style w:type="character" w:styleId="HTMLTypewriter">
    <w:name w:val="HTML Typewriter"/>
    <w:basedOn w:val="DefaultParagraphFont"/>
    <w:uiPriority w:val="99"/>
    <w:rsid w:val="00F03A57"/>
    <w:rPr>
      <w:rFonts w:ascii="Courier New" w:hAnsi="Courier New" w:cs="Courier New"/>
      <w:spacing w:val="0"/>
      <w:sz w:val="20"/>
      <w:szCs w:val="20"/>
    </w:rPr>
  </w:style>
  <w:style w:type="character" w:styleId="HTMLVariable">
    <w:name w:val="HTML Variable"/>
    <w:basedOn w:val="DefaultParagraphFont"/>
    <w:uiPriority w:val="99"/>
    <w:rsid w:val="00F03A57"/>
    <w:rPr>
      <w:rFonts w:cs="Times New Roman"/>
      <w:i/>
      <w:iCs/>
      <w:spacing w:val="0"/>
    </w:rPr>
  </w:style>
  <w:style w:type="character" w:styleId="LineNumber">
    <w:name w:val="line number"/>
    <w:basedOn w:val="DefaultParagraphFont"/>
    <w:uiPriority w:val="99"/>
    <w:rsid w:val="00F03A57"/>
    <w:rPr>
      <w:rFonts w:cs="Times New Roman"/>
    </w:rPr>
  </w:style>
  <w:style w:type="paragraph" w:styleId="List">
    <w:name w:val="List"/>
    <w:basedOn w:val="Normal"/>
    <w:uiPriority w:val="99"/>
    <w:rsid w:val="00F03A57"/>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F03A57"/>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F03A57"/>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F03A57"/>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F03A57"/>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F03A57"/>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F03A57"/>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F03A57"/>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F03A57"/>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F03A57"/>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F03A57"/>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F03A57"/>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F03A57"/>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F03A57"/>
    <w:rPr>
      <w:rFonts w:ascii="Courier New" w:hAnsi="Courier New" w:cs="Courier New"/>
      <w:sz w:val="24"/>
      <w:szCs w:val="24"/>
      <w:lang w:val="en-US" w:eastAsia="fr-BE"/>
    </w:rPr>
  </w:style>
  <w:style w:type="character" w:customStyle="1" w:styleId="MacroTextChar1">
    <w:name w:val="Macro Text Char1"/>
    <w:basedOn w:val="DefaultParagraphFont"/>
    <w:rsid w:val="00F03A57"/>
    <w:rPr>
      <w:rFonts w:ascii="Courier New" w:hAnsi="Courier New" w:cs="Courier New"/>
      <w:spacing w:val="0"/>
      <w:sz w:val="24"/>
      <w:szCs w:val="24"/>
      <w:lang w:val="pt-PT"/>
    </w:rPr>
  </w:style>
  <w:style w:type="paragraph" w:styleId="MessageHeader">
    <w:name w:val="Message Header"/>
    <w:basedOn w:val="Normal"/>
    <w:link w:val="MessageHeaderChar"/>
    <w:uiPriority w:val="99"/>
    <w:rsid w:val="00F03A57"/>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F03A57"/>
    <w:rPr>
      <w:rFonts w:ascii="Arial" w:hAnsi="Arial" w:cs="Arial"/>
      <w:sz w:val="24"/>
      <w:szCs w:val="24"/>
      <w:lang w:val="pt-PT" w:eastAsia="fr-BE"/>
    </w:rPr>
  </w:style>
  <w:style w:type="character" w:customStyle="1" w:styleId="MessageHeaderChar1">
    <w:name w:val="Message Header Char1"/>
    <w:basedOn w:val="DefaultParagraphFont"/>
    <w:rsid w:val="00F03A57"/>
    <w:rPr>
      <w:rFonts w:ascii="Arial" w:hAnsi="Arial" w:cs="Arial"/>
      <w:spacing w:val="0"/>
      <w:sz w:val="24"/>
      <w:szCs w:val="24"/>
      <w:shd w:val="pct20" w:color="auto" w:fill="auto"/>
      <w:lang w:val="pt-PT"/>
    </w:rPr>
  </w:style>
  <w:style w:type="paragraph" w:styleId="NormalWeb">
    <w:name w:val="Normal (Web)"/>
    <w:basedOn w:val="Normal"/>
    <w:uiPriority w:val="99"/>
    <w:rsid w:val="00F03A57"/>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rsid w:val="00F03A57"/>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F03A57"/>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F03A57"/>
    <w:rPr>
      <w:rFonts w:ascii="Courier New" w:hAnsi="Courier New" w:cs="Courier New"/>
      <w:sz w:val="24"/>
      <w:szCs w:val="24"/>
      <w:lang w:val="pt-PT" w:eastAsia="fr-BE"/>
    </w:rPr>
  </w:style>
  <w:style w:type="character" w:customStyle="1" w:styleId="PlainTextChar1">
    <w:name w:val="Plain Text Char1"/>
    <w:basedOn w:val="DefaultParagraphFont"/>
    <w:rsid w:val="00F03A57"/>
    <w:rPr>
      <w:rFonts w:ascii="Courier New" w:hAnsi="Courier New" w:cs="Courier New"/>
      <w:spacing w:val="0"/>
      <w:sz w:val="24"/>
      <w:szCs w:val="24"/>
      <w:lang w:val="pt-PT"/>
    </w:rPr>
  </w:style>
  <w:style w:type="paragraph" w:styleId="Signature">
    <w:name w:val="Signature"/>
    <w:basedOn w:val="Normal"/>
    <w:link w:val="SignatureChar"/>
    <w:uiPriority w:val="99"/>
    <w:rsid w:val="00F03A57"/>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F03A57"/>
    <w:rPr>
      <w:sz w:val="24"/>
      <w:szCs w:val="24"/>
      <w:lang w:val="pt-PT" w:eastAsia="fr-BE"/>
    </w:rPr>
  </w:style>
  <w:style w:type="character" w:customStyle="1" w:styleId="SignatureChar1">
    <w:name w:val="Signature Char1"/>
    <w:basedOn w:val="DefaultParagraphFont"/>
    <w:rsid w:val="00F03A57"/>
    <w:rPr>
      <w:rFonts w:cs="Times New Roman"/>
      <w:spacing w:val="0"/>
      <w:sz w:val="24"/>
      <w:szCs w:val="24"/>
      <w:lang w:val="pt-PT"/>
    </w:rPr>
  </w:style>
  <w:style w:type="character" w:styleId="Strong">
    <w:name w:val="Strong"/>
    <w:basedOn w:val="DefaultParagraphFont"/>
    <w:uiPriority w:val="22"/>
    <w:qFormat/>
    <w:rsid w:val="00F03A57"/>
    <w:rPr>
      <w:rFonts w:cs="Times New Roman"/>
      <w:b/>
      <w:bCs/>
      <w:spacing w:val="0"/>
    </w:rPr>
  </w:style>
  <w:style w:type="paragraph" w:styleId="Subtitle">
    <w:name w:val="Subtitle"/>
    <w:basedOn w:val="Normal"/>
    <w:link w:val="SubtitleChar"/>
    <w:uiPriority w:val="11"/>
    <w:qFormat/>
    <w:rsid w:val="00F03A57"/>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F03A57"/>
    <w:rPr>
      <w:rFonts w:ascii="Arial" w:hAnsi="Arial" w:cs="Arial"/>
      <w:sz w:val="24"/>
      <w:szCs w:val="24"/>
      <w:lang w:val="pt-PT" w:eastAsia="fr-BE"/>
    </w:rPr>
  </w:style>
  <w:style w:type="character" w:customStyle="1" w:styleId="SubtitleChar1">
    <w:name w:val="Subtitle Char1"/>
    <w:basedOn w:val="DefaultParagraphFont"/>
    <w:rsid w:val="00F03A57"/>
    <w:rPr>
      <w:rFonts w:ascii="Arial" w:hAnsi="Arial" w:cs="Arial"/>
      <w:spacing w:val="0"/>
      <w:sz w:val="24"/>
      <w:szCs w:val="24"/>
      <w:lang w:val="pt-PT"/>
    </w:rPr>
  </w:style>
  <w:style w:type="paragraph" w:styleId="Title">
    <w:name w:val="Title"/>
    <w:basedOn w:val="Normal"/>
    <w:link w:val="TitleChar"/>
    <w:uiPriority w:val="10"/>
    <w:qFormat/>
    <w:rsid w:val="00F03A57"/>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F03A57"/>
    <w:rPr>
      <w:rFonts w:ascii="Arial" w:hAnsi="Arial" w:cs="Arial"/>
      <w:b/>
      <w:bCs/>
      <w:kern w:val="28"/>
      <w:sz w:val="32"/>
      <w:szCs w:val="32"/>
      <w:lang w:val="pt-PT" w:eastAsia="fr-BE"/>
    </w:rPr>
  </w:style>
  <w:style w:type="character" w:customStyle="1" w:styleId="TitleChar1">
    <w:name w:val="Title Char1"/>
    <w:basedOn w:val="DefaultParagraphFont"/>
    <w:rsid w:val="00F03A57"/>
    <w:rPr>
      <w:rFonts w:ascii="Arial" w:hAnsi="Arial" w:cs="Arial"/>
      <w:b/>
      <w:bCs/>
      <w:spacing w:val="0"/>
      <w:kern w:val="28"/>
      <w:sz w:val="32"/>
      <w:szCs w:val="32"/>
      <w:lang w:val="pt-PT"/>
    </w:rPr>
  </w:style>
  <w:style w:type="paragraph" w:styleId="Index1">
    <w:name w:val="index 1"/>
    <w:basedOn w:val="Normal"/>
    <w:next w:val="Normal"/>
    <w:autoRedefine/>
    <w:uiPriority w:val="99"/>
    <w:rsid w:val="00F03A57"/>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F03A57"/>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F03A57"/>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F03A57"/>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F03A57"/>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F03A57"/>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F03A57"/>
    <w:pPr>
      <w:spacing w:before="0" w:after="0"/>
    </w:pPr>
  </w:style>
  <w:style w:type="paragraph" w:customStyle="1" w:styleId="Considerant">
    <w:name w:val="Considerant"/>
    <w:basedOn w:val="Considrant"/>
    <w:rsid w:val="00F03A57"/>
    <w:pPr>
      <w:tabs>
        <w:tab w:val="num" w:pos="709"/>
      </w:tabs>
      <w:autoSpaceDE w:val="0"/>
      <w:autoSpaceDN w:val="0"/>
      <w:adjustRightInd w:val="0"/>
      <w:spacing w:before="0" w:after="0"/>
      <w:ind w:left="709" w:hanging="709"/>
    </w:pPr>
    <w:rPr>
      <w:lang w:val="pt-PT" w:eastAsia="fr-BE"/>
    </w:rPr>
  </w:style>
  <w:style w:type="paragraph" w:customStyle="1" w:styleId="Lginef">
    <w:name w:val="Lgine f"/>
    <w:basedOn w:val="Normal"/>
    <w:rsid w:val="00F03A57"/>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F03A57"/>
    <w:pPr>
      <w:autoSpaceDE w:val="0"/>
      <w:autoSpaceDN w:val="0"/>
      <w:adjustRightInd w:val="0"/>
    </w:pPr>
    <w:rPr>
      <w:b/>
      <w:bCs/>
      <w:noProof w:val="0"/>
      <w:szCs w:val="24"/>
      <w:lang w:eastAsia="fr-BE"/>
    </w:rPr>
  </w:style>
  <w:style w:type="paragraph" w:customStyle="1" w:styleId="Normal12Hanging">
    <w:name w:val="Normal12Hanging"/>
    <w:basedOn w:val="Normal12"/>
    <w:rsid w:val="00F03A57"/>
    <w:pPr>
      <w:autoSpaceDE w:val="0"/>
      <w:autoSpaceDN w:val="0"/>
      <w:adjustRightInd w:val="0"/>
      <w:ind w:left="357" w:hanging="357"/>
    </w:pPr>
    <w:rPr>
      <w:noProof w:val="0"/>
      <w:szCs w:val="24"/>
      <w:lang w:eastAsia="fr-BE"/>
    </w:rPr>
  </w:style>
  <w:style w:type="character" w:customStyle="1" w:styleId="italic1">
    <w:name w:val="italic1"/>
    <w:basedOn w:val="DefaultParagraphFont"/>
    <w:rsid w:val="00F03A57"/>
    <w:rPr>
      <w:rFonts w:cs="Times New Roman"/>
      <w:i/>
      <w:iCs/>
      <w:spacing w:val="0"/>
      <w:shd w:val="clear" w:color="auto" w:fill="auto"/>
    </w:rPr>
  </w:style>
  <w:style w:type="paragraph" w:customStyle="1" w:styleId="CM4">
    <w:name w:val="CM4"/>
    <w:basedOn w:val="Default"/>
    <w:next w:val="Default"/>
    <w:uiPriority w:val="99"/>
    <w:rsid w:val="00F03A57"/>
    <w:rPr>
      <w:rFonts w:ascii="EUAlbertina" w:eastAsia="Times New Roman" w:hAnsi="EUAlbertina" w:cs="EUAlbertina"/>
      <w:color w:val="auto"/>
      <w:lang w:eastAsia="fr-BE"/>
    </w:rPr>
  </w:style>
  <w:style w:type="paragraph" w:customStyle="1" w:styleId="NormalConseil">
    <w:name w:val="NormalConseil"/>
    <w:basedOn w:val="Normal"/>
    <w:rsid w:val="00F03A57"/>
    <w:pPr>
      <w:widowControl/>
      <w:autoSpaceDE w:val="0"/>
      <w:autoSpaceDN w:val="0"/>
      <w:adjustRightInd w:val="0"/>
    </w:pPr>
    <w:rPr>
      <w:szCs w:val="24"/>
      <w:lang w:eastAsia="fr-BE"/>
    </w:rPr>
  </w:style>
  <w:style w:type="paragraph" w:customStyle="1" w:styleId="FooterConseil">
    <w:name w:val="FooterConseil"/>
    <w:basedOn w:val="NormalConseil"/>
    <w:rsid w:val="00F03A57"/>
    <w:pPr>
      <w:tabs>
        <w:tab w:val="center" w:pos="4820"/>
        <w:tab w:val="center" w:pos="7371"/>
        <w:tab w:val="right" w:pos="9639"/>
      </w:tabs>
    </w:pPr>
  </w:style>
  <w:style w:type="character" w:customStyle="1" w:styleId="st1">
    <w:name w:val="st1"/>
    <w:rsid w:val="00F03A57"/>
    <w:rPr>
      <w:spacing w:val="0"/>
      <w:sz w:val="24"/>
      <w:lang w:val="pt-PT"/>
    </w:rPr>
  </w:style>
  <w:style w:type="character" w:customStyle="1" w:styleId="Point0Char">
    <w:name w:val="Point 0 Char"/>
    <w:rsid w:val="00F03A57"/>
    <w:rPr>
      <w:spacing w:val="0"/>
      <w:sz w:val="24"/>
      <w:lang w:val="pt-PT"/>
    </w:rPr>
  </w:style>
  <w:style w:type="paragraph" w:customStyle="1" w:styleId="DeltaViewTableHeading">
    <w:name w:val="DeltaView Table Heading"/>
    <w:basedOn w:val="Normal"/>
    <w:rsid w:val="00F03A57"/>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F03A57"/>
    <w:pPr>
      <w:widowControl/>
      <w:autoSpaceDE w:val="0"/>
      <w:autoSpaceDN w:val="0"/>
      <w:adjustRightInd w:val="0"/>
    </w:pPr>
    <w:rPr>
      <w:rFonts w:ascii="Arial" w:hAnsi="Arial" w:cs="Arial"/>
      <w:szCs w:val="24"/>
      <w:lang w:eastAsia="fr-BE"/>
    </w:rPr>
  </w:style>
  <w:style w:type="paragraph" w:customStyle="1" w:styleId="DeltaViewAnnounce">
    <w:name w:val="DeltaView Announce"/>
    <w:rsid w:val="00F03A57"/>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F03A57"/>
    <w:rPr>
      <w:b/>
      <w:i/>
      <w:spacing w:val="0"/>
    </w:rPr>
  </w:style>
  <w:style w:type="character" w:customStyle="1" w:styleId="DeltaViewDeletion">
    <w:name w:val="DeltaView Deletion"/>
    <w:rsid w:val="00F03A57"/>
    <w:rPr>
      <w:strike/>
      <w:spacing w:val="0"/>
    </w:rPr>
  </w:style>
  <w:style w:type="character" w:customStyle="1" w:styleId="DeltaViewMoveSource">
    <w:name w:val="DeltaView Move Source"/>
    <w:rsid w:val="00F03A57"/>
    <w:rPr>
      <w:strike/>
      <w:spacing w:val="0"/>
    </w:rPr>
  </w:style>
  <w:style w:type="character" w:customStyle="1" w:styleId="DeltaViewMoveDestination">
    <w:name w:val="DeltaView Move Destination"/>
    <w:rsid w:val="00F03A57"/>
    <w:rPr>
      <w:spacing w:val="0"/>
      <w:u w:val="double"/>
    </w:rPr>
  </w:style>
  <w:style w:type="character" w:customStyle="1" w:styleId="DeltaViewChangeNumber">
    <w:name w:val="DeltaView Change Number"/>
    <w:rsid w:val="00F03A57"/>
    <w:rPr>
      <w:color w:val="000000"/>
      <w:spacing w:val="0"/>
      <w:vertAlign w:val="superscript"/>
    </w:rPr>
  </w:style>
  <w:style w:type="character" w:customStyle="1" w:styleId="DeltaViewDelimiter">
    <w:name w:val="DeltaView Delimiter"/>
    <w:rsid w:val="00F03A57"/>
    <w:rPr>
      <w:spacing w:val="0"/>
    </w:rPr>
  </w:style>
  <w:style w:type="character" w:customStyle="1" w:styleId="DeltaViewFormatChange">
    <w:name w:val="DeltaView Format Change"/>
    <w:rsid w:val="00F03A57"/>
    <w:rPr>
      <w:color w:val="000000"/>
      <w:spacing w:val="0"/>
    </w:rPr>
  </w:style>
  <w:style w:type="character" w:customStyle="1" w:styleId="DeltaViewMovedDeletion">
    <w:name w:val="DeltaView Moved Deletion"/>
    <w:rsid w:val="00F03A57"/>
    <w:rPr>
      <w:strike/>
      <w:color w:val="C08080"/>
      <w:spacing w:val="0"/>
    </w:rPr>
  </w:style>
  <w:style w:type="character" w:customStyle="1" w:styleId="DeltaViewEditorComment">
    <w:name w:val="DeltaView Editor Comment"/>
    <w:basedOn w:val="DefaultParagraphFont"/>
    <w:rsid w:val="00F03A57"/>
    <w:rPr>
      <w:rFonts w:cs="Times New Roman"/>
      <w:color w:val="0000FF"/>
      <w:spacing w:val="0"/>
      <w:u w:val="double"/>
    </w:rPr>
  </w:style>
  <w:style w:type="character" w:customStyle="1" w:styleId="DeltaViewStyleChangeText">
    <w:name w:val="DeltaView Style Change Text"/>
    <w:rsid w:val="00F03A57"/>
    <w:rPr>
      <w:color w:val="000000"/>
      <w:spacing w:val="0"/>
      <w:u w:val="double"/>
    </w:rPr>
  </w:style>
  <w:style w:type="character" w:customStyle="1" w:styleId="DeltaViewStyleChangeLabel">
    <w:name w:val="DeltaView Style Change Label"/>
    <w:rsid w:val="00F03A57"/>
    <w:rPr>
      <w:color w:val="000000"/>
      <w:spacing w:val="0"/>
    </w:rPr>
  </w:style>
  <w:style w:type="character" w:customStyle="1" w:styleId="UnresolvedMention1">
    <w:name w:val="Unresolved Mention1"/>
    <w:basedOn w:val="DefaultParagraphFont"/>
    <w:uiPriority w:val="99"/>
    <w:semiHidden/>
    <w:unhideWhenUsed/>
    <w:rsid w:val="00F03A57"/>
    <w:rPr>
      <w:color w:val="605E5C"/>
      <w:shd w:val="clear" w:color="auto" w:fill="E1DFDD"/>
    </w:rPr>
  </w:style>
  <w:style w:type="character" w:customStyle="1" w:styleId="UnresolvedMention2">
    <w:name w:val="Unresolved Mention2"/>
    <w:basedOn w:val="DefaultParagraphFont"/>
    <w:uiPriority w:val="99"/>
    <w:semiHidden/>
    <w:unhideWhenUsed/>
    <w:rsid w:val="00F03A57"/>
    <w:rPr>
      <w:color w:val="605E5C"/>
      <w:shd w:val="clear" w:color="auto" w:fill="E1DFDD"/>
    </w:rPr>
  </w:style>
  <w:style w:type="paragraph" w:customStyle="1" w:styleId="ThetitleofAnnexIPoint0number">
    <w:name w:val="The title of Annex I Point 0 (number)"/>
    <w:basedOn w:val="Point0number"/>
    <w:rsid w:val="00F03A57"/>
    <w:pPr>
      <w:numPr>
        <w:numId w:val="1"/>
      </w:numPr>
    </w:pPr>
  </w:style>
  <w:style w:type="paragraph" w:customStyle="1" w:styleId="Part1isreplacedwiththefollowignPoint0number">
    <w:name w:val="Part 1 is replaced with the followign: Point 0 (number)"/>
    <w:basedOn w:val="Point0number"/>
    <w:rsid w:val="00F03A57"/>
    <w:pPr>
      <w:numPr>
        <w:numId w:val="0"/>
      </w:numPr>
      <w:tabs>
        <w:tab w:val="num" w:pos="1492"/>
      </w:tabs>
      <w:ind w:left="1492" w:hanging="360"/>
    </w:pPr>
  </w:style>
  <w:style w:type="paragraph" w:customStyle="1" w:styleId="PartPoint0number">
    <w:name w:val="PartPoint 0 (number)"/>
    <w:basedOn w:val="Point0number"/>
    <w:rsid w:val="00F03A57"/>
    <w:pPr>
      <w:numPr>
        <w:numId w:val="0"/>
      </w:numPr>
      <w:tabs>
        <w:tab w:val="num" w:pos="1492"/>
      </w:tabs>
      <w:ind w:left="1492" w:hanging="360"/>
    </w:pPr>
  </w:style>
  <w:style w:type="paragraph" w:customStyle="1" w:styleId="AnewPoint0number">
    <w:name w:val="A new Point 0 (number)"/>
    <w:basedOn w:val="Point0number"/>
    <w:rsid w:val="00F03A57"/>
    <w:pPr>
      <w:numPr>
        <w:numId w:val="0"/>
      </w:numPr>
      <w:tabs>
        <w:tab w:val="num" w:pos="1492"/>
      </w:tabs>
      <w:ind w:left="1492" w:hanging="360"/>
    </w:pPr>
    <w:rPr>
      <w:lang w:eastAsia="en-GB"/>
    </w:rPr>
  </w:style>
  <w:style w:type="paragraph" w:customStyle="1" w:styleId="LegalNumPar">
    <w:name w:val="LegalNumPar"/>
    <w:basedOn w:val="Normal"/>
    <w:rsid w:val="00F03A57"/>
    <w:pPr>
      <w:widowControl/>
      <w:numPr>
        <w:numId w:val="16"/>
      </w:numPr>
      <w:tabs>
        <w:tab w:val="num" w:pos="926"/>
      </w:tabs>
      <w:spacing w:before="120" w:after="120" w:line="360" w:lineRule="auto"/>
      <w:ind w:left="926" w:hanging="360"/>
      <w:jc w:val="both"/>
    </w:pPr>
    <w:rPr>
      <w:rFonts w:eastAsia="Calibri"/>
      <w:szCs w:val="22"/>
      <w:lang w:eastAsia="en-US"/>
    </w:rPr>
  </w:style>
  <w:style w:type="paragraph" w:customStyle="1" w:styleId="LegalNumPar2">
    <w:name w:val="LegalNumPar2"/>
    <w:basedOn w:val="Normal"/>
    <w:rsid w:val="00F03A57"/>
    <w:pPr>
      <w:widowControl/>
      <w:numPr>
        <w:ilvl w:val="1"/>
        <w:numId w:val="16"/>
      </w:numPr>
      <w:tabs>
        <w:tab w:val="num" w:pos="926"/>
      </w:tabs>
      <w:spacing w:before="120" w:after="120" w:line="360" w:lineRule="auto"/>
      <w:ind w:left="926" w:hanging="360"/>
      <w:jc w:val="both"/>
    </w:pPr>
    <w:rPr>
      <w:rFonts w:eastAsia="Calibri"/>
      <w:szCs w:val="22"/>
      <w:lang w:eastAsia="en-US"/>
    </w:rPr>
  </w:style>
  <w:style w:type="paragraph" w:customStyle="1" w:styleId="LegalNumPar3">
    <w:name w:val="LegalNumPar3"/>
    <w:basedOn w:val="Normal"/>
    <w:rsid w:val="00F03A57"/>
    <w:pPr>
      <w:widowControl/>
      <w:numPr>
        <w:ilvl w:val="2"/>
        <w:numId w:val="16"/>
      </w:numPr>
      <w:tabs>
        <w:tab w:val="num" w:pos="926"/>
      </w:tabs>
      <w:spacing w:before="120" w:after="120"/>
      <w:ind w:left="926"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F03A57"/>
    <w:rPr>
      <w:color w:val="605E5C"/>
      <w:shd w:val="clear" w:color="auto" w:fill="E1DFDD"/>
    </w:rPr>
  </w:style>
  <w:style w:type="paragraph" w:customStyle="1" w:styleId="title-gr-seq-level-1">
    <w:name w:val="title-gr-seq-level-1"/>
    <w:basedOn w:val="Normal"/>
    <w:rsid w:val="00F03A57"/>
    <w:pPr>
      <w:widowControl/>
      <w:spacing w:before="100" w:beforeAutospacing="1" w:after="100" w:afterAutospacing="1"/>
    </w:pPr>
    <w:rPr>
      <w:szCs w:val="24"/>
      <w:lang w:eastAsia="en-US"/>
    </w:rPr>
  </w:style>
  <w:style w:type="character" w:customStyle="1" w:styleId="boldface">
    <w:name w:val="boldface"/>
    <w:basedOn w:val="DefaultParagraphFont"/>
    <w:rsid w:val="00F03A57"/>
  </w:style>
  <w:style w:type="paragraph" w:customStyle="1" w:styleId="title-gr-seq-level-4">
    <w:name w:val="title-gr-seq-level-4"/>
    <w:basedOn w:val="Normal"/>
    <w:rsid w:val="00F03A57"/>
    <w:pPr>
      <w:widowControl/>
      <w:spacing w:before="100" w:beforeAutospacing="1" w:after="100" w:afterAutospacing="1"/>
    </w:pPr>
    <w:rPr>
      <w:szCs w:val="24"/>
      <w:lang w:eastAsia="en-US"/>
    </w:rPr>
  </w:style>
  <w:style w:type="paragraph" w:customStyle="1" w:styleId="norm">
    <w:name w:val="norm"/>
    <w:basedOn w:val="Normal"/>
    <w:rsid w:val="00F03A57"/>
    <w:pPr>
      <w:widowControl/>
      <w:spacing w:before="100" w:beforeAutospacing="1" w:after="100" w:afterAutospacing="1"/>
    </w:pPr>
    <w:rPr>
      <w:szCs w:val="24"/>
      <w:lang w:eastAsia="en-US"/>
    </w:rPr>
  </w:style>
  <w:style w:type="paragraph" w:customStyle="1" w:styleId="title-table">
    <w:name w:val="title-table"/>
    <w:basedOn w:val="Normal"/>
    <w:rsid w:val="00F03A57"/>
    <w:pPr>
      <w:widowControl/>
      <w:spacing w:before="100" w:beforeAutospacing="1" w:after="100" w:afterAutospacing="1"/>
    </w:pPr>
    <w:rPr>
      <w:szCs w:val="24"/>
      <w:lang w:eastAsia="en-US"/>
    </w:rPr>
  </w:style>
  <w:style w:type="character" w:customStyle="1" w:styleId="superscript">
    <w:name w:val="superscript"/>
    <w:basedOn w:val="DefaultParagraphFont"/>
    <w:rsid w:val="00F03A57"/>
  </w:style>
  <w:style w:type="paragraph" w:customStyle="1" w:styleId="tbl-norm">
    <w:name w:val="tbl-norm"/>
    <w:basedOn w:val="Normal"/>
    <w:rsid w:val="00F03A57"/>
    <w:pPr>
      <w:widowControl/>
      <w:spacing w:before="100" w:beforeAutospacing="1" w:after="100" w:afterAutospacing="1"/>
    </w:pPr>
    <w:rPr>
      <w:szCs w:val="24"/>
      <w:lang w:eastAsia="en-US"/>
    </w:rPr>
  </w:style>
  <w:style w:type="paragraph" w:customStyle="1" w:styleId="item-none">
    <w:name w:val="item-none"/>
    <w:basedOn w:val="Normal"/>
    <w:rsid w:val="00F03A57"/>
    <w:pPr>
      <w:widowControl/>
      <w:spacing w:before="100" w:beforeAutospacing="1" w:after="100" w:afterAutospacing="1"/>
    </w:pPr>
    <w:rPr>
      <w:szCs w:val="24"/>
      <w:lang w:eastAsia="en-US"/>
    </w:rPr>
  </w:style>
  <w:style w:type="paragraph" w:styleId="TOC4">
    <w:name w:val="toc 4"/>
    <w:basedOn w:val="Normal"/>
    <w:next w:val="Normal"/>
    <w:uiPriority w:val="39"/>
    <w:unhideWhenUsed/>
    <w:rsid w:val="00F03A5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F03A5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F03A5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F03A5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F03A5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F03A57"/>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F03A5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F03A5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F03A5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F03A57"/>
    <w:pPr>
      <w:widowControl/>
      <w:spacing w:after="120"/>
      <w:jc w:val="right"/>
    </w:pPr>
    <w:rPr>
      <w:rFonts w:eastAsia="Calibri"/>
      <w:sz w:val="28"/>
      <w:szCs w:val="22"/>
      <w:lang w:eastAsia="en-US"/>
    </w:rPr>
  </w:style>
  <w:style w:type="paragraph" w:customStyle="1" w:styleId="FooterSensitivity">
    <w:name w:val="Footer Sensitivity"/>
    <w:basedOn w:val="Normal"/>
    <w:rsid w:val="00F03A5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F03A57"/>
    <w:pPr>
      <w:widowControl/>
      <w:spacing w:before="120" w:after="120"/>
      <w:ind w:left="850"/>
      <w:jc w:val="both"/>
    </w:pPr>
    <w:rPr>
      <w:rFonts w:eastAsia="Calibri"/>
      <w:szCs w:val="22"/>
      <w:lang w:eastAsia="en-US"/>
    </w:rPr>
  </w:style>
  <w:style w:type="paragraph" w:customStyle="1" w:styleId="Text2">
    <w:name w:val="Text 2"/>
    <w:basedOn w:val="Normal"/>
    <w:rsid w:val="00F03A57"/>
    <w:pPr>
      <w:widowControl/>
      <w:spacing w:before="120" w:after="120"/>
      <w:ind w:left="1417"/>
      <w:jc w:val="both"/>
    </w:pPr>
    <w:rPr>
      <w:rFonts w:eastAsia="Calibri"/>
      <w:szCs w:val="22"/>
      <w:lang w:eastAsia="en-US"/>
    </w:rPr>
  </w:style>
  <w:style w:type="paragraph" w:customStyle="1" w:styleId="Text3">
    <w:name w:val="Text 3"/>
    <w:basedOn w:val="Normal"/>
    <w:rsid w:val="00F03A57"/>
    <w:pPr>
      <w:widowControl/>
      <w:spacing w:before="120" w:after="120"/>
      <w:ind w:left="1984"/>
      <w:jc w:val="both"/>
    </w:pPr>
    <w:rPr>
      <w:rFonts w:eastAsia="Calibri"/>
      <w:szCs w:val="22"/>
      <w:lang w:eastAsia="en-US"/>
    </w:rPr>
  </w:style>
  <w:style w:type="paragraph" w:customStyle="1" w:styleId="Text4">
    <w:name w:val="Text 4"/>
    <w:basedOn w:val="Normal"/>
    <w:rsid w:val="00F03A57"/>
    <w:pPr>
      <w:widowControl/>
      <w:spacing w:before="120" w:after="120"/>
      <w:ind w:left="2551"/>
      <w:jc w:val="both"/>
    </w:pPr>
    <w:rPr>
      <w:rFonts w:eastAsia="Calibri"/>
      <w:szCs w:val="22"/>
      <w:lang w:eastAsia="en-US"/>
    </w:rPr>
  </w:style>
  <w:style w:type="paragraph" w:customStyle="1" w:styleId="Text5">
    <w:name w:val="Text 5"/>
    <w:basedOn w:val="Normal"/>
    <w:rsid w:val="00F03A57"/>
    <w:pPr>
      <w:widowControl/>
      <w:spacing w:before="120" w:after="120"/>
      <w:ind w:left="3118"/>
      <w:jc w:val="both"/>
    </w:pPr>
    <w:rPr>
      <w:rFonts w:eastAsia="Calibri"/>
      <w:szCs w:val="22"/>
      <w:lang w:eastAsia="en-US"/>
    </w:rPr>
  </w:style>
  <w:style w:type="paragraph" w:customStyle="1" w:styleId="Text6">
    <w:name w:val="Text 6"/>
    <w:basedOn w:val="Normal"/>
    <w:rsid w:val="00F03A57"/>
    <w:pPr>
      <w:widowControl/>
      <w:spacing w:before="120" w:after="120"/>
      <w:ind w:left="3685"/>
      <w:jc w:val="both"/>
    </w:pPr>
    <w:rPr>
      <w:rFonts w:eastAsia="Calibri"/>
      <w:szCs w:val="22"/>
      <w:lang w:eastAsia="en-US"/>
    </w:rPr>
  </w:style>
  <w:style w:type="paragraph" w:customStyle="1" w:styleId="NormalCentered">
    <w:name w:val="Normal Centered"/>
    <w:basedOn w:val="Normal"/>
    <w:rsid w:val="00F03A57"/>
    <w:pPr>
      <w:widowControl/>
      <w:spacing w:before="120" w:after="120"/>
      <w:jc w:val="center"/>
    </w:pPr>
    <w:rPr>
      <w:rFonts w:eastAsia="Calibri"/>
      <w:szCs w:val="22"/>
      <w:lang w:eastAsia="en-US"/>
    </w:rPr>
  </w:style>
  <w:style w:type="paragraph" w:customStyle="1" w:styleId="NormalLeft">
    <w:name w:val="Normal Left"/>
    <w:basedOn w:val="Normal"/>
    <w:rsid w:val="00F03A57"/>
    <w:pPr>
      <w:widowControl/>
      <w:spacing w:before="120" w:after="120"/>
    </w:pPr>
    <w:rPr>
      <w:rFonts w:eastAsia="Calibri"/>
      <w:szCs w:val="22"/>
      <w:lang w:eastAsia="en-US"/>
    </w:rPr>
  </w:style>
  <w:style w:type="paragraph" w:customStyle="1" w:styleId="NormalRight">
    <w:name w:val="Normal Right"/>
    <w:basedOn w:val="Normal"/>
    <w:rsid w:val="00F03A57"/>
    <w:pPr>
      <w:widowControl/>
      <w:spacing w:before="120" w:after="120"/>
      <w:jc w:val="right"/>
    </w:pPr>
    <w:rPr>
      <w:rFonts w:eastAsia="Calibri"/>
      <w:szCs w:val="22"/>
      <w:lang w:eastAsia="en-US"/>
    </w:rPr>
  </w:style>
  <w:style w:type="paragraph" w:customStyle="1" w:styleId="QuotedText">
    <w:name w:val="Quoted Text"/>
    <w:basedOn w:val="Normal"/>
    <w:rsid w:val="00F03A57"/>
    <w:pPr>
      <w:widowControl/>
      <w:spacing w:before="120" w:after="120"/>
      <w:ind w:left="1417"/>
      <w:jc w:val="both"/>
    </w:pPr>
    <w:rPr>
      <w:rFonts w:eastAsia="Calibri"/>
      <w:szCs w:val="22"/>
      <w:lang w:eastAsia="en-US"/>
    </w:rPr>
  </w:style>
  <w:style w:type="paragraph" w:customStyle="1" w:styleId="Point0">
    <w:name w:val="Point 0"/>
    <w:basedOn w:val="Normal"/>
    <w:rsid w:val="00F03A57"/>
    <w:pPr>
      <w:widowControl/>
      <w:spacing w:before="120" w:after="120"/>
      <w:ind w:left="850" w:hanging="850"/>
      <w:jc w:val="both"/>
    </w:pPr>
    <w:rPr>
      <w:rFonts w:eastAsia="Calibri"/>
      <w:szCs w:val="22"/>
      <w:lang w:eastAsia="en-US"/>
    </w:rPr>
  </w:style>
  <w:style w:type="paragraph" w:customStyle="1" w:styleId="Point1">
    <w:name w:val="Point 1"/>
    <w:basedOn w:val="Normal"/>
    <w:rsid w:val="00F03A57"/>
    <w:pPr>
      <w:widowControl/>
      <w:spacing w:before="120" w:after="120"/>
      <w:ind w:left="1417" w:hanging="567"/>
      <w:jc w:val="both"/>
    </w:pPr>
    <w:rPr>
      <w:rFonts w:eastAsia="Calibri"/>
      <w:szCs w:val="22"/>
      <w:lang w:eastAsia="en-US"/>
    </w:rPr>
  </w:style>
  <w:style w:type="paragraph" w:customStyle="1" w:styleId="Point2">
    <w:name w:val="Point 2"/>
    <w:basedOn w:val="Normal"/>
    <w:rsid w:val="00F03A57"/>
    <w:pPr>
      <w:widowControl/>
      <w:spacing w:before="120" w:after="120"/>
      <w:ind w:left="1984" w:hanging="567"/>
      <w:jc w:val="both"/>
    </w:pPr>
    <w:rPr>
      <w:rFonts w:eastAsia="Calibri"/>
      <w:szCs w:val="22"/>
      <w:lang w:eastAsia="en-US"/>
    </w:rPr>
  </w:style>
  <w:style w:type="paragraph" w:customStyle="1" w:styleId="Point3">
    <w:name w:val="Point 3"/>
    <w:basedOn w:val="Normal"/>
    <w:rsid w:val="00F03A57"/>
    <w:pPr>
      <w:widowControl/>
      <w:spacing w:before="120" w:after="120"/>
      <w:ind w:left="2551" w:hanging="567"/>
      <w:jc w:val="both"/>
    </w:pPr>
    <w:rPr>
      <w:rFonts w:eastAsia="Calibri"/>
      <w:szCs w:val="22"/>
      <w:lang w:eastAsia="en-US"/>
    </w:rPr>
  </w:style>
  <w:style w:type="paragraph" w:customStyle="1" w:styleId="Point4">
    <w:name w:val="Point 4"/>
    <w:basedOn w:val="Normal"/>
    <w:rsid w:val="00F03A57"/>
    <w:pPr>
      <w:widowControl/>
      <w:spacing w:before="120" w:after="120"/>
      <w:ind w:left="3118" w:hanging="567"/>
      <w:jc w:val="both"/>
    </w:pPr>
    <w:rPr>
      <w:rFonts w:eastAsia="Calibri"/>
      <w:szCs w:val="22"/>
      <w:lang w:eastAsia="en-US"/>
    </w:rPr>
  </w:style>
  <w:style w:type="paragraph" w:customStyle="1" w:styleId="Point5">
    <w:name w:val="Point 5"/>
    <w:basedOn w:val="Normal"/>
    <w:rsid w:val="00F03A57"/>
    <w:pPr>
      <w:widowControl/>
      <w:spacing w:before="120" w:after="120"/>
      <w:ind w:left="3685" w:hanging="567"/>
      <w:jc w:val="both"/>
    </w:pPr>
    <w:rPr>
      <w:rFonts w:eastAsia="Calibri"/>
      <w:szCs w:val="22"/>
      <w:lang w:eastAsia="en-US"/>
    </w:rPr>
  </w:style>
  <w:style w:type="paragraph" w:customStyle="1" w:styleId="Tiret0">
    <w:name w:val="Tiret 0"/>
    <w:basedOn w:val="Point0"/>
    <w:rsid w:val="00F03A57"/>
    <w:pPr>
      <w:numPr>
        <w:numId w:val="17"/>
      </w:numPr>
      <w:tabs>
        <w:tab w:val="clear" w:pos="850"/>
        <w:tab w:val="num" w:pos="643"/>
      </w:tabs>
      <w:ind w:left="643" w:hanging="360"/>
    </w:pPr>
  </w:style>
  <w:style w:type="paragraph" w:customStyle="1" w:styleId="Tiret1">
    <w:name w:val="Tiret 1"/>
    <w:basedOn w:val="Point1"/>
    <w:rsid w:val="00F03A57"/>
    <w:pPr>
      <w:numPr>
        <w:numId w:val="18"/>
      </w:numPr>
      <w:tabs>
        <w:tab w:val="clear" w:pos="1417"/>
        <w:tab w:val="num" w:pos="926"/>
      </w:tabs>
      <w:ind w:left="926" w:hanging="360"/>
    </w:pPr>
  </w:style>
  <w:style w:type="paragraph" w:customStyle="1" w:styleId="Tiret2">
    <w:name w:val="Tiret 2"/>
    <w:basedOn w:val="Point2"/>
    <w:rsid w:val="00F03A57"/>
    <w:pPr>
      <w:numPr>
        <w:numId w:val="19"/>
      </w:numPr>
      <w:tabs>
        <w:tab w:val="clear" w:pos="1984"/>
        <w:tab w:val="num" w:pos="1209"/>
      </w:tabs>
      <w:ind w:left="1209" w:hanging="360"/>
    </w:pPr>
  </w:style>
  <w:style w:type="paragraph" w:customStyle="1" w:styleId="Tiret3">
    <w:name w:val="Tiret 3"/>
    <w:basedOn w:val="Point3"/>
    <w:rsid w:val="00F03A57"/>
    <w:pPr>
      <w:numPr>
        <w:numId w:val="20"/>
      </w:numPr>
      <w:tabs>
        <w:tab w:val="clear" w:pos="2551"/>
        <w:tab w:val="num" w:pos="1492"/>
      </w:tabs>
      <w:ind w:left="1492" w:hanging="360"/>
    </w:pPr>
  </w:style>
  <w:style w:type="paragraph" w:customStyle="1" w:styleId="Tiret4">
    <w:name w:val="Tiret 4"/>
    <w:basedOn w:val="Point4"/>
    <w:rsid w:val="00F03A57"/>
    <w:pPr>
      <w:numPr>
        <w:numId w:val="21"/>
      </w:numPr>
      <w:tabs>
        <w:tab w:val="clear" w:pos="3118"/>
        <w:tab w:val="num" w:pos="360"/>
      </w:tabs>
      <w:ind w:left="360" w:hanging="360"/>
    </w:pPr>
  </w:style>
  <w:style w:type="paragraph" w:customStyle="1" w:styleId="Tiret5">
    <w:name w:val="Tiret 5"/>
    <w:basedOn w:val="Point5"/>
    <w:rsid w:val="00F03A57"/>
    <w:pPr>
      <w:numPr>
        <w:numId w:val="22"/>
      </w:numPr>
      <w:tabs>
        <w:tab w:val="clear" w:pos="3685"/>
        <w:tab w:val="num" w:pos="643"/>
      </w:tabs>
      <w:ind w:left="643" w:hanging="360"/>
    </w:pPr>
  </w:style>
  <w:style w:type="paragraph" w:customStyle="1" w:styleId="PointDouble0">
    <w:name w:val="PointDouble 0"/>
    <w:basedOn w:val="Normal"/>
    <w:rsid w:val="00F03A5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F03A5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F03A5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F03A5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F03A5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F03A5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F03A5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F03A5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F03A5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F03A5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F03A57"/>
    <w:pPr>
      <w:widowControl/>
      <w:numPr>
        <w:numId w:val="23"/>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F03A57"/>
    <w:pPr>
      <w:widowControl/>
      <w:numPr>
        <w:ilvl w:val="1"/>
        <w:numId w:val="23"/>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F03A57"/>
    <w:pPr>
      <w:widowControl/>
      <w:numPr>
        <w:ilvl w:val="2"/>
        <w:numId w:val="23"/>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F03A57"/>
    <w:pPr>
      <w:widowControl/>
      <w:numPr>
        <w:ilvl w:val="3"/>
        <w:numId w:val="23"/>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F03A57"/>
    <w:pPr>
      <w:widowControl/>
      <w:numPr>
        <w:ilvl w:val="4"/>
        <w:numId w:val="23"/>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F03A57"/>
    <w:pPr>
      <w:widowControl/>
      <w:numPr>
        <w:ilvl w:val="5"/>
        <w:numId w:val="23"/>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F03A57"/>
    <w:pPr>
      <w:widowControl/>
      <w:numPr>
        <w:ilvl w:val="6"/>
        <w:numId w:val="23"/>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F03A5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F03A5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F03A5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F03A5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F03A5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F03A5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F03A5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F03A5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F03A5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F03A5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F03A5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F03A5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F03A5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F03A5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F03A5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F03A5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F03A5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F03A5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F03A57"/>
    <w:pPr>
      <w:widowControl/>
      <w:spacing w:before="120" w:after="120"/>
      <w:jc w:val="center"/>
    </w:pPr>
    <w:rPr>
      <w:rFonts w:eastAsia="Calibri"/>
      <w:b/>
      <w:szCs w:val="22"/>
      <w:lang w:eastAsia="en-US"/>
    </w:rPr>
  </w:style>
  <w:style w:type="character" w:customStyle="1" w:styleId="Marker">
    <w:name w:val="Marker"/>
    <w:basedOn w:val="DefaultParagraphFont"/>
    <w:rsid w:val="00F03A57"/>
    <w:rPr>
      <w:color w:val="0000FF"/>
      <w:shd w:val="clear" w:color="auto" w:fill="auto"/>
    </w:rPr>
  </w:style>
  <w:style w:type="character" w:customStyle="1" w:styleId="Marker1">
    <w:name w:val="Marker1"/>
    <w:basedOn w:val="DefaultParagraphFont"/>
    <w:rsid w:val="00F03A57"/>
    <w:rPr>
      <w:color w:val="008000"/>
      <w:shd w:val="clear" w:color="auto" w:fill="auto"/>
    </w:rPr>
  </w:style>
  <w:style w:type="character" w:customStyle="1" w:styleId="Marker2">
    <w:name w:val="Marker2"/>
    <w:basedOn w:val="DefaultParagraphFont"/>
    <w:rsid w:val="00F03A57"/>
    <w:rPr>
      <w:color w:val="FF0000"/>
      <w:shd w:val="clear" w:color="auto" w:fill="auto"/>
    </w:rPr>
  </w:style>
  <w:style w:type="paragraph" w:customStyle="1" w:styleId="Bullet0">
    <w:name w:val="Bullet 0"/>
    <w:basedOn w:val="Normal"/>
    <w:rsid w:val="00F03A57"/>
    <w:pPr>
      <w:widowControl/>
      <w:numPr>
        <w:numId w:val="24"/>
      </w:numPr>
      <w:tabs>
        <w:tab w:val="clear" w:pos="850"/>
        <w:tab w:val="num" w:pos="360"/>
      </w:tabs>
      <w:spacing w:before="120" w:after="120"/>
      <w:ind w:left="360" w:hanging="360"/>
      <w:jc w:val="both"/>
    </w:pPr>
    <w:rPr>
      <w:rFonts w:eastAsia="Calibri"/>
      <w:szCs w:val="22"/>
      <w:lang w:eastAsia="en-US"/>
    </w:rPr>
  </w:style>
  <w:style w:type="paragraph" w:customStyle="1" w:styleId="Bullet1">
    <w:name w:val="Bullet 1"/>
    <w:basedOn w:val="Normal"/>
    <w:rsid w:val="00F03A57"/>
    <w:pPr>
      <w:widowControl/>
      <w:numPr>
        <w:numId w:val="25"/>
      </w:numPr>
      <w:tabs>
        <w:tab w:val="clear" w:pos="1417"/>
        <w:tab w:val="num" w:pos="360"/>
      </w:tabs>
      <w:spacing w:before="120" w:after="120"/>
      <w:ind w:left="360" w:hanging="360"/>
      <w:jc w:val="both"/>
    </w:pPr>
    <w:rPr>
      <w:rFonts w:eastAsia="Calibri"/>
      <w:szCs w:val="22"/>
      <w:lang w:eastAsia="en-US"/>
    </w:rPr>
  </w:style>
  <w:style w:type="paragraph" w:customStyle="1" w:styleId="Bullet2">
    <w:name w:val="Bullet 2"/>
    <w:basedOn w:val="Normal"/>
    <w:rsid w:val="00F03A57"/>
    <w:pPr>
      <w:widowControl/>
      <w:numPr>
        <w:numId w:val="26"/>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F03A57"/>
    <w:pPr>
      <w:widowControl/>
      <w:numPr>
        <w:numId w:val="27"/>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F03A57"/>
    <w:pPr>
      <w:widowControl/>
      <w:numPr>
        <w:numId w:val="28"/>
      </w:numPr>
      <w:tabs>
        <w:tab w:val="clear" w:pos="3118"/>
        <w:tab w:val="num" w:pos="850"/>
      </w:tabs>
      <w:spacing w:before="120" w:after="120"/>
      <w:ind w:left="850" w:hanging="850"/>
      <w:jc w:val="both"/>
    </w:pPr>
    <w:rPr>
      <w:rFonts w:eastAsia="Calibri"/>
      <w:szCs w:val="22"/>
      <w:lang w:eastAsia="en-US"/>
    </w:rPr>
  </w:style>
  <w:style w:type="paragraph" w:customStyle="1" w:styleId="Langue">
    <w:name w:val="Langue"/>
    <w:basedOn w:val="Normal"/>
    <w:next w:val="Rfrenceinterne"/>
    <w:rsid w:val="00F03A5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F03A57"/>
    <w:pPr>
      <w:widowControl/>
    </w:pPr>
    <w:rPr>
      <w:rFonts w:ascii="Arial" w:eastAsia="Calibri" w:hAnsi="Arial" w:cs="Arial"/>
      <w:szCs w:val="22"/>
      <w:lang w:eastAsia="en-US"/>
    </w:rPr>
  </w:style>
  <w:style w:type="paragraph" w:customStyle="1" w:styleId="Emission">
    <w:name w:val="Emission"/>
    <w:basedOn w:val="Normal"/>
    <w:next w:val="Rfrenceinstitutionnelle"/>
    <w:rsid w:val="00F03A57"/>
    <w:pPr>
      <w:widowControl/>
      <w:ind w:left="5103"/>
    </w:pPr>
    <w:rPr>
      <w:rFonts w:eastAsia="Calibri"/>
      <w:szCs w:val="22"/>
      <w:lang w:eastAsia="en-US"/>
    </w:rPr>
  </w:style>
  <w:style w:type="paragraph" w:customStyle="1" w:styleId="Pagedecouverture">
    <w:name w:val="Page de couverture"/>
    <w:basedOn w:val="Normal"/>
    <w:next w:val="Normal"/>
    <w:rsid w:val="00F03A57"/>
    <w:pPr>
      <w:widowControl/>
      <w:jc w:val="both"/>
    </w:pPr>
    <w:rPr>
      <w:rFonts w:eastAsia="Calibri"/>
      <w:szCs w:val="22"/>
      <w:lang w:eastAsia="en-US"/>
    </w:rPr>
  </w:style>
  <w:style w:type="paragraph" w:customStyle="1" w:styleId="Declassification">
    <w:name w:val="Declassification"/>
    <w:basedOn w:val="Normal"/>
    <w:next w:val="Normal"/>
    <w:rsid w:val="00F03A57"/>
    <w:pPr>
      <w:widowControl/>
      <w:jc w:val="both"/>
    </w:pPr>
    <w:rPr>
      <w:rFonts w:eastAsia="Calibri"/>
      <w:szCs w:val="22"/>
      <w:lang w:eastAsia="en-US"/>
    </w:rPr>
  </w:style>
  <w:style w:type="paragraph" w:customStyle="1" w:styleId="Disclaimer">
    <w:name w:val="Disclaimer"/>
    <w:basedOn w:val="Normal"/>
    <w:rsid w:val="00F03A5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F03A57"/>
    <w:pPr>
      <w:widowControl/>
      <w:spacing w:line="276" w:lineRule="auto"/>
      <w:ind w:left="5103"/>
    </w:pPr>
    <w:rPr>
      <w:rFonts w:eastAsia="Calibri"/>
      <w:sz w:val="28"/>
      <w:szCs w:val="22"/>
      <w:lang w:eastAsia="en-US"/>
    </w:rPr>
  </w:style>
  <w:style w:type="paragraph" w:customStyle="1" w:styleId="DateMarking">
    <w:name w:val="DateMarking"/>
    <w:basedOn w:val="Normal"/>
    <w:rsid w:val="00F03A57"/>
    <w:pPr>
      <w:widowControl/>
      <w:spacing w:line="276" w:lineRule="auto"/>
      <w:ind w:left="5103"/>
    </w:pPr>
    <w:rPr>
      <w:rFonts w:eastAsia="Calibri"/>
      <w:i/>
      <w:sz w:val="28"/>
      <w:szCs w:val="22"/>
      <w:lang w:eastAsia="en-US"/>
    </w:rPr>
  </w:style>
  <w:style w:type="paragraph" w:customStyle="1" w:styleId="ReleasableTo">
    <w:name w:val="ReleasableTo"/>
    <w:basedOn w:val="Normal"/>
    <w:rsid w:val="00F03A5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F03A5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F03A5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F03A57"/>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F03A5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F03A5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F03A57"/>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F03A57"/>
    <w:pPr>
      <w:widowControl/>
      <w:spacing w:after="240"/>
    </w:pPr>
    <w:rPr>
      <w:rFonts w:eastAsia="Calibri"/>
      <w:szCs w:val="22"/>
      <w:lang w:eastAsia="en-US"/>
    </w:rPr>
  </w:style>
  <w:style w:type="paragraph" w:customStyle="1" w:styleId="Datedadoption">
    <w:name w:val="Date d'adoption"/>
    <w:basedOn w:val="Normal"/>
    <w:next w:val="IntrtEEE"/>
    <w:rsid w:val="00F03A5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F03A57"/>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F03A5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F03A5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F03A57"/>
    <w:pPr>
      <w:widowControl/>
      <w:ind w:left="5103"/>
    </w:pPr>
    <w:rPr>
      <w:rFonts w:eastAsia="Calibri"/>
      <w:szCs w:val="22"/>
      <w:lang w:eastAsia="en-US"/>
    </w:rPr>
  </w:style>
  <w:style w:type="paragraph" w:customStyle="1" w:styleId="Rfrenceinterne">
    <w:name w:val="Référence interne"/>
    <w:basedOn w:val="Normal"/>
    <w:next w:val="Rfrenceinterinstitutionnelle"/>
    <w:rsid w:val="00F03A57"/>
    <w:pPr>
      <w:widowControl/>
      <w:ind w:left="5103"/>
    </w:pPr>
    <w:rPr>
      <w:rFonts w:eastAsia="Calibri"/>
      <w:szCs w:val="22"/>
      <w:lang w:eastAsia="en-US"/>
    </w:rPr>
  </w:style>
  <w:style w:type="paragraph" w:customStyle="1" w:styleId="Titrearticle">
    <w:name w:val="Titre article"/>
    <w:basedOn w:val="Normal"/>
    <w:next w:val="Normal"/>
    <w:rsid w:val="00F03A57"/>
    <w:pPr>
      <w:keepNext/>
      <w:widowControl/>
      <w:spacing w:before="360" w:after="120"/>
      <w:jc w:val="center"/>
    </w:pPr>
    <w:rPr>
      <w:rFonts w:eastAsia="Calibri"/>
      <w:i/>
      <w:szCs w:val="22"/>
      <w:lang w:eastAsia="en-US"/>
    </w:rPr>
  </w:style>
  <w:style w:type="character" w:customStyle="1" w:styleId="Added">
    <w:name w:val="Added"/>
    <w:basedOn w:val="DefaultParagraphFont"/>
    <w:rsid w:val="00F03A57"/>
    <w:rPr>
      <w:b/>
      <w:u w:val="single"/>
      <w:shd w:val="clear" w:color="auto" w:fill="auto"/>
    </w:rPr>
  </w:style>
  <w:style w:type="character" w:customStyle="1" w:styleId="Deleted">
    <w:name w:val="Deleted"/>
    <w:basedOn w:val="DefaultParagraphFont"/>
    <w:rsid w:val="00F03A57"/>
    <w:rPr>
      <w:strike/>
      <w:dstrike w:val="0"/>
      <w:shd w:val="clear" w:color="auto" w:fill="auto"/>
    </w:rPr>
  </w:style>
  <w:style w:type="paragraph" w:customStyle="1" w:styleId="Address">
    <w:name w:val="Address"/>
    <w:basedOn w:val="Normal"/>
    <w:next w:val="Normal"/>
    <w:rsid w:val="00F03A5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F03A57"/>
    <w:pPr>
      <w:widowControl/>
      <w:spacing w:before="120" w:after="120"/>
      <w:jc w:val="both"/>
    </w:pPr>
    <w:rPr>
      <w:rFonts w:eastAsia="Calibri"/>
      <w:i/>
      <w:caps/>
      <w:szCs w:val="22"/>
      <w:lang w:eastAsia="en-US"/>
    </w:rPr>
  </w:style>
  <w:style w:type="paragraph" w:customStyle="1" w:styleId="Supertitre">
    <w:name w:val="Supertitre"/>
    <w:basedOn w:val="Normal"/>
    <w:next w:val="Normal"/>
    <w:rsid w:val="00F03A57"/>
    <w:pPr>
      <w:widowControl/>
      <w:spacing w:after="600"/>
      <w:jc w:val="center"/>
    </w:pPr>
    <w:rPr>
      <w:rFonts w:eastAsia="Calibri"/>
      <w:b/>
      <w:szCs w:val="22"/>
      <w:lang w:eastAsia="en-US"/>
    </w:rPr>
  </w:style>
  <w:style w:type="paragraph" w:customStyle="1" w:styleId="Languesfaisantfoi">
    <w:name w:val="Langues faisant foi"/>
    <w:basedOn w:val="Normal"/>
    <w:next w:val="Normal"/>
    <w:rsid w:val="00F03A57"/>
    <w:pPr>
      <w:widowControl/>
      <w:spacing w:before="360"/>
      <w:jc w:val="center"/>
    </w:pPr>
    <w:rPr>
      <w:rFonts w:eastAsia="Calibri"/>
      <w:szCs w:val="22"/>
      <w:lang w:eastAsia="en-US"/>
    </w:rPr>
  </w:style>
  <w:style w:type="paragraph" w:customStyle="1" w:styleId="Rfrencecroise">
    <w:name w:val="Référence croisée"/>
    <w:basedOn w:val="Normal"/>
    <w:rsid w:val="00F03A57"/>
    <w:pPr>
      <w:widowControl/>
      <w:jc w:val="center"/>
    </w:pPr>
    <w:rPr>
      <w:rFonts w:eastAsia="Calibri"/>
      <w:szCs w:val="22"/>
      <w:lang w:eastAsia="en-US"/>
    </w:rPr>
  </w:style>
  <w:style w:type="paragraph" w:customStyle="1" w:styleId="Fichefinanciretitre">
    <w:name w:val="Fiche financière titre"/>
    <w:basedOn w:val="Normal"/>
    <w:next w:val="Normal"/>
    <w:rsid w:val="00F03A5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F03A57"/>
  </w:style>
  <w:style w:type="paragraph" w:customStyle="1" w:styleId="RfrenceinterinstitutionnellePagedecouverture">
    <w:name w:val="Référence interinstitutionnelle (Page de couverture)"/>
    <w:basedOn w:val="Rfrenceinterinstitutionnelle"/>
    <w:next w:val="Confidentialit"/>
    <w:rsid w:val="00F03A57"/>
  </w:style>
  <w:style w:type="paragraph" w:customStyle="1" w:styleId="StatutPagedecouverture">
    <w:name w:val="Statut (Page de couverture)"/>
    <w:basedOn w:val="Statut"/>
    <w:next w:val="TypedudocumentPagedecouverture"/>
    <w:rsid w:val="00F03A57"/>
    <w:pPr>
      <w:spacing w:before="0" w:after="240" w:line="240" w:lineRule="auto"/>
    </w:pPr>
    <w:rPr>
      <w:rFonts w:eastAsia="Calibri"/>
      <w:szCs w:val="22"/>
      <w:lang w:val="pt-PT"/>
    </w:rPr>
  </w:style>
  <w:style w:type="paragraph" w:customStyle="1" w:styleId="TypedudocumentPagedecouverture">
    <w:name w:val="Type du document (Page de couverture)"/>
    <w:basedOn w:val="Typedudocument"/>
    <w:next w:val="AccompagnantPagedecouverture"/>
    <w:rsid w:val="00F03A57"/>
    <w:pPr>
      <w:spacing w:after="180" w:line="240" w:lineRule="auto"/>
    </w:pPr>
    <w:rPr>
      <w:rFonts w:eastAsia="Calibri"/>
      <w:szCs w:val="22"/>
      <w:lang w:val="pt-PT"/>
    </w:rPr>
  </w:style>
  <w:style w:type="paragraph" w:customStyle="1" w:styleId="Volume">
    <w:name w:val="Volume"/>
    <w:basedOn w:val="Normal"/>
    <w:next w:val="Confidentialit"/>
    <w:rsid w:val="00F03A57"/>
    <w:pPr>
      <w:widowControl/>
      <w:spacing w:after="240"/>
      <w:ind w:left="5103"/>
    </w:pPr>
    <w:rPr>
      <w:rFonts w:eastAsia="Calibri"/>
      <w:szCs w:val="22"/>
      <w:lang w:eastAsia="en-US"/>
    </w:rPr>
  </w:style>
  <w:style w:type="paragraph" w:customStyle="1" w:styleId="Accompagnant">
    <w:name w:val="Accompagnant"/>
    <w:basedOn w:val="Normal"/>
    <w:next w:val="Typeacteprincipal"/>
    <w:rsid w:val="00F03A57"/>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F03A5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F03A5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F03A57"/>
    <w:pPr>
      <w:spacing w:line="240" w:lineRule="auto"/>
    </w:pPr>
    <w:rPr>
      <w:rFonts w:eastAsia="Calibri"/>
      <w:szCs w:val="22"/>
      <w:lang w:val="pt-PT"/>
    </w:rPr>
  </w:style>
  <w:style w:type="paragraph" w:customStyle="1" w:styleId="AccompagnantPagedecouverture">
    <w:name w:val="Accompagnant (Page de couverture)"/>
    <w:basedOn w:val="Accompagnant"/>
    <w:next w:val="TypeacteprincipalPagedecouverture"/>
    <w:rsid w:val="00F03A57"/>
  </w:style>
  <w:style w:type="paragraph" w:customStyle="1" w:styleId="TypeacteprincipalPagedecouverture">
    <w:name w:val="Type acte principal (Page de couverture)"/>
    <w:basedOn w:val="Typeacteprincipal"/>
    <w:next w:val="ObjetacteprincipalPagedecouverture"/>
    <w:rsid w:val="00F03A57"/>
  </w:style>
  <w:style w:type="paragraph" w:customStyle="1" w:styleId="ObjetacteprincipalPagedecouverture">
    <w:name w:val="Objet acte principal (Page de couverture)"/>
    <w:basedOn w:val="Objetacteprincipal"/>
    <w:next w:val="Rfrencecroise"/>
    <w:rsid w:val="00F03A57"/>
  </w:style>
  <w:style w:type="paragraph" w:customStyle="1" w:styleId="LanguesfaisantfoiPagedecouverture">
    <w:name w:val="Langues faisant foi (Page de couverture)"/>
    <w:basedOn w:val="Normal"/>
    <w:next w:val="Normal"/>
    <w:rsid w:val="00F03A57"/>
    <w:pPr>
      <w:widowControl/>
      <w:spacing w:before="360"/>
      <w:jc w:val="center"/>
    </w:pPr>
    <w:rPr>
      <w:rFonts w:eastAsia="Calibri"/>
      <w:szCs w:val="22"/>
      <w:lang w:eastAsia="en-US"/>
    </w:rPr>
  </w:style>
  <w:style w:type="table" w:styleId="PlainTable1">
    <w:name w:val="Plain Table 1"/>
    <w:basedOn w:val="TableNormal"/>
    <w:uiPriority w:val="41"/>
    <w:rsid w:val="00F03A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03A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F03A5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5">
    <w:name w:val="Table Grid5"/>
    <w:basedOn w:val="TableNormal"/>
    <w:next w:val="TableGrid"/>
    <w:uiPriority w:val="59"/>
    <w:rsid w:val="00686855"/>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237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E352F-5F9C-4D48-8BE8-7CB0887E7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210</Pages>
  <Words>32188</Words>
  <Characters>178688</Characters>
  <Application>Microsoft Office Word</Application>
  <DocSecurity>0</DocSecurity>
  <Lines>1489</Lines>
  <Paragraphs>420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BINKEVICIUTE Aurelija</cp:lastModifiedBy>
  <cp:revision>3</cp:revision>
  <cp:lastPrinted>2004-11-19T15:42:00Z</cp:lastPrinted>
  <dcterms:created xsi:type="dcterms:W3CDTF">2025-09-08T12:31:00Z</dcterms:created>
  <dcterms:modified xsi:type="dcterms:W3CDTF">2025-09-08T12:40:00Z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A9-0238/2023</vt:lpwstr>
  </property>
  <property fmtid="{D5CDD505-2E9C-101B-9397-08002B2CF9AE}" pid="4" name="&lt;Type&gt;">
    <vt:lpwstr>RR</vt:lpwstr>
  </property>
</Properties>
</file>