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2709ED" w14:paraId="470FBC83" w14:textId="77777777">
        <w:trPr>
          <w:trHeight w:hRule="exact" w:val="1418"/>
        </w:trPr>
        <w:tc>
          <w:tcPr>
            <w:tcW w:w="6804" w:type="dxa"/>
            <w:shd w:val="clear" w:color="auto" w:fill="auto"/>
            <w:vAlign w:val="center"/>
          </w:tcPr>
          <w:p w14:paraId="2E122007" w14:textId="77777777" w:rsidR="002709ED" w:rsidRDefault="00B2757B">
            <w:pPr>
              <w:pStyle w:val="EPName"/>
              <w:rPr>
                <w:rFonts w:ascii="Times New Roman" w:hAnsi="Times New Roman" w:cs="Times New Roman"/>
              </w:rPr>
            </w:pPr>
            <w:r>
              <w:rPr>
                <w:rFonts w:ascii="Times New Roman" w:hAnsi="Times New Roman" w:cs="Times New Roman"/>
              </w:rPr>
              <w:t>Európsky parlament</w:t>
            </w:r>
          </w:p>
          <w:p w14:paraId="08636FFB" w14:textId="77777777" w:rsidR="002709ED" w:rsidRDefault="00B2757B">
            <w:pPr>
              <w:pStyle w:val="EPTerm"/>
              <w:rPr>
                <w:rStyle w:val="HideTWBExt"/>
                <w:rFonts w:ascii="Times New Roman" w:hAnsi="Times New Roman" w:cs="Times New Roman"/>
                <w:noProof w:val="0"/>
                <w:vanish w:val="0"/>
                <w:color w:val="auto"/>
              </w:rPr>
            </w:pPr>
            <w:r>
              <w:rPr>
                <w:rFonts w:ascii="Times New Roman" w:hAnsi="Times New Roman" w:cs="Times New Roman"/>
              </w:rPr>
              <w:t>2019-2024</w:t>
            </w:r>
          </w:p>
        </w:tc>
        <w:tc>
          <w:tcPr>
            <w:tcW w:w="2268" w:type="dxa"/>
            <w:shd w:val="clear" w:color="auto" w:fill="auto"/>
          </w:tcPr>
          <w:p w14:paraId="69CBB5F1" w14:textId="77777777" w:rsidR="002709ED" w:rsidRDefault="00B2757B">
            <w:pPr>
              <w:pStyle w:val="EPLogo"/>
            </w:pPr>
            <w:r>
              <w:rPr>
                <w:noProof/>
                <w:lang w:val="pl-PL" w:eastAsia="pl-PL"/>
              </w:rPr>
              <w:drawing>
                <wp:inline distT="0" distB="0" distL="0" distR="0" wp14:anchorId="2AD91E3D" wp14:editId="6669C1C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1BFBEE3" w14:textId="77777777" w:rsidR="002709ED" w:rsidRDefault="002709ED">
      <w:pPr>
        <w:pStyle w:val="LineTop"/>
        <w:rPr>
          <w:rFonts w:ascii="Times New Roman" w:hAnsi="Times New Roman" w:cs="Times New Roman"/>
        </w:rPr>
      </w:pPr>
    </w:p>
    <w:p w14:paraId="740AE760" w14:textId="77777777" w:rsidR="002709ED" w:rsidRDefault="00B2757B">
      <w:pPr>
        <w:pStyle w:val="EPBodyTA1"/>
        <w:rPr>
          <w:rFonts w:ascii="Times New Roman" w:hAnsi="Times New Roman" w:cs="Times New Roman"/>
        </w:rPr>
      </w:pPr>
      <w:r>
        <w:rPr>
          <w:rFonts w:ascii="Times New Roman" w:hAnsi="Times New Roman" w:cs="Times New Roman"/>
        </w:rPr>
        <w:t>PRIJATÉ TEXTY</w:t>
      </w:r>
    </w:p>
    <w:p w14:paraId="615B30B4" w14:textId="77777777" w:rsidR="002709ED" w:rsidRDefault="002709ED">
      <w:pPr>
        <w:pStyle w:val="LineBottom"/>
        <w:rPr>
          <w:rFonts w:ascii="Times New Roman" w:hAnsi="Times New Roman" w:cs="Times New Roman"/>
        </w:rPr>
      </w:pPr>
    </w:p>
    <w:p w14:paraId="026859B6" w14:textId="77777777" w:rsidR="002709ED" w:rsidRDefault="00B2757B">
      <w:pPr>
        <w:pStyle w:val="ATHeading1"/>
      </w:pPr>
      <w:bookmarkStart w:id="0" w:name="TANumber"/>
      <w:r>
        <w:t>P9_TA(2024)0358</w:t>
      </w:r>
      <w:bookmarkEnd w:id="0"/>
    </w:p>
    <w:p w14:paraId="7846594E" w14:textId="77777777" w:rsidR="002709ED" w:rsidRDefault="00B2757B">
      <w:pPr>
        <w:pStyle w:val="ATHeading2"/>
      </w:pPr>
      <w:bookmarkStart w:id="1" w:name="title"/>
      <w:r>
        <w:t>Látky znečisťujúce povrchové a podzemné vody</w:t>
      </w:r>
      <w:bookmarkEnd w:id="1"/>
    </w:p>
    <w:p w14:paraId="3DDCFC66" w14:textId="77777777" w:rsidR="002709ED" w:rsidRDefault="00B2757B">
      <w:pPr>
        <w:rPr>
          <w:i/>
          <w:vanish/>
        </w:rPr>
      </w:pPr>
      <w:r>
        <w:rPr>
          <w:i/>
        </w:rPr>
        <w:fldChar w:fldCharType="begin"/>
      </w:r>
      <w:r>
        <w:rPr>
          <w:i/>
        </w:rPr>
        <w:instrText xml:space="preserve"> TC"(</w:instrText>
      </w:r>
      <w:bookmarkStart w:id="2" w:name="DocNumber"/>
      <w:r>
        <w:rPr>
          <w:i/>
        </w:rPr>
        <w:instrText>A9-0238/2023</w:instrText>
      </w:r>
      <w:bookmarkEnd w:id="2"/>
      <w:r>
        <w:rPr>
          <w:i/>
        </w:rPr>
        <w:instrText xml:space="preserve"> - Spravodajca: Milan Brglez)"\l3 \n&gt; \* MERGEFORMAT </w:instrText>
      </w:r>
      <w:r>
        <w:rPr>
          <w:i/>
        </w:rPr>
        <w:fldChar w:fldCharType="end"/>
      </w:r>
    </w:p>
    <w:p w14:paraId="61CBB795" w14:textId="77777777" w:rsidR="002709ED" w:rsidRDefault="00B2757B">
      <w:pPr>
        <w:rPr>
          <w:vanish/>
        </w:rPr>
      </w:pPr>
      <w:bookmarkStart w:id="3" w:name="Commission"/>
      <w:r>
        <w:rPr>
          <w:vanish/>
        </w:rPr>
        <w:t>Výbor pre životné prostredie, verejné zdravie a bezpečnosť potravín</w:t>
      </w:r>
      <w:bookmarkEnd w:id="3"/>
    </w:p>
    <w:p w14:paraId="5F4EC9DC" w14:textId="77777777" w:rsidR="002709ED" w:rsidRDefault="00B2757B">
      <w:pPr>
        <w:rPr>
          <w:vanish/>
        </w:rPr>
      </w:pPr>
      <w:bookmarkStart w:id="4" w:name="PE"/>
      <w:r>
        <w:rPr>
          <w:vanish/>
        </w:rPr>
        <w:t>PE740.884</w:t>
      </w:r>
      <w:bookmarkEnd w:id="4"/>
    </w:p>
    <w:p w14:paraId="6CA2EAFD" w14:textId="77777777" w:rsidR="002709ED" w:rsidRDefault="00B2757B">
      <w:pPr>
        <w:pStyle w:val="ATHeading3"/>
      </w:pPr>
      <w:bookmarkStart w:id="5" w:name="Sujet"/>
      <w:r>
        <w:t>Legislatívne uznesenie Európskeho parlamentu z 24. apríla 2024 o návrhu smernice Európskeho parlamentu a Rady, ktorou sa mení smernica 2000/60/ES, ktorou sa stanovuje rámec pôsobnosti pre opatrenia Spoločenstva v oblasti vodného hospodárstva, smernica 2006/118/ES o ochrane podzemných vôd pred znečistením a zhoršením kvality a smernica 2008/105/ES o environmentálnych normách kvality v oblasti vodnej politiky</w:t>
      </w:r>
      <w:bookmarkEnd w:id="5"/>
      <w:r>
        <w:t xml:space="preserve"> </w:t>
      </w:r>
      <w:bookmarkStart w:id="6" w:name="References"/>
      <w:r>
        <w:t>(COM(2022)0540 – C9-0361/2022 – 2022/0344(COD))</w:t>
      </w:r>
      <w:bookmarkEnd w:id="6"/>
    </w:p>
    <w:p w14:paraId="411DE598" w14:textId="77777777" w:rsidR="002709ED" w:rsidRDefault="00B2757B">
      <w:pPr>
        <w:pStyle w:val="NormalBold"/>
      </w:pPr>
      <w:bookmarkStart w:id="7" w:name="TextBodyBegin"/>
      <w:bookmarkEnd w:id="7"/>
      <w:r>
        <w:t>(Riadny legislatívny postup: prvé čítanie)</w:t>
      </w:r>
    </w:p>
    <w:p w14:paraId="32FDD176" w14:textId="77777777" w:rsidR="002709ED" w:rsidRDefault="00B2757B">
      <w:pPr>
        <w:pStyle w:val="EPComma"/>
      </w:pPr>
      <w:r>
        <w:rPr>
          <w:i/>
        </w:rPr>
        <w:t>Európsky parlament</w:t>
      </w:r>
      <w:r>
        <w:t>,</w:t>
      </w:r>
    </w:p>
    <w:p w14:paraId="4E595C28" w14:textId="77777777" w:rsidR="002709ED" w:rsidRDefault="00B2757B">
      <w:pPr>
        <w:pStyle w:val="NormalHanging12a"/>
      </w:pPr>
      <w:r>
        <w:t>–</w:t>
      </w:r>
      <w:r>
        <w:tab/>
        <w:t>so zreteľom na návrh Komisie pre Európsky parlament a Radu (COM(2022)0540),</w:t>
      </w:r>
    </w:p>
    <w:p w14:paraId="55313E86" w14:textId="77777777" w:rsidR="002709ED" w:rsidRDefault="00B2757B">
      <w:pPr>
        <w:pStyle w:val="NormalHanging12a"/>
      </w:pPr>
      <w:r>
        <w:t>–</w:t>
      </w:r>
      <w:r>
        <w:tab/>
        <w:t>so zreteľom na článok 294 ods. 2 a článok 192 ods. 1 Zmluvy o fungovaní Európskej únie, v súlade s ktorými Komisia predložila návrh Európskemu parlamentu (C9</w:t>
      </w:r>
      <w:r>
        <w:noBreakHyphen/>
        <w:t>0361/2022),</w:t>
      </w:r>
    </w:p>
    <w:p w14:paraId="5D388C45" w14:textId="77777777" w:rsidR="002709ED" w:rsidRDefault="00B2757B">
      <w:pPr>
        <w:pStyle w:val="NormalHanging12a"/>
      </w:pPr>
      <w:r>
        <w:t>–</w:t>
      </w:r>
      <w:r>
        <w:tab/>
        <w:t>so zreteľom na článok 294 ods. 3 Zmluvy o fungovaní Európskej únie,</w:t>
      </w:r>
    </w:p>
    <w:p w14:paraId="5D6A1AFE" w14:textId="77777777" w:rsidR="002709ED" w:rsidRDefault="00B2757B">
      <w:pPr>
        <w:pStyle w:val="NormalHanging12a"/>
      </w:pPr>
      <w:r>
        <w:t>–</w:t>
      </w:r>
      <w:r>
        <w:tab/>
        <w:t>so zreteľom na stanovisko Európskeho hospodárskeho a sociálneho výboru z 22. februára 2023</w:t>
      </w:r>
      <w:r>
        <w:rPr>
          <w:rStyle w:val="FootnoteReference"/>
        </w:rPr>
        <w:footnoteReference w:id="1"/>
      </w:r>
      <w:r>
        <w:t>,</w:t>
      </w:r>
    </w:p>
    <w:p w14:paraId="4A9A59A4" w14:textId="77777777" w:rsidR="002709ED" w:rsidRDefault="00B2757B">
      <w:pPr>
        <w:pStyle w:val="NormalHanging12a"/>
      </w:pPr>
      <w:r>
        <w:t>–</w:t>
      </w:r>
      <w:r>
        <w:tab/>
        <w:t>po porade s Výborom regiónov,</w:t>
      </w:r>
    </w:p>
    <w:p w14:paraId="1E6DBA7A" w14:textId="77777777" w:rsidR="002709ED" w:rsidRDefault="00B2757B">
      <w:pPr>
        <w:pStyle w:val="NormalHanging12a"/>
      </w:pPr>
      <w:r>
        <w:t>–</w:t>
      </w:r>
      <w:r>
        <w:tab/>
        <w:t>so zreteľom na článok 59 rokovacieho poriadku,</w:t>
      </w:r>
    </w:p>
    <w:p w14:paraId="7297A240" w14:textId="77777777" w:rsidR="002709ED" w:rsidRDefault="00B2757B">
      <w:pPr>
        <w:pStyle w:val="NormalHanging12a"/>
      </w:pPr>
      <w:r>
        <w:t>–</w:t>
      </w:r>
      <w:r>
        <w:tab/>
        <w:t>so zreteľom na stanoviská Výboru pre priemysel, výskum a energetiku a Výboru pre poľnohospodárstvo a rozvoj vidieka,</w:t>
      </w:r>
    </w:p>
    <w:p w14:paraId="3E38597A" w14:textId="77777777" w:rsidR="002709ED" w:rsidRDefault="00B2757B">
      <w:pPr>
        <w:pStyle w:val="NormalHanging12a"/>
      </w:pPr>
      <w:r>
        <w:t>–</w:t>
      </w:r>
      <w:r>
        <w:tab/>
        <w:t>so zreteľom na správu Výboru pre životné prostredie, verejné zdravie a bezpečnosť potravín (A9-0238/2023),</w:t>
      </w:r>
    </w:p>
    <w:p w14:paraId="12CD6A46" w14:textId="77777777" w:rsidR="002709ED" w:rsidRDefault="00B2757B">
      <w:pPr>
        <w:pStyle w:val="NormalHanging12a"/>
      </w:pPr>
      <w:r>
        <w:lastRenderedPageBreak/>
        <w:t>1.</w:t>
      </w:r>
      <w:r>
        <w:tab/>
        <w:t>prijíma nasledujúcu pozíciu v prvom čítaní</w:t>
      </w:r>
      <w:r>
        <w:rPr>
          <w:rStyle w:val="FootnoteReference"/>
        </w:rPr>
        <w:footnoteReference w:id="2"/>
      </w:r>
      <w:r>
        <w:t>;</w:t>
      </w:r>
    </w:p>
    <w:p w14:paraId="6D72C7CF" w14:textId="77777777" w:rsidR="002709ED" w:rsidRDefault="00B2757B">
      <w:pPr>
        <w:pStyle w:val="NormalHanging12a"/>
      </w:pPr>
      <w:r>
        <w:t>2.</w:t>
      </w:r>
      <w:r>
        <w:tab/>
        <w:t>žiada Komisiu, aby mu vec znovu predložila, ak nahrádza, podstatne mení alebo má v úmysle podstatne zmeniť svoj návrh;</w:t>
      </w:r>
    </w:p>
    <w:p w14:paraId="67683BDE" w14:textId="77777777" w:rsidR="002709ED" w:rsidRDefault="00B2757B">
      <w:pPr>
        <w:pStyle w:val="NormalHanging12a"/>
      </w:pPr>
      <w:r>
        <w:t>3.</w:t>
      </w:r>
      <w:r>
        <w:tab/>
        <w:t xml:space="preserve">poveruje </w:t>
      </w:r>
      <w:r w:rsidR="00097A12">
        <w:t xml:space="preserve">svoju </w:t>
      </w:r>
      <w:r>
        <w:t>predsed</w:t>
      </w:r>
      <w:r w:rsidR="00097A12">
        <w:t>níčk</w:t>
      </w:r>
      <w:r>
        <w:t>u, aby postúpil</w:t>
      </w:r>
      <w:r w:rsidR="00097A12">
        <w:t>a</w:t>
      </w:r>
      <w:r>
        <w:t xml:space="preserve"> túto pozíciu Rade, Komisii a národným parlamentom.</w:t>
      </w:r>
    </w:p>
    <w:p w14:paraId="24CDB49A" w14:textId="77777777" w:rsidR="002709ED" w:rsidRDefault="002709ED">
      <w:pPr>
        <w:sectPr w:rsidR="002709ED">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code="9"/>
          <w:pgMar w:top="1134" w:right="1418" w:bottom="1418" w:left="1418" w:header="1134" w:footer="567" w:gutter="0"/>
          <w:cols w:space="720"/>
          <w:noEndnote/>
          <w:docGrid w:linePitch="326"/>
        </w:sectPr>
      </w:pPr>
    </w:p>
    <w:p w14:paraId="02964294" w14:textId="77777777" w:rsidR="002709ED" w:rsidRDefault="00B2757B">
      <w:pPr>
        <w:pStyle w:val="Institutionquiagit"/>
        <w:keepNext w:val="0"/>
        <w:spacing w:before="0" w:after="240"/>
        <w:jc w:val="left"/>
        <w:outlineLvl w:val="0"/>
        <w:rPr>
          <w:b/>
        </w:rPr>
      </w:pPr>
      <w:r>
        <w:rPr>
          <w:b/>
        </w:rPr>
        <w:lastRenderedPageBreak/>
        <w:t>P9_TC1-COD(2022)0344</w:t>
      </w:r>
    </w:p>
    <w:p w14:paraId="5984D7F1" w14:textId="77777777" w:rsidR="002709ED" w:rsidRDefault="00B2757B">
      <w:pPr>
        <w:pStyle w:val="AmNumberTabs"/>
      </w:pPr>
      <w:r>
        <w:t>Pozícia Európskeho parlamentu prijatá v prvom čítaní 24. apríla 2024 na účely prijatia smernice Európskeho parlamentu a Rady (EÚ) 2024/..., ktorou sa mení smernica 2000/60/ES, ktorou sa stanovuje rámec pôsobnosti pre opatrenia Spoločenstva v oblasti vodného hospodárstva, smernica 2006/118/ES o ochrane podzemných vôd pred znečistením a zhoršením kvality a smernica 2008/105/ES o environmentálnych normách kvality v oblasti vodnej politiky</w:t>
      </w:r>
    </w:p>
    <w:p w14:paraId="585D30E3" w14:textId="77777777" w:rsidR="002709ED" w:rsidRDefault="00B2757B">
      <w:pPr>
        <w:widowControl/>
        <w:spacing w:before="360" w:after="240" w:line="360" w:lineRule="auto"/>
        <w:jc w:val="center"/>
        <w:rPr>
          <w:szCs w:val="24"/>
          <w:lang w:eastAsia="en-US"/>
        </w:rPr>
      </w:pPr>
      <w:r>
        <w:rPr>
          <w:szCs w:val="24"/>
          <w:lang w:eastAsia="en-US"/>
        </w:rPr>
        <w:t>(Text s významom pre EHP)</w:t>
      </w:r>
    </w:p>
    <w:p w14:paraId="0A295A5F" w14:textId="77777777" w:rsidR="002709ED" w:rsidRDefault="00B2757B">
      <w:pPr>
        <w:keepNext/>
        <w:spacing w:before="600" w:after="120" w:line="360" w:lineRule="auto"/>
        <w:rPr>
          <w:szCs w:val="24"/>
          <w:lang w:eastAsia="en-US"/>
        </w:rPr>
      </w:pPr>
      <w:r>
        <w:rPr>
          <w:szCs w:val="24"/>
          <w:lang w:eastAsia="en-US"/>
        </w:rPr>
        <w:t>EURÓPSKY PARLAMENT A RADA EURÓPSKEJ ÚNIE,</w:t>
      </w:r>
    </w:p>
    <w:p w14:paraId="6F7CA32F" w14:textId="77777777" w:rsidR="002709ED" w:rsidRDefault="00B2757B">
      <w:pPr>
        <w:spacing w:before="120" w:after="120" w:line="360" w:lineRule="auto"/>
        <w:rPr>
          <w:lang w:eastAsia="en-US"/>
        </w:rPr>
      </w:pPr>
      <w:r>
        <w:rPr>
          <w:lang w:eastAsia="en-US"/>
        </w:rPr>
        <w:t>so zreteľom na Zmluvu o fungovaní Európskej únie, a najmä na jej článok 192 ods. 1,</w:t>
      </w:r>
    </w:p>
    <w:p w14:paraId="1B8D3684" w14:textId="77777777" w:rsidR="002709ED" w:rsidRDefault="00B2757B">
      <w:pPr>
        <w:spacing w:before="120" w:after="120" w:line="360" w:lineRule="auto"/>
        <w:rPr>
          <w:lang w:eastAsia="en-US"/>
        </w:rPr>
      </w:pPr>
      <w:r>
        <w:rPr>
          <w:lang w:eastAsia="en-US"/>
        </w:rPr>
        <w:t>so zreteľom na návrh Európskej komisie,</w:t>
      </w:r>
    </w:p>
    <w:p w14:paraId="137123EC" w14:textId="77777777" w:rsidR="002709ED" w:rsidRDefault="00B2757B">
      <w:pPr>
        <w:spacing w:before="120" w:after="120" w:line="360" w:lineRule="auto"/>
        <w:rPr>
          <w:lang w:eastAsia="en-US"/>
        </w:rPr>
      </w:pPr>
      <w:r>
        <w:rPr>
          <w:lang w:eastAsia="en-US"/>
        </w:rPr>
        <w:t>po postúpení návrhu legislatívneho aktu národným parlamentom,</w:t>
      </w:r>
    </w:p>
    <w:p w14:paraId="767BD086" w14:textId="77777777" w:rsidR="002709ED" w:rsidRDefault="00B2757B">
      <w:pPr>
        <w:spacing w:before="120" w:after="120" w:line="360" w:lineRule="auto"/>
        <w:rPr>
          <w:lang w:eastAsia="en-US"/>
        </w:rPr>
      </w:pPr>
      <w:r>
        <w:rPr>
          <w:lang w:eastAsia="en-US"/>
        </w:rPr>
        <w:t>so zreteľom na stanovisko Európskeho hospodárskeho a sociálneho výboru</w:t>
      </w:r>
      <w:r>
        <w:rPr>
          <w:vertAlign w:val="superscript"/>
          <w:lang w:eastAsia="en-US"/>
        </w:rPr>
        <w:footnoteReference w:id="3"/>
      </w:r>
      <w:r>
        <w:rPr>
          <w:lang w:eastAsia="en-US"/>
        </w:rPr>
        <w:t>,</w:t>
      </w:r>
    </w:p>
    <w:p w14:paraId="06FBA2F0" w14:textId="77777777" w:rsidR="002709ED" w:rsidRDefault="00B2757B">
      <w:pPr>
        <w:spacing w:before="120" w:after="120" w:line="360" w:lineRule="auto"/>
        <w:rPr>
          <w:lang w:eastAsia="en-US"/>
        </w:rPr>
      </w:pPr>
      <w:r>
        <w:rPr>
          <w:lang w:eastAsia="en-US"/>
        </w:rPr>
        <w:t>so zreteľom na stanovisko Výboru regiónov</w:t>
      </w:r>
      <w:r>
        <w:rPr>
          <w:vertAlign w:val="superscript"/>
          <w:lang w:eastAsia="en-US"/>
        </w:rPr>
        <w:footnoteReference w:id="4"/>
      </w:r>
      <w:r>
        <w:rPr>
          <w:lang w:eastAsia="en-US"/>
        </w:rPr>
        <w:t>,</w:t>
      </w:r>
    </w:p>
    <w:p w14:paraId="7EA68735" w14:textId="77777777" w:rsidR="002709ED" w:rsidRDefault="00B2757B">
      <w:pPr>
        <w:spacing w:before="120" w:after="120" w:line="360" w:lineRule="auto"/>
        <w:rPr>
          <w:lang w:eastAsia="en-US"/>
        </w:rPr>
      </w:pPr>
      <w:r>
        <w:rPr>
          <w:lang w:eastAsia="en-US"/>
        </w:rPr>
        <w:t>konajúc v súlade s riadnym legislatívnym postupom,</w:t>
      </w:r>
    </w:p>
    <w:p w14:paraId="559DFB08" w14:textId="77777777" w:rsidR="002709ED" w:rsidRDefault="00B2757B">
      <w:pPr>
        <w:widowControl/>
        <w:rPr>
          <w:lang w:eastAsia="en-US"/>
        </w:rPr>
      </w:pPr>
      <w:r>
        <w:rPr>
          <w:lang w:eastAsia="en-US"/>
        </w:rPr>
        <w:br w:type="page"/>
      </w:r>
    </w:p>
    <w:p w14:paraId="28B448A2" w14:textId="77777777" w:rsidR="002709ED" w:rsidRDefault="00B2757B">
      <w:pPr>
        <w:spacing w:before="120" w:after="120" w:line="360" w:lineRule="auto"/>
        <w:rPr>
          <w:lang w:eastAsia="en-US"/>
        </w:rPr>
      </w:pPr>
      <w:r>
        <w:rPr>
          <w:lang w:eastAsia="en-US"/>
        </w:rPr>
        <w:lastRenderedPageBreak/>
        <w:t>keďže:</w:t>
      </w:r>
    </w:p>
    <w:p w14:paraId="275349D1" w14:textId="77777777" w:rsidR="002709ED" w:rsidRDefault="00B2757B">
      <w:pPr>
        <w:spacing w:before="120" w:after="120" w:line="360" w:lineRule="auto"/>
        <w:ind w:left="850" w:hanging="850"/>
        <w:rPr>
          <w:b/>
          <w:szCs w:val="24"/>
          <w:lang w:eastAsia="en-US"/>
        </w:rPr>
      </w:pPr>
      <w:r>
        <w:rPr>
          <w:b/>
          <w:i/>
          <w:szCs w:val="24"/>
          <w:lang w:eastAsia="en-US"/>
        </w:rPr>
        <w:t>(</w:t>
      </w:r>
      <w:r w:rsidR="00E06D69">
        <w:rPr>
          <w:b/>
          <w:i/>
          <w:szCs w:val="24"/>
          <w:lang w:eastAsia="en-US"/>
        </w:rPr>
        <w:t>-</w:t>
      </w:r>
      <w:r>
        <w:rPr>
          <w:b/>
          <w:i/>
          <w:szCs w:val="24"/>
          <w:lang w:eastAsia="en-US"/>
        </w:rPr>
        <w:t>1)</w:t>
      </w:r>
      <w:r>
        <w:rPr>
          <w:szCs w:val="24"/>
          <w:lang w:eastAsia="en-US"/>
        </w:rPr>
        <w:tab/>
      </w:r>
      <w:r>
        <w:rPr>
          <w:b/>
          <w:i/>
          <w:szCs w:val="24"/>
          <w:lang w:eastAsia="en-US"/>
        </w:rPr>
        <w:t>Voda nie je len komerčný produkt ako každý iný, ale aj verejný statok a dedičstvo, ktoré treba chrániť a s ktorým treba ako s takým aj zaobchádzať, aby sa zabezpečilo zachovanie ekosystémov a všeobecný prístup k čistej vode.</w:t>
      </w:r>
      <w:r>
        <w:rPr>
          <w:b/>
          <w:szCs w:val="24"/>
          <w:lang w:eastAsia="en-US"/>
        </w:rPr>
        <w:t xml:space="preserve"> [PN 1]</w:t>
      </w:r>
    </w:p>
    <w:p w14:paraId="41439E08" w14:textId="77777777" w:rsidR="002709ED" w:rsidRDefault="00B2757B">
      <w:pPr>
        <w:spacing w:before="120" w:after="120" w:line="360" w:lineRule="auto"/>
        <w:ind w:left="850" w:hanging="850"/>
        <w:rPr>
          <w:b/>
          <w:szCs w:val="24"/>
          <w:lang w:eastAsia="en-US"/>
        </w:rPr>
      </w:pPr>
      <w:r>
        <w:rPr>
          <w:b/>
          <w:i/>
          <w:szCs w:val="24"/>
          <w:lang w:eastAsia="en-US"/>
        </w:rPr>
        <w:t>(</w:t>
      </w:r>
      <w:r w:rsidR="00E06D69">
        <w:rPr>
          <w:b/>
          <w:i/>
          <w:szCs w:val="24"/>
          <w:lang w:eastAsia="en-US"/>
        </w:rPr>
        <w:t>-1a</w:t>
      </w:r>
      <w:r>
        <w:rPr>
          <w:b/>
          <w:i/>
          <w:szCs w:val="24"/>
          <w:lang w:eastAsia="en-US"/>
        </w:rPr>
        <w:t>)</w:t>
      </w:r>
      <w:r>
        <w:rPr>
          <w:szCs w:val="24"/>
          <w:lang w:eastAsia="en-US"/>
        </w:rPr>
        <w:tab/>
      </w:r>
      <w:r>
        <w:rPr>
          <w:b/>
          <w:i/>
          <w:szCs w:val="24"/>
          <w:lang w:eastAsia="en-US"/>
        </w:rPr>
        <w:t xml:space="preserve">V rezolúcii Valného zhromaždenia z 28. júla </w:t>
      </w:r>
      <w:r w:rsidR="0061315A">
        <w:rPr>
          <w:b/>
          <w:i/>
          <w:szCs w:val="24"/>
          <w:lang w:eastAsia="en-US"/>
        </w:rPr>
        <w:t xml:space="preserve">2010 </w:t>
      </w:r>
      <w:r>
        <w:rPr>
          <w:b/>
          <w:i/>
          <w:szCs w:val="24"/>
          <w:lang w:eastAsia="en-US"/>
        </w:rPr>
        <w:t>sa uznáva právo na bezpečnú a čistú pitnú vodu a sanitáciu ako ľudské právo, ktoré je podmienkou plnohodnotného života a uplatňovania všetkých ľudských práv. V nadväznosti na úspech európskej iniciatívy občanov z roku 2014 s názvom „Right2Water“ Komisia v roku 2018 prijala návrh na revíziu smernice o pitnej vode a príslušná zmenená smernica nadobudla účinnosť 12. januára 2021. V uvedenej smernici sa stanovuje povinnosť členských štátov zlepšiť prístup k vode určenej na ľudskú spotrebu, pričom treba okrem iného využiť získané poznatky a opatrenia vykonané podľa smernice 2000/60/ES. Členské štáty by tiež mali zabezpečiť účinnosť práva na čistú vodu a sanitáciu zlepšením kvality povrchových a podzemných vôd.</w:t>
      </w:r>
      <w:r>
        <w:rPr>
          <w:b/>
          <w:szCs w:val="24"/>
          <w:lang w:eastAsia="en-US"/>
        </w:rPr>
        <w:t xml:space="preserve"> [PN 2]</w:t>
      </w:r>
    </w:p>
    <w:p w14:paraId="5A128135" w14:textId="77777777" w:rsidR="002709ED" w:rsidRDefault="00B2757B">
      <w:pPr>
        <w:widowControl/>
        <w:rPr>
          <w:szCs w:val="24"/>
          <w:lang w:eastAsia="en-US"/>
        </w:rPr>
      </w:pPr>
      <w:r>
        <w:rPr>
          <w:szCs w:val="24"/>
          <w:lang w:eastAsia="en-US"/>
        </w:rPr>
        <w:br w:type="page"/>
      </w:r>
    </w:p>
    <w:p w14:paraId="12F3A21A" w14:textId="77777777" w:rsidR="002709ED" w:rsidRDefault="00B2757B">
      <w:pPr>
        <w:spacing w:before="120" w:after="120" w:line="360" w:lineRule="auto"/>
        <w:ind w:left="850" w:hanging="850"/>
        <w:rPr>
          <w:b/>
          <w:szCs w:val="24"/>
          <w:lang w:eastAsia="en-US"/>
        </w:rPr>
      </w:pPr>
      <w:r>
        <w:rPr>
          <w:szCs w:val="24"/>
          <w:lang w:eastAsia="en-US"/>
        </w:rPr>
        <w:lastRenderedPageBreak/>
        <w:t>(1)</w:t>
      </w:r>
      <w:r>
        <w:rPr>
          <w:szCs w:val="24"/>
          <w:lang w:eastAsia="en-US"/>
        </w:rPr>
        <w:tab/>
        <w:t>Znečistenie povrchových a podzemných vôd chemickými látkami predstavuje pre vodné prostredie hrozbu s takými dôsledkami, akými sú akútna a chronická toxicita vodných organizmov, akumulácia znečisťujúcich látok v ekosystéme, strata prírodných biotopov a biodiverzity, ako aj pre ľudské zdravie. Stanovenie noriem environmentálnej kvality pomáha realizovať cieľ nulového znečistenia pre netoxické životné prostredie</w:t>
      </w:r>
      <w:r>
        <w:rPr>
          <w:b/>
          <w:i/>
          <w:szCs w:val="24"/>
          <w:lang w:eastAsia="en-US"/>
        </w:rPr>
        <w:t>, ktorý je jedným z prioritných cieľov 8</w:t>
      </w:r>
      <w:r>
        <w:rPr>
          <w:szCs w:val="24"/>
          <w:lang w:eastAsia="en-US"/>
        </w:rPr>
        <w:t>.</w:t>
      </w:r>
      <w:r>
        <w:rPr>
          <w:b/>
          <w:i/>
          <w:szCs w:val="24"/>
          <w:lang w:eastAsia="en-US"/>
        </w:rPr>
        <w:t xml:space="preserve"> environmentálneho akčného programu</w:t>
      </w:r>
      <w:r>
        <w:rPr>
          <w:szCs w:val="24"/>
          <w:vertAlign w:val="superscript"/>
          <w:lang w:eastAsia="en-US"/>
        </w:rPr>
        <w:footnoteReference w:id="5"/>
      </w:r>
      <w:r>
        <w:rPr>
          <w:b/>
          <w:i/>
          <w:szCs w:val="24"/>
          <w:lang w:eastAsia="en-US"/>
        </w:rPr>
        <w:t>.</w:t>
      </w:r>
      <w:r>
        <w:rPr>
          <w:b/>
          <w:szCs w:val="24"/>
          <w:lang w:eastAsia="en-US"/>
        </w:rPr>
        <w:t xml:space="preserve"> [PN 3]</w:t>
      </w:r>
    </w:p>
    <w:p w14:paraId="279E7CBD" w14:textId="77777777" w:rsidR="002709ED" w:rsidRDefault="00B2757B">
      <w:pPr>
        <w:spacing w:before="120" w:after="120" w:line="360" w:lineRule="auto"/>
        <w:ind w:left="850" w:hanging="850"/>
        <w:rPr>
          <w:b/>
          <w:szCs w:val="24"/>
          <w:lang w:eastAsia="en-US"/>
        </w:rPr>
      </w:pPr>
      <w:r>
        <w:rPr>
          <w:b/>
          <w:i/>
          <w:szCs w:val="24"/>
          <w:lang w:eastAsia="en-US"/>
        </w:rPr>
        <w:t>(1a)</w:t>
      </w:r>
      <w:r>
        <w:rPr>
          <w:szCs w:val="24"/>
          <w:lang w:eastAsia="en-US"/>
        </w:rPr>
        <w:tab/>
      </w:r>
      <w:r>
        <w:rPr>
          <w:b/>
          <w:i/>
          <w:szCs w:val="24"/>
          <w:lang w:eastAsia="en-US"/>
        </w:rPr>
        <w:t>Podľa Európskej environmentálnej agentúry je približne 90 % plochy útvarov podzemnej vody podľa správ v dobrom kvantitatívnom stave, približne 75 % plochy útvarov podzemnej vody je v dobrom chemickom stave, 40 % útvarov povrchovej vody je v dobrom alebo vysoko ekologickom stave a 38 % útvarov povrchovej vody je v dobrom chemickom stave, zatiaľ čo v správe Európskej environmentálnej agentúry zo 4. decembra 2019 s názvom Životné prostredie v Európe – stav a výhľad 2020: poznatky potrebné na prechod na udržateľnú Európu sa uvádza, že znížené znečistenie zlepšilo kvalitu vody, ale Únia ani zďaleka nedosiahla dobrý ekologický stav všetkých vodných útvarov do roku 2020.</w:t>
      </w:r>
      <w:r>
        <w:rPr>
          <w:b/>
          <w:szCs w:val="24"/>
          <w:lang w:eastAsia="en-US"/>
        </w:rPr>
        <w:t xml:space="preserve"> [PN 4]</w:t>
      </w:r>
    </w:p>
    <w:p w14:paraId="06242878" w14:textId="77777777" w:rsidR="002709ED" w:rsidRDefault="00B2757B">
      <w:pPr>
        <w:widowControl/>
        <w:rPr>
          <w:b/>
          <w:i/>
          <w:szCs w:val="24"/>
          <w:lang w:eastAsia="en-US"/>
        </w:rPr>
      </w:pPr>
      <w:r>
        <w:rPr>
          <w:b/>
          <w:i/>
          <w:szCs w:val="24"/>
          <w:lang w:eastAsia="en-US"/>
        </w:rPr>
        <w:br w:type="page"/>
      </w:r>
    </w:p>
    <w:p w14:paraId="343133D9" w14:textId="77777777" w:rsidR="002709ED" w:rsidRDefault="00B2757B">
      <w:pPr>
        <w:spacing w:before="120" w:after="120" w:line="360" w:lineRule="auto"/>
        <w:ind w:left="850" w:hanging="850"/>
        <w:rPr>
          <w:b/>
          <w:szCs w:val="24"/>
          <w:lang w:eastAsia="en-US"/>
        </w:rPr>
      </w:pPr>
      <w:r>
        <w:rPr>
          <w:b/>
          <w:i/>
          <w:szCs w:val="24"/>
          <w:lang w:eastAsia="en-US"/>
        </w:rPr>
        <w:lastRenderedPageBreak/>
        <w:t>(1b)</w:t>
      </w:r>
      <w:r>
        <w:rPr>
          <w:szCs w:val="24"/>
          <w:lang w:eastAsia="en-US"/>
        </w:rPr>
        <w:tab/>
      </w:r>
      <w:r>
        <w:rPr>
          <w:b/>
          <w:i/>
          <w:szCs w:val="24"/>
          <w:lang w:eastAsia="en-US"/>
        </w:rPr>
        <w:t>Kontrola vhodnosti rámcovej smernice o vode z roku 2019 vo svojom hodnotení dospela k záveru, že ďalšie kolo programov opatrení bude zohrávať kľúčovú úlohu pri zabezpečovaní potrebného pokroku pri dosahovaní environmentálnych cieľov smernice 2000/60/ES v termíne do roku 2027, a uvádza sa v nej, že v súčasnosti je viac ako polovica všetkých európskych vodných útvarov vyňatá podľa smernice 2000/60/ES, čo spôsobuje, že výzva, aby členské štáty dosiahli normy environmentálnej kvality pre prioritné látky v stanovenom termíne, je viac než veľká. Okrem toho kontrola vhodnosti skonštatovala, že ciele rámcovej smernice o vode sa v plnej miere nedosiahli najmä v dôsledku nedostatočného financovania, pomalého vykonávania a nedostatočného začlenenia environmentálnych cieľov do odvetvových politík, a nie v dôsledku nedostatočných právnych predpisov.</w:t>
      </w:r>
      <w:r>
        <w:rPr>
          <w:b/>
          <w:szCs w:val="24"/>
          <w:lang w:eastAsia="en-US"/>
        </w:rPr>
        <w:t xml:space="preserve"> [PN 5]</w:t>
      </w:r>
    </w:p>
    <w:p w14:paraId="5E9EE4C5" w14:textId="77777777" w:rsidR="002709ED" w:rsidRDefault="00B2757B">
      <w:pPr>
        <w:widowControl/>
        <w:rPr>
          <w:b/>
          <w:i/>
          <w:szCs w:val="24"/>
          <w:lang w:eastAsia="en-US"/>
        </w:rPr>
      </w:pPr>
      <w:r>
        <w:rPr>
          <w:b/>
          <w:i/>
          <w:szCs w:val="24"/>
          <w:lang w:eastAsia="en-US"/>
        </w:rPr>
        <w:br w:type="page"/>
      </w:r>
    </w:p>
    <w:p w14:paraId="10BB4AB6" w14:textId="77777777" w:rsidR="002709ED" w:rsidRDefault="00B2757B">
      <w:pPr>
        <w:spacing w:before="120" w:after="120" w:line="360" w:lineRule="auto"/>
        <w:ind w:left="850" w:hanging="850"/>
        <w:rPr>
          <w:b/>
          <w:szCs w:val="24"/>
          <w:lang w:eastAsia="en-US"/>
        </w:rPr>
      </w:pPr>
      <w:r>
        <w:rPr>
          <w:b/>
          <w:i/>
          <w:szCs w:val="24"/>
          <w:lang w:eastAsia="en-US"/>
        </w:rPr>
        <w:lastRenderedPageBreak/>
        <w:t>(1c)</w:t>
      </w:r>
      <w:r>
        <w:rPr>
          <w:szCs w:val="24"/>
          <w:lang w:eastAsia="en-US"/>
        </w:rPr>
        <w:tab/>
      </w:r>
      <w:r>
        <w:rPr>
          <w:b/>
          <w:i/>
          <w:szCs w:val="24"/>
          <w:lang w:eastAsia="en-US"/>
        </w:rPr>
        <w:t>Vzhľadom na geografické a sociálno-ekonomické faktory sú niektoré skupiny obyvateľstva vrátane pôvodných obyvateľov zraniteľnejšie voči znečisteniu vody. Očakáva sa, že ťažobný sektor v Európskej únii bude rásť, aby sa zabezpečil rozvoj emisne neutrálneho priemyslu. Ako sa uvádza v správe 09/2021 Európskej environmentálnej agentúry</w:t>
      </w:r>
      <w:r>
        <w:rPr>
          <w:szCs w:val="24"/>
          <w:vertAlign w:val="superscript"/>
          <w:lang w:eastAsia="en-US"/>
        </w:rPr>
        <w:footnoteReference w:id="6"/>
      </w:r>
      <w:r>
        <w:rPr>
          <w:b/>
          <w:i/>
          <w:szCs w:val="24"/>
          <w:lang w:eastAsia="en-US"/>
        </w:rPr>
        <w:t>, ťažobný sektor má priamy vplyv na kvalitu a množstvo vody. Preto je potrebné lepšie implementovať existujúce legislatívne rámce a plánovať a kontrolovať využívanie a vypúšťanie vody aj pri ťažobnej činnosti.</w:t>
      </w:r>
      <w:r>
        <w:rPr>
          <w:b/>
          <w:szCs w:val="24"/>
          <w:lang w:eastAsia="en-US"/>
        </w:rPr>
        <w:t xml:space="preserve"> [PN 6]</w:t>
      </w:r>
    </w:p>
    <w:p w14:paraId="7C2DE63B" w14:textId="77777777" w:rsidR="002709ED" w:rsidRDefault="00B2757B">
      <w:pPr>
        <w:spacing w:before="120" w:after="120" w:line="360" w:lineRule="auto"/>
        <w:ind w:left="850" w:hanging="850"/>
        <w:rPr>
          <w:b/>
          <w:szCs w:val="24"/>
          <w:lang w:eastAsia="en-US"/>
        </w:rPr>
      </w:pPr>
      <w:r>
        <w:rPr>
          <w:b/>
          <w:i/>
          <w:szCs w:val="24"/>
          <w:lang w:eastAsia="en-US"/>
        </w:rPr>
        <w:t>(1d)</w:t>
      </w:r>
      <w:r>
        <w:rPr>
          <w:szCs w:val="24"/>
          <w:lang w:eastAsia="en-US"/>
        </w:rPr>
        <w:tab/>
      </w:r>
      <w:r>
        <w:rPr>
          <w:b/>
          <w:i/>
          <w:szCs w:val="24"/>
          <w:lang w:eastAsia="en-US"/>
        </w:rPr>
        <w:t>Mnohé územia v Únii sú vystavené veľkému a rastúcemu nedostatku vody. Veľké a pretrvávajúce suchá v uplynulých rokoch, najmä v stredomorských regiónoch, ohrozujú poľnohospodársku výrobu a spôsobujú vážny pokles zásob povrchovej a podzemnej vody</w:t>
      </w:r>
      <w:r>
        <w:rPr>
          <w:szCs w:val="24"/>
          <w:vertAlign w:val="superscript"/>
          <w:lang w:eastAsia="en-US"/>
        </w:rPr>
        <w:footnoteReference w:id="7"/>
      </w:r>
      <w:r>
        <w:rPr>
          <w:b/>
          <w:i/>
          <w:szCs w:val="24"/>
          <w:lang w:eastAsia="en-US"/>
        </w:rPr>
        <w:t>.</w:t>
      </w:r>
      <w:r>
        <w:rPr>
          <w:b/>
          <w:szCs w:val="24"/>
          <w:lang w:eastAsia="en-US"/>
        </w:rPr>
        <w:t xml:space="preserve"> [PN 7]</w:t>
      </w:r>
    </w:p>
    <w:p w14:paraId="07E65588" w14:textId="77777777" w:rsidR="002709ED" w:rsidRDefault="00B2757B">
      <w:pPr>
        <w:spacing w:before="120" w:after="120" w:line="360" w:lineRule="auto"/>
        <w:ind w:left="850" w:hanging="850"/>
        <w:rPr>
          <w:b/>
          <w:szCs w:val="24"/>
          <w:lang w:eastAsia="en-US"/>
        </w:rPr>
      </w:pPr>
      <w:r>
        <w:rPr>
          <w:b/>
          <w:i/>
          <w:szCs w:val="24"/>
          <w:lang w:eastAsia="en-US"/>
        </w:rPr>
        <w:t>(1e)</w:t>
      </w:r>
      <w:r>
        <w:rPr>
          <w:szCs w:val="24"/>
          <w:lang w:eastAsia="en-US"/>
        </w:rPr>
        <w:tab/>
      </w:r>
      <w:r>
        <w:rPr>
          <w:b/>
          <w:i/>
          <w:szCs w:val="24"/>
          <w:lang w:eastAsia="en-US"/>
        </w:rPr>
        <w:t>Voda je verejným statkom prospešným všetkým, ktorý ako základný prírodný zdroj, ktorý je nenahraditeľný a životne dôležitý musí byť dôkladne posudzovaný z hľadiska sociálneho, hospodárskeho a environmentálneho rozmeru. Zmena klímy vrátane zvýšeného výskytu prírodných katastrof a extrémnych výkyvov počasia a degradácia biodiverzity negatívne ovplyvňujú kvalitu a množstvo vody, čo vedie k tlaku na odvetvia závislé od dostupnosti vody, najmä na poľnohospodárstvo.</w:t>
      </w:r>
      <w:r>
        <w:rPr>
          <w:b/>
          <w:szCs w:val="24"/>
          <w:lang w:eastAsia="en-US"/>
        </w:rPr>
        <w:t xml:space="preserve"> [PN 8]</w:t>
      </w:r>
    </w:p>
    <w:p w14:paraId="2A6BEBB2" w14:textId="77777777" w:rsidR="002709ED" w:rsidRDefault="00B2757B">
      <w:pPr>
        <w:widowControl/>
        <w:rPr>
          <w:b/>
          <w:i/>
          <w:szCs w:val="24"/>
          <w:lang w:eastAsia="en-US"/>
        </w:rPr>
      </w:pPr>
      <w:r>
        <w:rPr>
          <w:b/>
          <w:i/>
          <w:szCs w:val="24"/>
          <w:lang w:eastAsia="en-US"/>
        </w:rPr>
        <w:br w:type="page"/>
      </w:r>
    </w:p>
    <w:p w14:paraId="093DC25E" w14:textId="77777777" w:rsidR="002709ED" w:rsidRDefault="00B2757B">
      <w:pPr>
        <w:spacing w:before="120" w:after="120" w:line="360" w:lineRule="auto"/>
        <w:ind w:left="850" w:hanging="850"/>
        <w:rPr>
          <w:b/>
          <w:szCs w:val="24"/>
          <w:lang w:eastAsia="en-US"/>
        </w:rPr>
      </w:pPr>
      <w:r>
        <w:rPr>
          <w:b/>
          <w:i/>
          <w:szCs w:val="24"/>
          <w:lang w:eastAsia="en-US"/>
        </w:rPr>
        <w:lastRenderedPageBreak/>
        <w:t>(1f)</w:t>
      </w:r>
      <w:r>
        <w:rPr>
          <w:szCs w:val="24"/>
          <w:lang w:eastAsia="en-US"/>
        </w:rPr>
        <w:tab/>
      </w:r>
      <w:r>
        <w:rPr>
          <w:b/>
          <w:i/>
          <w:szCs w:val="24"/>
          <w:lang w:eastAsia="en-US"/>
        </w:rPr>
        <w:t>Hoci Európska environmentálna agentúra (EEA) v správe z roku 2018 nazvanej Európske vodné útvary – posúdenie stavu a záťaže označila niektoré poľnohospodárske postupy za prekážku dosiahnutia dobrého chemického stavu podzemných vôd v Únii, čo vedie k znečisteniu dusičnanmi a pesticídmi, v EÚ sa v posledných desaťročiach pozoroval neustály pokles používania minerálnych hnojív a pokles prebytku živín</w:t>
      </w:r>
      <w:r>
        <w:rPr>
          <w:szCs w:val="24"/>
          <w:vertAlign w:val="superscript"/>
          <w:lang w:eastAsia="en-US"/>
        </w:rPr>
        <w:footnoteReference w:id="8"/>
      </w:r>
      <w:r>
        <w:rPr>
          <w:b/>
          <w:i/>
          <w:szCs w:val="24"/>
          <w:lang w:eastAsia="en-US"/>
        </w:rPr>
        <w:t>. Ďalší významný zdroj znečistenia predstavujú vypúšťanie mimo kanalizáciu, kontaminované lokality alebo opustené priemyselné lokality.</w:t>
      </w:r>
      <w:r>
        <w:rPr>
          <w:b/>
          <w:szCs w:val="24"/>
          <w:lang w:eastAsia="en-US"/>
        </w:rPr>
        <w:t xml:space="preserve"> [PN 9]</w:t>
      </w:r>
    </w:p>
    <w:p w14:paraId="21563431" w14:textId="77777777" w:rsidR="002709ED" w:rsidRDefault="00B2757B">
      <w:pPr>
        <w:spacing w:before="120" w:after="120" w:line="360" w:lineRule="auto"/>
        <w:ind w:left="850" w:hanging="850"/>
        <w:rPr>
          <w:b/>
          <w:szCs w:val="24"/>
          <w:lang w:eastAsia="en-US"/>
        </w:rPr>
      </w:pPr>
      <w:r>
        <w:rPr>
          <w:b/>
          <w:i/>
          <w:szCs w:val="24"/>
          <w:lang w:eastAsia="en-US"/>
        </w:rPr>
        <w:t>(1g)</w:t>
      </w:r>
      <w:r>
        <w:rPr>
          <w:szCs w:val="24"/>
          <w:lang w:eastAsia="en-US"/>
        </w:rPr>
        <w:tab/>
      </w:r>
      <w:r>
        <w:rPr>
          <w:b/>
          <w:i/>
          <w:szCs w:val="24"/>
          <w:lang w:eastAsia="en-US"/>
        </w:rPr>
        <w:t>Dobrý stav vodných útvarov a efektívne hospodárenie s vodnými zdrojmi predstavujú pre poľnohospodárstvo prioritu, pretože poľnohospodári sú pri svojej činnosti závislí od vody, a preto majú eminentný záujem na udržateľnom využívaní tohto zdroja.</w:t>
      </w:r>
      <w:r>
        <w:rPr>
          <w:b/>
          <w:szCs w:val="24"/>
          <w:lang w:eastAsia="en-US"/>
        </w:rPr>
        <w:t xml:space="preserve"> [PN 10]</w:t>
      </w:r>
    </w:p>
    <w:p w14:paraId="031CFD71" w14:textId="77777777" w:rsidR="002709ED" w:rsidRDefault="00B2757B">
      <w:pPr>
        <w:spacing w:before="120" w:after="120" w:line="360" w:lineRule="auto"/>
        <w:ind w:left="850" w:hanging="850"/>
        <w:rPr>
          <w:b/>
          <w:szCs w:val="24"/>
          <w:lang w:eastAsia="en-US"/>
        </w:rPr>
      </w:pPr>
      <w:r>
        <w:rPr>
          <w:b/>
          <w:i/>
          <w:szCs w:val="24"/>
          <w:lang w:eastAsia="en-US"/>
        </w:rPr>
        <w:t>(1h)</w:t>
      </w:r>
      <w:r>
        <w:rPr>
          <w:szCs w:val="24"/>
          <w:lang w:eastAsia="en-US"/>
        </w:rPr>
        <w:tab/>
      </w:r>
      <w:r>
        <w:rPr>
          <w:b/>
          <w:i/>
          <w:szCs w:val="24"/>
          <w:lang w:eastAsia="en-US"/>
        </w:rPr>
        <w:t>S cieľom uľahčiť prechod k udržateľnejšiemu a produktívnejšiemu odvetviu poľnohospodárstva, ktoré je odolné voči nedostatku vody, by sa mali zaviesť stimuly pre poľnohospodárov na zlepšenie hospodárenia s vodami a na modernizáciu zavlažovacích systémov a technológií.</w:t>
      </w:r>
      <w:r>
        <w:rPr>
          <w:b/>
          <w:szCs w:val="24"/>
          <w:lang w:eastAsia="en-US"/>
        </w:rPr>
        <w:t xml:space="preserve"> [PN 11]]</w:t>
      </w:r>
    </w:p>
    <w:p w14:paraId="0A339007" w14:textId="77777777" w:rsidR="002709ED" w:rsidRDefault="00B2757B">
      <w:pPr>
        <w:widowControl/>
        <w:rPr>
          <w:b/>
          <w:i/>
          <w:szCs w:val="24"/>
          <w:lang w:eastAsia="en-US"/>
        </w:rPr>
      </w:pPr>
      <w:r>
        <w:rPr>
          <w:b/>
          <w:i/>
          <w:szCs w:val="24"/>
          <w:lang w:eastAsia="en-US"/>
        </w:rPr>
        <w:br w:type="page"/>
      </w:r>
    </w:p>
    <w:p w14:paraId="772903F4" w14:textId="77777777" w:rsidR="002709ED" w:rsidRDefault="00B2757B">
      <w:pPr>
        <w:spacing w:before="120" w:after="120" w:line="360" w:lineRule="auto"/>
        <w:ind w:left="850" w:hanging="850"/>
        <w:rPr>
          <w:b/>
          <w:szCs w:val="24"/>
          <w:lang w:eastAsia="en-US"/>
        </w:rPr>
      </w:pPr>
      <w:r>
        <w:rPr>
          <w:b/>
          <w:i/>
          <w:szCs w:val="24"/>
          <w:lang w:eastAsia="en-US"/>
        </w:rPr>
        <w:lastRenderedPageBreak/>
        <w:t>(1i)</w:t>
      </w:r>
      <w:r>
        <w:rPr>
          <w:szCs w:val="24"/>
          <w:lang w:eastAsia="en-US"/>
        </w:rPr>
        <w:tab/>
      </w:r>
      <w:r>
        <w:rPr>
          <w:b/>
          <w:i/>
          <w:szCs w:val="24"/>
          <w:lang w:eastAsia="en-US"/>
        </w:rPr>
        <w:t>Používanie pesticídov môže vážne ovplyvniť kvalitu vody a množstvo vody dostupné na poľnohospodárske použitie, čo vedie k negatívnym vplyvom na vodnú aj suchozemskú biodiverzitu. Je preto vhodné monitorovať účinky a ekotoxikologické správanie pesticídov a ich metabolitov vo vodných útvaroch.</w:t>
      </w:r>
      <w:r>
        <w:rPr>
          <w:b/>
          <w:szCs w:val="24"/>
          <w:lang w:eastAsia="en-US"/>
        </w:rPr>
        <w:t xml:space="preserve"> [PN 12]</w:t>
      </w:r>
    </w:p>
    <w:p w14:paraId="7B89AD4D" w14:textId="77777777" w:rsidR="002709ED" w:rsidRDefault="00B2757B">
      <w:pPr>
        <w:spacing w:before="120" w:after="120" w:line="360" w:lineRule="auto"/>
        <w:ind w:left="850" w:hanging="850"/>
        <w:rPr>
          <w:b/>
          <w:szCs w:val="24"/>
          <w:lang w:eastAsia="en-US"/>
        </w:rPr>
      </w:pPr>
      <w:r>
        <w:rPr>
          <w:b/>
          <w:i/>
          <w:szCs w:val="24"/>
          <w:lang w:eastAsia="en-US"/>
        </w:rPr>
        <w:t>(1j)</w:t>
      </w:r>
      <w:r>
        <w:rPr>
          <w:szCs w:val="24"/>
          <w:lang w:eastAsia="en-US"/>
        </w:rPr>
        <w:tab/>
      </w:r>
      <w:r>
        <w:rPr>
          <w:b/>
          <w:i/>
          <w:szCs w:val="24"/>
          <w:lang w:eastAsia="en-US"/>
        </w:rPr>
        <w:t>Je nevyhnutné vziať do úvahy úsilie, ktoré sa doteraz dosiahlo v odvetviach, ako je poľnohospodárstvo, kde sa podarilo znížiť fytosanitárnu kontamináciu o 14 % v porovnaní s rokmi 2015 – 2017 a o 26 % v prípade najškodlivejších znečisťujúcich látok. Z týchto údajov vyplýva, že používanie chemických látok a ich rizikovosť sa neustále znižuje, pričom rok 2020 bol druhým rokom po sebe, v ktorom došlo k výraznému zníženiu používania pesticídov, najmä tých najnebezpečnejších</w:t>
      </w:r>
      <w:r>
        <w:rPr>
          <w:szCs w:val="24"/>
          <w:vertAlign w:val="superscript"/>
          <w:lang w:eastAsia="en-US"/>
        </w:rPr>
        <w:footnoteReference w:id="9"/>
      </w:r>
      <w:r>
        <w:rPr>
          <w:b/>
          <w:i/>
          <w:szCs w:val="24"/>
          <w:lang w:eastAsia="en-US"/>
        </w:rPr>
        <w:t>.</w:t>
      </w:r>
      <w:r>
        <w:rPr>
          <w:b/>
          <w:szCs w:val="24"/>
          <w:lang w:eastAsia="en-US"/>
        </w:rPr>
        <w:t xml:space="preserve"> [PN 13]</w:t>
      </w:r>
    </w:p>
    <w:p w14:paraId="6BCA55D6" w14:textId="77777777" w:rsidR="002709ED" w:rsidRDefault="00B2757B">
      <w:pPr>
        <w:widowControl/>
        <w:rPr>
          <w:b/>
          <w:i/>
          <w:szCs w:val="24"/>
          <w:lang w:eastAsia="en-US"/>
        </w:rPr>
      </w:pPr>
      <w:r>
        <w:rPr>
          <w:b/>
          <w:i/>
          <w:szCs w:val="24"/>
          <w:lang w:eastAsia="en-US"/>
        </w:rPr>
        <w:br w:type="page"/>
      </w:r>
    </w:p>
    <w:p w14:paraId="4C4BDE1D" w14:textId="77777777" w:rsidR="002709ED" w:rsidRDefault="00B2757B">
      <w:pPr>
        <w:spacing w:before="120" w:after="120" w:line="360" w:lineRule="auto"/>
        <w:ind w:left="850" w:hanging="850"/>
        <w:rPr>
          <w:b/>
          <w:szCs w:val="24"/>
          <w:lang w:eastAsia="en-US"/>
        </w:rPr>
      </w:pPr>
      <w:r>
        <w:rPr>
          <w:b/>
          <w:i/>
          <w:szCs w:val="24"/>
          <w:lang w:eastAsia="en-US"/>
        </w:rPr>
        <w:lastRenderedPageBreak/>
        <w:t>(1k)</w:t>
      </w:r>
      <w:r>
        <w:rPr>
          <w:szCs w:val="24"/>
          <w:lang w:eastAsia="en-US"/>
        </w:rPr>
        <w:tab/>
      </w:r>
      <w:r>
        <w:rPr>
          <w:b/>
          <w:i/>
          <w:szCs w:val="24"/>
          <w:lang w:eastAsia="en-US"/>
        </w:rPr>
        <w:t>Chemické znečistenie povrchových a podzemných vôd takisto ohrozuje poľnohospodárstvo tým, že obmedzuje dostupnosť vody vhodnej na zavlažovanie plodín a ešte viac prehlbuje nedostatok vody. Únia a členské štáty by preto mali zvýšiť podporu výskumu a inovácií s cieľom rýchlo zaviesť opatrenia na riešenie nedostatku povrchových a podzemných vôd a znečistenia vrátane digitalizácie, presného poľnohospodárstva, optimalizovaného zavlažovania a modernizácie zavlažovania a obehového využívania zdrojov, a to v záujme lepšieho vodného hospodárstva odolného voči zmene klímy a cielenejšieho používania pesticídov a hnojív v prípade plodín, menej znečisťujúcich a bezpečnejších alternatív poľnohospodárskych vstupov, odolnejších a nutrične bohatších odrôd plodín a zvýšeného využívania upravenej odpadovej vody na poľnohospodárske zavlažovanie. To by malo prispieť k dosiahnutiu udržateľného a odolného potravinového systému Únie a zároveň znížiť difúzne znečistenie z poľnohospodárstva a potrebu odberu vody v poľnohospodárstve.</w:t>
      </w:r>
      <w:r>
        <w:rPr>
          <w:b/>
          <w:szCs w:val="24"/>
          <w:lang w:eastAsia="en-US"/>
        </w:rPr>
        <w:t xml:space="preserve"> [PN 14]</w:t>
      </w:r>
    </w:p>
    <w:p w14:paraId="1594E39E" w14:textId="77777777" w:rsidR="002709ED" w:rsidRDefault="00B2757B">
      <w:pPr>
        <w:widowControl/>
        <w:rPr>
          <w:szCs w:val="24"/>
          <w:lang w:eastAsia="en-US"/>
        </w:rPr>
      </w:pPr>
      <w:r>
        <w:rPr>
          <w:szCs w:val="24"/>
          <w:lang w:eastAsia="en-US"/>
        </w:rPr>
        <w:br w:type="page"/>
      </w:r>
    </w:p>
    <w:p w14:paraId="0BECD927" w14:textId="77777777" w:rsidR="002709ED" w:rsidRDefault="00B2757B">
      <w:pPr>
        <w:spacing w:before="120" w:after="120" w:line="360" w:lineRule="auto"/>
        <w:ind w:left="850" w:hanging="850"/>
        <w:rPr>
          <w:szCs w:val="24"/>
          <w:lang w:eastAsia="en-US"/>
        </w:rPr>
      </w:pPr>
      <w:r>
        <w:rPr>
          <w:szCs w:val="24"/>
          <w:lang w:eastAsia="en-US"/>
        </w:rPr>
        <w:lastRenderedPageBreak/>
        <w:t>(2)</w:t>
      </w:r>
      <w:r>
        <w:rPr>
          <w:szCs w:val="24"/>
          <w:lang w:eastAsia="en-US"/>
        </w:rPr>
        <w:tab/>
        <w:t>Podľa článku 191 ods. 2 druhej vety Zmluvy o fungovaní Európskej únie (ďalej len „ZFEÚ“) politika Únie týkajúca sa životného prostredia vychádza zo zásad predchádzania škodám a prevencie, zo zásady nápravy škôd na životnom prostredí prioritne pri zdroji a zo zásady, že náhradu škody hradí znečisťovateľ.</w:t>
      </w:r>
    </w:p>
    <w:p w14:paraId="18535BDA" w14:textId="77777777" w:rsidR="002709ED" w:rsidRDefault="00B2757B">
      <w:pPr>
        <w:spacing w:before="120" w:after="120" w:line="360" w:lineRule="auto"/>
        <w:ind w:left="850" w:hanging="850"/>
        <w:rPr>
          <w:b/>
          <w:szCs w:val="24"/>
          <w:lang w:eastAsia="en-US"/>
        </w:rPr>
      </w:pPr>
      <w:r>
        <w:rPr>
          <w:b/>
          <w:i/>
          <w:szCs w:val="24"/>
          <w:lang w:eastAsia="en-US"/>
        </w:rPr>
        <w:t>(2a)</w:t>
      </w:r>
      <w:r>
        <w:rPr>
          <w:szCs w:val="24"/>
          <w:lang w:eastAsia="en-US"/>
        </w:rPr>
        <w:tab/>
      </w:r>
      <w:r>
        <w:rPr>
          <w:b/>
          <w:i/>
          <w:szCs w:val="24"/>
          <w:lang w:eastAsia="en-US"/>
        </w:rPr>
        <w:t>Pri snahe o dosiahnutie vysokej úrovne ochrany životného prostredia a pri vykonávaní akčného plánu nulového znečistenia by Únia mala zohľadniť rozmanitosť situácií v rôznych regiónoch, vplyv na potravinovú bezpečnosť, potravinársku výrobu a cenovú dostupnosť potravín, ako aj zdravé a udržateľné stravovanie.</w:t>
      </w:r>
      <w:r>
        <w:rPr>
          <w:b/>
          <w:szCs w:val="24"/>
          <w:lang w:eastAsia="en-US"/>
        </w:rPr>
        <w:t xml:space="preserve"> [PN 15]</w:t>
      </w:r>
    </w:p>
    <w:p w14:paraId="50F773E4" w14:textId="77777777" w:rsidR="002709ED" w:rsidRDefault="00B2757B">
      <w:pPr>
        <w:widowControl/>
        <w:rPr>
          <w:szCs w:val="24"/>
          <w:lang w:eastAsia="en-US"/>
        </w:rPr>
      </w:pPr>
      <w:r>
        <w:rPr>
          <w:szCs w:val="24"/>
          <w:lang w:eastAsia="en-US"/>
        </w:rPr>
        <w:br w:type="page"/>
      </w:r>
    </w:p>
    <w:p w14:paraId="4025C66C" w14:textId="77777777" w:rsidR="002709ED" w:rsidRDefault="00B2757B">
      <w:pPr>
        <w:spacing w:before="120" w:after="120" w:line="360" w:lineRule="auto"/>
        <w:ind w:left="850" w:hanging="850"/>
        <w:rPr>
          <w:szCs w:val="24"/>
          <w:lang w:eastAsia="en-US"/>
        </w:rPr>
      </w:pPr>
      <w:r>
        <w:rPr>
          <w:szCs w:val="24"/>
          <w:lang w:eastAsia="en-US"/>
        </w:rPr>
        <w:lastRenderedPageBreak/>
        <w:t>(3)</w:t>
      </w:r>
      <w:r>
        <w:rPr>
          <w:szCs w:val="24"/>
          <w:lang w:eastAsia="en-US"/>
        </w:rPr>
        <w:tab/>
        <w:t>Európska zelená dohoda</w:t>
      </w:r>
      <w:r>
        <w:rPr>
          <w:szCs w:val="24"/>
          <w:vertAlign w:val="superscript"/>
          <w:lang w:eastAsia="en-US"/>
        </w:rPr>
        <w:footnoteReference w:id="10"/>
      </w:r>
      <w:r>
        <w:rPr>
          <w:szCs w:val="24"/>
          <w:lang w:eastAsia="en-US"/>
        </w:rPr>
        <w:t xml:space="preserve"> je únijnou stratégiou, ktorej cieľom je do roku 2050 dosiahnuť klimaticky neutrálne, čisté a obehové hospodárstvo, optimalizáciu riadenia zdrojov a zároveň minimalizáciu znečistenia. Konkrétne sa aspektmi znečistenia uvedenými v Európskej zelenej dohode zaoberajú Stratégia EÚ s názvom Chemikálie – stratégia udržateľnosti</w:t>
      </w:r>
      <w:r>
        <w:rPr>
          <w:szCs w:val="24"/>
          <w:vertAlign w:val="superscript"/>
          <w:lang w:eastAsia="en-US"/>
        </w:rPr>
        <w:footnoteReference w:id="11"/>
      </w:r>
      <w:r>
        <w:rPr>
          <w:szCs w:val="24"/>
          <w:lang w:eastAsia="en-US"/>
        </w:rPr>
        <w:t xml:space="preserve"> a akčný plán týkajúci sa nulového znečisťovania</w:t>
      </w:r>
      <w:r>
        <w:rPr>
          <w:szCs w:val="24"/>
          <w:vertAlign w:val="superscript"/>
          <w:lang w:eastAsia="en-US"/>
        </w:rPr>
        <w:footnoteReference w:id="12"/>
      </w:r>
      <w:r>
        <w:rPr>
          <w:szCs w:val="24"/>
          <w:lang w:eastAsia="en-US"/>
        </w:rPr>
        <w:t>. Medzi ďalšie obzvlášť relevantné a doplnkové politiky patria stratégia EÚ pre plasty</w:t>
      </w:r>
      <w:r>
        <w:rPr>
          <w:szCs w:val="24"/>
          <w:vertAlign w:val="superscript"/>
          <w:lang w:eastAsia="en-US"/>
        </w:rPr>
        <w:footnoteReference w:id="13"/>
      </w:r>
      <w:r>
        <w:rPr>
          <w:szCs w:val="24"/>
          <w:lang w:eastAsia="en-US"/>
        </w:rPr>
        <w:t xml:space="preserve"> z roku 2018, farmaceutická stratégia pre Európu</w:t>
      </w:r>
      <w:r>
        <w:rPr>
          <w:szCs w:val="24"/>
          <w:vertAlign w:val="superscript"/>
          <w:lang w:eastAsia="en-US"/>
        </w:rPr>
        <w:footnoteReference w:id="14"/>
      </w:r>
      <w:r>
        <w:rPr>
          <w:szCs w:val="24"/>
          <w:lang w:eastAsia="en-US"/>
        </w:rPr>
        <w:t xml:space="preserve"> z roku 2021, stratégia biodiverzity</w:t>
      </w:r>
      <w:r>
        <w:rPr>
          <w:szCs w:val="24"/>
          <w:vertAlign w:val="superscript"/>
          <w:lang w:eastAsia="en-US"/>
        </w:rPr>
        <w:footnoteReference w:id="15"/>
      </w:r>
      <w:r>
        <w:rPr>
          <w:szCs w:val="24"/>
          <w:lang w:eastAsia="en-US"/>
        </w:rPr>
        <w:t>, stratégia Z farmy na stôl</w:t>
      </w:r>
      <w:r>
        <w:rPr>
          <w:szCs w:val="24"/>
          <w:vertAlign w:val="superscript"/>
          <w:lang w:eastAsia="en-US"/>
        </w:rPr>
        <w:footnoteReference w:id="16"/>
      </w:r>
      <w:r>
        <w:rPr>
          <w:szCs w:val="24"/>
          <w:lang w:eastAsia="en-US"/>
        </w:rPr>
        <w:t>, stratégia EÚ v oblasti pôdy do roku 2030</w:t>
      </w:r>
      <w:r>
        <w:rPr>
          <w:szCs w:val="24"/>
          <w:vertAlign w:val="superscript"/>
          <w:lang w:eastAsia="en-US"/>
        </w:rPr>
        <w:footnoteReference w:id="17"/>
      </w:r>
      <w:r>
        <w:rPr>
          <w:szCs w:val="24"/>
          <w:lang w:eastAsia="en-US"/>
        </w:rPr>
        <w:t>, digitálna stratégia EÚ</w:t>
      </w:r>
      <w:r>
        <w:rPr>
          <w:szCs w:val="24"/>
          <w:vertAlign w:val="superscript"/>
          <w:lang w:eastAsia="en-US"/>
        </w:rPr>
        <w:footnoteReference w:id="18"/>
      </w:r>
      <w:r>
        <w:rPr>
          <w:szCs w:val="24"/>
          <w:lang w:eastAsia="en-US"/>
        </w:rPr>
        <w:t xml:space="preserve"> a dátová stratégia EÚ</w:t>
      </w:r>
      <w:r>
        <w:rPr>
          <w:szCs w:val="24"/>
          <w:vertAlign w:val="superscript"/>
          <w:lang w:eastAsia="en-US"/>
        </w:rPr>
        <w:footnoteReference w:id="19"/>
      </w:r>
      <w:r>
        <w:rPr>
          <w:szCs w:val="24"/>
          <w:lang w:eastAsia="en-US"/>
        </w:rPr>
        <w:t>.</w:t>
      </w:r>
    </w:p>
    <w:p w14:paraId="0439F9DA" w14:textId="77777777" w:rsidR="002709ED" w:rsidRDefault="00B2757B">
      <w:pPr>
        <w:widowControl/>
        <w:rPr>
          <w:b/>
          <w:i/>
          <w:szCs w:val="24"/>
          <w:lang w:eastAsia="en-US"/>
        </w:rPr>
      </w:pPr>
      <w:r>
        <w:rPr>
          <w:b/>
          <w:i/>
          <w:szCs w:val="24"/>
          <w:lang w:eastAsia="en-US"/>
        </w:rPr>
        <w:br w:type="page"/>
      </w:r>
    </w:p>
    <w:p w14:paraId="3F32C0CA" w14:textId="77777777" w:rsidR="002709ED" w:rsidRDefault="00B2757B">
      <w:pPr>
        <w:spacing w:before="120" w:after="120" w:line="360" w:lineRule="auto"/>
        <w:ind w:left="850" w:hanging="850"/>
        <w:rPr>
          <w:b/>
          <w:szCs w:val="24"/>
          <w:lang w:eastAsia="en-US"/>
        </w:rPr>
      </w:pPr>
      <w:r>
        <w:rPr>
          <w:b/>
          <w:i/>
          <w:szCs w:val="24"/>
          <w:lang w:eastAsia="en-US"/>
        </w:rPr>
        <w:lastRenderedPageBreak/>
        <w:t>(3a)</w:t>
      </w:r>
      <w:r>
        <w:rPr>
          <w:szCs w:val="24"/>
          <w:lang w:eastAsia="en-US"/>
        </w:rPr>
        <w:tab/>
      </w:r>
      <w:r>
        <w:rPr>
          <w:b/>
          <w:i/>
          <w:szCs w:val="24"/>
          <w:lang w:eastAsia="en-US"/>
        </w:rPr>
        <w:t>Ciele, ktoré spočívajú v dosiahnutí „dobrého stavu vodných útvarov“ a v zabezpečení dostupnosti vody, sú prierezové a často sa nesledujú dostatočne koherentným spôsobom. Dobré hospodárenie s vodami by sa malo začleniť do všetkých politík Únie, ktoré sa týkajú odvetví využívajúcich vodu.</w:t>
      </w:r>
      <w:r>
        <w:rPr>
          <w:b/>
          <w:szCs w:val="24"/>
          <w:lang w:eastAsia="en-US"/>
        </w:rPr>
        <w:t xml:space="preserve"> [PN 16]</w:t>
      </w:r>
    </w:p>
    <w:p w14:paraId="191ADFC0" w14:textId="77777777" w:rsidR="002709ED" w:rsidRDefault="00B2757B">
      <w:pPr>
        <w:spacing w:before="120" w:after="120" w:line="360" w:lineRule="auto"/>
        <w:ind w:left="850" w:hanging="850"/>
        <w:rPr>
          <w:b/>
          <w:szCs w:val="24"/>
          <w:lang w:eastAsia="en-US"/>
        </w:rPr>
      </w:pPr>
      <w:r>
        <w:rPr>
          <w:b/>
          <w:i/>
          <w:szCs w:val="24"/>
          <w:lang w:eastAsia="en-US"/>
        </w:rPr>
        <w:t>(3b)</w:t>
      </w:r>
      <w:r>
        <w:rPr>
          <w:szCs w:val="24"/>
          <w:lang w:eastAsia="en-US"/>
        </w:rPr>
        <w:tab/>
      </w:r>
      <w:r>
        <w:rPr>
          <w:b/>
          <w:i/>
          <w:szCs w:val="24"/>
          <w:lang w:eastAsia="en-US"/>
        </w:rPr>
        <w:t>Kontrola vhodnosti poukázala na to, že treba lepšie začleniť ciele v oblasti vody do poľnohospodárskej politiky. Nová SPP zaviedla opatrenia, ktorými sa zvýši udržateľnosť hospodárenia s vodami. S cieľom dosiahnuť väčšiu súdržnosť medzi poľnohospodárskou a vodohospodárskou politikou by členské štáty mali plne využívať príležitosti, ktoré ponúka nová SPP, a naplno začleniť problematiku vody do svojich strategických plánov vrátanie používania poľnohospodárskych znalostných a inovačných systémov (AKIS) a uľahčiť rozvoj poradenských služieb na podporu najlepších postupov v oblasti hospodárenia s vodami.</w:t>
      </w:r>
      <w:r>
        <w:rPr>
          <w:b/>
          <w:szCs w:val="24"/>
          <w:lang w:eastAsia="en-US"/>
        </w:rPr>
        <w:t xml:space="preserve"> [PN 17]</w:t>
      </w:r>
    </w:p>
    <w:p w14:paraId="37067E79" w14:textId="77777777" w:rsidR="002709ED" w:rsidRDefault="00B2757B">
      <w:pPr>
        <w:widowControl/>
        <w:rPr>
          <w:szCs w:val="24"/>
          <w:lang w:eastAsia="en-US"/>
        </w:rPr>
      </w:pPr>
      <w:r>
        <w:rPr>
          <w:szCs w:val="24"/>
          <w:lang w:eastAsia="en-US"/>
        </w:rPr>
        <w:br w:type="page"/>
      </w:r>
    </w:p>
    <w:p w14:paraId="0F2ECADE" w14:textId="77777777" w:rsidR="002709ED" w:rsidRDefault="00B2757B">
      <w:pPr>
        <w:spacing w:before="120" w:after="120" w:line="360" w:lineRule="auto"/>
        <w:ind w:left="850" w:hanging="850"/>
        <w:rPr>
          <w:b/>
          <w:szCs w:val="24"/>
          <w:lang w:eastAsia="en-US"/>
        </w:rPr>
      </w:pPr>
      <w:r>
        <w:rPr>
          <w:szCs w:val="24"/>
          <w:lang w:eastAsia="en-US"/>
        </w:rPr>
        <w:lastRenderedPageBreak/>
        <w:t>(4)</w:t>
      </w:r>
      <w:r>
        <w:rPr>
          <w:szCs w:val="24"/>
          <w:lang w:eastAsia="en-US"/>
        </w:rPr>
        <w:tab/>
        <w:t>Smernicou Európskeho parlamentu a Rady 2000/60/ES</w:t>
      </w:r>
      <w:r>
        <w:rPr>
          <w:szCs w:val="24"/>
          <w:vertAlign w:val="superscript"/>
          <w:lang w:eastAsia="en-US"/>
        </w:rPr>
        <w:footnoteReference w:id="20"/>
      </w:r>
      <w:r>
        <w:rPr>
          <w:szCs w:val="24"/>
          <w:lang w:eastAsia="en-US"/>
        </w:rPr>
        <w:t xml:space="preserve"> sa stanovuje rámec na ochranu vnútrozemských povrchových vôd, brakických vôd, pobrežných vôd a podzemných vôd. Tento rámec zahŕňa identifikáciu prioritných látok spomedzi látok, ktoré predstavujú značné riziko pre vodné prostredie alebo prostredníctvom vodného prostredia na úrovni Únie. V smernici Európskeho parlamentu a Rady 2008/105/ES</w:t>
      </w:r>
      <w:r>
        <w:rPr>
          <w:szCs w:val="24"/>
          <w:vertAlign w:val="superscript"/>
          <w:lang w:eastAsia="en-US"/>
        </w:rPr>
        <w:footnoteReference w:id="21"/>
      </w:r>
      <w:r>
        <w:rPr>
          <w:szCs w:val="24"/>
          <w:lang w:eastAsia="en-US"/>
        </w:rPr>
        <w:t xml:space="preserve"> sa pre celú Úniu stanovujú environmentálne normy kvality týkajúce sa 45 prioritných látok uvedených v prílohe X k smernici 2000/60/ES a ôsmich ďalších znečisťujúcich látok, ktoré už boli regulované na úrovni Únie pred zavedením prílohy X rozhodnutím Európskeho parlamentu a Rady č. 2455/2001/ES</w:t>
      </w:r>
      <w:r>
        <w:rPr>
          <w:szCs w:val="24"/>
          <w:vertAlign w:val="superscript"/>
          <w:lang w:eastAsia="en-US"/>
        </w:rPr>
        <w:footnoteReference w:id="22"/>
      </w:r>
      <w:r>
        <w:rPr>
          <w:szCs w:val="24"/>
          <w:lang w:eastAsia="en-US"/>
        </w:rPr>
        <w:t>. V smernici Európskeho parlamentu a Rady 2006/118/ES</w:t>
      </w:r>
      <w:r>
        <w:rPr>
          <w:szCs w:val="24"/>
          <w:vertAlign w:val="superscript"/>
          <w:lang w:eastAsia="en-US"/>
        </w:rPr>
        <w:footnoteReference w:id="23"/>
      </w:r>
      <w:r>
        <w:rPr>
          <w:szCs w:val="24"/>
          <w:lang w:eastAsia="en-US"/>
        </w:rPr>
        <w:t xml:space="preserve"> sa stanovujú normy kvality podzemných vôd platné v celej Únii týkajúce sa dusičnanov a účinných látok v pesticídoch, ako aj kritériá stanovenia vnútroštátnych prahových hodnôt pre iné látky znečisťujúce podzemné vody. Stanovuje sa v nej aj minimálny zoznam 12 znečisťujúcich látok a ich ukazovateľov, v prípade ktorých sa od členských štátov vyžaduje, aby </w:t>
      </w:r>
      <w:r>
        <w:rPr>
          <w:strike/>
          <w:szCs w:val="24"/>
          <w:lang w:eastAsia="en-US"/>
        </w:rPr>
        <w:t>zvážili stanovenie takýchto vnútroštátnych prahových hodnôt</w:t>
      </w:r>
      <w:r>
        <w:rPr>
          <w:b/>
          <w:i/>
          <w:szCs w:val="24"/>
          <w:lang w:eastAsia="en-US"/>
        </w:rPr>
        <w:t>stanovili takéto vnútroštátne prahové hodnoty</w:t>
      </w:r>
      <w:r>
        <w:rPr>
          <w:szCs w:val="24"/>
          <w:lang w:eastAsia="en-US"/>
        </w:rPr>
        <w:t>. Normy kvality podzemných vôd sa stanovujú v prílohe I k smernici 2006/118/ES.</w:t>
      </w:r>
      <w:r>
        <w:rPr>
          <w:b/>
          <w:szCs w:val="24"/>
          <w:lang w:eastAsia="en-US"/>
        </w:rPr>
        <w:t xml:space="preserve"> [PN 18]</w:t>
      </w:r>
    </w:p>
    <w:p w14:paraId="11295123" w14:textId="77777777" w:rsidR="002709ED" w:rsidRDefault="00B2757B">
      <w:pPr>
        <w:widowControl/>
        <w:rPr>
          <w:b/>
          <w:i/>
          <w:szCs w:val="24"/>
          <w:lang w:eastAsia="en-US"/>
        </w:rPr>
      </w:pPr>
      <w:r>
        <w:rPr>
          <w:b/>
          <w:i/>
          <w:szCs w:val="24"/>
          <w:lang w:eastAsia="en-US"/>
        </w:rPr>
        <w:br w:type="page"/>
      </w:r>
    </w:p>
    <w:p w14:paraId="791A5ED0" w14:textId="77777777" w:rsidR="002709ED" w:rsidRDefault="00B2757B">
      <w:pPr>
        <w:spacing w:before="120" w:after="120" w:line="360" w:lineRule="auto"/>
        <w:ind w:left="850" w:hanging="850"/>
        <w:rPr>
          <w:b/>
          <w:szCs w:val="24"/>
          <w:lang w:eastAsia="en-US"/>
        </w:rPr>
      </w:pPr>
      <w:r>
        <w:rPr>
          <w:b/>
          <w:i/>
          <w:szCs w:val="24"/>
          <w:lang w:eastAsia="en-US"/>
        </w:rPr>
        <w:lastRenderedPageBreak/>
        <w:t>(4a)</w:t>
      </w:r>
      <w:r>
        <w:rPr>
          <w:szCs w:val="24"/>
          <w:lang w:eastAsia="en-US"/>
        </w:rPr>
        <w:tab/>
      </w:r>
      <w:r>
        <w:rPr>
          <w:b/>
          <w:i/>
          <w:szCs w:val="24"/>
          <w:lang w:eastAsia="en-US"/>
        </w:rPr>
        <w:t>Členské štáty by mali zabezpečiť, aby sa znečisťovanie vypúšťaním, emisiami alebo únikom prioritných nebezpečných látok ukončilo alebo postupne ukončilo v primeranom časovom rámci a v každom prípade najneskôr do 20 rokov po uvedení danej prioritnej látky ako nebezpečnej v časti A prílohy I k smernici 2008/105/ES. Uvedený harmonogram by sa mal uplatňovať bez toho, aby bolo dotknuté uplatňovanie prísnejších lehôt v akýchkoľvek iných uplatniteľných právnych predpisoch Únie.</w:t>
      </w:r>
      <w:r>
        <w:rPr>
          <w:b/>
          <w:szCs w:val="24"/>
          <w:lang w:eastAsia="en-US"/>
        </w:rPr>
        <w:t xml:space="preserve"> [PN 19]</w:t>
      </w:r>
    </w:p>
    <w:p w14:paraId="03B44D20" w14:textId="77777777" w:rsidR="002709ED" w:rsidRDefault="00B2757B">
      <w:pPr>
        <w:spacing w:before="120" w:after="120" w:line="360" w:lineRule="auto"/>
        <w:ind w:left="850" w:hanging="850"/>
        <w:rPr>
          <w:b/>
          <w:szCs w:val="24"/>
          <w:lang w:eastAsia="en-US"/>
        </w:rPr>
      </w:pPr>
      <w:r>
        <w:rPr>
          <w:szCs w:val="24"/>
          <w:lang w:eastAsia="en-US"/>
        </w:rPr>
        <w:t>(5)</w:t>
      </w:r>
      <w:r>
        <w:rPr>
          <w:szCs w:val="24"/>
          <w:lang w:eastAsia="en-US"/>
        </w:rPr>
        <w:tab/>
        <w:t xml:space="preserve">Zaradenie látok do prílohy X k smernici 2000/60/ES alebo do prílohy I či do prílohy II k smernici 2006/118/ES sa zvažuje na základe hodnotenia rizika, ktoré tieto látky predstavujú pre ľudí a vodné prostredie. Kľúčovými zložkami tohto hodnotenia sú poznatky o koncentráciách látok v životnom prostredí vrátane informácií získaných z monitorovania podľa zoznamu sledovaných látok a o (eko)toxikológii látok, ako aj o ich perzistentnosti, bioakumulácii, </w:t>
      </w:r>
      <w:r>
        <w:rPr>
          <w:b/>
          <w:i/>
          <w:szCs w:val="24"/>
          <w:lang w:eastAsia="en-US"/>
        </w:rPr>
        <w:t xml:space="preserve">toxicite, mobilite, </w:t>
      </w:r>
      <w:r>
        <w:rPr>
          <w:szCs w:val="24"/>
          <w:lang w:eastAsia="en-US"/>
        </w:rPr>
        <w:t>karcinogenite, mutagenite, reprodukčnej toxicite a potenciáli narušenia endokrinného systému.</w:t>
      </w:r>
      <w:r>
        <w:rPr>
          <w:b/>
          <w:szCs w:val="24"/>
          <w:lang w:eastAsia="en-US"/>
        </w:rPr>
        <w:t xml:space="preserve"> [PN 20]</w:t>
      </w:r>
    </w:p>
    <w:p w14:paraId="36FF65F8" w14:textId="77777777" w:rsidR="002709ED" w:rsidRDefault="00B2757B">
      <w:pPr>
        <w:widowControl/>
        <w:rPr>
          <w:szCs w:val="24"/>
          <w:lang w:eastAsia="en-US"/>
        </w:rPr>
      </w:pPr>
      <w:r>
        <w:rPr>
          <w:szCs w:val="24"/>
          <w:lang w:eastAsia="en-US"/>
        </w:rPr>
        <w:br w:type="page"/>
      </w:r>
    </w:p>
    <w:p w14:paraId="7EF7AE69" w14:textId="77777777" w:rsidR="002709ED" w:rsidRDefault="00B2757B">
      <w:pPr>
        <w:spacing w:before="120" w:after="120" w:line="360" w:lineRule="auto"/>
        <w:ind w:left="850" w:hanging="850"/>
        <w:rPr>
          <w:szCs w:val="24"/>
          <w:lang w:eastAsia="en-US"/>
        </w:rPr>
      </w:pPr>
      <w:r>
        <w:rPr>
          <w:szCs w:val="24"/>
          <w:lang w:eastAsia="en-US"/>
        </w:rPr>
        <w:lastRenderedPageBreak/>
        <w:t>(6)</w:t>
      </w:r>
      <w:r>
        <w:rPr>
          <w:szCs w:val="24"/>
          <w:lang w:eastAsia="en-US"/>
        </w:rPr>
        <w:tab/>
        <w:t>Komisia preskúmala zoznam prioritných látok v prílohe X k smernici 2000/60/ES v súlade s článkom 16 ods. 4 uvedenej smernice a článkom 8 smernice 2008/105/ES a preskúmala aj zoznamy látok v prílohách I a II k smernici 2006/118/ES v súlade s článkom 10 uvedenej smernice a na základe nových vedeckých poznatkov dospela k záveru, že je vhodné tieto zoznamy zmeniť doplnením nových látok, stanovením noriem environmentálnej kvality alebo noriem kvality podzemných vôd týkajúcich sa týchto novo pridaných látok, revíziou noriem environmentálnej kvality týkajúcich sa niektorých existujúcich látok v súlade s vedeckým pokrokom a v prípade niektorých existujúcich a novo pridaných látok stanovením environmentálnych noriem kvality pre biotu. Takisto identifikovala, ktoré ďalšie látky sa pravdepodobne akumulujú v sedimente alebo biote, a objasnila, že trendy takýchto látok v sedimente alebo biote by sa mali monitorovať. Preskúmanie zoznamov látok podporili rozsiahle konzultácie s odborníkmi z útvarov Komisie, členských štátov, skupín zainteresovaných strán a Vedeckého výboru pre zdravotné, environmentálne a vznikajúce riziká.</w:t>
      </w:r>
    </w:p>
    <w:p w14:paraId="7EEAF1BE" w14:textId="77777777" w:rsidR="002709ED" w:rsidRDefault="00B2757B">
      <w:pPr>
        <w:widowControl/>
        <w:rPr>
          <w:szCs w:val="24"/>
          <w:lang w:eastAsia="en-US"/>
        </w:rPr>
      </w:pPr>
      <w:r>
        <w:rPr>
          <w:szCs w:val="24"/>
          <w:lang w:eastAsia="en-US"/>
        </w:rPr>
        <w:br w:type="page"/>
      </w:r>
    </w:p>
    <w:p w14:paraId="1649131E" w14:textId="77777777" w:rsidR="002709ED" w:rsidRDefault="00B2757B">
      <w:pPr>
        <w:spacing w:before="120" w:after="120" w:line="360" w:lineRule="auto"/>
        <w:ind w:left="850" w:hanging="850"/>
        <w:rPr>
          <w:b/>
          <w:szCs w:val="24"/>
          <w:lang w:eastAsia="en-US"/>
        </w:rPr>
      </w:pPr>
      <w:r>
        <w:rPr>
          <w:szCs w:val="24"/>
          <w:lang w:eastAsia="en-US"/>
        </w:rPr>
        <w:lastRenderedPageBreak/>
        <w:t>(7)</w:t>
      </w:r>
      <w:r>
        <w:rPr>
          <w:szCs w:val="24"/>
          <w:lang w:eastAsia="en-US"/>
        </w:rPr>
        <w:tab/>
        <w:t xml:space="preserve">Na účinné riešenie problémov väčšiny znečisťujúcich látok počas celého ich životného cyklu vrátane, ak je to relevantné, chemického zloženia, autorizácie alebo schvaľovania, regulácie emisií počas výroby a používania alebo iných procesov, ako aj počas nakladania s odpadom sa vyžaduje kombinácia opatrení siahajúcich od kontroly pri zdroji až po koniec reťazca. Stanovenie nových alebo prísnejších noriem kvality týkajúcich sa vodných útvarov je preto doplnkom k iným právnym predpisom Únie, ktoré sa zaoberajú alebo by sa </w:t>
      </w:r>
      <w:r>
        <w:rPr>
          <w:strike/>
          <w:szCs w:val="24"/>
          <w:lang w:eastAsia="en-US"/>
        </w:rPr>
        <w:t>mohli</w:t>
      </w:r>
      <w:r>
        <w:rPr>
          <w:b/>
          <w:i/>
          <w:szCs w:val="24"/>
          <w:lang w:eastAsia="en-US"/>
        </w:rPr>
        <w:t>mali</w:t>
      </w:r>
      <w:r>
        <w:rPr>
          <w:szCs w:val="24"/>
          <w:lang w:eastAsia="en-US"/>
        </w:rPr>
        <w:t xml:space="preserve"> zaoberať problematikou znečistenia v jednej alebo viacerých z týchto etáp, a je v súlade s týmito predpismi vrátane nariadenia Európskeho parlamentu a Rady (ES) č. 1907/2006</w:t>
      </w:r>
      <w:r>
        <w:rPr>
          <w:szCs w:val="24"/>
          <w:vertAlign w:val="superscript"/>
          <w:lang w:eastAsia="en-US"/>
        </w:rPr>
        <w:footnoteReference w:id="24"/>
      </w:r>
      <w:r>
        <w:rPr>
          <w:szCs w:val="24"/>
          <w:lang w:eastAsia="en-US"/>
        </w:rPr>
        <w:t>, nariadenia Európskeho parlamentu a Rady (ES) č. 1107/2009</w:t>
      </w:r>
      <w:r>
        <w:rPr>
          <w:szCs w:val="24"/>
          <w:vertAlign w:val="superscript"/>
          <w:lang w:eastAsia="en-US"/>
        </w:rPr>
        <w:footnoteReference w:id="25"/>
      </w:r>
      <w:r>
        <w:rPr>
          <w:szCs w:val="24"/>
          <w:lang w:eastAsia="en-US"/>
        </w:rPr>
        <w:t>, nariadenia Európskeho parlamentu a Rady (EÚ) č. 528/2012</w:t>
      </w:r>
      <w:r>
        <w:rPr>
          <w:szCs w:val="24"/>
          <w:vertAlign w:val="superscript"/>
          <w:lang w:eastAsia="en-US"/>
        </w:rPr>
        <w:footnoteReference w:id="26"/>
      </w:r>
      <w:r>
        <w:rPr>
          <w:szCs w:val="24"/>
          <w:lang w:eastAsia="en-US"/>
        </w:rPr>
        <w:t>, nariadenia Európskeho parlamentu a Rady (EÚ) 2019/6</w:t>
      </w:r>
      <w:r>
        <w:rPr>
          <w:szCs w:val="24"/>
          <w:vertAlign w:val="superscript"/>
          <w:lang w:eastAsia="en-US"/>
        </w:rPr>
        <w:footnoteReference w:id="27"/>
      </w:r>
      <w:r>
        <w:rPr>
          <w:szCs w:val="24"/>
          <w:lang w:eastAsia="en-US"/>
        </w:rPr>
        <w:t>, smernice Európskeho parlamentu a Rady 2001/83/ES</w:t>
      </w:r>
      <w:r>
        <w:rPr>
          <w:szCs w:val="24"/>
          <w:vertAlign w:val="superscript"/>
          <w:lang w:eastAsia="en-US"/>
        </w:rPr>
        <w:footnoteReference w:id="28"/>
      </w:r>
      <w:r>
        <w:rPr>
          <w:szCs w:val="24"/>
          <w:lang w:eastAsia="en-US"/>
        </w:rPr>
        <w:t>, smernice Európskeho parlamentu a Rady 2009/128/ES</w:t>
      </w:r>
      <w:r>
        <w:rPr>
          <w:szCs w:val="24"/>
          <w:vertAlign w:val="superscript"/>
          <w:lang w:eastAsia="en-US"/>
        </w:rPr>
        <w:footnoteReference w:id="29"/>
      </w:r>
      <w:r>
        <w:rPr>
          <w:szCs w:val="24"/>
          <w:lang w:eastAsia="en-US"/>
        </w:rPr>
        <w:t>, smernice Európskeho parlamentu a Rady 2010/75/EÚ</w:t>
      </w:r>
      <w:r>
        <w:rPr>
          <w:szCs w:val="24"/>
          <w:vertAlign w:val="superscript"/>
          <w:lang w:eastAsia="en-US"/>
        </w:rPr>
        <w:footnoteReference w:id="30"/>
      </w:r>
      <w:r>
        <w:rPr>
          <w:szCs w:val="24"/>
          <w:lang w:eastAsia="en-US"/>
        </w:rPr>
        <w:t xml:space="preserve"> a smernice Rady 91/271/EHS</w:t>
      </w:r>
      <w:r>
        <w:rPr>
          <w:szCs w:val="24"/>
          <w:vertAlign w:val="superscript"/>
          <w:lang w:eastAsia="en-US"/>
        </w:rPr>
        <w:footnoteReference w:id="31"/>
      </w:r>
      <w:r>
        <w:rPr>
          <w:szCs w:val="24"/>
          <w:lang w:eastAsia="en-US"/>
        </w:rPr>
        <w:t>.</w:t>
      </w:r>
      <w:r>
        <w:rPr>
          <w:b/>
          <w:i/>
          <w:szCs w:val="24"/>
          <w:lang w:eastAsia="en-US"/>
        </w:rPr>
        <w:t xml:space="preserve"> Aby členské štáty dosiahli environmentálne ciele stanovené v článku 4 smernice 2000/60/ES čo najlepším a nákladovo najefektívnejším spôsobom, mali by pri vypracúvaní svojich programov opatrení zabezpečiť, aby opatrenia v oblasti kontroly pri zdroji mali prioritu pred </w:t>
      </w:r>
      <w:r>
        <w:rPr>
          <w:b/>
          <w:i/>
          <w:szCs w:val="24"/>
          <w:lang w:eastAsia="en-US"/>
        </w:rPr>
        <w:lastRenderedPageBreak/>
        <w:t>opatreniami na konci reťazca a aby tieto opatrenia boli v súlade s príslušnými odvetvovými právnymi predpismi Únie o znečistení. Keď existuje riziko, že sa opatreniami v oblasti kontroly pri zdroji nedosiahne dobrý stav vodných útvarov, mali by sa uplatniť opatrenia na konci reťazca. Komisia by mala vypracovať usmernenia o osvedčených postupoch opatrení na kontrolu pri zdroji a komplementárnosti s opatreniami na konci reťazca.</w:t>
      </w:r>
      <w:r>
        <w:rPr>
          <w:b/>
          <w:szCs w:val="24"/>
          <w:lang w:eastAsia="en-US"/>
        </w:rPr>
        <w:t xml:space="preserve"> [PN 21]</w:t>
      </w:r>
    </w:p>
    <w:p w14:paraId="0C6F1A94" w14:textId="77777777" w:rsidR="002709ED" w:rsidRDefault="00B2757B">
      <w:pPr>
        <w:widowControl/>
        <w:rPr>
          <w:b/>
          <w:i/>
          <w:szCs w:val="24"/>
          <w:lang w:eastAsia="en-US"/>
        </w:rPr>
      </w:pPr>
      <w:r>
        <w:rPr>
          <w:b/>
          <w:i/>
          <w:szCs w:val="24"/>
          <w:lang w:eastAsia="en-US"/>
        </w:rPr>
        <w:br w:type="page"/>
      </w:r>
    </w:p>
    <w:p w14:paraId="1D5B477B" w14:textId="77777777" w:rsidR="002709ED" w:rsidRDefault="00B2757B">
      <w:pPr>
        <w:spacing w:before="120" w:after="120" w:line="360" w:lineRule="auto"/>
        <w:ind w:left="850" w:hanging="850"/>
        <w:rPr>
          <w:b/>
          <w:szCs w:val="24"/>
          <w:lang w:eastAsia="en-US"/>
        </w:rPr>
      </w:pPr>
      <w:r>
        <w:rPr>
          <w:b/>
          <w:i/>
          <w:szCs w:val="24"/>
          <w:lang w:eastAsia="en-US"/>
        </w:rPr>
        <w:lastRenderedPageBreak/>
        <w:t>(7a)</w:t>
      </w:r>
      <w:r>
        <w:rPr>
          <w:szCs w:val="24"/>
          <w:lang w:eastAsia="en-US"/>
        </w:rPr>
        <w:tab/>
      </w:r>
      <w:r>
        <w:rPr>
          <w:b/>
          <w:i/>
          <w:szCs w:val="24"/>
          <w:lang w:eastAsia="en-US"/>
        </w:rPr>
        <w:t>Znečistenie vôd je hlavne výsledkom priemyselnej a poľnohospodárskej činnosti, vypúšťania odpadových vôd a odtoku z miest vrátane dažďovej vody. Komisia a členské štáty by mali vo svojich opatreniach uprednostniť opatrenia na zníženie znečistenia pri zdroji, ako aj ich presadzovanie. Na tento účel by sa mal zabezpečiť súlad všetkých právnych predpisov Únie a vnútroštátnych právnych predpisov týkajúcich sa emisií znečisťujúcich látok pri zdroji, aby sa znečistenie znížilo na úrovne, ktoré sa už nepovažujú za škodlivé pre zdravie a prírodné ekosystémy.</w:t>
      </w:r>
      <w:r>
        <w:rPr>
          <w:b/>
          <w:szCs w:val="24"/>
          <w:lang w:eastAsia="en-US"/>
        </w:rPr>
        <w:t xml:space="preserve"> [PN 22]</w:t>
      </w:r>
    </w:p>
    <w:p w14:paraId="51D1F780" w14:textId="77777777" w:rsidR="002709ED" w:rsidRDefault="00B2757B">
      <w:pPr>
        <w:widowControl/>
        <w:rPr>
          <w:b/>
          <w:i/>
          <w:szCs w:val="24"/>
          <w:lang w:eastAsia="en-US"/>
        </w:rPr>
      </w:pPr>
      <w:r>
        <w:rPr>
          <w:b/>
          <w:i/>
          <w:szCs w:val="24"/>
          <w:lang w:eastAsia="en-US"/>
        </w:rPr>
        <w:br w:type="page"/>
      </w:r>
    </w:p>
    <w:p w14:paraId="7F10BDB7" w14:textId="77777777" w:rsidR="002709ED" w:rsidRDefault="00B2757B">
      <w:pPr>
        <w:spacing w:before="120" w:after="120" w:line="360" w:lineRule="auto"/>
        <w:ind w:left="850" w:hanging="850"/>
        <w:rPr>
          <w:b/>
          <w:szCs w:val="24"/>
          <w:lang w:eastAsia="en-US"/>
        </w:rPr>
      </w:pPr>
      <w:r>
        <w:rPr>
          <w:b/>
          <w:i/>
          <w:szCs w:val="24"/>
          <w:lang w:eastAsia="en-US"/>
        </w:rPr>
        <w:lastRenderedPageBreak/>
        <w:t>(7b)</w:t>
      </w:r>
      <w:r>
        <w:rPr>
          <w:szCs w:val="24"/>
          <w:lang w:eastAsia="en-US"/>
        </w:rPr>
        <w:tab/>
      </w:r>
      <w:r>
        <w:rPr>
          <w:b/>
          <w:i/>
          <w:szCs w:val="24"/>
          <w:lang w:eastAsia="en-US"/>
        </w:rPr>
        <w:t>S cieľom zabezpečiť aktuálnosť právnych predpisov určených na predchádzanie znečisťovaniu povrchových a podzemných vôd v súvislosti so zrýchľujúcim sa tempom výskytu nových a objavujúcich sa chemických látok, ktoré majú potenciál spôsobiť významné riziká pre ľudské zdravie alebo vodné prostredie ako znečisťujúce látky, by sa mali posilniť politické mechanizmy na zisťovanie a posudzovanie takýchto látok vzbudzujúcich obavy. V tejto súvislosti by sa mal navrhnúť prístup, ktorý by umožnil monitorovanie a analýzu ďalších takýchto látok alebo skupín látok v rámci sledovaných zoznamov pre povrchové a podzemné vody. Látky alebo skupiny látok, ktoré sa majú zaradiť do zoznamu sledovaných látok, by sa mali vyberať spomedzi látok, v prípade ktorých dostupné informácie naznačujú, že by mohli na úrovni Únie predstavovať významné riziko pre vodné prostredie alebo prostredníctvom vodného prostredia, a v prípade ktorých sú údaje z monitorovania nedostatočné. Počet takýchto látok alebo skupín látok, ktoré sa majú monitorovať a analyzovať v rámci zoznamov sledovaných látok pre povrchové a podzemné vody, by nemal byť obmedzený.</w:t>
      </w:r>
      <w:r>
        <w:rPr>
          <w:b/>
          <w:szCs w:val="24"/>
          <w:lang w:eastAsia="en-US"/>
        </w:rPr>
        <w:t xml:space="preserve"> [PN 23]</w:t>
      </w:r>
    </w:p>
    <w:p w14:paraId="404B1BFA" w14:textId="77777777" w:rsidR="002709ED" w:rsidRDefault="00B2757B">
      <w:pPr>
        <w:widowControl/>
        <w:rPr>
          <w:szCs w:val="24"/>
          <w:lang w:eastAsia="en-US"/>
        </w:rPr>
      </w:pPr>
      <w:r>
        <w:rPr>
          <w:szCs w:val="24"/>
          <w:lang w:eastAsia="en-US"/>
        </w:rPr>
        <w:br w:type="page"/>
      </w:r>
    </w:p>
    <w:p w14:paraId="1C7D2176" w14:textId="77777777" w:rsidR="002709ED" w:rsidRDefault="00B2757B">
      <w:pPr>
        <w:spacing w:before="120" w:after="120" w:line="360" w:lineRule="auto"/>
        <w:ind w:left="850" w:hanging="850"/>
        <w:rPr>
          <w:b/>
          <w:szCs w:val="24"/>
          <w:lang w:eastAsia="en-US"/>
        </w:rPr>
      </w:pPr>
      <w:r>
        <w:rPr>
          <w:szCs w:val="24"/>
          <w:lang w:eastAsia="en-US"/>
        </w:rPr>
        <w:lastRenderedPageBreak/>
        <w:t>(8)</w:t>
      </w:r>
      <w:r>
        <w:rPr>
          <w:szCs w:val="24"/>
          <w:lang w:eastAsia="en-US"/>
        </w:rPr>
        <w:tab/>
        <w:t xml:space="preserve">Nové vedecké poznatky poukazujú na značné riziko, ktoré okrem už regulovaných látok predstavujú viaceré ďalšie znečisťujúce látky nachádzajúce sa vo vodných útvaroch. Osobitný problém sa odhalil dobrovoľným monitorovaním perfluóralkylovaných a polyfluóralkylovaných látok (ďalej aj „látky PFAS“) a liekov v podzemnej vode. Látky PFAS boli zistené vo viac ako 70 % meracích bodov podzemnej vody v Únii a v značnom počte lokalít sú zjavne prekročené existujúce vnútroštátne prahové hodnoty, pričom vo veľkej miere sa tam vyskytujú aj farmaceutické látky. </w:t>
      </w:r>
      <w:r>
        <w:rPr>
          <w:b/>
          <w:i/>
          <w:szCs w:val="24"/>
          <w:lang w:eastAsia="en-US"/>
        </w:rPr>
        <w:t xml:space="preserve">Do zoznamu látok znečisťujúcich podzemné vody by sa preto mala doplniť podskupina špecifických PFAS, ako aj údaj PFAS spolu. </w:t>
      </w:r>
      <w:r>
        <w:rPr>
          <w:szCs w:val="24"/>
          <w:lang w:eastAsia="en-US"/>
        </w:rPr>
        <w:t>Pokiaľ ide o povrchové vody, kyselina perfluóroktánsulfónová a jej deriváty sa už uvádzajú ako prioritné látky, ale v súčasnosti sa uznáva, že riziko predstavujú aj iné látky PFAS</w:t>
      </w:r>
      <w:r>
        <w:rPr>
          <w:b/>
          <w:i/>
          <w:szCs w:val="24"/>
          <w:lang w:eastAsia="en-US"/>
        </w:rPr>
        <w:t>. Do zoznamu prioritných látok by sa preto mala doplniť podskupina špecifických PFAS, ako aj údaj PFAS spolu. S cieľom zabezpečiť harmonizovaný prístup a rovnaké podmienky v Únii by sa v súlade s článkom 290 ZFEÚ mala na Komisiu delegovať právomoc prijímať akty s cieľom zmeniť prílohu I k smernici 2006/118/ES stanovením normy kvality pre PFAS spolu</w:t>
      </w:r>
      <w:r>
        <w:rPr>
          <w:szCs w:val="24"/>
          <w:lang w:eastAsia="en-US"/>
        </w:rPr>
        <w:t>. Monitorovanie podľa zoznamu sledovaných látok na základe článku 8b smernice 2008/105/ES potvrdilo riziko, ktoré pre povrchové vody predstavujú viaceré farmaceutické látky, ktoré by sa preto mali doplniť do zoznamu prioritných látok.</w:t>
      </w:r>
      <w:r>
        <w:rPr>
          <w:b/>
          <w:szCs w:val="24"/>
          <w:lang w:eastAsia="en-US"/>
        </w:rPr>
        <w:t xml:space="preserve"> [PN 24]</w:t>
      </w:r>
    </w:p>
    <w:p w14:paraId="077964F7" w14:textId="77777777" w:rsidR="002709ED" w:rsidRDefault="00B2757B">
      <w:pPr>
        <w:widowControl/>
        <w:rPr>
          <w:b/>
          <w:i/>
          <w:szCs w:val="24"/>
          <w:lang w:eastAsia="en-US"/>
        </w:rPr>
      </w:pPr>
      <w:r>
        <w:rPr>
          <w:b/>
          <w:i/>
          <w:szCs w:val="24"/>
          <w:lang w:eastAsia="en-US"/>
        </w:rPr>
        <w:br w:type="page"/>
      </w:r>
    </w:p>
    <w:p w14:paraId="57231AF1" w14:textId="77777777" w:rsidR="002709ED" w:rsidRDefault="00B2757B">
      <w:pPr>
        <w:spacing w:before="120" w:after="120" w:line="360" w:lineRule="auto"/>
        <w:ind w:left="850" w:hanging="850"/>
        <w:rPr>
          <w:b/>
          <w:szCs w:val="24"/>
          <w:lang w:eastAsia="en-US"/>
        </w:rPr>
      </w:pPr>
      <w:r>
        <w:rPr>
          <w:b/>
          <w:i/>
          <w:szCs w:val="24"/>
          <w:lang w:eastAsia="en-US"/>
        </w:rPr>
        <w:lastRenderedPageBreak/>
        <w:t>(8a)</w:t>
      </w:r>
      <w:r>
        <w:rPr>
          <w:szCs w:val="24"/>
          <w:lang w:eastAsia="en-US"/>
        </w:rPr>
        <w:tab/>
      </w:r>
      <w:r>
        <w:rPr>
          <w:b/>
          <w:i/>
          <w:szCs w:val="24"/>
          <w:lang w:eastAsia="en-US"/>
        </w:rPr>
        <w:t>Glyfozát je najčastejšie používaný herbicíd v Únii na poľnohospodárske použitie. Ako účinná látka vyvoláva vážne obavy, pokiaľ ide o jej vplyv na ľudské zdravie a toxicitu vo vodnom prostredí. V decembri 2022 Komisia rozhodla udeliť dočasné predĺženie povolenia na uvedenie glyfozátu na trh o ďalší rok, kým Európsky úrad pre bezpečnosť potravín neprehodnotí účinnú látku v júli 2023. Z rôznych nedávnych vedeckých štúdií</w:t>
      </w:r>
      <w:r>
        <w:rPr>
          <w:szCs w:val="24"/>
          <w:vertAlign w:val="superscript"/>
          <w:lang w:eastAsia="en-US"/>
        </w:rPr>
        <w:footnoteReference w:id="32"/>
      </w:r>
      <w:r>
        <w:rPr>
          <w:b/>
          <w:i/>
          <w:szCs w:val="24"/>
          <w:lang w:eastAsia="en-US"/>
        </w:rPr>
        <w:t xml:space="preserve"> však vyplýva, že na základe toxicity glyfozátu, AMPA a herbicídov na báze glyfozátu vo vodnom prostredí by sa mala zvážiť environmentálna norma kvality (ENK) nižšia ako 0,1 μg/l pre všetky útvary povrchovej vody. Vzhľadom na prebiehajúce posúdenia príslušnými regulačnými orgánmi Únie a vedecké zistenia príslušných štúdií týkajúcich sa vplyvu glyfozátu na vodné organizmy a na účely zabezpečenia dobrého chemického stavu väčšiny vôd Únie na základe zásady predbežnej opatrnosti by sa v súvislosti s glyfozátom mali prijať spoločné a jednotné RP-ENK na úrovni 0,1 μg/l pre vnútrozemské povrchové vody a samostatne pre ostatné povrchové vody. </w:t>
      </w:r>
      <w:r>
        <w:rPr>
          <w:b/>
          <w:szCs w:val="24"/>
          <w:lang w:eastAsia="en-US"/>
        </w:rPr>
        <w:t>[PN 25]</w:t>
      </w:r>
    </w:p>
    <w:p w14:paraId="78CD66C4" w14:textId="77777777" w:rsidR="002709ED" w:rsidRDefault="00B2757B">
      <w:pPr>
        <w:widowControl/>
        <w:rPr>
          <w:b/>
          <w:i/>
          <w:szCs w:val="24"/>
          <w:lang w:eastAsia="en-US"/>
        </w:rPr>
      </w:pPr>
      <w:r>
        <w:rPr>
          <w:b/>
          <w:i/>
          <w:szCs w:val="24"/>
          <w:lang w:eastAsia="en-US"/>
        </w:rPr>
        <w:br w:type="page"/>
      </w:r>
    </w:p>
    <w:p w14:paraId="7AEC5786" w14:textId="77777777" w:rsidR="002709ED" w:rsidRDefault="00B2757B">
      <w:pPr>
        <w:spacing w:before="120" w:after="120" w:line="360" w:lineRule="auto"/>
        <w:ind w:left="850" w:hanging="850"/>
        <w:rPr>
          <w:b/>
          <w:szCs w:val="24"/>
          <w:lang w:eastAsia="en-US"/>
        </w:rPr>
      </w:pPr>
      <w:r>
        <w:rPr>
          <w:b/>
          <w:i/>
          <w:szCs w:val="24"/>
          <w:lang w:eastAsia="en-US"/>
        </w:rPr>
        <w:lastRenderedPageBreak/>
        <w:t>(8b)</w:t>
      </w:r>
      <w:r>
        <w:rPr>
          <w:szCs w:val="24"/>
          <w:lang w:eastAsia="en-US"/>
        </w:rPr>
        <w:tab/>
      </w:r>
      <w:r>
        <w:rPr>
          <w:b/>
          <w:i/>
          <w:szCs w:val="24"/>
          <w:lang w:eastAsia="en-US"/>
        </w:rPr>
        <w:t>Atrazín je herbicíd používaný na jednoročné širokolisté buriny a jednoročné trávy v obilninách. Používanie atrazínu v prípravkoch na ochranu rastlín už nie je v Únii povolené podľa rozhodnutia Komisie 2004/248/ES</w:t>
      </w:r>
      <w:r>
        <w:rPr>
          <w:szCs w:val="24"/>
          <w:vertAlign w:val="superscript"/>
          <w:lang w:eastAsia="en-US"/>
        </w:rPr>
        <w:footnoteReference w:id="33"/>
      </w:r>
      <w:r>
        <w:rPr>
          <w:b/>
          <w:i/>
          <w:szCs w:val="24"/>
          <w:lang w:eastAsia="en-US"/>
        </w:rPr>
        <w:t>. Bolo dokázané, že atrazín je endokrinný disruptor, pričom existujú dôkazy o tom, že narušuje reprodukciu a vývoj a môže byť príčinou rakoviny. Európska environmentálna agentúra pri posudzovaní pesticídov z hľadiska prahových hodnôt účinku alebo kvality v rokoch 2013 až 2020 zistila, že prekročenia v prípade jedného alebo viacerých pesticídov, najmä prekročenia obsahu atrazínu a jeho metabolitov, boli zistené na 4 % až 11 % monitorovacích miest podzemných vôd. Vzhľadom na pretrvávajúcu prítomnosť atrazínu v povrchových a podzemných vodách Únie a s cieľom zabezpečiť, aby prahové hodnoty pre atrazín neprekročili celkové environmentálne normy kvality pre pesticídy a metabolity, by sa prahová hodnota pre atrazín v prílohe I k smernici 2008/105/ES mala upraviť, a to aj v súlade s prahovou hodnotou pre rovnakú látku stanovenú v smernici (EÚ) 2020/2184</w:t>
      </w:r>
      <w:r>
        <w:rPr>
          <w:szCs w:val="24"/>
          <w:vertAlign w:val="superscript"/>
          <w:lang w:eastAsia="en-US"/>
        </w:rPr>
        <w:footnoteReference w:id="34"/>
      </w:r>
      <w:r>
        <w:rPr>
          <w:b/>
          <w:i/>
          <w:szCs w:val="24"/>
          <w:lang w:eastAsia="en-US"/>
        </w:rPr>
        <w:t xml:space="preserve">. </w:t>
      </w:r>
      <w:r>
        <w:rPr>
          <w:b/>
          <w:szCs w:val="24"/>
          <w:lang w:eastAsia="en-US"/>
        </w:rPr>
        <w:t>[PN 26]</w:t>
      </w:r>
    </w:p>
    <w:p w14:paraId="57E6A64A" w14:textId="77777777" w:rsidR="002709ED" w:rsidRDefault="00B2757B">
      <w:pPr>
        <w:widowControl/>
        <w:rPr>
          <w:b/>
          <w:i/>
          <w:szCs w:val="24"/>
          <w:lang w:eastAsia="en-US"/>
        </w:rPr>
      </w:pPr>
      <w:r>
        <w:rPr>
          <w:b/>
          <w:i/>
          <w:szCs w:val="24"/>
          <w:lang w:eastAsia="en-US"/>
        </w:rPr>
        <w:br w:type="page"/>
      </w:r>
    </w:p>
    <w:p w14:paraId="46865367" w14:textId="77777777" w:rsidR="002709ED" w:rsidRDefault="00B2757B">
      <w:pPr>
        <w:spacing w:before="120" w:after="120" w:line="360" w:lineRule="auto"/>
        <w:ind w:left="850" w:hanging="850"/>
        <w:rPr>
          <w:b/>
          <w:szCs w:val="24"/>
          <w:lang w:eastAsia="en-US"/>
        </w:rPr>
      </w:pPr>
      <w:r>
        <w:rPr>
          <w:b/>
          <w:i/>
          <w:szCs w:val="24"/>
          <w:lang w:eastAsia="en-US"/>
        </w:rPr>
        <w:lastRenderedPageBreak/>
        <w:t>(8c)</w:t>
      </w:r>
      <w:r>
        <w:rPr>
          <w:szCs w:val="24"/>
          <w:lang w:eastAsia="en-US"/>
        </w:rPr>
        <w:tab/>
      </w:r>
      <w:r>
        <w:rPr>
          <w:b/>
          <w:i/>
          <w:szCs w:val="24"/>
          <w:lang w:eastAsia="en-US"/>
        </w:rPr>
        <w:t>Podľa výboru SCHEER</w:t>
      </w:r>
      <w:r>
        <w:rPr>
          <w:szCs w:val="24"/>
          <w:vertAlign w:val="superscript"/>
          <w:lang w:eastAsia="en-US"/>
        </w:rPr>
        <w:footnoteReference w:id="35"/>
      </w:r>
      <w:r>
        <w:rPr>
          <w:b/>
          <w:i/>
          <w:szCs w:val="24"/>
          <w:lang w:eastAsia="en-US"/>
        </w:rPr>
        <w:t xml:space="preserve"> a Európskej agentúry pre lieky (</w:t>
      </w:r>
      <w:r w:rsidR="005E03AE">
        <w:rPr>
          <w:b/>
          <w:i/>
          <w:szCs w:val="24"/>
          <w:lang w:eastAsia="en-US"/>
        </w:rPr>
        <w:t>ďalej len „</w:t>
      </w:r>
      <w:r>
        <w:rPr>
          <w:b/>
          <w:i/>
          <w:szCs w:val="24"/>
          <w:lang w:eastAsia="en-US"/>
        </w:rPr>
        <w:t>EMA</w:t>
      </w:r>
      <w:r w:rsidR="005E03AE">
        <w:rPr>
          <w:b/>
          <w:i/>
          <w:szCs w:val="24"/>
          <w:lang w:eastAsia="en-US"/>
        </w:rPr>
        <w:t>“</w:t>
      </w:r>
      <w:r>
        <w:rPr>
          <w:b/>
          <w:i/>
          <w:szCs w:val="24"/>
          <w:lang w:eastAsia="en-US"/>
        </w:rPr>
        <w:t>)</w:t>
      </w:r>
      <w:r>
        <w:rPr>
          <w:szCs w:val="24"/>
          <w:vertAlign w:val="superscript"/>
          <w:lang w:eastAsia="en-US"/>
        </w:rPr>
        <w:footnoteReference w:id="36"/>
      </w:r>
      <w:r>
        <w:rPr>
          <w:b/>
          <w:i/>
          <w:szCs w:val="24"/>
          <w:lang w:eastAsia="en-US"/>
        </w:rPr>
        <w:t xml:space="preserve"> bola všeobecná norma kvality 0,1 μg/l a 0,5 µg/l pre podzemné vody, navrhnutá pre jednotlivé pesticídy, resp. pre súčet všetkých pesticídov, ako sa uvádza v smernici 2006/118/ES, stanovená v 80. rokoch 20. storočia na základe chemicko-analytickej citlivosti, ktorá bola dostupná v tom čase. Neukázalo sa, že štandardná hodnota 0,1 μg/l pre jednotlivé pesticídy dostatočne chráni ľudské zdravie a ekosystém podzemných vôd a niekedy je výrazne vyššia v porovnaní s prahovými hodnotami pre mnohé pesticídy a fungicídy uvedené v zozname prioritných látok v prílohe I k smernici 2008/105/ES. Vzhľadom na stanovisko výboru SCHEER, podľa ktorého by žiadne prahové hodnoty pre podzemné vody nemali byť vyššie než environmentálne normy kvality pre povrchové vody, by Komisia mala preskúmať prahové hodnoty pre jednotlivé pesticídy a súčet všetkých pesticídov vrátane ich príslušných metabolitov v prílohe I k smernici 2006/118/ES s využitím moderných analytických metód a ich porovnaním s najlepšími dostupnými toxikologickými poznatkami. Do tohto preskúmania a v súlade s prístupom založeným na predbežnej opatrnosti vyjadreným dodávateľmi pitnej vody v Európskom memorande o podzemných vodách</w:t>
      </w:r>
      <w:r>
        <w:rPr>
          <w:szCs w:val="24"/>
          <w:vertAlign w:val="superscript"/>
          <w:lang w:eastAsia="en-US"/>
        </w:rPr>
        <w:footnoteReference w:id="37"/>
      </w:r>
      <w:r>
        <w:rPr>
          <w:b/>
          <w:i/>
          <w:szCs w:val="24"/>
          <w:lang w:eastAsia="en-US"/>
        </w:rPr>
        <w:t xml:space="preserve"> by sa mali stanoviť dočasné prahové hodnoty na základe najlepších dostupných vedeckých poznatkov. </w:t>
      </w:r>
      <w:r>
        <w:rPr>
          <w:b/>
          <w:szCs w:val="24"/>
          <w:lang w:eastAsia="en-US"/>
        </w:rPr>
        <w:t>[PN 27]]</w:t>
      </w:r>
    </w:p>
    <w:p w14:paraId="2A3A6D30" w14:textId="77777777" w:rsidR="002709ED" w:rsidRDefault="00B2757B">
      <w:pPr>
        <w:widowControl/>
        <w:rPr>
          <w:b/>
          <w:i/>
          <w:szCs w:val="24"/>
          <w:lang w:eastAsia="en-US"/>
        </w:rPr>
      </w:pPr>
      <w:r>
        <w:rPr>
          <w:b/>
          <w:i/>
          <w:szCs w:val="24"/>
          <w:lang w:eastAsia="en-US"/>
        </w:rPr>
        <w:br w:type="page"/>
      </w:r>
    </w:p>
    <w:p w14:paraId="1E7B8AF4" w14:textId="77777777" w:rsidR="002709ED" w:rsidRDefault="00B2757B">
      <w:pPr>
        <w:spacing w:before="120" w:after="120" w:line="360" w:lineRule="auto"/>
        <w:ind w:left="850" w:hanging="850"/>
        <w:rPr>
          <w:b/>
          <w:szCs w:val="24"/>
          <w:lang w:eastAsia="en-US"/>
        </w:rPr>
      </w:pPr>
      <w:r>
        <w:rPr>
          <w:b/>
          <w:i/>
          <w:szCs w:val="24"/>
          <w:lang w:eastAsia="en-US"/>
        </w:rPr>
        <w:lastRenderedPageBreak/>
        <w:t>(8d)</w:t>
      </w:r>
      <w:r>
        <w:rPr>
          <w:szCs w:val="24"/>
          <w:lang w:eastAsia="en-US"/>
        </w:rPr>
        <w:tab/>
      </w:r>
      <w:r>
        <w:rPr>
          <w:b/>
          <w:i/>
          <w:szCs w:val="24"/>
          <w:lang w:eastAsia="en-US"/>
        </w:rPr>
        <w:t>Bisfenol A by sa mal považovať za prioritnú rizikovú látku a mal by sa doplniť do zoznamu v prílohe I k smernici 2008/105/ES. Vedecké správy ukazujú, že aj iné bisfenoly než bisfenol A majú preukázaný potenciál narúšať endokrinný systém a zmesi týchto bisfenolov predstavujú ekotoxikologické riziko. Vzhľadom na to, že tieto vedecké zistenia vyvolávajú obavy týkajúce sa bezpečného používania alternatívnych látok k bisfenolom, ktoré by mohli mať negatívny vplyv na ľudské zdravie a životné prostredie, mala by Komisia stanoviť parameter „Bisfenoly spolu“ a príslušné environmentálne normy kvality pre celkový obsah látok na báze bisfenolu.</w:t>
      </w:r>
      <w:r>
        <w:rPr>
          <w:b/>
          <w:szCs w:val="24"/>
          <w:lang w:eastAsia="en-US"/>
        </w:rPr>
        <w:t xml:space="preserve"> [PN 28]</w:t>
      </w:r>
    </w:p>
    <w:p w14:paraId="048E752E" w14:textId="77777777" w:rsidR="002709ED" w:rsidRDefault="00B2757B">
      <w:pPr>
        <w:spacing w:before="120" w:after="120" w:line="360" w:lineRule="auto"/>
        <w:ind w:left="850" w:hanging="850"/>
        <w:rPr>
          <w:b/>
          <w:szCs w:val="24"/>
          <w:lang w:eastAsia="en-US"/>
        </w:rPr>
      </w:pPr>
      <w:r>
        <w:rPr>
          <w:b/>
          <w:i/>
          <w:szCs w:val="24"/>
          <w:lang w:eastAsia="en-US"/>
        </w:rPr>
        <w:t>(8e)</w:t>
      </w:r>
      <w:r>
        <w:rPr>
          <w:szCs w:val="24"/>
          <w:lang w:eastAsia="en-US"/>
        </w:rPr>
        <w:tab/>
      </w:r>
      <w:r>
        <w:rPr>
          <w:b/>
          <w:i/>
          <w:szCs w:val="24"/>
          <w:lang w:eastAsia="en-US"/>
        </w:rPr>
        <w:t>Podľa Európskej agentúry pre lieky (EMA)</w:t>
      </w:r>
      <w:r>
        <w:rPr>
          <w:szCs w:val="24"/>
          <w:vertAlign w:val="superscript"/>
          <w:lang w:eastAsia="en-US"/>
        </w:rPr>
        <w:footnoteReference w:id="38"/>
      </w:r>
      <w:r>
        <w:rPr>
          <w:b/>
          <w:i/>
          <w:szCs w:val="24"/>
          <w:lang w:eastAsia="en-US"/>
        </w:rPr>
        <w:t xml:space="preserve"> sú ekosystémy podzemných vôd veľmi odlišné, a preto môžu byť zraniteľnejšie voči stresorom ako ekosystémy povrchových vôd, pretože im chýba schopnosť zotaviť sa z porúch. Pri stanovovaní prahových hodnôt podzemných vôd by sa mal uplatňovať prístup predbežnej opatrnosti s cieľom chrániť ekosystémy podzemných vôd, ľudské zdravie a ekosystémy závislé od podzemných vôd. V súlade s odporúčaním agentúry EMA by v dôsledku tejto zraniteľnosti mali byť prahové hodnoty platné pre podzemné vody 10-krát nižšie ako zodpovedajúce prahové hodnoty pre povrchové vody. Ak však možno zistiť skutočné riziko pre ekosystémy podzemných vôd, mohlo by byť vhodné stanoviť prahové hodnoty pre podzemné vody na inej úrovni.</w:t>
      </w:r>
      <w:r>
        <w:rPr>
          <w:b/>
          <w:szCs w:val="24"/>
          <w:lang w:eastAsia="en-US"/>
        </w:rPr>
        <w:t xml:space="preserve"> [PN 29]</w:t>
      </w:r>
    </w:p>
    <w:p w14:paraId="68322493" w14:textId="77777777" w:rsidR="002709ED" w:rsidRDefault="00B2757B">
      <w:pPr>
        <w:widowControl/>
        <w:rPr>
          <w:szCs w:val="24"/>
          <w:lang w:eastAsia="en-US"/>
        </w:rPr>
      </w:pPr>
      <w:r>
        <w:rPr>
          <w:szCs w:val="24"/>
          <w:lang w:eastAsia="en-US"/>
        </w:rPr>
        <w:br w:type="page"/>
      </w:r>
    </w:p>
    <w:p w14:paraId="66B20473" w14:textId="77777777" w:rsidR="002709ED" w:rsidRDefault="00B2757B">
      <w:pPr>
        <w:spacing w:before="120" w:after="120" w:line="360" w:lineRule="auto"/>
        <w:ind w:left="850" w:hanging="850"/>
        <w:rPr>
          <w:szCs w:val="24"/>
          <w:lang w:eastAsia="en-US"/>
        </w:rPr>
      </w:pPr>
      <w:r>
        <w:rPr>
          <w:szCs w:val="24"/>
          <w:lang w:eastAsia="en-US"/>
        </w:rPr>
        <w:lastRenderedPageBreak/>
        <w:t>(9)</w:t>
      </w:r>
      <w:r>
        <w:rPr>
          <w:szCs w:val="24"/>
          <w:lang w:eastAsia="en-US"/>
        </w:rPr>
        <w:tab/>
        <w:t>V smernici 2000/60/ES sa vyžaduje, aby členské štáty určili vodné útvary používané na odber vody určenej na ľudskú spotrebu, monitorovali ich a prijali potrebné opatrenia, aby nedošlo k zhoršeniu ich kvality a aby sa znížila úroveň úpravy vody čistením, ktorá sa požaduje pri produkcii vody vhodnej na ľudskú spotrebu. V tejto súvislosti boli ako potenciálne riziko pre ľudské zdravie identifikované mikroplasty, ale na potvrdenie potreby stanovenia normy environmentálnej kvality pre mikroplasty v povrchových a podzemných vodách sa vyžaduje viac údajov z monitorovania. Mikroplasty by sa preto mali zaradiť do zoznamov sledovaných látok v povrchových a podzemných vodách a mali by sa začať monitorovať, hneď ako Komisia určí vhodné metódy monitorovania. V tejto súvislosti by sa mali zohľadniť metodiky monitorovania mikroplastov a hodnotenia rizík, ktoré predstavujú pre pitnú vodu, vypracované podľa smernice Európskeho parlamentu a Rady (EÚ) 2020/2184</w:t>
      </w:r>
      <w:r>
        <w:rPr>
          <w:szCs w:val="24"/>
          <w:vertAlign w:val="superscript"/>
          <w:lang w:eastAsia="en-US"/>
        </w:rPr>
        <w:footnoteReference w:id="39"/>
      </w:r>
      <w:r>
        <w:rPr>
          <w:szCs w:val="24"/>
          <w:lang w:eastAsia="en-US"/>
        </w:rPr>
        <w:t>.</w:t>
      </w:r>
    </w:p>
    <w:p w14:paraId="5661A2F1" w14:textId="77777777" w:rsidR="002709ED" w:rsidRDefault="00B2757B">
      <w:pPr>
        <w:widowControl/>
        <w:rPr>
          <w:b/>
          <w:i/>
          <w:szCs w:val="24"/>
          <w:lang w:eastAsia="en-US"/>
        </w:rPr>
      </w:pPr>
      <w:r>
        <w:rPr>
          <w:b/>
          <w:i/>
          <w:szCs w:val="24"/>
          <w:lang w:eastAsia="en-US"/>
        </w:rPr>
        <w:br w:type="page"/>
      </w:r>
    </w:p>
    <w:p w14:paraId="7AB4D85B" w14:textId="77777777" w:rsidR="002709ED" w:rsidRDefault="00B2757B">
      <w:pPr>
        <w:spacing w:before="120" w:after="120" w:line="360" w:lineRule="auto"/>
        <w:ind w:left="850" w:hanging="850"/>
        <w:rPr>
          <w:b/>
          <w:szCs w:val="24"/>
          <w:lang w:eastAsia="en-US"/>
        </w:rPr>
      </w:pPr>
      <w:r>
        <w:rPr>
          <w:b/>
          <w:i/>
          <w:szCs w:val="24"/>
          <w:lang w:eastAsia="en-US"/>
        </w:rPr>
        <w:lastRenderedPageBreak/>
        <w:t>(9a)</w:t>
      </w:r>
      <w:r>
        <w:rPr>
          <w:szCs w:val="24"/>
          <w:lang w:eastAsia="en-US"/>
        </w:rPr>
        <w:tab/>
      </w:r>
      <w:r>
        <w:rPr>
          <w:b/>
          <w:i/>
          <w:szCs w:val="24"/>
          <w:lang w:eastAsia="en-US"/>
        </w:rPr>
        <w:t>Podľa uplatniteľného práva Únie sú členské štáty povinné identifikovať postihnuté a ohrozené vody, určiť pásma ohrozené dusičnanmi, vypracovať akčné programy a vykonávať príslušné opatrenia. V tejto súvislosti existuje naďalej potreba zlepšiť harmonizáciu kontrolných opatrení a systémov merania kvality vody medzi členskými štátmi, aby bolo možné v celej Únii zaviesť harmonizované normy, ktoré by umožnili porovnateľnosť medzi členskými štátmi, čím by sa predišlo problémom s hospodárskou súťažou v európskom odvetví poľnohospodárstva, ktoré by viedli k narušeniu vnútorného trhu.</w:t>
      </w:r>
      <w:r>
        <w:rPr>
          <w:b/>
          <w:szCs w:val="24"/>
          <w:lang w:eastAsia="en-US"/>
        </w:rPr>
        <w:t xml:space="preserve"> [PN 30]</w:t>
      </w:r>
    </w:p>
    <w:p w14:paraId="06DD0EFA" w14:textId="77777777" w:rsidR="002709ED" w:rsidRDefault="00B2757B">
      <w:pPr>
        <w:spacing w:before="120" w:after="120" w:line="360" w:lineRule="auto"/>
        <w:ind w:left="850" w:hanging="850"/>
        <w:rPr>
          <w:b/>
          <w:szCs w:val="24"/>
          <w:lang w:eastAsia="en-US"/>
        </w:rPr>
      </w:pPr>
      <w:r>
        <w:rPr>
          <w:szCs w:val="24"/>
          <w:lang w:eastAsia="en-US"/>
        </w:rPr>
        <w:t>(10)</w:t>
      </w:r>
      <w:r>
        <w:rPr>
          <w:szCs w:val="24"/>
          <w:lang w:eastAsia="en-US"/>
        </w:rPr>
        <w:tab/>
      </w:r>
      <w:r>
        <w:rPr>
          <w:b/>
          <w:i/>
          <w:szCs w:val="24"/>
          <w:lang w:eastAsia="en-US"/>
        </w:rPr>
        <w:t>Odhaduje sa, že v roku 2019 bolo 900 000 až 1,7 milióna úmrtí na celom svete pripísaných infekciám z dôvodu antimikrobiálnej rezistencie (AMR)‎</w:t>
      </w:r>
      <w:r>
        <w:rPr>
          <w:szCs w:val="24"/>
          <w:vertAlign w:val="superscript"/>
          <w:lang w:eastAsia="en-US"/>
        </w:rPr>
        <w:footnoteReference w:id="40"/>
      </w:r>
      <w:r>
        <w:rPr>
          <w:b/>
          <w:i/>
          <w:szCs w:val="24"/>
          <w:lang w:eastAsia="en-US"/>
        </w:rPr>
        <w:t xml:space="preserve">. Zároveň </w:t>
      </w:r>
      <w:r>
        <w:rPr>
          <w:szCs w:val="24"/>
          <w:lang w:eastAsia="en-US"/>
        </w:rPr>
        <w:t>boli vyjadrené obavy v súvislosti s rizikom vzniku antimikrobiálnej rezistencie v dôsledku prítomnosti mikroorganizmov rezistentných voči antimikrobiálnym látkam a génov antimikrobiálnej rezistencie vo vodnom prostredí, ale monitorovanie sa uskutočnilo len v malom rozsahu. Príslušné gény antimikrobiálnej rezistencie by sa mali zahrnúť aj do zoznamov sledovaných látok v povrchových a podzemných vodách a mali by sa začať monitorovať, hneď ako sa vypracujú vhodné metódy monitorovania. Je to v súlade s Európskym akčným plánom „jedno zdravie“ proti antimikrobiálnej rezistencii, ktorý Komisia prijala v júni 2017, a s farmaceutickou stratégiou pre Európu, ktorá sa takisto zaoberá touto otázkou.</w:t>
      </w:r>
      <w:r>
        <w:rPr>
          <w:b/>
          <w:szCs w:val="24"/>
          <w:lang w:eastAsia="en-US"/>
        </w:rPr>
        <w:t xml:space="preserve"> [PN 31]</w:t>
      </w:r>
    </w:p>
    <w:p w14:paraId="6994404B" w14:textId="77777777" w:rsidR="002709ED" w:rsidRDefault="00B2757B">
      <w:pPr>
        <w:widowControl/>
        <w:rPr>
          <w:b/>
          <w:i/>
          <w:szCs w:val="24"/>
          <w:lang w:eastAsia="en-US"/>
        </w:rPr>
      </w:pPr>
      <w:r>
        <w:rPr>
          <w:b/>
          <w:i/>
          <w:szCs w:val="24"/>
          <w:lang w:eastAsia="en-US"/>
        </w:rPr>
        <w:br w:type="page"/>
      </w:r>
    </w:p>
    <w:p w14:paraId="77737547" w14:textId="77777777" w:rsidR="002709ED" w:rsidRDefault="00B2757B">
      <w:pPr>
        <w:spacing w:before="120" w:after="120" w:line="360" w:lineRule="auto"/>
        <w:ind w:left="850" w:hanging="850"/>
        <w:rPr>
          <w:b/>
          <w:szCs w:val="24"/>
          <w:lang w:eastAsia="en-US"/>
        </w:rPr>
      </w:pPr>
      <w:r>
        <w:rPr>
          <w:b/>
          <w:i/>
          <w:szCs w:val="24"/>
          <w:lang w:eastAsia="en-US"/>
        </w:rPr>
        <w:lastRenderedPageBreak/>
        <w:t>(10a)</w:t>
      </w:r>
      <w:r>
        <w:rPr>
          <w:szCs w:val="24"/>
          <w:lang w:eastAsia="en-US"/>
        </w:rPr>
        <w:tab/>
      </w:r>
      <w:r>
        <w:rPr>
          <w:b/>
          <w:i/>
          <w:szCs w:val="24"/>
          <w:lang w:eastAsia="en-US"/>
        </w:rPr>
        <w:t>Vykonávacím rozhodnutím Komisie (EÚ) 2020/1729, ktorým sa zrušuje vykonávacie rozhodnutie 2013/652/EÚ, sa stanovuje rámec na získanie porovnateľných a spoľahlivých údajov o antimikrobiálnej rezistencii v Európskej únii, a to aj monitorovaním odpadových vôd z bitúnkov ako potenciálneho nosiča baktérií rezistentných voči antibiotikám, a teda možnej cesty kontaminácie životného prostredia. Vo vode vypúšťanej bitúnkami boli nájdené baktérie rezistentné voči antibiotikám.</w:t>
      </w:r>
      <w:r>
        <w:rPr>
          <w:b/>
          <w:szCs w:val="24"/>
          <w:lang w:eastAsia="en-US"/>
        </w:rPr>
        <w:t xml:space="preserve"> [PN 32]</w:t>
      </w:r>
    </w:p>
    <w:p w14:paraId="2367248C" w14:textId="77777777" w:rsidR="002709ED" w:rsidRDefault="00B2757B">
      <w:pPr>
        <w:spacing w:before="120" w:after="120" w:line="360" w:lineRule="auto"/>
        <w:ind w:left="850" w:hanging="850"/>
        <w:rPr>
          <w:b/>
          <w:szCs w:val="24"/>
          <w:lang w:eastAsia="en-US"/>
        </w:rPr>
      </w:pPr>
      <w:r>
        <w:rPr>
          <w:b/>
          <w:i/>
          <w:szCs w:val="24"/>
          <w:lang w:eastAsia="en-US"/>
        </w:rPr>
        <w:t>(10b)</w:t>
      </w:r>
      <w:r>
        <w:rPr>
          <w:szCs w:val="24"/>
          <w:lang w:eastAsia="en-US"/>
        </w:rPr>
        <w:tab/>
      </w:r>
      <w:r>
        <w:rPr>
          <w:b/>
          <w:i/>
          <w:szCs w:val="24"/>
          <w:lang w:eastAsia="en-US"/>
        </w:rPr>
        <w:t xml:space="preserve">Boli vyjadrené obavy z rizika síranov a xantátov vo vodnom prostredí. Sírany nielen zhoršujú kvalitu pitnej vody, ale ovplyvňujú aj materiálové cykly uhlíka, dusíka a fosforu. Okrem iného sa tým zvyšuje záťaž živinami vo vodných útvaroch, a tým aj rast rastlín a rias, ako aj dodávky potravy pre vodné organizmy, čo vedie k zníženiu obsahu kyslíka vo vode. Sírany a produkty ich rozkladu, najmä sulfidy, môžu mať za určitých podmienok toxický účinok na vodné organizmy. Výsledky štandardných testov naznačujú, že niektoré xantáty a produkty ich rozkladu sú toxické pre vodné bezstavovce a druhy rýb a že sa môžu bioakumulovať. Sírany sú už zaradené do zoznamu znečisťujúcich látok pre podzemné vody, ale vykonávané monitorovanie bolo nedostatočné. Sírany by preto mali byť zaradené do zoznamov sledovaných látok v povrchových a podzemných vodách. Xantáty by mali byť zaradené do zoznamu sledovaných látok v povrchových vodách. </w:t>
      </w:r>
      <w:r>
        <w:rPr>
          <w:b/>
          <w:szCs w:val="24"/>
          <w:lang w:eastAsia="en-US"/>
        </w:rPr>
        <w:t>[PN 33]</w:t>
      </w:r>
    </w:p>
    <w:p w14:paraId="46F1DD29" w14:textId="77777777" w:rsidR="002709ED" w:rsidRDefault="00B2757B">
      <w:pPr>
        <w:widowControl/>
        <w:rPr>
          <w:b/>
          <w:i/>
          <w:szCs w:val="24"/>
          <w:lang w:eastAsia="en-US"/>
        </w:rPr>
      </w:pPr>
      <w:r>
        <w:rPr>
          <w:b/>
          <w:i/>
          <w:szCs w:val="24"/>
          <w:lang w:eastAsia="en-US"/>
        </w:rPr>
        <w:br w:type="page"/>
      </w:r>
    </w:p>
    <w:p w14:paraId="47BE409D" w14:textId="77777777" w:rsidR="002709ED" w:rsidRDefault="00B2757B">
      <w:pPr>
        <w:spacing w:before="120" w:after="120" w:line="360" w:lineRule="auto"/>
        <w:ind w:left="850" w:hanging="850"/>
        <w:rPr>
          <w:b/>
          <w:szCs w:val="24"/>
          <w:lang w:eastAsia="en-US"/>
        </w:rPr>
      </w:pPr>
      <w:r>
        <w:rPr>
          <w:b/>
          <w:i/>
          <w:szCs w:val="24"/>
          <w:lang w:eastAsia="en-US"/>
        </w:rPr>
        <w:lastRenderedPageBreak/>
        <w:t>(10c)</w:t>
      </w:r>
      <w:r>
        <w:rPr>
          <w:szCs w:val="24"/>
          <w:lang w:eastAsia="en-US"/>
        </w:rPr>
        <w:tab/>
      </w:r>
      <w:r>
        <w:rPr>
          <w:b/>
          <w:i/>
          <w:szCs w:val="24"/>
          <w:lang w:eastAsia="en-US"/>
        </w:rPr>
        <w:t>Látky, napr. mikroplasty, predstavujú jasné riziko pre verejné zdravie a životné prostredie, ale aj pre základné činnosti, ako je rozvoj poľnohospodárstva. Prítomnosť týchto a iných častíc môže mať vplyv nielen na vodu, ktorú prijímajú hospodárske zvieratá a plodiny, ale aj na úrodnosť pôdy, čo ohrozuje zdravie a dobrý vývoj súčasných a budúcich plodín</w:t>
      </w:r>
      <w:r>
        <w:rPr>
          <w:szCs w:val="24"/>
          <w:vertAlign w:val="superscript"/>
          <w:lang w:eastAsia="en-US"/>
        </w:rPr>
        <w:footnoteReference w:id="41"/>
      </w:r>
      <w:r>
        <w:rPr>
          <w:b/>
          <w:i/>
          <w:szCs w:val="24"/>
          <w:lang w:eastAsia="en-US"/>
        </w:rPr>
        <w:t>.</w:t>
      </w:r>
      <w:r>
        <w:rPr>
          <w:b/>
          <w:szCs w:val="24"/>
          <w:lang w:eastAsia="en-US"/>
        </w:rPr>
        <w:t xml:space="preserve"> [PN 34]</w:t>
      </w:r>
    </w:p>
    <w:p w14:paraId="68C1B541" w14:textId="77777777" w:rsidR="002709ED" w:rsidRDefault="00B2757B">
      <w:pPr>
        <w:widowControl/>
        <w:rPr>
          <w:szCs w:val="24"/>
          <w:lang w:eastAsia="en-US"/>
        </w:rPr>
      </w:pPr>
      <w:r>
        <w:rPr>
          <w:szCs w:val="24"/>
          <w:lang w:eastAsia="en-US"/>
        </w:rPr>
        <w:br w:type="page"/>
      </w:r>
    </w:p>
    <w:p w14:paraId="6A535FDE" w14:textId="77777777" w:rsidR="002709ED" w:rsidRDefault="00B2757B">
      <w:pPr>
        <w:spacing w:before="120" w:after="120" w:line="360" w:lineRule="auto"/>
        <w:ind w:left="850" w:hanging="850"/>
        <w:rPr>
          <w:b/>
          <w:szCs w:val="24"/>
          <w:lang w:eastAsia="en-US"/>
        </w:rPr>
      </w:pPr>
      <w:r>
        <w:rPr>
          <w:szCs w:val="24"/>
          <w:lang w:eastAsia="en-US"/>
        </w:rPr>
        <w:lastRenderedPageBreak/>
        <w:t>(11)</w:t>
      </w:r>
      <w:r>
        <w:rPr>
          <w:szCs w:val="24"/>
          <w:lang w:eastAsia="en-US"/>
        </w:rPr>
        <w:tab/>
      </w:r>
      <w:r>
        <w:rPr>
          <w:b/>
          <w:i/>
          <w:szCs w:val="24"/>
          <w:lang w:eastAsia="en-US"/>
        </w:rPr>
        <w:t xml:space="preserve">Súčasné a konvenčné metódy monitorovania chemického stavu vodných útvarov nie sú schopné vo všeobecnosti určovať vplyv komplexných zmesí chemikálií na kvalitu vody. </w:t>
      </w:r>
      <w:r>
        <w:rPr>
          <w:szCs w:val="24"/>
          <w:lang w:eastAsia="en-US"/>
        </w:rPr>
        <w:t xml:space="preserve">Vzhľadom na rastúcu informovanosť o význame zmesí, a teda aj monitorovania založeného na účinkoch na určenie chemického stavu, a vzhľadom na to, že pre estrogénové látky už existujú dostatočne spoľahlivé metódy monitorovania založeného na účinkoch, by členské štáty mali uplatňovať takéto metódy na posúdenie kumulatívnych účinkov estrogénových látok v povrchových vodách počas obdobia najmenej dvoch rokov. Umožní sa tým porovnanie výsledkov založených na účinkoch s výsledkami získanými použitím konvenčných metód monitorovania troch estrogénových látok uvedených v prílohe I k smernici 2008/105/ES. Toto porovnanie </w:t>
      </w:r>
      <w:r>
        <w:rPr>
          <w:b/>
          <w:i/>
          <w:szCs w:val="24"/>
          <w:lang w:eastAsia="en-US"/>
        </w:rPr>
        <w:t>by sa malo zahrnúť do hodnotiacej správy, ktorú zverejní Komisia a v ktorej posúdi, či</w:t>
      </w:r>
      <w:r>
        <w:rPr>
          <w:strike/>
          <w:szCs w:val="24"/>
          <w:lang w:eastAsia="en-US"/>
        </w:rPr>
        <w:t>sa použije pri posúdení, či sa</w:t>
      </w:r>
      <w:r>
        <w:rPr>
          <w:szCs w:val="24"/>
          <w:lang w:eastAsia="en-US"/>
        </w:rPr>
        <w:t xml:space="preserve"> metódy monitorovania založené na účinkoch</w:t>
      </w:r>
      <w:r>
        <w:rPr>
          <w:b/>
          <w:i/>
          <w:szCs w:val="24"/>
          <w:lang w:eastAsia="en-US"/>
        </w:rPr>
        <w:t xml:space="preserve"> poskytujú spoľahlivé a presné údaje a či sa</w:t>
      </w:r>
      <w:r>
        <w:rPr>
          <w:szCs w:val="24"/>
          <w:lang w:eastAsia="en-US"/>
        </w:rPr>
        <w:t xml:space="preserve"> môžu použiť ako spoľahlivé skríningové metódy. Použitie takýchto skríningových metód by malo tú výhodu, že by sa mohlo vzťahovať na účinky všetkých estrogénových látok, ktoré majú podobné účinky, a nielen tých, ktoré sú uvedené v prílohe I k smernici 2008/105/ES. </w:t>
      </w:r>
      <w:r>
        <w:rPr>
          <w:b/>
          <w:i/>
          <w:szCs w:val="24"/>
          <w:lang w:eastAsia="en-US"/>
        </w:rPr>
        <w:t xml:space="preserve">Komisia by mala byť splnomocnená prijímať delegované akty na doplnenie smernice 2008/105/ES s cieľom stanoviť spôsoby, ako by členské štáty mali používať metódy založené na účinkoch na vykonávanie monitorovania s cieľom posúdiť prítomnosť aj iných látok vo vodných útvaroch pred tým, ako sa v budúcnosti prípadne stanovia spúšťacie hodnoty založené na účinkoch. </w:t>
      </w:r>
      <w:r>
        <w:rPr>
          <w:szCs w:val="24"/>
          <w:lang w:eastAsia="en-US"/>
        </w:rPr>
        <w:t>Vymedzenie normy environmentálnej kvality v smernici 2000/60/ES by sa malo upraviť tak, aby sa zabezpečilo, že sa v budúcnosti môže vzťahovať aj na spúšťacie hodnoty, ktoré by sa mohli stanoviť na posúdenie výsledkov monitorovania založeného na účinkoch.</w:t>
      </w:r>
      <w:r>
        <w:rPr>
          <w:b/>
          <w:szCs w:val="24"/>
          <w:lang w:eastAsia="en-US"/>
        </w:rPr>
        <w:t xml:space="preserve"> [PN 35]</w:t>
      </w:r>
    </w:p>
    <w:p w14:paraId="1B91BF03" w14:textId="77777777" w:rsidR="002709ED" w:rsidRDefault="00B2757B">
      <w:pPr>
        <w:widowControl/>
        <w:rPr>
          <w:b/>
          <w:i/>
          <w:szCs w:val="24"/>
          <w:lang w:eastAsia="en-US"/>
        </w:rPr>
      </w:pPr>
      <w:r>
        <w:rPr>
          <w:b/>
          <w:i/>
          <w:szCs w:val="24"/>
          <w:lang w:eastAsia="en-US"/>
        </w:rPr>
        <w:br w:type="page"/>
      </w:r>
    </w:p>
    <w:p w14:paraId="41599721" w14:textId="77777777" w:rsidR="002709ED" w:rsidRDefault="00B2757B">
      <w:pPr>
        <w:spacing w:before="120" w:after="120" w:line="360" w:lineRule="auto"/>
        <w:ind w:left="850" w:hanging="850"/>
        <w:rPr>
          <w:b/>
          <w:szCs w:val="24"/>
          <w:lang w:eastAsia="en-US"/>
        </w:rPr>
      </w:pPr>
      <w:r>
        <w:rPr>
          <w:b/>
          <w:i/>
          <w:szCs w:val="24"/>
          <w:lang w:eastAsia="en-US"/>
        </w:rPr>
        <w:lastRenderedPageBreak/>
        <w:t>(11a)</w:t>
      </w:r>
      <w:r>
        <w:rPr>
          <w:szCs w:val="24"/>
          <w:lang w:eastAsia="en-US"/>
        </w:rPr>
        <w:tab/>
      </w:r>
      <w:r>
        <w:rPr>
          <w:b/>
          <w:i/>
          <w:szCs w:val="24"/>
          <w:lang w:eastAsia="en-US"/>
        </w:rPr>
        <w:t>Mali by sa stanoviť prísnejšie prahové hodnoty tam, kde by normy kvality podzemných vôd mohli viesť k nedosiahnutiu environmentálnych cieľov smernice 2000/60/ES pre súvisiace vodné útvary, ako sa vyžaduje v smernici 2006/118/ES. Uvedená požiadavka podľa smernice 2006/118/ES by sa mala ďalej rozšíriť, aby sa lepšie chránili zraniteľné lokality pred znečistením.</w:t>
      </w:r>
      <w:r>
        <w:rPr>
          <w:b/>
          <w:szCs w:val="24"/>
          <w:lang w:eastAsia="en-US"/>
        </w:rPr>
        <w:t xml:space="preserve"> [PN 36]</w:t>
      </w:r>
    </w:p>
    <w:p w14:paraId="250799F1" w14:textId="77777777" w:rsidR="002709ED" w:rsidRDefault="00B2757B">
      <w:pPr>
        <w:widowControl/>
        <w:rPr>
          <w:szCs w:val="24"/>
          <w:lang w:eastAsia="en-US"/>
        </w:rPr>
      </w:pPr>
      <w:r>
        <w:rPr>
          <w:szCs w:val="24"/>
          <w:lang w:eastAsia="en-US"/>
        </w:rPr>
        <w:br w:type="page"/>
      </w:r>
    </w:p>
    <w:p w14:paraId="2FA97AEF" w14:textId="77777777" w:rsidR="002709ED" w:rsidRDefault="00B2757B">
      <w:pPr>
        <w:spacing w:before="120" w:after="120" w:line="360" w:lineRule="auto"/>
        <w:ind w:left="850" w:hanging="850"/>
        <w:rPr>
          <w:b/>
          <w:szCs w:val="24"/>
          <w:lang w:eastAsia="en-US"/>
        </w:rPr>
      </w:pPr>
      <w:r>
        <w:rPr>
          <w:szCs w:val="24"/>
          <w:lang w:eastAsia="en-US"/>
        </w:rPr>
        <w:lastRenderedPageBreak/>
        <w:t>(12)</w:t>
      </w:r>
      <w:r>
        <w:rPr>
          <w:szCs w:val="24"/>
          <w:lang w:eastAsia="en-US"/>
        </w:rPr>
        <w:tab/>
        <w:t>V hodnotení právnych predpisov Únie o vodách</w:t>
      </w:r>
      <w:r>
        <w:rPr>
          <w:szCs w:val="24"/>
          <w:vertAlign w:val="superscript"/>
          <w:lang w:eastAsia="en-US"/>
        </w:rPr>
        <w:footnoteReference w:id="42"/>
      </w:r>
      <w:r>
        <w:rPr>
          <w:szCs w:val="24"/>
          <w:lang w:eastAsia="en-US"/>
        </w:rPr>
        <w:t xml:space="preserve"> (ďalej len „hodnotenie“) sa dospelo k záveru, že proces identifikácie a zostavovania zoznamu znečisťujúcich látok ovplyvňujúcich povrchové a podzemné vody a stanovovania alebo revízie noriem kvality týkajúcich sa týchto látok by sa vzhľadom na nové vedecké poznatky mohol urýchliť. </w:t>
      </w:r>
      <w:r>
        <w:rPr>
          <w:strike/>
          <w:szCs w:val="24"/>
          <w:lang w:eastAsia="en-US"/>
        </w:rPr>
        <w:t>Ak by tieto úlohy vykonávala Komisia, a teda by neprebiehali</w:t>
      </w:r>
      <w:r>
        <w:rPr>
          <w:b/>
          <w:i/>
          <w:szCs w:val="24"/>
          <w:lang w:eastAsia="en-US"/>
        </w:rPr>
        <w:t>Preto by sa</w:t>
      </w:r>
      <w:r>
        <w:rPr>
          <w:szCs w:val="24"/>
          <w:lang w:eastAsia="en-US"/>
        </w:rPr>
        <w:t xml:space="preserve"> v rámci </w:t>
      </w:r>
      <w:r>
        <w:rPr>
          <w:strike/>
          <w:szCs w:val="24"/>
          <w:lang w:eastAsia="en-US"/>
        </w:rPr>
        <w:t xml:space="preserve">riadneho legislatívneho postupu, ako sa v súčasnosti stanovuje v článkoch 16 a 17 smernice 2000/60/ES a v článku 10 smernice </w:t>
      </w:r>
      <w:r>
        <w:rPr>
          <w:b/>
          <w:i/>
          <w:szCs w:val="24"/>
          <w:lang w:eastAsia="en-US"/>
        </w:rPr>
        <w:t xml:space="preserve">každého budúceho preskúmania prílohy I k smernici 2008/105/ES, pokiaľ ide o zoznam prioritných látok a zodpovedajúce ENK stanovené v časti A uvedenej prílohy a prílohy I k smernici </w:t>
      </w:r>
      <w:r>
        <w:rPr>
          <w:szCs w:val="24"/>
          <w:lang w:eastAsia="en-US"/>
        </w:rPr>
        <w:t xml:space="preserve">2006/118/ES, </w:t>
      </w:r>
      <w:r>
        <w:rPr>
          <w:strike/>
          <w:szCs w:val="24"/>
          <w:lang w:eastAsia="en-US"/>
        </w:rPr>
        <w:t>mohlo by sa</w:t>
      </w:r>
      <w:r>
        <w:rPr>
          <w:b/>
          <w:i/>
          <w:szCs w:val="24"/>
          <w:lang w:eastAsia="en-US"/>
        </w:rPr>
        <w:t>malo</w:t>
      </w:r>
      <w:r>
        <w:rPr>
          <w:szCs w:val="24"/>
          <w:lang w:eastAsia="en-US"/>
        </w:rPr>
        <w:t xml:space="preserve"> zlepšiť fungovanie mechanizmov zoznamu sledovaných látok v prípade povrchových a podzemných vôd, najmä pokiaľ ide o harmonogram a postupnosť zaraďovania do zoznamu, či o monitorovanie a hodnotenie výsledkov, mohlo by sa posilniť prepojenie medzi mechanizmom zoznamu sledovaných látok a preskúmaním zoznamov znečisťujúcich látok a </w:t>
      </w:r>
      <w:r>
        <w:rPr>
          <w:strike/>
          <w:szCs w:val="24"/>
          <w:lang w:eastAsia="en-US"/>
        </w:rPr>
        <w:t xml:space="preserve">pri zmenách </w:t>
      </w:r>
      <w:r>
        <w:rPr>
          <w:b/>
          <w:i/>
          <w:szCs w:val="24"/>
          <w:lang w:eastAsia="en-US"/>
        </w:rPr>
        <w:t xml:space="preserve">malo by sa upraviť obdobie na preskúmanie </w:t>
      </w:r>
      <w:r>
        <w:rPr>
          <w:szCs w:val="24"/>
          <w:lang w:eastAsia="en-US"/>
        </w:rPr>
        <w:t xml:space="preserve">zoznamov znečisťujúcich látok </w:t>
      </w:r>
      <w:r>
        <w:rPr>
          <w:strike/>
          <w:szCs w:val="24"/>
          <w:lang w:eastAsia="en-US"/>
        </w:rPr>
        <w:t>by sa mohol</w:t>
      </w:r>
      <w:r>
        <w:rPr>
          <w:b/>
          <w:i/>
          <w:szCs w:val="24"/>
          <w:lang w:eastAsia="en-US"/>
        </w:rPr>
        <w:t>s cieľom</w:t>
      </w:r>
      <w:r>
        <w:rPr>
          <w:szCs w:val="24"/>
          <w:lang w:eastAsia="en-US"/>
        </w:rPr>
        <w:t xml:space="preserve"> rýchlejšie zohľadňovať vedecký pokrok</w:t>
      </w:r>
      <w:r>
        <w:rPr>
          <w:strike/>
          <w:szCs w:val="24"/>
          <w:lang w:eastAsia="en-US"/>
        </w:rPr>
        <w:t>. Z tohto dôvodu a vzhľadom na potrebu urýchlene zmeniť zoznamy znečisťujúcich látok a ich normy environmentálnej kvality na základe nových vedeckých a technických poznatkov by sa v súlade s článkom 290 ZFEÚ mala na Komisiu delegovať právomoc prijímať akty s cieľom zmeniť prílohu I k smernici 2008/105/ES, pokiaľ ide o zoznam prioritných látok a zodpovedajúce normy environmentálnej kvality stanovené v časti A uvedenej prílohy, a zmeniť prílohu I k smernici 2006/118/ES, pokiaľ ide o zoznam znečisťujúcich látok v podzemných vodách a normy kvality stanovené v uvedenej prílohe</w:t>
      </w:r>
      <w:r>
        <w:rPr>
          <w:szCs w:val="24"/>
          <w:lang w:eastAsia="en-US"/>
        </w:rPr>
        <w:t>. V tejto súvislosti by Komisia mala zohľadniť výsledky monitorovania látok uvedených v zoznamoch sledovaných látok v povrchových a podzemných vodách. V dôsledku toho by sa mali vypustiť články 16 a 17 smernice 2000/60/ES a príloha X k uvedenej smernici, ako aj článok 10 smernice 2006/118/ES</w:t>
      </w:r>
      <w:r>
        <w:rPr>
          <w:b/>
          <w:i/>
          <w:szCs w:val="24"/>
          <w:lang w:eastAsia="en-US"/>
        </w:rPr>
        <w:t xml:space="preserve">, pričom by sa mala zachovať povinnosť prijať opatrenia zamerané na zastavenie alebo postupné </w:t>
      </w:r>
      <w:r>
        <w:rPr>
          <w:b/>
          <w:i/>
          <w:szCs w:val="24"/>
          <w:lang w:eastAsia="en-US"/>
        </w:rPr>
        <w:lastRenderedPageBreak/>
        <w:t>ukončenie vypúšťania, emisií a únikov prioritných rizikových látok</w:t>
      </w:r>
      <w:r>
        <w:rPr>
          <w:szCs w:val="24"/>
          <w:lang w:eastAsia="en-US"/>
        </w:rPr>
        <w:t>.</w:t>
      </w:r>
      <w:r>
        <w:rPr>
          <w:b/>
          <w:szCs w:val="24"/>
          <w:lang w:eastAsia="en-US"/>
        </w:rPr>
        <w:t xml:space="preserve"> [PN 37]</w:t>
      </w:r>
    </w:p>
    <w:p w14:paraId="13DDE823" w14:textId="77777777" w:rsidR="002709ED" w:rsidRDefault="00B2757B">
      <w:pPr>
        <w:spacing w:before="120" w:after="120" w:line="360" w:lineRule="auto"/>
        <w:ind w:left="850" w:hanging="850"/>
        <w:rPr>
          <w:b/>
          <w:szCs w:val="24"/>
          <w:lang w:eastAsia="en-US"/>
        </w:rPr>
      </w:pPr>
      <w:r>
        <w:rPr>
          <w:b/>
          <w:i/>
          <w:szCs w:val="24"/>
          <w:lang w:eastAsia="en-US"/>
        </w:rPr>
        <w:t>(12a)</w:t>
      </w:r>
      <w:r>
        <w:rPr>
          <w:szCs w:val="24"/>
          <w:lang w:eastAsia="en-US"/>
        </w:rPr>
        <w:tab/>
      </w:r>
      <w:r>
        <w:rPr>
          <w:b/>
          <w:i/>
          <w:szCs w:val="24"/>
          <w:lang w:eastAsia="en-US"/>
        </w:rPr>
        <w:t>Zo záverov kontroly vhodnosti celkovo vyplýva, že smernice sú vo všeobecnosti vhodné na daný účel, pričom existuje priestor na zlepšenie vrátane urýchlenia riadneho vykonávania ich cieľov, čo by sa mohlo dosiahnuť väčším objemom finančných prostriedkov Únie. Z hodnotenia vyplýva, že doposiaľ smernice vo všeobecnosti viedli k vyššej úrovni ochrany vodných útvarov a k lepšiemu manažmentu povodňových rizík.</w:t>
      </w:r>
      <w:r>
        <w:rPr>
          <w:b/>
          <w:szCs w:val="24"/>
          <w:lang w:eastAsia="en-US"/>
        </w:rPr>
        <w:t xml:space="preserve"> [PN 38]</w:t>
      </w:r>
    </w:p>
    <w:p w14:paraId="431F3ADD" w14:textId="77777777" w:rsidR="002709ED" w:rsidRDefault="00B2757B">
      <w:pPr>
        <w:widowControl/>
        <w:rPr>
          <w:szCs w:val="24"/>
          <w:lang w:eastAsia="en-US"/>
        </w:rPr>
      </w:pPr>
      <w:r>
        <w:rPr>
          <w:szCs w:val="24"/>
          <w:lang w:eastAsia="en-US"/>
        </w:rPr>
        <w:br w:type="page"/>
      </w:r>
    </w:p>
    <w:p w14:paraId="20221A50" w14:textId="77777777" w:rsidR="002709ED" w:rsidRDefault="00B2757B">
      <w:pPr>
        <w:spacing w:before="120" w:after="120" w:line="360" w:lineRule="auto"/>
        <w:ind w:left="850" w:hanging="850"/>
        <w:rPr>
          <w:szCs w:val="24"/>
          <w:lang w:eastAsia="en-US"/>
        </w:rPr>
      </w:pPr>
      <w:r>
        <w:rPr>
          <w:szCs w:val="24"/>
          <w:lang w:eastAsia="en-US"/>
        </w:rPr>
        <w:lastRenderedPageBreak/>
        <w:t>(13)</w:t>
      </w:r>
      <w:r>
        <w:rPr>
          <w:szCs w:val="24"/>
          <w:lang w:eastAsia="en-US"/>
        </w:rPr>
        <w:tab/>
        <w:t>V hodnotení sa takisto dospelo k záveru, že medzi členskými štátmi existujú príliš veľké rozdiely, pokiaľ ide o normy kvality a prahové hodnoty stanovené na vnútroštátnej úrovni pre znečisťujúce látky špecifické pre povodie a pre znečisťujúce látky v podzemnej vode. Znečisťujúce látky špecifické pre povodie, ktoré neboli identifikované ako prioritné látky podľa smernice 2000/60/ES, doteraz podliehali vnútroštátnym normám environmentálnej kvality a považovali sa za fyzikálno-chemické prvky kvality na podporu hodnotenia ekologického stavu povrchových vôd. Aj v prípade podzemných vôd mali členské štáty možnosť stanoviť si vlastné prahové hodnoty, a to aj pre vyrábané syntetické látky. Táto flexibilita viedla k suboptimálnym výsledkom z hľadiska porovnateľnosti stavu vodných útvarov medzi členskými štátmi a z hľadiska ochrany životného prostredia. Preto treba stanoviť postup, ktorý na úrovni Únie umožní dohodu o normách environmentálnej kvality a prahových hodnotách, ktoré sa majú uplatňovať na tieto látky, ak sú identifikované ako látky vzbudzujúce vnútroštátne obavy, a zriadiť registre uplatniteľných noriem environmentálnej kvality a prahových hodnôt.</w:t>
      </w:r>
    </w:p>
    <w:p w14:paraId="5758235D" w14:textId="77777777" w:rsidR="002709ED" w:rsidRDefault="00B2757B">
      <w:pPr>
        <w:widowControl/>
        <w:rPr>
          <w:b/>
          <w:i/>
          <w:szCs w:val="24"/>
          <w:lang w:eastAsia="en-US"/>
        </w:rPr>
      </w:pPr>
      <w:r>
        <w:rPr>
          <w:b/>
          <w:i/>
          <w:szCs w:val="24"/>
          <w:lang w:eastAsia="en-US"/>
        </w:rPr>
        <w:br w:type="page"/>
      </w:r>
    </w:p>
    <w:p w14:paraId="6B517861" w14:textId="77777777" w:rsidR="002709ED" w:rsidRDefault="00B2757B">
      <w:pPr>
        <w:spacing w:before="120" w:after="120" w:line="360" w:lineRule="auto"/>
        <w:ind w:left="850" w:hanging="850"/>
        <w:rPr>
          <w:b/>
          <w:szCs w:val="24"/>
          <w:lang w:eastAsia="en-US"/>
        </w:rPr>
      </w:pPr>
      <w:r>
        <w:rPr>
          <w:b/>
          <w:i/>
          <w:szCs w:val="24"/>
          <w:lang w:eastAsia="en-US"/>
        </w:rPr>
        <w:lastRenderedPageBreak/>
        <w:t>(13a)</w:t>
      </w:r>
      <w:r>
        <w:rPr>
          <w:szCs w:val="24"/>
          <w:lang w:eastAsia="en-US"/>
        </w:rPr>
        <w:tab/>
      </w:r>
      <w:r>
        <w:rPr>
          <w:b/>
          <w:i/>
          <w:szCs w:val="24"/>
          <w:lang w:eastAsia="en-US"/>
        </w:rPr>
        <w:t>Každé rozhodnutie pri výbere, preskúmaní látok a stanovovaní environmentálnych noriem kvality by malo byť založené na hodnotení rizika a malo by sa riadiť primeraným, transparentným a vedecky podloženým prístupom a zohľadňovať odporúčania Európskeho parlamentu, členských štátov a príslušných zainteresovaných strán.</w:t>
      </w:r>
      <w:r>
        <w:rPr>
          <w:b/>
          <w:szCs w:val="24"/>
          <w:lang w:eastAsia="en-US"/>
        </w:rPr>
        <w:t xml:space="preserve"> [PN 39]</w:t>
      </w:r>
    </w:p>
    <w:p w14:paraId="2F841A06" w14:textId="77777777" w:rsidR="002709ED" w:rsidRDefault="00B2757B">
      <w:pPr>
        <w:spacing w:before="120" w:after="120" w:line="360" w:lineRule="auto"/>
        <w:ind w:left="850" w:hanging="850"/>
        <w:rPr>
          <w:b/>
          <w:szCs w:val="24"/>
          <w:lang w:eastAsia="en-US"/>
        </w:rPr>
      </w:pPr>
      <w:r>
        <w:rPr>
          <w:b/>
          <w:i/>
          <w:szCs w:val="24"/>
          <w:lang w:eastAsia="en-US"/>
        </w:rPr>
        <w:t>(13b)</w:t>
      </w:r>
      <w:r>
        <w:rPr>
          <w:szCs w:val="24"/>
          <w:lang w:eastAsia="en-US"/>
        </w:rPr>
        <w:tab/>
      </w:r>
      <w:r>
        <w:rPr>
          <w:b/>
          <w:i/>
          <w:szCs w:val="24"/>
          <w:lang w:eastAsia="en-US"/>
        </w:rPr>
        <w:t>Hoci smernica 2000/60/ES stanovila pravidlá potrebné na dosiahnutie pokroku v oblasti množstva a kvality vody, z kontroly vhodnosti vyplynulo, že pomalý pokrok pri dosahovaní cieľov tejto smernice možno okrem iného pripísať nedostatku finančných zdrojov, ako aj regulačnej a ekologickej zložitosti vrátane možných oneskorení v dôsledku pomalej reakcie podzemných vôd na opatrenia a harmonogramu podávania správ. Opatrenia, ktoré zlepšujú stav vodných útvarov prostredníctvom obnovy riek a ekosystémových služieb, prinášajú finančné výhody, ktoré prevyšujú náklady, a mohli by znížiť nadbytočné výdavky členských štátov. Hodnotenie okrem toho poukazuje na nedostatočné vykonávanie, nedostatočný rozsah pôsobnosti a nepostačujúce alebo neprimerané opatrenia na obnovu, ktoré by zabezpečovali hydrologickú a ekologickú konektivitu</w:t>
      </w:r>
      <w:r>
        <w:rPr>
          <w:szCs w:val="24"/>
          <w:vertAlign w:val="superscript"/>
          <w:lang w:eastAsia="en-US"/>
        </w:rPr>
        <w:footnoteReference w:id="43"/>
      </w:r>
      <w:r>
        <w:rPr>
          <w:b/>
          <w:i/>
          <w:szCs w:val="24"/>
          <w:lang w:eastAsia="en-US"/>
        </w:rPr>
        <w:t>.</w:t>
      </w:r>
      <w:r>
        <w:rPr>
          <w:b/>
          <w:szCs w:val="24"/>
          <w:lang w:eastAsia="en-US"/>
        </w:rPr>
        <w:t xml:space="preserve"> [PN 40]</w:t>
      </w:r>
    </w:p>
    <w:p w14:paraId="79E72A86" w14:textId="77777777" w:rsidR="002709ED" w:rsidRDefault="00B2757B">
      <w:pPr>
        <w:widowControl/>
        <w:rPr>
          <w:szCs w:val="24"/>
          <w:lang w:eastAsia="en-US"/>
        </w:rPr>
      </w:pPr>
      <w:r>
        <w:rPr>
          <w:szCs w:val="24"/>
          <w:lang w:eastAsia="en-US"/>
        </w:rPr>
        <w:br w:type="page"/>
      </w:r>
    </w:p>
    <w:p w14:paraId="3457486C" w14:textId="77777777" w:rsidR="002709ED" w:rsidRDefault="00B2757B">
      <w:pPr>
        <w:spacing w:before="120" w:after="120" w:line="360" w:lineRule="auto"/>
        <w:ind w:left="850" w:hanging="850"/>
        <w:rPr>
          <w:szCs w:val="24"/>
          <w:lang w:eastAsia="en-US"/>
        </w:rPr>
      </w:pPr>
      <w:r>
        <w:rPr>
          <w:szCs w:val="24"/>
          <w:lang w:eastAsia="en-US"/>
        </w:rPr>
        <w:lastRenderedPageBreak/>
        <w:t>(14)</w:t>
      </w:r>
      <w:r>
        <w:rPr>
          <w:szCs w:val="24"/>
          <w:lang w:eastAsia="en-US"/>
        </w:rPr>
        <w:tab/>
        <w:t>Okrem toho začlenenie znečisťujúcich látok špecifických pre povodie do vymedzenia chemického stavu povrchových vôd zabezpečuje koordinovanejší, súdržnejší a transparentnejší prístup, pokiaľ ide o monitorovanie a hodnotenie chemického stavu útvarov povrchových vôd a súvisiace informácie pre verejnosť. Uľahčuje aj cielenejší prístup k identifikácii a vykonávaniu opatrení na riešenie všetkých otázok súvisiacich s chemickými látkami holistickejším, účinnejším a efektívnejším spôsobom. Preto by sa malo zmeniť vymedzenie pojmov „ekologický stav“ a „chemický stav“ a rozsah pôsobnosti „chemického stavu“ by sa mal rozšíriť tak, aby zahŕňal aj znečisťujúce látky špecifické pre povodie, ktoré boli dosiaľ súčasťou vymedzenia pojmu „ekologický stav“ v prílohe V k smernici 2000/60/ES. V dôsledku toho by sa do smernice 2008/105/ES mal zahrnúť pojem normy environmentálnej kvality pre znečisťujúce látky špecifické pre povodie a súvisiace postupy.</w:t>
      </w:r>
    </w:p>
    <w:p w14:paraId="138226E3" w14:textId="77777777" w:rsidR="002709ED" w:rsidRDefault="00B2757B">
      <w:pPr>
        <w:spacing w:before="120" w:after="120" w:line="360" w:lineRule="auto"/>
        <w:ind w:left="850" w:hanging="850"/>
        <w:rPr>
          <w:b/>
          <w:szCs w:val="24"/>
          <w:lang w:eastAsia="en-US"/>
        </w:rPr>
      </w:pPr>
      <w:r>
        <w:rPr>
          <w:szCs w:val="24"/>
          <w:lang w:eastAsia="en-US"/>
        </w:rPr>
        <w:t>(15)</w:t>
      </w:r>
      <w:r>
        <w:rPr>
          <w:szCs w:val="24"/>
          <w:lang w:eastAsia="en-US"/>
        </w:rPr>
        <w:tab/>
        <w:t xml:space="preserve">S cieľom zabezpečiť harmonizovaný prístup a rovnaké podmienky v Únii by sa v súlade s článkom 290 ZFEÚ mala na Komisiu delegovať právomoc prijímať akty s cieľom zmeniť časť B prílohy II k smernici 2006/118/ES úpravou zoznamu znečisťujúcich látok, v prípade ktorých musia členské štáty </w:t>
      </w:r>
      <w:r>
        <w:rPr>
          <w:strike/>
          <w:szCs w:val="24"/>
          <w:lang w:eastAsia="en-US"/>
        </w:rPr>
        <w:t>zvážiť stanovenie</w:t>
      </w:r>
      <w:r>
        <w:rPr>
          <w:b/>
          <w:i/>
          <w:szCs w:val="24"/>
          <w:lang w:eastAsia="en-US"/>
        </w:rPr>
        <w:t>stanoviť</w:t>
      </w:r>
      <w:r>
        <w:rPr>
          <w:szCs w:val="24"/>
          <w:lang w:eastAsia="en-US"/>
        </w:rPr>
        <w:t xml:space="preserve"> vnútroštátnych prahových hodnôt.</w:t>
      </w:r>
      <w:r>
        <w:rPr>
          <w:b/>
          <w:szCs w:val="24"/>
          <w:lang w:eastAsia="en-US"/>
        </w:rPr>
        <w:t xml:space="preserve"> [PN 41]</w:t>
      </w:r>
    </w:p>
    <w:p w14:paraId="031A892B" w14:textId="77777777" w:rsidR="002709ED" w:rsidRDefault="00B2757B">
      <w:pPr>
        <w:widowControl/>
        <w:rPr>
          <w:szCs w:val="24"/>
          <w:lang w:eastAsia="en-US"/>
        </w:rPr>
      </w:pPr>
      <w:r>
        <w:rPr>
          <w:szCs w:val="24"/>
          <w:lang w:eastAsia="en-US"/>
        </w:rPr>
        <w:br w:type="page"/>
      </w:r>
    </w:p>
    <w:p w14:paraId="2C0CDAAA" w14:textId="77777777" w:rsidR="002709ED" w:rsidRDefault="00B2757B">
      <w:pPr>
        <w:spacing w:before="120" w:after="120" w:line="360" w:lineRule="auto"/>
        <w:ind w:left="850" w:hanging="850"/>
        <w:rPr>
          <w:szCs w:val="24"/>
          <w:lang w:eastAsia="en-US"/>
        </w:rPr>
      </w:pPr>
      <w:r>
        <w:rPr>
          <w:szCs w:val="24"/>
          <w:lang w:eastAsia="en-US"/>
        </w:rPr>
        <w:lastRenderedPageBreak/>
        <w:t>(16)</w:t>
      </w:r>
      <w:r>
        <w:rPr>
          <w:szCs w:val="24"/>
          <w:lang w:eastAsia="en-US"/>
        </w:rPr>
        <w:tab/>
        <w:t>Vzhľadom na potrebu urýchlene sa prispôsobiť vedeckým a technickým poznatkom a zabezpečiť harmonizovaný prístup a rovnaké podmienky v Únii, pokiaľ ide o znečisťujúce látky špecifické pre povodie, by sa v súlade s článkom 290 ZFEÚ mala na Komisiu delegovať právomoc prijímať akty s cieľom upraviť prílohu II k smernici 2008/105/ES, pokiaľ ide o zoznam kategórií znečisťujúcich látok stanovených v časti A uvedenej prílohy, a upraviť časť C prílohy II, pokiaľ ide o harmonizované normy environmentálnej kvality pre znečisťujúce látky špecifické pre povodie alebo ich skupiny. Členské štáty by mali tieto harmonizované normy environmentálnej kvality uplatňovať pri hodnotení stavu svojich útvarov povrchových vôd, ak sa zistilo riziko vyplývajúce z týchto znečisťujúcich látok.</w:t>
      </w:r>
    </w:p>
    <w:p w14:paraId="042D6D67" w14:textId="77777777" w:rsidR="002709ED" w:rsidRDefault="00B2757B">
      <w:pPr>
        <w:spacing w:before="120" w:after="120" w:line="360" w:lineRule="auto"/>
        <w:ind w:left="850" w:hanging="850"/>
        <w:rPr>
          <w:szCs w:val="24"/>
          <w:lang w:eastAsia="en-US"/>
        </w:rPr>
      </w:pPr>
      <w:r>
        <w:rPr>
          <w:szCs w:val="24"/>
          <w:lang w:eastAsia="en-US"/>
        </w:rPr>
        <w:t>(17)</w:t>
      </w:r>
      <w:r>
        <w:rPr>
          <w:szCs w:val="24"/>
          <w:lang w:eastAsia="en-US"/>
        </w:rPr>
        <w:tab/>
        <w:t>Pri preskúmaní zoznamu prioritných látok v časti A prílohy I k smernici 2008/105/ES sa dospelo k záveru, že niekoľko prioritných látok už nevyvoláva obavy v celej Únii, a preto by sa v časti A prílohy I k uvedenej smernici už nemali uvádzať. Tieto látky by sa preto mali považovať za znečisťujúce látky špecifické pre povodie a mali by sa spolu s ich zodpovedajúcimi normami environmentálnej kvality zahrnúť do časti C prílohy II k smernici 2008/105/ES. Vzhľadom na to, že tieto znečisťujúce látky sa už nepovažujú za látky vzbudzujúce obavy v celej Únii, normy environmentálnej kvality sa musia uplatňovať len vtedy, ak by tieto znečisťujúce látky mohli naďalej vyvolávať obavy na celoštátnej, regionálnej alebo miestnej úrovni.</w:t>
      </w:r>
    </w:p>
    <w:p w14:paraId="5DCAB107" w14:textId="77777777" w:rsidR="002709ED" w:rsidRDefault="00B2757B">
      <w:pPr>
        <w:widowControl/>
        <w:rPr>
          <w:szCs w:val="24"/>
          <w:lang w:eastAsia="en-US"/>
        </w:rPr>
      </w:pPr>
      <w:r>
        <w:rPr>
          <w:szCs w:val="24"/>
          <w:lang w:eastAsia="en-US"/>
        </w:rPr>
        <w:br w:type="page"/>
      </w:r>
    </w:p>
    <w:p w14:paraId="43F6449E" w14:textId="77777777" w:rsidR="002709ED" w:rsidRDefault="00B2757B">
      <w:pPr>
        <w:spacing w:before="120" w:after="120" w:line="360" w:lineRule="auto"/>
        <w:ind w:left="850" w:hanging="850"/>
        <w:rPr>
          <w:szCs w:val="24"/>
          <w:lang w:eastAsia="en-US"/>
        </w:rPr>
      </w:pPr>
      <w:r>
        <w:rPr>
          <w:szCs w:val="24"/>
          <w:lang w:eastAsia="en-US"/>
        </w:rPr>
        <w:lastRenderedPageBreak/>
        <w:t>(18)</w:t>
      </w:r>
      <w:r>
        <w:rPr>
          <w:szCs w:val="24"/>
          <w:lang w:eastAsia="en-US"/>
        </w:rPr>
        <w:tab/>
        <w:t>S cieľom zabezpečiť rovnaké podmienky a umožniť porovnateľnosť stavu vodných útvarov medzi členskými štátmi treba harmonizovať vnútroštátne prahové hodnoty niektorých látok znečisťujúcich podzemné vody. Preto by sa ako nová časť D prílohy II k smernici 2006/118/ES mal zaviesť register harmonizovaných prahových hodnôt v prípade látok znečisťujúcich podzemné vody a vzbudzujúcich obavy na celoštátnej, regionálnej alebo miestnej úrovni. Harmonizované prahové hodnoty stanovené v uvedenom registri sa musia uplatňovať len v tých členských štátoch, v ktorých znečisťujúce látky, na ktoré sa vzťahujú tieto prahové hodnoty, ovplyvňujú stav podzemných vôd. Pre súčet dvoch syntetických znečisťujúcich látok trichlóretylén a tetrachlóretylén treba harmonizovať vnútroštátne prahové hodnoty, keďže nie všetky členské štáty, v ktorých sú dané znečisťujúce látky relevantné, uplatňujú prahové hodnoty pre súčet týchto znečisťujúcich látok a stanovené vnútroštátne prahové hodnoty sú rôzne. Harmonizovaná prahová hodnota by mala byť v súlade s parametrickou hodnotou stanovenou pre súčet týchto znečisťujúcich látok v pitnej vode podľa smernice (EÚ) 2020/2184.</w:t>
      </w:r>
    </w:p>
    <w:p w14:paraId="59B32A87" w14:textId="77777777" w:rsidR="002709ED" w:rsidRDefault="00B2757B">
      <w:pPr>
        <w:spacing w:before="120" w:after="120" w:line="360" w:lineRule="auto"/>
        <w:ind w:left="850" w:hanging="850"/>
        <w:rPr>
          <w:szCs w:val="24"/>
          <w:lang w:eastAsia="en-US"/>
        </w:rPr>
      </w:pPr>
      <w:r>
        <w:rPr>
          <w:szCs w:val="24"/>
          <w:lang w:eastAsia="en-US"/>
        </w:rPr>
        <w:t>(19)</w:t>
      </w:r>
      <w:r>
        <w:rPr>
          <w:szCs w:val="24"/>
          <w:lang w:eastAsia="en-US"/>
        </w:rPr>
        <w:tab/>
        <w:t>S cieľom zabezpečiť harmonizovaný prístup a rovnaké podmienky v Únii by sa v súlade s článkom 290 ZFEÚ mala na Komisiu delegovať právomoc prijímať akty s cieľom zmeniť časť D prílohy II k smernici 2006/118/ES na účely prispôsobenia registra harmonizovaných prahových hodnôt, pokiaľ ide o zaradené znečisťujúce látky, a harmonizovaných prahových hodnôt technickému a vedeckému pokroku.</w:t>
      </w:r>
    </w:p>
    <w:p w14:paraId="497361AC" w14:textId="77777777" w:rsidR="002709ED" w:rsidRDefault="00B2757B">
      <w:pPr>
        <w:widowControl/>
        <w:rPr>
          <w:szCs w:val="24"/>
          <w:lang w:eastAsia="en-US"/>
        </w:rPr>
      </w:pPr>
      <w:r>
        <w:rPr>
          <w:szCs w:val="24"/>
          <w:lang w:eastAsia="en-US"/>
        </w:rPr>
        <w:br w:type="page"/>
      </w:r>
    </w:p>
    <w:p w14:paraId="6A76DB26" w14:textId="77777777" w:rsidR="002709ED" w:rsidRDefault="00B2757B">
      <w:pPr>
        <w:spacing w:before="120" w:after="120" w:line="360" w:lineRule="auto"/>
        <w:ind w:left="850" w:hanging="850"/>
        <w:rPr>
          <w:szCs w:val="24"/>
          <w:lang w:eastAsia="en-US"/>
        </w:rPr>
      </w:pPr>
      <w:r>
        <w:rPr>
          <w:szCs w:val="24"/>
          <w:lang w:eastAsia="en-US"/>
        </w:rPr>
        <w:lastRenderedPageBreak/>
        <w:t>(20)</w:t>
      </w:r>
      <w:r>
        <w:rPr>
          <w:szCs w:val="24"/>
          <w:lang w:eastAsia="en-US"/>
        </w:rPr>
        <w:tab/>
        <w:t>Všetky ustanovenia smernice 2006/118/ES týkajúce sa hodnotenia chemického stavu podzemných vôd by sa mali prispôsobiť zavedeniu tretej kategórie harmonizovaných prahových hodnôt v časti D prílohy II k uvedenej smernici, a to popri normách kvality stanovených v prílohe I k uvedenej smernici a vnútroštátnych prahových hodnotách určených v súlade s metodikou stanovenou v časti A prílohy II k uvedenej smernici.</w:t>
      </w:r>
    </w:p>
    <w:p w14:paraId="6CC22E92" w14:textId="77777777" w:rsidR="002709ED" w:rsidRDefault="00B2757B">
      <w:pPr>
        <w:spacing w:before="120" w:after="120" w:line="360" w:lineRule="auto"/>
        <w:ind w:left="850" w:hanging="850"/>
        <w:rPr>
          <w:b/>
          <w:szCs w:val="24"/>
          <w:lang w:eastAsia="en-US"/>
        </w:rPr>
      </w:pPr>
      <w:r>
        <w:rPr>
          <w:b/>
          <w:i/>
          <w:szCs w:val="24"/>
          <w:lang w:eastAsia="en-US"/>
        </w:rPr>
        <w:t>(20a)</w:t>
      </w:r>
      <w:r>
        <w:rPr>
          <w:szCs w:val="24"/>
          <w:lang w:eastAsia="en-US"/>
        </w:rPr>
        <w:tab/>
      </w:r>
      <w:r>
        <w:rPr>
          <w:b/>
          <w:i/>
          <w:szCs w:val="24"/>
          <w:lang w:eastAsia="en-US"/>
        </w:rPr>
        <w:t>S cieľom zabezpečiť primerané normy ochrany pre oblasti s vysokou ekologickou hodnotou, zraniteľnosťou alebo znečistením, ako sú jaskyne a krasové oblasti, ktoré obsahujú ekosystémy, ktoré patria medzi najviac ohrozené kontamináciou a predstavujú dôležité zdroje zásobovania pitnou vodou, ako aj pre bývalé priemyselné lokality a iné oblasti so známou historickou kontamináciou, by Komisia mala uverejniť posúdenie chemického stavu takýchto oblastí a v prípade potreby predložiť legislatívny návrh na príslušnú revíziu smernice 2006/118/ES.</w:t>
      </w:r>
      <w:r>
        <w:rPr>
          <w:b/>
          <w:szCs w:val="24"/>
          <w:lang w:eastAsia="en-US"/>
        </w:rPr>
        <w:t xml:space="preserve"> [PN 42]</w:t>
      </w:r>
    </w:p>
    <w:p w14:paraId="70819B36" w14:textId="77777777" w:rsidR="002709ED" w:rsidRDefault="00B2757B">
      <w:pPr>
        <w:widowControl/>
        <w:rPr>
          <w:szCs w:val="24"/>
          <w:lang w:eastAsia="en-US"/>
        </w:rPr>
      </w:pPr>
      <w:r>
        <w:rPr>
          <w:szCs w:val="24"/>
          <w:lang w:eastAsia="en-US"/>
        </w:rPr>
        <w:br w:type="page"/>
      </w:r>
    </w:p>
    <w:p w14:paraId="372C5058" w14:textId="77777777" w:rsidR="002709ED" w:rsidRDefault="00B2757B">
      <w:pPr>
        <w:spacing w:before="120" w:after="120" w:line="360" w:lineRule="auto"/>
        <w:ind w:left="850" w:hanging="850"/>
        <w:rPr>
          <w:b/>
          <w:szCs w:val="24"/>
          <w:lang w:eastAsia="en-US"/>
        </w:rPr>
      </w:pPr>
      <w:r>
        <w:rPr>
          <w:szCs w:val="24"/>
          <w:lang w:eastAsia="en-US"/>
        </w:rPr>
        <w:lastRenderedPageBreak/>
        <w:t>(21)</w:t>
      </w:r>
      <w:r>
        <w:rPr>
          <w:szCs w:val="24"/>
          <w:lang w:eastAsia="en-US"/>
        </w:rPr>
        <w:tab/>
        <w:t>S cieľom zabezpečiť účinné a jednotné rozhodovanie a rozvíjať synergie s prácou vykonávanou v rámci iných právnych predpisov Únie o chemikáliách by Európska chemická agentúra (ďalej len „agentúra ECHA“) mala mať trvalú a jasne vymedzenú úlohu pri priorizácii látok, ktoré sa majú zaradiť do zoznamov sledovaných látok a do zoznamov látok v prílohách I a II k smernici 2008/105/ES a prílohách I a II k smernici 2006/118/ES, ako aj pri odvodzovaní príslušných a vedecky podložených noriem kvality. Vykonávanie určitých úloh zverených agentúre ECHA by mal poskytovaním stanovísk uľahčiť Výbor pre hodnotenie rizík (RAC) a výbor ECHA pre sociálno-ekonomickú analýzu (SEAC). Agentúra ECHA by mala takisto zabezpečiť lepšiu koordináciu medzi rôznymi environmentálnymi právnymi predpismi zvýšenou transparentnosťou, pokiaľ ide o znečisťujúce látky v zozname sledovaných látok, alebo vypracovanie celoúnijných či vnútroštátnych noriem environmentálnej kvality alebo prahových hodnôt, a to zverejňovaním príslušných vedeckých správ.</w:t>
      </w:r>
      <w:r>
        <w:rPr>
          <w:b/>
          <w:i/>
          <w:szCs w:val="24"/>
          <w:lang w:eastAsia="en-US"/>
        </w:rPr>
        <w:t xml:space="preserve"> V súvislosti s posudzovaním prahových hodnôt pre farmaceutické látky by agentúra ECHA mala spolupracovať s Európskou agentúrou pre lieky (EMA).</w:t>
      </w:r>
      <w:r>
        <w:rPr>
          <w:b/>
          <w:szCs w:val="24"/>
          <w:lang w:eastAsia="en-US"/>
        </w:rPr>
        <w:t xml:space="preserve"> [PN 43]</w:t>
      </w:r>
    </w:p>
    <w:p w14:paraId="3A12FED6" w14:textId="77777777" w:rsidR="002709ED" w:rsidRDefault="00B2757B">
      <w:pPr>
        <w:widowControl/>
        <w:rPr>
          <w:szCs w:val="24"/>
          <w:lang w:eastAsia="en-US"/>
        </w:rPr>
      </w:pPr>
      <w:r>
        <w:rPr>
          <w:szCs w:val="24"/>
          <w:lang w:eastAsia="en-US"/>
        </w:rPr>
        <w:br w:type="page"/>
      </w:r>
    </w:p>
    <w:p w14:paraId="05C71A6F" w14:textId="77777777" w:rsidR="002709ED" w:rsidRDefault="00B2757B">
      <w:pPr>
        <w:spacing w:before="120" w:after="120" w:line="360" w:lineRule="auto"/>
        <w:ind w:left="850" w:hanging="850"/>
        <w:rPr>
          <w:szCs w:val="24"/>
          <w:lang w:eastAsia="en-US"/>
        </w:rPr>
      </w:pPr>
      <w:r>
        <w:rPr>
          <w:szCs w:val="24"/>
          <w:lang w:eastAsia="en-US"/>
        </w:rPr>
        <w:lastRenderedPageBreak/>
        <w:t>(22)</w:t>
      </w:r>
      <w:r>
        <w:rPr>
          <w:szCs w:val="24"/>
          <w:lang w:eastAsia="en-US"/>
        </w:rPr>
        <w:tab/>
        <w:t>V hodnotení sa dospelo k záveru, že na podporu lepšieho vykonávania a presadzovania právnych predpisov Únie o vodách je potrebné častejšie a efektívnejšie elektronické nahlasovanie. Vzhľadom na svoju úlohu pravidelnejšie monitorovať stav znečistenia v zmysle akčného plánu nulového znečistenia by Európska environmentálna agentúra (ďalej aj „agentúra EEA“) mala takéto častejšie a efektívnejšie nahlasovanie členskými štátmi uľahčovať. Je dôležité, aby sa environmentálne informácie o stave povrchových a podzemných vôd v Únii včas sprístupnili verejnosti a Komisii. Od členských štátov by sa preto malo vyžadovať, aby Komisii a agentúre EEA sprístupňovali údaje z monitorovania zozbierané v rámci smernice 2000/60/ES s využitím mechanizmov automatizovaného nahlasovania a poskytovania údajov pomocou aplikačného programovacieho rozhrania alebo rovnocenných mechanizmov. Očakáva sa, že administratívna záťaž bude malá, keďže od členských štátov sa už teraz vyžaduje, aby verejnosti sprístupňovali témy priestorových údajov v rozsahu pôsobnosti smernice Európskeho parlamentu a Rady 2007/2/ES</w:t>
      </w:r>
      <w:r>
        <w:rPr>
          <w:szCs w:val="24"/>
          <w:vertAlign w:val="superscript"/>
          <w:lang w:eastAsia="en-US"/>
        </w:rPr>
        <w:footnoteReference w:id="44"/>
      </w:r>
      <w:r>
        <w:rPr>
          <w:szCs w:val="24"/>
          <w:lang w:eastAsia="en-US"/>
        </w:rPr>
        <w:t>, ako aj podľa smernice Európskeho parlamentu a Rady (EÚ) 2019/1024</w:t>
      </w:r>
      <w:r>
        <w:rPr>
          <w:szCs w:val="24"/>
          <w:vertAlign w:val="superscript"/>
          <w:lang w:eastAsia="en-US"/>
        </w:rPr>
        <w:footnoteReference w:id="45"/>
      </w:r>
      <w:r>
        <w:rPr>
          <w:szCs w:val="24"/>
          <w:lang w:eastAsia="en-US"/>
        </w:rPr>
        <w:t>. Tieto témy priestorových údajov zahŕňajú umiestnenie a prevádzku zariadení na environmentálne monitorovanie, súvisiace merania emisií a stav environmentálnych médií.</w:t>
      </w:r>
    </w:p>
    <w:p w14:paraId="424DBAC3" w14:textId="77777777" w:rsidR="002709ED" w:rsidRDefault="00B2757B">
      <w:pPr>
        <w:widowControl/>
        <w:rPr>
          <w:strike/>
          <w:szCs w:val="24"/>
          <w:lang w:eastAsia="en-US"/>
        </w:rPr>
      </w:pPr>
      <w:r>
        <w:rPr>
          <w:strike/>
          <w:szCs w:val="24"/>
          <w:lang w:eastAsia="en-US"/>
        </w:rPr>
        <w:br w:type="page"/>
      </w:r>
    </w:p>
    <w:p w14:paraId="3B02ABA6" w14:textId="77777777" w:rsidR="002709ED" w:rsidRDefault="00B2757B">
      <w:pPr>
        <w:spacing w:before="120" w:after="120" w:line="360" w:lineRule="auto"/>
        <w:ind w:left="850" w:hanging="850"/>
        <w:rPr>
          <w:b/>
          <w:szCs w:val="24"/>
          <w:lang w:eastAsia="en-US"/>
        </w:rPr>
      </w:pPr>
      <w:r>
        <w:rPr>
          <w:strike/>
          <w:szCs w:val="24"/>
          <w:lang w:eastAsia="en-US"/>
        </w:rPr>
        <w:lastRenderedPageBreak/>
        <w:t>(23)</w:t>
      </w:r>
      <w:r>
        <w:rPr>
          <w:szCs w:val="24"/>
          <w:lang w:eastAsia="en-US"/>
        </w:rPr>
        <w:tab/>
      </w:r>
      <w:r>
        <w:rPr>
          <w:strike/>
          <w:szCs w:val="24"/>
          <w:lang w:eastAsia="en-US"/>
        </w:rPr>
        <w:t>Lepšia integrácia tokov údajov nahlasovaných agentúre EEA v zmysle právnych predpisov Únie o vodách, a najmä súpisov emisií požadovaných smernicou 2008/105/ES, s tokmi údajov nahlasovanými na portáli priemyselných emisií podľa smernice 2010/75/EÚ a nariadenia Európskeho parlamentu a Rady (ES) č. 166/2006</w:t>
      </w:r>
      <w:r>
        <w:rPr>
          <w:szCs w:val="24"/>
          <w:vertAlign w:val="superscript"/>
          <w:lang w:eastAsia="en-US"/>
        </w:rPr>
        <w:footnoteReference w:id="46"/>
      </w:r>
      <w:r>
        <w:rPr>
          <w:strike/>
          <w:szCs w:val="24"/>
          <w:lang w:eastAsia="en-US"/>
        </w:rPr>
        <w:t>, zjednoduší a zefektívni nahlasovanie súpisov v súlade s článkom 5 smernice 2008/105/ES. Zároveň sa tým zníži administratívna a pracovná záťaž pri príprave plánov manažmentu povodia. V kombinácii so zrušením priebežného hlásenia o napredovaní programových opatrení, ktoré sa ukázalo ako neúčinné, táto jeho zjednodušená forma umožní členským štátom vynaložiť väčšie úsilie pri nahlasovaní emisií, na ktoré sa nevzťahujú právne predpisy o priemyselných emisiách, ale na ktoré sa vzťahuje nahlasovanie emisií podľa článku 5 smernice 2008/105/ES.</w:t>
      </w:r>
      <w:r>
        <w:rPr>
          <w:b/>
          <w:szCs w:val="24"/>
          <w:lang w:eastAsia="en-US"/>
        </w:rPr>
        <w:t xml:space="preserve"> [PN 44]</w:t>
      </w:r>
    </w:p>
    <w:p w14:paraId="707FCCDA" w14:textId="77777777" w:rsidR="002709ED" w:rsidRDefault="00B2757B">
      <w:pPr>
        <w:widowControl/>
        <w:rPr>
          <w:szCs w:val="24"/>
          <w:lang w:eastAsia="en-US"/>
        </w:rPr>
      </w:pPr>
      <w:r>
        <w:rPr>
          <w:szCs w:val="24"/>
          <w:lang w:eastAsia="en-US"/>
        </w:rPr>
        <w:br w:type="page"/>
      </w:r>
    </w:p>
    <w:p w14:paraId="71E2C752" w14:textId="77777777" w:rsidR="002709ED" w:rsidRDefault="00B2757B">
      <w:pPr>
        <w:spacing w:before="120" w:after="120" w:line="360" w:lineRule="auto"/>
        <w:ind w:left="850" w:hanging="850"/>
        <w:rPr>
          <w:szCs w:val="24"/>
          <w:lang w:eastAsia="en-US"/>
        </w:rPr>
      </w:pPr>
      <w:r>
        <w:rPr>
          <w:szCs w:val="24"/>
          <w:lang w:eastAsia="en-US"/>
        </w:rPr>
        <w:lastRenderedPageBreak/>
        <w:t>(24)</w:t>
      </w:r>
      <w:r>
        <w:rPr>
          <w:szCs w:val="24"/>
          <w:lang w:eastAsia="en-US"/>
        </w:rPr>
        <w:tab/>
        <w:t>Lisabonskou zmluvou sa zaviedlo rozlíšenie medzi delegovanými právomocami, ktoré Komisii umožňujú prijímať všeobecne záväzné nelegislatívne akty, ktorými sa menia určité nepodstatné prvky legislatívneho aktu (delegované akty), a udelenými právomocami, ktoré Komisii umožňujú prijímať akty na zabezpečenie jednotných podmienok na vykonávanie právne záväzných aktov Únie (vykonávacie akty). Smernice 2000/60/ES a 2006/118/ES by sa mali zosúladiť s právnym rámcom zavedeným Lisabonskou zmluvou.</w:t>
      </w:r>
    </w:p>
    <w:p w14:paraId="24058602" w14:textId="77777777" w:rsidR="002709ED" w:rsidRDefault="00B2757B">
      <w:pPr>
        <w:spacing w:before="120" w:after="120" w:line="360" w:lineRule="auto"/>
        <w:ind w:left="850" w:hanging="850"/>
        <w:rPr>
          <w:szCs w:val="24"/>
          <w:lang w:eastAsia="en-US"/>
        </w:rPr>
      </w:pPr>
      <w:r>
        <w:rPr>
          <w:szCs w:val="24"/>
          <w:lang w:eastAsia="en-US"/>
        </w:rPr>
        <w:t>(25)</w:t>
      </w:r>
      <w:r>
        <w:rPr>
          <w:szCs w:val="24"/>
          <w:lang w:eastAsia="en-US"/>
        </w:rPr>
        <w:tab/>
        <w:t>Splnomocnenia v článku 20 ods. 1 prvom pododseku smernice 2000/60/ES a v bode 1.4.1 písm. ix) prílohy V k uvedenej smernici, v ktorých sa stanovuje použitie regulačného postupu s kontrolou, spĺňajú kritériá článku 290 ods. 1 ZFEÚ, keďže sa týkajú úprav príloh k uvedenej smernici a prijatia pravidiel, ktoré ju dopĺňajú. Preto by sa mali zmeniť na splnomocnenia Komisie prijímať delegované akty.</w:t>
      </w:r>
    </w:p>
    <w:p w14:paraId="02F2BFE4" w14:textId="77777777" w:rsidR="002709ED" w:rsidRDefault="00B2757B">
      <w:pPr>
        <w:widowControl/>
        <w:rPr>
          <w:szCs w:val="24"/>
          <w:lang w:eastAsia="en-US"/>
        </w:rPr>
      </w:pPr>
      <w:r>
        <w:rPr>
          <w:szCs w:val="24"/>
          <w:lang w:eastAsia="en-US"/>
        </w:rPr>
        <w:br w:type="page"/>
      </w:r>
    </w:p>
    <w:p w14:paraId="35B8340B" w14:textId="77777777" w:rsidR="002709ED" w:rsidRDefault="00B2757B">
      <w:pPr>
        <w:spacing w:before="120" w:after="120" w:line="360" w:lineRule="auto"/>
        <w:ind w:left="850" w:hanging="850"/>
        <w:rPr>
          <w:szCs w:val="24"/>
          <w:lang w:eastAsia="en-US"/>
        </w:rPr>
      </w:pPr>
      <w:r>
        <w:rPr>
          <w:szCs w:val="24"/>
          <w:lang w:eastAsia="en-US"/>
        </w:rPr>
        <w:lastRenderedPageBreak/>
        <w:t>(26)</w:t>
      </w:r>
      <w:r>
        <w:rPr>
          <w:szCs w:val="24"/>
          <w:lang w:eastAsia="en-US"/>
        </w:rPr>
        <w:tab/>
        <w:t>Splnomocnenie v článku 8 smernice 2006/118/ES, v ktorom sa stanovuje použitie regulačného postupu s kontrolou, spĺňa kritériá článku 290 ods. 1 ZFEÚ, keďže sa týka úprav príloh k uvedenej smernici. Preto by sa malo zmeniť na splnomocnenie Komisie prijímať delegované akty.</w:t>
      </w:r>
    </w:p>
    <w:p w14:paraId="76B155E6" w14:textId="77777777" w:rsidR="002709ED" w:rsidRDefault="00B2757B">
      <w:pPr>
        <w:spacing w:before="120" w:after="120" w:line="360" w:lineRule="auto"/>
        <w:ind w:left="850" w:hanging="850"/>
        <w:rPr>
          <w:szCs w:val="24"/>
          <w:lang w:eastAsia="en-US"/>
        </w:rPr>
      </w:pPr>
      <w:r>
        <w:rPr>
          <w:szCs w:val="24"/>
          <w:lang w:eastAsia="en-US"/>
        </w:rPr>
        <w:t>(27)</w:t>
      </w:r>
      <w:r>
        <w:rPr>
          <w:szCs w:val="24"/>
          <w:lang w:eastAsia="en-US"/>
        </w:rPr>
        <w:tab/>
        <w:t>Je osobitne dôležité, aby Komisia počas prípravy delegovaných aktov, svojich prípravných prác, uskutočnila príslušné konzultácie, a to aj na úrovni expertov, a aby tieto konzultácie vykonávala v súlade so zásadami stanovenými v Medziinštitucionálnej dohode o lepšej tvorbe práva z 13. apríla 2016. Predovšetkým, v záujme rovnakého zastúpenia pri príprave delegovaných aktov, sa všetky dokumenty doručujú Európskemu parlamentu a Rade v rovnakom čase ako expertom z členských štátov, a experti Európskeho parlamentu a Rady majú systematický prístup na zasadnutia skupín expertov Komisie, ktoré sa zaoberajú prípravou delegovaných aktov.</w:t>
      </w:r>
    </w:p>
    <w:p w14:paraId="0C39497A" w14:textId="77777777" w:rsidR="002709ED" w:rsidRDefault="00B2757B">
      <w:pPr>
        <w:widowControl/>
        <w:rPr>
          <w:szCs w:val="24"/>
          <w:lang w:eastAsia="en-US"/>
        </w:rPr>
      </w:pPr>
      <w:r>
        <w:rPr>
          <w:szCs w:val="24"/>
          <w:lang w:eastAsia="en-US"/>
        </w:rPr>
        <w:br w:type="page"/>
      </w:r>
    </w:p>
    <w:p w14:paraId="0CC4769C" w14:textId="77777777" w:rsidR="002709ED" w:rsidRDefault="00B2757B">
      <w:pPr>
        <w:spacing w:before="120" w:after="120" w:line="360" w:lineRule="auto"/>
        <w:ind w:left="850" w:hanging="850"/>
        <w:rPr>
          <w:szCs w:val="24"/>
          <w:lang w:eastAsia="en-US"/>
        </w:rPr>
      </w:pPr>
      <w:r>
        <w:rPr>
          <w:szCs w:val="24"/>
          <w:lang w:eastAsia="en-US"/>
        </w:rPr>
        <w:lastRenderedPageBreak/>
        <w:t>(28)</w:t>
      </w:r>
      <w:r>
        <w:rPr>
          <w:szCs w:val="24"/>
          <w:lang w:eastAsia="en-US"/>
        </w:rPr>
        <w:tab/>
        <w:t>Splnomocnenie v článku 8 ods. 3 smernice 2000/60/ES, v ktorom sa stanovuje použitie regulačného postupu s kontrolou, spĺňa kritériá článku 290 ods. 2 ZFEÚ, keďže sa týka prijatia technických špecifikácií a štandardizovaných metód analýzy a monitorovania stavu vôd, a preto sa zameriava na zabezpečenie jednotných podmienok harmonizovaného vykonávania uvedenej smernice. Preto by sa malo zmeniť na splnomocnenie Komisie prijímať vykonávacie akty. S cieľom zabezpečiť porovnateľnosť údajov by sa splnomocnenie malo rozšíriť aj na stanovenie formátov nahlasovania údajov z monitorovania a údajov o stave vôd v súlade s článkom 8 ods. 4. Právomoci prenesené na Komisiu by sa mali vykonávať v súlade s nariadením Európskeho parlamentu a Rady (EÚ) č. 182/2011</w:t>
      </w:r>
      <w:r>
        <w:rPr>
          <w:szCs w:val="24"/>
          <w:vertAlign w:val="superscript"/>
          <w:lang w:eastAsia="en-US"/>
        </w:rPr>
        <w:footnoteReference w:id="47"/>
      </w:r>
      <w:r>
        <w:rPr>
          <w:szCs w:val="24"/>
          <w:lang w:eastAsia="en-US"/>
        </w:rPr>
        <w:t>.</w:t>
      </w:r>
    </w:p>
    <w:p w14:paraId="6806F55E" w14:textId="77777777" w:rsidR="002709ED" w:rsidRDefault="00B2757B">
      <w:pPr>
        <w:spacing w:before="120" w:after="120" w:line="360" w:lineRule="auto"/>
        <w:ind w:left="850" w:hanging="850"/>
        <w:rPr>
          <w:szCs w:val="24"/>
          <w:lang w:eastAsia="en-US"/>
        </w:rPr>
      </w:pPr>
      <w:r>
        <w:rPr>
          <w:szCs w:val="24"/>
          <w:lang w:eastAsia="en-US"/>
        </w:rPr>
        <w:t>(29)</w:t>
      </w:r>
      <w:r>
        <w:rPr>
          <w:szCs w:val="24"/>
          <w:lang w:eastAsia="en-US"/>
        </w:rPr>
        <w:tab/>
        <w:t>S cieľom zabezpečiť jednotné podmienky vykonávania smernice 2000/60/ES by sa mali na Komisiu preniesť vykonávacie právomoci na účely prijatia technických formátov nahlasovania údajov z monitorovania a údajov o stave vôd v súlade s článkom 8 ods. 3 smernice 2000/60/ES. Uvedené právomoci by sa mali vykonávať v súlade s nariadením (EÚ) č. 182/2011.</w:t>
      </w:r>
    </w:p>
    <w:p w14:paraId="6E0007EA" w14:textId="77777777" w:rsidR="002709ED" w:rsidRDefault="00B2757B">
      <w:pPr>
        <w:widowControl/>
        <w:rPr>
          <w:szCs w:val="24"/>
          <w:lang w:eastAsia="en-US"/>
        </w:rPr>
      </w:pPr>
      <w:r>
        <w:rPr>
          <w:szCs w:val="24"/>
          <w:lang w:eastAsia="en-US"/>
        </w:rPr>
        <w:br w:type="page"/>
      </w:r>
    </w:p>
    <w:p w14:paraId="123C8403" w14:textId="77777777" w:rsidR="002709ED" w:rsidRDefault="00B2757B">
      <w:pPr>
        <w:spacing w:before="120" w:after="120" w:line="360" w:lineRule="auto"/>
        <w:ind w:left="850" w:hanging="850"/>
        <w:rPr>
          <w:szCs w:val="24"/>
          <w:lang w:eastAsia="en-US"/>
        </w:rPr>
      </w:pPr>
      <w:r>
        <w:rPr>
          <w:szCs w:val="24"/>
          <w:lang w:eastAsia="en-US"/>
        </w:rPr>
        <w:lastRenderedPageBreak/>
        <w:t>(30)</w:t>
      </w:r>
      <w:r>
        <w:rPr>
          <w:szCs w:val="24"/>
          <w:lang w:eastAsia="en-US"/>
        </w:rPr>
        <w:tab/>
        <w:t>S cieľom zabezpečiť jednotné podmienky vykonávania smernice 2008/105/ES by sa mali na Komisiu preniesť vykonávacie právomoci na účely prijatia štandardizovaných formátov nahlasovania emisií z bodových zdrojov, na ktoré sa nevzťahuje nariadenie Európskeho parlamentu a Rady (EÚ) .../...</w:t>
      </w:r>
      <w:r>
        <w:rPr>
          <w:szCs w:val="24"/>
          <w:vertAlign w:val="superscript"/>
          <w:lang w:eastAsia="en-US"/>
        </w:rPr>
        <w:footnoteReference w:id="48"/>
      </w:r>
      <w:r>
        <w:rPr>
          <w:szCs w:val="24"/>
          <w:lang w:eastAsia="en-US"/>
        </w:rPr>
        <w:t>, agentúre EEA. Uvedené právomoci by sa mali vykonávať v súlade s nariadením (EÚ) č. 182/2011.</w:t>
      </w:r>
    </w:p>
    <w:p w14:paraId="36A11F10" w14:textId="77777777" w:rsidR="002709ED" w:rsidRDefault="00B2757B">
      <w:pPr>
        <w:spacing w:before="120" w:after="120" w:line="360" w:lineRule="auto"/>
        <w:ind w:left="850" w:hanging="850"/>
        <w:rPr>
          <w:b/>
          <w:szCs w:val="24"/>
          <w:lang w:eastAsia="en-US"/>
        </w:rPr>
      </w:pPr>
      <w:r>
        <w:rPr>
          <w:szCs w:val="24"/>
          <w:lang w:eastAsia="en-US"/>
        </w:rPr>
        <w:t>(31)</w:t>
      </w:r>
      <w:r>
        <w:rPr>
          <w:szCs w:val="24"/>
          <w:lang w:eastAsia="en-US"/>
        </w:rPr>
        <w:tab/>
        <w:t>Treba zohľadniť vedecký a technický pokrok</w:t>
      </w:r>
      <w:r>
        <w:rPr>
          <w:b/>
          <w:i/>
          <w:szCs w:val="24"/>
          <w:lang w:eastAsia="en-US"/>
        </w:rPr>
        <w:t xml:space="preserve"> a najlepšie dostupné metódy</w:t>
      </w:r>
      <w:r>
        <w:rPr>
          <w:szCs w:val="24"/>
          <w:lang w:eastAsia="en-US"/>
        </w:rPr>
        <w:t xml:space="preserve"> v oblasti monitorovania stavu vodných útvarov v súlade s požiadavkami na monitorovanie stanovenými v prílohe V k smernici 2000/60/ES. Členským štátom by sa preto malo povoliť použitie údajov a služieb vyplývajúcich z technológií diaľkového prieskumu a pozorovania Zeme (služby Copernicus), snímačov a zariadení in situ alebo údajov z občianskej vedy, pričom sa využívajú možnosti, ktoré ponúka umelá inteligencia, ako aj pokročilá analýza a spracovanie údajov.</w:t>
      </w:r>
      <w:r>
        <w:rPr>
          <w:b/>
          <w:szCs w:val="24"/>
          <w:lang w:eastAsia="en-US"/>
        </w:rPr>
        <w:t xml:space="preserve"> [PN 45]</w:t>
      </w:r>
    </w:p>
    <w:p w14:paraId="5E317696" w14:textId="77777777" w:rsidR="002709ED" w:rsidRDefault="00B2757B">
      <w:pPr>
        <w:widowControl/>
        <w:rPr>
          <w:b/>
          <w:i/>
          <w:szCs w:val="24"/>
          <w:lang w:eastAsia="en-US"/>
        </w:rPr>
      </w:pPr>
      <w:r>
        <w:rPr>
          <w:b/>
          <w:i/>
          <w:szCs w:val="24"/>
          <w:lang w:eastAsia="en-US"/>
        </w:rPr>
        <w:br w:type="page"/>
      </w:r>
    </w:p>
    <w:p w14:paraId="2A9F472A" w14:textId="77777777" w:rsidR="002709ED" w:rsidRDefault="00B2757B">
      <w:pPr>
        <w:spacing w:before="120" w:after="120" w:line="360" w:lineRule="auto"/>
        <w:ind w:left="850" w:hanging="850"/>
        <w:rPr>
          <w:b/>
          <w:szCs w:val="24"/>
          <w:lang w:eastAsia="en-US"/>
        </w:rPr>
      </w:pPr>
      <w:r>
        <w:rPr>
          <w:b/>
          <w:i/>
          <w:szCs w:val="24"/>
          <w:lang w:eastAsia="en-US"/>
        </w:rPr>
        <w:lastRenderedPageBreak/>
        <w:t>(31a)</w:t>
      </w:r>
      <w:r>
        <w:rPr>
          <w:szCs w:val="24"/>
          <w:lang w:eastAsia="en-US"/>
        </w:rPr>
        <w:tab/>
      </w:r>
      <w:r>
        <w:rPr>
          <w:b/>
          <w:i/>
          <w:szCs w:val="24"/>
          <w:lang w:eastAsia="en-US"/>
        </w:rPr>
        <w:t>Priemyselné činnosti súvisiace s energetickou transformáciou by mohli zvýšiť nepriaznivé vplyvy na kvalitu vody. Zmiernenie takýchto budúcich vplyvov, ako sú zmeny prirodzených tokov a teploty a znečistenie vody, si vyžaduje posúdenie celej škály potenciálnych faktorov, ako aj opatrení, ktoré sa majú prijať na dosiahnutie a udržanie dobrej kvality vody. Členské štáty by preto mali pravidelne hodnotiť vplyv priemyselných činností súvisiacich s energetickou transformáciou na kvalitu vody a informovať Komisiu o nových identifikovaných hrozbách s cieľom zodpovedajúcim spôsobom aktualizovať zoznam sledovaných látok. Hodnotenie by malo byť ľahko prístupné verejnosti a aktualizácia by sa mala umožniť mimo všeobecných cyklov aktualizácie, aby sa zabezpečilo neprestajné zlepšovanie hodnotenia kvality vody.</w:t>
      </w:r>
      <w:r>
        <w:rPr>
          <w:b/>
          <w:szCs w:val="24"/>
          <w:lang w:eastAsia="en-US"/>
        </w:rPr>
        <w:t xml:space="preserve"> [PN 46]</w:t>
      </w:r>
    </w:p>
    <w:p w14:paraId="3B79D499" w14:textId="77777777" w:rsidR="002709ED" w:rsidRDefault="00B2757B">
      <w:pPr>
        <w:widowControl/>
        <w:rPr>
          <w:b/>
          <w:i/>
          <w:szCs w:val="24"/>
          <w:lang w:eastAsia="en-US"/>
        </w:rPr>
      </w:pPr>
      <w:r>
        <w:rPr>
          <w:b/>
          <w:i/>
          <w:szCs w:val="24"/>
          <w:lang w:eastAsia="en-US"/>
        </w:rPr>
        <w:br w:type="page"/>
      </w:r>
    </w:p>
    <w:p w14:paraId="4BDDD037" w14:textId="77777777" w:rsidR="002709ED" w:rsidRDefault="00B2757B">
      <w:pPr>
        <w:spacing w:before="120" w:after="120" w:line="360" w:lineRule="auto"/>
        <w:ind w:left="850" w:hanging="850"/>
        <w:rPr>
          <w:b/>
          <w:szCs w:val="24"/>
          <w:lang w:eastAsia="en-US"/>
        </w:rPr>
      </w:pPr>
      <w:r>
        <w:rPr>
          <w:b/>
          <w:i/>
          <w:szCs w:val="24"/>
          <w:lang w:eastAsia="en-US"/>
        </w:rPr>
        <w:lastRenderedPageBreak/>
        <w:t>(31b)</w:t>
      </w:r>
      <w:r>
        <w:rPr>
          <w:szCs w:val="24"/>
          <w:lang w:eastAsia="en-US"/>
        </w:rPr>
        <w:tab/>
      </w:r>
      <w:r>
        <w:rPr>
          <w:b/>
          <w:i/>
          <w:szCs w:val="24"/>
          <w:lang w:eastAsia="en-US"/>
        </w:rPr>
        <w:t>Komisia sa vo svojom oznámení z 11. decembra 2019 o Európskej zelenej dohode a vo svojom oznámení zo 14. októbra 2020 o zlepšení prístupu k spravodlivosti v záležitostiach životného prostredia zaviazala prijať opatrenia na zlepšenie prístupu k spravodlivosti na vnútroštátnych súdoch vo všetkých členských štátoch pre občanov a environmentálne mimovládne organizácie, ktorí majú konkrétne obavy o zlučiteľnosť správnych aktov, ktoré majú účinky na životné prostredie, s právom životného prostredia. V poslednom uvedenom oznámení Komisia potvrdzuje, že „prístup k spravodlivosti v záležitostiach životného prostredia prostredníctvom Súdneho dvora EÚ (ďalej len „S</w:t>
      </w:r>
      <w:r w:rsidR="00A756A4">
        <w:rPr>
          <w:b/>
          <w:i/>
          <w:szCs w:val="24"/>
          <w:lang w:eastAsia="en-US"/>
        </w:rPr>
        <w:t>údny dvor</w:t>
      </w:r>
      <w:r>
        <w:rPr>
          <w:b/>
          <w:i/>
          <w:szCs w:val="24"/>
          <w:lang w:eastAsia="en-US"/>
        </w:rPr>
        <w:t>“) a vnútroštátnych súdov ako súdov Únie predstavuje dôležité podporné opatrenie prispievajúce k dosiahnutiu transformácie podľa Európskej zelenej dohody a spôsob, ako posilniť úlohu strážcu, ktorú občianska spoločnosť môže v demokratickom priestore zohrávať“. Tieto záväzky by sa mali vykonávať aj podľa smernice 2000/60 ES.</w:t>
      </w:r>
      <w:r>
        <w:rPr>
          <w:b/>
          <w:szCs w:val="24"/>
          <w:lang w:eastAsia="en-US"/>
        </w:rPr>
        <w:t xml:space="preserve"> [PN 47]</w:t>
      </w:r>
    </w:p>
    <w:p w14:paraId="1789B7A2" w14:textId="77777777" w:rsidR="002709ED" w:rsidRDefault="00B2757B">
      <w:pPr>
        <w:widowControl/>
        <w:rPr>
          <w:b/>
          <w:i/>
          <w:szCs w:val="24"/>
          <w:lang w:eastAsia="en-US"/>
        </w:rPr>
      </w:pPr>
      <w:r>
        <w:rPr>
          <w:b/>
          <w:i/>
          <w:szCs w:val="24"/>
          <w:lang w:eastAsia="en-US"/>
        </w:rPr>
        <w:br w:type="page"/>
      </w:r>
    </w:p>
    <w:p w14:paraId="195679AD" w14:textId="77777777" w:rsidR="002709ED" w:rsidRDefault="00B2757B">
      <w:pPr>
        <w:spacing w:before="120" w:after="120" w:line="360" w:lineRule="auto"/>
        <w:ind w:left="850" w:hanging="850"/>
        <w:rPr>
          <w:b/>
          <w:szCs w:val="24"/>
          <w:lang w:eastAsia="en-US"/>
        </w:rPr>
      </w:pPr>
      <w:r>
        <w:rPr>
          <w:b/>
          <w:i/>
          <w:szCs w:val="24"/>
          <w:lang w:eastAsia="en-US"/>
        </w:rPr>
        <w:lastRenderedPageBreak/>
        <w:t>(31c)</w:t>
      </w:r>
      <w:r>
        <w:rPr>
          <w:szCs w:val="24"/>
          <w:lang w:eastAsia="en-US"/>
        </w:rPr>
        <w:tab/>
      </w:r>
      <w:r>
        <w:rPr>
          <w:b/>
          <w:i/>
          <w:szCs w:val="24"/>
          <w:lang w:eastAsia="en-US"/>
        </w:rPr>
        <w:t>Ako potvrdzuje judikatúra Súdneho dvora</w:t>
      </w:r>
      <w:r>
        <w:rPr>
          <w:szCs w:val="24"/>
          <w:vertAlign w:val="superscript"/>
          <w:lang w:eastAsia="en-US"/>
        </w:rPr>
        <w:footnoteReference w:id="49"/>
      </w:r>
      <w:r>
        <w:rPr>
          <w:b/>
          <w:i/>
          <w:szCs w:val="24"/>
          <w:lang w:eastAsia="en-US"/>
        </w:rPr>
        <w:t>, environmentálne mimovládne organizácie a priamo dotknuté osoby by mali mať právnu spôsobilosť na napadnutie rozhodnutia prijatého verejným orgánom, ktoré je v rozpore s environmentálnymi cieľmi uvedenými v článku 4 smernice 2000/60</w:t>
      </w:r>
      <w:r w:rsidR="00A756A4">
        <w:rPr>
          <w:b/>
          <w:i/>
          <w:szCs w:val="24"/>
          <w:lang w:eastAsia="en-US"/>
        </w:rPr>
        <w:t>/</w:t>
      </w:r>
      <w:r>
        <w:rPr>
          <w:b/>
          <w:i/>
          <w:szCs w:val="24"/>
          <w:lang w:eastAsia="en-US"/>
        </w:rPr>
        <w:t>ES. Na účely zlepšenia prístupu k spravodlivosti v príslušných veciach pred vnútroštátnymi súdmi v celej Únii a na to, aby sa nevládne environmentálne organizácie a priamo dotknutí jednotlivci mohli pri napadnutí rozhodnutí, ktoré sú v rozpore so smernicou 2000/60</w:t>
      </w:r>
      <w:r w:rsidR="00A756A4">
        <w:rPr>
          <w:b/>
          <w:i/>
          <w:szCs w:val="24"/>
          <w:lang w:eastAsia="en-US"/>
        </w:rPr>
        <w:t>/</w:t>
      </w:r>
      <w:r>
        <w:rPr>
          <w:b/>
          <w:i/>
          <w:szCs w:val="24"/>
          <w:lang w:eastAsia="en-US"/>
        </w:rPr>
        <w:t>ES, odvolávať na vnútroštátne právne predpisy, by sa mali v smernici 2000/60</w:t>
      </w:r>
      <w:r w:rsidR="00A756A4">
        <w:rPr>
          <w:b/>
          <w:i/>
          <w:szCs w:val="24"/>
          <w:lang w:eastAsia="en-US"/>
        </w:rPr>
        <w:t>/</w:t>
      </w:r>
      <w:r>
        <w:rPr>
          <w:b/>
          <w:i/>
          <w:szCs w:val="24"/>
          <w:lang w:eastAsia="en-US"/>
        </w:rPr>
        <w:t>ES stanoviť ustanovenia na zabezpečenie prístupu k spravodlivosti.</w:t>
      </w:r>
      <w:r>
        <w:rPr>
          <w:b/>
          <w:szCs w:val="24"/>
          <w:lang w:eastAsia="en-US"/>
        </w:rPr>
        <w:t xml:space="preserve"> [PN 48]</w:t>
      </w:r>
    </w:p>
    <w:p w14:paraId="2586A1B0" w14:textId="77777777" w:rsidR="002709ED" w:rsidRDefault="00B2757B">
      <w:pPr>
        <w:widowControl/>
        <w:rPr>
          <w:szCs w:val="24"/>
          <w:lang w:eastAsia="en-US"/>
        </w:rPr>
      </w:pPr>
      <w:r>
        <w:rPr>
          <w:szCs w:val="24"/>
          <w:lang w:eastAsia="en-US"/>
        </w:rPr>
        <w:br w:type="page"/>
      </w:r>
    </w:p>
    <w:p w14:paraId="38F5AD7C" w14:textId="77777777" w:rsidR="002709ED" w:rsidRDefault="00B2757B">
      <w:pPr>
        <w:spacing w:before="120" w:after="120" w:line="360" w:lineRule="auto"/>
        <w:ind w:left="850" w:hanging="850"/>
        <w:rPr>
          <w:b/>
          <w:szCs w:val="24"/>
          <w:lang w:eastAsia="en-US"/>
        </w:rPr>
      </w:pPr>
      <w:r>
        <w:rPr>
          <w:szCs w:val="24"/>
          <w:lang w:eastAsia="en-US"/>
        </w:rPr>
        <w:lastRenderedPageBreak/>
        <w:t>(32)</w:t>
      </w:r>
      <w:r>
        <w:rPr>
          <w:szCs w:val="24"/>
          <w:lang w:eastAsia="en-US"/>
        </w:rPr>
        <w:tab/>
        <w:t xml:space="preserve">Vzhľadom na nárast nepredvídateľných poveternostných javov, najmä extrémnych povodní a dlhotrvajúceho sucha, a závažných incidentov znečistenia, ktoré spôsobujú alebo zhoršujú cezhraničné havarijné znečistenie, by sa od členských štátov malo vyžadovať, aby zabezpečili okamžité informovanie o takýchto incidentoch ostatným potenciálne postihnutým členským štátom a aby s takýmito členskými štátmi účinne spolupracovali s cieľom zmierniť účinky udalosti alebo incidentu. Takisto je potrebné posilniť spoluprácu medzi členskými štátmi a zefektívniť postupy cezhraničnej spolupráce v prípade štrukturálnejších, t. j. nenáhodných a dlhodobejších cezhraničných problémov, ktoré nemožno vyriešiť na úrovni členských štátov, v súlade s článkom 12 smernice 2000/60/ES. V prípade, že je potrebná európska pomoc, príslušné vnútroštátne orgány môžu zasielať žiadosti o pomoc Koordinačnému centru Komisie pre reakcie na núdzové situácie, ktoré bude koordinovať možné ponuky pomoci a ich realizáciu prostredníctvom mechanizmu Únie v oblasti civilnej ochrany v súlade s článkom 15 rozhodnutia Európskeho parlamentu a Rady </w:t>
      </w:r>
      <w:r>
        <w:rPr>
          <w:strike/>
          <w:szCs w:val="24"/>
          <w:lang w:eastAsia="en-US"/>
        </w:rPr>
        <w:t>1313/2013</w:t>
      </w:r>
      <w:r>
        <w:rPr>
          <w:szCs w:val="24"/>
          <w:vertAlign w:val="superscript"/>
          <w:lang w:eastAsia="en-US"/>
        </w:rPr>
        <w:footnoteReference w:id="50"/>
      </w:r>
      <w:r>
        <w:rPr>
          <w:strike/>
          <w:szCs w:val="24"/>
          <w:lang w:eastAsia="en-US"/>
        </w:rPr>
        <w:t>.</w:t>
      </w:r>
      <w:r>
        <w:rPr>
          <w:b/>
          <w:i/>
          <w:szCs w:val="24"/>
          <w:lang w:eastAsia="en-US"/>
        </w:rPr>
        <w:t>1313/2013/EÚ. Vzhľadom na to, že správne územia povodia môžu presahovať aj územie Únie, k cieľom stanoveným v smernici 2000/60/ES pre tieto konkrétne správne územia povodia, ako sa uvádza v článku 3 ods. 5 smernice 2000/60/ES, by prispelo aj zabezpečenie účinného vykonávania príslušných ustanovení o ochrane vôd podľa smernice 2000/60/ES, ako aj primeraná koordinácia s príslušnými nečlenskými štátmi. Okrem toho by sa ozbrojené konflikty, ku ktorým dochádza v tesnej geografickej blízkosti Únie, mali takisto považovať za výnimočné udalosti z dôvodu ich rozsiahleho cezhraničného vplyvu na životné prostredie vrátane znečistenia ovzdušia, pôdy a vody. Keďže povodia postihnuté takýmito konfliktmi presahujú hranice Únie, Komisia a členské štáty by mali zvýšiť úsilie o primeranú koordináciu s príslušnými nečlenskými štátmi, ako sa uvádza v článku 3 ods. 5 smernice 2000/60/ES.</w:t>
      </w:r>
      <w:r>
        <w:rPr>
          <w:b/>
          <w:szCs w:val="24"/>
          <w:lang w:eastAsia="en-US"/>
        </w:rPr>
        <w:t xml:space="preserve"> [PN 49]</w:t>
      </w:r>
    </w:p>
    <w:p w14:paraId="440D5200" w14:textId="77777777" w:rsidR="002709ED" w:rsidRDefault="00B2757B">
      <w:pPr>
        <w:widowControl/>
        <w:rPr>
          <w:b/>
          <w:i/>
          <w:szCs w:val="24"/>
          <w:lang w:eastAsia="en-US"/>
        </w:rPr>
      </w:pPr>
      <w:r>
        <w:rPr>
          <w:b/>
          <w:i/>
          <w:szCs w:val="24"/>
          <w:lang w:eastAsia="en-US"/>
        </w:rPr>
        <w:br w:type="page"/>
      </w:r>
    </w:p>
    <w:p w14:paraId="4E0FAFAD" w14:textId="77777777" w:rsidR="002709ED" w:rsidRDefault="00B2757B">
      <w:pPr>
        <w:spacing w:before="120" w:after="120" w:line="360" w:lineRule="auto"/>
        <w:ind w:left="850" w:hanging="850"/>
        <w:rPr>
          <w:b/>
          <w:szCs w:val="24"/>
          <w:lang w:eastAsia="en-US"/>
        </w:rPr>
      </w:pPr>
      <w:r>
        <w:rPr>
          <w:b/>
          <w:i/>
          <w:szCs w:val="24"/>
          <w:lang w:eastAsia="en-US"/>
        </w:rPr>
        <w:lastRenderedPageBreak/>
        <w:t>(32a)</w:t>
      </w:r>
      <w:r>
        <w:rPr>
          <w:szCs w:val="24"/>
          <w:lang w:eastAsia="en-US"/>
        </w:rPr>
        <w:tab/>
      </w:r>
      <w:r>
        <w:rPr>
          <w:b/>
          <w:i/>
          <w:szCs w:val="24"/>
          <w:lang w:eastAsia="en-US"/>
        </w:rPr>
        <w:t>Európsky dvor audítorov vo svojej správe z 19. mája 2021 s názvom Zásada znečisťovateľ platí: nejednotné uplatňovanie v rámci politík a opatrení EÚ v oblasti životného prostredia“ konštatuje, že členské štáty už vynakladajú približne 100 miliárd EUR ročne na zásobovanie vodou a sanitáciu a že tieto výdavky sa podľa očakávaní zvýšia o viac ako 25 %, aby sa splnili ciele právnych predpisov Únie o čistení odpadových vôd a pitnej vode, pričom táto suma nezahŕňa investície potrebné na obnovu existujúcej infraštruktúry alebo splnenie cieľov rámcovej smernice o vode a smernice o povodniach. Okrem toho v Únii platia používatelia v priemere približne 70 % nákladov na poskytovanie vodohospodárskych služieb prostredníctvom poplatkov za vodu, zatiaľ čo z verejných financií sa financuje zvyšných 30 %, hoci medzi regiónmi a členskými štátmi existujú značné rozdiely Domácnosti v Únii zvyčajne platia väčšinu nákladov na zásobovanie vodou a sanitačné služby, aj keď spotrebujú len 10 % vody, zatiaľ čo hospodárske odvetvia, ktoré vyvíjajú najväčší tlak na obnoviteľné sladkovodné zdroje, prispievajú k hradeniu týchto nákladov najmenej.</w:t>
      </w:r>
      <w:r>
        <w:rPr>
          <w:b/>
          <w:szCs w:val="24"/>
          <w:lang w:eastAsia="en-US"/>
        </w:rPr>
        <w:t xml:space="preserve"> [PN 50]</w:t>
      </w:r>
    </w:p>
    <w:p w14:paraId="4AD36C58" w14:textId="77777777" w:rsidR="002709ED" w:rsidRDefault="00B2757B">
      <w:pPr>
        <w:widowControl/>
        <w:rPr>
          <w:b/>
          <w:i/>
          <w:szCs w:val="24"/>
          <w:lang w:eastAsia="en-US"/>
        </w:rPr>
      </w:pPr>
      <w:r>
        <w:rPr>
          <w:b/>
          <w:i/>
          <w:szCs w:val="24"/>
          <w:lang w:eastAsia="en-US"/>
        </w:rPr>
        <w:br w:type="page"/>
      </w:r>
    </w:p>
    <w:p w14:paraId="2BF04669" w14:textId="77777777" w:rsidR="002709ED" w:rsidRDefault="00B2757B">
      <w:pPr>
        <w:spacing w:before="120" w:after="120" w:line="360" w:lineRule="auto"/>
        <w:ind w:left="850" w:hanging="850"/>
        <w:rPr>
          <w:b/>
          <w:szCs w:val="24"/>
          <w:lang w:eastAsia="en-US"/>
        </w:rPr>
      </w:pPr>
      <w:r>
        <w:rPr>
          <w:b/>
          <w:i/>
          <w:szCs w:val="24"/>
          <w:lang w:eastAsia="en-US"/>
        </w:rPr>
        <w:lastRenderedPageBreak/>
        <w:t>(32b)</w:t>
      </w:r>
      <w:r>
        <w:rPr>
          <w:szCs w:val="24"/>
          <w:lang w:eastAsia="en-US"/>
        </w:rPr>
        <w:tab/>
      </w:r>
      <w:r>
        <w:rPr>
          <w:b/>
          <w:i/>
          <w:szCs w:val="24"/>
          <w:lang w:eastAsia="en-US"/>
        </w:rPr>
        <w:t>Náklady na monitorovacie programy na určenie stavu povrchových a podzemných vôd sa financujú výlučne z rozpočtov členských štátov. Keďže počet chemických látok zistených vo vodnom prostredí sa neustále mení, keďže sa zvyšuje počet nových znečisťujúcich látok, ktoré sa v poslednom období objavujú vo vodnom prostredí, a je potrebné neustále zlepšovať metódy chemickej analýzy s cieľom odhaliť tieto vznikajúce a nové znečisťujúce látky a správne posúdiť ich ekologický vplyv, pričom treba vyvinúť aj nové metódy monitorovania s cieľom lepšie posúdiť účinky chemických zmesí, očakáva sa, že tieto náklady na monitorovanie sa ešte zvýšia. Na pokrytie týchto nákladov a v súlade so zásadou „znečisťovateľ platí“ podľa článku 191 ods. 2 Zmluvy o fungovaní Európskej únie (ZFEÚ) je nevyhnutné, aby výrobcovia uvádzajúci na trh Únie výrobky obsahujúce látky, ktoré majú preukázateľný alebo potenciálny negatívny vplyv na ľudské zdravie a vodné prostredie, prevzali finančnú zodpovednosť za opatrenia potrebné na kontrolu látok vytvorených v rámci ich obchodných činností a vyskytujúcich sa v povrchových a podzemných vodách. Najvhodnejším prostriedkom na dosiahnutie tohto cieľa je pravdepodobne systém rozšírenej zodpovednosti výrobcu, pretože by sa tým obmedzilo finančné zaťaženie daňovníkov a zároveň by sa poskytol stimul na vývoj ekologickejších výrobkov. Komisia by preto mala vypracovať posúdenie vplyvu, v ktorom preskúma začlenenie mechanizmu rozšírenej zodpovednosti výrobcu do smernice 2006/118/ES a smernice 2008/105/ES uplatniteľného na prioritné látky vymedzené v smernici 2006/118/ES a podľa smernice 2008/105/ES, ako aj na vznikajúce a nové znečisťujúce látky vymedzené v zoznamoch sledovaných látok podľa smernice 2006/118/ES a smernice 2008/105/ES. K posúdeniu vplyvu by mal byť v prípade potreby priložený legislatívny návrh na revíziu smerníc 2006/118/ES a 2008/105/ES.</w:t>
      </w:r>
      <w:r>
        <w:rPr>
          <w:b/>
          <w:szCs w:val="24"/>
          <w:lang w:eastAsia="en-US"/>
        </w:rPr>
        <w:t xml:space="preserve"> [PN 51]</w:t>
      </w:r>
    </w:p>
    <w:p w14:paraId="3BC9E6D6" w14:textId="77777777" w:rsidR="002709ED" w:rsidRDefault="00B2757B">
      <w:pPr>
        <w:widowControl/>
        <w:rPr>
          <w:b/>
          <w:i/>
          <w:szCs w:val="24"/>
          <w:lang w:eastAsia="en-US"/>
        </w:rPr>
      </w:pPr>
      <w:r>
        <w:rPr>
          <w:b/>
          <w:i/>
          <w:szCs w:val="24"/>
          <w:lang w:eastAsia="en-US"/>
        </w:rPr>
        <w:br w:type="page"/>
      </w:r>
    </w:p>
    <w:p w14:paraId="4BA97E87" w14:textId="77777777" w:rsidR="002709ED" w:rsidRDefault="00B2757B">
      <w:pPr>
        <w:spacing w:before="120" w:after="120" w:line="360" w:lineRule="auto"/>
        <w:ind w:left="850" w:hanging="850"/>
        <w:rPr>
          <w:b/>
          <w:szCs w:val="24"/>
          <w:lang w:eastAsia="en-US"/>
        </w:rPr>
      </w:pPr>
      <w:r>
        <w:rPr>
          <w:b/>
          <w:i/>
          <w:szCs w:val="24"/>
          <w:lang w:eastAsia="en-US"/>
        </w:rPr>
        <w:lastRenderedPageBreak/>
        <w:t>(32c)</w:t>
      </w:r>
      <w:r>
        <w:rPr>
          <w:szCs w:val="24"/>
          <w:lang w:eastAsia="en-US"/>
        </w:rPr>
        <w:tab/>
      </w:r>
      <w:r>
        <w:rPr>
          <w:b/>
          <w:i/>
          <w:szCs w:val="24"/>
          <w:lang w:eastAsia="en-US"/>
        </w:rPr>
        <w:t>Monitorovanie zvýšeného počtu látok alebo skupín látok si vyžaduje zvýšené náklady, ale aj potrebu posilniť administratívne kapacity v členských štátoch, najmä v tých, ktoré majú obmedzené zdroje. Vzhľadom na uvedené skutočnosti by Komisia mala zriadiť spoločný európsky monitorovací nástroj na riadenie požiadaviek na monitorovanie, ak o to požiadajú členské štáty, čím sa zníži ich finančná a administratívna záťaž. Komisia by mala vymedziť spôsoby fungovania monitorovacieho zariadenia. Využívanie tohto nástroja by malo byť dobrovoľné a nemalo by sa dotýkať opatrení, ktoré už členské štáty zaviedli.</w:t>
      </w:r>
      <w:r>
        <w:rPr>
          <w:b/>
          <w:szCs w:val="24"/>
          <w:lang w:eastAsia="en-US"/>
        </w:rPr>
        <w:t xml:space="preserve"> [PN 52]</w:t>
      </w:r>
    </w:p>
    <w:p w14:paraId="4067D244" w14:textId="77777777" w:rsidR="002709ED" w:rsidRDefault="00B2757B">
      <w:pPr>
        <w:widowControl/>
        <w:rPr>
          <w:b/>
          <w:i/>
          <w:szCs w:val="24"/>
          <w:lang w:eastAsia="en-US"/>
        </w:rPr>
      </w:pPr>
      <w:r>
        <w:rPr>
          <w:b/>
          <w:i/>
          <w:szCs w:val="24"/>
          <w:lang w:eastAsia="en-US"/>
        </w:rPr>
        <w:br w:type="page"/>
      </w:r>
    </w:p>
    <w:p w14:paraId="69FA50A5" w14:textId="77777777" w:rsidR="002709ED" w:rsidRDefault="00B2757B">
      <w:pPr>
        <w:spacing w:before="120" w:after="120" w:line="360" w:lineRule="auto"/>
        <w:ind w:left="850" w:hanging="850"/>
        <w:rPr>
          <w:b/>
          <w:szCs w:val="24"/>
          <w:lang w:eastAsia="en-US"/>
        </w:rPr>
      </w:pPr>
      <w:r>
        <w:rPr>
          <w:b/>
          <w:i/>
          <w:szCs w:val="24"/>
          <w:lang w:eastAsia="en-US"/>
        </w:rPr>
        <w:lastRenderedPageBreak/>
        <w:t>(32d)</w:t>
      </w:r>
      <w:r>
        <w:rPr>
          <w:szCs w:val="24"/>
          <w:lang w:eastAsia="en-US"/>
        </w:rPr>
        <w:tab/>
      </w:r>
      <w:r>
        <w:rPr>
          <w:b/>
          <w:i/>
          <w:szCs w:val="24"/>
          <w:lang w:eastAsia="en-US"/>
        </w:rPr>
        <w:t>Dôkazy ukazujú, že v sektore vodného hospodárstva sú potrebné investície a financovanie Únie je pre niektoré členské štáty nevyhnutné na splnenie právnych záväzkov ustanovených v smernici 2000/60/ES, smernici 2008/105/ES a smernici 2006/118/ES. Aby dosiahli normy EÚ v oblasti vody, musia všetky členské štáty zvýšiť svoje výdavky aspoň o 20 %, pričom súhrnný deficit vo financovaní dosiahne do roku 2030 289 miliárd EUR</w:t>
      </w:r>
      <w:r>
        <w:rPr>
          <w:szCs w:val="24"/>
          <w:vertAlign w:val="superscript"/>
          <w:lang w:eastAsia="en-US"/>
        </w:rPr>
        <w:footnoteReference w:id="51"/>
      </w:r>
      <w:r>
        <w:rPr>
          <w:b/>
          <w:i/>
          <w:szCs w:val="24"/>
          <w:lang w:eastAsia="en-US"/>
        </w:rPr>
        <w:t>. Preto je potrebné zabezpečiť, aby sa na účely vykonávania monitorovania a inšpekcií vodných útvarov vo všetkých členských štátoch poskytli dostatočné finančné a ľudské zdroje, a to aj prostredníctvom príslušných štrukturálnych fondov a programov Únie, ako aj prostredníctvom príspevkov zo súkromného sektora, a to aj v rámci mechanizmu rozšírenej zodpovednosti výrobcu, keď sa zavedie.</w:t>
      </w:r>
      <w:r>
        <w:rPr>
          <w:b/>
          <w:szCs w:val="24"/>
          <w:lang w:eastAsia="en-US"/>
        </w:rPr>
        <w:t xml:space="preserve"> [PN 53]</w:t>
      </w:r>
    </w:p>
    <w:p w14:paraId="42F4B0E5" w14:textId="77777777" w:rsidR="002709ED" w:rsidRDefault="00B2757B">
      <w:pPr>
        <w:spacing w:before="120" w:after="120" w:line="360" w:lineRule="auto"/>
        <w:ind w:left="850" w:hanging="850"/>
        <w:rPr>
          <w:szCs w:val="24"/>
          <w:lang w:eastAsia="en-US"/>
        </w:rPr>
      </w:pPr>
      <w:r>
        <w:rPr>
          <w:szCs w:val="24"/>
          <w:lang w:eastAsia="en-US"/>
        </w:rPr>
        <w:t>(33)</w:t>
      </w:r>
      <w:r>
        <w:rPr>
          <w:szCs w:val="24"/>
          <w:lang w:eastAsia="en-US"/>
        </w:rPr>
        <w:tab/>
        <w:t>Smernice 2000/60/ES, 2006/118/ES a 2008/105/ES by sa preto mali zodpovedajúcim spôsobom zmeniť.</w:t>
      </w:r>
    </w:p>
    <w:p w14:paraId="40330AB2" w14:textId="77777777" w:rsidR="002709ED" w:rsidRDefault="00B2757B">
      <w:pPr>
        <w:widowControl/>
        <w:rPr>
          <w:szCs w:val="24"/>
          <w:lang w:eastAsia="en-US"/>
        </w:rPr>
      </w:pPr>
      <w:r>
        <w:rPr>
          <w:szCs w:val="24"/>
          <w:lang w:eastAsia="en-US"/>
        </w:rPr>
        <w:br w:type="page"/>
      </w:r>
    </w:p>
    <w:p w14:paraId="012E2FC6" w14:textId="77777777" w:rsidR="002709ED" w:rsidRDefault="00B2757B">
      <w:pPr>
        <w:spacing w:before="120" w:after="120" w:line="360" w:lineRule="auto"/>
        <w:ind w:left="850" w:hanging="850"/>
        <w:rPr>
          <w:b/>
          <w:i/>
          <w:szCs w:val="24"/>
          <w:lang w:eastAsia="en-US"/>
        </w:rPr>
      </w:pPr>
      <w:r>
        <w:rPr>
          <w:szCs w:val="24"/>
          <w:lang w:eastAsia="en-US"/>
        </w:rPr>
        <w:lastRenderedPageBreak/>
        <w:t>(34)</w:t>
      </w:r>
      <w:r>
        <w:rPr>
          <w:szCs w:val="24"/>
          <w:lang w:eastAsia="en-US"/>
        </w:rPr>
        <w:tab/>
        <w:t>Keďže ciele tejto smernice, a to zabezpečiť vysokú úroveň ochrany životného prostredia a zvýšiť environmentálnu kvalitu európskych sladkých vôd, nemožno uspokojivo dosiahnuť na úrovni samotných členských štátov, ale z dôvodu cezhraničnej povahy znečisťovania vôd ich možno lepšie dosiahnuť na úrovni Únie, môže Únia prijať opatrenia v súlade so zásadou subsidiarity podľa článku 5 Zmluvy o Európskej únii. V súlade so zásadou proporcionality podľa uvedeného článku táto smernica neprekračuje rámec nevyhnutný na dosiahnutie týchto cieľov</w:t>
      </w:r>
      <w:r>
        <w:rPr>
          <w:strike/>
          <w:szCs w:val="24"/>
          <w:lang w:eastAsia="en-US"/>
        </w:rPr>
        <w:t>,</w:t>
      </w:r>
      <w:r>
        <w:rPr>
          <w:b/>
          <w:i/>
          <w:szCs w:val="24"/>
          <w:lang w:eastAsia="en-US"/>
        </w:rPr>
        <w:t>.</w:t>
      </w:r>
    </w:p>
    <w:p w14:paraId="63EB81FD" w14:textId="77777777" w:rsidR="002709ED" w:rsidRDefault="00B2757B">
      <w:pPr>
        <w:spacing w:before="120" w:after="120" w:line="360" w:lineRule="auto"/>
        <w:ind w:left="850" w:hanging="850"/>
        <w:rPr>
          <w:b/>
          <w:szCs w:val="24"/>
          <w:lang w:eastAsia="en-US"/>
        </w:rPr>
      </w:pPr>
      <w:r>
        <w:rPr>
          <w:b/>
          <w:i/>
          <w:szCs w:val="24"/>
          <w:lang w:eastAsia="en-US"/>
        </w:rPr>
        <w:t>(34a)</w:t>
      </w:r>
      <w:r>
        <w:rPr>
          <w:szCs w:val="24"/>
          <w:lang w:eastAsia="en-US"/>
        </w:rPr>
        <w:tab/>
      </w:r>
      <w:r>
        <w:rPr>
          <w:b/>
          <w:i/>
          <w:szCs w:val="24"/>
          <w:lang w:eastAsia="en-US"/>
        </w:rPr>
        <w:t>Členské štáty by mali podporovať synergie medzi požiadavkami príslušných smerníc, pokiaľ ide o získavanie údajov aj o zavádzanie digitálnych nástrojov, ako sú technológie diaľkového snímania alebo pozorovanie Zeme (služby Copernicus).</w:t>
      </w:r>
      <w:r>
        <w:rPr>
          <w:b/>
          <w:szCs w:val="24"/>
          <w:lang w:eastAsia="en-US"/>
        </w:rPr>
        <w:t xml:space="preserve"> [PN 54]</w:t>
      </w:r>
    </w:p>
    <w:p w14:paraId="5CE6B68E" w14:textId="77777777" w:rsidR="002709ED" w:rsidRDefault="00B2757B">
      <w:pPr>
        <w:widowControl/>
        <w:rPr>
          <w:b/>
          <w:i/>
          <w:szCs w:val="24"/>
          <w:lang w:eastAsia="en-US"/>
        </w:rPr>
      </w:pPr>
      <w:r>
        <w:rPr>
          <w:b/>
          <w:i/>
          <w:szCs w:val="24"/>
          <w:lang w:eastAsia="en-US"/>
        </w:rPr>
        <w:br w:type="page"/>
      </w:r>
    </w:p>
    <w:p w14:paraId="19F63D41" w14:textId="77777777" w:rsidR="002709ED" w:rsidRDefault="00B2757B">
      <w:pPr>
        <w:spacing w:before="120" w:after="120" w:line="360" w:lineRule="auto"/>
        <w:ind w:left="850" w:hanging="850"/>
        <w:rPr>
          <w:b/>
          <w:szCs w:val="24"/>
          <w:lang w:eastAsia="en-US"/>
        </w:rPr>
      </w:pPr>
      <w:r>
        <w:rPr>
          <w:b/>
          <w:i/>
          <w:szCs w:val="24"/>
          <w:lang w:eastAsia="en-US"/>
        </w:rPr>
        <w:lastRenderedPageBreak/>
        <w:t>(34b)</w:t>
      </w:r>
      <w:r>
        <w:rPr>
          <w:szCs w:val="24"/>
          <w:lang w:eastAsia="en-US"/>
        </w:rPr>
        <w:tab/>
      </w:r>
      <w:r>
        <w:rPr>
          <w:b/>
          <w:i/>
          <w:szCs w:val="24"/>
          <w:lang w:eastAsia="en-US"/>
        </w:rPr>
        <w:t>Príslušné orgány by mali podporovať odbornú prípravu, programy rozvoja zručností a investície do ľudského kapitálu, aby sa tak v rámci smerníc podporilo účinné zavádzanie najlepších technológií a inovačných riešení. Informácie by mali byť dostupné v jednotlivých štátnych jazykoch, aby sa v celej Európe zlepšil prístup príslušných miestnych subjektov a občanov k relevantným údajom,</w:t>
      </w:r>
      <w:r>
        <w:rPr>
          <w:b/>
          <w:szCs w:val="24"/>
          <w:lang w:eastAsia="en-US"/>
        </w:rPr>
        <w:t xml:space="preserve"> [PN 55]</w:t>
      </w:r>
    </w:p>
    <w:p w14:paraId="1698AE06" w14:textId="77777777" w:rsidR="002709ED" w:rsidRDefault="00B2757B">
      <w:pPr>
        <w:keepNext/>
        <w:widowControl/>
        <w:spacing w:before="120" w:after="120" w:line="360" w:lineRule="auto"/>
        <w:rPr>
          <w:szCs w:val="24"/>
          <w:lang w:eastAsia="en-US"/>
        </w:rPr>
      </w:pPr>
      <w:r>
        <w:rPr>
          <w:szCs w:val="24"/>
          <w:lang w:eastAsia="en-US"/>
        </w:rPr>
        <w:t>PRIJALI TÚTO SMERNICU:</w:t>
      </w:r>
    </w:p>
    <w:p w14:paraId="7A58D3A0" w14:textId="77777777" w:rsidR="002709ED" w:rsidRDefault="00B2757B">
      <w:pPr>
        <w:widowControl/>
        <w:rPr>
          <w:szCs w:val="24"/>
          <w:lang w:eastAsia="en-US"/>
        </w:rPr>
      </w:pPr>
      <w:r>
        <w:rPr>
          <w:szCs w:val="24"/>
          <w:lang w:eastAsia="en-US"/>
        </w:rPr>
        <w:br w:type="page"/>
      </w:r>
    </w:p>
    <w:p w14:paraId="3CBB8AD9" w14:textId="77777777" w:rsidR="002709ED" w:rsidRDefault="00B2757B">
      <w:pPr>
        <w:spacing w:before="120" w:after="120" w:line="360" w:lineRule="auto"/>
        <w:jc w:val="center"/>
        <w:rPr>
          <w:szCs w:val="24"/>
          <w:lang w:eastAsia="en-US"/>
        </w:rPr>
      </w:pPr>
      <w:r>
        <w:rPr>
          <w:szCs w:val="24"/>
          <w:lang w:eastAsia="en-US"/>
        </w:rPr>
        <w:lastRenderedPageBreak/>
        <w:t>Článok 1</w:t>
      </w:r>
      <w:r>
        <w:rPr>
          <w:szCs w:val="24"/>
          <w:lang w:eastAsia="en-US"/>
        </w:rPr>
        <w:br/>
        <w:t>Zmeny v smernici 2000/60/ES</w:t>
      </w:r>
    </w:p>
    <w:p w14:paraId="01CA8C10" w14:textId="77777777" w:rsidR="002709ED" w:rsidRDefault="00B2757B">
      <w:pPr>
        <w:spacing w:before="120" w:after="120" w:line="360" w:lineRule="auto"/>
        <w:rPr>
          <w:szCs w:val="24"/>
          <w:lang w:eastAsia="en-US"/>
        </w:rPr>
      </w:pPr>
      <w:r>
        <w:rPr>
          <w:szCs w:val="24"/>
          <w:lang w:eastAsia="en-US"/>
        </w:rPr>
        <w:t>Smernica 2000/60/ES sa mení takto:</w:t>
      </w:r>
    </w:p>
    <w:p w14:paraId="526C047F" w14:textId="77777777" w:rsidR="002709ED" w:rsidRDefault="00B2757B">
      <w:pPr>
        <w:spacing w:before="120" w:after="120" w:line="360" w:lineRule="auto"/>
        <w:ind w:left="850" w:hanging="850"/>
        <w:rPr>
          <w:b/>
          <w:szCs w:val="24"/>
          <w:lang w:eastAsia="en-US"/>
        </w:rPr>
      </w:pPr>
      <w:r>
        <w:rPr>
          <w:szCs w:val="24"/>
          <w:lang w:eastAsia="en-US"/>
        </w:rPr>
        <w:t>1.</w:t>
      </w:r>
      <w:r>
        <w:rPr>
          <w:szCs w:val="24"/>
          <w:lang w:eastAsia="en-US"/>
        </w:rPr>
        <w:tab/>
        <w:t xml:space="preserve">V článku 1 </w:t>
      </w:r>
      <w:r>
        <w:rPr>
          <w:b/>
          <w:i/>
          <w:szCs w:val="24"/>
          <w:lang w:eastAsia="en-US"/>
        </w:rPr>
        <w:t>písm. a)</w:t>
      </w:r>
      <w:r w:rsidR="00097A12">
        <w:rPr>
          <w:b/>
          <w:i/>
          <w:szCs w:val="24"/>
          <w:lang w:eastAsia="en-US"/>
        </w:rPr>
        <w:t xml:space="preserve"> </w:t>
      </w:r>
      <w:r>
        <w:rPr>
          <w:szCs w:val="24"/>
          <w:lang w:eastAsia="en-US"/>
        </w:rPr>
        <w:t>sa štvrtá zarážka nahrádza takto:</w:t>
      </w:r>
      <w:r>
        <w:rPr>
          <w:b/>
          <w:szCs w:val="24"/>
          <w:lang w:eastAsia="en-US"/>
        </w:rPr>
        <w:t xml:space="preserve"> [PN 56]</w:t>
      </w:r>
    </w:p>
    <w:p w14:paraId="14F56F4F" w14:textId="77777777" w:rsidR="002709ED" w:rsidRDefault="00B2757B">
      <w:pPr>
        <w:spacing w:before="120" w:after="120" w:line="360" w:lineRule="auto"/>
        <w:ind w:left="850"/>
        <w:rPr>
          <w:szCs w:val="24"/>
          <w:lang w:eastAsia="en-US"/>
        </w:rPr>
      </w:pPr>
      <w:r>
        <w:rPr>
          <w:szCs w:val="24"/>
          <w:lang w:eastAsia="en-US"/>
        </w:rPr>
        <w:t>„– dosiahnutiu cieľov príslušných medzinárodných dohôd, a to aj tých, ktorých cieľom je prevencia a eliminácia znečistenia morského prostredia, činnosťou Únie na zastavenie alebo postupné ukončenie vypúšťania, emisií a únikov prioritných rizikových látok s konečným cieľom dosiahnuť koncentrácie približujúce sa pozaďovým hodnotám pre prirodzene sa vyskytujúce látky a hodnoty koncentrácií blížiace sa k nule pre vyrábané syntetické látky.;“</w:t>
      </w:r>
    </w:p>
    <w:p w14:paraId="26BBD4C9" w14:textId="77777777" w:rsidR="002709ED" w:rsidRDefault="00B2757B">
      <w:pPr>
        <w:widowControl/>
        <w:rPr>
          <w:szCs w:val="24"/>
          <w:lang w:eastAsia="en-US"/>
        </w:rPr>
      </w:pPr>
      <w:r>
        <w:rPr>
          <w:szCs w:val="24"/>
          <w:lang w:eastAsia="en-US"/>
        </w:rPr>
        <w:br w:type="page"/>
      </w:r>
    </w:p>
    <w:p w14:paraId="0EDEE782" w14:textId="77777777" w:rsidR="002709ED" w:rsidRDefault="00B2757B">
      <w:pPr>
        <w:spacing w:before="120" w:after="120" w:line="360" w:lineRule="auto"/>
        <w:ind w:left="850" w:hanging="850"/>
        <w:rPr>
          <w:szCs w:val="24"/>
          <w:lang w:eastAsia="en-US"/>
        </w:rPr>
      </w:pPr>
      <w:r>
        <w:rPr>
          <w:szCs w:val="24"/>
          <w:lang w:eastAsia="en-US"/>
        </w:rPr>
        <w:lastRenderedPageBreak/>
        <w:t>2.</w:t>
      </w:r>
      <w:r>
        <w:rPr>
          <w:szCs w:val="24"/>
          <w:lang w:eastAsia="en-US"/>
        </w:rPr>
        <w:tab/>
        <w:t>Článok 2 sa mení takto:</w:t>
      </w:r>
    </w:p>
    <w:p w14:paraId="18641A74" w14:textId="77777777" w:rsidR="002709ED" w:rsidRDefault="00B2757B">
      <w:pPr>
        <w:spacing w:before="120" w:after="120" w:line="360" w:lineRule="auto"/>
        <w:ind w:left="1416" w:hanging="566"/>
        <w:rPr>
          <w:szCs w:val="24"/>
          <w:lang w:eastAsia="en-US"/>
        </w:rPr>
      </w:pPr>
      <w:r>
        <w:rPr>
          <w:szCs w:val="24"/>
          <w:lang w:eastAsia="en-US"/>
        </w:rPr>
        <w:t>a)</w:t>
      </w:r>
      <w:r>
        <w:rPr>
          <w:szCs w:val="24"/>
          <w:lang w:eastAsia="en-US"/>
        </w:rPr>
        <w:tab/>
      </w:r>
      <w:r w:rsidR="00ED2E09">
        <w:rPr>
          <w:szCs w:val="24"/>
          <w:lang w:eastAsia="en-US"/>
        </w:rPr>
        <w:t>b</w:t>
      </w:r>
      <w:r>
        <w:rPr>
          <w:szCs w:val="24"/>
          <w:lang w:eastAsia="en-US"/>
        </w:rPr>
        <w:t>od 24 sa nahrádza takto:</w:t>
      </w:r>
    </w:p>
    <w:p w14:paraId="53579EC5" w14:textId="77777777" w:rsidR="002709ED" w:rsidRDefault="00B2757B">
      <w:pPr>
        <w:spacing w:before="120" w:after="120" w:line="360" w:lineRule="auto"/>
        <w:ind w:left="1982" w:hanging="566"/>
        <w:rPr>
          <w:szCs w:val="24"/>
          <w:lang w:eastAsia="en-US"/>
        </w:rPr>
      </w:pPr>
      <w:r>
        <w:rPr>
          <w:szCs w:val="24"/>
          <w:lang w:eastAsia="en-US"/>
        </w:rPr>
        <w:t>„24.</w:t>
      </w:r>
      <w:r>
        <w:rPr>
          <w:szCs w:val="24"/>
          <w:lang w:eastAsia="en-US"/>
        </w:rPr>
        <w:tab/>
        <w:t>„Dobrý chemický stav povrchových vôd“ je chemický stav požadovaný na splnenie environmentálnych cieľov pre povrchové vody stanovených v článku 4 ods. 1 písm. a), to znamená chemický stav útvaru povrchovej vody, v ktorom dosiahnuté koncentrácie znečisťujúcich látok neprekračujú environmentálne normy kvality pre prioritné látky uvedené v časti A prílohy I k smernici Európskeho parlamentu a Rady 2008/105/ES* a normy environmentálnej kvality pre znečisťujúce látky špecifické pre povodie stanovené v súlade s článkom 8 ods. 2 písm. c) a článkom 8d ods. 1 uvedenej smernice.;“</w:t>
      </w:r>
    </w:p>
    <w:p w14:paraId="6372C21B" w14:textId="77777777" w:rsidR="002709ED" w:rsidRDefault="00B2757B">
      <w:pPr>
        <w:spacing w:before="120" w:after="120" w:line="360" w:lineRule="auto"/>
        <w:ind w:left="1416" w:hanging="566"/>
        <w:rPr>
          <w:szCs w:val="24"/>
          <w:lang w:eastAsia="en-US"/>
        </w:rPr>
      </w:pPr>
      <w:r>
        <w:rPr>
          <w:szCs w:val="24"/>
          <w:lang w:eastAsia="en-US"/>
        </w:rPr>
        <w:t>b)</w:t>
      </w:r>
      <w:r>
        <w:rPr>
          <w:szCs w:val="24"/>
          <w:lang w:eastAsia="en-US"/>
        </w:rPr>
        <w:tab/>
      </w:r>
      <w:r w:rsidR="00ED2E09">
        <w:rPr>
          <w:szCs w:val="24"/>
          <w:lang w:eastAsia="en-US"/>
        </w:rPr>
        <w:t>b</w:t>
      </w:r>
      <w:r>
        <w:rPr>
          <w:szCs w:val="24"/>
          <w:lang w:eastAsia="en-US"/>
        </w:rPr>
        <w:t>od 30 sa nahrádza takto:</w:t>
      </w:r>
    </w:p>
    <w:p w14:paraId="448D7E25" w14:textId="77777777" w:rsidR="002709ED" w:rsidRDefault="00B2757B">
      <w:pPr>
        <w:spacing w:before="120" w:after="120" w:line="360" w:lineRule="auto"/>
        <w:ind w:left="1982" w:hanging="566"/>
        <w:rPr>
          <w:szCs w:val="24"/>
          <w:lang w:eastAsia="en-US"/>
        </w:rPr>
      </w:pPr>
      <w:r>
        <w:rPr>
          <w:szCs w:val="24"/>
          <w:lang w:eastAsia="en-US"/>
        </w:rPr>
        <w:t>„30.</w:t>
      </w:r>
      <w:r>
        <w:rPr>
          <w:szCs w:val="24"/>
          <w:lang w:eastAsia="en-US"/>
        </w:rPr>
        <w:tab/>
        <w:t>„Prioritné látky“ sú látky uvedené v časti A prílohy I k smernici 2008/105/ES, čiže látky, ktoré vo veľkej časti členských štátov predstavujú významné riziko pre vodné prostredie alebo prostredníctvom vodného prostredia.;“</w:t>
      </w:r>
    </w:p>
    <w:p w14:paraId="032D2058" w14:textId="77777777" w:rsidR="002709ED" w:rsidRDefault="00B2757B">
      <w:pPr>
        <w:widowControl/>
        <w:rPr>
          <w:szCs w:val="24"/>
          <w:lang w:eastAsia="en-US"/>
        </w:rPr>
      </w:pPr>
      <w:r>
        <w:rPr>
          <w:szCs w:val="24"/>
          <w:lang w:eastAsia="en-US"/>
        </w:rPr>
        <w:br w:type="page"/>
      </w:r>
    </w:p>
    <w:p w14:paraId="753E8DB5" w14:textId="77777777" w:rsidR="002709ED" w:rsidRDefault="00B2757B">
      <w:pPr>
        <w:spacing w:before="120" w:after="120" w:line="360" w:lineRule="auto"/>
        <w:ind w:left="1416" w:hanging="566"/>
        <w:rPr>
          <w:szCs w:val="24"/>
          <w:lang w:eastAsia="en-US"/>
        </w:rPr>
      </w:pPr>
      <w:r>
        <w:rPr>
          <w:szCs w:val="24"/>
          <w:lang w:eastAsia="en-US"/>
        </w:rPr>
        <w:lastRenderedPageBreak/>
        <w:t>c)</w:t>
      </w:r>
      <w:r>
        <w:rPr>
          <w:szCs w:val="24"/>
          <w:lang w:eastAsia="en-US"/>
        </w:rPr>
        <w:tab/>
      </w:r>
      <w:r w:rsidR="00ED2E09">
        <w:rPr>
          <w:szCs w:val="24"/>
          <w:lang w:eastAsia="en-US"/>
        </w:rPr>
        <w:t>v</w:t>
      </w:r>
      <w:r>
        <w:rPr>
          <w:szCs w:val="24"/>
          <w:lang w:eastAsia="en-US"/>
        </w:rPr>
        <w:t>kladajú sa tieto body 30a a 30b:</w:t>
      </w:r>
    </w:p>
    <w:p w14:paraId="7BCF4C5E" w14:textId="77777777" w:rsidR="002709ED" w:rsidRDefault="00B2757B">
      <w:pPr>
        <w:spacing w:before="120" w:after="120" w:line="360" w:lineRule="auto"/>
        <w:ind w:left="1982" w:hanging="566"/>
        <w:rPr>
          <w:b/>
          <w:szCs w:val="24"/>
          <w:lang w:eastAsia="en-US"/>
        </w:rPr>
      </w:pPr>
      <w:r>
        <w:rPr>
          <w:szCs w:val="24"/>
          <w:lang w:eastAsia="en-US"/>
        </w:rPr>
        <w:t>„30a.</w:t>
      </w:r>
      <w:r>
        <w:rPr>
          <w:szCs w:val="24"/>
          <w:lang w:eastAsia="en-US"/>
        </w:rPr>
        <w:tab/>
        <w:t xml:space="preserve">„Prioritné rizikové látky“ sú prioritné látky, ktoré sú označené ako „rizikové“ na základe toho, že sú vo vedeckých správach, v príslušných právnych predpisoch Únie alebo v príslušných medzinárodných dohodách uznané ako toxické, perzistentné a náchylné na bioakumuláciu </w:t>
      </w:r>
      <w:r>
        <w:rPr>
          <w:b/>
          <w:i/>
          <w:szCs w:val="24"/>
          <w:lang w:eastAsia="en-US"/>
        </w:rPr>
        <w:t xml:space="preserve">(PBT) alebo veľmi perzistentné a veľmi akumulatívne (vPvB), alebo perzistentné, mobilné a toxické (PMT), alebo veľmi perzistentné a veľmi mobilné (vPvM), </w:t>
      </w:r>
      <w:r>
        <w:rPr>
          <w:szCs w:val="24"/>
          <w:lang w:eastAsia="en-US"/>
        </w:rPr>
        <w:t>alebo ako vzbudzujúce rovnakú úroveň obáv, ak je táto obava relevantná pre vodné prostredie</w:t>
      </w:r>
      <w:r>
        <w:rPr>
          <w:b/>
          <w:i/>
          <w:szCs w:val="24"/>
          <w:lang w:eastAsia="en-US"/>
        </w:rPr>
        <w:t>, a v prípade ktorých treba prijať opatrenia v súlade s článkom 4 ods</w:t>
      </w:r>
      <w:r>
        <w:rPr>
          <w:szCs w:val="24"/>
          <w:lang w:eastAsia="en-US"/>
        </w:rPr>
        <w:t>.</w:t>
      </w:r>
      <w:r>
        <w:rPr>
          <w:b/>
          <w:i/>
          <w:szCs w:val="24"/>
          <w:lang w:eastAsia="en-US"/>
        </w:rPr>
        <w:t xml:space="preserve"> 1 písm. a) bodom iv).</w:t>
      </w:r>
      <w:r>
        <w:rPr>
          <w:b/>
          <w:szCs w:val="24"/>
          <w:lang w:eastAsia="en-US"/>
        </w:rPr>
        <w:t xml:space="preserve"> [PN 57]</w:t>
      </w:r>
    </w:p>
    <w:p w14:paraId="5AB1AD67" w14:textId="77777777" w:rsidR="002709ED" w:rsidRDefault="00B2757B">
      <w:pPr>
        <w:spacing w:before="120" w:after="120" w:line="360" w:lineRule="auto"/>
        <w:ind w:left="1982" w:hanging="566"/>
        <w:rPr>
          <w:szCs w:val="24"/>
          <w:lang w:eastAsia="en-US"/>
        </w:rPr>
      </w:pPr>
      <w:r>
        <w:rPr>
          <w:szCs w:val="24"/>
          <w:lang w:eastAsia="en-US"/>
        </w:rPr>
        <w:t>30b.</w:t>
      </w:r>
      <w:r>
        <w:rPr>
          <w:szCs w:val="24"/>
          <w:lang w:eastAsia="en-US"/>
        </w:rPr>
        <w:tab/>
        <w:t>„Znečisťujúce látky špecifické pre povodie“ sú znečisťujúce látky, ktoré sa neidentifikujú alebo sa prestali identifikovať ako prioritné látky, ale ktoré členské štáty identifikovali na základe posúdenia tlakov a vplyvov na útvary povrchovej vody vykonaného v súlade s prílohou II k tejto smernici ako látky predstavujúce významné riziko pre vodné prostredie alebo prostredníctvom vodného prostredia na svojom území.;“</w:t>
      </w:r>
    </w:p>
    <w:p w14:paraId="6D5640FA" w14:textId="77777777" w:rsidR="002709ED" w:rsidRDefault="00B2757B">
      <w:pPr>
        <w:widowControl/>
        <w:rPr>
          <w:szCs w:val="24"/>
          <w:lang w:eastAsia="en-US"/>
        </w:rPr>
      </w:pPr>
      <w:r>
        <w:rPr>
          <w:szCs w:val="24"/>
          <w:lang w:eastAsia="en-US"/>
        </w:rPr>
        <w:br w:type="page"/>
      </w:r>
    </w:p>
    <w:p w14:paraId="21079AA1" w14:textId="77777777" w:rsidR="002709ED" w:rsidRDefault="00B2757B">
      <w:pPr>
        <w:spacing w:before="120" w:after="120" w:line="360" w:lineRule="auto"/>
        <w:ind w:left="1416" w:hanging="566"/>
        <w:rPr>
          <w:szCs w:val="24"/>
          <w:lang w:eastAsia="en-US"/>
        </w:rPr>
      </w:pPr>
      <w:r>
        <w:rPr>
          <w:szCs w:val="24"/>
          <w:lang w:eastAsia="en-US"/>
        </w:rPr>
        <w:lastRenderedPageBreak/>
        <w:t>d)</w:t>
      </w:r>
      <w:r>
        <w:rPr>
          <w:szCs w:val="24"/>
          <w:lang w:eastAsia="en-US"/>
        </w:rPr>
        <w:tab/>
      </w:r>
      <w:r w:rsidR="00ED2E09">
        <w:rPr>
          <w:szCs w:val="24"/>
          <w:lang w:eastAsia="en-US"/>
        </w:rPr>
        <w:t>b</w:t>
      </w:r>
      <w:r>
        <w:rPr>
          <w:szCs w:val="24"/>
          <w:lang w:eastAsia="en-US"/>
        </w:rPr>
        <w:t>od 35 sa nahrádza takto:</w:t>
      </w:r>
    </w:p>
    <w:p w14:paraId="3BC3C3DE" w14:textId="77777777" w:rsidR="002709ED" w:rsidRDefault="00B2757B">
      <w:pPr>
        <w:spacing w:before="120" w:after="120" w:line="360" w:lineRule="auto"/>
        <w:ind w:left="1982" w:hanging="566"/>
        <w:rPr>
          <w:b/>
          <w:szCs w:val="24"/>
          <w:lang w:eastAsia="en-US"/>
        </w:rPr>
      </w:pPr>
      <w:r>
        <w:rPr>
          <w:szCs w:val="24"/>
          <w:lang w:eastAsia="en-US"/>
        </w:rPr>
        <w:t>„35.</w:t>
      </w:r>
      <w:r>
        <w:rPr>
          <w:szCs w:val="24"/>
          <w:lang w:eastAsia="en-US"/>
        </w:rPr>
        <w:tab/>
        <w:t xml:space="preserve">„Norma environmentálnej kvality“ je koncentrácia konkrétnej znečisťujúcej látky alebo skupiny znečisťujúcich látok vo vode, sedimente alebo biote, ktorá sa nesmie prekročiť z dôvodu ochrany ľudského zdravia a životného prostredia, alebo spúšťacia hodnota takejto znečisťujúcej látky alebo skupiny znečisťujúcich látok v prípade nepriaznivých účinkov na ľudské zdravie alebo životné prostredie nameraná </w:t>
      </w:r>
      <w:r>
        <w:rPr>
          <w:b/>
          <w:i/>
          <w:szCs w:val="24"/>
          <w:lang w:eastAsia="en-US"/>
        </w:rPr>
        <w:t xml:space="preserve">vhodnou a vedecky podloženou </w:t>
      </w:r>
      <w:r>
        <w:rPr>
          <w:szCs w:val="24"/>
          <w:lang w:eastAsia="en-US"/>
        </w:rPr>
        <w:t>metódou založenou na účinkoch.“;</w:t>
      </w:r>
      <w:r>
        <w:rPr>
          <w:b/>
          <w:szCs w:val="24"/>
          <w:lang w:eastAsia="en-US"/>
        </w:rPr>
        <w:t xml:space="preserve"> [PN 58]</w:t>
      </w:r>
    </w:p>
    <w:p w14:paraId="603DEA06" w14:textId="77777777" w:rsidR="002709ED" w:rsidRDefault="00B2757B" w:rsidP="00C100E9">
      <w:pPr>
        <w:spacing w:before="120" w:after="120" w:line="360" w:lineRule="auto"/>
        <w:ind w:left="2552" w:hanging="570"/>
        <w:rPr>
          <w:szCs w:val="24"/>
          <w:lang w:eastAsia="en-US"/>
        </w:rPr>
      </w:pPr>
      <w:r>
        <w:rPr>
          <w:szCs w:val="24"/>
          <w:lang w:eastAsia="en-US"/>
        </w:rPr>
        <w:t xml:space="preserve">* </w:t>
      </w:r>
      <w:r w:rsidR="00ED2E09">
        <w:rPr>
          <w:szCs w:val="24"/>
          <w:lang w:eastAsia="en-US"/>
        </w:rPr>
        <w:tab/>
      </w:r>
      <w:r>
        <w:rPr>
          <w:szCs w:val="24"/>
          <w:lang w:eastAsia="en-US"/>
        </w:rPr>
        <w:t>Smernica Európskeho parlamentu a Rady 2008/105/ES o prevencii a regulácii znečistenia povrchových vôd, o zmene a následnom zrušení smerníc Rady 82/176/EHS, 83/513/EHS, 84/156/EHS, 84/491/EHS, 86/280/EHS a o zmene smernice Európskeho parlamentu a Rady 2000/60/ES (Ú. v. EÚ L 348, 24.12.2008, s. 84).;“</w:t>
      </w:r>
    </w:p>
    <w:p w14:paraId="4247C1DE" w14:textId="77777777" w:rsidR="002709ED" w:rsidRDefault="00B2757B">
      <w:pPr>
        <w:spacing w:before="120" w:after="120" w:line="360" w:lineRule="auto"/>
        <w:ind w:left="1416" w:hanging="566"/>
        <w:rPr>
          <w:szCs w:val="24"/>
          <w:lang w:eastAsia="en-US"/>
        </w:rPr>
      </w:pPr>
      <w:r>
        <w:rPr>
          <w:b/>
          <w:i/>
          <w:szCs w:val="24"/>
          <w:lang w:eastAsia="en-US"/>
        </w:rPr>
        <w:t>da)</w:t>
      </w:r>
      <w:r>
        <w:rPr>
          <w:szCs w:val="24"/>
          <w:lang w:eastAsia="en-US"/>
        </w:rPr>
        <w:tab/>
      </w:r>
      <w:r w:rsidR="0000288C">
        <w:rPr>
          <w:b/>
          <w:i/>
          <w:szCs w:val="24"/>
          <w:lang w:eastAsia="en-US"/>
        </w:rPr>
        <w:t>b</w:t>
      </w:r>
      <w:r>
        <w:rPr>
          <w:b/>
          <w:i/>
          <w:szCs w:val="24"/>
          <w:lang w:eastAsia="en-US"/>
        </w:rPr>
        <w:t>od 37 sa nahrádza takto:</w:t>
      </w:r>
    </w:p>
    <w:p w14:paraId="55E54BBF" w14:textId="77777777" w:rsidR="002709ED" w:rsidRDefault="00B2757B">
      <w:pPr>
        <w:spacing w:before="120" w:after="120" w:line="360" w:lineRule="auto"/>
        <w:ind w:left="1982" w:hanging="566"/>
        <w:rPr>
          <w:b/>
          <w:szCs w:val="24"/>
          <w:lang w:eastAsia="en-US"/>
        </w:rPr>
      </w:pPr>
      <w:r>
        <w:rPr>
          <w:szCs w:val="24"/>
          <w:lang w:eastAsia="en-US"/>
        </w:rPr>
        <w:t>„</w:t>
      </w:r>
      <w:r>
        <w:rPr>
          <w:b/>
          <w:i/>
          <w:szCs w:val="24"/>
          <w:lang w:eastAsia="en-US"/>
        </w:rPr>
        <w:t>37.</w:t>
      </w:r>
      <w:r>
        <w:rPr>
          <w:szCs w:val="24"/>
          <w:lang w:eastAsia="en-US"/>
        </w:rPr>
        <w:tab/>
      </w:r>
      <w:r>
        <w:rPr>
          <w:b/>
          <w:i/>
          <w:szCs w:val="24"/>
          <w:lang w:eastAsia="en-US"/>
        </w:rPr>
        <w:t>Voda určená na ľudskú spotrebu“ má ten istý význam ako podľa smernice (EÚ) 2020/2184.“</w:t>
      </w:r>
      <w:r>
        <w:rPr>
          <w:b/>
          <w:szCs w:val="24"/>
          <w:lang w:eastAsia="en-US"/>
        </w:rPr>
        <w:t xml:space="preserve"> [PN 59]</w:t>
      </w:r>
    </w:p>
    <w:p w14:paraId="5897C004" w14:textId="77777777" w:rsidR="002709ED" w:rsidRDefault="00B2757B">
      <w:pPr>
        <w:widowControl/>
        <w:rPr>
          <w:b/>
          <w:i/>
          <w:szCs w:val="24"/>
          <w:lang w:eastAsia="en-US"/>
        </w:rPr>
      </w:pPr>
      <w:r>
        <w:rPr>
          <w:b/>
          <w:i/>
          <w:szCs w:val="24"/>
          <w:lang w:eastAsia="en-US"/>
        </w:rPr>
        <w:br w:type="page"/>
      </w:r>
    </w:p>
    <w:p w14:paraId="50AE4D4B" w14:textId="77777777" w:rsidR="002709ED" w:rsidRDefault="00B2757B">
      <w:pPr>
        <w:spacing w:before="120" w:after="120" w:line="360" w:lineRule="auto"/>
        <w:ind w:left="1416" w:hanging="566"/>
        <w:rPr>
          <w:szCs w:val="24"/>
          <w:lang w:eastAsia="en-US"/>
        </w:rPr>
      </w:pPr>
      <w:r>
        <w:rPr>
          <w:b/>
          <w:i/>
          <w:szCs w:val="24"/>
          <w:lang w:eastAsia="en-US"/>
        </w:rPr>
        <w:lastRenderedPageBreak/>
        <w:t>db)</w:t>
      </w:r>
      <w:r>
        <w:rPr>
          <w:szCs w:val="24"/>
          <w:lang w:eastAsia="en-US"/>
        </w:rPr>
        <w:tab/>
      </w:r>
      <w:r w:rsidR="0000288C">
        <w:rPr>
          <w:b/>
          <w:i/>
          <w:szCs w:val="24"/>
          <w:lang w:eastAsia="en-US"/>
        </w:rPr>
        <w:t>v</w:t>
      </w:r>
      <w:r>
        <w:rPr>
          <w:b/>
          <w:i/>
          <w:szCs w:val="24"/>
          <w:lang w:eastAsia="en-US"/>
        </w:rPr>
        <w:t xml:space="preserve"> bode 40 sa prvý pododsek nahrádza takto:</w:t>
      </w:r>
    </w:p>
    <w:p w14:paraId="49D8090B" w14:textId="77777777" w:rsidR="002709ED" w:rsidRDefault="00B2757B">
      <w:pPr>
        <w:spacing w:before="120" w:after="120" w:line="360" w:lineRule="auto"/>
        <w:ind w:left="1982" w:hanging="566"/>
        <w:rPr>
          <w:b/>
          <w:szCs w:val="24"/>
          <w:lang w:eastAsia="en-US"/>
        </w:rPr>
      </w:pPr>
      <w:r>
        <w:rPr>
          <w:szCs w:val="24"/>
          <w:lang w:eastAsia="en-US"/>
        </w:rPr>
        <w:t>„</w:t>
      </w:r>
      <w:r>
        <w:rPr>
          <w:b/>
          <w:i/>
          <w:szCs w:val="24"/>
          <w:lang w:eastAsia="en-US"/>
        </w:rPr>
        <w:t>40.</w:t>
      </w:r>
      <w:r>
        <w:rPr>
          <w:szCs w:val="24"/>
          <w:lang w:eastAsia="en-US"/>
        </w:rPr>
        <w:tab/>
      </w:r>
      <w:r>
        <w:rPr>
          <w:b/>
          <w:i/>
          <w:szCs w:val="24"/>
          <w:lang w:eastAsia="en-US"/>
        </w:rPr>
        <w:t>„Limitné hodnoty emisií“ znamenajú množstvo vyjadrené v určitých špecifických ukazovateľoch, koncentráciu a/alebo úroveň emisie, ktorá sa nesmie prekročiť počas jedného alebo viacerých časových období. Limitné hodnoty emisií môžu byť stanovené aj pre určité skupiny, druhy alebo kategórie látok, najmä pre látky identifikované v prílohe I k smernici 2008/105/ES.</w:t>
      </w:r>
      <w:r>
        <w:rPr>
          <w:szCs w:val="24"/>
          <w:lang w:eastAsia="en-US"/>
        </w:rPr>
        <w:t>“</w:t>
      </w:r>
      <w:r>
        <w:rPr>
          <w:b/>
          <w:szCs w:val="24"/>
          <w:lang w:eastAsia="en-US"/>
        </w:rPr>
        <w:t xml:space="preserve"> [PN 60]</w:t>
      </w:r>
    </w:p>
    <w:p w14:paraId="7FDFB9D1" w14:textId="77777777" w:rsidR="002709ED" w:rsidRDefault="00B2757B">
      <w:pPr>
        <w:spacing w:before="120" w:after="120" w:line="360" w:lineRule="auto"/>
        <w:ind w:left="850" w:hanging="850"/>
        <w:rPr>
          <w:szCs w:val="24"/>
          <w:lang w:eastAsia="en-US"/>
        </w:rPr>
      </w:pPr>
      <w:r>
        <w:rPr>
          <w:szCs w:val="24"/>
          <w:lang w:eastAsia="en-US"/>
        </w:rPr>
        <w:t>3.</w:t>
      </w:r>
      <w:r>
        <w:rPr>
          <w:szCs w:val="24"/>
          <w:lang w:eastAsia="en-US"/>
        </w:rPr>
        <w:tab/>
        <w:t>V článku 3 sa vkladá tento odsek 4a:</w:t>
      </w:r>
    </w:p>
    <w:p w14:paraId="44E88A6D" w14:textId="77777777" w:rsidR="002709ED" w:rsidRDefault="00B2757B">
      <w:pPr>
        <w:spacing w:before="120" w:after="120" w:line="360" w:lineRule="auto"/>
        <w:ind w:left="1416" w:hanging="566"/>
        <w:rPr>
          <w:szCs w:val="24"/>
          <w:lang w:eastAsia="en-US"/>
        </w:rPr>
      </w:pPr>
      <w:r>
        <w:rPr>
          <w:szCs w:val="24"/>
          <w:lang w:eastAsia="en-US"/>
        </w:rPr>
        <w:t>„4a.</w:t>
      </w:r>
      <w:r>
        <w:rPr>
          <w:szCs w:val="24"/>
          <w:lang w:eastAsia="en-US"/>
        </w:rPr>
        <w:tab/>
        <w:t>Členské štáty v prípade výnimočných okolností prírodného pôvodu alebo vyššej moci, najmä extrémnych povodní a dlhotrvajúceho sucha, alebo závažných incidentov znečistenia, ktoré by mohli mať vplyv na vodné útvary nižšie po prúde nachádzajúce sa v iných členských štátoch, zabezpečia, aby príslušné orgány pre vodné útvary situované nižšie po prúde v takýchto členských štátoch, ako aj Komisia boli okamžite informované a aby sa nadviazala potrebná spolupráca na vyšetrenie príčin a riešenie dôsledkov výnimočných okolností alebo incidentov.;</w:t>
      </w:r>
    </w:p>
    <w:p w14:paraId="2813490C" w14:textId="77777777" w:rsidR="002709ED" w:rsidRDefault="00B2757B">
      <w:pPr>
        <w:widowControl/>
        <w:rPr>
          <w:b/>
          <w:i/>
          <w:szCs w:val="24"/>
          <w:lang w:eastAsia="en-US"/>
        </w:rPr>
      </w:pPr>
      <w:r>
        <w:rPr>
          <w:b/>
          <w:i/>
          <w:szCs w:val="24"/>
          <w:lang w:eastAsia="en-US"/>
        </w:rPr>
        <w:br w:type="page"/>
      </w:r>
    </w:p>
    <w:p w14:paraId="06E615D9" w14:textId="77777777" w:rsidR="002709ED" w:rsidRDefault="00B2757B">
      <w:pPr>
        <w:spacing w:before="120" w:after="120" w:line="360" w:lineRule="auto"/>
        <w:ind w:left="1416"/>
        <w:rPr>
          <w:szCs w:val="24"/>
          <w:lang w:eastAsia="en-US"/>
        </w:rPr>
      </w:pPr>
      <w:r>
        <w:rPr>
          <w:b/>
          <w:i/>
          <w:szCs w:val="24"/>
          <w:lang w:eastAsia="en-US"/>
        </w:rPr>
        <w:lastRenderedPageBreak/>
        <w:t>Členské štáty informujú ostatné členské štáty, ktoré by mohol príslušný incident znečistenia nepriaznivo ovplyvniť.</w:t>
      </w:r>
    </w:p>
    <w:p w14:paraId="43E0DA0F" w14:textId="77777777" w:rsidR="002709ED" w:rsidRDefault="00B2757B">
      <w:pPr>
        <w:spacing w:before="120" w:after="120" w:line="360" w:lineRule="auto"/>
        <w:ind w:left="1416"/>
        <w:rPr>
          <w:b/>
          <w:szCs w:val="24"/>
          <w:lang w:eastAsia="en-US"/>
        </w:rPr>
      </w:pPr>
      <w:r>
        <w:rPr>
          <w:b/>
          <w:i/>
          <w:szCs w:val="24"/>
          <w:lang w:eastAsia="en-US"/>
        </w:rPr>
        <w:t>Na ďalšie zlepšenie spolupráce a výmeny informácií v medzinárodných správnych územiach povodí sa pre všetky medzinárodné správne územia povodí zavedú opatrenia na núdzovú komunikáciu a reakciu.</w:t>
      </w:r>
      <w:r>
        <w:rPr>
          <w:szCs w:val="24"/>
          <w:lang w:eastAsia="en-US"/>
        </w:rPr>
        <w:t>“</w:t>
      </w:r>
      <w:r>
        <w:rPr>
          <w:b/>
          <w:szCs w:val="24"/>
          <w:lang w:eastAsia="en-US"/>
        </w:rPr>
        <w:t xml:space="preserve"> [PN 61]</w:t>
      </w:r>
    </w:p>
    <w:p w14:paraId="241A3C14" w14:textId="77777777" w:rsidR="002709ED" w:rsidRDefault="00B2757B">
      <w:pPr>
        <w:spacing w:before="120" w:after="120" w:line="360" w:lineRule="auto"/>
        <w:ind w:left="850" w:hanging="850"/>
        <w:rPr>
          <w:szCs w:val="24"/>
          <w:lang w:eastAsia="en-US"/>
        </w:rPr>
      </w:pPr>
      <w:r>
        <w:rPr>
          <w:szCs w:val="24"/>
          <w:lang w:eastAsia="en-US"/>
        </w:rPr>
        <w:t>4.</w:t>
      </w:r>
      <w:r>
        <w:rPr>
          <w:szCs w:val="24"/>
          <w:lang w:eastAsia="en-US"/>
        </w:rPr>
        <w:tab/>
        <w:t>Článok 4 ods. 1 sa mení takto:</w:t>
      </w:r>
    </w:p>
    <w:p w14:paraId="1D7FA1CF" w14:textId="77777777" w:rsidR="002709ED" w:rsidRDefault="00B2757B">
      <w:pPr>
        <w:spacing w:before="120" w:after="120" w:line="360" w:lineRule="auto"/>
        <w:ind w:left="1416" w:hanging="566"/>
        <w:rPr>
          <w:szCs w:val="24"/>
          <w:lang w:eastAsia="en-US"/>
        </w:rPr>
      </w:pPr>
      <w:r>
        <w:rPr>
          <w:szCs w:val="24"/>
          <w:lang w:eastAsia="en-US"/>
        </w:rPr>
        <w:t>a)</w:t>
      </w:r>
      <w:r>
        <w:rPr>
          <w:szCs w:val="24"/>
          <w:lang w:eastAsia="en-US"/>
        </w:rPr>
        <w:tab/>
      </w:r>
      <w:r w:rsidR="0000288C">
        <w:rPr>
          <w:szCs w:val="24"/>
          <w:lang w:eastAsia="en-US"/>
        </w:rPr>
        <w:t>v</w:t>
      </w:r>
      <w:r>
        <w:rPr>
          <w:szCs w:val="24"/>
          <w:lang w:eastAsia="en-US"/>
        </w:rPr>
        <w:t xml:space="preserve"> písmene a) sa bod iv) nahrádza takto:</w:t>
      </w:r>
    </w:p>
    <w:p w14:paraId="446F542C" w14:textId="77777777" w:rsidR="002709ED" w:rsidRDefault="00B2757B">
      <w:pPr>
        <w:spacing w:before="120" w:after="120" w:line="360" w:lineRule="auto"/>
        <w:ind w:left="1982" w:hanging="566"/>
        <w:rPr>
          <w:b/>
          <w:szCs w:val="24"/>
          <w:lang w:eastAsia="en-US"/>
        </w:rPr>
      </w:pPr>
      <w:r>
        <w:rPr>
          <w:szCs w:val="24"/>
          <w:lang w:eastAsia="en-US"/>
        </w:rPr>
        <w:t>„iv)</w:t>
      </w:r>
      <w:r>
        <w:rPr>
          <w:szCs w:val="24"/>
          <w:lang w:eastAsia="en-US"/>
        </w:rPr>
        <w:tab/>
        <w:t xml:space="preserve">členské štáty zavedú potrebné opatrenia na postupné znižovanie znečistenia spôsobeného </w:t>
      </w:r>
      <w:r>
        <w:rPr>
          <w:strike/>
          <w:szCs w:val="24"/>
          <w:lang w:eastAsia="en-US"/>
        </w:rPr>
        <w:t xml:space="preserve">prioritnými látkami a znečisťujúcimi látkami špecifickými </w:t>
      </w:r>
      <w:r>
        <w:rPr>
          <w:b/>
          <w:i/>
          <w:szCs w:val="24"/>
          <w:lang w:eastAsia="en-US"/>
        </w:rPr>
        <w:t xml:space="preserve">vypúšťaním, emisiami a únikmi prioritných látok a znečisťujúcich látok špecifických </w:t>
      </w:r>
      <w:r>
        <w:rPr>
          <w:szCs w:val="24"/>
          <w:lang w:eastAsia="en-US"/>
        </w:rPr>
        <w:t>pre povodie a na zastavenie alebo postupné ukončenie emisií, vypúšťania a únikov prioritných rizikových látok</w:t>
      </w:r>
      <w:r>
        <w:rPr>
          <w:b/>
          <w:i/>
          <w:szCs w:val="24"/>
          <w:lang w:eastAsia="en-US"/>
        </w:rPr>
        <w:t xml:space="preserve"> v primeranom harmonograme a v každom prípade najneskôr do 20 rokov od zaradenia prioritnej látky do zoznamu nebezpečných látok v časti A prílohy I k smernici 2008/105/ES</w:t>
      </w:r>
      <w:r>
        <w:rPr>
          <w:szCs w:val="24"/>
          <w:lang w:eastAsia="en-US"/>
        </w:rPr>
        <w:t>.</w:t>
      </w:r>
      <w:r>
        <w:rPr>
          <w:b/>
          <w:i/>
          <w:szCs w:val="24"/>
          <w:lang w:eastAsia="en-US"/>
        </w:rPr>
        <w:t xml:space="preserve"> Uvedený harmonogram sa uplatňuje bez toho, aby bolo dotknuté uplatňovanie prísnejších lehôt v akýchkoľvek iných uplatniteľných právnych predpisoch Únie</w:t>
      </w:r>
      <w:r>
        <w:rPr>
          <w:szCs w:val="24"/>
          <w:lang w:eastAsia="en-US"/>
        </w:rPr>
        <w:t>;“</w:t>
      </w:r>
      <w:r>
        <w:rPr>
          <w:b/>
          <w:szCs w:val="24"/>
          <w:lang w:eastAsia="en-US"/>
        </w:rPr>
        <w:t xml:space="preserve"> [PN 62]</w:t>
      </w:r>
    </w:p>
    <w:p w14:paraId="7DFCEAE1" w14:textId="77777777" w:rsidR="002709ED" w:rsidRDefault="00B2757B">
      <w:pPr>
        <w:widowControl/>
        <w:rPr>
          <w:szCs w:val="24"/>
          <w:lang w:eastAsia="en-US"/>
        </w:rPr>
      </w:pPr>
      <w:r>
        <w:rPr>
          <w:szCs w:val="24"/>
          <w:lang w:eastAsia="en-US"/>
        </w:rPr>
        <w:br w:type="page"/>
      </w:r>
    </w:p>
    <w:p w14:paraId="6ACBC434" w14:textId="77777777" w:rsidR="002709ED" w:rsidRDefault="00B2757B">
      <w:pPr>
        <w:spacing w:before="120" w:after="120" w:line="360" w:lineRule="auto"/>
        <w:ind w:left="1416" w:hanging="566"/>
        <w:rPr>
          <w:szCs w:val="24"/>
          <w:lang w:eastAsia="en-US"/>
        </w:rPr>
      </w:pPr>
      <w:r>
        <w:rPr>
          <w:szCs w:val="24"/>
          <w:lang w:eastAsia="en-US"/>
        </w:rPr>
        <w:lastRenderedPageBreak/>
        <w:t>b)</w:t>
      </w:r>
      <w:r>
        <w:rPr>
          <w:szCs w:val="24"/>
          <w:lang w:eastAsia="en-US"/>
        </w:rPr>
        <w:tab/>
      </w:r>
      <w:r w:rsidR="0000288C">
        <w:rPr>
          <w:szCs w:val="24"/>
          <w:lang w:eastAsia="en-US"/>
        </w:rPr>
        <w:t>v</w:t>
      </w:r>
      <w:r>
        <w:rPr>
          <w:szCs w:val="24"/>
          <w:lang w:eastAsia="en-US"/>
        </w:rPr>
        <w:t xml:space="preserve"> písmene b) bode iii) sa druhý pododsek nahrádza takto:</w:t>
      </w:r>
    </w:p>
    <w:p w14:paraId="2632F282" w14:textId="77777777" w:rsidR="002709ED" w:rsidRDefault="00B2757B">
      <w:pPr>
        <w:spacing w:before="120" w:after="120" w:line="360" w:lineRule="auto"/>
        <w:ind w:left="1416"/>
        <w:rPr>
          <w:szCs w:val="24"/>
          <w:lang w:eastAsia="en-US"/>
        </w:rPr>
      </w:pPr>
      <w:r>
        <w:rPr>
          <w:szCs w:val="24"/>
          <w:lang w:eastAsia="en-US"/>
        </w:rPr>
        <w:t>„Opatrenia na dosiahnutie zvrátenia takéhoto trendu sa vykonávajú v súlade s článkom 5 smernice 2006/118/ES a prílohou IV k uvedenej smernici s výhradou uplatnenia odsekov 6 a 7 tohto článku a bez toho, aby bol dotknutý odsek 8 tohto článku.;“</w:t>
      </w:r>
    </w:p>
    <w:p w14:paraId="0B8E2332" w14:textId="77777777" w:rsidR="002709ED" w:rsidRDefault="00B2757B">
      <w:pPr>
        <w:spacing w:before="120" w:after="120" w:line="360" w:lineRule="auto"/>
        <w:ind w:left="1416" w:hanging="566"/>
        <w:rPr>
          <w:szCs w:val="24"/>
          <w:lang w:eastAsia="en-US"/>
        </w:rPr>
      </w:pPr>
      <w:r>
        <w:rPr>
          <w:b/>
          <w:i/>
          <w:szCs w:val="24"/>
          <w:lang w:eastAsia="en-US"/>
        </w:rPr>
        <w:t>ba)</w:t>
      </w:r>
      <w:r>
        <w:rPr>
          <w:szCs w:val="24"/>
          <w:lang w:eastAsia="en-US"/>
        </w:rPr>
        <w:tab/>
      </w:r>
      <w:r>
        <w:rPr>
          <w:b/>
          <w:i/>
          <w:szCs w:val="24"/>
          <w:lang w:eastAsia="en-US"/>
        </w:rPr>
        <w:t>v písmene c) sa dopĺňa nový pododsek 1a, ktorý znie:</w:t>
      </w:r>
    </w:p>
    <w:p w14:paraId="66E8F0F4" w14:textId="77777777" w:rsidR="002709ED" w:rsidRDefault="00B2757B">
      <w:pPr>
        <w:spacing w:before="120" w:after="120" w:line="360" w:lineRule="auto"/>
        <w:ind w:left="1416"/>
        <w:rPr>
          <w:b/>
          <w:szCs w:val="24"/>
          <w:lang w:eastAsia="en-US"/>
        </w:rPr>
      </w:pPr>
      <w:r>
        <w:rPr>
          <w:szCs w:val="24"/>
          <w:lang w:eastAsia="en-US"/>
        </w:rPr>
        <w:t>„</w:t>
      </w:r>
      <w:r>
        <w:rPr>
          <w:b/>
          <w:i/>
          <w:szCs w:val="24"/>
          <w:lang w:eastAsia="en-US"/>
        </w:rPr>
        <w:t>Členské štáty stanovia prísnejšie normy alebo prahové hodnoty, ak je to potrebné na primeranú ochranu oblastí uvedených v prílohe IV k tejto smernici vrátane osobitných oblastí ochrany podľa smernice Rady 92/43/EHS. Programy a opatrenia, ktoré sa vyžadujú v súvislosti s k takouto prahovou hodnotou, sa uplatnia aj na činnosti v rozsahu pôsobnosti smernice 91/676/EHS.</w:t>
      </w:r>
      <w:r>
        <w:rPr>
          <w:szCs w:val="24"/>
          <w:lang w:eastAsia="en-US"/>
        </w:rPr>
        <w:t>“</w:t>
      </w:r>
      <w:r>
        <w:rPr>
          <w:b/>
          <w:szCs w:val="24"/>
          <w:lang w:eastAsia="en-US"/>
        </w:rPr>
        <w:t xml:space="preserve"> [PN 63]</w:t>
      </w:r>
    </w:p>
    <w:p w14:paraId="1170BEE6" w14:textId="77777777" w:rsidR="002709ED" w:rsidRDefault="00B2757B">
      <w:pPr>
        <w:widowControl/>
        <w:rPr>
          <w:szCs w:val="24"/>
          <w:lang w:eastAsia="en-US"/>
        </w:rPr>
      </w:pPr>
      <w:r>
        <w:rPr>
          <w:szCs w:val="24"/>
          <w:lang w:eastAsia="en-US"/>
        </w:rPr>
        <w:br w:type="page"/>
      </w:r>
    </w:p>
    <w:p w14:paraId="2D583381" w14:textId="77777777" w:rsidR="002709ED" w:rsidRDefault="00B2757B">
      <w:pPr>
        <w:spacing w:before="120" w:after="120" w:line="360" w:lineRule="auto"/>
        <w:ind w:left="850" w:hanging="850"/>
        <w:rPr>
          <w:szCs w:val="24"/>
          <w:lang w:eastAsia="en-US"/>
        </w:rPr>
      </w:pPr>
      <w:r>
        <w:rPr>
          <w:szCs w:val="24"/>
          <w:lang w:eastAsia="en-US"/>
        </w:rPr>
        <w:lastRenderedPageBreak/>
        <w:t>5.</w:t>
      </w:r>
      <w:r>
        <w:rPr>
          <w:szCs w:val="24"/>
          <w:lang w:eastAsia="en-US"/>
        </w:rPr>
        <w:tab/>
        <w:t>V článku 7 sa odsek 2 nahrádza takto:</w:t>
      </w:r>
    </w:p>
    <w:p w14:paraId="2BBCAD50" w14:textId="77777777" w:rsidR="002709ED" w:rsidRDefault="00B2757B">
      <w:pPr>
        <w:spacing w:before="120" w:after="120" w:line="360" w:lineRule="auto"/>
        <w:ind w:left="1416" w:hanging="566"/>
        <w:rPr>
          <w:szCs w:val="24"/>
          <w:lang w:eastAsia="en-US"/>
        </w:rPr>
      </w:pPr>
      <w:r>
        <w:rPr>
          <w:szCs w:val="24"/>
          <w:lang w:eastAsia="en-US"/>
        </w:rPr>
        <w:t>„2.</w:t>
      </w:r>
      <w:r>
        <w:rPr>
          <w:szCs w:val="24"/>
          <w:lang w:eastAsia="en-US"/>
        </w:rPr>
        <w:tab/>
        <w:t>Členské štáty pre každý vodný útvar identifikovaný podľa odseku 1 zabezpečia, aby nielen spĺňal ciele podľa článku 4 v súlade s požiadavkami tejto smernice pre povrchové vody vrátane noriem kvality stanovených na úrovni Únie, ale aby v rámci použitého spôsobu úpravy vody a v súlade s právnymi predpismi Únie výsledná kvalita upravenej vody spĺňala aj požiadavky smernice Európskeho parlamentu a Rady (EÚ) 2020/2184*.</w:t>
      </w:r>
    </w:p>
    <w:p w14:paraId="00519A8D" w14:textId="77777777" w:rsidR="002709ED" w:rsidRDefault="00B2757B">
      <w:pPr>
        <w:spacing w:before="120" w:after="120" w:line="360" w:lineRule="auto"/>
        <w:ind w:left="1985" w:hanging="569"/>
        <w:rPr>
          <w:szCs w:val="24"/>
          <w:lang w:eastAsia="en-US"/>
        </w:rPr>
      </w:pPr>
      <w:r>
        <w:rPr>
          <w:szCs w:val="24"/>
          <w:lang w:eastAsia="en-US"/>
        </w:rPr>
        <w:t xml:space="preserve">* </w:t>
      </w:r>
      <w:r>
        <w:rPr>
          <w:szCs w:val="24"/>
          <w:lang w:eastAsia="en-US"/>
        </w:rPr>
        <w:tab/>
        <w:t>Smernica Európskeho parlamentu a Rady (EÚ) 2020/2184 zo 16. decembra 2020 o kvalite vody určenej na ľudskú spotrebu (Ú. v. EÚ L 435, 23.12.2020, s. 1).;“</w:t>
      </w:r>
    </w:p>
    <w:p w14:paraId="55A2C772" w14:textId="77777777" w:rsidR="002709ED" w:rsidRDefault="00B2757B">
      <w:pPr>
        <w:widowControl/>
        <w:rPr>
          <w:szCs w:val="24"/>
          <w:lang w:eastAsia="en-US"/>
        </w:rPr>
      </w:pPr>
      <w:r>
        <w:rPr>
          <w:szCs w:val="24"/>
          <w:lang w:eastAsia="en-US"/>
        </w:rPr>
        <w:br w:type="page"/>
      </w:r>
    </w:p>
    <w:p w14:paraId="60CA5168" w14:textId="77777777" w:rsidR="002709ED" w:rsidRDefault="00B2757B">
      <w:pPr>
        <w:spacing w:before="120" w:after="120" w:line="360" w:lineRule="auto"/>
        <w:ind w:left="850" w:hanging="850"/>
        <w:rPr>
          <w:szCs w:val="24"/>
          <w:lang w:eastAsia="en-US"/>
        </w:rPr>
      </w:pPr>
      <w:r>
        <w:rPr>
          <w:szCs w:val="24"/>
          <w:lang w:eastAsia="en-US"/>
        </w:rPr>
        <w:lastRenderedPageBreak/>
        <w:t>6.</w:t>
      </w:r>
      <w:r>
        <w:rPr>
          <w:szCs w:val="24"/>
          <w:lang w:eastAsia="en-US"/>
        </w:rPr>
        <w:tab/>
        <w:t>Článok 8 sa mení takto:</w:t>
      </w:r>
    </w:p>
    <w:p w14:paraId="4CA1E7B6" w14:textId="77777777" w:rsidR="002709ED" w:rsidRDefault="00B2757B">
      <w:pPr>
        <w:spacing w:before="120" w:after="120" w:line="360" w:lineRule="auto"/>
        <w:ind w:left="1416" w:hanging="566"/>
        <w:rPr>
          <w:szCs w:val="24"/>
          <w:lang w:eastAsia="en-US"/>
        </w:rPr>
      </w:pPr>
      <w:r>
        <w:rPr>
          <w:szCs w:val="24"/>
          <w:lang w:eastAsia="en-US"/>
        </w:rPr>
        <w:t>a)</w:t>
      </w:r>
      <w:r>
        <w:rPr>
          <w:szCs w:val="24"/>
          <w:lang w:eastAsia="en-US"/>
        </w:rPr>
        <w:tab/>
      </w:r>
      <w:r w:rsidR="00DB6E14">
        <w:rPr>
          <w:szCs w:val="24"/>
          <w:lang w:eastAsia="en-US"/>
        </w:rPr>
        <w:t>o</w:t>
      </w:r>
      <w:r>
        <w:rPr>
          <w:szCs w:val="24"/>
          <w:lang w:eastAsia="en-US"/>
        </w:rPr>
        <w:t>dsek 3 sa nahrádza takto:</w:t>
      </w:r>
    </w:p>
    <w:p w14:paraId="7A42FE4A" w14:textId="77777777" w:rsidR="002709ED" w:rsidRDefault="00B2757B">
      <w:pPr>
        <w:spacing w:before="120" w:after="120" w:line="360" w:lineRule="auto"/>
        <w:ind w:left="1982" w:hanging="566"/>
        <w:rPr>
          <w:b/>
          <w:szCs w:val="24"/>
          <w:lang w:eastAsia="en-US"/>
        </w:rPr>
      </w:pPr>
      <w:r>
        <w:rPr>
          <w:szCs w:val="24"/>
          <w:lang w:eastAsia="en-US"/>
        </w:rPr>
        <w:t>„3.</w:t>
      </w:r>
      <w:r>
        <w:rPr>
          <w:szCs w:val="24"/>
          <w:lang w:eastAsia="en-US"/>
        </w:rPr>
        <w:tab/>
      </w:r>
      <w:r>
        <w:rPr>
          <w:b/>
          <w:i/>
          <w:szCs w:val="24"/>
          <w:lang w:eastAsia="en-US"/>
        </w:rPr>
        <w:t xml:space="preserve">Komisia je splnomocnená prijímať delegované akty v súlade s článkom 20a, ktorými sa doplní táto smernica stanovením technických špecifikácií a štandardizovaných metód analýzy a monitorovania stavu vôd uvedených v prílohe V. </w:t>
      </w:r>
      <w:r>
        <w:rPr>
          <w:szCs w:val="24"/>
          <w:lang w:eastAsia="en-US"/>
        </w:rPr>
        <w:t xml:space="preserve">Komisia je splnomocnená prijímať vykonávacie akty </w:t>
      </w:r>
      <w:r>
        <w:rPr>
          <w:strike/>
          <w:szCs w:val="24"/>
          <w:lang w:eastAsia="en-US"/>
        </w:rPr>
        <w:t>s cieľom stanoviť technické špecifikácie a štandardizované metódy analýzy a monitorovania stavu vôd v súlade s prílohou V a určiť formáty</w:t>
      </w:r>
      <w:r>
        <w:rPr>
          <w:b/>
          <w:i/>
          <w:szCs w:val="24"/>
          <w:lang w:eastAsia="en-US"/>
        </w:rPr>
        <w:t>na stanovenie formátov na</w:t>
      </w:r>
      <w:r>
        <w:rPr>
          <w:szCs w:val="24"/>
          <w:lang w:eastAsia="en-US"/>
        </w:rPr>
        <w:t xml:space="preserve"> nahlasovania údajov z monitorovania a údajov o stave vôd v súlade s odsekom 4. Uvedené vykonávacie akty sa prijmú v súlade s postupom preskúmania uvedeným v článku 21 ods. 2.</w:t>
      </w:r>
      <w:r>
        <w:rPr>
          <w:strike/>
          <w:szCs w:val="24"/>
          <w:lang w:eastAsia="en-US"/>
        </w:rPr>
        <w:t>;</w:t>
      </w:r>
      <w:r>
        <w:rPr>
          <w:szCs w:val="24"/>
          <w:lang w:eastAsia="en-US"/>
        </w:rPr>
        <w:t>“</w:t>
      </w:r>
      <w:r>
        <w:rPr>
          <w:b/>
          <w:szCs w:val="24"/>
          <w:lang w:eastAsia="en-US"/>
        </w:rPr>
        <w:t xml:space="preserve"> [PN 64]</w:t>
      </w:r>
    </w:p>
    <w:p w14:paraId="77226087" w14:textId="77777777" w:rsidR="002709ED" w:rsidRDefault="00B2757B">
      <w:pPr>
        <w:widowControl/>
        <w:rPr>
          <w:b/>
          <w:i/>
          <w:szCs w:val="24"/>
          <w:lang w:eastAsia="en-US"/>
        </w:rPr>
      </w:pPr>
      <w:r>
        <w:rPr>
          <w:b/>
          <w:i/>
          <w:szCs w:val="24"/>
          <w:lang w:eastAsia="en-US"/>
        </w:rPr>
        <w:br w:type="page"/>
      </w:r>
    </w:p>
    <w:p w14:paraId="7CDE20C9" w14:textId="77777777" w:rsidR="002709ED" w:rsidRDefault="00B2757B">
      <w:pPr>
        <w:spacing w:before="120" w:after="120" w:line="360" w:lineRule="auto"/>
        <w:ind w:left="1416" w:hanging="566"/>
        <w:rPr>
          <w:szCs w:val="24"/>
          <w:lang w:eastAsia="en-US"/>
        </w:rPr>
      </w:pPr>
      <w:r>
        <w:rPr>
          <w:b/>
          <w:i/>
          <w:szCs w:val="24"/>
          <w:lang w:eastAsia="en-US"/>
        </w:rPr>
        <w:lastRenderedPageBreak/>
        <w:t>aa)</w:t>
      </w:r>
      <w:r>
        <w:rPr>
          <w:szCs w:val="24"/>
          <w:lang w:eastAsia="en-US"/>
        </w:rPr>
        <w:tab/>
      </w:r>
      <w:r w:rsidR="00DB6E14">
        <w:rPr>
          <w:b/>
          <w:i/>
          <w:szCs w:val="24"/>
          <w:lang w:eastAsia="en-US"/>
        </w:rPr>
        <w:t>d</w:t>
      </w:r>
      <w:r>
        <w:rPr>
          <w:b/>
          <w:i/>
          <w:szCs w:val="24"/>
          <w:lang w:eastAsia="en-US"/>
        </w:rPr>
        <w:t>opĺňa sa tento odsek:</w:t>
      </w:r>
    </w:p>
    <w:p w14:paraId="709CC810" w14:textId="77777777" w:rsidR="002709ED" w:rsidRDefault="00B2757B">
      <w:pPr>
        <w:spacing w:before="120" w:after="120" w:line="360" w:lineRule="auto"/>
        <w:ind w:left="1982" w:hanging="566"/>
        <w:rPr>
          <w:szCs w:val="24"/>
          <w:lang w:eastAsia="en-US"/>
        </w:rPr>
      </w:pPr>
      <w:r>
        <w:rPr>
          <w:szCs w:val="24"/>
          <w:lang w:eastAsia="en-US"/>
        </w:rPr>
        <w:t>„</w:t>
      </w:r>
      <w:r>
        <w:rPr>
          <w:b/>
          <w:i/>
          <w:szCs w:val="24"/>
          <w:lang w:eastAsia="en-US"/>
        </w:rPr>
        <w:t>3a.</w:t>
      </w:r>
      <w:r>
        <w:rPr>
          <w:szCs w:val="24"/>
          <w:lang w:eastAsia="en-US"/>
        </w:rPr>
        <w:tab/>
      </w:r>
      <w:r>
        <w:rPr>
          <w:b/>
          <w:i/>
          <w:szCs w:val="24"/>
          <w:lang w:eastAsia="en-US"/>
        </w:rPr>
        <w:t xml:space="preserve">Do [dvoch rokov </w:t>
      </w:r>
      <w:r w:rsidR="00DB6E14">
        <w:rPr>
          <w:b/>
          <w:i/>
          <w:szCs w:val="24"/>
          <w:lang w:eastAsia="en-US"/>
        </w:rPr>
        <w:t xml:space="preserve">po </w:t>
      </w:r>
      <w:r>
        <w:rPr>
          <w:b/>
          <w:i/>
          <w:szCs w:val="24"/>
          <w:lang w:eastAsia="en-US"/>
        </w:rPr>
        <w:t>nadobudnut</w:t>
      </w:r>
      <w:r w:rsidR="00DB6E14">
        <w:rPr>
          <w:b/>
          <w:i/>
          <w:szCs w:val="24"/>
          <w:lang w:eastAsia="en-US"/>
        </w:rPr>
        <w:t>í</w:t>
      </w:r>
      <w:r>
        <w:rPr>
          <w:b/>
          <w:i/>
          <w:szCs w:val="24"/>
          <w:lang w:eastAsia="en-US"/>
        </w:rPr>
        <w:t xml:space="preserve"> účinnosti tejto smernice] Komisia zverejní komplexné hodnotenie o možnom uplatňovaní systémov nepretržitého a presného monitorovania znečistenia v reálnom čase (online) meraním kvality vody vrátane aspektov ekonomickej a technickej uskutočniteľnosti takýchto systémov relevantných pre členské štáty, ako aj používania harmonizovaných noriem.</w:t>
      </w:r>
    </w:p>
    <w:p w14:paraId="49B3F031" w14:textId="77777777" w:rsidR="002709ED" w:rsidRDefault="00B2757B">
      <w:pPr>
        <w:spacing w:before="120" w:after="120" w:line="360" w:lineRule="auto"/>
        <w:ind w:left="1982"/>
        <w:rPr>
          <w:b/>
          <w:szCs w:val="24"/>
          <w:lang w:eastAsia="en-US"/>
        </w:rPr>
      </w:pPr>
      <w:r>
        <w:rPr>
          <w:b/>
          <w:i/>
          <w:szCs w:val="24"/>
          <w:lang w:eastAsia="en-US"/>
        </w:rPr>
        <w:t>Komisia v prípade potreby prijme vykonávací akt v súlade s postupom preskúmania uvedeným v článku 21 ods. 2 s cieľom stanoviť harmonizované normy pre online monitorovanie vody.“</w:t>
      </w:r>
      <w:r>
        <w:rPr>
          <w:b/>
          <w:szCs w:val="24"/>
          <w:lang w:eastAsia="en-US"/>
        </w:rPr>
        <w:t xml:space="preserve"> [PN 65]</w:t>
      </w:r>
    </w:p>
    <w:p w14:paraId="171274AD" w14:textId="77777777" w:rsidR="002709ED" w:rsidRDefault="00B2757B">
      <w:pPr>
        <w:widowControl/>
        <w:rPr>
          <w:szCs w:val="24"/>
          <w:lang w:eastAsia="en-US"/>
        </w:rPr>
      </w:pPr>
      <w:r>
        <w:rPr>
          <w:szCs w:val="24"/>
          <w:lang w:eastAsia="en-US"/>
        </w:rPr>
        <w:br w:type="page"/>
      </w:r>
    </w:p>
    <w:p w14:paraId="3A12C167" w14:textId="77777777" w:rsidR="002709ED" w:rsidRDefault="00B2757B">
      <w:pPr>
        <w:spacing w:before="120" w:after="120" w:line="360" w:lineRule="auto"/>
        <w:ind w:left="1416" w:hanging="566"/>
        <w:rPr>
          <w:szCs w:val="24"/>
          <w:lang w:eastAsia="en-US"/>
        </w:rPr>
      </w:pPr>
      <w:r>
        <w:rPr>
          <w:szCs w:val="24"/>
          <w:lang w:eastAsia="en-US"/>
        </w:rPr>
        <w:lastRenderedPageBreak/>
        <w:t>b)</w:t>
      </w:r>
      <w:r>
        <w:rPr>
          <w:szCs w:val="24"/>
          <w:lang w:eastAsia="en-US"/>
        </w:rPr>
        <w:tab/>
        <w:t>Dopĺňajú sa tieto odseky 4 a 5:</w:t>
      </w:r>
    </w:p>
    <w:p w14:paraId="7C925ADD" w14:textId="77777777" w:rsidR="002709ED" w:rsidRDefault="00B2757B">
      <w:pPr>
        <w:spacing w:before="120" w:after="120" w:line="360" w:lineRule="auto"/>
        <w:ind w:left="1982" w:hanging="566"/>
        <w:rPr>
          <w:b/>
          <w:szCs w:val="24"/>
          <w:lang w:eastAsia="en-US"/>
        </w:rPr>
      </w:pPr>
      <w:r>
        <w:rPr>
          <w:szCs w:val="24"/>
          <w:lang w:eastAsia="en-US"/>
        </w:rPr>
        <w:t>„4.</w:t>
      </w:r>
      <w:r>
        <w:rPr>
          <w:szCs w:val="24"/>
          <w:lang w:eastAsia="en-US"/>
        </w:rPr>
        <w:tab/>
        <w:t xml:space="preserve">Členské štáty zabezpečia, aby sa dostupné individuálne údaje z monitorovania zozbierané v súlade s bodom 1.3.4 </w:t>
      </w:r>
      <w:r>
        <w:rPr>
          <w:b/>
          <w:i/>
          <w:szCs w:val="24"/>
          <w:lang w:eastAsia="en-US"/>
        </w:rPr>
        <w:t xml:space="preserve">a bodom 2.4.3 </w:t>
      </w:r>
      <w:r>
        <w:rPr>
          <w:szCs w:val="24"/>
          <w:lang w:eastAsia="en-US"/>
        </w:rPr>
        <w:t xml:space="preserve">prílohy V a výsledný stav vôd v súlade s prílohou V sprístupňovali </w:t>
      </w:r>
      <w:r>
        <w:rPr>
          <w:strike/>
          <w:szCs w:val="24"/>
          <w:lang w:eastAsia="en-US"/>
        </w:rPr>
        <w:t xml:space="preserve">verejnosti a </w:t>
      </w:r>
      <w:r>
        <w:rPr>
          <w:szCs w:val="24"/>
          <w:lang w:eastAsia="en-US"/>
        </w:rPr>
        <w:t>Európskej environmentálnej agentúre (EEA)</w:t>
      </w:r>
      <w:r>
        <w:rPr>
          <w:b/>
          <w:i/>
          <w:szCs w:val="24"/>
          <w:lang w:eastAsia="en-US"/>
        </w:rPr>
        <w:t xml:space="preserve"> a bez zbytočného odkladu a ľahko dostupným spôsobom aj</w:t>
      </w:r>
      <w:r>
        <w:rPr>
          <w:szCs w:val="24"/>
          <w:lang w:eastAsia="en-US"/>
        </w:rPr>
        <w:t xml:space="preserve"> aspoň raz ročne elektronicky v strojovo čitateľnom formáte v súlade so smernicou Európskeho parlamentu a Rady 2003/4/ES*, smernicou Európskeho parlamentu a Rady 2007/2/ES** a smernicou Európskeho parlamentu a Rady (EÚ) 2019/1024***. Na tieto účely členské štáty použijú formáty stanovené v súlade s odsekom 3 tohto článku.</w:t>
      </w:r>
      <w:r>
        <w:rPr>
          <w:b/>
          <w:szCs w:val="24"/>
          <w:lang w:eastAsia="en-US"/>
        </w:rPr>
        <w:t xml:space="preserve"> [PN 66]</w:t>
      </w:r>
    </w:p>
    <w:p w14:paraId="15B4D74F" w14:textId="77777777" w:rsidR="002709ED" w:rsidRDefault="00B2757B">
      <w:pPr>
        <w:widowControl/>
        <w:rPr>
          <w:szCs w:val="24"/>
          <w:lang w:eastAsia="en-US"/>
        </w:rPr>
      </w:pPr>
      <w:r>
        <w:rPr>
          <w:szCs w:val="24"/>
          <w:lang w:eastAsia="en-US"/>
        </w:rPr>
        <w:br w:type="page"/>
      </w:r>
    </w:p>
    <w:p w14:paraId="55B4B176" w14:textId="77777777" w:rsidR="002709ED" w:rsidRDefault="00B2757B">
      <w:pPr>
        <w:spacing w:before="120" w:after="120" w:line="360" w:lineRule="auto"/>
        <w:ind w:left="1982" w:hanging="566"/>
        <w:rPr>
          <w:szCs w:val="24"/>
          <w:lang w:eastAsia="en-US"/>
        </w:rPr>
      </w:pPr>
      <w:r>
        <w:rPr>
          <w:szCs w:val="24"/>
          <w:lang w:eastAsia="en-US"/>
        </w:rPr>
        <w:lastRenderedPageBreak/>
        <w:t>5.</w:t>
      </w:r>
      <w:r>
        <w:rPr>
          <w:szCs w:val="24"/>
          <w:lang w:eastAsia="en-US"/>
        </w:rPr>
        <w:tab/>
        <w:t>Agentúra EEA zabezpečí, aby sa informácie sprístupnené v súlade s odsekom 4 pravidelne spracúvali a analyzovali na účely ich sprístupnenia na príslušných portáloch Únie, na opakované použitie Komisiou a príslušnými agentúrami Únie a na účely poskytovania aktuálnych, objektívnych, spoľahlivých a porovnateľných informácií Komisii, členským štátom a verejnosti, najmä o stave vôd, v súlade s nariadením Európskeho parlamentu a Rady (ES) č. 401/2009****.</w:t>
      </w:r>
    </w:p>
    <w:p w14:paraId="1008EBD0" w14:textId="77777777" w:rsidR="002709ED" w:rsidRDefault="00B2757B">
      <w:pPr>
        <w:spacing w:before="120" w:after="120" w:line="360" w:lineRule="auto"/>
        <w:ind w:left="2552" w:hanging="567"/>
        <w:rPr>
          <w:szCs w:val="24"/>
          <w:lang w:eastAsia="en-US"/>
        </w:rPr>
      </w:pPr>
      <w:r>
        <w:rPr>
          <w:szCs w:val="24"/>
          <w:lang w:eastAsia="en-US"/>
        </w:rPr>
        <w:t xml:space="preserve">* </w:t>
      </w:r>
      <w:r>
        <w:rPr>
          <w:szCs w:val="24"/>
          <w:lang w:eastAsia="en-US"/>
        </w:rPr>
        <w:tab/>
        <w:t>Smernica Európskeho parlamentu a Rady 2003/4/ES z 28. januára 2003 o prístupe verejnosti k informáciám o životnom prostredí, ktorou sa zrušuje smernica Rady 90/313/EHS (Ú. v. EÚ L 41, 14.2.2003, s. 26).</w:t>
      </w:r>
    </w:p>
    <w:p w14:paraId="414B4C46" w14:textId="77777777" w:rsidR="002709ED" w:rsidRDefault="00B2757B">
      <w:pPr>
        <w:spacing w:before="120" w:after="120" w:line="360" w:lineRule="auto"/>
        <w:ind w:left="2552" w:hanging="567"/>
        <w:rPr>
          <w:szCs w:val="24"/>
          <w:lang w:eastAsia="en-US"/>
        </w:rPr>
      </w:pPr>
      <w:r>
        <w:rPr>
          <w:szCs w:val="24"/>
          <w:lang w:eastAsia="en-US"/>
        </w:rPr>
        <w:t xml:space="preserve">** </w:t>
      </w:r>
      <w:r>
        <w:rPr>
          <w:szCs w:val="24"/>
          <w:lang w:eastAsia="en-US"/>
        </w:rPr>
        <w:tab/>
        <w:t>Smernica Európskeho parlamentu a Rady 2007/2/ES zo 14. marca 2007, ktorou sa zriaďuje Infraštruktúra pre priestorové informácie v Európskom spoločenstve (INSPIRE) (Ú. v. EÚ L 108, 25.4.2007, s. 1).</w:t>
      </w:r>
    </w:p>
    <w:p w14:paraId="00B9FEBD" w14:textId="77777777" w:rsidR="002709ED" w:rsidRDefault="00B2757B">
      <w:pPr>
        <w:spacing w:before="120" w:after="120" w:line="360" w:lineRule="auto"/>
        <w:ind w:left="2552" w:hanging="567"/>
        <w:rPr>
          <w:szCs w:val="24"/>
          <w:lang w:eastAsia="en-US"/>
        </w:rPr>
      </w:pPr>
      <w:r>
        <w:rPr>
          <w:szCs w:val="24"/>
          <w:lang w:eastAsia="en-US"/>
        </w:rPr>
        <w:t xml:space="preserve">*** </w:t>
      </w:r>
      <w:r>
        <w:rPr>
          <w:szCs w:val="24"/>
          <w:lang w:eastAsia="en-US"/>
        </w:rPr>
        <w:tab/>
        <w:t>Smernica Európskeho parlamentu a Rady (EÚ) 2019/1024 z 20. júna 2019 o otvorených dátach a opakovanom použití informácií verejného sektora (Ú. v. EÚ L 172, 26.6.2019, s. 56).</w:t>
      </w:r>
    </w:p>
    <w:p w14:paraId="7A6E3BF3" w14:textId="77777777" w:rsidR="002709ED" w:rsidRDefault="00B2757B">
      <w:pPr>
        <w:spacing w:before="120" w:after="120" w:line="360" w:lineRule="auto"/>
        <w:ind w:left="2552" w:hanging="567"/>
        <w:rPr>
          <w:szCs w:val="24"/>
          <w:lang w:eastAsia="en-US"/>
        </w:rPr>
      </w:pPr>
      <w:r>
        <w:rPr>
          <w:szCs w:val="24"/>
          <w:lang w:eastAsia="en-US"/>
        </w:rPr>
        <w:t xml:space="preserve">**** </w:t>
      </w:r>
      <w:r>
        <w:rPr>
          <w:szCs w:val="24"/>
          <w:lang w:eastAsia="en-US"/>
        </w:rPr>
        <w:tab/>
        <w:t>Nariadenie Európskeho parlamentu a Rady (ES) č. 401/2009 z 23. apríla 2009 o Európskej environmentálnej agentúre a Európskej environmentálnej informačnej a monitorovacej sieti (Ú. v. EÚ L 126, 21.5.2009, s. 13).;“</w:t>
      </w:r>
    </w:p>
    <w:p w14:paraId="71FEC852" w14:textId="77777777" w:rsidR="002709ED" w:rsidRDefault="00B2757B">
      <w:pPr>
        <w:widowControl/>
        <w:rPr>
          <w:szCs w:val="24"/>
          <w:lang w:eastAsia="en-US"/>
        </w:rPr>
      </w:pPr>
      <w:r>
        <w:rPr>
          <w:szCs w:val="24"/>
          <w:lang w:eastAsia="en-US"/>
        </w:rPr>
        <w:br w:type="page"/>
      </w:r>
    </w:p>
    <w:p w14:paraId="5657DE82" w14:textId="77777777" w:rsidR="002709ED" w:rsidRDefault="00B2757B">
      <w:pPr>
        <w:spacing w:before="120" w:after="120" w:line="360" w:lineRule="auto"/>
        <w:ind w:left="850" w:hanging="850"/>
        <w:rPr>
          <w:szCs w:val="24"/>
          <w:lang w:eastAsia="en-US"/>
        </w:rPr>
      </w:pPr>
      <w:r>
        <w:rPr>
          <w:szCs w:val="24"/>
          <w:lang w:eastAsia="en-US"/>
        </w:rPr>
        <w:lastRenderedPageBreak/>
        <w:t>7.</w:t>
      </w:r>
      <w:r>
        <w:rPr>
          <w:szCs w:val="24"/>
          <w:lang w:eastAsia="en-US"/>
        </w:rPr>
        <w:tab/>
        <w:t>Článok 10 sa mení takto:</w:t>
      </w:r>
    </w:p>
    <w:p w14:paraId="040010A6" w14:textId="77777777" w:rsidR="002709ED" w:rsidRDefault="00B2757B">
      <w:pPr>
        <w:spacing w:before="120" w:after="120" w:line="360" w:lineRule="auto"/>
        <w:ind w:left="1416" w:hanging="566"/>
        <w:rPr>
          <w:szCs w:val="24"/>
          <w:lang w:eastAsia="en-US"/>
        </w:rPr>
      </w:pPr>
      <w:r>
        <w:rPr>
          <w:szCs w:val="24"/>
          <w:lang w:eastAsia="en-US"/>
        </w:rPr>
        <w:t>a)</w:t>
      </w:r>
      <w:r>
        <w:rPr>
          <w:szCs w:val="24"/>
          <w:lang w:eastAsia="en-US"/>
        </w:rPr>
        <w:tab/>
      </w:r>
      <w:r w:rsidR="00DB6E14">
        <w:rPr>
          <w:szCs w:val="24"/>
          <w:lang w:eastAsia="en-US"/>
        </w:rPr>
        <w:t>o</w:t>
      </w:r>
      <w:r>
        <w:rPr>
          <w:szCs w:val="24"/>
          <w:lang w:eastAsia="en-US"/>
        </w:rPr>
        <w:t>dsek 2 sa nahrádza takto:</w:t>
      </w:r>
    </w:p>
    <w:p w14:paraId="118B679B" w14:textId="77777777" w:rsidR="002709ED" w:rsidRDefault="00B2757B">
      <w:pPr>
        <w:spacing w:before="120" w:after="120" w:line="360" w:lineRule="auto"/>
        <w:ind w:left="1982" w:hanging="566"/>
        <w:rPr>
          <w:szCs w:val="24"/>
          <w:lang w:eastAsia="en-US"/>
        </w:rPr>
      </w:pPr>
      <w:r>
        <w:rPr>
          <w:szCs w:val="24"/>
          <w:lang w:eastAsia="en-US"/>
        </w:rPr>
        <w:t>„2.</w:t>
      </w:r>
      <w:r>
        <w:rPr>
          <w:szCs w:val="24"/>
          <w:lang w:eastAsia="en-US"/>
        </w:rPr>
        <w:tab/>
        <w:t>Členské štáty na dosiahnutie súladu s cieľmi, normami kvality a prahovými hodnotami stanovenými podľa tejto smernice zabezpečia zavedenie a vykonávanie:</w:t>
      </w:r>
    </w:p>
    <w:p w14:paraId="2C125ABC" w14:textId="77777777" w:rsidR="002709ED" w:rsidRDefault="00B2757B">
      <w:pPr>
        <w:spacing w:before="120" w:after="120" w:line="360" w:lineRule="auto"/>
        <w:ind w:left="2548" w:hanging="566"/>
        <w:rPr>
          <w:szCs w:val="24"/>
          <w:lang w:eastAsia="en-US"/>
        </w:rPr>
      </w:pPr>
      <w:r>
        <w:rPr>
          <w:szCs w:val="24"/>
          <w:lang w:eastAsia="en-US"/>
        </w:rPr>
        <w:t>a)</w:t>
      </w:r>
      <w:r>
        <w:rPr>
          <w:szCs w:val="24"/>
          <w:lang w:eastAsia="en-US"/>
        </w:rPr>
        <w:tab/>
        <w:t>regulácie emisií na základe najlepších dostupných techník;</w:t>
      </w:r>
    </w:p>
    <w:p w14:paraId="572FA554" w14:textId="77777777" w:rsidR="002709ED" w:rsidRDefault="00B2757B">
      <w:pPr>
        <w:spacing w:before="120" w:after="120" w:line="360" w:lineRule="auto"/>
        <w:ind w:left="2548" w:hanging="566"/>
        <w:rPr>
          <w:szCs w:val="24"/>
          <w:lang w:eastAsia="en-US"/>
        </w:rPr>
      </w:pPr>
      <w:r>
        <w:rPr>
          <w:szCs w:val="24"/>
          <w:lang w:eastAsia="en-US"/>
        </w:rPr>
        <w:t>b)</w:t>
      </w:r>
      <w:r>
        <w:rPr>
          <w:szCs w:val="24"/>
          <w:lang w:eastAsia="en-US"/>
        </w:rPr>
        <w:tab/>
        <w:t>príslušných limitných hodnôt emisií;</w:t>
      </w:r>
    </w:p>
    <w:p w14:paraId="59E668D9" w14:textId="77777777" w:rsidR="00DB6E14" w:rsidRDefault="00DB6E14">
      <w:pPr>
        <w:widowControl/>
        <w:rPr>
          <w:szCs w:val="24"/>
          <w:lang w:eastAsia="en-US"/>
        </w:rPr>
      </w:pPr>
      <w:r>
        <w:rPr>
          <w:szCs w:val="24"/>
          <w:lang w:eastAsia="en-US"/>
        </w:rPr>
        <w:br w:type="page"/>
      </w:r>
    </w:p>
    <w:p w14:paraId="775124CB" w14:textId="77777777" w:rsidR="002709ED" w:rsidRDefault="00B2757B">
      <w:pPr>
        <w:spacing w:before="120" w:after="120" w:line="360" w:lineRule="auto"/>
        <w:ind w:left="2548" w:hanging="566"/>
        <w:rPr>
          <w:szCs w:val="24"/>
          <w:lang w:eastAsia="en-US"/>
        </w:rPr>
      </w:pPr>
      <w:r>
        <w:rPr>
          <w:szCs w:val="24"/>
          <w:lang w:eastAsia="en-US"/>
        </w:rPr>
        <w:lastRenderedPageBreak/>
        <w:t>c)</w:t>
      </w:r>
      <w:r>
        <w:rPr>
          <w:szCs w:val="24"/>
          <w:lang w:eastAsia="en-US"/>
        </w:rPr>
        <w:tab/>
        <w:t>regulácie v prípade difúznych vplyvov, ktorá prípadne zahŕňa najlepšie environmentálne postupy stanovené v:</w:t>
      </w:r>
    </w:p>
    <w:p w14:paraId="7EFD8963" w14:textId="77777777" w:rsidR="002709ED" w:rsidRDefault="00B2757B">
      <w:pPr>
        <w:spacing w:before="120" w:after="120" w:line="360" w:lineRule="auto"/>
        <w:ind w:left="3114" w:hanging="566"/>
        <w:rPr>
          <w:szCs w:val="24"/>
          <w:lang w:eastAsia="en-US"/>
        </w:rPr>
      </w:pPr>
      <w:r>
        <w:rPr>
          <w:szCs w:val="24"/>
          <w:lang w:eastAsia="en-US"/>
        </w:rPr>
        <w:t>-</w:t>
      </w:r>
      <w:r>
        <w:rPr>
          <w:szCs w:val="24"/>
          <w:lang w:eastAsia="en-US"/>
        </w:rPr>
        <w:tab/>
        <w:t>smernici Európskeho parlamentu a Rady 2009/128/ES*;</w:t>
      </w:r>
    </w:p>
    <w:p w14:paraId="5F8C8EBA" w14:textId="77777777" w:rsidR="002709ED" w:rsidRDefault="00B2757B">
      <w:pPr>
        <w:spacing w:before="120" w:after="120" w:line="360" w:lineRule="auto"/>
        <w:ind w:left="3114" w:hanging="566"/>
        <w:rPr>
          <w:szCs w:val="24"/>
          <w:lang w:eastAsia="en-US"/>
        </w:rPr>
      </w:pPr>
      <w:r>
        <w:rPr>
          <w:szCs w:val="24"/>
          <w:lang w:eastAsia="en-US"/>
        </w:rPr>
        <w:t>-</w:t>
      </w:r>
      <w:r>
        <w:rPr>
          <w:szCs w:val="24"/>
          <w:lang w:eastAsia="en-US"/>
        </w:rPr>
        <w:tab/>
        <w:t>smernici Európskeho parlamentu a Rady 2010/75/EÚ**;</w:t>
      </w:r>
    </w:p>
    <w:p w14:paraId="2E4C67D6" w14:textId="77777777" w:rsidR="002709ED" w:rsidRDefault="00B2757B">
      <w:pPr>
        <w:spacing w:before="120" w:after="120" w:line="360" w:lineRule="auto"/>
        <w:ind w:left="3114" w:hanging="566"/>
        <w:rPr>
          <w:szCs w:val="24"/>
          <w:lang w:eastAsia="en-US"/>
        </w:rPr>
      </w:pPr>
      <w:r>
        <w:rPr>
          <w:szCs w:val="24"/>
          <w:lang w:eastAsia="en-US"/>
        </w:rPr>
        <w:t>-</w:t>
      </w:r>
      <w:r>
        <w:rPr>
          <w:szCs w:val="24"/>
          <w:lang w:eastAsia="en-US"/>
        </w:rPr>
        <w:tab/>
        <w:t>smernici Rady 91/271/EHS***;</w:t>
      </w:r>
    </w:p>
    <w:p w14:paraId="443856A8" w14:textId="77777777" w:rsidR="002709ED" w:rsidRDefault="00B2757B">
      <w:pPr>
        <w:spacing w:before="120" w:after="120" w:line="360" w:lineRule="auto"/>
        <w:ind w:left="3114" w:hanging="566"/>
        <w:rPr>
          <w:szCs w:val="24"/>
          <w:lang w:eastAsia="en-US"/>
        </w:rPr>
      </w:pPr>
      <w:r>
        <w:rPr>
          <w:szCs w:val="24"/>
          <w:lang w:eastAsia="en-US"/>
        </w:rPr>
        <w:t>-</w:t>
      </w:r>
      <w:r>
        <w:rPr>
          <w:szCs w:val="24"/>
          <w:lang w:eastAsia="en-US"/>
        </w:rPr>
        <w:tab/>
        <w:t>smernici Rady 91/676/EHS****;</w:t>
      </w:r>
    </w:p>
    <w:p w14:paraId="406143AC" w14:textId="77777777" w:rsidR="002709ED" w:rsidRDefault="00B2757B">
      <w:pPr>
        <w:spacing w:before="120" w:after="120" w:line="360" w:lineRule="auto"/>
        <w:ind w:left="3114" w:hanging="566"/>
        <w:rPr>
          <w:szCs w:val="24"/>
          <w:lang w:eastAsia="en-US"/>
        </w:rPr>
      </w:pPr>
      <w:r>
        <w:rPr>
          <w:szCs w:val="24"/>
          <w:lang w:eastAsia="en-US"/>
        </w:rPr>
        <w:t>-</w:t>
      </w:r>
      <w:r>
        <w:rPr>
          <w:szCs w:val="24"/>
          <w:lang w:eastAsia="en-US"/>
        </w:rPr>
        <w:tab/>
        <w:t>akýchkoľvek ďalších príslušných právnych predpisoch Únie, ktoré sa zaoberajú znečisťovaním z bodových zdrojov alebo difúznym znečisťovaním.</w:t>
      </w:r>
    </w:p>
    <w:p w14:paraId="6E6DF2C0" w14:textId="77777777" w:rsidR="002709ED" w:rsidRDefault="00B2757B">
      <w:pPr>
        <w:spacing w:before="120" w:after="120" w:line="360" w:lineRule="auto"/>
        <w:ind w:left="3686" w:hanging="567"/>
        <w:rPr>
          <w:szCs w:val="24"/>
          <w:lang w:eastAsia="en-US"/>
        </w:rPr>
      </w:pPr>
      <w:r>
        <w:rPr>
          <w:szCs w:val="24"/>
          <w:lang w:eastAsia="en-US"/>
        </w:rPr>
        <w:t xml:space="preserve">* </w:t>
      </w:r>
      <w:r>
        <w:rPr>
          <w:szCs w:val="24"/>
          <w:lang w:eastAsia="en-US"/>
        </w:rPr>
        <w:tab/>
        <w:t>Smernica Európskeho parlamentu a Rady 2009/128/ES z 21. októbra 2009, ktorou sa ustanovuje rámec pre činnosť Spoločenstva na dosiahnutie trvalo udržateľného používania pesticídov (Ú. v. EÚ L 309, 24.11.2009, s. 71).</w:t>
      </w:r>
    </w:p>
    <w:p w14:paraId="0B06A4B7" w14:textId="77777777" w:rsidR="002709ED" w:rsidRDefault="00B2757B">
      <w:pPr>
        <w:spacing w:before="120" w:after="120" w:line="360" w:lineRule="auto"/>
        <w:ind w:left="3686" w:hanging="567"/>
        <w:rPr>
          <w:szCs w:val="24"/>
          <w:lang w:eastAsia="en-US"/>
        </w:rPr>
      </w:pPr>
      <w:r>
        <w:rPr>
          <w:szCs w:val="24"/>
          <w:lang w:eastAsia="en-US"/>
        </w:rPr>
        <w:t xml:space="preserve">** </w:t>
      </w:r>
      <w:r>
        <w:rPr>
          <w:szCs w:val="24"/>
          <w:lang w:eastAsia="en-US"/>
        </w:rPr>
        <w:tab/>
        <w:t>Smernica Európskeho parlamentu a Rady 2010/75/EÚ z 24. novembra 2010 o priemyselných emisiách (Ú. v. EÚ L 334, 17.12.2010, s. 17).</w:t>
      </w:r>
    </w:p>
    <w:p w14:paraId="18E9C8CA" w14:textId="77777777" w:rsidR="002709ED" w:rsidRDefault="00B2757B">
      <w:pPr>
        <w:spacing w:before="120" w:after="120" w:line="360" w:lineRule="auto"/>
        <w:ind w:left="3686" w:hanging="567"/>
        <w:rPr>
          <w:szCs w:val="24"/>
          <w:lang w:eastAsia="en-US"/>
        </w:rPr>
      </w:pPr>
      <w:r>
        <w:rPr>
          <w:szCs w:val="24"/>
          <w:lang w:eastAsia="en-US"/>
        </w:rPr>
        <w:t xml:space="preserve">*** </w:t>
      </w:r>
      <w:r>
        <w:rPr>
          <w:szCs w:val="24"/>
          <w:lang w:eastAsia="en-US"/>
        </w:rPr>
        <w:tab/>
        <w:t>Smernica Rady 91/271/EHS z 21. mája 1991 o čistení komunálnych odpadových vôd (Ú. v. ES L 135, 30.5.1991, s. 40).</w:t>
      </w:r>
    </w:p>
    <w:p w14:paraId="5BC8ABB9" w14:textId="77777777" w:rsidR="002709ED" w:rsidRDefault="00B2757B">
      <w:pPr>
        <w:spacing w:before="120" w:after="120" w:line="360" w:lineRule="auto"/>
        <w:ind w:left="3686" w:hanging="567"/>
        <w:rPr>
          <w:szCs w:val="24"/>
          <w:lang w:eastAsia="en-US"/>
        </w:rPr>
      </w:pPr>
      <w:r>
        <w:rPr>
          <w:szCs w:val="24"/>
          <w:lang w:eastAsia="en-US"/>
        </w:rPr>
        <w:t xml:space="preserve">**** </w:t>
      </w:r>
      <w:r>
        <w:rPr>
          <w:szCs w:val="24"/>
          <w:lang w:eastAsia="en-US"/>
        </w:rPr>
        <w:tab/>
        <w:t>Smernica Rady 91/676/EHS z 12. decembra 1991 o ochrane vôd pred znečistením dusičnanmi z poľnohospodárskych zdrojov (Ú. v. ES L 375, 31.12.1991, s. 1).;“</w:t>
      </w:r>
    </w:p>
    <w:p w14:paraId="3C70B6D8" w14:textId="77777777" w:rsidR="002709ED" w:rsidRDefault="00B2757B">
      <w:pPr>
        <w:widowControl/>
        <w:rPr>
          <w:szCs w:val="24"/>
          <w:lang w:eastAsia="en-US"/>
        </w:rPr>
      </w:pPr>
      <w:r>
        <w:rPr>
          <w:szCs w:val="24"/>
          <w:lang w:eastAsia="en-US"/>
        </w:rPr>
        <w:br w:type="page"/>
      </w:r>
    </w:p>
    <w:p w14:paraId="4B233FC1" w14:textId="77777777" w:rsidR="002709ED" w:rsidRDefault="00B2757B">
      <w:pPr>
        <w:spacing w:before="120" w:after="120" w:line="360" w:lineRule="auto"/>
        <w:ind w:left="1416" w:hanging="566"/>
        <w:rPr>
          <w:szCs w:val="24"/>
          <w:lang w:eastAsia="en-US"/>
        </w:rPr>
      </w:pPr>
      <w:r>
        <w:rPr>
          <w:szCs w:val="24"/>
          <w:lang w:eastAsia="en-US"/>
        </w:rPr>
        <w:lastRenderedPageBreak/>
        <w:t>b)</w:t>
      </w:r>
      <w:r>
        <w:rPr>
          <w:szCs w:val="24"/>
          <w:lang w:eastAsia="en-US"/>
        </w:rPr>
        <w:tab/>
      </w:r>
      <w:r w:rsidR="0032662A">
        <w:rPr>
          <w:szCs w:val="24"/>
          <w:lang w:eastAsia="en-US"/>
        </w:rPr>
        <w:t>o</w:t>
      </w:r>
      <w:r>
        <w:rPr>
          <w:szCs w:val="24"/>
          <w:lang w:eastAsia="en-US"/>
        </w:rPr>
        <w:t>dsek 3 sa nahrádza takto:</w:t>
      </w:r>
    </w:p>
    <w:p w14:paraId="2251AD4D" w14:textId="77777777" w:rsidR="002709ED" w:rsidRDefault="00B2757B">
      <w:pPr>
        <w:spacing w:before="120" w:after="120" w:line="360" w:lineRule="auto"/>
        <w:ind w:left="1982" w:hanging="566"/>
        <w:rPr>
          <w:szCs w:val="24"/>
          <w:lang w:eastAsia="en-US"/>
        </w:rPr>
      </w:pPr>
      <w:r>
        <w:rPr>
          <w:szCs w:val="24"/>
          <w:lang w:eastAsia="en-US"/>
        </w:rPr>
        <w:t>„3.</w:t>
      </w:r>
      <w:r>
        <w:rPr>
          <w:szCs w:val="24"/>
          <w:lang w:eastAsia="en-US"/>
        </w:rPr>
        <w:tab/>
        <w:t>Ak si kvalitatívny cieľ, norma kvality alebo prahová hodnota zavedené či už podľa tejto smernice, smerníc 2006/118/ES alebo 2008/105/ES, alebo podľa akejkoľvek inej právnej úpravy Únie vyžadujú prísnejšie podmienky ako tie, ktoré by vyplynuli z uplatňovania odseku 2, zodpovedajúcim spôsobom sa stanovia prísnejšie regulácie emisií.;“</w:t>
      </w:r>
    </w:p>
    <w:p w14:paraId="327222D0" w14:textId="77777777" w:rsidR="002709ED" w:rsidRDefault="00B2757B">
      <w:pPr>
        <w:widowControl/>
        <w:rPr>
          <w:b/>
          <w:i/>
          <w:szCs w:val="24"/>
          <w:lang w:eastAsia="en-US"/>
        </w:rPr>
      </w:pPr>
      <w:r>
        <w:rPr>
          <w:b/>
          <w:i/>
          <w:szCs w:val="24"/>
          <w:lang w:eastAsia="en-US"/>
        </w:rPr>
        <w:br w:type="page"/>
      </w:r>
    </w:p>
    <w:p w14:paraId="5FAE561C" w14:textId="77777777" w:rsidR="002709ED" w:rsidRDefault="00B2757B">
      <w:pPr>
        <w:spacing w:before="120" w:after="120" w:line="360" w:lineRule="auto"/>
        <w:ind w:left="850" w:hanging="850"/>
        <w:rPr>
          <w:szCs w:val="24"/>
          <w:lang w:eastAsia="en-US"/>
        </w:rPr>
      </w:pPr>
      <w:r>
        <w:rPr>
          <w:b/>
          <w:i/>
          <w:szCs w:val="24"/>
          <w:lang w:eastAsia="en-US"/>
        </w:rPr>
        <w:lastRenderedPageBreak/>
        <w:t>7a.</w:t>
      </w:r>
      <w:r>
        <w:rPr>
          <w:szCs w:val="24"/>
          <w:lang w:eastAsia="en-US"/>
        </w:rPr>
        <w:tab/>
      </w:r>
      <w:r>
        <w:rPr>
          <w:b/>
          <w:i/>
          <w:szCs w:val="24"/>
          <w:lang w:eastAsia="en-US"/>
        </w:rPr>
        <w:t>Článok 11 ods. 1 sa nahrádza takto:</w:t>
      </w:r>
    </w:p>
    <w:p w14:paraId="3E2A5420" w14:textId="77777777" w:rsidR="002709ED" w:rsidRDefault="00B2757B">
      <w:pPr>
        <w:spacing w:before="120" w:after="120" w:line="360" w:lineRule="auto"/>
        <w:ind w:left="1416" w:hanging="566"/>
        <w:rPr>
          <w:b/>
          <w:szCs w:val="24"/>
          <w:lang w:eastAsia="en-US"/>
        </w:rPr>
      </w:pPr>
      <w:r w:rsidRPr="00C100E9">
        <w:rPr>
          <w:b/>
          <w:i/>
          <w:szCs w:val="24"/>
          <w:lang w:eastAsia="en-US"/>
        </w:rPr>
        <w:t>„</w:t>
      </w:r>
      <w:r>
        <w:rPr>
          <w:b/>
          <w:i/>
          <w:szCs w:val="24"/>
          <w:lang w:eastAsia="en-US"/>
        </w:rPr>
        <w:t>1.</w:t>
      </w:r>
      <w:r>
        <w:rPr>
          <w:szCs w:val="24"/>
          <w:lang w:eastAsia="en-US"/>
        </w:rPr>
        <w:tab/>
      </w:r>
      <w:r>
        <w:rPr>
          <w:b/>
          <w:i/>
          <w:szCs w:val="24"/>
          <w:lang w:eastAsia="en-US"/>
        </w:rPr>
        <w:t>Každý členský štát zabezpečí pre každé správne územie povodia alebo pre časť medzinárodného správneho územia povodia na svojom území zavedenie programu opatrení, so zreteľom na výsledky analýz požadovaných podľa článku 5, pre dosiahnutie cieľov stanovených podľa článku 4. Takéto programy opatrení uprednostňujú opatrenia na kontrolu pri zdroji v súlade s príslušnými odvetvovými právnymi predpismi Únie o znečisťovaní. Opatrenia na konci reťazca sa uplatňujú spolu s opatreniami na kontrolu pri zdroji tam, kde existuje riziko, že sa opatreniami na kontrolu pri zdroji nepodarí dosiahnuť dobrý stav vodných útvarov. Programy opatrení sa môžu odvolávať na opatrenia vyplývajúce z právnej úpravy prijatej na národnej úrovni a pokrývajúce celé územie členského štátu. Tam, kde je to účelné, môže členský štát prijať opatrenia uplatniteľné vo všetkých správnych územiach povodí a/alebo v častiach medzinárodných správnych území povodí ležiacich na jeho území. Komisia vypracuje usmernenia o osvedčených postupoch v súvislosti s opatreniami na kontrolu pri zdroji a komplementárnosti s opatreniami na konci reťazca.“</w:t>
      </w:r>
      <w:r>
        <w:rPr>
          <w:b/>
          <w:szCs w:val="24"/>
          <w:lang w:eastAsia="en-US"/>
        </w:rPr>
        <w:t xml:space="preserve"> [PN 67]</w:t>
      </w:r>
    </w:p>
    <w:p w14:paraId="78EA354D" w14:textId="77777777" w:rsidR="002709ED" w:rsidRDefault="00B2757B">
      <w:pPr>
        <w:widowControl/>
        <w:rPr>
          <w:b/>
          <w:i/>
          <w:szCs w:val="24"/>
          <w:lang w:eastAsia="en-US"/>
        </w:rPr>
      </w:pPr>
      <w:r>
        <w:rPr>
          <w:b/>
          <w:i/>
          <w:szCs w:val="24"/>
          <w:lang w:eastAsia="en-US"/>
        </w:rPr>
        <w:br w:type="page"/>
      </w:r>
    </w:p>
    <w:p w14:paraId="4C0BB778" w14:textId="77777777" w:rsidR="002709ED" w:rsidRDefault="00B2757B">
      <w:pPr>
        <w:spacing w:before="120" w:after="120" w:line="360" w:lineRule="auto"/>
        <w:ind w:left="850" w:hanging="850"/>
        <w:rPr>
          <w:szCs w:val="24"/>
          <w:lang w:eastAsia="en-US"/>
        </w:rPr>
      </w:pPr>
      <w:r>
        <w:rPr>
          <w:b/>
          <w:i/>
          <w:szCs w:val="24"/>
          <w:lang w:eastAsia="en-US"/>
        </w:rPr>
        <w:lastRenderedPageBreak/>
        <w:t>7b.</w:t>
      </w:r>
      <w:r>
        <w:rPr>
          <w:szCs w:val="24"/>
          <w:lang w:eastAsia="en-US"/>
        </w:rPr>
        <w:tab/>
      </w:r>
      <w:r>
        <w:rPr>
          <w:b/>
          <w:i/>
          <w:szCs w:val="24"/>
          <w:lang w:eastAsia="en-US"/>
        </w:rPr>
        <w:t>V článku 11 ods. 3 sa písmeno c) nahrádza takto:</w:t>
      </w:r>
    </w:p>
    <w:p w14:paraId="788A5107" w14:textId="77777777" w:rsidR="002709ED" w:rsidRDefault="00B2757B">
      <w:pPr>
        <w:spacing w:before="120" w:after="120" w:line="360" w:lineRule="auto"/>
        <w:ind w:left="1416" w:hanging="566"/>
        <w:rPr>
          <w:b/>
          <w:szCs w:val="24"/>
          <w:lang w:eastAsia="en-US"/>
        </w:rPr>
      </w:pPr>
      <w:r w:rsidRPr="00C100E9">
        <w:rPr>
          <w:b/>
          <w:i/>
          <w:szCs w:val="24"/>
          <w:lang w:eastAsia="en-US"/>
        </w:rPr>
        <w:t>„</w:t>
      </w:r>
      <w:r>
        <w:rPr>
          <w:b/>
          <w:i/>
          <w:szCs w:val="24"/>
          <w:lang w:eastAsia="en-US"/>
        </w:rPr>
        <w:t>c)</w:t>
      </w:r>
      <w:r>
        <w:rPr>
          <w:szCs w:val="24"/>
          <w:lang w:eastAsia="en-US"/>
        </w:rPr>
        <w:tab/>
      </w:r>
      <w:r>
        <w:rPr>
          <w:b/>
          <w:i/>
          <w:szCs w:val="24"/>
          <w:lang w:eastAsia="en-US"/>
        </w:rPr>
        <w:t>„opatrení na podporu efektívneho a trvalo udržateľného využívania vody, a to aj v poľnohospodárstve, aby sa zabránilo ohrozeniu dosiahnutia cieľov stanovených v článku 4;“</w:t>
      </w:r>
      <w:r>
        <w:rPr>
          <w:b/>
          <w:szCs w:val="24"/>
          <w:lang w:eastAsia="en-US"/>
        </w:rPr>
        <w:t xml:space="preserve"> [PN 68]</w:t>
      </w:r>
    </w:p>
    <w:p w14:paraId="6D5382F6" w14:textId="77777777" w:rsidR="002709ED" w:rsidRDefault="00B2757B">
      <w:pPr>
        <w:spacing w:before="120" w:after="120" w:line="360" w:lineRule="auto"/>
        <w:ind w:left="850" w:hanging="850"/>
        <w:rPr>
          <w:szCs w:val="24"/>
          <w:lang w:eastAsia="en-US"/>
        </w:rPr>
      </w:pPr>
      <w:r>
        <w:rPr>
          <w:szCs w:val="24"/>
          <w:lang w:eastAsia="en-US"/>
        </w:rPr>
        <w:t>8.</w:t>
      </w:r>
      <w:r>
        <w:rPr>
          <w:szCs w:val="24"/>
          <w:lang w:eastAsia="en-US"/>
        </w:rPr>
        <w:tab/>
        <w:t>V článku 11 ods. 3 sa písmeno k) nahrádza takto:</w:t>
      </w:r>
    </w:p>
    <w:p w14:paraId="37D3F64D" w14:textId="77777777" w:rsidR="002709ED" w:rsidRDefault="00B2757B">
      <w:pPr>
        <w:spacing w:before="120" w:after="120" w:line="360" w:lineRule="auto"/>
        <w:ind w:left="1416" w:hanging="566"/>
        <w:rPr>
          <w:szCs w:val="24"/>
          <w:lang w:eastAsia="en-US"/>
        </w:rPr>
      </w:pPr>
      <w:r>
        <w:rPr>
          <w:szCs w:val="24"/>
          <w:lang w:eastAsia="en-US"/>
        </w:rPr>
        <w:t>„k)</w:t>
      </w:r>
      <w:r>
        <w:rPr>
          <w:szCs w:val="24"/>
          <w:lang w:eastAsia="en-US"/>
        </w:rPr>
        <w:tab/>
        <w:t>opatrení na elimináciu znečistenia povrchových vôd spôsobeného prioritnými rizikovými látkami a na postupné znižovanie znečistenia spôsobeného inými látkami, ktoré by inak bránilo členským štátom dosiahnuť environmentálne ciele stanovené v článku 4 pre útvary povrchových vôd;;“</w:t>
      </w:r>
    </w:p>
    <w:p w14:paraId="599CC735" w14:textId="77777777" w:rsidR="002709ED" w:rsidRDefault="00B2757B">
      <w:pPr>
        <w:spacing w:before="120" w:after="120" w:line="360" w:lineRule="auto"/>
        <w:ind w:left="850" w:hanging="850"/>
        <w:rPr>
          <w:szCs w:val="24"/>
          <w:lang w:eastAsia="en-US"/>
        </w:rPr>
      </w:pPr>
      <w:r>
        <w:rPr>
          <w:b/>
          <w:i/>
          <w:szCs w:val="24"/>
          <w:lang w:eastAsia="en-US"/>
        </w:rPr>
        <w:t>8a.</w:t>
      </w:r>
      <w:r>
        <w:rPr>
          <w:szCs w:val="24"/>
          <w:lang w:eastAsia="en-US"/>
        </w:rPr>
        <w:tab/>
      </w:r>
      <w:r>
        <w:rPr>
          <w:b/>
          <w:i/>
          <w:szCs w:val="24"/>
          <w:lang w:eastAsia="en-US"/>
        </w:rPr>
        <w:t>Článok 11 ods. 5 druhá zarážka sa nahrádza takto:</w:t>
      </w:r>
    </w:p>
    <w:p w14:paraId="6E9310EC" w14:textId="77777777" w:rsidR="002709ED" w:rsidRDefault="00B2757B">
      <w:pPr>
        <w:spacing w:before="120" w:after="120" w:line="360" w:lineRule="auto"/>
        <w:ind w:left="1416" w:hanging="566"/>
        <w:rPr>
          <w:b/>
          <w:szCs w:val="24"/>
          <w:lang w:eastAsia="en-US"/>
        </w:rPr>
      </w:pPr>
      <w:r>
        <w:rPr>
          <w:szCs w:val="24"/>
          <w:lang w:eastAsia="en-US"/>
        </w:rPr>
        <w:t>„</w:t>
      </w:r>
      <w:r>
        <w:rPr>
          <w:b/>
          <w:i/>
          <w:szCs w:val="24"/>
          <w:lang w:eastAsia="en-US"/>
        </w:rPr>
        <w:t>-</w:t>
      </w:r>
      <w:r>
        <w:rPr>
          <w:szCs w:val="24"/>
          <w:lang w:eastAsia="en-US"/>
        </w:rPr>
        <w:tab/>
      </w:r>
      <w:r>
        <w:rPr>
          <w:b/>
          <w:i/>
          <w:szCs w:val="24"/>
          <w:lang w:eastAsia="en-US"/>
        </w:rPr>
        <w:t>primerané preskúmanie a revíziu príslušných povolení a oprávnení a v odôvodnených prípadoch ich zrušenie,</w:t>
      </w:r>
      <w:r>
        <w:rPr>
          <w:szCs w:val="24"/>
          <w:lang w:eastAsia="en-US"/>
        </w:rPr>
        <w:t>“</w:t>
      </w:r>
      <w:r>
        <w:rPr>
          <w:b/>
          <w:szCs w:val="24"/>
          <w:lang w:eastAsia="en-US"/>
        </w:rPr>
        <w:t xml:space="preserve"> [PN 69]</w:t>
      </w:r>
    </w:p>
    <w:p w14:paraId="1AFD1151" w14:textId="77777777" w:rsidR="002709ED" w:rsidRDefault="00B2757B">
      <w:pPr>
        <w:widowControl/>
        <w:rPr>
          <w:szCs w:val="24"/>
          <w:lang w:eastAsia="en-US"/>
        </w:rPr>
      </w:pPr>
      <w:r>
        <w:rPr>
          <w:szCs w:val="24"/>
          <w:lang w:eastAsia="en-US"/>
        </w:rPr>
        <w:br w:type="page"/>
      </w:r>
    </w:p>
    <w:p w14:paraId="798E1355" w14:textId="77777777" w:rsidR="002709ED" w:rsidRDefault="00B2757B">
      <w:pPr>
        <w:spacing w:before="120" w:after="120" w:line="360" w:lineRule="auto"/>
        <w:ind w:left="850" w:hanging="850"/>
        <w:rPr>
          <w:szCs w:val="24"/>
          <w:lang w:eastAsia="en-US"/>
        </w:rPr>
      </w:pPr>
      <w:r>
        <w:rPr>
          <w:szCs w:val="24"/>
          <w:lang w:eastAsia="en-US"/>
        </w:rPr>
        <w:lastRenderedPageBreak/>
        <w:t>9.</w:t>
      </w:r>
      <w:r>
        <w:rPr>
          <w:szCs w:val="24"/>
          <w:lang w:eastAsia="en-US"/>
        </w:rPr>
        <w:tab/>
        <w:t>Článok 12 sa nahrádza takto:</w:t>
      </w:r>
    </w:p>
    <w:p w14:paraId="5A88ABF3" w14:textId="77777777" w:rsidR="002709ED" w:rsidRDefault="00B2757B">
      <w:pPr>
        <w:spacing w:before="120" w:after="120" w:line="360" w:lineRule="auto"/>
        <w:ind w:left="850"/>
        <w:rPr>
          <w:szCs w:val="24"/>
          <w:lang w:eastAsia="en-US"/>
        </w:rPr>
      </w:pPr>
      <w:r>
        <w:rPr>
          <w:szCs w:val="24"/>
          <w:lang w:eastAsia="en-US"/>
        </w:rPr>
        <w:t>„Článok 12</w:t>
      </w:r>
    </w:p>
    <w:p w14:paraId="48395DB9" w14:textId="77777777" w:rsidR="002709ED" w:rsidRDefault="00B2757B">
      <w:pPr>
        <w:spacing w:before="120" w:after="120" w:line="360" w:lineRule="auto"/>
        <w:ind w:left="850"/>
        <w:rPr>
          <w:szCs w:val="24"/>
          <w:lang w:eastAsia="en-US"/>
        </w:rPr>
      </w:pPr>
      <w:r>
        <w:rPr>
          <w:szCs w:val="24"/>
          <w:lang w:eastAsia="en-US"/>
        </w:rPr>
        <w:t>Problémy, ktoré sa nedajú riešiť na úrovni členského štátu</w:t>
      </w:r>
    </w:p>
    <w:p w14:paraId="5BCD50E1" w14:textId="77777777" w:rsidR="002709ED" w:rsidRDefault="00B2757B">
      <w:pPr>
        <w:spacing w:before="120" w:after="120" w:line="360" w:lineRule="auto"/>
        <w:ind w:left="1416" w:hanging="566"/>
        <w:rPr>
          <w:szCs w:val="24"/>
          <w:lang w:eastAsia="en-US"/>
        </w:rPr>
      </w:pPr>
      <w:r>
        <w:rPr>
          <w:szCs w:val="24"/>
          <w:lang w:eastAsia="en-US"/>
        </w:rPr>
        <w:t>1.</w:t>
      </w:r>
      <w:r>
        <w:rPr>
          <w:szCs w:val="24"/>
          <w:lang w:eastAsia="en-US"/>
        </w:rPr>
        <w:tab/>
        <w:t>Ak členský štát zistí problém, ktorý má vplyv na jeho vodné hospodárstvo, ale tento členský štát ho nemôže vyriešiť, oznámi túto skutočnosť Komisii a ktorémukoľvek inému príslušnému členskému štátu s odporúčaniami na jeho vyriešenie.</w:t>
      </w:r>
    </w:p>
    <w:p w14:paraId="6EA4BD4C" w14:textId="77777777" w:rsidR="002709ED" w:rsidRDefault="00B2757B">
      <w:pPr>
        <w:spacing w:before="120" w:after="120" w:line="360" w:lineRule="auto"/>
        <w:ind w:left="1416"/>
        <w:rPr>
          <w:b/>
          <w:szCs w:val="24"/>
          <w:lang w:eastAsia="en-US"/>
        </w:rPr>
      </w:pPr>
      <w:r>
        <w:rPr>
          <w:b/>
          <w:i/>
          <w:szCs w:val="24"/>
          <w:lang w:eastAsia="en-US"/>
        </w:rPr>
        <w:t>Komisia odpovie na každé odporúčanie od členských štátov v lehote šiestich mesiacov. Ak sa problém týka nesplnenia dobrého chemického stavu, Komisia koná v súlade s článkom 7a smernice 2008/105/ES.</w:t>
      </w:r>
      <w:r>
        <w:rPr>
          <w:b/>
          <w:szCs w:val="24"/>
          <w:lang w:eastAsia="en-US"/>
        </w:rPr>
        <w:t xml:space="preserve"> [PN 70]</w:t>
      </w:r>
    </w:p>
    <w:p w14:paraId="40FF0C96" w14:textId="77777777" w:rsidR="002709ED" w:rsidRDefault="00B2757B">
      <w:pPr>
        <w:spacing w:before="120" w:after="120" w:line="360" w:lineRule="auto"/>
        <w:ind w:left="1416" w:hanging="566"/>
        <w:rPr>
          <w:szCs w:val="24"/>
          <w:lang w:eastAsia="en-US"/>
        </w:rPr>
      </w:pPr>
      <w:r>
        <w:rPr>
          <w:szCs w:val="24"/>
          <w:lang w:eastAsia="en-US"/>
        </w:rPr>
        <w:t>2.</w:t>
      </w:r>
      <w:r>
        <w:rPr>
          <w:szCs w:val="24"/>
          <w:lang w:eastAsia="en-US"/>
        </w:rPr>
        <w:tab/>
        <w:t>Dotknuté členské štáty spolupracujú s cieľom identifikovať zdroje problémov uvedených v odseku 1 a opatrenia potrebné na ich riešenie.</w:t>
      </w:r>
    </w:p>
    <w:p w14:paraId="1392B9A0" w14:textId="77777777" w:rsidR="0032662A" w:rsidRDefault="0032662A">
      <w:pPr>
        <w:widowControl/>
        <w:rPr>
          <w:szCs w:val="24"/>
          <w:lang w:eastAsia="en-US"/>
        </w:rPr>
      </w:pPr>
      <w:r>
        <w:rPr>
          <w:szCs w:val="24"/>
          <w:lang w:eastAsia="en-US"/>
        </w:rPr>
        <w:br w:type="page"/>
      </w:r>
    </w:p>
    <w:p w14:paraId="7EE7EE83" w14:textId="77777777" w:rsidR="002709ED" w:rsidRDefault="00B2757B">
      <w:pPr>
        <w:spacing w:before="120" w:after="120" w:line="360" w:lineRule="auto"/>
        <w:ind w:left="1416"/>
        <w:rPr>
          <w:b/>
          <w:szCs w:val="24"/>
          <w:lang w:eastAsia="en-US"/>
        </w:rPr>
      </w:pPr>
      <w:r>
        <w:rPr>
          <w:szCs w:val="24"/>
          <w:lang w:eastAsia="en-US"/>
        </w:rPr>
        <w:lastRenderedPageBreak/>
        <w:t xml:space="preserve">Členské štáty si navzájom odpovedajú včas, najneskôr však </w:t>
      </w:r>
      <w:r>
        <w:rPr>
          <w:strike/>
          <w:szCs w:val="24"/>
          <w:lang w:eastAsia="en-US"/>
        </w:rPr>
        <w:t>tri</w:t>
      </w:r>
      <w:r>
        <w:rPr>
          <w:b/>
          <w:i/>
          <w:szCs w:val="24"/>
          <w:lang w:eastAsia="en-US"/>
        </w:rPr>
        <w:t>dva</w:t>
      </w:r>
      <w:r>
        <w:rPr>
          <w:szCs w:val="24"/>
          <w:lang w:eastAsia="en-US"/>
        </w:rPr>
        <w:t xml:space="preserve"> mesiace po oznámení od iného členského štátu v súlade s odsekom 1.</w:t>
      </w:r>
      <w:r>
        <w:rPr>
          <w:b/>
          <w:szCs w:val="24"/>
          <w:lang w:eastAsia="en-US"/>
        </w:rPr>
        <w:t xml:space="preserve"> [PN 71]</w:t>
      </w:r>
    </w:p>
    <w:p w14:paraId="22B60B0E" w14:textId="77777777" w:rsidR="002709ED" w:rsidRDefault="00B2757B">
      <w:pPr>
        <w:spacing w:before="120" w:after="120" w:line="360" w:lineRule="auto"/>
        <w:ind w:left="1416" w:hanging="566"/>
        <w:rPr>
          <w:szCs w:val="24"/>
          <w:lang w:eastAsia="en-US"/>
        </w:rPr>
      </w:pPr>
      <w:r>
        <w:rPr>
          <w:szCs w:val="24"/>
          <w:lang w:eastAsia="en-US"/>
        </w:rPr>
        <w:t>3.</w:t>
      </w:r>
      <w:r>
        <w:rPr>
          <w:szCs w:val="24"/>
          <w:lang w:eastAsia="en-US"/>
        </w:rPr>
        <w:tab/>
        <w:t>Komisia je o každej spolupráci uvedenej v odseku 2 informovaná a je k nej prizývaná. V prípade potreby Komisia po zohľadnení správ vypracovaných podľa článku 13 zváži, či treba prijať ďalšie opatrenia na úrovni Únie s cieľom znížiť cezhraničné vplyvy na vodné útvary.;“</w:t>
      </w:r>
    </w:p>
    <w:p w14:paraId="3CD2EE7B" w14:textId="77777777" w:rsidR="002709ED" w:rsidRDefault="00B2757B">
      <w:pPr>
        <w:spacing w:before="120" w:after="120" w:line="360" w:lineRule="auto"/>
        <w:ind w:left="850" w:hanging="850"/>
        <w:rPr>
          <w:szCs w:val="24"/>
          <w:lang w:eastAsia="en-US"/>
        </w:rPr>
      </w:pPr>
      <w:r>
        <w:rPr>
          <w:b/>
          <w:i/>
          <w:szCs w:val="24"/>
          <w:lang w:eastAsia="en-US"/>
        </w:rPr>
        <w:t>9a.</w:t>
      </w:r>
      <w:r>
        <w:rPr>
          <w:szCs w:val="24"/>
          <w:lang w:eastAsia="en-US"/>
        </w:rPr>
        <w:tab/>
      </w:r>
      <w:r>
        <w:rPr>
          <w:b/>
          <w:i/>
          <w:szCs w:val="24"/>
          <w:lang w:eastAsia="en-US"/>
        </w:rPr>
        <w:t>V článku 13 sa vkladá tento odsek:</w:t>
      </w:r>
    </w:p>
    <w:p w14:paraId="0313A8B9" w14:textId="77777777" w:rsidR="002709ED" w:rsidRDefault="00B2757B">
      <w:pPr>
        <w:spacing w:before="120" w:after="120" w:line="360" w:lineRule="auto"/>
        <w:ind w:left="1416" w:hanging="566"/>
        <w:rPr>
          <w:b/>
          <w:szCs w:val="24"/>
          <w:lang w:eastAsia="en-US"/>
        </w:rPr>
      </w:pPr>
      <w:r w:rsidRPr="00C100E9">
        <w:rPr>
          <w:b/>
          <w:i/>
          <w:szCs w:val="24"/>
          <w:lang w:eastAsia="en-US"/>
        </w:rPr>
        <w:t>„</w:t>
      </w:r>
      <w:r>
        <w:rPr>
          <w:b/>
          <w:i/>
          <w:szCs w:val="24"/>
          <w:lang w:eastAsia="en-US"/>
        </w:rPr>
        <w:t>1.</w:t>
      </w:r>
      <w:r>
        <w:rPr>
          <w:szCs w:val="24"/>
          <w:lang w:eastAsia="en-US"/>
        </w:rPr>
        <w:tab/>
      </w:r>
      <w:r>
        <w:rPr>
          <w:b/>
          <w:i/>
          <w:szCs w:val="24"/>
          <w:lang w:eastAsia="en-US"/>
        </w:rPr>
        <w:t>Komisia zamietne plány vodohospodárskeho manažmentu povodia predložené členskými štátmi, ak tieto plány neobsahujú prvky uvedené v prílohe VII.“</w:t>
      </w:r>
      <w:r>
        <w:rPr>
          <w:b/>
          <w:szCs w:val="24"/>
          <w:lang w:eastAsia="en-US"/>
        </w:rPr>
        <w:t xml:space="preserve"> [PN 72]</w:t>
      </w:r>
    </w:p>
    <w:p w14:paraId="243C71FD" w14:textId="77777777" w:rsidR="002709ED" w:rsidRDefault="00B2757B">
      <w:pPr>
        <w:widowControl/>
        <w:rPr>
          <w:b/>
          <w:i/>
          <w:szCs w:val="24"/>
          <w:lang w:eastAsia="en-US"/>
        </w:rPr>
      </w:pPr>
      <w:r>
        <w:rPr>
          <w:b/>
          <w:i/>
          <w:szCs w:val="24"/>
          <w:lang w:eastAsia="en-US"/>
        </w:rPr>
        <w:br w:type="page"/>
      </w:r>
    </w:p>
    <w:p w14:paraId="3DEDB3E8" w14:textId="77777777" w:rsidR="002709ED" w:rsidRDefault="00B2757B">
      <w:pPr>
        <w:spacing w:before="120" w:after="120" w:line="360" w:lineRule="auto"/>
        <w:ind w:left="850" w:hanging="850"/>
        <w:rPr>
          <w:szCs w:val="24"/>
          <w:lang w:eastAsia="en-US"/>
        </w:rPr>
      </w:pPr>
      <w:r>
        <w:rPr>
          <w:b/>
          <w:i/>
          <w:szCs w:val="24"/>
          <w:lang w:eastAsia="en-US"/>
        </w:rPr>
        <w:lastRenderedPageBreak/>
        <w:t>9b.</w:t>
      </w:r>
      <w:r>
        <w:rPr>
          <w:szCs w:val="24"/>
          <w:lang w:eastAsia="en-US"/>
        </w:rPr>
        <w:tab/>
      </w:r>
      <w:r>
        <w:rPr>
          <w:b/>
          <w:i/>
          <w:szCs w:val="24"/>
          <w:lang w:eastAsia="en-US"/>
        </w:rPr>
        <w:t>Vkladá sa tento článok:</w:t>
      </w:r>
    </w:p>
    <w:p w14:paraId="631B9037" w14:textId="77777777" w:rsidR="002709ED" w:rsidRDefault="00B2757B">
      <w:pPr>
        <w:spacing w:before="120" w:after="120" w:line="360" w:lineRule="auto"/>
        <w:ind w:left="850"/>
        <w:rPr>
          <w:szCs w:val="24"/>
          <w:lang w:eastAsia="en-US"/>
        </w:rPr>
      </w:pPr>
      <w:r>
        <w:rPr>
          <w:szCs w:val="24"/>
          <w:lang w:eastAsia="en-US"/>
        </w:rPr>
        <w:t>„</w:t>
      </w:r>
      <w:r>
        <w:rPr>
          <w:b/>
          <w:i/>
          <w:szCs w:val="24"/>
          <w:lang w:eastAsia="en-US"/>
        </w:rPr>
        <w:t xml:space="preserve">Článok 14a </w:t>
      </w:r>
      <w:r>
        <w:rPr>
          <w:b/>
          <w:i/>
          <w:szCs w:val="24"/>
          <w:lang w:eastAsia="en-US"/>
        </w:rPr>
        <w:br/>
        <w:t>Prístup k spravodlivosti</w:t>
      </w:r>
    </w:p>
    <w:p w14:paraId="33786C04" w14:textId="77777777" w:rsidR="002709ED" w:rsidRDefault="00B2757B">
      <w:pPr>
        <w:spacing w:before="120" w:after="120" w:line="360" w:lineRule="auto"/>
        <w:ind w:left="1416" w:hanging="566"/>
        <w:rPr>
          <w:szCs w:val="24"/>
          <w:lang w:eastAsia="en-US"/>
        </w:rPr>
      </w:pPr>
      <w:r>
        <w:rPr>
          <w:b/>
          <w:i/>
          <w:szCs w:val="24"/>
          <w:lang w:eastAsia="en-US"/>
        </w:rPr>
        <w:t>1.</w:t>
      </w:r>
      <w:r>
        <w:rPr>
          <w:szCs w:val="24"/>
          <w:lang w:eastAsia="en-US"/>
        </w:rPr>
        <w:tab/>
      </w:r>
      <w:r>
        <w:rPr>
          <w:b/>
          <w:i/>
          <w:szCs w:val="24"/>
          <w:lang w:eastAsia="en-US"/>
        </w:rPr>
        <w:t>Členské štáty zabezpečia, aby verejnosť, v súlade s vnútroštátnym právom, ktorá má dostatočný záujem alebo ktorá namieta porušenie práva, mala prístup k postupu preskúmania pred súdom alebo iným nezávislým a nestranným orgánom zriadeným zákonom s cieľom napadnúť vecnú alebo procesnú zákonnosť všetkých rozhodnutí, úkonov alebo opomenutí podľa tejto smernice, ktoré sa okrem iného týkajú:</w:t>
      </w:r>
    </w:p>
    <w:p w14:paraId="2DD4ADB8" w14:textId="77777777" w:rsidR="002709ED" w:rsidRDefault="00B2757B">
      <w:pPr>
        <w:spacing w:before="120" w:after="120" w:line="360" w:lineRule="auto"/>
        <w:ind w:left="1982" w:hanging="566"/>
        <w:rPr>
          <w:szCs w:val="24"/>
          <w:lang w:eastAsia="en-US"/>
        </w:rPr>
      </w:pPr>
      <w:r>
        <w:rPr>
          <w:b/>
          <w:i/>
          <w:szCs w:val="24"/>
          <w:lang w:eastAsia="en-US"/>
        </w:rPr>
        <w:t>a)</w:t>
      </w:r>
      <w:r>
        <w:rPr>
          <w:szCs w:val="24"/>
          <w:lang w:eastAsia="en-US"/>
        </w:rPr>
        <w:tab/>
      </w:r>
      <w:r>
        <w:rPr>
          <w:b/>
          <w:i/>
          <w:szCs w:val="24"/>
          <w:lang w:eastAsia="en-US"/>
        </w:rPr>
        <w:t>plánov a projektov, ktoré môžu byť v rozpore s požiadavkami článku 4, a to aj s cieľom zabrániť zhoršeniu stavu vodných útvarov a dosiahnuť dobrý stav vody, dobrý ekologický potenciál a/alebo dobrý chemický stav vody, pokiaľ tieto požiadavky ešte nie sú stanovené v článku 11 smernice 2011/92/EÚ;</w:t>
      </w:r>
    </w:p>
    <w:p w14:paraId="531944A2" w14:textId="77777777" w:rsidR="002709ED" w:rsidRDefault="00B2757B">
      <w:pPr>
        <w:widowControl/>
        <w:rPr>
          <w:b/>
          <w:i/>
          <w:szCs w:val="24"/>
          <w:lang w:eastAsia="en-US"/>
        </w:rPr>
      </w:pPr>
      <w:r>
        <w:rPr>
          <w:b/>
          <w:i/>
          <w:szCs w:val="24"/>
          <w:lang w:eastAsia="en-US"/>
        </w:rPr>
        <w:br w:type="page"/>
      </w:r>
    </w:p>
    <w:p w14:paraId="0B6ADE0F" w14:textId="77777777" w:rsidR="002709ED" w:rsidRDefault="00B2757B">
      <w:pPr>
        <w:spacing w:before="120" w:after="120" w:line="360" w:lineRule="auto"/>
        <w:ind w:left="1982" w:hanging="566"/>
        <w:rPr>
          <w:szCs w:val="24"/>
          <w:lang w:eastAsia="en-US"/>
        </w:rPr>
      </w:pPr>
      <w:r>
        <w:rPr>
          <w:b/>
          <w:i/>
          <w:szCs w:val="24"/>
          <w:lang w:eastAsia="en-US"/>
        </w:rPr>
        <w:lastRenderedPageBreak/>
        <w:t>b)</w:t>
      </w:r>
      <w:r>
        <w:rPr>
          <w:szCs w:val="24"/>
          <w:lang w:eastAsia="en-US"/>
        </w:rPr>
        <w:tab/>
      </w:r>
      <w:r>
        <w:rPr>
          <w:b/>
          <w:i/>
          <w:szCs w:val="24"/>
          <w:lang w:eastAsia="en-US"/>
        </w:rPr>
        <w:t>programov opatrení uvedených v článku 11, plánov manažmentu povodia členských štátov podľa článku 13 ods. 1 a doplnkových programov alebo plánov manažmentu členského štátu podľa článku 13 ods. 5.</w:t>
      </w:r>
    </w:p>
    <w:p w14:paraId="1DD5ABCF" w14:textId="77777777" w:rsidR="002709ED" w:rsidRDefault="00B2757B">
      <w:pPr>
        <w:spacing w:before="120" w:after="120" w:line="360" w:lineRule="auto"/>
        <w:ind w:left="1416" w:hanging="566"/>
        <w:rPr>
          <w:szCs w:val="24"/>
          <w:lang w:eastAsia="en-US"/>
        </w:rPr>
      </w:pPr>
      <w:r>
        <w:rPr>
          <w:b/>
          <w:i/>
          <w:szCs w:val="24"/>
          <w:lang w:eastAsia="en-US"/>
        </w:rPr>
        <w:t>2.</w:t>
      </w:r>
      <w:r>
        <w:rPr>
          <w:szCs w:val="24"/>
          <w:lang w:eastAsia="en-US"/>
        </w:rPr>
        <w:tab/>
      </w:r>
      <w:r>
        <w:rPr>
          <w:b/>
          <w:i/>
          <w:szCs w:val="24"/>
          <w:lang w:eastAsia="en-US"/>
        </w:rPr>
        <w:t>Členské štáty určia, čo predstavuje dostatočný záujem a porušenie práva, a to spôsobom, ktorý je v súlade s cieľom poskytnúť verejnosti široký prístup k spravodlivosti. Na účely odseku 1 sa predpokladá, že každá mimovládna organizácia, ktorá podporuje ochranu životného prostredia a spĺňa všetky požiadavky vnútroštátnych právnych predpisov, má práva, ktoré môžu byť porušené, a jej záujem sa považuje za dostatočný.</w:t>
      </w:r>
    </w:p>
    <w:p w14:paraId="292CED2E" w14:textId="77777777" w:rsidR="002709ED" w:rsidRDefault="00B2757B">
      <w:pPr>
        <w:spacing w:before="120" w:after="120" w:line="360" w:lineRule="auto"/>
        <w:ind w:left="1416" w:hanging="566"/>
        <w:rPr>
          <w:szCs w:val="24"/>
          <w:lang w:eastAsia="en-US"/>
        </w:rPr>
      </w:pPr>
      <w:r>
        <w:rPr>
          <w:b/>
          <w:i/>
          <w:szCs w:val="24"/>
          <w:lang w:eastAsia="en-US"/>
        </w:rPr>
        <w:t>3.</w:t>
      </w:r>
      <w:r>
        <w:rPr>
          <w:szCs w:val="24"/>
          <w:lang w:eastAsia="en-US"/>
        </w:rPr>
        <w:tab/>
      </w:r>
      <w:r>
        <w:rPr>
          <w:b/>
          <w:i/>
          <w:szCs w:val="24"/>
          <w:lang w:eastAsia="en-US"/>
        </w:rPr>
        <w:t>Postupy preskúmania uvedené v odseku 1 musia byť spravodlivé, nestranné a ukončené včas a nesmú byť nedostupne drahé. Tieto postupy zahŕňajú aj poskytnutie primeranej a účinnej nápravy vrátane prípadného súdneho príkazu ukladajúceho povinnosť zdržať sa určitého konania.</w:t>
      </w:r>
    </w:p>
    <w:p w14:paraId="3B93D467" w14:textId="77777777" w:rsidR="002709ED" w:rsidRDefault="00B2757B">
      <w:pPr>
        <w:widowControl/>
        <w:rPr>
          <w:b/>
          <w:i/>
          <w:szCs w:val="24"/>
          <w:lang w:eastAsia="en-US"/>
        </w:rPr>
      </w:pPr>
      <w:r>
        <w:rPr>
          <w:b/>
          <w:i/>
          <w:szCs w:val="24"/>
          <w:lang w:eastAsia="en-US"/>
        </w:rPr>
        <w:br w:type="page"/>
      </w:r>
    </w:p>
    <w:p w14:paraId="31485354" w14:textId="77777777" w:rsidR="002709ED" w:rsidRDefault="00B2757B">
      <w:pPr>
        <w:spacing w:before="120" w:after="120" w:line="360" w:lineRule="auto"/>
        <w:ind w:left="1416" w:hanging="566"/>
        <w:rPr>
          <w:b/>
          <w:szCs w:val="24"/>
          <w:lang w:eastAsia="en-US"/>
        </w:rPr>
      </w:pPr>
      <w:r>
        <w:rPr>
          <w:b/>
          <w:i/>
          <w:szCs w:val="24"/>
          <w:lang w:eastAsia="en-US"/>
        </w:rPr>
        <w:lastRenderedPageBreak/>
        <w:t>4.</w:t>
      </w:r>
      <w:r>
        <w:rPr>
          <w:szCs w:val="24"/>
          <w:lang w:eastAsia="en-US"/>
        </w:rPr>
        <w:tab/>
      </w:r>
      <w:r>
        <w:rPr>
          <w:b/>
          <w:i/>
          <w:szCs w:val="24"/>
          <w:lang w:eastAsia="en-US"/>
        </w:rPr>
        <w:t>Členské štáty zabezpečia, aby sa verejnosti sprístupnili praktické informácie o prístupe k prostriedkom správneho a súdneho preskúmania uvedeným v tomto článku.“</w:t>
      </w:r>
      <w:r>
        <w:rPr>
          <w:b/>
          <w:szCs w:val="24"/>
          <w:lang w:eastAsia="en-US"/>
        </w:rPr>
        <w:t xml:space="preserve"> [PN 73]</w:t>
      </w:r>
    </w:p>
    <w:p w14:paraId="3EB1842C" w14:textId="77777777" w:rsidR="002709ED" w:rsidRDefault="00B2757B">
      <w:pPr>
        <w:spacing w:before="120" w:after="120" w:line="360" w:lineRule="auto"/>
        <w:ind w:left="850" w:hanging="850"/>
        <w:rPr>
          <w:b/>
          <w:szCs w:val="24"/>
          <w:lang w:eastAsia="en-US"/>
        </w:rPr>
      </w:pPr>
      <w:r>
        <w:rPr>
          <w:strike/>
          <w:szCs w:val="24"/>
          <w:lang w:eastAsia="en-US"/>
        </w:rPr>
        <w:t>10.</w:t>
      </w:r>
      <w:r>
        <w:rPr>
          <w:szCs w:val="24"/>
          <w:lang w:eastAsia="en-US"/>
        </w:rPr>
        <w:tab/>
      </w:r>
      <w:r>
        <w:rPr>
          <w:strike/>
          <w:szCs w:val="24"/>
          <w:lang w:eastAsia="en-US"/>
        </w:rPr>
        <w:t>V článku 15 sa vypúšťa odsek 3;</w:t>
      </w:r>
      <w:r>
        <w:rPr>
          <w:b/>
          <w:szCs w:val="24"/>
          <w:lang w:eastAsia="en-US"/>
        </w:rPr>
        <w:t xml:space="preserve"> [PN74 ]</w:t>
      </w:r>
    </w:p>
    <w:p w14:paraId="3B2870D7" w14:textId="77777777" w:rsidR="002709ED" w:rsidRDefault="00B2757B">
      <w:pPr>
        <w:spacing w:before="120" w:after="120" w:line="360" w:lineRule="auto"/>
        <w:ind w:left="850" w:hanging="850"/>
        <w:rPr>
          <w:szCs w:val="24"/>
          <w:lang w:eastAsia="en-US"/>
        </w:rPr>
      </w:pPr>
      <w:r>
        <w:rPr>
          <w:b/>
          <w:i/>
          <w:szCs w:val="24"/>
          <w:lang w:eastAsia="en-US"/>
        </w:rPr>
        <w:t>10a.</w:t>
      </w:r>
      <w:r>
        <w:rPr>
          <w:szCs w:val="24"/>
          <w:lang w:eastAsia="en-US"/>
        </w:rPr>
        <w:tab/>
      </w:r>
      <w:r>
        <w:rPr>
          <w:b/>
          <w:i/>
          <w:szCs w:val="24"/>
          <w:lang w:eastAsia="en-US"/>
        </w:rPr>
        <w:t>do článku 15 ods. 3 sa dopĺňa tento pododsek:</w:t>
      </w:r>
    </w:p>
    <w:p w14:paraId="197DAE51" w14:textId="77777777" w:rsidR="002709ED" w:rsidRDefault="00B2757B">
      <w:pPr>
        <w:spacing w:before="120" w:after="120" w:line="360" w:lineRule="auto"/>
        <w:ind w:left="850"/>
        <w:rPr>
          <w:b/>
          <w:szCs w:val="24"/>
          <w:lang w:eastAsia="en-US"/>
        </w:rPr>
      </w:pPr>
      <w:r>
        <w:rPr>
          <w:szCs w:val="24"/>
          <w:lang w:eastAsia="en-US"/>
        </w:rPr>
        <w:t>„</w:t>
      </w:r>
      <w:r>
        <w:rPr>
          <w:b/>
          <w:i/>
          <w:szCs w:val="24"/>
          <w:lang w:eastAsia="en-US"/>
        </w:rPr>
        <w:t>Komisia prijme usmernenia a vzory týkajúce sa obsahu, štruktúry a formátu priebežných správ uvedených v prvom pododseku najneskôr do [šiestich mesiacov po nadobudnutí účinnosti tejto smernice].</w:t>
      </w:r>
      <w:r>
        <w:rPr>
          <w:szCs w:val="24"/>
          <w:lang w:eastAsia="en-US"/>
        </w:rPr>
        <w:t>“</w:t>
      </w:r>
      <w:r>
        <w:rPr>
          <w:b/>
          <w:szCs w:val="24"/>
          <w:lang w:eastAsia="en-US"/>
        </w:rPr>
        <w:t xml:space="preserve"> [PN 75]</w:t>
      </w:r>
    </w:p>
    <w:p w14:paraId="05951479" w14:textId="77777777" w:rsidR="002709ED" w:rsidRDefault="00B2757B">
      <w:pPr>
        <w:spacing w:before="120" w:after="120" w:line="360" w:lineRule="auto"/>
        <w:ind w:left="850" w:hanging="850"/>
        <w:rPr>
          <w:szCs w:val="24"/>
          <w:lang w:eastAsia="en-US"/>
        </w:rPr>
      </w:pPr>
      <w:r>
        <w:rPr>
          <w:szCs w:val="24"/>
          <w:lang w:eastAsia="en-US"/>
        </w:rPr>
        <w:t>11.</w:t>
      </w:r>
      <w:r>
        <w:rPr>
          <w:szCs w:val="24"/>
          <w:lang w:eastAsia="en-US"/>
        </w:rPr>
        <w:tab/>
        <w:t>Články 16 a 17 sa vypúšťajú;</w:t>
      </w:r>
    </w:p>
    <w:p w14:paraId="433F1E87" w14:textId="77777777" w:rsidR="002709ED" w:rsidRDefault="00B2757B">
      <w:pPr>
        <w:spacing w:before="120" w:after="120" w:line="360" w:lineRule="auto"/>
        <w:ind w:left="850" w:hanging="850"/>
        <w:rPr>
          <w:szCs w:val="24"/>
          <w:lang w:eastAsia="en-US"/>
        </w:rPr>
      </w:pPr>
      <w:r>
        <w:rPr>
          <w:szCs w:val="24"/>
          <w:lang w:eastAsia="en-US"/>
        </w:rPr>
        <w:t>12.</w:t>
      </w:r>
      <w:r>
        <w:rPr>
          <w:szCs w:val="24"/>
          <w:lang w:eastAsia="en-US"/>
        </w:rPr>
        <w:tab/>
        <w:t>Článok 18 sa mení takto:</w:t>
      </w:r>
    </w:p>
    <w:p w14:paraId="67830033" w14:textId="77777777" w:rsidR="002709ED" w:rsidRDefault="00B2757B">
      <w:pPr>
        <w:spacing w:before="120" w:after="120" w:line="360" w:lineRule="auto"/>
        <w:ind w:left="1416" w:hanging="566"/>
        <w:rPr>
          <w:szCs w:val="24"/>
          <w:lang w:eastAsia="en-US"/>
        </w:rPr>
      </w:pPr>
      <w:r>
        <w:rPr>
          <w:szCs w:val="24"/>
          <w:lang w:eastAsia="en-US"/>
        </w:rPr>
        <w:t>a)</w:t>
      </w:r>
      <w:r>
        <w:rPr>
          <w:szCs w:val="24"/>
          <w:lang w:eastAsia="en-US"/>
        </w:rPr>
        <w:tab/>
        <w:t>V odseku 2 sa písmeno e) nahrádza takto:</w:t>
      </w:r>
    </w:p>
    <w:p w14:paraId="27AB9898" w14:textId="77777777" w:rsidR="002709ED" w:rsidRDefault="00B2757B">
      <w:pPr>
        <w:spacing w:before="120" w:after="120" w:line="360" w:lineRule="auto"/>
        <w:ind w:left="1982" w:hanging="566"/>
        <w:rPr>
          <w:szCs w:val="24"/>
          <w:lang w:eastAsia="en-US"/>
        </w:rPr>
      </w:pPr>
      <w:r>
        <w:rPr>
          <w:szCs w:val="24"/>
          <w:lang w:eastAsia="en-US"/>
        </w:rPr>
        <w:t>„e)</w:t>
      </w:r>
      <w:r>
        <w:rPr>
          <w:szCs w:val="24"/>
          <w:lang w:eastAsia="en-US"/>
        </w:rPr>
        <w:tab/>
        <w:t>súhrn všetkých návrhov, regulačných opatrení a stratégií na reguláciu chemického znečistenia alebo na zastavenie alebo postupné ukončenie používania rizikových látok;“</w:t>
      </w:r>
    </w:p>
    <w:p w14:paraId="7D09C08E" w14:textId="77777777" w:rsidR="002709ED" w:rsidRDefault="00B2757B">
      <w:pPr>
        <w:spacing w:before="120" w:after="120" w:line="360" w:lineRule="auto"/>
        <w:ind w:left="1416" w:hanging="566"/>
        <w:rPr>
          <w:b/>
          <w:szCs w:val="24"/>
          <w:lang w:eastAsia="en-US"/>
        </w:rPr>
      </w:pPr>
      <w:r>
        <w:rPr>
          <w:strike/>
          <w:szCs w:val="24"/>
          <w:lang w:eastAsia="en-US"/>
        </w:rPr>
        <w:t>b)</w:t>
      </w:r>
      <w:r>
        <w:rPr>
          <w:szCs w:val="24"/>
          <w:lang w:eastAsia="en-US"/>
        </w:rPr>
        <w:tab/>
      </w:r>
      <w:r>
        <w:rPr>
          <w:strike/>
          <w:szCs w:val="24"/>
          <w:lang w:eastAsia="en-US"/>
        </w:rPr>
        <w:t>Odsek 4 sa vypúšťa;</w:t>
      </w:r>
      <w:r>
        <w:rPr>
          <w:b/>
          <w:szCs w:val="24"/>
          <w:lang w:eastAsia="en-US"/>
        </w:rPr>
        <w:t xml:space="preserve"> [PN 76]</w:t>
      </w:r>
    </w:p>
    <w:p w14:paraId="7A2CF068" w14:textId="77777777" w:rsidR="002709ED" w:rsidRDefault="00B2757B">
      <w:pPr>
        <w:widowControl/>
        <w:rPr>
          <w:szCs w:val="24"/>
          <w:lang w:eastAsia="en-US"/>
        </w:rPr>
      </w:pPr>
      <w:r>
        <w:rPr>
          <w:szCs w:val="24"/>
          <w:lang w:eastAsia="en-US"/>
        </w:rPr>
        <w:br w:type="page"/>
      </w:r>
    </w:p>
    <w:p w14:paraId="290FCA7B" w14:textId="77777777" w:rsidR="002709ED" w:rsidRDefault="00B2757B">
      <w:pPr>
        <w:spacing w:before="120" w:after="120" w:line="360" w:lineRule="auto"/>
        <w:ind w:left="850" w:hanging="850"/>
        <w:rPr>
          <w:szCs w:val="24"/>
          <w:lang w:eastAsia="en-US"/>
        </w:rPr>
      </w:pPr>
      <w:r>
        <w:rPr>
          <w:szCs w:val="24"/>
          <w:lang w:eastAsia="en-US"/>
        </w:rPr>
        <w:lastRenderedPageBreak/>
        <w:t>13.</w:t>
      </w:r>
      <w:r>
        <w:rPr>
          <w:szCs w:val="24"/>
          <w:lang w:eastAsia="en-US"/>
        </w:rPr>
        <w:tab/>
        <w:t>Článok 20 sa nahrádza takto:</w:t>
      </w:r>
    </w:p>
    <w:p w14:paraId="5DD79E88" w14:textId="77777777" w:rsidR="002709ED" w:rsidRDefault="00B2757B">
      <w:pPr>
        <w:spacing w:before="120" w:after="120" w:line="360" w:lineRule="auto"/>
        <w:ind w:left="850"/>
        <w:rPr>
          <w:szCs w:val="24"/>
          <w:lang w:eastAsia="en-US"/>
        </w:rPr>
      </w:pPr>
      <w:r>
        <w:rPr>
          <w:szCs w:val="24"/>
          <w:lang w:eastAsia="en-US"/>
        </w:rPr>
        <w:t>„Článok 20</w:t>
      </w:r>
    </w:p>
    <w:p w14:paraId="33E9BD0B" w14:textId="77777777" w:rsidR="002709ED" w:rsidRDefault="00B2757B">
      <w:pPr>
        <w:spacing w:before="120" w:after="120" w:line="360" w:lineRule="auto"/>
        <w:ind w:left="850"/>
        <w:rPr>
          <w:szCs w:val="24"/>
          <w:lang w:eastAsia="en-US"/>
        </w:rPr>
      </w:pPr>
      <w:r>
        <w:rPr>
          <w:szCs w:val="24"/>
          <w:lang w:eastAsia="en-US"/>
        </w:rPr>
        <w:t>Technické úpravy a vykonávanie tejto smernice</w:t>
      </w:r>
    </w:p>
    <w:p w14:paraId="29062F95" w14:textId="77777777" w:rsidR="002709ED" w:rsidRDefault="00B2757B">
      <w:pPr>
        <w:spacing w:before="120" w:after="120" w:line="360" w:lineRule="auto"/>
        <w:ind w:left="1416" w:hanging="566"/>
        <w:rPr>
          <w:szCs w:val="24"/>
          <w:lang w:eastAsia="en-US"/>
        </w:rPr>
      </w:pPr>
      <w:r>
        <w:rPr>
          <w:szCs w:val="24"/>
          <w:lang w:eastAsia="en-US"/>
        </w:rPr>
        <w:t>1.</w:t>
      </w:r>
      <w:r>
        <w:rPr>
          <w:szCs w:val="24"/>
          <w:lang w:eastAsia="en-US"/>
        </w:rPr>
        <w:tab/>
        <w:t>Komisia je splnomocnená prijímať delegované akty v súlade s článkom 20a s cieľom zmeniť prílohy I a III a oddiel 1.3.6 prílohy V, aby sa požiadavky na informácie v súvislosti s príslušnými orgánmi, obsah ekonomickej analýzy a vybrané normy monitorovania prispôsobili vedeckému a technickému pokroku.</w:t>
      </w:r>
    </w:p>
    <w:p w14:paraId="6D5C1FC6" w14:textId="77777777" w:rsidR="002709ED" w:rsidRDefault="00B2757B">
      <w:pPr>
        <w:spacing w:before="120" w:after="120" w:line="360" w:lineRule="auto"/>
        <w:ind w:left="1416" w:hanging="566"/>
        <w:rPr>
          <w:szCs w:val="24"/>
          <w:lang w:eastAsia="en-US"/>
        </w:rPr>
      </w:pPr>
      <w:r>
        <w:rPr>
          <w:szCs w:val="24"/>
          <w:lang w:eastAsia="en-US"/>
        </w:rPr>
        <w:t>2.</w:t>
      </w:r>
      <w:r>
        <w:rPr>
          <w:szCs w:val="24"/>
          <w:lang w:eastAsia="en-US"/>
        </w:rPr>
        <w:tab/>
        <w:t>Komisia je splnomocnená prijímať delegované akty v súlade s článkom 20a s cieľom doplniť túto smernicu určením hodnôt stanovených pre klasifikácie monitorovacích systémov členských štátov v súlade s medzikalibračným postupom stanoveným v bode 1.4.1 prílohy V.</w:t>
      </w:r>
    </w:p>
    <w:p w14:paraId="023BD510" w14:textId="77777777" w:rsidR="002709ED" w:rsidRDefault="00B2757B">
      <w:pPr>
        <w:spacing w:before="120" w:after="120" w:line="360" w:lineRule="auto"/>
        <w:ind w:left="1416" w:hanging="566"/>
        <w:rPr>
          <w:szCs w:val="24"/>
          <w:lang w:eastAsia="en-US"/>
        </w:rPr>
      </w:pPr>
      <w:r>
        <w:rPr>
          <w:szCs w:val="24"/>
          <w:lang w:eastAsia="en-US"/>
        </w:rPr>
        <w:t>3.</w:t>
      </w:r>
      <w:r>
        <w:rPr>
          <w:szCs w:val="24"/>
          <w:lang w:eastAsia="en-US"/>
        </w:rPr>
        <w:tab/>
        <w:t>Komisia je splnomocnená prijímať vykonávacie akty s cieľom stanoviť technické formáty prenosu údajov v zmysle článku 8 ods. 4. Uvedené vykonávacie akty sa prijmú v súlade s postupom preskúmania uvedeným v článku 21 ods. 2. Komisii pri stanovovaní týchto formátov na požiadanie pomáha agentúra EEA.“</w:t>
      </w:r>
    </w:p>
    <w:p w14:paraId="4C696A1A" w14:textId="77777777" w:rsidR="002709ED" w:rsidRDefault="00B2757B">
      <w:pPr>
        <w:widowControl/>
        <w:rPr>
          <w:szCs w:val="24"/>
          <w:lang w:eastAsia="en-US"/>
        </w:rPr>
      </w:pPr>
      <w:r>
        <w:rPr>
          <w:szCs w:val="24"/>
          <w:lang w:eastAsia="en-US"/>
        </w:rPr>
        <w:br w:type="page"/>
      </w:r>
    </w:p>
    <w:p w14:paraId="0318567F" w14:textId="77777777" w:rsidR="002709ED" w:rsidRDefault="00B2757B">
      <w:pPr>
        <w:spacing w:before="120" w:after="120" w:line="360" w:lineRule="auto"/>
        <w:ind w:left="850" w:hanging="850"/>
        <w:rPr>
          <w:szCs w:val="24"/>
          <w:lang w:eastAsia="en-US"/>
        </w:rPr>
      </w:pPr>
      <w:r>
        <w:rPr>
          <w:szCs w:val="24"/>
          <w:lang w:eastAsia="en-US"/>
        </w:rPr>
        <w:lastRenderedPageBreak/>
        <w:t>14.</w:t>
      </w:r>
      <w:r>
        <w:rPr>
          <w:szCs w:val="24"/>
          <w:lang w:eastAsia="en-US"/>
        </w:rPr>
        <w:tab/>
        <w:t>Vkladá sa tento článok 20a:</w:t>
      </w:r>
    </w:p>
    <w:p w14:paraId="57BAF198" w14:textId="77777777" w:rsidR="002709ED" w:rsidRDefault="00B2757B">
      <w:pPr>
        <w:spacing w:before="120" w:after="120" w:line="360" w:lineRule="auto"/>
        <w:ind w:left="850"/>
        <w:rPr>
          <w:szCs w:val="24"/>
          <w:lang w:eastAsia="en-US"/>
        </w:rPr>
      </w:pPr>
      <w:r>
        <w:rPr>
          <w:szCs w:val="24"/>
          <w:lang w:eastAsia="en-US"/>
        </w:rPr>
        <w:t>„Článok 20a</w:t>
      </w:r>
    </w:p>
    <w:p w14:paraId="39D33B8C" w14:textId="77777777" w:rsidR="002709ED" w:rsidRDefault="00B2757B">
      <w:pPr>
        <w:spacing w:before="120" w:after="120" w:line="360" w:lineRule="auto"/>
        <w:ind w:left="850"/>
        <w:rPr>
          <w:szCs w:val="24"/>
          <w:lang w:eastAsia="en-US"/>
        </w:rPr>
      </w:pPr>
      <w:r>
        <w:rPr>
          <w:szCs w:val="24"/>
          <w:lang w:eastAsia="en-US"/>
        </w:rPr>
        <w:t>Vykonávanie delegovania právomoci</w:t>
      </w:r>
    </w:p>
    <w:p w14:paraId="77A046D8" w14:textId="77777777" w:rsidR="002709ED" w:rsidRDefault="00B2757B">
      <w:pPr>
        <w:spacing w:before="120" w:after="120" w:line="360" w:lineRule="auto"/>
        <w:ind w:left="1416" w:hanging="566"/>
        <w:rPr>
          <w:szCs w:val="24"/>
          <w:lang w:eastAsia="en-US"/>
        </w:rPr>
      </w:pPr>
      <w:r>
        <w:rPr>
          <w:szCs w:val="24"/>
          <w:lang w:eastAsia="en-US"/>
        </w:rPr>
        <w:t>1.</w:t>
      </w:r>
      <w:r>
        <w:rPr>
          <w:szCs w:val="24"/>
          <w:lang w:eastAsia="en-US"/>
        </w:rPr>
        <w:tab/>
        <w:t>Komisii sa udeľuje právomoc prijímať delegované akty za podmienok stanovených v tomto článku.</w:t>
      </w:r>
    </w:p>
    <w:p w14:paraId="5ACAB644" w14:textId="77777777" w:rsidR="002709ED" w:rsidRDefault="00B2757B">
      <w:pPr>
        <w:spacing w:before="120" w:after="120" w:line="360" w:lineRule="auto"/>
        <w:ind w:left="1416" w:hanging="566"/>
        <w:rPr>
          <w:szCs w:val="24"/>
          <w:lang w:eastAsia="en-US"/>
        </w:rPr>
      </w:pPr>
      <w:r>
        <w:rPr>
          <w:szCs w:val="24"/>
          <w:lang w:eastAsia="en-US"/>
        </w:rPr>
        <w:t>2.</w:t>
      </w:r>
      <w:r>
        <w:rPr>
          <w:szCs w:val="24"/>
          <w:lang w:eastAsia="en-US"/>
        </w:rPr>
        <w:tab/>
        <w:t>Právomoc prijímať delegované akty uvedené v článku 20 ods. 1 sa Komisii udeľuje na dobu neurčitú od [Úrad pre publikácie: vložte dátum = dátum nadobudnutia účinnosti tejto smernice].</w:t>
      </w:r>
    </w:p>
    <w:p w14:paraId="2DBF3AD3" w14:textId="77777777" w:rsidR="002709ED" w:rsidRDefault="00B2757B">
      <w:pPr>
        <w:spacing w:before="120" w:after="120" w:line="360" w:lineRule="auto"/>
        <w:ind w:left="1416" w:hanging="566"/>
        <w:rPr>
          <w:szCs w:val="24"/>
          <w:lang w:eastAsia="en-US"/>
        </w:rPr>
      </w:pPr>
      <w:r>
        <w:rPr>
          <w:szCs w:val="24"/>
          <w:lang w:eastAsia="en-US"/>
        </w:rPr>
        <w:t>3.</w:t>
      </w:r>
      <w:r>
        <w:rPr>
          <w:szCs w:val="24"/>
          <w:lang w:eastAsia="en-US"/>
        </w:rPr>
        <w:tab/>
        <w:t xml:space="preserve">Delegovanie právomoci uvedené v článku 20 ods. 1 môže Európsky parlament alebo Rada kedykoľvek odvolať. Rozhodnutím o odvolaní sa ukončuje delegovanie právomoci, ktoré sa v ňom uvádza. Rozhodnutie nadobúda účinnosť dňom nasledujúcim po jeho uverejnení v </w:t>
      </w:r>
      <w:r>
        <w:rPr>
          <w:i/>
          <w:szCs w:val="24"/>
          <w:lang w:eastAsia="en-US"/>
        </w:rPr>
        <w:t>Úradnom vestníku Európskej únie</w:t>
      </w:r>
      <w:r>
        <w:rPr>
          <w:szCs w:val="24"/>
          <w:lang w:eastAsia="en-US"/>
        </w:rPr>
        <w:t xml:space="preserve"> alebo k neskoršiemu dátumu, ktorý je v ňom určený. Nie je ním dotknutá platnosť delegovaných aktov, ktoré už nadobudli účinnosť.</w:t>
      </w:r>
    </w:p>
    <w:p w14:paraId="1C408E9D" w14:textId="77777777" w:rsidR="002709ED" w:rsidRDefault="00B2757B">
      <w:pPr>
        <w:widowControl/>
        <w:rPr>
          <w:szCs w:val="24"/>
          <w:lang w:eastAsia="en-US"/>
        </w:rPr>
      </w:pPr>
      <w:r>
        <w:rPr>
          <w:szCs w:val="24"/>
          <w:lang w:eastAsia="en-US"/>
        </w:rPr>
        <w:br w:type="page"/>
      </w:r>
    </w:p>
    <w:p w14:paraId="73ABEE54" w14:textId="77777777" w:rsidR="002709ED" w:rsidRDefault="00B2757B">
      <w:pPr>
        <w:spacing w:before="120" w:after="120" w:line="360" w:lineRule="auto"/>
        <w:ind w:left="1416" w:hanging="566"/>
        <w:rPr>
          <w:szCs w:val="24"/>
          <w:lang w:eastAsia="en-US"/>
        </w:rPr>
      </w:pPr>
      <w:r>
        <w:rPr>
          <w:szCs w:val="24"/>
          <w:lang w:eastAsia="en-US"/>
        </w:rPr>
        <w:lastRenderedPageBreak/>
        <w:t>4.</w:t>
      </w:r>
      <w:r>
        <w:rPr>
          <w:szCs w:val="24"/>
          <w:lang w:eastAsia="en-US"/>
        </w:rPr>
        <w:tab/>
        <w:t>Komisia pred prijatím delegovaného aktu konzultuje s expertmi určenými jednotlivými členskými štátmi v súlade so zásadami stanovenými v Medziinštitucionálnej dohode o lepšej tvorbe práva z 13. apríla 2016.</w:t>
      </w:r>
    </w:p>
    <w:p w14:paraId="25E30FCB" w14:textId="77777777" w:rsidR="002709ED" w:rsidRDefault="00B2757B">
      <w:pPr>
        <w:spacing w:before="120" w:after="120" w:line="360" w:lineRule="auto"/>
        <w:ind w:left="1416" w:hanging="566"/>
        <w:rPr>
          <w:szCs w:val="24"/>
          <w:lang w:eastAsia="en-US"/>
        </w:rPr>
      </w:pPr>
      <w:r>
        <w:rPr>
          <w:szCs w:val="24"/>
          <w:lang w:eastAsia="en-US"/>
        </w:rPr>
        <w:t>5.</w:t>
      </w:r>
      <w:r>
        <w:rPr>
          <w:szCs w:val="24"/>
          <w:lang w:eastAsia="en-US"/>
        </w:rPr>
        <w:tab/>
        <w:t>Komisia oznamuje delegovaný akt hneď po jeho prijatí súčasne Európskemu parlamentu a Rade.</w:t>
      </w:r>
    </w:p>
    <w:p w14:paraId="12E19B37" w14:textId="77777777" w:rsidR="002709ED" w:rsidRDefault="00B2757B">
      <w:pPr>
        <w:spacing w:before="120" w:after="120" w:line="360" w:lineRule="auto"/>
        <w:ind w:left="1416" w:hanging="566"/>
        <w:rPr>
          <w:szCs w:val="24"/>
          <w:lang w:eastAsia="en-US"/>
        </w:rPr>
      </w:pPr>
      <w:r>
        <w:rPr>
          <w:szCs w:val="24"/>
          <w:lang w:eastAsia="en-US"/>
        </w:rPr>
        <w:t>6.</w:t>
      </w:r>
      <w:r>
        <w:rPr>
          <w:szCs w:val="24"/>
          <w:lang w:eastAsia="en-US"/>
        </w:rPr>
        <w:tab/>
        <w:t>Delegovaný akt prijatý podľa článku 20 ods. 1 nadobudne účinnosť, len ak Európsky parlament alebo Rada voči nemu nevzniesli námietku v lehote dvoch mesiacov odo dňa oznámenia uvedeného aktu Európskemu parlamentu a Rade alebo ak pred uplynutím uvedenej lehoty Európsky parlament a Rada informovali Komisiu o svojom rozhodnutí nevzniesť námietku. Na podnet Európskeho parlamentu alebo Rady sa táto lehota predĺži o dva mesiace.;“</w:t>
      </w:r>
    </w:p>
    <w:p w14:paraId="740C56DB" w14:textId="77777777" w:rsidR="002709ED" w:rsidRDefault="00B2757B">
      <w:pPr>
        <w:widowControl/>
        <w:rPr>
          <w:szCs w:val="24"/>
          <w:lang w:eastAsia="en-US"/>
        </w:rPr>
      </w:pPr>
      <w:r>
        <w:rPr>
          <w:szCs w:val="24"/>
          <w:lang w:eastAsia="en-US"/>
        </w:rPr>
        <w:br w:type="page"/>
      </w:r>
    </w:p>
    <w:p w14:paraId="186D1383" w14:textId="77777777" w:rsidR="002709ED" w:rsidRDefault="00B2757B">
      <w:pPr>
        <w:spacing w:before="120" w:after="120" w:line="360" w:lineRule="auto"/>
        <w:ind w:left="850" w:hanging="850"/>
        <w:rPr>
          <w:szCs w:val="24"/>
          <w:lang w:eastAsia="en-US"/>
        </w:rPr>
      </w:pPr>
      <w:r>
        <w:rPr>
          <w:szCs w:val="24"/>
          <w:lang w:eastAsia="en-US"/>
        </w:rPr>
        <w:lastRenderedPageBreak/>
        <w:t>15.</w:t>
      </w:r>
      <w:r>
        <w:rPr>
          <w:szCs w:val="24"/>
          <w:lang w:eastAsia="en-US"/>
        </w:rPr>
        <w:tab/>
        <w:t>Článok 21 sa nahrádza takto:</w:t>
      </w:r>
    </w:p>
    <w:p w14:paraId="2B92371F" w14:textId="77777777" w:rsidR="002709ED" w:rsidRDefault="00B2757B">
      <w:pPr>
        <w:spacing w:before="120" w:after="120" w:line="360" w:lineRule="auto"/>
        <w:ind w:left="850"/>
        <w:rPr>
          <w:szCs w:val="24"/>
          <w:lang w:eastAsia="en-US"/>
        </w:rPr>
      </w:pPr>
      <w:r>
        <w:rPr>
          <w:szCs w:val="24"/>
          <w:lang w:eastAsia="en-US"/>
        </w:rPr>
        <w:t>„Článok 21</w:t>
      </w:r>
    </w:p>
    <w:p w14:paraId="23597263" w14:textId="77777777" w:rsidR="002709ED" w:rsidRDefault="00B2757B">
      <w:pPr>
        <w:spacing w:before="120" w:after="120" w:line="360" w:lineRule="auto"/>
        <w:ind w:left="850"/>
        <w:rPr>
          <w:szCs w:val="24"/>
          <w:lang w:eastAsia="en-US"/>
        </w:rPr>
      </w:pPr>
      <w:r>
        <w:rPr>
          <w:szCs w:val="24"/>
          <w:lang w:eastAsia="en-US"/>
        </w:rPr>
        <w:t>Postup výboru</w:t>
      </w:r>
    </w:p>
    <w:p w14:paraId="3985F670" w14:textId="77777777" w:rsidR="002709ED" w:rsidRDefault="00B2757B">
      <w:pPr>
        <w:spacing w:before="120" w:after="120" w:line="360" w:lineRule="auto"/>
        <w:ind w:left="1416" w:hanging="566"/>
        <w:rPr>
          <w:szCs w:val="24"/>
          <w:lang w:eastAsia="en-US"/>
        </w:rPr>
      </w:pPr>
      <w:r>
        <w:rPr>
          <w:szCs w:val="24"/>
          <w:lang w:eastAsia="en-US"/>
        </w:rPr>
        <w:t>1.</w:t>
      </w:r>
      <w:r>
        <w:rPr>
          <w:szCs w:val="24"/>
          <w:lang w:eastAsia="en-US"/>
        </w:rPr>
        <w:tab/>
        <w:t>Komisii pomáha výbor. Tento výbor je výborom v zmysle nariadenia Európskeho parlamentu a Rady (EÚ) č. 182/2011*.</w:t>
      </w:r>
    </w:p>
    <w:p w14:paraId="634C028C" w14:textId="77777777" w:rsidR="002709ED" w:rsidRDefault="00B2757B">
      <w:pPr>
        <w:spacing w:before="120" w:after="120" w:line="360" w:lineRule="auto"/>
        <w:ind w:left="1416" w:hanging="566"/>
        <w:rPr>
          <w:szCs w:val="24"/>
          <w:lang w:eastAsia="en-US"/>
        </w:rPr>
      </w:pPr>
      <w:r>
        <w:rPr>
          <w:szCs w:val="24"/>
          <w:lang w:eastAsia="en-US"/>
        </w:rPr>
        <w:t>2.</w:t>
      </w:r>
      <w:r>
        <w:rPr>
          <w:szCs w:val="24"/>
          <w:lang w:eastAsia="en-US"/>
        </w:rPr>
        <w:tab/>
        <w:t>Ak sa odkazuje na tento odsek, uplatňuje sa článok 5 nariadenia (EÚ) č. 182/2011.</w:t>
      </w:r>
    </w:p>
    <w:p w14:paraId="760AA938" w14:textId="77777777" w:rsidR="002709ED" w:rsidRDefault="00B2757B">
      <w:pPr>
        <w:spacing w:before="120" w:after="120" w:line="360" w:lineRule="auto"/>
        <w:ind w:left="1416"/>
        <w:rPr>
          <w:szCs w:val="24"/>
          <w:lang w:eastAsia="en-US"/>
        </w:rPr>
      </w:pPr>
      <w:r>
        <w:rPr>
          <w:szCs w:val="24"/>
          <w:lang w:eastAsia="en-US"/>
        </w:rPr>
        <w:t>Ak výbor nevydá žiadne stanovisko, Komisia neprijme návrh vykonávacieho aktu a uplatňuje sa článok 5 ods. 4 tretí pododsek nariadenia (EÚ) č. 182/2011.</w:t>
      </w:r>
    </w:p>
    <w:p w14:paraId="120ACCEC" w14:textId="77777777" w:rsidR="002709ED" w:rsidRDefault="00B2757B">
      <w:pPr>
        <w:spacing w:before="120" w:after="120" w:line="360" w:lineRule="auto"/>
        <w:ind w:left="1985" w:hanging="569"/>
        <w:rPr>
          <w:szCs w:val="24"/>
          <w:lang w:eastAsia="en-US"/>
        </w:rPr>
      </w:pPr>
      <w:r>
        <w:rPr>
          <w:szCs w:val="24"/>
          <w:lang w:eastAsia="en-US"/>
        </w:rPr>
        <w:t xml:space="preserve">* </w:t>
      </w:r>
      <w:r>
        <w:rPr>
          <w:szCs w:val="24"/>
          <w:lang w:eastAsia="en-US"/>
        </w:rPr>
        <w:tab/>
        <w:t>Nariadenie Európskeho parlamentu a Rady (EÚ) č. 182/2011 zo 16. februára 2011, ktorým sa ustanovujú pravidlá a všeobecné zásady mechanizmu, na základe ktorého členské štáty kontrolujú vykonávanie vykonávacích právomocí Komisie (Ú. v. EÚ L 55, 28.2.2011, s. 13).;“</w:t>
      </w:r>
    </w:p>
    <w:p w14:paraId="43642BB6" w14:textId="77777777" w:rsidR="002709ED" w:rsidRDefault="00B2757B">
      <w:pPr>
        <w:widowControl/>
        <w:rPr>
          <w:szCs w:val="24"/>
          <w:lang w:eastAsia="en-US"/>
        </w:rPr>
      </w:pPr>
      <w:r>
        <w:rPr>
          <w:szCs w:val="24"/>
          <w:lang w:eastAsia="en-US"/>
        </w:rPr>
        <w:br w:type="page"/>
      </w:r>
    </w:p>
    <w:p w14:paraId="74EDC4DF" w14:textId="77777777" w:rsidR="002709ED" w:rsidRDefault="00B2757B">
      <w:pPr>
        <w:spacing w:before="120" w:after="120" w:line="360" w:lineRule="auto"/>
        <w:ind w:left="850" w:hanging="850"/>
        <w:rPr>
          <w:szCs w:val="24"/>
          <w:lang w:eastAsia="en-US"/>
        </w:rPr>
      </w:pPr>
      <w:r>
        <w:rPr>
          <w:szCs w:val="24"/>
          <w:lang w:eastAsia="en-US"/>
        </w:rPr>
        <w:lastRenderedPageBreak/>
        <w:t>16.</w:t>
      </w:r>
      <w:r>
        <w:rPr>
          <w:szCs w:val="24"/>
          <w:lang w:eastAsia="en-US"/>
        </w:rPr>
        <w:tab/>
        <w:t>V článku 22 sa odsek 4 nahrádza takto:</w:t>
      </w:r>
    </w:p>
    <w:p w14:paraId="60A6A475" w14:textId="77777777" w:rsidR="002709ED" w:rsidRDefault="00B2757B">
      <w:pPr>
        <w:spacing w:before="120" w:after="120" w:line="360" w:lineRule="auto"/>
        <w:ind w:left="1416" w:hanging="566"/>
        <w:rPr>
          <w:szCs w:val="24"/>
          <w:lang w:eastAsia="en-US"/>
        </w:rPr>
      </w:pPr>
      <w:r>
        <w:rPr>
          <w:szCs w:val="24"/>
          <w:lang w:eastAsia="en-US"/>
        </w:rPr>
        <w:t>„4.</w:t>
      </w:r>
      <w:r>
        <w:rPr>
          <w:szCs w:val="24"/>
          <w:lang w:eastAsia="en-US"/>
        </w:rPr>
        <w:tab/>
        <w:t>Environmentálne ciele uvedené v článku 4, environmentálne normy kvality stanovené v časti A prílohy I k smernici 2008/105/ES a prahové hodnoty pre znečisťujúce látky špecifické pre povodie stanovené podľa článkov 8 a 8d uvedenej smernice sa na účely smernice 2010/75/EÚ považujú za normy environmentálnej kvality.;“</w:t>
      </w:r>
    </w:p>
    <w:p w14:paraId="740009AC" w14:textId="77777777" w:rsidR="002709ED" w:rsidRDefault="00B2757B">
      <w:pPr>
        <w:spacing w:before="120" w:after="120" w:line="360" w:lineRule="auto"/>
        <w:ind w:left="850" w:hanging="850"/>
        <w:rPr>
          <w:szCs w:val="24"/>
          <w:lang w:eastAsia="en-US"/>
        </w:rPr>
      </w:pPr>
      <w:r>
        <w:rPr>
          <w:szCs w:val="24"/>
          <w:lang w:eastAsia="en-US"/>
        </w:rPr>
        <w:t>17.</w:t>
      </w:r>
      <w:r>
        <w:rPr>
          <w:szCs w:val="24"/>
          <w:lang w:eastAsia="en-US"/>
        </w:rPr>
        <w:tab/>
        <w:t>Príloha V sa mení v súlade s prílohou I k tejto smernici;</w:t>
      </w:r>
    </w:p>
    <w:p w14:paraId="407FFE46" w14:textId="77777777" w:rsidR="002709ED" w:rsidRDefault="00B2757B">
      <w:pPr>
        <w:spacing w:before="120" w:after="120" w:line="360" w:lineRule="auto"/>
        <w:ind w:left="850" w:hanging="850"/>
        <w:rPr>
          <w:szCs w:val="24"/>
          <w:lang w:eastAsia="en-US"/>
        </w:rPr>
      </w:pPr>
      <w:r>
        <w:rPr>
          <w:szCs w:val="24"/>
          <w:lang w:eastAsia="en-US"/>
        </w:rPr>
        <w:t>18.</w:t>
      </w:r>
      <w:r>
        <w:rPr>
          <w:szCs w:val="24"/>
          <w:lang w:eastAsia="en-US"/>
        </w:rPr>
        <w:tab/>
        <w:t>V časti A prílohy VII sa bod 7.7 nahrádza takto:</w:t>
      </w:r>
    </w:p>
    <w:p w14:paraId="094AA7C3" w14:textId="77777777" w:rsidR="002709ED" w:rsidRDefault="00B2757B">
      <w:pPr>
        <w:spacing w:before="120" w:after="120" w:line="360" w:lineRule="auto"/>
        <w:ind w:left="1416" w:hanging="566"/>
        <w:rPr>
          <w:szCs w:val="24"/>
          <w:lang w:eastAsia="en-US"/>
        </w:rPr>
      </w:pPr>
      <w:r>
        <w:rPr>
          <w:szCs w:val="24"/>
          <w:lang w:eastAsia="en-US"/>
        </w:rPr>
        <w:t>„7.7.</w:t>
      </w:r>
      <w:r>
        <w:rPr>
          <w:szCs w:val="24"/>
          <w:lang w:eastAsia="en-US"/>
        </w:rPr>
        <w:tab/>
        <w:t>súhrn opatrení prijatých na zníženie emisií prioritných látok a na postupné ukončenie emisií prioritných rizikových látok;“</w:t>
      </w:r>
    </w:p>
    <w:p w14:paraId="10129FA3" w14:textId="77777777" w:rsidR="002709ED" w:rsidRDefault="00B2757B">
      <w:pPr>
        <w:spacing w:before="120" w:after="120" w:line="360" w:lineRule="auto"/>
        <w:ind w:left="850" w:hanging="850"/>
        <w:rPr>
          <w:szCs w:val="24"/>
          <w:lang w:eastAsia="en-US"/>
        </w:rPr>
      </w:pPr>
      <w:r>
        <w:rPr>
          <w:b/>
          <w:i/>
          <w:szCs w:val="24"/>
          <w:lang w:eastAsia="en-US"/>
        </w:rPr>
        <w:t>18a.</w:t>
      </w:r>
      <w:r>
        <w:rPr>
          <w:szCs w:val="24"/>
          <w:lang w:eastAsia="en-US"/>
        </w:rPr>
        <w:tab/>
      </w:r>
      <w:r>
        <w:rPr>
          <w:b/>
          <w:i/>
          <w:szCs w:val="24"/>
          <w:lang w:eastAsia="en-US"/>
        </w:rPr>
        <w:t>Do časti A prílohy VII sa vkladá tento bod:</w:t>
      </w:r>
    </w:p>
    <w:p w14:paraId="3582E1BE" w14:textId="77777777" w:rsidR="002709ED" w:rsidRDefault="00B2757B" w:rsidP="00C100E9">
      <w:pPr>
        <w:spacing w:before="120" w:after="120" w:line="360" w:lineRule="auto"/>
        <w:ind w:left="1418" w:hanging="568"/>
        <w:rPr>
          <w:b/>
          <w:szCs w:val="24"/>
          <w:lang w:eastAsia="en-US"/>
        </w:rPr>
      </w:pPr>
      <w:r>
        <w:rPr>
          <w:szCs w:val="24"/>
          <w:lang w:eastAsia="en-US"/>
        </w:rPr>
        <w:t>„</w:t>
      </w:r>
      <w:r>
        <w:rPr>
          <w:b/>
          <w:i/>
          <w:szCs w:val="24"/>
          <w:lang w:eastAsia="en-US"/>
        </w:rPr>
        <w:t>7.7a.</w:t>
      </w:r>
      <w:r>
        <w:rPr>
          <w:szCs w:val="24"/>
          <w:lang w:eastAsia="en-US"/>
        </w:rPr>
        <w:tab/>
      </w:r>
      <w:r w:rsidR="0032662A">
        <w:rPr>
          <w:szCs w:val="24"/>
          <w:lang w:eastAsia="en-US"/>
        </w:rPr>
        <w:tab/>
      </w:r>
      <w:r>
        <w:rPr>
          <w:b/>
          <w:i/>
          <w:szCs w:val="24"/>
          <w:lang w:eastAsia="en-US"/>
        </w:rPr>
        <w:t>zhrnutie opatrení prijatých na digitalizáciu prvkov monitorovania vo vodohospodárstve.</w:t>
      </w:r>
      <w:r>
        <w:rPr>
          <w:szCs w:val="24"/>
          <w:lang w:eastAsia="en-US"/>
        </w:rPr>
        <w:t>“</w:t>
      </w:r>
      <w:r>
        <w:rPr>
          <w:b/>
          <w:szCs w:val="24"/>
          <w:lang w:eastAsia="en-US"/>
        </w:rPr>
        <w:t xml:space="preserve"> [PN 77]</w:t>
      </w:r>
    </w:p>
    <w:p w14:paraId="791B1255" w14:textId="77777777" w:rsidR="002709ED" w:rsidRDefault="00B2757B">
      <w:pPr>
        <w:spacing w:before="120" w:after="120" w:line="360" w:lineRule="auto"/>
        <w:ind w:left="850" w:hanging="850"/>
        <w:rPr>
          <w:szCs w:val="24"/>
          <w:lang w:eastAsia="en-US"/>
        </w:rPr>
      </w:pPr>
      <w:r>
        <w:rPr>
          <w:szCs w:val="24"/>
          <w:lang w:eastAsia="en-US"/>
        </w:rPr>
        <w:t>19.</w:t>
      </w:r>
      <w:r>
        <w:rPr>
          <w:szCs w:val="24"/>
          <w:lang w:eastAsia="en-US"/>
        </w:rPr>
        <w:tab/>
        <w:t>Príloha VIII sa mení v súlade s prílohou II k tejto smernici;</w:t>
      </w:r>
    </w:p>
    <w:p w14:paraId="1E9B3EB1" w14:textId="77777777" w:rsidR="002709ED" w:rsidRDefault="00B2757B">
      <w:pPr>
        <w:spacing w:before="120" w:after="120" w:line="360" w:lineRule="auto"/>
        <w:ind w:left="850" w:hanging="850"/>
        <w:rPr>
          <w:b/>
          <w:szCs w:val="24"/>
          <w:lang w:eastAsia="en-US"/>
        </w:rPr>
      </w:pPr>
      <w:r>
        <w:rPr>
          <w:szCs w:val="24"/>
          <w:lang w:eastAsia="en-US"/>
        </w:rPr>
        <w:t>20.</w:t>
      </w:r>
      <w:r>
        <w:rPr>
          <w:szCs w:val="24"/>
          <w:lang w:eastAsia="en-US"/>
        </w:rPr>
        <w:tab/>
      </w:r>
      <w:r>
        <w:rPr>
          <w:strike/>
          <w:szCs w:val="24"/>
          <w:lang w:eastAsia="en-US"/>
        </w:rPr>
        <w:t>Príloha X sa vypúšťa</w:t>
      </w:r>
      <w:r>
        <w:rPr>
          <w:b/>
          <w:i/>
          <w:szCs w:val="24"/>
          <w:lang w:eastAsia="en-US"/>
        </w:rPr>
        <w:t>Prílohy IX a X sa vypúšťajú</w:t>
      </w:r>
      <w:r>
        <w:rPr>
          <w:szCs w:val="24"/>
          <w:lang w:eastAsia="en-US"/>
        </w:rPr>
        <w:t>.</w:t>
      </w:r>
      <w:r>
        <w:rPr>
          <w:b/>
          <w:szCs w:val="24"/>
          <w:lang w:eastAsia="en-US"/>
        </w:rPr>
        <w:t xml:space="preserve"> [PN 78]</w:t>
      </w:r>
    </w:p>
    <w:p w14:paraId="44C0D0DC" w14:textId="77777777" w:rsidR="002709ED" w:rsidRDefault="00B2757B">
      <w:pPr>
        <w:widowControl/>
        <w:rPr>
          <w:szCs w:val="24"/>
          <w:lang w:eastAsia="en-US"/>
        </w:rPr>
      </w:pPr>
      <w:r>
        <w:rPr>
          <w:szCs w:val="24"/>
          <w:lang w:eastAsia="en-US"/>
        </w:rPr>
        <w:br w:type="page"/>
      </w:r>
    </w:p>
    <w:p w14:paraId="3419697B" w14:textId="77777777" w:rsidR="002709ED" w:rsidRDefault="00B2757B">
      <w:pPr>
        <w:spacing w:before="120" w:after="120" w:line="360" w:lineRule="auto"/>
        <w:jc w:val="center"/>
        <w:rPr>
          <w:szCs w:val="24"/>
          <w:lang w:eastAsia="en-US"/>
        </w:rPr>
      </w:pPr>
      <w:r>
        <w:rPr>
          <w:szCs w:val="24"/>
          <w:lang w:eastAsia="en-US"/>
        </w:rPr>
        <w:lastRenderedPageBreak/>
        <w:t>Článok 2</w:t>
      </w:r>
      <w:r>
        <w:rPr>
          <w:szCs w:val="24"/>
          <w:lang w:eastAsia="en-US"/>
        </w:rPr>
        <w:br/>
        <w:t>Zmeny v smernici 2006/118/ES</w:t>
      </w:r>
    </w:p>
    <w:p w14:paraId="4DF05A31" w14:textId="77777777" w:rsidR="002709ED" w:rsidRDefault="00B2757B">
      <w:pPr>
        <w:spacing w:before="120" w:after="120" w:line="360" w:lineRule="auto"/>
        <w:rPr>
          <w:szCs w:val="24"/>
          <w:lang w:eastAsia="en-US"/>
        </w:rPr>
      </w:pPr>
      <w:r>
        <w:rPr>
          <w:szCs w:val="24"/>
          <w:lang w:eastAsia="en-US"/>
        </w:rPr>
        <w:t>Smernica 2006/118/ES sa mení takto:</w:t>
      </w:r>
    </w:p>
    <w:p w14:paraId="18C0E0B8" w14:textId="77777777" w:rsidR="002709ED" w:rsidRDefault="00B2757B">
      <w:pPr>
        <w:spacing w:before="120" w:after="120" w:line="360" w:lineRule="auto"/>
        <w:ind w:left="850" w:hanging="850"/>
        <w:rPr>
          <w:szCs w:val="24"/>
          <w:lang w:eastAsia="en-US"/>
        </w:rPr>
      </w:pPr>
      <w:r>
        <w:rPr>
          <w:szCs w:val="24"/>
          <w:lang w:eastAsia="en-US"/>
        </w:rPr>
        <w:t>1.</w:t>
      </w:r>
      <w:r>
        <w:rPr>
          <w:szCs w:val="24"/>
          <w:lang w:eastAsia="en-US"/>
        </w:rPr>
        <w:tab/>
        <w:t>Názov sa nahrádza takto:</w:t>
      </w:r>
    </w:p>
    <w:p w14:paraId="3A79C14B" w14:textId="77777777" w:rsidR="002709ED" w:rsidRDefault="00B2757B">
      <w:pPr>
        <w:spacing w:before="120" w:after="120" w:line="360" w:lineRule="auto"/>
        <w:ind w:left="850"/>
        <w:rPr>
          <w:szCs w:val="24"/>
          <w:lang w:eastAsia="en-US"/>
        </w:rPr>
      </w:pPr>
      <w:r>
        <w:rPr>
          <w:szCs w:val="24"/>
          <w:lang w:eastAsia="en-US"/>
        </w:rPr>
        <w:t>„Smernica Európskeho parlamentu a Rady 2006/118/ES z 12. decembra 2006 o prevencii a regulácii znečisťovania podzemných vôd;“</w:t>
      </w:r>
    </w:p>
    <w:p w14:paraId="6BF93AE7" w14:textId="77777777" w:rsidR="002709ED" w:rsidRDefault="00B2757B">
      <w:pPr>
        <w:spacing w:before="120" w:after="120" w:line="360" w:lineRule="auto"/>
        <w:ind w:left="850" w:hanging="850"/>
        <w:rPr>
          <w:szCs w:val="24"/>
          <w:lang w:eastAsia="en-US"/>
        </w:rPr>
      </w:pPr>
      <w:r>
        <w:rPr>
          <w:szCs w:val="24"/>
          <w:lang w:eastAsia="en-US"/>
        </w:rPr>
        <w:t>2.</w:t>
      </w:r>
      <w:r>
        <w:rPr>
          <w:szCs w:val="24"/>
          <w:lang w:eastAsia="en-US"/>
        </w:rPr>
        <w:tab/>
        <w:t>V článku 1 sa odsek 1 nahrádza takto:</w:t>
      </w:r>
    </w:p>
    <w:p w14:paraId="535595E5" w14:textId="77777777" w:rsidR="002709ED" w:rsidRDefault="00B2757B">
      <w:pPr>
        <w:spacing w:before="120" w:after="120" w:line="360" w:lineRule="auto"/>
        <w:ind w:left="1416" w:hanging="566"/>
        <w:rPr>
          <w:b/>
          <w:szCs w:val="24"/>
          <w:lang w:eastAsia="en-US"/>
        </w:rPr>
      </w:pPr>
      <w:r>
        <w:rPr>
          <w:szCs w:val="24"/>
          <w:lang w:eastAsia="en-US"/>
        </w:rPr>
        <w:t>„1.</w:t>
      </w:r>
      <w:r>
        <w:rPr>
          <w:szCs w:val="24"/>
          <w:lang w:eastAsia="en-US"/>
        </w:rPr>
        <w:tab/>
        <w:t xml:space="preserve">Touto smernicou sa stanovujú osobitné opatrenia na prevenciu a reguláciu znečisťovania podzemných vôd s cieľom dosiahnuť environmentálne ciele stanovené v článku 4 ods. 1 písm. b) smernice 2000/60/ES. </w:t>
      </w:r>
      <w:r>
        <w:rPr>
          <w:b/>
          <w:i/>
          <w:szCs w:val="24"/>
          <w:lang w:eastAsia="en-US"/>
        </w:rPr>
        <w:t xml:space="preserve">V hierarchii opatrení, ktoré sa majú prijať, sa uprednostňujú obmedzenia a iné kontrolné opatrenia pri zdroji bez toho, aby bola dotknutá dôležitosť prípadných opatrení na konci reťazca. </w:t>
      </w:r>
      <w:r>
        <w:rPr>
          <w:szCs w:val="24"/>
          <w:lang w:eastAsia="en-US"/>
        </w:rPr>
        <w:t>Medzi tieto opatrenia patria:</w:t>
      </w:r>
      <w:r>
        <w:rPr>
          <w:b/>
          <w:szCs w:val="24"/>
          <w:lang w:eastAsia="en-US"/>
        </w:rPr>
        <w:t xml:space="preserve"> [PN 79]</w:t>
      </w:r>
    </w:p>
    <w:p w14:paraId="15645447" w14:textId="77777777" w:rsidR="002709ED" w:rsidRDefault="00B2757B">
      <w:pPr>
        <w:spacing w:before="120" w:after="120" w:line="360" w:lineRule="auto"/>
        <w:ind w:left="1982" w:hanging="566"/>
        <w:rPr>
          <w:szCs w:val="24"/>
          <w:lang w:eastAsia="en-US"/>
        </w:rPr>
      </w:pPr>
      <w:r>
        <w:rPr>
          <w:szCs w:val="24"/>
          <w:lang w:eastAsia="en-US"/>
        </w:rPr>
        <w:t>a)</w:t>
      </w:r>
      <w:r>
        <w:rPr>
          <w:szCs w:val="24"/>
          <w:lang w:eastAsia="en-US"/>
        </w:rPr>
        <w:tab/>
        <w:t>kritériá hodnotenia dobrého chemického stavu podzemných vôd;</w:t>
      </w:r>
    </w:p>
    <w:p w14:paraId="4501D25A" w14:textId="77777777" w:rsidR="002709ED" w:rsidRDefault="00B2757B">
      <w:pPr>
        <w:widowControl/>
        <w:rPr>
          <w:szCs w:val="24"/>
          <w:lang w:eastAsia="en-US"/>
        </w:rPr>
      </w:pPr>
      <w:r>
        <w:rPr>
          <w:szCs w:val="24"/>
          <w:lang w:eastAsia="en-US"/>
        </w:rPr>
        <w:br w:type="page"/>
      </w:r>
    </w:p>
    <w:p w14:paraId="71EFA720" w14:textId="77777777" w:rsidR="002709ED" w:rsidRDefault="00B2757B">
      <w:pPr>
        <w:spacing w:before="120" w:after="120" w:line="360" w:lineRule="auto"/>
        <w:ind w:left="1982" w:hanging="566"/>
        <w:rPr>
          <w:szCs w:val="24"/>
          <w:lang w:eastAsia="en-US"/>
        </w:rPr>
      </w:pPr>
      <w:r>
        <w:rPr>
          <w:szCs w:val="24"/>
          <w:lang w:eastAsia="en-US"/>
        </w:rPr>
        <w:lastRenderedPageBreak/>
        <w:t>b)</w:t>
      </w:r>
      <w:r>
        <w:rPr>
          <w:szCs w:val="24"/>
          <w:lang w:eastAsia="en-US"/>
        </w:rPr>
        <w:tab/>
        <w:t>kritériá identifikácie a zvrátenia významných a trvalo vzostupných trendov a kritériá vymedzenia počiatočných bodov zvrátenia trendov.;</w:t>
      </w:r>
    </w:p>
    <w:p w14:paraId="11EB6E10" w14:textId="77777777" w:rsidR="002709ED" w:rsidRDefault="00B2757B">
      <w:pPr>
        <w:spacing w:before="120" w:after="120" w:line="360" w:lineRule="auto"/>
        <w:ind w:left="1982" w:hanging="566"/>
        <w:rPr>
          <w:b/>
          <w:szCs w:val="24"/>
          <w:lang w:eastAsia="en-US"/>
        </w:rPr>
      </w:pPr>
      <w:r>
        <w:rPr>
          <w:b/>
          <w:i/>
          <w:szCs w:val="24"/>
          <w:lang w:eastAsia="en-US"/>
        </w:rPr>
        <w:t>ba)</w:t>
      </w:r>
      <w:r>
        <w:rPr>
          <w:szCs w:val="24"/>
          <w:lang w:eastAsia="en-US"/>
        </w:rPr>
        <w:tab/>
      </w:r>
      <w:r>
        <w:rPr>
          <w:b/>
          <w:i/>
          <w:szCs w:val="24"/>
          <w:lang w:eastAsia="en-US"/>
        </w:rPr>
        <w:t>kritériá na posudzovanie dobrého ekologického stavu podzemných vôd.</w:t>
      </w:r>
      <w:r>
        <w:rPr>
          <w:szCs w:val="24"/>
          <w:lang w:eastAsia="en-US"/>
        </w:rPr>
        <w:t>“</w:t>
      </w:r>
      <w:r>
        <w:rPr>
          <w:b/>
          <w:szCs w:val="24"/>
          <w:lang w:eastAsia="en-US"/>
        </w:rPr>
        <w:t xml:space="preserve"> [PN 80]</w:t>
      </w:r>
    </w:p>
    <w:p w14:paraId="0FEA23F9" w14:textId="77777777" w:rsidR="002709ED" w:rsidRDefault="00B2757B">
      <w:pPr>
        <w:spacing w:before="120" w:after="120" w:line="360" w:lineRule="auto"/>
        <w:ind w:left="850" w:hanging="850"/>
        <w:rPr>
          <w:szCs w:val="24"/>
          <w:lang w:eastAsia="en-US"/>
        </w:rPr>
      </w:pPr>
      <w:r>
        <w:rPr>
          <w:szCs w:val="24"/>
          <w:lang w:eastAsia="en-US"/>
        </w:rPr>
        <w:t>3.</w:t>
      </w:r>
      <w:r>
        <w:rPr>
          <w:szCs w:val="24"/>
          <w:lang w:eastAsia="en-US"/>
        </w:rPr>
        <w:tab/>
        <w:t>V článku 2 sa bod 2 nahrádza takto:</w:t>
      </w:r>
    </w:p>
    <w:p w14:paraId="2472B7DD" w14:textId="77777777" w:rsidR="002709ED" w:rsidRDefault="00B2757B">
      <w:pPr>
        <w:spacing w:before="120" w:after="120" w:line="360" w:lineRule="auto"/>
        <w:ind w:left="1416" w:hanging="566"/>
        <w:rPr>
          <w:szCs w:val="24"/>
          <w:lang w:eastAsia="en-US"/>
        </w:rPr>
      </w:pPr>
      <w:r>
        <w:rPr>
          <w:szCs w:val="24"/>
          <w:lang w:eastAsia="en-US"/>
        </w:rPr>
        <w:t>„2.</w:t>
      </w:r>
      <w:r>
        <w:rPr>
          <w:szCs w:val="24"/>
          <w:lang w:eastAsia="en-US"/>
        </w:rPr>
        <w:tab/>
        <w:t>prahová hodnota je norma kvality podzemných vôd stanovená členskými štátmi v súlade s článkom 3 ods. 1 písm. b) alebo na úrovni Únie v súlade s článkom 8 ods. 3;“</w:t>
      </w:r>
    </w:p>
    <w:p w14:paraId="600459CC" w14:textId="77777777" w:rsidR="002709ED" w:rsidRDefault="00B2757B">
      <w:pPr>
        <w:spacing w:before="120" w:after="120" w:line="360" w:lineRule="auto"/>
        <w:ind w:left="850" w:hanging="850"/>
        <w:rPr>
          <w:szCs w:val="24"/>
          <w:lang w:eastAsia="en-US"/>
        </w:rPr>
      </w:pPr>
      <w:r>
        <w:rPr>
          <w:szCs w:val="24"/>
          <w:lang w:eastAsia="en-US"/>
        </w:rPr>
        <w:t>4.</w:t>
      </w:r>
      <w:r>
        <w:rPr>
          <w:szCs w:val="24"/>
          <w:lang w:eastAsia="en-US"/>
        </w:rPr>
        <w:tab/>
        <w:t>Článok 3 sa mení takto:</w:t>
      </w:r>
    </w:p>
    <w:p w14:paraId="21F5D003" w14:textId="77777777" w:rsidR="002709ED" w:rsidRDefault="00B2757B">
      <w:pPr>
        <w:spacing w:before="120" w:after="120" w:line="360" w:lineRule="auto"/>
        <w:ind w:left="1416" w:hanging="566"/>
        <w:rPr>
          <w:szCs w:val="24"/>
          <w:lang w:eastAsia="en-US"/>
        </w:rPr>
      </w:pPr>
      <w:r>
        <w:rPr>
          <w:szCs w:val="24"/>
          <w:lang w:eastAsia="en-US"/>
        </w:rPr>
        <w:t>a)</w:t>
      </w:r>
      <w:r>
        <w:rPr>
          <w:szCs w:val="24"/>
          <w:lang w:eastAsia="en-US"/>
        </w:rPr>
        <w:tab/>
      </w:r>
      <w:r w:rsidR="00171158">
        <w:rPr>
          <w:szCs w:val="24"/>
          <w:lang w:eastAsia="en-US"/>
        </w:rPr>
        <w:t>v</w:t>
      </w:r>
      <w:r>
        <w:rPr>
          <w:szCs w:val="24"/>
          <w:lang w:eastAsia="en-US"/>
        </w:rPr>
        <w:t xml:space="preserve"> odseku 1 prvom pododseku sa dopĺňa toto písmeno c):</w:t>
      </w:r>
    </w:p>
    <w:p w14:paraId="6E39C1F4" w14:textId="77777777" w:rsidR="002709ED" w:rsidRDefault="00B2757B">
      <w:pPr>
        <w:spacing w:before="120" w:after="120" w:line="360" w:lineRule="auto"/>
        <w:ind w:left="1982" w:hanging="566"/>
        <w:rPr>
          <w:szCs w:val="24"/>
          <w:lang w:eastAsia="en-US"/>
        </w:rPr>
      </w:pPr>
      <w:r>
        <w:rPr>
          <w:szCs w:val="24"/>
          <w:lang w:eastAsia="en-US"/>
        </w:rPr>
        <w:t>„c)</w:t>
      </w:r>
      <w:r>
        <w:rPr>
          <w:szCs w:val="24"/>
          <w:lang w:eastAsia="en-US"/>
        </w:rPr>
        <w:tab/>
        <w:t>prahové hodnoty stanovené na úrovni Únie v súlade s článkom 8 ods. 3 a uvedené v časti D prílohy II k tejto smernici.;“</w:t>
      </w:r>
    </w:p>
    <w:p w14:paraId="38D296B1" w14:textId="77777777" w:rsidR="002709ED" w:rsidRDefault="00B2757B">
      <w:pPr>
        <w:widowControl/>
        <w:rPr>
          <w:b/>
          <w:i/>
          <w:szCs w:val="24"/>
          <w:lang w:eastAsia="en-US"/>
        </w:rPr>
      </w:pPr>
      <w:r>
        <w:rPr>
          <w:b/>
          <w:i/>
          <w:szCs w:val="24"/>
          <w:lang w:eastAsia="en-US"/>
        </w:rPr>
        <w:br w:type="page"/>
      </w:r>
    </w:p>
    <w:p w14:paraId="01EBD142" w14:textId="77777777" w:rsidR="002709ED" w:rsidRDefault="00B2757B">
      <w:pPr>
        <w:spacing w:before="120" w:after="120" w:line="360" w:lineRule="auto"/>
        <w:ind w:left="1416" w:hanging="566"/>
        <w:rPr>
          <w:szCs w:val="24"/>
          <w:lang w:eastAsia="en-US"/>
        </w:rPr>
      </w:pPr>
      <w:r>
        <w:rPr>
          <w:b/>
          <w:i/>
          <w:szCs w:val="24"/>
          <w:lang w:eastAsia="en-US"/>
        </w:rPr>
        <w:lastRenderedPageBreak/>
        <w:t>aa)</w:t>
      </w:r>
      <w:r>
        <w:rPr>
          <w:szCs w:val="24"/>
          <w:lang w:eastAsia="en-US"/>
        </w:rPr>
        <w:tab/>
      </w:r>
      <w:r>
        <w:rPr>
          <w:b/>
          <w:i/>
          <w:szCs w:val="24"/>
          <w:lang w:eastAsia="en-US"/>
        </w:rPr>
        <w:t>v odseku 1 sa vkladá tento pododsek:</w:t>
      </w:r>
    </w:p>
    <w:p w14:paraId="4EC772FE" w14:textId="77777777" w:rsidR="002709ED" w:rsidRDefault="00B2757B">
      <w:pPr>
        <w:spacing w:before="120" w:after="120" w:line="360" w:lineRule="auto"/>
        <w:ind w:left="1416"/>
        <w:rPr>
          <w:b/>
          <w:szCs w:val="24"/>
          <w:lang w:eastAsia="en-US"/>
        </w:rPr>
      </w:pPr>
      <w:r>
        <w:rPr>
          <w:szCs w:val="24"/>
          <w:lang w:eastAsia="en-US"/>
        </w:rPr>
        <w:t>„</w:t>
      </w:r>
      <w:r>
        <w:rPr>
          <w:b/>
          <w:i/>
          <w:szCs w:val="24"/>
          <w:lang w:eastAsia="en-US"/>
        </w:rPr>
        <w:t>Prahové hodnoty platné pre podzemné vody musia byť 10-krát nižšie ako zodpovedajúce ENK pre povrchové vody, okrem prípadov, keď je možné stanoviť skutočné riziko pre ekosystémy podzemných vôd, môže byť vhodné stanoviť prahové hodnoty pre podzemné vody na inej úrovni.</w:t>
      </w:r>
      <w:r>
        <w:rPr>
          <w:szCs w:val="24"/>
          <w:lang w:eastAsia="en-US"/>
        </w:rPr>
        <w:t>“</w:t>
      </w:r>
      <w:r>
        <w:rPr>
          <w:b/>
          <w:szCs w:val="24"/>
          <w:lang w:eastAsia="en-US"/>
        </w:rPr>
        <w:t xml:space="preserve"> [PN 81]</w:t>
      </w:r>
    </w:p>
    <w:p w14:paraId="549365F2" w14:textId="77777777" w:rsidR="002709ED" w:rsidRDefault="00B2757B">
      <w:pPr>
        <w:spacing w:before="120" w:after="120" w:line="360" w:lineRule="auto"/>
        <w:ind w:left="1416" w:hanging="566"/>
        <w:rPr>
          <w:szCs w:val="24"/>
          <w:lang w:eastAsia="en-US"/>
        </w:rPr>
      </w:pPr>
      <w:r>
        <w:rPr>
          <w:szCs w:val="24"/>
          <w:lang w:eastAsia="en-US"/>
        </w:rPr>
        <w:t>b)</w:t>
      </w:r>
      <w:r>
        <w:rPr>
          <w:szCs w:val="24"/>
          <w:lang w:eastAsia="en-US"/>
        </w:rPr>
        <w:tab/>
      </w:r>
      <w:r w:rsidR="00171158">
        <w:rPr>
          <w:szCs w:val="24"/>
          <w:lang w:eastAsia="en-US"/>
        </w:rPr>
        <w:t>o</w:t>
      </w:r>
      <w:r>
        <w:rPr>
          <w:szCs w:val="24"/>
          <w:lang w:eastAsia="en-US"/>
        </w:rPr>
        <w:t>dsek 2 sa nahrádza takto:</w:t>
      </w:r>
    </w:p>
    <w:p w14:paraId="35BAE66E" w14:textId="77777777" w:rsidR="002709ED" w:rsidRDefault="00B2757B">
      <w:pPr>
        <w:spacing w:before="120" w:after="120" w:line="360" w:lineRule="auto"/>
        <w:ind w:left="1982" w:hanging="566"/>
        <w:rPr>
          <w:szCs w:val="24"/>
          <w:lang w:eastAsia="en-US"/>
        </w:rPr>
      </w:pPr>
      <w:r>
        <w:rPr>
          <w:szCs w:val="24"/>
          <w:lang w:eastAsia="en-US"/>
        </w:rPr>
        <w:t>„2.</w:t>
      </w:r>
      <w:r>
        <w:rPr>
          <w:szCs w:val="24"/>
          <w:lang w:eastAsia="en-US"/>
        </w:rPr>
        <w:tab/>
        <w:t>Prahové hodnoty uvedené v odseku 1 písm. b) sa môžu určiť na celoštátnej úrovni, na úrovni oblasti povodia alebo časti medzinárodnej oblasti povodia, ktoré je súčasťou územia členského štátu alebo na úrovni útvaru alebo skupiny útvarov podzemných vôd.;“</w:t>
      </w:r>
    </w:p>
    <w:p w14:paraId="5E26EAEB" w14:textId="77777777" w:rsidR="002709ED" w:rsidRDefault="00B2757B">
      <w:pPr>
        <w:widowControl/>
        <w:rPr>
          <w:szCs w:val="24"/>
          <w:lang w:eastAsia="en-US"/>
        </w:rPr>
      </w:pPr>
      <w:r>
        <w:rPr>
          <w:szCs w:val="24"/>
          <w:lang w:eastAsia="en-US"/>
        </w:rPr>
        <w:br w:type="page"/>
      </w:r>
    </w:p>
    <w:p w14:paraId="160F14DD" w14:textId="77777777" w:rsidR="002709ED" w:rsidRDefault="00B2757B">
      <w:pPr>
        <w:spacing w:before="120" w:after="120" w:line="360" w:lineRule="auto"/>
        <w:ind w:left="1416" w:hanging="566"/>
        <w:rPr>
          <w:szCs w:val="24"/>
          <w:lang w:eastAsia="en-US"/>
        </w:rPr>
      </w:pPr>
      <w:r>
        <w:rPr>
          <w:szCs w:val="24"/>
          <w:lang w:eastAsia="en-US"/>
        </w:rPr>
        <w:lastRenderedPageBreak/>
        <w:t>c)</w:t>
      </w:r>
      <w:r>
        <w:rPr>
          <w:szCs w:val="24"/>
          <w:lang w:eastAsia="en-US"/>
        </w:rPr>
        <w:tab/>
      </w:r>
      <w:r w:rsidR="00171158">
        <w:rPr>
          <w:szCs w:val="24"/>
          <w:lang w:eastAsia="en-US"/>
        </w:rPr>
        <w:t>o</w:t>
      </w:r>
      <w:r>
        <w:rPr>
          <w:szCs w:val="24"/>
          <w:lang w:eastAsia="en-US"/>
        </w:rPr>
        <w:t>dsek 5 sa nahrádza takto:</w:t>
      </w:r>
    </w:p>
    <w:p w14:paraId="5BA00D71" w14:textId="77777777" w:rsidR="002709ED" w:rsidRDefault="00B2757B">
      <w:pPr>
        <w:spacing w:before="120" w:after="120" w:line="360" w:lineRule="auto"/>
        <w:ind w:left="1982" w:hanging="566"/>
        <w:rPr>
          <w:szCs w:val="24"/>
          <w:lang w:eastAsia="en-US"/>
        </w:rPr>
      </w:pPr>
      <w:r>
        <w:rPr>
          <w:szCs w:val="24"/>
          <w:lang w:eastAsia="en-US"/>
        </w:rPr>
        <w:t>„5.</w:t>
      </w:r>
      <w:r>
        <w:rPr>
          <w:szCs w:val="24"/>
          <w:lang w:eastAsia="en-US"/>
        </w:rPr>
        <w:tab/>
        <w:t>Všetky prahové hodnoty uvedené v odseku 1 sa zverejnia v plánoch manažmentu povodia, ktoré sa vypracúvajú podľa článku 13 smernice 2000/60/ES, spolu so zhrnutím informácií uvedených v časti C prílohy II k tejto smernici.</w:t>
      </w:r>
    </w:p>
    <w:p w14:paraId="263099DE" w14:textId="77777777" w:rsidR="002709ED" w:rsidRDefault="00B2757B">
      <w:pPr>
        <w:spacing w:before="120" w:after="120" w:line="360" w:lineRule="auto"/>
        <w:ind w:left="1982"/>
        <w:rPr>
          <w:szCs w:val="24"/>
          <w:lang w:eastAsia="en-US"/>
        </w:rPr>
      </w:pPr>
      <w:r>
        <w:rPr>
          <w:szCs w:val="24"/>
          <w:lang w:eastAsia="en-US"/>
        </w:rPr>
        <w:t>Členské štáty do [Úrad pre publikácie – vložte dátum = prvý deň mesiaca nasledujúceho po 18 mesiacoch odo dňa nadobudnutia účinnosti tejto smernice] informujú Európsku chemickú agentúru (ECHA) o celoštátnych prahových hodnotách uvedených v odseku 1 písm. b). Agentúra ECHA tieto informácie zverejní.</w:t>
      </w:r>
      <w:r w:rsidR="003F2F15">
        <w:rPr>
          <w:szCs w:val="24"/>
          <w:lang w:eastAsia="en-US"/>
        </w:rPr>
        <w:t>“</w:t>
      </w:r>
      <w:r>
        <w:rPr>
          <w:szCs w:val="24"/>
          <w:lang w:eastAsia="en-US"/>
        </w:rPr>
        <w:t>;</w:t>
      </w:r>
    </w:p>
    <w:p w14:paraId="318BB01E" w14:textId="77777777" w:rsidR="002709ED" w:rsidRDefault="003F2F15">
      <w:pPr>
        <w:spacing w:before="120" w:after="120" w:line="360" w:lineRule="auto"/>
        <w:ind w:left="1416" w:hanging="566"/>
        <w:rPr>
          <w:b/>
          <w:i/>
          <w:szCs w:val="24"/>
          <w:lang w:eastAsia="en-US"/>
        </w:rPr>
      </w:pPr>
      <w:r>
        <w:rPr>
          <w:b/>
          <w:i/>
          <w:szCs w:val="24"/>
          <w:lang w:eastAsia="en-US"/>
        </w:rPr>
        <w:t>c</w:t>
      </w:r>
      <w:r w:rsidR="00B2757B">
        <w:rPr>
          <w:b/>
          <w:i/>
          <w:szCs w:val="24"/>
          <w:lang w:eastAsia="en-US"/>
        </w:rPr>
        <w:t>a)</w:t>
      </w:r>
      <w:r w:rsidR="00B2757B">
        <w:rPr>
          <w:b/>
          <w:i/>
          <w:szCs w:val="24"/>
          <w:lang w:eastAsia="en-US"/>
        </w:rPr>
        <w:tab/>
        <w:t>v odseku 5 sa vkladá tento pododsek:</w:t>
      </w:r>
    </w:p>
    <w:p w14:paraId="56F039E7" w14:textId="77777777" w:rsidR="002709ED" w:rsidRDefault="003F2F15">
      <w:pPr>
        <w:spacing w:before="120" w:after="120" w:line="360" w:lineRule="auto"/>
        <w:ind w:left="1416"/>
        <w:rPr>
          <w:b/>
          <w:szCs w:val="24"/>
          <w:lang w:eastAsia="en-US"/>
        </w:rPr>
      </w:pPr>
      <w:r>
        <w:rPr>
          <w:b/>
          <w:i/>
          <w:szCs w:val="24"/>
          <w:lang w:eastAsia="en-US"/>
        </w:rPr>
        <w:t>„</w:t>
      </w:r>
      <w:r w:rsidR="00B2757B">
        <w:rPr>
          <w:b/>
          <w:i/>
          <w:szCs w:val="24"/>
          <w:lang w:eastAsia="en-US"/>
        </w:rPr>
        <w:t>Členské štáty zabezpečia, aby obyvatelia príslušného správneho územia povodia alebo časti medzinárodného správneho územia povodia, ktoré sa nachádzajú na území členského štátu, boli primerane a včas informovaní.</w:t>
      </w:r>
      <w:r w:rsidR="00B2757B">
        <w:rPr>
          <w:szCs w:val="24"/>
          <w:lang w:eastAsia="en-US"/>
        </w:rPr>
        <w:t>“</w:t>
      </w:r>
      <w:r w:rsidR="00B2757B">
        <w:rPr>
          <w:b/>
          <w:szCs w:val="24"/>
          <w:lang w:eastAsia="en-US"/>
        </w:rPr>
        <w:t xml:space="preserve"> [PN 82]</w:t>
      </w:r>
    </w:p>
    <w:p w14:paraId="58EA25F0" w14:textId="77777777" w:rsidR="002709ED" w:rsidRDefault="00B2757B">
      <w:pPr>
        <w:widowControl/>
        <w:rPr>
          <w:szCs w:val="24"/>
          <w:lang w:eastAsia="en-US"/>
        </w:rPr>
      </w:pPr>
      <w:r>
        <w:rPr>
          <w:szCs w:val="24"/>
          <w:lang w:eastAsia="en-US"/>
        </w:rPr>
        <w:br w:type="page"/>
      </w:r>
    </w:p>
    <w:p w14:paraId="29BE4BEB" w14:textId="77777777" w:rsidR="002709ED" w:rsidRDefault="00B2757B">
      <w:pPr>
        <w:spacing w:before="120" w:after="120" w:line="360" w:lineRule="auto"/>
        <w:ind w:left="1416" w:hanging="566"/>
        <w:rPr>
          <w:szCs w:val="24"/>
          <w:lang w:eastAsia="en-US"/>
        </w:rPr>
      </w:pPr>
      <w:r>
        <w:rPr>
          <w:szCs w:val="24"/>
          <w:lang w:eastAsia="en-US"/>
        </w:rPr>
        <w:lastRenderedPageBreak/>
        <w:t>d)</w:t>
      </w:r>
      <w:r>
        <w:rPr>
          <w:szCs w:val="24"/>
          <w:lang w:eastAsia="en-US"/>
        </w:rPr>
        <w:tab/>
      </w:r>
      <w:r w:rsidR="00171158">
        <w:rPr>
          <w:szCs w:val="24"/>
          <w:lang w:eastAsia="en-US"/>
        </w:rPr>
        <w:t>v</w:t>
      </w:r>
      <w:r>
        <w:rPr>
          <w:szCs w:val="24"/>
          <w:lang w:eastAsia="en-US"/>
        </w:rPr>
        <w:t xml:space="preserve"> odseku 6 sa prvý pododsek nahrádza takto:</w:t>
      </w:r>
    </w:p>
    <w:p w14:paraId="04734726" w14:textId="77777777" w:rsidR="002709ED" w:rsidRDefault="00B2757B">
      <w:pPr>
        <w:spacing w:before="120" w:after="120" w:line="360" w:lineRule="auto"/>
        <w:ind w:left="1416"/>
        <w:rPr>
          <w:b/>
          <w:szCs w:val="24"/>
          <w:lang w:eastAsia="en-US"/>
        </w:rPr>
      </w:pPr>
      <w:r>
        <w:rPr>
          <w:szCs w:val="24"/>
          <w:lang w:eastAsia="en-US"/>
        </w:rPr>
        <w:t>„Členské štáty zmenia zoznam prahových hodnôt, ktoré uplatňujú na svojom území, a to vždy, keď nové informácie o znečisťujúcich látkach, skupinách znečisťujúcich látok alebo ukazovateľoch znečistenia naznačia</w:t>
      </w:r>
      <w:r>
        <w:rPr>
          <w:b/>
          <w:i/>
          <w:szCs w:val="24"/>
          <w:lang w:eastAsia="en-US"/>
        </w:rPr>
        <w:t>, aj s prihliadnutím na zásadu predbežnej opatrnosti</w:t>
      </w:r>
      <w:r>
        <w:rPr>
          <w:szCs w:val="24"/>
          <w:lang w:eastAsia="en-US"/>
        </w:rPr>
        <w:t>, že treba stanoviť prahovú hodnotu pre ďalšiu látku alebo zmeniť existujúcu prahovú hodnotu alebo opätovne zaradiť do zoznamu prahovú hodnotu, ktorá bola z neho predtým vypustená. Ak sa príslušné prahové hodnoty stanovia alebo zmenia na úrovni Únie, členské štáty podľa týchto hodnôt prispôsobia zoznam prahových hodnôt, ktoré uplatňujú na svojom území.;“</w:t>
      </w:r>
      <w:r>
        <w:rPr>
          <w:b/>
          <w:szCs w:val="24"/>
          <w:lang w:eastAsia="en-US"/>
        </w:rPr>
        <w:t xml:space="preserve"> [PN 83]</w:t>
      </w:r>
    </w:p>
    <w:p w14:paraId="557D28F0" w14:textId="77777777" w:rsidR="002709ED" w:rsidRDefault="00171158" w:rsidP="00C100E9">
      <w:pPr>
        <w:spacing w:before="120" w:after="120" w:line="360" w:lineRule="auto"/>
        <w:ind w:left="1416" w:hanging="566"/>
        <w:rPr>
          <w:szCs w:val="24"/>
          <w:lang w:eastAsia="en-US"/>
        </w:rPr>
      </w:pPr>
      <w:r>
        <w:rPr>
          <w:b/>
          <w:i/>
          <w:szCs w:val="24"/>
          <w:lang w:eastAsia="en-US"/>
        </w:rPr>
        <w:t>e)</w:t>
      </w:r>
      <w:r w:rsidR="00B2757B">
        <w:rPr>
          <w:szCs w:val="24"/>
          <w:lang w:eastAsia="en-US"/>
        </w:rPr>
        <w:tab/>
      </w:r>
      <w:r w:rsidR="00B2757B">
        <w:rPr>
          <w:b/>
          <w:i/>
          <w:szCs w:val="24"/>
          <w:lang w:eastAsia="en-US"/>
        </w:rPr>
        <w:t>odsek 7 sa nahrádza takto:</w:t>
      </w:r>
    </w:p>
    <w:p w14:paraId="3D985881" w14:textId="77777777" w:rsidR="002709ED" w:rsidRDefault="00B2757B" w:rsidP="00C100E9">
      <w:pPr>
        <w:spacing w:before="120" w:after="120" w:line="360" w:lineRule="auto"/>
        <w:ind w:left="1985" w:hanging="567"/>
        <w:rPr>
          <w:b/>
          <w:szCs w:val="24"/>
          <w:lang w:eastAsia="en-US"/>
        </w:rPr>
      </w:pPr>
      <w:r>
        <w:rPr>
          <w:szCs w:val="24"/>
          <w:lang w:eastAsia="en-US"/>
        </w:rPr>
        <w:t>„</w:t>
      </w:r>
      <w:r>
        <w:rPr>
          <w:b/>
          <w:i/>
          <w:szCs w:val="24"/>
          <w:lang w:eastAsia="en-US"/>
        </w:rPr>
        <w:t>7.</w:t>
      </w:r>
      <w:r>
        <w:rPr>
          <w:szCs w:val="24"/>
          <w:lang w:eastAsia="en-US"/>
        </w:rPr>
        <w:tab/>
      </w:r>
      <w:r>
        <w:rPr>
          <w:b/>
          <w:i/>
          <w:szCs w:val="24"/>
          <w:lang w:eastAsia="en-US"/>
        </w:rPr>
        <w:t>Komisia uverejní správu o vnútroštátnych prahových hodnotách uvedených v odseku 1 písm. b) jeden rok po tom, ako členské štáty poskytnú tieto informácie agentúre ECHA v súlade s odsekom 5.</w:t>
      </w:r>
      <w:r>
        <w:rPr>
          <w:szCs w:val="24"/>
          <w:lang w:eastAsia="en-US"/>
        </w:rPr>
        <w:t>“</w:t>
      </w:r>
      <w:r>
        <w:rPr>
          <w:b/>
          <w:szCs w:val="24"/>
          <w:lang w:eastAsia="en-US"/>
        </w:rPr>
        <w:t xml:space="preserve"> [PN 84]</w:t>
      </w:r>
    </w:p>
    <w:p w14:paraId="1888141F" w14:textId="77777777" w:rsidR="002709ED" w:rsidRDefault="00B2757B">
      <w:pPr>
        <w:widowControl/>
        <w:rPr>
          <w:szCs w:val="24"/>
          <w:lang w:eastAsia="en-US"/>
        </w:rPr>
      </w:pPr>
      <w:r>
        <w:rPr>
          <w:szCs w:val="24"/>
          <w:lang w:eastAsia="en-US"/>
        </w:rPr>
        <w:br w:type="page"/>
      </w:r>
    </w:p>
    <w:p w14:paraId="3778B923" w14:textId="77777777" w:rsidR="002709ED" w:rsidRDefault="00B2757B">
      <w:pPr>
        <w:spacing w:before="120" w:after="120" w:line="360" w:lineRule="auto"/>
        <w:ind w:left="850" w:hanging="850"/>
        <w:rPr>
          <w:szCs w:val="24"/>
          <w:lang w:eastAsia="en-US"/>
        </w:rPr>
      </w:pPr>
      <w:r>
        <w:rPr>
          <w:szCs w:val="24"/>
          <w:lang w:eastAsia="en-US"/>
        </w:rPr>
        <w:lastRenderedPageBreak/>
        <w:t>5.</w:t>
      </w:r>
      <w:r>
        <w:rPr>
          <w:szCs w:val="24"/>
          <w:lang w:eastAsia="en-US"/>
        </w:rPr>
        <w:tab/>
        <w:t>V článku 4 ods. 2 sa písmeno b) nahrádza takto:</w:t>
      </w:r>
    </w:p>
    <w:p w14:paraId="2D633F52" w14:textId="77777777" w:rsidR="002709ED" w:rsidRDefault="00B2757B">
      <w:pPr>
        <w:spacing w:before="120" w:after="120" w:line="360" w:lineRule="auto"/>
        <w:ind w:left="1416" w:hanging="566"/>
        <w:rPr>
          <w:szCs w:val="24"/>
          <w:lang w:eastAsia="en-US"/>
        </w:rPr>
      </w:pPr>
      <w:r>
        <w:rPr>
          <w:szCs w:val="24"/>
          <w:lang w:eastAsia="en-US"/>
        </w:rPr>
        <w:t>„b)</w:t>
      </w:r>
      <w:r>
        <w:rPr>
          <w:szCs w:val="24"/>
          <w:lang w:eastAsia="en-US"/>
        </w:rPr>
        <w:tab/>
        <w:t>nie sú prekročené hodnoty noriem kvality podzemných vôd uvedené v prílohe I a prahové hodnoty uvedené v článku 3 ods. 1 písm. b) a c) v žiadnom z monitorovacích bodov v dotknutom útvare alebo skupine útvarov podzemných vôd, alebo;“</w:t>
      </w:r>
    </w:p>
    <w:p w14:paraId="5380EAD4" w14:textId="77777777" w:rsidR="002709ED" w:rsidRDefault="00B2757B">
      <w:pPr>
        <w:spacing w:before="120" w:after="120" w:line="360" w:lineRule="auto"/>
        <w:ind w:left="850" w:hanging="850"/>
        <w:rPr>
          <w:szCs w:val="24"/>
          <w:lang w:eastAsia="en-US"/>
        </w:rPr>
      </w:pPr>
      <w:r>
        <w:rPr>
          <w:szCs w:val="24"/>
          <w:lang w:eastAsia="en-US"/>
        </w:rPr>
        <w:t>6.</w:t>
      </w:r>
      <w:r>
        <w:rPr>
          <w:szCs w:val="24"/>
          <w:lang w:eastAsia="en-US"/>
        </w:rPr>
        <w:tab/>
        <w:t>Vkladá sa tento článok 6a:</w:t>
      </w:r>
    </w:p>
    <w:p w14:paraId="13BDB025" w14:textId="77777777" w:rsidR="002709ED" w:rsidRDefault="00B2757B">
      <w:pPr>
        <w:spacing w:before="120" w:after="120" w:line="360" w:lineRule="auto"/>
        <w:ind w:left="850"/>
        <w:rPr>
          <w:szCs w:val="24"/>
          <w:lang w:eastAsia="en-US"/>
        </w:rPr>
      </w:pPr>
      <w:r>
        <w:rPr>
          <w:szCs w:val="24"/>
          <w:lang w:eastAsia="en-US"/>
        </w:rPr>
        <w:t>„Článok 6a</w:t>
      </w:r>
    </w:p>
    <w:p w14:paraId="6F1B28D8" w14:textId="77777777" w:rsidR="002709ED" w:rsidRDefault="00B2757B">
      <w:pPr>
        <w:spacing w:before="120" w:after="120" w:line="360" w:lineRule="auto"/>
        <w:ind w:left="850"/>
        <w:rPr>
          <w:szCs w:val="24"/>
          <w:lang w:eastAsia="en-US"/>
        </w:rPr>
      </w:pPr>
      <w:r>
        <w:rPr>
          <w:szCs w:val="24"/>
          <w:lang w:eastAsia="en-US"/>
        </w:rPr>
        <w:t>Zoznam sledovaných látok</w:t>
      </w:r>
    </w:p>
    <w:p w14:paraId="7FFAE984" w14:textId="77777777" w:rsidR="002709ED" w:rsidRDefault="00B2757B">
      <w:pPr>
        <w:spacing w:before="120" w:after="120" w:line="360" w:lineRule="auto"/>
        <w:ind w:left="1416" w:hanging="566"/>
        <w:rPr>
          <w:szCs w:val="24"/>
          <w:lang w:eastAsia="en-US"/>
        </w:rPr>
      </w:pPr>
      <w:r>
        <w:rPr>
          <w:szCs w:val="24"/>
          <w:lang w:eastAsia="en-US"/>
        </w:rPr>
        <w:t>1.</w:t>
      </w:r>
      <w:r>
        <w:rPr>
          <w:szCs w:val="24"/>
          <w:lang w:eastAsia="en-US"/>
        </w:rPr>
        <w:tab/>
        <w:t>Komisia je splnomocnená prijímať vykonávacie akty, aby vzhľadom na vedecké správy vypracované agentúrou ECHA určila zoznam sledovaných látok, v prípade ktorých majú členské štáty zhromažďovať údaje z monitorovania v celej Únii, a stanovila formáty, ktoré majú členské štáty používať na nahlasovanie výsledkov tohto monitorovania a súvisiacich informácií Komisii. Uvedené vykonávacie akty sa prijmú v súlade s postupom preskúmania uvedeným v článku 9 ods. 2.</w:t>
      </w:r>
    </w:p>
    <w:p w14:paraId="57DD6151" w14:textId="77777777" w:rsidR="002709ED" w:rsidRDefault="00B2757B">
      <w:pPr>
        <w:widowControl/>
        <w:rPr>
          <w:szCs w:val="24"/>
          <w:lang w:eastAsia="en-US"/>
        </w:rPr>
      </w:pPr>
      <w:r>
        <w:rPr>
          <w:szCs w:val="24"/>
          <w:lang w:eastAsia="en-US"/>
        </w:rPr>
        <w:br w:type="page"/>
      </w:r>
    </w:p>
    <w:p w14:paraId="62EB3DB6" w14:textId="77777777" w:rsidR="002709ED" w:rsidRDefault="00B2757B">
      <w:pPr>
        <w:spacing w:before="120" w:after="120" w:line="360" w:lineRule="auto"/>
        <w:ind w:left="1416"/>
        <w:rPr>
          <w:szCs w:val="24"/>
          <w:lang w:eastAsia="en-US"/>
        </w:rPr>
      </w:pPr>
      <w:r>
        <w:rPr>
          <w:szCs w:val="24"/>
          <w:lang w:eastAsia="en-US"/>
        </w:rPr>
        <w:lastRenderedPageBreak/>
        <w:t xml:space="preserve">Zoznam sledovaných látok obsahuje </w:t>
      </w:r>
      <w:r>
        <w:rPr>
          <w:strike/>
          <w:szCs w:val="24"/>
          <w:lang w:eastAsia="en-US"/>
        </w:rPr>
        <w:t>maximálne</w:t>
      </w:r>
      <w:r>
        <w:rPr>
          <w:b/>
          <w:i/>
          <w:szCs w:val="24"/>
          <w:lang w:eastAsia="en-US"/>
        </w:rPr>
        <w:t>minimálne</w:t>
      </w:r>
      <w:r>
        <w:rPr>
          <w:szCs w:val="24"/>
          <w:lang w:eastAsia="en-US"/>
        </w:rPr>
        <w:t xml:space="preserve"> päť látok alebo skupín látok </w:t>
      </w:r>
      <w:r>
        <w:rPr>
          <w:strike/>
          <w:szCs w:val="24"/>
          <w:lang w:eastAsia="en-US"/>
        </w:rPr>
        <w:t>a uvádzajú sa v ňom monitorovacie matrice a možné analytické metódy pre každú látku. Tieto monitorovacie matice a metódy nespôsobia príslušným orgánom nadmerné náklady. Látky, ktoré sa majú zaradiť do zoznamu sledovaných látok, sa vyberajú</w:t>
      </w:r>
      <w:r>
        <w:rPr>
          <w:b/>
          <w:i/>
          <w:szCs w:val="24"/>
          <w:lang w:eastAsia="en-US"/>
        </w:rPr>
        <w:t>vzbudzujúcich nové obavy zvolených</w:t>
      </w:r>
      <w:r>
        <w:rPr>
          <w:szCs w:val="24"/>
          <w:lang w:eastAsia="en-US"/>
        </w:rPr>
        <w:t xml:space="preserve"> spomedzi </w:t>
      </w:r>
      <w:r>
        <w:rPr>
          <w:b/>
          <w:i/>
          <w:szCs w:val="24"/>
          <w:lang w:eastAsia="en-US"/>
        </w:rPr>
        <w:t xml:space="preserve">tých </w:t>
      </w:r>
      <w:r>
        <w:rPr>
          <w:szCs w:val="24"/>
          <w:lang w:eastAsia="en-US"/>
        </w:rPr>
        <w:t xml:space="preserve">látok, </w:t>
      </w:r>
      <w:r>
        <w:rPr>
          <w:strike/>
          <w:szCs w:val="24"/>
          <w:lang w:eastAsia="en-US"/>
        </w:rPr>
        <w:t>v prípade</w:t>
      </w:r>
      <w:r>
        <w:rPr>
          <w:b/>
          <w:i/>
          <w:szCs w:val="24"/>
          <w:lang w:eastAsia="en-US"/>
        </w:rPr>
        <w:t>o</w:t>
      </w:r>
      <w:r>
        <w:rPr>
          <w:szCs w:val="24"/>
          <w:lang w:eastAsia="en-US"/>
        </w:rPr>
        <w:t xml:space="preserve"> ktorých dostupné informácie</w:t>
      </w:r>
      <w:r>
        <w:rPr>
          <w:b/>
          <w:i/>
          <w:szCs w:val="24"/>
          <w:lang w:eastAsia="en-US"/>
        </w:rPr>
        <w:t>, aj v súlade s pododsekom štyri nižšie,</w:t>
      </w:r>
      <w:r>
        <w:rPr>
          <w:szCs w:val="24"/>
          <w:lang w:eastAsia="en-US"/>
        </w:rPr>
        <w:t xml:space="preserve"> naznačujú, že môžu </w:t>
      </w:r>
      <w:r>
        <w:rPr>
          <w:b/>
          <w:i/>
          <w:szCs w:val="24"/>
          <w:lang w:eastAsia="en-US"/>
        </w:rPr>
        <w:t xml:space="preserve">predstavovať významné riziko </w:t>
      </w:r>
      <w:r>
        <w:rPr>
          <w:szCs w:val="24"/>
          <w:lang w:eastAsia="en-US"/>
        </w:rPr>
        <w:t>na úrovni Únie</w:t>
      </w:r>
      <w:r>
        <w:rPr>
          <w:b/>
          <w:i/>
          <w:szCs w:val="24"/>
          <w:lang w:eastAsia="en-US"/>
        </w:rPr>
        <w:t xml:space="preserve"> pre vodné prostredie alebo prostredníctvom neho, a pre ktoré sú údaje z monitorovania nedostatočné, okrem prípadov, keď počet látok alebo skupín látok, pre ktoré sú dostupné informácie, že môžu</w:t>
      </w:r>
      <w:r>
        <w:rPr>
          <w:szCs w:val="24"/>
          <w:lang w:eastAsia="en-US"/>
        </w:rPr>
        <w:t xml:space="preserve"> predstavovať významné riziko</w:t>
      </w:r>
      <w:r>
        <w:rPr>
          <w:b/>
          <w:i/>
          <w:szCs w:val="24"/>
          <w:lang w:eastAsia="en-US"/>
        </w:rPr>
        <w:t xml:space="preserve"> na úrovni Únie</w:t>
      </w:r>
      <w:r>
        <w:rPr>
          <w:szCs w:val="24"/>
          <w:lang w:eastAsia="en-US"/>
        </w:rPr>
        <w:t xml:space="preserve"> pre vodné prostredie alebo prostredníctvom </w:t>
      </w:r>
      <w:r>
        <w:rPr>
          <w:strike/>
          <w:szCs w:val="24"/>
          <w:lang w:eastAsia="en-US"/>
        </w:rPr>
        <w:t>vodného prostredia, a v prípade</w:t>
      </w:r>
      <w:r>
        <w:rPr>
          <w:b/>
          <w:i/>
          <w:szCs w:val="24"/>
          <w:lang w:eastAsia="en-US"/>
        </w:rPr>
        <w:t>neho, z</w:t>
      </w:r>
      <w:r>
        <w:rPr>
          <w:szCs w:val="24"/>
          <w:lang w:eastAsia="en-US"/>
        </w:rPr>
        <w:t xml:space="preserve"> ktorých </w:t>
      </w:r>
      <w:r>
        <w:rPr>
          <w:strike/>
          <w:szCs w:val="24"/>
          <w:lang w:eastAsia="en-US"/>
        </w:rPr>
        <w:t>sú údaje z monitorovania nedostatočné. Tento</w:t>
      </w:r>
      <w:r>
        <w:rPr>
          <w:b/>
          <w:i/>
          <w:szCs w:val="24"/>
          <w:lang w:eastAsia="en-US"/>
        </w:rPr>
        <w:t>sa má vybrať, je nižší ako päť, a v takom prípade obsahuje</w:t>
      </w:r>
      <w:r>
        <w:rPr>
          <w:szCs w:val="24"/>
          <w:lang w:eastAsia="en-US"/>
        </w:rPr>
        <w:t xml:space="preserve"> zoznam sledovaných látok </w:t>
      </w:r>
      <w:r>
        <w:rPr>
          <w:strike/>
          <w:szCs w:val="24"/>
          <w:lang w:eastAsia="en-US"/>
        </w:rPr>
        <w:t>zahŕňa</w:t>
      </w:r>
      <w:r>
        <w:rPr>
          <w:b/>
          <w:i/>
          <w:szCs w:val="24"/>
          <w:lang w:eastAsia="en-US"/>
        </w:rPr>
        <w:t>všetky tieto</w:t>
      </w:r>
      <w:r>
        <w:rPr>
          <w:szCs w:val="24"/>
          <w:lang w:eastAsia="en-US"/>
        </w:rPr>
        <w:t xml:space="preserve"> látky</w:t>
      </w:r>
      <w:r>
        <w:rPr>
          <w:strike/>
          <w:szCs w:val="24"/>
          <w:lang w:eastAsia="en-US"/>
        </w:rPr>
        <w:t xml:space="preserve"> vzbudzujúce obavy</w:t>
      </w:r>
      <w:r>
        <w:rPr>
          <w:szCs w:val="24"/>
          <w:lang w:eastAsia="en-US"/>
        </w:rPr>
        <w:t>.</w:t>
      </w:r>
    </w:p>
    <w:p w14:paraId="75AB4E6C" w14:textId="77777777" w:rsidR="002709ED" w:rsidRDefault="00B2757B">
      <w:pPr>
        <w:spacing w:before="120" w:after="120" w:line="360" w:lineRule="auto"/>
        <w:ind w:left="1416"/>
        <w:rPr>
          <w:szCs w:val="24"/>
          <w:lang w:eastAsia="en-US"/>
        </w:rPr>
      </w:pPr>
      <w:r>
        <w:rPr>
          <w:b/>
          <w:i/>
          <w:szCs w:val="24"/>
          <w:lang w:eastAsia="en-US"/>
        </w:rPr>
        <w:t>Okrem minimálneho počtu látok alebo skupín látok môže zoznam sledovaných látok obsahovať aj ukazovatele znečistenia.</w:t>
      </w:r>
    </w:p>
    <w:p w14:paraId="47EC873C" w14:textId="77777777" w:rsidR="002709ED" w:rsidRDefault="00B2757B">
      <w:pPr>
        <w:widowControl/>
        <w:rPr>
          <w:b/>
          <w:i/>
          <w:szCs w:val="24"/>
          <w:lang w:eastAsia="en-US"/>
        </w:rPr>
      </w:pPr>
      <w:r>
        <w:rPr>
          <w:b/>
          <w:i/>
          <w:szCs w:val="24"/>
          <w:lang w:eastAsia="en-US"/>
        </w:rPr>
        <w:br w:type="page"/>
      </w:r>
    </w:p>
    <w:p w14:paraId="580CE854" w14:textId="77777777" w:rsidR="002709ED" w:rsidRDefault="00B2757B">
      <w:pPr>
        <w:spacing w:before="120" w:after="120" w:line="360" w:lineRule="auto"/>
        <w:ind w:left="1416"/>
        <w:rPr>
          <w:b/>
          <w:szCs w:val="24"/>
          <w:lang w:eastAsia="en-US"/>
        </w:rPr>
      </w:pPr>
      <w:r>
        <w:rPr>
          <w:b/>
          <w:i/>
          <w:szCs w:val="24"/>
          <w:lang w:eastAsia="en-US"/>
        </w:rPr>
        <w:lastRenderedPageBreak/>
        <w:t>Zoznam sledovaných látok špecifikuje monitorovacie matrice a možné analytické metódy pre každú látku. Tieto monitorovacie matice a metódy nesmú spôsobiť príslušným orgánom nadmerné náklady.</w:t>
      </w:r>
      <w:r>
        <w:rPr>
          <w:b/>
          <w:szCs w:val="24"/>
          <w:lang w:eastAsia="en-US"/>
        </w:rPr>
        <w:t xml:space="preserve"> [PN 85]</w:t>
      </w:r>
    </w:p>
    <w:p w14:paraId="0239CF10" w14:textId="77777777" w:rsidR="002709ED" w:rsidRDefault="00B2757B">
      <w:pPr>
        <w:spacing w:before="120" w:after="120" w:line="360" w:lineRule="auto"/>
        <w:ind w:left="1416"/>
        <w:rPr>
          <w:b/>
          <w:szCs w:val="24"/>
          <w:lang w:eastAsia="en-US"/>
        </w:rPr>
      </w:pPr>
      <w:r>
        <w:rPr>
          <w:strike/>
          <w:szCs w:val="24"/>
          <w:lang w:eastAsia="en-US"/>
        </w:rPr>
        <w:t>Tieto látky sa do zoznamu sledovaných látok zaradia hneď po identifikácii vhodných metód</w:t>
      </w:r>
      <w:r>
        <w:rPr>
          <w:b/>
          <w:i/>
          <w:szCs w:val="24"/>
          <w:lang w:eastAsia="en-US"/>
        </w:rPr>
        <w:t xml:space="preserve">Vhodné metódy </w:t>
      </w:r>
      <w:r>
        <w:rPr>
          <w:szCs w:val="24"/>
          <w:lang w:eastAsia="en-US"/>
        </w:rPr>
        <w:t>monitorovania mikroplastov a vybraných génov antimikrobiálnej rezistencie</w:t>
      </w:r>
      <w:r>
        <w:rPr>
          <w:b/>
          <w:i/>
          <w:szCs w:val="24"/>
          <w:lang w:eastAsia="en-US"/>
        </w:rPr>
        <w:t xml:space="preserve"> </w:t>
      </w:r>
      <w:r w:rsidR="003F2F15">
        <w:rPr>
          <w:b/>
          <w:i/>
          <w:szCs w:val="24"/>
          <w:lang w:eastAsia="en-US"/>
        </w:rPr>
        <w:t xml:space="preserve">sa určia čo najskôr, najneskôr však ... </w:t>
      </w:r>
      <w:r>
        <w:rPr>
          <w:b/>
          <w:i/>
          <w:szCs w:val="24"/>
          <w:lang w:eastAsia="en-US"/>
        </w:rPr>
        <w:t xml:space="preserve">[prvého dňa mesiaca nasledujúceho po 18 mesiacoch </w:t>
      </w:r>
      <w:r w:rsidR="00746478">
        <w:rPr>
          <w:b/>
          <w:i/>
          <w:szCs w:val="24"/>
          <w:lang w:eastAsia="en-US"/>
        </w:rPr>
        <w:t xml:space="preserve">po </w:t>
      </w:r>
      <w:r>
        <w:rPr>
          <w:b/>
          <w:i/>
          <w:szCs w:val="24"/>
          <w:lang w:eastAsia="en-US"/>
        </w:rPr>
        <w:t>d</w:t>
      </w:r>
      <w:r w:rsidR="00746478">
        <w:rPr>
          <w:b/>
          <w:i/>
          <w:szCs w:val="24"/>
          <w:lang w:eastAsia="en-US"/>
        </w:rPr>
        <w:t>ni</w:t>
      </w:r>
      <w:r>
        <w:rPr>
          <w:b/>
          <w:i/>
          <w:szCs w:val="24"/>
          <w:lang w:eastAsia="en-US"/>
        </w:rPr>
        <w:t xml:space="preserve"> nadobudnutia účinnosti tejto pozmeňujúcej smernice]</w:t>
      </w:r>
      <w:r>
        <w:rPr>
          <w:szCs w:val="24"/>
          <w:lang w:eastAsia="en-US"/>
        </w:rPr>
        <w:t>.</w:t>
      </w:r>
      <w:r>
        <w:rPr>
          <w:b/>
          <w:i/>
          <w:szCs w:val="24"/>
          <w:lang w:eastAsia="en-US"/>
        </w:rPr>
        <w:t xml:space="preserve"> Hneď po určení vhodných metód monitorovania sa mikroplasty a vybrané gény antimikrobiálnej rezistencie zaradia do zoznamu sledovaných látok v súlade s článkom 6a ods. 2 bodom 1. Komisia zváži, či je zaradenie síranov do prvého zoznamu sledovaných látok potrebné na zlepšenie dostupnosti údajov o ich prítomnosti vzhľadom na rozsah pôsobnosti tejto smernice.</w:t>
      </w:r>
      <w:r>
        <w:rPr>
          <w:b/>
          <w:szCs w:val="24"/>
          <w:lang w:eastAsia="en-US"/>
        </w:rPr>
        <w:t xml:space="preserve"> [PN 86]</w:t>
      </w:r>
    </w:p>
    <w:p w14:paraId="7EC9458B" w14:textId="77777777" w:rsidR="002709ED" w:rsidRDefault="00B2757B">
      <w:pPr>
        <w:widowControl/>
        <w:rPr>
          <w:szCs w:val="24"/>
          <w:lang w:eastAsia="en-US"/>
        </w:rPr>
      </w:pPr>
      <w:r>
        <w:rPr>
          <w:szCs w:val="24"/>
          <w:lang w:eastAsia="en-US"/>
        </w:rPr>
        <w:br w:type="page"/>
      </w:r>
    </w:p>
    <w:p w14:paraId="0A7DD033" w14:textId="77777777" w:rsidR="002709ED" w:rsidRDefault="00B2757B">
      <w:pPr>
        <w:spacing w:before="120" w:after="120" w:line="360" w:lineRule="auto"/>
        <w:ind w:left="1416"/>
        <w:rPr>
          <w:b/>
          <w:szCs w:val="24"/>
          <w:lang w:eastAsia="en-US"/>
        </w:rPr>
      </w:pPr>
      <w:r>
        <w:rPr>
          <w:szCs w:val="24"/>
          <w:lang w:eastAsia="en-US"/>
        </w:rPr>
        <w:lastRenderedPageBreak/>
        <w:t xml:space="preserve">Agentúra ECHA vypracuje vedecké správy s cieľom pomôcť Komisii pri výbere látok </w:t>
      </w:r>
      <w:r>
        <w:rPr>
          <w:b/>
          <w:i/>
          <w:szCs w:val="24"/>
          <w:lang w:eastAsia="en-US"/>
        </w:rPr>
        <w:t xml:space="preserve">a ukazovateľov znečistenia </w:t>
      </w:r>
      <w:r>
        <w:rPr>
          <w:szCs w:val="24"/>
          <w:lang w:eastAsia="en-US"/>
        </w:rPr>
        <w:t>do zoznamu sledovaných látok, pričom zohľadní tieto informácie:</w:t>
      </w:r>
      <w:r>
        <w:rPr>
          <w:b/>
          <w:szCs w:val="24"/>
          <w:lang w:eastAsia="en-US"/>
        </w:rPr>
        <w:t xml:space="preserve"> [PN 87]</w:t>
      </w:r>
    </w:p>
    <w:p w14:paraId="17A8F1E5" w14:textId="77777777" w:rsidR="002709ED" w:rsidRDefault="00B2757B">
      <w:pPr>
        <w:spacing w:before="120" w:after="120" w:line="360" w:lineRule="auto"/>
        <w:ind w:left="1982" w:hanging="566"/>
        <w:rPr>
          <w:szCs w:val="24"/>
          <w:lang w:eastAsia="en-US"/>
        </w:rPr>
      </w:pPr>
      <w:r>
        <w:rPr>
          <w:szCs w:val="24"/>
          <w:lang w:eastAsia="en-US"/>
        </w:rPr>
        <w:t>a)</w:t>
      </w:r>
      <w:r>
        <w:rPr>
          <w:szCs w:val="24"/>
          <w:lang w:eastAsia="en-US"/>
        </w:rPr>
        <w:tab/>
        <w:t>prílohu I k smernici Európskeho parlamentu a Rady 2008/105/ES* a výsledky najnovšieho preskúmania uvedenej prílohy;</w:t>
      </w:r>
    </w:p>
    <w:p w14:paraId="4754AEF7" w14:textId="77777777" w:rsidR="002709ED" w:rsidRDefault="00B2757B">
      <w:pPr>
        <w:spacing w:before="120" w:after="120" w:line="360" w:lineRule="auto"/>
        <w:ind w:left="1982" w:hanging="566"/>
        <w:rPr>
          <w:szCs w:val="24"/>
          <w:lang w:eastAsia="en-US"/>
        </w:rPr>
      </w:pPr>
      <w:r>
        <w:rPr>
          <w:szCs w:val="24"/>
          <w:lang w:eastAsia="en-US"/>
        </w:rPr>
        <w:t>b)</w:t>
      </w:r>
      <w:r>
        <w:rPr>
          <w:szCs w:val="24"/>
          <w:lang w:eastAsia="en-US"/>
        </w:rPr>
        <w:tab/>
        <w:t>zoznamy sledovaných látok vypracované v súlade so smernicou 2008/105/ES a smernicou Európskeho parlamentu a Rady (EÚ) 2020/2184**;</w:t>
      </w:r>
    </w:p>
    <w:p w14:paraId="16C90C3B" w14:textId="77777777" w:rsidR="002709ED" w:rsidRDefault="00B2757B">
      <w:pPr>
        <w:spacing w:before="120" w:after="120" w:line="360" w:lineRule="auto"/>
        <w:ind w:left="1982" w:hanging="566"/>
        <w:rPr>
          <w:szCs w:val="24"/>
          <w:lang w:eastAsia="en-US"/>
        </w:rPr>
      </w:pPr>
      <w:r>
        <w:rPr>
          <w:szCs w:val="24"/>
          <w:lang w:eastAsia="en-US"/>
        </w:rPr>
        <w:t>c)</w:t>
      </w:r>
      <w:r>
        <w:rPr>
          <w:szCs w:val="24"/>
          <w:lang w:eastAsia="en-US"/>
        </w:rPr>
        <w:tab/>
        <w:t>požiadavky na riešenie znečistenia pôdy vrátane súvisiacich údajov z monitorovania;</w:t>
      </w:r>
    </w:p>
    <w:p w14:paraId="39E6E663" w14:textId="77777777" w:rsidR="002709ED" w:rsidRDefault="00B2757B">
      <w:pPr>
        <w:spacing w:before="120" w:after="120" w:line="360" w:lineRule="auto"/>
        <w:ind w:left="1982" w:hanging="566"/>
        <w:rPr>
          <w:szCs w:val="24"/>
          <w:lang w:eastAsia="en-US"/>
        </w:rPr>
      </w:pPr>
      <w:r>
        <w:rPr>
          <w:szCs w:val="24"/>
          <w:lang w:eastAsia="en-US"/>
        </w:rPr>
        <w:t>d)</w:t>
      </w:r>
      <w:r>
        <w:rPr>
          <w:szCs w:val="24"/>
          <w:lang w:eastAsia="en-US"/>
        </w:rPr>
        <w:tab/>
        <w:t>charakteristiku správnych území povodí, ktorú poskytnú členské štáty v súlade s článkom 5 smernice 2000/60/ES, a výsledky programov monitorovania vytvorených v súlade s článkom 8 uvedenej smernice;</w:t>
      </w:r>
    </w:p>
    <w:p w14:paraId="6A212B38" w14:textId="77777777" w:rsidR="002709ED" w:rsidRDefault="00B2757B">
      <w:pPr>
        <w:widowControl/>
        <w:rPr>
          <w:szCs w:val="24"/>
          <w:lang w:eastAsia="en-US"/>
        </w:rPr>
      </w:pPr>
      <w:r>
        <w:rPr>
          <w:szCs w:val="24"/>
          <w:lang w:eastAsia="en-US"/>
        </w:rPr>
        <w:br w:type="page"/>
      </w:r>
    </w:p>
    <w:p w14:paraId="1583F995" w14:textId="77777777" w:rsidR="002709ED" w:rsidRDefault="00B2757B">
      <w:pPr>
        <w:spacing w:before="120" w:after="120" w:line="360" w:lineRule="auto"/>
        <w:ind w:left="1982" w:hanging="566"/>
        <w:rPr>
          <w:szCs w:val="24"/>
          <w:lang w:eastAsia="en-US"/>
        </w:rPr>
      </w:pPr>
      <w:r>
        <w:rPr>
          <w:szCs w:val="24"/>
          <w:lang w:eastAsia="en-US"/>
        </w:rPr>
        <w:lastRenderedPageBreak/>
        <w:t>e)</w:t>
      </w:r>
      <w:r>
        <w:rPr>
          <w:szCs w:val="24"/>
          <w:lang w:eastAsia="en-US"/>
        </w:rPr>
        <w:tab/>
        <w:t>informácie o objeme výroby, spôsoboch používania, vnútorných vlastnostiach (vrátane mobility v pôde a prípadne veľkosti častíc), koncentráciách v životnom prostredí a nepriaznivých účinkoch konkrétnej látky alebo skupiny látok na ľudské zdravie a vodné prostredie vrátane informácií zhromaždených v súlade s nariadením Európskeho parlamentu a Rady (ES) č. 1907/2006***, nariadením Európskeho parlamentu a Rady (ES) č. 1107/2009****, nariadením Európskeho parlamentu a Rady (EÚ) č. 528/2012*****, nariadením Európskeho parlamentu a Rady (EÚ) 2019/6******, so smernicou Európskeho parlamentu a Rady 2001/83/ES******* a smernicou Európskeho parlamentu a Rady 2009/128/ES********;</w:t>
      </w:r>
    </w:p>
    <w:p w14:paraId="030A94BC" w14:textId="77777777" w:rsidR="002709ED" w:rsidRDefault="00B2757B">
      <w:pPr>
        <w:widowControl/>
        <w:rPr>
          <w:szCs w:val="24"/>
          <w:lang w:eastAsia="en-US"/>
        </w:rPr>
      </w:pPr>
      <w:r>
        <w:rPr>
          <w:szCs w:val="24"/>
          <w:lang w:eastAsia="en-US"/>
        </w:rPr>
        <w:br w:type="page"/>
      </w:r>
    </w:p>
    <w:p w14:paraId="47F8AE56" w14:textId="77777777" w:rsidR="002709ED" w:rsidRDefault="00B2757B">
      <w:pPr>
        <w:spacing w:before="120" w:after="120" w:line="360" w:lineRule="auto"/>
        <w:ind w:left="1982" w:hanging="566"/>
        <w:rPr>
          <w:b/>
          <w:szCs w:val="24"/>
          <w:lang w:eastAsia="en-US"/>
        </w:rPr>
      </w:pPr>
      <w:r>
        <w:rPr>
          <w:szCs w:val="24"/>
          <w:lang w:eastAsia="en-US"/>
        </w:rPr>
        <w:lastRenderedPageBreak/>
        <w:t>f)</w:t>
      </w:r>
      <w:r>
        <w:rPr>
          <w:szCs w:val="24"/>
          <w:lang w:eastAsia="en-US"/>
        </w:rPr>
        <w:tab/>
        <w:t>výskumné projekty a vedecké publikácie vrátane</w:t>
      </w:r>
      <w:r>
        <w:rPr>
          <w:b/>
          <w:i/>
          <w:szCs w:val="24"/>
          <w:lang w:eastAsia="en-US"/>
        </w:rPr>
        <w:t xml:space="preserve"> informácií o vplyve materiálových a tepelných kontaminantov, ako aj o vplyve nadzemných a podzemných ťažobných a infraštruktúrnych aktivít na ekosystémy podzemných vôd a ekosystémy závislé od podzemných vôd a ich biodiverzitu,</w:t>
      </w:r>
      <w:r>
        <w:rPr>
          <w:szCs w:val="24"/>
          <w:lang w:eastAsia="en-US"/>
        </w:rPr>
        <w:t xml:space="preserve"> informácií o trendoch a prognózach založených na modelovaní alebo iných prognostických hodnoteniach</w:t>
      </w:r>
      <w:r>
        <w:rPr>
          <w:strike/>
          <w:szCs w:val="24"/>
          <w:lang w:eastAsia="en-US"/>
        </w:rPr>
        <w:t xml:space="preserve"> a údajoch a</w:t>
      </w:r>
      <w:r>
        <w:rPr>
          <w:b/>
          <w:i/>
          <w:szCs w:val="24"/>
          <w:lang w:eastAsia="en-US"/>
        </w:rPr>
        <w:t>, ako aj o</w:t>
      </w:r>
      <w:r>
        <w:rPr>
          <w:szCs w:val="24"/>
          <w:lang w:eastAsia="en-US"/>
        </w:rPr>
        <w:t xml:space="preserve"> informáciách </w:t>
      </w:r>
      <w:r>
        <w:rPr>
          <w:strike/>
          <w:szCs w:val="24"/>
          <w:lang w:eastAsia="en-US"/>
        </w:rPr>
        <w:t>z technológií</w:t>
      </w:r>
      <w:r>
        <w:rPr>
          <w:b/>
          <w:i/>
          <w:szCs w:val="24"/>
          <w:lang w:eastAsia="en-US"/>
        </w:rPr>
        <w:t>a údajoch získaných technológiami</w:t>
      </w:r>
      <w:r>
        <w:rPr>
          <w:szCs w:val="24"/>
          <w:lang w:eastAsia="en-US"/>
        </w:rPr>
        <w:t xml:space="preserve"> diaľkového prieskumu a pozorovania Zeme (služby Copernicus), snímačov a zariadení in situ alebo údajov občianskej vedy, pričom sa využívajú možnosti, ktoré </w:t>
      </w:r>
      <w:r>
        <w:rPr>
          <w:strike/>
          <w:szCs w:val="24"/>
          <w:lang w:eastAsia="en-US"/>
        </w:rPr>
        <w:t>ponúka</w:t>
      </w:r>
      <w:r>
        <w:rPr>
          <w:b/>
          <w:i/>
          <w:szCs w:val="24"/>
          <w:lang w:eastAsia="en-US"/>
        </w:rPr>
        <w:t>otvára</w:t>
      </w:r>
      <w:r>
        <w:rPr>
          <w:szCs w:val="24"/>
          <w:lang w:eastAsia="en-US"/>
        </w:rPr>
        <w:t xml:space="preserve"> umelá inteligencia, ako aj pokročilá analýza a spracovanie údajov;</w:t>
      </w:r>
      <w:r>
        <w:rPr>
          <w:b/>
          <w:szCs w:val="24"/>
          <w:lang w:eastAsia="en-US"/>
        </w:rPr>
        <w:t xml:space="preserve"> [PN 88]</w:t>
      </w:r>
    </w:p>
    <w:p w14:paraId="2A45025F" w14:textId="77777777" w:rsidR="002709ED" w:rsidRDefault="00B2757B">
      <w:pPr>
        <w:spacing w:before="120" w:after="120" w:line="360" w:lineRule="auto"/>
        <w:ind w:left="1982" w:hanging="566"/>
        <w:rPr>
          <w:szCs w:val="24"/>
          <w:lang w:eastAsia="en-US"/>
        </w:rPr>
      </w:pPr>
      <w:r>
        <w:rPr>
          <w:szCs w:val="24"/>
          <w:lang w:eastAsia="en-US"/>
        </w:rPr>
        <w:t>g)</w:t>
      </w:r>
      <w:r>
        <w:rPr>
          <w:szCs w:val="24"/>
          <w:lang w:eastAsia="en-US"/>
        </w:rPr>
        <w:tab/>
        <w:t>odporúčania zainteresovaných strán.</w:t>
      </w:r>
    </w:p>
    <w:p w14:paraId="3478BAEC" w14:textId="77777777" w:rsidR="002709ED" w:rsidRDefault="00B2757B">
      <w:pPr>
        <w:spacing w:before="120" w:after="120" w:line="360" w:lineRule="auto"/>
        <w:ind w:left="1416"/>
        <w:rPr>
          <w:szCs w:val="24"/>
          <w:lang w:eastAsia="en-US"/>
        </w:rPr>
      </w:pPr>
      <w:r>
        <w:rPr>
          <w:szCs w:val="24"/>
          <w:lang w:eastAsia="en-US"/>
        </w:rPr>
        <w:t xml:space="preserve">Agentúra ECHA každé tri roky pripraví správu, v ktorej zhrnie zistenia vedeckých správ vypracovaných podľa štvrtého pododseku, a túto správu zverejní. Sprístupnenie prvej správy sa uskutoční do X [Úrad pre publikácie: vložte dátum = prvý deň dvadsiateho prvého mesiaca po </w:t>
      </w:r>
      <w:r w:rsidR="00746478">
        <w:rPr>
          <w:szCs w:val="24"/>
          <w:lang w:eastAsia="en-US"/>
        </w:rPr>
        <w:t xml:space="preserve">dni </w:t>
      </w:r>
      <w:r>
        <w:rPr>
          <w:szCs w:val="24"/>
          <w:lang w:eastAsia="en-US"/>
        </w:rPr>
        <w:t>nadobudnutia účinnosti tejto smernice].</w:t>
      </w:r>
    </w:p>
    <w:p w14:paraId="16A7C35B" w14:textId="77777777" w:rsidR="002709ED" w:rsidRDefault="00B2757B">
      <w:pPr>
        <w:widowControl/>
        <w:rPr>
          <w:szCs w:val="24"/>
          <w:lang w:eastAsia="en-US"/>
        </w:rPr>
      </w:pPr>
      <w:r>
        <w:rPr>
          <w:szCs w:val="24"/>
          <w:lang w:eastAsia="en-US"/>
        </w:rPr>
        <w:br w:type="page"/>
      </w:r>
    </w:p>
    <w:p w14:paraId="3CFE48CF" w14:textId="77777777" w:rsidR="002709ED" w:rsidRDefault="00B2757B">
      <w:pPr>
        <w:spacing w:before="120" w:after="120" w:line="360" w:lineRule="auto"/>
        <w:ind w:left="1416" w:hanging="566"/>
        <w:rPr>
          <w:b/>
          <w:szCs w:val="24"/>
          <w:lang w:eastAsia="en-US"/>
        </w:rPr>
      </w:pPr>
      <w:r>
        <w:rPr>
          <w:szCs w:val="24"/>
          <w:lang w:eastAsia="en-US"/>
        </w:rPr>
        <w:lastRenderedPageBreak/>
        <w:t>2.</w:t>
      </w:r>
      <w:r>
        <w:rPr>
          <w:szCs w:val="24"/>
          <w:lang w:eastAsia="en-US"/>
        </w:rPr>
        <w:tab/>
        <w:t xml:space="preserve">Prvý zoznam sledovaných látok sa vypracuje do ... [Úrad pre publikácie: vložte dátum = prvý deň mesiaca nasledujúceho po 24 mesiacoch </w:t>
      </w:r>
      <w:r w:rsidR="00746478">
        <w:rPr>
          <w:szCs w:val="24"/>
          <w:lang w:eastAsia="en-US"/>
        </w:rPr>
        <w:t>po dni</w:t>
      </w:r>
      <w:r>
        <w:rPr>
          <w:szCs w:val="24"/>
          <w:lang w:eastAsia="en-US"/>
        </w:rPr>
        <w:t xml:space="preserve"> nadobudnutia účinnosti tejto smernice]. Zoznam sledovaných látok sa </w:t>
      </w:r>
      <w:r>
        <w:rPr>
          <w:strike/>
          <w:szCs w:val="24"/>
          <w:lang w:eastAsia="en-US"/>
        </w:rPr>
        <w:t>následne</w:t>
      </w:r>
      <w:r>
        <w:rPr>
          <w:b/>
          <w:i/>
          <w:szCs w:val="24"/>
          <w:lang w:eastAsia="en-US"/>
        </w:rPr>
        <w:t>potom</w:t>
      </w:r>
      <w:r>
        <w:rPr>
          <w:szCs w:val="24"/>
          <w:lang w:eastAsia="en-US"/>
        </w:rPr>
        <w:t xml:space="preserve"> aktualizuje</w:t>
      </w:r>
      <w:r>
        <w:rPr>
          <w:b/>
          <w:i/>
          <w:szCs w:val="24"/>
          <w:lang w:eastAsia="en-US"/>
        </w:rPr>
        <w:t xml:space="preserve"> najneskôr</w:t>
      </w:r>
      <w:r>
        <w:rPr>
          <w:szCs w:val="24"/>
          <w:lang w:eastAsia="en-US"/>
        </w:rPr>
        <w:t xml:space="preserve"> každých 36 mesiacov</w:t>
      </w:r>
      <w:r>
        <w:rPr>
          <w:b/>
          <w:i/>
          <w:szCs w:val="24"/>
          <w:lang w:eastAsia="en-US"/>
        </w:rPr>
        <w:t xml:space="preserve"> alebo častejšie, ak sa objavia nové vedecké dôkazy, ktoré by si vyžadovali aktualizáciu zoznamu v prechodnom období medzi jednotlivými preskúmaniami</w:t>
      </w:r>
      <w:r>
        <w:rPr>
          <w:szCs w:val="24"/>
          <w:lang w:eastAsia="en-US"/>
        </w:rPr>
        <w:t>.</w:t>
      </w:r>
      <w:r>
        <w:rPr>
          <w:b/>
          <w:szCs w:val="24"/>
          <w:lang w:eastAsia="en-US"/>
        </w:rPr>
        <w:t xml:space="preserve"> [PN 89]</w:t>
      </w:r>
    </w:p>
    <w:p w14:paraId="023C035F" w14:textId="77777777" w:rsidR="002709ED" w:rsidRDefault="00B2757B">
      <w:pPr>
        <w:spacing w:before="120" w:after="120" w:line="360" w:lineRule="auto"/>
        <w:ind w:left="1416"/>
        <w:rPr>
          <w:b/>
          <w:szCs w:val="24"/>
          <w:lang w:eastAsia="en-US"/>
        </w:rPr>
      </w:pPr>
      <w:r>
        <w:rPr>
          <w:b/>
          <w:i/>
          <w:szCs w:val="24"/>
          <w:lang w:eastAsia="en-US"/>
        </w:rPr>
        <w:t>Členské štáty hodnotia každé dva roky vplyv priemyselných činností súvisiacich s energetickou transformáciou na kvalitu vôd a informujú Komisiu o nových identifikovaných hrozbách, aby zodpovedajúcim spôsobom aktualizovala zoznam sledovaných látok. Vyhodnotenie musí byť ľahko prístupné verejnosti.</w:t>
      </w:r>
      <w:r>
        <w:rPr>
          <w:b/>
          <w:szCs w:val="24"/>
          <w:lang w:eastAsia="en-US"/>
        </w:rPr>
        <w:t xml:space="preserve"> [PN 90]</w:t>
      </w:r>
    </w:p>
    <w:p w14:paraId="535A02A4" w14:textId="77777777" w:rsidR="002709ED" w:rsidRDefault="00B2757B">
      <w:pPr>
        <w:widowControl/>
        <w:rPr>
          <w:szCs w:val="24"/>
          <w:lang w:eastAsia="en-US"/>
        </w:rPr>
      </w:pPr>
      <w:r>
        <w:rPr>
          <w:szCs w:val="24"/>
          <w:lang w:eastAsia="en-US"/>
        </w:rPr>
        <w:br w:type="page"/>
      </w:r>
    </w:p>
    <w:p w14:paraId="3F243116" w14:textId="77777777" w:rsidR="002709ED" w:rsidRDefault="00B2757B">
      <w:pPr>
        <w:spacing w:before="120" w:after="120" w:line="360" w:lineRule="auto"/>
        <w:ind w:left="1416"/>
        <w:rPr>
          <w:szCs w:val="24"/>
          <w:lang w:eastAsia="en-US"/>
        </w:rPr>
      </w:pPr>
      <w:r>
        <w:rPr>
          <w:szCs w:val="24"/>
          <w:lang w:eastAsia="en-US"/>
        </w:rPr>
        <w:lastRenderedPageBreak/>
        <w:t>Komisia pri aktualizácii zoznamu sledovaných látok vypustí z existujúceho zoznamu každú látku alebo skupinu látok, pri ktorej považuje za možné posúdiť jej riziko pre vodné prostredie bez ďalších údajov z monitorovania. Jednotlivá látka alebo skupina látok sa môže v zozname sledovaných látok pri jeho aktualizácii ponechať na ďalšie obdobie troch rokov, ak sú na posúdenie rizika pre vodné prostredie potrebné ďalšie údaje z monitorovania. Aktualizovaný zoznam sledovaných látok obsahuje aj jednu alebo viacero ďalších látok, v prípade ktorých sa Komisia so zreteľom na vedecké správy agentúry ECHA domnieva, že by mohli predstavovať riziko pre vodné prostredie.</w:t>
      </w:r>
    </w:p>
    <w:p w14:paraId="6A7BEBDC" w14:textId="77777777" w:rsidR="002709ED" w:rsidRDefault="00B2757B">
      <w:pPr>
        <w:spacing w:before="120" w:after="120" w:line="360" w:lineRule="auto"/>
        <w:ind w:left="1416" w:hanging="566"/>
        <w:rPr>
          <w:szCs w:val="24"/>
          <w:lang w:eastAsia="en-US"/>
        </w:rPr>
      </w:pPr>
      <w:r>
        <w:rPr>
          <w:szCs w:val="24"/>
          <w:lang w:eastAsia="en-US"/>
        </w:rPr>
        <w:t>3.</w:t>
      </w:r>
      <w:r>
        <w:rPr>
          <w:szCs w:val="24"/>
          <w:lang w:eastAsia="en-US"/>
        </w:rPr>
        <w:tab/>
        <w:t>Členské štáty monitorujú každú látku alebo skupinu látok v zozname sledovaných látok na vybraných reprezentatívnych monitorovacích staniciach počas obdobia 24 mesiacov. Obdobie monitorovania sa začne do šiestich mesiacov od zostavenia zoznamu sledovaných látok.</w:t>
      </w:r>
    </w:p>
    <w:p w14:paraId="2F145314" w14:textId="77777777" w:rsidR="002709ED" w:rsidRDefault="00B2757B">
      <w:pPr>
        <w:spacing w:before="120" w:after="120" w:line="360" w:lineRule="auto"/>
        <w:ind w:left="1416"/>
        <w:rPr>
          <w:b/>
          <w:szCs w:val="24"/>
          <w:lang w:eastAsia="en-US"/>
        </w:rPr>
      </w:pPr>
      <w:r>
        <w:rPr>
          <w:szCs w:val="24"/>
          <w:lang w:eastAsia="en-US"/>
        </w:rPr>
        <w:t xml:space="preserve">Každý členský štát si zvolí aspoň </w:t>
      </w:r>
      <w:r>
        <w:rPr>
          <w:strike/>
          <w:szCs w:val="24"/>
          <w:lang w:eastAsia="en-US"/>
        </w:rPr>
        <w:t>jednu monitorovaciu stanicu</w:t>
      </w:r>
      <w:r>
        <w:rPr>
          <w:b/>
          <w:i/>
          <w:szCs w:val="24"/>
          <w:lang w:eastAsia="en-US"/>
        </w:rPr>
        <w:t>dve monitorovacie stanice</w:t>
      </w:r>
      <w:r>
        <w:rPr>
          <w:szCs w:val="24"/>
          <w:lang w:eastAsia="en-US"/>
        </w:rPr>
        <w:t xml:space="preserve"> plus počet staníc zodpovedajúci jeho celkovej ploche útvarov podzemnej vody v km² vydelenej číslom </w:t>
      </w:r>
      <w:r>
        <w:rPr>
          <w:strike/>
          <w:szCs w:val="24"/>
          <w:lang w:eastAsia="en-US"/>
        </w:rPr>
        <w:t>60 000</w:t>
      </w:r>
      <w:r>
        <w:rPr>
          <w:b/>
          <w:i/>
          <w:szCs w:val="24"/>
          <w:lang w:eastAsia="en-US"/>
        </w:rPr>
        <w:t>30 000</w:t>
      </w:r>
      <w:r>
        <w:rPr>
          <w:szCs w:val="24"/>
          <w:lang w:eastAsia="en-US"/>
        </w:rPr>
        <w:t xml:space="preserve"> (zaokrúhlené na najbližšie celé číslo).</w:t>
      </w:r>
      <w:r>
        <w:rPr>
          <w:b/>
          <w:szCs w:val="24"/>
          <w:lang w:eastAsia="en-US"/>
        </w:rPr>
        <w:t xml:space="preserve"> [PN 91]</w:t>
      </w:r>
    </w:p>
    <w:p w14:paraId="39C3FF48" w14:textId="77777777" w:rsidR="002709ED" w:rsidRDefault="00B2757B">
      <w:pPr>
        <w:widowControl/>
        <w:rPr>
          <w:szCs w:val="24"/>
          <w:lang w:eastAsia="en-US"/>
        </w:rPr>
      </w:pPr>
      <w:r>
        <w:rPr>
          <w:szCs w:val="24"/>
          <w:lang w:eastAsia="en-US"/>
        </w:rPr>
        <w:br w:type="page"/>
      </w:r>
    </w:p>
    <w:p w14:paraId="2F253EE8" w14:textId="77777777" w:rsidR="002709ED" w:rsidRDefault="00B2757B">
      <w:pPr>
        <w:spacing w:before="120" w:after="120" w:line="360" w:lineRule="auto"/>
        <w:ind w:left="1416"/>
        <w:rPr>
          <w:szCs w:val="24"/>
          <w:lang w:eastAsia="en-US"/>
        </w:rPr>
      </w:pPr>
      <w:r>
        <w:rPr>
          <w:szCs w:val="24"/>
          <w:lang w:eastAsia="en-US"/>
        </w:rPr>
        <w:lastRenderedPageBreak/>
        <w:t>Členské štáty pri výbere reprezentatívnych monitorovacích staníc, frekvencie monitorovania a sezónnosti v prípade každej látky alebo skupiny látok zohľadnia spôsoby používania a možný výskyt látky alebo skupiny látok. Frekvencia monitorovania nesmie byť kratšia ako raz za rok.</w:t>
      </w:r>
    </w:p>
    <w:p w14:paraId="42EB0447" w14:textId="77777777" w:rsidR="002709ED" w:rsidRDefault="00B2757B">
      <w:pPr>
        <w:spacing w:before="120" w:after="120" w:line="360" w:lineRule="auto"/>
        <w:ind w:left="1416"/>
        <w:rPr>
          <w:szCs w:val="24"/>
          <w:lang w:eastAsia="en-US"/>
        </w:rPr>
      </w:pPr>
      <w:r>
        <w:rPr>
          <w:szCs w:val="24"/>
          <w:lang w:eastAsia="en-US"/>
        </w:rPr>
        <w:t>Ak členský štát dokáže vygenerovať dostatočné, porovnateľné, reprezentatívne a najnovšie údaje z monitorovania konkrétnej látky alebo skupiny látok z existujúcich monitorovacích programov alebo štúdií, môže sa rozhodnúť, že nevykoná dodatočné monitorovanie tejto látky alebo skupiny látok v rámci mechanizmu zoznamu sledovaných látok za predpokladu, že táto látka alebo skupina látok bola monitorovaná metodikou, ktorá je v súlade s monitorovacími matricami a analytickými metódami uvedenými vo vykonávacom akte, ktorým sa stanovuje zoznam sledovaných látok.</w:t>
      </w:r>
    </w:p>
    <w:p w14:paraId="4D0FE1E6" w14:textId="77777777" w:rsidR="002709ED" w:rsidRDefault="00B2757B">
      <w:pPr>
        <w:widowControl/>
        <w:rPr>
          <w:szCs w:val="24"/>
          <w:lang w:eastAsia="en-US"/>
        </w:rPr>
      </w:pPr>
      <w:r>
        <w:rPr>
          <w:szCs w:val="24"/>
          <w:lang w:eastAsia="en-US"/>
        </w:rPr>
        <w:br w:type="page"/>
      </w:r>
    </w:p>
    <w:p w14:paraId="755A00AE" w14:textId="77777777" w:rsidR="002709ED" w:rsidRDefault="00B2757B">
      <w:pPr>
        <w:spacing w:before="120" w:after="120" w:line="360" w:lineRule="auto"/>
        <w:ind w:left="1416" w:hanging="566"/>
        <w:rPr>
          <w:szCs w:val="24"/>
          <w:lang w:eastAsia="en-US"/>
        </w:rPr>
      </w:pPr>
      <w:r>
        <w:rPr>
          <w:szCs w:val="24"/>
          <w:lang w:eastAsia="en-US"/>
        </w:rPr>
        <w:lastRenderedPageBreak/>
        <w:t>4.</w:t>
      </w:r>
      <w:r>
        <w:rPr>
          <w:szCs w:val="24"/>
          <w:lang w:eastAsia="en-US"/>
        </w:rPr>
        <w:tab/>
        <w:t>Členské štáty sprístupnia výsledky monitorovania uvedeného v odseku 3 tohto článku v súlade s článkom 8 ods. 4 smernice 2000/60/ES a s vykonávacím aktom, ktorým sa stanovuje zoznam sledovaných látok, prijatým podľa odseku 1. Sprístupnia aj informácie o reprezentatívnosti monitorovacích staníc a o stratégii monitorovania.</w:t>
      </w:r>
    </w:p>
    <w:p w14:paraId="18D90208" w14:textId="77777777" w:rsidR="002709ED" w:rsidRDefault="00B2757B">
      <w:pPr>
        <w:spacing w:before="120" w:after="120" w:line="360" w:lineRule="auto"/>
        <w:ind w:left="1416" w:hanging="566"/>
        <w:rPr>
          <w:szCs w:val="24"/>
          <w:lang w:eastAsia="en-US"/>
        </w:rPr>
      </w:pPr>
      <w:r>
        <w:rPr>
          <w:szCs w:val="24"/>
          <w:lang w:eastAsia="en-US"/>
        </w:rPr>
        <w:t>5.</w:t>
      </w:r>
      <w:r>
        <w:rPr>
          <w:szCs w:val="24"/>
          <w:lang w:eastAsia="en-US"/>
        </w:rPr>
        <w:tab/>
        <w:t>Agentúra ECHA na konci 24-mesačného obdobia uvedeného v odseku 3 preskúma výsledky monitorovania a posúdi, ktoré látky alebo skupiny látok treba monitorovať počas ďalšieho 24-mesačného obdobia, a preto sa majú ponechať v zozname sledovaných látok, a ktoré látky alebo skupiny látok možno zo zoznamu sledovaných látok vypustiť.</w:t>
      </w:r>
    </w:p>
    <w:p w14:paraId="582FB942" w14:textId="77777777" w:rsidR="002709ED" w:rsidRDefault="00B2757B">
      <w:pPr>
        <w:spacing w:before="120" w:after="120" w:line="360" w:lineRule="auto"/>
        <w:ind w:left="1416"/>
        <w:rPr>
          <w:szCs w:val="24"/>
          <w:lang w:eastAsia="en-US"/>
        </w:rPr>
      </w:pPr>
      <w:r>
        <w:rPr>
          <w:szCs w:val="24"/>
          <w:lang w:eastAsia="en-US"/>
        </w:rPr>
        <w:t>Ak Komisia so zreteľom na posúdenie agentúrou ECHA uvedené v prvom pododseku dospeje k záveru, že ďalšie monitorovanie s cieľom ďalej posudzovať riziko pre vodné prostredie sa nevyžaduje, uvedené posúdenie sa zohľadní pri preskúmaní prílohy I alebo II v zmysle článku 8.</w:t>
      </w:r>
    </w:p>
    <w:p w14:paraId="39E2F657" w14:textId="77777777" w:rsidR="002709ED" w:rsidRDefault="00B2757B">
      <w:pPr>
        <w:widowControl/>
        <w:rPr>
          <w:szCs w:val="24"/>
          <w:lang w:eastAsia="en-US"/>
        </w:rPr>
      </w:pPr>
      <w:r>
        <w:rPr>
          <w:szCs w:val="24"/>
          <w:lang w:eastAsia="en-US"/>
        </w:rPr>
        <w:br w:type="page"/>
      </w:r>
    </w:p>
    <w:p w14:paraId="53112785" w14:textId="77777777" w:rsidR="002709ED" w:rsidRDefault="00B2757B">
      <w:pPr>
        <w:spacing w:before="120" w:after="120" w:line="360" w:lineRule="auto"/>
        <w:ind w:left="1985" w:hanging="569"/>
        <w:rPr>
          <w:szCs w:val="24"/>
          <w:lang w:eastAsia="en-US"/>
        </w:rPr>
      </w:pPr>
      <w:r>
        <w:rPr>
          <w:szCs w:val="24"/>
          <w:lang w:eastAsia="en-US"/>
        </w:rPr>
        <w:lastRenderedPageBreak/>
        <w:t xml:space="preserve">* </w:t>
      </w:r>
      <w:r>
        <w:rPr>
          <w:szCs w:val="24"/>
          <w:lang w:eastAsia="en-US"/>
        </w:rPr>
        <w:tab/>
        <w:t>Smernica Európskeho parlamentu a Rady 2008/105/ES o prevencii a regulácii znečisťovania povrchových vôd, o zmene a následnom zrušení smerníc Rady 82/176/EHS, 83/513/EHS, 84/156/EHS, 84/491/EHS, 86/280/EHS a o zmene smernice Európskeho parlamentu a Rady 2000/60/ES (Ú. v. EÚ L 348, 24.12.2008, s. 84).</w:t>
      </w:r>
    </w:p>
    <w:p w14:paraId="5425F0D5" w14:textId="77777777" w:rsidR="002709ED" w:rsidRDefault="00B2757B">
      <w:pPr>
        <w:spacing w:before="120" w:after="120" w:line="360" w:lineRule="auto"/>
        <w:ind w:left="1985" w:hanging="569"/>
        <w:rPr>
          <w:szCs w:val="24"/>
          <w:lang w:eastAsia="en-US"/>
        </w:rPr>
      </w:pPr>
      <w:r>
        <w:rPr>
          <w:szCs w:val="24"/>
          <w:lang w:eastAsia="en-US"/>
        </w:rPr>
        <w:t xml:space="preserve">** </w:t>
      </w:r>
      <w:r>
        <w:rPr>
          <w:szCs w:val="24"/>
          <w:lang w:eastAsia="en-US"/>
        </w:rPr>
        <w:tab/>
        <w:t>Smernica Európskeho parlamentu a Rady (EÚ) 2020/2184 zo 16. decembra 2020 o kvalite vody určenej na ľudskú spotrebu (Ú. v. EÚ L 435, 23.12.2020, s. 1).</w:t>
      </w:r>
    </w:p>
    <w:p w14:paraId="4E94FB36" w14:textId="77777777" w:rsidR="002709ED" w:rsidRDefault="00B2757B">
      <w:pPr>
        <w:spacing w:before="120" w:after="120" w:line="360" w:lineRule="auto"/>
        <w:ind w:left="1985" w:hanging="569"/>
        <w:rPr>
          <w:szCs w:val="24"/>
          <w:lang w:eastAsia="en-US"/>
        </w:rPr>
      </w:pPr>
      <w:r>
        <w:rPr>
          <w:szCs w:val="24"/>
          <w:lang w:eastAsia="en-US"/>
        </w:rPr>
        <w:t xml:space="preserve">*** </w:t>
      </w:r>
      <w:r>
        <w:rPr>
          <w:szCs w:val="24"/>
          <w:lang w:eastAsia="en-US"/>
        </w:rPr>
        <w:tab/>
        <w:t>Nariadenie Európskeho parlamentu a Rady (ES) č. 1907/2006 z 18. decembra 2006 o registrácii, hodnotení, autorizácii a obmedzovaní chemických látok (REACH) (Ú. v. EÚ L 396, 30.12.2006, s. 1).</w:t>
      </w:r>
    </w:p>
    <w:p w14:paraId="44762CAB" w14:textId="77777777" w:rsidR="002709ED" w:rsidRDefault="00B2757B">
      <w:pPr>
        <w:spacing w:before="120" w:after="120" w:line="360" w:lineRule="auto"/>
        <w:ind w:left="1985" w:hanging="569"/>
        <w:rPr>
          <w:szCs w:val="24"/>
          <w:lang w:eastAsia="en-US"/>
        </w:rPr>
      </w:pPr>
      <w:r>
        <w:rPr>
          <w:szCs w:val="24"/>
          <w:lang w:eastAsia="en-US"/>
        </w:rPr>
        <w:t xml:space="preserve">**** </w:t>
      </w:r>
      <w:r>
        <w:rPr>
          <w:szCs w:val="24"/>
          <w:lang w:eastAsia="en-US"/>
        </w:rPr>
        <w:tab/>
        <w:t>Nariadenie Európskeho parlamentu a Rady (ES) č. 1107/2009 z 21. októbra 2009 o uvádzaní prípravkov na ochranu rastlín na trh (Ú. v. EÚ L 309, 24.11.2009, s. 1).</w:t>
      </w:r>
    </w:p>
    <w:p w14:paraId="049C8519" w14:textId="77777777" w:rsidR="002709ED" w:rsidRDefault="00B2757B">
      <w:pPr>
        <w:widowControl/>
        <w:rPr>
          <w:szCs w:val="24"/>
          <w:lang w:eastAsia="en-US"/>
        </w:rPr>
      </w:pPr>
      <w:r>
        <w:rPr>
          <w:szCs w:val="24"/>
          <w:lang w:eastAsia="en-US"/>
        </w:rPr>
        <w:br w:type="page"/>
      </w:r>
    </w:p>
    <w:p w14:paraId="03AAD5EB" w14:textId="77777777" w:rsidR="002709ED" w:rsidRDefault="00B2757B">
      <w:pPr>
        <w:spacing w:before="120" w:after="120" w:line="360" w:lineRule="auto"/>
        <w:ind w:left="1985" w:hanging="569"/>
        <w:rPr>
          <w:szCs w:val="24"/>
          <w:lang w:eastAsia="en-US"/>
        </w:rPr>
      </w:pPr>
      <w:r>
        <w:rPr>
          <w:szCs w:val="24"/>
          <w:lang w:eastAsia="en-US"/>
        </w:rPr>
        <w:lastRenderedPageBreak/>
        <w:t xml:space="preserve">***** </w:t>
      </w:r>
      <w:r>
        <w:rPr>
          <w:szCs w:val="24"/>
          <w:lang w:eastAsia="en-US"/>
        </w:rPr>
        <w:tab/>
        <w:t>Nariadenie Európskeho parlamentu a Rady (EÚ) č. 528/2012 z 22. mája 2012 o sprístupňovaní biocídnych výrobkov na trhu a ich používaní (Ú. v. EÚ L 167, 27.6.2012, s. 1).</w:t>
      </w:r>
    </w:p>
    <w:p w14:paraId="4BDD56F0" w14:textId="77777777" w:rsidR="002709ED" w:rsidRDefault="00B2757B">
      <w:pPr>
        <w:spacing w:before="120" w:after="120" w:line="360" w:lineRule="auto"/>
        <w:ind w:left="1985" w:hanging="569"/>
        <w:rPr>
          <w:szCs w:val="24"/>
          <w:lang w:eastAsia="en-US"/>
        </w:rPr>
      </w:pPr>
      <w:r>
        <w:rPr>
          <w:szCs w:val="24"/>
          <w:lang w:eastAsia="en-US"/>
        </w:rPr>
        <w:t xml:space="preserve">****** </w:t>
      </w:r>
      <w:r>
        <w:rPr>
          <w:szCs w:val="24"/>
          <w:lang w:eastAsia="en-US"/>
        </w:rPr>
        <w:tab/>
        <w:t>Nariadenie Európskeho parlamentu a Rady (EÚ) 2019/6 z 11. decembra 2018 o veterinárnych liekoch (Ú. v. EÚ L 4, 7.1.2019, s. 43).</w:t>
      </w:r>
    </w:p>
    <w:p w14:paraId="055D025E" w14:textId="77777777" w:rsidR="002709ED" w:rsidRDefault="00B2757B">
      <w:pPr>
        <w:spacing w:before="120" w:after="120" w:line="360" w:lineRule="auto"/>
        <w:ind w:left="1985" w:hanging="569"/>
        <w:rPr>
          <w:szCs w:val="24"/>
          <w:lang w:eastAsia="en-US"/>
        </w:rPr>
      </w:pPr>
      <w:r>
        <w:rPr>
          <w:szCs w:val="24"/>
          <w:lang w:eastAsia="en-US"/>
        </w:rPr>
        <w:t xml:space="preserve">******* </w:t>
      </w:r>
      <w:r>
        <w:rPr>
          <w:szCs w:val="24"/>
          <w:lang w:eastAsia="en-US"/>
        </w:rPr>
        <w:tab/>
        <w:t>Smernica Európskeho parlamentu a Rady 2001/83/ES zo 6. novembra 2001, ktorou sa ustanovuje zákonník Spoločenstva o humánnych liekoch (Ú. v. ES L 311, 28.11.2001, s. 67).</w:t>
      </w:r>
    </w:p>
    <w:p w14:paraId="5C308712" w14:textId="77777777" w:rsidR="002709ED" w:rsidRDefault="00B2757B">
      <w:pPr>
        <w:spacing w:before="120" w:after="120" w:line="360" w:lineRule="auto"/>
        <w:ind w:left="1985" w:hanging="569"/>
        <w:rPr>
          <w:szCs w:val="24"/>
          <w:lang w:eastAsia="en-US"/>
        </w:rPr>
      </w:pPr>
      <w:r>
        <w:rPr>
          <w:szCs w:val="24"/>
          <w:lang w:eastAsia="en-US"/>
        </w:rPr>
        <w:t xml:space="preserve">******** </w:t>
      </w:r>
      <w:r>
        <w:rPr>
          <w:szCs w:val="24"/>
          <w:lang w:eastAsia="en-US"/>
        </w:rPr>
        <w:tab/>
        <w:t>Smernica Európskeho parlamentu a Rady 2009/128/ES z 21. októbra 2009, ktorou sa ustanovuje rámec pre činnosť Spoločenstva na dosiahnutie trvalo udržateľného používania pesticídov (Ú. v. EÚ L 309, 24.11.2009, s. 71).“</w:t>
      </w:r>
    </w:p>
    <w:p w14:paraId="4CBA9CD9" w14:textId="77777777" w:rsidR="002709ED" w:rsidRDefault="00B2757B">
      <w:pPr>
        <w:widowControl/>
        <w:rPr>
          <w:b/>
          <w:i/>
          <w:szCs w:val="24"/>
          <w:lang w:eastAsia="en-US"/>
        </w:rPr>
      </w:pPr>
      <w:r>
        <w:rPr>
          <w:b/>
          <w:i/>
          <w:szCs w:val="24"/>
          <w:lang w:eastAsia="en-US"/>
        </w:rPr>
        <w:br w:type="page"/>
      </w:r>
    </w:p>
    <w:p w14:paraId="2E200C79" w14:textId="77777777" w:rsidR="002709ED" w:rsidRDefault="00B2757B">
      <w:pPr>
        <w:spacing w:before="120" w:after="120" w:line="360" w:lineRule="auto"/>
        <w:ind w:left="850" w:hanging="850"/>
        <w:rPr>
          <w:szCs w:val="24"/>
          <w:lang w:eastAsia="en-US"/>
        </w:rPr>
      </w:pPr>
      <w:r>
        <w:rPr>
          <w:b/>
          <w:i/>
          <w:szCs w:val="24"/>
          <w:lang w:eastAsia="en-US"/>
        </w:rPr>
        <w:lastRenderedPageBreak/>
        <w:t>6a.</w:t>
      </w:r>
      <w:r>
        <w:rPr>
          <w:szCs w:val="24"/>
          <w:lang w:eastAsia="en-US"/>
        </w:rPr>
        <w:tab/>
      </w:r>
      <w:r>
        <w:rPr>
          <w:b/>
          <w:i/>
          <w:szCs w:val="24"/>
          <w:lang w:eastAsia="en-US"/>
        </w:rPr>
        <w:t>Vkladá sa tento článok:</w:t>
      </w:r>
    </w:p>
    <w:p w14:paraId="1E8B370E" w14:textId="77777777" w:rsidR="002709ED" w:rsidRDefault="00B2757B">
      <w:pPr>
        <w:spacing w:before="120" w:after="120" w:line="360" w:lineRule="auto"/>
        <w:ind w:left="850"/>
        <w:rPr>
          <w:szCs w:val="24"/>
          <w:lang w:eastAsia="en-US"/>
        </w:rPr>
      </w:pPr>
      <w:r>
        <w:rPr>
          <w:szCs w:val="24"/>
          <w:lang w:eastAsia="en-US"/>
        </w:rPr>
        <w:t>„</w:t>
      </w:r>
      <w:r>
        <w:rPr>
          <w:b/>
          <w:i/>
          <w:szCs w:val="24"/>
          <w:lang w:eastAsia="en-US"/>
        </w:rPr>
        <w:t xml:space="preserve">Článok 6aa </w:t>
      </w:r>
      <w:r>
        <w:rPr>
          <w:b/>
          <w:i/>
          <w:szCs w:val="24"/>
          <w:lang w:eastAsia="en-US"/>
        </w:rPr>
        <w:br/>
        <w:t>Ochrana ekosystémov podzemných vôd</w:t>
      </w:r>
    </w:p>
    <w:p w14:paraId="5DCBD74C" w14:textId="77777777" w:rsidR="002709ED" w:rsidRDefault="00B2757B">
      <w:pPr>
        <w:spacing w:before="120" w:after="120" w:line="360" w:lineRule="auto"/>
        <w:ind w:left="850"/>
        <w:rPr>
          <w:b/>
          <w:szCs w:val="24"/>
          <w:lang w:eastAsia="en-US"/>
        </w:rPr>
      </w:pPr>
      <w:r>
        <w:rPr>
          <w:b/>
          <w:i/>
          <w:szCs w:val="24"/>
          <w:lang w:eastAsia="en-US"/>
        </w:rPr>
        <w:t xml:space="preserve">Komisia najneskôr do [Ú. v.: vložte dátum = štyri roky po </w:t>
      </w:r>
      <w:r w:rsidR="00746478">
        <w:rPr>
          <w:b/>
          <w:i/>
          <w:szCs w:val="24"/>
          <w:lang w:eastAsia="en-US"/>
        </w:rPr>
        <w:t xml:space="preserve">dni </w:t>
      </w:r>
      <w:r>
        <w:rPr>
          <w:b/>
          <w:i/>
          <w:szCs w:val="24"/>
          <w:lang w:eastAsia="en-US"/>
        </w:rPr>
        <w:t>nadobudnutia účinnosti tejto smernice] zverejní hodnotenie vplyvov fyzikálno-chemických prvkov, ako je pH, okysličenie a teplota, na zdravie ekosystémov podzemných vôd, v prípade potreby spolu s legislatívnym návrhom na príslušnú revíziu tejto smernice s cieľom stanoviť zodpovedajúce parametre, zabezpečiť harmonizované metódy monitorovania a definovať, čo by predstavovalo „dobrý ekologický stav podzemných vôd“.</w:t>
      </w:r>
      <w:r>
        <w:rPr>
          <w:szCs w:val="24"/>
          <w:lang w:eastAsia="en-US"/>
        </w:rPr>
        <w:t>“</w:t>
      </w:r>
      <w:r>
        <w:rPr>
          <w:b/>
          <w:szCs w:val="24"/>
          <w:lang w:eastAsia="en-US"/>
        </w:rPr>
        <w:t xml:space="preserve"> [PN 92]</w:t>
      </w:r>
    </w:p>
    <w:p w14:paraId="700F55D3" w14:textId="77777777" w:rsidR="002709ED" w:rsidRDefault="00B2757B">
      <w:pPr>
        <w:widowControl/>
        <w:rPr>
          <w:b/>
          <w:i/>
          <w:szCs w:val="24"/>
          <w:lang w:eastAsia="en-US"/>
        </w:rPr>
      </w:pPr>
      <w:r>
        <w:rPr>
          <w:b/>
          <w:i/>
          <w:szCs w:val="24"/>
          <w:lang w:eastAsia="en-US"/>
        </w:rPr>
        <w:br w:type="page"/>
      </w:r>
    </w:p>
    <w:p w14:paraId="175C69FA" w14:textId="77777777" w:rsidR="002709ED" w:rsidRDefault="00B2757B">
      <w:pPr>
        <w:spacing w:before="120" w:after="120" w:line="360" w:lineRule="auto"/>
        <w:ind w:left="850" w:hanging="850"/>
        <w:rPr>
          <w:szCs w:val="24"/>
          <w:lang w:eastAsia="en-US"/>
        </w:rPr>
      </w:pPr>
      <w:r>
        <w:rPr>
          <w:b/>
          <w:i/>
          <w:szCs w:val="24"/>
          <w:lang w:eastAsia="en-US"/>
        </w:rPr>
        <w:lastRenderedPageBreak/>
        <w:t>6b.</w:t>
      </w:r>
      <w:r>
        <w:rPr>
          <w:szCs w:val="24"/>
          <w:lang w:eastAsia="en-US"/>
        </w:rPr>
        <w:tab/>
      </w:r>
      <w:r>
        <w:rPr>
          <w:b/>
          <w:i/>
          <w:szCs w:val="24"/>
          <w:lang w:eastAsia="en-US"/>
        </w:rPr>
        <w:t>Vkladá sa tento článok:</w:t>
      </w:r>
    </w:p>
    <w:p w14:paraId="4F5A6C11" w14:textId="77777777" w:rsidR="002709ED" w:rsidRDefault="00B2757B">
      <w:pPr>
        <w:spacing w:before="120" w:after="120" w:line="360" w:lineRule="auto"/>
        <w:ind w:left="850"/>
        <w:rPr>
          <w:szCs w:val="24"/>
          <w:lang w:eastAsia="en-US"/>
        </w:rPr>
      </w:pPr>
      <w:r>
        <w:rPr>
          <w:szCs w:val="24"/>
          <w:lang w:eastAsia="en-US"/>
        </w:rPr>
        <w:t>„</w:t>
      </w:r>
      <w:r>
        <w:rPr>
          <w:b/>
          <w:i/>
          <w:szCs w:val="24"/>
          <w:lang w:eastAsia="en-US"/>
        </w:rPr>
        <w:t xml:space="preserve">Článok 6ab </w:t>
      </w:r>
      <w:r>
        <w:rPr>
          <w:b/>
          <w:i/>
          <w:szCs w:val="24"/>
          <w:lang w:eastAsia="en-US"/>
        </w:rPr>
        <w:br/>
        <w:t>Osobitné zaobchádzanie s oblasťami s vysokou ekologickou hodnotou, zraniteľnosťou alebo znečistením</w:t>
      </w:r>
    </w:p>
    <w:p w14:paraId="5AF0B69E" w14:textId="77777777" w:rsidR="002709ED" w:rsidRDefault="00B2757B">
      <w:pPr>
        <w:spacing w:before="120" w:after="120" w:line="360" w:lineRule="auto"/>
        <w:ind w:left="850"/>
        <w:rPr>
          <w:b/>
          <w:szCs w:val="24"/>
          <w:lang w:eastAsia="en-US"/>
        </w:rPr>
      </w:pPr>
      <w:r>
        <w:rPr>
          <w:b/>
          <w:i/>
          <w:szCs w:val="24"/>
          <w:lang w:eastAsia="en-US"/>
        </w:rPr>
        <w:t>Komisia do ... [najneskôr štyri roky po nadobudnutí účinnosti tejto smernice] zverejní hodnotenie chemického stavu oblastí charakterizovaných vysokou ekologickou hodnotou, zraniteľnosťou alebo znečistením, ako sú jaskyne a krasové oblasti, bývalé priemyselné oblasti a iné oblasti so známou historickou kontamináciou, v prípade potreby spolu s legislatívnym návrhom na revíziu tejto smernice.</w:t>
      </w:r>
      <w:r>
        <w:rPr>
          <w:szCs w:val="24"/>
          <w:lang w:eastAsia="en-US"/>
        </w:rPr>
        <w:t>“</w:t>
      </w:r>
      <w:r>
        <w:rPr>
          <w:b/>
          <w:szCs w:val="24"/>
          <w:lang w:eastAsia="en-US"/>
        </w:rPr>
        <w:t xml:space="preserve"> [PN 93]</w:t>
      </w:r>
    </w:p>
    <w:p w14:paraId="5F9AC18F" w14:textId="77777777" w:rsidR="002709ED" w:rsidRDefault="00B2757B">
      <w:pPr>
        <w:widowControl/>
        <w:rPr>
          <w:b/>
          <w:i/>
          <w:szCs w:val="24"/>
          <w:lang w:eastAsia="en-US"/>
        </w:rPr>
      </w:pPr>
      <w:r>
        <w:rPr>
          <w:b/>
          <w:i/>
          <w:szCs w:val="24"/>
          <w:lang w:eastAsia="en-US"/>
        </w:rPr>
        <w:br w:type="page"/>
      </w:r>
    </w:p>
    <w:p w14:paraId="4F0075F2" w14:textId="77777777" w:rsidR="002709ED" w:rsidRDefault="00B2757B">
      <w:pPr>
        <w:spacing w:before="120" w:after="120" w:line="360" w:lineRule="auto"/>
        <w:ind w:left="850" w:hanging="850"/>
        <w:rPr>
          <w:szCs w:val="24"/>
          <w:lang w:eastAsia="en-US"/>
        </w:rPr>
      </w:pPr>
      <w:r>
        <w:rPr>
          <w:b/>
          <w:i/>
          <w:szCs w:val="24"/>
          <w:lang w:eastAsia="en-US"/>
        </w:rPr>
        <w:lastRenderedPageBreak/>
        <w:t>6c.</w:t>
      </w:r>
      <w:r>
        <w:rPr>
          <w:szCs w:val="24"/>
          <w:lang w:eastAsia="en-US"/>
        </w:rPr>
        <w:tab/>
      </w:r>
      <w:r>
        <w:rPr>
          <w:b/>
          <w:i/>
          <w:szCs w:val="24"/>
          <w:lang w:eastAsia="en-US"/>
        </w:rPr>
        <w:t>Vkladá sa tento článok:</w:t>
      </w:r>
    </w:p>
    <w:p w14:paraId="5FB9AD70" w14:textId="77777777" w:rsidR="002709ED" w:rsidRDefault="00B2757B">
      <w:pPr>
        <w:spacing w:before="120" w:after="120" w:line="360" w:lineRule="auto"/>
        <w:ind w:left="850"/>
        <w:rPr>
          <w:szCs w:val="24"/>
          <w:lang w:eastAsia="en-US"/>
        </w:rPr>
      </w:pPr>
      <w:r>
        <w:rPr>
          <w:szCs w:val="24"/>
          <w:lang w:eastAsia="en-US"/>
        </w:rPr>
        <w:t>„</w:t>
      </w:r>
      <w:r>
        <w:rPr>
          <w:b/>
          <w:i/>
          <w:szCs w:val="24"/>
          <w:lang w:eastAsia="en-US"/>
        </w:rPr>
        <w:t>Článok 6ac</w:t>
      </w:r>
    </w:p>
    <w:p w14:paraId="713F8A6F" w14:textId="77777777" w:rsidR="002709ED" w:rsidRDefault="00B2757B">
      <w:pPr>
        <w:spacing w:before="120" w:after="120" w:line="360" w:lineRule="auto"/>
        <w:ind w:left="850"/>
        <w:rPr>
          <w:b/>
          <w:szCs w:val="24"/>
          <w:lang w:eastAsia="en-US"/>
        </w:rPr>
      </w:pPr>
      <w:r>
        <w:rPr>
          <w:b/>
          <w:i/>
          <w:szCs w:val="24"/>
          <w:lang w:eastAsia="en-US"/>
        </w:rPr>
        <w:t xml:space="preserve">Najneskôr do ... [rok po </w:t>
      </w:r>
      <w:r w:rsidR="00746478">
        <w:rPr>
          <w:b/>
          <w:i/>
          <w:szCs w:val="24"/>
          <w:lang w:eastAsia="en-US"/>
        </w:rPr>
        <w:t xml:space="preserve">dni </w:t>
      </w:r>
      <w:r>
        <w:rPr>
          <w:b/>
          <w:i/>
          <w:szCs w:val="24"/>
          <w:lang w:eastAsia="en-US"/>
        </w:rPr>
        <w:t>nadobudnut</w:t>
      </w:r>
      <w:r w:rsidR="00746478">
        <w:rPr>
          <w:b/>
          <w:i/>
          <w:szCs w:val="24"/>
          <w:lang w:eastAsia="en-US"/>
        </w:rPr>
        <w:t>ia</w:t>
      </w:r>
      <w:r>
        <w:rPr>
          <w:b/>
          <w:i/>
          <w:szCs w:val="24"/>
          <w:lang w:eastAsia="en-US"/>
        </w:rPr>
        <w:t xml:space="preserve"> účinnosti tejto smernice] Komisia predloží posúdenie vplyvu, v ktorom preskúma zahrnutie mechanizmu rozšírenej zodpovednosti výrobcu do tejto smernice, pričom zabezpečí, aby výrobcovia, ktorí uvádzajú na trh výrobky obsahujúce ktorúkoľvek z látok alebo zlúčenín uvedených v prílohe I, ako aj látky vzbudzujúce obavy zahrnuté do zoznamu sledovaných látok podľa tejto smernice, prispievali na náklady na programy monitorovania navrhnuté podľa článku 8</w:t>
      </w:r>
      <w:r w:rsidR="00746478">
        <w:rPr>
          <w:b/>
          <w:i/>
          <w:szCs w:val="24"/>
          <w:lang w:eastAsia="en-US"/>
        </w:rPr>
        <w:t xml:space="preserve"> </w:t>
      </w:r>
      <w:r w:rsidR="00097A12">
        <w:rPr>
          <w:b/>
          <w:i/>
          <w:szCs w:val="24"/>
          <w:lang w:eastAsia="en-US"/>
        </w:rPr>
        <w:t xml:space="preserve">smernice </w:t>
      </w:r>
      <w:r w:rsidR="00746478">
        <w:rPr>
          <w:b/>
          <w:i/>
          <w:szCs w:val="24"/>
          <w:lang w:eastAsia="en-US"/>
        </w:rPr>
        <w:t>2000</w:t>
      </w:r>
      <w:r>
        <w:rPr>
          <w:b/>
          <w:i/>
          <w:szCs w:val="24"/>
          <w:lang w:eastAsia="en-US"/>
        </w:rPr>
        <w:t>/60/ES. K posúdeniu vplyvu sa v prípade potreby pripojí legislatívny návrh na zmenu tejto smernice.</w:t>
      </w:r>
      <w:r>
        <w:rPr>
          <w:szCs w:val="24"/>
          <w:lang w:eastAsia="en-US"/>
        </w:rPr>
        <w:t>“</w:t>
      </w:r>
      <w:r>
        <w:rPr>
          <w:b/>
          <w:szCs w:val="24"/>
          <w:lang w:eastAsia="en-US"/>
        </w:rPr>
        <w:t xml:space="preserve"> [PN 94]</w:t>
      </w:r>
    </w:p>
    <w:p w14:paraId="2DAEC1FB" w14:textId="77777777" w:rsidR="002709ED" w:rsidRDefault="00B2757B">
      <w:pPr>
        <w:widowControl/>
        <w:rPr>
          <w:b/>
          <w:i/>
          <w:szCs w:val="24"/>
          <w:lang w:eastAsia="en-US"/>
        </w:rPr>
      </w:pPr>
      <w:r>
        <w:rPr>
          <w:b/>
          <w:i/>
          <w:szCs w:val="24"/>
          <w:lang w:eastAsia="en-US"/>
        </w:rPr>
        <w:br w:type="page"/>
      </w:r>
    </w:p>
    <w:p w14:paraId="24548530" w14:textId="77777777" w:rsidR="002709ED" w:rsidRDefault="00B2757B">
      <w:pPr>
        <w:spacing w:before="120" w:after="120" w:line="360" w:lineRule="auto"/>
        <w:ind w:left="850" w:hanging="850"/>
        <w:rPr>
          <w:szCs w:val="24"/>
          <w:lang w:eastAsia="en-US"/>
        </w:rPr>
      </w:pPr>
      <w:r>
        <w:rPr>
          <w:b/>
          <w:i/>
          <w:szCs w:val="24"/>
          <w:lang w:eastAsia="en-US"/>
        </w:rPr>
        <w:lastRenderedPageBreak/>
        <w:t>6d.</w:t>
      </w:r>
      <w:r>
        <w:rPr>
          <w:szCs w:val="24"/>
          <w:lang w:eastAsia="en-US"/>
        </w:rPr>
        <w:tab/>
      </w:r>
      <w:r>
        <w:rPr>
          <w:b/>
          <w:i/>
          <w:szCs w:val="24"/>
          <w:lang w:eastAsia="en-US"/>
        </w:rPr>
        <w:t>Vkladá sa tento článok:</w:t>
      </w:r>
    </w:p>
    <w:p w14:paraId="59865575" w14:textId="77777777" w:rsidR="002709ED" w:rsidRDefault="00B2757B">
      <w:pPr>
        <w:spacing w:before="120" w:after="120" w:line="360" w:lineRule="auto"/>
        <w:ind w:left="850"/>
        <w:rPr>
          <w:szCs w:val="24"/>
          <w:lang w:eastAsia="en-US"/>
        </w:rPr>
      </w:pPr>
      <w:r>
        <w:rPr>
          <w:szCs w:val="24"/>
          <w:lang w:eastAsia="en-US"/>
        </w:rPr>
        <w:t>„</w:t>
      </w:r>
      <w:r>
        <w:rPr>
          <w:b/>
          <w:i/>
          <w:szCs w:val="24"/>
          <w:lang w:eastAsia="en-US"/>
        </w:rPr>
        <w:t xml:space="preserve">Článok 6ad </w:t>
      </w:r>
      <w:r>
        <w:rPr>
          <w:b/>
          <w:i/>
          <w:szCs w:val="24"/>
          <w:lang w:eastAsia="en-US"/>
        </w:rPr>
        <w:br/>
        <w:t>Európske monitorovacie zariadenie</w:t>
      </w:r>
    </w:p>
    <w:p w14:paraId="11894D3D" w14:textId="77777777" w:rsidR="002709ED" w:rsidRDefault="00B2757B">
      <w:pPr>
        <w:spacing w:before="120" w:after="120" w:line="360" w:lineRule="auto"/>
        <w:ind w:left="850"/>
        <w:rPr>
          <w:szCs w:val="24"/>
          <w:lang w:eastAsia="en-US"/>
        </w:rPr>
      </w:pPr>
      <w:r>
        <w:rPr>
          <w:b/>
          <w:i/>
          <w:szCs w:val="24"/>
          <w:lang w:eastAsia="en-US"/>
        </w:rPr>
        <w:t xml:space="preserve">Komisia do ... [jeden rok po </w:t>
      </w:r>
      <w:r w:rsidR="006D5113">
        <w:rPr>
          <w:b/>
          <w:i/>
          <w:szCs w:val="24"/>
          <w:lang w:eastAsia="en-US"/>
        </w:rPr>
        <w:t xml:space="preserve">dni </w:t>
      </w:r>
      <w:r>
        <w:rPr>
          <w:b/>
          <w:i/>
          <w:szCs w:val="24"/>
          <w:lang w:eastAsia="en-US"/>
        </w:rPr>
        <w:t xml:space="preserve">nadobudnutia účinnosti tejto smernice] zriadi spoločný monitorovací nástroj na riadenie požiadaviek na monitorovanie, ak o to členské štáty požiadajú. </w:t>
      </w:r>
    </w:p>
    <w:p w14:paraId="5B64C791" w14:textId="77777777" w:rsidR="002709ED" w:rsidRDefault="00B2757B">
      <w:pPr>
        <w:spacing w:before="120" w:after="120" w:line="360" w:lineRule="auto"/>
        <w:ind w:left="850"/>
        <w:rPr>
          <w:szCs w:val="24"/>
          <w:lang w:eastAsia="en-US"/>
        </w:rPr>
      </w:pPr>
      <w:r>
        <w:rPr>
          <w:b/>
          <w:i/>
          <w:szCs w:val="24"/>
          <w:lang w:eastAsia="en-US"/>
        </w:rPr>
        <w:t xml:space="preserve">Komisia vymedzí fungovanie monitorovacieho nástroja, čo okrem iného zahŕňa: </w:t>
      </w:r>
    </w:p>
    <w:p w14:paraId="4448FE89" w14:textId="77777777" w:rsidR="002709ED" w:rsidRDefault="00B2757B">
      <w:pPr>
        <w:spacing w:before="120" w:after="120" w:line="360" w:lineRule="auto"/>
        <w:ind w:left="1416" w:hanging="566"/>
        <w:rPr>
          <w:szCs w:val="24"/>
          <w:lang w:eastAsia="en-US"/>
        </w:rPr>
      </w:pPr>
      <w:r>
        <w:rPr>
          <w:b/>
          <w:i/>
          <w:szCs w:val="24"/>
          <w:lang w:eastAsia="en-US"/>
        </w:rPr>
        <w:t>a)</w:t>
      </w:r>
      <w:r>
        <w:rPr>
          <w:szCs w:val="24"/>
          <w:lang w:eastAsia="en-US"/>
        </w:rPr>
        <w:tab/>
      </w:r>
      <w:r>
        <w:rPr>
          <w:b/>
          <w:i/>
          <w:szCs w:val="24"/>
          <w:lang w:eastAsia="en-US"/>
        </w:rPr>
        <w:t xml:space="preserve">dobrovoľný charakter používania monitorovacieho nástroja, ktorým nie sú dotknuté opatrenia, ktoré už členské štáty zaviedli; </w:t>
      </w:r>
    </w:p>
    <w:p w14:paraId="3F59A716" w14:textId="77777777" w:rsidR="002709ED" w:rsidRDefault="00B2757B">
      <w:pPr>
        <w:spacing w:before="120" w:after="120" w:line="360" w:lineRule="auto"/>
        <w:ind w:left="1416" w:hanging="566"/>
        <w:rPr>
          <w:szCs w:val="24"/>
          <w:lang w:eastAsia="en-US"/>
        </w:rPr>
      </w:pPr>
      <w:r>
        <w:rPr>
          <w:b/>
          <w:i/>
          <w:szCs w:val="24"/>
          <w:lang w:eastAsia="en-US"/>
        </w:rPr>
        <w:t>b)</w:t>
      </w:r>
      <w:r>
        <w:rPr>
          <w:szCs w:val="24"/>
          <w:lang w:eastAsia="en-US"/>
        </w:rPr>
        <w:tab/>
      </w:r>
      <w:r>
        <w:rPr>
          <w:b/>
          <w:i/>
          <w:szCs w:val="24"/>
          <w:lang w:eastAsia="en-US"/>
        </w:rPr>
        <w:t>prevádzkové postupy pre členské štáty, ktoré majú v úmysle využiť monitorovací nástroj, ktoré okrem iného zahŕňajú požadované oznámenie Komisii o ich presných potrebách alebo schopnostiach monitorovania, presných protokoloch na riadenie vzoriek, ako aj trvaní, počas ktorého majú v úmysle zostať súčasťou mechanizmu;</w:t>
      </w:r>
    </w:p>
    <w:p w14:paraId="6D6BBE3F" w14:textId="77777777" w:rsidR="002709ED" w:rsidRDefault="00B2757B">
      <w:pPr>
        <w:widowControl/>
        <w:rPr>
          <w:b/>
          <w:i/>
          <w:szCs w:val="24"/>
          <w:lang w:eastAsia="en-US"/>
        </w:rPr>
      </w:pPr>
      <w:r>
        <w:rPr>
          <w:b/>
          <w:i/>
          <w:szCs w:val="24"/>
          <w:lang w:eastAsia="en-US"/>
        </w:rPr>
        <w:br w:type="page"/>
      </w:r>
    </w:p>
    <w:p w14:paraId="596E6D1F" w14:textId="77777777" w:rsidR="002709ED" w:rsidRDefault="00B2757B">
      <w:pPr>
        <w:spacing w:before="120" w:after="120" w:line="360" w:lineRule="auto"/>
        <w:ind w:left="1416" w:hanging="566"/>
        <w:rPr>
          <w:b/>
          <w:szCs w:val="24"/>
          <w:lang w:eastAsia="en-US"/>
        </w:rPr>
      </w:pPr>
      <w:r>
        <w:rPr>
          <w:b/>
          <w:i/>
          <w:szCs w:val="24"/>
          <w:lang w:eastAsia="en-US"/>
        </w:rPr>
        <w:lastRenderedPageBreak/>
        <w:t>c)</w:t>
      </w:r>
      <w:r>
        <w:rPr>
          <w:szCs w:val="24"/>
          <w:lang w:eastAsia="en-US"/>
        </w:rPr>
        <w:tab/>
      </w:r>
      <w:r>
        <w:rPr>
          <w:b/>
          <w:i/>
          <w:szCs w:val="24"/>
          <w:lang w:eastAsia="en-US"/>
        </w:rPr>
        <w:t>zdroje financovania, ktoré môžu zahŕňať príslušné štrukturálne fondy a programy Únie, ako aj príspevky zo súkromného sektora, a to aj v rámci mechanizmu rozšírenej zodpovednosti výrobcu po zavedení v súlade s článkom 6ac.</w:t>
      </w:r>
      <w:r>
        <w:rPr>
          <w:szCs w:val="24"/>
          <w:lang w:eastAsia="en-US"/>
        </w:rPr>
        <w:t>“</w:t>
      </w:r>
      <w:r>
        <w:rPr>
          <w:b/>
          <w:szCs w:val="24"/>
          <w:lang w:eastAsia="en-US"/>
        </w:rPr>
        <w:t xml:space="preserve"> [PN 95]</w:t>
      </w:r>
    </w:p>
    <w:p w14:paraId="7C5D3060" w14:textId="77777777" w:rsidR="002709ED" w:rsidRDefault="00B2757B">
      <w:pPr>
        <w:spacing w:before="120" w:after="120" w:line="360" w:lineRule="auto"/>
        <w:ind w:left="850" w:hanging="850"/>
        <w:rPr>
          <w:szCs w:val="24"/>
          <w:lang w:eastAsia="en-US"/>
        </w:rPr>
      </w:pPr>
      <w:r>
        <w:rPr>
          <w:szCs w:val="24"/>
          <w:lang w:eastAsia="en-US"/>
        </w:rPr>
        <w:t>7.</w:t>
      </w:r>
      <w:r>
        <w:rPr>
          <w:szCs w:val="24"/>
          <w:lang w:eastAsia="en-US"/>
        </w:rPr>
        <w:tab/>
        <w:t>Článok 8 sa nahrádza takto:</w:t>
      </w:r>
    </w:p>
    <w:p w14:paraId="1E15C538" w14:textId="77777777" w:rsidR="002709ED" w:rsidRDefault="00B2757B">
      <w:pPr>
        <w:spacing w:before="120" w:after="120" w:line="360" w:lineRule="auto"/>
        <w:ind w:left="850"/>
        <w:rPr>
          <w:szCs w:val="24"/>
          <w:lang w:eastAsia="en-US"/>
        </w:rPr>
      </w:pPr>
      <w:r>
        <w:rPr>
          <w:szCs w:val="24"/>
          <w:lang w:eastAsia="en-US"/>
        </w:rPr>
        <w:t>„Článok 8</w:t>
      </w:r>
    </w:p>
    <w:p w14:paraId="443BB003" w14:textId="77777777" w:rsidR="002709ED" w:rsidRDefault="00B2757B">
      <w:pPr>
        <w:spacing w:before="120" w:after="120" w:line="360" w:lineRule="auto"/>
        <w:ind w:left="850"/>
        <w:rPr>
          <w:szCs w:val="24"/>
          <w:lang w:eastAsia="en-US"/>
        </w:rPr>
      </w:pPr>
      <w:r>
        <w:rPr>
          <w:szCs w:val="24"/>
          <w:lang w:eastAsia="en-US"/>
        </w:rPr>
        <w:t xml:space="preserve">Preskúmanie príloh I až IV </w:t>
      </w:r>
    </w:p>
    <w:p w14:paraId="40DC458C" w14:textId="77777777" w:rsidR="002709ED" w:rsidRDefault="00B2757B">
      <w:pPr>
        <w:spacing w:before="120" w:after="120" w:line="360" w:lineRule="auto"/>
        <w:ind w:left="1416" w:hanging="566"/>
        <w:rPr>
          <w:b/>
          <w:szCs w:val="24"/>
          <w:lang w:eastAsia="en-US"/>
        </w:rPr>
      </w:pPr>
      <w:r>
        <w:rPr>
          <w:szCs w:val="24"/>
          <w:lang w:eastAsia="en-US"/>
        </w:rPr>
        <w:t>1.</w:t>
      </w:r>
      <w:r>
        <w:rPr>
          <w:szCs w:val="24"/>
          <w:lang w:eastAsia="en-US"/>
        </w:rPr>
        <w:tab/>
        <w:t xml:space="preserve">Komisia preskúma po prvýkrát do... [Úrad pre publikácie: vložte dátum = </w:t>
      </w:r>
      <w:r>
        <w:rPr>
          <w:strike/>
          <w:szCs w:val="24"/>
          <w:lang w:eastAsia="en-US"/>
        </w:rPr>
        <w:t>šesť rokov</w:t>
      </w:r>
      <w:r>
        <w:rPr>
          <w:b/>
          <w:i/>
          <w:szCs w:val="24"/>
          <w:lang w:eastAsia="en-US"/>
        </w:rPr>
        <w:t>štyri roky</w:t>
      </w:r>
      <w:r>
        <w:rPr>
          <w:szCs w:val="24"/>
          <w:lang w:eastAsia="en-US"/>
        </w:rPr>
        <w:t xml:space="preserve"> odo dňa nadobudnutia účinnosti tejto smernice] a potom </w:t>
      </w:r>
      <w:r>
        <w:rPr>
          <w:strike/>
          <w:szCs w:val="24"/>
          <w:lang w:eastAsia="en-US"/>
        </w:rPr>
        <w:t>každých šesť rokov</w:t>
      </w:r>
      <w:r>
        <w:rPr>
          <w:b/>
          <w:i/>
          <w:szCs w:val="24"/>
          <w:lang w:eastAsia="en-US"/>
        </w:rPr>
        <w:t>každé štyri roky</w:t>
      </w:r>
      <w:r>
        <w:rPr>
          <w:szCs w:val="24"/>
          <w:lang w:eastAsia="en-US"/>
        </w:rPr>
        <w:t xml:space="preserve"> zoznam znečisťujúcich látok stanovený v prílohe I a normy kvality týkajúce sa týchto znečisťujúcich látok stanovené v uvedenej prílohe, ako aj zoznam znečisťujúcich látok a ukazovatele stanovené v časti B prílohy II.</w:t>
      </w:r>
      <w:r>
        <w:rPr>
          <w:b/>
          <w:szCs w:val="24"/>
          <w:lang w:eastAsia="en-US"/>
        </w:rPr>
        <w:t xml:space="preserve"> [PN 96]</w:t>
      </w:r>
    </w:p>
    <w:p w14:paraId="5D64D942" w14:textId="77777777" w:rsidR="002709ED" w:rsidRDefault="00B2757B">
      <w:pPr>
        <w:widowControl/>
        <w:rPr>
          <w:szCs w:val="24"/>
          <w:lang w:eastAsia="en-US"/>
        </w:rPr>
      </w:pPr>
      <w:r>
        <w:rPr>
          <w:szCs w:val="24"/>
          <w:lang w:eastAsia="en-US"/>
        </w:rPr>
        <w:br w:type="page"/>
      </w:r>
    </w:p>
    <w:p w14:paraId="00EFAB2C" w14:textId="77777777" w:rsidR="002709ED" w:rsidRDefault="00B2757B">
      <w:pPr>
        <w:spacing w:before="120" w:after="120" w:line="360" w:lineRule="auto"/>
        <w:ind w:left="1416" w:hanging="566"/>
        <w:rPr>
          <w:b/>
          <w:szCs w:val="24"/>
          <w:lang w:eastAsia="en-US"/>
        </w:rPr>
      </w:pPr>
      <w:r>
        <w:rPr>
          <w:szCs w:val="24"/>
          <w:lang w:eastAsia="en-US"/>
        </w:rPr>
        <w:lastRenderedPageBreak/>
        <w:t>2.</w:t>
      </w:r>
      <w:r>
        <w:rPr>
          <w:szCs w:val="24"/>
          <w:lang w:eastAsia="en-US"/>
        </w:rPr>
        <w:tab/>
      </w:r>
      <w:r>
        <w:rPr>
          <w:b/>
          <w:i/>
          <w:szCs w:val="24"/>
          <w:lang w:eastAsia="en-US"/>
        </w:rPr>
        <w:t xml:space="preserve">Na základe preskúmania </w:t>
      </w:r>
      <w:r>
        <w:rPr>
          <w:szCs w:val="24"/>
          <w:lang w:eastAsia="en-US"/>
        </w:rPr>
        <w:t xml:space="preserve">Komisia </w:t>
      </w:r>
      <w:r>
        <w:rPr>
          <w:strike/>
          <w:szCs w:val="24"/>
          <w:lang w:eastAsia="en-US"/>
        </w:rPr>
        <w:t>je splnomocnená prijímať delegované akty v súlade s článkom 8a</w:t>
      </w:r>
      <w:r>
        <w:rPr>
          <w:b/>
          <w:i/>
          <w:szCs w:val="24"/>
          <w:lang w:eastAsia="en-US"/>
        </w:rPr>
        <w:t>v prípade potreby predloží legislatívne návrhy</w:t>
      </w:r>
      <w:r>
        <w:rPr>
          <w:szCs w:val="24"/>
          <w:lang w:eastAsia="en-US"/>
        </w:rPr>
        <w:t xml:space="preserve"> s cieľom zmeniť prílohu I na účely jej prispôsobenia technickému a vedeckému pokroku doplnením alebo vypustením látok znečisťujúcich podzemné vody a noriem kvality týkajúcich sa týchto znečisťujúcich látok stanovených v uvedenej prílohe</w:t>
      </w:r>
      <w:r>
        <w:rPr>
          <w:b/>
          <w:i/>
          <w:szCs w:val="24"/>
          <w:lang w:eastAsia="en-US"/>
        </w:rPr>
        <w:t>. Komisia je splnomocnená prijímať delegované akty v súlade s článkom 8a s cieľom</w:t>
      </w:r>
      <w:r>
        <w:rPr>
          <w:strike/>
          <w:szCs w:val="24"/>
          <w:lang w:eastAsia="en-US"/>
        </w:rPr>
        <w:t xml:space="preserve"> a</w:t>
      </w:r>
      <w:r>
        <w:rPr>
          <w:szCs w:val="24"/>
          <w:lang w:eastAsia="en-US"/>
        </w:rPr>
        <w:t xml:space="preserve"> zmeniť časť B na účely jej prispôsobenia technickému a vedeckému pokroku doplnením znečisťujúcich látok alebo ukazovateľov, v prípade ktorých musia členské štáty zvážiť stanovenie vnútroštátnych prahových hodnôt.</w:t>
      </w:r>
      <w:r>
        <w:rPr>
          <w:b/>
          <w:szCs w:val="24"/>
          <w:lang w:eastAsia="en-US"/>
        </w:rPr>
        <w:t xml:space="preserve"> [PN 97]</w:t>
      </w:r>
    </w:p>
    <w:p w14:paraId="05866392" w14:textId="77777777" w:rsidR="002709ED" w:rsidRDefault="00B2757B">
      <w:pPr>
        <w:spacing w:before="120" w:after="120" w:line="360" w:lineRule="auto"/>
        <w:ind w:left="1416" w:hanging="566"/>
        <w:rPr>
          <w:szCs w:val="24"/>
          <w:lang w:eastAsia="en-US"/>
        </w:rPr>
      </w:pPr>
      <w:r>
        <w:rPr>
          <w:szCs w:val="24"/>
          <w:lang w:eastAsia="en-US"/>
        </w:rPr>
        <w:t>3.</w:t>
      </w:r>
      <w:r>
        <w:rPr>
          <w:szCs w:val="24"/>
          <w:lang w:eastAsia="en-US"/>
        </w:rPr>
        <w:tab/>
        <w:t>Komisia je splnomocnená prijímať delegované akty v súlade s článkom 8a s cieľom zmeniť časť D prílohy II na účely jej prispôsobenia vedeckému a technickému pokroku doplnením alebo zmenou harmonizovaných prahových hodnôt pre jednu alebo viac znečisťujúcich látok uvedených v časti B uvedenej prílohy.</w:t>
      </w:r>
    </w:p>
    <w:p w14:paraId="0FA68E71" w14:textId="77777777" w:rsidR="002709ED" w:rsidRDefault="00B2757B">
      <w:pPr>
        <w:spacing w:before="120" w:after="120" w:line="360" w:lineRule="auto"/>
        <w:ind w:left="1416" w:hanging="566"/>
        <w:rPr>
          <w:b/>
          <w:szCs w:val="24"/>
          <w:lang w:eastAsia="en-US"/>
        </w:rPr>
      </w:pPr>
      <w:r>
        <w:rPr>
          <w:szCs w:val="24"/>
          <w:lang w:eastAsia="en-US"/>
        </w:rPr>
        <w:t>4.</w:t>
      </w:r>
      <w:r>
        <w:rPr>
          <w:szCs w:val="24"/>
          <w:lang w:eastAsia="en-US"/>
        </w:rPr>
        <w:tab/>
        <w:t>Komisia pri prijímaní</w:t>
      </w:r>
      <w:r>
        <w:rPr>
          <w:b/>
          <w:i/>
          <w:szCs w:val="24"/>
          <w:lang w:eastAsia="en-US"/>
        </w:rPr>
        <w:t xml:space="preserve"> legislatívnych návrhov a</w:t>
      </w:r>
      <w:r>
        <w:rPr>
          <w:szCs w:val="24"/>
          <w:lang w:eastAsia="en-US"/>
        </w:rPr>
        <w:t xml:space="preserve"> delegovaných aktov v zmysle odsekov 2 a 3 zohľadní vedecké správy vypracované agentúrou ECHA podľa odseku 6 tohto článku.</w:t>
      </w:r>
      <w:r>
        <w:rPr>
          <w:b/>
          <w:szCs w:val="24"/>
          <w:lang w:eastAsia="en-US"/>
        </w:rPr>
        <w:t xml:space="preserve"> [PN 98]</w:t>
      </w:r>
    </w:p>
    <w:p w14:paraId="03B33F15" w14:textId="77777777" w:rsidR="002709ED" w:rsidRDefault="00B2757B">
      <w:pPr>
        <w:widowControl/>
        <w:rPr>
          <w:szCs w:val="24"/>
          <w:lang w:eastAsia="en-US"/>
        </w:rPr>
      </w:pPr>
      <w:r>
        <w:rPr>
          <w:szCs w:val="24"/>
          <w:lang w:eastAsia="en-US"/>
        </w:rPr>
        <w:br w:type="page"/>
      </w:r>
    </w:p>
    <w:p w14:paraId="0E87BB6A" w14:textId="77777777" w:rsidR="002709ED" w:rsidRDefault="00B2757B">
      <w:pPr>
        <w:spacing w:before="120" w:after="120" w:line="360" w:lineRule="auto"/>
        <w:ind w:left="1416" w:hanging="566"/>
        <w:rPr>
          <w:szCs w:val="24"/>
          <w:lang w:eastAsia="en-US"/>
        </w:rPr>
      </w:pPr>
      <w:r>
        <w:rPr>
          <w:szCs w:val="24"/>
          <w:lang w:eastAsia="en-US"/>
        </w:rPr>
        <w:lastRenderedPageBreak/>
        <w:t>5.</w:t>
      </w:r>
      <w:r>
        <w:rPr>
          <w:szCs w:val="24"/>
          <w:lang w:eastAsia="en-US"/>
        </w:rPr>
        <w:tab/>
        <w:t>Komisia je splnomocnená prijímať delegované akty v súlade s článkom 8a s cieľom zmeniť časti A a C prílohy II a prílohy III a IV na účely ich prispôsobenia vedeckému a technickému pokroku.</w:t>
      </w:r>
    </w:p>
    <w:p w14:paraId="082D92AE" w14:textId="77777777" w:rsidR="002709ED" w:rsidRDefault="00B2757B">
      <w:pPr>
        <w:spacing w:before="120" w:after="120" w:line="360" w:lineRule="auto"/>
        <w:ind w:left="1416" w:hanging="566"/>
        <w:rPr>
          <w:szCs w:val="24"/>
          <w:lang w:eastAsia="en-US"/>
        </w:rPr>
      </w:pPr>
      <w:r>
        <w:rPr>
          <w:szCs w:val="24"/>
          <w:lang w:eastAsia="en-US"/>
        </w:rPr>
        <w:t>6.</w:t>
      </w:r>
      <w:r>
        <w:rPr>
          <w:szCs w:val="24"/>
          <w:lang w:eastAsia="en-US"/>
        </w:rPr>
        <w:tab/>
        <w:t>Agentúra ECHA vypracuje vedecké správy s cieľom pomôcť Komisii s preskúmaním príloh I a II. V týchto správach treba zohľadniť:</w:t>
      </w:r>
    </w:p>
    <w:p w14:paraId="5760D995" w14:textId="77777777" w:rsidR="002709ED" w:rsidRDefault="00B2757B">
      <w:pPr>
        <w:spacing w:before="120" w:after="120" w:line="360" w:lineRule="auto"/>
        <w:ind w:left="1982" w:hanging="566"/>
        <w:rPr>
          <w:szCs w:val="24"/>
          <w:lang w:eastAsia="en-US"/>
        </w:rPr>
      </w:pPr>
      <w:r>
        <w:rPr>
          <w:szCs w:val="24"/>
          <w:lang w:eastAsia="en-US"/>
        </w:rPr>
        <w:t>a)</w:t>
      </w:r>
      <w:r>
        <w:rPr>
          <w:szCs w:val="24"/>
          <w:lang w:eastAsia="en-US"/>
        </w:rPr>
        <w:tab/>
        <w:t>stanovisko výboru pre hodnotenie rizík a výboru ECHA pre sociálno-ekonomickú analýzu;</w:t>
      </w:r>
    </w:p>
    <w:p w14:paraId="39881A41" w14:textId="77777777" w:rsidR="002709ED" w:rsidRDefault="00B2757B">
      <w:pPr>
        <w:spacing w:before="120" w:after="120" w:line="360" w:lineRule="auto"/>
        <w:ind w:left="1982" w:hanging="566"/>
        <w:rPr>
          <w:szCs w:val="24"/>
          <w:lang w:eastAsia="en-US"/>
        </w:rPr>
      </w:pPr>
      <w:r>
        <w:rPr>
          <w:szCs w:val="24"/>
          <w:lang w:eastAsia="en-US"/>
        </w:rPr>
        <w:t>b)</w:t>
      </w:r>
      <w:r>
        <w:rPr>
          <w:szCs w:val="24"/>
          <w:lang w:eastAsia="en-US"/>
        </w:rPr>
        <w:tab/>
        <w:t>výsledky programov monitorovania stanovených v súlade s článkom 8 smernice 2000/60/ES;</w:t>
      </w:r>
    </w:p>
    <w:p w14:paraId="3563F599" w14:textId="77777777" w:rsidR="002709ED" w:rsidRDefault="00B2757B">
      <w:pPr>
        <w:spacing w:before="120" w:after="120" w:line="360" w:lineRule="auto"/>
        <w:ind w:left="1982" w:hanging="566"/>
        <w:rPr>
          <w:szCs w:val="24"/>
          <w:lang w:eastAsia="en-US"/>
        </w:rPr>
      </w:pPr>
      <w:r>
        <w:rPr>
          <w:szCs w:val="24"/>
          <w:lang w:eastAsia="en-US"/>
        </w:rPr>
        <w:t>c)</w:t>
      </w:r>
      <w:r>
        <w:rPr>
          <w:szCs w:val="24"/>
          <w:lang w:eastAsia="en-US"/>
        </w:rPr>
        <w:tab/>
        <w:t>údaje z monitorovania zozbierané v súlade s článkom 6a ods. 4 tejto smernice;</w:t>
      </w:r>
    </w:p>
    <w:p w14:paraId="56D1BB15" w14:textId="77777777" w:rsidR="002709ED" w:rsidRDefault="00B2757B">
      <w:pPr>
        <w:spacing w:before="120" w:after="120" w:line="360" w:lineRule="auto"/>
        <w:ind w:left="1982" w:hanging="566"/>
        <w:rPr>
          <w:szCs w:val="24"/>
          <w:lang w:eastAsia="en-US"/>
        </w:rPr>
      </w:pPr>
      <w:r>
        <w:rPr>
          <w:szCs w:val="24"/>
          <w:lang w:eastAsia="en-US"/>
        </w:rPr>
        <w:t>d)</w:t>
      </w:r>
      <w:r>
        <w:rPr>
          <w:szCs w:val="24"/>
          <w:lang w:eastAsia="en-US"/>
        </w:rPr>
        <w:tab/>
        <w:t>výsledky preskúmania príloh k smernici 2008/105/ES a smernici (EÚ) 2020/2184;</w:t>
      </w:r>
    </w:p>
    <w:p w14:paraId="4702FFED" w14:textId="77777777" w:rsidR="002709ED" w:rsidRDefault="00B2757B">
      <w:pPr>
        <w:widowControl/>
        <w:rPr>
          <w:szCs w:val="24"/>
          <w:lang w:eastAsia="en-US"/>
        </w:rPr>
      </w:pPr>
      <w:r>
        <w:rPr>
          <w:szCs w:val="24"/>
          <w:lang w:eastAsia="en-US"/>
        </w:rPr>
        <w:br w:type="page"/>
      </w:r>
    </w:p>
    <w:p w14:paraId="59210522" w14:textId="77777777" w:rsidR="002709ED" w:rsidRDefault="00B2757B">
      <w:pPr>
        <w:spacing w:before="120" w:after="120" w:line="360" w:lineRule="auto"/>
        <w:ind w:left="1982" w:hanging="566"/>
        <w:rPr>
          <w:szCs w:val="24"/>
          <w:lang w:eastAsia="en-US"/>
        </w:rPr>
      </w:pPr>
      <w:r>
        <w:rPr>
          <w:szCs w:val="24"/>
          <w:lang w:eastAsia="en-US"/>
        </w:rPr>
        <w:lastRenderedPageBreak/>
        <w:t>e)</w:t>
      </w:r>
      <w:r>
        <w:rPr>
          <w:szCs w:val="24"/>
          <w:lang w:eastAsia="en-US"/>
        </w:rPr>
        <w:tab/>
        <w:t>informácie a požiadavky na riešenie znečistenia pôdy;</w:t>
      </w:r>
    </w:p>
    <w:p w14:paraId="62CEC19E" w14:textId="77777777" w:rsidR="002709ED" w:rsidRDefault="00B2757B">
      <w:pPr>
        <w:spacing w:before="120" w:after="120" w:line="360" w:lineRule="auto"/>
        <w:ind w:left="1982" w:hanging="566"/>
        <w:rPr>
          <w:b/>
          <w:szCs w:val="24"/>
          <w:lang w:eastAsia="en-US"/>
        </w:rPr>
      </w:pPr>
      <w:r>
        <w:rPr>
          <w:szCs w:val="24"/>
          <w:lang w:eastAsia="en-US"/>
        </w:rPr>
        <w:t>f)</w:t>
      </w:r>
      <w:r>
        <w:rPr>
          <w:szCs w:val="24"/>
          <w:lang w:eastAsia="en-US"/>
        </w:rPr>
        <w:tab/>
        <w:t>výskumné programy a vedecké publikácie Únie vrátane</w:t>
      </w:r>
      <w:r>
        <w:rPr>
          <w:b/>
          <w:i/>
          <w:szCs w:val="24"/>
          <w:lang w:eastAsia="en-US"/>
        </w:rPr>
        <w:t xml:space="preserve"> aktualizovaných</w:t>
      </w:r>
      <w:r>
        <w:rPr>
          <w:szCs w:val="24"/>
          <w:lang w:eastAsia="en-US"/>
        </w:rPr>
        <w:t xml:space="preserve"> informácií vyplývajúcich z technológií diaľkového prieskumu a pozorovania Zeme (služby Copernicus), snímačov a zariadení in situ a/alebo údajov z občianskej vedy, pričom sa využívajú možnosti, ktoré </w:t>
      </w:r>
      <w:r>
        <w:rPr>
          <w:strike/>
          <w:szCs w:val="24"/>
          <w:lang w:eastAsia="en-US"/>
        </w:rPr>
        <w:t>ponúka umelá inteligencia, ako aj pokročilá analýza</w:t>
      </w:r>
      <w:r>
        <w:rPr>
          <w:b/>
          <w:i/>
          <w:szCs w:val="24"/>
          <w:lang w:eastAsia="en-US"/>
        </w:rPr>
        <w:t>ponúkajú najlepšie dostupné techniky, ktoré by mohli zahŕňať umelú inteligenciu a pokročilú analýzu</w:t>
      </w:r>
      <w:r>
        <w:rPr>
          <w:szCs w:val="24"/>
          <w:lang w:eastAsia="en-US"/>
        </w:rPr>
        <w:t xml:space="preserve"> a spracovanie údajov;</w:t>
      </w:r>
      <w:r>
        <w:rPr>
          <w:b/>
          <w:szCs w:val="24"/>
          <w:lang w:eastAsia="en-US"/>
        </w:rPr>
        <w:t xml:space="preserve"> [PN 99]</w:t>
      </w:r>
    </w:p>
    <w:p w14:paraId="30E6A331" w14:textId="77777777" w:rsidR="002709ED" w:rsidRDefault="00B2757B">
      <w:pPr>
        <w:spacing w:before="120" w:after="120" w:line="360" w:lineRule="auto"/>
        <w:ind w:left="1982" w:hanging="566"/>
        <w:rPr>
          <w:b/>
          <w:szCs w:val="24"/>
          <w:lang w:eastAsia="en-US"/>
        </w:rPr>
      </w:pPr>
      <w:r>
        <w:rPr>
          <w:szCs w:val="24"/>
          <w:lang w:eastAsia="en-US"/>
        </w:rPr>
        <w:t>g)</w:t>
      </w:r>
      <w:r>
        <w:rPr>
          <w:szCs w:val="24"/>
          <w:lang w:eastAsia="en-US"/>
        </w:rPr>
        <w:tab/>
        <w:t>pripomienky a informácie od príslušných zainteresovaných strán</w:t>
      </w:r>
      <w:r>
        <w:rPr>
          <w:b/>
          <w:i/>
          <w:szCs w:val="24"/>
          <w:lang w:eastAsia="en-US"/>
        </w:rPr>
        <w:t xml:space="preserve"> vrátane národných regulačných orgánov a iných príslušných orgánov</w:t>
      </w:r>
      <w:r>
        <w:rPr>
          <w:szCs w:val="24"/>
          <w:lang w:eastAsia="en-US"/>
        </w:rPr>
        <w:t>.</w:t>
      </w:r>
      <w:r>
        <w:rPr>
          <w:b/>
          <w:szCs w:val="24"/>
          <w:lang w:eastAsia="en-US"/>
        </w:rPr>
        <w:t xml:space="preserve"> [PN 100]</w:t>
      </w:r>
    </w:p>
    <w:p w14:paraId="1B0F4BA5" w14:textId="77777777" w:rsidR="002709ED" w:rsidRDefault="00B2757B">
      <w:pPr>
        <w:spacing w:before="120" w:after="120" w:line="360" w:lineRule="auto"/>
        <w:ind w:left="1416" w:hanging="566"/>
        <w:rPr>
          <w:b/>
          <w:szCs w:val="24"/>
          <w:lang w:eastAsia="en-US"/>
        </w:rPr>
      </w:pPr>
      <w:r>
        <w:rPr>
          <w:b/>
          <w:i/>
          <w:szCs w:val="24"/>
          <w:lang w:eastAsia="en-US"/>
        </w:rPr>
        <w:t>6a.</w:t>
      </w:r>
      <w:r>
        <w:rPr>
          <w:szCs w:val="24"/>
          <w:lang w:eastAsia="en-US"/>
        </w:rPr>
        <w:tab/>
      </w:r>
      <w:r>
        <w:rPr>
          <w:b/>
          <w:i/>
          <w:szCs w:val="24"/>
          <w:lang w:eastAsia="en-US"/>
        </w:rPr>
        <w:t>Do 12. januára 2025 Komisia stanoví technické usmernenia týkajúce sa metód analýzy na monitorovanie perfluóralkylovaných a polyfluóralkylovaných látok v parametroch „PFAS spolu“. Komisia je splnomocnená prijímať delegované akty v súlade s článkom 8a na zmenu tejto smernice stanovením normy kvality pre „PFAS spolu“ a zodpovedajúcim spôsobom zmeniť prílohu I. Komisia prijme tieto delegované akty do 12. januára 2026.</w:t>
      </w:r>
      <w:r>
        <w:rPr>
          <w:b/>
          <w:szCs w:val="24"/>
          <w:lang w:eastAsia="en-US"/>
        </w:rPr>
        <w:t xml:space="preserve"> [PN 101]</w:t>
      </w:r>
    </w:p>
    <w:p w14:paraId="34D5BF4D" w14:textId="77777777" w:rsidR="002709ED" w:rsidRDefault="00B2757B">
      <w:pPr>
        <w:widowControl/>
        <w:rPr>
          <w:szCs w:val="24"/>
          <w:lang w:eastAsia="en-US"/>
        </w:rPr>
      </w:pPr>
      <w:r>
        <w:rPr>
          <w:szCs w:val="24"/>
          <w:lang w:eastAsia="en-US"/>
        </w:rPr>
        <w:br w:type="page"/>
      </w:r>
    </w:p>
    <w:p w14:paraId="0718B5F5" w14:textId="77777777" w:rsidR="002709ED" w:rsidRDefault="00B2757B">
      <w:pPr>
        <w:spacing w:before="120" w:after="120" w:line="360" w:lineRule="auto"/>
        <w:ind w:left="1416" w:hanging="566"/>
        <w:rPr>
          <w:b/>
          <w:szCs w:val="24"/>
          <w:lang w:eastAsia="en-US"/>
        </w:rPr>
      </w:pPr>
      <w:r>
        <w:rPr>
          <w:szCs w:val="24"/>
          <w:lang w:eastAsia="en-US"/>
        </w:rPr>
        <w:lastRenderedPageBreak/>
        <w:t>7.</w:t>
      </w:r>
      <w:r>
        <w:rPr>
          <w:szCs w:val="24"/>
          <w:lang w:eastAsia="en-US"/>
        </w:rPr>
        <w:tab/>
        <w:t xml:space="preserve">Agentúra ECHA </w:t>
      </w:r>
      <w:r>
        <w:rPr>
          <w:strike/>
          <w:szCs w:val="24"/>
          <w:lang w:eastAsia="en-US"/>
        </w:rPr>
        <w:t>každých šesť rokov</w:t>
      </w:r>
      <w:r>
        <w:rPr>
          <w:b/>
          <w:i/>
          <w:szCs w:val="24"/>
          <w:lang w:eastAsia="en-US"/>
        </w:rPr>
        <w:t>každé štyri roky</w:t>
      </w:r>
      <w:r>
        <w:rPr>
          <w:szCs w:val="24"/>
          <w:lang w:eastAsia="en-US"/>
        </w:rPr>
        <w:t xml:space="preserve"> vypracuje a zverejní správu, v ktorej zhrnie zistenia preskúmania uvedeného v odsekoch 2 a 3. Prvá správa sa predloží Komisii</w:t>
      </w:r>
      <w:r w:rsidR="006D5113">
        <w:rPr>
          <w:szCs w:val="24"/>
          <w:lang w:eastAsia="en-US"/>
        </w:rPr>
        <w:t xml:space="preserve"> </w:t>
      </w:r>
      <w:r>
        <w:rPr>
          <w:szCs w:val="24"/>
          <w:lang w:eastAsia="en-US"/>
        </w:rPr>
        <w:t xml:space="preserve">... [Úrad pre publikácie: vložte dátum = </w:t>
      </w:r>
      <w:r>
        <w:rPr>
          <w:strike/>
          <w:szCs w:val="24"/>
          <w:lang w:eastAsia="en-US"/>
        </w:rPr>
        <w:t>päť rokov</w:t>
      </w:r>
      <w:r>
        <w:rPr>
          <w:b/>
          <w:i/>
          <w:szCs w:val="24"/>
          <w:lang w:eastAsia="en-US"/>
        </w:rPr>
        <w:t>tri roky</w:t>
      </w:r>
      <w:r>
        <w:rPr>
          <w:szCs w:val="24"/>
          <w:lang w:eastAsia="en-US"/>
        </w:rPr>
        <w:t xml:space="preserve"> </w:t>
      </w:r>
      <w:r w:rsidR="006D5113">
        <w:rPr>
          <w:szCs w:val="24"/>
          <w:lang w:eastAsia="en-US"/>
        </w:rPr>
        <w:t>po dni</w:t>
      </w:r>
      <w:r>
        <w:rPr>
          <w:szCs w:val="24"/>
          <w:lang w:eastAsia="en-US"/>
        </w:rPr>
        <w:t xml:space="preserve"> nadobudnutia účinnosti tejto smernice].“</w:t>
      </w:r>
      <w:r>
        <w:rPr>
          <w:b/>
          <w:szCs w:val="24"/>
          <w:lang w:eastAsia="en-US"/>
        </w:rPr>
        <w:t xml:space="preserve"> [PN 102]</w:t>
      </w:r>
    </w:p>
    <w:p w14:paraId="5A092855" w14:textId="77777777" w:rsidR="002709ED" w:rsidRDefault="00B2757B">
      <w:pPr>
        <w:spacing w:before="120" w:after="120" w:line="360" w:lineRule="auto"/>
        <w:ind w:left="850" w:hanging="850"/>
        <w:rPr>
          <w:szCs w:val="24"/>
          <w:lang w:eastAsia="en-US"/>
        </w:rPr>
      </w:pPr>
      <w:r>
        <w:rPr>
          <w:szCs w:val="24"/>
          <w:lang w:eastAsia="en-US"/>
        </w:rPr>
        <w:t>8.</w:t>
      </w:r>
      <w:r>
        <w:rPr>
          <w:szCs w:val="24"/>
          <w:lang w:eastAsia="en-US"/>
        </w:rPr>
        <w:tab/>
        <w:t>Vkladá sa tento článok 8a:</w:t>
      </w:r>
    </w:p>
    <w:p w14:paraId="2C5D24CA" w14:textId="77777777" w:rsidR="002709ED" w:rsidRDefault="00B2757B">
      <w:pPr>
        <w:spacing w:before="120" w:after="120" w:line="360" w:lineRule="auto"/>
        <w:ind w:left="850"/>
        <w:rPr>
          <w:szCs w:val="24"/>
          <w:lang w:eastAsia="en-US"/>
        </w:rPr>
      </w:pPr>
      <w:r>
        <w:rPr>
          <w:szCs w:val="24"/>
          <w:lang w:eastAsia="en-US"/>
        </w:rPr>
        <w:t>„Článok 8a</w:t>
      </w:r>
    </w:p>
    <w:p w14:paraId="0C59200B" w14:textId="77777777" w:rsidR="002709ED" w:rsidRDefault="00B2757B">
      <w:pPr>
        <w:spacing w:before="120" w:after="120" w:line="360" w:lineRule="auto"/>
        <w:ind w:left="850"/>
        <w:rPr>
          <w:szCs w:val="24"/>
          <w:lang w:eastAsia="en-US"/>
        </w:rPr>
      </w:pPr>
      <w:r>
        <w:rPr>
          <w:szCs w:val="24"/>
          <w:lang w:eastAsia="en-US"/>
        </w:rPr>
        <w:t>Vykonávanie delegovania právomoci</w:t>
      </w:r>
    </w:p>
    <w:p w14:paraId="522F047C" w14:textId="77777777" w:rsidR="002709ED" w:rsidRDefault="00B2757B">
      <w:pPr>
        <w:spacing w:before="120" w:after="120" w:line="360" w:lineRule="auto"/>
        <w:ind w:left="1416" w:hanging="566"/>
        <w:rPr>
          <w:szCs w:val="24"/>
          <w:lang w:eastAsia="en-US"/>
        </w:rPr>
      </w:pPr>
      <w:r>
        <w:rPr>
          <w:szCs w:val="24"/>
          <w:lang w:eastAsia="en-US"/>
        </w:rPr>
        <w:t>1.</w:t>
      </w:r>
      <w:r>
        <w:rPr>
          <w:szCs w:val="24"/>
          <w:lang w:eastAsia="en-US"/>
        </w:rPr>
        <w:tab/>
        <w:t>Komisii sa udeľuje právomoc prijímať delegované akty za podmienok stanovených v tomto článku.</w:t>
      </w:r>
    </w:p>
    <w:p w14:paraId="70CBF59E" w14:textId="77777777" w:rsidR="002709ED" w:rsidRDefault="00B2757B">
      <w:pPr>
        <w:spacing w:before="120" w:after="120" w:line="360" w:lineRule="auto"/>
        <w:ind w:left="1416" w:hanging="566"/>
        <w:rPr>
          <w:b/>
          <w:szCs w:val="24"/>
          <w:lang w:eastAsia="en-US"/>
        </w:rPr>
      </w:pPr>
      <w:r>
        <w:rPr>
          <w:szCs w:val="24"/>
          <w:lang w:eastAsia="en-US"/>
        </w:rPr>
        <w:t>2.</w:t>
      </w:r>
      <w:r>
        <w:rPr>
          <w:szCs w:val="24"/>
          <w:lang w:eastAsia="en-US"/>
        </w:rPr>
        <w:tab/>
        <w:t xml:space="preserve">Právomoc prijímať delegované akty uvedené v článku 8 ods. </w:t>
      </w:r>
      <w:r>
        <w:rPr>
          <w:strike/>
          <w:szCs w:val="24"/>
          <w:lang w:eastAsia="en-US"/>
        </w:rPr>
        <w:t>1 a 2</w:t>
      </w:r>
      <w:r>
        <w:rPr>
          <w:b/>
          <w:i/>
          <w:szCs w:val="24"/>
          <w:lang w:eastAsia="en-US"/>
        </w:rPr>
        <w:t>2, 3 a 6a</w:t>
      </w:r>
      <w:r>
        <w:rPr>
          <w:szCs w:val="24"/>
          <w:lang w:eastAsia="en-US"/>
        </w:rPr>
        <w:t xml:space="preserve"> sa Komisii udeľuje na dobu </w:t>
      </w:r>
      <w:r>
        <w:rPr>
          <w:strike/>
          <w:szCs w:val="24"/>
          <w:lang w:eastAsia="en-US"/>
        </w:rPr>
        <w:t xml:space="preserve">neurčitú od [Úrad pre publikácie: vložte dátum = </w:t>
      </w:r>
      <w:r>
        <w:rPr>
          <w:b/>
          <w:i/>
          <w:szCs w:val="24"/>
          <w:lang w:eastAsia="en-US"/>
        </w:rPr>
        <w:t>šiestich rokov od ... [</w:t>
      </w:r>
      <w:r>
        <w:rPr>
          <w:szCs w:val="24"/>
          <w:lang w:eastAsia="en-US"/>
        </w:rPr>
        <w:t>dátum nadobudnutia účinnosti tejto smernice].</w:t>
      </w:r>
      <w:r>
        <w:rPr>
          <w:b/>
          <w:i/>
          <w:szCs w:val="24"/>
          <w:lang w:eastAsia="en-US"/>
        </w:rPr>
        <w:t xml:space="preserve"> Komisia vypracuje správu týkajúcu sa delegovania právomoci najneskôr deväť mesiacov pred uplynutím tohto šesťročného obdobia. Delegovanie právomoci sa automaticky predlžuje na rovnako dlhé obdobia, pokiaľ Európsky parlament alebo Rada nevznesú voči takémuto predĺženiu námietku najneskôr tri mesiace pred koncom každého obdobia.</w:t>
      </w:r>
      <w:r>
        <w:rPr>
          <w:b/>
          <w:szCs w:val="24"/>
          <w:lang w:eastAsia="en-US"/>
        </w:rPr>
        <w:t xml:space="preserve"> [PN 103]</w:t>
      </w:r>
    </w:p>
    <w:p w14:paraId="5B9A8FCE" w14:textId="77777777" w:rsidR="002709ED" w:rsidRDefault="00B2757B">
      <w:pPr>
        <w:widowControl/>
        <w:rPr>
          <w:szCs w:val="24"/>
          <w:lang w:eastAsia="en-US"/>
        </w:rPr>
      </w:pPr>
      <w:r>
        <w:rPr>
          <w:szCs w:val="24"/>
          <w:lang w:eastAsia="en-US"/>
        </w:rPr>
        <w:br w:type="page"/>
      </w:r>
    </w:p>
    <w:p w14:paraId="538BB0C5" w14:textId="77777777" w:rsidR="002709ED" w:rsidRDefault="00B2757B">
      <w:pPr>
        <w:spacing w:before="120" w:after="120" w:line="360" w:lineRule="auto"/>
        <w:ind w:left="1416" w:hanging="566"/>
        <w:rPr>
          <w:b/>
          <w:szCs w:val="24"/>
          <w:lang w:eastAsia="en-US"/>
        </w:rPr>
      </w:pPr>
      <w:r>
        <w:rPr>
          <w:szCs w:val="24"/>
          <w:lang w:eastAsia="en-US"/>
        </w:rPr>
        <w:lastRenderedPageBreak/>
        <w:t>3.</w:t>
      </w:r>
      <w:r>
        <w:rPr>
          <w:szCs w:val="24"/>
          <w:lang w:eastAsia="en-US"/>
        </w:rPr>
        <w:tab/>
        <w:t xml:space="preserve">Delegovanie právomoci uvedené v článku 8 ods. </w:t>
      </w:r>
      <w:r>
        <w:rPr>
          <w:strike/>
          <w:szCs w:val="24"/>
          <w:lang w:eastAsia="en-US"/>
        </w:rPr>
        <w:t>1 a 2</w:t>
      </w:r>
      <w:r>
        <w:rPr>
          <w:b/>
          <w:i/>
          <w:szCs w:val="24"/>
          <w:lang w:eastAsia="en-US"/>
        </w:rPr>
        <w:t>2, 3 a 6a</w:t>
      </w:r>
      <w:r>
        <w:rPr>
          <w:szCs w:val="24"/>
          <w:lang w:eastAsia="en-US"/>
        </w:rPr>
        <w:t xml:space="preserve"> môže Európsky parlament alebo Rada kedykoľvek odvolať. Rozhodnutím o odvolaní sa ukončuje delegovanie právomoci, ktoré sa v ňom uvádza. Rozhodnutie nadobúda účinnosť dňom nasledujúcim po jeho uverejnení v </w:t>
      </w:r>
      <w:r w:rsidRPr="00C27C94">
        <w:rPr>
          <w:i/>
          <w:szCs w:val="24"/>
          <w:lang w:eastAsia="en-US"/>
        </w:rPr>
        <w:t>Úradnom vestníku Európskej únie</w:t>
      </w:r>
      <w:r>
        <w:rPr>
          <w:szCs w:val="24"/>
          <w:lang w:eastAsia="en-US"/>
        </w:rPr>
        <w:t xml:space="preserve"> alebo k neskoršiemu dátumu, ktorý je v ňom určený. Nie je ním dotknutá platnosť delegovaných aktov, ktoré už nadobudli účinnosť.</w:t>
      </w:r>
      <w:r>
        <w:rPr>
          <w:b/>
          <w:szCs w:val="24"/>
          <w:lang w:eastAsia="en-US"/>
        </w:rPr>
        <w:t xml:space="preserve"> [PN 104]</w:t>
      </w:r>
    </w:p>
    <w:p w14:paraId="310954BA" w14:textId="77777777" w:rsidR="002709ED" w:rsidRDefault="00B2757B">
      <w:pPr>
        <w:spacing w:before="120" w:after="120" w:line="360" w:lineRule="auto"/>
        <w:ind w:left="1416" w:hanging="566"/>
        <w:rPr>
          <w:szCs w:val="24"/>
          <w:lang w:eastAsia="en-US"/>
        </w:rPr>
      </w:pPr>
      <w:r>
        <w:rPr>
          <w:szCs w:val="24"/>
          <w:lang w:eastAsia="en-US"/>
        </w:rPr>
        <w:t>4.</w:t>
      </w:r>
      <w:r>
        <w:rPr>
          <w:szCs w:val="24"/>
          <w:lang w:eastAsia="en-US"/>
        </w:rPr>
        <w:tab/>
        <w:t>Komisia pred prijatím delegovaného aktu konzultuje s expertmi určenými jednotlivými členskými štátmi v súlade so zásadami stanovenými v Medziinštitucionálnej dohode z 13. apríla 2016 o lepšej tvorbe práva.</w:t>
      </w:r>
      <w:r>
        <w:rPr>
          <w:b/>
          <w:i/>
          <w:szCs w:val="24"/>
          <w:lang w:eastAsia="en-US"/>
        </w:rPr>
        <w:t xml:space="preserve"> </w:t>
      </w:r>
      <w:r>
        <w:rPr>
          <w:b/>
          <w:szCs w:val="24"/>
          <w:lang w:eastAsia="en-US"/>
        </w:rPr>
        <w:t xml:space="preserve">[PN 105 </w:t>
      </w:r>
      <w:r>
        <w:rPr>
          <w:b/>
          <w:i/>
          <w:szCs w:val="24"/>
          <w:lang w:eastAsia="en-US"/>
        </w:rPr>
        <w:t>Netýka sa slovenskej vezie</w:t>
      </w:r>
      <w:r>
        <w:rPr>
          <w:b/>
          <w:szCs w:val="24"/>
          <w:lang w:eastAsia="en-US"/>
        </w:rPr>
        <w:t>]</w:t>
      </w:r>
    </w:p>
    <w:p w14:paraId="4E043145" w14:textId="77777777" w:rsidR="002709ED" w:rsidRDefault="00B2757B">
      <w:pPr>
        <w:spacing w:before="120" w:after="120" w:line="360" w:lineRule="auto"/>
        <w:ind w:left="1416" w:hanging="566"/>
        <w:rPr>
          <w:szCs w:val="24"/>
          <w:lang w:eastAsia="en-US"/>
        </w:rPr>
      </w:pPr>
      <w:r>
        <w:rPr>
          <w:szCs w:val="24"/>
          <w:lang w:eastAsia="en-US"/>
        </w:rPr>
        <w:t>5.</w:t>
      </w:r>
      <w:r>
        <w:rPr>
          <w:szCs w:val="24"/>
          <w:lang w:eastAsia="en-US"/>
        </w:rPr>
        <w:tab/>
        <w:t>Komisia oznamuje delegovaný akt hneď po jeho prijatí súčasne Európskemu parlamentu a Rade.</w:t>
      </w:r>
    </w:p>
    <w:p w14:paraId="11E30BC5" w14:textId="77777777" w:rsidR="002709ED" w:rsidRDefault="00B2757B">
      <w:pPr>
        <w:widowControl/>
        <w:rPr>
          <w:szCs w:val="24"/>
          <w:lang w:eastAsia="en-US"/>
        </w:rPr>
      </w:pPr>
      <w:r>
        <w:rPr>
          <w:szCs w:val="24"/>
          <w:lang w:eastAsia="en-US"/>
        </w:rPr>
        <w:br w:type="page"/>
      </w:r>
    </w:p>
    <w:p w14:paraId="4E474707" w14:textId="77777777" w:rsidR="002709ED" w:rsidRDefault="00B2757B">
      <w:pPr>
        <w:spacing w:before="120" w:after="120" w:line="360" w:lineRule="auto"/>
        <w:ind w:left="1416" w:hanging="566"/>
        <w:rPr>
          <w:b/>
          <w:szCs w:val="24"/>
          <w:lang w:eastAsia="en-US"/>
        </w:rPr>
      </w:pPr>
      <w:r>
        <w:rPr>
          <w:szCs w:val="24"/>
          <w:lang w:eastAsia="en-US"/>
        </w:rPr>
        <w:lastRenderedPageBreak/>
        <w:t>6.</w:t>
      </w:r>
      <w:r>
        <w:rPr>
          <w:szCs w:val="24"/>
          <w:lang w:eastAsia="en-US"/>
        </w:rPr>
        <w:tab/>
        <w:t>Delegovaný akt prijatý podľa článku 8 ods.</w:t>
      </w:r>
      <w:r>
        <w:rPr>
          <w:b/>
          <w:i/>
          <w:szCs w:val="24"/>
          <w:lang w:eastAsia="en-US"/>
        </w:rPr>
        <w:t xml:space="preserve"> 2, 3</w:t>
      </w:r>
      <w:r>
        <w:rPr>
          <w:strike/>
          <w:szCs w:val="24"/>
          <w:lang w:eastAsia="en-US"/>
        </w:rPr>
        <w:t xml:space="preserve"> 1</w:t>
      </w:r>
      <w:r>
        <w:rPr>
          <w:szCs w:val="24"/>
          <w:lang w:eastAsia="en-US"/>
        </w:rPr>
        <w:t xml:space="preserve"> alebo </w:t>
      </w:r>
      <w:r>
        <w:rPr>
          <w:strike/>
          <w:szCs w:val="24"/>
          <w:lang w:eastAsia="en-US"/>
        </w:rPr>
        <w:t>2</w:t>
      </w:r>
      <w:r>
        <w:rPr>
          <w:b/>
          <w:i/>
          <w:szCs w:val="24"/>
          <w:lang w:eastAsia="en-US"/>
        </w:rPr>
        <w:t>6a</w:t>
      </w:r>
      <w:r>
        <w:rPr>
          <w:szCs w:val="24"/>
          <w:lang w:eastAsia="en-US"/>
        </w:rPr>
        <w:t xml:space="preserve"> nadobudne účinnosť, len ak Európsky parlament alebo Rada voči nemu nevzniesli námietku v lehote dvoch mesiacov odo dňa oznámenia uvedeného aktu Európskemu parlamentu a Rade alebo ak pred uplynutím uvedenej lehoty Európsky parlament a Rada informovali Komisiu o svojom rozhodnutí nevzniesť námietku. Na podnet Európskeho parlamentu alebo Rady sa táto lehota predĺži o dva mesiace.</w:t>
      </w:r>
      <w:r>
        <w:rPr>
          <w:strike/>
          <w:szCs w:val="24"/>
          <w:lang w:eastAsia="en-US"/>
        </w:rPr>
        <w:t>;</w:t>
      </w:r>
      <w:r>
        <w:rPr>
          <w:szCs w:val="24"/>
          <w:lang w:eastAsia="en-US"/>
        </w:rPr>
        <w:t>“</w:t>
      </w:r>
      <w:r>
        <w:rPr>
          <w:b/>
          <w:szCs w:val="24"/>
          <w:lang w:eastAsia="en-US"/>
        </w:rPr>
        <w:t xml:space="preserve"> [PN 106]</w:t>
      </w:r>
    </w:p>
    <w:p w14:paraId="1F7CB5CE" w14:textId="77777777" w:rsidR="002709ED" w:rsidRDefault="00B2757B">
      <w:pPr>
        <w:spacing w:before="120" w:after="120" w:line="360" w:lineRule="auto"/>
        <w:ind w:left="850" w:hanging="850"/>
        <w:rPr>
          <w:szCs w:val="24"/>
          <w:lang w:eastAsia="en-US"/>
        </w:rPr>
      </w:pPr>
      <w:r>
        <w:rPr>
          <w:szCs w:val="24"/>
          <w:lang w:eastAsia="en-US"/>
        </w:rPr>
        <w:t>9.</w:t>
      </w:r>
      <w:r>
        <w:rPr>
          <w:szCs w:val="24"/>
          <w:lang w:eastAsia="en-US"/>
        </w:rPr>
        <w:tab/>
        <w:t>Článok 9 sa nahrádza takto:</w:t>
      </w:r>
    </w:p>
    <w:p w14:paraId="0E5766A6" w14:textId="77777777" w:rsidR="002709ED" w:rsidRDefault="00B2757B">
      <w:pPr>
        <w:spacing w:before="120" w:after="120" w:line="360" w:lineRule="auto"/>
        <w:ind w:left="850"/>
        <w:rPr>
          <w:szCs w:val="24"/>
          <w:lang w:eastAsia="en-US"/>
        </w:rPr>
      </w:pPr>
      <w:r>
        <w:rPr>
          <w:szCs w:val="24"/>
          <w:lang w:eastAsia="en-US"/>
        </w:rPr>
        <w:t>„Článok 9</w:t>
      </w:r>
    </w:p>
    <w:p w14:paraId="4A09945E" w14:textId="77777777" w:rsidR="002709ED" w:rsidRDefault="00B2757B">
      <w:pPr>
        <w:spacing w:before="120" w:after="120" w:line="360" w:lineRule="auto"/>
        <w:ind w:left="850"/>
        <w:rPr>
          <w:szCs w:val="24"/>
          <w:lang w:eastAsia="en-US"/>
        </w:rPr>
      </w:pPr>
      <w:r>
        <w:rPr>
          <w:szCs w:val="24"/>
          <w:lang w:eastAsia="en-US"/>
        </w:rPr>
        <w:t>Postup výboru</w:t>
      </w:r>
    </w:p>
    <w:p w14:paraId="6C8DBE7A" w14:textId="77777777" w:rsidR="002709ED" w:rsidRDefault="00B2757B">
      <w:pPr>
        <w:spacing w:before="120" w:after="120" w:line="360" w:lineRule="auto"/>
        <w:ind w:left="1416" w:hanging="566"/>
        <w:rPr>
          <w:szCs w:val="24"/>
          <w:lang w:eastAsia="en-US"/>
        </w:rPr>
      </w:pPr>
      <w:r>
        <w:rPr>
          <w:szCs w:val="24"/>
          <w:lang w:eastAsia="en-US"/>
        </w:rPr>
        <w:t>1.</w:t>
      </w:r>
      <w:r>
        <w:rPr>
          <w:szCs w:val="24"/>
          <w:lang w:eastAsia="en-US"/>
        </w:rPr>
        <w:tab/>
        <w:t>Komisii pomáha výbor. Tento výbor je výborom v zmysle nariadenia Európskeho parlamentu a Rady (EÚ) č. 182/2011*.</w:t>
      </w:r>
    </w:p>
    <w:p w14:paraId="14D1307B" w14:textId="77777777" w:rsidR="002709ED" w:rsidRDefault="00B2757B">
      <w:pPr>
        <w:widowControl/>
        <w:rPr>
          <w:szCs w:val="24"/>
          <w:lang w:eastAsia="en-US"/>
        </w:rPr>
      </w:pPr>
      <w:r>
        <w:rPr>
          <w:szCs w:val="24"/>
          <w:lang w:eastAsia="en-US"/>
        </w:rPr>
        <w:br w:type="page"/>
      </w:r>
    </w:p>
    <w:p w14:paraId="383D905D" w14:textId="77777777" w:rsidR="002709ED" w:rsidRDefault="00B2757B">
      <w:pPr>
        <w:spacing w:before="120" w:after="120" w:line="360" w:lineRule="auto"/>
        <w:ind w:left="1416" w:hanging="566"/>
        <w:rPr>
          <w:szCs w:val="24"/>
          <w:lang w:eastAsia="en-US"/>
        </w:rPr>
      </w:pPr>
      <w:r>
        <w:rPr>
          <w:szCs w:val="24"/>
          <w:lang w:eastAsia="en-US"/>
        </w:rPr>
        <w:lastRenderedPageBreak/>
        <w:t>2.</w:t>
      </w:r>
      <w:r>
        <w:rPr>
          <w:szCs w:val="24"/>
          <w:lang w:eastAsia="en-US"/>
        </w:rPr>
        <w:tab/>
        <w:t>Ak sa odkazuje na tento odsek, uplatňuje sa článok 5 nariadenia (EÚ) č. 182/2011.</w:t>
      </w:r>
    </w:p>
    <w:p w14:paraId="2CD803AC" w14:textId="77777777" w:rsidR="002709ED" w:rsidRDefault="00B2757B">
      <w:pPr>
        <w:spacing w:before="120" w:after="120" w:line="360" w:lineRule="auto"/>
        <w:ind w:left="850"/>
        <w:rPr>
          <w:szCs w:val="24"/>
          <w:lang w:eastAsia="en-US"/>
        </w:rPr>
      </w:pPr>
      <w:r>
        <w:rPr>
          <w:szCs w:val="24"/>
          <w:lang w:eastAsia="en-US"/>
        </w:rPr>
        <w:t>Ak výbor nevydá žiadne stanovisko, Komisia neprijme návrh vykonávacieho aktu a uplatňuje sa článok 5 ods. 4 tretí pododsek nariadenia (EÚ) č. 182/2011.“;</w:t>
      </w:r>
    </w:p>
    <w:p w14:paraId="7611A6B0" w14:textId="77777777" w:rsidR="002709ED" w:rsidRDefault="00B2757B">
      <w:pPr>
        <w:spacing w:before="120" w:after="120" w:line="360" w:lineRule="auto"/>
        <w:ind w:left="1418" w:hanging="568"/>
        <w:rPr>
          <w:szCs w:val="24"/>
          <w:lang w:eastAsia="en-US"/>
        </w:rPr>
      </w:pPr>
      <w:r>
        <w:rPr>
          <w:szCs w:val="24"/>
          <w:lang w:eastAsia="en-US"/>
        </w:rPr>
        <w:t xml:space="preserve">* </w:t>
      </w:r>
      <w:r>
        <w:rPr>
          <w:szCs w:val="24"/>
          <w:lang w:eastAsia="en-US"/>
        </w:rPr>
        <w:tab/>
        <w:t>Nariadenie Európskeho parlamentu a Rady (EÚ) č. 182/2011 zo 16. februára 2011, ktorým sa ustanovujú pravidlá a všeobecné zásady mechanizmu, na základe ktorého členské štáty kontrolujú vykonávanie vykonávacích právomocí Komisie (Ú. v. EÚ L 55, 28.2.2011, s. 13).;“</w:t>
      </w:r>
    </w:p>
    <w:p w14:paraId="1E349989" w14:textId="77777777" w:rsidR="002709ED" w:rsidRDefault="00B2757B">
      <w:pPr>
        <w:spacing w:before="120" w:after="120" w:line="360" w:lineRule="auto"/>
        <w:ind w:left="850" w:hanging="850"/>
        <w:rPr>
          <w:szCs w:val="24"/>
          <w:lang w:eastAsia="en-US"/>
        </w:rPr>
      </w:pPr>
      <w:r>
        <w:rPr>
          <w:szCs w:val="24"/>
          <w:lang w:eastAsia="en-US"/>
        </w:rPr>
        <w:t>10.</w:t>
      </w:r>
      <w:r>
        <w:rPr>
          <w:szCs w:val="24"/>
          <w:lang w:eastAsia="en-US"/>
        </w:rPr>
        <w:tab/>
        <w:t>Článok 10 sa vypúšťa;</w:t>
      </w:r>
    </w:p>
    <w:p w14:paraId="62F2F050" w14:textId="77777777" w:rsidR="002709ED" w:rsidRDefault="00B2757B">
      <w:pPr>
        <w:spacing w:before="120" w:after="120" w:line="360" w:lineRule="auto"/>
        <w:ind w:left="850" w:hanging="850"/>
        <w:rPr>
          <w:szCs w:val="24"/>
          <w:lang w:eastAsia="en-US"/>
        </w:rPr>
      </w:pPr>
      <w:r>
        <w:rPr>
          <w:szCs w:val="24"/>
          <w:lang w:eastAsia="en-US"/>
        </w:rPr>
        <w:t>11.</w:t>
      </w:r>
      <w:r>
        <w:rPr>
          <w:szCs w:val="24"/>
          <w:lang w:eastAsia="en-US"/>
        </w:rPr>
        <w:tab/>
        <w:t>Príloha I sa nahrádza textom v prílohe III k tejto smernici;</w:t>
      </w:r>
    </w:p>
    <w:p w14:paraId="1CFA1B36" w14:textId="77777777" w:rsidR="002709ED" w:rsidRDefault="00B2757B">
      <w:pPr>
        <w:spacing w:before="120" w:after="120" w:line="360" w:lineRule="auto"/>
        <w:ind w:left="850" w:hanging="850"/>
        <w:rPr>
          <w:szCs w:val="24"/>
          <w:lang w:eastAsia="en-US"/>
        </w:rPr>
      </w:pPr>
      <w:r>
        <w:rPr>
          <w:szCs w:val="24"/>
          <w:lang w:eastAsia="en-US"/>
        </w:rPr>
        <w:t>12.</w:t>
      </w:r>
      <w:r>
        <w:rPr>
          <w:szCs w:val="24"/>
          <w:lang w:eastAsia="en-US"/>
        </w:rPr>
        <w:tab/>
        <w:t>Príloha II sa mení v súlade s prílohou IV k tejto smernici;</w:t>
      </w:r>
    </w:p>
    <w:p w14:paraId="41F29A8B" w14:textId="77777777" w:rsidR="002709ED" w:rsidRDefault="00B2757B">
      <w:pPr>
        <w:widowControl/>
        <w:rPr>
          <w:szCs w:val="24"/>
          <w:lang w:eastAsia="en-US"/>
        </w:rPr>
      </w:pPr>
      <w:r>
        <w:rPr>
          <w:szCs w:val="24"/>
          <w:lang w:eastAsia="en-US"/>
        </w:rPr>
        <w:br w:type="page"/>
      </w:r>
    </w:p>
    <w:p w14:paraId="131F9B9E" w14:textId="77777777" w:rsidR="002709ED" w:rsidRDefault="00B2757B">
      <w:pPr>
        <w:spacing w:before="120" w:after="120" w:line="360" w:lineRule="auto"/>
        <w:ind w:left="850" w:hanging="850"/>
        <w:rPr>
          <w:szCs w:val="24"/>
          <w:lang w:eastAsia="en-US"/>
        </w:rPr>
      </w:pPr>
      <w:r>
        <w:rPr>
          <w:szCs w:val="24"/>
          <w:lang w:eastAsia="en-US"/>
        </w:rPr>
        <w:lastRenderedPageBreak/>
        <w:t>13.</w:t>
      </w:r>
      <w:r>
        <w:rPr>
          <w:szCs w:val="24"/>
          <w:lang w:eastAsia="en-US"/>
        </w:rPr>
        <w:tab/>
        <w:t>V bode 2 prílohy III sa písmeno c) nahrádza takto:</w:t>
      </w:r>
    </w:p>
    <w:p w14:paraId="3EA1BD10" w14:textId="77777777" w:rsidR="002709ED" w:rsidRDefault="00B2757B">
      <w:pPr>
        <w:spacing w:before="120" w:after="120" w:line="360" w:lineRule="auto"/>
        <w:ind w:left="1416" w:hanging="566"/>
        <w:rPr>
          <w:szCs w:val="24"/>
          <w:lang w:eastAsia="en-US"/>
        </w:rPr>
      </w:pPr>
      <w:r>
        <w:rPr>
          <w:szCs w:val="24"/>
          <w:lang w:eastAsia="en-US"/>
        </w:rPr>
        <w:t>„c)</w:t>
      </w:r>
      <w:r>
        <w:rPr>
          <w:szCs w:val="24"/>
          <w:lang w:eastAsia="en-US"/>
        </w:rPr>
        <w:tab/>
        <w:t>akékoľvek iné významné informácie vrátane porovnania ročného aritmetického priemeru obsahu príslušných znečisťujúcich látok v monitorovacom bode s normami kvality podzemných vôd stanovenými v prílohe I a prahovými hodnotami uvedenými v článku 3 ods. 1 písm. b) a c).;“</w:t>
      </w:r>
    </w:p>
    <w:p w14:paraId="5DDEDF49" w14:textId="77777777" w:rsidR="002709ED" w:rsidRDefault="00B2757B">
      <w:pPr>
        <w:spacing w:before="120" w:after="120" w:line="360" w:lineRule="auto"/>
        <w:ind w:left="850" w:hanging="850"/>
        <w:rPr>
          <w:szCs w:val="24"/>
          <w:lang w:eastAsia="en-US"/>
        </w:rPr>
      </w:pPr>
      <w:r>
        <w:rPr>
          <w:szCs w:val="24"/>
          <w:lang w:eastAsia="en-US"/>
        </w:rPr>
        <w:t>14.</w:t>
      </w:r>
      <w:r>
        <w:rPr>
          <w:szCs w:val="24"/>
          <w:lang w:eastAsia="en-US"/>
        </w:rPr>
        <w:tab/>
        <w:t>V časti B bode 1 prílohy IV sa úvodná veta nahrádza takto:</w:t>
      </w:r>
    </w:p>
    <w:p w14:paraId="4A28D081" w14:textId="77777777" w:rsidR="002709ED" w:rsidRDefault="00B2757B">
      <w:pPr>
        <w:spacing w:before="120" w:after="120" w:line="360" w:lineRule="auto"/>
        <w:ind w:left="850"/>
        <w:rPr>
          <w:b/>
          <w:szCs w:val="24"/>
          <w:lang w:eastAsia="en-US"/>
        </w:rPr>
      </w:pPr>
      <w:r>
        <w:rPr>
          <w:szCs w:val="24"/>
          <w:lang w:eastAsia="en-US"/>
        </w:rPr>
        <w:t>„počiatočný bod pre vykonávanie opatrení na zvrátenie významných a trvalo vzostupných trendov</w:t>
      </w:r>
      <w:r>
        <w:rPr>
          <w:b/>
          <w:i/>
          <w:szCs w:val="24"/>
          <w:lang w:eastAsia="en-US"/>
        </w:rPr>
        <w:t xml:space="preserve"> vrátane sezónneho vzostupného trendu spôsobeného okrem iného nízkym prietokom vodného útvaru</w:t>
      </w:r>
      <w:r>
        <w:rPr>
          <w:szCs w:val="24"/>
          <w:lang w:eastAsia="en-US"/>
        </w:rPr>
        <w:t xml:space="preserve"> nastane, keď obsah znečisťujúcej látky dosiahne 75 % parametrických hodnôt noriem kvality podzemných vôd stanovených v prílohe I a prahových hodnôt uvedených v článku 3 ods. 1 písm. b) a c), ak:</w:t>
      </w:r>
      <w:r>
        <w:rPr>
          <w:strike/>
          <w:szCs w:val="24"/>
          <w:lang w:eastAsia="en-US"/>
        </w:rPr>
        <w:t>.</w:t>
      </w:r>
      <w:r>
        <w:rPr>
          <w:szCs w:val="24"/>
          <w:lang w:eastAsia="en-US"/>
        </w:rPr>
        <w:t>“</w:t>
      </w:r>
      <w:r>
        <w:rPr>
          <w:b/>
          <w:szCs w:val="24"/>
          <w:lang w:eastAsia="en-US"/>
        </w:rPr>
        <w:t xml:space="preserve"> [PN 107]</w:t>
      </w:r>
    </w:p>
    <w:p w14:paraId="1AD3CEAA" w14:textId="77777777" w:rsidR="002709ED" w:rsidRDefault="00B2757B">
      <w:pPr>
        <w:widowControl/>
        <w:rPr>
          <w:szCs w:val="24"/>
          <w:lang w:eastAsia="en-US"/>
        </w:rPr>
      </w:pPr>
      <w:r>
        <w:rPr>
          <w:szCs w:val="24"/>
          <w:lang w:eastAsia="en-US"/>
        </w:rPr>
        <w:br w:type="page"/>
      </w:r>
    </w:p>
    <w:p w14:paraId="4AAC1584" w14:textId="77777777" w:rsidR="002709ED" w:rsidRDefault="00B2757B">
      <w:pPr>
        <w:spacing w:before="120" w:after="120" w:line="360" w:lineRule="auto"/>
        <w:jc w:val="center"/>
        <w:rPr>
          <w:szCs w:val="24"/>
          <w:lang w:eastAsia="en-US"/>
        </w:rPr>
      </w:pPr>
      <w:r>
        <w:rPr>
          <w:szCs w:val="24"/>
          <w:lang w:eastAsia="en-US"/>
        </w:rPr>
        <w:lastRenderedPageBreak/>
        <w:t>Článok 3</w:t>
      </w:r>
      <w:r>
        <w:rPr>
          <w:szCs w:val="24"/>
          <w:lang w:eastAsia="en-US"/>
        </w:rPr>
        <w:br/>
        <w:t>Zmeny v smernici 2008/105/ES</w:t>
      </w:r>
    </w:p>
    <w:p w14:paraId="46C246EA" w14:textId="77777777" w:rsidR="002709ED" w:rsidRDefault="00B2757B">
      <w:pPr>
        <w:spacing w:before="120" w:after="120" w:line="360" w:lineRule="auto"/>
        <w:rPr>
          <w:szCs w:val="24"/>
          <w:lang w:eastAsia="en-US"/>
        </w:rPr>
      </w:pPr>
      <w:r>
        <w:rPr>
          <w:szCs w:val="24"/>
          <w:lang w:eastAsia="en-US"/>
        </w:rPr>
        <w:t>Smernica 2008/105/ES sa mení takto:</w:t>
      </w:r>
    </w:p>
    <w:p w14:paraId="2627504F" w14:textId="77777777" w:rsidR="002709ED" w:rsidRDefault="00B2757B">
      <w:pPr>
        <w:spacing w:before="120" w:after="120" w:line="360" w:lineRule="auto"/>
        <w:ind w:left="850" w:hanging="850"/>
        <w:rPr>
          <w:szCs w:val="24"/>
          <w:lang w:eastAsia="en-US"/>
        </w:rPr>
      </w:pPr>
      <w:r>
        <w:rPr>
          <w:szCs w:val="24"/>
          <w:lang w:eastAsia="en-US"/>
        </w:rPr>
        <w:t>1.</w:t>
      </w:r>
      <w:r>
        <w:rPr>
          <w:szCs w:val="24"/>
          <w:lang w:eastAsia="en-US"/>
        </w:rPr>
        <w:tab/>
        <w:t>Názov sa nahrádza takto:</w:t>
      </w:r>
    </w:p>
    <w:p w14:paraId="4D409D3F" w14:textId="77777777" w:rsidR="002709ED" w:rsidRDefault="00B2757B">
      <w:pPr>
        <w:spacing w:before="120" w:after="120" w:line="360" w:lineRule="auto"/>
        <w:ind w:left="850"/>
        <w:rPr>
          <w:szCs w:val="24"/>
          <w:lang w:eastAsia="en-US"/>
        </w:rPr>
      </w:pPr>
      <w:r>
        <w:rPr>
          <w:szCs w:val="24"/>
          <w:lang w:eastAsia="en-US"/>
        </w:rPr>
        <w:t>„Smernica Európskeho parlamentu a Rady 2008/105/ES zo 16. decembra 2008 o prevencii a regulácii znečisťovania povrchových vôd, o zmene a následnom zrušení smerníc Rady 82/176/EHS, 83/513/EHS, 84/156/EHS, 84/491/EHS, 86/280/EHS a o zmene smernice Európskeho parlamentu a Rady 2000/60/ES;“</w:t>
      </w:r>
    </w:p>
    <w:p w14:paraId="42DD5CB8" w14:textId="77777777" w:rsidR="002709ED" w:rsidRDefault="00B2757B">
      <w:pPr>
        <w:spacing w:before="120" w:after="120" w:line="360" w:lineRule="auto"/>
        <w:ind w:left="850" w:hanging="850"/>
        <w:rPr>
          <w:szCs w:val="24"/>
          <w:lang w:eastAsia="en-US"/>
        </w:rPr>
      </w:pPr>
      <w:r>
        <w:rPr>
          <w:b/>
          <w:i/>
          <w:szCs w:val="24"/>
          <w:lang w:eastAsia="en-US"/>
        </w:rPr>
        <w:t>1a.</w:t>
      </w:r>
      <w:r>
        <w:rPr>
          <w:szCs w:val="24"/>
          <w:lang w:eastAsia="en-US"/>
        </w:rPr>
        <w:tab/>
      </w:r>
      <w:r>
        <w:rPr>
          <w:b/>
          <w:i/>
          <w:szCs w:val="24"/>
          <w:lang w:eastAsia="en-US"/>
        </w:rPr>
        <w:t>Článok 1 sa mení takto:</w:t>
      </w:r>
    </w:p>
    <w:p w14:paraId="413AC8B9" w14:textId="77777777" w:rsidR="002709ED" w:rsidRDefault="00B2757B">
      <w:pPr>
        <w:spacing w:before="120" w:after="120" w:line="360" w:lineRule="auto"/>
        <w:ind w:left="850"/>
        <w:rPr>
          <w:szCs w:val="24"/>
          <w:lang w:eastAsia="en-US"/>
        </w:rPr>
      </w:pPr>
      <w:r>
        <w:rPr>
          <w:szCs w:val="24"/>
          <w:lang w:eastAsia="en-US"/>
        </w:rPr>
        <w:t>„</w:t>
      </w:r>
      <w:r>
        <w:rPr>
          <w:b/>
          <w:i/>
          <w:szCs w:val="24"/>
          <w:lang w:eastAsia="en-US"/>
        </w:rPr>
        <w:t xml:space="preserve">Článok 1 </w:t>
      </w:r>
      <w:r>
        <w:rPr>
          <w:b/>
          <w:i/>
          <w:szCs w:val="24"/>
          <w:lang w:eastAsia="en-US"/>
        </w:rPr>
        <w:br/>
        <w:t>Predmet úpravy</w:t>
      </w:r>
    </w:p>
    <w:p w14:paraId="07333ECC" w14:textId="77777777" w:rsidR="002709ED" w:rsidRDefault="00B2757B">
      <w:pPr>
        <w:spacing w:before="120" w:after="120" w:line="360" w:lineRule="auto"/>
        <w:ind w:left="850"/>
        <w:rPr>
          <w:b/>
          <w:szCs w:val="24"/>
          <w:lang w:eastAsia="en-US"/>
        </w:rPr>
      </w:pPr>
      <w:r>
        <w:rPr>
          <w:b/>
          <w:i/>
          <w:szCs w:val="24"/>
          <w:lang w:eastAsia="en-US"/>
        </w:rPr>
        <w:t>Táto smernica stanovuje environmentálne normy kvality (ENK) pre prioritné látky a prioritné rizikové látky s cieľom dosiahnuť dobrý chemický stav povrchových vôd a v súlade s ustanoveniami a cieľmi článku 4 smernice 2000/60/ES.</w:t>
      </w:r>
      <w:r>
        <w:rPr>
          <w:szCs w:val="24"/>
          <w:lang w:eastAsia="en-US"/>
        </w:rPr>
        <w:t>“</w:t>
      </w:r>
      <w:r>
        <w:rPr>
          <w:b/>
          <w:szCs w:val="24"/>
          <w:lang w:eastAsia="en-US"/>
        </w:rPr>
        <w:t xml:space="preserve"> [PN 108]</w:t>
      </w:r>
    </w:p>
    <w:p w14:paraId="53FCC690" w14:textId="77777777" w:rsidR="002709ED" w:rsidRDefault="00B2757B">
      <w:pPr>
        <w:widowControl/>
        <w:rPr>
          <w:szCs w:val="24"/>
          <w:lang w:eastAsia="en-US"/>
        </w:rPr>
      </w:pPr>
      <w:r>
        <w:rPr>
          <w:szCs w:val="24"/>
          <w:lang w:eastAsia="en-US"/>
        </w:rPr>
        <w:br w:type="page"/>
      </w:r>
    </w:p>
    <w:p w14:paraId="235A73D5" w14:textId="77777777" w:rsidR="002709ED" w:rsidRDefault="00B2757B">
      <w:pPr>
        <w:spacing w:before="120" w:after="120" w:line="360" w:lineRule="auto"/>
        <w:ind w:left="850" w:hanging="850"/>
        <w:rPr>
          <w:szCs w:val="24"/>
          <w:lang w:eastAsia="en-US"/>
        </w:rPr>
      </w:pPr>
      <w:r>
        <w:rPr>
          <w:szCs w:val="24"/>
          <w:lang w:eastAsia="en-US"/>
        </w:rPr>
        <w:lastRenderedPageBreak/>
        <w:t>2.</w:t>
      </w:r>
      <w:r>
        <w:rPr>
          <w:szCs w:val="24"/>
          <w:lang w:eastAsia="en-US"/>
        </w:rPr>
        <w:tab/>
        <w:t>Článok 3 sa mení takto:</w:t>
      </w:r>
    </w:p>
    <w:p w14:paraId="601A6CF9" w14:textId="77777777" w:rsidR="002709ED" w:rsidRDefault="00B2757B">
      <w:pPr>
        <w:spacing w:before="120" w:after="120" w:line="360" w:lineRule="auto"/>
        <w:ind w:left="1416" w:hanging="566"/>
        <w:rPr>
          <w:szCs w:val="24"/>
          <w:lang w:eastAsia="en-US"/>
        </w:rPr>
      </w:pPr>
      <w:r>
        <w:rPr>
          <w:szCs w:val="24"/>
          <w:lang w:eastAsia="en-US"/>
        </w:rPr>
        <w:t>a)</w:t>
      </w:r>
      <w:r>
        <w:rPr>
          <w:szCs w:val="24"/>
          <w:lang w:eastAsia="en-US"/>
        </w:rPr>
        <w:tab/>
      </w:r>
      <w:r w:rsidR="006D5113">
        <w:rPr>
          <w:szCs w:val="24"/>
          <w:lang w:eastAsia="en-US"/>
        </w:rPr>
        <w:t>v</w:t>
      </w:r>
      <w:r>
        <w:rPr>
          <w:szCs w:val="24"/>
          <w:lang w:eastAsia="en-US"/>
        </w:rPr>
        <w:t xml:space="preserve"> odseku 1a prvom pododseku sa dopĺňa tento bod iii):</w:t>
      </w:r>
    </w:p>
    <w:p w14:paraId="70D367F1" w14:textId="77777777" w:rsidR="002709ED" w:rsidRDefault="00B2757B">
      <w:pPr>
        <w:spacing w:before="120" w:after="120" w:line="360" w:lineRule="auto"/>
        <w:ind w:left="1982" w:hanging="566"/>
        <w:rPr>
          <w:szCs w:val="24"/>
          <w:lang w:eastAsia="en-US"/>
        </w:rPr>
      </w:pPr>
      <w:r>
        <w:rPr>
          <w:szCs w:val="24"/>
          <w:lang w:eastAsia="en-US"/>
        </w:rPr>
        <w:t>„iii)</w:t>
      </w:r>
      <w:r>
        <w:rPr>
          <w:szCs w:val="24"/>
          <w:lang w:eastAsia="en-US"/>
        </w:rPr>
        <w:tab/>
        <w:t>látky uvedené pod číslami 5, 9, 13, 15, 17, 21, 23, 24, 28, 30, 34, 37, 41, 44 v časti A prílohy I, pre ktoré sú stanovené revidované ENK, a novo identifikované látky uvedené pod číslami 46 až 70 v časti A prílohy I s účinnosťou od ... [Úrad pre publikácie: vložte dátum = prvý deň mesiaca nasledujúceho po 18 mesiacoch odo dňa nadobudnutia účinnosti tejto smernice], s cieľom zabrániť zhoršovaniu chemického stavu útvarov povrchových vôd a dosiahnuť dobrý chemický stav povrchových vôd v súvislosti s týmito látkami.;“</w:t>
      </w:r>
    </w:p>
    <w:p w14:paraId="7947806F" w14:textId="77777777" w:rsidR="002709ED" w:rsidRDefault="00B2757B">
      <w:pPr>
        <w:spacing w:before="120" w:after="120" w:line="360" w:lineRule="auto"/>
        <w:ind w:left="1416" w:hanging="566"/>
        <w:rPr>
          <w:szCs w:val="24"/>
          <w:lang w:eastAsia="en-US"/>
        </w:rPr>
      </w:pPr>
      <w:r>
        <w:rPr>
          <w:szCs w:val="24"/>
          <w:lang w:eastAsia="en-US"/>
        </w:rPr>
        <w:t>b)</w:t>
      </w:r>
      <w:r>
        <w:rPr>
          <w:szCs w:val="24"/>
          <w:lang w:eastAsia="en-US"/>
        </w:rPr>
        <w:tab/>
      </w:r>
      <w:r w:rsidR="006D5113">
        <w:rPr>
          <w:szCs w:val="24"/>
          <w:lang w:eastAsia="en-US"/>
        </w:rPr>
        <w:t>o</w:t>
      </w:r>
      <w:r>
        <w:rPr>
          <w:szCs w:val="24"/>
          <w:lang w:eastAsia="en-US"/>
        </w:rPr>
        <w:t>dsek 2 sa nahrádza takto:</w:t>
      </w:r>
    </w:p>
    <w:p w14:paraId="47171424" w14:textId="77777777" w:rsidR="002709ED" w:rsidRDefault="00B2757B">
      <w:pPr>
        <w:spacing w:before="120" w:after="120" w:line="360" w:lineRule="auto"/>
        <w:ind w:left="1982" w:hanging="566"/>
        <w:rPr>
          <w:szCs w:val="24"/>
          <w:lang w:eastAsia="en-US"/>
        </w:rPr>
      </w:pPr>
      <w:r>
        <w:rPr>
          <w:szCs w:val="24"/>
          <w:lang w:eastAsia="en-US"/>
        </w:rPr>
        <w:t>„2.</w:t>
      </w:r>
      <w:r>
        <w:rPr>
          <w:szCs w:val="24"/>
          <w:lang w:eastAsia="en-US"/>
        </w:rPr>
        <w:tab/>
        <w:t>Pokiaľ ide o látky, v prípade ktorých sa ENK pre biotu alebo ENK pre sediment stanovujú v časti A prílohy I, členské štáty uplatňujú takéto ENK pre biotu alebo ENK pre sediment.</w:t>
      </w:r>
    </w:p>
    <w:p w14:paraId="5B6C7F9E" w14:textId="77777777" w:rsidR="002709ED" w:rsidRDefault="00B2757B">
      <w:pPr>
        <w:spacing w:before="120" w:after="120" w:line="360" w:lineRule="auto"/>
        <w:ind w:left="1982"/>
        <w:rPr>
          <w:szCs w:val="24"/>
          <w:lang w:eastAsia="en-US"/>
        </w:rPr>
      </w:pPr>
      <w:r>
        <w:rPr>
          <w:szCs w:val="24"/>
          <w:lang w:eastAsia="en-US"/>
        </w:rPr>
        <w:t>V prípade iných látok, než sú látky uvedené v prvom pododseku, uplatňujú členské štáty ENK pre vody stanovené v časti A prílohy I.</w:t>
      </w:r>
      <w:r>
        <w:rPr>
          <w:strike/>
          <w:szCs w:val="24"/>
          <w:lang w:eastAsia="en-US"/>
        </w:rPr>
        <w:t>;</w:t>
      </w:r>
      <w:r>
        <w:rPr>
          <w:szCs w:val="24"/>
          <w:lang w:eastAsia="en-US"/>
        </w:rPr>
        <w:t>“</w:t>
      </w:r>
    </w:p>
    <w:p w14:paraId="6C68C8BB" w14:textId="77777777" w:rsidR="002709ED" w:rsidRDefault="00B2757B">
      <w:pPr>
        <w:widowControl/>
        <w:rPr>
          <w:szCs w:val="24"/>
          <w:lang w:eastAsia="en-US"/>
        </w:rPr>
      </w:pPr>
      <w:r>
        <w:rPr>
          <w:szCs w:val="24"/>
          <w:lang w:eastAsia="en-US"/>
        </w:rPr>
        <w:br w:type="page"/>
      </w:r>
    </w:p>
    <w:p w14:paraId="0AE9A333" w14:textId="77777777" w:rsidR="002709ED" w:rsidRDefault="00B2757B">
      <w:pPr>
        <w:spacing w:before="120" w:after="120" w:line="360" w:lineRule="auto"/>
        <w:ind w:left="1416" w:hanging="566"/>
        <w:rPr>
          <w:szCs w:val="24"/>
          <w:lang w:eastAsia="en-US"/>
        </w:rPr>
      </w:pPr>
      <w:r>
        <w:rPr>
          <w:szCs w:val="24"/>
          <w:lang w:eastAsia="en-US"/>
        </w:rPr>
        <w:lastRenderedPageBreak/>
        <w:t>c)</w:t>
      </w:r>
      <w:r>
        <w:rPr>
          <w:szCs w:val="24"/>
          <w:lang w:eastAsia="en-US"/>
        </w:rPr>
        <w:tab/>
      </w:r>
      <w:r w:rsidR="006D5113">
        <w:rPr>
          <w:szCs w:val="24"/>
          <w:lang w:eastAsia="en-US"/>
        </w:rPr>
        <w:t>v</w:t>
      </w:r>
      <w:r>
        <w:rPr>
          <w:szCs w:val="24"/>
          <w:lang w:eastAsia="en-US"/>
        </w:rPr>
        <w:t xml:space="preserve"> odseku 6 prvom pododseku sa prvá veta nahrádza takto:</w:t>
      </w:r>
    </w:p>
    <w:p w14:paraId="40269958" w14:textId="77777777" w:rsidR="002709ED" w:rsidRDefault="00B2757B">
      <w:pPr>
        <w:spacing w:before="120" w:after="120" w:line="360" w:lineRule="auto"/>
        <w:ind w:left="1416"/>
        <w:rPr>
          <w:szCs w:val="24"/>
          <w:lang w:eastAsia="en-US"/>
        </w:rPr>
      </w:pPr>
      <w:r>
        <w:rPr>
          <w:szCs w:val="24"/>
          <w:lang w:eastAsia="en-US"/>
        </w:rPr>
        <w:t>„Členské štáty na základe monitorovania stavu povrchových vôd vykonávaného v súlade s článkom 8 smernice 2000/60/ES zabezpečia analýzu dlhodobých trendov koncentrácií tých prioritných látok, ktoré sa v časti A prílohy I identifikujú ako látky, ktoré majú tendenciu akumulovať sa v sedimente a/alebo biote.;“</w:t>
      </w:r>
    </w:p>
    <w:p w14:paraId="23D59931" w14:textId="77777777" w:rsidR="002709ED" w:rsidRDefault="00B2757B">
      <w:pPr>
        <w:spacing w:before="120" w:after="120" w:line="360" w:lineRule="auto"/>
        <w:ind w:left="1416" w:hanging="566"/>
        <w:rPr>
          <w:szCs w:val="24"/>
          <w:lang w:eastAsia="en-US"/>
        </w:rPr>
      </w:pPr>
      <w:r>
        <w:rPr>
          <w:szCs w:val="24"/>
          <w:lang w:eastAsia="en-US"/>
        </w:rPr>
        <w:t>d)</w:t>
      </w:r>
      <w:r>
        <w:rPr>
          <w:szCs w:val="24"/>
          <w:lang w:eastAsia="en-US"/>
        </w:rPr>
        <w:tab/>
      </w:r>
      <w:r w:rsidR="006D5113">
        <w:rPr>
          <w:szCs w:val="24"/>
          <w:lang w:eastAsia="en-US"/>
        </w:rPr>
        <w:t>o</w:t>
      </w:r>
      <w:r>
        <w:rPr>
          <w:szCs w:val="24"/>
          <w:lang w:eastAsia="en-US"/>
        </w:rPr>
        <w:t>dsek 7 sa vypúšťa;</w:t>
      </w:r>
    </w:p>
    <w:p w14:paraId="5462A692" w14:textId="77777777" w:rsidR="002709ED" w:rsidRDefault="00B2757B">
      <w:pPr>
        <w:spacing w:before="120" w:after="120" w:line="360" w:lineRule="auto"/>
        <w:ind w:left="1416" w:hanging="566"/>
        <w:rPr>
          <w:szCs w:val="24"/>
          <w:lang w:eastAsia="en-US"/>
        </w:rPr>
      </w:pPr>
      <w:r>
        <w:rPr>
          <w:szCs w:val="24"/>
          <w:lang w:eastAsia="en-US"/>
        </w:rPr>
        <w:t>e)</w:t>
      </w:r>
      <w:r>
        <w:rPr>
          <w:szCs w:val="24"/>
          <w:lang w:eastAsia="en-US"/>
        </w:rPr>
        <w:tab/>
      </w:r>
      <w:r w:rsidR="006D5113">
        <w:rPr>
          <w:szCs w:val="24"/>
          <w:lang w:eastAsia="en-US"/>
        </w:rPr>
        <w:t>o</w:t>
      </w:r>
      <w:r>
        <w:rPr>
          <w:szCs w:val="24"/>
          <w:lang w:eastAsia="en-US"/>
        </w:rPr>
        <w:t>dsek 8 sa nahrádza takto:</w:t>
      </w:r>
    </w:p>
    <w:p w14:paraId="679D0A99" w14:textId="77777777" w:rsidR="002709ED" w:rsidRDefault="00B2757B">
      <w:pPr>
        <w:spacing w:before="120" w:after="120" w:line="360" w:lineRule="auto"/>
        <w:ind w:left="1982" w:hanging="566"/>
        <w:rPr>
          <w:szCs w:val="24"/>
          <w:lang w:eastAsia="en-US"/>
        </w:rPr>
      </w:pPr>
      <w:r>
        <w:rPr>
          <w:szCs w:val="24"/>
          <w:lang w:eastAsia="en-US"/>
        </w:rPr>
        <w:t>„8.</w:t>
      </w:r>
      <w:r>
        <w:rPr>
          <w:szCs w:val="24"/>
          <w:lang w:eastAsia="en-US"/>
        </w:rPr>
        <w:tab/>
        <w:t>Komisia je splnomocnená prijímať delegované akty v súlade s článkom 9a s cieľom zmeniť časť B bod 3 prílohy I na účely jeho prispôsobenia vedeckému alebo technickému pokroku.;“</w:t>
      </w:r>
    </w:p>
    <w:p w14:paraId="0EAC8E70" w14:textId="77777777" w:rsidR="002709ED" w:rsidRDefault="00B2757B">
      <w:pPr>
        <w:widowControl/>
        <w:rPr>
          <w:szCs w:val="24"/>
          <w:lang w:eastAsia="en-US"/>
        </w:rPr>
      </w:pPr>
      <w:r>
        <w:rPr>
          <w:szCs w:val="24"/>
          <w:lang w:eastAsia="en-US"/>
        </w:rPr>
        <w:br w:type="page"/>
      </w:r>
    </w:p>
    <w:p w14:paraId="0CE12606" w14:textId="77777777" w:rsidR="002709ED" w:rsidRDefault="00B2757B">
      <w:pPr>
        <w:spacing w:before="120" w:after="120" w:line="360" w:lineRule="auto"/>
        <w:ind w:left="850" w:hanging="850"/>
        <w:rPr>
          <w:szCs w:val="24"/>
          <w:lang w:eastAsia="en-US"/>
        </w:rPr>
      </w:pPr>
      <w:r>
        <w:rPr>
          <w:szCs w:val="24"/>
          <w:lang w:eastAsia="en-US"/>
        </w:rPr>
        <w:lastRenderedPageBreak/>
        <w:t>3.</w:t>
      </w:r>
      <w:r>
        <w:rPr>
          <w:szCs w:val="24"/>
          <w:lang w:eastAsia="en-US"/>
        </w:rPr>
        <w:tab/>
        <w:t>Článok 5 sa mení takto:</w:t>
      </w:r>
    </w:p>
    <w:p w14:paraId="347C64A9" w14:textId="77777777" w:rsidR="002709ED" w:rsidRDefault="00B2757B">
      <w:pPr>
        <w:spacing w:before="120" w:after="120" w:line="360" w:lineRule="auto"/>
        <w:ind w:left="1416" w:hanging="566"/>
        <w:rPr>
          <w:szCs w:val="24"/>
          <w:lang w:eastAsia="en-US"/>
        </w:rPr>
      </w:pPr>
      <w:r>
        <w:rPr>
          <w:szCs w:val="24"/>
          <w:lang w:eastAsia="en-US"/>
        </w:rPr>
        <w:t>a)</w:t>
      </w:r>
      <w:r>
        <w:rPr>
          <w:szCs w:val="24"/>
          <w:lang w:eastAsia="en-US"/>
        </w:rPr>
        <w:tab/>
      </w:r>
      <w:r w:rsidR="006D5113">
        <w:rPr>
          <w:szCs w:val="24"/>
          <w:lang w:eastAsia="en-US"/>
        </w:rPr>
        <w:t>o</w:t>
      </w:r>
      <w:r>
        <w:rPr>
          <w:szCs w:val="24"/>
          <w:lang w:eastAsia="en-US"/>
        </w:rPr>
        <w:t>dsek 1 sa nahrádza takto:</w:t>
      </w:r>
    </w:p>
    <w:p w14:paraId="232E6EE1" w14:textId="77777777" w:rsidR="002709ED" w:rsidRDefault="00B2757B">
      <w:pPr>
        <w:spacing w:before="120" w:after="120" w:line="360" w:lineRule="auto"/>
        <w:ind w:left="1982" w:hanging="566"/>
        <w:rPr>
          <w:b/>
          <w:szCs w:val="24"/>
          <w:lang w:eastAsia="en-US"/>
        </w:rPr>
      </w:pPr>
      <w:r>
        <w:rPr>
          <w:szCs w:val="24"/>
          <w:lang w:eastAsia="en-US"/>
        </w:rPr>
        <w:t>„1.</w:t>
      </w:r>
      <w:r>
        <w:rPr>
          <w:szCs w:val="24"/>
          <w:lang w:eastAsia="en-US"/>
        </w:rPr>
        <w:tab/>
        <w:t>Členské štáty vyhotovia na základe informácií zhromaždených v súlade s článkami 5 a 8 smernice 2000/60/ES a</w:t>
      </w:r>
      <w:r>
        <w:rPr>
          <w:b/>
          <w:i/>
          <w:szCs w:val="24"/>
          <w:lang w:eastAsia="en-US"/>
        </w:rPr>
        <w:t xml:space="preserve"> nariadením Európskeho parlamentu a Rady (EÚ) .../...</w:t>
      </w:r>
      <w:r w:rsidR="006D5113" w:rsidRPr="00C100E9">
        <w:rPr>
          <w:b/>
          <w:i/>
          <w:szCs w:val="24"/>
          <w:vertAlign w:val="superscript"/>
          <w:lang w:eastAsia="en-US"/>
        </w:rPr>
        <w:t>1a</w:t>
      </w:r>
      <w:r>
        <w:rPr>
          <w:szCs w:val="24"/>
          <w:lang w:eastAsia="en-US"/>
        </w:rPr>
        <w:t xml:space="preserve"> ďalších dostupných údajov súpis a prípadne aj mapy emisií, vypúšťania a únikov všetkých prioritných látok uvedených v časti A prílohy I k tejto smernici a všetkých znečisťujúcich látok uvedených v časti A prílohy II k tejto smernici pre každé správne územie povodia alebo časť správneho územia povodia nachádzajúcu sa na ich území, a v prípade potreby vrátane ich koncentrácií v sedimente a biote.</w:t>
      </w:r>
      <w:r>
        <w:rPr>
          <w:b/>
          <w:szCs w:val="24"/>
          <w:lang w:eastAsia="en-US"/>
        </w:rPr>
        <w:t xml:space="preserve"> [PN 109]</w:t>
      </w:r>
    </w:p>
    <w:p w14:paraId="47606C27" w14:textId="77777777" w:rsidR="006D5113" w:rsidRDefault="006D5113" w:rsidP="006D5113">
      <w:pPr>
        <w:ind w:left="1982" w:hanging="566"/>
        <w:rPr>
          <w:b/>
          <w:i/>
        </w:rPr>
      </w:pPr>
      <w:r w:rsidRPr="002366B4">
        <w:rPr>
          <w:b/>
          <w:i/>
        </w:rPr>
        <w:t>_________________</w:t>
      </w:r>
    </w:p>
    <w:p w14:paraId="5921F9C5" w14:textId="77777777" w:rsidR="006D5113" w:rsidRPr="006D5113" w:rsidRDefault="006D5113">
      <w:pPr>
        <w:spacing w:before="120" w:after="120" w:line="360" w:lineRule="auto"/>
        <w:ind w:left="1982" w:hanging="566"/>
        <w:rPr>
          <w:b/>
          <w:szCs w:val="24"/>
          <w:lang w:eastAsia="en-US"/>
        </w:rPr>
      </w:pPr>
      <w:r w:rsidRPr="00C100E9">
        <w:rPr>
          <w:b/>
          <w:szCs w:val="24"/>
          <w:vertAlign w:val="superscript"/>
          <w:lang w:eastAsia="en-US"/>
        </w:rPr>
        <w:t>1a</w:t>
      </w:r>
      <w:r w:rsidRPr="00C100E9">
        <w:rPr>
          <w:b/>
          <w:szCs w:val="24"/>
          <w:vertAlign w:val="superscript"/>
          <w:lang w:eastAsia="en-US"/>
        </w:rPr>
        <w:tab/>
      </w:r>
      <w:r w:rsidRPr="00C100E9">
        <w:rPr>
          <w:b/>
          <w:i/>
        </w:rPr>
        <w:t>Úrad pre publikácie: vložte, prosím, do textu číslo nariadenia nachádzajúceho sa v dokumente COM(2022) 157.</w:t>
      </w:r>
    </w:p>
    <w:p w14:paraId="0777E019" w14:textId="77777777" w:rsidR="002709ED" w:rsidRDefault="00B2757B">
      <w:pPr>
        <w:spacing w:before="120" w:after="120" w:line="360" w:lineRule="auto"/>
        <w:ind w:left="1982"/>
        <w:rPr>
          <w:b/>
          <w:szCs w:val="24"/>
          <w:lang w:eastAsia="en-US"/>
        </w:rPr>
      </w:pPr>
      <w:r>
        <w:rPr>
          <w:b/>
          <w:i/>
          <w:szCs w:val="24"/>
          <w:lang w:eastAsia="en-US"/>
        </w:rPr>
        <w:t>Súpisy emisií sa sprístupnia v elektronickej databáze, ktorá sa pravidelne aktualizuje a je ľahko prístupná verejnosti.</w:t>
      </w:r>
      <w:r>
        <w:rPr>
          <w:b/>
          <w:szCs w:val="24"/>
          <w:lang w:eastAsia="en-US"/>
        </w:rPr>
        <w:t xml:space="preserve"> [PN 110]</w:t>
      </w:r>
    </w:p>
    <w:p w14:paraId="1CDCD748" w14:textId="77777777" w:rsidR="002709ED" w:rsidRDefault="00B2757B">
      <w:pPr>
        <w:widowControl/>
        <w:rPr>
          <w:strike/>
          <w:szCs w:val="24"/>
          <w:lang w:eastAsia="en-US"/>
        </w:rPr>
      </w:pPr>
      <w:r>
        <w:rPr>
          <w:strike/>
          <w:szCs w:val="24"/>
          <w:lang w:eastAsia="en-US"/>
        </w:rPr>
        <w:br w:type="page"/>
      </w:r>
    </w:p>
    <w:p w14:paraId="5F3BA179" w14:textId="77777777" w:rsidR="002709ED" w:rsidRDefault="00B2757B">
      <w:pPr>
        <w:spacing w:before="120" w:after="120" w:line="360" w:lineRule="auto"/>
        <w:ind w:left="1982"/>
        <w:rPr>
          <w:b/>
          <w:strike/>
          <w:szCs w:val="24"/>
          <w:lang w:eastAsia="en-US"/>
        </w:rPr>
      </w:pPr>
      <w:r>
        <w:rPr>
          <w:strike/>
          <w:szCs w:val="24"/>
          <w:lang w:eastAsia="en-US"/>
        </w:rPr>
        <w:lastRenderedPageBreak/>
        <w:t>Prvý pododsek sa neuplatňuje na emisie, vypúšťanie a úniky nahlásené Komisii elektronicky v súlade s nariadením Európskeho parlamentu a Rady (EÚ).../....;</w:t>
      </w:r>
      <w:r>
        <w:rPr>
          <w:szCs w:val="24"/>
          <w:lang w:eastAsia="en-US"/>
        </w:rPr>
        <w:t>“</w:t>
      </w:r>
      <w:r>
        <w:rPr>
          <w:b/>
          <w:szCs w:val="24"/>
          <w:lang w:eastAsia="en-US"/>
        </w:rPr>
        <w:t xml:space="preserve"> [PN 111]</w:t>
      </w:r>
    </w:p>
    <w:p w14:paraId="0DAE8144" w14:textId="77777777" w:rsidR="002709ED" w:rsidRDefault="00B2757B">
      <w:pPr>
        <w:spacing w:before="120" w:after="120" w:line="360" w:lineRule="auto"/>
        <w:ind w:left="1416" w:hanging="566"/>
        <w:rPr>
          <w:szCs w:val="24"/>
          <w:lang w:eastAsia="en-US"/>
        </w:rPr>
      </w:pPr>
      <w:r>
        <w:rPr>
          <w:szCs w:val="24"/>
          <w:lang w:eastAsia="en-US"/>
        </w:rPr>
        <w:t>b)</w:t>
      </w:r>
      <w:r>
        <w:rPr>
          <w:szCs w:val="24"/>
          <w:lang w:eastAsia="en-US"/>
        </w:rPr>
        <w:tab/>
      </w:r>
      <w:r w:rsidR="00567411">
        <w:rPr>
          <w:szCs w:val="24"/>
          <w:lang w:eastAsia="en-US"/>
        </w:rPr>
        <w:t>o</w:t>
      </w:r>
      <w:r>
        <w:rPr>
          <w:szCs w:val="24"/>
          <w:lang w:eastAsia="en-US"/>
        </w:rPr>
        <w:t>dseky 2 a 3 sa vypúšťajú;</w:t>
      </w:r>
    </w:p>
    <w:p w14:paraId="7AA1CD2A" w14:textId="77777777" w:rsidR="002709ED" w:rsidRDefault="00B2757B">
      <w:pPr>
        <w:spacing w:before="120" w:after="120" w:line="360" w:lineRule="auto"/>
        <w:ind w:left="1416" w:hanging="566"/>
        <w:rPr>
          <w:szCs w:val="24"/>
          <w:lang w:eastAsia="en-US"/>
        </w:rPr>
      </w:pPr>
      <w:r>
        <w:rPr>
          <w:szCs w:val="24"/>
          <w:lang w:eastAsia="en-US"/>
        </w:rPr>
        <w:t>c)</w:t>
      </w:r>
      <w:r>
        <w:rPr>
          <w:szCs w:val="24"/>
          <w:lang w:eastAsia="en-US"/>
        </w:rPr>
        <w:tab/>
      </w:r>
      <w:r w:rsidR="00567411">
        <w:rPr>
          <w:szCs w:val="24"/>
          <w:lang w:eastAsia="en-US"/>
        </w:rPr>
        <w:t>o</w:t>
      </w:r>
      <w:r>
        <w:rPr>
          <w:szCs w:val="24"/>
          <w:lang w:eastAsia="en-US"/>
        </w:rPr>
        <w:t>dsek 4 sa nahrádza takto:</w:t>
      </w:r>
    </w:p>
    <w:p w14:paraId="2C48BEB1" w14:textId="77777777" w:rsidR="002709ED" w:rsidRDefault="00B2757B">
      <w:pPr>
        <w:spacing w:before="120" w:after="120" w:line="360" w:lineRule="auto"/>
        <w:ind w:left="1982" w:hanging="566"/>
        <w:rPr>
          <w:b/>
          <w:szCs w:val="24"/>
          <w:lang w:eastAsia="en-US"/>
        </w:rPr>
      </w:pPr>
      <w:r>
        <w:rPr>
          <w:szCs w:val="24"/>
          <w:lang w:eastAsia="en-US"/>
        </w:rPr>
        <w:t>„4.</w:t>
      </w:r>
      <w:r>
        <w:rPr>
          <w:szCs w:val="24"/>
          <w:lang w:eastAsia="en-US"/>
        </w:rPr>
        <w:tab/>
        <w:t>Členské štáty aktualizujú svoje súpisy ako súčasť hodnotenia analýz uvedených v článku 5 ods. 2 smernice 2000/60/ES a zabezpečia, aby sa emisie</w:t>
      </w:r>
      <w:r>
        <w:rPr>
          <w:b/>
          <w:i/>
          <w:szCs w:val="24"/>
          <w:lang w:eastAsia="en-US"/>
        </w:rPr>
        <w:t xml:space="preserve"> vrátane tých</w:t>
      </w:r>
      <w:r>
        <w:rPr>
          <w:szCs w:val="24"/>
          <w:lang w:eastAsia="en-US"/>
        </w:rPr>
        <w:t>, ktoré nie sú nahlásené na portáli priemyselných emisií zriadenom podľa nariadenia (EÚ) .../...++, uverejnili v ich plánoch manažmentu povodia aktualizovaných v súlade s článkom 13 ods. 7 uvedenej smernice.</w:t>
      </w:r>
      <w:r>
        <w:rPr>
          <w:b/>
          <w:szCs w:val="24"/>
          <w:lang w:eastAsia="en-US"/>
        </w:rPr>
        <w:t xml:space="preserve"> [PN 112]</w:t>
      </w:r>
    </w:p>
    <w:p w14:paraId="7DC85EA5" w14:textId="77777777" w:rsidR="002709ED" w:rsidRDefault="00B2757B">
      <w:pPr>
        <w:spacing w:before="120" w:after="120" w:line="360" w:lineRule="auto"/>
        <w:ind w:left="1982"/>
        <w:rPr>
          <w:szCs w:val="24"/>
          <w:lang w:eastAsia="en-US"/>
        </w:rPr>
      </w:pPr>
      <w:r>
        <w:rPr>
          <w:szCs w:val="24"/>
          <w:lang w:eastAsia="en-US"/>
        </w:rPr>
        <w:t>Referenčné obdobie na zavedenie hodnôt do aktualizovaných súpisov je jeden rok pred rokom, v ktorom sa analýzy uvedené v prvom pododseku majú dokončiť.</w:t>
      </w:r>
    </w:p>
    <w:p w14:paraId="0AE3D1B0" w14:textId="77777777" w:rsidR="002709ED" w:rsidRDefault="00B2757B">
      <w:pPr>
        <w:widowControl/>
        <w:rPr>
          <w:strike/>
          <w:szCs w:val="24"/>
          <w:lang w:eastAsia="en-US"/>
        </w:rPr>
      </w:pPr>
      <w:r>
        <w:rPr>
          <w:strike/>
          <w:szCs w:val="24"/>
          <w:lang w:eastAsia="en-US"/>
        </w:rPr>
        <w:br w:type="page"/>
      </w:r>
    </w:p>
    <w:p w14:paraId="60EFF639" w14:textId="77777777" w:rsidR="002709ED" w:rsidRDefault="00B2757B">
      <w:pPr>
        <w:spacing w:before="120" w:after="120" w:line="360" w:lineRule="auto"/>
        <w:ind w:left="1982"/>
        <w:rPr>
          <w:b/>
          <w:szCs w:val="24"/>
          <w:lang w:eastAsia="en-US"/>
        </w:rPr>
      </w:pPr>
      <w:r>
        <w:rPr>
          <w:strike/>
          <w:szCs w:val="24"/>
          <w:lang w:eastAsia="en-US"/>
        </w:rPr>
        <w:lastRenderedPageBreak/>
        <w:t>Pokiaľ ide o prioritné látky alebo znečisťujúce látky, na ktoré sa vzťahuje nariadenie (ES) č. 1107/2009, vstupné údaje sa môžu vypočítať ako priemer troch rokov pred dokončením analýzy uvedenej v prvom pododseku.</w:t>
      </w:r>
      <w:r>
        <w:rPr>
          <w:b/>
          <w:szCs w:val="24"/>
          <w:lang w:eastAsia="en-US"/>
        </w:rPr>
        <w:t xml:space="preserve"> [PN 113]</w:t>
      </w:r>
    </w:p>
    <w:p w14:paraId="70C5C5C4" w14:textId="77777777" w:rsidR="002709ED" w:rsidRDefault="00B2757B">
      <w:pPr>
        <w:spacing w:before="120" w:after="120" w:line="360" w:lineRule="auto"/>
        <w:ind w:left="1982"/>
        <w:rPr>
          <w:szCs w:val="24"/>
          <w:lang w:eastAsia="en-US"/>
        </w:rPr>
      </w:pPr>
      <w:r>
        <w:rPr>
          <w:szCs w:val="24"/>
          <w:lang w:eastAsia="en-US"/>
        </w:rPr>
        <w:t>V prípade bodových zdrojov emisií, ktoré nie sú nahlásené v súlade s nariadením (EÚ) .../...+++, pretože nepatria do rozsahu pôsobnosti uvedeného nariadenia, alebo preto, že sú pod prahovými hodnotami ročného nahlasovania stanovenými v uvedenom nariadení, sa nahlasovacia povinnosť stanovená v prvom pododseku tohto článku splní elektronickým nahlásením na portáli priemyselných emisií zriadenom podľa uvedeného nariadenia.</w:t>
      </w:r>
    </w:p>
    <w:p w14:paraId="6E40E0F8" w14:textId="77777777" w:rsidR="002709ED" w:rsidRDefault="00B2757B">
      <w:pPr>
        <w:spacing w:before="120" w:after="120" w:line="360" w:lineRule="auto"/>
        <w:ind w:left="1982"/>
        <w:rPr>
          <w:szCs w:val="24"/>
          <w:lang w:eastAsia="en-US"/>
        </w:rPr>
      </w:pPr>
      <w:r>
        <w:rPr>
          <w:szCs w:val="24"/>
          <w:lang w:eastAsia="en-US"/>
        </w:rPr>
        <w:t>Komisia s pomocou Európskej environmentálnej agentúry prijme vykonávací akt, v ktorom sa stanoví formát, úroveň podrobnosti a frekvencia nahlasovania uvedeného vo štvrtom pododseku. Takýto vykonávací akt sa prijme v súlade s postupom preskúmania uvedeným v článku 9 ods. 2.;“</w:t>
      </w:r>
    </w:p>
    <w:p w14:paraId="4A03722B" w14:textId="77777777" w:rsidR="002709ED" w:rsidRDefault="00B2757B">
      <w:pPr>
        <w:spacing w:before="120" w:after="120" w:line="360" w:lineRule="auto"/>
        <w:ind w:left="1416" w:hanging="566"/>
        <w:rPr>
          <w:szCs w:val="24"/>
          <w:lang w:eastAsia="en-US"/>
        </w:rPr>
      </w:pPr>
      <w:r>
        <w:rPr>
          <w:szCs w:val="24"/>
          <w:lang w:eastAsia="en-US"/>
        </w:rPr>
        <w:t>d)</w:t>
      </w:r>
      <w:r>
        <w:rPr>
          <w:szCs w:val="24"/>
          <w:lang w:eastAsia="en-US"/>
        </w:rPr>
        <w:tab/>
      </w:r>
      <w:r w:rsidR="001D4230">
        <w:rPr>
          <w:szCs w:val="24"/>
          <w:lang w:eastAsia="en-US"/>
        </w:rPr>
        <w:t>o</w:t>
      </w:r>
      <w:r>
        <w:rPr>
          <w:szCs w:val="24"/>
          <w:lang w:eastAsia="en-US"/>
        </w:rPr>
        <w:t>dsek 5 sa vypúšťa;</w:t>
      </w:r>
    </w:p>
    <w:p w14:paraId="013FC101" w14:textId="77777777" w:rsidR="002709ED" w:rsidRDefault="00B2757B">
      <w:pPr>
        <w:widowControl/>
        <w:rPr>
          <w:szCs w:val="24"/>
          <w:lang w:eastAsia="en-US"/>
        </w:rPr>
      </w:pPr>
      <w:r>
        <w:rPr>
          <w:szCs w:val="24"/>
          <w:lang w:eastAsia="en-US"/>
        </w:rPr>
        <w:br w:type="page"/>
      </w:r>
    </w:p>
    <w:p w14:paraId="05DBEDA0" w14:textId="77777777" w:rsidR="002709ED" w:rsidRDefault="00B2757B">
      <w:pPr>
        <w:spacing w:before="120" w:after="120" w:line="360" w:lineRule="auto"/>
        <w:ind w:left="850" w:hanging="850"/>
        <w:rPr>
          <w:szCs w:val="24"/>
          <w:lang w:eastAsia="en-US"/>
        </w:rPr>
      </w:pPr>
      <w:r>
        <w:rPr>
          <w:szCs w:val="24"/>
          <w:lang w:eastAsia="en-US"/>
        </w:rPr>
        <w:lastRenderedPageBreak/>
        <w:t>4.</w:t>
      </w:r>
      <w:r>
        <w:rPr>
          <w:szCs w:val="24"/>
          <w:lang w:eastAsia="en-US"/>
        </w:rPr>
        <w:tab/>
        <w:t>V článku 7a ods. 1 sa prvý pododsek nahrádza takto:</w:t>
      </w:r>
    </w:p>
    <w:p w14:paraId="6137D7AF" w14:textId="77777777" w:rsidR="002709ED" w:rsidRDefault="00B2757B">
      <w:pPr>
        <w:spacing w:before="120" w:after="120" w:line="360" w:lineRule="auto"/>
        <w:ind w:left="1416" w:hanging="566"/>
        <w:rPr>
          <w:b/>
          <w:szCs w:val="24"/>
          <w:lang w:eastAsia="en-US"/>
        </w:rPr>
      </w:pPr>
      <w:r>
        <w:rPr>
          <w:szCs w:val="24"/>
          <w:lang w:eastAsia="en-US"/>
        </w:rPr>
        <w:t>„1.</w:t>
      </w:r>
      <w:r>
        <w:rPr>
          <w:szCs w:val="24"/>
          <w:lang w:eastAsia="en-US"/>
        </w:rPr>
        <w:tab/>
        <w:t xml:space="preserve">V prípade prioritných látok, ktoré patria do rozsahu pôsobnosti nariadenia (ES) č. 1907/2006, nariadenia (ES) č. 1107/2009, nariadenia (EÚ) č. 528/2012, nariadenia Európskeho parlamentu a Rady (EÚ) 2019/6* alebo do rozsahu pôsobnosti smernice Európskeho parlamentu a Rady 2001/83/ES**, smernice Európskeho parlamentu a Rady 2009/128/ES*** alebo smernice 2010/75/EÚ Komisia </w:t>
      </w:r>
      <w:r>
        <w:rPr>
          <w:strike/>
          <w:szCs w:val="24"/>
          <w:lang w:eastAsia="en-US"/>
        </w:rPr>
        <w:t>v rámci správy uvedenej v článku 18 ods. 1 smernice 2000/60/ES</w:t>
      </w:r>
      <w:r>
        <w:rPr>
          <w:b/>
          <w:i/>
          <w:szCs w:val="24"/>
          <w:lang w:eastAsia="en-US"/>
        </w:rPr>
        <w:t>každé dva roky</w:t>
      </w:r>
      <w:r>
        <w:rPr>
          <w:szCs w:val="24"/>
          <w:lang w:eastAsia="en-US"/>
        </w:rPr>
        <w:t xml:space="preserve"> posúdi, či opatrenia zavedené na úrovni Únie a členských štátov sú dostatočné na dosiahnutie ENK pre prioritné látky a cieľa zastavenia alebo postupného ukončenia vypúšťania, emisií a únikov prioritných nebezpečných látok v súlade s článkom 4 ods. 1 písm. a) smernice 2000/60/ES.</w:t>
      </w:r>
      <w:r>
        <w:rPr>
          <w:b/>
          <w:szCs w:val="24"/>
          <w:lang w:eastAsia="en-US"/>
        </w:rPr>
        <w:t xml:space="preserve"> [PN 114]</w:t>
      </w:r>
    </w:p>
    <w:p w14:paraId="365A41A1" w14:textId="77777777" w:rsidR="002709ED" w:rsidRDefault="00B2757B">
      <w:pPr>
        <w:spacing w:before="120" w:after="120" w:line="360" w:lineRule="auto"/>
        <w:ind w:left="1416"/>
        <w:rPr>
          <w:b/>
          <w:szCs w:val="24"/>
          <w:lang w:eastAsia="en-US"/>
        </w:rPr>
      </w:pPr>
      <w:r>
        <w:rPr>
          <w:b/>
          <w:i/>
          <w:szCs w:val="24"/>
          <w:lang w:eastAsia="en-US"/>
        </w:rPr>
        <w:t>V rámci hierarchie opatrení, ktoré sa majú prijať, majú prioritu obmedzenia a iné opatrenia kontroly pri zdroji. V tejto súvislosti Komisia podľa potreby predloží návrhy na zmenu právnych aktov Únie s cieľom zabezpečiť, aby sa vypúšťanie, emisie a úniky prioritných látok zadržiavali pri zdroji.</w:t>
      </w:r>
      <w:r>
        <w:rPr>
          <w:b/>
          <w:szCs w:val="24"/>
          <w:lang w:eastAsia="en-US"/>
        </w:rPr>
        <w:t xml:space="preserve"> [PN 115]</w:t>
      </w:r>
    </w:p>
    <w:p w14:paraId="3F948B0A" w14:textId="77777777" w:rsidR="002709ED" w:rsidRDefault="00B2757B">
      <w:pPr>
        <w:widowControl/>
        <w:rPr>
          <w:szCs w:val="24"/>
          <w:lang w:eastAsia="en-US"/>
        </w:rPr>
      </w:pPr>
      <w:r>
        <w:rPr>
          <w:szCs w:val="24"/>
          <w:lang w:eastAsia="en-US"/>
        </w:rPr>
        <w:br w:type="page"/>
      </w:r>
    </w:p>
    <w:p w14:paraId="40A6D866" w14:textId="77777777" w:rsidR="002709ED" w:rsidRDefault="00B2757B">
      <w:pPr>
        <w:spacing w:before="120" w:after="120" w:line="360" w:lineRule="auto"/>
        <w:ind w:left="1418" w:hanging="568"/>
        <w:rPr>
          <w:szCs w:val="24"/>
          <w:lang w:eastAsia="en-US"/>
        </w:rPr>
      </w:pPr>
      <w:r>
        <w:rPr>
          <w:szCs w:val="24"/>
          <w:lang w:eastAsia="en-US"/>
        </w:rPr>
        <w:lastRenderedPageBreak/>
        <w:t xml:space="preserve">* </w:t>
      </w:r>
      <w:r>
        <w:rPr>
          <w:szCs w:val="24"/>
          <w:lang w:eastAsia="en-US"/>
        </w:rPr>
        <w:tab/>
        <w:t>Nariadenie Európskeho parlamentu a Rady (EÚ) 2019/6 z 11. decembra 2018 o veterinárnych liekoch a o zrušení smernice 2001/82/ES (Ú. v. EÚ L 4, 7.1.2019, s. 43).</w:t>
      </w:r>
    </w:p>
    <w:p w14:paraId="5BC88BC2" w14:textId="77777777" w:rsidR="002709ED" w:rsidRDefault="00B2757B">
      <w:pPr>
        <w:spacing w:before="120" w:after="120" w:line="360" w:lineRule="auto"/>
        <w:ind w:left="1418" w:hanging="568"/>
        <w:rPr>
          <w:szCs w:val="24"/>
          <w:lang w:eastAsia="en-US"/>
        </w:rPr>
      </w:pPr>
      <w:r>
        <w:rPr>
          <w:szCs w:val="24"/>
          <w:lang w:eastAsia="en-US"/>
        </w:rPr>
        <w:t xml:space="preserve">** </w:t>
      </w:r>
      <w:r>
        <w:rPr>
          <w:szCs w:val="24"/>
          <w:lang w:eastAsia="en-US"/>
        </w:rPr>
        <w:tab/>
        <w:t>Smernica Európskeho parlamentu a Rady 2001/83/ES zo 6. novembra 2001, ktorou sa ustanovuje zákonník Spoločenstva o humánnych liekoch (Ú. v. ES L 311, 28.11.2001, s. 67).</w:t>
      </w:r>
    </w:p>
    <w:p w14:paraId="37A66EFD" w14:textId="77777777" w:rsidR="002709ED" w:rsidRDefault="00B2757B">
      <w:pPr>
        <w:spacing w:before="120" w:after="120" w:line="360" w:lineRule="auto"/>
        <w:ind w:left="1418" w:hanging="568"/>
        <w:rPr>
          <w:szCs w:val="24"/>
          <w:lang w:eastAsia="en-US"/>
        </w:rPr>
      </w:pPr>
      <w:r>
        <w:rPr>
          <w:szCs w:val="24"/>
          <w:lang w:eastAsia="en-US"/>
        </w:rPr>
        <w:t xml:space="preserve">*** </w:t>
      </w:r>
      <w:r>
        <w:rPr>
          <w:szCs w:val="24"/>
          <w:lang w:eastAsia="en-US"/>
        </w:rPr>
        <w:tab/>
        <w:t>Smernica Európskeho parlamentu a Rady 2009/128/ES z 21. októbra 2009, ktorou sa ustanovuje rámec pre činnosť Spoločenstva na dosiahnutie trvalo udržateľného používania pesticídov (Ú. v. EÚ L 309, 24.11.2009, s. 71).;“</w:t>
      </w:r>
    </w:p>
    <w:p w14:paraId="06FCADC4" w14:textId="77777777" w:rsidR="002709ED" w:rsidRDefault="00B2757B">
      <w:pPr>
        <w:spacing w:before="120" w:after="120" w:line="360" w:lineRule="auto"/>
        <w:ind w:left="850" w:hanging="850"/>
        <w:rPr>
          <w:szCs w:val="24"/>
          <w:lang w:eastAsia="en-US"/>
        </w:rPr>
      </w:pPr>
      <w:r>
        <w:rPr>
          <w:b/>
          <w:i/>
          <w:szCs w:val="24"/>
          <w:lang w:eastAsia="en-US"/>
        </w:rPr>
        <w:t>4a.</w:t>
      </w:r>
      <w:r>
        <w:rPr>
          <w:szCs w:val="24"/>
          <w:lang w:eastAsia="en-US"/>
        </w:rPr>
        <w:tab/>
      </w:r>
      <w:r>
        <w:rPr>
          <w:b/>
          <w:i/>
          <w:szCs w:val="24"/>
          <w:lang w:eastAsia="en-US"/>
        </w:rPr>
        <w:t>V článku 7a sa odsek 2 nahrádza takto:</w:t>
      </w:r>
    </w:p>
    <w:p w14:paraId="26A2E11E" w14:textId="77777777" w:rsidR="002709ED" w:rsidRDefault="00B2757B">
      <w:pPr>
        <w:spacing w:before="120" w:after="120" w:line="360" w:lineRule="auto"/>
        <w:ind w:left="1416" w:hanging="566"/>
        <w:rPr>
          <w:b/>
          <w:szCs w:val="24"/>
          <w:lang w:eastAsia="en-US"/>
        </w:rPr>
      </w:pPr>
      <w:r>
        <w:rPr>
          <w:szCs w:val="24"/>
          <w:lang w:eastAsia="en-US"/>
        </w:rPr>
        <w:t>„</w:t>
      </w:r>
      <w:r>
        <w:rPr>
          <w:b/>
          <w:i/>
          <w:szCs w:val="24"/>
          <w:lang w:eastAsia="en-US"/>
        </w:rPr>
        <w:t>2.</w:t>
      </w:r>
      <w:r>
        <w:rPr>
          <w:szCs w:val="24"/>
          <w:lang w:eastAsia="en-US"/>
        </w:rPr>
        <w:tab/>
      </w:r>
      <w:r>
        <w:rPr>
          <w:b/>
          <w:i/>
          <w:szCs w:val="24"/>
          <w:lang w:eastAsia="en-US"/>
        </w:rPr>
        <w:t>Komisia podá Európskemu parlamentu a Rade správu o výsledkoch posúdenia uvedeného v odseku 1 tohto článku do šiestich mesiacov po svojom posúdení a k svojej správe pripojí akékoľvek vhodné návrhy vrátane návrhov na kontrolné opatrenia.</w:t>
      </w:r>
      <w:r>
        <w:rPr>
          <w:szCs w:val="24"/>
          <w:lang w:eastAsia="en-US"/>
        </w:rPr>
        <w:t>“</w:t>
      </w:r>
      <w:r>
        <w:rPr>
          <w:b/>
          <w:szCs w:val="24"/>
          <w:lang w:eastAsia="en-US"/>
        </w:rPr>
        <w:t xml:space="preserve"> [PN 116]</w:t>
      </w:r>
    </w:p>
    <w:p w14:paraId="51A2F61E" w14:textId="77777777" w:rsidR="002709ED" w:rsidRDefault="00B2757B">
      <w:pPr>
        <w:widowControl/>
        <w:rPr>
          <w:szCs w:val="24"/>
          <w:lang w:eastAsia="en-US"/>
        </w:rPr>
      </w:pPr>
      <w:r>
        <w:rPr>
          <w:szCs w:val="24"/>
          <w:lang w:eastAsia="en-US"/>
        </w:rPr>
        <w:br w:type="page"/>
      </w:r>
    </w:p>
    <w:p w14:paraId="73C8BBE8" w14:textId="77777777" w:rsidR="002709ED" w:rsidRDefault="00B2757B">
      <w:pPr>
        <w:spacing w:before="120" w:after="120" w:line="360" w:lineRule="auto"/>
        <w:ind w:left="850" w:hanging="850"/>
        <w:rPr>
          <w:szCs w:val="24"/>
          <w:lang w:eastAsia="en-US"/>
        </w:rPr>
      </w:pPr>
      <w:r>
        <w:rPr>
          <w:szCs w:val="24"/>
          <w:lang w:eastAsia="en-US"/>
        </w:rPr>
        <w:lastRenderedPageBreak/>
        <w:t>5.</w:t>
      </w:r>
      <w:r>
        <w:rPr>
          <w:szCs w:val="24"/>
          <w:lang w:eastAsia="en-US"/>
        </w:rPr>
        <w:tab/>
        <w:t>Článok 8 sa nahrádza takto:</w:t>
      </w:r>
    </w:p>
    <w:p w14:paraId="76DD9968" w14:textId="77777777" w:rsidR="002709ED" w:rsidRDefault="00B2757B">
      <w:pPr>
        <w:spacing w:before="120" w:after="120" w:line="360" w:lineRule="auto"/>
        <w:ind w:left="850"/>
        <w:rPr>
          <w:szCs w:val="24"/>
          <w:lang w:eastAsia="en-US"/>
        </w:rPr>
      </w:pPr>
      <w:r>
        <w:rPr>
          <w:szCs w:val="24"/>
          <w:lang w:eastAsia="en-US"/>
        </w:rPr>
        <w:t>„Článok 8</w:t>
      </w:r>
    </w:p>
    <w:p w14:paraId="2E531ACD" w14:textId="77777777" w:rsidR="002709ED" w:rsidRDefault="00B2757B">
      <w:pPr>
        <w:spacing w:before="120" w:after="120" w:line="360" w:lineRule="auto"/>
        <w:ind w:left="850"/>
        <w:rPr>
          <w:szCs w:val="24"/>
          <w:lang w:eastAsia="en-US"/>
        </w:rPr>
      </w:pPr>
      <w:r>
        <w:rPr>
          <w:szCs w:val="24"/>
          <w:lang w:eastAsia="en-US"/>
        </w:rPr>
        <w:t>Preskúmanie príloh I a II</w:t>
      </w:r>
    </w:p>
    <w:p w14:paraId="4537F33A" w14:textId="77777777" w:rsidR="002709ED" w:rsidRDefault="00B2757B">
      <w:pPr>
        <w:spacing w:before="120" w:after="120" w:line="360" w:lineRule="auto"/>
        <w:ind w:left="1416" w:hanging="566"/>
        <w:rPr>
          <w:b/>
          <w:szCs w:val="24"/>
          <w:lang w:eastAsia="en-US"/>
        </w:rPr>
      </w:pPr>
      <w:r>
        <w:rPr>
          <w:szCs w:val="24"/>
          <w:lang w:eastAsia="en-US"/>
        </w:rPr>
        <w:t>1.</w:t>
      </w:r>
      <w:r>
        <w:rPr>
          <w:szCs w:val="24"/>
          <w:lang w:eastAsia="en-US"/>
        </w:rPr>
        <w:tab/>
        <w:t xml:space="preserve">Komisia preskúma po prvýkrát do... [Úrad pre publikácie: vložte dátum = </w:t>
      </w:r>
      <w:r>
        <w:rPr>
          <w:strike/>
          <w:szCs w:val="24"/>
          <w:lang w:eastAsia="en-US"/>
        </w:rPr>
        <w:t>šesť rokov</w:t>
      </w:r>
      <w:r>
        <w:rPr>
          <w:b/>
          <w:i/>
          <w:szCs w:val="24"/>
          <w:lang w:eastAsia="en-US"/>
        </w:rPr>
        <w:t>štyri roky</w:t>
      </w:r>
      <w:r>
        <w:rPr>
          <w:szCs w:val="24"/>
          <w:lang w:eastAsia="en-US"/>
        </w:rPr>
        <w:t xml:space="preserve"> </w:t>
      </w:r>
      <w:r w:rsidR="001D4230">
        <w:rPr>
          <w:szCs w:val="24"/>
          <w:lang w:eastAsia="en-US"/>
        </w:rPr>
        <w:t>po dni</w:t>
      </w:r>
      <w:r>
        <w:rPr>
          <w:szCs w:val="24"/>
          <w:lang w:eastAsia="en-US"/>
        </w:rPr>
        <w:t xml:space="preserve"> nadobudnutia účinnosti tejto smernice] a potom </w:t>
      </w:r>
      <w:r>
        <w:rPr>
          <w:strike/>
          <w:szCs w:val="24"/>
          <w:lang w:eastAsia="en-US"/>
        </w:rPr>
        <w:t>každých šesť rokov</w:t>
      </w:r>
      <w:r>
        <w:rPr>
          <w:b/>
          <w:i/>
          <w:szCs w:val="24"/>
          <w:lang w:eastAsia="en-US"/>
        </w:rPr>
        <w:t>každé štyri roky</w:t>
      </w:r>
      <w:r>
        <w:rPr>
          <w:szCs w:val="24"/>
          <w:lang w:eastAsia="en-US"/>
        </w:rPr>
        <w:t xml:space="preserve"> zoznam prioritných látok a zodpovedajúce environmentálne normy kvality týkajúce sa týchto látok stanovené v časti A prílohy I a zoznam znečisťujúcich látok stanovený v časti A prílohy II.</w:t>
      </w:r>
      <w:r>
        <w:rPr>
          <w:b/>
          <w:szCs w:val="24"/>
          <w:lang w:eastAsia="en-US"/>
        </w:rPr>
        <w:t xml:space="preserve"> [PN 117]</w:t>
      </w:r>
    </w:p>
    <w:p w14:paraId="0E7AE039" w14:textId="77777777" w:rsidR="002709ED" w:rsidRDefault="00B2757B">
      <w:pPr>
        <w:spacing w:before="120" w:after="120" w:line="360" w:lineRule="auto"/>
        <w:ind w:left="1416" w:hanging="566"/>
        <w:rPr>
          <w:b/>
          <w:szCs w:val="24"/>
          <w:lang w:eastAsia="en-US"/>
        </w:rPr>
      </w:pPr>
      <w:r>
        <w:rPr>
          <w:szCs w:val="24"/>
          <w:lang w:eastAsia="en-US"/>
        </w:rPr>
        <w:t>2.</w:t>
      </w:r>
      <w:r>
        <w:rPr>
          <w:szCs w:val="24"/>
          <w:lang w:eastAsia="en-US"/>
        </w:rPr>
        <w:tab/>
      </w:r>
      <w:r>
        <w:rPr>
          <w:b/>
          <w:i/>
          <w:szCs w:val="24"/>
          <w:lang w:eastAsia="en-US"/>
        </w:rPr>
        <w:t xml:space="preserve">Na základe preskúmania </w:t>
      </w:r>
      <w:r>
        <w:rPr>
          <w:szCs w:val="24"/>
          <w:lang w:eastAsia="en-US"/>
        </w:rPr>
        <w:t xml:space="preserve">Komisia </w:t>
      </w:r>
      <w:r>
        <w:rPr>
          <w:strike/>
          <w:szCs w:val="24"/>
          <w:lang w:eastAsia="en-US"/>
        </w:rPr>
        <w:t>je splnomocnená prijímať delegované akty</w:t>
      </w:r>
      <w:r>
        <w:rPr>
          <w:b/>
          <w:i/>
          <w:szCs w:val="24"/>
          <w:lang w:eastAsia="en-US"/>
        </w:rPr>
        <w:t>v prípade potreby predloží legislatívne návrhy</w:t>
      </w:r>
      <w:r>
        <w:rPr>
          <w:szCs w:val="24"/>
          <w:lang w:eastAsia="en-US"/>
        </w:rPr>
        <w:t>, a to so zreteľom na vedecké správy vypracované Európskou chemickou agentúrou (ECHA) podľa odseku 6 tohto článku</w:t>
      </w:r>
      <w:r>
        <w:rPr>
          <w:strike/>
          <w:szCs w:val="24"/>
          <w:lang w:eastAsia="en-US"/>
        </w:rPr>
        <w:t>, v súlade s článkom 9a</w:t>
      </w:r>
      <w:r>
        <w:rPr>
          <w:szCs w:val="24"/>
          <w:lang w:eastAsia="en-US"/>
        </w:rPr>
        <w:t xml:space="preserve"> s cieľom zmeniť prílohu I na účely jej prispôsobenia vedeckému a technickému pokroku týmito úpravami:</w:t>
      </w:r>
      <w:r>
        <w:rPr>
          <w:b/>
          <w:szCs w:val="24"/>
          <w:lang w:eastAsia="en-US"/>
        </w:rPr>
        <w:t xml:space="preserve"> [PN 118]</w:t>
      </w:r>
    </w:p>
    <w:p w14:paraId="1AF8B09E" w14:textId="77777777" w:rsidR="002709ED" w:rsidRDefault="00B2757B">
      <w:pPr>
        <w:widowControl/>
        <w:rPr>
          <w:szCs w:val="24"/>
          <w:lang w:eastAsia="en-US"/>
        </w:rPr>
      </w:pPr>
      <w:r>
        <w:rPr>
          <w:szCs w:val="24"/>
          <w:lang w:eastAsia="en-US"/>
        </w:rPr>
        <w:br w:type="page"/>
      </w:r>
    </w:p>
    <w:p w14:paraId="519C62EE" w14:textId="77777777" w:rsidR="002709ED" w:rsidRDefault="00B2757B">
      <w:pPr>
        <w:spacing w:before="120" w:after="120" w:line="360" w:lineRule="auto"/>
        <w:ind w:left="1982" w:hanging="566"/>
        <w:rPr>
          <w:szCs w:val="24"/>
          <w:lang w:eastAsia="en-US"/>
        </w:rPr>
      </w:pPr>
      <w:r>
        <w:rPr>
          <w:szCs w:val="24"/>
          <w:lang w:eastAsia="en-US"/>
        </w:rPr>
        <w:lastRenderedPageBreak/>
        <w:t>a)</w:t>
      </w:r>
      <w:r>
        <w:rPr>
          <w:szCs w:val="24"/>
          <w:lang w:eastAsia="en-US"/>
        </w:rPr>
        <w:tab/>
        <w:t>do zoznamu prioritných látok doplniť látky alebo ich z neho vypustiť;</w:t>
      </w:r>
    </w:p>
    <w:p w14:paraId="778C33E0" w14:textId="77777777" w:rsidR="002709ED" w:rsidRDefault="00B2757B">
      <w:pPr>
        <w:spacing w:before="120" w:after="120" w:line="360" w:lineRule="auto"/>
        <w:ind w:left="1982" w:hanging="566"/>
        <w:rPr>
          <w:szCs w:val="24"/>
          <w:lang w:eastAsia="en-US"/>
        </w:rPr>
      </w:pPr>
      <w:r>
        <w:rPr>
          <w:szCs w:val="24"/>
          <w:lang w:eastAsia="en-US"/>
        </w:rPr>
        <w:t>b)</w:t>
      </w:r>
      <w:r>
        <w:rPr>
          <w:szCs w:val="24"/>
          <w:lang w:eastAsia="en-US"/>
        </w:rPr>
        <w:tab/>
        <w:t>v uvedenom zozname určiť vybrané látky ako prioritné nebezpečné látky a/alebo ako všadeprítomné perzistentné, bioakumulatívne a toxické látky a/alebo ako látky, ktoré majú tendenciu akumulovať sa v sedimente a/alebo biote, alebo takéto určenie zrušiť;</w:t>
      </w:r>
    </w:p>
    <w:p w14:paraId="58AF1C66" w14:textId="77777777" w:rsidR="002709ED" w:rsidRDefault="00B2757B">
      <w:pPr>
        <w:spacing w:before="120" w:after="120" w:line="360" w:lineRule="auto"/>
        <w:ind w:left="1982" w:hanging="566"/>
        <w:rPr>
          <w:szCs w:val="24"/>
          <w:lang w:eastAsia="en-US"/>
        </w:rPr>
      </w:pPr>
      <w:r>
        <w:rPr>
          <w:szCs w:val="24"/>
          <w:lang w:eastAsia="en-US"/>
        </w:rPr>
        <w:t>c)</w:t>
      </w:r>
      <w:r>
        <w:rPr>
          <w:szCs w:val="24"/>
          <w:lang w:eastAsia="en-US"/>
        </w:rPr>
        <w:tab/>
        <w:t>v príslušných prípadoch stanoviť zodpovedajúce environmentálne normy kvality pre povrchové vody, sedimenty alebo biotu.</w:t>
      </w:r>
    </w:p>
    <w:p w14:paraId="50E150FE" w14:textId="77777777" w:rsidR="002709ED" w:rsidRDefault="00B2757B">
      <w:pPr>
        <w:spacing w:before="120" w:after="120" w:line="360" w:lineRule="auto"/>
        <w:ind w:left="1416" w:hanging="566"/>
        <w:rPr>
          <w:szCs w:val="24"/>
          <w:lang w:eastAsia="en-US"/>
        </w:rPr>
      </w:pPr>
      <w:r>
        <w:rPr>
          <w:szCs w:val="24"/>
          <w:lang w:eastAsia="en-US"/>
        </w:rPr>
        <w:t>3.</w:t>
      </w:r>
      <w:r>
        <w:rPr>
          <w:szCs w:val="24"/>
          <w:lang w:eastAsia="en-US"/>
        </w:rPr>
        <w:tab/>
        <w:t>Komisia je splnomocnená prijímať delegované akty, a to so zreteľom na vedecké správy vypracované agentúrou ECHA podľa odseku 6 tohto článku, v súlade s článkom 9a s cieľom zmeniť prílohu II na účely jej prispôsobenia vedeckému a technickému pokroku týmito úpravami:</w:t>
      </w:r>
    </w:p>
    <w:p w14:paraId="6EECF53D" w14:textId="77777777" w:rsidR="002709ED" w:rsidRDefault="00B2757B">
      <w:pPr>
        <w:spacing w:before="120" w:after="120" w:line="360" w:lineRule="auto"/>
        <w:ind w:left="1982" w:hanging="566"/>
        <w:rPr>
          <w:szCs w:val="24"/>
          <w:lang w:eastAsia="en-US"/>
        </w:rPr>
      </w:pPr>
      <w:r>
        <w:rPr>
          <w:szCs w:val="24"/>
          <w:lang w:eastAsia="en-US"/>
        </w:rPr>
        <w:t>a)</w:t>
      </w:r>
      <w:r>
        <w:rPr>
          <w:szCs w:val="24"/>
          <w:lang w:eastAsia="en-US"/>
        </w:rPr>
        <w:tab/>
        <w:t>do zoznamu kategórií znečisťujúcich látok stanoveného v časti A prílohy II doplniť alebo z neho vypustiť znečisťujúce látky;</w:t>
      </w:r>
    </w:p>
    <w:p w14:paraId="1389249E" w14:textId="77777777" w:rsidR="002709ED" w:rsidRDefault="00B2757B">
      <w:pPr>
        <w:spacing w:before="120" w:after="120" w:line="360" w:lineRule="auto"/>
        <w:ind w:left="1982" w:hanging="566"/>
        <w:rPr>
          <w:szCs w:val="24"/>
          <w:lang w:eastAsia="en-US"/>
        </w:rPr>
      </w:pPr>
      <w:r>
        <w:rPr>
          <w:szCs w:val="24"/>
          <w:lang w:eastAsia="en-US"/>
        </w:rPr>
        <w:t>b)</w:t>
      </w:r>
      <w:r>
        <w:rPr>
          <w:szCs w:val="24"/>
          <w:lang w:eastAsia="en-US"/>
        </w:rPr>
        <w:tab/>
        <w:t>aktualizovať metodiku stanovenú v časti B prílohy II;</w:t>
      </w:r>
    </w:p>
    <w:p w14:paraId="0F4E73D4" w14:textId="77777777" w:rsidR="002709ED" w:rsidRDefault="00B2757B">
      <w:pPr>
        <w:widowControl/>
        <w:rPr>
          <w:szCs w:val="24"/>
          <w:lang w:eastAsia="en-US"/>
        </w:rPr>
      </w:pPr>
      <w:r>
        <w:rPr>
          <w:szCs w:val="24"/>
          <w:lang w:eastAsia="en-US"/>
        </w:rPr>
        <w:br w:type="page"/>
      </w:r>
    </w:p>
    <w:p w14:paraId="4FBE48DB" w14:textId="77777777" w:rsidR="002709ED" w:rsidRDefault="00B2757B">
      <w:pPr>
        <w:spacing w:before="120" w:after="120" w:line="360" w:lineRule="auto"/>
        <w:ind w:left="1982" w:hanging="566"/>
        <w:rPr>
          <w:szCs w:val="24"/>
          <w:lang w:eastAsia="en-US"/>
        </w:rPr>
      </w:pPr>
      <w:r>
        <w:rPr>
          <w:szCs w:val="24"/>
          <w:lang w:eastAsia="en-US"/>
        </w:rPr>
        <w:lastRenderedPageBreak/>
        <w:t>c)</w:t>
      </w:r>
      <w:r>
        <w:rPr>
          <w:szCs w:val="24"/>
          <w:lang w:eastAsia="en-US"/>
        </w:rPr>
        <w:tab/>
        <w:t>v časti C prílohy II k tejto smernici uviesť tie znečisťujúce látky špecifické pre povodie, v prípade ktorých sa určilo, že sa majú uplatňovať normy environmentálnej kvality stanovené na úrovni Únie, ak je to relevantné, s cieľom zabezpečiť harmonizované a vedecky podložené vykonávanie cieľov stanovených v článku 4 smernice 2000/60/ES, a uviesť zodpovedajúce environmentálne normy kvality týkajúce sa týchto znečisťujúcich látok v časti C prílohy II k tejto smernici.</w:t>
      </w:r>
    </w:p>
    <w:p w14:paraId="51FDE647" w14:textId="77777777" w:rsidR="002709ED" w:rsidRDefault="00B2757B">
      <w:pPr>
        <w:spacing w:before="120" w:after="120" w:line="360" w:lineRule="auto"/>
        <w:ind w:left="1416" w:hanging="566"/>
        <w:rPr>
          <w:szCs w:val="24"/>
          <w:lang w:eastAsia="en-US"/>
        </w:rPr>
      </w:pPr>
      <w:r>
        <w:rPr>
          <w:szCs w:val="24"/>
          <w:lang w:eastAsia="en-US"/>
        </w:rPr>
        <w:t>4.</w:t>
      </w:r>
      <w:r>
        <w:rPr>
          <w:szCs w:val="24"/>
          <w:lang w:eastAsia="en-US"/>
        </w:rPr>
        <w:tab/>
        <w:t>Pri identifikácii znečisťujúcich látok špecifických pre povodie, v prípade ktorých by mohlo byť potrebné stanoviť environmentálne normy kvality na úrovni Únie, Komisia zohľadní tieto kritériá:</w:t>
      </w:r>
    </w:p>
    <w:p w14:paraId="14782124" w14:textId="77777777" w:rsidR="002709ED" w:rsidRDefault="00B2757B">
      <w:pPr>
        <w:spacing w:before="120" w:after="120" w:line="360" w:lineRule="auto"/>
        <w:ind w:left="1982" w:hanging="566"/>
        <w:rPr>
          <w:b/>
          <w:szCs w:val="24"/>
          <w:lang w:eastAsia="en-US"/>
        </w:rPr>
      </w:pPr>
      <w:r>
        <w:rPr>
          <w:szCs w:val="24"/>
          <w:lang w:eastAsia="en-US"/>
        </w:rPr>
        <w:t>a)</w:t>
      </w:r>
      <w:r>
        <w:rPr>
          <w:szCs w:val="24"/>
          <w:lang w:eastAsia="en-US"/>
        </w:rPr>
        <w:tab/>
        <w:t>riziko, ktoré predstavujú tieto znečisťujúce látky, vrátane ich nebezpečnosti, ich koncentrácie v životnom prostredí a koncentráciu, pri prekročení ktorej možno očakávať účinky</w:t>
      </w:r>
      <w:r>
        <w:rPr>
          <w:b/>
          <w:i/>
          <w:szCs w:val="24"/>
          <w:lang w:eastAsia="en-US"/>
        </w:rPr>
        <w:t>, a ich kumulatívne účinky</w:t>
      </w:r>
      <w:r>
        <w:rPr>
          <w:szCs w:val="24"/>
          <w:lang w:eastAsia="en-US"/>
        </w:rPr>
        <w:t>;</w:t>
      </w:r>
      <w:r>
        <w:rPr>
          <w:b/>
          <w:szCs w:val="24"/>
          <w:lang w:eastAsia="en-US"/>
        </w:rPr>
        <w:t xml:space="preserve"> [PN 119]</w:t>
      </w:r>
    </w:p>
    <w:p w14:paraId="5F9C1268" w14:textId="77777777" w:rsidR="002709ED" w:rsidRDefault="00B2757B">
      <w:pPr>
        <w:spacing w:before="120" w:after="120" w:line="360" w:lineRule="auto"/>
        <w:ind w:left="1982" w:hanging="566"/>
        <w:rPr>
          <w:szCs w:val="24"/>
          <w:lang w:eastAsia="en-US"/>
        </w:rPr>
      </w:pPr>
      <w:r>
        <w:rPr>
          <w:szCs w:val="24"/>
          <w:lang w:eastAsia="en-US"/>
        </w:rPr>
        <w:t>b)</w:t>
      </w:r>
      <w:r>
        <w:rPr>
          <w:szCs w:val="24"/>
          <w:lang w:eastAsia="en-US"/>
        </w:rPr>
        <w:tab/>
        <w:t>rozdiel medzi vnútroštátnymi environmentálnymi normami kvality, ktoré pre znečisťujúce látky špecifické pre povodie stanovili jednotlivé členské štáty, a miera, do akej je takýto rozdiel odôvodnený;</w:t>
      </w:r>
    </w:p>
    <w:p w14:paraId="017AFFB2" w14:textId="77777777" w:rsidR="002709ED" w:rsidRDefault="00B2757B">
      <w:pPr>
        <w:widowControl/>
        <w:rPr>
          <w:szCs w:val="24"/>
          <w:lang w:eastAsia="en-US"/>
        </w:rPr>
      </w:pPr>
      <w:r>
        <w:rPr>
          <w:szCs w:val="24"/>
          <w:lang w:eastAsia="en-US"/>
        </w:rPr>
        <w:br w:type="page"/>
      </w:r>
    </w:p>
    <w:p w14:paraId="66AFEFF5" w14:textId="77777777" w:rsidR="002709ED" w:rsidRDefault="00B2757B">
      <w:pPr>
        <w:spacing w:before="120" w:after="120" w:line="360" w:lineRule="auto"/>
        <w:ind w:left="1982" w:hanging="566"/>
        <w:rPr>
          <w:szCs w:val="24"/>
          <w:lang w:eastAsia="en-US"/>
        </w:rPr>
      </w:pPr>
      <w:r>
        <w:rPr>
          <w:szCs w:val="24"/>
          <w:lang w:eastAsia="en-US"/>
        </w:rPr>
        <w:lastRenderedPageBreak/>
        <w:t>c)</w:t>
      </w:r>
      <w:r>
        <w:rPr>
          <w:szCs w:val="24"/>
          <w:lang w:eastAsia="en-US"/>
        </w:rPr>
        <w:tab/>
        <w:t>počet členských štátov, ktoré už uplatňujú environmentálne normy kvality na posudzované znečisťujúce látky špecifické pre povodie.</w:t>
      </w:r>
    </w:p>
    <w:p w14:paraId="06956EDD" w14:textId="77777777" w:rsidR="002709ED" w:rsidRDefault="00B2757B">
      <w:pPr>
        <w:spacing w:before="120" w:after="120" w:line="360" w:lineRule="auto"/>
        <w:ind w:left="1416" w:hanging="566"/>
        <w:rPr>
          <w:szCs w:val="24"/>
          <w:lang w:eastAsia="en-US"/>
        </w:rPr>
      </w:pPr>
      <w:r>
        <w:rPr>
          <w:szCs w:val="24"/>
          <w:lang w:eastAsia="en-US"/>
        </w:rPr>
        <w:t>5.</w:t>
      </w:r>
      <w:r>
        <w:rPr>
          <w:szCs w:val="24"/>
          <w:lang w:eastAsia="en-US"/>
        </w:rPr>
        <w:tab/>
        <w:t>Prioritné látky, ktoré boli na základe preskúmania uvedeného v odseku 1 vypustené zo zoznamu prioritných látok, pretože už nepredstavujú riziko pre celú Úniu, sa zahrnú do časti C prílohy II, v ktorej sa uvádzajú znečisťujúce látky špecifické pre povodie a súvisiace harmonizované environmentálne normy kvality, ktoré sa majú uplatňovať, ak znečisťujúce látky vzbudzujú obavy na vnútroštátnej alebo regionálnej úrovni, v súlade s článkom 8d.</w:t>
      </w:r>
    </w:p>
    <w:p w14:paraId="2DCABF98" w14:textId="77777777" w:rsidR="002709ED" w:rsidRDefault="00B2757B">
      <w:pPr>
        <w:spacing w:before="120" w:after="120" w:line="360" w:lineRule="auto"/>
        <w:ind w:left="1416" w:hanging="566"/>
        <w:rPr>
          <w:szCs w:val="24"/>
          <w:lang w:eastAsia="en-US"/>
        </w:rPr>
      </w:pPr>
      <w:r>
        <w:rPr>
          <w:szCs w:val="24"/>
          <w:lang w:eastAsia="en-US"/>
        </w:rPr>
        <w:t>6.</w:t>
      </w:r>
      <w:r>
        <w:rPr>
          <w:szCs w:val="24"/>
          <w:lang w:eastAsia="en-US"/>
        </w:rPr>
        <w:tab/>
        <w:t>Agentúra ECHA vypracuje vedecké správy s cieľom pomôcť Komisii s preskúmaním príloh I a II. V týchto vedeckých správach treba zohľadniť:</w:t>
      </w:r>
    </w:p>
    <w:p w14:paraId="5625039B" w14:textId="77777777" w:rsidR="002709ED" w:rsidRDefault="00B2757B">
      <w:pPr>
        <w:spacing w:before="120" w:after="120" w:line="360" w:lineRule="auto"/>
        <w:ind w:left="1982" w:hanging="566"/>
        <w:rPr>
          <w:szCs w:val="24"/>
          <w:lang w:eastAsia="en-US"/>
        </w:rPr>
      </w:pPr>
      <w:r>
        <w:rPr>
          <w:szCs w:val="24"/>
          <w:lang w:eastAsia="en-US"/>
        </w:rPr>
        <w:t>a)</w:t>
      </w:r>
      <w:r>
        <w:rPr>
          <w:szCs w:val="24"/>
          <w:lang w:eastAsia="en-US"/>
        </w:rPr>
        <w:tab/>
        <w:t>stanoviská výboru pre hodnotenie rizík a výboru ECHA pre sociálno-ekonomickú analýzu;</w:t>
      </w:r>
    </w:p>
    <w:p w14:paraId="650845E5" w14:textId="77777777" w:rsidR="002709ED" w:rsidRDefault="00B2757B">
      <w:pPr>
        <w:spacing w:before="120" w:after="120" w:line="360" w:lineRule="auto"/>
        <w:ind w:left="1982" w:hanging="566"/>
        <w:rPr>
          <w:szCs w:val="24"/>
          <w:lang w:eastAsia="en-US"/>
        </w:rPr>
      </w:pPr>
      <w:r>
        <w:rPr>
          <w:szCs w:val="24"/>
          <w:lang w:eastAsia="en-US"/>
        </w:rPr>
        <w:t>b)</w:t>
      </w:r>
      <w:r>
        <w:rPr>
          <w:szCs w:val="24"/>
          <w:lang w:eastAsia="en-US"/>
        </w:rPr>
        <w:tab/>
        <w:t>výsledky programov monitorovania stanovených v súlade s článkom 8 smernice 2000/60/ES;</w:t>
      </w:r>
    </w:p>
    <w:p w14:paraId="096E5450" w14:textId="77777777" w:rsidR="002709ED" w:rsidRDefault="00B2757B">
      <w:pPr>
        <w:widowControl/>
        <w:rPr>
          <w:szCs w:val="24"/>
          <w:lang w:eastAsia="en-US"/>
        </w:rPr>
      </w:pPr>
      <w:r>
        <w:rPr>
          <w:szCs w:val="24"/>
          <w:lang w:eastAsia="en-US"/>
        </w:rPr>
        <w:br w:type="page"/>
      </w:r>
    </w:p>
    <w:p w14:paraId="68A526AD" w14:textId="77777777" w:rsidR="002709ED" w:rsidRDefault="00B2757B">
      <w:pPr>
        <w:spacing w:before="120" w:after="120" w:line="360" w:lineRule="auto"/>
        <w:ind w:left="1982" w:hanging="566"/>
        <w:rPr>
          <w:szCs w:val="24"/>
          <w:lang w:eastAsia="en-US"/>
        </w:rPr>
      </w:pPr>
      <w:r>
        <w:rPr>
          <w:szCs w:val="24"/>
          <w:lang w:eastAsia="en-US"/>
        </w:rPr>
        <w:lastRenderedPageBreak/>
        <w:t>c)</w:t>
      </w:r>
      <w:r>
        <w:rPr>
          <w:szCs w:val="24"/>
          <w:lang w:eastAsia="en-US"/>
        </w:rPr>
        <w:tab/>
        <w:t>údaje z monitorovania zozbierané v súlade s článkom 8b ods. 4 tejto smernice;</w:t>
      </w:r>
    </w:p>
    <w:p w14:paraId="22C99BBB" w14:textId="77777777" w:rsidR="002709ED" w:rsidRDefault="00B2757B">
      <w:pPr>
        <w:spacing w:before="120" w:after="120" w:line="360" w:lineRule="auto"/>
        <w:ind w:left="1982" w:hanging="566"/>
        <w:rPr>
          <w:szCs w:val="24"/>
          <w:lang w:eastAsia="en-US"/>
        </w:rPr>
      </w:pPr>
      <w:r>
        <w:rPr>
          <w:szCs w:val="24"/>
          <w:lang w:eastAsia="en-US"/>
        </w:rPr>
        <w:t>d)</w:t>
      </w:r>
      <w:r>
        <w:rPr>
          <w:szCs w:val="24"/>
          <w:lang w:eastAsia="en-US"/>
        </w:rPr>
        <w:tab/>
        <w:t>výsledky preskúmaní príloh k smernici Európskeho parlamentu a Rady 2006/118/ES* a k smernici Európskeho parlamentu a Rady (EÚ) 2020/2184**;</w:t>
      </w:r>
    </w:p>
    <w:p w14:paraId="2B682974" w14:textId="77777777" w:rsidR="002709ED" w:rsidRDefault="00B2757B">
      <w:pPr>
        <w:spacing w:before="120" w:after="120" w:line="360" w:lineRule="auto"/>
        <w:ind w:left="1982" w:hanging="566"/>
        <w:rPr>
          <w:szCs w:val="24"/>
          <w:lang w:eastAsia="en-US"/>
        </w:rPr>
      </w:pPr>
      <w:r>
        <w:rPr>
          <w:szCs w:val="24"/>
          <w:lang w:eastAsia="en-US"/>
        </w:rPr>
        <w:t>e)</w:t>
      </w:r>
      <w:r>
        <w:rPr>
          <w:szCs w:val="24"/>
          <w:lang w:eastAsia="en-US"/>
        </w:rPr>
        <w:tab/>
        <w:t>požiadavky na riešenie znečistenia pôdy vrátane súvisiacich údajov z monitorovania;</w:t>
      </w:r>
    </w:p>
    <w:p w14:paraId="560B1CC8" w14:textId="77777777" w:rsidR="002709ED" w:rsidRDefault="00B2757B">
      <w:pPr>
        <w:spacing w:before="120" w:after="120" w:line="360" w:lineRule="auto"/>
        <w:ind w:left="1982" w:hanging="566"/>
        <w:rPr>
          <w:szCs w:val="24"/>
          <w:lang w:eastAsia="en-US"/>
        </w:rPr>
      </w:pPr>
      <w:r>
        <w:rPr>
          <w:szCs w:val="24"/>
          <w:lang w:eastAsia="en-US"/>
        </w:rPr>
        <w:t>f)</w:t>
      </w:r>
      <w:r>
        <w:rPr>
          <w:szCs w:val="24"/>
          <w:lang w:eastAsia="en-US"/>
        </w:rPr>
        <w:tab/>
        <w:t>výskumné programy a vedecké publikácie Únie vrátane informácií vyplývajúcich z technológií diaľkového prieskumu a pozorovania Zeme (služby Copernicus), snímačov a zariadení in situ a/alebo údajov z občianskej vedy, pričom sa využívajú možnosti, ktoré ponúka umelá inteligencia, ako aj pokročilá analýza a spracovanie údajov;</w:t>
      </w:r>
    </w:p>
    <w:p w14:paraId="035C161A" w14:textId="77777777" w:rsidR="002709ED" w:rsidRDefault="00B2757B">
      <w:pPr>
        <w:spacing w:before="120" w:after="120" w:line="360" w:lineRule="auto"/>
        <w:ind w:left="1982" w:hanging="566"/>
        <w:rPr>
          <w:szCs w:val="24"/>
          <w:lang w:eastAsia="en-US"/>
        </w:rPr>
      </w:pPr>
      <w:r>
        <w:rPr>
          <w:szCs w:val="24"/>
          <w:lang w:eastAsia="en-US"/>
        </w:rPr>
        <w:t>g)</w:t>
      </w:r>
      <w:r>
        <w:rPr>
          <w:szCs w:val="24"/>
          <w:lang w:eastAsia="en-US"/>
        </w:rPr>
        <w:tab/>
        <w:t>pripomienky a informácie od príslušných zainteresovaných strán.</w:t>
      </w:r>
    </w:p>
    <w:p w14:paraId="7EC89711" w14:textId="77777777" w:rsidR="002709ED" w:rsidRDefault="00B2757B">
      <w:pPr>
        <w:widowControl/>
        <w:rPr>
          <w:b/>
          <w:i/>
          <w:szCs w:val="24"/>
          <w:lang w:eastAsia="en-US"/>
        </w:rPr>
      </w:pPr>
      <w:r>
        <w:rPr>
          <w:b/>
          <w:i/>
          <w:szCs w:val="24"/>
          <w:lang w:eastAsia="en-US"/>
        </w:rPr>
        <w:br w:type="page"/>
      </w:r>
    </w:p>
    <w:p w14:paraId="70586D25" w14:textId="77777777" w:rsidR="002709ED" w:rsidRDefault="00B2757B">
      <w:pPr>
        <w:spacing w:before="120" w:after="120" w:line="360" w:lineRule="auto"/>
        <w:ind w:left="1416" w:hanging="566"/>
        <w:rPr>
          <w:b/>
          <w:szCs w:val="24"/>
          <w:lang w:eastAsia="en-US"/>
        </w:rPr>
      </w:pPr>
      <w:r>
        <w:rPr>
          <w:b/>
          <w:i/>
          <w:szCs w:val="24"/>
          <w:lang w:eastAsia="en-US"/>
        </w:rPr>
        <w:lastRenderedPageBreak/>
        <w:t>6a.</w:t>
      </w:r>
      <w:r>
        <w:rPr>
          <w:szCs w:val="24"/>
          <w:lang w:eastAsia="en-US"/>
        </w:rPr>
        <w:tab/>
      </w:r>
      <w:r>
        <w:rPr>
          <w:b/>
          <w:i/>
          <w:szCs w:val="24"/>
          <w:lang w:eastAsia="en-US"/>
        </w:rPr>
        <w:t xml:space="preserve">Komisia do 12. januára 2025 vypracuje technické usmernenia týkajúce sa metód analýzy monitorovania perfluóralkylovaných a polyfluóralkylovaných látok v rámci parametra „PFAS spolu“. Komisia do 12. januára 2026 prijme delegovaný akt v súlade s článkom 9a na zmenu tejto smernice stanovením normy kvality pre „PFAS spolu“ a zodpovedajúcim spôsobom zmení prílohu I. </w:t>
      </w:r>
      <w:r>
        <w:rPr>
          <w:b/>
          <w:szCs w:val="24"/>
          <w:lang w:eastAsia="en-US"/>
        </w:rPr>
        <w:t>[PN 120]</w:t>
      </w:r>
    </w:p>
    <w:p w14:paraId="0B601BF5" w14:textId="77777777" w:rsidR="002709ED" w:rsidRDefault="00B2757B">
      <w:pPr>
        <w:spacing w:before="120" w:after="120" w:line="360" w:lineRule="auto"/>
        <w:ind w:left="1416" w:hanging="566"/>
        <w:rPr>
          <w:b/>
          <w:szCs w:val="24"/>
          <w:lang w:eastAsia="en-US"/>
        </w:rPr>
      </w:pPr>
      <w:r>
        <w:rPr>
          <w:b/>
          <w:i/>
          <w:szCs w:val="24"/>
          <w:lang w:eastAsia="en-US"/>
        </w:rPr>
        <w:t>6b.</w:t>
      </w:r>
      <w:r>
        <w:rPr>
          <w:szCs w:val="24"/>
          <w:lang w:eastAsia="en-US"/>
        </w:rPr>
        <w:tab/>
      </w:r>
      <w:r>
        <w:rPr>
          <w:b/>
          <w:i/>
          <w:szCs w:val="24"/>
          <w:lang w:eastAsia="en-US"/>
        </w:rPr>
        <w:t>Do ... [dva roky po nadobudnutí účinnosti tejto smernice] Komisia vypracuje technické usmernenia týkajúce sa metód analýzy na monitorovanie bisfenolov vrátane aspoň bisfenolu-A, bisfenolu-B a bisfenolu-S v rámci parametra „Bisfenoly spolu“. Do ... [troch rokov po nadobudnutí účinnosti tejto smernice] Komisia prijme delegovaný akt v súlade s článkom 9a na zmenu tejto smernice stanovením ENK pre „Bisfenoly spolu“ použitím prístupu faktora relatívnej účinnosti a zodpovedajúcim spôsobom zmení prílohu I.</w:t>
      </w:r>
      <w:r>
        <w:rPr>
          <w:b/>
          <w:szCs w:val="24"/>
          <w:lang w:eastAsia="en-US"/>
        </w:rPr>
        <w:t xml:space="preserve"> [PN 121]</w:t>
      </w:r>
    </w:p>
    <w:p w14:paraId="011D2EB2" w14:textId="77777777" w:rsidR="002709ED" w:rsidRDefault="00B2757B">
      <w:pPr>
        <w:widowControl/>
        <w:rPr>
          <w:szCs w:val="24"/>
          <w:lang w:eastAsia="en-US"/>
        </w:rPr>
      </w:pPr>
      <w:r>
        <w:rPr>
          <w:szCs w:val="24"/>
          <w:lang w:eastAsia="en-US"/>
        </w:rPr>
        <w:br w:type="page"/>
      </w:r>
    </w:p>
    <w:p w14:paraId="579507FA" w14:textId="77777777" w:rsidR="002709ED" w:rsidRDefault="00B2757B">
      <w:pPr>
        <w:spacing w:before="120" w:after="120" w:line="360" w:lineRule="auto"/>
        <w:ind w:left="1416" w:hanging="566"/>
        <w:rPr>
          <w:b/>
          <w:szCs w:val="24"/>
          <w:lang w:eastAsia="en-US"/>
        </w:rPr>
      </w:pPr>
      <w:r>
        <w:rPr>
          <w:szCs w:val="24"/>
          <w:lang w:eastAsia="en-US"/>
        </w:rPr>
        <w:lastRenderedPageBreak/>
        <w:t>7.</w:t>
      </w:r>
      <w:r>
        <w:rPr>
          <w:szCs w:val="24"/>
          <w:lang w:eastAsia="en-US"/>
        </w:rPr>
        <w:tab/>
        <w:t xml:space="preserve">Agentúra ECHA </w:t>
      </w:r>
      <w:r>
        <w:rPr>
          <w:strike/>
          <w:szCs w:val="24"/>
          <w:lang w:eastAsia="en-US"/>
        </w:rPr>
        <w:t>každých šesť rokov</w:t>
      </w:r>
      <w:r>
        <w:rPr>
          <w:b/>
          <w:i/>
          <w:szCs w:val="24"/>
          <w:lang w:eastAsia="en-US"/>
        </w:rPr>
        <w:t>každé štyri roky</w:t>
      </w:r>
      <w:r>
        <w:rPr>
          <w:szCs w:val="24"/>
          <w:lang w:eastAsia="en-US"/>
        </w:rPr>
        <w:t xml:space="preserve"> vypracuje a zverejní správu, v ktorej zhrnie zistenia vedeckých správ zostavených podľa odseku 6. Prvá správa sa predloží Komisii... [Úrad pre publikácie: vložte dátum = </w:t>
      </w:r>
      <w:r>
        <w:rPr>
          <w:strike/>
          <w:szCs w:val="24"/>
          <w:lang w:eastAsia="en-US"/>
        </w:rPr>
        <w:t xml:space="preserve">päť rokov odo dňa nadobudnutia </w:t>
      </w:r>
      <w:r>
        <w:rPr>
          <w:b/>
          <w:i/>
          <w:szCs w:val="24"/>
          <w:lang w:eastAsia="en-US"/>
        </w:rPr>
        <w:t xml:space="preserve">tri roky po nadobudnutí </w:t>
      </w:r>
      <w:r>
        <w:rPr>
          <w:szCs w:val="24"/>
          <w:lang w:eastAsia="en-US"/>
        </w:rPr>
        <w:t>účinnosti tejto smernice].</w:t>
      </w:r>
      <w:r>
        <w:rPr>
          <w:b/>
          <w:szCs w:val="24"/>
          <w:lang w:eastAsia="en-US"/>
        </w:rPr>
        <w:t xml:space="preserve"> [PN 122]</w:t>
      </w:r>
    </w:p>
    <w:p w14:paraId="0B5FED32" w14:textId="77777777" w:rsidR="002709ED" w:rsidRDefault="00B2757B" w:rsidP="00C100E9">
      <w:pPr>
        <w:spacing w:before="120" w:after="120" w:line="360" w:lineRule="auto"/>
        <w:ind w:left="1985" w:hanging="567"/>
        <w:rPr>
          <w:szCs w:val="24"/>
          <w:lang w:eastAsia="en-US"/>
        </w:rPr>
      </w:pPr>
      <w:r>
        <w:rPr>
          <w:szCs w:val="24"/>
          <w:lang w:eastAsia="en-US"/>
        </w:rPr>
        <w:t xml:space="preserve">* </w:t>
      </w:r>
      <w:r>
        <w:rPr>
          <w:szCs w:val="24"/>
          <w:lang w:eastAsia="en-US"/>
        </w:rPr>
        <w:tab/>
        <w:t>Smernica Európskeho parlamentu a Rady 2006/118/ES z 12. decembra 2006 o prevencii a regulácii znečisťovania podzemných vôd (Ú. v. EÚ L 372, 27.12.2006, s. 19).</w:t>
      </w:r>
    </w:p>
    <w:p w14:paraId="7A1B6144" w14:textId="77777777" w:rsidR="002709ED" w:rsidRDefault="00B2757B" w:rsidP="00C100E9">
      <w:pPr>
        <w:spacing w:before="120" w:after="120" w:line="360" w:lineRule="auto"/>
        <w:ind w:left="1985" w:hanging="567"/>
        <w:rPr>
          <w:szCs w:val="24"/>
          <w:lang w:eastAsia="en-US"/>
        </w:rPr>
      </w:pPr>
      <w:r>
        <w:rPr>
          <w:szCs w:val="24"/>
          <w:lang w:eastAsia="en-US"/>
        </w:rPr>
        <w:t xml:space="preserve">** </w:t>
      </w:r>
      <w:r>
        <w:rPr>
          <w:szCs w:val="24"/>
          <w:lang w:eastAsia="en-US"/>
        </w:rPr>
        <w:tab/>
        <w:t>Smernica Európskeho parlamentu a Rady (EÚ) 2020/2184 zo 16. decembra 2020 o kvalite vody určenej na ľudskú spotrebu (Ú. v. EÚ L 435, 23.12.2020, s. 1).;“</w:t>
      </w:r>
    </w:p>
    <w:p w14:paraId="076F6033" w14:textId="77777777" w:rsidR="002709ED" w:rsidRDefault="00B2757B">
      <w:pPr>
        <w:widowControl/>
        <w:rPr>
          <w:szCs w:val="24"/>
          <w:lang w:eastAsia="en-US"/>
        </w:rPr>
      </w:pPr>
      <w:r>
        <w:rPr>
          <w:szCs w:val="24"/>
          <w:lang w:eastAsia="en-US"/>
        </w:rPr>
        <w:br w:type="page"/>
      </w:r>
    </w:p>
    <w:p w14:paraId="56CA269E" w14:textId="77777777" w:rsidR="002709ED" w:rsidRDefault="00B2757B">
      <w:pPr>
        <w:spacing w:before="120" w:after="120" w:line="360" w:lineRule="auto"/>
        <w:ind w:left="850" w:hanging="850"/>
        <w:rPr>
          <w:szCs w:val="24"/>
          <w:lang w:eastAsia="en-US"/>
        </w:rPr>
      </w:pPr>
      <w:r>
        <w:rPr>
          <w:szCs w:val="24"/>
          <w:lang w:eastAsia="en-US"/>
        </w:rPr>
        <w:lastRenderedPageBreak/>
        <w:t>6.</w:t>
      </w:r>
      <w:r>
        <w:rPr>
          <w:szCs w:val="24"/>
          <w:lang w:eastAsia="en-US"/>
        </w:rPr>
        <w:tab/>
        <w:t>Článok 8a sa nahrádza takto:</w:t>
      </w:r>
    </w:p>
    <w:p w14:paraId="24386E0A" w14:textId="77777777" w:rsidR="002709ED" w:rsidRDefault="00B2757B">
      <w:pPr>
        <w:spacing w:before="120" w:after="120" w:line="360" w:lineRule="auto"/>
        <w:ind w:left="850"/>
        <w:rPr>
          <w:szCs w:val="24"/>
          <w:lang w:eastAsia="en-US"/>
        </w:rPr>
      </w:pPr>
      <w:r>
        <w:rPr>
          <w:szCs w:val="24"/>
          <w:lang w:eastAsia="en-US"/>
        </w:rPr>
        <w:t>„Článok 8a</w:t>
      </w:r>
    </w:p>
    <w:p w14:paraId="23E24C07" w14:textId="77777777" w:rsidR="002709ED" w:rsidRDefault="00B2757B">
      <w:pPr>
        <w:spacing w:before="120" w:after="120" w:line="360" w:lineRule="auto"/>
        <w:ind w:left="850"/>
        <w:rPr>
          <w:szCs w:val="24"/>
          <w:lang w:eastAsia="en-US"/>
        </w:rPr>
      </w:pPr>
      <w:r>
        <w:rPr>
          <w:szCs w:val="24"/>
          <w:lang w:eastAsia="en-US"/>
        </w:rPr>
        <w:t>Osobitné ustanovenia pre niektoré látky</w:t>
      </w:r>
    </w:p>
    <w:p w14:paraId="3B8B6C94" w14:textId="77777777" w:rsidR="002709ED" w:rsidRDefault="00B2757B">
      <w:pPr>
        <w:spacing w:before="120" w:after="120" w:line="360" w:lineRule="auto"/>
        <w:ind w:left="1416" w:hanging="566"/>
        <w:rPr>
          <w:szCs w:val="24"/>
          <w:lang w:eastAsia="en-US"/>
        </w:rPr>
      </w:pPr>
      <w:r>
        <w:rPr>
          <w:szCs w:val="24"/>
          <w:lang w:eastAsia="en-US"/>
        </w:rPr>
        <w:t>1.</w:t>
      </w:r>
      <w:r>
        <w:rPr>
          <w:szCs w:val="24"/>
          <w:lang w:eastAsia="en-US"/>
        </w:rPr>
        <w:tab/>
        <w:t>Do plánov manažmentu povodia vypracovaných podľa článku 13 smernice 2000/60/ES bez toho, aby boli dotknuté požiadavky uvedené v oddiele 1.4.3 prílohy V k uvedenej smernici týkajúce sa prezentácie celkového chemického stavu, ako aj ciele a záväzky stanovené v článku 4 ods. 1 písm. a) uvedenej smernice, môžu členské štáty poskytnúť dodatočné mapy, v ktorých uvedú informácie o chemickom stave pre jednu alebo viaceré nasledujúce látky oddelene od informácií pre zvyšné látky uvedené v časti A prílohy I k tejto smernici:</w:t>
      </w:r>
    </w:p>
    <w:p w14:paraId="6ED140E8" w14:textId="77777777" w:rsidR="002709ED" w:rsidRDefault="00B2757B">
      <w:pPr>
        <w:spacing w:before="120" w:after="120" w:line="360" w:lineRule="auto"/>
        <w:ind w:left="1982" w:hanging="566"/>
        <w:rPr>
          <w:szCs w:val="24"/>
          <w:lang w:eastAsia="en-US"/>
        </w:rPr>
      </w:pPr>
      <w:r>
        <w:rPr>
          <w:szCs w:val="24"/>
          <w:lang w:eastAsia="en-US"/>
        </w:rPr>
        <w:t>a)</w:t>
      </w:r>
      <w:r>
        <w:rPr>
          <w:szCs w:val="24"/>
          <w:lang w:eastAsia="en-US"/>
        </w:rPr>
        <w:tab/>
        <w:t>látky identifikované v časti A prílohy I ako látky, ktoré sa správajú ako všadeprítomné perzistentné, bioakumulatívne a toxické látky;</w:t>
      </w:r>
    </w:p>
    <w:p w14:paraId="6CB3E7A2" w14:textId="77777777" w:rsidR="002709ED" w:rsidRDefault="00B2757B">
      <w:pPr>
        <w:spacing w:before="120" w:after="120" w:line="360" w:lineRule="auto"/>
        <w:ind w:left="1982" w:hanging="566"/>
        <w:rPr>
          <w:szCs w:val="24"/>
          <w:lang w:eastAsia="en-US"/>
        </w:rPr>
      </w:pPr>
      <w:r>
        <w:rPr>
          <w:szCs w:val="24"/>
          <w:lang w:eastAsia="en-US"/>
        </w:rPr>
        <w:t>b)</w:t>
      </w:r>
      <w:r>
        <w:rPr>
          <w:szCs w:val="24"/>
          <w:lang w:eastAsia="en-US"/>
        </w:rPr>
        <w:tab/>
        <w:t>látky novo identifikované v poslednom preskúmaní v súlade s článkom 8;</w:t>
      </w:r>
    </w:p>
    <w:p w14:paraId="4CCA2CA9" w14:textId="77777777" w:rsidR="002709ED" w:rsidRDefault="00B2757B">
      <w:pPr>
        <w:widowControl/>
        <w:rPr>
          <w:szCs w:val="24"/>
          <w:lang w:eastAsia="en-US"/>
        </w:rPr>
      </w:pPr>
      <w:r>
        <w:rPr>
          <w:szCs w:val="24"/>
          <w:lang w:eastAsia="en-US"/>
        </w:rPr>
        <w:br w:type="page"/>
      </w:r>
    </w:p>
    <w:p w14:paraId="03201E26" w14:textId="77777777" w:rsidR="002709ED" w:rsidRDefault="00B2757B">
      <w:pPr>
        <w:spacing w:before="120" w:after="120" w:line="360" w:lineRule="auto"/>
        <w:ind w:left="1982" w:hanging="566"/>
        <w:rPr>
          <w:szCs w:val="24"/>
          <w:lang w:eastAsia="en-US"/>
        </w:rPr>
      </w:pPr>
      <w:r>
        <w:rPr>
          <w:szCs w:val="24"/>
          <w:lang w:eastAsia="en-US"/>
        </w:rPr>
        <w:lastRenderedPageBreak/>
        <w:t>c)</w:t>
      </w:r>
      <w:r>
        <w:rPr>
          <w:szCs w:val="24"/>
          <w:lang w:eastAsia="en-US"/>
        </w:rPr>
        <w:tab/>
        <w:t>látky, pre ktoré sa v poslednom preskúmaní v súlade s článkom 8 stanovili prísnejšie environmentálne normy kvality.</w:t>
      </w:r>
    </w:p>
    <w:p w14:paraId="0231479D" w14:textId="77777777" w:rsidR="002709ED" w:rsidRDefault="00B2757B">
      <w:pPr>
        <w:spacing w:before="120" w:after="120" w:line="360" w:lineRule="auto"/>
        <w:ind w:left="1416"/>
        <w:rPr>
          <w:b/>
          <w:szCs w:val="24"/>
          <w:lang w:eastAsia="en-US"/>
        </w:rPr>
      </w:pPr>
      <w:r>
        <w:rPr>
          <w:szCs w:val="24"/>
          <w:lang w:eastAsia="en-US"/>
        </w:rPr>
        <w:t xml:space="preserve">Členské štáty </w:t>
      </w:r>
      <w:r>
        <w:rPr>
          <w:strike/>
          <w:szCs w:val="24"/>
          <w:lang w:eastAsia="en-US"/>
        </w:rPr>
        <w:t>môžu</w:t>
      </w:r>
      <w:r>
        <w:rPr>
          <w:b/>
          <w:i/>
          <w:szCs w:val="24"/>
          <w:lang w:eastAsia="en-US"/>
        </w:rPr>
        <w:t>uvedú</w:t>
      </w:r>
      <w:r>
        <w:rPr>
          <w:szCs w:val="24"/>
          <w:lang w:eastAsia="en-US"/>
        </w:rPr>
        <w:t xml:space="preserve"> v plánoch manažmentu povodia vypracovaných v súlade s článkom 13 smernice 2000/60/ES</w:t>
      </w:r>
      <w:r>
        <w:rPr>
          <w:strike/>
          <w:szCs w:val="24"/>
          <w:lang w:eastAsia="en-US"/>
        </w:rPr>
        <w:t xml:space="preserve"> uviesť</w:t>
      </w:r>
      <w:r>
        <w:rPr>
          <w:szCs w:val="24"/>
          <w:lang w:eastAsia="en-US"/>
        </w:rPr>
        <w:t xml:space="preserve"> rozsah každého odklonu od hodnoty podľa environmentálnych noriem kvality v prípade látok uvedených v prvom pododseku písm. a), b) a c). Členské štáty, ktoré poskytujú dodatočné mapy uvedené v prvom pododseku, sa snažia zabezpečiť ich vzájomnú porovnateľnosť na úrovni povodia a Únie a údaje sprístupňujú v súlade so smernicou 2003/4/ES, smernicou Európskeho parlamentu a Rady 2007/2/ES* a smernicou Európskeho parlamentu a Rady (EÚ) 2019/1024**.</w:t>
      </w:r>
      <w:r>
        <w:rPr>
          <w:b/>
          <w:szCs w:val="24"/>
          <w:lang w:eastAsia="en-US"/>
        </w:rPr>
        <w:t xml:space="preserve"> [PN 123]</w:t>
      </w:r>
    </w:p>
    <w:p w14:paraId="3795012B" w14:textId="77777777" w:rsidR="002709ED" w:rsidRDefault="00B2757B">
      <w:pPr>
        <w:widowControl/>
        <w:rPr>
          <w:szCs w:val="24"/>
          <w:lang w:eastAsia="en-US"/>
        </w:rPr>
      </w:pPr>
      <w:r>
        <w:rPr>
          <w:szCs w:val="24"/>
          <w:lang w:eastAsia="en-US"/>
        </w:rPr>
        <w:br w:type="page"/>
      </w:r>
    </w:p>
    <w:p w14:paraId="6A5AA2C2" w14:textId="77777777" w:rsidR="002709ED" w:rsidRDefault="00B2757B">
      <w:pPr>
        <w:spacing w:before="120" w:after="120" w:line="360" w:lineRule="auto"/>
        <w:ind w:left="1416" w:hanging="566"/>
        <w:rPr>
          <w:b/>
          <w:szCs w:val="24"/>
          <w:lang w:eastAsia="en-US"/>
        </w:rPr>
      </w:pPr>
      <w:r>
        <w:rPr>
          <w:szCs w:val="24"/>
          <w:lang w:eastAsia="en-US"/>
        </w:rPr>
        <w:lastRenderedPageBreak/>
        <w:t>2.</w:t>
      </w:r>
      <w:r>
        <w:rPr>
          <w:szCs w:val="24"/>
          <w:lang w:eastAsia="en-US"/>
        </w:rPr>
        <w:tab/>
        <w:t>Členské štáty môžu monitorovať látky identifikované v časti A prílohy I ako látky, ktoré sa správajú ako všadeprítomné perzistentné, bioakumulatívne a toxické látky,</w:t>
      </w:r>
      <w:r>
        <w:rPr>
          <w:b/>
          <w:i/>
          <w:szCs w:val="24"/>
          <w:lang w:eastAsia="en-US"/>
        </w:rPr>
        <w:t xml:space="preserve"> a ktoré už nie sú povolené a používajú sa v Únii</w:t>
      </w:r>
      <w:r>
        <w:rPr>
          <w:szCs w:val="24"/>
          <w:lang w:eastAsia="en-US"/>
        </w:rPr>
        <w:t xml:space="preserve"> menej intenzívne, než sa vyžaduje pre prioritné látky v súlade s článkom 3 ods. 4 tejto smernice a prílohy V k smernici 2000/60/ES, za predpokladu, že monitorovanie je reprezentatívne a že existuje štatisticky spoľahlivá základňa, pokiaľ ide o prítomnosť týchto látok vo vodnom prostredí. V súlade s článkom 3 ods. 6 druhým pododsekom tejto smernice by sa monitorovanie malo uskutočňovať každé tri roky, pokiaľ nie je na základe technických znalostí a expertného názoru odôvodnený iný interval.</w:t>
      </w:r>
      <w:r>
        <w:rPr>
          <w:b/>
          <w:szCs w:val="24"/>
          <w:lang w:eastAsia="en-US"/>
        </w:rPr>
        <w:t xml:space="preserve"> [PN 124]</w:t>
      </w:r>
    </w:p>
    <w:p w14:paraId="3222E45D" w14:textId="77777777" w:rsidR="002709ED" w:rsidRDefault="00B2757B">
      <w:pPr>
        <w:widowControl/>
        <w:rPr>
          <w:szCs w:val="24"/>
          <w:lang w:eastAsia="en-US"/>
        </w:rPr>
      </w:pPr>
      <w:r>
        <w:rPr>
          <w:szCs w:val="24"/>
          <w:lang w:eastAsia="en-US"/>
        </w:rPr>
        <w:br w:type="page"/>
      </w:r>
    </w:p>
    <w:p w14:paraId="7F9F8F3C" w14:textId="77777777" w:rsidR="002709ED" w:rsidRDefault="00B2757B">
      <w:pPr>
        <w:spacing w:before="120" w:after="120" w:line="360" w:lineRule="auto"/>
        <w:ind w:left="1416" w:hanging="566"/>
        <w:rPr>
          <w:szCs w:val="24"/>
          <w:lang w:eastAsia="en-US"/>
        </w:rPr>
      </w:pPr>
      <w:r>
        <w:rPr>
          <w:szCs w:val="24"/>
          <w:lang w:eastAsia="en-US"/>
        </w:rPr>
        <w:lastRenderedPageBreak/>
        <w:t>3.</w:t>
      </w:r>
      <w:r>
        <w:rPr>
          <w:szCs w:val="24"/>
          <w:lang w:eastAsia="en-US"/>
        </w:rPr>
        <w:tab/>
        <w:t xml:space="preserve">Členské štáty od ... [Úrad pre publikácie – vložte dátum = prvý deň mesiaca nasledujúceho po 18 mesiacoch </w:t>
      </w:r>
      <w:r w:rsidR="00D00819">
        <w:rPr>
          <w:szCs w:val="24"/>
          <w:lang w:eastAsia="en-US"/>
        </w:rPr>
        <w:t>po dni</w:t>
      </w:r>
      <w:r>
        <w:rPr>
          <w:szCs w:val="24"/>
          <w:lang w:eastAsia="en-US"/>
        </w:rPr>
        <w:t xml:space="preserve"> nadobudnutia účinnosti tejto smernice] počas dvoch rokov monitorujú prítomnosť estrogénových látok vo vodných útvaroch pomocou monitorovacej metódy založenej na účinkoch. Monitorovanie vykonávajú najmenej štyrikrát počas každého z dvoch rokov na miestach, kde sa tri estrogénové hormóny 7-beta-estradiol (E2), estrón (E1) a alfa-etinylestradiol (EE2) uvedené v časti A prílohy I k tejto smernici monitorujú konvenčnými analytickými metódami v súlade s článkom 8 smernice 2000/60/ES a prílohou V k uvedenej smernici. Členské štáty môžu využívať sieť monitorovacích miest určených na inšpekčné monitorovanie reprezentatívnych útvarov povrchovej vody v súlade s bodom 1.3.1 prílohy V k smernici 2000/60/ES.</w:t>
      </w:r>
    </w:p>
    <w:p w14:paraId="2746EDA1" w14:textId="77777777" w:rsidR="002709ED" w:rsidRDefault="00B2757B">
      <w:pPr>
        <w:spacing w:before="120" w:after="120" w:line="360" w:lineRule="auto"/>
        <w:ind w:left="1416" w:hanging="566"/>
        <w:rPr>
          <w:szCs w:val="24"/>
          <w:lang w:eastAsia="en-US"/>
        </w:rPr>
      </w:pPr>
      <w:r>
        <w:rPr>
          <w:b/>
          <w:i/>
          <w:szCs w:val="24"/>
          <w:lang w:eastAsia="en-US"/>
        </w:rPr>
        <w:t>3a.</w:t>
      </w:r>
      <w:r>
        <w:rPr>
          <w:szCs w:val="24"/>
          <w:lang w:eastAsia="en-US"/>
        </w:rPr>
        <w:tab/>
      </w:r>
      <w:r>
        <w:rPr>
          <w:b/>
          <w:i/>
          <w:szCs w:val="24"/>
          <w:lang w:eastAsia="en-US"/>
        </w:rPr>
        <w:t>Komisia do 12 mesiacov od dvojročného obdobia uvedeného v odseku 3 zverejní správu o spoľahlivosti metód založených na účinkoch porovnaním výsledkov založených na účinkoch s výsledkami získanými pomocou konvenčných metód monitorovania troch estrogénových látok uvedených v odseku 3 v predstihu pred možným stanovením spúšťacích hodnôt na základe účinku v budúcnosti.</w:t>
      </w:r>
    </w:p>
    <w:p w14:paraId="671704A4" w14:textId="77777777" w:rsidR="002709ED" w:rsidRDefault="00B2757B">
      <w:pPr>
        <w:widowControl/>
        <w:rPr>
          <w:b/>
          <w:i/>
          <w:szCs w:val="24"/>
          <w:lang w:eastAsia="en-US"/>
        </w:rPr>
      </w:pPr>
      <w:r>
        <w:rPr>
          <w:b/>
          <w:i/>
          <w:szCs w:val="24"/>
          <w:lang w:eastAsia="en-US"/>
        </w:rPr>
        <w:br w:type="page"/>
      </w:r>
    </w:p>
    <w:p w14:paraId="7919E888" w14:textId="77777777" w:rsidR="002709ED" w:rsidRDefault="00B2757B">
      <w:pPr>
        <w:spacing w:before="120" w:after="120" w:line="360" w:lineRule="auto"/>
        <w:ind w:left="1416"/>
        <w:rPr>
          <w:b/>
          <w:szCs w:val="24"/>
          <w:lang w:eastAsia="en-US"/>
        </w:rPr>
      </w:pPr>
      <w:r>
        <w:rPr>
          <w:b/>
          <w:i/>
          <w:szCs w:val="24"/>
          <w:lang w:eastAsia="en-US"/>
        </w:rPr>
        <w:lastRenderedPageBreak/>
        <w:t>Keď budú metódy založené na účinkoch pripravené na použitie aj v prípade iných látok, Komisia bude splnomocnená prijímať delegované akty v súlade s článkom 9a na doplnenie tejto smernice pridaním požiadavky na členské štáty, aby používali metódy založené na účinkoch súbežne s konvenčnými metódami na vykonávanie monitorovania s cieľom posúdiť prítomnosť týchto látok vo vodných útvaroch.</w:t>
      </w:r>
      <w:r>
        <w:rPr>
          <w:b/>
          <w:szCs w:val="24"/>
          <w:lang w:eastAsia="en-US"/>
        </w:rPr>
        <w:t xml:space="preserve"> [PN 125]</w:t>
      </w:r>
    </w:p>
    <w:p w14:paraId="71FAAB41" w14:textId="77777777" w:rsidR="002709ED" w:rsidRDefault="00B2757B" w:rsidP="00C100E9">
      <w:pPr>
        <w:spacing w:before="120" w:after="120" w:line="360" w:lineRule="auto"/>
        <w:ind w:left="1985" w:hanging="567"/>
        <w:rPr>
          <w:szCs w:val="24"/>
          <w:lang w:eastAsia="en-US"/>
        </w:rPr>
      </w:pPr>
      <w:r>
        <w:rPr>
          <w:szCs w:val="24"/>
          <w:lang w:eastAsia="en-US"/>
        </w:rPr>
        <w:t xml:space="preserve">* </w:t>
      </w:r>
      <w:r>
        <w:rPr>
          <w:szCs w:val="24"/>
          <w:lang w:eastAsia="en-US"/>
        </w:rPr>
        <w:tab/>
        <w:t>Smernica Európskeho parlamentu a Rady 2007/2/ES zo 14. marca 2007, ktorou sa zriaďuje Infraštruktúra pre priestorové informácie v Európskom spoločenstve (INSPIRE) (Ú. v. EÚ L 108, 25.4.2007, s. 1).</w:t>
      </w:r>
    </w:p>
    <w:p w14:paraId="3888D493" w14:textId="77777777" w:rsidR="002709ED" w:rsidRDefault="00B2757B" w:rsidP="00C100E9">
      <w:pPr>
        <w:spacing w:before="120" w:after="120" w:line="360" w:lineRule="auto"/>
        <w:ind w:left="1985" w:hanging="567"/>
        <w:rPr>
          <w:szCs w:val="24"/>
          <w:lang w:eastAsia="en-US"/>
        </w:rPr>
      </w:pPr>
      <w:r>
        <w:rPr>
          <w:szCs w:val="24"/>
          <w:lang w:eastAsia="en-US"/>
        </w:rPr>
        <w:t xml:space="preserve">** </w:t>
      </w:r>
      <w:r>
        <w:rPr>
          <w:szCs w:val="24"/>
          <w:lang w:eastAsia="en-US"/>
        </w:rPr>
        <w:tab/>
        <w:t>Smernica Európskeho parlamentu a Rady (EÚ) 2019/1024 z 20. júna 2019 o otvorených dátach a opakovanom použití informácií verejného sektora (Ú. v. EÚ L 172, 26.6.2019, s. 56).;“</w:t>
      </w:r>
    </w:p>
    <w:p w14:paraId="744FDDE5" w14:textId="77777777" w:rsidR="002709ED" w:rsidRDefault="00B2757B">
      <w:pPr>
        <w:widowControl/>
        <w:rPr>
          <w:szCs w:val="24"/>
          <w:lang w:eastAsia="en-US"/>
        </w:rPr>
      </w:pPr>
      <w:r>
        <w:rPr>
          <w:szCs w:val="24"/>
          <w:lang w:eastAsia="en-US"/>
        </w:rPr>
        <w:br w:type="page"/>
      </w:r>
    </w:p>
    <w:p w14:paraId="370099DF" w14:textId="77777777" w:rsidR="002709ED" w:rsidRDefault="00B2757B">
      <w:pPr>
        <w:spacing w:before="120" w:after="120" w:line="360" w:lineRule="auto"/>
        <w:ind w:left="850" w:hanging="850"/>
        <w:rPr>
          <w:szCs w:val="24"/>
          <w:lang w:eastAsia="en-US"/>
        </w:rPr>
      </w:pPr>
      <w:r>
        <w:rPr>
          <w:szCs w:val="24"/>
          <w:lang w:eastAsia="en-US"/>
        </w:rPr>
        <w:lastRenderedPageBreak/>
        <w:t>7.</w:t>
      </w:r>
      <w:r>
        <w:rPr>
          <w:szCs w:val="24"/>
          <w:lang w:eastAsia="en-US"/>
        </w:rPr>
        <w:tab/>
        <w:t>Článok 8b sa nahrádza takto:</w:t>
      </w:r>
    </w:p>
    <w:p w14:paraId="2D1BC745" w14:textId="77777777" w:rsidR="002709ED" w:rsidRDefault="00B2757B">
      <w:pPr>
        <w:spacing w:before="120" w:after="120" w:line="360" w:lineRule="auto"/>
        <w:ind w:left="850"/>
        <w:rPr>
          <w:szCs w:val="24"/>
          <w:lang w:eastAsia="en-US"/>
        </w:rPr>
      </w:pPr>
      <w:r>
        <w:rPr>
          <w:szCs w:val="24"/>
          <w:lang w:eastAsia="en-US"/>
        </w:rPr>
        <w:t>„Článok 8b</w:t>
      </w:r>
    </w:p>
    <w:p w14:paraId="1DB871F1" w14:textId="77777777" w:rsidR="002709ED" w:rsidRDefault="00B2757B">
      <w:pPr>
        <w:spacing w:before="120" w:after="120" w:line="360" w:lineRule="auto"/>
        <w:ind w:left="850"/>
        <w:rPr>
          <w:szCs w:val="24"/>
          <w:lang w:eastAsia="en-US"/>
        </w:rPr>
      </w:pPr>
      <w:r>
        <w:rPr>
          <w:szCs w:val="24"/>
          <w:lang w:eastAsia="en-US"/>
        </w:rPr>
        <w:t>Zoznam sledovaných látok</w:t>
      </w:r>
    </w:p>
    <w:p w14:paraId="47F7F627" w14:textId="77777777" w:rsidR="002709ED" w:rsidRDefault="00B2757B">
      <w:pPr>
        <w:spacing w:before="120" w:after="120" w:line="360" w:lineRule="auto"/>
        <w:ind w:left="1416" w:hanging="566"/>
        <w:rPr>
          <w:szCs w:val="24"/>
          <w:lang w:eastAsia="en-US"/>
        </w:rPr>
      </w:pPr>
      <w:r>
        <w:rPr>
          <w:szCs w:val="24"/>
          <w:lang w:eastAsia="en-US"/>
        </w:rPr>
        <w:t>1.</w:t>
      </w:r>
      <w:r>
        <w:rPr>
          <w:szCs w:val="24"/>
          <w:lang w:eastAsia="en-US"/>
        </w:rPr>
        <w:tab/>
        <w:t>Komisia je splnomocnená prijímať vykonávacie akty, aby vzhľadom na vedecké správy vypracované agentúrou ECHA určila zoznam sledovaných látok, v prípade ktorých treba zhromažďovať z členských štátov údaje z monitorovania v celej Únii, a stanovila formáty, ktoré majú členské štáty používať na nahlasovanie výsledkov tohto monitorovania a súvisiacich informácií Komisii. Uvedené vykonávacie akty sa prijmú v súlade s postupom preskúmania uvedeným v článku 9 ods. 2.</w:t>
      </w:r>
    </w:p>
    <w:p w14:paraId="0EAB1A93" w14:textId="77777777" w:rsidR="002709ED" w:rsidRDefault="00B2757B">
      <w:pPr>
        <w:widowControl/>
        <w:rPr>
          <w:szCs w:val="24"/>
          <w:lang w:eastAsia="en-US"/>
        </w:rPr>
      </w:pPr>
      <w:r>
        <w:rPr>
          <w:szCs w:val="24"/>
          <w:lang w:eastAsia="en-US"/>
        </w:rPr>
        <w:br w:type="page"/>
      </w:r>
    </w:p>
    <w:p w14:paraId="55273C2A" w14:textId="77777777" w:rsidR="002709ED" w:rsidRDefault="00B2757B">
      <w:pPr>
        <w:spacing w:before="120" w:after="120" w:line="360" w:lineRule="auto"/>
        <w:ind w:left="1416"/>
        <w:rPr>
          <w:szCs w:val="24"/>
          <w:lang w:eastAsia="en-US"/>
        </w:rPr>
      </w:pPr>
      <w:r>
        <w:rPr>
          <w:szCs w:val="24"/>
          <w:lang w:eastAsia="en-US"/>
        </w:rPr>
        <w:lastRenderedPageBreak/>
        <w:t xml:space="preserve">Zoznam sledovaných látok obsahuje </w:t>
      </w:r>
      <w:r>
        <w:rPr>
          <w:strike/>
          <w:szCs w:val="24"/>
          <w:lang w:eastAsia="en-US"/>
        </w:rPr>
        <w:t>v ktoromkoľvek momente maximálne 10</w:t>
      </w:r>
      <w:r>
        <w:rPr>
          <w:b/>
          <w:i/>
          <w:szCs w:val="24"/>
          <w:lang w:eastAsia="en-US"/>
        </w:rPr>
        <w:t>minimálne päť</w:t>
      </w:r>
      <w:r>
        <w:rPr>
          <w:szCs w:val="24"/>
          <w:lang w:eastAsia="en-US"/>
        </w:rPr>
        <w:t xml:space="preserve"> látok alebo skupín látok </w:t>
      </w:r>
      <w:r>
        <w:rPr>
          <w:strike/>
          <w:szCs w:val="24"/>
          <w:lang w:eastAsia="en-US"/>
        </w:rPr>
        <w:t>a uvádzajú sa v ňom monitorovacie matrice a možné analytické metódy pre každú látku. Tieto monitorovacie matice a metódy nespôsobia príslušným orgánom nadmerné náklady. Látky, ktoré sa majú zaradiť do zoznamu sledovaných látok, sa vyberajú</w:t>
      </w:r>
      <w:r>
        <w:rPr>
          <w:b/>
          <w:i/>
          <w:szCs w:val="24"/>
          <w:lang w:eastAsia="en-US"/>
        </w:rPr>
        <w:t>vzbudzujúcich nové obavy zvolených</w:t>
      </w:r>
      <w:r>
        <w:rPr>
          <w:szCs w:val="24"/>
          <w:lang w:eastAsia="en-US"/>
        </w:rPr>
        <w:t xml:space="preserve"> spomedzi </w:t>
      </w:r>
      <w:r>
        <w:rPr>
          <w:b/>
          <w:i/>
          <w:szCs w:val="24"/>
          <w:lang w:eastAsia="en-US"/>
        </w:rPr>
        <w:t xml:space="preserve">tých </w:t>
      </w:r>
      <w:r>
        <w:rPr>
          <w:szCs w:val="24"/>
          <w:lang w:eastAsia="en-US"/>
        </w:rPr>
        <w:t xml:space="preserve">látok, </w:t>
      </w:r>
      <w:r>
        <w:rPr>
          <w:strike/>
          <w:szCs w:val="24"/>
          <w:lang w:eastAsia="en-US"/>
        </w:rPr>
        <w:t>v prípade</w:t>
      </w:r>
      <w:r>
        <w:rPr>
          <w:b/>
          <w:i/>
          <w:szCs w:val="24"/>
          <w:lang w:eastAsia="en-US"/>
        </w:rPr>
        <w:t>o</w:t>
      </w:r>
      <w:r>
        <w:rPr>
          <w:szCs w:val="24"/>
          <w:lang w:eastAsia="en-US"/>
        </w:rPr>
        <w:t xml:space="preserve"> ktorých dostupné informácie</w:t>
      </w:r>
      <w:r>
        <w:rPr>
          <w:b/>
          <w:i/>
          <w:szCs w:val="24"/>
          <w:lang w:eastAsia="en-US"/>
        </w:rPr>
        <w:t>, aj v súlade so štvrtým pododsekom,</w:t>
      </w:r>
      <w:r>
        <w:rPr>
          <w:szCs w:val="24"/>
          <w:lang w:eastAsia="en-US"/>
        </w:rPr>
        <w:t xml:space="preserve"> naznačujú, že môžu </w:t>
      </w:r>
      <w:r>
        <w:rPr>
          <w:b/>
          <w:i/>
          <w:szCs w:val="24"/>
          <w:lang w:eastAsia="en-US"/>
        </w:rPr>
        <w:t xml:space="preserve">predstavovať významné riziko </w:t>
      </w:r>
      <w:r>
        <w:rPr>
          <w:szCs w:val="24"/>
          <w:lang w:eastAsia="en-US"/>
        </w:rPr>
        <w:t>na úrovni Únie</w:t>
      </w:r>
      <w:r>
        <w:rPr>
          <w:b/>
          <w:i/>
          <w:szCs w:val="24"/>
          <w:lang w:eastAsia="en-US"/>
        </w:rPr>
        <w:t xml:space="preserve"> pre vodné prostredie alebo prostredníctvom neho, a pre ktoré sú údaje z monitorovania nedostatočné, okrem prípadov, keď počet látok alebo skupín látok, pre ktoré sú dostupné informácie, že môžu</w:t>
      </w:r>
      <w:r>
        <w:rPr>
          <w:szCs w:val="24"/>
          <w:lang w:eastAsia="en-US"/>
        </w:rPr>
        <w:t xml:space="preserve"> predstavovať významné riziko</w:t>
      </w:r>
      <w:r>
        <w:rPr>
          <w:b/>
          <w:i/>
          <w:szCs w:val="24"/>
          <w:lang w:eastAsia="en-US"/>
        </w:rPr>
        <w:t xml:space="preserve"> na úrovni Únie</w:t>
      </w:r>
      <w:r>
        <w:rPr>
          <w:szCs w:val="24"/>
          <w:lang w:eastAsia="en-US"/>
        </w:rPr>
        <w:t xml:space="preserve"> pre vodné prostredie alebo prostredníctvom </w:t>
      </w:r>
      <w:r>
        <w:rPr>
          <w:strike/>
          <w:szCs w:val="24"/>
          <w:lang w:eastAsia="en-US"/>
        </w:rPr>
        <w:t>vodného prostredia, a v prípade</w:t>
      </w:r>
      <w:r>
        <w:rPr>
          <w:b/>
          <w:i/>
          <w:szCs w:val="24"/>
          <w:lang w:eastAsia="en-US"/>
        </w:rPr>
        <w:t>neho, z</w:t>
      </w:r>
      <w:r>
        <w:rPr>
          <w:szCs w:val="24"/>
          <w:lang w:eastAsia="en-US"/>
        </w:rPr>
        <w:t xml:space="preserve"> ktorých </w:t>
      </w:r>
      <w:r>
        <w:rPr>
          <w:strike/>
          <w:szCs w:val="24"/>
          <w:lang w:eastAsia="en-US"/>
        </w:rPr>
        <w:t>sú údaje z monitorovania nedostatočné.</w:t>
      </w:r>
      <w:r>
        <w:rPr>
          <w:b/>
          <w:i/>
          <w:szCs w:val="24"/>
          <w:lang w:eastAsia="en-US"/>
        </w:rPr>
        <w:t>sa má vybrať, je nižší ako päť, a v takom prípade obsahuje</w:t>
      </w:r>
      <w:r>
        <w:rPr>
          <w:szCs w:val="24"/>
          <w:lang w:eastAsia="en-US"/>
        </w:rPr>
        <w:t xml:space="preserve"> zoznam sledovaných látok </w:t>
      </w:r>
      <w:r>
        <w:rPr>
          <w:strike/>
          <w:szCs w:val="24"/>
          <w:lang w:eastAsia="en-US"/>
        </w:rPr>
        <w:t>zahŕňa</w:t>
      </w:r>
      <w:r>
        <w:rPr>
          <w:b/>
          <w:i/>
          <w:szCs w:val="24"/>
          <w:lang w:eastAsia="en-US"/>
        </w:rPr>
        <w:t>všetky tieto</w:t>
      </w:r>
      <w:r>
        <w:rPr>
          <w:szCs w:val="24"/>
          <w:lang w:eastAsia="en-US"/>
        </w:rPr>
        <w:t xml:space="preserve"> látky</w:t>
      </w:r>
      <w:r>
        <w:rPr>
          <w:strike/>
          <w:szCs w:val="24"/>
          <w:lang w:eastAsia="en-US"/>
        </w:rPr>
        <w:t xml:space="preserve"> vzbudzujúce obavy</w:t>
      </w:r>
      <w:r>
        <w:rPr>
          <w:szCs w:val="24"/>
          <w:lang w:eastAsia="en-US"/>
        </w:rPr>
        <w:t>.</w:t>
      </w:r>
    </w:p>
    <w:p w14:paraId="5D3BEB07" w14:textId="77777777" w:rsidR="002709ED" w:rsidRDefault="00B2757B">
      <w:pPr>
        <w:spacing w:before="120" w:after="120" w:line="360" w:lineRule="auto"/>
        <w:ind w:left="1416"/>
        <w:rPr>
          <w:szCs w:val="24"/>
          <w:lang w:eastAsia="en-US"/>
        </w:rPr>
      </w:pPr>
      <w:r>
        <w:rPr>
          <w:b/>
          <w:i/>
          <w:szCs w:val="24"/>
          <w:lang w:eastAsia="en-US"/>
        </w:rPr>
        <w:t xml:space="preserve">Okrem minimálneho počtu látok alebo skupín látok môže zoznam sledovaných látok obsahovať aj ukazovatele znečistenia. </w:t>
      </w:r>
    </w:p>
    <w:p w14:paraId="5EB4483A" w14:textId="77777777" w:rsidR="002709ED" w:rsidRDefault="00B2757B">
      <w:pPr>
        <w:spacing w:before="120" w:after="120" w:line="360" w:lineRule="auto"/>
        <w:ind w:left="1416"/>
        <w:rPr>
          <w:b/>
          <w:szCs w:val="24"/>
          <w:lang w:eastAsia="en-US"/>
        </w:rPr>
      </w:pPr>
      <w:r>
        <w:rPr>
          <w:b/>
          <w:i/>
          <w:szCs w:val="24"/>
          <w:lang w:eastAsia="en-US"/>
        </w:rPr>
        <w:t xml:space="preserve">Zoznam sledovaných látok špecifikuje </w:t>
      </w:r>
      <w:r w:rsidRPr="00C100E9">
        <w:rPr>
          <w:szCs w:val="24"/>
          <w:lang w:eastAsia="en-US"/>
        </w:rPr>
        <w:t>monitorovacie matrice a možné analytické metódy pre každú látku. Tieto monitorovacie matice a metódy nesmú spôsobiť príslušným orgánom nadmerné náklady</w:t>
      </w:r>
      <w:r>
        <w:rPr>
          <w:b/>
          <w:i/>
          <w:szCs w:val="24"/>
          <w:lang w:eastAsia="en-US"/>
        </w:rPr>
        <w:t>.</w:t>
      </w:r>
      <w:r>
        <w:rPr>
          <w:b/>
          <w:szCs w:val="24"/>
          <w:lang w:eastAsia="en-US"/>
        </w:rPr>
        <w:t xml:space="preserve"> [PN 126]</w:t>
      </w:r>
    </w:p>
    <w:p w14:paraId="4543CD5C" w14:textId="77777777" w:rsidR="002709ED" w:rsidRDefault="00B2757B">
      <w:pPr>
        <w:widowControl/>
        <w:rPr>
          <w:strike/>
          <w:szCs w:val="24"/>
          <w:lang w:eastAsia="en-US"/>
        </w:rPr>
      </w:pPr>
      <w:r>
        <w:rPr>
          <w:strike/>
          <w:szCs w:val="24"/>
          <w:lang w:eastAsia="en-US"/>
        </w:rPr>
        <w:br w:type="page"/>
      </w:r>
    </w:p>
    <w:p w14:paraId="552A18AA" w14:textId="77777777" w:rsidR="002709ED" w:rsidRDefault="00B2757B">
      <w:pPr>
        <w:spacing w:before="120" w:after="120" w:line="360" w:lineRule="auto"/>
        <w:ind w:left="1416"/>
        <w:rPr>
          <w:b/>
          <w:szCs w:val="24"/>
          <w:lang w:eastAsia="en-US"/>
        </w:rPr>
      </w:pPr>
      <w:r>
        <w:rPr>
          <w:strike/>
          <w:szCs w:val="24"/>
          <w:lang w:eastAsia="en-US"/>
        </w:rPr>
        <w:lastRenderedPageBreak/>
        <w:t xml:space="preserve">Tieto látky sa do zoznamu sledovaných látok zaradia hneď po identifikácii vhodných metód </w:t>
      </w:r>
      <w:r>
        <w:rPr>
          <w:b/>
          <w:i/>
          <w:szCs w:val="24"/>
          <w:lang w:eastAsia="en-US"/>
        </w:rPr>
        <w:t xml:space="preserve">Vhodné metódy </w:t>
      </w:r>
      <w:r>
        <w:rPr>
          <w:szCs w:val="24"/>
          <w:lang w:eastAsia="en-US"/>
        </w:rPr>
        <w:t>monitorovania mikroplastov a vybraných génov antimikrobiálnej rezistencie</w:t>
      </w:r>
      <w:r>
        <w:rPr>
          <w:b/>
          <w:i/>
          <w:szCs w:val="24"/>
          <w:lang w:eastAsia="en-US"/>
        </w:rPr>
        <w:t xml:space="preserve"> sa určia čo najskôr, najneskôr však do [prvého dňa mesiaca nasledujúceho po 18 mesiacoch </w:t>
      </w:r>
      <w:r w:rsidR="00D00819">
        <w:rPr>
          <w:b/>
          <w:i/>
          <w:szCs w:val="24"/>
          <w:lang w:eastAsia="en-US"/>
        </w:rPr>
        <w:t>po dni</w:t>
      </w:r>
      <w:r>
        <w:rPr>
          <w:b/>
          <w:i/>
          <w:szCs w:val="24"/>
          <w:lang w:eastAsia="en-US"/>
        </w:rPr>
        <w:t xml:space="preserve"> nadobudnutia účinnosti tejto pozmeňujúcej smernice]</w:t>
      </w:r>
      <w:r>
        <w:rPr>
          <w:szCs w:val="24"/>
          <w:lang w:eastAsia="en-US"/>
        </w:rPr>
        <w:t>.</w:t>
      </w:r>
      <w:r>
        <w:rPr>
          <w:b/>
          <w:i/>
          <w:szCs w:val="24"/>
          <w:lang w:eastAsia="en-US"/>
        </w:rPr>
        <w:t xml:space="preserve"> Hneď po určení vhodných metód monitorovania sa mikroplasty a vybrané gény antimikrobiálnej rezistencie zaradia do zoznamu sledovaných látok v súlade s odsekom 2. Komisia zváži, či je zaradenie síranov, xantátov a nerelevantných metabolitov pesticídov (nrM) do zoznamu sledovaných látok potrebné na zlepšenie dostupnosti údajov o ich prítomnosti vzhľadom na rozsah pôsobnosti tejto smernice.</w:t>
      </w:r>
      <w:r>
        <w:rPr>
          <w:b/>
          <w:szCs w:val="24"/>
          <w:lang w:eastAsia="en-US"/>
        </w:rPr>
        <w:t xml:space="preserve"> [PN 127]</w:t>
      </w:r>
    </w:p>
    <w:p w14:paraId="4B010E38" w14:textId="77777777" w:rsidR="002709ED" w:rsidRDefault="00B2757B">
      <w:pPr>
        <w:spacing w:before="120" w:after="120" w:line="360" w:lineRule="auto"/>
        <w:ind w:left="1416"/>
        <w:rPr>
          <w:b/>
          <w:szCs w:val="24"/>
          <w:lang w:eastAsia="en-US"/>
        </w:rPr>
      </w:pPr>
      <w:r>
        <w:rPr>
          <w:szCs w:val="24"/>
          <w:lang w:eastAsia="en-US"/>
        </w:rPr>
        <w:t xml:space="preserve">Agentúra ECHA vypracuje vedecké správy s cieľom pomôcť Komisii pri výbere látok </w:t>
      </w:r>
      <w:r>
        <w:rPr>
          <w:b/>
          <w:i/>
          <w:szCs w:val="24"/>
          <w:lang w:eastAsia="en-US"/>
        </w:rPr>
        <w:t xml:space="preserve">a ukazovateľov znečistenia </w:t>
      </w:r>
      <w:r>
        <w:rPr>
          <w:szCs w:val="24"/>
          <w:lang w:eastAsia="en-US"/>
        </w:rPr>
        <w:t>do zoznamu sledovaných látok, pričom zohľadní tieto informácie:</w:t>
      </w:r>
      <w:r>
        <w:rPr>
          <w:b/>
          <w:szCs w:val="24"/>
          <w:lang w:eastAsia="en-US"/>
        </w:rPr>
        <w:t xml:space="preserve"> [PN 128]</w:t>
      </w:r>
    </w:p>
    <w:p w14:paraId="028B59BB" w14:textId="77777777" w:rsidR="002709ED" w:rsidRDefault="00B2757B">
      <w:pPr>
        <w:spacing w:before="120" w:after="120" w:line="360" w:lineRule="auto"/>
        <w:ind w:left="1982" w:hanging="566"/>
        <w:rPr>
          <w:szCs w:val="24"/>
          <w:lang w:eastAsia="en-US"/>
        </w:rPr>
      </w:pPr>
      <w:r>
        <w:rPr>
          <w:szCs w:val="24"/>
          <w:lang w:eastAsia="en-US"/>
        </w:rPr>
        <w:t>a)</w:t>
      </w:r>
      <w:r>
        <w:rPr>
          <w:szCs w:val="24"/>
          <w:lang w:eastAsia="en-US"/>
        </w:rPr>
        <w:tab/>
        <w:t>výsledky najnovšieho pravidelného preskúmania prílohy I k tejto smernici;</w:t>
      </w:r>
    </w:p>
    <w:p w14:paraId="36FE172D" w14:textId="77777777" w:rsidR="002709ED" w:rsidRDefault="00B2757B">
      <w:pPr>
        <w:spacing w:before="120" w:after="120" w:line="360" w:lineRule="auto"/>
        <w:ind w:left="1982" w:hanging="566"/>
        <w:rPr>
          <w:szCs w:val="24"/>
          <w:lang w:eastAsia="en-US"/>
        </w:rPr>
      </w:pPr>
      <w:r>
        <w:rPr>
          <w:szCs w:val="24"/>
          <w:lang w:eastAsia="en-US"/>
        </w:rPr>
        <w:t>b)</w:t>
      </w:r>
      <w:r>
        <w:rPr>
          <w:szCs w:val="24"/>
          <w:lang w:eastAsia="en-US"/>
        </w:rPr>
        <w:tab/>
        <w:t>odporúčania zainteresovaných strán uvedených v článku 8 smernice 2008/105/ES;</w:t>
      </w:r>
    </w:p>
    <w:p w14:paraId="4CCBF4B0" w14:textId="77777777" w:rsidR="002709ED" w:rsidRDefault="00B2757B">
      <w:pPr>
        <w:widowControl/>
        <w:rPr>
          <w:szCs w:val="24"/>
          <w:lang w:eastAsia="en-US"/>
        </w:rPr>
      </w:pPr>
      <w:r>
        <w:rPr>
          <w:szCs w:val="24"/>
          <w:lang w:eastAsia="en-US"/>
        </w:rPr>
        <w:br w:type="page"/>
      </w:r>
    </w:p>
    <w:p w14:paraId="4776DE87" w14:textId="77777777" w:rsidR="002709ED" w:rsidRDefault="00B2757B">
      <w:pPr>
        <w:spacing w:before="120" w:after="120" w:line="360" w:lineRule="auto"/>
        <w:ind w:left="1982" w:hanging="566"/>
        <w:rPr>
          <w:szCs w:val="24"/>
          <w:lang w:eastAsia="en-US"/>
        </w:rPr>
      </w:pPr>
      <w:r>
        <w:rPr>
          <w:szCs w:val="24"/>
          <w:lang w:eastAsia="en-US"/>
        </w:rPr>
        <w:lastRenderedPageBreak/>
        <w:t>c)</w:t>
      </w:r>
      <w:r>
        <w:rPr>
          <w:szCs w:val="24"/>
          <w:lang w:eastAsia="en-US"/>
        </w:rPr>
        <w:tab/>
        <w:t>charakteristiku správnych území povodí, ktorú poskytnú členské štáty v súlade s článkom 5 smernice 2000/60/ES, a výsledky programov monitorovania vytvorených v súlade s článkom 8 uvedenej smernice;</w:t>
      </w:r>
    </w:p>
    <w:p w14:paraId="3643ABAC" w14:textId="77777777" w:rsidR="002709ED" w:rsidRDefault="00B2757B">
      <w:pPr>
        <w:spacing w:before="120" w:after="120" w:line="360" w:lineRule="auto"/>
        <w:ind w:left="1982" w:hanging="566"/>
        <w:rPr>
          <w:szCs w:val="24"/>
          <w:lang w:eastAsia="en-US"/>
        </w:rPr>
      </w:pPr>
      <w:r>
        <w:rPr>
          <w:szCs w:val="24"/>
          <w:lang w:eastAsia="en-US"/>
        </w:rPr>
        <w:t>d)</w:t>
      </w:r>
      <w:r>
        <w:rPr>
          <w:szCs w:val="24"/>
          <w:lang w:eastAsia="en-US"/>
        </w:rPr>
        <w:tab/>
        <w:t>informácie o objeme výroby, spôsoboch používania, vnútorných vlastnostiach (prípadne vrátane veľkosti častíc), koncentráciách v životnom prostredí a nepriaznivých účinkoch látky na ľudské zdravie a vodné prostredie vrátane informácií zhromaždených v súlade s nariadením (ES) č. 1907/2006, nariadením (ES) č. 1107/2009, nariadením (EÚ) č. 528/2012, nariadením (EÚ) 2019/6, smernicou 2001/83/ES a smernicou 2009/128/ES;</w:t>
      </w:r>
    </w:p>
    <w:p w14:paraId="5D1DBC06" w14:textId="77777777" w:rsidR="002709ED" w:rsidRDefault="00B2757B">
      <w:pPr>
        <w:spacing w:before="120" w:after="120" w:line="360" w:lineRule="auto"/>
        <w:ind w:left="1982" w:hanging="566"/>
        <w:rPr>
          <w:b/>
          <w:szCs w:val="24"/>
          <w:lang w:eastAsia="en-US"/>
        </w:rPr>
      </w:pPr>
      <w:r>
        <w:rPr>
          <w:szCs w:val="24"/>
          <w:lang w:eastAsia="en-US"/>
        </w:rPr>
        <w:t>e)</w:t>
      </w:r>
      <w:r>
        <w:rPr>
          <w:szCs w:val="24"/>
          <w:lang w:eastAsia="en-US"/>
        </w:rPr>
        <w:tab/>
        <w:t>výskumné projekty a vedecké publikácie</w:t>
      </w:r>
      <w:r>
        <w:rPr>
          <w:b/>
          <w:i/>
          <w:szCs w:val="24"/>
          <w:lang w:eastAsia="en-US"/>
        </w:rPr>
        <w:t xml:space="preserve"> a dôkazy</w:t>
      </w:r>
      <w:r>
        <w:rPr>
          <w:szCs w:val="24"/>
          <w:lang w:eastAsia="en-US"/>
        </w:rPr>
        <w:t xml:space="preserve"> vrátane informácií o trendoch a prognózach založených na modelovaní alebo iných prognostických hodnoteniach</w:t>
      </w:r>
      <w:r>
        <w:rPr>
          <w:strike/>
          <w:szCs w:val="24"/>
          <w:lang w:eastAsia="en-US"/>
        </w:rPr>
        <w:t xml:space="preserve"> a údajoch a</w:t>
      </w:r>
      <w:r>
        <w:rPr>
          <w:b/>
          <w:i/>
          <w:szCs w:val="24"/>
          <w:lang w:eastAsia="en-US"/>
        </w:rPr>
        <w:t>, ak aj</w:t>
      </w:r>
      <w:r>
        <w:rPr>
          <w:szCs w:val="24"/>
          <w:lang w:eastAsia="en-US"/>
        </w:rPr>
        <w:t xml:space="preserve"> informáciách</w:t>
      </w:r>
      <w:r>
        <w:rPr>
          <w:b/>
          <w:i/>
          <w:szCs w:val="24"/>
          <w:lang w:eastAsia="en-US"/>
        </w:rPr>
        <w:t xml:space="preserve"> získaných</w:t>
      </w:r>
      <w:r>
        <w:rPr>
          <w:szCs w:val="24"/>
          <w:lang w:eastAsia="en-US"/>
        </w:rPr>
        <w:t xml:space="preserve"> z technológií diaľkového prieskumu a pozorovania Zeme (služby Copernicus),</w:t>
      </w:r>
      <w:r>
        <w:rPr>
          <w:b/>
          <w:i/>
          <w:szCs w:val="24"/>
          <w:lang w:eastAsia="en-US"/>
        </w:rPr>
        <w:t xml:space="preserve"> in situ</w:t>
      </w:r>
      <w:r>
        <w:rPr>
          <w:szCs w:val="24"/>
          <w:lang w:eastAsia="en-US"/>
        </w:rPr>
        <w:t xml:space="preserve"> snímačov a zariadení in situ alebo údajov občianskej vedy, pričom sa využívajú možnosti, ktoré </w:t>
      </w:r>
      <w:r>
        <w:rPr>
          <w:strike/>
          <w:szCs w:val="24"/>
          <w:lang w:eastAsia="en-US"/>
        </w:rPr>
        <w:t>ponúka</w:t>
      </w:r>
      <w:r>
        <w:rPr>
          <w:b/>
          <w:i/>
          <w:szCs w:val="24"/>
          <w:lang w:eastAsia="en-US"/>
        </w:rPr>
        <w:t>predstavuje</w:t>
      </w:r>
      <w:r>
        <w:rPr>
          <w:szCs w:val="24"/>
          <w:lang w:eastAsia="en-US"/>
        </w:rPr>
        <w:t xml:space="preserve"> umelá inteligencia</w:t>
      </w:r>
      <w:r>
        <w:rPr>
          <w:strike/>
          <w:szCs w:val="24"/>
          <w:lang w:eastAsia="en-US"/>
        </w:rPr>
        <w:t>, ako aj</w:t>
      </w:r>
      <w:r>
        <w:rPr>
          <w:b/>
          <w:i/>
          <w:szCs w:val="24"/>
          <w:lang w:eastAsia="en-US"/>
        </w:rPr>
        <w:t xml:space="preserve"> a</w:t>
      </w:r>
      <w:r>
        <w:rPr>
          <w:szCs w:val="24"/>
          <w:lang w:eastAsia="en-US"/>
        </w:rPr>
        <w:t xml:space="preserve"> pokročilá analýza a spracovanie údajov.</w:t>
      </w:r>
      <w:r>
        <w:rPr>
          <w:b/>
          <w:szCs w:val="24"/>
          <w:lang w:eastAsia="en-US"/>
        </w:rPr>
        <w:t xml:space="preserve"> [PN 129]</w:t>
      </w:r>
    </w:p>
    <w:p w14:paraId="58C32A83" w14:textId="77777777" w:rsidR="002709ED" w:rsidRDefault="00B2757B">
      <w:pPr>
        <w:widowControl/>
        <w:rPr>
          <w:szCs w:val="24"/>
          <w:lang w:eastAsia="en-US"/>
        </w:rPr>
      </w:pPr>
      <w:r>
        <w:rPr>
          <w:szCs w:val="24"/>
          <w:lang w:eastAsia="en-US"/>
        </w:rPr>
        <w:br w:type="page"/>
      </w:r>
    </w:p>
    <w:p w14:paraId="5242D8DA" w14:textId="77777777" w:rsidR="002709ED" w:rsidRDefault="00B2757B">
      <w:pPr>
        <w:spacing w:before="120" w:after="120" w:line="360" w:lineRule="auto"/>
        <w:ind w:left="1416"/>
        <w:rPr>
          <w:szCs w:val="24"/>
          <w:lang w:eastAsia="en-US"/>
        </w:rPr>
      </w:pPr>
      <w:r>
        <w:rPr>
          <w:szCs w:val="24"/>
          <w:lang w:eastAsia="en-US"/>
        </w:rPr>
        <w:lastRenderedPageBreak/>
        <w:t xml:space="preserve">Agentúra ECHA každé tri roky pripraví správu, v ktorej zhrnie zistenia vedeckých správ vypracovaných podľa štvrtého pododseku, a túto správu zverejní. Sprístupnenie prvej správy agentúry ECHA sa uskutoční do ... [Úrad pre publikácie: vložte dátum = prvý deň dvadsiateho prvého mesiaca po </w:t>
      </w:r>
      <w:r w:rsidR="0035063B">
        <w:rPr>
          <w:szCs w:val="24"/>
          <w:lang w:eastAsia="en-US"/>
        </w:rPr>
        <w:t xml:space="preserve">dni </w:t>
      </w:r>
      <w:r>
        <w:rPr>
          <w:szCs w:val="24"/>
          <w:lang w:eastAsia="en-US"/>
        </w:rPr>
        <w:t>nadobudnutia účinnosti tejto smernice].</w:t>
      </w:r>
    </w:p>
    <w:p w14:paraId="6986074C" w14:textId="77777777" w:rsidR="002709ED" w:rsidRDefault="00B2757B">
      <w:pPr>
        <w:spacing w:before="120" w:after="120" w:line="360" w:lineRule="auto"/>
        <w:ind w:left="1416" w:hanging="566"/>
        <w:rPr>
          <w:szCs w:val="24"/>
          <w:lang w:eastAsia="en-US"/>
        </w:rPr>
      </w:pPr>
      <w:r>
        <w:rPr>
          <w:szCs w:val="24"/>
          <w:lang w:eastAsia="en-US"/>
        </w:rPr>
        <w:t>2.</w:t>
      </w:r>
      <w:r>
        <w:rPr>
          <w:szCs w:val="24"/>
          <w:lang w:eastAsia="en-US"/>
        </w:rPr>
        <w:tab/>
        <w:t>Aktualizácia zoznamu sledovaných látok sa uskutoční do X [Úrad pre publikácie: vložte dátum = posledný deň dvadsiateho tretieho mesiaca po d</w:t>
      </w:r>
      <w:r w:rsidR="00D00819">
        <w:rPr>
          <w:szCs w:val="24"/>
          <w:lang w:eastAsia="en-US"/>
        </w:rPr>
        <w:t>ni</w:t>
      </w:r>
      <w:r>
        <w:rPr>
          <w:szCs w:val="24"/>
          <w:lang w:eastAsia="en-US"/>
        </w:rPr>
        <w:t xml:space="preserve"> nadobudnutia účinnosti tejto smernice] a potom </w:t>
      </w:r>
      <w:r>
        <w:rPr>
          <w:b/>
          <w:i/>
          <w:szCs w:val="24"/>
          <w:lang w:eastAsia="en-US"/>
        </w:rPr>
        <w:t xml:space="preserve">najneskôr </w:t>
      </w:r>
      <w:r>
        <w:rPr>
          <w:szCs w:val="24"/>
          <w:lang w:eastAsia="en-US"/>
        </w:rPr>
        <w:t>každých 36 mesiacov</w:t>
      </w:r>
      <w:r>
        <w:rPr>
          <w:b/>
          <w:i/>
          <w:szCs w:val="24"/>
          <w:lang w:eastAsia="en-US"/>
        </w:rPr>
        <w:t xml:space="preserve"> alebo častejšie, ak sa objavia nové vedecké dôkazy, ktoré by si vyžadovali aktualizáciu</w:t>
      </w:r>
      <w:r>
        <w:rPr>
          <w:szCs w:val="24"/>
          <w:lang w:eastAsia="en-US"/>
        </w:rPr>
        <w:t xml:space="preserve"> </w:t>
      </w:r>
      <w:r>
        <w:rPr>
          <w:b/>
          <w:i/>
          <w:szCs w:val="24"/>
          <w:lang w:eastAsia="en-US"/>
        </w:rPr>
        <w:t>v období medzi jednotlivými preskúmaniami</w:t>
      </w:r>
      <w:r>
        <w:rPr>
          <w:szCs w:val="24"/>
          <w:lang w:eastAsia="en-US"/>
        </w:rPr>
        <w:t>.</w:t>
      </w:r>
      <w:r>
        <w:rPr>
          <w:strike/>
          <w:szCs w:val="24"/>
          <w:lang w:eastAsia="en-US"/>
        </w:rPr>
        <w:t xml:space="preserve"> </w:t>
      </w:r>
    </w:p>
    <w:p w14:paraId="55D2E239" w14:textId="77777777" w:rsidR="002709ED" w:rsidRDefault="00B2757B">
      <w:pPr>
        <w:spacing w:before="120" w:after="120" w:line="360" w:lineRule="auto"/>
        <w:ind w:left="1416"/>
        <w:rPr>
          <w:szCs w:val="24"/>
          <w:lang w:eastAsia="en-US"/>
        </w:rPr>
      </w:pPr>
      <w:r>
        <w:rPr>
          <w:b/>
          <w:i/>
          <w:szCs w:val="24"/>
          <w:lang w:eastAsia="en-US"/>
        </w:rPr>
        <w:t>Členské štáty hodnotia každé dva roky vplyv priemyselných činností súvisiacich s energetickou transformáciou na kvalitu vôd a informujú Komisiu o nových identifikovaných hrozbách, aby zodpovedajúcim spôsobom aktualizovala zoznam sledovaných látok. Vyhodnotenie musí byť ľahko prístupné verejnosti.</w:t>
      </w:r>
    </w:p>
    <w:p w14:paraId="163D88F7" w14:textId="77777777" w:rsidR="002709ED" w:rsidRDefault="00B2757B">
      <w:pPr>
        <w:widowControl/>
        <w:rPr>
          <w:b/>
          <w:i/>
          <w:szCs w:val="24"/>
          <w:lang w:eastAsia="en-US"/>
        </w:rPr>
      </w:pPr>
      <w:r>
        <w:rPr>
          <w:b/>
          <w:i/>
          <w:szCs w:val="24"/>
          <w:lang w:eastAsia="en-US"/>
        </w:rPr>
        <w:br w:type="page"/>
      </w:r>
    </w:p>
    <w:p w14:paraId="51BC208E" w14:textId="77777777" w:rsidR="002709ED" w:rsidRDefault="00B2757B">
      <w:pPr>
        <w:spacing w:before="120" w:after="120" w:line="360" w:lineRule="auto"/>
        <w:ind w:left="1416"/>
        <w:rPr>
          <w:b/>
          <w:szCs w:val="24"/>
          <w:lang w:eastAsia="en-US"/>
        </w:rPr>
      </w:pPr>
      <w:r w:rsidRPr="00C100E9">
        <w:rPr>
          <w:szCs w:val="24"/>
          <w:lang w:eastAsia="en-US"/>
        </w:rPr>
        <w:lastRenderedPageBreak/>
        <w:t>Komisia pri aktualizácii zoznamu sledovaných látok vypustí z existujúceho zoznamu každú látku, pri ktorej považuje za možné posúdiť jej riziko pre vodné prostredie bez ďalších údajov z monitorovania. Jednotlivá látka alebo skupina látok sa môže v zozname sledovaných látok pri jeho aktualizácii ponechať na ďalšie obdobie najviac troch rokov, ak sú na posúdenie rizika pre vodné prostredie potrebné ďalšie údaje z monitorovania. Každý aktualizovaný zoznam sledovaných látok obsahuje aj jednu alebo viacero nových látok, v prípade ktorých sa Komisia na základe vedeckých správ agentúry ECHA domnieva, že predstavujú riziko pre vodné prostredie.</w:t>
      </w:r>
      <w:r>
        <w:rPr>
          <w:b/>
          <w:szCs w:val="24"/>
          <w:lang w:eastAsia="en-US"/>
        </w:rPr>
        <w:t xml:space="preserve"> [PN 130]</w:t>
      </w:r>
    </w:p>
    <w:p w14:paraId="3939C399" w14:textId="77777777" w:rsidR="002709ED" w:rsidRDefault="00B2757B">
      <w:pPr>
        <w:spacing w:before="120" w:after="120" w:line="360" w:lineRule="auto"/>
        <w:ind w:left="1416" w:hanging="566"/>
        <w:rPr>
          <w:szCs w:val="24"/>
          <w:lang w:eastAsia="en-US"/>
        </w:rPr>
      </w:pPr>
      <w:r>
        <w:rPr>
          <w:szCs w:val="24"/>
          <w:lang w:eastAsia="en-US"/>
        </w:rPr>
        <w:t>3.</w:t>
      </w:r>
      <w:r>
        <w:rPr>
          <w:szCs w:val="24"/>
          <w:lang w:eastAsia="en-US"/>
        </w:rPr>
        <w:tab/>
        <w:t>Členské štáty monitorujú každú látku alebo skupinu látok v zozname sledovaných látok na vybraných reprezentatívnych monitorovacích staniciach počas obdobia 24 mesiacov. Obdobie monitorovania sa začne do šiestich mesiacov od zaradenia látky do zoznamu.</w:t>
      </w:r>
    </w:p>
    <w:p w14:paraId="7811A084" w14:textId="77777777" w:rsidR="002709ED" w:rsidRDefault="00B2757B">
      <w:pPr>
        <w:spacing w:before="120" w:after="120" w:line="360" w:lineRule="auto"/>
        <w:ind w:left="1416"/>
        <w:rPr>
          <w:szCs w:val="24"/>
          <w:lang w:eastAsia="en-US"/>
        </w:rPr>
      </w:pPr>
      <w:r>
        <w:rPr>
          <w:szCs w:val="24"/>
          <w:lang w:eastAsia="en-US"/>
        </w:rPr>
        <w:t>Každý členský štát si zvolí aspoň jednu monitorovaciu stanicu, plus jednu ďalšiu stanicu, ak má viac ako jeden milión obyvateľov, plus ďalšie monitorovacie stanice podľa svojej geografickej rozlohy v km² vydelenej číslom 60 000 (zaokrúhlené na najbližšie celé číslo), plus ďalšie stanice podľa počtu svojho obyvateľstva vydeleného piatimi miliónmi (zaokrúhlené na najbližšie celé číslo).</w:t>
      </w:r>
    </w:p>
    <w:p w14:paraId="5747E349" w14:textId="77777777" w:rsidR="0035063B" w:rsidRDefault="0035063B">
      <w:pPr>
        <w:widowControl/>
        <w:rPr>
          <w:szCs w:val="24"/>
          <w:lang w:eastAsia="en-US"/>
        </w:rPr>
      </w:pPr>
      <w:r>
        <w:rPr>
          <w:szCs w:val="24"/>
          <w:lang w:eastAsia="en-US"/>
        </w:rPr>
        <w:br w:type="page"/>
      </w:r>
    </w:p>
    <w:p w14:paraId="7BE740C1" w14:textId="77777777" w:rsidR="002709ED" w:rsidRDefault="00B2757B">
      <w:pPr>
        <w:spacing w:before="120" w:after="120" w:line="360" w:lineRule="auto"/>
        <w:ind w:left="1416"/>
        <w:rPr>
          <w:b/>
          <w:szCs w:val="24"/>
          <w:lang w:eastAsia="en-US"/>
        </w:rPr>
      </w:pPr>
      <w:r>
        <w:rPr>
          <w:szCs w:val="24"/>
          <w:lang w:eastAsia="en-US"/>
        </w:rPr>
        <w:lastRenderedPageBreak/>
        <w:t xml:space="preserve">Členské štáty pri výbere reprezentatívnych monitorovacích staníc, frekvencie monitorovania a sezónnosti v prípade každej látky alebo skupiny látok zohľadnia spôsoby používania a možný výskyt látky alebo skupiny látok. Frekvencia monitorovania nesmie byť </w:t>
      </w:r>
      <w:r>
        <w:rPr>
          <w:strike/>
          <w:szCs w:val="24"/>
          <w:lang w:eastAsia="en-US"/>
        </w:rPr>
        <w:t>menšia ako dvakrát ročne s výnimkou</w:t>
      </w:r>
      <w:r>
        <w:rPr>
          <w:b/>
          <w:i/>
          <w:szCs w:val="24"/>
          <w:lang w:eastAsia="en-US"/>
        </w:rPr>
        <w:t>kratšia ako dva razy za rok. Frekvencia musí byť vyššia, ako sa stanovuje vo vykonávacom ak, ktorým sa ustanovuje zoznam sledovaných</w:t>
      </w:r>
      <w:r>
        <w:rPr>
          <w:szCs w:val="24"/>
          <w:lang w:eastAsia="en-US"/>
        </w:rPr>
        <w:t xml:space="preserve"> látok</w:t>
      </w:r>
      <w:r>
        <w:rPr>
          <w:b/>
          <w:i/>
          <w:szCs w:val="24"/>
          <w:lang w:eastAsia="en-US"/>
        </w:rPr>
        <w:t xml:space="preserve"> prijatý podľa odseku 1, pre látky</w:t>
      </w:r>
      <w:r>
        <w:rPr>
          <w:szCs w:val="24"/>
          <w:lang w:eastAsia="en-US"/>
        </w:rPr>
        <w:t xml:space="preserve">, ktoré sú citlivé na klimatické </w:t>
      </w:r>
      <w:r>
        <w:rPr>
          <w:strike/>
          <w:szCs w:val="24"/>
          <w:lang w:eastAsia="en-US"/>
        </w:rPr>
        <w:t>alebo sezónne výkyvy, v prípade</w:t>
      </w:r>
      <w:r>
        <w:rPr>
          <w:b/>
          <w:i/>
          <w:szCs w:val="24"/>
          <w:lang w:eastAsia="en-US"/>
        </w:rPr>
        <w:t>zmeny vrátane zrážok, a pre látky,</w:t>
      </w:r>
      <w:r>
        <w:rPr>
          <w:szCs w:val="24"/>
          <w:lang w:eastAsia="en-US"/>
        </w:rPr>
        <w:t xml:space="preserve"> ktorých </w:t>
      </w:r>
      <w:r>
        <w:rPr>
          <w:strike/>
          <w:szCs w:val="24"/>
          <w:lang w:eastAsia="en-US"/>
        </w:rPr>
        <w:t>sa monitorovanie vykonáva častejšie, v zmysle ustanovení vykonávacieho aktu, ktorým sa stanovuje zoznam sledovaných</w:t>
      </w:r>
      <w:r>
        <w:rPr>
          <w:b/>
          <w:i/>
          <w:szCs w:val="24"/>
          <w:lang w:eastAsia="en-US"/>
        </w:rPr>
        <w:t>koncentrácia pravdepodobne dosiahne vrchol v krátkom čase sezónnych výkyvov v používaní týchto</w:t>
      </w:r>
      <w:r>
        <w:rPr>
          <w:szCs w:val="24"/>
          <w:lang w:eastAsia="en-US"/>
        </w:rPr>
        <w:t xml:space="preserve"> látok</w:t>
      </w:r>
      <w:r>
        <w:rPr>
          <w:strike/>
          <w:szCs w:val="24"/>
          <w:lang w:eastAsia="en-US"/>
        </w:rPr>
        <w:t>, prijatého podľa odseku 1</w:t>
      </w:r>
      <w:r>
        <w:rPr>
          <w:szCs w:val="24"/>
          <w:lang w:eastAsia="en-US"/>
        </w:rPr>
        <w:t>.</w:t>
      </w:r>
      <w:r>
        <w:rPr>
          <w:b/>
          <w:szCs w:val="24"/>
          <w:lang w:eastAsia="en-US"/>
        </w:rPr>
        <w:t xml:space="preserve"> [PN 131]</w:t>
      </w:r>
    </w:p>
    <w:p w14:paraId="71AC3920" w14:textId="77777777" w:rsidR="002709ED" w:rsidRDefault="00B2757B">
      <w:pPr>
        <w:widowControl/>
        <w:rPr>
          <w:szCs w:val="24"/>
          <w:lang w:eastAsia="en-US"/>
        </w:rPr>
      </w:pPr>
      <w:r>
        <w:rPr>
          <w:szCs w:val="24"/>
          <w:lang w:eastAsia="en-US"/>
        </w:rPr>
        <w:br w:type="page"/>
      </w:r>
    </w:p>
    <w:p w14:paraId="77187B21" w14:textId="77777777" w:rsidR="002709ED" w:rsidRDefault="00B2757B">
      <w:pPr>
        <w:spacing w:before="120" w:after="120" w:line="360" w:lineRule="auto"/>
        <w:ind w:left="1416"/>
        <w:rPr>
          <w:szCs w:val="24"/>
          <w:lang w:eastAsia="en-US"/>
        </w:rPr>
      </w:pPr>
      <w:r>
        <w:rPr>
          <w:szCs w:val="24"/>
          <w:lang w:eastAsia="en-US"/>
        </w:rPr>
        <w:lastRenderedPageBreak/>
        <w:t>Ak členský štát dokáže vygenerovať a Komisii poskytnúť dostatočné, porovnateľné, reprezentatívne a najnovšie údaje z monitorovania konkrétnej látky alebo skupiny látok z existujúcich monitorovacích programov alebo štúdií, môže sa rozhodnúť, že nevykoná dodatočné monitorovanie tejto látky alebo skupiny látok v rámci mechanizmu zoznamu sledovaných látok za predpokladu, že táto látka alebo skupina látok bola monitorovaná metodikou, ktorá je v súlade s monitorovacími matricami a analytickými metódami uvedenými vo vykonávacom akte, ktorým sa stanovuje zoznam sledovaných látok, ako aj so smernicou 2009/90/ES*.</w:t>
      </w:r>
    </w:p>
    <w:p w14:paraId="0138A098" w14:textId="77777777" w:rsidR="002709ED" w:rsidRDefault="00B2757B">
      <w:pPr>
        <w:spacing w:before="120" w:after="120" w:line="360" w:lineRule="auto"/>
        <w:ind w:left="1416" w:hanging="566"/>
        <w:rPr>
          <w:szCs w:val="24"/>
          <w:lang w:eastAsia="en-US"/>
        </w:rPr>
      </w:pPr>
      <w:r>
        <w:rPr>
          <w:szCs w:val="24"/>
          <w:lang w:eastAsia="en-US"/>
        </w:rPr>
        <w:t>4.</w:t>
      </w:r>
      <w:r>
        <w:rPr>
          <w:szCs w:val="24"/>
          <w:lang w:eastAsia="en-US"/>
        </w:rPr>
        <w:tab/>
        <w:t>Členské štáty sprístupnia výsledky monitorovania uvedeného v odseku 3 tohto článku v súlade s článkom 8 ods. 4 smernice 2000/60/ES a s vykonávacím aktom, ktorým sa stanovuje zoznam sledovaných látok, prijatým podľa odseku 1. Sprístupnia aj informácie o reprezentatívnosti monitorovacích staníc a o stratégii monitorovania.</w:t>
      </w:r>
    </w:p>
    <w:p w14:paraId="7475A794" w14:textId="77777777" w:rsidR="002709ED" w:rsidRDefault="00B2757B">
      <w:pPr>
        <w:widowControl/>
        <w:rPr>
          <w:szCs w:val="24"/>
          <w:lang w:eastAsia="en-US"/>
        </w:rPr>
      </w:pPr>
      <w:r>
        <w:rPr>
          <w:szCs w:val="24"/>
          <w:lang w:eastAsia="en-US"/>
        </w:rPr>
        <w:br w:type="page"/>
      </w:r>
    </w:p>
    <w:p w14:paraId="60AADA17" w14:textId="77777777" w:rsidR="002709ED" w:rsidRDefault="00B2757B">
      <w:pPr>
        <w:spacing w:before="120" w:after="120" w:line="360" w:lineRule="auto"/>
        <w:ind w:left="1416" w:hanging="566"/>
        <w:rPr>
          <w:szCs w:val="24"/>
          <w:lang w:eastAsia="en-US"/>
        </w:rPr>
      </w:pPr>
      <w:r>
        <w:rPr>
          <w:szCs w:val="24"/>
          <w:lang w:eastAsia="en-US"/>
        </w:rPr>
        <w:lastRenderedPageBreak/>
        <w:t>5.</w:t>
      </w:r>
      <w:r>
        <w:rPr>
          <w:szCs w:val="24"/>
          <w:lang w:eastAsia="en-US"/>
        </w:rPr>
        <w:tab/>
        <w:t>Agentúra ECHA na konci 24-mesačného obdobia uvedeného v odseku 3 preskúma výsledky monitorovania a posúdi, ktoré látky alebo skupiny látok treba monitorovať počas ďalšieho 24-mesačného obdobia, a preto sa majú ponechať v zozname sledovaných látok, a ktoré látky alebo skupiny látok možno zo zoznamu sledovaných látok vypustiť.</w:t>
      </w:r>
    </w:p>
    <w:p w14:paraId="157D9D5E" w14:textId="77777777" w:rsidR="002709ED" w:rsidRDefault="00B2757B">
      <w:pPr>
        <w:spacing w:before="120" w:after="120" w:line="360" w:lineRule="auto"/>
        <w:ind w:left="1416"/>
        <w:rPr>
          <w:szCs w:val="24"/>
          <w:lang w:eastAsia="en-US"/>
        </w:rPr>
      </w:pPr>
      <w:r>
        <w:rPr>
          <w:szCs w:val="24"/>
          <w:lang w:eastAsia="en-US"/>
        </w:rPr>
        <w:t>Ak Komisia so zreteľom na posúdenie agentúrou ECHA uvedené v prvom pododseku dospeje k záveru, že ďalšie monitorovanie s cieľom ďalej posudzovať riziko pre vodné prostredie sa nevyžaduje, toto posúdenie sa zohľadní pri preskúmaní prílohy I alebo II v zmysle článku 8.“</w:t>
      </w:r>
    </w:p>
    <w:p w14:paraId="0F0AE00A" w14:textId="77777777" w:rsidR="002709ED" w:rsidRDefault="00B2757B">
      <w:pPr>
        <w:spacing w:before="120" w:after="120" w:line="360" w:lineRule="auto"/>
        <w:ind w:left="1985" w:hanging="569"/>
        <w:rPr>
          <w:szCs w:val="24"/>
          <w:lang w:eastAsia="en-US"/>
        </w:rPr>
      </w:pPr>
      <w:r>
        <w:rPr>
          <w:szCs w:val="24"/>
          <w:lang w:eastAsia="en-US"/>
        </w:rPr>
        <w:t xml:space="preserve">* </w:t>
      </w:r>
      <w:r>
        <w:rPr>
          <w:szCs w:val="24"/>
          <w:lang w:eastAsia="en-US"/>
        </w:rPr>
        <w:tab/>
        <w:t>Smernica Komisie 2009/90/ES z 31. júla 2009, ktorou sa v súlade so smernicou Európskeho parlamentu a Rady 2000/60/ES ustanovujú technické špecifikácie pre chemickú analýzu a sledovanie stavu vôd (Ú. v. EÚ L 201, 1.8.2009, s. 36).;“</w:t>
      </w:r>
    </w:p>
    <w:p w14:paraId="2F419EA6" w14:textId="77777777" w:rsidR="002709ED" w:rsidRDefault="00B2757B">
      <w:pPr>
        <w:widowControl/>
        <w:rPr>
          <w:b/>
          <w:i/>
          <w:szCs w:val="24"/>
          <w:lang w:eastAsia="en-US"/>
        </w:rPr>
      </w:pPr>
      <w:r>
        <w:rPr>
          <w:b/>
          <w:i/>
          <w:szCs w:val="24"/>
          <w:lang w:eastAsia="en-US"/>
        </w:rPr>
        <w:br w:type="page"/>
      </w:r>
    </w:p>
    <w:p w14:paraId="037016EE" w14:textId="77777777" w:rsidR="002709ED" w:rsidRDefault="00B2757B">
      <w:pPr>
        <w:spacing w:before="120" w:after="120" w:line="360" w:lineRule="auto"/>
        <w:ind w:left="850" w:hanging="850"/>
        <w:rPr>
          <w:szCs w:val="24"/>
          <w:lang w:eastAsia="en-US"/>
        </w:rPr>
      </w:pPr>
      <w:r>
        <w:rPr>
          <w:b/>
          <w:i/>
          <w:szCs w:val="24"/>
          <w:lang w:eastAsia="en-US"/>
        </w:rPr>
        <w:lastRenderedPageBreak/>
        <w:t>7a.</w:t>
      </w:r>
      <w:r>
        <w:rPr>
          <w:szCs w:val="24"/>
          <w:lang w:eastAsia="en-US"/>
        </w:rPr>
        <w:tab/>
      </w:r>
      <w:r>
        <w:rPr>
          <w:b/>
          <w:i/>
          <w:szCs w:val="24"/>
          <w:lang w:eastAsia="en-US"/>
        </w:rPr>
        <w:t>Vkladá sa tento článok 8ba:</w:t>
      </w:r>
    </w:p>
    <w:p w14:paraId="7E2C6D04" w14:textId="77777777" w:rsidR="002709ED" w:rsidRDefault="00B2757B">
      <w:pPr>
        <w:spacing w:before="120" w:after="120" w:line="360" w:lineRule="auto"/>
        <w:ind w:left="850"/>
        <w:rPr>
          <w:szCs w:val="24"/>
          <w:lang w:eastAsia="en-US"/>
        </w:rPr>
      </w:pPr>
      <w:r>
        <w:rPr>
          <w:szCs w:val="24"/>
          <w:lang w:eastAsia="en-US"/>
        </w:rPr>
        <w:t>„</w:t>
      </w:r>
      <w:r>
        <w:rPr>
          <w:b/>
          <w:i/>
          <w:szCs w:val="24"/>
          <w:lang w:eastAsia="en-US"/>
        </w:rPr>
        <w:t>Článok 8ba</w:t>
      </w:r>
    </w:p>
    <w:p w14:paraId="095F3A60" w14:textId="77777777" w:rsidR="002709ED" w:rsidRDefault="00B2757B">
      <w:pPr>
        <w:spacing w:before="120" w:after="120" w:line="360" w:lineRule="auto"/>
        <w:ind w:left="850"/>
        <w:rPr>
          <w:b/>
          <w:szCs w:val="24"/>
          <w:lang w:eastAsia="en-US"/>
        </w:rPr>
      </w:pPr>
      <w:r>
        <w:rPr>
          <w:b/>
          <w:i/>
          <w:szCs w:val="24"/>
          <w:lang w:eastAsia="en-US"/>
        </w:rPr>
        <w:t>Najneskôr do ... [rok po nadobudnutí účinnosti tejto smernice] Komisia predloží posúdenie vplyvu, v ktorom preskúma zahrnutie mechanizmu rozšírenej zodpovednosti výrobcu do tejto smernice, pričom zabezpečí, aby výrobcovia, ktorí uvádzajú na trh výrobky obsahujúce ktorúkoľvek z látok alebo zlúčenín uvedených v prílohe I, ako aj látky vzbudzujúce obavy zahrnuté do zoznamu sledovaných látok podľa tejto smernice, prispievali na náklady na programy monitorovania navrhnuté podľa článku 8</w:t>
      </w:r>
      <w:r w:rsidR="00633F94">
        <w:rPr>
          <w:b/>
          <w:i/>
          <w:szCs w:val="24"/>
          <w:lang w:eastAsia="en-US"/>
        </w:rPr>
        <w:t xml:space="preserve"> </w:t>
      </w:r>
      <w:r w:rsidR="00E240DD">
        <w:rPr>
          <w:b/>
          <w:i/>
          <w:szCs w:val="24"/>
          <w:lang w:eastAsia="en-US"/>
        </w:rPr>
        <w:t xml:space="preserve">smernice </w:t>
      </w:r>
      <w:r w:rsidR="00633F94">
        <w:rPr>
          <w:b/>
          <w:i/>
          <w:szCs w:val="24"/>
          <w:lang w:eastAsia="en-US"/>
        </w:rPr>
        <w:t>2000</w:t>
      </w:r>
      <w:r>
        <w:rPr>
          <w:b/>
          <w:i/>
          <w:szCs w:val="24"/>
          <w:lang w:eastAsia="en-US"/>
        </w:rPr>
        <w:t>/60/ES. K posúdeniu vplyvu sa v prípade potreby pripojí legislatívny návrh na zmenu tejto smernice.</w:t>
      </w:r>
      <w:r>
        <w:rPr>
          <w:szCs w:val="24"/>
          <w:lang w:eastAsia="en-US"/>
        </w:rPr>
        <w:t>“</w:t>
      </w:r>
      <w:r>
        <w:rPr>
          <w:b/>
          <w:szCs w:val="24"/>
          <w:lang w:eastAsia="en-US"/>
        </w:rPr>
        <w:t xml:space="preserve"> [PN 132]</w:t>
      </w:r>
    </w:p>
    <w:p w14:paraId="254F3B89" w14:textId="77777777" w:rsidR="002709ED" w:rsidRDefault="00B2757B">
      <w:pPr>
        <w:widowControl/>
        <w:rPr>
          <w:b/>
          <w:i/>
          <w:szCs w:val="24"/>
          <w:lang w:eastAsia="en-US"/>
        </w:rPr>
      </w:pPr>
      <w:r>
        <w:rPr>
          <w:b/>
          <w:i/>
          <w:szCs w:val="24"/>
          <w:lang w:eastAsia="en-US"/>
        </w:rPr>
        <w:br w:type="page"/>
      </w:r>
    </w:p>
    <w:p w14:paraId="6BABB542" w14:textId="77777777" w:rsidR="002709ED" w:rsidRDefault="00B2757B">
      <w:pPr>
        <w:spacing w:before="120" w:after="120" w:line="360" w:lineRule="auto"/>
        <w:ind w:left="850" w:hanging="850"/>
        <w:rPr>
          <w:szCs w:val="24"/>
          <w:lang w:eastAsia="en-US"/>
        </w:rPr>
      </w:pPr>
      <w:r>
        <w:rPr>
          <w:b/>
          <w:i/>
          <w:szCs w:val="24"/>
          <w:lang w:eastAsia="en-US"/>
        </w:rPr>
        <w:lastRenderedPageBreak/>
        <w:t>7b.</w:t>
      </w:r>
      <w:r>
        <w:rPr>
          <w:szCs w:val="24"/>
          <w:lang w:eastAsia="en-US"/>
        </w:rPr>
        <w:tab/>
      </w:r>
      <w:r>
        <w:rPr>
          <w:b/>
          <w:i/>
          <w:szCs w:val="24"/>
          <w:lang w:eastAsia="en-US"/>
        </w:rPr>
        <w:t>Vkladá sa tento článok:</w:t>
      </w:r>
    </w:p>
    <w:p w14:paraId="3555918C" w14:textId="77777777" w:rsidR="002709ED" w:rsidRDefault="00B2757B">
      <w:pPr>
        <w:spacing w:before="120" w:after="120" w:line="360" w:lineRule="auto"/>
        <w:ind w:left="850"/>
        <w:rPr>
          <w:szCs w:val="24"/>
          <w:lang w:eastAsia="en-US"/>
        </w:rPr>
      </w:pPr>
      <w:r>
        <w:rPr>
          <w:szCs w:val="24"/>
          <w:lang w:eastAsia="en-US"/>
        </w:rPr>
        <w:t>„</w:t>
      </w:r>
      <w:r>
        <w:rPr>
          <w:b/>
          <w:i/>
          <w:szCs w:val="24"/>
          <w:lang w:eastAsia="en-US"/>
        </w:rPr>
        <w:t xml:space="preserve">Článok 8bb </w:t>
      </w:r>
      <w:r>
        <w:rPr>
          <w:b/>
          <w:i/>
          <w:szCs w:val="24"/>
          <w:lang w:eastAsia="en-US"/>
        </w:rPr>
        <w:br/>
        <w:t>Európsky monitorovací nástroj</w:t>
      </w:r>
    </w:p>
    <w:p w14:paraId="2EBD8958" w14:textId="77777777" w:rsidR="002709ED" w:rsidRDefault="00B2757B">
      <w:pPr>
        <w:spacing w:before="120" w:after="120" w:line="360" w:lineRule="auto"/>
        <w:ind w:left="850"/>
        <w:rPr>
          <w:szCs w:val="24"/>
          <w:lang w:eastAsia="en-US"/>
        </w:rPr>
      </w:pPr>
      <w:r>
        <w:rPr>
          <w:b/>
          <w:i/>
          <w:szCs w:val="24"/>
          <w:lang w:eastAsia="en-US"/>
        </w:rPr>
        <w:t xml:space="preserve">Komisia ... [jeden rok po </w:t>
      </w:r>
      <w:r w:rsidR="00633F94">
        <w:rPr>
          <w:b/>
          <w:i/>
          <w:szCs w:val="24"/>
          <w:lang w:eastAsia="en-US"/>
        </w:rPr>
        <w:t xml:space="preserve">dni </w:t>
      </w:r>
      <w:r>
        <w:rPr>
          <w:b/>
          <w:i/>
          <w:szCs w:val="24"/>
          <w:lang w:eastAsia="en-US"/>
        </w:rPr>
        <w:t>nadobudnutia účinnosti tejto smernice] zriadi spoločný monitorovací nástroj na riadenie požiadaviek na monitorovanie, ak o to členské štáty požiadajú.</w:t>
      </w:r>
    </w:p>
    <w:p w14:paraId="384AB482" w14:textId="77777777" w:rsidR="002709ED" w:rsidRDefault="00B2757B">
      <w:pPr>
        <w:spacing w:before="120" w:after="120" w:line="360" w:lineRule="auto"/>
        <w:ind w:left="850"/>
        <w:rPr>
          <w:szCs w:val="24"/>
          <w:lang w:eastAsia="en-US"/>
        </w:rPr>
      </w:pPr>
      <w:r>
        <w:rPr>
          <w:b/>
          <w:i/>
          <w:szCs w:val="24"/>
          <w:lang w:eastAsia="en-US"/>
        </w:rPr>
        <w:t>Komisia vymedzí fungovanie monitorovacieho nástroja, čo okrem iného zahŕňa:</w:t>
      </w:r>
    </w:p>
    <w:p w14:paraId="24FBBA44" w14:textId="77777777" w:rsidR="002709ED" w:rsidRDefault="00B2757B">
      <w:pPr>
        <w:spacing w:before="120" w:after="120" w:line="360" w:lineRule="auto"/>
        <w:ind w:left="1416" w:hanging="566"/>
        <w:rPr>
          <w:szCs w:val="24"/>
          <w:lang w:eastAsia="en-US"/>
        </w:rPr>
      </w:pPr>
      <w:r>
        <w:rPr>
          <w:b/>
          <w:i/>
          <w:szCs w:val="24"/>
          <w:lang w:eastAsia="en-US"/>
        </w:rPr>
        <w:t>a)</w:t>
      </w:r>
      <w:r>
        <w:rPr>
          <w:szCs w:val="24"/>
          <w:lang w:eastAsia="en-US"/>
        </w:rPr>
        <w:tab/>
      </w:r>
      <w:r>
        <w:rPr>
          <w:b/>
          <w:i/>
          <w:szCs w:val="24"/>
          <w:lang w:eastAsia="en-US"/>
        </w:rPr>
        <w:t>dobrovoľný charakter používania monitorovacieho nástroja, ktorým nie sú dotknuté opatrenia, ktoré už členské štáty zaviedli;</w:t>
      </w:r>
    </w:p>
    <w:p w14:paraId="682590C7" w14:textId="77777777" w:rsidR="002709ED" w:rsidRDefault="00B2757B">
      <w:pPr>
        <w:spacing w:before="120" w:after="120" w:line="360" w:lineRule="auto"/>
        <w:ind w:left="1416" w:hanging="566"/>
        <w:rPr>
          <w:szCs w:val="24"/>
          <w:lang w:eastAsia="en-US"/>
        </w:rPr>
      </w:pPr>
      <w:r>
        <w:rPr>
          <w:b/>
          <w:i/>
          <w:szCs w:val="24"/>
          <w:lang w:eastAsia="en-US"/>
        </w:rPr>
        <w:t>b)</w:t>
      </w:r>
      <w:r>
        <w:rPr>
          <w:szCs w:val="24"/>
          <w:lang w:eastAsia="en-US"/>
        </w:rPr>
        <w:tab/>
      </w:r>
      <w:r>
        <w:rPr>
          <w:b/>
          <w:i/>
          <w:szCs w:val="24"/>
          <w:lang w:eastAsia="en-US"/>
        </w:rPr>
        <w:t>prevádzkové postupy pre členské štáty, ktoré majú v úmysle využiť monitorovací nástroj, ktoré okrem iného zahŕňajú požadované oznámenie Komisii o ich presných potrebách alebo schopnostiach monitorovania, presných protokoloch na správu vzoriek, ako aj trvaní, počas ktorého majú v úmysle zostať súčasťou mechanizmu;</w:t>
      </w:r>
    </w:p>
    <w:p w14:paraId="0430067A" w14:textId="77777777" w:rsidR="002709ED" w:rsidRDefault="00B2757B">
      <w:pPr>
        <w:widowControl/>
        <w:rPr>
          <w:b/>
          <w:i/>
          <w:szCs w:val="24"/>
          <w:lang w:eastAsia="en-US"/>
        </w:rPr>
      </w:pPr>
      <w:r>
        <w:rPr>
          <w:b/>
          <w:i/>
          <w:szCs w:val="24"/>
          <w:lang w:eastAsia="en-US"/>
        </w:rPr>
        <w:br w:type="page"/>
      </w:r>
    </w:p>
    <w:p w14:paraId="4175242D" w14:textId="77777777" w:rsidR="002709ED" w:rsidRDefault="00B2757B">
      <w:pPr>
        <w:spacing w:before="120" w:after="120" w:line="360" w:lineRule="auto"/>
        <w:ind w:left="1416" w:hanging="566"/>
        <w:rPr>
          <w:b/>
          <w:szCs w:val="24"/>
          <w:lang w:eastAsia="en-US"/>
        </w:rPr>
      </w:pPr>
      <w:r>
        <w:rPr>
          <w:b/>
          <w:i/>
          <w:szCs w:val="24"/>
          <w:lang w:eastAsia="en-US"/>
        </w:rPr>
        <w:lastRenderedPageBreak/>
        <w:t>c)</w:t>
      </w:r>
      <w:r>
        <w:rPr>
          <w:szCs w:val="24"/>
          <w:lang w:eastAsia="en-US"/>
        </w:rPr>
        <w:tab/>
      </w:r>
      <w:r>
        <w:rPr>
          <w:b/>
          <w:i/>
          <w:szCs w:val="24"/>
          <w:lang w:eastAsia="en-US"/>
        </w:rPr>
        <w:t>zdroje financovania, ktoré môžu zahŕňať príslušné štrukturálne fondy a programy Únie, ako aj príspevky zo súkromného sektora, a to aj v rámci mechanizmu rozšírenej zodpovednosti výrobcu po zavedení v súlade s článkom 8ba.</w:t>
      </w:r>
      <w:r>
        <w:rPr>
          <w:szCs w:val="24"/>
          <w:lang w:eastAsia="en-US"/>
        </w:rPr>
        <w:t>“</w:t>
      </w:r>
      <w:r>
        <w:rPr>
          <w:b/>
          <w:szCs w:val="24"/>
          <w:lang w:eastAsia="en-US"/>
        </w:rPr>
        <w:t xml:space="preserve"> [PN 133]</w:t>
      </w:r>
    </w:p>
    <w:p w14:paraId="45F9B27B" w14:textId="77777777" w:rsidR="002709ED" w:rsidRDefault="00B2757B">
      <w:pPr>
        <w:spacing w:before="120" w:after="120" w:line="360" w:lineRule="auto"/>
        <w:ind w:left="850" w:hanging="850"/>
        <w:rPr>
          <w:szCs w:val="24"/>
          <w:lang w:eastAsia="en-US"/>
        </w:rPr>
      </w:pPr>
      <w:r>
        <w:rPr>
          <w:szCs w:val="24"/>
          <w:lang w:eastAsia="en-US"/>
        </w:rPr>
        <w:t>8.</w:t>
      </w:r>
      <w:r>
        <w:rPr>
          <w:szCs w:val="24"/>
          <w:lang w:eastAsia="en-US"/>
        </w:rPr>
        <w:tab/>
        <w:t>Vkladá sa tento článok 8d:</w:t>
      </w:r>
    </w:p>
    <w:p w14:paraId="1740F440" w14:textId="77777777" w:rsidR="002709ED" w:rsidRDefault="00B2757B">
      <w:pPr>
        <w:spacing w:before="120" w:after="120" w:line="360" w:lineRule="auto"/>
        <w:ind w:left="850"/>
        <w:rPr>
          <w:szCs w:val="24"/>
          <w:lang w:eastAsia="en-US"/>
        </w:rPr>
      </w:pPr>
      <w:r>
        <w:rPr>
          <w:szCs w:val="24"/>
          <w:lang w:eastAsia="en-US"/>
        </w:rPr>
        <w:t>„Článok 8d</w:t>
      </w:r>
    </w:p>
    <w:p w14:paraId="31E6ED61" w14:textId="77777777" w:rsidR="002709ED" w:rsidRDefault="00B2757B">
      <w:pPr>
        <w:spacing w:before="120" w:after="120" w:line="360" w:lineRule="auto"/>
        <w:ind w:left="850"/>
        <w:rPr>
          <w:szCs w:val="24"/>
          <w:lang w:eastAsia="en-US"/>
        </w:rPr>
      </w:pPr>
      <w:r>
        <w:rPr>
          <w:szCs w:val="24"/>
          <w:lang w:eastAsia="en-US"/>
        </w:rPr>
        <w:t>Znečisťujúce látky špecifické pre povodie</w:t>
      </w:r>
    </w:p>
    <w:p w14:paraId="032D6993" w14:textId="77777777" w:rsidR="002709ED" w:rsidRDefault="00B2757B">
      <w:pPr>
        <w:spacing w:before="120" w:after="120" w:line="360" w:lineRule="auto"/>
        <w:ind w:left="1416" w:hanging="566"/>
        <w:rPr>
          <w:szCs w:val="24"/>
          <w:lang w:eastAsia="en-US"/>
        </w:rPr>
      </w:pPr>
      <w:r>
        <w:rPr>
          <w:szCs w:val="24"/>
          <w:lang w:eastAsia="en-US"/>
        </w:rPr>
        <w:t>1.</w:t>
      </w:r>
      <w:r>
        <w:rPr>
          <w:szCs w:val="24"/>
          <w:lang w:eastAsia="en-US"/>
        </w:rPr>
        <w:tab/>
        <w:t>Členské štáty stanovia a uplatňujú environmentálne normy kvality týkajúce sa znečisťujúcich látok špecifických pre povodie, na ktoré sa vzťahujú kategórie uvedené v časti A prílohy II k tejto smernici, ak tieto znečisťujúce látky predstavujú riziko pre vodné útvary v jednom alebo viacerých ich správnych územiach povodia na základe analýz a preskúmaní podľa článku 5 smernice 2000/60/EÚ, v súlade s postupom stanoveným v časti B prílohy II k tejto smernici.</w:t>
      </w:r>
    </w:p>
    <w:p w14:paraId="0037DCE3" w14:textId="77777777" w:rsidR="002709ED" w:rsidRDefault="00B2757B">
      <w:pPr>
        <w:spacing w:before="120" w:after="120" w:line="360" w:lineRule="auto"/>
        <w:ind w:left="1416"/>
        <w:rPr>
          <w:szCs w:val="24"/>
          <w:lang w:eastAsia="en-US"/>
        </w:rPr>
      </w:pPr>
      <w:r>
        <w:rPr>
          <w:szCs w:val="24"/>
          <w:lang w:eastAsia="en-US"/>
        </w:rPr>
        <w:t xml:space="preserve">Členské štáty do [Úrad pre publikácie – vložte dátum = prvý deň mesiaca nasledujúceho po 18 mesiacoch </w:t>
      </w:r>
      <w:r w:rsidR="00CA7169">
        <w:rPr>
          <w:szCs w:val="24"/>
          <w:lang w:eastAsia="en-US"/>
        </w:rPr>
        <w:t>po dni</w:t>
      </w:r>
      <w:r>
        <w:rPr>
          <w:szCs w:val="24"/>
          <w:lang w:eastAsia="en-US"/>
        </w:rPr>
        <w:t xml:space="preserve"> nadobudnutia účinnosti tejto smernice] informujú agentúru ECHA o environmentálnych normách kvality uvedených v prvom pododseku. Agentúra ECHA tieto informácie zverejní.</w:t>
      </w:r>
    </w:p>
    <w:p w14:paraId="7A219195" w14:textId="77777777" w:rsidR="002709ED" w:rsidRDefault="00B2757B">
      <w:pPr>
        <w:widowControl/>
        <w:rPr>
          <w:szCs w:val="24"/>
          <w:lang w:eastAsia="en-US"/>
        </w:rPr>
      </w:pPr>
      <w:r>
        <w:rPr>
          <w:szCs w:val="24"/>
          <w:lang w:eastAsia="en-US"/>
        </w:rPr>
        <w:br w:type="page"/>
      </w:r>
    </w:p>
    <w:p w14:paraId="74DAFCE7" w14:textId="77777777" w:rsidR="002709ED" w:rsidRDefault="00B2757B">
      <w:pPr>
        <w:spacing w:before="120" w:after="120" w:line="360" w:lineRule="auto"/>
        <w:ind w:left="1416" w:hanging="566"/>
        <w:rPr>
          <w:szCs w:val="24"/>
          <w:lang w:eastAsia="en-US"/>
        </w:rPr>
      </w:pPr>
      <w:r>
        <w:rPr>
          <w:szCs w:val="24"/>
          <w:lang w:eastAsia="en-US"/>
        </w:rPr>
        <w:lastRenderedPageBreak/>
        <w:t>2.</w:t>
      </w:r>
      <w:r>
        <w:rPr>
          <w:szCs w:val="24"/>
          <w:lang w:eastAsia="en-US"/>
        </w:rPr>
        <w:tab/>
        <w:t>Ak boli environmentálne normy kvality týkajúce sa znečisťujúcich látok špecifických pre povodie stanovené na úrovni Únie a uvedené v časti C prílohy II v súlade s článkom 8, tieto environmentálne normy kvality majú prednosť pred environmentálnymi normami kvality týkajúcimi sa znečisťujúcich látok špecifických pre povodie stanovenými na vnútroštátnej úrovni v súlade s odsekom 1. Tieto environmentálne normy kvality stanovené na úrovni Únie uplatňujú aj členské štáty s cieľom určiť, či znečisťujúce látky špecifické pre povodie uvedené v časti C prílohy II predstavujú riziko.</w:t>
      </w:r>
    </w:p>
    <w:p w14:paraId="10251CA3" w14:textId="77777777" w:rsidR="002709ED" w:rsidRDefault="00B2757B">
      <w:pPr>
        <w:spacing w:before="120" w:after="120" w:line="360" w:lineRule="auto"/>
        <w:ind w:left="1416" w:hanging="566"/>
        <w:rPr>
          <w:szCs w:val="24"/>
          <w:lang w:eastAsia="en-US"/>
        </w:rPr>
      </w:pPr>
      <w:r>
        <w:rPr>
          <w:szCs w:val="24"/>
          <w:lang w:eastAsia="en-US"/>
        </w:rPr>
        <w:t>3.</w:t>
      </w:r>
      <w:r>
        <w:rPr>
          <w:szCs w:val="24"/>
          <w:lang w:eastAsia="en-US"/>
        </w:rPr>
        <w:tab/>
        <w:t>Na to, aby bol vodný útvar v dobrom chemickom stave, sa vyžaduje súlad s uplatniteľnými vnútroštátnymi environmentálnymi normami kvality alebo prípadne environmentálnymi normami kvality stanovenými na úrovni Únie, a to v súlade s vymedzením pojmu v článku 2 bode 24 smernice 2000/60/ES.;</w:t>
      </w:r>
    </w:p>
    <w:p w14:paraId="7AC85049" w14:textId="77777777" w:rsidR="002709ED" w:rsidRDefault="00B2757B">
      <w:pPr>
        <w:spacing w:before="120" w:after="120" w:line="360" w:lineRule="auto"/>
        <w:ind w:left="1416" w:hanging="566"/>
        <w:rPr>
          <w:b/>
          <w:szCs w:val="24"/>
          <w:lang w:eastAsia="en-US"/>
        </w:rPr>
      </w:pPr>
      <w:r>
        <w:rPr>
          <w:b/>
          <w:i/>
          <w:szCs w:val="24"/>
          <w:lang w:eastAsia="en-US"/>
        </w:rPr>
        <w:t>3a.</w:t>
      </w:r>
      <w:r>
        <w:rPr>
          <w:szCs w:val="24"/>
          <w:lang w:eastAsia="en-US"/>
        </w:rPr>
        <w:tab/>
      </w:r>
      <w:r>
        <w:rPr>
          <w:b/>
          <w:i/>
          <w:szCs w:val="24"/>
          <w:lang w:eastAsia="en-US"/>
        </w:rPr>
        <w:t>Pri stanovovaní a uplatňovaní ENK pre znečisťujúce látky špecifické pre dané povodie môžu členské štáty zohľadniť biologickú dostupnosť kovov.</w:t>
      </w:r>
      <w:r>
        <w:rPr>
          <w:szCs w:val="24"/>
          <w:lang w:eastAsia="en-US"/>
        </w:rPr>
        <w:t>“</w:t>
      </w:r>
      <w:r>
        <w:rPr>
          <w:b/>
          <w:szCs w:val="24"/>
          <w:lang w:eastAsia="en-US"/>
        </w:rPr>
        <w:t xml:space="preserve"> [PN 134]</w:t>
      </w:r>
    </w:p>
    <w:p w14:paraId="71BCEDC3" w14:textId="77777777" w:rsidR="002709ED" w:rsidRDefault="00B2757B">
      <w:pPr>
        <w:widowControl/>
        <w:rPr>
          <w:b/>
          <w:i/>
          <w:szCs w:val="24"/>
          <w:lang w:eastAsia="en-US"/>
        </w:rPr>
      </w:pPr>
      <w:r>
        <w:rPr>
          <w:b/>
          <w:i/>
          <w:szCs w:val="24"/>
          <w:lang w:eastAsia="en-US"/>
        </w:rPr>
        <w:br w:type="page"/>
      </w:r>
    </w:p>
    <w:p w14:paraId="77FA4BBF" w14:textId="77777777" w:rsidR="002709ED" w:rsidRDefault="00B2757B">
      <w:pPr>
        <w:spacing w:before="120" w:after="120" w:line="360" w:lineRule="auto"/>
        <w:ind w:left="850" w:hanging="850"/>
        <w:rPr>
          <w:szCs w:val="24"/>
          <w:lang w:eastAsia="en-US"/>
        </w:rPr>
      </w:pPr>
      <w:r>
        <w:rPr>
          <w:b/>
          <w:i/>
          <w:szCs w:val="24"/>
          <w:lang w:eastAsia="en-US"/>
        </w:rPr>
        <w:lastRenderedPageBreak/>
        <w:t>8a.</w:t>
      </w:r>
      <w:r>
        <w:rPr>
          <w:szCs w:val="24"/>
          <w:lang w:eastAsia="en-US"/>
        </w:rPr>
        <w:tab/>
      </w:r>
      <w:r>
        <w:rPr>
          <w:b/>
          <w:i/>
          <w:szCs w:val="24"/>
          <w:lang w:eastAsia="en-US"/>
        </w:rPr>
        <w:t>V článku 9a sa odsek 2 mení takto:</w:t>
      </w:r>
    </w:p>
    <w:p w14:paraId="5838CC9B" w14:textId="77777777" w:rsidR="002709ED" w:rsidRDefault="00B2757B">
      <w:pPr>
        <w:spacing w:before="120" w:after="120" w:line="360" w:lineRule="auto"/>
        <w:ind w:left="1416" w:hanging="566"/>
        <w:rPr>
          <w:b/>
          <w:szCs w:val="24"/>
          <w:lang w:eastAsia="en-US"/>
        </w:rPr>
      </w:pPr>
      <w:r>
        <w:rPr>
          <w:szCs w:val="24"/>
          <w:lang w:eastAsia="en-US"/>
        </w:rPr>
        <w:t>„</w:t>
      </w:r>
      <w:r>
        <w:rPr>
          <w:b/>
          <w:i/>
          <w:szCs w:val="24"/>
          <w:lang w:eastAsia="en-US"/>
        </w:rPr>
        <w:t>2.</w:t>
      </w:r>
      <w:r>
        <w:rPr>
          <w:szCs w:val="24"/>
          <w:lang w:eastAsia="en-US"/>
        </w:rPr>
        <w:tab/>
      </w:r>
      <w:r>
        <w:rPr>
          <w:b/>
          <w:i/>
          <w:szCs w:val="24"/>
          <w:lang w:eastAsia="en-US"/>
        </w:rPr>
        <w:t>Právomoc prijímať delegované akty uvedené v článku 3 ods. 8, článku 8 ods. 3, 6a, 6b a článku 8a ods. 3a sa Komisii udeľuje na dobu 6 rokov od [Úrad pre publikácie: vložte dátum = dátum nadobudnutia účinnosti tejto smernice]. Komisia predloží správu týkajúcu sa delegovania právomoci najneskôr 9 mesiacov pred koncom daného šesťročného obdobia. Delegovanie právomoci sa automaticky predlžuje o rovnako dlhé obdobia, pokiaľ Európsky parlament alebo Rada nevznesú voči takémuto predĺženiu námietku najneskôr tri mesiace pred koncom každého obdobia.</w:t>
      </w:r>
      <w:r>
        <w:rPr>
          <w:szCs w:val="24"/>
          <w:lang w:eastAsia="en-US"/>
        </w:rPr>
        <w:t>“</w:t>
      </w:r>
      <w:r>
        <w:rPr>
          <w:b/>
          <w:szCs w:val="24"/>
          <w:lang w:eastAsia="en-US"/>
        </w:rPr>
        <w:t xml:space="preserve"> [PN 135]</w:t>
      </w:r>
    </w:p>
    <w:p w14:paraId="160E37A5" w14:textId="77777777" w:rsidR="002709ED" w:rsidRDefault="00B2757B">
      <w:pPr>
        <w:spacing w:before="120" w:after="120" w:line="360" w:lineRule="auto"/>
        <w:ind w:left="850" w:hanging="850"/>
        <w:rPr>
          <w:szCs w:val="24"/>
          <w:lang w:eastAsia="en-US"/>
        </w:rPr>
      </w:pPr>
      <w:r>
        <w:rPr>
          <w:b/>
          <w:i/>
          <w:szCs w:val="24"/>
          <w:lang w:eastAsia="en-US"/>
        </w:rPr>
        <w:t>8b.</w:t>
      </w:r>
      <w:r>
        <w:rPr>
          <w:szCs w:val="24"/>
          <w:lang w:eastAsia="en-US"/>
        </w:rPr>
        <w:tab/>
      </w:r>
      <w:r>
        <w:rPr>
          <w:b/>
          <w:i/>
          <w:szCs w:val="24"/>
          <w:lang w:eastAsia="en-US"/>
        </w:rPr>
        <w:t>V článku 9a sa odsek 3 mení takto:</w:t>
      </w:r>
    </w:p>
    <w:p w14:paraId="3A79668B" w14:textId="77777777" w:rsidR="002709ED" w:rsidRDefault="00B2757B">
      <w:pPr>
        <w:spacing w:before="120" w:after="120" w:line="360" w:lineRule="auto"/>
        <w:ind w:left="1416" w:hanging="566"/>
        <w:rPr>
          <w:b/>
          <w:szCs w:val="24"/>
          <w:lang w:eastAsia="en-US"/>
        </w:rPr>
      </w:pPr>
      <w:r>
        <w:rPr>
          <w:szCs w:val="24"/>
          <w:lang w:eastAsia="en-US"/>
        </w:rPr>
        <w:t>„</w:t>
      </w:r>
      <w:r>
        <w:rPr>
          <w:b/>
          <w:i/>
          <w:szCs w:val="24"/>
          <w:lang w:eastAsia="en-US"/>
        </w:rPr>
        <w:t>3.</w:t>
      </w:r>
      <w:r>
        <w:rPr>
          <w:szCs w:val="24"/>
          <w:lang w:eastAsia="en-US"/>
        </w:rPr>
        <w:tab/>
      </w:r>
      <w:r>
        <w:rPr>
          <w:b/>
          <w:i/>
          <w:szCs w:val="24"/>
          <w:lang w:eastAsia="en-US"/>
        </w:rPr>
        <w:t>Delegovanie právomoci uvedené článku 3 ods. 8, článku 8 ods. 3, 6a, 6b a článku 8a ods. 3a môže Európsky parlament alebo Rada kedykoľvek odvolať. Rozhodnutím o odvolaní sa ukončuje delegovanie právomoci, ktoré sa v ňom uvádza. Rozhodnutie nadobúda účinnosť dňom nasledujúcim po jeho uverejnení v Úradnom vestníku Európskej únie alebo k neskoršiemu dátumu, ktorý je v ňom určený. Nie je ním dotknutá platnosť delegovaných aktov, ktoré už nadobudli účinnosť.</w:t>
      </w:r>
      <w:r>
        <w:rPr>
          <w:szCs w:val="24"/>
          <w:lang w:eastAsia="en-US"/>
        </w:rPr>
        <w:t>“</w:t>
      </w:r>
      <w:r>
        <w:rPr>
          <w:b/>
          <w:szCs w:val="24"/>
          <w:lang w:eastAsia="en-US"/>
        </w:rPr>
        <w:t xml:space="preserve"> [PN 136]</w:t>
      </w:r>
    </w:p>
    <w:p w14:paraId="5E5FC5C6" w14:textId="77777777" w:rsidR="002709ED" w:rsidRDefault="00B2757B">
      <w:pPr>
        <w:widowControl/>
        <w:rPr>
          <w:b/>
          <w:i/>
          <w:szCs w:val="24"/>
          <w:lang w:eastAsia="en-US"/>
        </w:rPr>
      </w:pPr>
      <w:r>
        <w:rPr>
          <w:b/>
          <w:i/>
          <w:szCs w:val="24"/>
          <w:lang w:eastAsia="en-US"/>
        </w:rPr>
        <w:br w:type="page"/>
      </w:r>
    </w:p>
    <w:p w14:paraId="1B33309F" w14:textId="77777777" w:rsidR="002709ED" w:rsidRDefault="00B2757B">
      <w:pPr>
        <w:spacing w:before="120" w:after="120" w:line="360" w:lineRule="auto"/>
        <w:ind w:left="850" w:hanging="850"/>
        <w:rPr>
          <w:szCs w:val="24"/>
          <w:lang w:eastAsia="en-US"/>
        </w:rPr>
      </w:pPr>
      <w:r>
        <w:rPr>
          <w:b/>
          <w:i/>
          <w:szCs w:val="24"/>
          <w:lang w:eastAsia="en-US"/>
        </w:rPr>
        <w:lastRenderedPageBreak/>
        <w:t>8c.</w:t>
      </w:r>
      <w:r>
        <w:rPr>
          <w:szCs w:val="24"/>
          <w:lang w:eastAsia="en-US"/>
        </w:rPr>
        <w:tab/>
      </w:r>
      <w:r>
        <w:rPr>
          <w:b/>
          <w:i/>
          <w:szCs w:val="24"/>
          <w:lang w:eastAsia="en-US"/>
        </w:rPr>
        <w:t>Do článku 9a sa vkladá odsek 3a:</w:t>
      </w:r>
    </w:p>
    <w:p w14:paraId="15DD08A0" w14:textId="77777777" w:rsidR="002709ED" w:rsidRDefault="00B2757B">
      <w:pPr>
        <w:spacing w:before="120" w:after="120" w:line="360" w:lineRule="auto"/>
        <w:ind w:left="1416" w:hanging="566"/>
        <w:rPr>
          <w:b/>
          <w:szCs w:val="24"/>
          <w:lang w:eastAsia="en-US"/>
        </w:rPr>
      </w:pPr>
      <w:r>
        <w:rPr>
          <w:szCs w:val="24"/>
          <w:lang w:eastAsia="en-US"/>
        </w:rPr>
        <w:t>„</w:t>
      </w:r>
      <w:r>
        <w:rPr>
          <w:b/>
          <w:i/>
          <w:szCs w:val="24"/>
          <w:lang w:eastAsia="en-US"/>
        </w:rPr>
        <w:t>3a.</w:t>
      </w:r>
      <w:r>
        <w:rPr>
          <w:szCs w:val="24"/>
          <w:lang w:eastAsia="en-US"/>
        </w:rPr>
        <w:tab/>
      </w:r>
      <w:r>
        <w:rPr>
          <w:b/>
          <w:i/>
          <w:szCs w:val="24"/>
          <w:lang w:eastAsia="en-US"/>
        </w:rPr>
        <w:t>Komisia pred prijatím delegovaného aktu konzultuje s expertmi určenými jednotlivými členskými štátmi v súlade so zásadami stanovenými v Medziinštitucionálnej dohode z 13. apríla 2016 o lepšej tvorbe práva.</w:t>
      </w:r>
      <w:r>
        <w:rPr>
          <w:szCs w:val="24"/>
          <w:lang w:eastAsia="en-US"/>
        </w:rPr>
        <w:t>“</w:t>
      </w:r>
      <w:r>
        <w:rPr>
          <w:b/>
          <w:szCs w:val="24"/>
          <w:lang w:eastAsia="en-US"/>
        </w:rPr>
        <w:t xml:space="preserve"> [PN 137]</w:t>
      </w:r>
    </w:p>
    <w:p w14:paraId="5BA092D4" w14:textId="77777777" w:rsidR="002709ED" w:rsidRDefault="00B2757B">
      <w:pPr>
        <w:spacing w:before="120" w:after="120" w:line="360" w:lineRule="auto"/>
        <w:ind w:left="850" w:hanging="850"/>
        <w:rPr>
          <w:szCs w:val="24"/>
          <w:lang w:eastAsia="en-US"/>
        </w:rPr>
      </w:pPr>
      <w:r>
        <w:rPr>
          <w:b/>
          <w:i/>
          <w:szCs w:val="24"/>
          <w:lang w:eastAsia="en-US"/>
        </w:rPr>
        <w:t>8d.</w:t>
      </w:r>
      <w:r>
        <w:rPr>
          <w:szCs w:val="24"/>
          <w:lang w:eastAsia="en-US"/>
        </w:rPr>
        <w:tab/>
      </w:r>
      <w:r>
        <w:rPr>
          <w:b/>
          <w:i/>
          <w:szCs w:val="24"/>
          <w:lang w:eastAsia="en-US"/>
        </w:rPr>
        <w:t>V článku 9a sa odsek 5 mení takto:</w:t>
      </w:r>
    </w:p>
    <w:p w14:paraId="3A2DAB67" w14:textId="77777777" w:rsidR="002709ED" w:rsidRDefault="00B2757B">
      <w:pPr>
        <w:spacing w:before="120" w:after="120" w:line="360" w:lineRule="auto"/>
        <w:ind w:left="1416" w:hanging="566"/>
        <w:rPr>
          <w:b/>
          <w:szCs w:val="24"/>
          <w:lang w:eastAsia="en-US"/>
        </w:rPr>
      </w:pPr>
      <w:r>
        <w:rPr>
          <w:szCs w:val="24"/>
          <w:lang w:eastAsia="en-US"/>
        </w:rPr>
        <w:t>„</w:t>
      </w:r>
      <w:r>
        <w:rPr>
          <w:b/>
          <w:i/>
          <w:szCs w:val="24"/>
          <w:lang w:eastAsia="en-US"/>
        </w:rPr>
        <w:t>5.</w:t>
      </w:r>
      <w:r>
        <w:rPr>
          <w:szCs w:val="24"/>
          <w:lang w:eastAsia="en-US"/>
        </w:rPr>
        <w:tab/>
      </w:r>
      <w:r>
        <w:rPr>
          <w:b/>
          <w:i/>
          <w:szCs w:val="24"/>
          <w:lang w:eastAsia="en-US"/>
        </w:rPr>
        <w:t>Delegovaný akt prijatý podľa článku 3 ods. 8, článku 8 ods. 3, 6a, 6b a článku 8a ods. 3a nadobudne účinnosť, len ak Európsky parlament ani Rada voči nemu nevzniesli námietku v lehote dvoch mesiacov odo dňa oznámenia uvedeného aktu Európskemu parlamentu a Rade alebo ak pred uplynutím uvedenej lehoty Európsky parlament a Rada informovali Komisiu o svojom rozhodnutí nevzniesť námietku. Na podnet Európskeho parlamentu alebo Rady sa táto lehota predĺži o dva mesiace.</w:t>
      </w:r>
      <w:r>
        <w:rPr>
          <w:szCs w:val="24"/>
          <w:lang w:eastAsia="en-US"/>
        </w:rPr>
        <w:t>“</w:t>
      </w:r>
      <w:r>
        <w:rPr>
          <w:b/>
          <w:szCs w:val="24"/>
          <w:lang w:eastAsia="en-US"/>
        </w:rPr>
        <w:t xml:space="preserve"> [PN 138]</w:t>
      </w:r>
    </w:p>
    <w:p w14:paraId="051566D6" w14:textId="77777777" w:rsidR="002709ED" w:rsidRDefault="00B2757B">
      <w:pPr>
        <w:widowControl/>
        <w:rPr>
          <w:szCs w:val="24"/>
          <w:lang w:eastAsia="en-US"/>
        </w:rPr>
      </w:pPr>
      <w:r>
        <w:rPr>
          <w:szCs w:val="24"/>
          <w:lang w:eastAsia="en-US"/>
        </w:rPr>
        <w:br w:type="page"/>
      </w:r>
    </w:p>
    <w:p w14:paraId="2116E01C" w14:textId="77777777" w:rsidR="002709ED" w:rsidRDefault="00B2757B">
      <w:pPr>
        <w:spacing w:before="120" w:after="120" w:line="360" w:lineRule="auto"/>
        <w:ind w:left="850" w:hanging="850"/>
        <w:rPr>
          <w:szCs w:val="24"/>
          <w:lang w:eastAsia="en-US"/>
        </w:rPr>
      </w:pPr>
      <w:r>
        <w:rPr>
          <w:szCs w:val="24"/>
          <w:lang w:eastAsia="en-US"/>
        </w:rPr>
        <w:lastRenderedPageBreak/>
        <w:t>9.</w:t>
      </w:r>
      <w:r>
        <w:rPr>
          <w:szCs w:val="24"/>
          <w:lang w:eastAsia="en-US"/>
        </w:rPr>
        <w:tab/>
        <w:t>Článok 10 sa vypúšťa;</w:t>
      </w:r>
    </w:p>
    <w:p w14:paraId="05A046C7" w14:textId="77777777" w:rsidR="002709ED" w:rsidRDefault="00B2757B">
      <w:pPr>
        <w:spacing w:before="120" w:after="120" w:line="360" w:lineRule="auto"/>
        <w:ind w:left="850" w:hanging="850"/>
        <w:rPr>
          <w:szCs w:val="24"/>
          <w:lang w:eastAsia="en-US"/>
        </w:rPr>
      </w:pPr>
      <w:r>
        <w:rPr>
          <w:szCs w:val="24"/>
          <w:lang w:eastAsia="en-US"/>
        </w:rPr>
        <w:t>10.</w:t>
      </w:r>
      <w:r>
        <w:rPr>
          <w:szCs w:val="24"/>
          <w:lang w:eastAsia="en-US"/>
        </w:rPr>
        <w:tab/>
        <w:t>Príloha I sa mení v súlade s prílohou V k tejto smernici;</w:t>
      </w:r>
    </w:p>
    <w:p w14:paraId="70C7E109" w14:textId="77777777" w:rsidR="002709ED" w:rsidRDefault="00B2757B">
      <w:pPr>
        <w:spacing w:before="120" w:after="120" w:line="360" w:lineRule="auto"/>
        <w:ind w:left="850" w:hanging="850"/>
        <w:rPr>
          <w:szCs w:val="24"/>
          <w:lang w:eastAsia="en-US"/>
        </w:rPr>
      </w:pPr>
      <w:r>
        <w:rPr>
          <w:szCs w:val="24"/>
          <w:lang w:eastAsia="en-US"/>
        </w:rPr>
        <w:t>11.</w:t>
      </w:r>
      <w:r>
        <w:rPr>
          <w:szCs w:val="24"/>
          <w:lang w:eastAsia="en-US"/>
        </w:rPr>
        <w:tab/>
        <w:t>Dopĺňa sa príloha II, ako sa uvádza v prílohe VI k tejto smernici.</w:t>
      </w:r>
    </w:p>
    <w:p w14:paraId="3F10FE92" w14:textId="77777777" w:rsidR="002709ED" w:rsidRDefault="00B2757B">
      <w:pPr>
        <w:spacing w:before="120" w:after="120" w:line="360" w:lineRule="auto"/>
        <w:jc w:val="center"/>
        <w:rPr>
          <w:szCs w:val="24"/>
          <w:lang w:eastAsia="en-US"/>
        </w:rPr>
      </w:pPr>
      <w:r>
        <w:rPr>
          <w:szCs w:val="24"/>
          <w:lang w:eastAsia="en-US"/>
        </w:rPr>
        <w:t>Článok 4</w:t>
      </w:r>
    </w:p>
    <w:p w14:paraId="0A02FAE3" w14:textId="77777777" w:rsidR="002709ED" w:rsidRDefault="00B2757B">
      <w:pPr>
        <w:spacing w:before="120" w:after="120" w:line="360" w:lineRule="auto"/>
        <w:ind w:left="850" w:hanging="850"/>
        <w:rPr>
          <w:szCs w:val="24"/>
          <w:lang w:eastAsia="en-US"/>
        </w:rPr>
      </w:pPr>
      <w:r>
        <w:rPr>
          <w:szCs w:val="24"/>
          <w:lang w:eastAsia="en-US"/>
        </w:rPr>
        <w:t>1.</w:t>
      </w:r>
      <w:r>
        <w:rPr>
          <w:szCs w:val="24"/>
          <w:lang w:eastAsia="en-US"/>
        </w:rPr>
        <w:tab/>
        <w:t xml:space="preserve">Členské štáty uvedú do účinnosti zákony, iné právne predpisy a správne opatrenia potrebné na dosiahnutie súladu s touto smernicou do [Úrad pre publikácie: vložte dátum = prvý deň mesiaca nasledujúceho po 18 mesiacoch </w:t>
      </w:r>
      <w:r w:rsidR="00B7287D">
        <w:rPr>
          <w:szCs w:val="24"/>
          <w:lang w:eastAsia="en-US"/>
        </w:rPr>
        <w:t>po dni</w:t>
      </w:r>
      <w:r>
        <w:rPr>
          <w:szCs w:val="24"/>
          <w:lang w:eastAsia="en-US"/>
        </w:rPr>
        <w:t xml:space="preserve"> nadobudnutia účinnosti tejto smernice].</w:t>
      </w:r>
    </w:p>
    <w:p w14:paraId="2F5F93C2" w14:textId="77777777" w:rsidR="002709ED" w:rsidRDefault="00B2757B">
      <w:pPr>
        <w:spacing w:before="120" w:after="120" w:line="360" w:lineRule="auto"/>
        <w:ind w:left="850" w:hanging="850"/>
        <w:rPr>
          <w:szCs w:val="24"/>
          <w:lang w:eastAsia="en-US"/>
        </w:rPr>
      </w:pPr>
      <w:r>
        <w:rPr>
          <w:szCs w:val="24"/>
          <w:lang w:eastAsia="en-US"/>
        </w:rPr>
        <w:t>2.</w:t>
      </w:r>
      <w:r>
        <w:rPr>
          <w:szCs w:val="24"/>
          <w:lang w:eastAsia="en-US"/>
        </w:rPr>
        <w:tab/>
        <w:t>Komisii bezodkladne oznámia znenie týchto ustanovení. Členské štáty uvedú priamo v prijatých ustanoveniach alebo pri ich úradnom uverejnení odkaz na túto smernicu. Podrobnosti o odkaze upravia členské štáty. Členské štáty oznámia Komisii znenie hlavných ustanovení vnútroštátneho práva, ktoré prijmú v oblasti pôsobnosti tejto smernice.</w:t>
      </w:r>
    </w:p>
    <w:p w14:paraId="00B44349" w14:textId="77777777" w:rsidR="002709ED" w:rsidRDefault="00B2757B">
      <w:pPr>
        <w:widowControl/>
        <w:rPr>
          <w:szCs w:val="24"/>
          <w:lang w:eastAsia="en-US"/>
        </w:rPr>
      </w:pPr>
      <w:r>
        <w:rPr>
          <w:szCs w:val="24"/>
          <w:lang w:eastAsia="en-US"/>
        </w:rPr>
        <w:br w:type="page"/>
      </w:r>
    </w:p>
    <w:p w14:paraId="1E85F7C7" w14:textId="77777777" w:rsidR="002709ED" w:rsidRDefault="00B2757B">
      <w:pPr>
        <w:spacing w:before="120" w:after="120" w:line="360" w:lineRule="auto"/>
        <w:jc w:val="center"/>
        <w:rPr>
          <w:szCs w:val="24"/>
          <w:lang w:eastAsia="en-US"/>
        </w:rPr>
      </w:pPr>
      <w:r>
        <w:rPr>
          <w:szCs w:val="24"/>
          <w:lang w:eastAsia="en-US"/>
        </w:rPr>
        <w:lastRenderedPageBreak/>
        <w:t>Článok 5</w:t>
      </w:r>
    </w:p>
    <w:p w14:paraId="147F3FE0" w14:textId="77777777" w:rsidR="002709ED" w:rsidRDefault="00B2757B">
      <w:pPr>
        <w:spacing w:before="120" w:after="120" w:line="360" w:lineRule="auto"/>
        <w:rPr>
          <w:szCs w:val="24"/>
          <w:lang w:eastAsia="en-US"/>
        </w:rPr>
      </w:pPr>
      <w:r>
        <w:rPr>
          <w:szCs w:val="24"/>
          <w:lang w:eastAsia="en-US"/>
        </w:rPr>
        <w:t xml:space="preserve">Táto smernica nadobúda účinnosť dvadsiatym dňom </w:t>
      </w:r>
      <w:r w:rsidR="00880E12">
        <w:rPr>
          <w:szCs w:val="24"/>
          <w:lang w:eastAsia="en-US"/>
        </w:rPr>
        <w:t xml:space="preserve">nasledujúcim </w:t>
      </w:r>
      <w:r>
        <w:rPr>
          <w:szCs w:val="24"/>
          <w:lang w:eastAsia="en-US"/>
        </w:rPr>
        <w:t xml:space="preserve">po jej uverejnení v </w:t>
      </w:r>
      <w:r>
        <w:rPr>
          <w:i/>
          <w:szCs w:val="24"/>
          <w:lang w:eastAsia="en-US"/>
        </w:rPr>
        <w:t>Úradnom vestníku Európskej únie</w:t>
      </w:r>
      <w:r>
        <w:rPr>
          <w:szCs w:val="24"/>
          <w:lang w:eastAsia="en-US"/>
        </w:rPr>
        <w:t>.</w:t>
      </w:r>
    </w:p>
    <w:p w14:paraId="70C2244A" w14:textId="77777777" w:rsidR="002709ED" w:rsidRDefault="00B2757B">
      <w:pPr>
        <w:spacing w:before="120" w:after="120" w:line="360" w:lineRule="auto"/>
        <w:jc w:val="center"/>
        <w:rPr>
          <w:szCs w:val="24"/>
          <w:lang w:eastAsia="en-US"/>
        </w:rPr>
      </w:pPr>
      <w:r>
        <w:rPr>
          <w:szCs w:val="24"/>
          <w:lang w:eastAsia="en-US"/>
        </w:rPr>
        <w:t>Článok 6</w:t>
      </w:r>
    </w:p>
    <w:p w14:paraId="62F71E02" w14:textId="77777777" w:rsidR="002709ED" w:rsidRDefault="00B2757B">
      <w:pPr>
        <w:spacing w:before="120" w:after="120" w:line="360" w:lineRule="auto"/>
        <w:rPr>
          <w:szCs w:val="24"/>
          <w:lang w:eastAsia="en-US"/>
        </w:rPr>
      </w:pPr>
      <w:r>
        <w:rPr>
          <w:szCs w:val="24"/>
          <w:lang w:eastAsia="en-US"/>
        </w:rPr>
        <w:t>Táto smernica je určená členským štátom.</w:t>
      </w:r>
    </w:p>
    <w:p w14:paraId="3D472358" w14:textId="77777777" w:rsidR="002709ED" w:rsidRDefault="00B2757B">
      <w:pPr>
        <w:keepNext/>
        <w:widowControl/>
        <w:spacing w:before="120" w:line="360" w:lineRule="auto"/>
        <w:rPr>
          <w:szCs w:val="24"/>
          <w:lang w:eastAsia="en-US"/>
        </w:rPr>
      </w:pPr>
      <w:r>
        <w:rPr>
          <w:szCs w:val="24"/>
          <w:lang w:eastAsia="en-US"/>
        </w:rPr>
        <w:t xml:space="preserve">V </w:t>
      </w:r>
      <w:r w:rsidR="00C27C94">
        <w:rPr>
          <w:szCs w:val="24"/>
          <w:lang w:eastAsia="en-US"/>
        </w:rPr>
        <w:t>…</w:t>
      </w:r>
    </w:p>
    <w:p w14:paraId="6D23C108" w14:textId="77777777" w:rsidR="002709ED" w:rsidRDefault="00B2757B">
      <w:pPr>
        <w:keepNext/>
        <w:widowControl/>
        <w:tabs>
          <w:tab w:val="left" w:pos="4252"/>
        </w:tabs>
        <w:spacing w:before="720" w:line="360" w:lineRule="auto"/>
        <w:jc w:val="both"/>
        <w:rPr>
          <w:i/>
          <w:szCs w:val="24"/>
          <w:lang w:eastAsia="en-US"/>
        </w:rPr>
      </w:pPr>
      <w:r>
        <w:rPr>
          <w:i/>
          <w:szCs w:val="24"/>
          <w:lang w:eastAsia="en-US"/>
        </w:rPr>
        <w:t>Za Európsky parlament</w:t>
      </w:r>
      <w:r>
        <w:rPr>
          <w:i/>
          <w:szCs w:val="24"/>
          <w:lang w:eastAsia="en-US"/>
        </w:rPr>
        <w:tab/>
        <w:t>Za Radu</w:t>
      </w:r>
    </w:p>
    <w:p w14:paraId="0FB1367D" w14:textId="77777777" w:rsidR="002709ED" w:rsidRDefault="00B2757B">
      <w:pPr>
        <w:widowControl/>
        <w:tabs>
          <w:tab w:val="left" w:pos="4252"/>
        </w:tabs>
        <w:spacing w:line="360" w:lineRule="auto"/>
        <w:rPr>
          <w:i/>
          <w:szCs w:val="24"/>
          <w:lang w:eastAsia="en-US"/>
        </w:rPr>
      </w:pPr>
      <w:r>
        <w:rPr>
          <w:i/>
          <w:szCs w:val="24"/>
          <w:lang w:eastAsia="en-US"/>
        </w:rPr>
        <w:t>predsedníčka</w:t>
      </w:r>
      <w:r>
        <w:rPr>
          <w:i/>
          <w:szCs w:val="24"/>
          <w:lang w:eastAsia="en-US"/>
        </w:rPr>
        <w:tab/>
        <w:t>predseda/predsedníčka</w:t>
      </w:r>
    </w:p>
    <w:p w14:paraId="1C840027" w14:textId="77777777" w:rsidR="002709ED" w:rsidRDefault="002709ED">
      <w:pPr>
        <w:spacing w:before="120" w:after="120" w:line="360" w:lineRule="auto"/>
        <w:rPr>
          <w:szCs w:val="24"/>
          <w:lang w:eastAsia="en-US"/>
        </w:rPr>
        <w:sectPr w:rsidR="002709ED">
          <w:footerReference w:type="even" r:id="rId15"/>
          <w:footerReference w:type="first" r:id="rId16"/>
          <w:footnotePr>
            <w:numRestart w:val="eachSect"/>
          </w:footnotePr>
          <w:pgSz w:w="11909" w:h="16834"/>
          <w:pgMar w:top="1134" w:right="1417" w:bottom="1417" w:left="1417" w:header="1134" w:footer="567" w:gutter="0"/>
          <w:cols w:space="720"/>
        </w:sectPr>
      </w:pPr>
    </w:p>
    <w:p w14:paraId="0F068820" w14:textId="77777777" w:rsidR="002709ED" w:rsidRDefault="002709ED">
      <w:pPr>
        <w:spacing w:before="120" w:after="120" w:line="360" w:lineRule="auto"/>
        <w:rPr>
          <w:szCs w:val="24"/>
          <w:lang w:eastAsia="en-US"/>
        </w:rPr>
      </w:pPr>
    </w:p>
    <w:p w14:paraId="08A0F0B2" w14:textId="77777777" w:rsidR="002709ED" w:rsidRDefault="00B2757B">
      <w:pPr>
        <w:spacing w:before="120" w:after="120" w:line="360" w:lineRule="auto"/>
        <w:jc w:val="center"/>
        <w:rPr>
          <w:lang w:eastAsia="en-US"/>
        </w:rPr>
      </w:pPr>
      <w:r>
        <w:rPr>
          <w:lang w:eastAsia="en-US"/>
        </w:rPr>
        <w:t>PRÍLOHA I</w:t>
      </w:r>
    </w:p>
    <w:p w14:paraId="213E9191" w14:textId="77777777" w:rsidR="002709ED" w:rsidRDefault="00B2757B">
      <w:pPr>
        <w:spacing w:before="120" w:after="120" w:line="360" w:lineRule="auto"/>
        <w:rPr>
          <w:szCs w:val="24"/>
          <w:lang w:eastAsia="en-US"/>
        </w:rPr>
      </w:pPr>
      <w:r>
        <w:rPr>
          <w:szCs w:val="24"/>
          <w:lang w:eastAsia="en-US"/>
        </w:rPr>
        <w:t>Príloha V k smernici 2000/60/ES sa mení takto:</w:t>
      </w:r>
    </w:p>
    <w:p w14:paraId="7863244A" w14:textId="77777777" w:rsidR="002709ED" w:rsidRDefault="00B2757B">
      <w:pPr>
        <w:spacing w:before="120" w:after="120" w:line="360" w:lineRule="auto"/>
        <w:ind w:left="850" w:hanging="850"/>
        <w:rPr>
          <w:szCs w:val="24"/>
          <w:lang w:eastAsia="en-US"/>
        </w:rPr>
      </w:pPr>
      <w:r>
        <w:rPr>
          <w:szCs w:val="24"/>
          <w:lang w:eastAsia="en-US"/>
        </w:rPr>
        <w:t>1.</w:t>
      </w:r>
      <w:r>
        <w:rPr>
          <w:szCs w:val="24"/>
          <w:lang w:eastAsia="en-US"/>
        </w:rPr>
        <w:tab/>
        <w:t>Body 1.1.1 až 1.1.4 sa nahrádzajú takto:</w:t>
      </w:r>
    </w:p>
    <w:p w14:paraId="0E742911" w14:textId="77777777" w:rsidR="002709ED" w:rsidRDefault="00B2757B">
      <w:pPr>
        <w:spacing w:before="120" w:after="120" w:line="360" w:lineRule="auto"/>
        <w:ind w:left="1416" w:hanging="566"/>
        <w:rPr>
          <w:szCs w:val="24"/>
          <w:lang w:eastAsia="en-US"/>
        </w:rPr>
      </w:pPr>
      <w:r>
        <w:rPr>
          <w:szCs w:val="24"/>
          <w:lang w:eastAsia="en-US"/>
        </w:rPr>
        <w:t>„1.1.1.</w:t>
      </w:r>
      <w:r>
        <w:rPr>
          <w:szCs w:val="24"/>
          <w:lang w:eastAsia="en-US"/>
        </w:rPr>
        <w:tab/>
        <w:t>Rieky</w:t>
      </w:r>
    </w:p>
    <w:p w14:paraId="19582029" w14:textId="77777777" w:rsidR="002709ED" w:rsidRDefault="00B2757B">
      <w:pPr>
        <w:spacing w:before="120" w:after="120" w:line="360" w:lineRule="auto"/>
        <w:ind w:left="1416"/>
        <w:rPr>
          <w:szCs w:val="24"/>
          <w:lang w:eastAsia="en-US"/>
        </w:rPr>
      </w:pPr>
      <w:r>
        <w:rPr>
          <w:szCs w:val="24"/>
          <w:lang w:eastAsia="en-US"/>
        </w:rPr>
        <w:t>Biologické prvky</w:t>
      </w:r>
    </w:p>
    <w:p w14:paraId="64D67419" w14:textId="77777777" w:rsidR="002709ED" w:rsidRDefault="00B2757B">
      <w:pPr>
        <w:spacing w:before="120" w:after="120" w:line="360" w:lineRule="auto"/>
        <w:ind w:left="1416"/>
        <w:rPr>
          <w:szCs w:val="24"/>
          <w:lang w:eastAsia="en-US"/>
        </w:rPr>
      </w:pPr>
      <w:r>
        <w:rPr>
          <w:szCs w:val="24"/>
          <w:lang w:eastAsia="en-US"/>
        </w:rPr>
        <w:t>Zloženie a početnosť vodnej flóry</w:t>
      </w:r>
    </w:p>
    <w:p w14:paraId="1230CD8F" w14:textId="77777777" w:rsidR="002709ED" w:rsidRDefault="00B2757B">
      <w:pPr>
        <w:spacing w:before="120" w:after="120" w:line="360" w:lineRule="auto"/>
        <w:ind w:left="1416"/>
        <w:rPr>
          <w:szCs w:val="24"/>
          <w:lang w:eastAsia="en-US"/>
        </w:rPr>
      </w:pPr>
      <w:r>
        <w:rPr>
          <w:szCs w:val="24"/>
          <w:lang w:eastAsia="en-US"/>
        </w:rPr>
        <w:t>Zloženie a početnosť fauny bentických bezstavovcov</w:t>
      </w:r>
    </w:p>
    <w:p w14:paraId="754A9EB1" w14:textId="77777777" w:rsidR="002709ED" w:rsidRDefault="00B2757B">
      <w:pPr>
        <w:spacing w:before="120" w:after="120" w:line="360" w:lineRule="auto"/>
        <w:ind w:left="1416"/>
        <w:rPr>
          <w:szCs w:val="24"/>
          <w:lang w:eastAsia="en-US"/>
        </w:rPr>
      </w:pPr>
      <w:r>
        <w:rPr>
          <w:szCs w:val="24"/>
          <w:lang w:eastAsia="en-US"/>
        </w:rPr>
        <w:t>Zloženie, početnosť a veková štruktúra rybej fauny</w:t>
      </w:r>
    </w:p>
    <w:p w14:paraId="4AB6F1E6" w14:textId="77777777" w:rsidR="002709ED" w:rsidRDefault="00B2757B">
      <w:pPr>
        <w:spacing w:before="120" w:after="120" w:line="360" w:lineRule="auto"/>
        <w:ind w:left="1416"/>
        <w:rPr>
          <w:szCs w:val="24"/>
          <w:lang w:eastAsia="en-US"/>
        </w:rPr>
      </w:pPr>
      <w:r>
        <w:rPr>
          <w:szCs w:val="24"/>
          <w:lang w:eastAsia="en-US"/>
        </w:rPr>
        <w:t>Hydromorfologické prvky podporujúce biologické prvky</w:t>
      </w:r>
    </w:p>
    <w:p w14:paraId="676AD94C" w14:textId="77777777" w:rsidR="002709ED" w:rsidRDefault="00B2757B">
      <w:pPr>
        <w:spacing w:before="120" w:after="120" w:line="360" w:lineRule="auto"/>
        <w:ind w:left="850"/>
        <w:rPr>
          <w:szCs w:val="24"/>
          <w:lang w:eastAsia="en-US"/>
        </w:rPr>
      </w:pPr>
      <w:r>
        <w:rPr>
          <w:szCs w:val="24"/>
          <w:lang w:eastAsia="en-US"/>
        </w:rPr>
        <w:t>Hydrologický režim</w:t>
      </w:r>
    </w:p>
    <w:p w14:paraId="091F2329" w14:textId="77777777" w:rsidR="002709ED" w:rsidRDefault="00B2757B">
      <w:pPr>
        <w:spacing w:before="120" w:after="120" w:line="360" w:lineRule="auto"/>
        <w:ind w:left="1416"/>
        <w:rPr>
          <w:szCs w:val="24"/>
          <w:lang w:eastAsia="en-US"/>
        </w:rPr>
      </w:pPr>
      <w:r>
        <w:rPr>
          <w:szCs w:val="24"/>
          <w:lang w:eastAsia="en-US"/>
        </w:rPr>
        <w:t>veľkosť a dynamika toku vody</w:t>
      </w:r>
    </w:p>
    <w:p w14:paraId="0A949A9D" w14:textId="77777777" w:rsidR="002709ED" w:rsidRDefault="00B2757B">
      <w:pPr>
        <w:spacing w:before="120" w:after="120" w:line="360" w:lineRule="auto"/>
        <w:ind w:left="1416"/>
        <w:rPr>
          <w:szCs w:val="24"/>
          <w:lang w:eastAsia="en-US"/>
        </w:rPr>
      </w:pPr>
      <w:r>
        <w:rPr>
          <w:szCs w:val="24"/>
          <w:lang w:eastAsia="en-US"/>
        </w:rPr>
        <w:t>spojenie s útvarmi podzemnej vody</w:t>
      </w:r>
    </w:p>
    <w:p w14:paraId="01FC2DCA" w14:textId="77777777" w:rsidR="002709ED" w:rsidRDefault="00B2757B">
      <w:pPr>
        <w:spacing w:before="120" w:after="120" w:line="360" w:lineRule="auto"/>
        <w:ind w:left="1416"/>
        <w:rPr>
          <w:szCs w:val="24"/>
          <w:lang w:eastAsia="en-US"/>
        </w:rPr>
      </w:pPr>
      <w:r>
        <w:rPr>
          <w:szCs w:val="24"/>
          <w:lang w:eastAsia="en-US"/>
        </w:rPr>
        <w:t>Priechodnosť riek</w:t>
      </w:r>
    </w:p>
    <w:p w14:paraId="42754D10" w14:textId="77777777" w:rsidR="002709ED" w:rsidRDefault="00B2757B">
      <w:pPr>
        <w:widowControl/>
        <w:rPr>
          <w:szCs w:val="24"/>
          <w:lang w:eastAsia="en-US"/>
        </w:rPr>
      </w:pPr>
      <w:r>
        <w:rPr>
          <w:szCs w:val="24"/>
          <w:lang w:eastAsia="en-US"/>
        </w:rPr>
        <w:br w:type="page"/>
      </w:r>
    </w:p>
    <w:p w14:paraId="291A3EE0" w14:textId="77777777" w:rsidR="002709ED" w:rsidRDefault="00B2757B">
      <w:pPr>
        <w:spacing w:before="120" w:after="120" w:line="360" w:lineRule="auto"/>
        <w:ind w:left="850"/>
        <w:rPr>
          <w:szCs w:val="24"/>
          <w:lang w:eastAsia="en-US"/>
        </w:rPr>
      </w:pPr>
      <w:r>
        <w:rPr>
          <w:szCs w:val="24"/>
          <w:lang w:eastAsia="en-US"/>
        </w:rPr>
        <w:lastRenderedPageBreak/>
        <w:t>Morfologické podmienky</w:t>
      </w:r>
    </w:p>
    <w:p w14:paraId="6EEADC9B" w14:textId="77777777" w:rsidR="002709ED" w:rsidRDefault="00B2757B">
      <w:pPr>
        <w:spacing w:before="120" w:after="120" w:line="360" w:lineRule="auto"/>
        <w:ind w:left="1416"/>
        <w:rPr>
          <w:szCs w:val="24"/>
          <w:lang w:eastAsia="en-US"/>
        </w:rPr>
      </w:pPr>
      <w:r>
        <w:rPr>
          <w:szCs w:val="24"/>
          <w:lang w:eastAsia="en-US"/>
        </w:rPr>
        <w:t>premenlivosť hĺbky a šírky koryta rieky</w:t>
      </w:r>
    </w:p>
    <w:p w14:paraId="431E2038" w14:textId="77777777" w:rsidR="002709ED" w:rsidRDefault="00B2757B">
      <w:pPr>
        <w:spacing w:before="120" w:after="120" w:line="360" w:lineRule="auto"/>
        <w:ind w:left="1416"/>
        <w:rPr>
          <w:szCs w:val="24"/>
          <w:lang w:eastAsia="en-US"/>
        </w:rPr>
      </w:pPr>
      <w:r>
        <w:rPr>
          <w:szCs w:val="24"/>
          <w:lang w:eastAsia="en-US"/>
        </w:rPr>
        <w:t>štruktúra a substrát koryta rieky</w:t>
      </w:r>
    </w:p>
    <w:p w14:paraId="75C6CC32" w14:textId="77777777" w:rsidR="002709ED" w:rsidRDefault="00B2757B">
      <w:pPr>
        <w:spacing w:before="120" w:after="120" w:line="360" w:lineRule="auto"/>
        <w:ind w:left="1416"/>
        <w:rPr>
          <w:szCs w:val="24"/>
          <w:lang w:eastAsia="en-US"/>
        </w:rPr>
      </w:pPr>
      <w:r>
        <w:rPr>
          <w:szCs w:val="24"/>
          <w:lang w:eastAsia="en-US"/>
        </w:rPr>
        <w:t>štruktúra príbrežného pásma</w:t>
      </w:r>
    </w:p>
    <w:p w14:paraId="6694A1C8" w14:textId="77777777" w:rsidR="002709ED" w:rsidRDefault="00B2757B">
      <w:pPr>
        <w:spacing w:before="120" w:after="120" w:line="360" w:lineRule="auto"/>
        <w:ind w:left="1416"/>
        <w:rPr>
          <w:szCs w:val="24"/>
          <w:lang w:eastAsia="en-US"/>
        </w:rPr>
      </w:pPr>
      <w:r>
        <w:rPr>
          <w:szCs w:val="24"/>
          <w:lang w:eastAsia="en-US"/>
        </w:rPr>
        <w:t>Všeobecné fyzikálno-chemické prvky podporujúce biologické prvky</w:t>
      </w:r>
    </w:p>
    <w:p w14:paraId="6F0F6D2A" w14:textId="77777777" w:rsidR="002709ED" w:rsidRDefault="00B2757B">
      <w:pPr>
        <w:spacing w:before="120" w:after="120" w:line="360" w:lineRule="auto"/>
        <w:ind w:left="1416"/>
        <w:rPr>
          <w:szCs w:val="24"/>
          <w:lang w:eastAsia="en-US"/>
        </w:rPr>
      </w:pPr>
      <w:r>
        <w:rPr>
          <w:szCs w:val="24"/>
          <w:lang w:eastAsia="en-US"/>
        </w:rPr>
        <w:t>Teplotné podmienky</w:t>
      </w:r>
    </w:p>
    <w:p w14:paraId="3DDBD999" w14:textId="77777777" w:rsidR="002709ED" w:rsidRDefault="00B2757B">
      <w:pPr>
        <w:spacing w:before="120" w:after="120" w:line="360" w:lineRule="auto"/>
        <w:ind w:left="1416"/>
        <w:rPr>
          <w:szCs w:val="24"/>
          <w:lang w:eastAsia="en-US"/>
        </w:rPr>
      </w:pPr>
      <w:r>
        <w:rPr>
          <w:szCs w:val="24"/>
          <w:lang w:eastAsia="en-US"/>
        </w:rPr>
        <w:t>Kyslíkové pomery</w:t>
      </w:r>
    </w:p>
    <w:p w14:paraId="36378771" w14:textId="77777777" w:rsidR="002709ED" w:rsidRDefault="00B2757B">
      <w:pPr>
        <w:spacing w:before="120" w:after="120" w:line="360" w:lineRule="auto"/>
        <w:ind w:left="1416"/>
        <w:rPr>
          <w:szCs w:val="24"/>
          <w:lang w:eastAsia="en-US"/>
        </w:rPr>
      </w:pPr>
      <w:r>
        <w:rPr>
          <w:szCs w:val="24"/>
          <w:lang w:eastAsia="en-US"/>
        </w:rPr>
        <w:t>Soľnosť</w:t>
      </w:r>
    </w:p>
    <w:p w14:paraId="0B53D11F" w14:textId="77777777" w:rsidR="002709ED" w:rsidRDefault="00B2757B">
      <w:pPr>
        <w:spacing w:before="120" w:after="120" w:line="360" w:lineRule="auto"/>
        <w:ind w:left="1416"/>
        <w:rPr>
          <w:szCs w:val="24"/>
          <w:lang w:eastAsia="en-US"/>
        </w:rPr>
      </w:pPr>
      <w:r>
        <w:rPr>
          <w:szCs w:val="24"/>
          <w:lang w:eastAsia="en-US"/>
        </w:rPr>
        <w:t>Acidobázický stav</w:t>
      </w:r>
    </w:p>
    <w:p w14:paraId="298A4849" w14:textId="77777777" w:rsidR="002709ED" w:rsidRDefault="00B2757B">
      <w:pPr>
        <w:spacing w:before="120" w:after="120" w:line="360" w:lineRule="auto"/>
        <w:ind w:left="1416"/>
        <w:rPr>
          <w:szCs w:val="24"/>
          <w:lang w:eastAsia="en-US"/>
        </w:rPr>
      </w:pPr>
      <w:r>
        <w:rPr>
          <w:szCs w:val="24"/>
          <w:lang w:eastAsia="en-US"/>
        </w:rPr>
        <w:t>Živinové podmienky</w:t>
      </w:r>
    </w:p>
    <w:p w14:paraId="3903F0F0" w14:textId="77777777" w:rsidR="002709ED" w:rsidRDefault="00B2757B">
      <w:pPr>
        <w:spacing w:before="120" w:after="120" w:line="360" w:lineRule="auto"/>
        <w:ind w:left="1416" w:hanging="566"/>
        <w:rPr>
          <w:szCs w:val="24"/>
          <w:lang w:eastAsia="en-US"/>
        </w:rPr>
      </w:pPr>
      <w:r>
        <w:rPr>
          <w:szCs w:val="24"/>
          <w:lang w:eastAsia="en-US"/>
        </w:rPr>
        <w:t>1.1.2.</w:t>
      </w:r>
      <w:r>
        <w:rPr>
          <w:szCs w:val="24"/>
          <w:lang w:eastAsia="en-US"/>
        </w:rPr>
        <w:tab/>
        <w:t xml:space="preserve"> Jazerá</w:t>
      </w:r>
    </w:p>
    <w:p w14:paraId="673EE78D" w14:textId="77777777" w:rsidR="002709ED" w:rsidRDefault="00B2757B">
      <w:pPr>
        <w:spacing w:before="120" w:after="120" w:line="360" w:lineRule="auto"/>
        <w:ind w:left="1416"/>
        <w:rPr>
          <w:szCs w:val="24"/>
          <w:lang w:eastAsia="en-US"/>
        </w:rPr>
      </w:pPr>
      <w:r>
        <w:rPr>
          <w:szCs w:val="24"/>
          <w:lang w:eastAsia="en-US"/>
        </w:rPr>
        <w:t>Biologické prvky</w:t>
      </w:r>
    </w:p>
    <w:p w14:paraId="7345E72F" w14:textId="77777777" w:rsidR="002709ED" w:rsidRDefault="00B2757B">
      <w:pPr>
        <w:widowControl/>
        <w:rPr>
          <w:szCs w:val="24"/>
          <w:lang w:eastAsia="en-US"/>
        </w:rPr>
      </w:pPr>
      <w:r>
        <w:rPr>
          <w:szCs w:val="24"/>
          <w:lang w:eastAsia="en-US"/>
        </w:rPr>
        <w:br w:type="page"/>
      </w:r>
    </w:p>
    <w:p w14:paraId="5BC2E38B" w14:textId="77777777" w:rsidR="002709ED" w:rsidRDefault="00B2757B">
      <w:pPr>
        <w:spacing w:before="120" w:after="120" w:line="360" w:lineRule="auto"/>
        <w:ind w:left="1416"/>
        <w:rPr>
          <w:szCs w:val="24"/>
          <w:lang w:eastAsia="en-US"/>
        </w:rPr>
      </w:pPr>
      <w:r>
        <w:rPr>
          <w:szCs w:val="24"/>
          <w:lang w:eastAsia="en-US"/>
        </w:rPr>
        <w:lastRenderedPageBreak/>
        <w:t>Zloženie, početnosť a biomasa fytoplanktónu</w:t>
      </w:r>
    </w:p>
    <w:p w14:paraId="5EA033DF" w14:textId="77777777" w:rsidR="002709ED" w:rsidRDefault="00B2757B">
      <w:pPr>
        <w:spacing w:before="120" w:after="120" w:line="360" w:lineRule="auto"/>
        <w:ind w:left="1416"/>
        <w:rPr>
          <w:szCs w:val="24"/>
          <w:lang w:eastAsia="en-US"/>
        </w:rPr>
      </w:pPr>
      <w:r>
        <w:rPr>
          <w:szCs w:val="24"/>
          <w:lang w:eastAsia="en-US"/>
        </w:rPr>
        <w:t>Zloženie a početnosť inej vodnej flóry</w:t>
      </w:r>
    </w:p>
    <w:p w14:paraId="42F2CCD3" w14:textId="77777777" w:rsidR="002709ED" w:rsidRDefault="00B2757B">
      <w:pPr>
        <w:spacing w:before="120" w:after="120" w:line="360" w:lineRule="auto"/>
        <w:ind w:left="1416"/>
        <w:rPr>
          <w:szCs w:val="24"/>
          <w:lang w:eastAsia="en-US"/>
        </w:rPr>
      </w:pPr>
      <w:r>
        <w:rPr>
          <w:szCs w:val="24"/>
          <w:lang w:eastAsia="en-US"/>
        </w:rPr>
        <w:t>Zloženie a početnosť fauny bentických bezstavovcov</w:t>
      </w:r>
    </w:p>
    <w:p w14:paraId="77A89A2F" w14:textId="77777777" w:rsidR="002709ED" w:rsidRDefault="00B2757B">
      <w:pPr>
        <w:spacing w:before="120" w:after="120" w:line="360" w:lineRule="auto"/>
        <w:ind w:left="1416"/>
        <w:rPr>
          <w:szCs w:val="24"/>
          <w:lang w:eastAsia="en-US"/>
        </w:rPr>
      </w:pPr>
      <w:r>
        <w:rPr>
          <w:szCs w:val="24"/>
          <w:lang w:eastAsia="en-US"/>
        </w:rPr>
        <w:t>Zloženie, početnosť a veková štruktúra rybej fauny</w:t>
      </w:r>
    </w:p>
    <w:p w14:paraId="1A2FED9F" w14:textId="77777777" w:rsidR="002709ED" w:rsidRDefault="00B2757B">
      <w:pPr>
        <w:spacing w:before="120" w:after="120" w:line="360" w:lineRule="auto"/>
        <w:ind w:left="1416"/>
        <w:rPr>
          <w:szCs w:val="24"/>
          <w:lang w:eastAsia="en-US"/>
        </w:rPr>
      </w:pPr>
      <w:r>
        <w:rPr>
          <w:szCs w:val="24"/>
          <w:lang w:eastAsia="en-US"/>
        </w:rPr>
        <w:t>Hydromorfologické prvky podporujúce biologické prvky</w:t>
      </w:r>
    </w:p>
    <w:p w14:paraId="3BBB99A5" w14:textId="77777777" w:rsidR="002709ED" w:rsidRDefault="00B2757B">
      <w:pPr>
        <w:spacing w:before="120" w:after="120" w:line="360" w:lineRule="auto"/>
        <w:ind w:left="850"/>
        <w:rPr>
          <w:szCs w:val="24"/>
          <w:lang w:eastAsia="en-US"/>
        </w:rPr>
      </w:pPr>
      <w:r>
        <w:rPr>
          <w:szCs w:val="24"/>
          <w:lang w:eastAsia="en-US"/>
        </w:rPr>
        <w:t>Hydrologický režim</w:t>
      </w:r>
    </w:p>
    <w:p w14:paraId="27022137" w14:textId="77777777" w:rsidR="002709ED" w:rsidRDefault="00B2757B">
      <w:pPr>
        <w:spacing w:before="120" w:after="120" w:line="360" w:lineRule="auto"/>
        <w:ind w:left="1416"/>
        <w:rPr>
          <w:szCs w:val="24"/>
          <w:lang w:eastAsia="en-US"/>
        </w:rPr>
      </w:pPr>
      <w:r>
        <w:rPr>
          <w:szCs w:val="24"/>
          <w:lang w:eastAsia="en-US"/>
        </w:rPr>
        <w:t>veľkosť a dynamika toku vody</w:t>
      </w:r>
    </w:p>
    <w:p w14:paraId="17C0FF65" w14:textId="77777777" w:rsidR="002709ED" w:rsidRDefault="00B2757B">
      <w:pPr>
        <w:spacing w:before="120" w:after="120" w:line="360" w:lineRule="auto"/>
        <w:ind w:left="1416"/>
        <w:rPr>
          <w:szCs w:val="24"/>
          <w:lang w:eastAsia="en-US"/>
        </w:rPr>
      </w:pPr>
      <w:r>
        <w:rPr>
          <w:szCs w:val="24"/>
          <w:lang w:eastAsia="en-US"/>
        </w:rPr>
        <w:t>čas zdržania vody</w:t>
      </w:r>
    </w:p>
    <w:p w14:paraId="621272F2" w14:textId="77777777" w:rsidR="002709ED" w:rsidRDefault="00B2757B">
      <w:pPr>
        <w:spacing w:before="120" w:after="120" w:line="360" w:lineRule="auto"/>
        <w:ind w:left="1416"/>
        <w:rPr>
          <w:szCs w:val="24"/>
          <w:lang w:eastAsia="en-US"/>
        </w:rPr>
      </w:pPr>
      <w:r>
        <w:rPr>
          <w:szCs w:val="24"/>
          <w:lang w:eastAsia="en-US"/>
        </w:rPr>
        <w:t>spojenie s útvarmi podzemných vôd</w:t>
      </w:r>
    </w:p>
    <w:p w14:paraId="78D0A306" w14:textId="77777777" w:rsidR="002709ED" w:rsidRDefault="00B2757B">
      <w:pPr>
        <w:spacing w:before="120" w:after="120" w:line="360" w:lineRule="auto"/>
        <w:ind w:left="850"/>
        <w:rPr>
          <w:szCs w:val="24"/>
          <w:lang w:eastAsia="en-US"/>
        </w:rPr>
      </w:pPr>
      <w:r>
        <w:rPr>
          <w:szCs w:val="24"/>
          <w:lang w:eastAsia="en-US"/>
        </w:rPr>
        <w:t>Morfologické podmienky</w:t>
      </w:r>
    </w:p>
    <w:p w14:paraId="770B19B5" w14:textId="77777777" w:rsidR="002709ED" w:rsidRDefault="00B2757B">
      <w:pPr>
        <w:spacing w:before="120" w:after="120" w:line="360" w:lineRule="auto"/>
        <w:ind w:left="1416"/>
        <w:rPr>
          <w:szCs w:val="24"/>
          <w:lang w:eastAsia="en-US"/>
        </w:rPr>
      </w:pPr>
      <w:r>
        <w:rPr>
          <w:szCs w:val="24"/>
          <w:lang w:eastAsia="en-US"/>
        </w:rPr>
        <w:t>premenlivosť hĺbky jazera</w:t>
      </w:r>
    </w:p>
    <w:p w14:paraId="7FE630C2" w14:textId="77777777" w:rsidR="002709ED" w:rsidRDefault="00B2757B">
      <w:pPr>
        <w:spacing w:before="120" w:after="120" w:line="360" w:lineRule="auto"/>
        <w:ind w:left="1416"/>
        <w:rPr>
          <w:szCs w:val="24"/>
          <w:lang w:eastAsia="en-US"/>
        </w:rPr>
      </w:pPr>
      <w:r>
        <w:rPr>
          <w:szCs w:val="24"/>
          <w:lang w:eastAsia="en-US"/>
        </w:rPr>
        <w:t>množstvo, štruktúra a substrát dna jazera</w:t>
      </w:r>
    </w:p>
    <w:p w14:paraId="3CE973FE" w14:textId="77777777" w:rsidR="002709ED" w:rsidRDefault="00B2757B">
      <w:pPr>
        <w:spacing w:before="120" w:after="120" w:line="360" w:lineRule="auto"/>
        <w:ind w:left="1416"/>
        <w:rPr>
          <w:szCs w:val="24"/>
          <w:lang w:eastAsia="en-US"/>
        </w:rPr>
      </w:pPr>
      <w:r>
        <w:rPr>
          <w:szCs w:val="24"/>
          <w:lang w:eastAsia="en-US"/>
        </w:rPr>
        <w:t>štruktúra brehu jazera</w:t>
      </w:r>
    </w:p>
    <w:p w14:paraId="6313B84E" w14:textId="77777777" w:rsidR="002709ED" w:rsidRDefault="00B2757B">
      <w:pPr>
        <w:widowControl/>
        <w:rPr>
          <w:szCs w:val="24"/>
          <w:lang w:eastAsia="en-US"/>
        </w:rPr>
      </w:pPr>
      <w:r>
        <w:rPr>
          <w:szCs w:val="24"/>
          <w:lang w:eastAsia="en-US"/>
        </w:rPr>
        <w:br w:type="page"/>
      </w:r>
    </w:p>
    <w:p w14:paraId="06926ACC" w14:textId="77777777" w:rsidR="002709ED" w:rsidRDefault="00B2757B">
      <w:pPr>
        <w:spacing w:before="120" w:after="120" w:line="360" w:lineRule="auto"/>
        <w:ind w:left="1416"/>
        <w:rPr>
          <w:szCs w:val="24"/>
          <w:lang w:eastAsia="en-US"/>
        </w:rPr>
      </w:pPr>
      <w:r>
        <w:rPr>
          <w:szCs w:val="24"/>
          <w:lang w:eastAsia="en-US"/>
        </w:rPr>
        <w:lastRenderedPageBreak/>
        <w:t>Všeobecné fyzikálno-chemické prvky podporujúce biologické prvky</w:t>
      </w:r>
    </w:p>
    <w:p w14:paraId="3A17BB26" w14:textId="77777777" w:rsidR="002709ED" w:rsidRDefault="00B2757B">
      <w:pPr>
        <w:spacing w:before="120" w:after="120" w:line="360" w:lineRule="auto"/>
        <w:ind w:left="1416"/>
        <w:rPr>
          <w:szCs w:val="24"/>
          <w:lang w:eastAsia="en-US"/>
        </w:rPr>
      </w:pPr>
      <w:r>
        <w:rPr>
          <w:szCs w:val="24"/>
          <w:lang w:eastAsia="en-US"/>
        </w:rPr>
        <w:t>Priehľadnosť vody</w:t>
      </w:r>
    </w:p>
    <w:p w14:paraId="3B736CA2" w14:textId="77777777" w:rsidR="002709ED" w:rsidRDefault="00B2757B">
      <w:pPr>
        <w:spacing w:before="120" w:after="120" w:line="360" w:lineRule="auto"/>
        <w:ind w:left="1416"/>
        <w:rPr>
          <w:szCs w:val="24"/>
          <w:lang w:eastAsia="en-US"/>
        </w:rPr>
      </w:pPr>
      <w:r>
        <w:rPr>
          <w:szCs w:val="24"/>
          <w:lang w:eastAsia="en-US"/>
        </w:rPr>
        <w:t>Teplotné podmienky</w:t>
      </w:r>
    </w:p>
    <w:p w14:paraId="561B55CC" w14:textId="77777777" w:rsidR="002709ED" w:rsidRDefault="00B2757B">
      <w:pPr>
        <w:spacing w:before="120" w:after="120" w:line="360" w:lineRule="auto"/>
        <w:ind w:left="1416"/>
        <w:rPr>
          <w:szCs w:val="24"/>
          <w:lang w:eastAsia="en-US"/>
        </w:rPr>
      </w:pPr>
      <w:r>
        <w:rPr>
          <w:szCs w:val="24"/>
          <w:lang w:eastAsia="en-US"/>
        </w:rPr>
        <w:t>Kyslíkové pomery</w:t>
      </w:r>
    </w:p>
    <w:p w14:paraId="71B74FDE" w14:textId="77777777" w:rsidR="002709ED" w:rsidRDefault="00B2757B">
      <w:pPr>
        <w:spacing w:before="120" w:after="120" w:line="360" w:lineRule="auto"/>
        <w:ind w:left="1416"/>
        <w:rPr>
          <w:szCs w:val="24"/>
          <w:lang w:eastAsia="en-US"/>
        </w:rPr>
      </w:pPr>
      <w:r>
        <w:rPr>
          <w:szCs w:val="24"/>
          <w:lang w:eastAsia="en-US"/>
        </w:rPr>
        <w:t>Soľnosť</w:t>
      </w:r>
    </w:p>
    <w:p w14:paraId="207FF2E8" w14:textId="77777777" w:rsidR="002709ED" w:rsidRDefault="00B2757B">
      <w:pPr>
        <w:spacing w:before="120" w:after="120" w:line="360" w:lineRule="auto"/>
        <w:ind w:left="1416"/>
        <w:rPr>
          <w:szCs w:val="24"/>
          <w:lang w:eastAsia="en-US"/>
        </w:rPr>
      </w:pPr>
      <w:r>
        <w:rPr>
          <w:szCs w:val="24"/>
          <w:lang w:eastAsia="en-US"/>
        </w:rPr>
        <w:t>Acidobázický stav</w:t>
      </w:r>
    </w:p>
    <w:p w14:paraId="6796807A" w14:textId="77777777" w:rsidR="002709ED" w:rsidRDefault="00B2757B">
      <w:pPr>
        <w:spacing w:before="120" w:after="120" w:line="360" w:lineRule="auto"/>
        <w:ind w:left="1416"/>
        <w:rPr>
          <w:szCs w:val="24"/>
          <w:lang w:eastAsia="en-US"/>
        </w:rPr>
      </w:pPr>
      <w:r>
        <w:rPr>
          <w:szCs w:val="24"/>
          <w:lang w:eastAsia="en-US"/>
        </w:rPr>
        <w:t>Živinové podmienky</w:t>
      </w:r>
    </w:p>
    <w:p w14:paraId="13CBAC21" w14:textId="77777777" w:rsidR="002709ED" w:rsidRDefault="00B2757B">
      <w:pPr>
        <w:spacing w:before="120" w:after="120" w:line="360" w:lineRule="auto"/>
        <w:ind w:left="1416" w:hanging="566"/>
        <w:rPr>
          <w:szCs w:val="24"/>
          <w:lang w:eastAsia="en-US"/>
        </w:rPr>
      </w:pPr>
      <w:r>
        <w:rPr>
          <w:szCs w:val="24"/>
          <w:lang w:eastAsia="en-US"/>
        </w:rPr>
        <w:t>1.1.3.</w:t>
      </w:r>
      <w:r>
        <w:rPr>
          <w:szCs w:val="24"/>
          <w:lang w:eastAsia="en-US"/>
        </w:rPr>
        <w:tab/>
        <w:t>Brakické vody</w:t>
      </w:r>
    </w:p>
    <w:p w14:paraId="07971F5F" w14:textId="77777777" w:rsidR="002709ED" w:rsidRDefault="00B2757B">
      <w:pPr>
        <w:spacing w:before="120" w:after="120" w:line="360" w:lineRule="auto"/>
        <w:ind w:left="1416"/>
        <w:rPr>
          <w:szCs w:val="24"/>
          <w:lang w:eastAsia="en-US"/>
        </w:rPr>
      </w:pPr>
      <w:r>
        <w:rPr>
          <w:szCs w:val="24"/>
          <w:lang w:eastAsia="en-US"/>
        </w:rPr>
        <w:t>Biologické prvky</w:t>
      </w:r>
    </w:p>
    <w:p w14:paraId="4B9B2786" w14:textId="77777777" w:rsidR="002709ED" w:rsidRDefault="00B2757B">
      <w:pPr>
        <w:spacing w:before="120" w:after="120" w:line="360" w:lineRule="auto"/>
        <w:ind w:left="1416"/>
        <w:rPr>
          <w:szCs w:val="24"/>
          <w:lang w:eastAsia="en-US"/>
        </w:rPr>
      </w:pPr>
      <w:r>
        <w:rPr>
          <w:szCs w:val="24"/>
          <w:lang w:eastAsia="en-US"/>
        </w:rPr>
        <w:t>Zloženie, početnosť a biomasa fytoplanktónu</w:t>
      </w:r>
    </w:p>
    <w:p w14:paraId="1A48195F" w14:textId="77777777" w:rsidR="002709ED" w:rsidRDefault="00B2757B">
      <w:pPr>
        <w:spacing w:before="120" w:after="120" w:line="360" w:lineRule="auto"/>
        <w:ind w:left="1416"/>
        <w:rPr>
          <w:szCs w:val="24"/>
          <w:lang w:eastAsia="en-US"/>
        </w:rPr>
      </w:pPr>
      <w:r>
        <w:rPr>
          <w:szCs w:val="24"/>
          <w:lang w:eastAsia="en-US"/>
        </w:rPr>
        <w:t>Zloženie a početnosť inej vodnej flóry</w:t>
      </w:r>
    </w:p>
    <w:p w14:paraId="5B02153F" w14:textId="77777777" w:rsidR="002709ED" w:rsidRDefault="00B2757B">
      <w:pPr>
        <w:spacing w:before="120" w:after="120" w:line="360" w:lineRule="auto"/>
        <w:ind w:left="1416"/>
        <w:rPr>
          <w:szCs w:val="24"/>
          <w:lang w:eastAsia="en-US"/>
        </w:rPr>
      </w:pPr>
      <w:r>
        <w:rPr>
          <w:szCs w:val="24"/>
          <w:lang w:eastAsia="en-US"/>
        </w:rPr>
        <w:t>Zloženie a početnosť fauny bentických bezstavovcov</w:t>
      </w:r>
    </w:p>
    <w:p w14:paraId="79F5F384" w14:textId="77777777" w:rsidR="002709ED" w:rsidRDefault="00B2757B">
      <w:pPr>
        <w:spacing w:before="120" w:after="120" w:line="360" w:lineRule="auto"/>
        <w:ind w:left="1416"/>
        <w:rPr>
          <w:szCs w:val="24"/>
          <w:lang w:eastAsia="en-US"/>
        </w:rPr>
      </w:pPr>
      <w:r>
        <w:rPr>
          <w:szCs w:val="24"/>
          <w:lang w:eastAsia="en-US"/>
        </w:rPr>
        <w:t>Zloženie, početnosť a veková štruktúra fauny rýb</w:t>
      </w:r>
    </w:p>
    <w:p w14:paraId="6B8C02CA" w14:textId="77777777" w:rsidR="002709ED" w:rsidRDefault="00B2757B">
      <w:pPr>
        <w:widowControl/>
        <w:rPr>
          <w:szCs w:val="24"/>
          <w:lang w:eastAsia="en-US"/>
        </w:rPr>
      </w:pPr>
      <w:r>
        <w:rPr>
          <w:szCs w:val="24"/>
          <w:lang w:eastAsia="en-US"/>
        </w:rPr>
        <w:br w:type="page"/>
      </w:r>
    </w:p>
    <w:p w14:paraId="7553F8B0" w14:textId="77777777" w:rsidR="002709ED" w:rsidRDefault="00B2757B">
      <w:pPr>
        <w:spacing w:before="120" w:after="120" w:line="360" w:lineRule="auto"/>
        <w:ind w:left="1416"/>
        <w:rPr>
          <w:szCs w:val="24"/>
          <w:lang w:eastAsia="en-US"/>
        </w:rPr>
      </w:pPr>
      <w:r>
        <w:rPr>
          <w:szCs w:val="24"/>
          <w:lang w:eastAsia="en-US"/>
        </w:rPr>
        <w:lastRenderedPageBreak/>
        <w:t>Hydromorfologické prvky podporujúce biologické prvky</w:t>
      </w:r>
    </w:p>
    <w:p w14:paraId="31787B23" w14:textId="77777777" w:rsidR="002709ED" w:rsidRDefault="00B2757B">
      <w:pPr>
        <w:spacing w:before="120" w:after="120" w:line="360" w:lineRule="auto"/>
        <w:ind w:left="850"/>
        <w:rPr>
          <w:szCs w:val="24"/>
          <w:lang w:eastAsia="en-US"/>
        </w:rPr>
      </w:pPr>
      <w:r>
        <w:rPr>
          <w:szCs w:val="24"/>
          <w:lang w:eastAsia="en-US"/>
        </w:rPr>
        <w:t>Morfologické podmienky</w:t>
      </w:r>
    </w:p>
    <w:p w14:paraId="7618C9A6" w14:textId="77777777" w:rsidR="002709ED" w:rsidRDefault="00B2757B">
      <w:pPr>
        <w:spacing w:before="120" w:after="120" w:line="360" w:lineRule="auto"/>
        <w:ind w:left="1416"/>
        <w:rPr>
          <w:szCs w:val="24"/>
          <w:lang w:eastAsia="en-US"/>
        </w:rPr>
      </w:pPr>
      <w:r>
        <w:rPr>
          <w:szCs w:val="24"/>
          <w:lang w:eastAsia="en-US"/>
        </w:rPr>
        <w:t>premenlivosť hĺbky</w:t>
      </w:r>
    </w:p>
    <w:p w14:paraId="2FFCE0A3" w14:textId="77777777" w:rsidR="002709ED" w:rsidRDefault="00B2757B">
      <w:pPr>
        <w:spacing w:before="120" w:after="120" w:line="360" w:lineRule="auto"/>
        <w:ind w:left="1416"/>
        <w:rPr>
          <w:szCs w:val="24"/>
          <w:lang w:eastAsia="en-US"/>
        </w:rPr>
      </w:pPr>
      <w:r>
        <w:rPr>
          <w:szCs w:val="24"/>
          <w:lang w:eastAsia="en-US"/>
        </w:rPr>
        <w:t>množstvo, štruktúra a substrát dna</w:t>
      </w:r>
    </w:p>
    <w:p w14:paraId="1342A675" w14:textId="77777777" w:rsidR="002709ED" w:rsidRDefault="00B2757B">
      <w:pPr>
        <w:spacing w:before="120" w:after="120" w:line="360" w:lineRule="auto"/>
        <w:ind w:left="1416"/>
        <w:rPr>
          <w:szCs w:val="24"/>
          <w:lang w:eastAsia="en-US"/>
        </w:rPr>
      </w:pPr>
      <w:r>
        <w:rPr>
          <w:szCs w:val="24"/>
          <w:lang w:eastAsia="en-US"/>
        </w:rPr>
        <w:t>štruktúra prílivového pásma</w:t>
      </w:r>
    </w:p>
    <w:p w14:paraId="7EF896CA" w14:textId="77777777" w:rsidR="002709ED" w:rsidRDefault="00B2757B">
      <w:pPr>
        <w:spacing w:before="120" w:after="120" w:line="360" w:lineRule="auto"/>
        <w:ind w:left="850"/>
        <w:rPr>
          <w:szCs w:val="24"/>
          <w:lang w:eastAsia="en-US"/>
        </w:rPr>
      </w:pPr>
      <w:r>
        <w:rPr>
          <w:szCs w:val="24"/>
          <w:lang w:eastAsia="en-US"/>
        </w:rPr>
        <w:t>Prílivový a odlivový režim</w:t>
      </w:r>
    </w:p>
    <w:p w14:paraId="21BDBDBE" w14:textId="77777777" w:rsidR="002709ED" w:rsidRDefault="00B2757B">
      <w:pPr>
        <w:spacing w:before="120" w:after="120" w:line="360" w:lineRule="auto"/>
        <w:ind w:left="1416"/>
        <w:rPr>
          <w:szCs w:val="24"/>
          <w:lang w:eastAsia="en-US"/>
        </w:rPr>
      </w:pPr>
      <w:r>
        <w:rPr>
          <w:szCs w:val="24"/>
          <w:lang w:eastAsia="en-US"/>
        </w:rPr>
        <w:t>prúdenie sladkej vody</w:t>
      </w:r>
    </w:p>
    <w:p w14:paraId="0724ED55" w14:textId="77777777" w:rsidR="002709ED" w:rsidRDefault="00B2757B">
      <w:pPr>
        <w:spacing w:before="120" w:after="120" w:line="360" w:lineRule="auto"/>
        <w:ind w:left="1416"/>
        <w:rPr>
          <w:szCs w:val="24"/>
          <w:lang w:eastAsia="en-US"/>
        </w:rPr>
      </w:pPr>
      <w:r>
        <w:rPr>
          <w:szCs w:val="24"/>
          <w:lang w:eastAsia="en-US"/>
        </w:rPr>
        <w:t>expozícia vlnám</w:t>
      </w:r>
    </w:p>
    <w:p w14:paraId="2EB1780C" w14:textId="77777777" w:rsidR="002709ED" w:rsidRDefault="00B2757B">
      <w:pPr>
        <w:spacing w:before="120" w:after="120" w:line="360" w:lineRule="auto"/>
        <w:ind w:left="1416"/>
        <w:rPr>
          <w:szCs w:val="24"/>
          <w:lang w:eastAsia="en-US"/>
        </w:rPr>
      </w:pPr>
      <w:r>
        <w:rPr>
          <w:szCs w:val="24"/>
          <w:lang w:eastAsia="en-US"/>
        </w:rPr>
        <w:t>Všeobecné fyzikálno-chemické prvky podporujúce biologické prvky</w:t>
      </w:r>
    </w:p>
    <w:p w14:paraId="6957379A" w14:textId="77777777" w:rsidR="002709ED" w:rsidRDefault="00B2757B">
      <w:pPr>
        <w:spacing w:before="120" w:after="120" w:line="360" w:lineRule="auto"/>
        <w:ind w:left="1416"/>
        <w:rPr>
          <w:szCs w:val="24"/>
          <w:lang w:eastAsia="en-US"/>
        </w:rPr>
      </w:pPr>
      <w:r>
        <w:rPr>
          <w:szCs w:val="24"/>
          <w:lang w:eastAsia="en-US"/>
        </w:rPr>
        <w:t>Priehľadnosť vody</w:t>
      </w:r>
    </w:p>
    <w:p w14:paraId="51FD0794" w14:textId="77777777" w:rsidR="002709ED" w:rsidRDefault="00B2757B">
      <w:pPr>
        <w:spacing w:before="120" w:after="120" w:line="360" w:lineRule="auto"/>
        <w:ind w:left="1416"/>
        <w:rPr>
          <w:szCs w:val="24"/>
          <w:lang w:eastAsia="en-US"/>
        </w:rPr>
      </w:pPr>
      <w:r>
        <w:rPr>
          <w:szCs w:val="24"/>
          <w:lang w:eastAsia="en-US"/>
        </w:rPr>
        <w:t>Teplotné podmienky</w:t>
      </w:r>
    </w:p>
    <w:p w14:paraId="7318A389" w14:textId="77777777" w:rsidR="002709ED" w:rsidRDefault="00B2757B">
      <w:pPr>
        <w:spacing w:before="120" w:after="120" w:line="360" w:lineRule="auto"/>
        <w:ind w:left="1416"/>
        <w:rPr>
          <w:szCs w:val="24"/>
          <w:lang w:eastAsia="en-US"/>
        </w:rPr>
      </w:pPr>
      <w:r>
        <w:rPr>
          <w:szCs w:val="24"/>
          <w:lang w:eastAsia="en-US"/>
        </w:rPr>
        <w:t>Kyslíkové pomery</w:t>
      </w:r>
    </w:p>
    <w:p w14:paraId="1346B8C1" w14:textId="77777777" w:rsidR="002709ED" w:rsidRDefault="00B2757B">
      <w:pPr>
        <w:widowControl/>
        <w:rPr>
          <w:szCs w:val="24"/>
          <w:lang w:eastAsia="en-US"/>
        </w:rPr>
      </w:pPr>
      <w:r>
        <w:rPr>
          <w:szCs w:val="24"/>
          <w:lang w:eastAsia="en-US"/>
        </w:rPr>
        <w:br w:type="page"/>
      </w:r>
    </w:p>
    <w:p w14:paraId="1B2A92DE" w14:textId="77777777" w:rsidR="002709ED" w:rsidRDefault="00B2757B">
      <w:pPr>
        <w:spacing w:before="120" w:after="120" w:line="360" w:lineRule="auto"/>
        <w:ind w:left="1416"/>
        <w:rPr>
          <w:szCs w:val="24"/>
          <w:lang w:eastAsia="en-US"/>
        </w:rPr>
      </w:pPr>
      <w:r>
        <w:rPr>
          <w:szCs w:val="24"/>
          <w:lang w:eastAsia="en-US"/>
        </w:rPr>
        <w:lastRenderedPageBreak/>
        <w:t>Soľnosť</w:t>
      </w:r>
    </w:p>
    <w:p w14:paraId="4B50FE74" w14:textId="77777777" w:rsidR="002709ED" w:rsidRDefault="00B2757B">
      <w:pPr>
        <w:spacing w:before="120" w:after="120" w:line="360" w:lineRule="auto"/>
        <w:ind w:left="1416"/>
        <w:rPr>
          <w:szCs w:val="24"/>
          <w:lang w:eastAsia="en-US"/>
        </w:rPr>
      </w:pPr>
      <w:r>
        <w:rPr>
          <w:szCs w:val="24"/>
          <w:lang w:eastAsia="en-US"/>
        </w:rPr>
        <w:t>Živinové podmienky</w:t>
      </w:r>
    </w:p>
    <w:p w14:paraId="7D3E7DA1" w14:textId="77777777" w:rsidR="002709ED" w:rsidRDefault="00B2757B">
      <w:pPr>
        <w:spacing w:before="120" w:after="120" w:line="360" w:lineRule="auto"/>
        <w:ind w:left="1416" w:hanging="566"/>
        <w:rPr>
          <w:szCs w:val="24"/>
          <w:lang w:eastAsia="en-US"/>
        </w:rPr>
      </w:pPr>
      <w:r>
        <w:rPr>
          <w:szCs w:val="24"/>
          <w:lang w:eastAsia="en-US"/>
        </w:rPr>
        <w:t>1.1.4.</w:t>
      </w:r>
      <w:r>
        <w:rPr>
          <w:szCs w:val="24"/>
          <w:lang w:eastAsia="en-US"/>
        </w:rPr>
        <w:tab/>
        <w:t xml:space="preserve"> Pobrežné vody</w:t>
      </w:r>
    </w:p>
    <w:p w14:paraId="6166935B" w14:textId="77777777" w:rsidR="002709ED" w:rsidRDefault="00B2757B">
      <w:pPr>
        <w:spacing w:before="120" w:after="120" w:line="360" w:lineRule="auto"/>
        <w:ind w:left="1416"/>
        <w:rPr>
          <w:szCs w:val="24"/>
          <w:lang w:eastAsia="en-US"/>
        </w:rPr>
      </w:pPr>
      <w:r>
        <w:rPr>
          <w:szCs w:val="24"/>
          <w:lang w:eastAsia="en-US"/>
        </w:rPr>
        <w:t>Biologické prvky</w:t>
      </w:r>
    </w:p>
    <w:p w14:paraId="372FEC4A" w14:textId="77777777" w:rsidR="002709ED" w:rsidRDefault="00B2757B">
      <w:pPr>
        <w:spacing w:before="120" w:after="120" w:line="360" w:lineRule="auto"/>
        <w:ind w:left="1416"/>
        <w:rPr>
          <w:szCs w:val="24"/>
          <w:lang w:eastAsia="en-US"/>
        </w:rPr>
      </w:pPr>
      <w:r>
        <w:rPr>
          <w:szCs w:val="24"/>
          <w:lang w:eastAsia="en-US"/>
        </w:rPr>
        <w:t>Zloženie, početnosť a biomasa fytoplanktónu</w:t>
      </w:r>
    </w:p>
    <w:p w14:paraId="4488B1BE" w14:textId="77777777" w:rsidR="002709ED" w:rsidRDefault="00B2757B">
      <w:pPr>
        <w:spacing w:before="120" w:after="120" w:line="360" w:lineRule="auto"/>
        <w:ind w:left="1416"/>
        <w:rPr>
          <w:szCs w:val="24"/>
          <w:lang w:eastAsia="en-US"/>
        </w:rPr>
      </w:pPr>
      <w:r>
        <w:rPr>
          <w:szCs w:val="24"/>
          <w:lang w:eastAsia="en-US"/>
        </w:rPr>
        <w:t>Zloženie a početnosť inej vodnej flóry</w:t>
      </w:r>
    </w:p>
    <w:p w14:paraId="4B179E37" w14:textId="77777777" w:rsidR="002709ED" w:rsidRDefault="00B2757B">
      <w:pPr>
        <w:spacing w:before="120" w:after="120" w:line="360" w:lineRule="auto"/>
        <w:ind w:left="1416"/>
        <w:rPr>
          <w:szCs w:val="24"/>
          <w:lang w:eastAsia="en-US"/>
        </w:rPr>
      </w:pPr>
      <w:r>
        <w:rPr>
          <w:szCs w:val="24"/>
          <w:lang w:eastAsia="en-US"/>
        </w:rPr>
        <w:t>Zloženie a početnosť fauny bentických bezstavovcov</w:t>
      </w:r>
    </w:p>
    <w:p w14:paraId="641D75CD" w14:textId="77777777" w:rsidR="002709ED" w:rsidRDefault="00B2757B">
      <w:pPr>
        <w:spacing w:before="120" w:after="120" w:line="360" w:lineRule="auto"/>
        <w:ind w:left="1416"/>
        <w:rPr>
          <w:szCs w:val="24"/>
          <w:lang w:eastAsia="en-US"/>
        </w:rPr>
      </w:pPr>
      <w:r>
        <w:rPr>
          <w:szCs w:val="24"/>
          <w:lang w:eastAsia="en-US"/>
        </w:rPr>
        <w:t>Hydromorfologické prvky podporujúce biologické prvky</w:t>
      </w:r>
    </w:p>
    <w:p w14:paraId="593D20CC" w14:textId="77777777" w:rsidR="002709ED" w:rsidRDefault="00B2757B">
      <w:pPr>
        <w:spacing w:before="120" w:after="120" w:line="360" w:lineRule="auto"/>
        <w:ind w:left="850"/>
        <w:rPr>
          <w:szCs w:val="24"/>
          <w:lang w:eastAsia="en-US"/>
        </w:rPr>
      </w:pPr>
      <w:r>
        <w:rPr>
          <w:szCs w:val="24"/>
          <w:lang w:eastAsia="en-US"/>
        </w:rPr>
        <w:t>Morfologické podmienky</w:t>
      </w:r>
    </w:p>
    <w:p w14:paraId="19201E75" w14:textId="77777777" w:rsidR="002709ED" w:rsidRDefault="00B2757B">
      <w:pPr>
        <w:spacing w:before="120" w:after="120" w:line="360" w:lineRule="auto"/>
        <w:ind w:left="1416"/>
        <w:rPr>
          <w:szCs w:val="24"/>
          <w:lang w:eastAsia="en-US"/>
        </w:rPr>
      </w:pPr>
      <w:r>
        <w:rPr>
          <w:szCs w:val="24"/>
          <w:lang w:eastAsia="en-US"/>
        </w:rPr>
        <w:t>premenlivosť hĺbky</w:t>
      </w:r>
    </w:p>
    <w:p w14:paraId="003D3B03" w14:textId="77777777" w:rsidR="002709ED" w:rsidRDefault="00B2757B">
      <w:pPr>
        <w:spacing w:before="120" w:after="120" w:line="360" w:lineRule="auto"/>
        <w:ind w:left="1416"/>
        <w:rPr>
          <w:szCs w:val="24"/>
          <w:lang w:eastAsia="en-US"/>
        </w:rPr>
      </w:pPr>
      <w:r>
        <w:rPr>
          <w:szCs w:val="24"/>
          <w:lang w:eastAsia="en-US"/>
        </w:rPr>
        <w:t>štruktúra a substrát dna pobrežia</w:t>
      </w:r>
    </w:p>
    <w:p w14:paraId="480D80A9" w14:textId="77777777" w:rsidR="002709ED" w:rsidRDefault="00B2757B">
      <w:pPr>
        <w:spacing w:before="120" w:after="120" w:line="360" w:lineRule="auto"/>
        <w:ind w:left="1416"/>
        <w:rPr>
          <w:szCs w:val="24"/>
          <w:lang w:eastAsia="en-US"/>
        </w:rPr>
      </w:pPr>
      <w:r>
        <w:rPr>
          <w:szCs w:val="24"/>
          <w:lang w:eastAsia="en-US"/>
        </w:rPr>
        <w:t>štruktúra prílivového pásma</w:t>
      </w:r>
    </w:p>
    <w:p w14:paraId="490DB16E" w14:textId="77777777" w:rsidR="002709ED" w:rsidRDefault="00B2757B">
      <w:pPr>
        <w:widowControl/>
        <w:rPr>
          <w:szCs w:val="24"/>
          <w:lang w:eastAsia="en-US"/>
        </w:rPr>
      </w:pPr>
      <w:r>
        <w:rPr>
          <w:szCs w:val="24"/>
          <w:lang w:eastAsia="en-US"/>
        </w:rPr>
        <w:br w:type="page"/>
      </w:r>
    </w:p>
    <w:p w14:paraId="2D5CAF9D" w14:textId="77777777" w:rsidR="002709ED" w:rsidRDefault="00B2757B">
      <w:pPr>
        <w:spacing w:before="120" w:after="120" w:line="360" w:lineRule="auto"/>
        <w:ind w:left="850"/>
        <w:rPr>
          <w:szCs w:val="24"/>
          <w:lang w:eastAsia="en-US"/>
        </w:rPr>
      </w:pPr>
      <w:r>
        <w:rPr>
          <w:szCs w:val="24"/>
          <w:lang w:eastAsia="en-US"/>
        </w:rPr>
        <w:lastRenderedPageBreak/>
        <w:t>Prílivový a odlivový režim</w:t>
      </w:r>
    </w:p>
    <w:p w14:paraId="57C9EE07" w14:textId="77777777" w:rsidR="002709ED" w:rsidRDefault="00B2757B">
      <w:pPr>
        <w:spacing w:before="120" w:after="120" w:line="360" w:lineRule="auto"/>
        <w:ind w:left="1416"/>
        <w:rPr>
          <w:szCs w:val="24"/>
          <w:lang w:eastAsia="en-US"/>
        </w:rPr>
      </w:pPr>
      <w:r>
        <w:rPr>
          <w:szCs w:val="24"/>
          <w:lang w:eastAsia="en-US"/>
        </w:rPr>
        <w:t>smer prevládajúcich prúdov</w:t>
      </w:r>
    </w:p>
    <w:p w14:paraId="78BD7422" w14:textId="77777777" w:rsidR="002709ED" w:rsidRDefault="00B2757B">
      <w:pPr>
        <w:spacing w:before="120" w:after="120" w:line="360" w:lineRule="auto"/>
        <w:ind w:left="1416"/>
        <w:rPr>
          <w:szCs w:val="24"/>
          <w:lang w:eastAsia="en-US"/>
        </w:rPr>
      </w:pPr>
      <w:r>
        <w:rPr>
          <w:szCs w:val="24"/>
          <w:lang w:eastAsia="en-US"/>
        </w:rPr>
        <w:t>expozícia vlnám</w:t>
      </w:r>
    </w:p>
    <w:p w14:paraId="171D2448" w14:textId="77777777" w:rsidR="002709ED" w:rsidRDefault="00B2757B">
      <w:pPr>
        <w:spacing w:before="120" w:after="120" w:line="360" w:lineRule="auto"/>
        <w:ind w:left="1416"/>
        <w:rPr>
          <w:szCs w:val="24"/>
          <w:lang w:eastAsia="en-US"/>
        </w:rPr>
      </w:pPr>
      <w:r>
        <w:rPr>
          <w:szCs w:val="24"/>
          <w:lang w:eastAsia="en-US"/>
        </w:rPr>
        <w:t>Všeobecné fyzikálno-chemické prvky podporujúce biologické prvky</w:t>
      </w:r>
    </w:p>
    <w:p w14:paraId="54058F3C" w14:textId="77777777" w:rsidR="002709ED" w:rsidRDefault="00B2757B">
      <w:pPr>
        <w:spacing w:before="120" w:after="120" w:line="360" w:lineRule="auto"/>
        <w:ind w:left="1416"/>
        <w:rPr>
          <w:szCs w:val="24"/>
          <w:lang w:eastAsia="en-US"/>
        </w:rPr>
      </w:pPr>
      <w:r>
        <w:rPr>
          <w:szCs w:val="24"/>
          <w:lang w:eastAsia="en-US"/>
        </w:rPr>
        <w:t>Priehľadnosť vody</w:t>
      </w:r>
    </w:p>
    <w:p w14:paraId="7454C9A9" w14:textId="77777777" w:rsidR="002709ED" w:rsidRDefault="00B2757B">
      <w:pPr>
        <w:spacing w:before="120" w:after="120" w:line="360" w:lineRule="auto"/>
        <w:ind w:left="1416"/>
        <w:rPr>
          <w:szCs w:val="24"/>
          <w:lang w:eastAsia="en-US"/>
        </w:rPr>
      </w:pPr>
      <w:r>
        <w:rPr>
          <w:szCs w:val="24"/>
          <w:lang w:eastAsia="en-US"/>
        </w:rPr>
        <w:t>Teplotné podmienky</w:t>
      </w:r>
    </w:p>
    <w:p w14:paraId="73C94291" w14:textId="77777777" w:rsidR="002709ED" w:rsidRDefault="00B2757B">
      <w:pPr>
        <w:spacing w:before="120" w:after="120" w:line="360" w:lineRule="auto"/>
        <w:ind w:left="1416"/>
        <w:rPr>
          <w:szCs w:val="24"/>
          <w:lang w:eastAsia="en-US"/>
        </w:rPr>
      </w:pPr>
      <w:r>
        <w:rPr>
          <w:szCs w:val="24"/>
          <w:lang w:eastAsia="en-US"/>
        </w:rPr>
        <w:t>Kyslíkové pomery</w:t>
      </w:r>
    </w:p>
    <w:p w14:paraId="0B0B9D5B" w14:textId="77777777" w:rsidR="002709ED" w:rsidRDefault="00B2757B">
      <w:pPr>
        <w:spacing w:before="120" w:after="120" w:line="360" w:lineRule="auto"/>
        <w:ind w:left="1416"/>
        <w:rPr>
          <w:szCs w:val="24"/>
          <w:lang w:eastAsia="en-US"/>
        </w:rPr>
      </w:pPr>
      <w:r>
        <w:rPr>
          <w:szCs w:val="24"/>
          <w:lang w:eastAsia="en-US"/>
        </w:rPr>
        <w:t>Soľnosť</w:t>
      </w:r>
    </w:p>
    <w:p w14:paraId="57A05618" w14:textId="77777777" w:rsidR="002709ED" w:rsidRDefault="00B2757B">
      <w:pPr>
        <w:spacing w:before="120" w:after="120" w:line="360" w:lineRule="auto"/>
        <w:ind w:left="1416"/>
        <w:rPr>
          <w:szCs w:val="24"/>
          <w:lang w:eastAsia="en-US"/>
        </w:rPr>
      </w:pPr>
      <w:r>
        <w:rPr>
          <w:szCs w:val="24"/>
          <w:lang w:eastAsia="en-US"/>
        </w:rPr>
        <w:t>Živinové podmienky.;“</w:t>
      </w:r>
    </w:p>
    <w:p w14:paraId="3D13ACBD" w14:textId="77777777" w:rsidR="002709ED" w:rsidRDefault="00B2757B">
      <w:pPr>
        <w:spacing w:before="120" w:after="120" w:line="360" w:lineRule="auto"/>
        <w:ind w:left="850" w:hanging="850"/>
        <w:rPr>
          <w:szCs w:val="24"/>
          <w:lang w:eastAsia="en-US"/>
        </w:rPr>
      </w:pPr>
      <w:r>
        <w:rPr>
          <w:szCs w:val="24"/>
          <w:lang w:eastAsia="en-US"/>
        </w:rPr>
        <w:t>2.</w:t>
      </w:r>
      <w:r>
        <w:rPr>
          <w:szCs w:val="24"/>
          <w:lang w:eastAsia="en-US"/>
        </w:rPr>
        <w:tab/>
        <w:t>V bode 1.2.1 sa tabuľka „Fyzikálno-chemické kvalitatívne prvky“ nahrádza takto:</w:t>
      </w:r>
    </w:p>
    <w:p w14:paraId="36D69638" w14:textId="77777777" w:rsidR="002709ED" w:rsidRDefault="00B2757B">
      <w:pPr>
        <w:spacing w:before="120" w:after="120" w:line="360" w:lineRule="auto"/>
        <w:ind w:left="850"/>
        <w:rPr>
          <w:szCs w:val="24"/>
          <w:lang w:eastAsia="en-US"/>
        </w:rPr>
      </w:pPr>
      <w:r>
        <w:rPr>
          <w:szCs w:val="24"/>
          <w:lang w:eastAsia="en-US"/>
        </w:rPr>
        <w:t>„Všeobecné fyzikálno-chemické prvky kvality</w:t>
      </w:r>
    </w:p>
    <w:p w14:paraId="614DA7BA" w14:textId="77777777" w:rsidR="002709ED" w:rsidRDefault="00B2757B">
      <w:pPr>
        <w:widowControl/>
        <w:rPr>
          <w:szCs w:val="24"/>
          <w:lang w:eastAsia="en-US"/>
        </w:rPr>
      </w:pPr>
      <w:r>
        <w:rPr>
          <w:szCs w:val="24"/>
          <w:lang w:eastAsia="en-US"/>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776"/>
        <w:gridCol w:w="2659"/>
        <w:gridCol w:w="2395"/>
        <w:gridCol w:w="2235"/>
      </w:tblGrid>
      <w:tr w:rsidR="002709ED" w14:paraId="2A6A570F" w14:textId="77777777">
        <w:trPr>
          <w:tblHeader/>
        </w:trPr>
        <w:tc>
          <w:tcPr>
            <w:tcW w:w="0" w:type="auto"/>
          </w:tcPr>
          <w:p w14:paraId="7B286C0C" w14:textId="77777777" w:rsidR="002709ED" w:rsidRDefault="00B2757B">
            <w:pPr>
              <w:spacing w:before="120" w:after="120" w:line="360" w:lineRule="auto"/>
              <w:rPr>
                <w:szCs w:val="24"/>
                <w:lang w:eastAsia="en-US"/>
              </w:rPr>
            </w:pPr>
            <w:r>
              <w:rPr>
                <w:szCs w:val="24"/>
                <w:lang w:eastAsia="en-US"/>
              </w:rPr>
              <w:lastRenderedPageBreak/>
              <w:t>Prvok</w:t>
            </w:r>
          </w:p>
        </w:tc>
        <w:tc>
          <w:tcPr>
            <w:tcW w:w="0" w:type="auto"/>
          </w:tcPr>
          <w:p w14:paraId="58C614A0" w14:textId="77777777" w:rsidR="002709ED" w:rsidRDefault="00B2757B">
            <w:pPr>
              <w:spacing w:before="120" w:after="120" w:line="360" w:lineRule="auto"/>
              <w:rPr>
                <w:szCs w:val="24"/>
                <w:lang w:eastAsia="en-US"/>
              </w:rPr>
            </w:pPr>
            <w:r>
              <w:rPr>
                <w:szCs w:val="24"/>
                <w:lang w:eastAsia="en-US"/>
              </w:rPr>
              <w:t>Veľmi dobrý stav</w:t>
            </w:r>
          </w:p>
        </w:tc>
        <w:tc>
          <w:tcPr>
            <w:tcW w:w="0" w:type="auto"/>
          </w:tcPr>
          <w:p w14:paraId="4212192A" w14:textId="77777777" w:rsidR="002709ED" w:rsidRDefault="00B2757B">
            <w:pPr>
              <w:spacing w:before="120" w:after="120" w:line="360" w:lineRule="auto"/>
              <w:rPr>
                <w:szCs w:val="24"/>
                <w:lang w:eastAsia="en-US"/>
              </w:rPr>
            </w:pPr>
            <w:r>
              <w:rPr>
                <w:szCs w:val="24"/>
                <w:lang w:eastAsia="en-US"/>
              </w:rPr>
              <w:t>Dobrý stav</w:t>
            </w:r>
          </w:p>
        </w:tc>
        <w:tc>
          <w:tcPr>
            <w:tcW w:w="0" w:type="auto"/>
          </w:tcPr>
          <w:p w14:paraId="4B5C2E55" w14:textId="77777777" w:rsidR="002709ED" w:rsidRDefault="00B2757B">
            <w:pPr>
              <w:spacing w:before="120" w:after="120" w:line="360" w:lineRule="auto"/>
              <w:rPr>
                <w:szCs w:val="24"/>
                <w:lang w:eastAsia="en-US"/>
              </w:rPr>
            </w:pPr>
            <w:r>
              <w:rPr>
                <w:szCs w:val="24"/>
                <w:lang w:eastAsia="en-US"/>
              </w:rPr>
              <w:t>Priemerný stav</w:t>
            </w:r>
          </w:p>
        </w:tc>
      </w:tr>
      <w:tr w:rsidR="002709ED" w14:paraId="164C2C71" w14:textId="77777777">
        <w:tc>
          <w:tcPr>
            <w:tcW w:w="0" w:type="auto"/>
          </w:tcPr>
          <w:p w14:paraId="4C9AAEAB" w14:textId="77777777" w:rsidR="002709ED" w:rsidRDefault="00B2757B">
            <w:pPr>
              <w:spacing w:before="120" w:after="120" w:line="360" w:lineRule="auto"/>
              <w:rPr>
                <w:szCs w:val="24"/>
                <w:lang w:eastAsia="en-US"/>
              </w:rPr>
            </w:pPr>
            <w:r>
              <w:rPr>
                <w:szCs w:val="24"/>
                <w:lang w:eastAsia="en-US"/>
              </w:rPr>
              <w:t>Všeobecné podmienky</w:t>
            </w:r>
          </w:p>
        </w:tc>
        <w:tc>
          <w:tcPr>
            <w:tcW w:w="0" w:type="auto"/>
          </w:tcPr>
          <w:p w14:paraId="652BB641" w14:textId="77777777" w:rsidR="002709ED" w:rsidRDefault="00B2757B">
            <w:pPr>
              <w:spacing w:before="120" w:after="120" w:line="360" w:lineRule="auto"/>
              <w:rPr>
                <w:szCs w:val="24"/>
                <w:lang w:eastAsia="en-US"/>
              </w:rPr>
            </w:pPr>
            <w:r>
              <w:rPr>
                <w:szCs w:val="24"/>
                <w:lang w:eastAsia="en-US"/>
              </w:rPr>
              <w:t>Hodnoty všeobecných fyzikálno-chemických prvkov úplne alebo takmer úplne zodpovedajú hodnotám v nenarušených podmienkach. Koncentrácie živín sú v rozsahu bežnom pre nenarušené podmienky. Stupeň soľnosti, hodnota pH, kyslíková bilancia, kyselinová neutralizačná kapacita a teplota nevykazujú znaky antropogénneho narušenia a sú v rozsahu, ktorý je bežný pre nenarušené podmienky.</w:t>
            </w:r>
          </w:p>
        </w:tc>
        <w:tc>
          <w:tcPr>
            <w:tcW w:w="0" w:type="auto"/>
          </w:tcPr>
          <w:p w14:paraId="58FBB72D" w14:textId="77777777" w:rsidR="002709ED" w:rsidRDefault="00B2757B">
            <w:pPr>
              <w:spacing w:before="120" w:after="120" w:line="360" w:lineRule="auto"/>
              <w:rPr>
                <w:szCs w:val="24"/>
                <w:lang w:eastAsia="en-US"/>
              </w:rPr>
            </w:pPr>
            <w:r>
              <w:rPr>
                <w:szCs w:val="24"/>
                <w:lang w:eastAsia="en-US"/>
              </w:rPr>
              <w:t>Teplota, kyslíková bilancia, pH, kyselinová neutralizačná kapacita a soľnosť neprekračujú rozsah stanovený tak, aby sa zabezpečila funkčnosť ekosystému špecifického pre daný typ útvaru a dosiahli sa vyššie uvedené hodnoty biologických prvkov kvality. Koncentrácie živín nepresahujú úrovne stanovené tak, aby sa zabezpečila funkčnosť ekosystému a dosiahnutie vyššie uvedených hodnôt biologických prvkov kvality.</w:t>
            </w:r>
          </w:p>
        </w:tc>
        <w:tc>
          <w:tcPr>
            <w:tcW w:w="0" w:type="auto"/>
          </w:tcPr>
          <w:p w14:paraId="4BAF11D6" w14:textId="77777777" w:rsidR="002709ED" w:rsidRDefault="00B2757B">
            <w:pPr>
              <w:spacing w:before="120" w:after="120" w:line="360" w:lineRule="auto"/>
              <w:rPr>
                <w:szCs w:val="24"/>
                <w:lang w:eastAsia="en-US"/>
              </w:rPr>
            </w:pPr>
            <w:r>
              <w:rPr>
                <w:szCs w:val="24"/>
                <w:lang w:eastAsia="en-US"/>
              </w:rPr>
              <w:t>Podmienky zodpovedajúce dosiahnutiu vyššie uvedených hodnôt biologických prvkov kvality.“;</w:t>
            </w:r>
          </w:p>
        </w:tc>
      </w:tr>
    </w:tbl>
    <w:p w14:paraId="03519B89" w14:textId="77777777" w:rsidR="002709ED" w:rsidRDefault="00B2757B">
      <w:pPr>
        <w:spacing w:before="120" w:after="120" w:line="360" w:lineRule="auto"/>
        <w:ind w:left="850" w:hanging="850"/>
        <w:rPr>
          <w:szCs w:val="24"/>
          <w:lang w:eastAsia="en-US"/>
        </w:rPr>
      </w:pPr>
      <w:r>
        <w:rPr>
          <w:szCs w:val="24"/>
          <w:lang w:eastAsia="en-US"/>
        </w:rPr>
        <w:lastRenderedPageBreak/>
        <w:t>3.</w:t>
      </w:r>
      <w:r>
        <w:rPr>
          <w:szCs w:val="24"/>
          <w:lang w:eastAsia="en-US"/>
        </w:rPr>
        <w:tab/>
        <w:t>V bode 1.2.2 sa tabuľka „Fyzikálno-chemické prvky kvality“ nahrádza takto:</w:t>
      </w:r>
    </w:p>
    <w:p w14:paraId="6CC877E3" w14:textId="77777777" w:rsidR="002709ED" w:rsidRDefault="00B2757B">
      <w:pPr>
        <w:spacing w:before="120" w:after="120" w:line="360" w:lineRule="auto"/>
        <w:ind w:left="850"/>
        <w:rPr>
          <w:szCs w:val="24"/>
          <w:lang w:eastAsia="en-US"/>
        </w:rPr>
      </w:pPr>
      <w:r>
        <w:rPr>
          <w:szCs w:val="24"/>
          <w:lang w:eastAsia="en-US"/>
        </w:rPr>
        <w:t>„Všeobecné fyzikálno-chemické prvky kvality</w:t>
      </w:r>
    </w:p>
    <w:tbl>
      <w:tblPr>
        <w:tblW w:w="53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761"/>
        <w:gridCol w:w="3337"/>
        <w:gridCol w:w="2416"/>
        <w:gridCol w:w="2120"/>
      </w:tblGrid>
      <w:tr w:rsidR="00B7287D" w14:paraId="79025B7F" w14:textId="77777777" w:rsidTr="00C100E9">
        <w:trPr>
          <w:tblHeader/>
        </w:trPr>
        <w:tc>
          <w:tcPr>
            <w:tcW w:w="913" w:type="pct"/>
          </w:tcPr>
          <w:p w14:paraId="61AC243E" w14:textId="77777777" w:rsidR="002709ED" w:rsidRDefault="00B2757B">
            <w:pPr>
              <w:spacing w:before="120" w:after="120" w:line="360" w:lineRule="auto"/>
              <w:rPr>
                <w:szCs w:val="24"/>
                <w:lang w:eastAsia="en-US"/>
              </w:rPr>
            </w:pPr>
            <w:r>
              <w:rPr>
                <w:szCs w:val="24"/>
                <w:lang w:eastAsia="en-US"/>
              </w:rPr>
              <w:t>Prvok</w:t>
            </w:r>
          </w:p>
        </w:tc>
        <w:tc>
          <w:tcPr>
            <w:tcW w:w="1732" w:type="pct"/>
          </w:tcPr>
          <w:p w14:paraId="23F75B22" w14:textId="77777777" w:rsidR="002709ED" w:rsidRDefault="00B2757B">
            <w:pPr>
              <w:spacing w:before="120" w:after="120" w:line="360" w:lineRule="auto"/>
              <w:rPr>
                <w:szCs w:val="24"/>
                <w:lang w:eastAsia="en-US"/>
              </w:rPr>
            </w:pPr>
            <w:r>
              <w:rPr>
                <w:szCs w:val="24"/>
                <w:lang w:eastAsia="en-US"/>
              </w:rPr>
              <w:t>Veľmi dobrý stav</w:t>
            </w:r>
          </w:p>
        </w:tc>
        <w:tc>
          <w:tcPr>
            <w:tcW w:w="1254" w:type="pct"/>
          </w:tcPr>
          <w:p w14:paraId="636FDD73" w14:textId="77777777" w:rsidR="002709ED" w:rsidRDefault="00B2757B">
            <w:pPr>
              <w:spacing w:before="120" w:after="120" w:line="360" w:lineRule="auto"/>
              <w:rPr>
                <w:szCs w:val="24"/>
                <w:lang w:eastAsia="en-US"/>
              </w:rPr>
            </w:pPr>
            <w:r>
              <w:rPr>
                <w:szCs w:val="24"/>
                <w:lang w:eastAsia="en-US"/>
              </w:rPr>
              <w:t>Dobrý stav</w:t>
            </w:r>
          </w:p>
        </w:tc>
        <w:tc>
          <w:tcPr>
            <w:tcW w:w="1100" w:type="pct"/>
          </w:tcPr>
          <w:p w14:paraId="558F6429" w14:textId="77777777" w:rsidR="002709ED" w:rsidRDefault="00B2757B">
            <w:pPr>
              <w:spacing w:before="120" w:after="120" w:line="360" w:lineRule="auto"/>
              <w:rPr>
                <w:szCs w:val="24"/>
                <w:lang w:eastAsia="en-US"/>
              </w:rPr>
            </w:pPr>
            <w:r>
              <w:rPr>
                <w:szCs w:val="24"/>
                <w:lang w:eastAsia="en-US"/>
              </w:rPr>
              <w:t>Priemerný stav</w:t>
            </w:r>
          </w:p>
        </w:tc>
      </w:tr>
      <w:tr w:rsidR="00B7287D" w14:paraId="2B15814F" w14:textId="77777777" w:rsidTr="00C100E9">
        <w:tc>
          <w:tcPr>
            <w:tcW w:w="913" w:type="pct"/>
          </w:tcPr>
          <w:p w14:paraId="6A7D18D6" w14:textId="77777777" w:rsidR="002709ED" w:rsidRDefault="00B2757B">
            <w:pPr>
              <w:spacing w:before="120" w:after="120" w:line="360" w:lineRule="auto"/>
              <w:rPr>
                <w:szCs w:val="24"/>
                <w:lang w:eastAsia="en-US"/>
              </w:rPr>
            </w:pPr>
            <w:r>
              <w:rPr>
                <w:szCs w:val="24"/>
                <w:lang w:eastAsia="en-US"/>
              </w:rPr>
              <w:t>Všeobecné podmienky</w:t>
            </w:r>
          </w:p>
        </w:tc>
        <w:tc>
          <w:tcPr>
            <w:tcW w:w="1732" w:type="pct"/>
          </w:tcPr>
          <w:p w14:paraId="5C2EB3C4" w14:textId="77777777" w:rsidR="002709ED" w:rsidRDefault="00B2757B">
            <w:pPr>
              <w:spacing w:before="120" w:after="120" w:line="360" w:lineRule="auto"/>
              <w:rPr>
                <w:szCs w:val="24"/>
                <w:lang w:eastAsia="en-US"/>
              </w:rPr>
            </w:pPr>
            <w:r>
              <w:rPr>
                <w:szCs w:val="24"/>
                <w:lang w:eastAsia="en-US"/>
              </w:rPr>
              <w:t>Hodnoty všeobecných fyzikálno-chemických prvkov úplne alebo takmer úplne zodpovedajú hodnotám v nenarušených podmienkach. Koncentrácie živín sú v rozsahu bežnom pre nenarušené podmienky. Stupeň soľnosti, hodnota pH, kyslíková bilancia, kyselinová neutralizačná kapacita, priehľadnosť vody a teplota nevykazujú znaky narušenia v dôsledku antropogénneho vplyvu a sú v rozsahu bežnom pre nenarušené podmienky.</w:t>
            </w:r>
          </w:p>
        </w:tc>
        <w:tc>
          <w:tcPr>
            <w:tcW w:w="1254" w:type="pct"/>
          </w:tcPr>
          <w:p w14:paraId="06B340DF" w14:textId="77777777" w:rsidR="002709ED" w:rsidRDefault="00B2757B">
            <w:pPr>
              <w:spacing w:before="120" w:after="120" w:line="360" w:lineRule="auto"/>
              <w:rPr>
                <w:szCs w:val="24"/>
                <w:lang w:eastAsia="en-US"/>
              </w:rPr>
            </w:pPr>
            <w:r>
              <w:rPr>
                <w:szCs w:val="24"/>
                <w:lang w:eastAsia="en-US"/>
              </w:rPr>
              <w:t xml:space="preserve">Teplota, kyslíková bilancia, pH, kyselinová neutralizačná kapacita a soľnosť nepresahujú rozsah stanovený tak, aby sa zabezpečila funkčnosť ekosystému a dosiahnutie vyššie uvedených hodnôt biologických prvkov kvality. Koncentrácie živín nepresahujú úrovne stanovené tak, aby sa zabezpečila funkčnosť ekosystému a dosiahnutie vyššie uvedených hodnôt </w:t>
            </w:r>
            <w:r>
              <w:rPr>
                <w:szCs w:val="24"/>
                <w:lang w:eastAsia="en-US"/>
              </w:rPr>
              <w:lastRenderedPageBreak/>
              <w:t>biologických prvkov kvality.</w:t>
            </w:r>
          </w:p>
        </w:tc>
        <w:tc>
          <w:tcPr>
            <w:tcW w:w="1100" w:type="pct"/>
          </w:tcPr>
          <w:p w14:paraId="25CC563F" w14:textId="77777777" w:rsidR="002709ED" w:rsidRDefault="00B2757B">
            <w:pPr>
              <w:spacing w:before="120" w:after="120" w:line="360" w:lineRule="auto"/>
              <w:rPr>
                <w:szCs w:val="24"/>
                <w:lang w:eastAsia="en-US"/>
              </w:rPr>
            </w:pPr>
            <w:r>
              <w:rPr>
                <w:szCs w:val="24"/>
                <w:lang w:eastAsia="en-US"/>
              </w:rPr>
              <w:lastRenderedPageBreak/>
              <w:t>Podmienky zodpovedajúce dosiahnutiu vyššie uvedených hodnôt biologických prvkov kvality.“;</w:t>
            </w:r>
          </w:p>
        </w:tc>
      </w:tr>
    </w:tbl>
    <w:p w14:paraId="730E860B" w14:textId="77777777" w:rsidR="002709ED" w:rsidRDefault="00B2757B">
      <w:pPr>
        <w:spacing w:before="120" w:after="120" w:line="360" w:lineRule="auto"/>
        <w:ind w:left="850" w:hanging="850"/>
        <w:rPr>
          <w:szCs w:val="24"/>
          <w:lang w:eastAsia="en-US"/>
        </w:rPr>
      </w:pPr>
      <w:r>
        <w:rPr>
          <w:szCs w:val="24"/>
          <w:lang w:eastAsia="en-US"/>
        </w:rPr>
        <w:t>4.</w:t>
      </w:r>
      <w:r>
        <w:rPr>
          <w:szCs w:val="24"/>
          <w:lang w:eastAsia="en-US"/>
        </w:rPr>
        <w:tab/>
        <w:t>V bode 1.2.3 sa tabuľka „Fyzikálno-chemické prvky kvality“ nahrádza takto:</w:t>
      </w:r>
    </w:p>
    <w:p w14:paraId="0F3945BE" w14:textId="77777777" w:rsidR="002709ED" w:rsidRDefault="00B2757B">
      <w:pPr>
        <w:spacing w:before="120" w:after="120" w:line="360" w:lineRule="auto"/>
        <w:ind w:left="850"/>
        <w:rPr>
          <w:szCs w:val="24"/>
          <w:lang w:eastAsia="en-US"/>
        </w:rPr>
      </w:pPr>
      <w:r>
        <w:rPr>
          <w:szCs w:val="24"/>
          <w:lang w:eastAsia="en-US"/>
        </w:rPr>
        <w:t>„Všeobecné fyzikálno-chemické prvky kvality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776"/>
        <w:gridCol w:w="2659"/>
        <w:gridCol w:w="2395"/>
        <w:gridCol w:w="2235"/>
      </w:tblGrid>
      <w:tr w:rsidR="002709ED" w14:paraId="35179A04" w14:textId="77777777">
        <w:trPr>
          <w:tblHeader/>
        </w:trPr>
        <w:tc>
          <w:tcPr>
            <w:tcW w:w="0" w:type="auto"/>
          </w:tcPr>
          <w:p w14:paraId="23353350" w14:textId="77777777" w:rsidR="002709ED" w:rsidRDefault="00B2757B">
            <w:pPr>
              <w:spacing w:before="120" w:after="120" w:line="360" w:lineRule="auto"/>
              <w:rPr>
                <w:szCs w:val="24"/>
                <w:lang w:eastAsia="en-US"/>
              </w:rPr>
            </w:pPr>
            <w:r>
              <w:rPr>
                <w:szCs w:val="24"/>
                <w:lang w:eastAsia="en-US"/>
              </w:rPr>
              <w:t>Prvok</w:t>
            </w:r>
          </w:p>
        </w:tc>
        <w:tc>
          <w:tcPr>
            <w:tcW w:w="0" w:type="auto"/>
          </w:tcPr>
          <w:p w14:paraId="4AFE3AC3" w14:textId="77777777" w:rsidR="002709ED" w:rsidRDefault="00B2757B">
            <w:pPr>
              <w:spacing w:before="120" w:after="120" w:line="360" w:lineRule="auto"/>
              <w:rPr>
                <w:szCs w:val="24"/>
                <w:lang w:eastAsia="en-US"/>
              </w:rPr>
            </w:pPr>
            <w:r>
              <w:rPr>
                <w:szCs w:val="24"/>
                <w:lang w:eastAsia="en-US"/>
              </w:rPr>
              <w:t>Veľmi dobrý stav</w:t>
            </w:r>
          </w:p>
        </w:tc>
        <w:tc>
          <w:tcPr>
            <w:tcW w:w="0" w:type="auto"/>
          </w:tcPr>
          <w:p w14:paraId="1621153F" w14:textId="77777777" w:rsidR="002709ED" w:rsidRDefault="00B2757B">
            <w:pPr>
              <w:spacing w:before="120" w:after="120" w:line="360" w:lineRule="auto"/>
              <w:rPr>
                <w:szCs w:val="24"/>
                <w:lang w:eastAsia="en-US"/>
              </w:rPr>
            </w:pPr>
            <w:r>
              <w:rPr>
                <w:szCs w:val="24"/>
                <w:lang w:eastAsia="en-US"/>
              </w:rPr>
              <w:t>Dobrý stav</w:t>
            </w:r>
          </w:p>
        </w:tc>
        <w:tc>
          <w:tcPr>
            <w:tcW w:w="0" w:type="auto"/>
          </w:tcPr>
          <w:p w14:paraId="0E38D387" w14:textId="77777777" w:rsidR="002709ED" w:rsidRDefault="00B2757B">
            <w:pPr>
              <w:spacing w:before="120" w:after="120" w:line="360" w:lineRule="auto"/>
              <w:rPr>
                <w:szCs w:val="24"/>
                <w:lang w:eastAsia="en-US"/>
              </w:rPr>
            </w:pPr>
            <w:r>
              <w:rPr>
                <w:szCs w:val="24"/>
                <w:lang w:eastAsia="en-US"/>
              </w:rPr>
              <w:t>Priemerný stav</w:t>
            </w:r>
          </w:p>
        </w:tc>
      </w:tr>
      <w:tr w:rsidR="002709ED" w14:paraId="335CBB85" w14:textId="77777777">
        <w:tc>
          <w:tcPr>
            <w:tcW w:w="0" w:type="auto"/>
          </w:tcPr>
          <w:p w14:paraId="657C593A" w14:textId="77777777" w:rsidR="002709ED" w:rsidRDefault="00B2757B">
            <w:pPr>
              <w:spacing w:before="120" w:after="120" w:line="360" w:lineRule="auto"/>
              <w:rPr>
                <w:szCs w:val="24"/>
                <w:lang w:eastAsia="en-US"/>
              </w:rPr>
            </w:pPr>
            <w:r>
              <w:rPr>
                <w:szCs w:val="24"/>
                <w:lang w:eastAsia="en-US"/>
              </w:rPr>
              <w:t>Všeobecné podmienky</w:t>
            </w:r>
          </w:p>
        </w:tc>
        <w:tc>
          <w:tcPr>
            <w:tcW w:w="0" w:type="auto"/>
          </w:tcPr>
          <w:p w14:paraId="6E77F4BD" w14:textId="77777777" w:rsidR="002709ED" w:rsidRDefault="00B2757B">
            <w:pPr>
              <w:spacing w:before="120" w:after="120" w:line="360" w:lineRule="auto"/>
              <w:rPr>
                <w:szCs w:val="24"/>
                <w:lang w:eastAsia="en-US"/>
              </w:rPr>
            </w:pPr>
            <w:r>
              <w:rPr>
                <w:szCs w:val="24"/>
                <w:lang w:eastAsia="en-US"/>
              </w:rPr>
              <w:t>Všeobecné fyzikálno-chemické prvky úplne alebo takmer úplne zodpovedajú nenarušeným podmienkam. Koncentrácie živín sú v rozsahu bežnom pre nenarušené podmienky. Teplota, kyslíková bilancia a priehľadnosť vody nevykazujú znaky narušenia v dôsledku antropogénneho vplyvu a sú v rozsahu bežnom pre nenarušené podmienky.</w:t>
            </w:r>
          </w:p>
        </w:tc>
        <w:tc>
          <w:tcPr>
            <w:tcW w:w="0" w:type="auto"/>
          </w:tcPr>
          <w:p w14:paraId="0AF4DB5E" w14:textId="77777777" w:rsidR="002709ED" w:rsidRDefault="00B2757B">
            <w:pPr>
              <w:spacing w:before="120" w:after="120" w:line="360" w:lineRule="auto"/>
              <w:rPr>
                <w:szCs w:val="24"/>
                <w:lang w:eastAsia="en-US"/>
              </w:rPr>
            </w:pPr>
            <w:r>
              <w:rPr>
                <w:szCs w:val="24"/>
                <w:lang w:eastAsia="en-US"/>
              </w:rPr>
              <w:t xml:space="preserve">Teplota, kyslíkové pomery a priehľadnosť nepresahujú rozsah stanovený tak, aby sa zabezpečila funkčnosť ekosystému a dosiahnutie vyššie uvedených hodnôt biologických prvkov kvality. Koncentrácie živín nepresahujú úrovne stanovené tak, aby sa zabezpečila funkčnosť ekosystému a dosiahnutie vyššie uvedených </w:t>
            </w:r>
            <w:r>
              <w:rPr>
                <w:szCs w:val="24"/>
                <w:lang w:eastAsia="en-US"/>
              </w:rPr>
              <w:lastRenderedPageBreak/>
              <w:t>hodnôt biologických prvkov kvality.</w:t>
            </w:r>
          </w:p>
        </w:tc>
        <w:tc>
          <w:tcPr>
            <w:tcW w:w="0" w:type="auto"/>
          </w:tcPr>
          <w:p w14:paraId="6E905D6B" w14:textId="77777777" w:rsidR="002709ED" w:rsidRDefault="00B2757B">
            <w:pPr>
              <w:spacing w:before="120" w:after="120" w:line="360" w:lineRule="auto"/>
              <w:rPr>
                <w:szCs w:val="24"/>
                <w:lang w:eastAsia="en-US"/>
              </w:rPr>
            </w:pPr>
            <w:r>
              <w:rPr>
                <w:szCs w:val="24"/>
                <w:lang w:eastAsia="en-US"/>
              </w:rPr>
              <w:lastRenderedPageBreak/>
              <w:t>Podmienky zodpovedajúce dosiahnutiu vyššie uvedených hodnôt biologických prvkov kvality.“;</w:t>
            </w:r>
          </w:p>
        </w:tc>
      </w:tr>
    </w:tbl>
    <w:p w14:paraId="0792BBA8" w14:textId="77777777" w:rsidR="002709ED" w:rsidRDefault="00B2757B">
      <w:pPr>
        <w:spacing w:before="120" w:after="120" w:line="360" w:lineRule="auto"/>
        <w:ind w:left="850" w:hanging="850"/>
        <w:rPr>
          <w:szCs w:val="24"/>
          <w:lang w:eastAsia="en-US"/>
        </w:rPr>
      </w:pPr>
      <w:r>
        <w:rPr>
          <w:szCs w:val="24"/>
          <w:lang w:eastAsia="en-US"/>
        </w:rPr>
        <w:t>5.</w:t>
      </w:r>
      <w:r>
        <w:rPr>
          <w:szCs w:val="24"/>
          <w:lang w:eastAsia="en-US"/>
        </w:rPr>
        <w:tab/>
        <w:t>V bode 1.2.4 sa tabuľka „Fyzikálno-chemické prvky kvality“ nahrádza takto:</w:t>
      </w:r>
    </w:p>
    <w:p w14:paraId="2335C372" w14:textId="77777777" w:rsidR="002709ED" w:rsidRDefault="00B2757B">
      <w:pPr>
        <w:spacing w:before="120" w:after="120" w:line="360" w:lineRule="auto"/>
        <w:ind w:left="850"/>
        <w:rPr>
          <w:szCs w:val="24"/>
          <w:lang w:eastAsia="en-US"/>
        </w:rPr>
      </w:pPr>
      <w:r>
        <w:rPr>
          <w:szCs w:val="24"/>
          <w:lang w:eastAsia="en-US"/>
        </w:rPr>
        <w:tab/>
        <w:t>„Všeobecné fyzikálno-chemické prvky kvality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780"/>
        <w:gridCol w:w="2529"/>
        <w:gridCol w:w="2495"/>
        <w:gridCol w:w="2261"/>
      </w:tblGrid>
      <w:tr w:rsidR="002709ED" w14:paraId="7E9C746A" w14:textId="77777777">
        <w:trPr>
          <w:tblHeader/>
        </w:trPr>
        <w:tc>
          <w:tcPr>
            <w:tcW w:w="0" w:type="auto"/>
          </w:tcPr>
          <w:p w14:paraId="6097B4B8" w14:textId="77777777" w:rsidR="002709ED" w:rsidRDefault="00B2757B">
            <w:pPr>
              <w:spacing w:before="120" w:after="120" w:line="360" w:lineRule="auto"/>
              <w:rPr>
                <w:szCs w:val="24"/>
                <w:lang w:eastAsia="en-US"/>
              </w:rPr>
            </w:pPr>
            <w:r>
              <w:rPr>
                <w:szCs w:val="24"/>
                <w:lang w:eastAsia="en-US"/>
              </w:rPr>
              <w:t>Prvok</w:t>
            </w:r>
          </w:p>
        </w:tc>
        <w:tc>
          <w:tcPr>
            <w:tcW w:w="0" w:type="auto"/>
          </w:tcPr>
          <w:p w14:paraId="36FCDB8C" w14:textId="77777777" w:rsidR="002709ED" w:rsidRDefault="00B2757B">
            <w:pPr>
              <w:spacing w:before="120" w:after="120" w:line="360" w:lineRule="auto"/>
              <w:rPr>
                <w:szCs w:val="24"/>
                <w:lang w:eastAsia="en-US"/>
              </w:rPr>
            </w:pPr>
            <w:r>
              <w:rPr>
                <w:szCs w:val="24"/>
                <w:lang w:eastAsia="en-US"/>
              </w:rPr>
              <w:t>Veľmi dobrý stav</w:t>
            </w:r>
          </w:p>
        </w:tc>
        <w:tc>
          <w:tcPr>
            <w:tcW w:w="0" w:type="auto"/>
          </w:tcPr>
          <w:p w14:paraId="1D7F687F" w14:textId="77777777" w:rsidR="002709ED" w:rsidRDefault="00B2757B">
            <w:pPr>
              <w:spacing w:before="120" w:after="120" w:line="360" w:lineRule="auto"/>
              <w:rPr>
                <w:szCs w:val="24"/>
                <w:lang w:eastAsia="en-US"/>
              </w:rPr>
            </w:pPr>
            <w:r>
              <w:rPr>
                <w:szCs w:val="24"/>
                <w:lang w:eastAsia="en-US"/>
              </w:rPr>
              <w:t>Dobrý stav</w:t>
            </w:r>
          </w:p>
        </w:tc>
        <w:tc>
          <w:tcPr>
            <w:tcW w:w="0" w:type="auto"/>
          </w:tcPr>
          <w:p w14:paraId="3BD8936C" w14:textId="77777777" w:rsidR="002709ED" w:rsidRDefault="00B2757B">
            <w:pPr>
              <w:spacing w:before="120" w:after="120" w:line="360" w:lineRule="auto"/>
              <w:rPr>
                <w:szCs w:val="24"/>
                <w:lang w:eastAsia="en-US"/>
              </w:rPr>
            </w:pPr>
            <w:r>
              <w:rPr>
                <w:szCs w:val="24"/>
                <w:lang w:eastAsia="en-US"/>
              </w:rPr>
              <w:t>Priemerný stav</w:t>
            </w:r>
          </w:p>
        </w:tc>
      </w:tr>
      <w:tr w:rsidR="002709ED" w14:paraId="5D92D32B" w14:textId="77777777">
        <w:tc>
          <w:tcPr>
            <w:tcW w:w="0" w:type="auto"/>
          </w:tcPr>
          <w:p w14:paraId="532B1313" w14:textId="77777777" w:rsidR="002709ED" w:rsidRDefault="00B2757B">
            <w:pPr>
              <w:spacing w:before="120" w:after="120" w:line="360" w:lineRule="auto"/>
              <w:rPr>
                <w:szCs w:val="24"/>
                <w:lang w:eastAsia="en-US"/>
              </w:rPr>
            </w:pPr>
            <w:r>
              <w:rPr>
                <w:szCs w:val="24"/>
                <w:lang w:eastAsia="en-US"/>
              </w:rPr>
              <w:t>Všeobecné podmienky</w:t>
            </w:r>
          </w:p>
        </w:tc>
        <w:tc>
          <w:tcPr>
            <w:tcW w:w="0" w:type="auto"/>
          </w:tcPr>
          <w:p w14:paraId="36879073" w14:textId="77777777" w:rsidR="002709ED" w:rsidRDefault="00B2757B">
            <w:pPr>
              <w:spacing w:before="120" w:after="120" w:line="360" w:lineRule="auto"/>
              <w:rPr>
                <w:szCs w:val="24"/>
                <w:lang w:eastAsia="en-US"/>
              </w:rPr>
            </w:pPr>
            <w:r>
              <w:rPr>
                <w:szCs w:val="24"/>
                <w:lang w:eastAsia="en-US"/>
              </w:rPr>
              <w:t>Všeobecné fyzikálno-chemické prvky úplne alebo takmer úplne zodpovedajú nenarušeným podmienkam. Koncentrácie živín sú v rozsahu bežnom pre nenarušené podmienky. Teplota, kyslíková bilancia a priehľadnosť vody nevykazujú znaky antropogénne vyvolaného narušenia a sú v rozsahu bežnom pre nenarušené podmienky.</w:t>
            </w:r>
          </w:p>
        </w:tc>
        <w:tc>
          <w:tcPr>
            <w:tcW w:w="0" w:type="auto"/>
          </w:tcPr>
          <w:p w14:paraId="09BD6FBC" w14:textId="77777777" w:rsidR="002709ED" w:rsidRDefault="00B2757B">
            <w:pPr>
              <w:spacing w:before="120" w:after="120" w:line="360" w:lineRule="auto"/>
              <w:rPr>
                <w:szCs w:val="24"/>
                <w:lang w:eastAsia="en-US"/>
              </w:rPr>
            </w:pPr>
            <w:r>
              <w:rPr>
                <w:szCs w:val="24"/>
                <w:lang w:eastAsia="en-US"/>
              </w:rPr>
              <w:t xml:space="preserve">Teplota, kyslíkové pomery a priehľadnosť nepresahujú rozsah stanovený tak, aby sa zabezpečila funkčnosť ekosystému a dosiahnutie vyššie uvedených hodnôt biologických prvkov kvality. Koncentrácie živín nepresahujú úrovne stanovené tak, aby sa zabezpečila funkčnosť ekosystému a dosiahnutie vyššie uvedených hodnôt biologických </w:t>
            </w:r>
            <w:r>
              <w:rPr>
                <w:szCs w:val="24"/>
                <w:lang w:eastAsia="en-US"/>
              </w:rPr>
              <w:lastRenderedPageBreak/>
              <w:t>prvkov kvality.</w:t>
            </w:r>
          </w:p>
        </w:tc>
        <w:tc>
          <w:tcPr>
            <w:tcW w:w="0" w:type="auto"/>
          </w:tcPr>
          <w:p w14:paraId="43743E9D" w14:textId="77777777" w:rsidR="002709ED" w:rsidRDefault="00B2757B">
            <w:pPr>
              <w:spacing w:before="120" w:after="120" w:line="360" w:lineRule="auto"/>
              <w:rPr>
                <w:szCs w:val="24"/>
                <w:lang w:eastAsia="en-US"/>
              </w:rPr>
            </w:pPr>
            <w:r>
              <w:rPr>
                <w:szCs w:val="24"/>
                <w:lang w:eastAsia="en-US"/>
              </w:rPr>
              <w:lastRenderedPageBreak/>
              <w:t>Podmienky zodpovedajúce dosiahnutiu vyššie uvedených hodnôt biologických prvkov kvality.“;</w:t>
            </w:r>
          </w:p>
        </w:tc>
      </w:tr>
    </w:tbl>
    <w:p w14:paraId="64BBF30F" w14:textId="77777777" w:rsidR="002709ED" w:rsidRDefault="00B2757B">
      <w:pPr>
        <w:spacing w:before="120" w:after="120" w:line="360" w:lineRule="auto"/>
        <w:ind w:left="850" w:hanging="850"/>
        <w:rPr>
          <w:szCs w:val="24"/>
          <w:lang w:eastAsia="en-US"/>
        </w:rPr>
      </w:pPr>
      <w:r>
        <w:rPr>
          <w:szCs w:val="24"/>
          <w:lang w:eastAsia="en-US"/>
        </w:rPr>
        <w:t>6.</w:t>
      </w:r>
      <w:r>
        <w:rPr>
          <w:szCs w:val="24"/>
          <w:lang w:eastAsia="en-US"/>
        </w:rPr>
        <w:tab/>
        <w:t>V bode 1.2.5 sa tabuľka mení takto:</w:t>
      </w:r>
    </w:p>
    <w:p w14:paraId="19686982" w14:textId="77777777" w:rsidR="002709ED" w:rsidRDefault="00B2757B">
      <w:pPr>
        <w:spacing w:before="120" w:after="120" w:line="360" w:lineRule="auto"/>
        <w:ind w:left="1416" w:hanging="566"/>
        <w:rPr>
          <w:szCs w:val="24"/>
          <w:lang w:eastAsia="en-US"/>
        </w:rPr>
      </w:pPr>
      <w:r>
        <w:rPr>
          <w:szCs w:val="24"/>
          <w:lang w:eastAsia="en-US"/>
        </w:rPr>
        <w:t>a)</w:t>
      </w:r>
      <w:r>
        <w:rPr>
          <w:szCs w:val="24"/>
          <w:lang w:eastAsia="en-US"/>
        </w:rPr>
        <w:tab/>
        <w:t>Piaty riadok s položkou „Špecifické syntetické znečisťujúce látky“ sa vypúšťa;</w:t>
      </w:r>
    </w:p>
    <w:p w14:paraId="55A458A6" w14:textId="77777777" w:rsidR="002709ED" w:rsidRDefault="00B2757B">
      <w:pPr>
        <w:spacing w:before="120" w:after="120" w:line="360" w:lineRule="auto"/>
        <w:ind w:left="1416" w:hanging="566"/>
        <w:rPr>
          <w:szCs w:val="24"/>
          <w:lang w:eastAsia="en-US"/>
        </w:rPr>
      </w:pPr>
      <w:r>
        <w:rPr>
          <w:szCs w:val="24"/>
          <w:lang w:eastAsia="en-US"/>
        </w:rPr>
        <w:t>b)</w:t>
      </w:r>
      <w:r>
        <w:rPr>
          <w:szCs w:val="24"/>
          <w:lang w:eastAsia="en-US"/>
        </w:rPr>
        <w:tab/>
        <w:t>Šiesty riadok s položkou „Špecifické nesyntetické znečisťujúce látky“ sa vypúšťa;</w:t>
      </w:r>
    </w:p>
    <w:p w14:paraId="1CE9A988" w14:textId="77777777" w:rsidR="002709ED" w:rsidRDefault="00B2757B">
      <w:pPr>
        <w:spacing w:before="120" w:after="120" w:line="360" w:lineRule="auto"/>
        <w:ind w:left="1416" w:hanging="566"/>
        <w:rPr>
          <w:szCs w:val="24"/>
          <w:lang w:eastAsia="en-US"/>
        </w:rPr>
      </w:pPr>
      <w:r>
        <w:rPr>
          <w:szCs w:val="24"/>
          <w:lang w:eastAsia="en-US"/>
        </w:rPr>
        <w:t>c)</w:t>
      </w:r>
      <w:r>
        <w:rPr>
          <w:szCs w:val="24"/>
          <w:lang w:eastAsia="en-US"/>
        </w:rPr>
        <w:tab/>
        <w:t>Siedmy riadok s tabuľkovou poznámkou (1) sa vypúšťa;</w:t>
      </w:r>
    </w:p>
    <w:p w14:paraId="4B1975FC" w14:textId="77777777" w:rsidR="002709ED" w:rsidRDefault="00B2757B">
      <w:pPr>
        <w:spacing w:before="120" w:after="120" w:line="360" w:lineRule="auto"/>
        <w:ind w:left="850" w:hanging="850"/>
        <w:rPr>
          <w:szCs w:val="24"/>
          <w:lang w:eastAsia="en-US"/>
        </w:rPr>
      </w:pPr>
      <w:r>
        <w:rPr>
          <w:szCs w:val="24"/>
          <w:lang w:eastAsia="en-US"/>
        </w:rPr>
        <w:t>7.</w:t>
      </w:r>
      <w:r>
        <w:rPr>
          <w:szCs w:val="24"/>
          <w:lang w:eastAsia="en-US"/>
        </w:rPr>
        <w:tab/>
        <w:t>Bod 1.2.6 sa vypúšťa;</w:t>
      </w:r>
    </w:p>
    <w:p w14:paraId="2AD02B80" w14:textId="77777777" w:rsidR="002709ED" w:rsidRDefault="00B2757B">
      <w:pPr>
        <w:spacing w:before="120" w:after="120" w:line="360" w:lineRule="auto"/>
        <w:ind w:left="850" w:hanging="850"/>
        <w:rPr>
          <w:szCs w:val="24"/>
          <w:lang w:eastAsia="en-US"/>
        </w:rPr>
      </w:pPr>
      <w:r>
        <w:rPr>
          <w:szCs w:val="24"/>
          <w:lang w:eastAsia="en-US"/>
        </w:rPr>
        <w:t>8.</w:t>
      </w:r>
      <w:r>
        <w:rPr>
          <w:szCs w:val="24"/>
          <w:lang w:eastAsia="en-US"/>
        </w:rPr>
        <w:tab/>
        <w:t>V bode 1.3 sa dopĺňa tento štvrtý a piaty odsek:</w:t>
      </w:r>
    </w:p>
    <w:p w14:paraId="0F219702" w14:textId="77777777" w:rsidR="002709ED" w:rsidRDefault="00B2757B">
      <w:pPr>
        <w:spacing w:before="120" w:after="120" w:line="360" w:lineRule="auto"/>
        <w:ind w:left="850"/>
        <w:rPr>
          <w:szCs w:val="24"/>
          <w:lang w:eastAsia="en-US"/>
        </w:rPr>
      </w:pPr>
      <w:r>
        <w:rPr>
          <w:szCs w:val="24"/>
          <w:lang w:eastAsia="en-US"/>
        </w:rPr>
        <w:t>„Ak monitorovacia sieť zahŕňa pozorovanie a diaľkové snímanie Zeme, a nie lokálne miesta odberu vzoriek, alebo iné inovačné techniky, musí mapa monitorovacej siete obsahovať informácie o prvkoch kvality a vodných útvaroch alebo skupinách vodných útvarov, ktoré boli monitorované takýmito monitorovacími metódami. Uvedie sa odkaz na CEN, ISO alebo iné medzinárodné alebo vnútroštátne normy, ktoré sa uplatnili s cieľom zabezpečiť, aby získané časové a priestorové údaje boli také spoľahlivé ako údaje, ktoré sa získali použitím konvenčných monitorovacích metód v lokálnych miestach odberu vzoriek.</w:t>
      </w:r>
    </w:p>
    <w:p w14:paraId="16AAE279" w14:textId="77777777" w:rsidR="002709ED" w:rsidRDefault="00B2757B">
      <w:pPr>
        <w:widowControl/>
        <w:rPr>
          <w:szCs w:val="24"/>
          <w:lang w:eastAsia="en-US"/>
        </w:rPr>
      </w:pPr>
      <w:r>
        <w:rPr>
          <w:szCs w:val="24"/>
          <w:lang w:eastAsia="en-US"/>
        </w:rPr>
        <w:br w:type="page"/>
      </w:r>
    </w:p>
    <w:p w14:paraId="34BEFF05" w14:textId="77777777" w:rsidR="002709ED" w:rsidRDefault="00B2757B">
      <w:pPr>
        <w:spacing w:before="120" w:after="120" w:line="360" w:lineRule="auto"/>
        <w:ind w:left="850"/>
        <w:rPr>
          <w:szCs w:val="24"/>
          <w:lang w:eastAsia="en-US"/>
        </w:rPr>
      </w:pPr>
      <w:r>
        <w:rPr>
          <w:szCs w:val="24"/>
          <w:lang w:eastAsia="en-US"/>
        </w:rPr>
        <w:lastRenderedPageBreak/>
        <w:t>Členské štáty môžu v príslušných prípadoch uplatňovať pasívne metódy odberu vzoriek na monitorovanie chemických znečisťujúcich látok, najmä na účely skríningu, pod podmienkou, že sa týmito metódami odberu vzoriek nepodhodnocujú koncentrácie znečisťujúcich látok, na ktoré sa vzťahujú normy environmentálnej kvality, a tak sa spoľahlivo identifikuje „nedosiahnutie dobrého stavu“, a že chemická analýza vzoriek vody, bioty alebo sedimentu v súlade s uplatnenými normami environmentálnej kvality sa vykoná vždy, keď sa takýto nedostatok zistí. Členské štáty môžu za rovnakých podmienok uplatňovať aj metódy odberu vzoriek založené na účinkoch.;“</w:t>
      </w:r>
    </w:p>
    <w:p w14:paraId="1E4A2C19" w14:textId="77777777" w:rsidR="002709ED" w:rsidRDefault="00B2757B">
      <w:pPr>
        <w:spacing w:before="120" w:after="120" w:line="360" w:lineRule="auto"/>
        <w:ind w:left="850" w:hanging="850"/>
        <w:rPr>
          <w:szCs w:val="24"/>
          <w:lang w:eastAsia="en-US"/>
        </w:rPr>
      </w:pPr>
      <w:r>
        <w:rPr>
          <w:szCs w:val="24"/>
          <w:lang w:eastAsia="en-US"/>
        </w:rPr>
        <w:t>9.</w:t>
      </w:r>
      <w:r>
        <w:rPr>
          <w:szCs w:val="24"/>
          <w:lang w:eastAsia="en-US"/>
        </w:rPr>
        <w:tab/>
        <w:t>V bode 1.3.1 sa posledný odsek „Výber prvkov kvality“ nahrádza takto:</w:t>
      </w:r>
    </w:p>
    <w:p w14:paraId="1E8A8749" w14:textId="77777777" w:rsidR="002709ED" w:rsidRDefault="00B2757B">
      <w:pPr>
        <w:spacing w:before="120" w:after="120" w:line="360" w:lineRule="auto"/>
        <w:ind w:left="850"/>
        <w:rPr>
          <w:szCs w:val="24"/>
          <w:lang w:eastAsia="en-US"/>
        </w:rPr>
      </w:pPr>
      <w:r>
        <w:rPr>
          <w:szCs w:val="24"/>
          <w:lang w:eastAsia="en-US"/>
        </w:rPr>
        <w:t>„Výber prvkov kvality</w:t>
      </w:r>
    </w:p>
    <w:p w14:paraId="4374CAF2" w14:textId="77777777" w:rsidR="002709ED" w:rsidRDefault="00B2757B">
      <w:pPr>
        <w:spacing w:before="120" w:after="120" w:line="360" w:lineRule="auto"/>
        <w:ind w:left="850"/>
        <w:rPr>
          <w:szCs w:val="24"/>
          <w:lang w:eastAsia="en-US"/>
        </w:rPr>
      </w:pPr>
      <w:r>
        <w:rPr>
          <w:szCs w:val="24"/>
          <w:lang w:eastAsia="en-US"/>
        </w:rPr>
        <w:t>Inšpekčné monitorovanie sa vykonáva v každom monitorovacom mieste počas jedného roka v období, na ktoré sa vzťahuje plán vodohospodárskeho manažmentu povodia. Inšpekčné monitorovanie zahŕňa:</w:t>
      </w:r>
    </w:p>
    <w:p w14:paraId="729A6E11" w14:textId="77777777" w:rsidR="002709ED" w:rsidRDefault="00B2757B">
      <w:pPr>
        <w:spacing w:before="120" w:after="120" w:line="360" w:lineRule="auto"/>
        <w:ind w:left="1416" w:hanging="566"/>
        <w:rPr>
          <w:szCs w:val="24"/>
          <w:lang w:eastAsia="en-US"/>
        </w:rPr>
      </w:pPr>
      <w:r>
        <w:rPr>
          <w:szCs w:val="24"/>
          <w:lang w:eastAsia="en-US"/>
        </w:rPr>
        <w:t>a)</w:t>
      </w:r>
      <w:r>
        <w:rPr>
          <w:szCs w:val="24"/>
          <w:lang w:eastAsia="en-US"/>
        </w:rPr>
        <w:tab/>
        <w:t>indikatívne ukazovatele všetkých biologických prvkov kvality;</w:t>
      </w:r>
    </w:p>
    <w:p w14:paraId="297D7F4F" w14:textId="77777777" w:rsidR="002709ED" w:rsidRDefault="00B2757B">
      <w:pPr>
        <w:widowControl/>
        <w:rPr>
          <w:szCs w:val="24"/>
          <w:lang w:eastAsia="en-US"/>
        </w:rPr>
      </w:pPr>
      <w:r>
        <w:rPr>
          <w:szCs w:val="24"/>
          <w:lang w:eastAsia="en-US"/>
        </w:rPr>
        <w:br w:type="page"/>
      </w:r>
    </w:p>
    <w:p w14:paraId="4E89BA5D" w14:textId="77777777" w:rsidR="002709ED" w:rsidRDefault="00B2757B">
      <w:pPr>
        <w:spacing w:before="120" w:after="120" w:line="360" w:lineRule="auto"/>
        <w:ind w:left="1416" w:hanging="566"/>
        <w:rPr>
          <w:szCs w:val="24"/>
          <w:lang w:eastAsia="en-US"/>
        </w:rPr>
      </w:pPr>
      <w:r>
        <w:rPr>
          <w:szCs w:val="24"/>
          <w:lang w:eastAsia="en-US"/>
        </w:rPr>
        <w:lastRenderedPageBreak/>
        <w:t>b)</w:t>
      </w:r>
      <w:r>
        <w:rPr>
          <w:szCs w:val="24"/>
          <w:lang w:eastAsia="en-US"/>
        </w:rPr>
        <w:tab/>
        <w:t>indikatívne ukazovatele všetkých hydromorfologických prvkov kvality;</w:t>
      </w:r>
    </w:p>
    <w:p w14:paraId="14BF5243" w14:textId="77777777" w:rsidR="002709ED" w:rsidRDefault="00B2757B">
      <w:pPr>
        <w:spacing w:before="120" w:after="120" w:line="360" w:lineRule="auto"/>
        <w:ind w:left="1416" w:hanging="566"/>
        <w:rPr>
          <w:szCs w:val="24"/>
          <w:lang w:eastAsia="en-US"/>
        </w:rPr>
      </w:pPr>
      <w:r>
        <w:rPr>
          <w:szCs w:val="24"/>
          <w:lang w:eastAsia="en-US"/>
        </w:rPr>
        <w:t>c)</w:t>
      </w:r>
      <w:r>
        <w:rPr>
          <w:szCs w:val="24"/>
          <w:lang w:eastAsia="en-US"/>
        </w:rPr>
        <w:tab/>
        <w:t>indikatívne ukazovatele všetkých všeobecných fyzikálno-chemických prvkov kvality;</w:t>
      </w:r>
    </w:p>
    <w:p w14:paraId="0AC38AF7" w14:textId="77777777" w:rsidR="002709ED" w:rsidRDefault="00B2757B">
      <w:pPr>
        <w:spacing w:before="120" w:after="120" w:line="360" w:lineRule="auto"/>
        <w:ind w:left="1416" w:hanging="566"/>
        <w:rPr>
          <w:szCs w:val="24"/>
          <w:lang w:eastAsia="en-US"/>
        </w:rPr>
      </w:pPr>
      <w:r>
        <w:rPr>
          <w:szCs w:val="24"/>
          <w:lang w:eastAsia="en-US"/>
        </w:rPr>
        <w:t>d)</w:t>
      </w:r>
      <w:r>
        <w:rPr>
          <w:szCs w:val="24"/>
          <w:lang w:eastAsia="en-US"/>
        </w:rPr>
        <w:tab/>
        <w:t>znečisťujúce látky na zozname prioritných látok vypúšťané či inak ukladané do povodia alebo čiastkového povodia;</w:t>
      </w:r>
    </w:p>
    <w:p w14:paraId="0AB6E92B" w14:textId="77777777" w:rsidR="002709ED" w:rsidRDefault="00B2757B">
      <w:pPr>
        <w:spacing w:before="120" w:after="120" w:line="360" w:lineRule="auto"/>
        <w:ind w:left="1416" w:hanging="566"/>
        <w:rPr>
          <w:szCs w:val="24"/>
          <w:lang w:eastAsia="en-US"/>
        </w:rPr>
      </w:pPr>
      <w:r>
        <w:rPr>
          <w:szCs w:val="24"/>
          <w:lang w:eastAsia="en-US"/>
        </w:rPr>
        <w:t>e)</w:t>
      </w:r>
      <w:r>
        <w:rPr>
          <w:szCs w:val="24"/>
          <w:lang w:eastAsia="en-US"/>
        </w:rPr>
        <w:tab/>
        <w:t>iné znečisťujúce látky vypúšťané či inak ukladané vo významných množstvách v povodí alebo čiastkovom povodí.</w:t>
      </w:r>
    </w:p>
    <w:p w14:paraId="261BDC62" w14:textId="77777777" w:rsidR="002709ED" w:rsidRDefault="00B2757B">
      <w:pPr>
        <w:spacing w:before="120" w:after="120" w:line="360" w:lineRule="auto"/>
        <w:ind w:left="850"/>
        <w:rPr>
          <w:szCs w:val="24"/>
          <w:lang w:eastAsia="en-US"/>
        </w:rPr>
      </w:pPr>
      <w:r>
        <w:rPr>
          <w:szCs w:val="24"/>
          <w:lang w:eastAsia="en-US"/>
        </w:rPr>
        <w:t>Ak však predchádzajúce inšpekčné monitorovanie ukázalo, že príslušný útvar dosiahol dobrý stav a z preskúmania vplyvov ľudskej činnosti podľa prílohy II nevyplýva žiadny dôkaz o tom, že sa tieto vplyvy na daný útvar zmenili, inšpekčné monitorovanie sa vykoná raz počas obdobia, na ktoré sa vzťahujú tri po sebe nasledujúce plány vodohospodárskeho manažmentu povodia.;“</w:t>
      </w:r>
    </w:p>
    <w:p w14:paraId="15E25334" w14:textId="77777777" w:rsidR="002709ED" w:rsidRDefault="00B2757B">
      <w:pPr>
        <w:spacing w:before="120" w:after="120" w:line="360" w:lineRule="auto"/>
        <w:ind w:left="850" w:hanging="850"/>
        <w:rPr>
          <w:szCs w:val="24"/>
          <w:lang w:eastAsia="en-US"/>
        </w:rPr>
      </w:pPr>
      <w:r>
        <w:rPr>
          <w:szCs w:val="24"/>
          <w:lang w:eastAsia="en-US"/>
        </w:rPr>
        <w:t>10.</w:t>
      </w:r>
      <w:r>
        <w:rPr>
          <w:szCs w:val="24"/>
          <w:lang w:eastAsia="en-US"/>
        </w:rPr>
        <w:tab/>
        <w:t>Bod 1.3.2 sa mení takto:</w:t>
      </w:r>
    </w:p>
    <w:p w14:paraId="269E9CD4" w14:textId="77777777" w:rsidR="002709ED" w:rsidRDefault="00B2757B">
      <w:pPr>
        <w:spacing w:before="120" w:after="120" w:line="360" w:lineRule="auto"/>
        <w:ind w:left="1416" w:hanging="566"/>
        <w:rPr>
          <w:szCs w:val="24"/>
          <w:lang w:eastAsia="en-US"/>
        </w:rPr>
      </w:pPr>
      <w:r>
        <w:rPr>
          <w:szCs w:val="24"/>
          <w:lang w:eastAsia="en-US"/>
        </w:rPr>
        <w:t>„a)</w:t>
      </w:r>
      <w:r>
        <w:rPr>
          <w:szCs w:val="24"/>
          <w:lang w:eastAsia="en-US"/>
        </w:rPr>
        <w:tab/>
        <w:t>V treťom odseku „Výber monitorovacích miest“ sa prvá veta nahrádza takto:</w:t>
      </w:r>
    </w:p>
    <w:p w14:paraId="2DF32791" w14:textId="77777777" w:rsidR="002709ED" w:rsidRDefault="00B2757B">
      <w:pPr>
        <w:widowControl/>
        <w:rPr>
          <w:szCs w:val="24"/>
          <w:lang w:eastAsia="en-US"/>
        </w:rPr>
      </w:pPr>
      <w:r>
        <w:rPr>
          <w:szCs w:val="24"/>
          <w:lang w:eastAsia="en-US"/>
        </w:rPr>
        <w:br w:type="page"/>
      </w:r>
    </w:p>
    <w:p w14:paraId="6441A224" w14:textId="77777777" w:rsidR="002709ED" w:rsidRDefault="00B2757B">
      <w:pPr>
        <w:spacing w:before="120" w:after="120" w:line="360" w:lineRule="auto"/>
        <w:ind w:left="1416"/>
        <w:rPr>
          <w:szCs w:val="24"/>
          <w:lang w:eastAsia="en-US"/>
        </w:rPr>
      </w:pPr>
      <w:r>
        <w:rPr>
          <w:szCs w:val="24"/>
          <w:lang w:eastAsia="en-US"/>
        </w:rPr>
        <w:lastRenderedPageBreak/>
        <w:t>„Prevádzkové monitorovanie sa uskutoční v prípade všetkých vodných útvarov, ktoré boli buď na základe hodnotenia vplyvu uskutočneného v súlade s prílohou II, alebo inšpekčného monitorovania označené ako útvary ohrozené z hľadiska splnenia environmentálnych cieľov podľa článku 4 a v prípade vodných útvarov, do ktorých sa vypúšťajú alebo inak ukladajú látky zo zoznamu prioritných látok, alebo do ktorých sa vo významných množstvách vypúšťajú alebo inak ukladajú znečisťujúce látky špecifické pre povodie.“;</w:t>
      </w:r>
    </w:p>
    <w:p w14:paraId="44F62F52" w14:textId="77777777" w:rsidR="002709ED" w:rsidRDefault="00B2757B">
      <w:pPr>
        <w:spacing w:before="120" w:after="120" w:line="360" w:lineRule="auto"/>
        <w:ind w:left="1416" w:hanging="566"/>
        <w:rPr>
          <w:szCs w:val="24"/>
          <w:lang w:eastAsia="en-US"/>
        </w:rPr>
      </w:pPr>
      <w:r>
        <w:rPr>
          <w:szCs w:val="24"/>
          <w:lang w:eastAsia="en-US"/>
        </w:rPr>
        <w:t>b)</w:t>
      </w:r>
      <w:r>
        <w:rPr>
          <w:szCs w:val="24"/>
          <w:lang w:eastAsia="en-US"/>
        </w:rPr>
        <w:tab/>
        <w:t>Vo štvrtom odseku „Výber prvkov kvality“ sa druhá zarážka nahrádza takto:</w:t>
      </w:r>
    </w:p>
    <w:p w14:paraId="33823A60" w14:textId="77777777" w:rsidR="002709ED" w:rsidRDefault="00B2757B">
      <w:pPr>
        <w:spacing w:before="120" w:after="120" w:line="360" w:lineRule="auto"/>
        <w:ind w:left="1416"/>
        <w:rPr>
          <w:szCs w:val="24"/>
          <w:lang w:eastAsia="en-US"/>
        </w:rPr>
      </w:pPr>
      <w:r>
        <w:rPr>
          <w:szCs w:val="24"/>
          <w:lang w:eastAsia="en-US"/>
        </w:rPr>
        <w:t>„– všetky prioritné látky vypúšťané alebo inak ukladané do vodných útvarov a všetky znečisťujúce látky špecifické pre povodie vypúšťané alebo inak ukladané do vodných útvarov vo významných množstvách.;“</w:t>
      </w:r>
    </w:p>
    <w:p w14:paraId="260649B2" w14:textId="77777777" w:rsidR="002709ED" w:rsidRDefault="00B2757B">
      <w:pPr>
        <w:widowControl/>
        <w:rPr>
          <w:b/>
          <w:i/>
          <w:szCs w:val="24"/>
          <w:lang w:eastAsia="en-US"/>
        </w:rPr>
      </w:pPr>
      <w:r>
        <w:rPr>
          <w:b/>
          <w:i/>
          <w:szCs w:val="24"/>
          <w:lang w:eastAsia="en-US"/>
        </w:rPr>
        <w:br w:type="page"/>
      </w:r>
    </w:p>
    <w:p w14:paraId="5A45FCD1" w14:textId="77777777" w:rsidR="002709ED" w:rsidRDefault="00B2757B">
      <w:pPr>
        <w:spacing w:before="120" w:after="120" w:line="360" w:lineRule="auto"/>
        <w:ind w:left="850" w:hanging="850"/>
        <w:rPr>
          <w:szCs w:val="24"/>
          <w:lang w:eastAsia="en-US"/>
        </w:rPr>
      </w:pPr>
      <w:r>
        <w:rPr>
          <w:b/>
          <w:i/>
          <w:szCs w:val="24"/>
          <w:lang w:eastAsia="en-US"/>
        </w:rPr>
        <w:lastRenderedPageBreak/>
        <w:t>10a.</w:t>
      </w:r>
      <w:r>
        <w:rPr>
          <w:szCs w:val="24"/>
          <w:lang w:eastAsia="en-US"/>
        </w:rPr>
        <w:tab/>
      </w:r>
      <w:r>
        <w:rPr>
          <w:b/>
          <w:i/>
          <w:szCs w:val="24"/>
          <w:lang w:eastAsia="en-US"/>
        </w:rPr>
        <w:t>V bode 1.3.4 sa odsek 4 mení takto:</w:t>
      </w:r>
    </w:p>
    <w:p w14:paraId="4A00BEE2" w14:textId="77777777" w:rsidR="002709ED" w:rsidRDefault="00B2757B">
      <w:pPr>
        <w:spacing w:before="120" w:after="120" w:line="360" w:lineRule="auto"/>
        <w:ind w:left="850"/>
        <w:rPr>
          <w:b/>
          <w:szCs w:val="24"/>
          <w:lang w:eastAsia="en-US"/>
        </w:rPr>
      </w:pPr>
      <w:r>
        <w:rPr>
          <w:szCs w:val="24"/>
          <w:lang w:eastAsia="en-US"/>
        </w:rPr>
        <w:t>„</w:t>
      </w:r>
      <w:r>
        <w:rPr>
          <w:b/>
          <w:i/>
          <w:szCs w:val="24"/>
          <w:lang w:eastAsia="en-US"/>
        </w:rPr>
        <w:t>Frekvencia monitorovania sa zvolí tak, aby zohľadňovala premenlivosť ukazovateľov vyplývajúcu tak z prírodných, ako aj antropogénnych podmienok, a v prípade potreby sa zvýši. Ďalej, obdobie monitorovania sa zvolí tak, aby sa zohľadnil vplyv na hodnotenie stavu sezónnych výkyvov vo využívaní látok a na kolísanie hladiny vody, a tak sa zabezpečilo, že výsledky budú odzrkadľovať zmeny vo vodnom útvare spôsobené antropogénnym tlakom a klimatickými zmenami. Pokiaľ ide o prioritné látky, ktoré sú citlivé na klimatické zmeny, a prioritné látky, ktorých koncentrácia pravdepodobne dosiahne vrchol počas krátkeho obdobia v dôsledku sezónnych výkyvov v používaní týchto látok, monitorovanie sa vykonáva častejšie ako v prípade iných látok.</w:t>
      </w:r>
      <w:r>
        <w:rPr>
          <w:szCs w:val="24"/>
          <w:lang w:eastAsia="en-US"/>
        </w:rPr>
        <w:t>“</w:t>
      </w:r>
      <w:r>
        <w:rPr>
          <w:b/>
          <w:szCs w:val="24"/>
          <w:lang w:eastAsia="en-US"/>
        </w:rPr>
        <w:t xml:space="preserve"> [PN 139]</w:t>
      </w:r>
    </w:p>
    <w:p w14:paraId="19A7BF97" w14:textId="77777777" w:rsidR="002709ED" w:rsidRDefault="00B2757B">
      <w:pPr>
        <w:spacing w:before="120" w:after="120" w:line="360" w:lineRule="auto"/>
        <w:ind w:left="850" w:hanging="850"/>
        <w:rPr>
          <w:szCs w:val="24"/>
          <w:lang w:eastAsia="en-US"/>
        </w:rPr>
      </w:pPr>
      <w:r>
        <w:rPr>
          <w:szCs w:val="24"/>
          <w:lang w:eastAsia="en-US"/>
        </w:rPr>
        <w:t>11.</w:t>
      </w:r>
      <w:r>
        <w:rPr>
          <w:szCs w:val="24"/>
          <w:lang w:eastAsia="en-US"/>
        </w:rPr>
        <w:tab/>
        <w:t>V bode 1.3.4 sa v šiestom riadku tabuľky pod nadpisom „Fyzikálno-chemické“ slová „Iné znečisťujúce látky“ nahrádzajú slovami „Znečisťujúce látky špecifické pre povodie“;</w:t>
      </w:r>
    </w:p>
    <w:p w14:paraId="536DD560" w14:textId="77777777" w:rsidR="002709ED" w:rsidRDefault="00B2757B">
      <w:pPr>
        <w:widowControl/>
        <w:rPr>
          <w:szCs w:val="24"/>
          <w:lang w:eastAsia="en-US"/>
        </w:rPr>
      </w:pPr>
      <w:r>
        <w:rPr>
          <w:szCs w:val="24"/>
          <w:lang w:eastAsia="en-US"/>
        </w:rPr>
        <w:br w:type="page"/>
      </w:r>
    </w:p>
    <w:p w14:paraId="379FB5B1" w14:textId="77777777" w:rsidR="002709ED" w:rsidRDefault="00B2757B">
      <w:pPr>
        <w:spacing w:before="120" w:after="120" w:line="360" w:lineRule="auto"/>
        <w:ind w:left="850" w:hanging="850"/>
        <w:rPr>
          <w:szCs w:val="24"/>
          <w:lang w:eastAsia="en-US"/>
        </w:rPr>
      </w:pPr>
      <w:r>
        <w:rPr>
          <w:szCs w:val="24"/>
          <w:lang w:eastAsia="en-US"/>
        </w:rPr>
        <w:lastRenderedPageBreak/>
        <w:t>12.</w:t>
      </w:r>
      <w:r>
        <w:rPr>
          <w:szCs w:val="24"/>
          <w:lang w:eastAsia="en-US"/>
        </w:rPr>
        <w:tab/>
        <w:t>Bod 1.4.1 sa mení takto:</w:t>
      </w:r>
    </w:p>
    <w:p w14:paraId="050A1DC6" w14:textId="77777777" w:rsidR="002709ED" w:rsidRDefault="00B2757B">
      <w:pPr>
        <w:spacing w:before="120" w:after="120" w:line="360" w:lineRule="auto"/>
        <w:ind w:left="1416" w:hanging="566"/>
        <w:rPr>
          <w:szCs w:val="24"/>
          <w:lang w:eastAsia="en-US"/>
        </w:rPr>
      </w:pPr>
      <w:r>
        <w:rPr>
          <w:szCs w:val="24"/>
          <w:lang w:eastAsia="en-US"/>
        </w:rPr>
        <w:t>a)</w:t>
      </w:r>
      <w:r>
        <w:rPr>
          <w:szCs w:val="24"/>
          <w:lang w:eastAsia="en-US"/>
        </w:rPr>
        <w:tab/>
      </w:r>
      <w:r w:rsidR="00F652FA">
        <w:rPr>
          <w:szCs w:val="24"/>
          <w:lang w:eastAsia="en-US"/>
        </w:rPr>
        <w:t>v</w:t>
      </w:r>
      <w:r>
        <w:rPr>
          <w:szCs w:val="24"/>
          <w:lang w:eastAsia="en-US"/>
        </w:rPr>
        <w:t xml:space="preserve"> bode vii) sa druhá veta vypúšťa;</w:t>
      </w:r>
    </w:p>
    <w:p w14:paraId="7024D991" w14:textId="77777777" w:rsidR="002709ED" w:rsidRDefault="00B2757B">
      <w:pPr>
        <w:spacing w:before="120" w:after="120" w:line="360" w:lineRule="auto"/>
        <w:ind w:left="1416" w:hanging="566"/>
        <w:rPr>
          <w:szCs w:val="24"/>
          <w:lang w:eastAsia="en-US"/>
        </w:rPr>
      </w:pPr>
      <w:r>
        <w:rPr>
          <w:szCs w:val="24"/>
          <w:lang w:eastAsia="en-US"/>
        </w:rPr>
        <w:t>b)</w:t>
      </w:r>
      <w:r>
        <w:rPr>
          <w:szCs w:val="24"/>
          <w:lang w:eastAsia="en-US"/>
        </w:rPr>
        <w:tab/>
      </w:r>
      <w:r w:rsidR="00F652FA">
        <w:rPr>
          <w:szCs w:val="24"/>
          <w:lang w:eastAsia="en-US"/>
        </w:rPr>
        <w:t>b</w:t>
      </w:r>
      <w:r>
        <w:rPr>
          <w:szCs w:val="24"/>
          <w:lang w:eastAsia="en-US"/>
        </w:rPr>
        <w:t>od viii) sa vypúšťa;</w:t>
      </w:r>
    </w:p>
    <w:p w14:paraId="50BB890F" w14:textId="77777777" w:rsidR="002709ED" w:rsidRDefault="00B2757B">
      <w:pPr>
        <w:spacing w:before="120" w:after="120" w:line="360" w:lineRule="auto"/>
        <w:ind w:left="1416" w:hanging="566"/>
        <w:rPr>
          <w:szCs w:val="24"/>
          <w:lang w:eastAsia="en-US"/>
        </w:rPr>
      </w:pPr>
      <w:r>
        <w:rPr>
          <w:szCs w:val="24"/>
          <w:lang w:eastAsia="en-US"/>
        </w:rPr>
        <w:t>c)</w:t>
      </w:r>
      <w:r>
        <w:rPr>
          <w:szCs w:val="24"/>
          <w:lang w:eastAsia="en-US"/>
        </w:rPr>
        <w:tab/>
      </w:r>
      <w:r w:rsidR="00F652FA">
        <w:rPr>
          <w:szCs w:val="24"/>
          <w:lang w:eastAsia="en-US"/>
        </w:rPr>
        <w:t>b</w:t>
      </w:r>
      <w:r>
        <w:rPr>
          <w:szCs w:val="24"/>
          <w:lang w:eastAsia="en-US"/>
        </w:rPr>
        <w:t>od ix) sa nahrádza takto:</w:t>
      </w:r>
    </w:p>
    <w:p w14:paraId="4585E82E" w14:textId="77777777" w:rsidR="002709ED" w:rsidRDefault="00B2757B">
      <w:pPr>
        <w:spacing w:before="120" w:after="120" w:line="360" w:lineRule="auto"/>
        <w:ind w:left="1982" w:hanging="566"/>
        <w:rPr>
          <w:szCs w:val="24"/>
          <w:lang w:eastAsia="en-US"/>
        </w:rPr>
      </w:pPr>
      <w:r>
        <w:rPr>
          <w:szCs w:val="24"/>
          <w:lang w:eastAsia="en-US"/>
        </w:rPr>
        <w:t>„ix)</w:t>
      </w:r>
      <w:r>
        <w:rPr>
          <w:szCs w:val="24"/>
          <w:lang w:eastAsia="en-US"/>
        </w:rPr>
        <w:tab/>
        <w:t>Výsledky medzikalibračného porovnania a hodnoty pre klasifikácie monitorovacích systémov členských štátov stanovené v súlade s bodmi i) až viii) sa uverejnia do šiestich mesiacov od prijatia delegovaného aktu v súlade s článkom 20.;“</w:t>
      </w:r>
    </w:p>
    <w:p w14:paraId="3D28FD7C" w14:textId="77777777" w:rsidR="002709ED" w:rsidRDefault="00B2757B">
      <w:pPr>
        <w:spacing w:before="120" w:after="120" w:line="360" w:lineRule="auto"/>
        <w:ind w:left="850" w:hanging="850"/>
        <w:rPr>
          <w:szCs w:val="24"/>
          <w:lang w:eastAsia="en-US"/>
        </w:rPr>
      </w:pPr>
      <w:r>
        <w:rPr>
          <w:szCs w:val="24"/>
          <w:lang w:eastAsia="en-US"/>
        </w:rPr>
        <w:t>13.</w:t>
      </w:r>
      <w:r>
        <w:rPr>
          <w:szCs w:val="24"/>
          <w:lang w:eastAsia="en-US"/>
        </w:rPr>
        <w:tab/>
        <w:t>V bode 1.4.2 sa bod iii) vypúšťa;</w:t>
      </w:r>
    </w:p>
    <w:p w14:paraId="6891508A" w14:textId="77777777" w:rsidR="002709ED" w:rsidRDefault="00B2757B">
      <w:pPr>
        <w:spacing w:before="120" w:after="120" w:line="360" w:lineRule="auto"/>
        <w:ind w:left="850" w:hanging="850"/>
        <w:rPr>
          <w:szCs w:val="24"/>
          <w:lang w:eastAsia="en-US"/>
        </w:rPr>
      </w:pPr>
      <w:r>
        <w:rPr>
          <w:szCs w:val="24"/>
          <w:lang w:eastAsia="en-US"/>
        </w:rPr>
        <w:t>14.</w:t>
      </w:r>
      <w:r>
        <w:rPr>
          <w:szCs w:val="24"/>
          <w:lang w:eastAsia="en-US"/>
        </w:rPr>
        <w:tab/>
        <w:t>V bode 1.4.3 prvom odseku sa prvá veta nahrádza takto:</w:t>
      </w:r>
    </w:p>
    <w:p w14:paraId="29CBBDD0" w14:textId="77777777" w:rsidR="002709ED" w:rsidRDefault="00B2757B">
      <w:pPr>
        <w:spacing w:before="120" w:after="120" w:line="360" w:lineRule="auto"/>
        <w:ind w:left="850"/>
        <w:rPr>
          <w:szCs w:val="24"/>
          <w:lang w:eastAsia="en-US"/>
        </w:rPr>
      </w:pPr>
      <w:r>
        <w:rPr>
          <w:szCs w:val="24"/>
          <w:lang w:eastAsia="en-US"/>
        </w:rPr>
        <w:t>„Vodný útvar sa zaznamená ako útvar dosahujúci dobrý chemický stav, ak spĺňa všetky environmentálne normy kvality stanovené v časti A prílohy I k smernici 2008/105/ES a environmentálne normy kvality stanovené podľa článkov 8 a 8d uvedenej smernice.;“</w:t>
      </w:r>
    </w:p>
    <w:p w14:paraId="083D9BD3" w14:textId="77777777" w:rsidR="002709ED" w:rsidRDefault="00B2757B">
      <w:pPr>
        <w:widowControl/>
        <w:rPr>
          <w:szCs w:val="24"/>
          <w:lang w:eastAsia="en-US"/>
        </w:rPr>
      </w:pPr>
      <w:r>
        <w:rPr>
          <w:szCs w:val="24"/>
          <w:lang w:eastAsia="en-US"/>
        </w:rPr>
        <w:br w:type="page"/>
      </w:r>
    </w:p>
    <w:p w14:paraId="3E8F972A" w14:textId="77777777" w:rsidR="002709ED" w:rsidRDefault="00B2757B">
      <w:pPr>
        <w:spacing w:before="120" w:after="120" w:line="360" w:lineRule="auto"/>
        <w:ind w:left="850" w:hanging="850"/>
        <w:rPr>
          <w:szCs w:val="24"/>
          <w:lang w:eastAsia="en-US"/>
        </w:rPr>
      </w:pPr>
      <w:r>
        <w:rPr>
          <w:szCs w:val="24"/>
          <w:lang w:eastAsia="en-US"/>
        </w:rPr>
        <w:lastRenderedPageBreak/>
        <w:t>15.</w:t>
      </w:r>
      <w:r>
        <w:rPr>
          <w:szCs w:val="24"/>
          <w:lang w:eastAsia="en-US"/>
        </w:rPr>
        <w:tab/>
        <w:t>V bode 2.2.1 sa dopĺňa tento odsek:</w:t>
      </w:r>
    </w:p>
    <w:p w14:paraId="25A6F1DD" w14:textId="77777777" w:rsidR="002709ED" w:rsidRDefault="00B2757B">
      <w:pPr>
        <w:spacing w:before="120" w:after="120" w:line="360" w:lineRule="auto"/>
        <w:ind w:left="850"/>
        <w:rPr>
          <w:szCs w:val="24"/>
          <w:lang w:eastAsia="en-US"/>
        </w:rPr>
      </w:pPr>
      <w:r>
        <w:rPr>
          <w:szCs w:val="24"/>
          <w:lang w:eastAsia="en-US"/>
        </w:rPr>
        <w:t>„Ak monitorovacia sieť zahŕňa metódy pozorovania alebo diaľkového snímania Zeme, a nie lokálne miesta odberu vzoriek, alebo iné inovačné techniky, uvedie sa odkaz na CEN, ISO alebo iné medzinárodné alebo vnútroštátne normy, ktoré sa uplatnili s cieľom zabezpečiť, aby získané časové a priestorové údaje boli také spoľahlivé ako údaje, ktoré sa získali použitím konvenčných monitorovacích metód v lokálnych miestach odberu vzoriek.;“</w:t>
      </w:r>
    </w:p>
    <w:p w14:paraId="10996954" w14:textId="77777777" w:rsidR="002709ED" w:rsidRDefault="00B2757B">
      <w:pPr>
        <w:widowControl/>
        <w:rPr>
          <w:szCs w:val="24"/>
          <w:lang w:eastAsia="en-US"/>
        </w:rPr>
      </w:pPr>
      <w:r>
        <w:rPr>
          <w:szCs w:val="24"/>
          <w:lang w:eastAsia="en-US"/>
        </w:rPr>
        <w:br w:type="page"/>
      </w:r>
    </w:p>
    <w:p w14:paraId="686A7E46" w14:textId="77777777" w:rsidR="002709ED" w:rsidRDefault="00B2757B">
      <w:pPr>
        <w:spacing w:before="120" w:after="120" w:line="360" w:lineRule="auto"/>
        <w:ind w:left="850" w:hanging="850"/>
        <w:rPr>
          <w:szCs w:val="24"/>
          <w:lang w:eastAsia="en-US"/>
        </w:rPr>
      </w:pPr>
      <w:r>
        <w:rPr>
          <w:szCs w:val="24"/>
          <w:lang w:eastAsia="en-US"/>
        </w:rPr>
        <w:lastRenderedPageBreak/>
        <w:t>16.</w:t>
      </w:r>
      <w:r>
        <w:rPr>
          <w:szCs w:val="24"/>
          <w:lang w:eastAsia="en-US"/>
        </w:rPr>
        <w:tab/>
        <w:t>Bod 2.3.2 sa nahrádza takto:</w:t>
      </w:r>
    </w:p>
    <w:p w14:paraId="587B3D90" w14:textId="77777777" w:rsidR="002709ED" w:rsidRDefault="00B2757B">
      <w:pPr>
        <w:spacing w:before="120" w:after="120" w:line="360" w:lineRule="auto"/>
        <w:ind w:left="1416" w:hanging="566"/>
        <w:rPr>
          <w:szCs w:val="24"/>
          <w:lang w:eastAsia="en-US"/>
        </w:rPr>
      </w:pPr>
      <w:r>
        <w:rPr>
          <w:szCs w:val="24"/>
          <w:lang w:eastAsia="en-US"/>
        </w:rPr>
        <w:t>„2.3.2.</w:t>
      </w:r>
      <w:r>
        <w:rPr>
          <w:szCs w:val="24"/>
          <w:lang w:eastAsia="en-US"/>
        </w:rPr>
        <w:tab/>
        <w:t>„Definícia dobrého chemického stavu podzemnej vody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733"/>
        <w:gridCol w:w="7332"/>
      </w:tblGrid>
      <w:tr w:rsidR="002709ED" w14:paraId="28CCBD58" w14:textId="77777777">
        <w:trPr>
          <w:tblHeader/>
        </w:trPr>
        <w:tc>
          <w:tcPr>
            <w:tcW w:w="0" w:type="auto"/>
          </w:tcPr>
          <w:p w14:paraId="0AF59A01" w14:textId="77777777" w:rsidR="002709ED" w:rsidRDefault="00B2757B">
            <w:pPr>
              <w:spacing w:before="120" w:after="120" w:line="360" w:lineRule="auto"/>
              <w:rPr>
                <w:szCs w:val="24"/>
                <w:lang w:eastAsia="en-US"/>
              </w:rPr>
            </w:pPr>
            <w:r>
              <w:rPr>
                <w:szCs w:val="24"/>
                <w:lang w:eastAsia="en-US"/>
              </w:rPr>
              <w:t>Prvky</w:t>
            </w:r>
          </w:p>
        </w:tc>
        <w:tc>
          <w:tcPr>
            <w:tcW w:w="0" w:type="auto"/>
          </w:tcPr>
          <w:p w14:paraId="0B21BFEE" w14:textId="77777777" w:rsidR="002709ED" w:rsidRDefault="00B2757B">
            <w:pPr>
              <w:spacing w:before="120" w:after="120" w:line="360" w:lineRule="auto"/>
              <w:rPr>
                <w:szCs w:val="24"/>
                <w:lang w:eastAsia="en-US"/>
              </w:rPr>
            </w:pPr>
            <w:r>
              <w:rPr>
                <w:szCs w:val="24"/>
                <w:lang w:eastAsia="en-US"/>
              </w:rPr>
              <w:t>Dobrý stav</w:t>
            </w:r>
          </w:p>
        </w:tc>
      </w:tr>
      <w:tr w:rsidR="002709ED" w14:paraId="4069768E" w14:textId="77777777">
        <w:tc>
          <w:tcPr>
            <w:tcW w:w="0" w:type="auto"/>
          </w:tcPr>
          <w:p w14:paraId="51888F11" w14:textId="77777777" w:rsidR="002709ED" w:rsidRDefault="00B2757B">
            <w:pPr>
              <w:spacing w:before="120" w:after="120" w:line="360" w:lineRule="auto"/>
              <w:rPr>
                <w:szCs w:val="24"/>
                <w:lang w:eastAsia="en-US"/>
              </w:rPr>
            </w:pPr>
            <w:r>
              <w:rPr>
                <w:szCs w:val="24"/>
                <w:lang w:eastAsia="en-US"/>
              </w:rPr>
              <w:t>Všeobecné</w:t>
            </w:r>
          </w:p>
        </w:tc>
        <w:tc>
          <w:tcPr>
            <w:tcW w:w="0" w:type="auto"/>
          </w:tcPr>
          <w:p w14:paraId="7EE55E8E" w14:textId="77777777" w:rsidR="002709ED" w:rsidRDefault="00B2757B">
            <w:pPr>
              <w:spacing w:before="120" w:after="120" w:line="360" w:lineRule="auto"/>
              <w:rPr>
                <w:szCs w:val="24"/>
                <w:lang w:eastAsia="en-US"/>
              </w:rPr>
            </w:pPr>
            <w:r>
              <w:rPr>
                <w:szCs w:val="24"/>
                <w:lang w:eastAsia="en-US"/>
              </w:rPr>
              <w:t>Chemické zloženie útvaru podzemnej vody je také, že koncentrácie znečisťujúcich látok: — nevykazujú žiadne vplyvy prieniku slanej vody alebo iných prienikov, ako je špecifikované ďalej, — neprekračujú normy kvality podzemných vôd uvedené v prílohe I k smernici 2006/118/ES, prahové hodnoty pre látky znečisťujúce podzemné vody a ukazovatele znečistenia stanovené podľa článku 3 ods. 1 písm. b) uvedenej smernice a prahové hodnoty pre celú Úniu stanovené podľa článku 8 ods. 3 uvedenej smernice, — nie sú také, aby viedli k nesplneniu environmentálnych cieľov stanovených v článku 4 pre súvisiace povrchové vody, ani k významnému zhoršeniu ekologickej alebo chemickej kvality takýchto útvarov, ani k žiadnemu významnému poškodeniu suchozemských ekosystémov, ktoré sú priamo závislé od útvaru podzemnej vody.</w:t>
            </w:r>
          </w:p>
        </w:tc>
      </w:tr>
      <w:tr w:rsidR="002709ED" w14:paraId="6D60D844" w14:textId="77777777">
        <w:tc>
          <w:tcPr>
            <w:tcW w:w="0" w:type="auto"/>
          </w:tcPr>
          <w:p w14:paraId="28F600ED" w14:textId="77777777" w:rsidR="002709ED" w:rsidRDefault="00B2757B">
            <w:pPr>
              <w:spacing w:before="120" w:after="120" w:line="360" w:lineRule="auto"/>
              <w:rPr>
                <w:szCs w:val="24"/>
                <w:lang w:eastAsia="en-US"/>
              </w:rPr>
            </w:pPr>
            <w:r>
              <w:rPr>
                <w:szCs w:val="24"/>
                <w:lang w:eastAsia="en-US"/>
              </w:rPr>
              <w:t>Vodivosť</w:t>
            </w:r>
          </w:p>
        </w:tc>
        <w:tc>
          <w:tcPr>
            <w:tcW w:w="0" w:type="auto"/>
          </w:tcPr>
          <w:p w14:paraId="008E47B0" w14:textId="77777777" w:rsidR="002709ED" w:rsidRDefault="00B2757B">
            <w:pPr>
              <w:spacing w:before="120" w:after="120" w:line="360" w:lineRule="auto"/>
              <w:rPr>
                <w:szCs w:val="24"/>
                <w:lang w:eastAsia="en-US"/>
              </w:rPr>
            </w:pPr>
            <w:r>
              <w:rPr>
                <w:szCs w:val="24"/>
                <w:lang w:eastAsia="en-US"/>
              </w:rPr>
              <w:t>Zmeny vodivosti nenaznačujú prienik slanej vody alebo iných prienikov do útvaru podzemnej vody.</w:t>
            </w:r>
          </w:p>
        </w:tc>
      </w:tr>
    </w:tbl>
    <w:p w14:paraId="3755A4C9" w14:textId="77777777" w:rsidR="002709ED" w:rsidRDefault="002709ED">
      <w:pPr>
        <w:spacing w:before="120" w:after="120" w:line="360" w:lineRule="auto"/>
        <w:ind w:left="850" w:hanging="850"/>
        <w:rPr>
          <w:szCs w:val="24"/>
          <w:lang w:eastAsia="en-US"/>
        </w:rPr>
      </w:pPr>
    </w:p>
    <w:p w14:paraId="6B9F909A" w14:textId="77777777" w:rsidR="002709ED" w:rsidRDefault="00B2757B">
      <w:pPr>
        <w:widowControl/>
        <w:rPr>
          <w:szCs w:val="24"/>
          <w:lang w:eastAsia="en-US"/>
        </w:rPr>
      </w:pPr>
      <w:r>
        <w:rPr>
          <w:szCs w:val="24"/>
          <w:lang w:eastAsia="en-US"/>
        </w:rPr>
        <w:br w:type="page"/>
      </w:r>
    </w:p>
    <w:p w14:paraId="637B5F20" w14:textId="77777777" w:rsidR="002709ED" w:rsidRDefault="00B2757B">
      <w:pPr>
        <w:spacing w:before="120" w:after="120" w:line="360" w:lineRule="auto"/>
        <w:ind w:left="850" w:hanging="850"/>
        <w:rPr>
          <w:szCs w:val="24"/>
          <w:lang w:eastAsia="en-US"/>
        </w:rPr>
      </w:pPr>
      <w:r>
        <w:rPr>
          <w:szCs w:val="24"/>
          <w:lang w:eastAsia="en-US"/>
        </w:rPr>
        <w:lastRenderedPageBreak/>
        <w:t>17.</w:t>
      </w:r>
      <w:r>
        <w:rPr>
          <w:szCs w:val="24"/>
          <w:lang w:eastAsia="en-US"/>
        </w:rPr>
        <w:tab/>
        <w:t>V bode 2.4.1 sa dopĺňa tento odsek:</w:t>
      </w:r>
    </w:p>
    <w:p w14:paraId="0EFD4025" w14:textId="77777777" w:rsidR="002709ED" w:rsidRDefault="00B2757B">
      <w:pPr>
        <w:spacing w:before="120" w:after="120" w:line="360" w:lineRule="auto"/>
        <w:ind w:left="850"/>
        <w:rPr>
          <w:szCs w:val="24"/>
          <w:lang w:eastAsia="en-US"/>
        </w:rPr>
      </w:pPr>
      <w:r>
        <w:rPr>
          <w:szCs w:val="24"/>
          <w:lang w:eastAsia="en-US"/>
        </w:rPr>
        <w:t>„Ak monitorovacia sieť zahŕňa pozorovanie alebo diaľkové snímanie Zeme, a nie lokálne miesta odberu vzoriek, alebo iné inovačné techniky, uvedie sa odkaz na CEN, ISO alebo iné medzinárodné alebo vnútroštátne normy, ktoré sa uplatnili s cieľom zabezpečiť, aby získané časové a priestorové údaje boli také spoľahlivé ako údaje, ktoré sa získali použitím konvenčných monitorovacích metód v lokálnych miestach odberu vzoriek.;“</w:t>
      </w:r>
    </w:p>
    <w:p w14:paraId="2492860A" w14:textId="77777777" w:rsidR="002709ED" w:rsidRDefault="00B2757B">
      <w:pPr>
        <w:spacing w:before="120" w:after="120" w:line="360" w:lineRule="auto"/>
        <w:ind w:left="850" w:hanging="850"/>
        <w:rPr>
          <w:szCs w:val="24"/>
          <w:lang w:eastAsia="en-US"/>
        </w:rPr>
      </w:pPr>
      <w:r>
        <w:rPr>
          <w:szCs w:val="24"/>
          <w:lang w:eastAsia="en-US"/>
        </w:rPr>
        <w:t>18.</w:t>
      </w:r>
      <w:r>
        <w:rPr>
          <w:szCs w:val="24"/>
          <w:lang w:eastAsia="en-US"/>
        </w:rPr>
        <w:tab/>
        <w:t>Bod 2.4.5 sa nahrádza takto:</w:t>
      </w:r>
    </w:p>
    <w:p w14:paraId="242CE2C2" w14:textId="77777777" w:rsidR="002709ED" w:rsidRDefault="00B2757B">
      <w:pPr>
        <w:spacing w:before="120" w:after="120" w:line="360" w:lineRule="auto"/>
        <w:ind w:left="1416" w:hanging="566"/>
        <w:rPr>
          <w:szCs w:val="24"/>
          <w:lang w:eastAsia="en-US"/>
        </w:rPr>
      </w:pPr>
      <w:r>
        <w:rPr>
          <w:szCs w:val="24"/>
          <w:lang w:eastAsia="en-US"/>
        </w:rPr>
        <w:t>„2.4.5.</w:t>
      </w:r>
      <w:r>
        <w:rPr>
          <w:szCs w:val="24"/>
          <w:lang w:eastAsia="en-US"/>
        </w:rPr>
        <w:tab/>
        <w:t>Interpretácia a prezentácia chemického stavu podzemnej vody</w:t>
      </w:r>
    </w:p>
    <w:p w14:paraId="6903FDFF" w14:textId="77777777" w:rsidR="002709ED" w:rsidRDefault="00B2757B">
      <w:pPr>
        <w:spacing w:before="120" w:after="120" w:line="360" w:lineRule="auto"/>
        <w:ind w:left="1416"/>
        <w:rPr>
          <w:szCs w:val="24"/>
          <w:lang w:eastAsia="en-US"/>
        </w:rPr>
      </w:pPr>
      <w:r>
        <w:rPr>
          <w:szCs w:val="24"/>
          <w:lang w:eastAsia="en-US"/>
        </w:rPr>
        <w:t>Pri hodnotení chemického stavu podzemnej vody sa výsledky získané z jednotlivých monitorovacích miest v útvare podzemnej vody spoločne vyhodnotia pre útvar ako celok. Stredná hodnota výsledkov monitorovania v každom bode útvaru alebo skupiny útvarov podzemnej vody sa vypočíta pre tieto parametre:</w:t>
      </w:r>
    </w:p>
    <w:p w14:paraId="59341174" w14:textId="77777777" w:rsidR="002709ED" w:rsidRDefault="00B2757B">
      <w:pPr>
        <w:widowControl/>
        <w:rPr>
          <w:szCs w:val="24"/>
          <w:lang w:eastAsia="en-US"/>
        </w:rPr>
      </w:pPr>
      <w:r>
        <w:rPr>
          <w:szCs w:val="24"/>
          <w:lang w:eastAsia="en-US"/>
        </w:rPr>
        <w:br w:type="page"/>
      </w:r>
    </w:p>
    <w:p w14:paraId="3D8E659C" w14:textId="77777777" w:rsidR="002709ED" w:rsidRDefault="00B2757B">
      <w:pPr>
        <w:spacing w:before="120" w:after="120" w:line="360" w:lineRule="auto"/>
        <w:ind w:left="1982" w:hanging="566"/>
        <w:rPr>
          <w:szCs w:val="24"/>
          <w:lang w:eastAsia="en-US"/>
        </w:rPr>
      </w:pPr>
      <w:r>
        <w:rPr>
          <w:szCs w:val="24"/>
          <w:lang w:eastAsia="en-US"/>
        </w:rPr>
        <w:lastRenderedPageBreak/>
        <w:t>a)</w:t>
      </w:r>
      <w:r>
        <w:rPr>
          <w:szCs w:val="24"/>
          <w:lang w:eastAsia="en-US"/>
        </w:rPr>
        <w:tab/>
        <w:t>chemické parametre, pre ktoré boli stanovené normy kvality v prílohe I k smernici 2006/118/ES;</w:t>
      </w:r>
    </w:p>
    <w:p w14:paraId="1ADCDCAD" w14:textId="77777777" w:rsidR="002709ED" w:rsidRDefault="00B2757B">
      <w:pPr>
        <w:spacing w:before="120" w:after="120" w:line="360" w:lineRule="auto"/>
        <w:ind w:left="1982" w:hanging="566"/>
        <w:rPr>
          <w:szCs w:val="24"/>
          <w:lang w:eastAsia="en-US"/>
        </w:rPr>
      </w:pPr>
      <w:r>
        <w:rPr>
          <w:szCs w:val="24"/>
          <w:lang w:eastAsia="en-US"/>
        </w:rPr>
        <w:t>b)</w:t>
      </w:r>
      <w:r>
        <w:rPr>
          <w:szCs w:val="24"/>
          <w:lang w:eastAsia="en-US"/>
        </w:rPr>
        <w:tab/>
        <w:t>chemické parametre, pre ktoré boli stanovené vnútroštátne prahové hodnoty podľa článku 3 ods. 1 písm. b) smernice 2006/118/ES;</w:t>
      </w:r>
    </w:p>
    <w:p w14:paraId="260AABDF" w14:textId="77777777" w:rsidR="002709ED" w:rsidRDefault="00B2757B">
      <w:pPr>
        <w:spacing w:before="120" w:after="120" w:line="360" w:lineRule="auto"/>
        <w:ind w:left="1982" w:hanging="566"/>
        <w:rPr>
          <w:szCs w:val="24"/>
          <w:lang w:eastAsia="en-US"/>
        </w:rPr>
      </w:pPr>
      <w:r>
        <w:rPr>
          <w:szCs w:val="24"/>
          <w:lang w:eastAsia="en-US"/>
        </w:rPr>
        <w:t>c)</w:t>
      </w:r>
      <w:r>
        <w:rPr>
          <w:szCs w:val="24"/>
          <w:lang w:eastAsia="en-US"/>
        </w:rPr>
        <w:tab/>
        <w:t>chemické parametre, pre ktoré boli stanovené celoúnijné prahové hodnoty podľa článku 8 ods. 3 písm. b) smernice 2006/118/ES.</w:t>
      </w:r>
    </w:p>
    <w:p w14:paraId="02704762" w14:textId="77777777" w:rsidR="002709ED" w:rsidRDefault="00B2757B">
      <w:pPr>
        <w:spacing w:before="120" w:after="120" w:line="360" w:lineRule="auto"/>
        <w:ind w:left="1416"/>
        <w:rPr>
          <w:szCs w:val="24"/>
          <w:lang w:eastAsia="en-US"/>
        </w:rPr>
      </w:pPr>
      <w:r>
        <w:rPr>
          <w:szCs w:val="24"/>
          <w:lang w:eastAsia="en-US"/>
        </w:rPr>
        <w:t>Stredné hodnoty uvedené v prvom odseku sa použijú na preukázanie súladu s dobrým chemickým stavom podzemnej vody, ktorý sa definuje odkazom na normy kvality a prahové hodnoty uvedené v prvom odseku.</w:t>
      </w:r>
    </w:p>
    <w:p w14:paraId="286F2503" w14:textId="77777777" w:rsidR="002709ED" w:rsidRDefault="00B2757B">
      <w:pPr>
        <w:spacing w:before="120" w:after="120" w:line="360" w:lineRule="auto"/>
        <w:ind w:left="1416"/>
        <w:rPr>
          <w:szCs w:val="24"/>
          <w:lang w:eastAsia="en-US"/>
        </w:rPr>
      </w:pPr>
      <w:r>
        <w:rPr>
          <w:szCs w:val="24"/>
          <w:lang w:eastAsia="en-US"/>
        </w:rPr>
        <w:t>S výhradou bodu 2.5 členské štáty spracujú mapu chemického stavu podzemnej vody s týmto farebným označením:</w:t>
      </w:r>
    </w:p>
    <w:p w14:paraId="4AEBB697" w14:textId="77777777" w:rsidR="002709ED" w:rsidRDefault="00B2757B">
      <w:pPr>
        <w:spacing w:before="120" w:after="120" w:line="360" w:lineRule="auto"/>
        <w:ind w:left="1416"/>
        <w:rPr>
          <w:szCs w:val="24"/>
          <w:lang w:eastAsia="en-US"/>
        </w:rPr>
      </w:pPr>
      <w:r>
        <w:rPr>
          <w:szCs w:val="24"/>
          <w:lang w:eastAsia="en-US"/>
        </w:rPr>
        <w:t>dobrý stav: zelená,</w:t>
      </w:r>
    </w:p>
    <w:p w14:paraId="4FC888CF" w14:textId="77777777" w:rsidR="002709ED" w:rsidRDefault="00B2757B">
      <w:pPr>
        <w:spacing w:before="120" w:after="120" w:line="360" w:lineRule="auto"/>
        <w:ind w:left="1416"/>
        <w:rPr>
          <w:szCs w:val="24"/>
          <w:lang w:eastAsia="en-US"/>
        </w:rPr>
      </w:pPr>
      <w:r>
        <w:rPr>
          <w:szCs w:val="24"/>
          <w:lang w:eastAsia="en-US"/>
        </w:rPr>
        <w:t>nevyhovujúci stav: červená.</w:t>
      </w:r>
    </w:p>
    <w:p w14:paraId="5B3551C0" w14:textId="77777777" w:rsidR="002709ED" w:rsidRDefault="00B2757B">
      <w:pPr>
        <w:widowControl/>
        <w:rPr>
          <w:szCs w:val="24"/>
          <w:lang w:eastAsia="en-US"/>
        </w:rPr>
      </w:pPr>
      <w:r>
        <w:rPr>
          <w:szCs w:val="24"/>
          <w:lang w:eastAsia="en-US"/>
        </w:rPr>
        <w:br w:type="page"/>
      </w:r>
    </w:p>
    <w:p w14:paraId="278E29D0" w14:textId="77777777" w:rsidR="002709ED" w:rsidRDefault="00B2757B">
      <w:pPr>
        <w:spacing w:before="120" w:after="120" w:line="360" w:lineRule="auto"/>
        <w:ind w:left="1416"/>
        <w:rPr>
          <w:b/>
          <w:szCs w:val="24"/>
          <w:lang w:eastAsia="en-US"/>
        </w:rPr>
      </w:pPr>
      <w:r>
        <w:rPr>
          <w:szCs w:val="24"/>
          <w:lang w:eastAsia="en-US"/>
        </w:rPr>
        <w:lastRenderedPageBreak/>
        <w:t>Členské štáty taktiež označia čiernymi bodmi na mape tie útvary podzemnej vody, ktoré vykazujú významný a trvalo stúpajúci trend</w:t>
      </w:r>
      <w:r>
        <w:rPr>
          <w:b/>
          <w:i/>
          <w:szCs w:val="24"/>
          <w:lang w:eastAsia="en-US"/>
        </w:rPr>
        <w:t>, vrátane sezónneho vzostupného trendu spôsobeného okrem iného nízkym prietokom vodného útvaru,</w:t>
      </w:r>
      <w:r>
        <w:rPr>
          <w:szCs w:val="24"/>
          <w:lang w:eastAsia="en-US"/>
        </w:rPr>
        <w:t xml:space="preserve"> koncentrácií niektorej znečisťujúcej látky spôsobený vplyvom ľudskej činnosti. Zvrat tohto trendu sa na mape označí modrým bodom.</w:t>
      </w:r>
      <w:r>
        <w:rPr>
          <w:b/>
          <w:szCs w:val="24"/>
          <w:lang w:eastAsia="en-US"/>
        </w:rPr>
        <w:t xml:space="preserve"> [PN 140]</w:t>
      </w:r>
    </w:p>
    <w:p w14:paraId="13E6DC18" w14:textId="77777777" w:rsidR="002709ED" w:rsidRDefault="00B2757B">
      <w:pPr>
        <w:spacing w:before="120" w:after="120" w:line="360" w:lineRule="auto"/>
        <w:ind w:left="1416"/>
        <w:rPr>
          <w:szCs w:val="24"/>
          <w:lang w:eastAsia="en-US"/>
        </w:rPr>
      </w:pPr>
      <w:r>
        <w:rPr>
          <w:szCs w:val="24"/>
          <w:lang w:eastAsia="en-US"/>
        </w:rPr>
        <w:t>Tieto mapy budú tvoriť súčasť plánov vodohospodárskeho manažmentu povodia.“</w:t>
      </w:r>
    </w:p>
    <w:p w14:paraId="1A963BCB" w14:textId="77777777" w:rsidR="002709ED" w:rsidRDefault="002709ED">
      <w:pPr>
        <w:spacing w:before="120" w:after="120" w:line="360" w:lineRule="auto"/>
        <w:rPr>
          <w:szCs w:val="24"/>
          <w:lang w:eastAsia="en-US"/>
        </w:rPr>
        <w:sectPr w:rsidR="002709ED">
          <w:footnotePr>
            <w:numRestart w:val="eachSect"/>
          </w:footnotePr>
          <w:pgSz w:w="11909" w:h="16834"/>
          <w:pgMar w:top="1134" w:right="1417" w:bottom="1417" w:left="1417" w:header="1134" w:footer="567" w:gutter="0"/>
          <w:cols w:space="720"/>
        </w:sectPr>
      </w:pPr>
    </w:p>
    <w:p w14:paraId="1080A1A2" w14:textId="77777777" w:rsidR="002709ED" w:rsidRDefault="00B2757B">
      <w:pPr>
        <w:spacing w:before="120" w:after="120" w:line="360" w:lineRule="auto"/>
        <w:jc w:val="center"/>
        <w:rPr>
          <w:lang w:eastAsia="en-US"/>
        </w:rPr>
      </w:pPr>
      <w:r>
        <w:rPr>
          <w:lang w:eastAsia="en-US"/>
        </w:rPr>
        <w:lastRenderedPageBreak/>
        <w:t>PRÍLOHA II</w:t>
      </w:r>
    </w:p>
    <w:p w14:paraId="31C570E2" w14:textId="77777777" w:rsidR="002709ED" w:rsidRDefault="00B2757B">
      <w:pPr>
        <w:spacing w:before="120" w:after="120" w:line="360" w:lineRule="auto"/>
        <w:rPr>
          <w:szCs w:val="24"/>
          <w:lang w:eastAsia="en-US"/>
        </w:rPr>
      </w:pPr>
      <w:r>
        <w:rPr>
          <w:szCs w:val="24"/>
          <w:lang w:eastAsia="en-US"/>
        </w:rPr>
        <w:t>Príloha VIII k smernici 2000/60/ES sa mení takto:</w:t>
      </w:r>
    </w:p>
    <w:p w14:paraId="7E886E4E" w14:textId="77777777" w:rsidR="002709ED" w:rsidRDefault="00B2757B">
      <w:pPr>
        <w:spacing w:before="120" w:after="120" w:line="360" w:lineRule="auto"/>
        <w:ind w:left="850" w:hanging="850"/>
        <w:rPr>
          <w:szCs w:val="24"/>
          <w:lang w:eastAsia="en-US"/>
        </w:rPr>
      </w:pPr>
      <w:r>
        <w:rPr>
          <w:szCs w:val="24"/>
          <w:lang w:eastAsia="en-US"/>
        </w:rPr>
        <w:t>1.</w:t>
      </w:r>
      <w:r>
        <w:rPr>
          <w:szCs w:val="24"/>
          <w:lang w:eastAsia="en-US"/>
        </w:rPr>
        <w:tab/>
        <w:t>Bod 10 sa nahrádza takto:</w:t>
      </w:r>
    </w:p>
    <w:p w14:paraId="52FCAF3B" w14:textId="77777777" w:rsidR="002709ED" w:rsidRDefault="00B2757B">
      <w:pPr>
        <w:spacing w:before="120" w:after="120" w:line="360" w:lineRule="auto"/>
        <w:ind w:left="1416" w:hanging="566"/>
        <w:rPr>
          <w:b/>
          <w:szCs w:val="24"/>
          <w:lang w:eastAsia="en-US"/>
        </w:rPr>
      </w:pPr>
      <w:r>
        <w:rPr>
          <w:szCs w:val="24"/>
          <w:lang w:eastAsia="en-US"/>
        </w:rPr>
        <w:t>„10.</w:t>
      </w:r>
      <w:r>
        <w:rPr>
          <w:szCs w:val="24"/>
          <w:lang w:eastAsia="en-US"/>
        </w:rPr>
        <w:tab/>
        <w:t>Nerozpustené látky vrátane mikro/nanoplastov</w:t>
      </w:r>
      <w:r>
        <w:rPr>
          <w:strike/>
          <w:szCs w:val="24"/>
          <w:lang w:eastAsia="en-US"/>
        </w:rPr>
        <w:t>.</w:t>
      </w:r>
      <w:r>
        <w:rPr>
          <w:b/>
          <w:i/>
          <w:szCs w:val="24"/>
          <w:lang w:eastAsia="en-US"/>
        </w:rPr>
        <w:t>, ako aj materiály, o ktorých sa vie, že produkujú mikro/nanoplasty</w:t>
      </w:r>
      <w:r>
        <w:rPr>
          <w:szCs w:val="24"/>
          <w:lang w:eastAsia="en-US"/>
        </w:rPr>
        <w:t>;“</w:t>
      </w:r>
      <w:r>
        <w:rPr>
          <w:b/>
          <w:szCs w:val="24"/>
          <w:lang w:eastAsia="en-US"/>
        </w:rPr>
        <w:t xml:space="preserve"> [PN 141]</w:t>
      </w:r>
    </w:p>
    <w:p w14:paraId="42DB3EE1" w14:textId="77777777" w:rsidR="002709ED" w:rsidRDefault="00B2757B">
      <w:pPr>
        <w:spacing w:before="120" w:after="120" w:line="360" w:lineRule="auto"/>
        <w:ind w:left="850" w:hanging="850"/>
        <w:rPr>
          <w:szCs w:val="24"/>
          <w:lang w:eastAsia="en-US"/>
        </w:rPr>
      </w:pPr>
      <w:r>
        <w:rPr>
          <w:szCs w:val="24"/>
          <w:lang w:eastAsia="en-US"/>
        </w:rPr>
        <w:t>2.</w:t>
      </w:r>
      <w:r>
        <w:rPr>
          <w:szCs w:val="24"/>
          <w:lang w:eastAsia="en-US"/>
        </w:rPr>
        <w:tab/>
        <w:t>Dopĺňa sa bod 13:</w:t>
      </w:r>
    </w:p>
    <w:p w14:paraId="70080C69" w14:textId="77777777" w:rsidR="002709ED" w:rsidRDefault="00B2757B">
      <w:pPr>
        <w:spacing w:before="120" w:after="120" w:line="360" w:lineRule="auto"/>
        <w:ind w:left="1416" w:hanging="566"/>
        <w:rPr>
          <w:szCs w:val="24"/>
          <w:lang w:eastAsia="en-US"/>
        </w:rPr>
      </w:pPr>
      <w:r>
        <w:rPr>
          <w:szCs w:val="24"/>
          <w:lang w:eastAsia="en-US"/>
        </w:rPr>
        <w:t>„13.</w:t>
      </w:r>
      <w:r>
        <w:rPr>
          <w:szCs w:val="24"/>
          <w:lang w:eastAsia="en-US"/>
        </w:rPr>
        <w:tab/>
        <w:t>Mikroorganizmy, gény alebo genetický materiál odrážajúci prítomnosť mikroorganizmov rezistentných voči antimikrobiálnym látkam, najmä mikroorganizmov patogénnych pre ľudí alebo hospodárske zvieratá.“</w:t>
      </w:r>
    </w:p>
    <w:p w14:paraId="7FD10DB4" w14:textId="77777777" w:rsidR="002709ED" w:rsidRDefault="002709ED">
      <w:pPr>
        <w:spacing w:before="120" w:after="120" w:line="360" w:lineRule="auto"/>
        <w:rPr>
          <w:szCs w:val="24"/>
          <w:lang w:eastAsia="en-US"/>
        </w:rPr>
        <w:sectPr w:rsidR="002709ED">
          <w:footnotePr>
            <w:numRestart w:val="eachSect"/>
          </w:footnotePr>
          <w:pgSz w:w="11909" w:h="16834"/>
          <w:pgMar w:top="1134" w:right="1417" w:bottom="1417" w:left="1417" w:header="1134" w:footer="567" w:gutter="0"/>
          <w:cols w:space="720"/>
        </w:sectPr>
      </w:pPr>
    </w:p>
    <w:p w14:paraId="1207B272" w14:textId="77777777" w:rsidR="002709ED" w:rsidRDefault="002709ED">
      <w:pPr>
        <w:spacing w:before="120" w:after="120" w:line="360" w:lineRule="auto"/>
        <w:rPr>
          <w:szCs w:val="24"/>
          <w:lang w:eastAsia="en-US"/>
        </w:rPr>
      </w:pPr>
    </w:p>
    <w:p w14:paraId="4C558339" w14:textId="77777777" w:rsidR="002709ED" w:rsidRDefault="00B2757B">
      <w:pPr>
        <w:spacing w:before="120" w:after="120" w:line="360" w:lineRule="auto"/>
        <w:jc w:val="center"/>
        <w:rPr>
          <w:lang w:eastAsia="en-US"/>
        </w:rPr>
      </w:pPr>
      <w:r>
        <w:rPr>
          <w:lang w:eastAsia="en-US"/>
        </w:rPr>
        <w:t>PRÍLOHA III</w:t>
      </w:r>
    </w:p>
    <w:p w14:paraId="07980A50" w14:textId="77777777" w:rsidR="002709ED" w:rsidRDefault="00B2757B">
      <w:pPr>
        <w:spacing w:before="120" w:after="120" w:line="360" w:lineRule="auto"/>
        <w:ind w:left="850"/>
        <w:rPr>
          <w:szCs w:val="24"/>
          <w:lang w:eastAsia="en-US"/>
        </w:rPr>
      </w:pPr>
      <w:r>
        <w:rPr>
          <w:szCs w:val="24"/>
          <w:lang w:eastAsia="en-US"/>
        </w:rPr>
        <w:t>„PRÍLOHA I</w:t>
      </w:r>
    </w:p>
    <w:p w14:paraId="6ED0420D" w14:textId="77777777" w:rsidR="002709ED" w:rsidRDefault="00B2757B">
      <w:pPr>
        <w:spacing w:before="120" w:after="120" w:line="360" w:lineRule="auto"/>
        <w:ind w:left="850"/>
        <w:rPr>
          <w:szCs w:val="24"/>
          <w:lang w:eastAsia="en-US"/>
        </w:rPr>
      </w:pPr>
      <w:r>
        <w:rPr>
          <w:szCs w:val="24"/>
          <w:lang w:eastAsia="en-US"/>
        </w:rPr>
        <w:t>NORMY KVALITY (NK) PODZEMNÝCH VÔD</w:t>
      </w:r>
    </w:p>
    <w:p w14:paraId="4682E642" w14:textId="77777777" w:rsidR="002709ED" w:rsidRDefault="00B2757B">
      <w:pPr>
        <w:spacing w:before="120" w:after="120" w:line="360" w:lineRule="auto"/>
        <w:ind w:left="850"/>
        <w:rPr>
          <w:b/>
          <w:szCs w:val="24"/>
          <w:lang w:eastAsia="en-US"/>
        </w:rPr>
      </w:pPr>
      <w:r>
        <w:rPr>
          <w:szCs w:val="24"/>
          <w:lang w:eastAsia="en-US"/>
        </w:rPr>
        <w:t xml:space="preserve">Poznámka 1: Normy kvality sa v prípade znečisťujúcich látok uvedených v položkách 3 až 7 uplatňujú od … [Úrad pre publikácie: vložte dátum = prvý deň mesiaca nasledujúceho po </w:t>
      </w:r>
      <w:r>
        <w:rPr>
          <w:strike/>
          <w:szCs w:val="24"/>
          <w:lang w:eastAsia="en-US"/>
        </w:rPr>
        <w:t>18</w:t>
      </w:r>
      <w:r>
        <w:rPr>
          <w:b/>
          <w:i/>
          <w:szCs w:val="24"/>
          <w:lang w:eastAsia="en-US"/>
        </w:rPr>
        <w:t>6</w:t>
      </w:r>
      <w:r>
        <w:rPr>
          <w:szCs w:val="24"/>
          <w:lang w:eastAsia="en-US"/>
        </w:rPr>
        <w:t xml:space="preserve"> mesiacoch </w:t>
      </w:r>
      <w:r w:rsidR="00F652FA">
        <w:rPr>
          <w:szCs w:val="24"/>
          <w:lang w:eastAsia="en-US"/>
        </w:rPr>
        <w:t>po dni</w:t>
      </w:r>
      <w:r>
        <w:rPr>
          <w:szCs w:val="24"/>
          <w:lang w:eastAsia="en-US"/>
        </w:rPr>
        <w:t xml:space="preserve"> nadobudnutia účinnosti tejto smernice o zmenách] s cieľom dosiahnuť dobrý chemický stav vody najneskôr do 22. decembra 2033.</w:t>
      </w:r>
      <w:r>
        <w:rPr>
          <w:b/>
          <w:szCs w:val="24"/>
          <w:lang w:eastAsia="en-US"/>
        </w:rPr>
        <w:t xml:space="preserve"> [PN 142]</w:t>
      </w:r>
    </w:p>
    <w:p w14:paraId="26C83D6E" w14:textId="77777777" w:rsidR="002709ED" w:rsidRDefault="00B2757B">
      <w:pPr>
        <w:spacing w:before="120" w:after="120" w:line="360" w:lineRule="auto"/>
        <w:ind w:left="850"/>
        <w:rPr>
          <w:b/>
          <w:szCs w:val="24"/>
          <w:lang w:eastAsia="en-US"/>
        </w:rPr>
        <w:sectPr w:rsidR="002709ED">
          <w:footnotePr>
            <w:numRestart w:val="eachSect"/>
          </w:footnotePr>
          <w:pgSz w:w="11909" w:h="16834"/>
          <w:pgMar w:top="1134" w:right="1417" w:bottom="1417" w:left="1417" w:header="1134" w:footer="567" w:gutter="0"/>
          <w:cols w:space="720"/>
        </w:sectPr>
      </w:pPr>
      <w:r>
        <w:rPr>
          <w:b/>
          <w:i/>
          <w:szCs w:val="24"/>
          <w:lang w:eastAsia="en-US"/>
        </w:rPr>
        <w:t>V prípade, že sa pri danom útvare podzemných vôd, najmä tom, ktorý sa nachádza v ekologickej sústave osobitných chránených území podľa smernice Rady 92/43/EHS, usúdi, že normy kvality podzemných vôd by mohli viesť k nesplneniu environmentálnych cieľov ustanovených v článku 4 smernice 2000/60/ES pre s ním súvisiace útvary povrchových vôd alebo k výraznému zhoršeniu ekologického alebo chemického stavu takýchto útvarov, alebo akémukoľvek výraznému poškodeniu podzemných vôd alebo suchozemských ekosystémov, ktoré priamo závisia od útvaru podzemných vôd, stanovia sa prísnejšie prahové hodnoty v súlade s článkom 3 a prílohou II. Programy a opatrenia, ktoré sa vyžadujú v súvislosti s k takouto prahovou hodnotou, sa uplatnia aj na činnosti v rozsahu pôsobnosti smernice 91/676/EHS.</w:t>
      </w:r>
      <w:r>
        <w:rPr>
          <w:b/>
          <w:szCs w:val="24"/>
          <w:lang w:eastAsia="en-US"/>
        </w:rPr>
        <w:t xml:space="preserve"> [PN 143]</w:t>
      </w:r>
    </w:p>
    <w:p w14:paraId="6AE97B6D" w14:textId="77777777" w:rsidR="002709ED" w:rsidRDefault="002709ED">
      <w:pPr>
        <w:spacing w:before="120" w:after="120" w:line="360" w:lineRule="auto"/>
        <w:ind w:left="850"/>
        <w:rPr>
          <w:b/>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653"/>
        <w:gridCol w:w="3738"/>
        <w:gridCol w:w="1945"/>
        <w:gridCol w:w="2133"/>
        <w:gridCol w:w="2133"/>
        <w:gridCol w:w="2671"/>
      </w:tblGrid>
      <w:tr w:rsidR="002709ED" w14:paraId="7F5DB496" w14:textId="77777777">
        <w:trPr>
          <w:tblHeader/>
        </w:trPr>
        <w:tc>
          <w:tcPr>
            <w:tcW w:w="0" w:type="auto"/>
          </w:tcPr>
          <w:p w14:paraId="1A30F5F8" w14:textId="77777777" w:rsidR="002709ED" w:rsidRDefault="00B2757B">
            <w:pPr>
              <w:spacing w:before="120" w:after="120" w:line="360" w:lineRule="auto"/>
              <w:rPr>
                <w:szCs w:val="24"/>
                <w:lang w:eastAsia="en-US"/>
              </w:rPr>
            </w:pPr>
            <w:r>
              <w:rPr>
                <w:szCs w:val="24"/>
                <w:lang w:eastAsia="en-US"/>
              </w:rPr>
              <w:t>(1)</w:t>
            </w:r>
          </w:p>
        </w:tc>
        <w:tc>
          <w:tcPr>
            <w:tcW w:w="0" w:type="auto"/>
          </w:tcPr>
          <w:p w14:paraId="6358D7D3" w14:textId="77777777" w:rsidR="002709ED" w:rsidRDefault="00B2757B">
            <w:pPr>
              <w:spacing w:before="120" w:after="120" w:line="360" w:lineRule="auto"/>
              <w:rPr>
                <w:szCs w:val="24"/>
                <w:lang w:eastAsia="en-US"/>
              </w:rPr>
            </w:pPr>
            <w:r>
              <w:rPr>
                <w:szCs w:val="24"/>
                <w:lang w:eastAsia="en-US"/>
              </w:rPr>
              <w:t>(2)</w:t>
            </w:r>
          </w:p>
        </w:tc>
        <w:tc>
          <w:tcPr>
            <w:tcW w:w="0" w:type="auto"/>
          </w:tcPr>
          <w:p w14:paraId="625CA459" w14:textId="77777777" w:rsidR="002709ED" w:rsidRDefault="00B2757B">
            <w:pPr>
              <w:spacing w:before="120" w:after="120" w:line="360" w:lineRule="auto"/>
              <w:rPr>
                <w:szCs w:val="24"/>
                <w:lang w:eastAsia="en-US"/>
              </w:rPr>
            </w:pPr>
            <w:r>
              <w:rPr>
                <w:szCs w:val="24"/>
                <w:lang w:eastAsia="en-US"/>
              </w:rPr>
              <w:t>(3)</w:t>
            </w:r>
          </w:p>
        </w:tc>
        <w:tc>
          <w:tcPr>
            <w:tcW w:w="0" w:type="auto"/>
          </w:tcPr>
          <w:p w14:paraId="1719DD5A" w14:textId="77777777" w:rsidR="002709ED" w:rsidRDefault="00B2757B">
            <w:pPr>
              <w:spacing w:before="120" w:after="120" w:line="360" w:lineRule="auto"/>
              <w:rPr>
                <w:szCs w:val="24"/>
                <w:lang w:eastAsia="en-US"/>
              </w:rPr>
            </w:pPr>
            <w:r>
              <w:rPr>
                <w:szCs w:val="24"/>
                <w:lang w:eastAsia="en-US"/>
              </w:rPr>
              <w:t>(4)</w:t>
            </w:r>
          </w:p>
        </w:tc>
        <w:tc>
          <w:tcPr>
            <w:tcW w:w="0" w:type="auto"/>
          </w:tcPr>
          <w:p w14:paraId="564D7234" w14:textId="77777777" w:rsidR="002709ED" w:rsidRDefault="00B2757B">
            <w:pPr>
              <w:spacing w:before="120" w:after="120" w:line="360" w:lineRule="auto"/>
              <w:rPr>
                <w:szCs w:val="24"/>
                <w:lang w:eastAsia="en-US"/>
              </w:rPr>
            </w:pPr>
            <w:r>
              <w:rPr>
                <w:szCs w:val="24"/>
                <w:lang w:eastAsia="en-US"/>
              </w:rPr>
              <w:t>(5)</w:t>
            </w:r>
          </w:p>
        </w:tc>
        <w:tc>
          <w:tcPr>
            <w:tcW w:w="0" w:type="auto"/>
          </w:tcPr>
          <w:p w14:paraId="74230AAE" w14:textId="77777777" w:rsidR="002709ED" w:rsidRDefault="00B2757B">
            <w:pPr>
              <w:spacing w:before="120" w:after="120" w:line="360" w:lineRule="auto"/>
              <w:rPr>
                <w:szCs w:val="24"/>
                <w:lang w:eastAsia="en-US"/>
              </w:rPr>
            </w:pPr>
            <w:r>
              <w:rPr>
                <w:szCs w:val="24"/>
                <w:lang w:eastAsia="en-US"/>
              </w:rPr>
              <w:t>(6)</w:t>
            </w:r>
          </w:p>
        </w:tc>
      </w:tr>
      <w:tr w:rsidR="002709ED" w14:paraId="755599DA" w14:textId="77777777">
        <w:tc>
          <w:tcPr>
            <w:tcW w:w="0" w:type="auto"/>
          </w:tcPr>
          <w:p w14:paraId="48E5D69A" w14:textId="77777777" w:rsidR="002709ED" w:rsidRDefault="00B2757B">
            <w:pPr>
              <w:spacing w:before="120" w:after="120" w:line="360" w:lineRule="auto"/>
              <w:rPr>
                <w:szCs w:val="24"/>
                <w:lang w:eastAsia="en-US"/>
              </w:rPr>
            </w:pPr>
            <w:r>
              <w:rPr>
                <w:szCs w:val="24"/>
                <w:lang w:eastAsia="en-US"/>
              </w:rPr>
              <w:t>[Položka] č.</w:t>
            </w:r>
          </w:p>
        </w:tc>
        <w:tc>
          <w:tcPr>
            <w:tcW w:w="0" w:type="auto"/>
          </w:tcPr>
          <w:p w14:paraId="3466B261" w14:textId="77777777" w:rsidR="002709ED" w:rsidRDefault="00B2757B">
            <w:pPr>
              <w:spacing w:before="120" w:after="120" w:line="360" w:lineRule="auto"/>
              <w:rPr>
                <w:szCs w:val="24"/>
                <w:lang w:eastAsia="en-US"/>
              </w:rPr>
            </w:pPr>
            <w:r>
              <w:rPr>
                <w:szCs w:val="24"/>
                <w:lang w:eastAsia="en-US"/>
              </w:rPr>
              <w:t>Názov látky</w:t>
            </w:r>
          </w:p>
        </w:tc>
        <w:tc>
          <w:tcPr>
            <w:tcW w:w="0" w:type="auto"/>
          </w:tcPr>
          <w:p w14:paraId="62D6044F" w14:textId="77777777" w:rsidR="002709ED" w:rsidRDefault="00B2757B">
            <w:pPr>
              <w:spacing w:before="120" w:after="120" w:line="360" w:lineRule="auto"/>
              <w:rPr>
                <w:szCs w:val="24"/>
                <w:lang w:eastAsia="en-US"/>
              </w:rPr>
            </w:pPr>
            <w:r>
              <w:rPr>
                <w:szCs w:val="24"/>
                <w:lang w:eastAsia="en-US"/>
              </w:rPr>
              <w:t>Kategória látok</w:t>
            </w:r>
          </w:p>
        </w:tc>
        <w:tc>
          <w:tcPr>
            <w:tcW w:w="0" w:type="auto"/>
          </w:tcPr>
          <w:p w14:paraId="47703912" w14:textId="77777777" w:rsidR="002709ED" w:rsidRDefault="00B2757B">
            <w:pPr>
              <w:spacing w:before="120" w:after="120" w:line="360" w:lineRule="auto"/>
              <w:rPr>
                <w:szCs w:val="24"/>
                <w:lang w:eastAsia="en-US"/>
              </w:rPr>
            </w:pPr>
            <w:r>
              <w:rPr>
                <w:szCs w:val="24"/>
                <w:lang w:eastAsia="en-US"/>
              </w:rPr>
              <w:t xml:space="preserve">CAS číslo </w:t>
            </w:r>
            <w:r>
              <w:rPr>
                <w:szCs w:val="24"/>
                <w:vertAlign w:val="superscript"/>
                <w:lang w:eastAsia="en-US"/>
              </w:rPr>
              <w:t>(1)</w:t>
            </w:r>
          </w:p>
        </w:tc>
        <w:tc>
          <w:tcPr>
            <w:tcW w:w="0" w:type="auto"/>
          </w:tcPr>
          <w:p w14:paraId="374A305F" w14:textId="77777777" w:rsidR="002709ED" w:rsidRDefault="00B2757B">
            <w:pPr>
              <w:spacing w:before="120" w:after="120" w:line="360" w:lineRule="auto"/>
              <w:rPr>
                <w:szCs w:val="24"/>
                <w:lang w:eastAsia="en-US"/>
              </w:rPr>
            </w:pPr>
            <w:r>
              <w:rPr>
                <w:szCs w:val="24"/>
                <w:lang w:eastAsia="en-US"/>
              </w:rPr>
              <w:t xml:space="preserve">EÚ číslo </w:t>
            </w:r>
            <w:r>
              <w:rPr>
                <w:szCs w:val="24"/>
                <w:vertAlign w:val="superscript"/>
                <w:lang w:eastAsia="en-US"/>
              </w:rPr>
              <w:t>(2)</w:t>
            </w:r>
          </w:p>
        </w:tc>
        <w:tc>
          <w:tcPr>
            <w:tcW w:w="0" w:type="auto"/>
          </w:tcPr>
          <w:p w14:paraId="342E7545" w14:textId="77777777" w:rsidR="002709ED" w:rsidRDefault="00B2757B">
            <w:pPr>
              <w:spacing w:before="120" w:after="120" w:line="360" w:lineRule="auto"/>
              <w:rPr>
                <w:szCs w:val="24"/>
                <w:lang w:eastAsia="en-US"/>
              </w:rPr>
            </w:pPr>
            <w:r>
              <w:rPr>
                <w:szCs w:val="24"/>
                <w:lang w:eastAsia="en-US"/>
              </w:rPr>
              <w:t xml:space="preserve">Norma kvality </w:t>
            </w:r>
            <w:r>
              <w:rPr>
                <w:szCs w:val="24"/>
                <w:vertAlign w:val="superscript"/>
                <w:lang w:eastAsia="en-US"/>
              </w:rPr>
              <w:t>(3)</w:t>
            </w:r>
            <w:r>
              <w:rPr>
                <w:szCs w:val="24"/>
                <w:lang w:eastAsia="en-US"/>
              </w:rPr>
              <w:t xml:space="preserve"> [µg/l, pokiaľ nie je uvedené inak]</w:t>
            </w:r>
          </w:p>
        </w:tc>
      </w:tr>
      <w:tr w:rsidR="002709ED" w14:paraId="38408345" w14:textId="77777777">
        <w:tc>
          <w:tcPr>
            <w:tcW w:w="0" w:type="auto"/>
          </w:tcPr>
          <w:p w14:paraId="6FFC2C77" w14:textId="77777777" w:rsidR="002709ED" w:rsidRDefault="00B2757B">
            <w:pPr>
              <w:spacing w:before="120" w:after="120" w:line="360" w:lineRule="auto"/>
              <w:rPr>
                <w:szCs w:val="24"/>
                <w:lang w:eastAsia="en-US"/>
              </w:rPr>
            </w:pPr>
            <w:r>
              <w:rPr>
                <w:szCs w:val="24"/>
                <w:lang w:eastAsia="en-US"/>
              </w:rPr>
              <w:t>1</w:t>
            </w:r>
          </w:p>
        </w:tc>
        <w:tc>
          <w:tcPr>
            <w:tcW w:w="0" w:type="auto"/>
          </w:tcPr>
          <w:p w14:paraId="3842BD34" w14:textId="77777777" w:rsidR="002709ED" w:rsidRDefault="00B2757B">
            <w:pPr>
              <w:spacing w:before="120" w:after="120" w:line="360" w:lineRule="auto"/>
              <w:rPr>
                <w:szCs w:val="24"/>
                <w:lang w:eastAsia="en-US"/>
              </w:rPr>
            </w:pPr>
            <w:r>
              <w:rPr>
                <w:szCs w:val="24"/>
                <w:lang w:eastAsia="en-US"/>
              </w:rPr>
              <w:t>dusičnany</w:t>
            </w:r>
          </w:p>
        </w:tc>
        <w:tc>
          <w:tcPr>
            <w:tcW w:w="0" w:type="auto"/>
          </w:tcPr>
          <w:p w14:paraId="736143FC" w14:textId="77777777" w:rsidR="002709ED" w:rsidRDefault="00B2757B">
            <w:pPr>
              <w:spacing w:before="120" w:after="120" w:line="360" w:lineRule="auto"/>
              <w:rPr>
                <w:szCs w:val="24"/>
                <w:lang w:eastAsia="en-US"/>
              </w:rPr>
            </w:pPr>
            <w:r>
              <w:rPr>
                <w:szCs w:val="24"/>
                <w:lang w:eastAsia="en-US"/>
              </w:rPr>
              <w:t>živiny</w:t>
            </w:r>
          </w:p>
        </w:tc>
        <w:tc>
          <w:tcPr>
            <w:tcW w:w="0" w:type="auto"/>
          </w:tcPr>
          <w:p w14:paraId="757A216A" w14:textId="77777777" w:rsidR="002709ED" w:rsidRDefault="00B2757B">
            <w:pPr>
              <w:spacing w:before="120" w:after="120" w:line="360" w:lineRule="auto"/>
              <w:rPr>
                <w:szCs w:val="24"/>
                <w:lang w:eastAsia="en-US"/>
              </w:rPr>
            </w:pPr>
            <w:r>
              <w:rPr>
                <w:szCs w:val="24"/>
                <w:lang w:eastAsia="en-US"/>
              </w:rPr>
              <w:t>neuplatňuje sa</w:t>
            </w:r>
          </w:p>
        </w:tc>
        <w:tc>
          <w:tcPr>
            <w:tcW w:w="0" w:type="auto"/>
          </w:tcPr>
          <w:p w14:paraId="6960DDE9" w14:textId="77777777" w:rsidR="002709ED" w:rsidRDefault="00B2757B">
            <w:pPr>
              <w:spacing w:before="120" w:after="120" w:line="360" w:lineRule="auto"/>
              <w:rPr>
                <w:szCs w:val="24"/>
                <w:lang w:eastAsia="en-US"/>
              </w:rPr>
            </w:pPr>
            <w:r>
              <w:rPr>
                <w:szCs w:val="24"/>
                <w:lang w:eastAsia="en-US"/>
              </w:rPr>
              <w:t>neuplatňuje sa</w:t>
            </w:r>
          </w:p>
        </w:tc>
        <w:tc>
          <w:tcPr>
            <w:tcW w:w="0" w:type="auto"/>
          </w:tcPr>
          <w:p w14:paraId="442E1DF8" w14:textId="77777777" w:rsidR="002709ED" w:rsidRDefault="00B2757B">
            <w:pPr>
              <w:spacing w:before="120" w:after="120" w:line="360" w:lineRule="auto"/>
              <w:rPr>
                <w:szCs w:val="24"/>
                <w:lang w:eastAsia="en-US"/>
              </w:rPr>
            </w:pPr>
            <w:r>
              <w:rPr>
                <w:szCs w:val="24"/>
                <w:lang w:eastAsia="en-US"/>
              </w:rPr>
              <w:t>50 mg/l</w:t>
            </w:r>
          </w:p>
        </w:tc>
      </w:tr>
      <w:tr w:rsidR="002709ED" w14:paraId="4E535AEE" w14:textId="77777777">
        <w:tc>
          <w:tcPr>
            <w:tcW w:w="0" w:type="auto"/>
            <w:vMerge w:val="restart"/>
          </w:tcPr>
          <w:p w14:paraId="1DF8AF2E" w14:textId="77777777" w:rsidR="002709ED" w:rsidRDefault="00B2757B">
            <w:pPr>
              <w:spacing w:before="120" w:after="120" w:line="360" w:lineRule="auto"/>
              <w:rPr>
                <w:b/>
                <w:szCs w:val="24"/>
                <w:lang w:eastAsia="en-US"/>
              </w:rPr>
            </w:pPr>
            <w:r>
              <w:rPr>
                <w:szCs w:val="24"/>
                <w:lang w:eastAsia="en-US"/>
              </w:rPr>
              <w:t>2</w:t>
            </w:r>
            <w:r>
              <w:rPr>
                <w:b/>
                <w:szCs w:val="24"/>
                <w:lang w:eastAsia="en-US"/>
              </w:rPr>
              <w:t xml:space="preserve"> [PN 144]</w:t>
            </w:r>
          </w:p>
        </w:tc>
        <w:tc>
          <w:tcPr>
            <w:tcW w:w="0" w:type="auto"/>
            <w:vMerge w:val="restart"/>
          </w:tcPr>
          <w:p w14:paraId="68654BA1" w14:textId="77777777" w:rsidR="002709ED" w:rsidRDefault="00B2757B">
            <w:pPr>
              <w:spacing w:before="120" w:after="120" w:line="360" w:lineRule="auto"/>
              <w:rPr>
                <w:szCs w:val="24"/>
                <w:lang w:eastAsia="en-US"/>
              </w:rPr>
            </w:pPr>
            <w:r>
              <w:rPr>
                <w:szCs w:val="24"/>
                <w:lang w:eastAsia="en-US"/>
              </w:rPr>
              <w:t xml:space="preserve">účinné látky v pesticídoch vrátane ich príslušných metabolitov a produktov vznikajúcich pri rozklade a reakcii </w:t>
            </w:r>
            <w:r>
              <w:rPr>
                <w:szCs w:val="24"/>
                <w:vertAlign w:val="superscript"/>
                <w:lang w:eastAsia="en-US"/>
              </w:rPr>
              <w:t>(4)</w:t>
            </w:r>
          </w:p>
        </w:tc>
        <w:tc>
          <w:tcPr>
            <w:tcW w:w="0" w:type="auto"/>
            <w:vMerge w:val="restart"/>
          </w:tcPr>
          <w:p w14:paraId="11134A1D" w14:textId="77777777" w:rsidR="002709ED" w:rsidRDefault="00B2757B">
            <w:pPr>
              <w:spacing w:before="120" w:after="120" w:line="360" w:lineRule="auto"/>
              <w:rPr>
                <w:szCs w:val="24"/>
                <w:lang w:eastAsia="en-US"/>
              </w:rPr>
            </w:pPr>
            <w:r>
              <w:rPr>
                <w:szCs w:val="24"/>
                <w:lang w:eastAsia="en-US"/>
              </w:rPr>
              <w:t>pesticídy</w:t>
            </w:r>
          </w:p>
        </w:tc>
        <w:tc>
          <w:tcPr>
            <w:tcW w:w="0" w:type="auto"/>
            <w:vMerge w:val="restart"/>
          </w:tcPr>
          <w:p w14:paraId="2C0F0038" w14:textId="77777777" w:rsidR="002709ED" w:rsidRDefault="00B2757B">
            <w:pPr>
              <w:spacing w:before="120" w:after="120" w:line="360" w:lineRule="auto"/>
              <w:rPr>
                <w:szCs w:val="24"/>
                <w:lang w:eastAsia="en-US"/>
              </w:rPr>
            </w:pPr>
            <w:r>
              <w:rPr>
                <w:szCs w:val="24"/>
                <w:lang w:eastAsia="en-US"/>
              </w:rPr>
              <w:t>neuplatňuje sa</w:t>
            </w:r>
          </w:p>
        </w:tc>
        <w:tc>
          <w:tcPr>
            <w:tcW w:w="0" w:type="auto"/>
            <w:vMerge w:val="restart"/>
          </w:tcPr>
          <w:p w14:paraId="56883B56" w14:textId="77777777" w:rsidR="002709ED" w:rsidRDefault="00B2757B">
            <w:pPr>
              <w:spacing w:before="120" w:after="120" w:line="360" w:lineRule="auto"/>
              <w:rPr>
                <w:szCs w:val="24"/>
                <w:lang w:eastAsia="en-US"/>
              </w:rPr>
            </w:pPr>
            <w:r>
              <w:rPr>
                <w:szCs w:val="24"/>
                <w:lang w:eastAsia="en-US"/>
              </w:rPr>
              <w:t>neuplatňuje sa</w:t>
            </w:r>
          </w:p>
        </w:tc>
        <w:tc>
          <w:tcPr>
            <w:tcW w:w="0" w:type="auto"/>
          </w:tcPr>
          <w:p w14:paraId="435927A9" w14:textId="6F157F45" w:rsidR="002709ED" w:rsidRDefault="00B2757B">
            <w:pPr>
              <w:spacing w:before="120" w:after="120" w:line="360" w:lineRule="auto"/>
              <w:rPr>
                <w:szCs w:val="24"/>
                <w:lang w:eastAsia="en-US"/>
              </w:rPr>
            </w:pPr>
            <w:r>
              <w:rPr>
                <w:strike/>
                <w:szCs w:val="24"/>
                <w:lang w:eastAsia="en-US"/>
              </w:rPr>
              <w:t>0,1</w:t>
            </w:r>
            <w:r>
              <w:rPr>
                <w:b/>
                <w:i/>
                <w:szCs w:val="24"/>
                <w:lang w:eastAsia="en-US"/>
              </w:rPr>
              <w:t>0,</w:t>
            </w:r>
            <w:r w:rsidR="00B868B1">
              <w:rPr>
                <w:b/>
                <w:i/>
                <w:szCs w:val="24"/>
                <w:lang w:eastAsia="en-US"/>
              </w:rPr>
              <w:t>0</w:t>
            </w:r>
            <w:r>
              <w:rPr>
                <w:b/>
                <w:i/>
                <w:szCs w:val="24"/>
                <w:lang w:eastAsia="en-US"/>
              </w:rPr>
              <w:t>5</w:t>
            </w:r>
            <w:r>
              <w:rPr>
                <w:szCs w:val="24"/>
                <w:lang w:eastAsia="en-US"/>
              </w:rPr>
              <w:t xml:space="preserve"> (individuálne) </w:t>
            </w:r>
            <w:r>
              <w:rPr>
                <w:szCs w:val="24"/>
                <w:vertAlign w:val="superscript"/>
                <w:lang w:eastAsia="en-US"/>
              </w:rPr>
              <w:t>(4a)</w:t>
            </w:r>
            <w:r>
              <w:rPr>
                <w:szCs w:val="24"/>
                <w:lang w:eastAsia="en-US"/>
              </w:rPr>
              <w:t xml:space="preserve"> </w:t>
            </w:r>
          </w:p>
        </w:tc>
      </w:tr>
      <w:tr w:rsidR="002709ED" w14:paraId="4DD616EE" w14:textId="77777777">
        <w:tc>
          <w:tcPr>
            <w:tcW w:w="0" w:type="auto"/>
            <w:vMerge/>
          </w:tcPr>
          <w:p w14:paraId="6ED442CF" w14:textId="77777777" w:rsidR="002709ED" w:rsidRDefault="002709ED">
            <w:pPr>
              <w:spacing w:before="120" w:after="120" w:line="360" w:lineRule="auto"/>
              <w:rPr>
                <w:szCs w:val="24"/>
                <w:lang w:eastAsia="en-US"/>
              </w:rPr>
            </w:pPr>
          </w:p>
        </w:tc>
        <w:tc>
          <w:tcPr>
            <w:tcW w:w="0" w:type="auto"/>
            <w:vMerge/>
          </w:tcPr>
          <w:p w14:paraId="6014040C" w14:textId="77777777" w:rsidR="002709ED" w:rsidRDefault="002709ED">
            <w:pPr>
              <w:spacing w:before="120" w:after="120" w:line="360" w:lineRule="auto"/>
              <w:rPr>
                <w:szCs w:val="24"/>
                <w:lang w:eastAsia="en-US"/>
              </w:rPr>
            </w:pPr>
          </w:p>
        </w:tc>
        <w:tc>
          <w:tcPr>
            <w:tcW w:w="0" w:type="auto"/>
            <w:vMerge/>
          </w:tcPr>
          <w:p w14:paraId="7AEC1C25" w14:textId="77777777" w:rsidR="002709ED" w:rsidRDefault="002709ED">
            <w:pPr>
              <w:spacing w:before="120" w:after="120" w:line="360" w:lineRule="auto"/>
              <w:rPr>
                <w:szCs w:val="24"/>
                <w:lang w:eastAsia="en-US"/>
              </w:rPr>
            </w:pPr>
          </w:p>
        </w:tc>
        <w:tc>
          <w:tcPr>
            <w:tcW w:w="0" w:type="auto"/>
            <w:vMerge/>
          </w:tcPr>
          <w:p w14:paraId="4F00A4D6" w14:textId="77777777" w:rsidR="002709ED" w:rsidRDefault="002709ED">
            <w:pPr>
              <w:spacing w:before="120" w:after="120" w:line="360" w:lineRule="auto"/>
              <w:rPr>
                <w:szCs w:val="24"/>
                <w:lang w:eastAsia="en-US"/>
              </w:rPr>
            </w:pPr>
          </w:p>
        </w:tc>
        <w:tc>
          <w:tcPr>
            <w:tcW w:w="0" w:type="auto"/>
            <w:vMerge/>
          </w:tcPr>
          <w:p w14:paraId="66C08712" w14:textId="77777777" w:rsidR="002709ED" w:rsidRDefault="002709ED">
            <w:pPr>
              <w:spacing w:before="120" w:after="120" w:line="360" w:lineRule="auto"/>
              <w:rPr>
                <w:szCs w:val="24"/>
                <w:lang w:eastAsia="en-US"/>
              </w:rPr>
            </w:pPr>
          </w:p>
        </w:tc>
        <w:tc>
          <w:tcPr>
            <w:tcW w:w="0" w:type="auto"/>
          </w:tcPr>
          <w:p w14:paraId="030ABBDF" w14:textId="77777777" w:rsidR="002709ED" w:rsidRDefault="00B2757B">
            <w:pPr>
              <w:spacing w:before="120" w:after="120" w:line="360" w:lineRule="auto"/>
              <w:rPr>
                <w:szCs w:val="24"/>
                <w:lang w:eastAsia="en-US"/>
              </w:rPr>
            </w:pPr>
            <w:r>
              <w:rPr>
                <w:strike/>
                <w:szCs w:val="24"/>
                <w:lang w:eastAsia="en-US"/>
              </w:rPr>
              <w:t>0,5</w:t>
            </w:r>
            <w:r>
              <w:rPr>
                <w:b/>
                <w:i/>
                <w:szCs w:val="24"/>
                <w:lang w:eastAsia="en-US"/>
              </w:rPr>
              <w:t>0,25</w:t>
            </w:r>
            <w:r>
              <w:rPr>
                <w:szCs w:val="24"/>
                <w:lang w:eastAsia="en-US"/>
              </w:rPr>
              <w:t xml:space="preserve"> (spolu) </w:t>
            </w:r>
            <w:r>
              <w:rPr>
                <w:szCs w:val="24"/>
                <w:vertAlign w:val="superscript"/>
                <w:lang w:eastAsia="en-US"/>
              </w:rPr>
              <w:t>(5)</w:t>
            </w:r>
          </w:p>
        </w:tc>
      </w:tr>
      <w:tr w:rsidR="002709ED" w14:paraId="5285141E" w14:textId="77777777">
        <w:tc>
          <w:tcPr>
            <w:tcW w:w="0" w:type="auto"/>
          </w:tcPr>
          <w:p w14:paraId="293A75CA" w14:textId="77777777" w:rsidR="002709ED" w:rsidRDefault="00B2757B">
            <w:pPr>
              <w:spacing w:before="120" w:after="120" w:line="360" w:lineRule="auto"/>
              <w:rPr>
                <w:szCs w:val="24"/>
                <w:lang w:eastAsia="en-US"/>
              </w:rPr>
            </w:pPr>
            <w:r>
              <w:rPr>
                <w:szCs w:val="24"/>
                <w:lang w:eastAsia="en-US"/>
              </w:rPr>
              <w:t>3</w:t>
            </w:r>
          </w:p>
        </w:tc>
        <w:tc>
          <w:tcPr>
            <w:tcW w:w="0" w:type="auto"/>
          </w:tcPr>
          <w:p w14:paraId="42C5A23F" w14:textId="77777777" w:rsidR="002709ED" w:rsidRDefault="00B2757B">
            <w:pPr>
              <w:spacing w:before="120" w:after="120" w:line="360" w:lineRule="auto"/>
              <w:rPr>
                <w:szCs w:val="24"/>
                <w:lang w:eastAsia="en-US"/>
              </w:rPr>
            </w:pPr>
            <w:r>
              <w:rPr>
                <w:szCs w:val="24"/>
                <w:lang w:eastAsia="en-US"/>
              </w:rPr>
              <w:t>perfluórované a polyfluórované alkylované látky (PFAS) – súčet 24 (6)</w:t>
            </w:r>
          </w:p>
        </w:tc>
        <w:tc>
          <w:tcPr>
            <w:tcW w:w="0" w:type="auto"/>
          </w:tcPr>
          <w:p w14:paraId="32EE18E3" w14:textId="77777777" w:rsidR="002709ED" w:rsidRDefault="00B2757B">
            <w:pPr>
              <w:spacing w:before="120" w:after="120" w:line="360" w:lineRule="auto"/>
              <w:rPr>
                <w:szCs w:val="24"/>
                <w:lang w:eastAsia="en-US"/>
              </w:rPr>
            </w:pPr>
            <w:r>
              <w:rPr>
                <w:szCs w:val="24"/>
                <w:lang w:eastAsia="en-US"/>
              </w:rPr>
              <w:t>priemyselné látky</w:t>
            </w:r>
          </w:p>
        </w:tc>
        <w:tc>
          <w:tcPr>
            <w:tcW w:w="0" w:type="auto"/>
          </w:tcPr>
          <w:p w14:paraId="733D99AC" w14:textId="77777777" w:rsidR="002709ED" w:rsidRDefault="00B2757B">
            <w:pPr>
              <w:spacing w:before="120" w:after="120" w:line="360" w:lineRule="auto"/>
              <w:rPr>
                <w:szCs w:val="24"/>
                <w:lang w:eastAsia="en-US"/>
              </w:rPr>
            </w:pPr>
            <w:r>
              <w:rPr>
                <w:szCs w:val="24"/>
                <w:lang w:eastAsia="en-US"/>
              </w:rPr>
              <w:t>pozri poznámku 6 pod tabuľkou</w:t>
            </w:r>
          </w:p>
        </w:tc>
        <w:tc>
          <w:tcPr>
            <w:tcW w:w="0" w:type="auto"/>
          </w:tcPr>
          <w:p w14:paraId="1D3D5A31" w14:textId="77777777" w:rsidR="002709ED" w:rsidRDefault="00B2757B">
            <w:pPr>
              <w:spacing w:before="120" w:after="120" w:line="360" w:lineRule="auto"/>
              <w:rPr>
                <w:szCs w:val="24"/>
                <w:lang w:eastAsia="en-US"/>
              </w:rPr>
            </w:pPr>
            <w:r>
              <w:rPr>
                <w:szCs w:val="24"/>
                <w:lang w:eastAsia="en-US"/>
              </w:rPr>
              <w:t>pozri poznámku 6 pod tabuľkou</w:t>
            </w:r>
          </w:p>
        </w:tc>
        <w:tc>
          <w:tcPr>
            <w:tcW w:w="0" w:type="auto"/>
          </w:tcPr>
          <w:p w14:paraId="55B9C345" w14:textId="77777777" w:rsidR="002709ED" w:rsidRDefault="00B2757B">
            <w:pPr>
              <w:spacing w:before="120" w:after="120" w:line="360" w:lineRule="auto"/>
              <w:rPr>
                <w:szCs w:val="24"/>
                <w:lang w:eastAsia="en-US"/>
              </w:rPr>
            </w:pPr>
            <w:r>
              <w:rPr>
                <w:szCs w:val="24"/>
                <w:lang w:eastAsia="en-US"/>
              </w:rPr>
              <w:t xml:space="preserve">0,0044 </w:t>
            </w:r>
            <w:r>
              <w:rPr>
                <w:szCs w:val="24"/>
                <w:vertAlign w:val="superscript"/>
                <w:lang w:eastAsia="en-US"/>
              </w:rPr>
              <w:t>(7)</w:t>
            </w:r>
          </w:p>
        </w:tc>
      </w:tr>
      <w:tr w:rsidR="002709ED" w14:paraId="169795DA" w14:textId="77777777">
        <w:tc>
          <w:tcPr>
            <w:tcW w:w="0" w:type="auto"/>
          </w:tcPr>
          <w:p w14:paraId="5661ABDF" w14:textId="77777777" w:rsidR="002709ED" w:rsidRDefault="00B2757B">
            <w:pPr>
              <w:spacing w:before="120" w:after="120" w:line="360" w:lineRule="auto"/>
              <w:rPr>
                <w:b/>
                <w:noProof/>
                <w:sz w:val="22"/>
                <w:szCs w:val="24"/>
                <w:lang w:eastAsia="en-US"/>
              </w:rPr>
            </w:pPr>
            <w:r>
              <w:rPr>
                <w:b/>
                <w:i/>
                <w:sz w:val="22"/>
                <w:szCs w:val="24"/>
                <w:lang w:eastAsia="en-US"/>
              </w:rPr>
              <w:t>3a</w:t>
            </w:r>
            <w:r>
              <w:rPr>
                <w:b/>
                <w:sz w:val="22"/>
                <w:szCs w:val="24"/>
                <w:lang w:eastAsia="en-US"/>
              </w:rPr>
              <w:t xml:space="preserve"> [PN 145]</w:t>
            </w:r>
          </w:p>
        </w:tc>
        <w:tc>
          <w:tcPr>
            <w:tcW w:w="0" w:type="auto"/>
          </w:tcPr>
          <w:p w14:paraId="7C0B7634" w14:textId="77777777" w:rsidR="002709ED" w:rsidRDefault="00B2757B">
            <w:pPr>
              <w:spacing w:before="120" w:after="120" w:line="360" w:lineRule="auto"/>
              <w:rPr>
                <w:b/>
                <w:i/>
                <w:noProof/>
                <w:sz w:val="22"/>
                <w:szCs w:val="24"/>
                <w:lang w:eastAsia="en-US"/>
              </w:rPr>
            </w:pPr>
            <w:r>
              <w:rPr>
                <w:b/>
                <w:i/>
                <w:sz w:val="22"/>
                <w:szCs w:val="24"/>
                <w:lang w:eastAsia="en-US"/>
              </w:rPr>
              <w:t>PFAS – spolu</w:t>
            </w:r>
          </w:p>
        </w:tc>
        <w:tc>
          <w:tcPr>
            <w:tcW w:w="0" w:type="auto"/>
          </w:tcPr>
          <w:p w14:paraId="5EC2B42E" w14:textId="77777777" w:rsidR="002709ED" w:rsidRDefault="00B2757B">
            <w:pPr>
              <w:spacing w:before="120" w:after="120" w:line="360" w:lineRule="auto"/>
              <w:rPr>
                <w:b/>
                <w:i/>
                <w:noProof/>
                <w:sz w:val="22"/>
                <w:szCs w:val="24"/>
                <w:lang w:eastAsia="en-US"/>
              </w:rPr>
            </w:pPr>
            <w:r>
              <w:rPr>
                <w:b/>
                <w:i/>
                <w:sz w:val="22"/>
                <w:szCs w:val="24"/>
                <w:lang w:eastAsia="en-US"/>
              </w:rPr>
              <w:t>priemyselné látky</w:t>
            </w:r>
          </w:p>
        </w:tc>
        <w:tc>
          <w:tcPr>
            <w:tcW w:w="0" w:type="auto"/>
          </w:tcPr>
          <w:p w14:paraId="6E873C53" w14:textId="77777777" w:rsidR="002709ED" w:rsidRDefault="00B2757B">
            <w:pPr>
              <w:spacing w:before="120" w:after="120" w:line="360" w:lineRule="auto"/>
              <w:rPr>
                <w:b/>
                <w:i/>
                <w:noProof/>
                <w:sz w:val="22"/>
                <w:szCs w:val="24"/>
                <w:lang w:eastAsia="en-US"/>
              </w:rPr>
            </w:pPr>
            <w:r>
              <w:rPr>
                <w:b/>
                <w:i/>
                <w:sz w:val="22"/>
                <w:szCs w:val="24"/>
                <w:lang w:eastAsia="en-US"/>
              </w:rPr>
              <w:t>neuplatňuje sa</w:t>
            </w:r>
          </w:p>
        </w:tc>
        <w:tc>
          <w:tcPr>
            <w:tcW w:w="0" w:type="auto"/>
          </w:tcPr>
          <w:p w14:paraId="55222068" w14:textId="77777777" w:rsidR="002709ED" w:rsidRDefault="00B2757B">
            <w:pPr>
              <w:spacing w:before="120" w:after="120" w:line="360" w:lineRule="auto"/>
              <w:rPr>
                <w:b/>
                <w:i/>
                <w:noProof/>
                <w:sz w:val="22"/>
                <w:szCs w:val="24"/>
                <w:lang w:eastAsia="en-US"/>
              </w:rPr>
            </w:pPr>
            <w:r>
              <w:rPr>
                <w:b/>
                <w:i/>
                <w:sz w:val="22"/>
                <w:szCs w:val="24"/>
                <w:lang w:eastAsia="en-US"/>
              </w:rPr>
              <w:t>neuplatňuje sa</w:t>
            </w:r>
          </w:p>
        </w:tc>
        <w:tc>
          <w:tcPr>
            <w:tcW w:w="0" w:type="auto"/>
          </w:tcPr>
          <w:p w14:paraId="1942111F" w14:textId="77777777" w:rsidR="002709ED" w:rsidRDefault="00B2757B">
            <w:pPr>
              <w:spacing w:before="120" w:after="120" w:line="360" w:lineRule="auto"/>
              <w:rPr>
                <w:b/>
                <w:i/>
                <w:noProof/>
                <w:sz w:val="22"/>
                <w:szCs w:val="24"/>
                <w:lang w:eastAsia="en-US"/>
              </w:rPr>
            </w:pPr>
            <w:r>
              <w:rPr>
                <w:b/>
                <w:i/>
                <w:sz w:val="22"/>
                <w:szCs w:val="24"/>
                <w:lang w:eastAsia="en-US"/>
              </w:rPr>
              <w:t>(</w:t>
            </w:r>
            <w:r>
              <w:rPr>
                <w:b/>
                <w:i/>
                <w:sz w:val="22"/>
                <w:szCs w:val="24"/>
                <w:vertAlign w:val="superscript"/>
                <w:lang w:eastAsia="en-US"/>
              </w:rPr>
              <w:t>7a</w:t>
            </w:r>
            <w:r>
              <w:rPr>
                <w:b/>
                <w:i/>
                <w:sz w:val="22"/>
                <w:szCs w:val="24"/>
                <w:lang w:eastAsia="en-US"/>
              </w:rPr>
              <w:t>)</w:t>
            </w:r>
          </w:p>
        </w:tc>
      </w:tr>
      <w:tr w:rsidR="002709ED" w14:paraId="244DB361" w14:textId="77777777">
        <w:tc>
          <w:tcPr>
            <w:tcW w:w="0" w:type="auto"/>
          </w:tcPr>
          <w:p w14:paraId="505C7987" w14:textId="77777777" w:rsidR="002709ED" w:rsidRDefault="00B2757B">
            <w:pPr>
              <w:spacing w:before="120" w:after="120" w:line="360" w:lineRule="auto"/>
              <w:rPr>
                <w:b/>
                <w:szCs w:val="24"/>
                <w:lang w:eastAsia="en-US"/>
              </w:rPr>
            </w:pPr>
            <w:r>
              <w:rPr>
                <w:szCs w:val="24"/>
                <w:lang w:eastAsia="en-US"/>
              </w:rPr>
              <w:t>4</w:t>
            </w:r>
            <w:r>
              <w:rPr>
                <w:b/>
                <w:szCs w:val="24"/>
                <w:lang w:eastAsia="en-US"/>
              </w:rPr>
              <w:t xml:space="preserve"> </w:t>
            </w:r>
            <w:r>
              <w:rPr>
                <w:b/>
                <w:szCs w:val="24"/>
                <w:lang w:eastAsia="en-US"/>
              </w:rPr>
              <w:lastRenderedPageBreak/>
              <w:t>[PN 146]</w:t>
            </w:r>
          </w:p>
        </w:tc>
        <w:tc>
          <w:tcPr>
            <w:tcW w:w="0" w:type="auto"/>
          </w:tcPr>
          <w:p w14:paraId="06AF05C4" w14:textId="77777777" w:rsidR="002709ED" w:rsidRDefault="00B2757B">
            <w:pPr>
              <w:spacing w:before="120" w:after="120" w:line="360" w:lineRule="auto"/>
              <w:rPr>
                <w:szCs w:val="24"/>
                <w:lang w:eastAsia="en-US"/>
              </w:rPr>
            </w:pPr>
            <w:r>
              <w:rPr>
                <w:szCs w:val="24"/>
                <w:lang w:eastAsia="en-US"/>
              </w:rPr>
              <w:lastRenderedPageBreak/>
              <w:t>karbamazepín</w:t>
            </w:r>
          </w:p>
        </w:tc>
        <w:tc>
          <w:tcPr>
            <w:tcW w:w="0" w:type="auto"/>
          </w:tcPr>
          <w:p w14:paraId="037CDBE4" w14:textId="77777777" w:rsidR="002709ED" w:rsidRDefault="00B2757B">
            <w:pPr>
              <w:spacing w:before="120" w:after="120" w:line="360" w:lineRule="auto"/>
              <w:rPr>
                <w:szCs w:val="24"/>
                <w:lang w:eastAsia="en-US"/>
              </w:rPr>
            </w:pPr>
            <w:r>
              <w:rPr>
                <w:szCs w:val="24"/>
                <w:lang w:eastAsia="en-US"/>
              </w:rPr>
              <w:t>lieky</w:t>
            </w:r>
          </w:p>
        </w:tc>
        <w:tc>
          <w:tcPr>
            <w:tcW w:w="0" w:type="auto"/>
          </w:tcPr>
          <w:p w14:paraId="680C6955" w14:textId="77777777" w:rsidR="002709ED" w:rsidRDefault="00B2757B">
            <w:pPr>
              <w:spacing w:before="120" w:after="120" w:line="360" w:lineRule="auto"/>
              <w:rPr>
                <w:szCs w:val="24"/>
                <w:lang w:eastAsia="en-US"/>
              </w:rPr>
            </w:pPr>
            <w:r>
              <w:rPr>
                <w:szCs w:val="24"/>
                <w:lang w:eastAsia="en-US"/>
              </w:rPr>
              <w:t>298-46-4</w:t>
            </w:r>
          </w:p>
        </w:tc>
        <w:tc>
          <w:tcPr>
            <w:tcW w:w="0" w:type="auto"/>
          </w:tcPr>
          <w:p w14:paraId="3F31C1DD" w14:textId="77777777" w:rsidR="002709ED" w:rsidRDefault="00B2757B">
            <w:pPr>
              <w:spacing w:before="120" w:after="120" w:line="360" w:lineRule="auto"/>
              <w:rPr>
                <w:szCs w:val="24"/>
                <w:lang w:eastAsia="en-US"/>
              </w:rPr>
            </w:pPr>
            <w:r>
              <w:rPr>
                <w:szCs w:val="24"/>
                <w:lang w:eastAsia="en-US"/>
              </w:rPr>
              <w:t>neuplatňuje sa</w:t>
            </w:r>
          </w:p>
        </w:tc>
        <w:tc>
          <w:tcPr>
            <w:tcW w:w="0" w:type="auto"/>
          </w:tcPr>
          <w:p w14:paraId="72E708E8" w14:textId="77777777" w:rsidR="002709ED" w:rsidRDefault="00B2757B">
            <w:pPr>
              <w:spacing w:before="120" w:after="120" w:line="360" w:lineRule="auto"/>
              <w:rPr>
                <w:b/>
                <w:i/>
                <w:szCs w:val="24"/>
                <w:lang w:eastAsia="en-US"/>
              </w:rPr>
            </w:pPr>
            <w:r>
              <w:rPr>
                <w:strike/>
                <w:szCs w:val="24"/>
                <w:lang w:eastAsia="en-US"/>
              </w:rPr>
              <w:t>0,25</w:t>
            </w:r>
            <w:r>
              <w:rPr>
                <w:b/>
                <w:i/>
                <w:szCs w:val="24"/>
                <w:lang w:eastAsia="en-US"/>
              </w:rPr>
              <w:t>0,025</w:t>
            </w:r>
          </w:p>
        </w:tc>
      </w:tr>
      <w:tr w:rsidR="002709ED" w14:paraId="5E8CCCDC" w14:textId="77777777">
        <w:tc>
          <w:tcPr>
            <w:tcW w:w="0" w:type="auto"/>
          </w:tcPr>
          <w:p w14:paraId="53E756E5" w14:textId="77777777" w:rsidR="002709ED" w:rsidRDefault="00B2757B">
            <w:pPr>
              <w:spacing w:before="120" w:after="120" w:line="360" w:lineRule="auto"/>
              <w:rPr>
                <w:szCs w:val="24"/>
                <w:lang w:eastAsia="en-US"/>
              </w:rPr>
            </w:pPr>
            <w:r>
              <w:rPr>
                <w:szCs w:val="24"/>
                <w:lang w:eastAsia="en-US"/>
              </w:rPr>
              <w:t>5</w:t>
            </w:r>
          </w:p>
        </w:tc>
        <w:tc>
          <w:tcPr>
            <w:tcW w:w="0" w:type="auto"/>
          </w:tcPr>
          <w:p w14:paraId="6CFD740B" w14:textId="77777777" w:rsidR="002709ED" w:rsidRDefault="00B2757B">
            <w:pPr>
              <w:spacing w:before="120" w:after="120" w:line="360" w:lineRule="auto"/>
              <w:rPr>
                <w:szCs w:val="24"/>
                <w:lang w:eastAsia="en-US"/>
              </w:rPr>
            </w:pPr>
            <w:r>
              <w:rPr>
                <w:szCs w:val="24"/>
                <w:lang w:eastAsia="en-US"/>
              </w:rPr>
              <w:t>sulfametoxazol</w:t>
            </w:r>
          </w:p>
        </w:tc>
        <w:tc>
          <w:tcPr>
            <w:tcW w:w="0" w:type="auto"/>
          </w:tcPr>
          <w:p w14:paraId="5259B691" w14:textId="77777777" w:rsidR="002709ED" w:rsidRDefault="00B2757B">
            <w:pPr>
              <w:spacing w:before="120" w:after="120" w:line="360" w:lineRule="auto"/>
              <w:rPr>
                <w:szCs w:val="24"/>
                <w:lang w:eastAsia="en-US"/>
              </w:rPr>
            </w:pPr>
            <w:r>
              <w:rPr>
                <w:szCs w:val="24"/>
                <w:lang w:eastAsia="en-US"/>
              </w:rPr>
              <w:t>lieky</w:t>
            </w:r>
          </w:p>
        </w:tc>
        <w:tc>
          <w:tcPr>
            <w:tcW w:w="0" w:type="auto"/>
          </w:tcPr>
          <w:p w14:paraId="56BDBA28" w14:textId="77777777" w:rsidR="002709ED" w:rsidRDefault="00B2757B">
            <w:pPr>
              <w:spacing w:before="120" w:after="120" w:line="360" w:lineRule="auto"/>
              <w:rPr>
                <w:szCs w:val="24"/>
                <w:lang w:eastAsia="en-US"/>
              </w:rPr>
            </w:pPr>
            <w:r>
              <w:rPr>
                <w:szCs w:val="24"/>
                <w:lang w:eastAsia="en-US"/>
              </w:rPr>
              <w:t>723-46-6</w:t>
            </w:r>
          </w:p>
        </w:tc>
        <w:tc>
          <w:tcPr>
            <w:tcW w:w="0" w:type="auto"/>
          </w:tcPr>
          <w:p w14:paraId="479B766F" w14:textId="77777777" w:rsidR="002709ED" w:rsidRDefault="00B2757B">
            <w:pPr>
              <w:spacing w:before="120" w:after="120" w:line="360" w:lineRule="auto"/>
              <w:rPr>
                <w:szCs w:val="24"/>
                <w:lang w:eastAsia="en-US"/>
              </w:rPr>
            </w:pPr>
            <w:r>
              <w:rPr>
                <w:szCs w:val="24"/>
                <w:lang w:eastAsia="en-US"/>
              </w:rPr>
              <w:t>neuplatňuje sa</w:t>
            </w:r>
          </w:p>
        </w:tc>
        <w:tc>
          <w:tcPr>
            <w:tcW w:w="0" w:type="auto"/>
          </w:tcPr>
          <w:p w14:paraId="321B5B5D" w14:textId="77777777" w:rsidR="002709ED" w:rsidRDefault="00B2757B">
            <w:pPr>
              <w:spacing w:before="120" w:after="120" w:line="360" w:lineRule="auto"/>
              <w:rPr>
                <w:szCs w:val="24"/>
                <w:lang w:eastAsia="en-US"/>
              </w:rPr>
            </w:pPr>
            <w:r>
              <w:rPr>
                <w:szCs w:val="24"/>
                <w:lang w:eastAsia="en-US"/>
              </w:rPr>
              <w:t>0,01</w:t>
            </w:r>
          </w:p>
        </w:tc>
      </w:tr>
      <w:tr w:rsidR="002709ED" w14:paraId="79BA459A" w14:textId="77777777">
        <w:tc>
          <w:tcPr>
            <w:tcW w:w="0" w:type="auto"/>
          </w:tcPr>
          <w:p w14:paraId="5A9BF81A" w14:textId="77777777" w:rsidR="002709ED" w:rsidRDefault="00B2757B">
            <w:pPr>
              <w:spacing w:before="120" w:after="120" w:line="360" w:lineRule="auto"/>
              <w:rPr>
                <w:b/>
                <w:szCs w:val="24"/>
                <w:lang w:eastAsia="en-US"/>
              </w:rPr>
            </w:pPr>
            <w:r>
              <w:rPr>
                <w:szCs w:val="24"/>
                <w:lang w:eastAsia="en-US"/>
              </w:rPr>
              <w:t>6</w:t>
            </w:r>
            <w:r>
              <w:rPr>
                <w:b/>
                <w:szCs w:val="24"/>
                <w:lang w:eastAsia="en-US"/>
              </w:rPr>
              <w:t xml:space="preserve"> [PN 147]</w:t>
            </w:r>
          </w:p>
        </w:tc>
        <w:tc>
          <w:tcPr>
            <w:tcW w:w="0" w:type="auto"/>
          </w:tcPr>
          <w:p w14:paraId="2C89D1AB" w14:textId="77777777" w:rsidR="002709ED" w:rsidRDefault="00B2757B">
            <w:pPr>
              <w:spacing w:before="120" w:after="120" w:line="360" w:lineRule="auto"/>
              <w:rPr>
                <w:szCs w:val="24"/>
                <w:lang w:eastAsia="en-US"/>
              </w:rPr>
            </w:pPr>
            <w:r>
              <w:rPr>
                <w:szCs w:val="24"/>
                <w:lang w:eastAsia="en-US"/>
              </w:rPr>
              <w:t xml:space="preserve">farmaceutické účinné látky – spolu </w:t>
            </w:r>
            <w:r>
              <w:rPr>
                <w:szCs w:val="24"/>
                <w:vertAlign w:val="superscript"/>
                <w:lang w:eastAsia="en-US"/>
              </w:rPr>
              <w:t>(8)</w:t>
            </w:r>
          </w:p>
        </w:tc>
        <w:tc>
          <w:tcPr>
            <w:tcW w:w="0" w:type="auto"/>
          </w:tcPr>
          <w:p w14:paraId="3E3D46E4" w14:textId="77777777" w:rsidR="002709ED" w:rsidRDefault="00B2757B">
            <w:pPr>
              <w:spacing w:before="120" w:after="120" w:line="360" w:lineRule="auto"/>
              <w:rPr>
                <w:szCs w:val="24"/>
                <w:lang w:eastAsia="en-US"/>
              </w:rPr>
            </w:pPr>
            <w:r>
              <w:rPr>
                <w:szCs w:val="24"/>
                <w:lang w:eastAsia="en-US"/>
              </w:rPr>
              <w:t>lieky</w:t>
            </w:r>
          </w:p>
        </w:tc>
        <w:tc>
          <w:tcPr>
            <w:tcW w:w="0" w:type="auto"/>
          </w:tcPr>
          <w:p w14:paraId="4FD57464" w14:textId="77777777" w:rsidR="002709ED" w:rsidRDefault="00B2757B">
            <w:pPr>
              <w:spacing w:before="120" w:after="120" w:line="360" w:lineRule="auto"/>
              <w:rPr>
                <w:szCs w:val="24"/>
                <w:lang w:eastAsia="en-US"/>
              </w:rPr>
            </w:pPr>
            <w:r>
              <w:rPr>
                <w:szCs w:val="24"/>
                <w:lang w:eastAsia="en-US"/>
              </w:rPr>
              <w:t>neuplatňuje sa</w:t>
            </w:r>
          </w:p>
        </w:tc>
        <w:tc>
          <w:tcPr>
            <w:tcW w:w="0" w:type="auto"/>
          </w:tcPr>
          <w:p w14:paraId="4ADEF8D1" w14:textId="77777777" w:rsidR="002709ED" w:rsidRDefault="00B2757B">
            <w:pPr>
              <w:spacing w:before="120" w:after="120" w:line="360" w:lineRule="auto"/>
              <w:rPr>
                <w:szCs w:val="24"/>
                <w:lang w:eastAsia="en-US"/>
              </w:rPr>
            </w:pPr>
            <w:r>
              <w:rPr>
                <w:szCs w:val="24"/>
                <w:lang w:eastAsia="en-US"/>
              </w:rPr>
              <w:t>neuplatňuje sa</w:t>
            </w:r>
          </w:p>
        </w:tc>
        <w:tc>
          <w:tcPr>
            <w:tcW w:w="0" w:type="auto"/>
          </w:tcPr>
          <w:p w14:paraId="66FC579E" w14:textId="77777777" w:rsidR="002709ED" w:rsidRDefault="00B2757B">
            <w:pPr>
              <w:spacing w:before="120" w:after="120" w:line="360" w:lineRule="auto"/>
              <w:rPr>
                <w:b/>
                <w:i/>
                <w:szCs w:val="24"/>
                <w:lang w:eastAsia="en-US"/>
              </w:rPr>
            </w:pPr>
            <w:r>
              <w:rPr>
                <w:strike/>
                <w:szCs w:val="24"/>
                <w:lang w:eastAsia="en-US"/>
              </w:rPr>
              <w:t>0,25</w:t>
            </w:r>
            <w:r>
              <w:rPr>
                <w:b/>
                <w:i/>
                <w:szCs w:val="24"/>
                <w:lang w:eastAsia="en-US"/>
              </w:rPr>
              <w:t>0,025</w:t>
            </w:r>
          </w:p>
        </w:tc>
      </w:tr>
      <w:tr w:rsidR="002709ED" w14:paraId="269A004C" w14:textId="77777777">
        <w:tc>
          <w:tcPr>
            <w:tcW w:w="0" w:type="auto"/>
            <w:vMerge w:val="restart"/>
          </w:tcPr>
          <w:p w14:paraId="7A0D12C9" w14:textId="77777777" w:rsidR="002709ED" w:rsidRDefault="00B2757B">
            <w:pPr>
              <w:spacing w:before="120" w:after="120" w:line="360" w:lineRule="auto"/>
              <w:rPr>
                <w:b/>
                <w:szCs w:val="24"/>
                <w:lang w:eastAsia="en-US"/>
              </w:rPr>
            </w:pPr>
            <w:r>
              <w:rPr>
                <w:szCs w:val="24"/>
                <w:lang w:eastAsia="en-US"/>
              </w:rPr>
              <w:t>7</w:t>
            </w:r>
            <w:r>
              <w:rPr>
                <w:b/>
                <w:szCs w:val="24"/>
                <w:lang w:eastAsia="en-US"/>
              </w:rPr>
              <w:t xml:space="preserve"> [PN 148]</w:t>
            </w:r>
          </w:p>
        </w:tc>
        <w:tc>
          <w:tcPr>
            <w:tcW w:w="0" w:type="auto"/>
            <w:vMerge w:val="restart"/>
          </w:tcPr>
          <w:p w14:paraId="6296B44F" w14:textId="77777777" w:rsidR="002709ED" w:rsidRDefault="00B2757B">
            <w:pPr>
              <w:spacing w:before="120" w:after="120" w:line="360" w:lineRule="auto"/>
              <w:rPr>
                <w:szCs w:val="24"/>
                <w:lang w:eastAsia="en-US"/>
              </w:rPr>
            </w:pPr>
            <w:r>
              <w:rPr>
                <w:szCs w:val="24"/>
                <w:lang w:eastAsia="en-US"/>
              </w:rPr>
              <w:t>nerelevantné metabolity pesticídov (nrM)</w:t>
            </w:r>
          </w:p>
        </w:tc>
        <w:tc>
          <w:tcPr>
            <w:tcW w:w="0" w:type="auto"/>
            <w:vMerge w:val="restart"/>
          </w:tcPr>
          <w:p w14:paraId="4A902E50" w14:textId="77777777" w:rsidR="002709ED" w:rsidRDefault="00B2757B">
            <w:pPr>
              <w:spacing w:before="120" w:after="120" w:line="360" w:lineRule="auto"/>
              <w:rPr>
                <w:szCs w:val="24"/>
                <w:lang w:eastAsia="en-US"/>
              </w:rPr>
            </w:pPr>
            <w:r>
              <w:rPr>
                <w:szCs w:val="24"/>
                <w:lang w:eastAsia="en-US"/>
              </w:rPr>
              <w:t>pesticídy</w:t>
            </w:r>
          </w:p>
        </w:tc>
        <w:tc>
          <w:tcPr>
            <w:tcW w:w="0" w:type="auto"/>
            <w:vMerge w:val="restart"/>
          </w:tcPr>
          <w:p w14:paraId="184D9752" w14:textId="77777777" w:rsidR="002709ED" w:rsidRDefault="00B2757B">
            <w:pPr>
              <w:spacing w:before="120" w:after="120" w:line="360" w:lineRule="auto"/>
              <w:rPr>
                <w:szCs w:val="24"/>
                <w:lang w:eastAsia="en-US"/>
              </w:rPr>
            </w:pPr>
            <w:r>
              <w:rPr>
                <w:szCs w:val="24"/>
                <w:lang w:eastAsia="en-US"/>
              </w:rPr>
              <w:t>neuplatňuje sa</w:t>
            </w:r>
          </w:p>
        </w:tc>
        <w:tc>
          <w:tcPr>
            <w:tcW w:w="0" w:type="auto"/>
            <w:vMerge w:val="restart"/>
          </w:tcPr>
          <w:p w14:paraId="73B2D99C" w14:textId="77777777" w:rsidR="002709ED" w:rsidRDefault="00B2757B">
            <w:pPr>
              <w:spacing w:before="120" w:after="120" w:line="360" w:lineRule="auto"/>
              <w:rPr>
                <w:szCs w:val="24"/>
                <w:lang w:eastAsia="en-US"/>
              </w:rPr>
            </w:pPr>
            <w:r>
              <w:rPr>
                <w:szCs w:val="24"/>
                <w:lang w:eastAsia="en-US"/>
              </w:rPr>
              <w:t>neuplatňuje sa</w:t>
            </w:r>
          </w:p>
        </w:tc>
        <w:tc>
          <w:tcPr>
            <w:tcW w:w="0" w:type="auto"/>
          </w:tcPr>
          <w:p w14:paraId="2F53380C" w14:textId="77777777" w:rsidR="002709ED" w:rsidRDefault="00B2757B">
            <w:pPr>
              <w:spacing w:before="120" w:after="120" w:line="360" w:lineRule="auto"/>
              <w:rPr>
                <w:szCs w:val="24"/>
                <w:lang w:eastAsia="en-US"/>
              </w:rPr>
            </w:pPr>
            <w:r>
              <w:rPr>
                <w:szCs w:val="24"/>
                <w:lang w:eastAsia="en-US"/>
              </w:rPr>
              <w:t xml:space="preserve">0,1 </w:t>
            </w:r>
            <w:r>
              <w:rPr>
                <w:strike/>
                <w:szCs w:val="24"/>
                <w:vertAlign w:val="superscript"/>
                <w:lang w:eastAsia="en-US"/>
              </w:rPr>
              <w:t>(9)</w:t>
            </w:r>
            <w:r>
              <w:rPr>
                <w:strike/>
                <w:szCs w:val="24"/>
                <w:lang w:eastAsia="en-US"/>
              </w:rPr>
              <w:t xml:space="preserve"> alebo 1 </w:t>
            </w:r>
            <w:r>
              <w:rPr>
                <w:strike/>
                <w:szCs w:val="24"/>
                <w:vertAlign w:val="superscript"/>
                <w:lang w:eastAsia="en-US"/>
              </w:rPr>
              <w:t>(10)</w:t>
            </w:r>
            <w:r>
              <w:rPr>
                <w:strike/>
                <w:szCs w:val="24"/>
                <w:lang w:eastAsia="en-US"/>
              </w:rPr>
              <w:t xml:space="preserve"> alebo 2,5 alebo 5 </w:t>
            </w:r>
            <w:r>
              <w:rPr>
                <w:strike/>
                <w:szCs w:val="24"/>
                <w:vertAlign w:val="superscript"/>
                <w:lang w:eastAsia="en-US"/>
              </w:rPr>
              <w:t>(11)</w:t>
            </w:r>
            <w:r>
              <w:rPr>
                <w:szCs w:val="24"/>
                <w:lang w:eastAsia="en-US"/>
              </w:rPr>
              <w:t xml:space="preserve"> (individuálne)</w:t>
            </w:r>
          </w:p>
        </w:tc>
      </w:tr>
      <w:tr w:rsidR="002709ED" w14:paraId="0ADE65AE" w14:textId="77777777">
        <w:tc>
          <w:tcPr>
            <w:tcW w:w="0" w:type="auto"/>
            <w:vMerge/>
          </w:tcPr>
          <w:p w14:paraId="7D0A3893" w14:textId="77777777" w:rsidR="002709ED" w:rsidRDefault="002709ED">
            <w:pPr>
              <w:spacing w:before="120" w:after="120" w:line="360" w:lineRule="auto"/>
              <w:rPr>
                <w:szCs w:val="24"/>
                <w:lang w:eastAsia="en-US"/>
              </w:rPr>
            </w:pPr>
          </w:p>
        </w:tc>
        <w:tc>
          <w:tcPr>
            <w:tcW w:w="0" w:type="auto"/>
            <w:vMerge/>
          </w:tcPr>
          <w:p w14:paraId="0C295EDC" w14:textId="77777777" w:rsidR="002709ED" w:rsidRDefault="002709ED">
            <w:pPr>
              <w:spacing w:before="120" w:after="120" w:line="360" w:lineRule="auto"/>
              <w:rPr>
                <w:szCs w:val="24"/>
                <w:lang w:eastAsia="en-US"/>
              </w:rPr>
            </w:pPr>
          </w:p>
        </w:tc>
        <w:tc>
          <w:tcPr>
            <w:tcW w:w="0" w:type="auto"/>
            <w:vMerge/>
          </w:tcPr>
          <w:p w14:paraId="2A28D05A" w14:textId="77777777" w:rsidR="002709ED" w:rsidRDefault="002709ED">
            <w:pPr>
              <w:spacing w:before="120" w:after="120" w:line="360" w:lineRule="auto"/>
              <w:rPr>
                <w:szCs w:val="24"/>
                <w:lang w:eastAsia="en-US"/>
              </w:rPr>
            </w:pPr>
          </w:p>
        </w:tc>
        <w:tc>
          <w:tcPr>
            <w:tcW w:w="0" w:type="auto"/>
            <w:vMerge/>
          </w:tcPr>
          <w:p w14:paraId="7ACDC989" w14:textId="77777777" w:rsidR="002709ED" w:rsidRDefault="002709ED">
            <w:pPr>
              <w:spacing w:before="120" w:after="120" w:line="360" w:lineRule="auto"/>
              <w:rPr>
                <w:szCs w:val="24"/>
                <w:lang w:eastAsia="en-US"/>
              </w:rPr>
            </w:pPr>
          </w:p>
        </w:tc>
        <w:tc>
          <w:tcPr>
            <w:tcW w:w="0" w:type="auto"/>
            <w:vMerge/>
          </w:tcPr>
          <w:p w14:paraId="43B9797E" w14:textId="77777777" w:rsidR="002709ED" w:rsidRDefault="002709ED">
            <w:pPr>
              <w:spacing w:before="120" w:after="120" w:line="360" w:lineRule="auto"/>
              <w:rPr>
                <w:szCs w:val="24"/>
                <w:lang w:eastAsia="en-US"/>
              </w:rPr>
            </w:pPr>
          </w:p>
        </w:tc>
        <w:tc>
          <w:tcPr>
            <w:tcW w:w="0" w:type="auto"/>
          </w:tcPr>
          <w:p w14:paraId="3D769FD4" w14:textId="77777777" w:rsidR="002709ED" w:rsidRDefault="00B2757B">
            <w:pPr>
              <w:spacing w:before="120" w:after="120" w:line="360" w:lineRule="auto"/>
              <w:rPr>
                <w:szCs w:val="24"/>
                <w:lang w:eastAsia="en-US"/>
              </w:rPr>
            </w:pPr>
            <w:r>
              <w:rPr>
                <w:szCs w:val="24"/>
                <w:lang w:eastAsia="en-US"/>
              </w:rPr>
              <w:t xml:space="preserve">0,5 </w:t>
            </w:r>
            <w:r>
              <w:rPr>
                <w:strike/>
                <w:szCs w:val="24"/>
                <w:vertAlign w:val="superscript"/>
                <w:lang w:eastAsia="en-US"/>
              </w:rPr>
              <w:t>(9)</w:t>
            </w:r>
            <w:r>
              <w:rPr>
                <w:strike/>
                <w:szCs w:val="24"/>
                <w:lang w:eastAsia="en-US"/>
              </w:rPr>
              <w:t xml:space="preserve"> alebo 5 (</w:t>
            </w:r>
            <w:r>
              <w:rPr>
                <w:strike/>
                <w:szCs w:val="24"/>
                <w:vertAlign w:val="superscript"/>
                <w:lang w:eastAsia="en-US"/>
              </w:rPr>
              <w:t>10)</w:t>
            </w:r>
            <w:r>
              <w:rPr>
                <w:strike/>
                <w:szCs w:val="24"/>
                <w:lang w:eastAsia="en-US"/>
              </w:rPr>
              <w:t xml:space="preserve"> alebo 12,5 </w:t>
            </w:r>
            <w:r>
              <w:rPr>
                <w:strike/>
                <w:szCs w:val="24"/>
                <w:vertAlign w:val="superscript"/>
                <w:lang w:eastAsia="en-US"/>
              </w:rPr>
              <w:t>(11)</w:t>
            </w:r>
            <w:r>
              <w:rPr>
                <w:szCs w:val="24"/>
                <w:lang w:eastAsia="en-US"/>
              </w:rPr>
              <w:t xml:space="preserve"> (spolu) </w:t>
            </w:r>
            <w:r>
              <w:rPr>
                <w:szCs w:val="24"/>
                <w:vertAlign w:val="superscript"/>
                <w:lang w:eastAsia="en-US"/>
              </w:rPr>
              <w:t>(12)</w:t>
            </w:r>
          </w:p>
        </w:tc>
      </w:tr>
    </w:tbl>
    <w:p w14:paraId="10EF79A3" w14:textId="77777777" w:rsidR="002709ED" w:rsidRDefault="002709ED">
      <w:pPr>
        <w:spacing w:before="120" w:after="120" w:line="360" w:lineRule="auto"/>
        <w:ind w:left="1416" w:hanging="566"/>
        <w:rPr>
          <w:szCs w:val="24"/>
          <w:lang w:eastAsia="en-US"/>
        </w:rPr>
        <w:sectPr w:rsidR="002709ED">
          <w:footnotePr>
            <w:numRestart w:val="eachSect"/>
          </w:footnotePr>
          <w:pgSz w:w="16834" w:h="11909" w:orient="landscape"/>
          <w:pgMar w:top="1417" w:right="1134" w:bottom="1417" w:left="1417" w:header="1134" w:footer="567" w:gutter="0"/>
          <w:cols w:space="720"/>
          <w:docGrid w:linePitch="326"/>
        </w:sectPr>
      </w:pPr>
    </w:p>
    <w:p w14:paraId="4E1A293F" w14:textId="77777777" w:rsidR="002709ED" w:rsidRDefault="00B2757B">
      <w:pPr>
        <w:spacing w:before="120" w:after="120" w:line="360" w:lineRule="auto"/>
        <w:ind w:left="1416" w:hanging="566"/>
        <w:rPr>
          <w:szCs w:val="24"/>
          <w:lang w:eastAsia="en-US"/>
        </w:rPr>
      </w:pPr>
      <w:r w:rsidRPr="00C100E9">
        <w:rPr>
          <w:szCs w:val="24"/>
          <w:vertAlign w:val="superscript"/>
          <w:lang w:eastAsia="en-US"/>
        </w:rPr>
        <w:lastRenderedPageBreak/>
        <w:t>(1)</w:t>
      </w:r>
      <w:r>
        <w:rPr>
          <w:szCs w:val="24"/>
          <w:lang w:eastAsia="en-US"/>
        </w:rPr>
        <w:tab/>
        <w:t>CAS: služba CAS (Chemical Abstracts Service).</w:t>
      </w:r>
    </w:p>
    <w:p w14:paraId="5CAD3738" w14:textId="77777777" w:rsidR="002709ED" w:rsidRDefault="00B2757B">
      <w:pPr>
        <w:spacing w:before="120" w:after="120" w:line="360" w:lineRule="auto"/>
        <w:ind w:left="1416" w:hanging="566"/>
        <w:rPr>
          <w:szCs w:val="24"/>
          <w:lang w:eastAsia="en-US"/>
        </w:rPr>
      </w:pPr>
      <w:r w:rsidRPr="00C100E9">
        <w:rPr>
          <w:szCs w:val="24"/>
          <w:vertAlign w:val="superscript"/>
          <w:lang w:eastAsia="en-US"/>
        </w:rPr>
        <w:t>(2)</w:t>
      </w:r>
      <w:r>
        <w:rPr>
          <w:szCs w:val="24"/>
          <w:lang w:eastAsia="en-US"/>
        </w:rPr>
        <w:tab/>
        <w:t>EÚ číslo: Európsky zoznam existujúcich komerčných chemických látok (EINECS) alebo Európsky zoznam nových chemických látok (ELINCS).</w:t>
      </w:r>
    </w:p>
    <w:p w14:paraId="7C2C374E" w14:textId="77777777" w:rsidR="002709ED" w:rsidRDefault="00B2757B">
      <w:pPr>
        <w:spacing w:before="120" w:after="120" w:line="360" w:lineRule="auto"/>
        <w:ind w:left="1416" w:hanging="566"/>
        <w:rPr>
          <w:szCs w:val="24"/>
          <w:lang w:eastAsia="en-US"/>
        </w:rPr>
      </w:pPr>
      <w:r w:rsidRPr="00C100E9">
        <w:rPr>
          <w:szCs w:val="24"/>
          <w:vertAlign w:val="superscript"/>
          <w:lang w:eastAsia="en-US"/>
        </w:rPr>
        <w:t>(3)</w:t>
      </w:r>
      <w:r>
        <w:rPr>
          <w:szCs w:val="24"/>
          <w:lang w:eastAsia="en-US"/>
        </w:rPr>
        <w:tab/>
        <w:t>Tento parameter predstavuje NK vyjadrenú ako priemernú ročnú hodnotu. Pokiaľ nie je uvedené inak, uplatňuje sa na celkovú koncentráciu všetkých látok a izomérov.</w:t>
      </w:r>
    </w:p>
    <w:p w14:paraId="4752B4FB" w14:textId="77777777" w:rsidR="002709ED" w:rsidRDefault="00B2757B">
      <w:pPr>
        <w:spacing w:before="120" w:after="120" w:line="360" w:lineRule="auto"/>
        <w:ind w:left="1416" w:hanging="566"/>
        <w:rPr>
          <w:szCs w:val="24"/>
          <w:lang w:eastAsia="en-US"/>
        </w:rPr>
      </w:pPr>
      <w:r w:rsidRPr="00C100E9">
        <w:rPr>
          <w:szCs w:val="24"/>
          <w:vertAlign w:val="superscript"/>
          <w:lang w:eastAsia="en-US"/>
        </w:rPr>
        <w:t>(4)</w:t>
      </w:r>
      <w:r>
        <w:rPr>
          <w:szCs w:val="24"/>
          <w:lang w:eastAsia="en-US"/>
        </w:rPr>
        <w:tab/>
        <w:t>„Pesticídy“ sú prípravky na ochranu rastlín uvedené v článku 2 nariadenia Európskeho parlamentu a Rady (ES) č. 1107/2009 z 21. októbra 2009 o uvádzaní prípravkov na ochranu rastlín na trh, ako aj a biocídne výrobky uvedené v článku 3 nariadenia Európskeho parlamentu a Rady (EÚ) č. 528/2012 z 22. mája 2012 o sprístupňovaní biocídnych výrobkov na trhu a ich používaní.</w:t>
      </w:r>
    </w:p>
    <w:p w14:paraId="4AF5CE96" w14:textId="77777777" w:rsidR="002709ED" w:rsidRDefault="00B2757B">
      <w:pPr>
        <w:spacing w:before="120" w:after="120" w:line="360" w:lineRule="auto"/>
        <w:ind w:left="1416" w:hanging="566"/>
        <w:rPr>
          <w:szCs w:val="24"/>
          <w:lang w:eastAsia="en-US"/>
        </w:rPr>
      </w:pPr>
      <w:r w:rsidRPr="00C100E9">
        <w:rPr>
          <w:b/>
          <w:i/>
          <w:szCs w:val="24"/>
          <w:vertAlign w:val="superscript"/>
          <w:lang w:eastAsia="en-US"/>
        </w:rPr>
        <w:t>(4a)</w:t>
      </w:r>
      <w:r>
        <w:rPr>
          <w:szCs w:val="24"/>
          <w:lang w:eastAsia="en-US"/>
        </w:rPr>
        <w:tab/>
      </w:r>
      <w:r>
        <w:rPr>
          <w:b/>
          <w:i/>
          <w:szCs w:val="24"/>
          <w:lang w:eastAsia="en-US"/>
        </w:rPr>
        <w:t xml:space="preserve">Táto prahová hodnota sa uplatňuje len do preskúmania Komisiou. </w:t>
      </w:r>
    </w:p>
    <w:p w14:paraId="53031C52" w14:textId="77777777" w:rsidR="002709ED" w:rsidRDefault="00B2757B">
      <w:pPr>
        <w:spacing w:before="120" w:after="120" w:line="360" w:lineRule="auto"/>
        <w:ind w:left="1416" w:hanging="566"/>
        <w:rPr>
          <w:szCs w:val="24"/>
          <w:lang w:eastAsia="en-US"/>
        </w:rPr>
      </w:pPr>
      <w:r w:rsidRPr="00C100E9">
        <w:rPr>
          <w:szCs w:val="24"/>
          <w:vertAlign w:val="superscript"/>
          <w:lang w:eastAsia="en-US"/>
        </w:rPr>
        <w:t>(5)</w:t>
      </w:r>
      <w:r>
        <w:rPr>
          <w:szCs w:val="24"/>
          <w:lang w:eastAsia="en-US"/>
        </w:rPr>
        <w:tab/>
        <w:t>„Spolu“ je súčet všetkých jednotlivých pestícídov zistených a vyčíslených v priebehu monitorovacieho postupu vrátane príslušných metabolitov, produktov biologických rozkladov a chemických reakcií.</w:t>
      </w:r>
      <w:r>
        <w:rPr>
          <w:b/>
          <w:i/>
          <w:szCs w:val="24"/>
          <w:lang w:eastAsia="en-US"/>
        </w:rPr>
        <w:t xml:space="preserve"> Prahová hodnota stanovená pre súčet všetkých jednotlivých pesticídov sa uplatňuje len do preskúmania Komisiou</w:t>
      </w:r>
    </w:p>
    <w:p w14:paraId="396248BC" w14:textId="77777777" w:rsidR="002709ED" w:rsidRDefault="00B2757B">
      <w:pPr>
        <w:widowControl/>
        <w:rPr>
          <w:szCs w:val="24"/>
          <w:lang w:eastAsia="en-US"/>
        </w:rPr>
      </w:pPr>
      <w:r>
        <w:rPr>
          <w:szCs w:val="24"/>
          <w:lang w:eastAsia="en-US"/>
        </w:rPr>
        <w:br w:type="page"/>
      </w:r>
    </w:p>
    <w:p w14:paraId="0A8D3110" w14:textId="77777777" w:rsidR="002709ED" w:rsidRDefault="00B2757B">
      <w:pPr>
        <w:spacing w:before="120" w:after="120" w:line="360" w:lineRule="auto"/>
        <w:ind w:left="1416" w:hanging="566"/>
        <w:rPr>
          <w:szCs w:val="24"/>
          <w:lang w:eastAsia="en-US"/>
        </w:rPr>
      </w:pPr>
      <w:r w:rsidRPr="00C100E9">
        <w:rPr>
          <w:szCs w:val="24"/>
          <w:vertAlign w:val="superscript"/>
          <w:lang w:eastAsia="en-US"/>
        </w:rPr>
        <w:lastRenderedPageBreak/>
        <w:t>(6)</w:t>
      </w:r>
      <w:r>
        <w:rPr>
          <w:szCs w:val="24"/>
          <w:lang w:eastAsia="en-US"/>
        </w:rPr>
        <w:tab/>
        <w:t>Ide o tieto zlúčeniny uvedené spolu s ich CAS číslom, EÚ číslom a faktorom relatívnej účinnosti (RPF): kyselina pentadekafluóroktánová (PFOA) (CAS 335-67-1, EÚ 206-397-9) (RPF 1), kyselina perfluóroktánsulfónová (PFOS) (CAS 1763-23-1, EÚ 217-179-8) (RPF 2), kyselina perfluórhexánsulfónová (PFHxS) (CAS 355-46-4, EÚ 206-587-1) (RPF 0,6), kyselina perfluórnonánová (PFNA) (CAS 375-95-1, EÚ 206-801-3) (RPF 10), kyselina perfluórobutánsulfónová (PFBS) (CAS 375-73-5, EÚ 206-793-1) (RPF 0,001), kyselina perfluórhexánová (PFHxA) (CAS 307-24-4, EÚ 206-196-6) (RPF 0,01), kyselina perfluórbutánová (PFBA) (CAS 375-22-4, EÚ 206-786-3) (RPF 0,05), kyselina perfluórpentánová (PFPeA) (CAS 2706-90-3, EÚ 220-300-7) (RPF 0,03), kyselina perfluórpentánsulfónová (PFPeS) (CAS 2706-91-4, EÚ 220-301-2) (RPF 0,3005), kyselina perfluórdekánová (PFDA) (CAS 335-76-2, EÚ 206-400-3) (RPF 7), kyselina perfluórdodekánová (PFDoDA alebo PFDoA) (CAS 307-55-1, EÚ 206-203-2) (RPF 3), kyselina perfluórundekánová (PFUnDA alebo PFUnA) (CAS 2058-94-8, EÚ 218-165-4) (RPF 4), kyselina perfluórheptánová (PFHpA) (CAS 375-85-9, EÚ 206-798-9) (RPF 0,505), kyselina perfluórtridekánová (PFTrDA) (CAS 72629-94-8, EÚ 276-745-2) (RPF 1,65), kyselina perfluórheptánsulfónová (PFHpS) (CAS 375-92-8, EÚ 206-800-8) (RPF 1,3), kyselina perfluórdekánsulfónová (PFDS) (CAS 335-77-3, EÚ 206-401-9) (RPF 2), kyselina perfluórtetradekánová (PFTeDA) (CAS 376-06-7, EÚ 206-803-4) (RPF 0,3), kyselina perfluórhexadekánová (PFHxDA) (CAS 67905-19-5, EÚ 267-638-1) (RPF 0,02), kyselina perfluóroktodekánová (PFODA) (CAS 16517-11-6, EÚ 240-582-5) (RPF 0,02), amónium-perfluór(2-metyl-3-oxahexanoát) (HFPO-DA alebo Gen X) (CAS 62037-80-3) (RPF 0,06), kyselina propánová/amónium-2,2,3-trifluór-3-[1,1,2,2,3,3-hexafluór-3-(trifluórmetoxy)propoxy]propanoát (ADONA) (CAS 958445-44-8) (RPF 0,03), 2-(perfluórhexyl)etylalkohol (6:2 FTOH) (CAS 647-42-7, EÚ 211-477-1) (RPF 0,02), 2-(perfluóroktyl)etanol (8:2 FTOH) (CAS 678-39-7, EÚ 211-648-0) (RPF 0,04) a kyselina 2,2-difluór-2-{[2,2,4,5-tetrafluór-5-(trifluórmetoxy)-1,3-dioxolán-4-yl]oxy}octová (C6O4) (CAS 1190931-41-9) (RPF 0,06).</w:t>
      </w:r>
    </w:p>
    <w:p w14:paraId="659FE157" w14:textId="77777777" w:rsidR="002709ED" w:rsidRDefault="00B2757B">
      <w:pPr>
        <w:widowControl/>
        <w:rPr>
          <w:szCs w:val="24"/>
          <w:lang w:eastAsia="en-US"/>
        </w:rPr>
      </w:pPr>
      <w:r>
        <w:rPr>
          <w:szCs w:val="24"/>
          <w:lang w:eastAsia="en-US"/>
        </w:rPr>
        <w:br w:type="page"/>
      </w:r>
    </w:p>
    <w:p w14:paraId="4194BF17" w14:textId="77777777" w:rsidR="002709ED" w:rsidRDefault="00B2757B">
      <w:pPr>
        <w:spacing w:before="120" w:after="120" w:line="360" w:lineRule="auto"/>
        <w:ind w:left="1416" w:hanging="566"/>
        <w:rPr>
          <w:szCs w:val="24"/>
          <w:lang w:eastAsia="en-US"/>
        </w:rPr>
      </w:pPr>
      <w:r w:rsidRPr="00C100E9">
        <w:rPr>
          <w:szCs w:val="24"/>
          <w:vertAlign w:val="superscript"/>
          <w:lang w:eastAsia="en-US"/>
        </w:rPr>
        <w:lastRenderedPageBreak/>
        <w:t>(7)</w:t>
      </w:r>
      <w:r>
        <w:rPr>
          <w:szCs w:val="24"/>
          <w:lang w:eastAsia="en-US"/>
        </w:rPr>
        <w:tab/>
        <w:t>Norma kvality sa vzťahuje na súčet 24 PFAS uvedených v poznámke pod čiarou 6 a vyjadrených ako ekvivalenty PFOA na základe účinnosti látok vo vzťahu k PFOA, t. j. RPF v poznámke pod čiarou 6.</w:t>
      </w:r>
    </w:p>
    <w:p w14:paraId="0273B232" w14:textId="77777777" w:rsidR="002709ED" w:rsidRDefault="00B2757B">
      <w:pPr>
        <w:spacing w:before="120" w:after="120" w:line="360" w:lineRule="auto"/>
        <w:ind w:left="1416" w:hanging="566"/>
        <w:rPr>
          <w:szCs w:val="24"/>
          <w:lang w:eastAsia="en-US"/>
        </w:rPr>
      </w:pPr>
      <w:r w:rsidRPr="00C100E9">
        <w:rPr>
          <w:b/>
          <w:i/>
          <w:szCs w:val="24"/>
          <w:vertAlign w:val="superscript"/>
          <w:lang w:eastAsia="en-US"/>
        </w:rPr>
        <w:t>(7a)</w:t>
      </w:r>
      <w:r>
        <w:rPr>
          <w:szCs w:val="24"/>
          <w:lang w:eastAsia="en-US"/>
        </w:rPr>
        <w:tab/>
      </w:r>
      <w:r>
        <w:rPr>
          <w:b/>
          <w:i/>
          <w:szCs w:val="24"/>
          <w:lang w:eastAsia="en-US"/>
        </w:rPr>
        <w:t>Normu kvality stanoví Komisia delegovaným aktom.</w:t>
      </w:r>
    </w:p>
    <w:p w14:paraId="2B87DDAA" w14:textId="77777777" w:rsidR="002709ED" w:rsidRDefault="00B2757B">
      <w:pPr>
        <w:spacing w:before="120" w:after="120" w:line="360" w:lineRule="auto"/>
        <w:ind w:left="1416" w:hanging="566"/>
        <w:rPr>
          <w:szCs w:val="24"/>
          <w:lang w:eastAsia="en-US"/>
        </w:rPr>
      </w:pPr>
      <w:r w:rsidRPr="00C100E9">
        <w:rPr>
          <w:szCs w:val="24"/>
          <w:vertAlign w:val="superscript"/>
          <w:lang w:eastAsia="en-US"/>
        </w:rPr>
        <w:t>(8)</w:t>
      </w:r>
      <w:r>
        <w:rPr>
          <w:szCs w:val="24"/>
          <w:lang w:eastAsia="en-US"/>
        </w:rPr>
        <w:tab/>
        <w:t>„Spolu“ je súčet všetkých jednotlivých liekov zistených a vyčíslených v priebehu monitorovacieho postupu vrátane príslušných metabolitov a produktov biologických rozkladov.</w:t>
      </w:r>
    </w:p>
    <w:p w14:paraId="164F90C3" w14:textId="77777777" w:rsidR="002709ED" w:rsidRDefault="00B2757B">
      <w:pPr>
        <w:spacing w:before="120" w:after="120" w:line="360" w:lineRule="auto"/>
        <w:ind w:left="1416" w:hanging="566"/>
        <w:rPr>
          <w:szCs w:val="24"/>
          <w:lang w:eastAsia="en-US"/>
        </w:rPr>
      </w:pPr>
      <w:r w:rsidRPr="00C100E9">
        <w:rPr>
          <w:strike/>
          <w:szCs w:val="24"/>
          <w:vertAlign w:val="superscript"/>
          <w:lang w:eastAsia="en-US"/>
        </w:rPr>
        <w:t>(9)</w:t>
      </w:r>
      <w:r>
        <w:rPr>
          <w:szCs w:val="24"/>
          <w:lang w:eastAsia="en-US"/>
        </w:rPr>
        <w:tab/>
      </w:r>
      <w:r>
        <w:rPr>
          <w:strike/>
          <w:szCs w:val="24"/>
          <w:lang w:eastAsia="en-US"/>
        </w:rPr>
        <w:t>Uplatňuje sa na nrM s „nedostatočnými údajmi“, t. j. nrM, pre ktoré nie sú k dispozícii spoľahlivé experimentálne údaje o chronických alebo akútnych účinkoch nrM v prípade taxonomickej skupiny, o ktorej sa s istotou predpokladá, že je najcitlivejšia.</w:t>
      </w:r>
    </w:p>
    <w:p w14:paraId="057156B2" w14:textId="77777777" w:rsidR="002709ED" w:rsidRDefault="00B2757B">
      <w:pPr>
        <w:spacing w:before="120" w:after="120" w:line="360" w:lineRule="auto"/>
        <w:ind w:left="1416" w:hanging="566"/>
        <w:rPr>
          <w:szCs w:val="24"/>
          <w:lang w:eastAsia="en-US"/>
        </w:rPr>
      </w:pPr>
      <w:r w:rsidRPr="00C100E9">
        <w:rPr>
          <w:strike/>
          <w:szCs w:val="24"/>
          <w:vertAlign w:val="superscript"/>
          <w:lang w:eastAsia="en-US"/>
        </w:rPr>
        <w:t>(10)</w:t>
      </w:r>
      <w:r>
        <w:rPr>
          <w:szCs w:val="24"/>
          <w:lang w:eastAsia="en-US"/>
        </w:rPr>
        <w:tab/>
      </w:r>
      <w:r>
        <w:rPr>
          <w:strike/>
          <w:szCs w:val="24"/>
          <w:lang w:eastAsia="en-US"/>
        </w:rPr>
        <w:t>Uplatňuje sa na nrM s „uspokojujúcimi údajmi“, t. j. nrM, pre ktoré sú k dispozícii spoľahlivé experimentálne údaje o chronických alebo akútnych účinkoch nrM v prípade taxonomickej skupiny, o ktorej sa s istotou predpokladá, že je najcitlivejšia, ale údaje o nej nepostačujú na to, aby sa látky kvalifikovali ako „bohaté na údaje“.</w:t>
      </w:r>
    </w:p>
    <w:p w14:paraId="68179393" w14:textId="77777777" w:rsidR="002709ED" w:rsidRDefault="00B2757B">
      <w:pPr>
        <w:widowControl/>
        <w:rPr>
          <w:strike/>
          <w:szCs w:val="24"/>
          <w:lang w:eastAsia="en-US"/>
        </w:rPr>
      </w:pPr>
      <w:r>
        <w:rPr>
          <w:strike/>
          <w:szCs w:val="24"/>
          <w:lang w:eastAsia="en-US"/>
        </w:rPr>
        <w:br w:type="page"/>
      </w:r>
    </w:p>
    <w:p w14:paraId="6B854EFC" w14:textId="77777777" w:rsidR="002709ED" w:rsidRDefault="00B2757B">
      <w:pPr>
        <w:spacing w:before="120" w:after="120" w:line="360" w:lineRule="auto"/>
        <w:ind w:left="1416" w:hanging="566"/>
        <w:rPr>
          <w:szCs w:val="24"/>
          <w:lang w:eastAsia="en-US"/>
        </w:rPr>
      </w:pPr>
      <w:r w:rsidRPr="00C100E9">
        <w:rPr>
          <w:strike/>
          <w:szCs w:val="24"/>
          <w:vertAlign w:val="superscript"/>
          <w:lang w:eastAsia="en-US"/>
        </w:rPr>
        <w:lastRenderedPageBreak/>
        <w:t>(11)</w:t>
      </w:r>
      <w:r>
        <w:rPr>
          <w:szCs w:val="24"/>
          <w:lang w:eastAsia="en-US"/>
        </w:rPr>
        <w:tab/>
      </w:r>
      <w:r>
        <w:rPr>
          <w:strike/>
          <w:szCs w:val="24"/>
          <w:lang w:eastAsia="en-US"/>
        </w:rPr>
        <w:t>Uplatňuje sa na nrM s „bohatými údajmi“, t. j. nrM, pre ktoré sú k dispozícii spoľahlivé experimentálne údaje, alebo rovnocenne spoľahlivé údaje získané alternatívnymi vedecky validovanými metódami, o chronických alebo akútnych účinkoch nrM v prípade aspoň jedného druhu rias, bezstavovcov a rýb, ktoré umožňujú s istotou potvrdiť najcitlivejšiu taxonomickú skupinu a pre ktoré možno vypočítať normy kvality pomocou deterministického prístupu založeného na spoľahlivých údajoch o chronickej experimentálnej toxicite v prípade tejto taxonomickej skupiny; Členské štáty môžu na tento účel uplatňovať najnovšie usmernenia stanovené v rámci spoločnej stratégie vykonávania smernice 2000/60/ES (usmerňovací dokument č. 27 v aktualizovanom znení). Pre jednotlivé nrM sa uplatňuje NK s hodnotou 2,5, pokiaľ NK vypočítaná na základe deterministického prístupu nie je vyššia – v takom prípade sa uplatňuje NK s hodnotou 5.</w:t>
      </w:r>
    </w:p>
    <w:p w14:paraId="7433F88E" w14:textId="77777777" w:rsidR="002709ED" w:rsidRDefault="00B2757B">
      <w:pPr>
        <w:spacing w:before="120" w:after="120" w:line="360" w:lineRule="auto"/>
        <w:ind w:left="1416" w:hanging="566"/>
        <w:rPr>
          <w:szCs w:val="24"/>
          <w:lang w:eastAsia="en-US"/>
        </w:rPr>
      </w:pPr>
      <w:r w:rsidRPr="00C100E9">
        <w:rPr>
          <w:szCs w:val="24"/>
          <w:vertAlign w:val="superscript"/>
          <w:lang w:eastAsia="en-US"/>
        </w:rPr>
        <w:t>(12)</w:t>
      </w:r>
      <w:r>
        <w:rPr>
          <w:szCs w:val="24"/>
          <w:lang w:eastAsia="en-US"/>
        </w:rPr>
        <w:tab/>
        <w:t>„Spolu“ je súčet všetkých jednotlivých nrM v každej kategórii údajov, ktoré sa zistili a vyčíslili v rámci postupu monitorovania.“</w:t>
      </w:r>
    </w:p>
    <w:p w14:paraId="08D345B8" w14:textId="77777777" w:rsidR="002709ED" w:rsidRDefault="002709ED">
      <w:pPr>
        <w:spacing w:before="120" w:after="120" w:line="360" w:lineRule="auto"/>
        <w:rPr>
          <w:szCs w:val="24"/>
          <w:lang w:eastAsia="en-US"/>
        </w:rPr>
        <w:sectPr w:rsidR="002709ED">
          <w:footnotePr>
            <w:numRestart w:val="eachSect"/>
          </w:footnotePr>
          <w:pgSz w:w="11909" w:h="16834"/>
          <w:pgMar w:top="1134" w:right="1417" w:bottom="1417" w:left="1417" w:header="1134" w:footer="567" w:gutter="0"/>
          <w:cols w:space="720"/>
          <w:docGrid w:linePitch="326"/>
        </w:sectPr>
      </w:pPr>
    </w:p>
    <w:p w14:paraId="2C264723" w14:textId="77777777" w:rsidR="002709ED" w:rsidRDefault="002709ED">
      <w:pPr>
        <w:spacing w:before="120" w:after="120" w:line="360" w:lineRule="auto"/>
        <w:rPr>
          <w:szCs w:val="24"/>
          <w:lang w:eastAsia="en-US"/>
        </w:rPr>
      </w:pPr>
    </w:p>
    <w:p w14:paraId="5383D265" w14:textId="77777777" w:rsidR="002709ED" w:rsidRDefault="00B2757B">
      <w:pPr>
        <w:spacing w:before="120" w:after="120" w:line="360" w:lineRule="auto"/>
        <w:jc w:val="center"/>
        <w:rPr>
          <w:lang w:eastAsia="en-US"/>
        </w:rPr>
      </w:pPr>
      <w:r>
        <w:rPr>
          <w:lang w:eastAsia="en-US"/>
        </w:rPr>
        <w:t>PRÍLOHA IV</w:t>
      </w:r>
    </w:p>
    <w:p w14:paraId="032B4DE1" w14:textId="77777777" w:rsidR="002709ED" w:rsidRDefault="00B2757B">
      <w:pPr>
        <w:spacing w:before="120" w:after="120" w:line="360" w:lineRule="auto"/>
        <w:rPr>
          <w:szCs w:val="24"/>
          <w:lang w:eastAsia="en-US"/>
        </w:rPr>
      </w:pPr>
      <w:r>
        <w:rPr>
          <w:szCs w:val="24"/>
          <w:lang w:eastAsia="en-US"/>
        </w:rPr>
        <w:t>Príloha II k smernici 2006/118/ES sa mení takto:</w:t>
      </w:r>
    </w:p>
    <w:p w14:paraId="2F575468" w14:textId="77777777" w:rsidR="002709ED" w:rsidRDefault="00B2757B">
      <w:pPr>
        <w:spacing w:before="120" w:after="120" w:line="360" w:lineRule="auto"/>
        <w:ind w:left="850" w:hanging="850"/>
        <w:rPr>
          <w:szCs w:val="24"/>
          <w:lang w:eastAsia="en-US"/>
        </w:rPr>
      </w:pPr>
      <w:r>
        <w:rPr>
          <w:szCs w:val="24"/>
          <w:lang w:eastAsia="en-US"/>
        </w:rPr>
        <w:t>1.</w:t>
      </w:r>
      <w:r>
        <w:rPr>
          <w:szCs w:val="24"/>
          <w:lang w:eastAsia="en-US"/>
        </w:rPr>
        <w:tab/>
        <w:t>V časti A sa za prvý odsek pridáva tento odsek:</w:t>
      </w:r>
    </w:p>
    <w:p w14:paraId="444DDEF1" w14:textId="77777777" w:rsidR="002709ED" w:rsidRDefault="00B2757B">
      <w:pPr>
        <w:spacing w:before="120" w:after="120" w:line="360" w:lineRule="auto"/>
        <w:ind w:left="850"/>
        <w:rPr>
          <w:szCs w:val="24"/>
          <w:lang w:eastAsia="en-US"/>
        </w:rPr>
      </w:pPr>
      <w:r>
        <w:rPr>
          <w:szCs w:val="24"/>
          <w:lang w:eastAsia="en-US"/>
        </w:rPr>
        <w:t>„Členské štáty zabezpečia, aby príslušné orgány informovali Európsku chemickú agentúru (ECHA) o prahových hodnotách pre znečisťujúce látky a o ukazovateľoch znečistenia. Agentúra ECHA tieto informácie bezodkladne uverejní.;“</w:t>
      </w:r>
    </w:p>
    <w:p w14:paraId="7A6EA721" w14:textId="77777777" w:rsidR="002709ED" w:rsidRDefault="00B2757B">
      <w:pPr>
        <w:spacing w:before="120" w:after="120" w:line="360" w:lineRule="auto"/>
        <w:ind w:left="850" w:hanging="850"/>
        <w:rPr>
          <w:szCs w:val="24"/>
          <w:lang w:eastAsia="en-US"/>
        </w:rPr>
      </w:pPr>
      <w:r>
        <w:rPr>
          <w:b/>
          <w:i/>
          <w:szCs w:val="24"/>
          <w:lang w:eastAsia="en-US"/>
        </w:rPr>
        <w:t>1a.</w:t>
      </w:r>
      <w:r>
        <w:rPr>
          <w:szCs w:val="24"/>
          <w:lang w:eastAsia="en-US"/>
        </w:rPr>
        <w:tab/>
      </w:r>
      <w:r>
        <w:rPr>
          <w:b/>
          <w:i/>
          <w:szCs w:val="24"/>
          <w:lang w:eastAsia="en-US"/>
        </w:rPr>
        <w:t>V časti B sa názov nahrádza takto:</w:t>
      </w:r>
    </w:p>
    <w:p w14:paraId="020E8631" w14:textId="77777777" w:rsidR="002709ED" w:rsidRDefault="00B2757B">
      <w:pPr>
        <w:spacing w:before="120" w:after="120" w:line="360" w:lineRule="auto"/>
        <w:ind w:left="850"/>
        <w:rPr>
          <w:b/>
          <w:szCs w:val="24"/>
          <w:lang w:eastAsia="en-US"/>
        </w:rPr>
      </w:pPr>
      <w:r>
        <w:rPr>
          <w:szCs w:val="24"/>
          <w:lang w:eastAsia="en-US"/>
        </w:rPr>
        <w:t>„</w:t>
      </w:r>
      <w:r>
        <w:rPr>
          <w:b/>
          <w:i/>
          <w:szCs w:val="24"/>
          <w:lang w:eastAsia="en-US"/>
        </w:rPr>
        <w:t>Minimálny zoznam znečisťujúcich látok alebo iónov a ich ukazovateľov, pri ktorých majú členské štáty stanoviť prahové hodnoty v súlade s článkom 3</w:t>
      </w:r>
      <w:r>
        <w:rPr>
          <w:szCs w:val="24"/>
          <w:lang w:eastAsia="en-US"/>
        </w:rPr>
        <w:t>“</w:t>
      </w:r>
      <w:r>
        <w:rPr>
          <w:b/>
          <w:szCs w:val="24"/>
          <w:lang w:eastAsia="en-US"/>
        </w:rPr>
        <w:t xml:space="preserve"> [PN 149]</w:t>
      </w:r>
    </w:p>
    <w:p w14:paraId="023EBA2E" w14:textId="77777777" w:rsidR="002709ED" w:rsidRDefault="00B2757B">
      <w:pPr>
        <w:widowControl/>
        <w:rPr>
          <w:szCs w:val="24"/>
          <w:lang w:eastAsia="en-US"/>
        </w:rPr>
      </w:pPr>
      <w:r>
        <w:rPr>
          <w:szCs w:val="24"/>
          <w:lang w:eastAsia="en-US"/>
        </w:rPr>
        <w:br w:type="page"/>
      </w:r>
    </w:p>
    <w:p w14:paraId="3B7928EA" w14:textId="77777777" w:rsidR="002709ED" w:rsidRDefault="00B2757B">
      <w:pPr>
        <w:spacing w:before="120" w:after="120" w:line="360" w:lineRule="auto"/>
        <w:ind w:left="850" w:hanging="850"/>
        <w:rPr>
          <w:szCs w:val="24"/>
          <w:lang w:eastAsia="en-US"/>
        </w:rPr>
      </w:pPr>
      <w:r>
        <w:rPr>
          <w:szCs w:val="24"/>
          <w:lang w:eastAsia="en-US"/>
        </w:rPr>
        <w:lastRenderedPageBreak/>
        <w:t>2.</w:t>
      </w:r>
      <w:r>
        <w:rPr>
          <w:szCs w:val="24"/>
          <w:lang w:eastAsia="en-US"/>
        </w:rPr>
        <w:tab/>
        <w:t>V časti B sa bod 2 nahrádza takto:</w:t>
      </w:r>
    </w:p>
    <w:p w14:paraId="32237E4F" w14:textId="77777777" w:rsidR="002709ED" w:rsidRDefault="00B2757B">
      <w:pPr>
        <w:spacing w:before="120" w:after="120" w:line="360" w:lineRule="auto"/>
        <w:ind w:left="1416" w:hanging="566"/>
        <w:rPr>
          <w:szCs w:val="24"/>
          <w:lang w:eastAsia="en-US"/>
        </w:rPr>
      </w:pPr>
      <w:r>
        <w:rPr>
          <w:szCs w:val="24"/>
          <w:lang w:eastAsia="en-US"/>
        </w:rPr>
        <w:t>„2.</w:t>
      </w:r>
      <w:r>
        <w:rPr>
          <w:szCs w:val="24"/>
          <w:lang w:eastAsia="en-US"/>
        </w:rPr>
        <w:tab/>
        <w:t>Vyrábané syntetické látky</w:t>
      </w:r>
    </w:p>
    <w:p w14:paraId="16B15EB7" w14:textId="77777777" w:rsidR="002709ED" w:rsidRDefault="00B2757B">
      <w:pPr>
        <w:spacing w:before="120" w:after="120" w:line="360" w:lineRule="auto"/>
        <w:ind w:left="1416"/>
        <w:rPr>
          <w:szCs w:val="24"/>
          <w:lang w:eastAsia="en-US"/>
        </w:rPr>
      </w:pPr>
      <w:r>
        <w:rPr>
          <w:szCs w:val="24"/>
          <w:lang w:eastAsia="en-US"/>
        </w:rPr>
        <w:t>Primidón</w:t>
      </w:r>
    </w:p>
    <w:p w14:paraId="2D8B46EF" w14:textId="77777777" w:rsidR="002709ED" w:rsidRDefault="00B2757B">
      <w:pPr>
        <w:spacing w:before="120" w:after="120" w:line="360" w:lineRule="auto"/>
        <w:ind w:left="1416"/>
        <w:rPr>
          <w:szCs w:val="24"/>
          <w:lang w:eastAsia="en-US"/>
        </w:rPr>
      </w:pPr>
      <w:r>
        <w:rPr>
          <w:szCs w:val="24"/>
          <w:lang w:eastAsia="en-US"/>
        </w:rPr>
        <w:t>Trichlóretylén</w:t>
      </w:r>
    </w:p>
    <w:p w14:paraId="532CF7FE" w14:textId="77777777" w:rsidR="002709ED" w:rsidRDefault="00B2757B">
      <w:pPr>
        <w:spacing w:before="120" w:after="120" w:line="360" w:lineRule="auto"/>
        <w:ind w:left="1416"/>
        <w:rPr>
          <w:szCs w:val="24"/>
          <w:lang w:eastAsia="en-US"/>
        </w:rPr>
      </w:pPr>
      <w:r>
        <w:rPr>
          <w:szCs w:val="24"/>
          <w:lang w:eastAsia="en-US"/>
        </w:rPr>
        <w:t>Tetrachlóretylén“</w:t>
      </w:r>
    </w:p>
    <w:p w14:paraId="7F32BBD0" w14:textId="77777777" w:rsidR="002709ED" w:rsidRDefault="00B2757B">
      <w:pPr>
        <w:spacing w:before="120" w:after="120" w:line="360" w:lineRule="auto"/>
        <w:ind w:left="850" w:hanging="850"/>
        <w:rPr>
          <w:szCs w:val="24"/>
          <w:lang w:eastAsia="en-US"/>
        </w:rPr>
      </w:pPr>
      <w:r>
        <w:rPr>
          <w:szCs w:val="24"/>
          <w:lang w:eastAsia="en-US"/>
        </w:rPr>
        <w:t>3.</w:t>
      </w:r>
      <w:r>
        <w:rPr>
          <w:szCs w:val="24"/>
          <w:lang w:eastAsia="en-US"/>
        </w:rPr>
        <w:tab/>
        <w:t>V časti C sa názov nahrádza takto:</w:t>
      </w:r>
    </w:p>
    <w:p w14:paraId="585C1405" w14:textId="77777777" w:rsidR="002709ED" w:rsidRDefault="00B2757B">
      <w:pPr>
        <w:spacing w:before="120" w:after="120" w:line="360" w:lineRule="auto"/>
        <w:ind w:left="850"/>
        <w:rPr>
          <w:szCs w:val="24"/>
          <w:lang w:eastAsia="en-US"/>
        </w:rPr>
        <w:sectPr w:rsidR="002709ED">
          <w:footnotePr>
            <w:numRestart w:val="eachSect"/>
          </w:footnotePr>
          <w:pgSz w:w="11909" w:h="16834"/>
          <w:pgMar w:top="1134" w:right="1417" w:bottom="1417" w:left="1417" w:header="1134" w:footer="567" w:gutter="0"/>
          <w:cols w:space="720"/>
        </w:sectPr>
      </w:pPr>
      <w:r>
        <w:rPr>
          <w:szCs w:val="24"/>
          <w:lang w:eastAsia="en-US"/>
        </w:rPr>
        <w:t>„Informácie, ktoré poskytnú členské štáty v súvislosti so znečisťujúcimi látkami a ich ukazovateľmi, pre ktoré členské štáty určili prahové hodnoty;“</w:t>
      </w:r>
    </w:p>
    <w:p w14:paraId="5F78EE96" w14:textId="77777777" w:rsidR="002709ED" w:rsidRDefault="00B2757B">
      <w:pPr>
        <w:spacing w:before="120" w:after="120" w:line="360" w:lineRule="auto"/>
        <w:ind w:left="850" w:hanging="850"/>
        <w:rPr>
          <w:szCs w:val="24"/>
          <w:lang w:eastAsia="en-US"/>
        </w:rPr>
      </w:pPr>
      <w:r>
        <w:rPr>
          <w:szCs w:val="24"/>
          <w:lang w:eastAsia="en-US"/>
        </w:rPr>
        <w:lastRenderedPageBreak/>
        <w:t>4.</w:t>
      </w:r>
      <w:r>
        <w:rPr>
          <w:szCs w:val="24"/>
          <w:lang w:eastAsia="en-US"/>
        </w:rPr>
        <w:tab/>
        <w:t>Dopĺňa sa táto časť D:</w:t>
      </w:r>
    </w:p>
    <w:p w14:paraId="3D65EA7A" w14:textId="77777777" w:rsidR="002709ED" w:rsidRDefault="00B2757B">
      <w:pPr>
        <w:spacing w:before="120" w:after="120" w:line="360" w:lineRule="auto"/>
        <w:ind w:left="850"/>
        <w:rPr>
          <w:szCs w:val="24"/>
          <w:lang w:eastAsia="en-US"/>
        </w:rPr>
      </w:pPr>
      <w:r>
        <w:rPr>
          <w:szCs w:val="24"/>
          <w:lang w:eastAsia="en-US"/>
        </w:rPr>
        <w:t>„Časť D</w:t>
      </w:r>
    </w:p>
    <w:p w14:paraId="09E11913" w14:textId="77777777" w:rsidR="002709ED" w:rsidRDefault="00B2757B">
      <w:pPr>
        <w:spacing w:before="120" w:after="120" w:line="360" w:lineRule="auto"/>
        <w:ind w:left="850"/>
        <w:rPr>
          <w:szCs w:val="24"/>
          <w:lang w:eastAsia="en-US"/>
        </w:rPr>
      </w:pPr>
      <w:r>
        <w:rPr>
          <w:szCs w:val="24"/>
          <w:lang w:eastAsia="en-US"/>
        </w:rPr>
        <w:t>Register harmonizovaných prahových hodnôt pre látky znečisťujúce podzemnú vodu, ktoré vzbudzujú obavy na celoštátnej, regionálnej alebo miestnej úrovni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710"/>
        <w:gridCol w:w="3413"/>
        <w:gridCol w:w="2083"/>
        <w:gridCol w:w="1843"/>
        <w:gridCol w:w="1996"/>
        <w:gridCol w:w="3228"/>
      </w:tblGrid>
      <w:tr w:rsidR="002709ED" w14:paraId="6400D339" w14:textId="77777777">
        <w:trPr>
          <w:tblHeader/>
        </w:trPr>
        <w:tc>
          <w:tcPr>
            <w:tcW w:w="0" w:type="auto"/>
          </w:tcPr>
          <w:p w14:paraId="1B8B9DB6" w14:textId="77777777" w:rsidR="002709ED" w:rsidRDefault="00B2757B">
            <w:pPr>
              <w:spacing w:before="120" w:after="120" w:line="360" w:lineRule="auto"/>
              <w:rPr>
                <w:szCs w:val="24"/>
                <w:lang w:eastAsia="en-US"/>
              </w:rPr>
            </w:pPr>
            <w:r>
              <w:rPr>
                <w:szCs w:val="24"/>
                <w:lang w:eastAsia="en-US"/>
              </w:rPr>
              <w:t>(1)</w:t>
            </w:r>
          </w:p>
        </w:tc>
        <w:tc>
          <w:tcPr>
            <w:tcW w:w="0" w:type="auto"/>
          </w:tcPr>
          <w:p w14:paraId="562DFE3F" w14:textId="77777777" w:rsidR="002709ED" w:rsidRDefault="00B2757B">
            <w:pPr>
              <w:spacing w:before="120" w:after="120" w:line="360" w:lineRule="auto"/>
              <w:rPr>
                <w:szCs w:val="24"/>
                <w:lang w:eastAsia="en-US"/>
              </w:rPr>
            </w:pPr>
            <w:r>
              <w:rPr>
                <w:szCs w:val="24"/>
                <w:lang w:eastAsia="en-US"/>
              </w:rPr>
              <w:t>(2)</w:t>
            </w:r>
          </w:p>
        </w:tc>
        <w:tc>
          <w:tcPr>
            <w:tcW w:w="0" w:type="auto"/>
          </w:tcPr>
          <w:p w14:paraId="3D7F9A64" w14:textId="77777777" w:rsidR="002709ED" w:rsidRDefault="00B2757B">
            <w:pPr>
              <w:spacing w:before="120" w:after="120" w:line="360" w:lineRule="auto"/>
              <w:rPr>
                <w:szCs w:val="24"/>
                <w:lang w:eastAsia="en-US"/>
              </w:rPr>
            </w:pPr>
            <w:r>
              <w:rPr>
                <w:szCs w:val="24"/>
                <w:lang w:eastAsia="en-US"/>
              </w:rPr>
              <w:t>(3)</w:t>
            </w:r>
          </w:p>
        </w:tc>
        <w:tc>
          <w:tcPr>
            <w:tcW w:w="0" w:type="auto"/>
          </w:tcPr>
          <w:p w14:paraId="6352D08F" w14:textId="77777777" w:rsidR="002709ED" w:rsidRDefault="00B2757B">
            <w:pPr>
              <w:spacing w:before="120" w:after="120" w:line="360" w:lineRule="auto"/>
              <w:rPr>
                <w:szCs w:val="24"/>
                <w:lang w:eastAsia="en-US"/>
              </w:rPr>
            </w:pPr>
            <w:r>
              <w:rPr>
                <w:szCs w:val="24"/>
                <w:lang w:eastAsia="en-US"/>
              </w:rPr>
              <w:t>(4)</w:t>
            </w:r>
          </w:p>
        </w:tc>
        <w:tc>
          <w:tcPr>
            <w:tcW w:w="0" w:type="auto"/>
          </w:tcPr>
          <w:p w14:paraId="7B17DCCE" w14:textId="77777777" w:rsidR="002709ED" w:rsidRDefault="00B2757B">
            <w:pPr>
              <w:spacing w:before="120" w:after="120" w:line="360" w:lineRule="auto"/>
              <w:rPr>
                <w:szCs w:val="24"/>
                <w:lang w:eastAsia="en-US"/>
              </w:rPr>
            </w:pPr>
            <w:r>
              <w:rPr>
                <w:szCs w:val="24"/>
                <w:lang w:eastAsia="en-US"/>
              </w:rPr>
              <w:t>(5)</w:t>
            </w:r>
          </w:p>
        </w:tc>
        <w:tc>
          <w:tcPr>
            <w:tcW w:w="0" w:type="auto"/>
          </w:tcPr>
          <w:p w14:paraId="5D7EC963" w14:textId="77777777" w:rsidR="002709ED" w:rsidRDefault="00B2757B">
            <w:pPr>
              <w:spacing w:before="120" w:after="120" w:line="360" w:lineRule="auto"/>
              <w:rPr>
                <w:szCs w:val="24"/>
                <w:lang w:eastAsia="en-US"/>
              </w:rPr>
            </w:pPr>
            <w:r>
              <w:rPr>
                <w:szCs w:val="24"/>
                <w:lang w:eastAsia="en-US"/>
              </w:rPr>
              <w:t>(6)</w:t>
            </w:r>
          </w:p>
        </w:tc>
      </w:tr>
      <w:tr w:rsidR="002709ED" w14:paraId="35A6D329" w14:textId="77777777">
        <w:tc>
          <w:tcPr>
            <w:tcW w:w="0" w:type="auto"/>
          </w:tcPr>
          <w:p w14:paraId="0EB42001" w14:textId="77777777" w:rsidR="002709ED" w:rsidRDefault="00B2757B">
            <w:pPr>
              <w:spacing w:before="120" w:after="120" w:line="360" w:lineRule="auto"/>
              <w:rPr>
                <w:szCs w:val="24"/>
                <w:lang w:eastAsia="en-US"/>
              </w:rPr>
            </w:pPr>
            <w:r>
              <w:rPr>
                <w:szCs w:val="24"/>
                <w:lang w:eastAsia="en-US"/>
              </w:rPr>
              <w:t>[Položka] č.</w:t>
            </w:r>
          </w:p>
        </w:tc>
        <w:tc>
          <w:tcPr>
            <w:tcW w:w="0" w:type="auto"/>
          </w:tcPr>
          <w:p w14:paraId="2F3C883A" w14:textId="77777777" w:rsidR="002709ED" w:rsidRDefault="00B2757B">
            <w:pPr>
              <w:spacing w:before="120" w:after="120" w:line="360" w:lineRule="auto"/>
              <w:rPr>
                <w:szCs w:val="24"/>
                <w:lang w:eastAsia="en-US"/>
              </w:rPr>
            </w:pPr>
            <w:r>
              <w:rPr>
                <w:szCs w:val="24"/>
                <w:lang w:eastAsia="en-US"/>
              </w:rPr>
              <w:t>Názov látky</w:t>
            </w:r>
          </w:p>
        </w:tc>
        <w:tc>
          <w:tcPr>
            <w:tcW w:w="0" w:type="auto"/>
          </w:tcPr>
          <w:p w14:paraId="4042E5F2" w14:textId="77777777" w:rsidR="002709ED" w:rsidRDefault="00B2757B">
            <w:pPr>
              <w:spacing w:before="120" w:after="120" w:line="360" w:lineRule="auto"/>
              <w:rPr>
                <w:szCs w:val="24"/>
                <w:lang w:eastAsia="en-US"/>
              </w:rPr>
            </w:pPr>
            <w:r>
              <w:rPr>
                <w:szCs w:val="24"/>
                <w:lang w:eastAsia="en-US"/>
              </w:rPr>
              <w:t>Kategória látok</w:t>
            </w:r>
          </w:p>
        </w:tc>
        <w:tc>
          <w:tcPr>
            <w:tcW w:w="0" w:type="auto"/>
          </w:tcPr>
          <w:p w14:paraId="617C5CB0" w14:textId="77777777" w:rsidR="002709ED" w:rsidRDefault="00B2757B">
            <w:pPr>
              <w:spacing w:before="120" w:after="120" w:line="360" w:lineRule="auto"/>
              <w:rPr>
                <w:szCs w:val="24"/>
                <w:lang w:eastAsia="en-US"/>
              </w:rPr>
            </w:pPr>
            <w:r>
              <w:rPr>
                <w:szCs w:val="24"/>
                <w:lang w:eastAsia="en-US"/>
              </w:rPr>
              <w:t>CAS číslo</w:t>
            </w:r>
            <w:r>
              <w:rPr>
                <w:szCs w:val="24"/>
                <w:vertAlign w:val="superscript"/>
                <w:lang w:eastAsia="en-US"/>
              </w:rPr>
              <w:t>(1)</w:t>
            </w:r>
          </w:p>
        </w:tc>
        <w:tc>
          <w:tcPr>
            <w:tcW w:w="0" w:type="auto"/>
          </w:tcPr>
          <w:p w14:paraId="7AFCBBBA" w14:textId="77777777" w:rsidR="002709ED" w:rsidRDefault="00B2757B">
            <w:pPr>
              <w:spacing w:before="120" w:after="120" w:line="360" w:lineRule="auto"/>
              <w:rPr>
                <w:szCs w:val="24"/>
                <w:lang w:eastAsia="en-US"/>
              </w:rPr>
            </w:pPr>
            <w:r>
              <w:rPr>
                <w:szCs w:val="24"/>
                <w:lang w:eastAsia="en-US"/>
              </w:rPr>
              <w:t>EÚ číslo</w:t>
            </w:r>
            <w:r>
              <w:rPr>
                <w:szCs w:val="24"/>
                <w:vertAlign w:val="superscript"/>
                <w:lang w:eastAsia="en-US"/>
              </w:rPr>
              <w:t>(2)</w:t>
            </w:r>
          </w:p>
        </w:tc>
        <w:tc>
          <w:tcPr>
            <w:tcW w:w="0" w:type="auto"/>
          </w:tcPr>
          <w:p w14:paraId="4CBACF12" w14:textId="77777777" w:rsidR="002709ED" w:rsidRDefault="00B2757B">
            <w:pPr>
              <w:spacing w:before="120" w:after="120" w:line="360" w:lineRule="auto"/>
              <w:rPr>
                <w:szCs w:val="24"/>
                <w:lang w:eastAsia="en-US"/>
              </w:rPr>
            </w:pPr>
            <w:r>
              <w:rPr>
                <w:szCs w:val="24"/>
                <w:lang w:eastAsia="en-US"/>
              </w:rPr>
              <w:t>Prahová hodnota [µg/l, pokiaľ nie je uvedené inak]</w:t>
            </w:r>
          </w:p>
        </w:tc>
      </w:tr>
      <w:tr w:rsidR="002709ED" w14:paraId="57572310" w14:textId="77777777">
        <w:tc>
          <w:tcPr>
            <w:tcW w:w="0" w:type="auto"/>
          </w:tcPr>
          <w:p w14:paraId="5BFF9BC4" w14:textId="77777777" w:rsidR="002709ED" w:rsidRDefault="00B2757B">
            <w:pPr>
              <w:spacing w:before="120" w:after="120" w:line="360" w:lineRule="auto"/>
              <w:rPr>
                <w:szCs w:val="24"/>
                <w:lang w:eastAsia="en-US"/>
              </w:rPr>
            </w:pPr>
            <w:r>
              <w:rPr>
                <w:szCs w:val="24"/>
                <w:lang w:eastAsia="en-US"/>
              </w:rPr>
              <w:t>1</w:t>
            </w:r>
          </w:p>
        </w:tc>
        <w:tc>
          <w:tcPr>
            <w:tcW w:w="0" w:type="auto"/>
          </w:tcPr>
          <w:p w14:paraId="7807A02A" w14:textId="77777777" w:rsidR="002709ED" w:rsidRDefault="00B2757B">
            <w:pPr>
              <w:spacing w:before="120" w:after="120" w:line="360" w:lineRule="auto"/>
              <w:rPr>
                <w:szCs w:val="24"/>
                <w:lang w:eastAsia="en-US"/>
              </w:rPr>
            </w:pPr>
            <w:r>
              <w:rPr>
                <w:szCs w:val="24"/>
                <w:lang w:eastAsia="en-US"/>
              </w:rPr>
              <w:t>trichlóretylén a tetrachlóretylén (súčet oboch)</w:t>
            </w:r>
          </w:p>
        </w:tc>
        <w:tc>
          <w:tcPr>
            <w:tcW w:w="0" w:type="auto"/>
          </w:tcPr>
          <w:p w14:paraId="57987606" w14:textId="77777777" w:rsidR="002709ED" w:rsidRDefault="00B2757B">
            <w:pPr>
              <w:spacing w:before="120" w:after="120" w:line="360" w:lineRule="auto"/>
              <w:rPr>
                <w:szCs w:val="24"/>
                <w:lang w:eastAsia="en-US"/>
              </w:rPr>
            </w:pPr>
            <w:r>
              <w:rPr>
                <w:szCs w:val="24"/>
                <w:lang w:eastAsia="en-US"/>
              </w:rPr>
              <w:t>priemyselné látky</w:t>
            </w:r>
          </w:p>
        </w:tc>
        <w:tc>
          <w:tcPr>
            <w:tcW w:w="0" w:type="auto"/>
          </w:tcPr>
          <w:p w14:paraId="0EF4AD4F" w14:textId="77777777" w:rsidR="002709ED" w:rsidRDefault="00B2757B">
            <w:pPr>
              <w:spacing w:before="120" w:after="120" w:line="360" w:lineRule="auto"/>
              <w:rPr>
                <w:szCs w:val="24"/>
                <w:lang w:eastAsia="en-US"/>
              </w:rPr>
            </w:pPr>
            <w:r>
              <w:rPr>
                <w:szCs w:val="24"/>
                <w:lang w:eastAsia="en-US"/>
              </w:rPr>
              <w:t>79-01-6 a 127-18-4</w:t>
            </w:r>
          </w:p>
        </w:tc>
        <w:tc>
          <w:tcPr>
            <w:tcW w:w="0" w:type="auto"/>
          </w:tcPr>
          <w:p w14:paraId="5BA95D1B" w14:textId="77777777" w:rsidR="002709ED" w:rsidRDefault="00B2757B">
            <w:pPr>
              <w:spacing w:before="120" w:after="120" w:line="360" w:lineRule="auto"/>
              <w:rPr>
                <w:szCs w:val="24"/>
                <w:lang w:eastAsia="en-US"/>
              </w:rPr>
            </w:pPr>
            <w:r>
              <w:rPr>
                <w:szCs w:val="24"/>
                <w:lang w:eastAsia="en-US"/>
              </w:rPr>
              <w:t>201-167-4 a 204-825-9</w:t>
            </w:r>
          </w:p>
        </w:tc>
        <w:tc>
          <w:tcPr>
            <w:tcW w:w="0" w:type="auto"/>
          </w:tcPr>
          <w:p w14:paraId="0B65B180" w14:textId="77777777" w:rsidR="002709ED" w:rsidRDefault="00B2757B">
            <w:pPr>
              <w:spacing w:before="120" w:after="120" w:line="360" w:lineRule="auto"/>
              <w:rPr>
                <w:szCs w:val="24"/>
                <w:lang w:eastAsia="en-US"/>
              </w:rPr>
            </w:pPr>
            <w:r>
              <w:rPr>
                <w:szCs w:val="24"/>
                <w:lang w:eastAsia="en-US"/>
              </w:rPr>
              <w:t xml:space="preserve">10 (spolu) </w:t>
            </w:r>
            <w:r>
              <w:rPr>
                <w:szCs w:val="24"/>
                <w:vertAlign w:val="superscript"/>
                <w:lang w:eastAsia="en-US"/>
              </w:rPr>
              <w:t>(3)</w:t>
            </w:r>
          </w:p>
        </w:tc>
      </w:tr>
    </w:tbl>
    <w:p w14:paraId="44E8F30E" w14:textId="77777777" w:rsidR="002709ED" w:rsidRDefault="00B2757B">
      <w:pPr>
        <w:spacing w:before="120" w:after="120" w:line="360" w:lineRule="auto"/>
        <w:ind w:left="1416" w:hanging="566"/>
        <w:rPr>
          <w:szCs w:val="24"/>
          <w:lang w:eastAsia="en-US"/>
        </w:rPr>
      </w:pPr>
      <w:r>
        <w:rPr>
          <w:szCs w:val="24"/>
          <w:vertAlign w:val="superscript"/>
          <w:lang w:eastAsia="en-US"/>
        </w:rPr>
        <w:t>(1)</w:t>
      </w:r>
      <w:r>
        <w:rPr>
          <w:szCs w:val="24"/>
          <w:lang w:eastAsia="en-US"/>
        </w:rPr>
        <w:tab/>
        <w:t>CAS: služba CAS (Chemical Abstracts Service).</w:t>
      </w:r>
    </w:p>
    <w:p w14:paraId="37C13C8C" w14:textId="77777777" w:rsidR="002709ED" w:rsidRDefault="00B2757B">
      <w:pPr>
        <w:spacing w:before="120" w:after="120" w:line="360" w:lineRule="auto"/>
        <w:ind w:left="1416" w:hanging="566"/>
        <w:rPr>
          <w:szCs w:val="24"/>
          <w:lang w:eastAsia="en-US"/>
        </w:rPr>
      </w:pPr>
      <w:r>
        <w:rPr>
          <w:szCs w:val="24"/>
          <w:vertAlign w:val="superscript"/>
          <w:lang w:eastAsia="en-US"/>
        </w:rPr>
        <w:t>(2)</w:t>
      </w:r>
      <w:r>
        <w:rPr>
          <w:szCs w:val="24"/>
          <w:lang w:eastAsia="en-US"/>
        </w:rPr>
        <w:tab/>
        <w:t>EÚ číslo: Európsky zoznam existujúcich komerčných chemických látok (EINECS) alebo Európsky zoznam nových chemických látok (ELINCS).</w:t>
      </w:r>
    </w:p>
    <w:p w14:paraId="0B3CA63F" w14:textId="77777777" w:rsidR="002709ED" w:rsidRDefault="00B2757B">
      <w:pPr>
        <w:spacing w:before="120" w:after="120" w:line="360" w:lineRule="auto"/>
        <w:ind w:left="1416" w:hanging="566"/>
        <w:rPr>
          <w:szCs w:val="24"/>
          <w:lang w:eastAsia="en-US"/>
        </w:rPr>
      </w:pPr>
      <w:r>
        <w:rPr>
          <w:szCs w:val="24"/>
          <w:vertAlign w:val="superscript"/>
          <w:lang w:eastAsia="en-US"/>
        </w:rPr>
        <w:t>(3)</w:t>
      </w:r>
      <w:r>
        <w:rPr>
          <w:szCs w:val="24"/>
          <w:lang w:eastAsia="en-US"/>
        </w:rPr>
        <w:tab/>
        <w:t>„Spolu“ je súčet koncentrácií trichlóretylénu a tetrachlóretylénu.“</w:t>
      </w:r>
    </w:p>
    <w:p w14:paraId="30C27B21" w14:textId="77777777" w:rsidR="002709ED" w:rsidRDefault="002709ED">
      <w:pPr>
        <w:spacing w:before="120" w:after="120" w:line="360" w:lineRule="auto"/>
        <w:rPr>
          <w:szCs w:val="24"/>
          <w:lang w:eastAsia="en-US"/>
        </w:rPr>
        <w:sectPr w:rsidR="002709ED">
          <w:footnotePr>
            <w:numRestart w:val="eachSect"/>
          </w:footnotePr>
          <w:pgSz w:w="16834" w:h="11909" w:orient="landscape"/>
          <w:pgMar w:top="1417" w:right="1134" w:bottom="1417" w:left="1417" w:header="1134" w:footer="567" w:gutter="0"/>
          <w:cols w:space="720"/>
          <w:docGrid w:linePitch="326"/>
        </w:sectPr>
      </w:pPr>
    </w:p>
    <w:p w14:paraId="2FFA7C54" w14:textId="77777777" w:rsidR="002709ED" w:rsidRDefault="002709ED">
      <w:pPr>
        <w:spacing w:before="120" w:after="120" w:line="360" w:lineRule="auto"/>
        <w:rPr>
          <w:szCs w:val="24"/>
          <w:lang w:eastAsia="en-US"/>
        </w:rPr>
      </w:pPr>
    </w:p>
    <w:p w14:paraId="3780661A" w14:textId="77777777" w:rsidR="002709ED" w:rsidRDefault="00B2757B">
      <w:pPr>
        <w:spacing w:before="120" w:after="120" w:line="360" w:lineRule="auto"/>
        <w:jc w:val="center"/>
        <w:rPr>
          <w:lang w:eastAsia="en-US"/>
        </w:rPr>
      </w:pPr>
      <w:r>
        <w:rPr>
          <w:lang w:eastAsia="en-US"/>
        </w:rPr>
        <w:t>PRÍLOHA V</w:t>
      </w:r>
    </w:p>
    <w:p w14:paraId="53D9C724" w14:textId="77777777" w:rsidR="002709ED" w:rsidRDefault="00B2757B">
      <w:pPr>
        <w:spacing w:before="120" w:after="120" w:line="360" w:lineRule="auto"/>
        <w:rPr>
          <w:szCs w:val="24"/>
          <w:lang w:eastAsia="en-US"/>
        </w:rPr>
      </w:pPr>
      <w:r>
        <w:rPr>
          <w:szCs w:val="24"/>
          <w:lang w:eastAsia="en-US"/>
        </w:rPr>
        <w:t>Príloha I k smernici 2008/105/ES sa mení takto:</w:t>
      </w:r>
    </w:p>
    <w:p w14:paraId="64B985CB" w14:textId="77777777" w:rsidR="002709ED" w:rsidRDefault="00B2757B">
      <w:pPr>
        <w:spacing w:before="120" w:after="120" w:line="360" w:lineRule="auto"/>
        <w:ind w:left="850" w:hanging="850"/>
        <w:rPr>
          <w:szCs w:val="24"/>
          <w:lang w:eastAsia="en-US"/>
        </w:rPr>
      </w:pPr>
      <w:r>
        <w:rPr>
          <w:szCs w:val="24"/>
          <w:lang w:eastAsia="en-US"/>
        </w:rPr>
        <w:t>1.</w:t>
      </w:r>
      <w:r>
        <w:rPr>
          <w:szCs w:val="24"/>
          <w:lang w:eastAsia="en-US"/>
        </w:rPr>
        <w:tab/>
        <w:t>Názov sa nahrádza takto:</w:t>
      </w:r>
    </w:p>
    <w:p w14:paraId="3C4EB528" w14:textId="77777777" w:rsidR="002709ED" w:rsidRDefault="00B2757B">
      <w:pPr>
        <w:spacing w:before="120" w:after="120" w:line="360" w:lineRule="auto"/>
        <w:ind w:left="850"/>
        <w:rPr>
          <w:szCs w:val="24"/>
          <w:lang w:eastAsia="en-US"/>
        </w:rPr>
      </w:pPr>
      <w:r>
        <w:rPr>
          <w:szCs w:val="24"/>
          <w:lang w:eastAsia="en-US"/>
        </w:rPr>
        <w:t>„ENVIRONMENTÁLNE NORMY KVALITY (ENK) PRE PRIORITNÉ LÁTKY V POVRCHOVÝCH VODÁCH;“</w:t>
      </w:r>
    </w:p>
    <w:p w14:paraId="32889566" w14:textId="77777777" w:rsidR="002709ED" w:rsidRDefault="00B2757B">
      <w:pPr>
        <w:spacing w:before="120" w:after="120" w:line="360" w:lineRule="auto"/>
        <w:ind w:left="850" w:hanging="850"/>
        <w:rPr>
          <w:szCs w:val="24"/>
          <w:lang w:eastAsia="en-US"/>
        </w:rPr>
      </w:pPr>
      <w:r>
        <w:rPr>
          <w:szCs w:val="24"/>
          <w:lang w:eastAsia="en-US"/>
        </w:rPr>
        <w:t>2.</w:t>
      </w:r>
      <w:r>
        <w:rPr>
          <w:szCs w:val="24"/>
          <w:lang w:eastAsia="en-US"/>
        </w:rPr>
        <w:tab/>
        <w:t>Časť A sa nahrádza takto:</w:t>
      </w:r>
    </w:p>
    <w:p w14:paraId="3CD84A0A" w14:textId="77777777" w:rsidR="002709ED" w:rsidRDefault="00B2757B">
      <w:pPr>
        <w:spacing w:before="120" w:after="120" w:line="360" w:lineRule="auto"/>
        <w:ind w:left="850"/>
        <w:rPr>
          <w:szCs w:val="24"/>
          <w:lang w:eastAsia="en-US"/>
        </w:rPr>
      </w:pPr>
      <w:r>
        <w:rPr>
          <w:szCs w:val="24"/>
          <w:lang w:eastAsia="en-US"/>
        </w:rPr>
        <w:t>„ČASŤ A: ENVIRONMENTÁLNE NORMY KVALITY</w:t>
      </w:r>
    </w:p>
    <w:p w14:paraId="509D2F42" w14:textId="77777777" w:rsidR="002709ED" w:rsidRDefault="00B2757B">
      <w:pPr>
        <w:spacing w:before="120" w:after="120" w:line="360" w:lineRule="auto"/>
        <w:ind w:left="850"/>
        <w:rPr>
          <w:szCs w:val="24"/>
          <w:lang w:eastAsia="en-US"/>
        </w:rPr>
      </w:pPr>
      <w:r>
        <w:rPr>
          <w:szCs w:val="24"/>
          <w:lang w:eastAsia="en-US"/>
        </w:rPr>
        <w:t>Poznámka 1: Ak sa environmentálna norma kvality uvádza medzi [], táto hodnota podlieha potvrdeniu na základe stanoviska vyžiadaného od Vedeckého výboru pre zdravotné, environmentálne a vznikajúce riziká.</w:t>
      </w:r>
    </w:p>
    <w:tbl>
      <w:tblPr>
        <w:tblW w:w="160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
        <w:gridCol w:w="34"/>
        <w:gridCol w:w="606"/>
        <w:gridCol w:w="11"/>
        <w:gridCol w:w="2193"/>
        <w:gridCol w:w="69"/>
        <w:gridCol w:w="24"/>
        <w:gridCol w:w="17"/>
        <w:gridCol w:w="1237"/>
        <w:gridCol w:w="75"/>
        <w:gridCol w:w="940"/>
        <w:gridCol w:w="52"/>
        <w:gridCol w:w="1134"/>
        <w:gridCol w:w="71"/>
        <w:gridCol w:w="1208"/>
        <w:gridCol w:w="49"/>
        <w:gridCol w:w="1230"/>
        <w:gridCol w:w="121"/>
        <w:gridCol w:w="1157"/>
        <w:gridCol w:w="89"/>
        <w:gridCol w:w="1188"/>
        <w:gridCol w:w="49"/>
        <w:gridCol w:w="1087"/>
        <w:gridCol w:w="1262"/>
        <w:gridCol w:w="17"/>
        <w:gridCol w:w="1136"/>
        <w:gridCol w:w="970"/>
      </w:tblGrid>
      <w:tr w:rsidR="002709ED" w14:paraId="6FD69CC8" w14:textId="77777777">
        <w:trPr>
          <w:gridBefore w:val="1"/>
          <w:wBefore w:w="12" w:type="dxa"/>
          <w:cantSplit/>
          <w:trHeight w:val="309"/>
          <w:tblHeader/>
          <w:jc w:val="center"/>
        </w:trPr>
        <w:tc>
          <w:tcPr>
            <w:tcW w:w="640" w:type="dxa"/>
            <w:gridSpan w:val="2"/>
            <w:tcMar>
              <w:left w:w="28" w:type="dxa"/>
              <w:right w:w="28" w:type="dxa"/>
            </w:tcMar>
          </w:tcPr>
          <w:p w14:paraId="392AD7B6"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lastRenderedPageBreak/>
              <w:t>(1)</w:t>
            </w:r>
          </w:p>
        </w:tc>
        <w:tc>
          <w:tcPr>
            <w:tcW w:w="2273" w:type="dxa"/>
            <w:gridSpan w:val="3"/>
            <w:tcMar>
              <w:left w:w="28" w:type="dxa"/>
              <w:right w:w="28" w:type="dxa"/>
            </w:tcMar>
          </w:tcPr>
          <w:p w14:paraId="3BA227B3"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(2)</w:t>
            </w:r>
          </w:p>
        </w:tc>
        <w:tc>
          <w:tcPr>
            <w:tcW w:w="1278" w:type="dxa"/>
            <w:gridSpan w:val="3"/>
            <w:tcMar>
              <w:left w:w="28" w:type="dxa"/>
              <w:right w:w="28" w:type="dxa"/>
            </w:tcMar>
          </w:tcPr>
          <w:p w14:paraId="56D9DBE9"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(3)</w:t>
            </w:r>
          </w:p>
        </w:tc>
        <w:tc>
          <w:tcPr>
            <w:tcW w:w="1015" w:type="dxa"/>
            <w:gridSpan w:val="2"/>
            <w:tcMar>
              <w:left w:w="28" w:type="dxa"/>
              <w:right w:w="28" w:type="dxa"/>
            </w:tcMar>
          </w:tcPr>
          <w:p w14:paraId="7ED66A55"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(4)</w:t>
            </w:r>
          </w:p>
        </w:tc>
        <w:tc>
          <w:tcPr>
            <w:tcW w:w="1257" w:type="dxa"/>
            <w:gridSpan w:val="3"/>
          </w:tcPr>
          <w:p w14:paraId="02BA4647"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(5)</w:t>
            </w:r>
          </w:p>
        </w:tc>
        <w:tc>
          <w:tcPr>
            <w:tcW w:w="1257" w:type="dxa"/>
            <w:gridSpan w:val="2"/>
            <w:tcMar>
              <w:left w:w="28" w:type="dxa"/>
              <w:right w:w="28" w:type="dxa"/>
            </w:tcMar>
          </w:tcPr>
          <w:p w14:paraId="3F26CDF6"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(6)</w:t>
            </w:r>
          </w:p>
        </w:tc>
        <w:tc>
          <w:tcPr>
            <w:tcW w:w="1351" w:type="dxa"/>
            <w:gridSpan w:val="2"/>
            <w:tcMar>
              <w:left w:w="28" w:type="dxa"/>
              <w:right w:w="28" w:type="dxa"/>
            </w:tcMar>
          </w:tcPr>
          <w:p w14:paraId="4EB82ABD"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(7)</w:t>
            </w:r>
          </w:p>
        </w:tc>
        <w:tc>
          <w:tcPr>
            <w:tcW w:w="1246" w:type="dxa"/>
            <w:gridSpan w:val="2"/>
            <w:tcMar>
              <w:left w:w="28" w:type="dxa"/>
              <w:right w:w="28" w:type="dxa"/>
            </w:tcMar>
          </w:tcPr>
          <w:p w14:paraId="0A4C7360"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(8)</w:t>
            </w:r>
          </w:p>
        </w:tc>
        <w:tc>
          <w:tcPr>
            <w:tcW w:w="1237" w:type="dxa"/>
            <w:gridSpan w:val="2"/>
            <w:tcMar>
              <w:left w:w="28" w:type="dxa"/>
              <w:right w:w="28" w:type="dxa"/>
            </w:tcMar>
          </w:tcPr>
          <w:p w14:paraId="31F2CDC4"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(9)</w:t>
            </w:r>
          </w:p>
        </w:tc>
        <w:tc>
          <w:tcPr>
            <w:tcW w:w="1087" w:type="dxa"/>
            <w:tcMar>
              <w:left w:w="28" w:type="dxa"/>
              <w:right w:w="28" w:type="dxa"/>
            </w:tcMar>
          </w:tcPr>
          <w:p w14:paraId="4ACCB244"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(10)</w:t>
            </w:r>
          </w:p>
        </w:tc>
        <w:tc>
          <w:tcPr>
            <w:tcW w:w="1262" w:type="dxa"/>
            <w:tcMar>
              <w:left w:w="28" w:type="dxa"/>
              <w:right w:w="28" w:type="dxa"/>
            </w:tcMar>
          </w:tcPr>
          <w:p w14:paraId="29DFC148"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(11)</w:t>
            </w:r>
          </w:p>
        </w:tc>
        <w:tc>
          <w:tcPr>
            <w:tcW w:w="1153" w:type="dxa"/>
            <w:gridSpan w:val="2"/>
            <w:tcMar>
              <w:left w:w="28" w:type="dxa"/>
              <w:right w:w="28" w:type="dxa"/>
            </w:tcMar>
          </w:tcPr>
          <w:p w14:paraId="0806B430"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(12)</w:t>
            </w:r>
          </w:p>
        </w:tc>
        <w:tc>
          <w:tcPr>
            <w:tcW w:w="970" w:type="dxa"/>
            <w:tcMar>
              <w:left w:w="28" w:type="dxa"/>
              <w:right w:w="28" w:type="dxa"/>
            </w:tcMar>
          </w:tcPr>
          <w:p w14:paraId="043B3E6D"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(13)</w:t>
            </w:r>
          </w:p>
        </w:tc>
      </w:tr>
      <w:tr w:rsidR="002709ED" w14:paraId="178F4437" w14:textId="77777777">
        <w:trPr>
          <w:gridBefore w:val="1"/>
          <w:wBefore w:w="12" w:type="dxa"/>
          <w:cantSplit/>
          <w:trHeight w:val="1020"/>
          <w:tblHeader/>
          <w:jc w:val="center"/>
        </w:trPr>
        <w:tc>
          <w:tcPr>
            <w:tcW w:w="640" w:type="dxa"/>
            <w:gridSpan w:val="2"/>
            <w:tcMar>
              <w:left w:w="28" w:type="dxa"/>
              <w:right w:w="28" w:type="dxa"/>
            </w:tcMar>
          </w:tcPr>
          <w:p w14:paraId="1749A5E9"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[Položka] č.</w:t>
            </w:r>
          </w:p>
        </w:tc>
        <w:tc>
          <w:tcPr>
            <w:tcW w:w="2273" w:type="dxa"/>
            <w:gridSpan w:val="3"/>
            <w:tcMar>
              <w:left w:w="28" w:type="dxa"/>
              <w:right w:w="28" w:type="dxa"/>
            </w:tcMar>
          </w:tcPr>
          <w:p w14:paraId="7F6E9BDB"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Názov látky</w:t>
            </w:r>
          </w:p>
        </w:tc>
        <w:tc>
          <w:tcPr>
            <w:tcW w:w="1278" w:type="dxa"/>
            <w:gridSpan w:val="3"/>
            <w:shd w:val="clear" w:color="auto" w:fill="auto"/>
            <w:tcMar>
              <w:left w:w="28" w:type="dxa"/>
              <w:right w:w="28" w:type="dxa"/>
            </w:tcMar>
          </w:tcPr>
          <w:p w14:paraId="515E13F3"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Kategória látok</w:t>
            </w:r>
          </w:p>
        </w:tc>
        <w:tc>
          <w:tcPr>
            <w:tcW w:w="1015" w:type="dxa"/>
            <w:gridSpan w:val="2"/>
            <w:tcMar>
              <w:left w:w="28" w:type="dxa"/>
              <w:right w:w="28" w:type="dxa"/>
            </w:tcMar>
          </w:tcPr>
          <w:p w14:paraId="213020A1" w14:textId="77777777" w:rsidR="002709ED" w:rsidRDefault="00B2757B">
            <w:pPr>
              <w:keepNext/>
              <w:keepLines/>
              <w:spacing w:before="40" w:after="40" w:line="360" w:lineRule="auto"/>
              <w:rPr>
                <w:noProof/>
                <w:sz w:val="22"/>
                <w:szCs w:val="24"/>
                <w:vertAlign w:val="superscript"/>
                <w:lang w:val="en-GB" w:eastAsia="en-US"/>
              </w:rPr>
            </w:pPr>
            <w:r>
              <w:rPr>
                <w:noProof/>
                <w:sz w:val="22"/>
                <w:szCs w:val="24"/>
                <w:lang w:val="en-GB" w:eastAsia="en-US"/>
              </w:rPr>
              <w:t>CAS číslo (</w:t>
            </w:r>
            <w:r>
              <w:rPr>
                <w:noProof/>
                <w:sz w:val="22"/>
                <w:szCs w:val="24"/>
                <w:vertAlign w:val="superscript"/>
                <w:lang w:val="en-GB" w:eastAsia="en-US"/>
              </w:rPr>
              <w:t>1</w:t>
            </w:r>
            <w:r>
              <w:rPr>
                <w:noProof/>
                <w:sz w:val="22"/>
                <w:szCs w:val="24"/>
                <w:lang w:val="en-GB" w:eastAsia="en-US"/>
              </w:rPr>
              <w:t>)</w:t>
            </w:r>
            <w:bookmarkStart w:id="8" w:name="_DV_M292"/>
            <w:bookmarkEnd w:id="8"/>
          </w:p>
        </w:tc>
        <w:tc>
          <w:tcPr>
            <w:tcW w:w="1257" w:type="dxa"/>
            <w:gridSpan w:val="3"/>
          </w:tcPr>
          <w:p w14:paraId="4E6081AD"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EÚ číslo (</w:t>
            </w:r>
            <w:r>
              <w:rPr>
                <w:noProof/>
                <w:sz w:val="22"/>
                <w:szCs w:val="24"/>
                <w:vertAlign w:val="superscript"/>
                <w:lang w:val="en-GB" w:eastAsia="en-US"/>
              </w:rPr>
              <w:t>2</w:t>
            </w:r>
            <w:r>
              <w:rPr>
                <w:noProof/>
                <w:sz w:val="22"/>
                <w:szCs w:val="24"/>
                <w:lang w:val="en-GB" w:eastAsia="en-US"/>
              </w:rPr>
              <w:t>)</w:t>
            </w:r>
          </w:p>
        </w:tc>
        <w:tc>
          <w:tcPr>
            <w:tcW w:w="1257" w:type="dxa"/>
            <w:gridSpan w:val="2"/>
            <w:tcMar>
              <w:left w:w="28" w:type="dxa"/>
              <w:right w:w="28" w:type="dxa"/>
            </w:tcMar>
          </w:tcPr>
          <w:p w14:paraId="675BA4BC" w14:textId="77777777" w:rsidR="002709ED" w:rsidRDefault="00B2757B">
            <w:pPr>
              <w:keepNext/>
              <w:keepLines/>
              <w:spacing w:before="40" w:after="40" w:line="360" w:lineRule="auto"/>
              <w:rPr>
                <w:noProof/>
                <w:sz w:val="22"/>
                <w:szCs w:val="24"/>
                <w:vertAlign w:val="superscript"/>
                <w:lang w:val="en-GB" w:eastAsia="en-US"/>
              </w:rPr>
            </w:pPr>
            <w:bookmarkStart w:id="9" w:name="_Hlk115349616"/>
            <w:bookmarkStart w:id="10" w:name="_Hlk115803578"/>
            <w:r>
              <w:rPr>
                <w:noProof/>
                <w:sz w:val="22"/>
                <w:szCs w:val="24"/>
                <w:lang w:val="en-GB" w:eastAsia="en-US"/>
              </w:rPr>
              <w:t xml:space="preserve">RP-ENK </w:t>
            </w:r>
            <w:bookmarkEnd w:id="9"/>
            <w:r>
              <w:rPr>
                <w:noProof/>
                <w:sz w:val="22"/>
                <w:szCs w:val="24"/>
                <w:lang w:val="en-GB" w:eastAsia="en-US"/>
              </w:rPr>
              <w:t>(</w:t>
            </w:r>
            <w:r>
              <w:rPr>
                <w:noProof/>
                <w:sz w:val="22"/>
                <w:szCs w:val="24"/>
                <w:vertAlign w:val="superscript"/>
                <w:lang w:val="en-GB" w:eastAsia="en-US"/>
              </w:rPr>
              <w:t>3</w:t>
            </w:r>
            <w:r>
              <w:rPr>
                <w:noProof/>
                <w:sz w:val="22"/>
                <w:szCs w:val="24"/>
                <w:lang w:val="en-GB" w:eastAsia="en-US"/>
              </w:rPr>
              <w:t xml:space="preserve">) </w:t>
            </w:r>
            <w:bookmarkStart w:id="11" w:name="_DV_M293"/>
            <w:bookmarkEnd w:id="11"/>
            <w:r>
              <w:rPr>
                <w:noProof/>
                <w:sz w:val="22"/>
                <w:szCs w:val="24"/>
                <w:lang w:val="en-GB" w:eastAsia="en-US"/>
              </w:rPr>
              <w:t xml:space="preserve">Vnútrozemské povrchové vody </w:t>
            </w:r>
            <w:bookmarkEnd w:id="10"/>
            <w:r>
              <w:rPr>
                <w:noProof/>
                <w:sz w:val="22"/>
                <w:szCs w:val="24"/>
                <w:lang w:val="en-GB" w:eastAsia="en-US"/>
              </w:rPr>
              <w:t>(</w:t>
            </w:r>
            <w:r>
              <w:rPr>
                <w:noProof/>
                <w:sz w:val="22"/>
                <w:szCs w:val="24"/>
                <w:vertAlign w:val="superscript"/>
                <w:lang w:val="en-GB" w:eastAsia="en-US"/>
              </w:rPr>
              <w:t>4</w:t>
            </w:r>
            <w:r>
              <w:rPr>
                <w:noProof/>
                <w:sz w:val="22"/>
                <w:szCs w:val="24"/>
                <w:lang w:val="en-GB" w:eastAsia="en-US"/>
              </w:rPr>
              <w:t>)</w:t>
            </w:r>
            <w:bookmarkStart w:id="12" w:name="_DV_M294"/>
            <w:bookmarkEnd w:id="12"/>
          </w:p>
          <w:p w14:paraId="41CBA6CD" w14:textId="77777777" w:rsidR="002709ED" w:rsidRDefault="002709ED">
            <w:pPr>
              <w:keepNext/>
              <w:keepLines/>
              <w:spacing w:before="40" w:after="40" w:line="360" w:lineRule="auto"/>
              <w:rPr>
                <w:noProof/>
                <w:sz w:val="22"/>
                <w:szCs w:val="24"/>
                <w:lang w:val="en-GB" w:eastAsia="en-US"/>
              </w:rPr>
            </w:pPr>
          </w:p>
          <w:p w14:paraId="3CCACC88"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[µg/l]</w:t>
            </w:r>
          </w:p>
        </w:tc>
        <w:tc>
          <w:tcPr>
            <w:tcW w:w="1351" w:type="dxa"/>
            <w:gridSpan w:val="2"/>
            <w:tcMar>
              <w:left w:w="28" w:type="dxa"/>
              <w:right w:w="28" w:type="dxa"/>
            </w:tcMar>
          </w:tcPr>
          <w:p w14:paraId="4B1550E0"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RP-ENK</w:t>
            </w:r>
            <w:bookmarkStart w:id="13" w:name="_DV_M295"/>
            <w:bookmarkEnd w:id="13"/>
            <w:r>
              <w:rPr>
                <w:noProof/>
                <w:sz w:val="22"/>
                <w:szCs w:val="24"/>
                <w:lang w:val="en-GB" w:eastAsia="en-US"/>
              </w:rPr>
              <w:t xml:space="preserve"> (</w:t>
            </w:r>
            <w:r>
              <w:rPr>
                <w:noProof/>
                <w:sz w:val="22"/>
                <w:szCs w:val="24"/>
                <w:vertAlign w:val="superscript"/>
                <w:lang w:val="en-GB" w:eastAsia="en-US"/>
              </w:rPr>
              <w:t>3</w:t>
            </w:r>
            <w:r>
              <w:rPr>
                <w:noProof/>
                <w:sz w:val="22"/>
                <w:szCs w:val="24"/>
                <w:lang w:val="en-GB" w:eastAsia="en-US"/>
              </w:rPr>
              <w:t>)</w:t>
            </w:r>
          </w:p>
          <w:p w14:paraId="0BCC888E"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Ostatné povrchové vody</w:t>
            </w:r>
          </w:p>
          <w:p w14:paraId="409F67A2" w14:textId="77777777" w:rsidR="002709ED" w:rsidRDefault="002709ED">
            <w:pPr>
              <w:keepNext/>
              <w:keepLines/>
              <w:spacing w:before="40" w:after="40" w:line="360" w:lineRule="auto"/>
              <w:rPr>
                <w:noProof/>
                <w:sz w:val="22"/>
                <w:szCs w:val="24"/>
                <w:lang w:val="en-GB" w:eastAsia="en-US"/>
              </w:rPr>
            </w:pPr>
          </w:p>
          <w:p w14:paraId="3E578699"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[µg/l]</w:t>
            </w:r>
          </w:p>
        </w:tc>
        <w:tc>
          <w:tcPr>
            <w:tcW w:w="1246" w:type="dxa"/>
            <w:gridSpan w:val="2"/>
            <w:tcMar>
              <w:left w:w="28" w:type="dxa"/>
              <w:right w:w="28" w:type="dxa"/>
            </w:tcMar>
          </w:tcPr>
          <w:p w14:paraId="3ED35FC4" w14:textId="77777777" w:rsidR="002709ED" w:rsidRDefault="00B2757B">
            <w:pPr>
              <w:keepNext/>
              <w:keepLines/>
              <w:spacing w:before="40" w:after="40" w:line="360" w:lineRule="auto"/>
              <w:rPr>
                <w:noProof/>
                <w:sz w:val="22"/>
                <w:szCs w:val="24"/>
                <w:lang w:val="en-GB" w:eastAsia="en-US"/>
              </w:rPr>
            </w:pPr>
            <w:bookmarkStart w:id="14" w:name="_Hlk115349625"/>
            <w:r>
              <w:rPr>
                <w:noProof/>
                <w:sz w:val="22"/>
                <w:szCs w:val="24"/>
                <w:lang w:val="en-GB" w:eastAsia="en-US"/>
              </w:rPr>
              <w:t xml:space="preserve">NPK-ENK </w:t>
            </w:r>
            <w:bookmarkEnd w:id="14"/>
            <w:r>
              <w:rPr>
                <w:noProof/>
                <w:sz w:val="22"/>
                <w:szCs w:val="24"/>
                <w:lang w:val="en-GB" w:eastAsia="en-US"/>
              </w:rPr>
              <w:t>(</w:t>
            </w:r>
            <w:r>
              <w:rPr>
                <w:noProof/>
                <w:sz w:val="22"/>
                <w:szCs w:val="24"/>
                <w:vertAlign w:val="superscript"/>
                <w:lang w:val="en-GB" w:eastAsia="en-US"/>
              </w:rPr>
              <w:t>5</w:t>
            </w:r>
            <w:r>
              <w:rPr>
                <w:noProof/>
                <w:sz w:val="22"/>
                <w:szCs w:val="24"/>
                <w:lang w:val="en-GB" w:eastAsia="en-US"/>
              </w:rPr>
              <w:t>)</w:t>
            </w:r>
            <w:bookmarkStart w:id="15" w:name="_DV_M296"/>
            <w:bookmarkEnd w:id="15"/>
          </w:p>
          <w:p w14:paraId="4E0DC748" w14:textId="77777777" w:rsidR="002709ED" w:rsidRDefault="00B2757B">
            <w:pPr>
              <w:keepNext/>
              <w:keepLines/>
              <w:spacing w:before="40" w:after="40" w:line="360" w:lineRule="auto"/>
              <w:rPr>
                <w:noProof/>
                <w:sz w:val="22"/>
                <w:szCs w:val="24"/>
                <w:vertAlign w:val="superscript"/>
                <w:lang w:val="en-GB" w:eastAsia="en-US"/>
              </w:rPr>
            </w:pPr>
            <w:r>
              <w:rPr>
                <w:noProof/>
                <w:sz w:val="22"/>
                <w:szCs w:val="24"/>
                <w:lang w:val="en-GB" w:eastAsia="en-US"/>
              </w:rPr>
              <w:t xml:space="preserve">Vnútrozemské povrchové vody </w:t>
            </w:r>
            <w:bookmarkStart w:id="16" w:name="_DV_M297"/>
            <w:bookmarkEnd w:id="16"/>
            <w:r>
              <w:rPr>
                <w:noProof/>
                <w:sz w:val="22"/>
                <w:szCs w:val="24"/>
                <w:lang w:val="en-GB" w:eastAsia="en-US"/>
              </w:rPr>
              <w:t>(</w:t>
            </w:r>
            <w:r>
              <w:rPr>
                <w:noProof/>
                <w:sz w:val="22"/>
                <w:szCs w:val="24"/>
                <w:vertAlign w:val="superscript"/>
                <w:lang w:val="en-GB" w:eastAsia="en-US"/>
              </w:rPr>
              <w:t>4</w:t>
            </w:r>
            <w:r>
              <w:rPr>
                <w:noProof/>
                <w:sz w:val="22"/>
                <w:szCs w:val="24"/>
                <w:lang w:val="en-GB" w:eastAsia="en-US"/>
              </w:rPr>
              <w:t>)</w:t>
            </w:r>
          </w:p>
          <w:p w14:paraId="01A2F046" w14:textId="77777777" w:rsidR="002709ED" w:rsidRDefault="002709ED">
            <w:pPr>
              <w:keepNext/>
              <w:keepLines/>
              <w:spacing w:before="40" w:after="40" w:line="360" w:lineRule="auto"/>
              <w:rPr>
                <w:noProof/>
                <w:sz w:val="22"/>
                <w:szCs w:val="24"/>
                <w:lang w:val="en-GB" w:eastAsia="en-US"/>
              </w:rPr>
            </w:pPr>
          </w:p>
          <w:p w14:paraId="62E85C1C"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[µg/l]</w:t>
            </w:r>
          </w:p>
        </w:tc>
        <w:tc>
          <w:tcPr>
            <w:tcW w:w="1237" w:type="dxa"/>
            <w:gridSpan w:val="2"/>
            <w:tcMar>
              <w:left w:w="28" w:type="dxa"/>
              <w:right w:w="28" w:type="dxa"/>
            </w:tcMar>
          </w:tcPr>
          <w:p w14:paraId="07227E3C"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NPK-ENK (</w:t>
            </w:r>
            <w:r>
              <w:rPr>
                <w:noProof/>
                <w:sz w:val="22"/>
                <w:szCs w:val="24"/>
                <w:vertAlign w:val="superscript"/>
                <w:lang w:val="en-GB" w:eastAsia="en-US"/>
              </w:rPr>
              <w:t>5</w:t>
            </w:r>
            <w:r>
              <w:rPr>
                <w:noProof/>
                <w:sz w:val="22"/>
                <w:szCs w:val="24"/>
                <w:lang w:val="en-GB" w:eastAsia="en-US"/>
              </w:rPr>
              <w:t>)</w:t>
            </w:r>
            <w:bookmarkStart w:id="17" w:name="_DV_M298"/>
            <w:bookmarkEnd w:id="17"/>
          </w:p>
          <w:p w14:paraId="51517D7E"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Ostatné povrchové vody</w:t>
            </w:r>
          </w:p>
          <w:p w14:paraId="3E481F5E" w14:textId="77777777" w:rsidR="002709ED" w:rsidRDefault="002709ED">
            <w:pPr>
              <w:keepNext/>
              <w:keepLines/>
              <w:spacing w:before="40" w:after="40" w:line="360" w:lineRule="auto"/>
              <w:rPr>
                <w:noProof/>
                <w:sz w:val="22"/>
                <w:szCs w:val="24"/>
                <w:lang w:val="en-GB" w:eastAsia="en-US"/>
              </w:rPr>
            </w:pPr>
          </w:p>
          <w:p w14:paraId="6FE835C2"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[µg/l]</w:t>
            </w:r>
          </w:p>
        </w:tc>
        <w:tc>
          <w:tcPr>
            <w:tcW w:w="1087" w:type="dxa"/>
            <w:tcMar>
              <w:left w:w="28" w:type="dxa"/>
              <w:right w:w="28" w:type="dxa"/>
            </w:tcMar>
          </w:tcPr>
          <w:p w14:paraId="3A6340CC"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ENK</w:t>
            </w:r>
          </w:p>
          <w:p w14:paraId="0CB9AC8D"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 xml:space="preserve">Biota </w:t>
            </w:r>
            <w:bookmarkStart w:id="18" w:name="_DV_M299"/>
            <w:bookmarkEnd w:id="18"/>
            <w:r>
              <w:rPr>
                <w:noProof/>
                <w:sz w:val="22"/>
                <w:szCs w:val="24"/>
                <w:lang w:val="en-GB" w:eastAsia="en-US"/>
              </w:rPr>
              <w:t>(</w:t>
            </w:r>
            <w:r>
              <w:rPr>
                <w:noProof/>
                <w:sz w:val="22"/>
                <w:szCs w:val="24"/>
                <w:vertAlign w:val="superscript"/>
                <w:lang w:val="en-GB" w:eastAsia="en-US"/>
              </w:rPr>
              <w:t>6</w:t>
            </w:r>
            <w:r>
              <w:rPr>
                <w:noProof/>
                <w:sz w:val="22"/>
                <w:szCs w:val="24"/>
                <w:lang w:val="en-GB" w:eastAsia="en-US"/>
              </w:rPr>
              <w:t>)</w:t>
            </w:r>
          </w:p>
          <w:p w14:paraId="4A1D59EA"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 xml:space="preserve">[µg/kg vlhkej hmotnosti] </w:t>
            </w:r>
          </w:p>
          <w:p w14:paraId="630F44CA"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alebo ENK pre sediment [µg/kg suchej hmotnosti], ak je tak uvedené</w:t>
            </w:r>
          </w:p>
        </w:tc>
        <w:tc>
          <w:tcPr>
            <w:tcW w:w="1262" w:type="dxa"/>
            <w:tcMar>
              <w:left w:w="28" w:type="dxa"/>
              <w:right w:w="28" w:type="dxa"/>
            </w:tcMar>
          </w:tcPr>
          <w:p w14:paraId="5BCEF0F8"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 xml:space="preserve">Identifikované ako prioritná nebezpečná látka </w:t>
            </w:r>
          </w:p>
        </w:tc>
        <w:tc>
          <w:tcPr>
            <w:tcW w:w="1153" w:type="dxa"/>
            <w:gridSpan w:val="2"/>
            <w:tcMar>
              <w:left w:w="28" w:type="dxa"/>
              <w:right w:w="28" w:type="dxa"/>
            </w:tcMar>
          </w:tcPr>
          <w:p w14:paraId="2CFF300A"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Identifikované ako všadeprítomná perzistentná, bioakumulatívna a toxická (uPBT) látka</w:t>
            </w:r>
          </w:p>
        </w:tc>
        <w:tc>
          <w:tcPr>
            <w:tcW w:w="970" w:type="dxa"/>
            <w:tcMar>
              <w:left w:w="28" w:type="dxa"/>
              <w:right w:w="28" w:type="dxa"/>
            </w:tcMar>
          </w:tcPr>
          <w:p w14:paraId="54E2B038"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 xml:space="preserve">Identifikované ako látka, ktorá má tendenciu akumulovať sa v sedimente a/alebo biote </w:t>
            </w:r>
          </w:p>
        </w:tc>
      </w:tr>
      <w:tr w:rsidR="002709ED" w14:paraId="366EF635" w14:textId="77777777">
        <w:trPr>
          <w:gridBefore w:val="1"/>
          <w:wBefore w:w="12" w:type="dxa"/>
          <w:cantSplit/>
          <w:tblHeader/>
          <w:jc w:val="center"/>
        </w:trPr>
        <w:tc>
          <w:tcPr>
            <w:tcW w:w="651" w:type="dxa"/>
            <w:gridSpan w:val="3"/>
            <w:tcMar>
              <w:left w:w="28" w:type="dxa"/>
              <w:right w:w="28" w:type="dxa"/>
            </w:tcMar>
          </w:tcPr>
          <w:p w14:paraId="6E38ACB9"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(1)</w:t>
            </w:r>
          </w:p>
        </w:tc>
        <w:tc>
          <w:tcPr>
            <w:tcW w:w="15375" w:type="dxa"/>
            <w:gridSpan w:val="23"/>
            <w:tcMar>
              <w:left w:w="28" w:type="dxa"/>
              <w:right w:w="28" w:type="dxa"/>
            </w:tcMar>
          </w:tcPr>
          <w:p w14:paraId="0F471EA2"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 xml:space="preserve">Látka alachlór bola presunutá do časti C prílohy II. </w:t>
            </w:r>
          </w:p>
        </w:tc>
      </w:tr>
      <w:tr w:rsidR="002709ED" w14:paraId="3C4B221A" w14:textId="77777777">
        <w:trPr>
          <w:gridBefore w:val="1"/>
          <w:wBefore w:w="12" w:type="dxa"/>
          <w:cantSplit/>
          <w:tblHeader/>
          <w:jc w:val="center"/>
        </w:trPr>
        <w:tc>
          <w:tcPr>
            <w:tcW w:w="651" w:type="dxa"/>
            <w:gridSpan w:val="3"/>
            <w:tcMar>
              <w:left w:w="28" w:type="dxa"/>
              <w:right w:w="28" w:type="dxa"/>
            </w:tcMar>
          </w:tcPr>
          <w:p w14:paraId="59E8226C"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(2)</w:t>
            </w:r>
          </w:p>
        </w:tc>
        <w:tc>
          <w:tcPr>
            <w:tcW w:w="2286" w:type="dxa"/>
            <w:gridSpan w:val="3"/>
            <w:tcMar>
              <w:left w:w="28" w:type="dxa"/>
              <w:right w:w="28" w:type="dxa"/>
            </w:tcMar>
          </w:tcPr>
          <w:p w14:paraId="397D7AE7"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antracén</w:t>
            </w:r>
          </w:p>
        </w:tc>
        <w:tc>
          <w:tcPr>
            <w:tcW w:w="1329" w:type="dxa"/>
            <w:gridSpan w:val="3"/>
            <w:tcMar>
              <w:left w:w="28" w:type="dxa"/>
              <w:right w:w="28" w:type="dxa"/>
            </w:tcMar>
          </w:tcPr>
          <w:p w14:paraId="1DE0B873"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 xml:space="preserve">priemyselné látky </w:t>
            </w:r>
          </w:p>
        </w:tc>
        <w:tc>
          <w:tcPr>
            <w:tcW w:w="992" w:type="dxa"/>
            <w:gridSpan w:val="2"/>
            <w:tcMar>
              <w:left w:w="28" w:type="dxa"/>
              <w:right w:w="28" w:type="dxa"/>
            </w:tcMar>
          </w:tcPr>
          <w:p w14:paraId="5110E706"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120-12-7</w:t>
            </w:r>
          </w:p>
        </w:tc>
        <w:tc>
          <w:tcPr>
            <w:tcW w:w="1134" w:type="dxa"/>
          </w:tcPr>
          <w:p w14:paraId="107BA374"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204-371-1</w:t>
            </w:r>
          </w:p>
        </w:tc>
        <w:tc>
          <w:tcPr>
            <w:tcW w:w="1279" w:type="dxa"/>
            <w:gridSpan w:val="2"/>
            <w:tcMar>
              <w:left w:w="28" w:type="dxa"/>
              <w:right w:w="28" w:type="dxa"/>
            </w:tcMar>
          </w:tcPr>
          <w:p w14:paraId="723A5D8C"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0,1</w:t>
            </w:r>
          </w:p>
        </w:tc>
        <w:tc>
          <w:tcPr>
            <w:tcW w:w="1279" w:type="dxa"/>
            <w:gridSpan w:val="2"/>
            <w:tcMar>
              <w:left w:w="28" w:type="dxa"/>
              <w:right w:w="28" w:type="dxa"/>
            </w:tcMar>
          </w:tcPr>
          <w:p w14:paraId="4423BDD8"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0,1</w:t>
            </w:r>
          </w:p>
        </w:tc>
        <w:tc>
          <w:tcPr>
            <w:tcW w:w="1278" w:type="dxa"/>
            <w:gridSpan w:val="2"/>
            <w:tcMar>
              <w:left w:w="28" w:type="dxa"/>
              <w:right w:w="28" w:type="dxa"/>
            </w:tcMar>
          </w:tcPr>
          <w:p w14:paraId="2A36D638"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0,1</w:t>
            </w:r>
          </w:p>
        </w:tc>
        <w:tc>
          <w:tcPr>
            <w:tcW w:w="1277" w:type="dxa"/>
            <w:gridSpan w:val="2"/>
            <w:tcMar>
              <w:left w:w="28" w:type="dxa"/>
              <w:right w:w="28" w:type="dxa"/>
            </w:tcMar>
          </w:tcPr>
          <w:p w14:paraId="14C4F884"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0,1</w:t>
            </w:r>
          </w:p>
        </w:tc>
        <w:tc>
          <w:tcPr>
            <w:tcW w:w="1136" w:type="dxa"/>
            <w:gridSpan w:val="2"/>
            <w:tcMar>
              <w:left w:w="28" w:type="dxa"/>
              <w:right w:w="28" w:type="dxa"/>
            </w:tcMar>
          </w:tcPr>
          <w:p w14:paraId="637E8F15" w14:textId="77777777" w:rsidR="002709ED" w:rsidRDefault="002709ED">
            <w:pPr>
              <w:keepNext/>
              <w:keepLines/>
              <w:spacing w:before="40" w:after="40" w:line="360" w:lineRule="auto"/>
              <w:rPr>
                <w:noProof/>
                <w:sz w:val="22"/>
                <w:szCs w:val="24"/>
                <w:lang w:val="en-GB" w:eastAsia="en-US"/>
              </w:rPr>
            </w:pPr>
          </w:p>
        </w:tc>
        <w:tc>
          <w:tcPr>
            <w:tcW w:w="1262" w:type="dxa"/>
            <w:tcMar>
              <w:left w:w="28" w:type="dxa"/>
              <w:right w:w="28" w:type="dxa"/>
            </w:tcMar>
          </w:tcPr>
          <w:p w14:paraId="0943FC23"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X</w:t>
            </w:r>
          </w:p>
        </w:tc>
        <w:tc>
          <w:tcPr>
            <w:tcW w:w="1153" w:type="dxa"/>
            <w:gridSpan w:val="2"/>
            <w:tcMar>
              <w:left w:w="28" w:type="dxa"/>
              <w:right w:w="28" w:type="dxa"/>
            </w:tcMar>
          </w:tcPr>
          <w:p w14:paraId="102C8696" w14:textId="77777777" w:rsidR="002709ED" w:rsidRDefault="002709ED">
            <w:pPr>
              <w:keepNext/>
              <w:keepLines/>
              <w:spacing w:before="40" w:after="40" w:line="360" w:lineRule="auto"/>
              <w:rPr>
                <w:noProof/>
                <w:sz w:val="22"/>
                <w:szCs w:val="24"/>
                <w:lang w:val="en-GB" w:eastAsia="en-US"/>
              </w:rPr>
            </w:pPr>
          </w:p>
        </w:tc>
        <w:tc>
          <w:tcPr>
            <w:tcW w:w="970" w:type="dxa"/>
            <w:tcMar>
              <w:left w:w="28" w:type="dxa"/>
              <w:right w:w="28" w:type="dxa"/>
            </w:tcMar>
          </w:tcPr>
          <w:p w14:paraId="1733E0FE"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X</w:t>
            </w:r>
          </w:p>
        </w:tc>
      </w:tr>
      <w:tr w:rsidR="002709ED" w14:paraId="3B21CFC0" w14:textId="77777777">
        <w:trPr>
          <w:gridBefore w:val="1"/>
          <w:wBefore w:w="12" w:type="dxa"/>
          <w:cantSplit/>
          <w:tblHeader/>
          <w:jc w:val="center"/>
        </w:trPr>
        <w:tc>
          <w:tcPr>
            <w:tcW w:w="651" w:type="dxa"/>
            <w:gridSpan w:val="3"/>
            <w:tcMar>
              <w:left w:w="28" w:type="dxa"/>
              <w:right w:w="28" w:type="dxa"/>
            </w:tcMar>
          </w:tcPr>
          <w:p w14:paraId="29681145" w14:textId="77777777" w:rsidR="002709ED" w:rsidRDefault="00B2757B">
            <w:pPr>
              <w:keepNext/>
              <w:keepLines/>
              <w:spacing w:before="40" w:after="40" w:line="360" w:lineRule="auto"/>
              <w:rPr>
                <w:b/>
                <w:noProof/>
                <w:sz w:val="22"/>
                <w:szCs w:val="24"/>
                <w:lang w:val="en-GB" w:eastAsia="en-US"/>
              </w:rPr>
            </w:pPr>
            <w:r>
              <w:rPr>
                <w:noProof/>
                <w:sz w:val="22"/>
                <w:szCs w:val="24"/>
                <w:lang w:val="en-GB" w:eastAsia="en-US"/>
              </w:rPr>
              <w:t>(3)</w:t>
            </w:r>
            <w:r>
              <w:rPr>
                <w:b/>
                <w:noProof/>
                <w:sz w:val="22"/>
                <w:szCs w:val="24"/>
                <w:lang w:val="en-GB" w:eastAsia="en-US"/>
              </w:rPr>
              <w:t xml:space="preserve"> [PN 150]</w:t>
            </w:r>
          </w:p>
        </w:tc>
        <w:tc>
          <w:tcPr>
            <w:tcW w:w="2286" w:type="dxa"/>
            <w:gridSpan w:val="3"/>
            <w:tcMar>
              <w:left w:w="28" w:type="dxa"/>
              <w:right w:w="28" w:type="dxa"/>
            </w:tcMar>
          </w:tcPr>
          <w:p w14:paraId="186B4508"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atrazín</w:t>
            </w:r>
          </w:p>
        </w:tc>
        <w:tc>
          <w:tcPr>
            <w:tcW w:w="1329" w:type="dxa"/>
            <w:gridSpan w:val="3"/>
            <w:tcMar>
              <w:left w:w="28" w:type="dxa"/>
              <w:right w:w="28" w:type="dxa"/>
            </w:tcMar>
          </w:tcPr>
          <w:p w14:paraId="664409E3"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herbicídy</w:t>
            </w:r>
          </w:p>
        </w:tc>
        <w:tc>
          <w:tcPr>
            <w:tcW w:w="992" w:type="dxa"/>
            <w:gridSpan w:val="2"/>
            <w:tcMar>
              <w:left w:w="28" w:type="dxa"/>
              <w:right w:w="28" w:type="dxa"/>
            </w:tcMar>
          </w:tcPr>
          <w:p w14:paraId="5B3C3C54"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1912-24-9</w:t>
            </w:r>
          </w:p>
        </w:tc>
        <w:tc>
          <w:tcPr>
            <w:tcW w:w="1134" w:type="dxa"/>
          </w:tcPr>
          <w:p w14:paraId="30E34DD0"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217-617-8</w:t>
            </w:r>
          </w:p>
        </w:tc>
        <w:tc>
          <w:tcPr>
            <w:tcW w:w="1279" w:type="dxa"/>
            <w:gridSpan w:val="2"/>
            <w:tcMar>
              <w:left w:w="28" w:type="dxa"/>
              <w:right w:w="28" w:type="dxa"/>
            </w:tcMar>
          </w:tcPr>
          <w:p w14:paraId="1B2D029A" w14:textId="77777777" w:rsidR="002709ED" w:rsidRDefault="00B2757B">
            <w:pPr>
              <w:keepNext/>
              <w:keepLines/>
              <w:spacing w:before="40" w:after="40" w:line="360" w:lineRule="auto"/>
              <w:rPr>
                <w:b/>
                <w:i/>
                <w:noProof/>
                <w:sz w:val="22"/>
                <w:szCs w:val="24"/>
                <w:lang w:val="en-GB" w:eastAsia="en-US"/>
              </w:rPr>
            </w:pPr>
            <w:r>
              <w:rPr>
                <w:strike/>
                <w:noProof/>
                <w:sz w:val="22"/>
                <w:szCs w:val="24"/>
                <w:lang w:val="en-GB" w:eastAsia="en-US"/>
              </w:rPr>
              <w:t>0,6</w:t>
            </w:r>
            <w:r>
              <w:rPr>
                <w:b/>
                <w:i/>
                <w:noProof/>
                <w:sz w:val="22"/>
                <w:szCs w:val="24"/>
                <w:lang w:val="en-GB" w:eastAsia="en-US"/>
              </w:rPr>
              <w:t>0,1</w:t>
            </w:r>
          </w:p>
        </w:tc>
        <w:tc>
          <w:tcPr>
            <w:tcW w:w="1279" w:type="dxa"/>
            <w:gridSpan w:val="2"/>
            <w:tcMar>
              <w:left w:w="28" w:type="dxa"/>
              <w:right w:w="28" w:type="dxa"/>
            </w:tcMar>
          </w:tcPr>
          <w:p w14:paraId="28C97FD9" w14:textId="77777777" w:rsidR="002709ED" w:rsidRDefault="00B2757B">
            <w:pPr>
              <w:keepNext/>
              <w:keepLines/>
              <w:spacing w:before="40" w:after="40" w:line="360" w:lineRule="auto"/>
              <w:rPr>
                <w:b/>
                <w:i/>
                <w:noProof/>
                <w:sz w:val="22"/>
                <w:szCs w:val="24"/>
                <w:lang w:val="en-GB" w:eastAsia="en-US"/>
              </w:rPr>
            </w:pPr>
            <w:r>
              <w:rPr>
                <w:strike/>
                <w:noProof/>
                <w:sz w:val="22"/>
                <w:szCs w:val="24"/>
                <w:lang w:val="en-GB" w:eastAsia="en-US"/>
              </w:rPr>
              <w:t>0,6</w:t>
            </w:r>
            <w:r>
              <w:rPr>
                <w:b/>
                <w:i/>
                <w:noProof/>
                <w:sz w:val="22"/>
                <w:szCs w:val="24"/>
                <w:lang w:val="en-GB" w:eastAsia="en-US"/>
              </w:rPr>
              <w:t>0,01</w:t>
            </w:r>
          </w:p>
        </w:tc>
        <w:tc>
          <w:tcPr>
            <w:tcW w:w="1278" w:type="dxa"/>
            <w:gridSpan w:val="2"/>
            <w:tcMar>
              <w:left w:w="28" w:type="dxa"/>
              <w:right w:w="28" w:type="dxa"/>
            </w:tcMar>
          </w:tcPr>
          <w:p w14:paraId="553A809F"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2,0</w:t>
            </w:r>
          </w:p>
        </w:tc>
        <w:tc>
          <w:tcPr>
            <w:tcW w:w="1277" w:type="dxa"/>
            <w:gridSpan w:val="2"/>
            <w:tcMar>
              <w:left w:w="28" w:type="dxa"/>
              <w:right w:w="28" w:type="dxa"/>
            </w:tcMar>
          </w:tcPr>
          <w:p w14:paraId="406536F8"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2,0</w:t>
            </w:r>
          </w:p>
        </w:tc>
        <w:tc>
          <w:tcPr>
            <w:tcW w:w="1136" w:type="dxa"/>
            <w:gridSpan w:val="2"/>
            <w:tcMar>
              <w:left w:w="28" w:type="dxa"/>
              <w:right w:w="28" w:type="dxa"/>
            </w:tcMar>
          </w:tcPr>
          <w:p w14:paraId="05FA8E75" w14:textId="77777777" w:rsidR="002709ED" w:rsidRDefault="002709ED">
            <w:pPr>
              <w:keepNext/>
              <w:keepLines/>
              <w:spacing w:before="40" w:after="40" w:line="360" w:lineRule="auto"/>
              <w:rPr>
                <w:noProof/>
                <w:sz w:val="22"/>
                <w:szCs w:val="24"/>
                <w:lang w:val="en-GB" w:eastAsia="en-US"/>
              </w:rPr>
            </w:pPr>
          </w:p>
        </w:tc>
        <w:tc>
          <w:tcPr>
            <w:tcW w:w="1262" w:type="dxa"/>
            <w:tcMar>
              <w:left w:w="28" w:type="dxa"/>
              <w:right w:w="28" w:type="dxa"/>
            </w:tcMar>
          </w:tcPr>
          <w:p w14:paraId="7837C11E" w14:textId="77777777" w:rsidR="002709ED" w:rsidRDefault="002709ED">
            <w:pPr>
              <w:keepNext/>
              <w:keepLines/>
              <w:spacing w:before="40" w:after="40" w:line="360" w:lineRule="auto"/>
              <w:rPr>
                <w:noProof/>
                <w:sz w:val="22"/>
                <w:szCs w:val="24"/>
                <w:lang w:val="en-GB" w:eastAsia="en-US"/>
              </w:rPr>
            </w:pPr>
          </w:p>
        </w:tc>
        <w:tc>
          <w:tcPr>
            <w:tcW w:w="1153" w:type="dxa"/>
            <w:gridSpan w:val="2"/>
            <w:tcMar>
              <w:left w:w="28" w:type="dxa"/>
              <w:right w:w="28" w:type="dxa"/>
            </w:tcMar>
          </w:tcPr>
          <w:p w14:paraId="0DF898F5" w14:textId="77777777" w:rsidR="002709ED" w:rsidRDefault="002709ED">
            <w:pPr>
              <w:keepNext/>
              <w:keepLines/>
              <w:spacing w:before="40" w:after="40" w:line="360" w:lineRule="auto"/>
              <w:rPr>
                <w:noProof/>
                <w:sz w:val="22"/>
                <w:szCs w:val="24"/>
                <w:lang w:val="en-GB" w:eastAsia="en-US"/>
              </w:rPr>
            </w:pPr>
          </w:p>
        </w:tc>
        <w:tc>
          <w:tcPr>
            <w:tcW w:w="970" w:type="dxa"/>
            <w:tcMar>
              <w:left w:w="28" w:type="dxa"/>
              <w:right w:w="28" w:type="dxa"/>
            </w:tcMar>
          </w:tcPr>
          <w:p w14:paraId="1510A8A0" w14:textId="77777777" w:rsidR="002709ED" w:rsidRDefault="002709ED">
            <w:pPr>
              <w:keepNext/>
              <w:keepLines/>
              <w:spacing w:before="40" w:after="40" w:line="360" w:lineRule="auto"/>
              <w:rPr>
                <w:noProof/>
                <w:sz w:val="22"/>
                <w:szCs w:val="24"/>
                <w:lang w:val="en-GB" w:eastAsia="en-US"/>
              </w:rPr>
            </w:pPr>
          </w:p>
        </w:tc>
      </w:tr>
      <w:tr w:rsidR="002709ED" w14:paraId="39B1E15C" w14:textId="77777777">
        <w:trPr>
          <w:gridBefore w:val="1"/>
          <w:wBefore w:w="12" w:type="dxa"/>
          <w:cantSplit/>
          <w:tblHeader/>
          <w:jc w:val="center"/>
        </w:trPr>
        <w:tc>
          <w:tcPr>
            <w:tcW w:w="651" w:type="dxa"/>
            <w:gridSpan w:val="3"/>
            <w:tcMar>
              <w:left w:w="28" w:type="dxa"/>
              <w:right w:w="28" w:type="dxa"/>
            </w:tcMar>
          </w:tcPr>
          <w:p w14:paraId="1B2BD97C"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(4)</w:t>
            </w:r>
          </w:p>
        </w:tc>
        <w:tc>
          <w:tcPr>
            <w:tcW w:w="2286" w:type="dxa"/>
            <w:gridSpan w:val="3"/>
            <w:tcMar>
              <w:left w:w="28" w:type="dxa"/>
              <w:right w:w="28" w:type="dxa"/>
            </w:tcMar>
          </w:tcPr>
          <w:p w14:paraId="7C4330A0"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benzén</w:t>
            </w:r>
          </w:p>
        </w:tc>
        <w:tc>
          <w:tcPr>
            <w:tcW w:w="1329" w:type="dxa"/>
            <w:gridSpan w:val="3"/>
            <w:tcMar>
              <w:left w:w="28" w:type="dxa"/>
              <w:right w:w="28" w:type="dxa"/>
            </w:tcMar>
          </w:tcPr>
          <w:p w14:paraId="38AD6E60"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priemyselné látky</w:t>
            </w:r>
          </w:p>
        </w:tc>
        <w:tc>
          <w:tcPr>
            <w:tcW w:w="992" w:type="dxa"/>
            <w:gridSpan w:val="2"/>
            <w:tcMar>
              <w:left w:w="28" w:type="dxa"/>
              <w:right w:w="28" w:type="dxa"/>
            </w:tcMar>
          </w:tcPr>
          <w:p w14:paraId="70702347"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71-43-2</w:t>
            </w:r>
          </w:p>
        </w:tc>
        <w:tc>
          <w:tcPr>
            <w:tcW w:w="1134" w:type="dxa"/>
          </w:tcPr>
          <w:p w14:paraId="190642CC"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200-753-7</w:t>
            </w:r>
          </w:p>
        </w:tc>
        <w:tc>
          <w:tcPr>
            <w:tcW w:w="1279" w:type="dxa"/>
            <w:gridSpan w:val="2"/>
            <w:tcMar>
              <w:left w:w="28" w:type="dxa"/>
              <w:right w:w="28" w:type="dxa"/>
            </w:tcMar>
          </w:tcPr>
          <w:p w14:paraId="203D4415"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10</w:t>
            </w:r>
          </w:p>
        </w:tc>
        <w:tc>
          <w:tcPr>
            <w:tcW w:w="1279" w:type="dxa"/>
            <w:gridSpan w:val="2"/>
            <w:tcMar>
              <w:left w:w="28" w:type="dxa"/>
              <w:right w:w="28" w:type="dxa"/>
            </w:tcMar>
          </w:tcPr>
          <w:p w14:paraId="6969A767"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8</w:t>
            </w:r>
          </w:p>
        </w:tc>
        <w:tc>
          <w:tcPr>
            <w:tcW w:w="1278" w:type="dxa"/>
            <w:gridSpan w:val="2"/>
            <w:tcMar>
              <w:left w:w="28" w:type="dxa"/>
              <w:right w:w="28" w:type="dxa"/>
            </w:tcMar>
          </w:tcPr>
          <w:p w14:paraId="15480917"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50</w:t>
            </w:r>
          </w:p>
        </w:tc>
        <w:tc>
          <w:tcPr>
            <w:tcW w:w="1277" w:type="dxa"/>
            <w:gridSpan w:val="2"/>
            <w:tcMar>
              <w:left w:w="28" w:type="dxa"/>
              <w:right w:w="28" w:type="dxa"/>
            </w:tcMar>
          </w:tcPr>
          <w:p w14:paraId="079175B3"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50</w:t>
            </w:r>
          </w:p>
        </w:tc>
        <w:tc>
          <w:tcPr>
            <w:tcW w:w="1136" w:type="dxa"/>
            <w:gridSpan w:val="2"/>
            <w:tcMar>
              <w:left w:w="28" w:type="dxa"/>
              <w:right w:w="28" w:type="dxa"/>
            </w:tcMar>
          </w:tcPr>
          <w:p w14:paraId="725D0C4C" w14:textId="77777777" w:rsidR="002709ED" w:rsidRDefault="002709ED">
            <w:pPr>
              <w:keepNext/>
              <w:keepLines/>
              <w:spacing w:before="40" w:after="40" w:line="360" w:lineRule="auto"/>
              <w:rPr>
                <w:noProof/>
                <w:sz w:val="22"/>
                <w:szCs w:val="24"/>
                <w:lang w:val="en-GB" w:eastAsia="en-US"/>
              </w:rPr>
            </w:pPr>
          </w:p>
        </w:tc>
        <w:tc>
          <w:tcPr>
            <w:tcW w:w="1262" w:type="dxa"/>
            <w:tcMar>
              <w:left w:w="28" w:type="dxa"/>
              <w:right w:w="28" w:type="dxa"/>
            </w:tcMar>
          </w:tcPr>
          <w:p w14:paraId="76ADA941" w14:textId="77777777" w:rsidR="002709ED" w:rsidRDefault="002709ED">
            <w:pPr>
              <w:keepNext/>
              <w:keepLines/>
              <w:spacing w:before="40" w:after="40" w:line="360" w:lineRule="auto"/>
              <w:rPr>
                <w:noProof/>
                <w:sz w:val="22"/>
                <w:szCs w:val="24"/>
                <w:lang w:val="en-GB" w:eastAsia="en-US"/>
              </w:rPr>
            </w:pPr>
          </w:p>
        </w:tc>
        <w:tc>
          <w:tcPr>
            <w:tcW w:w="1153" w:type="dxa"/>
            <w:gridSpan w:val="2"/>
            <w:tcMar>
              <w:left w:w="28" w:type="dxa"/>
              <w:right w:w="28" w:type="dxa"/>
            </w:tcMar>
          </w:tcPr>
          <w:p w14:paraId="7F43274F" w14:textId="77777777" w:rsidR="002709ED" w:rsidRDefault="002709ED">
            <w:pPr>
              <w:keepNext/>
              <w:keepLines/>
              <w:spacing w:before="40" w:after="40" w:line="360" w:lineRule="auto"/>
              <w:rPr>
                <w:noProof/>
                <w:sz w:val="22"/>
                <w:szCs w:val="24"/>
                <w:lang w:val="en-GB" w:eastAsia="en-US"/>
              </w:rPr>
            </w:pPr>
          </w:p>
        </w:tc>
        <w:tc>
          <w:tcPr>
            <w:tcW w:w="970" w:type="dxa"/>
            <w:tcMar>
              <w:left w:w="28" w:type="dxa"/>
              <w:right w:w="28" w:type="dxa"/>
            </w:tcMar>
          </w:tcPr>
          <w:p w14:paraId="4E47F5EA" w14:textId="77777777" w:rsidR="002709ED" w:rsidRDefault="002709ED">
            <w:pPr>
              <w:keepNext/>
              <w:keepLines/>
              <w:spacing w:before="40" w:after="40" w:line="360" w:lineRule="auto"/>
              <w:rPr>
                <w:noProof/>
                <w:sz w:val="22"/>
                <w:szCs w:val="24"/>
                <w:lang w:val="en-GB" w:eastAsia="en-US"/>
              </w:rPr>
            </w:pPr>
          </w:p>
        </w:tc>
      </w:tr>
      <w:tr w:rsidR="002709ED" w14:paraId="567350EE" w14:textId="77777777">
        <w:trPr>
          <w:gridBefore w:val="1"/>
          <w:wBefore w:w="12" w:type="dxa"/>
          <w:cantSplit/>
          <w:trHeight w:val="567"/>
          <w:tblHeader/>
          <w:jc w:val="center"/>
        </w:trPr>
        <w:tc>
          <w:tcPr>
            <w:tcW w:w="651" w:type="dxa"/>
            <w:gridSpan w:val="3"/>
            <w:tcMar>
              <w:left w:w="28" w:type="dxa"/>
              <w:right w:w="28" w:type="dxa"/>
            </w:tcMar>
          </w:tcPr>
          <w:p w14:paraId="781F479B"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lastRenderedPageBreak/>
              <w:t>(5)</w:t>
            </w:r>
          </w:p>
        </w:tc>
        <w:tc>
          <w:tcPr>
            <w:tcW w:w="2286" w:type="dxa"/>
            <w:gridSpan w:val="3"/>
            <w:tcMar>
              <w:left w:w="28" w:type="dxa"/>
              <w:right w:w="28" w:type="dxa"/>
            </w:tcMar>
          </w:tcPr>
          <w:p w14:paraId="630B068F" w14:textId="77777777" w:rsidR="002709ED" w:rsidRDefault="00B2757B">
            <w:pPr>
              <w:keepNext/>
              <w:keepLines/>
              <w:spacing w:before="40" w:after="40" w:line="360" w:lineRule="auto"/>
              <w:rPr>
                <w:noProof/>
                <w:sz w:val="22"/>
                <w:szCs w:val="24"/>
                <w:vertAlign w:val="superscript"/>
                <w:lang w:val="en-GB" w:eastAsia="en-US"/>
              </w:rPr>
            </w:pPr>
            <w:r>
              <w:rPr>
                <w:noProof/>
                <w:sz w:val="22"/>
                <w:szCs w:val="24"/>
                <w:lang w:val="en-GB" w:eastAsia="en-US"/>
              </w:rPr>
              <w:t>brómované difenylétery</w:t>
            </w:r>
            <w:bookmarkStart w:id="19" w:name="_DV_M300"/>
            <w:bookmarkEnd w:id="19"/>
          </w:p>
        </w:tc>
        <w:tc>
          <w:tcPr>
            <w:tcW w:w="1329" w:type="dxa"/>
            <w:gridSpan w:val="3"/>
            <w:tcMar>
              <w:left w:w="28" w:type="dxa"/>
              <w:right w:w="28" w:type="dxa"/>
            </w:tcMar>
          </w:tcPr>
          <w:p w14:paraId="39078287"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priemyselné látky</w:t>
            </w:r>
          </w:p>
        </w:tc>
        <w:tc>
          <w:tcPr>
            <w:tcW w:w="992" w:type="dxa"/>
            <w:gridSpan w:val="2"/>
            <w:tcMar>
              <w:left w:w="28" w:type="dxa"/>
              <w:right w:w="28" w:type="dxa"/>
            </w:tcMar>
          </w:tcPr>
          <w:p w14:paraId="70274211"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neuplatňuje sa</w:t>
            </w:r>
          </w:p>
        </w:tc>
        <w:tc>
          <w:tcPr>
            <w:tcW w:w="1134" w:type="dxa"/>
          </w:tcPr>
          <w:p w14:paraId="2D1E7BE4"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neuplatňuje sa</w:t>
            </w:r>
          </w:p>
        </w:tc>
        <w:tc>
          <w:tcPr>
            <w:tcW w:w="1279" w:type="dxa"/>
            <w:gridSpan w:val="2"/>
            <w:tcMar>
              <w:left w:w="28" w:type="dxa"/>
              <w:right w:w="28" w:type="dxa"/>
            </w:tcMar>
          </w:tcPr>
          <w:p w14:paraId="05839B18" w14:textId="77777777" w:rsidR="002709ED" w:rsidRDefault="002709ED">
            <w:pPr>
              <w:keepNext/>
              <w:keepLines/>
              <w:spacing w:before="40" w:after="40" w:line="360" w:lineRule="auto"/>
              <w:rPr>
                <w:noProof/>
                <w:sz w:val="22"/>
                <w:szCs w:val="24"/>
                <w:lang w:val="en-GB" w:eastAsia="en-US"/>
              </w:rPr>
            </w:pPr>
          </w:p>
        </w:tc>
        <w:tc>
          <w:tcPr>
            <w:tcW w:w="1279" w:type="dxa"/>
            <w:gridSpan w:val="2"/>
            <w:tcMar>
              <w:left w:w="28" w:type="dxa"/>
              <w:right w:w="28" w:type="dxa"/>
            </w:tcMar>
          </w:tcPr>
          <w:p w14:paraId="24E1A337" w14:textId="77777777" w:rsidR="002709ED" w:rsidRDefault="002709ED">
            <w:pPr>
              <w:keepNext/>
              <w:keepLines/>
              <w:spacing w:before="40" w:after="40" w:line="360" w:lineRule="auto"/>
              <w:rPr>
                <w:noProof/>
                <w:sz w:val="22"/>
                <w:szCs w:val="24"/>
                <w:lang w:val="en-GB" w:eastAsia="en-US"/>
              </w:rPr>
            </w:pPr>
          </w:p>
        </w:tc>
        <w:tc>
          <w:tcPr>
            <w:tcW w:w="1278" w:type="dxa"/>
            <w:gridSpan w:val="2"/>
            <w:tcMar>
              <w:left w:w="28" w:type="dxa"/>
              <w:right w:w="28" w:type="dxa"/>
            </w:tcMar>
          </w:tcPr>
          <w:p w14:paraId="7F3F30FF"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0,14 (</w:t>
            </w:r>
            <w:r>
              <w:rPr>
                <w:noProof/>
                <w:sz w:val="22"/>
                <w:szCs w:val="24"/>
                <w:vertAlign w:val="superscript"/>
                <w:lang w:val="en-GB" w:eastAsia="en-US"/>
              </w:rPr>
              <w:t>7</w:t>
            </w:r>
            <w:r>
              <w:rPr>
                <w:noProof/>
                <w:sz w:val="22"/>
                <w:szCs w:val="24"/>
                <w:lang w:val="en-GB" w:eastAsia="en-US"/>
              </w:rPr>
              <w:t>)</w:t>
            </w:r>
          </w:p>
        </w:tc>
        <w:tc>
          <w:tcPr>
            <w:tcW w:w="1277" w:type="dxa"/>
            <w:gridSpan w:val="2"/>
            <w:tcMar>
              <w:left w:w="28" w:type="dxa"/>
              <w:right w:w="28" w:type="dxa"/>
            </w:tcMar>
          </w:tcPr>
          <w:p w14:paraId="3647936F"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0,014 (</w:t>
            </w:r>
            <w:r>
              <w:rPr>
                <w:noProof/>
                <w:sz w:val="22"/>
                <w:szCs w:val="24"/>
                <w:vertAlign w:val="superscript"/>
                <w:lang w:val="en-GB" w:eastAsia="en-US"/>
              </w:rPr>
              <w:t>7</w:t>
            </w:r>
            <w:r>
              <w:rPr>
                <w:noProof/>
                <w:sz w:val="22"/>
                <w:szCs w:val="24"/>
                <w:lang w:val="en-GB" w:eastAsia="en-US"/>
              </w:rPr>
              <w:t>)</w:t>
            </w:r>
          </w:p>
        </w:tc>
        <w:tc>
          <w:tcPr>
            <w:tcW w:w="1136" w:type="dxa"/>
            <w:gridSpan w:val="2"/>
            <w:tcMar>
              <w:left w:w="28" w:type="dxa"/>
              <w:right w:w="28" w:type="dxa"/>
            </w:tcMar>
          </w:tcPr>
          <w:p w14:paraId="72EFD945"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[0,00028] (</w:t>
            </w:r>
            <w:r>
              <w:rPr>
                <w:noProof/>
                <w:sz w:val="22"/>
                <w:szCs w:val="24"/>
                <w:vertAlign w:val="superscript"/>
                <w:lang w:val="en-GB" w:eastAsia="en-US"/>
              </w:rPr>
              <w:t>7</w:t>
            </w:r>
            <w:r>
              <w:rPr>
                <w:noProof/>
                <w:sz w:val="22"/>
                <w:szCs w:val="24"/>
                <w:lang w:val="en-GB" w:eastAsia="en-US"/>
              </w:rPr>
              <w:t>)</w:t>
            </w:r>
          </w:p>
        </w:tc>
        <w:tc>
          <w:tcPr>
            <w:tcW w:w="1262" w:type="dxa"/>
            <w:tcMar>
              <w:left w:w="28" w:type="dxa"/>
              <w:right w:w="28" w:type="dxa"/>
            </w:tcMar>
          </w:tcPr>
          <w:p w14:paraId="766F24FF"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X (</w:t>
            </w:r>
            <w:r>
              <w:rPr>
                <w:noProof/>
                <w:sz w:val="22"/>
                <w:szCs w:val="24"/>
                <w:vertAlign w:val="superscript"/>
                <w:lang w:val="en-GB" w:eastAsia="en-US"/>
              </w:rPr>
              <w:t>8</w:t>
            </w:r>
            <w:r>
              <w:rPr>
                <w:noProof/>
                <w:sz w:val="22"/>
                <w:szCs w:val="24"/>
                <w:lang w:val="en-GB" w:eastAsia="en-US"/>
              </w:rPr>
              <w:t>)</w:t>
            </w:r>
          </w:p>
        </w:tc>
        <w:tc>
          <w:tcPr>
            <w:tcW w:w="1153" w:type="dxa"/>
            <w:gridSpan w:val="2"/>
            <w:tcMar>
              <w:left w:w="28" w:type="dxa"/>
              <w:right w:w="28" w:type="dxa"/>
            </w:tcMar>
          </w:tcPr>
          <w:p w14:paraId="20EB516F"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X</w:t>
            </w:r>
          </w:p>
        </w:tc>
        <w:tc>
          <w:tcPr>
            <w:tcW w:w="970" w:type="dxa"/>
            <w:tcMar>
              <w:left w:w="28" w:type="dxa"/>
              <w:right w:w="28" w:type="dxa"/>
            </w:tcMar>
          </w:tcPr>
          <w:p w14:paraId="7E9FE078"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X</w:t>
            </w:r>
          </w:p>
        </w:tc>
      </w:tr>
      <w:tr w:rsidR="002709ED" w14:paraId="485FB367" w14:textId="77777777">
        <w:trPr>
          <w:gridBefore w:val="1"/>
          <w:wBefore w:w="12" w:type="dxa"/>
          <w:cantSplit/>
          <w:tblHeader/>
          <w:jc w:val="center"/>
        </w:trPr>
        <w:tc>
          <w:tcPr>
            <w:tcW w:w="651" w:type="dxa"/>
            <w:gridSpan w:val="3"/>
            <w:tcMar>
              <w:left w:w="28" w:type="dxa"/>
              <w:right w:w="28" w:type="dxa"/>
            </w:tcMar>
          </w:tcPr>
          <w:p w14:paraId="20F4A5AF"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(6)</w:t>
            </w:r>
          </w:p>
        </w:tc>
        <w:tc>
          <w:tcPr>
            <w:tcW w:w="2286" w:type="dxa"/>
            <w:gridSpan w:val="3"/>
            <w:tcMar>
              <w:left w:w="28" w:type="dxa"/>
              <w:right w:w="28" w:type="dxa"/>
            </w:tcMar>
          </w:tcPr>
          <w:p w14:paraId="648501A4"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kadmium a jeho zlúčeniny</w:t>
            </w:r>
          </w:p>
          <w:p w14:paraId="5D9CCCF7" w14:textId="77777777" w:rsidR="002709ED" w:rsidRDefault="00B2757B">
            <w:pPr>
              <w:keepNext/>
              <w:keepLines/>
              <w:spacing w:before="40" w:after="40" w:line="360" w:lineRule="auto"/>
              <w:rPr>
                <w:noProof/>
                <w:sz w:val="22"/>
                <w:szCs w:val="24"/>
                <w:vertAlign w:val="superscript"/>
                <w:lang w:val="en-GB" w:eastAsia="en-US"/>
              </w:rPr>
            </w:pPr>
            <w:r>
              <w:rPr>
                <w:noProof/>
                <w:sz w:val="22"/>
                <w:szCs w:val="24"/>
                <w:lang w:val="en-GB" w:eastAsia="en-US"/>
              </w:rPr>
              <w:t>(v závislosti od tried tvrdosti vody) (</w:t>
            </w:r>
            <w:r>
              <w:rPr>
                <w:noProof/>
                <w:sz w:val="22"/>
                <w:szCs w:val="24"/>
                <w:vertAlign w:val="superscript"/>
                <w:lang w:val="en-GB" w:eastAsia="en-US"/>
              </w:rPr>
              <w:t>9</w:t>
            </w:r>
            <w:r>
              <w:rPr>
                <w:noProof/>
                <w:sz w:val="22"/>
                <w:szCs w:val="24"/>
                <w:lang w:val="en-GB" w:eastAsia="en-US"/>
              </w:rPr>
              <w:t>)</w:t>
            </w:r>
          </w:p>
        </w:tc>
        <w:tc>
          <w:tcPr>
            <w:tcW w:w="1329" w:type="dxa"/>
            <w:gridSpan w:val="3"/>
            <w:tcMar>
              <w:left w:w="28" w:type="dxa"/>
              <w:right w:w="28" w:type="dxa"/>
            </w:tcMar>
          </w:tcPr>
          <w:p w14:paraId="636FF825"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kovy</w:t>
            </w:r>
          </w:p>
        </w:tc>
        <w:tc>
          <w:tcPr>
            <w:tcW w:w="992" w:type="dxa"/>
            <w:gridSpan w:val="2"/>
            <w:tcMar>
              <w:left w:w="28" w:type="dxa"/>
              <w:right w:w="28" w:type="dxa"/>
            </w:tcMar>
          </w:tcPr>
          <w:p w14:paraId="598F8A2B"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7440-43-9</w:t>
            </w:r>
          </w:p>
        </w:tc>
        <w:tc>
          <w:tcPr>
            <w:tcW w:w="1134" w:type="dxa"/>
          </w:tcPr>
          <w:p w14:paraId="72B46E95"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231-152-8</w:t>
            </w:r>
          </w:p>
        </w:tc>
        <w:tc>
          <w:tcPr>
            <w:tcW w:w="1279" w:type="dxa"/>
            <w:gridSpan w:val="2"/>
            <w:tcMar>
              <w:left w:w="28" w:type="dxa"/>
              <w:right w:w="28" w:type="dxa"/>
            </w:tcMar>
          </w:tcPr>
          <w:p w14:paraId="0F03379A"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 0,08 (trieda 1)</w:t>
            </w:r>
          </w:p>
          <w:p w14:paraId="0978D0F6"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0,08 (trieda 2)</w:t>
            </w:r>
          </w:p>
          <w:p w14:paraId="7AF521D0"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0,09 (trieda 3)</w:t>
            </w:r>
          </w:p>
          <w:p w14:paraId="291F2E76"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0,15 (trieda 4)</w:t>
            </w:r>
          </w:p>
          <w:p w14:paraId="2C462F1F"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0,25 (trieda 5)</w:t>
            </w:r>
          </w:p>
        </w:tc>
        <w:tc>
          <w:tcPr>
            <w:tcW w:w="1279" w:type="dxa"/>
            <w:gridSpan w:val="2"/>
            <w:tcMar>
              <w:left w:w="28" w:type="dxa"/>
              <w:right w:w="28" w:type="dxa"/>
            </w:tcMar>
          </w:tcPr>
          <w:p w14:paraId="1B8A9254"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0,2</w:t>
            </w:r>
          </w:p>
        </w:tc>
        <w:tc>
          <w:tcPr>
            <w:tcW w:w="1278" w:type="dxa"/>
            <w:gridSpan w:val="2"/>
            <w:tcMar>
              <w:left w:w="28" w:type="dxa"/>
              <w:right w:w="28" w:type="dxa"/>
            </w:tcMar>
          </w:tcPr>
          <w:p w14:paraId="2E1C60BB"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 0,45 (trieda 1)</w:t>
            </w:r>
          </w:p>
          <w:p w14:paraId="11B7B2F7"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0,45 (trieda 2)</w:t>
            </w:r>
          </w:p>
          <w:p w14:paraId="4F5956B7"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0,6 (trieda 3)</w:t>
            </w:r>
          </w:p>
          <w:p w14:paraId="31609208"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0,9 (trieda 4)</w:t>
            </w:r>
          </w:p>
          <w:p w14:paraId="60CF17CB"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1,5 (trieda 5)</w:t>
            </w:r>
          </w:p>
        </w:tc>
        <w:tc>
          <w:tcPr>
            <w:tcW w:w="1277" w:type="dxa"/>
            <w:gridSpan w:val="2"/>
            <w:tcMar>
              <w:left w:w="28" w:type="dxa"/>
              <w:right w:w="28" w:type="dxa"/>
            </w:tcMar>
          </w:tcPr>
          <w:p w14:paraId="03D0AD41"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 0,45 (trieda 1)</w:t>
            </w:r>
          </w:p>
          <w:p w14:paraId="7793364E"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0,45 (trieda 2)</w:t>
            </w:r>
          </w:p>
          <w:p w14:paraId="6597482B"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0,6 (trieda 3)</w:t>
            </w:r>
          </w:p>
          <w:p w14:paraId="77B880F2"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0,9 (trieda 4)</w:t>
            </w:r>
          </w:p>
          <w:p w14:paraId="7C37B042"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1,5 (trieda 5)</w:t>
            </w:r>
          </w:p>
        </w:tc>
        <w:tc>
          <w:tcPr>
            <w:tcW w:w="1136" w:type="dxa"/>
            <w:gridSpan w:val="2"/>
            <w:tcMar>
              <w:left w:w="28" w:type="dxa"/>
              <w:right w:w="28" w:type="dxa"/>
            </w:tcMar>
          </w:tcPr>
          <w:p w14:paraId="7F71C6FD" w14:textId="77777777" w:rsidR="002709ED" w:rsidRDefault="002709ED">
            <w:pPr>
              <w:keepNext/>
              <w:keepLines/>
              <w:spacing w:before="40" w:after="40" w:line="360" w:lineRule="auto"/>
              <w:rPr>
                <w:noProof/>
                <w:sz w:val="22"/>
                <w:szCs w:val="24"/>
                <w:lang w:val="en-GB" w:eastAsia="en-US"/>
              </w:rPr>
            </w:pPr>
          </w:p>
        </w:tc>
        <w:tc>
          <w:tcPr>
            <w:tcW w:w="1262" w:type="dxa"/>
            <w:tcMar>
              <w:left w:w="28" w:type="dxa"/>
              <w:right w:w="28" w:type="dxa"/>
            </w:tcMar>
          </w:tcPr>
          <w:p w14:paraId="4AEBD138"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X</w:t>
            </w:r>
          </w:p>
        </w:tc>
        <w:tc>
          <w:tcPr>
            <w:tcW w:w="1153" w:type="dxa"/>
            <w:gridSpan w:val="2"/>
            <w:tcMar>
              <w:left w:w="28" w:type="dxa"/>
              <w:right w:w="28" w:type="dxa"/>
            </w:tcMar>
          </w:tcPr>
          <w:p w14:paraId="53C62E2E" w14:textId="77777777" w:rsidR="002709ED" w:rsidRDefault="002709ED">
            <w:pPr>
              <w:keepNext/>
              <w:keepLines/>
              <w:spacing w:before="40" w:after="40" w:line="360" w:lineRule="auto"/>
              <w:rPr>
                <w:noProof/>
                <w:sz w:val="22"/>
                <w:szCs w:val="24"/>
                <w:lang w:val="en-GB" w:eastAsia="en-US"/>
              </w:rPr>
            </w:pPr>
          </w:p>
        </w:tc>
        <w:tc>
          <w:tcPr>
            <w:tcW w:w="970" w:type="dxa"/>
            <w:tcMar>
              <w:left w:w="28" w:type="dxa"/>
              <w:right w:w="28" w:type="dxa"/>
            </w:tcMar>
          </w:tcPr>
          <w:p w14:paraId="74E67692"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X</w:t>
            </w:r>
          </w:p>
        </w:tc>
      </w:tr>
      <w:tr w:rsidR="002709ED" w14:paraId="7ABB51A9" w14:textId="77777777">
        <w:trPr>
          <w:gridBefore w:val="1"/>
          <w:wBefore w:w="12" w:type="dxa"/>
          <w:cantSplit/>
          <w:tblHeader/>
          <w:jc w:val="center"/>
        </w:trPr>
        <w:tc>
          <w:tcPr>
            <w:tcW w:w="651" w:type="dxa"/>
            <w:gridSpan w:val="3"/>
            <w:tcMar>
              <w:left w:w="28" w:type="dxa"/>
              <w:right w:w="28" w:type="dxa"/>
            </w:tcMar>
          </w:tcPr>
          <w:p w14:paraId="1A7253B5"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(6a)</w:t>
            </w:r>
          </w:p>
        </w:tc>
        <w:tc>
          <w:tcPr>
            <w:tcW w:w="15375" w:type="dxa"/>
            <w:gridSpan w:val="23"/>
            <w:tcMar>
              <w:left w:w="28" w:type="dxa"/>
              <w:right w:w="28" w:type="dxa"/>
            </w:tcMar>
          </w:tcPr>
          <w:p w14:paraId="2F01FFB3"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 xml:space="preserve">Látka chlorid uhličitý bola presunutá do časti C prílohy II. </w:t>
            </w:r>
          </w:p>
        </w:tc>
      </w:tr>
      <w:tr w:rsidR="002709ED" w14:paraId="5CAC58D8" w14:textId="77777777">
        <w:trPr>
          <w:gridBefore w:val="1"/>
          <w:wBefore w:w="12" w:type="dxa"/>
          <w:cantSplit/>
          <w:tblHeader/>
          <w:jc w:val="center"/>
        </w:trPr>
        <w:tc>
          <w:tcPr>
            <w:tcW w:w="651" w:type="dxa"/>
            <w:gridSpan w:val="3"/>
            <w:tcMar>
              <w:left w:w="28" w:type="dxa"/>
              <w:right w:w="28" w:type="dxa"/>
            </w:tcMar>
          </w:tcPr>
          <w:p w14:paraId="7F38C637"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(7)</w:t>
            </w:r>
          </w:p>
        </w:tc>
        <w:tc>
          <w:tcPr>
            <w:tcW w:w="2286" w:type="dxa"/>
            <w:gridSpan w:val="3"/>
            <w:tcMar>
              <w:left w:w="28" w:type="dxa"/>
              <w:right w:w="28" w:type="dxa"/>
            </w:tcMar>
          </w:tcPr>
          <w:p w14:paraId="401915B4" w14:textId="77777777" w:rsidR="002709ED" w:rsidRDefault="00B2757B">
            <w:pPr>
              <w:keepNext/>
              <w:keepLines/>
              <w:spacing w:before="40" w:after="40" w:line="360" w:lineRule="auto"/>
              <w:rPr>
                <w:noProof/>
                <w:sz w:val="22"/>
                <w:szCs w:val="24"/>
                <w:vertAlign w:val="superscript"/>
                <w:lang w:val="en-GB" w:eastAsia="en-US"/>
              </w:rPr>
            </w:pPr>
            <w:r>
              <w:rPr>
                <w:noProof/>
                <w:sz w:val="22"/>
                <w:szCs w:val="24"/>
                <w:lang w:val="en-GB" w:eastAsia="en-US"/>
              </w:rPr>
              <w:t>C</w:t>
            </w:r>
            <w:r>
              <w:rPr>
                <w:noProof/>
                <w:sz w:val="22"/>
                <w:szCs w:val="24"/>
                <w:vertAlign w:val="subscript"/>
                <w:lang w:val="en-GB" w:eastAsia="en-US"/>
              </w:rPr>
              <w:t xml:space="preserve">10-13 </w:t>
            </w:r>
            <w:r>
              <w:rPr>
                <w:noProof/>
                <w:sz w:val="22"/>
                <w:szCs w:val="24"/>
                <w:lang w:val="en-GB" w:eastAsia="en-US"/>
              </w:rPr>
              <w:t>chlóralkány (</w:t>
            </w:r>
            <w:r>
              <w:rPr>
                <w:noProof/>
                <w:sz w:val="22"/>
                <w:szCs w:val="24"/>
                <w:vertAlign w:val="superscript"/>
                <w:lang w:val="en-GB" w:eastAsia="en-US"/>
              </w:rPr>
              <w:t>10</w:t>
            </w:r>
            <w:r>
              <w:rPr>
                <w:noProof/>
                <w:sz w:val="22"/>
                <w:szCs w:val="24"/>
                <w:lang w:val="en-GB" w:eastAsia="en-US"/>
              </w:rPr>
              <w:t>)</w:t>
            </w:r>
          </w:p>
        </w:tc>
        <w:tc>
          <w:tcPr>
            <w:tcW w:w="1329" w:type="dxa"/>
            <w:gridSpan w:val="3"/>
            <w:tcMar>
              <w:left w:w="28" w:type="dxa"/>
              <w:right w:w="28" w:type="dxa"/>
            </w:tcMar>
          </w:tcPr>
          <w:p w14:paraId="1D627F9F"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priemyselné látky</w:t>
            </w:r>
          </w:p>
        </w:tc>
        <w:tc>
          <w:tcPr>
            <w:tcW w:w="992" w:type="dxa"/>
            <w:gridSpan w:val="2"/>
            <w:tcMar>
              <w:left w:w="28" w:type="dxa"/>
              <w:right w:w="28" w:type="dxa"/>
            </w:tcMar>
          </w:tcPr>
          <w:p w14:paraId="66C6B972"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85535-84-8</w:t>
            </w:r>
          </w:p>
        </w:tc>
        <w:tc>
          <w:tcPr>
            <w:tcW w:w="1134" w:type="dxa"/>
          </w:tcPr>
          <w:p w14:paraId="70C53D94"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287-476-5</w:t>
            </w:r>
          </w:p>
        </w:tc>
        <w:tc>
          <w:tcPr>
            <w:tcW w:w="1279" w:type="dxa"/>
            <w:gridSpan w:val="2"/>
            <w:tcMar>
              <w:left w:w="28" w:type="dxa"/>
              <w:right w:w="28" w:type="dxa"/>
            </w:tcMar>
          </w:tcPr>
          <w:p w14:paraId="59D83792"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 xml:space="preserve">0,4 </w:t>
            </w:r>
          </w:p>
        </w:tc>
        <w:tc>
          <w:tcPr>
            <w:tcW w:w="1279" w:type="dxa"/>
            <w:gridSpan w:val="2"/>
            <w:tcMar>
              <w:left w:w="28" w:type="dxa"/>
              <w:right w:w="28" w:type="dxa"/>
            </w:tcMar>
          </w:tcPr>
          <w:p w14:paraId="56D8CFF4"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0,4</w:t>
            </w:r>
          </w:p>
        </w:tc>
        <w:tc>
          <w:tcPr>
            <w:tcW w:w="1278" w:type="dxa"/>
            <w:gridSpan w:val="2"/>
            <w:tcMar>
              <w:left w:w="28" w:type="dxa"/>
              <w:right w:w="28" w:type="dxa"/>
            </w:tcMar>
          </w:tcPr>
          <w:p w14:paraId="56AE9D67"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1,4</w:t>
            </w:r>
          </w:p>
        </w:tc>
        <w:tc>
          <w:tcPr>
            <w:tcW w:w="1277" w:type="dxa"/>
            <w:gridSpan w:val="2"/>
            <w:tcMar>
              <w:left w:w="28" w:type="dxa"/>
              <w:right w:w="28" w:type="dxa"/>
            </w:tcMar>
          </w:tcPr>
          <w:p w14:paraId="03D9697D"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1,4</w:t>
            </w:r>
          </w:p>
        </w:tc>
        <w:tc>
          <w:tcPr>
            <w:tcW w:w="1136" w:type="dxa"/>
            <w:gridSpan w:val="2"/>
            <w:tcMar>
              <w:left w:w="28" w:type="dxa"/>
              <w:right w:w="28" w:type="dxa"/>
            </w:tcMar>
          </w:tcPr>
          <w:p w14:paraId="46B0978F" w14:textId="77777777" w:rsidR="002709ED" w:rsidRDefault="002709ED">
            <w:pPr>
              <w:keepNext/>
              <w:keepLines/>
              <w:spacing w:before="40" w:after="40" w:line="360" w:lineRule="auto"/>
              <w:rPr>
                <w:noProof/>
                <w:sz w:val="22"/>
                <w:szCs w:val="24"/>
                <w:lang w:val="en-GB" w:eastAsia="en-US"/>
              </w:rPr>
            </w:pPr>
          </w:p>
        </w:tc>
        <w:tc>
          <w:tcPr>
            <w:tcW w:w="1262" w:type="dxa"/>
            <w:tcMar>
              <w:left w:w="28" w:type="dxa"/>
              <w:right w:w="28" w:type="dxa"/>
            </w:tcMar>
          </w:tcPr>
          <w:p w14:paraId="7FB316CC"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X</w:t>
            </w:r>
          </w:p>
        </w:tc>
        <w:tc>
          <w:tcPr>
            <w:tcW w:w="1153" w:type="dxa"/>
            <w:gridSpan w:val="2"/>
            <w:tcMar>
              <w:left w:w="28" w:type="dxa"/>
              <w:right w:w="28" w:type="dxa"/>
            </w:tcMar>
          </w:tcPr>
          <w:p w14:paraId="147E85C0" w14:textId="77777777" w:rsidR="002709ED" w:rsidRDefault="002709ED">
            <w:pPr>
              <w:keepNext/>
              <w:keepLines/>
              <w:spacing w:before="40" w:after="40" w:line="360" w:lineRule="auto"/>
              <w:rPr>
                <w:noProof/>
                <w:sz w:val="22"/>
                <w:szCs w:val="24"/>
                <w:lang w:val="en-GB" w:eastAsia="en-US"/>
              </w:rPr>
            </w:pPr>
          </w:p>
        </w:tc>
        <w:tc>
          <w:tcPr>
            <w:tcW w:w="970" w:type="dxa"/>
            <w:tcMar>
              <w:left w:w="28" w:type="dxa"/>
              <w:right w:w="28" w:type="dxa"/>
            </w:tcMar>
          </w:tcPr>
          <w:p w14:paraId="54DDD11E"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X</w:t>
            </w:r>
          </w:p>
        </w:tc>
      </w:tr>
      <w:tr w:rsidR="002709ED" w14:paraId="5BD123FF" w14:textId="77777777">
        <w:trPr>
          <w:gridBefore w:val="1"/>
          <w:wBefore w:w="12" w:type="dxa"/>
          <w:cantSplit/>
          <w:tblHeader/>
          <w:jc w:val="center"/>
        </w:trPr>
        <w:tc>
          <w:tcPr>
            <w:tcW w:w="651" w:type="dxa"/>
            <w:gridSpan w:val="3"/>
            <w:tcMar>
              <w:left w:w="28" w:type="dxa"/>
              <w:right w:w="28" w:type="dxa"/>
            </w:tcMar>
          </w:tcPr>
          <w:p w14:paraId="5AD9345A"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(8)</w:t>
            </w:r>
          </w:p>
        </w:tc>
        <w:tc>
          <w:tcPr>
            <w:tcW w:w="15375" w:type="dxa"/>
            <w:gridSpan w:val="23"/>
            <w:tcMar>
              <w:left w:w="28" w:type="dxa"/>
              <w:right w:w="28" w:type="dxa"/>
            </w:tcMar>
          </w:tcPr>
          <w:p w14:paraId="59BA5163"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 xml:space="preserve">Látka chlórfenvinfos bola presunutá do časti C prílohy II. </w:t>
            </w:r>
          </w:p>
        </w:tc>
      </w:tr>
      <w:tr w:rsidR="002709ED" w14:paraId="629CF1A1" w14:textId="77777777">
        <w:trPr>
          <w:gridBefore w:val="1"/>
          <w:wBefore w:w="12" w:type="dxa"/>
          <w:cantSplit/>
          <w:tblHeader/>
          <w:jc w:val="center"/>
        </w:trPr>
        <w:tc>
          <w:tcPr>
            <w:tcW w:w="651" w:type="dxa"/>
            <w:gridSpan w:val="3"/>
            <w:tcMar>
              <w:left w:w="28" w:type="dxa"/>
              <w:right w:w="28" w:type="dxa"/>
            </w:tcMar>
          </w:tcPr>
          <w:p w14:paraId="015ED019"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(9)</w:t>
            </w:r>
          </w:p>
        </w:tc>
        <w:tc>
          <w:tcPr>
            <w:tcW w:w="2286" w:type="dxa"/>
            <w:gridSpan w:val="3"/>
            <w:tcMar>
              <w:left w:w="28" w:type="dxa"/>
              <w:right w:w="28" w:type="dxa"/>
            </w:tcMar>
          </w:tcPr>
          <w:p w14:paraId="2D61F61F"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chlórpyrifos (chlórpyrifosetyl)</w:t>
            </w:r>
          </w:p>
        </w:tc>
        <w:tc>
          <w:tcPr>
            <w:tcW w:w="1329" w:type="dxa"/>
            <w:gridSpan w:val="3"/>
            <w:tcMar>
              <w:left w:w="28" w:type="dxa"/>
              <w:right w:w="28" w:type="dxa"/>
            </w:tcMar>
          </w:tcPr>
          <w:p w14:paraId="222BCF18"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organofosfátové pesticídy</w:t>
            </w:r>
          </w:p>
        </w:tc>
        <w:tc>
          <w:tcPr>
            <w:tcW w:w="992" w:type="dxa"/>
            <w:gridSpan w:val="2"/>
            <w:tcMar>
              <w:left w:w="28" w:type="dxa"/>
              <w:right w:w="28" w:type="dxa"/>
            </w:tcMar>
          </w:tcPr>
          <w:p w14:paraId="05B483CE"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2921-88-2</w:t>
            </w:r>
          </w:p>
        </w:tc>
        <w:tc>
          <w:tcPr>
            <w:tcW w:w="1134" w:type="dxa"/>
          </w:tcPr>
          <w:p w14:paraId="79313AE1"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220-864-4</w:t>
            </w:r>
          </w:p>
        </w:tc>
        <w:tc>
          <w:tcPr>
            <w:tcW w:w="1279" w:type="dxa"/>
            <w:gridSpan w:val="2"/>
            <w:tcMar>
              <w:left w:w="28" w:type="dxa"/>
              <w:right w:w="28" w:type="dxa"/>
            </w:tcMar>
          </w:tcPr>
          <w:p w14:paraId="70ACC568"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4,6 × 10</w:t>
            </w:r>
            <w:r>
              <w:rPr>
                <w:noProof/>
                <w:sz w:val="22"/>
                <w:szCs w:val="24"/>
                <w:vertAlign w:val="superscript"/>
                <w:lang w:val="en-GB" w:eastAsia="en-US"/>
              </w:rPr>
              <w:t>-4</w:t>
            </w:r>
          </w:p>
        </w:tc>
        <w:tc>
          <w:tcPr>
            <w:tcW w:w="1279" w:type="dxa"/>
            <w:gridSpan w:val="2"/>
            <w:tcMar>
              <w:left w:w="28" w:type="dxa"/>
              <w:right w:w="28" w:type="dxa"/>
            </w:tcMar>
          </w:tcPr>
          <w:p w14:paraId="2F1E0C29"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4,6 × 10</w:t>
            </w:r>
            <w:r>
              <w:rPr>
                <w:noProof/>
                <w:sz w:val="22"/>
                <w:szCs w:val="24"/>
                <w:vertAlign w:val="superscript"/>
                <w:lang w:val="en-GB" w:eastAsia="en-US"/>
              </w:rPr>
              <w:t>-5</w:t>
            </w:r>
          </w:p>
        </w:tc>
        <w:tc>
          <w:tcPr>
            <w:tcW w:w="1278" w:type="dxa"/>
            <w:gridSpan w:val="2"/>
            <w:tcMar>
              <w:left w:w="28" w:type="dxa"/>
              <w:right w:w="28" w:type="dxa"/>
            </w:tcMar>
          </w:tcPr>
          <w:p w14:paraId="2EC55198"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0,0026</w:t>
            </w:r>
          </w:p>
        </w:tc>
        <w:tc>
          <w:tcPr>
            <w:tcW w:w="1277" w:type="dxa"/>
            <w:gridSpan w:val="2"/>
            <w:tcMar>
              <w:left w:w="28" w:type="dxa"/>
              <w:right w:w="28" w:type="dxa"/>
            </w:tcMar>
          </w:tcPr>
          <w:p w14:paraId="62D7FFBF"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5,2 × 10</w:t>
            </w:r>
            <w:r>
              <w:rPr>
                <w:noProof/>
                <w:sz w:val="22"/>
                <w:szCs w:val="24"/>
                <w:vertAlign w:val="superscript"/>
                <w:lang w:val="en-GB" w:eastAsia="en-US"/>
              </w:rPr>
              <w:t>-4</w:t>
            </w:r>
          </w:p>
        </w:tc>
        <w:tc>
          <w:tcPr>
            <w:tcW w:w="1136" w:type="dxa"/>
            <w:gridSpan w:val="2"/>
            <w:tcMar>
              <w:left w:w="28" w:type="dxa"/>
              <w:right w:w="28" w:type="dxa"/>
            </w:tcMar>
          </w:tcPr>
          <w:p w14:paraId="137B1FD3" w14:textId="77777777" w:rsidR="002709ED" w:rsidRDefault="002709ED">
            <w:pPr>
              <w:keepNext/>
              <w:keepLines/>
              <w:spacing w:before="40" w:after="40" w:line="360" w:lineRule="auto"/>
              <w:rPr>
                <w:noProof/>
                <w:sz w:val="22"/>
                <w:szCs w:val="24"/>
                <w:lang w:val="en-GB" w:eastAsia="en-US"/>
              </w:rPr>
            </w:pPr>
          </w:p>
        </w:tc>
        <w:tc>
          <w:tcPr>
            <w:tcW w:w="1262" w:type="dxa"/>
            <w:tcMar>
              <w:left w:w="28" w:type="dxa"/>
              <w:right w:w="28" w:type="dxa"/>
            </w:tcMar>
          </w:tcPr>
          <w:p w14:paraId="7580A888"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X</w:t>
            </w:r>
          </w:p>
        </w:tc>
        <w:tc>
          <w:tcPr>
            <w:tcW w:w="1153" w:type="dxa"/>
            <w:gridSpan w:val="2"/>
            <w:tcMar>
              <w:left w:w="28" w:type="dxa"/>
              <w:right w:w="28" w:type="dxa"/>
            </w:tcMar>
          </w:tcPr>
          <w:p w14:paraId="63CE632A"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X</w:t>
            </w:r>
          </w:p>
        </w:tc>
        <w:tc>
          <w:tcPr>
            <w:tcW w:w="970" w:type="dxa"/>
            <w:tcMar>
              <w:left w:w="28" w:type="dxa"/>
              <w:right w:w="28" w:type="dxa"/>
            </w:tcMar>
          </w:tcPr>
          <w:p w14:paraId="7FBF2289"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X</w:t>
            </w:r>
          </w:p>
        </w:tc>
      </w:tr>
      <w:tr w:rsidR="002709ED" w14:paraId="3DC5226A" w14:textId="77777777">
        <w:trPr>
          <w:gridBefore w:val="1"/>
          <w:wBefore w:w="12" w:type="dxa"/>
          <w:cantSplit/>
          <w:tblHeader/>
          <w:jc w:val="center"/>
        </w:trPr>
        <w:tc>
          <w:tcPr>
            <w:tcW w:w="651" w:type="dxa"/>
            <w:gridSpan w:val="3"/>
            <w:tcMar>
              <w:left w:w="28" w:type="dxa"/>
              <w:right w:w="28" w:type="dxa"/>
            </w:tcMar>
          </w:tcPr>
          <w:p w14:paraId="39EEA41A"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lastRenderedPageBreak/>
              <w:br w:type="page"/>
              <w:t>(9a)</w:t>
            </w:r>
          </w:p>
        </w:tc>
        <w:tc>
          <w:tcPr>
            <w:tcW w:w="2286" w:type="dxa"/>
            <w:gridSpan w:val="3"/>
            <w:tcMar>
              <w:left w:w="28" w:type="dxa"/>
              <w:right w:w="28" w:type="dxa"/>
            </w:tcMar>
          </w:tcPr>
          <w:p w14:paraId="131A4188"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cyklodiénové pesticídy:</w:t>
            </w:r>
          </w:p>
          <w:p w14:paraId="7150A7D7"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 xml:space="preserve">aldrín </w:t>
            </w:r>
            <w:bookmarkStart w:id="20" w:name="_DV_M301"/>
            <w:bookmarkEnd w:id="20"/>
          </w:p>
          <w:p w14:paraId="3E43CE1A"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 xml:space="preserve">dieldrín </w:t>
            </w:r>
            <w:bookmarkStart w:id="21" w:name="_DV_M302"/>
            <w:bookmarkEnd w:id="21"/>
          </w:p>
          <w:p w14:paraId="4A46A3F8"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 xml:space="preserve">endrín </w:t>
            </w:r>
            <w:bookmarkStart w:id="22" w:name="_DV_M303"/>
            <w:bookmarkEnd w:id="22"/>
          </w:p>
          <w:p w14:paraId="130D49D9" w14:textId="77777777" w:rsidR="002709ED" w:rsidRDefault="00B2757B">
            <w:pPr>
              <w:keepNext/>
              <w:keepLines/>
              <w:spacing w:before="40" w:after="40" w:line="360" w:lineRule="auto"/>
              <w:rPr>
                <w:noProof/>
                <w:sz w:val="22"/>
                <w:szCs w:val="24"/>
                <w:vertAlign w:val="superscript"/>
                <w:lang w:val="en-GB" w:eastAsia="en-US"/>
              </w:rPr>
            </w:pPr>
            <w:r>
              <w:rPr>
                <w:noProof/>
                <w:sz w:val="22"/>
                <w:szCs w:val="24"/>
                <w:lang w:val="en-GB" w:eastAsia="en-US"/>
              </w:rPr>
              <w:t xml:space="preserve">izodrín </w:t>
            </w:r>
            <w:bookmarkStart w:id="23" w:name="_DV_M304"/>
            <w:bookmarkEnd w:id="23"/>
          </w:p>
        </w:tc>
        <w:tc>
          <w:tcPr>
            <w:tcW w:w="1329" w:type="dxa"/>
            <w:gridSpan w:val="3"/>
            <w:tcMar>
              <w:left w:w="28" w:type="dxa"/>
              <w:right w:w="28" w:type="dxa"/>
            </w:tcMar>
          </w:tcPr>
          <w:p w14:paraId="7FD6BAC2"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organochlórové pesticídy</w:t>
            </w:r>
          </w:p>
        </w:tc>
        <w:tc>
          <w:tcPr>
            <w:tcW w:w="992" w:type="dxa"/>
            <w:gridSpan w:val="2"/>
            <w:tcMar>
              <w:left w:w="28" w:type="dxa"/>
              <w:right w:w="28" w:type="dxa"/>
            </w:tcMar>
          </w:tcPr>
          <w:p w14:paraId="6BC795C4" w14:textId="77777777" w:rsidR="002709ED" w:rsidRDefault="002709ED">
            <w:pPr>
              <w:keepNext/>
              <w:keepLines/>
              <w:spacing w:before="40" w:after="40" w:line="360" w:lineRule="auto"/>
              <w:rPr>
                <w:noProof/>
                <w:sz w:val="22"/>
                <w:szCs w:val="24"/>
                <w:lang w:val="en-GB" w:eastAsia="en-US"/>
              </w:rPr>
            </w:pPr>
          </w:p>
          <w:p w14:paraId="62C9729E"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309-00-2</w:t>
            </w:r>
          </w:p>
          <w:p w14:paraId="653EFF52"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60-57-1</w:t>
            </w:r>
          </w:p>
          <w:p w14:paraId="3CD5EA85"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72-20-8</w:t>
            </w:r>
          </w:p>
          <w:p w14:paraId="7592C236"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465-73-6</w:t>
            </w:r>
          </w:p>
        </w:tc>
        <w:tc>
          <w:tcPr>
            <w:tcW w:w="1134" w:type="dxa"/>
          </w:tcPr>
          <w:p w14:paraId="1A317FEA" w14:textId="77777777" w:rsidR="002709ED" w:rsidRDefault="002709ED">
            <w:pPr>
              <w:keepNext/>
              <w:keepLines/>
              <w:spacing w:before="40" w:after="40" w:line="360" w:lineRule="auto"/>
              <w:rPr>
                <w:noProof/>
                <w:sz w:val="22"/>
                <w:szCs w:val="24"/>
                <w:lang w:val="en-GB" w:eastAsia="en-US"/>
              </w:rPr>
            </w:pPr>
          </w:p>
          <w:p w14:paraId="7804F5DE"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206-215-8</w:t>
            </w:r>
          </w:p>
          <w:p w14:paraId="715938E3"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200-484-5</w:t>
            </w:r>
          </w:p>
          <w:p w14:paraId="06E84465"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200-775-7</w:t>
            </w:r>
          </w:p>
          <w:p w14:paraId="179487C6"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207-366-2</w:t>
            </w:r>
          </w:p>
        </w:tc>
        <w:tc>
          <w:tcPr>
            <w:tcW w:w="1279" w:type="dxa"/>
            <w:gridSpan w:val="2"/>
            <w:tcMar>
              <w:left w:w="28" w:type="dxa"/>
              <w:right w:w="28" w:type="dxa"/>
            </w:tcMar>
          </w:tcPr>
          <w:p w14:paraId="3829696F"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Σ = 0,01</w:t>
            </w:r>
          </w:p>
        </w:tc>
        <w:tc>
          <w:tcPr>
            <w:tcW w:w="1279" w:type="dxa"/>
            <w:gridSpan w:val="2"/>
            <w:tcMar>
              <w:left w:w="28" w:type="dxa"/>
              <w:right w:w="28" w:type="dxa"/>
            </w:tcMar>
          </w:tcPr>
          <w:p w14:paraId="27BE8B23"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Σ = 0,005</w:t>
            </w:r>
          </w:p>
        </w:tc>
        <w:tc>
          <w:tcPr>
            <w:tcW w:w="1278" w:type="dxa"/>
            <w:gridSpan w:val="2"/>
            <w:tcMar>
              <w:left w:w="28" w:type="dxa"/>
              <w:right w:w="28" w:type="dxa"/>
            </w:tcMar>
          </w:tcPr>
          <w:p w14:paraId="53EC7FF3"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neuplatňuje sa</w:t>
            </w:r>
          </w:p>
        </w:tc>
        <w:tc>
          <w:tcPr>
            <w:tcW w:w="1277" w:type="dxa"/>
            <w:gridSpan w:val="2"/>
            <w:tcMar>
              <w:left w:w="28" w:type="dxa"/>
              <w:right w:w="28" w:type="dxa"/>
            </w:tcMar>
          </w:tcPr>
          <w:p w14:paraId="32F57CFF"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neuplatňuje sa</w:t>
            </w:r>
          </w:p>
        </w:tc>
        <w:tc>
          <w:tcPr>
            <w:tcW w:w="1136" w:type="dxa"/>
            <w:gridSpan w:val="2"/>
            <w:tcMar>
              <w:left w:w="28" w:type="dxa"/>
              <w:right w:w="28" w:type="dxa"/>
            </w:tcMar>
          </w:tcPr>
          <w:p w14:paraId="0EC915CF" w14:textId="77777777" w:rsidR="002709ED" w:rsidRDefault="002709ED">
            <w:pPr>
              <w:keepNext/>
              <w:keepLines/>
              <w:spacing w:before="40" w:after="40" w:line="360" w:lineRule="auto"/>
              <w:rPr>
                <w:noProof/>
                <w:sz w:val="22"/>
                <w:szCs w:val="24"/>
                <w:lang w:val="en-GB" w:eastAsia="en-US"/>
              </w:rPr>
            </w:pPr>
          </w:p>
        </w:tc>
        <w:tc>
          <w:tcPr>
            <w:tcW w:w="1262" w:type="dxa"/>
            <w:tcMar>
              <w:left w:w="28" w:type="dxa"/>
              <w:right w:w="28" w:type="dxa"/>
            </w:tcMar>
          </w:tcPr>
          <w:p w14:paraId="53567180"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X</w:t>
            </w:r>
          </w:p>
        </w:tc>
        <w:tc>
          <w:tcPr>
            <w:tcW w:w="1153" w:type="dxa"/>
            <w:gridSpan w:val="2"/>
            <w:tcMar>
              <w:left w:w="28" w:type="dxa"/>
              <w:right w:w="28" w:type="dxa"/>
            </w:tcMar>
          </w:tcPr>
          <w:p w14:paraId="364D2A65" w14:textId="77777777" w:rsidR="002709ED" w:rsidRDefault="002709ED">
            <w:pPr>
              <w:keepNext/>
              <w:keepLines/>
              <w:spacing w:before="40" w:after="40" w:line="360" w:lineRule="auto"/>
              <w:rPr>
                <w:noProof/>
                <w:sz w:val="22"/>
                <w:szCs w:val="24"/>
                <w:lang w:val="en-GB" w:eastAsia="en-US"/>
              </w:rPr>
            </w:pPr>
          </w:p>
        </w:tc>
        <w:tc>
          <w:tcPr>
            <w:tcW w:w="970" w:type="dxa"/>
            <w:tcMar>
              <w:left w:w="28" w:type="dxa"/>
              <w:right w:w="28" w:type="dxa"/>
            </w:tcMar>
          </w:tcPr>
          <w:p w14:paraId="496037F0" w14:textId="77777777" w:rsidR="002709ED" w:rsidRDefault="002709ED">
            <w:pPr>
              <w:keepNext/>
              <w:keepLines/>
              <w:spacing w:before="40" w:after="40" w:line="360" w:lineRule="auto"/>
              <w:rPr>
                <w:noProof/>
                <w:sz w:val="22"/>
                <w:szCs w:val="24"/>
                <w:lang w:val="en-GB" w:eastAsia="en-US"/>
              </w:rPr>
            </w:pPr>
          </w:p>
          <w:p w14:paraId="0B4EC476" w14:textId="77777777" w:rsidR="002709ED" w:rsidRDefault="002709ED">
            <w:pPr>
              <w:keepNext/>
              <w:keepLines/>
              <w:spacing w:before="40" w:after="40" w:line="360" w:lineRule="auto"/>
              <w:rPr>
                <w:noProof/>
                <w:sz w:val="22"/>
                <w:szCs w:val="24"/>
                <w:lang w:val="en-GB" w:eastAsia="en-US"/>
              </w:rPr>
            </w:pPr>
          </w:p>
          <w:p w14:paraId="67D3A746" w14:textId="77777777" w:rsidR="002709ED" w:rsidRDefault="002709ED">
            <w:pPr>
              <w:keepNext/>
              <w:keepLines/>
              <w:spacing w:before="40" w:after="40" w:line="360" w:lineRule="auto"/>
              <w:rPr>
                <w:noProof/>
                <w:sz w:val="22"/>
                <w:szCs w:val="24"/>
                <w:lang w:val="en-GB" w:eastAsia="en-US"/>
              </w:rPr>
            </w:pPr>
          </w:p>
        </w:tc>
      </w:tr>
      <w:tr w:rsidR="002709ED" w14:paraId="5D41C2AB" w14:textId="77777777">
        <w:trPr>
          <w:gridBefore w:val="1"/>
          <w:wBefore w:w="12" w:type="dxa"/>
          <w:cantSplit/>
          <w:tblHeader/>
          <w:jc w:val="center"/>
        </w:trPr>
        <w:tc>
          <w:tcPr>
            <w:tcW w:w="651" w:type="dxa"/>
            <w:gridSpan w:val="3"/>
            <w:tcMar>
              <w:left w:w="28" w:type="dxa"/>
              <w:right w:w="28" w:type="dxa"/>
            </w:tcMar>
          </w:tcPr>
          <w:p w14:paraId="4EC60B42"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(9b)</w:t>
            </w:r>
          </w:p>
        </w:tc>
        <w:tc>
          <w:tcPr>
            <w:tcW w:w="2286" w:type="dxa"/>
            <w:gridSpan w:val="3"/>
            <w:tcMar>
              <w:left w:w="28" w:type="dxa"/>
              <w:right w:w="28" w:type="dxa"/>
            </w:tcMar>
          </w:tcPr>
          <w:p w14:paraId="1EAAB925" w14:textId="77777777" w:rsidR="002709ED" w:rsidRDefault="00B2757B">
            <w:pPr>
              <w:keepNext/>
              <w:keepLines/>
              <w:spacing w:before="40" w:after="40" w:line="360" w:lineRule="auto"/>
              <w:rPr>
                <w:noProof/>
                <w:sz w:val="22"/>
                <w:szCs w:val="24"/>
                <w:vertAlign w:val="superscript"/>
                <w:lang w:val="en-GB" w:eastAsia="en-US"/>
              </w:rPr>
            </w:pPr>
            <w:r>
              <w:rPr>
                <w:noProof/>
                <w:sz w:val="22"/>
                <w:szCs w:val="24"/>
                <w:lang w:val="en-GB" w:eastAsia="en-US"/>
              </w:rPr>
              <w:t>DDT spolu (</w:t>
            </w:r>
            <w:r>
              <w:rPr>
                <w:noProof/>
                <w:sz w:val="22"/>
                <w:szCs w:val="24"/>
                <w:vertAlign w:val="superscript"/>
                <w:lang w:val="en-GB" w:eastAsia="en-US"/>
              </w:rPr>
              <w:t>11</w:t>
            </w:r>
            <w:r>
              <w:rPr>
                <w:noProof/>
                <w:sz w:val="22"/>
                <w:szCs w:val="24"/>
                <w:lang w:val="en-GB" w:eastAsia="en-US"/>
              </w:rPr>
              <w:t>)</w:t>
            </w:r>
          </w:p>
        </w:tc>
        <w:tc>
          <w:tcPr>
            <w:tcW w:w="1329" w:type="dxa"/>
            <w:gridSpan w:val="3"/>
            <w:tcMar>
              <w:left w:w="28" w:type="dxa"/>
              <w:right w:w="28" w:type="dxa"/>
            </w:tcMar>
          </w:tcPr>
          <w:p w14:paraId="168D95F0"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organochlórové pesticídy</w:t>
            </w:r>
          </w:p>
        </w:tc>
        <w:tc>
          <w:tcPr>
            <w:tcW w:w="992" w:type="dxa"/>
            <w:gridSpan w:val="2"/>
            <w:tcMar>
              <w:left w:w="28" w:type="dxa"/>
              <w:right w:w="28" w:type="dxa"/>
            </w:tcMar>
          </w:tcPr>
          <w:p w14:paraId="50BDD554"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neuplatňuje sa</w:t>
            </w:r>
          </w:p>
        </w:tc>
        <w:tc>
          <w:tcPr>
            <w:tcW w:w="1134" w:type="dxa"/>
          </w:tcPr>
          <w:p w14:paraId="1DADD9C0"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neuplatňuje sa</w:t>
            </w:r>
          </w:p>
        </w:tc>
        <w:tc>
          <w:tcPr>
            <w:tcW w:w="1279" w:type="dxa"/>
            <w:gridSpan w:val="2"/>
            <w:tcMar>
              <w:left w:w="28" w:type="dxa"/>
              <w:right w:w="28" w:type="dxa"/>
            </w:tcMar>
          </w:tcPr>
          <w:p w14:paraId="3187533F"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0,025</w:t>
            </w:r>
          </w:p>
        </w:tc>
        <w:tc>
          <w:tcPr>
            <w:tcW w:w="1279" w:type="dxa"/>
            <w:gridSpan w:val="2"/>
            <w:tcMar>
              <w:left w:w="28" w:type="dxa"/>
              <w:right w:w="28" w:type="dxa"/>
            </w:tcMar>
          </w:tcPr>
          <w:p w14:paraId="2F917014"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0,025</w:t>
            </w:r>
          </w:p>
        </w:tc>
        <w:tc>
          <w:tcPr>
            <w:tcW w:w="1278" w:type="dxa"/>
            <w:gridSpan w:val="2"/>
            <w:tcMar>
              <w:left w:w="28" w:type="dxa"/>
              <w:right w:w="28" w:type="dxa"/>
            </w:tcMar>
          </w:tcPr>
          <w:p w14:paraId="79858116"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neuplatňuje sa</w:t>
            </w:r>
          </w:p>
        </w:tc>
        <w:tc>
          <w:tcPr>
            <w:tcW w:w="1277" w:type="dxa"/>
            <w:gridSpan w:val="2"/>
            <w:tcMar>
              <w:left w:w="28" w:type="dxa"/>
              <w:right w:w="28" w:type="dxa"/>
            </w:tcMar>
          </w:tcPr>
          <w:p w14:paraId="11B61052"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neuplatňuje sa</w:t>
            </w:r>
          </w:p>
        </w:tc>
        <w:tc>
          <w:tcPr>
            <w:tcW w:w="1136" w:type="dxa"/>
            <w:gridSpan w:val="2"/>
            <w:tcMar>
              <w:left w:w="28" w:type="dxa"/>
              <w:right w:w="28" w:type="dxa"/>
            </w:tcMar>
          </w:tcPr>
          <w:p w14:paraId="109CDFDA" w14:textId="77777777" w:rsidR="002709ED" w:rsidRDefault="002709ED">
            <w:pPr>
              <w:keepNext/>
              <w:keepLines/>
              <w:spacing w:before="40" w:after="40" w:line="360" w:lineRule="auto"/>
              <w:rPr>
                <w:noProof/>
                <w:sz w:val="22"/>
                <w:szCs w:val="24"/>
                <w:lang w:val="en-GB" w:eastAsia="en-US"/>
              </w:rPr>
            </w:pPr>
          </w:p>
        </w:tc>
        <w:tc>
          <w:tcPr>
            <w:tcW w:w="1262" w:type="dxa"/>
            <w:tcMar>
              <w:left w:w="28" w:type="dxa"/>
              <w:right w:w="28" w:type="dxa"/>
            </w:tcMar>
          </w:tcPr>
          <w:p w14:paraId="6D445B4D"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X</w:t>
            </w:r>
          </w:p>
        </w:tc>
        <w:tc>
          <w:tcPr>
            <w:tcW w:w="1153" w:type="dxa"/>
            <w:gridSpan w:val="2"/>
            <w:tcMar>
              <w:left w:w="28" w:type="dxa"/>
              <w:right w:w="28" w:type="dxa"/>
            </w:tcMar>
          </w:tcPr>
          <w:p w14:paraId="726F8025" w14:textId="77777777" w:rsidR="002709ED" w:rsidRDefault="002709ED">
            <w:pPr>
              <w:keepNext/>
              <w:keepLines/>
              <w:spacing w:before="40" w:after="40" w:line="360" w:lineRule="auto"/>
              <w:rPr>
                <w:noProof/>
                <w:sz w:val="22"/>
                <w:szCs w:val="24"/>
                <w:lang w:val="en-GB" w:eastAsia="en-US"/>
              </w:rPr>
            </w:pPr>
          </w:p>
        </w:tc>
        <w:tc>
          <w:tcPr>
            <w:tcW w:w="970" w:type="dxa"/>
            <w:tcMar>
              <w:left w:w="28" w:type="dxa"/>
              <w:right w:w="28" w:type="dxa"/>
            </w:tcMar>
          </w:tcPr>
          <w:p w14:paraId="3A94104A" w14:textId="77777777" w:rsidR="002709ED" w:rsidRDefault="002709ED">
            <w:pPr>
              <w:keepNext/>
              <w:keepLines/>
              <w:spacing w:before="40" w:after="40" w:line="360" w:lineRule="auto"/>
              <w:rPr>
                <w:noProof/>
                <w:sz w:val="22"/>
                <w:szCs w:val="24"/>
                <w:lang w:val="en-GB" w:eastAsia="en-US"/>
              </w:rPr>
            </w:pPr>
          </w:p>
        </w:tc>
      </w:tr>
      <w:tr w:rsidR="002709ED" w14:paraId="2558E9B8" w14:textId="77777777">
        <w:trPr>
          <w:gridBefore w:val="1"/>
          <w:wBefore w:w="12" w:type="dxa"/>
          <w:cantSplit/>
          <w:tblHeader/>
          <w:jc w:val="center"/>
        </w:trPr>
        <w:tc>
          <w:tcPr>
            <w:tcW w:w="651" w:type="dxa"/>
            <w:gridSpan w:val="3"/>
            <w:tcMar>
              <w:left w:w="28" w:type="dxa"/>
              <w:right w:w="28" w:type="dxa"/>
            </w:tcMar>
          </w:tcPr>
          <w:p w14:paraId="3ED60784" w14:textId="77777777" w:rsidR="002709ED" w:rsidRDefault="002709ED">
            <w:pPr>
              <w:keepNext/>
              <w:keepLines/>
              <w:spacing w:before="40" w:after="40" w:line="360" w:lineRule="auto"/>
              <w:rPr>
                <w:noProof/>
                <w:sz w:val="22"/>
                <w:szCs w:val="24"/>
                <w:lang w:val="en-GB" w:eastAsia="en-US"/>
              </w:rPr>
            </w:pPr>
          </w:p>
        </w:tc>
        <w:tc>
          <w:tcPr>
            <w:tcW w:w="2286" w:type="dxa"/>
            <w:gridSpan w:val="3"/>
            <w:tcMar>
              <w:left w:w="28" w:type="dxa"/>
              <w:right w:w="28" w:type="dxa"/>
            </w:tcMar>
          </w:tcPr>
          <w:p w14:paraId="33EB3449"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para-para-DDT</w:t>
            </w:r>
          </w:p>
        </w:tc>
        <w:tc>
          <w:tcPr>
            <w:tcW w:w="1329" w:type="dxa"/>
            <w:gridSpan w:val="3"/>
            <w:tcMar>
              <w:left w:w="28" w:type="dxa"/>
              <w:right w:w="28" w:type="dxa"/>
            </w:tcMar>
          </w:tcPr>
          <w:p w14:paraId="6141AC7C" w14:textId="77777777" w:rsidR="002709ED" w:rsidRDefault="002709ED">
            <w:pPr>
              <w:keepNext/>
              <w:keepLines/>
              <w:spacing w:before="40" w:after="40" w:line="360" w:lineRule="auto"/>
              <w:rPr>
                <w:noProof/>
                <w:sz w:val="22"/>
                <w:szCs w:val="24"/>
                <w:lang w:val="en-GB" w:eastAsia="en-US"/>
              </w:rPr>
            </w:pPr>
          </w:p>
        </w:tc>
        <w:tc>
          <w:tcPr>
            <w:tcW w:w="992" w:type="dxa"/>
            <w:gridSpan w:val="2"/>
            <w:tcMar>
              <w:left w:w="28" w:type="dxa"/>
              <w:right w:w="28" w:type="dxa"/>
            </w:tcMar>
          </w:tcPr>
          <w:p w14:paraId="2F82F454"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50-29-3</w:t>
            </w:r>
          </w:p>
        </w:tc>
        <w:tc>
          <w:tcPr>
            <w:tcW w:w="1134" w:type="dxa"/>
          </w:tcPr>
          <w:p w14:paraId="4DE407D7"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200-024-3</w:t>
            </w:r>
          </w:p>
        </w:tc>
        <w:tc>
          <w:tcPr>
            <w:tcW w:w="1279" w:type="dxa"/>
            <w:gridSpan w:val="2"/>
            <w:tcMar>
              <w:left w:w="28" w:type="dxa"/>
              <w:right w:w="28" w:type="dxa"/>
            </w:tcMar>
          </w:tcPr>
          <w:p w14:paraId="400DAE54"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0,01</w:t>
            </w:r>
          </w:p>
        </w:tc>
        <w:tc>
          <w:tcPr>
            <w:tcW w:w="1279" w:type="dxa"/>
            <w:gridSpan w:val="2"/>
            <w:tcMar>
              <w:left w:w="28" w:type="dxa"/>
              <w:right w:w="28" w:type="dxa"/>
            </w:tcMar>
          </w:tcPr>
          <w:p w14:paraId="67E5A395"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0,01</w:t>
            </w:r>
          </w:p>
        </w:tc>
        <w:tc>
          <w:tcPr>
            <w:tcW w:w="1278" w:type="dxa"/>
            <w:gridSpan w:val="2"/>
            <w:tcMar>
              <w:left w:w="28" w:type="dxa"/>
              <w:right w:w="28" w:type="dxa"/>
            </w:tcMar>
          </w:tcPr>
          <w:p w14:paraId="6FC16783"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neuplatňuje sa</w:t>
            </w:r>
          </w:p>
        </w:tc>
        <w:tc>
          <w:tcPr>
            <w:tcW w:w="1277" w:type="dxa"/>
            <w:gridSpan w:val="2"/>
            <w:tcMar>
              <w:left w:w="28" w:type="dxa"/>
              <w:right w:w="28" w:type="dxa"/>
            </w:tcMar>
          </w:tcPr>
          <w:p w14:paraId="69AD0B5E"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neuplatňuje sa</w:t>
            </w:r>
          </w:p>
        </w:tc>
        <w:tc>
          <w:tcPr>
            <w:tcW w:w="1136" w:type="dxa"/>
            <w:gridSpan w:val="2"/>
            <w:tcMar>
              <w:left w:w="28" w:type="dxa"/>
              <w:right w:w="28" w:type="dxa"/>
            </w:tcMar>
          </w:tcPr>
          <w:p w14:paraId="2E99FBE0" w14:textId="77777777" w:rsidR="002709ED" w:rsidRDefault="002709ED">
            <w:pPr>
              <w:keepNext/>
              <w:keepLines/>
              <w:spacing w:before="40" w:after="40" w:line="360" w:lineRule="auto"/>
              <w:rPr>
                <w:noProof/>
                <w:sz w:val="22"/>
                <w:szCs w:val="24"/>
                <w:lang w:val="en-GB" w:eastAsia="en-US"/>
              </w:rPr>
            </w:pPr>
          </w:p>
        </w:tc>
        <w:tc>
          <w:tcPr>
            <w:tcW w:w="1262" w:type="dxa"/>
            <w:tcMar>
              <w:left w:w="28" w:type="dxa"/>
              <w:right w:w="28" w:type="dxa"/>
            </w:tcMar>
          </w:tcPr>
          <w:p w14:paraId="64609B56"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X</w:t>
            </w:r>
          </w:p>
        </w:tc>
        <w:tc>
          <w:tcPr>
            <w:tcW w:w="1153" w:type="dxa"/>
            <w:gridSpan w:val="2"/>
            <w:tcMar>
              <w:left w:w="28" w:type="dxa"/>
              <w:right w:w="28" w:type="dxa"/>
            </w:tcMar>
          </w:tcPr>
          <w:p w14:paraId="69341FB6" w14:textId="77777777" w:rsidR="002709ED" w:rsidRDefault="002709ED">
            <w:pPr>
              <w:keepNext/>
              <w:keepLines/>
              <w:spacing w:before="40" w:after="40" w:line="360" w:lineRule="auto"/>
              <w:rPr>
                <w:noProof/>
                <w:sz w:val="22"/>
                <w:szCs w:val="24"/>
                <w:lang w:val="en-GB" w:eastAsia="en-US"/>
              </w:rPr>
            </w:pPr>
          </w:p>
        </w:tc>
        <w:tc>
          <w:tcPr>
            <w:tcW w:w="970" w:type="dxa"/>
            <w:tcMar>
              <w:left w:w="28" w:type="dxa"/>
              <w:right w:w="28" w:type="dxa"/>
            </w:tcMar>
          </w:tcPr>
          <w:p w14:paraId="0FB1716C" w14:textId="77777777" w:rsidR="002709ED" w:rsidRDefault="002709ED">
            <w:pPr>
              <w:keepNext/>
              <w:keepLines/>
              <w:spacing w:before="40" w:after="40" w:line="360" w:lineRule="auto"/>
              <w:rPr>
                <w:noProof/>
                <w:sz w:val="22"/>
                <w:szCs w:val="24"/>
                <w:lang w:val="en-GB" w:eastAsia="en-US"/>
              </w:rPr>
            </w:pPr>
          </w:p>
        </w:tc>
      </w:tr>
      <w:tr w:rsidR="002709ED" w14:paraId="0F19C97E" w14:textId="77777777">
        <w:trPr>
          <w:gridBefore w:val="1"/>
          <w:wBefore w:w="12" w:type="dxa"/>
          <w:cantSplit/>
          <w:tblHeader/>
          <w:jc w:val="center"/>
        </w:trPr>
        <w:tc>
          <w:tcPr>
            <w:tcW w:w="651" w:type="dxa"/>
            <w:gridSpan w:val="3"/>
            <w:tcMar>
              <w:left w:w="28" w:type="dxa"/>
              <w:right w:w="28" w:type="dxa"/>
            </w:tcMar>
          </w:tcPr>
          <w:p w14:paraId="5F0AF522"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(10)</w:t>
            </w:r>
          </w:p>
        </w:tc>
        <w:tc>
          <w:tcPr>
            <w:tcW w:w="2286" w:type="dxa"/>
            <w:gridSpan w:val="3"/>
            <w:tcMar>
              <w:left w:w="28" w:type="dxa"/>
              <w:right w:w="28" w:type="dxa"/>
            </w:tcMar>
          </w:tcPr>
          <w:p w14:paraId="426B0985"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1,2-dichlóretán</w:t>
            </w:r>
          </w:p>
        </w:tc>
        <w:tc>
          <w:tcPr>
            <w:tcW w:w="1329" w:type="dxa"/>
            <w:gridSpan w:val="3"/>
            <w:tcMar>
              <w:left w:w="28" w:type="dxa"/>
              <w:right w:w="28" w:type="dxa"/>
            </w:tcMar>
          </w:tcPr>
          <w:p w14:paraId="1F5909F0"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priemyselné látky</w:t>
            </w:r>
          </w:p>
        </w:tc>
        <w:tc>
          <w:tcPr>
            <w:tcW w:w="992" w:type="dxa"/>
            <w:gridSpan w:val="2"/>
            <w:tcMar>
              <w:left w:w="28" w:type="dxa"/>
              <w:right w:w="28" w:type="dxa"/>
            </w:tcMar>
          </w:tcPr>
          <w:p w14:paraId="35DEEEC4"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107-06-2</w:t>
            </w:r>
          </w:p>
        </w:tc>
        <w:tc>
          <w:tcPr>
            <w:tcW w:w="1134" w:type="dxa"/>
          </w:tcPr>
          <w:p w14:paraId="447A9FFB"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203-458-1</w:t>
            </w:r>
          </w:p>
        </w:tc>
        <w:tc>
          <w:tcPr>
            <w:tcW w:w="1279" w:type="dxa"/>
            <w:gridSpan w:val="2"/>
            <w:tcMar>
              <w:left w:w="28" w:type="dxa"/>
              <w:right w:w="28" w:type="dxa"/>
            </w:tcMar>
          </w:tcPr>
          <w:p w14:paraId="2F5844AA"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 xml:space="preserve">10 </w:t>
            </w:r>
          </w:p>
        </w:tc>
        <w:tc>
          <w:tcPr>
            <w:tcW w:w="1279" w:type="dxa"/>
            <w:gridSpan w:val="2"/>
            <w:tcMar>
              <w:left w:w="28" w:type="dxa"/>
              <w:right w:w="28" w:type="dxa"/>
            </w:tcMar>
          </w:tcPr>
          <w:p w14:paraId="684EF77C"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 xml:space="preserve">10 </w:t>
            </w:r>
          </w:p>
        </w:tc>
        <w:tc>
          <w:tcPr>
            <w:tcW w:w="1278" w:type="dxa"/>
            <w:gridSpan w:val="2"/>
            <w:tcMar>
              <w:left w:w="28" w:type="dxa"/>
              <w:right w:w="28" w:type="dxa"/>
            </w:tcMar>
          </w:tcPr>
          <w:p w14:paraId="3879460F"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neuplatňuje sa</w:t>
            </w:r>
          </w:p>
        </w:tc>
        <w:tc>
          <w:tcPr>
            <w:tcW w:w="1277" w:type="dxa"/>
            <w:gridSpan w:val="2"/>
            <w:tcMar>
              <w:left w:w="28" w:type="dxa"/>
              <w:right w:w="28" w:type="dxa"/>
            </w:tcMar>
          </w:tcPr>
          <w:p w14:paraId="1F818A83"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neuplatňuje sa</w:t>
            </w:r>
          </w:p>
        </w:tc>
        <w:tc>
          <w:tcPr>
            <w:tcW w:w="1136" w:type="dxa"/>
            <w:gridSpan w:val="2"/>
            <w:tcMar>
              <w:left w:w="28" w:type="dxa"/>
              <w:right w:w="28" w:type="dxa"/>
            </w:tcMar>
          </w:tcPr>
          <w:p w14:paraId="47AB8DFE" w14:textId="77777777" w:rsidR="002709ED" w:rsidRDefault="002709ED">
            <w:pPr>
              <w:keepNext/>
              <w:keepLines/>
              <w:spacing w:before="40" w:after="40" w:line="360" w:lineRule="auto"/>
              <w:rPr>
                <w:noProof/>
                <w:sz w:val="22"/>
                <w:szCs w:val="24"/>
                <w:lang w:val="en-GB" w:eastAsia="en-US"/>
              </w:rPr>
            </w:pPr>
          </w:p>
        </w:tc>
        <w:tc>
          <w:tcPr>
            <w:tcW w:w="1262" w:type="dxa"/>
            <w:tcMar>
              <w:left w:w="28" w:type="dxa"/>
              <w:right w:w="28" w:type="dxa"/>
            </w:tcMar>
          </w:tcPr>
          <w:p w14:paraId="1B733147"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X</w:t>
            </w:r>
          </w:p>
        </w:tc>
        <w:tc>
          <w:tcPr>
            <w:tcW w:w="1153" w:type="dxa"/>
            <w:gridSpan w:val="2"/>
            <w:tcMar>
              <w:left w:w="28" w:type="dxa"/>
              <w:right w:w="28" w:type="dxa"/>
            </w:tcMar>
          </w:tcPr>
          <w:p w14:paraId="2D3628C4" w14:textId="77777777" w:rsidR="002709ED" w:rsidRDefault="002709ED">
            <w:pPr>
              <w:keepNext/>
              <w:keepLines/>
              <w:spacing w:before="40" w:after="40" w:line="360" w:lineRule="auto"/>
              <w:rPr>
                <w:noProof/>
                <w:sz w:val="22"/>
                <w:szCs w:val="24"/>
                <w:lang w:val="en-GB" w:eastAsia="en-US"/>
              </w:rPr>
            </w:pPr>
          </w:p>
        </w:tc>
        <w:tc>
          <w:tcPr>
            <w:tcW w:w="970" w:type="dxa"/>
            <w:tcMar>
              <w:left w:w="28" w:type="dxa"/>
              <w:right w:w="28" w:type="dxa"/>
            </w:tcMar>
          </w:tcPr>
          <w:p w14:paraId="11C6B4FB" w14:textId="77777777" w:rsidR="002709ED" w:rsidRDefault="002709ED">
            <w:pPr>
              <w:keepNext/>
              <w:keepLines/>
              <w:spacing w:before="40" w:after="40" w:line="360" w:lineRule="auto"/>
              <w:rPr>
                <w:noProof/>
                <w:sz w:val="22"/>
                <w:szCs w:val="24"/>
                <w:lang w:val="en-GB" w:eastAsia="en-US"/>
              </w:rPr>
            </w:pPr>
          </w:p>
        </w:tc>
      </w:tr>
      <w:tr w:rsidR="002709ED" w14:paraId="149E5733" w14:textId="77777777">
        <w:trPr>
          <w:gridBefore w:val="1"/>
          <w:wBefore w:w="12" w:type="dxa"/>
          <w:cantSplit/>
          <w:tblHeader/>
          <w:jc w:val="center"/>
        </w:trPr>
        <w:tc>
          <w:tcPr>
            <w:tcW w:w="651" w:type="dxa"/>
            <w:gridSpan w:val="3"/>
            <w:tcMar>
              <w:left w:w="28" w:type="dxa"/>
              <w:right w:w="28" w:type="dxa"/>
            </w:tcMar>
          </w:tcPr>
          <w:p w14:paraId="6B53A51D"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(11)</w:t>
            </w:r>
          </w:p>
        </w:tc>
        <w:tc>
          <w:tcPr>
            <w:tcW w:w="2286" w:type="dxa"/>
            <w:gridSpan w:val="3"/>
            <w:tcMar>
              <w:left w:w="28" w:type="dxa"/>
              <w:right w:w="28" w:type="dxa"/>
            </w:tcMar>
          </w:tcPr>
          <w:p w14:paraId="02F2282C"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dichlórmetán</w:t>
            </w:r>
          </w:p>
        </w:tc>
        <w:tc>
          <w:tcPr>
            <w:tcW w:w="1329" w:type="dxa"/>
            <w:gridSpan w:val="3"/>
            <w:tcMar>
              <w:left w:w="28" w:type="dxa"/>
              <w:right w:w="28" w:type="dxa"/>
            </w:tcMar>
          </w:tcPr>
          <w:p w14:paraId="1EFBE359"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priemyselné látky</w:t>
            </w:r>
          </w:p>
        </w:tc>
        <w:tc>
          <w:tcPr>
            <w:tcW w:w="992" w:type="dxa"/>
            <w:gridSpan w:val="2"/>
            <w:tcMar>
              <w:left w:w="28" w:type="dxa"/>
              <w:right w:w="28" w:type="dxa"/>
            </w:tcMar>
          </w:tcPr>
          <w:p w14:paraId="404D8C20"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75-09-2</w:t>
            </w:r>
          </w:p>
        </w:tc>
        <w:tc>
          <w:tcPr>
            <w:tcW w:w="1134" w:type="dxa"/>
          </w:tcPr>
          <w:p w14:paraId="7A057A58"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200-838-9</w:t>
            </w:r>
          </w:p>
        </w:tc>
        <w:tc>
          <w:tcPr>
            <w:tcW w:w="1279" w:type="dxa"/>
            <w:gridSpan w:val="2"/>
            <w:tcMar>
              <w:left w:w="28" w:type="dxa"/>
              <w:right w:w="28" w:type="dxa"/>
            </w:tcMar>
          </w:tcPr>
          <w:p w14:paraId="3F337030"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20</w:t>
            </w:r>
          </w:p>
        </w:tc>
        <w:tc>
          <w:tcPr>
            <w:tcW w:w="1279" w:type="dxa"/>
            <w:gridSpan w:val="2"/>
            <w:tcMar>
              <w:left w:w="28" w:type="dxa"/>
              <w:right w:w="28" w:type="dxa"/>
            </w:tcMar>
          </w:tcPr>
          <w:p w14:paraId="3363C2C5"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20</w:t>
            </w:r>
          </w:p>
        </w:tc>
        <w:tc>
          <w:tcPr>
            <w:tcW w:w="1278" w:type="dxa"/>
            <w:gridSpan w:val="2"/>
            <w:tcMar>
              <w:left w:w="28" w:type="dxa"/>
              <w:right w:w="28" w:type="dxa"/>
            </w:tcMar>
          </w:tcPr>
          <w:p w14:paraId="1533D789"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neuplatňuje sa</w:t>
            </w:r>
          </w:p>
        </w:tc>
        <w:tc>
          <w:tcPr>
            <w:tcW w:w="1277" w:type="dxa"/>
            <w:gridSpan w:val="2"/>
            <w:tcMar>
              <w:left w:w="28" w:type="dxa"/>
              <w:right w:w="28" w:type="dxa"/>
            </w:tcMar>
          </w:tcPr>
          <w:p w14:paraId="00E05FB1"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neuplatňuje sa</w:t>
            </w:r>
          </w:p>
        </w:tc>
        <w:tc>
          <w:tcPr>
            <w:tcW w:w="1136" w:type="dxa"/>
            <w:gridSpan w:val="2"/>
            <w:tcMar>
              <w:left w:w="28" w:type="dxa"/>
              <w:right w:w="28" w:type="dxa"/>
            </w:tcMar>
          </w:tcPr>
          <w:p w14:paraId="3AC3B044" w14:textId="77777777" w:rsidR="002709ED" w:rsidRDefault="002709ED">
            <w:pPr>
              <w:keepNext/>
              <w:keepLines/>
              <w:spacing w:before="40" w:after="40" w:line="360" w:lineRule="auto"/>
              <w:rPr>
                <w:noProof/>
                <w:sz w:val="22"/>
                <w:szCs w:val="24"/>
                <w:lang w:val="en-GB" w:eastAsia="en-US"/>
              </w:rPr>
            </w:pPr>
          </w:p>
        </w:tc>
        <w:tc>
          <w:tcPr>
            <w:tcW w:w="1262" w:type="dxa"/>
            <w:tcMar>
              <w:left w:w="28" w:type="dxa"/>
              <w:right w:w="28" w:type="dxa"/>
            </w:tcMar>
          </w:tcPr>
          <w:p w14:paraId="004DE591" w14:textId="77777777" w:rsidR="002709ED" w:rsidRDefault="002709ED">
            <w:pPr>
              <w:keepNext/>
              <w:keepLines/>
              <w:spacing w:before="40" w:after="40" w:line="360" w:lineRule="auto"/>
              <w:rPr>
                <w:noProof/>
                <w:sz w:val="22"/>
                <w:szCs w:val="24"/>
                <w:lang w:val="en-GB" w:eastAsia="en-US"/>
              </w:rPr>
            </w:pPr>
          </w:p>
        </w:tc>
        <w:tc>
          <w:tcPr>
            <w:tcW w:w="1153" w:type="dxa"/>
            <w:gridSpan w:val="2"/>
            <w:tcMar>
              <w:left w:w="28" w:type="dxa"/>
              <w:right w:w="28" w:type="dxa"/>
            </w:tcMar>
          </w:tcPr>
          <w:p w14:paraId="476CA7D8" w14:textId="77777777" w:rsidR="002709ED" w:rsidRDefault="002709ED">
            <w:pPr>
              <w:keepNext/>
              <w:keepLines/>
              <w:spacing w:before="40" w:after="40" w:line="360" w:lineRule="auto"/>
              <w:rPr>
                <w:noProof/>
                <w:sz w:val="22"/>
                <w:szCs w:val="24"/>
                <w:lang w:val="en-GB" w:eastAsia="en-US"/>
              </w:rPr>
            </w:pPr>
          </w:p>
        </w:tc>
        <w:tc>
          <w:tcPr>
            <w:tcW w:w="970" w:type="dxa"/>
            <w:tcMar>
              <w:left w:w="28" w:type="dxa"/>
              <w:right w:w="28" w:type="dxa"/>
            </w:tcMar>
          </w:tcPr>
          <w:p w14:paraId="2E6FDDD7" w14:textId="77777777" w:rsidR="002709ED" w:rsidRDefault="002709ED">
            <w:pPr>
              <w:keepNext/>
              <w:keepLines/>
              <w:spacing w:before="40" w:after="40" w:line="360" w:lineRule="auto"/>
              <w:rPr>
                <w:noProof/>
                <w:sz w:val="22"/>
                <w:szCs w:val="24"/>
                <w:lang w:val="en-GB" w:eastAsia="en-US"/>
              </w:rPr>
            </w:pPr>
          </w:p>
        </w:tc>
      </w:tr>
      <w:tr w:rsidR="002709ED" w14:paraId="370DADE3" w14:textId="77777777">
        <w:trPr>
          <w:gridBefore w:val="1"/>
          <w:wBefore w:w="12" w:type="dxa"/>
          <w:cantSplit/>
          <w:tblHeader/>
          <w:jc w:val="center"/>
        </w:trPr>
        <w:tc>
          <w:tcPr>
            <w:tcW w:w="651" w:type="dxa"/>
            <w:gridSpan w:val="3"/>
            <w:tcMar>
              <w:left w:w="28" w:type="dxa"/>
              <w:right w:w="28" w:type="dxa"/>
            </w:tcMar>
          </w:tcPr>
          <w:p w14:paraId="19840E0E"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(12)</w:t>
            </w:r>
          </w:p>
        </w:tc>
        <w:tc>
          <w:tcPr>
            <w:tcW w:w="2286" w:type="dxa"/>
            <w:gridSpan w:val="3"/>
            <w:tcMar>
              <w:left w:w="28" w:type="dxa"/>
              <w:right w:w="28" w:type="dxa"/>
            </w:tcMar>
          </w:tcPr>
          <w:p w14:paraId="7A1BF058"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bis(2-etylhexyl)-ftalát (DEHP)</w:t>
            </w:r>
          </w:p>
        </w:tc>
        <w:tc>
          <w:tcPr>
            <w:tcW w:w="1329" w:type="dxa"/>
            <w:gridSpan w:val="3"/>
            <w:tcMar>
              <w:left w:w="28" w:type="dxa"/>
              <w:right w:w="28" w:type="dxa"/>
            </w:tcMar>
          </w:tcPr>
          <w:p w14:paraId="1CE06831"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priemyselné látky</w:t>
            </w:r>
          </w:p>
        </w:tc>
        <w:tc>
          <w:tcPr>
            <w:tcW w:w="992" w:type="dxa"/>
            <w:gridSpan w:val="2"/>
            <w:tcMar>
              <w:left w:w="28" w:type="dxa"/>
              <w:right w:w="28" w:type="dxa"/>
            </w:tcMar>
          </w:tcPr>
          <w:p w14:paraId="6809DBF7"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117-81-7</w:t>
            </w:r>
          </w:p>
        </w:tc>
        <w:tc>
          <w:tcPr>
            <w:tcW w:w="1134" w:type="dxa"/>
          </w:tcPr>
          <w:p w14:paraId="5D488D76"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204-211-0</w:t>
            </w:r>
          </w:p>
        </w:tc>
        <w:tc>
          <w:tcPr>
            <w:tcW w:w="1279" w:type="dxa"/>
            <w:gridSpan w:val="2"/>
            <w:tcMar>
              <w:left w:w="28" w:type="dxa"/>
              <w:right w:w="28" w:type="dxa"/>
            </w:tcMar>
          </w:tcPr>
          <w:p w14:paraId="4367D5F0"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1,3</w:t>
            </w:r>
          </w:p>
        </w:tc>
        <w:tc>
          <w:tcPr>
            <w:tcW w:w="1279" w:type="dxa"/>
            <w:gridSpan w:val="2"/>
            <w:tcMar>
              <w:left w:w="28" w:type="dxa"/>
              <w:right w:w="28" w:type="dxa"/>
            </w:tcMar>
          </w:tcPr>
          <w:p w14:paraId="01872B83"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1,3</w:t>
            </w:r>
          </w:p>
        </w:tc>
        <w:tc>
          <w:tcPr>
            <w:tcW w:w="1278" w:type="dxa"/>
            <w:gridSpan w:val="2"/>
            <w:tcMar>
              <w:left w:w="28" w:type="dxa"/>
              <w:right w:w="28" w:type="dxa"/>
            </w:tcMar>
          </w:tcPr>
          <w:p w14:paraId="399CF378"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neuplatňuje sa</w:t>
            </w:r>
          </w:p>
        </w:tc>
        <w:tc>
          <w:tcPr>
            <w:tcW w:w="1277" w:type="dxa"/>
            <w:gridSpan w:val="2"/>
            <w:tcMar>
              <w:left w:w="28" w:type="dxa"/>
              <w:right w:w="28" w:type="dxa"/>
            </w:tcMar>
          </w:tcPr>
          <w:p w14:paraId="553502E2"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neuplatňuje sa</w:t>
            </w:r>
          </w:p>
        </w:tc>
        <w:tc>
          <w:tcPr>
            <w:tcW w:w="1136" w:type="dxa"/>
            <w:gridSpan w:val="2"/>
            <w:tcMar>
              <w:left w:w="28" w:type="dxa"/>
              <w:right w:w="28" w:type="dxa"/>
            </w:tcMar>
          </w:tcPr>
          <w:p w14:paraId="6DBC778F" w14:textId="77777777" w:rsidR="002709ED" w:rsidRDefault="002709ED">
            <w:pPr>
              <w:keepNext/>
              <w:keepLines/>
              <w:spacing w:before="40" w:after="40" w:line="360" w:lineRule="auto"/>
              <w:rPr>
                <w:noProof/>
                <w:sz w:val="22"/>
                <w:szCs w:val="24"/>
                <w:lang w:val="en-GB" w:eastAsia="en-US"/>
              </w:rPr>
            </w:pPr>
          </w:p>
        </w:tc>
        <w:tc>
          <w:tcPr>
            <w:tcW w:w="1262" w:type="dxa"/>
            <w:tcMar>
              <w:left w:w="28" w:type="dxa"/>
              <w:right w:w="28" w:type="dxa"/>
            </w:tcMar>
          </w:tcPr>
          <w:p w14:paraId="72439285"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X</w:t>
            </w:r>
          </w:p>
        </w:tc>
        <w:tc>
          <w:tcPr>
            <w:tcW w:w="1153" w:type="dxa"/>
            <w:gridSpan w:val="2"/>
            <w:tcMar>
              <w:left w:w="28" w:type="dxa"/>
              <w:right w:w="28" w:type="dxa"/>
            </w:tcMar>
          </w:tcPr>
          <w:p w14:paraId="2558F5F9" w14:textId="77777777" w:rsidR="002709ED" w:rsidRDefault="002709ED">
            <w:pPr>
              <w:keepNext/>
              <w:keepLines/>
              <w:spacing w:before="40" w:after="40" w:line="360" w:lineRule="auto"/>
              <w:rPr>
                <w:noProof/>
                <w:sz w:val="22"/>
                <w:szCs w:val="24"/>
                <w:lang w:val="en-GB" w:eastAsia="en-US"/>
              </w:rPr>
            </w:pPr>
          </w:p>
        </w:tc>
        <w:tc>
          <w:tcPr>
            <w:tcW w:w="970" w:type="dxa"/>
            <w:tcMar>
              <w:left w:w="28" w:type="dxa"/>
              <w:right w:w="28" w:type="dxa"/>
            </w:tcMar>
          </w:tcPr>
          <w:p w14:paraId="60E11C75"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X</w:t>
            </w:r>
          </w:p>
        </w:tc>
      </w:tr>
      <w:tr w:rsidR="002709ED" w14:paraId="14D6D1DD" w14:textId="77777777">
        <w:trPr>
          <w:gridBefore w:val="1"/>
          <w:wBefore w:w="12" w:type="dxa"/>
          <w:cantSplit/>
          <w:tblHeader/>
          <w:jc w:val="center"/>
        </w:trPr>
        <w:tc>
          <w:tcPr>
            <w:tcW w:w="651" w:type="dxa"/>
            <w:gridSpan w:val="3"/>
            <w:tcMar>
              <w:left w:w="28" w:type="dxa"/>
              <w:right w:w="28" w:type="dxa"/>
            </w:tcMar>
          </w:tcPr>
          <w:p w14:paraId="22D4C132"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(13)</w:t>
            </w:r>
          </w:p>
        </w:tc>
        <w:tc>
          <w:tcPr>
            <w:tcW w:w="2286" w:type="dxa"/>
            <w:gridSpan w:val="3"/>
            <w:tcMar>
              <w:left w:w="28" w:type="dxa"/>
              <w:right w:w="28" w:type="dxa"/>
            </w:tcMar>
          </w:tcPr>
          <w:p w14:paraId="57046BF0"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diurón</w:t>
            </w:r>
          </w:p>
        </w:tc>
        <w:tc>
          <w:tcPr>
            <w:tcW w:w="1329" w:type="dxa"/>
            <w:gridSpan w:val="3"/>
            <w:tcMar>
              <w:left w:w="28" w:type="dxa"/>
              <w:right w:w="28" w:type="dxa"/>
            </w:tcMar>
          </w:tcPr>
          <w:p w14:paraId="5FADA8AF"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herbicídy</w:t>
            </w:r>
          </w:p>
        </w:tc>
        <w:tc>
          <w:tcPr>
            <w:tcW w:w="992" w:type="dxa"/>
            <w:gridSpan w:val="2"/>
            <w:tcMar>
              <w:left w:w="28" w:type="dxa"/>
              <w:right w:w="28" w:type="dxa"/>
            </w:tcMar>
          </w:tcPr>
          <w:p w14:paraId="242D1AE4"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330-54-1</w:t>
            </w:r>
          </w:p>
        </w:tc>
        <w:tc>
          <w:tcPr>
            <w:tcW w:w="1134" w:type="dxa"/>
          </w:tcPr>
          <w:p w14:paraId="716D6415" w14:textId="77777777" w:rsidR="002709ED" w:rsidRDefault="00B2757B">
            <w:pPr>
              <w:keepNext/>
              <w:keepLines/>
              <w:spacing w:before="40" w:after="40" w:line="360" w:lineRule="auto"/>
              <w:rPr>
                <w:strike/>
                <w:noProof/>
                <w:sz w:val="22"/>
                <w:szCs w:val="24"/>
                <w:lang w:val="en-GB" w:eastAsia="en-US"/>
              </w:rPr>
            </w:pPr>
            <w:r>
              <w:rPr>
                <w:noProof/>
                <w:sz w:val="22"/>
                <w:szCs w:val="24"/>
                <w:lang w:val="en-GB" w:eastAsia="en-US"/>
              </w:rPr>
              <w:t>206-354-4</w:t>
            </w:r>
          </w:p>
        </w:tc>
        <w:tc>
          <w:tcPr>
            <w:tcW w:w="1279" w:type="dxa"/>
            <w:gridSpan w:val="2"/>
            <w:tcMar>
              <w:left w:w="28" w:type="dxa"/>
              <w:right w:w="28" w:type="dxa"/>
            </w:tcMar>
          </w:tcPr>
          <w:p w14:paraId="0CA56FDF" w14:textId="77777777" w:rsidR="002709ED" w:rsidRDefault="00B2757B">
            <w:pPr>
              <w:keepNext/>
              <w:keepLines/>
              <w:spacing w:before="40" w:after="40" w:line="360" w:lineRule="auto"/>
              <w:rPr>
                <w:strike/>
                <w:noProof/>
                <w:sz w:val="22"/>
                <w:szCs w:val="24"/>
                <w:lang w:val="en-GB" w:eastAsia="en-US"/>
              </w:rPr>
            </w:pPr>
            <w:r>
              <w:rPr>
                <w:noProof/>
                <w:sz w:val="22"/>
                <w:szCs w:val="24"/>
                <w:lang w:val="en-GB" w:eastAsia="en-US"/>
              </w:rPr>
              <w:t>0,049</w:t>
            </w:r>
          </w:p>
        </w:tc>
        <w:tc>
          <w:tcPr>
            <w:tcW w:w="1279" w:type="dxa"/>
            <w:gridSpan w:val="2"/>
            <w:tcMar>
              <w:left w:w="28" w:type="dxa"/>
              <w:right w:w="28" w:type="dxa"/>
            </w:tcMar>
          </w:tcPr>
          <w:p w14:paraId="41C16367"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0,0049</w:t>
            </w:r>
          </w:p>
        </w:tc>
        <w:tc>
          <w:tcPr>
            <w:tcW w:w="1278" w:type="dxa"/>
            <w:gridSpan w:val="2"/>
            <w:tcMar>
              <w:left w:w="28" w:type="dxa"/>
              <w:right w:w="28" w:type="dxa"/>
            </w:tcMar>
          </w:tcPr>
          <w:p w14:paraId="330F3265"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0,27</w:t>
            </w:r>
          </w:p>
        </w:tc>
        <w:tc>
          <w:tcPr>
            <w:tcW w:w="1277" w:type="dxa"/>
            <w:gridSpan w:val="2"/>
            <w:tcMar>
              <w:left w:w="28" w:type="dxa"/>
              <w:right w:w="28" w:type="dxa"/>
            </w:tcMar>
          </w:tcPr>
          <w:p w14:paraId="690D2D92"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0,054</w:t>
            </w:r>
          </w:p>
        </w:tc>
        <w:tc>
          <w:tcPr>
            <w:tcW w:w="1136" w:type="dxa"/>
            <w:gridSpan w:val="2"/>
            <w:tcMar>
              <w:left w:w="28" w:type="dxa"/>
              <w:right w:w="28" w:type="dxa"/>
            </w:tcMar>
          </w:tcPr>
          <w:p w14:paraId="399A34EC" w14:textId="77777777" w:rsidR="002709ED" w:rsidRDefault="002709ED">
            <w:pPr>
              <w:keepNext/>
              <w:keepLines/>
              <w:spacing w:before="40" w:after="40" w:line="360" w:lineRule="auto"/>
              <w:rPr>
                <w:noProof/>
                <w:sz w:val="22"/>
                <w:szCs w:val="24"/>
                <w:lang w:val="en-GB" w:eastAsia="en-US"/>
              </w:rPr>
            </w:pPr>
          </w:p>
        </w:tc>
        <w:tc>
          <w:tcPr>
            <w:tcW w:w="1262" w:type="dxa"/>
            <w:tcMar>
              <w:left w:w="28" w:type="dxa"/>
              <w:right w:w="28" w:type="dxa"/>
            </w:tcMar>
          </w:tcPr>
          <w:p w14:paraId="6BED1760" w14:textId="77777777" w:rsidR="002709ED" w:rsidRDefault="002709ED">
            <w:pPr>
              <w:keepNext/>
              <w:keepLines/>
              <w:spacing w:before="40" w:after="40" w:line="360" w:lineRule="auto"/>
              <w:rPr>
                <w:noProof/>
                <w:sz w:val="22"/>
                <w:szCs w:val="24"/>
                <w:lang w:val="en-GB" w:eastAsia="en-US"/>
              </w:rPr>
            </w:pPr>
          </w:p>
        </w:tc>
        <w:tc>
          <w:tcPr>
            <w:tcW w:w="1153" w:type="dxa"/>
            <w:gridSpan w:val="2"/>
            <w:tcMar>
              <w:left w:w="28" w:type="dxa"/>
              <w:right w:w="28" w:type="dxa"/>
            </w:tcMar>
          </w:tcPr>
          <w:p w14:paraId="01A6AF52" w14:textId="77777777" w:rsidR="002709ED" w:rsidRDefault="002709ED">
            <w:pPr>
              <w:keepNext/>
              <w:keepLines/>
              <w:spacing w:before="40" w:after="40" w:line="360" w:lineRule="auto"/>
              <w:rPr>
                <w:noProof/>
                <w:sz w:val="22"/>
                <w:szCs w:val="24"/>
                <w:lang w:val="en-GB" w:eastAsia="en-US"/>
              </w:rPr>
            </w:pPr>
          </w:p>
        </w:tc>
        <w:tc>
          <w:tcPr>
            <w:tcW w:w="970" w:type="dxa"/>
            <w:tcMar>
              <w:left w:w="28" w:type="dxa"/>
              <w:right w:w="28" w:type="dxa"/>
            </w:tcMar>
          </w:tcPr>
          <w:p w14:paraId="72A09090" w14:textId="77777777" w:rsidR="002709ED" w:rsidRDefault="002709ED">
            <w:pPr>
              <w:keepNext/>
              <w:keepLines/>
              <w:spacing w:before="40" w:after="40" w:line="360" w:lineRule="auto"/>
              <w:rPr>
                <w:noProof/>
                <w:sz w:val="22"/>
                <w:szCs w:val="24"/>
                <w:lang w:val="en-GB" w:eastAsia="en-US"/>
              </w:rPr>
            </w:pPr>
          </w:p>
        </w:tc>
      </w:tr>
      <w:tr w:rsidR="002709ED" w14:paraId="60912582" w14:textId="77777777">
        <w:trPr>
          <w:gridBefore w:val="1"/>
          <w:wBefore w:w="12" w:type="dxa"/>
          <w:cantSplit/>
          <w:tblHeader/>
          <w:jc w:val="center"/>
        </w:trPr>
        <w:tc>
          <w:tcPr>
            <w:tcW w:w="651" w:type="dxa"/>
            <w:gridSpan w:val="3"/>
            <w:tcMar>
              <w:left w:w="28" w:type="dxa"/>
              <w:right w:w="28" w:type="dxa"/>
            </w:tcMar>
          </w:tcPr>
          <w:p w14:paraId="103DB95F"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(14)</w:t>
            </w:r>
          </w:p>
        </w:tc>
        <w:tc>
          <w:tcPr>
            <w:tcW w:w="2286" w:type="dxa"/>
            <w:gridSpan w:val="3"/>
            <w:tcMar>
              <w:left w:w="28" w:type="dxa"/>
              <w:right w:w="28" w:type="dxa"/>
            </w:tcMar>
          </w:tcPr>
          <w:p w14:paraId="2AFD19D3"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endosulfán</w:t>
            </w:r>
          </w:p>
        </w:tc>
        <w:tc>
          <w:tcPr>
            <w:tcW w:w="1329" w:type="dxa"/>
            <w:gridSpan w:val="3"/>
            <w:tcMar>
              <w:left w:w="28" w:type="dxa"/>
              <w:right w:w="28" w:type="dxa"/>
            </w:tcMar>
          </w:tcPr>
          <w:p w14:paraId="4AD482DA"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organochlórové pesticídy</w:t>
            </w:r>
          </w:p>
        </w:tc>
        <w:tc>
          <w:tcPr>
            <w:tcW w:w="992" w:type="dxa"/>
            <w:gridSpan w:val="2"/>
            <w:tcMar>
              <w:left w:w="28" w:type="dxa"/>
              <w:right w:w="28" w:type="dxa"/>
            </w:tcMar>
          </w:tcPr>
          <w:p w14:paraId="55ACBECF"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115-29-7</w:t>
            </w:r>
          </w:p>
        </w:tc>
        <w:tc>
          <w:tcPr>
            <w:tcW w:w="1134" w:type="dxa"/>
          </w:tcPr>
          <w:p w14:paraId="5F20EE54"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204-079-4</w:t>
            </w:r>
          </w:p>
        </w:tc>
        <w:tc>
          <w:tcPr>
            <w:tcW w:w="1279" w:type="dxa"/>
            <w:gridSpan w:val="2"/>
            <w:tcMar>
              <w:left w:w="28" w:type="dxa"/>
              <w:right w:w="28" w:type="dxa"/>
            </w:tcMar>
          </w:tcPr>
          <w:p w14:paraId="0D63F246"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0,005</w:t>
            </w:r>
          </w:p>
        </w:tc>
        <w:tc>
          <w:tcPr>
            <w:tcW w:w="1279" w:type="dxa"/>
            <w:gridSpan w:val="2"/>
            <w:tcMar>
              <w:left w:w="28" w:type="dxa"/>
              <w:right w:w="28" w:type="dxa"/>
            </w:tcMar>
          </w:tcPr>
          <w:p w14:paraId="4E520E2B"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0,0005</w:t>
            </w:r>
          </w:p>
        </w:tc>
        <w:tc>
          <w:tcPr>
            <w:tcW w:w="1278" w:type="dxa"/>
            <w:gridSpan w:val="2"/>
            <w:tcMar>
              <w:left w:w="28" w:type="dxa"/>
              <w:right w:w="28" w:type="dxa"/>
            </w:tcMar>
          </w:tcPr>
          <w:p w14:paraId="3CF65DF0"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0,01</w:t>
            </w:r>
          </w:p>
        </w:tc>
        <w:tc>
          <w:tcPr>
            <w:tcW w:w="1277" w:type="dxa"/>
            <w:gridSpan w:val="2"/>
            <w:tcMar>
              <w:left w:w="28" w:type="dxa"/>
              <w:right w:w="28" w:type="dxa"/>
            </w:tcMar>
          </w:tcPr>
          <w:p w14:paraId="527EA39E"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0,004</w:t>
            </w:r>
          </w:p>
        </w:tc>
        <w:tc>
          <w:tcPr>
            <w:tcW w:w="1136" w:type="dxa"/>
            <w:gridSpan w:val="2"/>
            <w:tcMar>
              <w:left w:w="28" w:type="dxa"/>
              <w:right w:w="28" w:type="dxa"/>
            </w:tcMar>
          </w:tcPr>
          <w:p w14:paraId="5F57BFA9" w14:textId="77777777" w:rsidR="002709ED" w:rsidRDefault="002709ED">
            <w:pPr>
              <w:keepNext/>
              <w:keepLines/>
              <w:spacing w:before="40" w:after="40" w:line="360" w:lineRule="auto"/>
              <w:rPr>
                <w:noProof/>
                <w:sz w:val="22"/>
                <w:szCs w:val="24"/>
                <w:lang w:val="en-GB" w:eastAsia="en-US"/>
              </w:rPr>
            </w:pPr>
          </w:p>
        </w:tc>
        <w:tc>
          <w:tcPr>
            <w:tcW w:w="1262" w:type="dxa"/>
            <w:tcMar>
              <w:left w:w="28" w:type="dxa"/>
              <w:right w:w="28" w:type="dxa"/>
            </w:tcMar>
          </w:tcPr>
          <w:p w14:paraId="44609960"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X</w:t>
            </w:r>
          </w:p>
        </w:tc>
        <w:tc>
          <w:tcPr>
            <w:tcW w:w="1153" w:type="dxa"/>
            <w:gridSpan w:val="2"/>
            <w:tcMar>
              <w:left w:w="28" w:type="dxa"/>
              <w:right w:w="28" w:type="dxa"/>
            </w:tcMar>
          </w:tcPr>
          <w:p w14:paraId="48E8CFB1" w14:textId="77777777" w:rsidR="002709ED" w:rsidRDefault="002709ED">
            <w:pPr>
              <w:keepNext/>
              <w:keepLines/>
              <w:spacing w:before="40" w:after="40" w:line="360" w:lineRule="auto"/>
              <w:rPr>
                <w:noProof/>
                <w:sz w:val="22"/>
                <w:szCs w:val="24"/>
                <w:lang w:val="en-GB" w:eastAsia="en-US"/>
              </w:rPr>
            </w:pPr>
          </w:p>
        </w:tc>
        <w:tc>
          <w:tcPr>
            <w:tcW w:w="970" w:type="dxa"/>
            <w:tcMar>
              <w:left w:w="28" w:type="dxa"/>
              <w:right w:w="28" w:type="dxa"/>
            </w:tcMar>
          </w:tcPr>
          <w:p w14:paraId="26748EA5" w14:textId="77777777" w:rsidR="002709ED" w:rsidRDefault="002709ED">
            <w:pPr>
              <w:keepNext/>
              <w:keepLines/>
              <w:spacing w:before="40" w:after="40" w:line="360" w:lineRule="auto"/>
              <w:rPr>
                <w:noProof/>
                <w:sz w:val="22"/>
                <w:szCs w:val="24"/>
                <w:lang w:val="en-GB" w:eastAsia="en-US"/>
              </w:rPr>
            </w:pPr>
          </w:p>
        </w:tc>
      </w:tr>
      <w:tr w:rsidR="002709ED" w14:paraId="411FBF16" w14:textId="77777777">
        <w:trPr>
          <w:gridBefore w:val="1"/>
          <w:wBefore w:w="12" w:type="dxa"/>
          <w:cantSplit/>
          <w:tblHeader/>
          <w:jc w:val="center"/>
        </w:trPr>
        <w:tc>
          <w:tcPr>
            <w:tcW w:w="651" w:type="dxa"/>
            <w:gridSpan w:val="3"/>
            <w:tcMar>
              <w:left w:w="28" w:type="dxa"/>
              <w:right w:w="28" w:type="dxa"/>
            </w:tcMar>
          </w:tcPr>
          <w:p w14:paraId="3B58D6B3"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(15)</w:t>
            </w:r>
          </w:p>
        </w:tc>
        <w:tc>
          <w:tcPr>
            <w:tcW w:w="2286" w:type="dxa"/>
            <w:gridSpan w:val="3"/>
            <w:tcMar>
              <w:left w:w="28" w:type="dxa"/>
              <w:right w:w="28" w:type="dxa"/>
            </w:tcMar>
          </w:tcPr>
          <w:p w14:paraId="5A316F23"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fluorantén</w:t>
            </w:r>
          </w:p>
        </w:tc>
        <w:tc>
          <w:tcPr>
            <w:tcW w:w="1329" w:type="dxa"/>
            <w:gridSpan w:val="3"/>
            <w:tcMar>
              <w:left w:w="28" w:type="dxa"/>
              <w:right w:w="28" w:type="dxa"/>
            </w:tcMar>
          </w:tcPr>
          <w:p w14:paraId="358170F3"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 xml:space="preserve">priemyselné látky </w:t>
            </w:r>
          </w:p>
        </w:tc>
        <w:tc>
          <w:tcPr>
            <w:tcW w:w="992" w:type="dxa"/>
            <w:gridSpan w:val="2"/>
            <w:tcMar>
              <w:left w:w="28" w:type="dxa"/>
              <w:right w:w="28" w:type="dxa"/>
            </w:tcMar>
          </w:tcPr>
          <w:p w14:paraId="41D6EEF2"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206-44-0</w:t>
            </w:r>
          </w:p>
        </w:tc>
        <w:tc>
          <w:tcPr>
            <w:tcW w:w="1134" w:type="dxa"/>
          </w:tcPr>
          <w:p w14:paraId="6D999D7E" w14:textId="77777777" w:rsidR="002709ED" w:rsidRDefault="00B2757B">
            <w:pPr>
              <w:keepNext/>
              <w:keepLines/>
              <w:spacing w:before="40" w:after="40" w:line="360" w:lineRule="auto"/>
              <w:rPr>
                <w:strike/>
                <w:noProof/>
                <w:sz w:val="22"/>
                <w:szCs w:val="24"/>
                <w:lang w:val="en-GB" w:eastAsia="en-US"/>
              </w:rPr>
            </w:pPr>
            <w:r>
              <w:rPr>
                <w:noProof/>
                <w:sz w:val="22"/>
                <w:szCs w:val="24"/>
                <w:lang w:val="en-GB" w:eastAsia="en-US"/>
              </w:rPr>
              <w:t>205-912-4</w:t>
            </w:r>
          </w:p>
        </w:tc>
        <w:tc>
          <w:tcPr>
            <w:tcW w:w="1279" w:type="dxa"/>
            <w:gridSpan w:val="2"/>
            <w:tcMar>
              <w:left w:w="28" w:type="dxa"/>
              <w:right w:w="28" w:type="dxa"/>
            </w:tcMar>
          </w:tcPr>
          <w:p w14:paraId="393BD3F9"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7,62 × 10</w:t>
            </w:r>
            <w:r>
              <w:rPr>
                <w:noProof/>
                <w:sz w:val="22"/>
                <w:szCs w:val="24"/>
                <w:vertAlign w:val="superscript"/>
                <w:lang w:val="en-GB" w:eastAsia="en-US"/>
              </w:rPr>
              <w:t>-4</w:t>
            </w:r>
          </w:p>
        </w:tc>
        <w:tc>
          <w:tcPr>
            <w:tcW w:w="1279" w:type="dxa"/>
            <w:gridSpan w:val="2"/>
            <w:tcMar>
              <w:left w:w="28" w:type="dxa"/>
              <w:right w:w="28" w:type="dxa"/>
            </w:tcMar>
          </w:tcPr>
          <w:p w14:paraId="473FD232"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7,62 × 10</w:t>
            </w:r>
            <w:r>
              <w:rPr>
                <w:noProof/>
                <w:sz w:val="22"/>
                <w:szCs w:val="24"/>
                <w:vertAlign w:val="superscript"/>
                <w:lang w:val="en-GB" w:eastAsia="en-US"/>
              </w:rPr>
              <w:t>-4</w:t>
            </w:r>
          </w:p>
        </w:tc>
        <w:tc>
          <w:tcPr>
            <w:tcW w:w="1278" w:type="dxa"/>
            <w:gridSpan w:val="2"/>
            <w:tcMar>
              <w:left w:w="28" w:type="dxa"/>
              <w:right w:w="28" w:type="dxa"/>
            </w:tcMar>
          </w:tcPr>
          <w:p w14:paraId="766FA0BA"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0,12</w:t>
            </w:r>
          </w:p>
        </w:tc>
        <w:tc>
          <w:tcPr>
            <w:tcW w:w="1277" w:type="dxa"/>
            <w:gridSpan w:val="2"/>
            <w:tcMar>
              <w:left w:w="28" w:type="dxa"/>
              <w:right w:w="28" w:type="dxa"/>
            </w:tcMar>
          </w:tcPr>
          <w:p w14:paraId="3375F43C"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0,012</w:t>
            </w:r>
          </w:p>
        </w:tc>
        <w:tc>
          <w:tcPr>
            <w:tcW w:w="1136" w:type="dxa"/>
            <w:gridSpan w:val="2"/>
            <w:tcMar>
              <w:left w:w="28" w:type="dxa"/>
              <w:right w:w="28" w:type="dxa"/>
            </w:tcMar>
          </w:tcPr>
          <w:p w14:paraId="4F277498"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6,1</w:t>
            </w:r>
          </w:p>
        </w:tc>
        <w:tc>
          <w:tcPr>
            <w:tcW w:w="1262" w:type="dxa"/>
            <w:tcMar>
              <w:left w:w="28" w:type="dxa"/>
              <w:right w:w="28" w:type="dxa"/>
            </w:tcMar>
          </w:tcPr>
          <w:p w14:paraId="37B0BA0B" w14:textId="77777777" w:rsidR="002709ED" w:rsidRDefault="00B2757B">
            <w:pPr>
              <w:keepNext/>
              <w:keepLines/>
              <w:spacing w:before="40" w:after="40" w:line="360" w:lineRule="auto"/>
              <w:rPr>
                <w:strike/>
                <w:noProof/>
                <w:sz w:val="22"/>
                <w:szCs w:val="24"/>
                <w:lang w:val="en-GB" w:eastAsia="en-US"/>
              </w:rPr>
            </w:pPr>
            <w:r>
              <w:rPr>
                <w:noProof/>
                <w:sz w:val="22"/>
                <w:szCs w:val="24"/>
                <w:lang w:val="en-GB" w:eastAsia="en-US"/>
              </w:rPr>
              <w:t>X</w:t>
            </w:r>
          </w:p>
        </w:tc>
        <w:tc>
          <w:tcPr>
            <w:tcW w:w="1153" w:type="dxa"/>
            <w:gridSpan w:val="2"/>
            <w:tcMar>
              <w:left w:w="28" w:type="dxa"/>
              <w:right w:w="28" w:type="dxa"/>
            </w:tcMar>
          </w:tcPr>
          <w:p w14:paraId="11DE1523"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X</w:t>
            </w:r>
          </w:p>
        </w:tc>
        <w:tc>
          <w:tcPr>
            <w:tcW w:w="970" w:type="dxa"/>
            <w:tcMar>
              <w:left w:w="28" w:type="dxa"/>
              <w:right w:w="28" w:type="dxa"/>
            </w:tcMar>
          </w:tcPr>
          <w:p w14:paraId="0FDD8ABA"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X</w:t>
            </w:r>
          </w:p>
        </w:tc>
      </w:tr>
      <w:tr w:rsidR="002709ED" w14:paraId="6C240886" w14:textId="77777777">
        <w:trPr>
          <w:gridBefore w:val="1"/>
          <w:wBefore w:w="12" w:type="dxa"/>
          <w:cantSplit/>
          <w:tblHeader/>
          <w:jc w:val="center"/>
        </w:trPr>
        <w:tc>
          <w:tcPr>
            <w:tcW w:w="651" w:type="dxa"/>
            <w:gridSpan w:val="3"/>
            <w:tcMar>
              <w:left w:w="28" w:type="dxa"/>
              <w:right w:w="28" w:type="dxa"/>
            </w:tcMar>
          </w:tcPr>
          <w:p w14:paraId="79F28DB3"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lastRenderedPageBreak/>
              <w:t>(16)</w:t>
            </w:r>
          </w:p>
        </w:tc>
        <w:tc>
          <w:tcPr>
            <w:tcW w:w="2286" w:type="dxa"/>
            <w:gridSpan w:val="3"/>
            <w:tcMar>
              <w:left w:w="28" w:type="dxa"/>
              <w:right w:w="28" w:type="dxa"/>
            </w:tcMar>
          </w:tcPr>
          <w:p w14:paraId="6932FCA4"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hexachlórbenzén</w:t>
            </w:r>
          </w:p>
        </w:tc>
        <w:tc>
          <w:tcPr>
            <w:tcW w:w="1329" w:type="dxa"/>
            <w:gridSpan w:val="3"/>
            <w:tcMar>
              <w:left w:w="28" w:type="dxa"/>
              <w:right w:w="28" w:type="dxa"/>
            </w:tcMar>
          </w:tcPr>
          <w:p w14:paraId="64132014"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organochlórové pesticídy</w:t>
            </w:r>
          </w:p>
        </w:tc>
        <w:tc>
          <w:tcPr>
            <w:tcW w:w="992" w:type="dxa"/>
            <w:gridSpan w:val="2"/>
            <w:tcMar>
              <w:left w:w="28" w:type="dxa"/>
              <w:right w:w="28" w:type="dxa"/>
            </w:tcMar>
          </w:tcPr>
          <w:p w14:paraId="4CC28CCF"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118-74-1</w:t>
            </w:r>
          </w:p>
        </w:tc>
        <w:tc>
          <w:tcPr>
            <w:tcW w:w="1134" w:type="dxa"/>
          </w:tcPr>
          <w:p w14:paraId="5EA0D077"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204-273-9</w:t>
            </w:r>
          </w:p>
        </w:tc>
        <w:tc>
          <w:tcPr>
            <w:tcW w:w="1279" w:type="dxa"/>
            <w:gridSpan w:val="2"/>
            <w:tcMar>
              <w:left w:w="28" w:type="dxa"/>
              <w:right w:w="28" w:type="dxa"/>
            </w:tcMar>
          </w:tcPr>
          <w:p w14:paraId="5A6A5B51" w14:textId="77777777" w:rsidR="002709ED" w:rsidRDefault="002709ED">
            <w:pPr>
              <w:keepNext/>
              <w:keepLines/>
              <w:spacing w:before="40" w:after="40" w:line="360" w:lineRule="auto"/>
              <w:rPr>
                <w:noProof/>
                <w:sz w:val="22"/>
                <w:szCs w:val="24"/>
                <w:lang w:val="en-GB" w:eastAsia="en-US"/>
              </w:rPr>
            </w:pPr>
          </w:p>
        </w:tc>
        <w:tc>
          <w:tcPr>
            <w:tcW w:w="1279" w:type="dxa"/>
            <w:gridSpan w:val="2"/>
            <w:tcMar>
              <w:left w:w="28" w:type="dxa"/>
              <w:right w:w="28" w:type="dxa"/>
            </w:tcMar>
          </w:tcPr>
          <w:p w14:paraId="3D3E1675" w14:textId="77777777" w:rsidR="002709ED" w:rsidRDefault="002709ED">
            <w:pPr>
              <w:keepNext/>
              <w:keepLines/>
              <w:spacing w:before="40" w:after="40" w:line="360" w:lineRule="auto"/>
              <w:rPr>
                <w:noProof/>
                <w:sz w:val="22"/>
                <w:szCs w:val="24"/>
                <w:lang w:val="en-GB" w:eastAsia="en-US"/>
              </w:rPr>
            </w:pPr>
          </w:p>
        </w:tc>
        <w:tc>
          <w:tcPr>
            <w:tcW w:w="1278" w:type="dxa"/>
            <w:gridSpan w:val="2"/>
            <w:tcMar>
              <w:left w:w="28" w:type="dxa"/>
              <w:right w:w="28" w:type="dxa"/>
            </w:tcMar>
          </w:tcPr>
          <w:p w14:paraId="11F04CCA"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0,5</w:t>
            </w:r>
          </w:p>
        </w:tc>
        <w:tc>
          <w:tcPr>
            <w:tcW w:w="1277" w:type="dxa"/>
            <w:gridSpan w:val="2"/>
            <w:tcMar>
              <w:left w:w="28" w:type="dxa"/>
              <w:right w:w="28" w:type="dxa"/>
            </w:tcMar>
          </w:tcPr>
          <w:p w14:paraId="4ABEA365"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0,05</w:t>
            </w:r>
          </w:p>
        </w:tc>
        <w:tc>
          <w:tcPr>
            <w:tcW w:w="1136" w:type="dxa"/>
            <w:gridSpan w:val="2"/>
            <w:tcMar>
              <w:left w:w="28" w:type="dxa"/>
              <w:right w:w="28" w:type="dxa"/>
            </w:tcMar>
          </w:tcPr>
          <w:p w14:paraId="0E8F3482"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20</w:t>
            </w:r>
          </w:p>
        </w:tc>
        <w:tc>
          <w:tcPr>
            <w:tcW w:w="1262" w:type="dxa"/>
            <w:tcMar>
              <w:left w:w="28" w:type="dxa"/>
              <w:right w:w="28" w:type="dxa"/>
            </w:tcMar>
          </w:tcPr>
          <w:p w14:paraId="26DE1866"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X</w:t>
            </w:r>
          </w:p>
        </w:tc>
        <w:tc>
          <w:tcPr>
            <w:tcW w:w="1153" w:type="dxa"/>
            <w:gridSpan w:val="2"/>
            <w:tcMar>
              <w:left w:w="28" w:type="dxa"/>
              <w:right w:w="28" w:type="dxa"/>
            </w:tcMar>
          </w:tcPr>
          <w:p w14:paraId="315ACB3C" w14:textId="77777777" w:rsidR="002709ED" w:rsidRDefault="002709ED">
            <w:pPr>
              <w:keepNext/>
              <w:keepLines/>
              <w:spacing w:before="40" w:after="40" w:line="360" w:lineRule="auto"/>
              <w:rPr>
                <w:noProof/>
                <w:sz w:val="22"/>
                <w:szCs w:val="24"/>
                <w:lang w:val="en-GB" w:eastAsia="en-US"/>
              </w:rPr>
            </w:pPr>
          </w:p>
        </w:tc>
        <w:tc>
          <w:tcPr>
            <w:tcW w:w="970" w:type="dxa"/>
            <w:tcMar>
              <w:left w:w="28" w:type="dxa"/>
              <w:right w:w="28" w:type="dxa"/>
            </w:tcMar>
          </w:tcPr>
          <w:p w14:paraId="03338FE5"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X</w:t>
            </w:r>
          </w:p>
        </w:tc>
      </w:tr>
      <w:tr w:rsidR="002709ED" w14:paraId="02EA7ED3" w14:textId="77777777">
        <w:trPr>
          <w:gridBefore w:val="1"/>
          <w:wBefore w:w="12" w:type="dxa"/>
          <w:cantSplit/>
          <w:tblHeader/>
          <w:jc w:val="center"/>
        </w:trPr>
        <w:tc>
          <w:tcPr>
            <w:tcW w:w="651" w:type="dxa"/>
            <w:gridSpan w:val="3"/>
            <w:tcMar>
              <w:left w:w="28" w:type="dxa"/>
              <w:right w:w="28" w:type="dxa"/>
            </w:tcMar>
          </w:tcPr>
          <w:p w14:paraId="3D67EFB3"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(17)</w:t>
            </w:r>
          </w:p>
        </w:tc>
        <w:tc>
          <w:tcPr>
            <w:tcW w:w="2286" w:type="dxa"/>
            <w:gridSpan w:val="3"/>
            <w:tcMar>
              <w:left w:w="28" w:type="dxa"/>
              <w:right w:w="28" w:type="dxa"/>
            </w:tcMar>
          </w:tcPr>
          <w:p w14:paraId="57636989"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hexachlórbutadién</w:t>
            </w:r>
          </w:p>
        </w:tc>
        <w:tc>
          <w:tcPr>
            <w:tcW w:w="1329" w:type="dxa"/>
            <w:gridSpan w:val="3"/>
            <w:tcMar>
              <w:left w:w="28" w:type="dxa"/>
              <w:right w:w="28" w:type="dxa"/>
            </w:tcMar>
          </w:tcPr>
          <w:p w14:paraId="1BD49FDD"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priemyselné látky (rozpúšťadlá)</w:t>
            </w:r>
          </w:p>
        </w:tc>
        <w:tc>
          <w:tcPr>
            <w:tcW w:w="992" w:type="dxa"/>
            <w:gridSpan w:val="2"/>
            <w:tcMar>
              <w:left w:w="28" w:type="dxa"/>
              <w:right w:w="28" w:type="dxa"/>
            </w:tcMar>
          </w:tcPr>
          <w:p w14:paraId="470594C3"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87-68-3</w:t>
            </w:r>
          </w:p>
        </w:tc>
        <w:tc>
          <w:tcPr>
            <w:tcW w:w="1134" w:type="dxa"/>
          </w:tcPr>
          <w:p w14:paraId="3C28CE83"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201-765-5</w:t>
            </w:r>
          </w:p>
        </w:tc>
        <w:tc>
          <w:tcPr>
            <w:tcW w:w="1279" w:type="dxa"/>
            <w:gridSpan w:val="2"/>
            <w:tcMar>
              <w:left w:w="28" w:type="dxa"/>
              <w:right w:w="28" w:type="dxa"/>
            </w:tcMar>
          </w:tcPr>
          <w:p w14:paraId="048750FC"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9 × 10</w:t>
            </w:r>
            <w:r>
              <w:rPr>
                <w:noProof/>
                <w:sz w:val="22"/>
                <w:szCs w:val="24"/>
                <w:vertAlign w:val="superscript"/>
                <w:lang w:val="en-GB" w:eastAsia="en-US"/>
              </w:rPr>
              <w:t>-4</w:t>
            </w:r>
          </w:p>
        </w:tc>
        <w:tc>
          <w:tcPr>
            <w:tcW w:w="1279" w:type="dxa"/>
            <w:gridSpan w:val="2"/>
            <w:tcMar>
              <w:left w:w="28" w:type="dxa"/>
              <w:right w:w="28" w:type="dxa"/>
            </w:tcMar>
          </w:tcPr>
          <w:p w14:paraId="563A7B68" w14:textId="77777777" w:rsidR="002709ED" w:rsidRDefault="002709ED">
            <w:pPr>
              <w:keepNext/>
              <w:keepLines/>
              <w:spacing w:before="40" w:after="40" w:line="360" w:lineRule="auto"/>
              <w:rPr>
                <w:noProof/>
                <w:sz w:val="22"/>
                <w:szCs w:val="24"/>
                <w:lang w:val="en-GB" w:eastAsia="en-US"/>
              </w:rPr>
            </w:pPr>
          </w:p>
        </w:tc>
        <w:tc>
          <w:tcPr>
            <w:tcW w:w="1278" w:type="dxa"/>
            <w:gridSpan w:val="2"/>
            <w:tcMar>
              <w:left w:w="28" w:type="dxa"/>
              <w:right w:w="28" w:type="dxa"/>
            </w:tcMar>
          </w:tcPr>
          <w:p w14:paraId="1C9D36E6"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0,6</w:t>
            </w:r>
          </w:p>
        </w:tc>
        <w:tc>
          <w:tcPr>
            <w:tcW w:w="1277" w:type="dxa"/>
            <w:gridSpan w:val="2"/>
            <w:tcMar>
              <w:left w:w="28" w:type="dxa"/>
              <w:right w:w="28" w:type="dxa"/>
            </w:tcMar>
          </w:tcPr>
          <w:p w14:paraId="564FE188"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0,6</w:t>
            </w:r>
          </w:p>
        </w:tc>
        <w:tc>
          <w:tcPr>
            <w:tcW w:w="1136" w:type="dxa"/>
            <w:gridSpan w:val="2"/>
            <w:tcMar>
              <w:left w:w="28" w:type="dxa"/>
              <w:right w:w="28" w:type="dxa"/>
            </w:tcMar>
          </w:tcPr>
          <w:p w14:paraId="518BFF4A"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21</w:t>
            </w:r>
          </w:p>
        </w:tc>
        <w:tc>
          <w:tcPr>
            <w:tcW w:w="1262" w:type="dxa"/>
            <w:tcMar>
              <w:left w:w="28" w:type="dxa"/>
              <w:right w:w="28" w:type="dxa"/>
            </w:tcMar>
          </w:tcPr>
          <w:p w14:paraId="02CD8E68"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X</w:t>
            </w:r>
          </w:p>
        </w:tc>
        <w:tc>
          <w:tcPr>
            <w:tcW w:w="1153" w:type="dxa"/>
            <w:gridSpan w:val="2"/>
            <w:tcMar>
              <w:left w:w="28" w:type="dxa"/>
              <w:right w:w="28" w:type="dxa"/>
            </w:tcMar>
          </w:tcPr>
          <w:p w14:paraId="22DCDB10" w14:textId="77777777" w:rsidR="002709ED" w:rsidRDefault="002709ED">
            <w:pPr>
              <w:keepNext/>
              <w:keepLines/>
              <w:spacing w:before="40" w:after="40" w:line="360" w:lineRule="auto"/>
              <w:rPr>
                <w:noProof/>
                <w:sz w:val="22"/>
                <w:szCs w:val="24"/>
                <w:lang w:val="en-GB" w:eastAsia="en-US"/>
              </w:rPr>
            </w:pPr>
          </w:p>
        </w:tc>
        <w:tc>
          <w:tcPr>
            <w:tcW w:w="970" w:type="dxa"/>
            <w:tcMar>
              <w:left w:w="28" w:type="dxa"/>
              <w:right w:w="28" w:type="dxa"/>
            </w:tcMar>
          </w:tcPr>
          <w:p w14:paraId="0DCCBFE5"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X</w:t>
            </w:r>
          </w:p>
        </w:tc>
      </w:tr>
      <w:tr w:rsidR="002709ED" w14:paraId="06C73C30" w14:textId="77777777">
        <w:trPr>
          <w:gridBefore w:val="1"/>
          <w:wBefore w:w="12" w:type="dxa"/>
          <w:cantSplit/>
          <w:tblHeader/>
          <w:jc w:val="center"/>
        </w:trPr>
        <w:tc>
          <w:tcPr>
            <w:tcW w:w="651" w:type="dxa"/>
            <w:gridSpan w:val="3"/>
            <w:tcMar>
              <w:left w:w="28" w:type="dxa"/>
              <w:right w:w="28" w:type="dxa"/>
            </w:tcMar>
          </w:tcPr>
          <w:p w14:paraId="791014D4"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(18)</w:t>
            </w:r>
          </w:p>
        </w:tc>
        <w:tc>
          <w:tcPr>
            <w:tcW w:w="2286" w:type="dxa"/>
            <w:gridSpan w:val="3"/>
            <w:tcMar>
              <w:left w:w="28" w:type="dxa"/>
              <w:right w:w="28" w:type="dxa"/>
            </w:tcMar>
          </w:tcPr>
          <w:p w14:paraId="78FC015A"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hexachlórcyklohexán</w:t>
            </w:r>
          </w:p>
        </w:tc>
        <w:tc>
          <w:tcPr>
            <w:tcW w:w="1329" w:type="dxa"/>
            <w:gridSpan w:val="3"/>
            <w:tcMar>
              <w:left w:w="28" w:type="dxa"/>
              <w:right w:w="28" w:type="dxa"/>
            </w:tcMar>
          </w:tcPr>
          <w:p w14:paraId="76CCBFAB"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insekticídy</w:t>
            </w:r>
          </w:p>
        </w:tc>
        <w:tc>
          <w:tcPr>
            <w:tcW w:w="992" w:type="dxa"/>
            <w:gridSpan w:val="2"/>
            <w:tcMar>
              <w:left w:w="28" w:type="dxa"/>
              <w:right w:w="28" w:type="dxa"/>
            </w:tcMar>
          </w:tcPr>
          <w:p w14:paraId="27E20B91"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608-73-1</w:t>
            </w:r>
          </w:p>
        </w:tc>
        <w:tc>
          <w:tcPr>
            <w:tcW w:w="1134" w:type="dxa"/>
          </w:tcPr>
          <w:p w14:paraId="25E28AAD"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210-168-9</w:t>
            </w:r>
          </w:p>
        </w:tc>
        <w:tc>
          <w:tcPr>
            <w:tcW w:w="1279" w:type="dxa"/>
            <w:gridSpan w:val="2"/>
            <w:tcMar>
              <w:left w:w="28" w:type="dxa"/>
              <w:right w:w="28" w:type="dxa"/>
            </w:tcMar>
          </w:tcPr>
          <w:p w14:paraId="7EEECFE2"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0,02</w:t>
            </w:r>
          </w:p>
        </w:tc>
        <w:tc>
          <w:tcPr>
            <w:tcW w:w="1279" w:type="dxa"/>
            <w:gridSpan w:val="2"/>
            <w:tcMar>
              <w:left w:w="28" w:type="dxa"/>
              <w:right w:w="28" w:type="dxa"/>
            </w:tcMar>
          </w:tcPr>
          <w:p w14:paraId="2AAA046B"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0,002</w:t>
            </w:r>
          </w:p>
        </w:tc>
        <w:tc>
          <w:tcPr>
            <w:tcW w:w="1278" w:type="dxa"/>
            <w:gridSpan w:val="2"/>
            <w:tcMar>
              <w:left w:w="28" w:type="dxa"/>
              <w:right w:w="28" w:type="dxa"/>
            </w:tcMar>
          </w:tcPr>
          <w:p w14:paraId="57784553"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0,04</w:t>
            </w:r>
          </w:p>
        </w:tc>
        <w:tc>
          <w:tcPr>
            <w:tcW w:w="1277" w:type="dxa"/>
            <w:gridSpan w:val="2"/>
            <w:tcMar>
              <w:left w:w="28" w:type="dxa"/>
              <w:right w:w="28" w:type="dxa"/>
            </w:tcMar>
          </w:tcPr>
          <w:p w14:paraId="3C0873CB"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0,02</w:t>
            </w:r>
          </w:p>
        </w:tc>
        <w:tc>
          <w:tcPr>
            <w:tcW w:w="1136" w:type="dxa"/>
            <w:gridSpan w:val="2"/>
            <w:tcMar>
              <w:left w:w="28" w:type="dxa"/>
              <w:right w:w="28" w:type="dxa"/>
            </w:tcMar>
          </w:tcPr>
          <w:p w14:paraId="2B4F0924" w14:textId="77777777" w:rsidR="002709ED" w:rsidRDefault="002709ED">
            <w:pPr>
              <w:keepNext/>
              <w:keepLines/>
              <w:spacing w:before="40" w:after="40" w:line="360" w:lineRule="auto"/>
              <w:rPr>
                <w:noProof/>
                <w:sz w:val="22"/>
                <w:szCs w:val="24"/>
                <w:lang w:val="en-GB" w:eastAsia="en-US"/>
              </w:rPr>
            </w:pPr>
          </w:p>
        </w:tc>
        <w:tc>
          <w:tcPr>
            <w:tcW w:w="1262" w:type="dxa"/>
            <w:tcMar>
              <w:left w:w="28" w:type="dxa"/>
              <w:right w:w="28" w:type="dxa"/>
            </w:tcMar>
          </w:tcPr>
          <w:p w14:paraId="121E6E1E"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X</w:t>
            </w:r>
          </w:p>
        </w:tc>
        <w:tc>
          <w:tcPr>
            <w:tcW w:w="1153" w:type="dxa"/>
            <w:gridSpan w:val="2"/>
            <w:tcMar>
              <w:left w:w="28" w:type="dxa"/>
              <w:right w:w="28" w:type="dxa"/>
            </w:tcMar>
          </w:tcPr>
          <w:p w14:paraId="347325AE" w14:textId="77777777" w:rsidR="002709ED" w:rsidRDefault="002709ED">
            <w:pPr>
              <w:keepNext/>
              <w:keepLines/>
              <w:spacing w:before="40" w:after="40" w:line="360" w:lineRule="auto"/>
              <w:rPr>
                <w:noProof/>
                <w:sz w:val="22"/>
                <w:szCs w:val="24"/>
                <w:lang w:val="en-GB" w:eastAsia="en-US"/>
              </w:rPr>
            </w:pPr>
          </w:p>
        </w:tc>
        <w:tc>
          <w:tcPr>
            <w:tcW w:w="970" w:type="dxa"/>
            <w:tcMar>
              <w:left w:w="28" w:type="dxa"/>
              <w:right w:w="28" w:type="dxa"/>
            </w:tcMar>
          </w:tcPr>
          <w:p w14:paraId="40794134"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X</w:t>
            </w:r>
          </w:p>
        </w:tc>
      </w:tr>
      <w:tr w:rsidR="002709ED" w14:paraId="4C480B77" w14:textId="77777777">
        <w:trPr>
          <w:gridBefore w:val="1"/>
          <w:wBefore w:w="12" w:type="dxa"/>
          <w:cantSplit/>
          <w:tblHeader/>
          <w:jc w:val="center"/>
        </w:trPr>
        <w:tc>
          <w:tcPr>
            <w:tcW w:w="651" w:type="dxa"/>
            <w:gridSpan w:val="3"/>
            <w:tcMar>
              <w:left w:w="28" w:type="dxa"/>
              <w:right w:w="28" w:type="dxa"/>
            </w:tcMar>
          </w:tcPr>
          <w:p w14:paraId="245CBE2D"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(19)</w:t>
            </w:r>
          </w:p>
        </w:tc>
        <w:tc>
          <w:tcPr>
            <w:tcW w:w="2286" w:type="dxa"/>
            <w:gridSpan w:val="3"/>
            <w:tcMar>
              <w:left w:w="28" w:type="dxa"/>
              <w:right w:w="28" w:type="dxa"/>
            </w:tcMar>
          </w:tcPr>
          <w:p w14:paraId="14F89BCB"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izoproturón</w:t>
            </w:r>
          </w:p>
        </w:tc>
        <w:tc>
          <w:tcPr>
            <w:tcW w:w="1329" w:type="dxa"/>
            <w:gridSpan w:val="3"/>
            <w:tcMar>
              <w:left w:w="28" w:type="dxa"/>
              <w:right w:w="28" w:type="dxa"/>
            </w:tcMar>
          </w:tcPr>
          <w:p w14:paraId="207D6D40"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herbicídy</w:t>
            </w:r>
          </w:p>
        </w:tc>
        <w:tc>
          <w:tcPr>
            <w:tcW w:w="992" w:type="dxa"/>
            <w:gridSpan w:val="2"/>
            <w:tcMar>
              <w:left w:w="28" w:type="dxa"/>
              <w:right w:w="28" w:type="dxa"/>
            </w:tcMar>
          </w:tcPr>
          <w:p w14:paraId="06D4F410"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34123-59-6</w:t>
            </w:r>
          </w:p>
        </w:tc>
        <w:tc>
          <w:tcPr>
            <w:tcW w:w="1134" w:type="dxa"/>
          </w:tcPr>
          <w:p w14:paraId="32A3CC0D"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251-835-4</w:t>
            </w:r>
          </w:p>
        </w:tc>
        <w:tc>
          <w:tcPr>
            <w:tcW w:w="1279" w:type="dxa"/>
            <w:gridSpan w:val="2"/>
            <w:tcMar>
              <w:left w:w="28" w:type="dxa"/>
              <w:right w:w="28" w:type="dxa"/>
            </w:tcMar>
          </w:tcPr>
          <w:p w14:paraId="50D7D814"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0,3</w:t>
            </w:r>
          </w:p>
        </w:tc>
        <w:tc>
          <w:tcPr>
            <w:tcW w:w="1279" w:type="dxa"/>
            <w:gridSpan w:val="2"/>
            <w:tcMar>
              <w:left w:w="28" w:type="dxa"/>
              <w:right w:w="28" w:type="dxa"/>
            </w:tcMar>
          </w:tcPr>
          <w:p w14:paraId="03894A71"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0,3</w:t>
            </w:r>
          </w:p>
        </w:tc>
        <w:tc>
          <w:tcPr>
            <w:tcW w:w="1278" w:type="dxa"/>
            <w:gridSpan w:val="2"/>
            <w:tcMar>
              <w:left w:w="28" w:type="dxa"/>
              <w:right w:w="28" w:type="dxa"/>
            </w:tcMar>
          </w:tcPr>
          <w:p w14:paraId="44F975FE"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1,0</w:t>
            </w:r>
          </w:p>
        </w:tc>
        <w:tc>
          <w:tcPr>
            <w:tcW w:w="1277" w:type="dxa"/>
            <w:gridSpan w:val="2"/>
            <w:tcMar>
              <w:left w:w="28" w:type="dxa"/>
              <w:right w:w="28" w:type="dxa"/>
            </w:tcMar>
          </w:tcPr>
          <w:p w14:paraId="313059CE"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1,0</w:t>
            </w:r>
          </w:p>
        </w:tc>
        <w:tc>
          <w:tcPr>
            <w:tcW w:w="1136" w:type="dxa"/>
            <w:gridSpan w:val="2"/>
            <w:tcMar>
              <w:left w:w="28" w:type="dxa"/>
              <w:right w:w="28" w:type="dxa"/>
            </w:tcMar>
          </w:tcPr>
          <w:p w14:paraId="26F20715" w14:textId="77777777" w:rsidR="002709ED" w:rsidRDefault="002709ED">
            <w:pPr>
              <w:keepNext/>
              <w:keepLines/>
              <w:spacing w:before="40" w:after="40" w:line="360" w:lineRule="auto"/>
              <w:rPr>
                <w:noProof/>
                <w:sz w:val="22"/>
                <w:szCs w:val="24"/>
                <w:lang w:val="en-GB" w:eastAsia="en-US"/>
              </w:rPr>
            </w:pPr>
          </w:p>
        </w:tc>
        <w:tc>
          <w:tcPr>
            <w:tcW w:w="1262" w:type="dxa"/>
            <w:tcMar>
              <w:left w:w="28" w:type="dxa"/>
              <w:right w:w="28" w:type="dxa"/>
            </w:tcMar>
          </w:tcPr>
          <w:p w14:paraId="2E0682E7" w14:textId="77777777" w:rsidR="002709ED" w:rsidRDefault="002709ED">
            <w:pPr>
              <w:keepNext/>
              <w:keepLines/>
              <w:spacing w:before="40" w:after="40" w:line="360" w:lineRule="auto"/>
              <w:rPr>
                <w:noProof/>
                <w:sz w:val="22"/>
                <w:szCs w:val="24"/>
                <w:lang w:val="en-GB" w:eastAsia="en-US"/>
              </w:rPr>
            </w:pPr>
          </w:p>
        </w:tc>
        <w:tc>
          <w:tcPr>
            <w:tcW w:w="1153" w:type="dxa"/>
            <w:gridSpan w:val="2"/>
            <w:tcMar>
              <w:left w:w="28" w:type="dxa"/>
              <w:right w:w="28" w:type="dxa"/>
            </w:tcMar>
          </w:tcPr>
          <w:p w14:paraId="4AD89C54" w14:textId="77777777" w:rsidR="002709ED" w:rsidRDefault="002709ED">
            <w:pPr>
              <w:keepNext/>
              <w:keepLines/>
              <w:spacing w:before="40" w:after="40" w:line="360" w:lineRule="auto"/>
              <w:rPr>
                <w:noProof/>
                <w:sz w:val="22"/>
                <w:szCs w:val="24"/>
                <w:lang w:val="en-GB" w:eastAsia="en-US"/>
              </w:rPr>
            </w:pPr>
          </w:p>
        </w:tc>
        <w:tc>
          <w:tcPr>
            <w:tcW w:w="970" w:type="dxa"/>
            <w:tcMar>
              <w:left w:w="28" w:type="dxa"/>
              <w:right w:w="28" w:type="dxa"/>
            </w:tcMar>
          </w:tcPr>
          <w:p w14:paraId="72F21622" w14:textId="77777777" w:rsidR="002709ED" w:rsidRDefault="002709ED">
            <w:pPr>
              <w:keepNext/>
              <w:keepLines/>
              <w:spacing w:before="40" w:after="40" w:line="360" w:lineRule="auto"/>
              <w:rPr>
                <w:noProof/>
                <w:sz w:val="22"/>
                <w:szCs w:val="24"/>
                <w:lang w:val="en-GB" w:eastAsia="en-US"/>
              </w:rPr>
            </w:pPr>
          </w:p>
        </w:tc>
      </w:tr>
      <w:tr w:rsidR="002709ED" w14:paraId="0C4270D8" w14:textId="77777777">
        <w:trPr>
          <w:gridBefore w:val="1"/>
          <w:wBefore w:w="12" w:type="dxa"/>
          <w:cantSplit/>
          <w:tblHeader/>
          <w:jc w:val="center"/>
        </w:trPr>
        <w:tc>
          <w:tcPr>
            <w:tcW w:w="651" w:type="dxa"/>
            <w:gridSpan w:val="3"/>
            <w:tcMar>
              <w:left w:w="28" w:type="dxa"/>
              <w:right w:w="28" w:type="dxa"/>
            </w:tcMar>
          </w:tcPr>
          <w:p w14:paraId="02ECAA7A"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(20)</w:t>
            </w:r>
          </w:p>
        </w:tc>
        <w:tc>
          <w:tcPr>
            <w:tcW w:w="2286" w:type="dxa"/>
            <w:gridSpan w:val="3"/>
            <w:tcMar>
              <w:left w:w="28" w:type="dxa"/>
              <w:right w:w="28" w:type="dxa"/>
            </w:tcMar>
          </w:tcPr>
          <w:p w14:paraId="4C54C06B"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olovo a jeho zlúčeniny</w:t>
            </w:r>
          </w:p>
        </w:tc>
        <w:tc>
          <w:tcPr>
            <w:tcW w:w="1329" w:type="dxa"/>
            <w:gridSpan w:val="3"/>
            <w:tcMar>
              <w:left w:w="28" w:type="dxa"/>
              <w:right w:w="28" w:type="dxa"/>
            </w:tcMar>
          </w:tcPr>
          <w:p w14:paraId="6A66A841"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kovy</w:t>
            </w:r>
          </w:p>
        </w:tc>
        <w:tc>
          <w:tcPr>
            <w:tcW w:w="992" w:type="dxa"/>
            <w:gridSpan w:val="2"/>
            <w:tcMar>
              <w:left w:w="28" w:type="dxa"/>
              <w:right w:w="28" w:type="dxa"/>
            </w:tcMar>
          </w:tcPr>
          <w:p w14:paraId="7F51BF38"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7439-92-1</w:t>
            </w:r>
          </w:p>
        </w:tc>
        <w:tc>
          <w:tcPr>
            <w:tcW w:w="1134" w:type="dxa"/>
          </w:tcPr>
          <w:p w14:paraId="7E21BFFA" w14:textId="77777777" w:rsidR="002709ED" w:rsidRDefault="00B2757B">
            <w:pPr>
              <w:keepNext/>
              <w:keepLines/>
              <w:spacing w:before="40" w:after="40" w:line="360" w:lineRule="auto"/>
              <w:rPr>
                <w:bCs/>
                <w:iCs/>
                <w:noProof/>
                <w:sz w:val="22"/>
                <w:szCs w:val="24"/>
                <w:lang w:val="en-GB" w:eastAsia="en-US"/>
              </w:rPr>
            </w:pPr>
            <w:r>
              <w:rPr>
                <w:noProof/>
                <w:sz w:val="22"/>
                <w:szCs w:val="24"/>
                <w:lang w:val="en-GB" w:eastAsia="en-US"/>
              </w:rPr>
              <w:t>231-100-4</w:t>
            </w:r>
          </w:p>
        </w:tc>
        <w:tc>
          <w:tcPr>
            <w:tcW w:w="1279" w:type="dxa"/>
            <w:gridSpan w:val="2"/>
            <w:tcMar>
              <w:left w:w="28" w:type="dxa"/>
              <w:right w:w="28" w:type="dxa"/>
            </w:tcMar>
          </w:tcPr>
          <w:p w14:paraId="6FCEC4BE" w14:textId="77777777" w:rsidR="002709ED" w:rsidRDefault="00B2757B">
            <w:pPr>
              <w:keepNext/>
              <w:keepLines/>
              <w:spacing w:before="40" w:after="40" w:line="360" w:lineRule="auto"/>
              <w:rPr>
                <w:i/>
                <w:noProof/>
                <w:sz w:val="22"/>
                <w:szCs w:val="24"/>
                <w:vertAlign w:val="superscript"/>
                <w:lang w:val="en-GB" w:eastAsia="en-US"/>
              </w:rPr>
            </w:pPr>
            <w:bookmarkStart w:id="24" w:name="_DV_C331"/>
            <w:r>
              <w:rPr>
                <w:b/>
                <w:i/>
                <w:noProof/>
                <w:sz w:val="22"/>
                <w:szCs w:val="24"/>
                <w:lang w:val="en-GB" w:eastAsia="en-US"/>
              </w:rPr>
              <w:t xml:space="preserve">1,2 </w:t>
            </w:r>
            <w:r>
              <w:rPr>
                <w:b/>
                <w:i/>
                <w:noProof/>
                <w:sz w:val="22"/>
                <w:szCs w:val="24"/>
                <w:vertAlign w:val="superscript"/>
                <w:lang w:val="en-GB" w:eastAsia="en-US"/>
              </w:rPr>
              <w:t>(12)</w:t>
            </w:r>
            <w:bookmarkEnd w:id="24"/>
          </w:p>
        </w:tc>
        <w:tc>
          <w:tcPr>
            <w:tcW w:w="1279" w:type="dxa"/>
            <w:gridSpan w:val="2"/>
            <w:tcMar>
              <w:left w:w="28" w:type="dxa"/>
              <w:right w:w="28" w:type="dxa"/>
            </w:tcMar>
          </w:tcPr>
          <w:p w14:paraId="6A5E8EA7"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1,3</w:t>
            </w:r>
          </w:p>
        </w:tc>
        <w:tc>
          <w:tcPr>
            <w:tcW w:w="1278" w:type="dxa"/>
            <w:gridSpan w:val="2"/>
            <w:tcMar>
              <w:left w:w="28" w:type="dxa"/>
              <w:right w:w="28" w:type="dxa"/>
            </w:tcMar>
          </w:tcPr>
          <w:p w14:paraId="48939095"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14</w:t>
            </w:r>
          </w:p>
        </w:tc>
        <w:tc>
          <w:tcPr>
            <w:tcW w:w="1277" w:type="dxa"/>
            <w:gridSpan w:val="2"/>
            <w:tcMar>
              <w:left w:w="28" w:type="dxa"/>
              <w:right w:w="28" w:type="dxa"/>
            </w:tcMar>
          </w:tcPr>
          <w:p w14:paraId="601E7DE4"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14</w:t>
            </w:r>
          </w:p>
        </w:tc>
        <w:tc>
          <w:tcPr>
            <w:tcW w:w="1136" w:type="dxa"/>
            <w:gridSpan w:val="2"/>
            <w:tcMar>
              <w:left w:w="28" w:type="dxa"/>
              <w:right w:w="28" w:type="dxa"/>
            </w:tcMar>
          </w:tcPr>
          <w:p w14:paraId="0CD084E6" w14:textId="77777777" w:rsidR="002709ED" w:rsidRDefault="002709ED">
            <w:pPr>
              <w:keepNext/>
              <w:keepLines/>
              <w:spacing w:before="40" w:after="40" w:line="360" w:lineRule="auto"/>
              <w:rPr>
                <w:noProof/>
                <w:sz w:val="22"/>
                <w:szCs w:val="24"/>
                <w:lang w:val="en-GB" w:eastAsia="en-US"/>
              </w:rPr>
            </w:pPr>
          </w:p>
        </w:tc>
        <w:tc>
          <w:tcPr>
            <w:tcW w:w="1262" w:type="dxa"/>
            <w:tcMar>
              <w:left w:w="28" w:type="dxa"/>
              <w:right w:w="28" w:type="dxa"/>
            </w:tcMar>
          </w:tcPr>
          <w:p w14:paraId="368722B4"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X</w:t>
            </w:r>
          </w:p>
        </w:tc>
        <w:tc>
          <w:tcPr>
            <w:tcW w:w="1153" w:type="dxa"/>
            <w:gridSpan w:val="2"/>
            <w:tcMar>
              <w:left w:w="28" w:type="dxa"/>
              <w:right w:w="28" w:type="dxa"/>
            </w:tcMar>
          </w:tcPr>
          <w:p w14:paraId="794B213D" w14:textId="77777777" w:rsidR="002709ED" w:rsidRDefault="002709ED">
            <w:pPr>
              <w:keepNext/>
              <w:keepLines/>
              <w:spacing w:before="40" w:after="40" w:line="360" w:lineRule="auto"/>
              <w:rPr>
                <w:noProof/>
                <w:sz w:val="22"/>
                <w:szCs w:val="24"/>
                <w:lang w:val="en-GB" w:eastAsia="en-US"/>
              </w:rPr>
            </w:pPr>
          </w:p>
        </w:tc>
        <w:tc>
          <w:tcPr>
            <w:tcW w:w="970" w:type="dxa"/>
            <w:tcMar>
              <w:left w:w="28" w:type="dxa"/>
              <w:right w:w="28" w:type="dxa"/>
            </w:tcMar>
          </w:tcPr>
          <w:p w14:paraId="524716CC"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X</w:t>
            </w:r>
          </w:p>
        </w:tc>
      </w:tr>
      <w:tr w:rsidR="002709ED" w14:paraId="7E3AE0FC" w14:textId="77777777">
        <w:trPr>
          <w:gridBefore w:val="1"/>
          <w:wBefore w:w="12" w:type="dxa"/>
          <w:cantSplit/>
          <w:tblHeader/>
          <w:jc w:val="center"/>
        </w:trPr>
        <w:tc>
          <w:tcPr>
            <w:tcW w:w="651" w:type="dxa"/>
            <w:gridSpan w:val="3"/>
            <w:tcMar>
              <w:left w:w="28" w:type="dxa"/>
              <w:right w:w="28" w:type="dxa"/>
            </w:tcMar>
          </w:tcPr>
          <w:p w14:paraId="6BEFD50D"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(21)</w:t>
            </w:r>
          </w:p>
        </w:tc>
        <w:tc>
          <w:tcPr>
            <w:tcW w:w="2286" w:type="dxa"/>
            <w:gridSpan w:val="3"/>
            <w:tcMar>
              <w:left w:w="28" w:type="dxa"/>
              <w:right w:w="28" w:type="dxa"/>
            </w:tcMar>
          </w:tcPr>
          <w:p w14:paraId="6ACD319B"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ortuť a jej zlúčeniny</w:t>
            </w:r>
          </w:p>
        </w:tc>
        <w:tc>
          <w:tcPr>
            <w:tcW w:w="1329" w:type="dxa"/>
            <w:gridSpan w:val="3"/>
            <w:tcMar>
              <w:left w:w="28" w:type="dxa"/>
              <w:right w:w="28" w:type="dxa"/>
            </w:tcMar>
          </w:tcPr>
          <w:p w14:paraId="5CF4F813"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kovy</w:t>
            </w:r>
          </w:p>
        </w:tc>
        <w:tc>
          <w:tcPr>
            <w:tcW w:w="992" w:type="dxa"/>
            <w:gridSpan w:val="2"/>
            <w:tcMar>
              <w:left w:w="28" w:type="dxa"/>
              <w:right w:w="28" w:type="dxa"/>
            </w:tcMar>
          </w:tcPr>
          <w:p w14:paraId="3CDDD8FA"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7439-97-6</w:t>
            </w:r>
          </w:p>
        </w:tc>
        <w:tc>
          <w:tcPr>
            <w:tcW w:w="1134" w:type="dxa"/>
          </w:tcPr>
          <w:p w14:paraId="25D9D420"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231-106-7</w:t>
            </w:r>
          </w:p>
        </w:tc>
        <w:tc>
          <w:tcPr>
            <w:tcW w:w="1279" w:type="dxa"/>
            <w:gridSpan w:val="2"/>
            <w:tcMar>
              <w:left w:w="28" w:type="dxa"/>
              <w:right w:w="28" w:type="dxa"/>
            </w:tcMar>
          </w:tcPr>
          <w:p w14:paraId="30AB9948" w14:textId="77777777" w:rsidR="002709ED" w:rsidRDefault="002709ED">
            <w:pPr>
              <w:keepNext/>
              <w:keepLines/>
              <w:spacing w:before="40" w:after="40" w:line="360" w:lineRule="auto"/>
              <w:rPr>
                <w:noProof/>
                <w:sz w:val="22"/>
                <w:szCs w:val="24"/>
                <w:lang w:val="en-GB" w:eastAsia="en-US"/>
              </w:rPr>
            </w:pPr>
          </w:p>
        </w:tc>
        <w:tc>
          <w:tcPr>
            <w:tcW w:w="1279" w:type="dxa"/>
            <w:gridSpan w:val="2"/>
            <w:tcMar>
              <w:left w:w="28" w:type="dxa"/>
              <w:right w:w="28" w:type="dxa"/>
            </w:tcMar>
          </w:tcPr>
          <w:p w14:paraId="422427D6" w14:textId="77777777" w:rsidR="002709ED" w:rsidRDefault="002709ED">
            <w:pPr>
              <w:keepNext/>
              <w:keepLines/>
              <w:spacing w:before="40" w:after="40" w:line="360" w:lineRule="auto"/>
              <w:rPr>
                <w:noProof/>
                <w:sz w:val="22"/>
                <w:szCs w:val="24"/>
                <w:lang w:val="en-GB" w:eastAsia="en-US"/>
              </w:rPr>
            </w:pPr>
          </w:p>
        </w:tc>
        <w:tc>
          <w:tcPr>
            <w:tcW w:w="1278" w:type="dxa"/>
            <w:gridSpan w:val="2"/>
            <w:tcMar>
              <w:left w:w="28" w:type="dxa"/>
              <w:right w:w="28" w:type="dxa"/>
            </w:tcMar>
          </w:tcPr>
          <w:p w14:paraId="00191DEE"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0,07</w:t>
            </w:r>
          </w:p>
        </w:tc>
        <w:tc>
          <w:tcPr>
            <w:tcW w:w="1277" w:type="dxa"/>
            <w:gridSpan w:val="2"/>
            <w:tcMar>
              <w:left w:w="28" w:type="dxa"/>
              <w:right w:w="28" w:type="dxa"/>
            </w:tcMar>
          </w:tcPr>
          <w:p w14:paraId="5E9DD720"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0,07</w:t>
            </w:r>
          </w:p>
        </w:tc>
        <w:tc>
          <w:tcPr>
            <w:tcW w:w="1136" w:type="dxa"/>
            <w:gridSpan w:val="2"/>
            <w:tcMar>
              <w:left w:w="28" w:type="dxa"/>
              <w:right w:w="28" w:type="dxa"/>
            </w:tcMar>
          </w:tcPr>
          <w:p w14:paraId="6852D225"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[10] (</w:t>
            </w:r>
            <w:r>
              <w:rPr>
                <w:noProof/>
                <w:sz w:val="22"/>
                <w:szCs w:val="24"/>
                <w:vertAlign w:val="superscript"/>
                <w:lang w:val="en-GB" w:eastAsia="en-US"/>
              </w:rPr>
              <w:t>13</w:t>
            </w:r>
            <w:r>
              <w:rPr>
                <w:noProof/>
                <w:sz w:val="22"/>
                <w:szCs w:val="24"/>
                <w:lang w:val="en-GB" w:eastAsia="en-US"/>
              </w:rPr>
              <w:t>)</w:t>
            </w:r>
          </w:p>
        </w:tc>
        <w:tc>
          <w:tcPr>
            <w:tcW w:w="1262" w:type="dxa"/>
            <w:tcMar>
              <w:left w:w="28" w:type="dxa"/>
              <w:right w:w="28" w:type="dxa"/>
            </w:tcMar>
          </w:tcPr>
          <w:p w14:paraId="4C54D605"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X</w:t>
            </w:r>
          </w:p>
        </w:tc>
        <w:tc>
          <w:tcPr>
            <w:tcW w:w="1153" w:type="dxa"/>
            <w:gridSpan w:val="2"/>
            <w:tcMar>
              <w:left w:w="28" w:type="dxa"/>
              <w:right w:w="28" w:type="dxa"/>
            </w:tcMar>
          </w:tcPr>
          <w:p w14:paraId="6DA34BF7"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X</w:t>
            </w:r>
          </w:p>
        </w:tc>
        <w:tc>
          <w:tcPr>
            <w:tcW w:w="970" w:type="dxa"/>
            <w:tcMar>
              <w:left w:w="28" w:type="dxa"/>
              <w:right w:w="28" w:type="dxa"/>
            </w:tcMar>
          </w:tcPr>
          <w:p w14:paraId="2CA62DE1"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X</w:t>
            </w:r>
          </w:p>
        </w:tc>
      </w:tr>
      <w:tr w:rsidR="002709ED" w14:paraId="5415AF5C" w14:textId="77777777">
        <w:trPr>
          <w:gridBefore w:val="1"/>
          <w:wBefore w:w="12" w:type="dxa"/>
          <w:cantSplit/>
          <w:tblHeader/>
          <w:jc w:val="center"/>
        </w:trPr>
        <w:tc>
          <w:tcPr>
            <w:tcW w:w="651" w:type="dxa"/>
            <w:gridSpan w:val="3"/>
            <w:tcMar>
              <w:left w:w="28" w:type="dxa"/>
              <w:right w:w="28" w:type="dxa"/>
            </w:tcMar>
          </w:tcPr>
          <w:p w14:paraId="33D611FE"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(22)</w:t>
            </w:r>
          </w:p>
        </w:tc>
        <w:tc>
          <w:tcPr>
            <w:tcW w:w="2286" w:type="dxa"/>
            <w:gridSpan w:val="3"/>
            <w:tcMar>
              <w:left w:w="28" w:type="dxa"/>
              <w:right w:w="28" w:type="dxa"/>
            </w:tcMar>
          </w:tcPr>
          <w:p w14:paraId="367D0D39"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naftalén</w:t>
            </w:r>
          </w:p>
        </w:tc>
        <w:tc>
          <w:tcPr>
            <w:tcW w:w="1329" w:type="dxa"/>
            <w:gridSpan w:val="3"/>
            <w:tcMar>
              <w:left w:w="28" w:type="dxa"/>
              <w:right w:w="28" w:type="dxa"/>
            </w:tcMar>
          </w:tcPr>
          <w:p w14:paraId="76711646"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 xml:space="preserve">priemyselné látky </w:t>
            </w:r>
          </w:p>
        </w:tc>
        <w:tc>
          <w:tcPr>
            <w:tcW w:w="992" w:type="dxa"/>
            <w:gridSpan w:val="2"/>
            <w:tcMar>
              <w:left w:w="28" w:type="dxa"/>
              <w:right w:w="28" w:type="dxa"/>
            </w:tcMar>
          </w:tcPr>
          <w:p w14:paraId="6B708213"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91-20-3</w:t>
            </w:r>
          </w:p>
        </w:tc>
        <w:tc>
          <w:tcPr>
            <w:tcW w:w="1134" w:type="dxa"/>
          </w:tcPr>
          <w:p w14:paraId="563AFC7A"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202-049-5</w:t>
            </w:r>
          </w:p>
        </w:tc>
        <w:tc>
          <w:tcPr>
            <w:tcW w:w="1279" w:type="dxa"/>
            <w:gridSpan w:val="2"/>
            <w:tcMar>
              <w:left w:w="28" w:type="dxa"/>
              <w:right w:w="28" w:type="dxa"/>
            </w:tcMar>
          </w:tcPr>
          <w:p w14:paraId="2FF4AB9D"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2</w:t>
            </w:r>
          </w:p>
        </w:tc>
        <w:tc>
          <w:tcPr>
            <w:tcW w:w="1279" w:type="dxa"/>
            <w:gridSpan w:val="2"/>
            <w:tcMar>
              <w:left w:w="28" w:type="dxa"/>
              <w:right w:w="28" w:type="dxa"/>
            </w:tcMar>
          </w:tcPr>
          <w:p w14:paraId="586870F6"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2</w:t>
            </w:r>
          </w:p>
        </w:tc>
        <w:tc>
          <w:tcPr>
            <w:tcW w:w="1278" w:type="dxa"/>
            <w:gridSpan w:val="2"/>
            <w:tcMar>
              <w:left w:w="28" w:type="dxa"/>
              <w:right w:w="28" w:type="dxa"/>
            </w:tcMar>
          </w:tcPr>
          <w:p w14:paraId="39C27FC9"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130</w:t>
            </w:r>
          </w:p>
        </w:tc>
        <w:tc>
          <w:tcPr>
            <w:tcW w:w="1277" w:type="dxa"/>
            <w:gridSpan w:val="2"/>
            <w:tcMar>
              <w:left w:w="28" w:type="dxa"/>
              <w:right w:w="28" w:type="dxa"/>
            </w:tcMar>
          </w:tcPr>
          <w:p w14:paraId="75AD0381"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130</w:t>
            </w:r>
          </w:p>
        </w:tc>
        <w:tc>
          <w:tcPr>
            <w:tcW w:w="1136" w:type="dxa"/>
            <w:gridSpan w:val="2"/>
            <w:tcMar>
              <w:left w:w="28" w:type="dxa"/>
              <w:right w:w="28" w:type="dxa"/>
            </w:tcMar>
          </w:tcPr>
          <w:p w14:paraId="096C62A1" w14:textId="77777777" w:rsidR="002709ED" w:rsidRDefault="002709ED">
            <w:pPr>
              <w:keepNext/>
              <w:keepLines/>
              <w:spacing w:before="40" w:after="40" w:line="360" w:lineRule="auto"/>
              <w:rPr>
                <w:noProof/>
                <w:sz w:val="22"/>
                <w:szCs w:val="24"/>
                <w:lang w:val="en-GB" w:eastAsia="en-US"/>
              </w:rPr>
            </w:pPr>
          </w:p>
        </w:tc>
        <w:tc>
          <w:tcPr>
            <w:tcW w:w="1262" w:type="dxa"/>
            <w:tcMar>
              <w:left w:w="28" w:type="dxa"/>
              <w:right w:w="28" w:type="dxa"/>
            </w:tcMar>
          </w:tcPr>
          <w:p w14:paraId="1E106A38" w14:textId="77777777" w:rsidR="002709ED" w:rsidRDefault="002709ED">
            <w:pPr>
              <w:keepNext/>
              <w:keepLines/>
              <w:spacing w:before="40" w:after="40" w:line="360" w:lineRule="auto"/>
              <w:rPr>
                <w:noProof/>
                <w:sz w:val="22"/>
                <w:szCs w:val="24"/>
                <w:lang w:val="en-GB" w:eastAsia="en-US"/>
              </w:rPr>
            </w:pPr>
          </w:p>
        </w:tc>
        <w:tc>
          <w:tcPr>
            <w:tcW w:w="1153" w:type="dxa"/>
            <w:gridSpan w:val="2"/>
            <w:tcMar>
              <w:left w:w="28" w:type="dxa"/>
              <w:right w:w="28" w:type="dxa"/>
            </w:tcMar>
          </w:tcPr>
          <w:p w14:paraId="76C7B4DE" w14:textId="77777777" w:rsidR="002709ED" w:rsidRDefault="002709ED">
            <w:pPr>
              <w:keepNext/>
              <w:keepLines/>
              <w:spacing w:before="40" w:after="40" w:line="360" w:lineRule="auto"/>
              <w:rPr>
                <w:noProof/>
                <w:sz w:val="22"/>
                <w:szCs w:val="24"/>
                <w:lang w:val="en-GB" w:eastAsia="en-US"/>
              </w:rPr>
            </w:pPr>
          </w:p>
        </w:tc>
        <w:tc>
          <w:tcPr>
            <w:tcW w:w="970" w:type="dxa"/>
            <w:tcMar>
              <w:left w:w="28" w:type="dxa"/>
              <w:right w:w="28" w:type="dxa"/>
            </w:tcMar>
          </w:tcPr>
          <w:p w14:paraId="66729046" w14:textId="77777777" w:rsidR="002709ED" w:rsidRDefault="002709ED">
            <w:pPr>
              <w:keepNext/>
              <w:keepLines/>
              <w:spacing w:before="40" w:after="40" w:line="360" w:lineRule="auto"/>
              <w:rPr>
                <w:noProof/>
                <w:sz w:val="22"/>
                <w:szCs w:val="24"/>
                <w:lang w:val="en-GB" w:eastAsia="en-US"/>
              </w:rPr>
            </w:pPr>
          </w:p>
        </w:tc>
      </w:tr>
      <w:tr w:rsidR="002709ED" w14:paraId="7F6E1930" w14:textId="77777777">
        <w:trPr>
          <w:gridBefore w:val="1"/>
          <w:wBefore w:w="12" w:type="dxa"/>
          <w:cantSplit/>
          <w:tblHeader/>
          <w:jc w:val="center"/>
        </w:trPr>
        <w:tc>
          <w:tcPr>
            <w:tcW w:w="651" w:type="dxa"/>
            <w:gridSpan w:val="3"/>
            <w:tcMar>
              <w:left w:w="28" w:type="dxa"/>
              <w:right w:w="28" w:type="dxa"/>
            </w:tcMar>
          </w:tcPr>
          <w:p w14:paraId="5EF545C5"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(23)</w:t>
            </w:r>
          </w:p>
        </w:tc>
        <w:tc>
          <w:tcPr>
            <w:tcW w:w="2286" w:type="dxa"/>
            <w:gridSpan w:val="3"/>
            <w:tcMar>
              <w:left w:w="28" w:type="dxa"/>
              <w:right w:w="28" w:type="dxa"/>
            </w:tcMar>
          </w:tcPr>
          <w:p w14:paraId="02827F3F"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nikel a jeho zlúčeniny</w:t>
            </w:r>
          </w:p>
        </w:tc>
        <w:tc>
          <w:tcPr>
            <w:tcW w:w="1329" w:type="dxa"/>
            <w:gridSpan w:val="3"/>
            <w:tcMar>
              <w:left w:w="28" w:type="dxa"/>
              <w:right w:w="28" w:type="dxa"/>
            </w:tcMar>
          </w:tcPr>
          <w:p w14:paraId="63583DD8"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kovy</w:t>
            </w:r>
          </w:p>
        </w:tc>
        <w:tc>
          <w:tcPr>
            <w:tcW w:w="992" w:type="dxa"/>
            <w:gridSpan w:val="2"/>
            <w:tcMar>
              <w:left w:w="28" w:type="dxa"/>
              <w:right w:w="28" w:type="dxa"/>
            </w:tcMar>
          </w:tcPr>
          <w:p w14:paraId="4B497CE2"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7440-02-0</w:t>
            </w:r>
          </w:p>
        </w:tc>
        <w:tc>
          <w:tcPr>
            <w:tcW w:w="1134" w:type="dxa"/>
          </w:tcPr>
          <w:p w14:paraId="5D48CCC8" w14:textId="77777777" w:rsidR="002709ED" w:rsidRDefault="00B2757B">
            <w:pPr>
              <w:keepNext/>
              <w:keepLines/>
              <w:spacing w:before="40" w:after="40" w:line="360" w:lineRule="auto"/>
              <w:rPr>
                <w:strike/>
                <w:noProof/>
                <w:sz w:val="22"/>
                <w:szCs w:val="24"/>
                <w:lang w:val="en-GB" w:eastAsia="en-US"/>
              </w:rPr>
            </w:pPr>
            <w:r>
              <w:rPr>
                <w:noProof/>
                <w:sz w:val="22"/>
                <w:szCs w:val="24"/>
                <w:lang w:val="en-GB" w:eastAsia="en-US"/>
              </w:rPr>
              <w:t>231-111-4</w:t>
            </w:r>
          </w:p>
        </w:tc>
        <w:tc>
          <w:tcPr>
            <w:tcW w:w="1279" w:type="dxa"/>
            <w:gridSpan w:val="2"/>
            <w:tcMar>
              <w:left w:w="28" w:type="dxa"/>
              <w:right w:w="28" w:type="dxa"/>
            </w:tcMar>
          </w:tcPr>
          <w:p w14:paraId="4CE4F6F6" w14:textId="77777777" w:rsidR="002709ED" w:rsidRDefault="00B2757B">
            <w:pPr>
              <w:keepNext/>
              <w:keepLines/>
              <w:spacing w:before="40" w:after="40" w:line="360" w:lineRule="auto"/>
              <w:rPr>
                <w:noProof/>
                <w:sz w:val="22"/>
                <w:szCs w:val="24"/>
                <w:vertAlign w:val="superscript"/>
                <w:lang w:val="en-GB" w:eastAsia="en-US"/>
              </w:rPr>
            </w:pPr>
            <w:r>
              <w:rPr>
                <w:noProof/>
                <w:sz w:val="22"/>
                <w:szCs w:val="24"/>
                <w:lang w:val="en-GB" w:eastAsia="en-US"/>
              </w:rPr>
              <w:t>2 (</w:t>
            </w:r>
            <w:r>
              <w:rPr>
                <w:noProof/>
                <w:sz w:val="22"/>
                <w:szCs w:val="24"/>
                <w:vertAlign w:val="superscript"/>
                <w:lang w:val="en-GB" w:eastAsia="en-US"/>
              </w:rPr>
              <w:t>12</w:t>
            </w:r>
            <w:r>
              <w:rPr>
                <w:noProof/>
                <w:sz w:val="22"/>
                <w:szCs w:val="24"/>
                <w:lang w:val="en-GB" w:eastAsia="en-US"/>
              </w:rPr>
              <w:t>)</w:t>
            </w:r>
          </w:p>
        </w:tc>
        <w:tc>
          <w:tcPr>
            <w:tcW w:w="1279" w:type="dxa"/>
            <w:gridSpan w:val="2"/>
            <w:tcMar>
              <w:left w:w="28" w:type="dxa"/>
              <w:right w:w="28" w:type="dxa"/>
            </w:tcMar>
          </w:tcPr>
          <w:p w14:paraId="06E32133"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3,1</w:t>
            </w:r>
          </w:p>
        </w:tc>
        <w:tc>
          <w:tcPr>
            <w:tcW w:w="1278" w:type="dxa"/>
            <w:gridSpan w:val="2"/>
            <w:tcMar>
              <w:left w:w="28" w:type="dxa"/>
              <w:right w:w="28" w:type="dxa"/>
            </w:tcMar>
          </w:tcPr>
          <w:p w14:paraId="527D4F3C"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8,2</w:t>
            </w:r>
          </w:p>
        </w:tc>
        <w:tc>
          <w:tcPr>
            <w:tcW w:w="1277" w:type="dxa"/>
            <w:gridSpan w:val="2"/>
            <w:tcMar>
              <w:left w:w="28" w:type="dxa"/>
              <w:right w:w="28" w:type="dxa"/>
            </w:tcMar>
          </w:tcPr>
          <w:p w14:paraId="2C5582FF"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8,2</w:t>
            </w:r>
          </w:p>
        </w:tc>
        <w:tc>
          <w:tcPr>
            <w:tcW w:w="1136" w:type="dxa"/>
            <w:gridSpan w:val="2"/>
            <w:tcMar>
              <w:left w:w="28" w:type="dxa"/>
              <w:right w:w="28" w:type="dxa"/>
            </w:tcMar>
          </w:tcPr>
          <w:p w14:paraId="678F2E13" w14:textId="77777777" w:rsidR="002709ED" w:rsidRDefault="002709ED">
            <w:pPr>
              <w:keepNext/>
              <w:keepLines/>
              <w:spacing w:before="40" w:after="40" w:line="360" w:lineRule="auto"/>
              <w:rPr>
                <w:noProof/>
                <w:sz w:val="22"/>
                <w:szCs w:val="24"/>
                <w:lang w:val="en-GB" w:eastAsia="en-US"/>
              </w:rPr>
            </w:pPr>
          </w:p>
        </w:tc>
        <w:tc>
          <w:tcPr>
            <w:tcW w:w="1262" w:type="dxa"/>
            <w:tcMar>
              <w:left w:w="28" w:type="dxa"/>
              <w:right w:w="28" w:type="dxa"/>
            </w:tcMar>
          </w:tcPr>
          <w:p w14:paraId="7AE78D01" w14:textId="77777777" w:rsidR="002709ED" w:rsidRDefault="002709ED">
            <w:pPr>
              <w:keepNext/>
              <w:keepLines/>
              <w:spacing w:before="40" w:after="40" w:line="360" w:lineRule="auto"/>
              <w:rPr>
                <w:noProof/>
                <w:sz w:val="22"/>
                <w:szCs w:val="24"/>
                <w:vertAlign w:val="superscript"/>
                <w:lang w:val="en-GB" w:eastAsia="en-US"/>
              </w:rPr>
            </w:pPr>
          </w:p>
        </w:tc>
        <w:tc>
          <w:tcPr>
            <w:tcW w:w="1153" w:type="dxa"/>
            <w:gridSpan w:val="2"/>
            <w:tcMar>
              <w:left w:w="28" w:type="dxa"/>
              <w:right w:w="28" w:type="dxa"/>
            </w:tcMar>
          </w:tcPr>
          <w:p w14:paraId="2019541B" w14:textId="77777777" w:rsidR="002709ED" w:rsidRDefault="002709ED">
            <w:pPr>
              <w:keepNext/>
              <w:keepLines/>
              <w:spacing w:before="40" w:after="40" w:line="360" w:lineRule="auto"/>
              <w:rPr>
                <w:noProof/>
                <w:sz w:val="22"/>
                <w:szCs w:val="24"/>
                <w:vertAlign w:val="superscript"/>
                <w:lang w:val="en-GB" w:eastAsia="en-US"/>
              </w:rPr>
            </w:pPr>
          </w:p>
        </w:tc>
        <w:tc>
          <w:tcPr>
            <w:tcW w:w="970" w:type="dxa"/>
            <w:tcMar>
              <w:left w:w="28" w:type="dxa"/>
              <w:right w:w="28" w:type="dxa"/>
            </w:tcMar>
          </w:tcPr>
          <w:p w14:paraId="06BC434A" w14:textId="77777777" w:rsidR="002709ED" w:rsidRDefault="002709ED">
            <w:pPr>
              <w:keepNext/>
              <w:keepLines/>
              <w:spacing w:before="40" w:after="40" w:line="360" w:lineRule="auto"/>
              <w:rPr>
                <w:noProof/>
                <w:sz w:val="22"/>
                <w:szCs w:val="24"/>
                <w:vertAlign w:val="superscript"/>
                <w:lang w:val="en-GB" w:eastAsia="en-US"/>
              </w:rPr>
            </w:pPr>
          </w:p>
        </w:tc>
      </w:tr>
      <w:tr w:rsidR="002709ED" w14:paraId="57DC67AF" w14:textId="77777777">
        <w:trPr>
          <w:gridBefore w:val="1"/>
          <w:wBefore w:w="12" w:type="dxa"/>
          <w:cantSplit/>
          <w:tblHeader/>
          <w:jc w:val="center"/>
        </w:trPr>
        <w:tc>
          <w:tcPr>
            <w:tcW w:w="651" w:type="dxa"/>
            <w:gridSpan w:val="3"/>
            <w:tcMar>
              <w:left w:w="28" w:type="dxa"/>
              <w:right w:w="28" w:type="dxa"/>
            </w:tcMar>
          </w:tcPr>
          <w:p w14:paraId="3DC94631"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(24)</w:t>
            </w:r>
          </w:p>
        </w:tc>
        <w:tc>
          <w:tcPr>
            <w:tcW w:w="2286" w:type="dxa"/>
            <w:gridSpan w:val="3"/>
            <w:tcMar>
              <w:left w:w="28" w:type="dxa"/>
              <w:right w:w="28" w:type="dxa"/>
            </w:tcMar>
          </w:tcPr>
          <w:p w14:paraId="6D969419"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nonylfenoly (</w:t>
            </w:r>
            <w:r>
              <w:rPr>
                <w:noProof/>
                <w:sz w:val="22"/>
                <w:szCs w:val="24"/>
                <w:vertAlign w:val="superscript"/>
                <w:lang w:val="en-GB" w:eastAsia="en-US"/>
              </w:rPr>
              <w:t>14</w:t>
            </w:r>
            <w:r>
              <w:rPr>
                <w:noProof/>
                <w:sz w:val="22"/>
                <w:szCs w:val="24"/>
                <w:lang w:val="en-GB" w:eastAsia="en-US"/>
              </w:rPr>
              <w:t>)</w:t>
            </w:r>
            <w:r>
              <w:rPr>
                <w:noProof/>
                <w:szCs w:val="24"/>
                <w:lang w:val="en-GB" w:eastAsia="en-US"/>
              </w:rPr>
              <w:t xml:space="preserve"> </w:t>
            </w:r>
            <w:r>
              <w:rPr>
                <w:noProof/>
                <w:szCs w:val="24"/>
                <w:lang w:val="en-GB" w:eastAsia="en-US"/>
              </w:rPr>
              <w:br/>
            </w:r>
            <w:r>
              <w:rPr>
                <w:noProof/>
                <w:sz w:val="22"/>
                <w:szCs w:val="24"/>
                <w:lang w:val="en-GB" w:eastAsia="en-US"/>
              </w:rPr>
              <w:t>(4-nonylfenol)</w:t>
            </w:r>
          </w:p>
        </w:tc>
        <w:tc>
          <w:tcPr>
            <w:tcW w:w="1329" w:type="dxa"/>
            <w:gridSpan w:val="3"/>
            <w:tcMar>
              <w:left w:w="28" w:type="dxa"/>
              <w:right w:w="28" w:type="dxa"/>
            </w:tcMar>
          </w:tcPr>
          <w:p w14:paraId="44BC7C2B"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priemyselné látky</w:t>
            </w:r>
          </w:p>
        </w:tc>
        <w:tc>
          <w:tcPr>
            <w:tcW w:w="992" w:type="dxa"/>
            <w:gridSpan w:val="2"/>
            <w:tcMar>
              <w:left w:w="28" w:type="dxa"/>
              <w:right w:w="28" w:type="dxa"/>
            </w:tcMar>
          </w:tcPr>
          <w:p w14:paraId="0DF4457B"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84852-15-3</w:t>
            </w:r>
          </w:p>
        </w:tc>
        <w:tc>
          <w:tcPr>
            <w:tcW w:w="1134" w:type="dxa"/>
          </w:tcPr>
          <w:p w14:paraId="6F1A3A93"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284-325-5</w:t>
            </w:r>
          </w:p>
        </w:tc>
        <w:tc>
          <w:tcPr>
            <w:tcW w:w="1279" w:type="dxa"/>
            <w:gridSpan w:val="2"/>
            <w:tcMar>
              <w:left w:w="28" w:type="dxa"/>
              <w:right w:w="28" w:type="dxa"/>
            </w:tcMar>
          </w:tcPr>
          <w:p w14:paraId="5C4610C3"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0,037</w:t>
            </w:r>
          </w:p>
        </w:tc>
        <w:tc>
          <w:tcPr>
            <w:tcW w:w="1279" w:type="dxa"/>
            <w:gridSpan w:val="2"/>
            <w:tcMar>
              <w:left w:w="28" w:type="dxa"/>
              <w:right w:w="28" w:type="dxa"/>
            </w:tcMar>
          </w:tcPr>
          <w:p w14:paraId="06FDF052"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0,0018</w:t>
            </w:r>
          </w:p>
        </w:tc>
        <w:tc>
          <w:tcPr>
            <w:tcW w:w="1278" w:type="dxa"/>
            <w:gridSpan w:val="2"/>
            <w:tcMar>
              <w:left w:w="28" w:type="dxa"/>
              <w:right w:w="28" w:type="dxa"/>
            </w:tcMar>
          </w:tcPr>
          <w:p w14:paraId="56F92758"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2,1</w:t>
            </w:r>
          </w:p>
        </w:tc>
        <w:tc>
          <w:tcPr>
            <w:tcW w:w="1277" w:type="dxa"/>
            <w:gridSpan w:val="2"/>
            <w:tcMar>
              <w:left w:w="28" w:type="dxa"/>
              <w:right w:w="28" w:type="dxa"/>
            </w:tcMar>
          </w:tcPr>
          <w:p w14:paraId="2F674598"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0,17</w:t>
            </w:r>
          </w:p>
        </w:tc>
        <w:tc>
          <w:tcPr>
            <w:tcW w:w="1136" w:type="dxa"/>
            <w:gridSpan w:val="2"/>
            <w:tcMar>
              <w:left w:w="28" w:type="dxa"/>
              <w:right w:w="28" w:type="dxa"/>
            </w:tcMar>
          </w:tcPr>
          <w:p w14:paraId="27E59DE7" w14:textId="77777777" w:rsidR="002709ED" w:rsidRDefault="002709ED">
            <w:pPr>
              <w:keepNext/>
              <w:keepLines/>
              <w:spacing w:before="40" w:after="40" w:line="360" w:lineRule="auto"/>
              <w:rPr>
                <w:noProof/>
                <w:sz w:val="22"/>
                <w:szCs w:val="24"/>
                <w:lang w:val="en-GB" w:eastAsia="en-US"/>
              </w:rPr>
            </w:pPr>
          </w:p>
        </w:tc>
        <w:tc>
          <w:tcPr>
            <w:tcW w:w="1262" w:type="dxa"/>
            <w:tcMar>
              <w:left w:w="28" w:type="dxa"/>
              <w:right w:w="28" w:type="dxa"/>
            </w:tcMar>
          </w:tcPr>
          <w:p w14:paraId="2EE77DE9"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X</w:t>
            </w:r>
          </w:p>
        </w:tc>
        <w:tc>
          <w:tcPr>
            <w:tcW w:w="1153" w:type="dxa"/>
            <w:gridSpan w:val="2"/>
            <w:tcMar>
              <w:left w:w="28" w:type="dxa"/>
              <w:right w:w="28" w:type="dxa"/>
            </w:tcMar>
          </w:tcPr>
          <w:p w14:paraId="01D62911" w14:textId="77777777" w:rsidR="002709ED" w:rsidRDefault="002709ED">
            <w:pPr>
              <w:keepNext/>
              <w:keepLines/>
              <w:spacing w:before="40" w:after="40" w:line="360" w:lineRule="auto"/>
              <w:rPr>
                <w:noProof/>
                <w:sz w:val="22"/>
                <w:szCs w:val="24"/>
                <w:lang w:val="en-GB" w:eastAsia="en-US"/>
              </w:rPr>
            </w:pPr>
          </w:p>
        </w:tc>
        <w:tc>
          <w:tcPr>
            <w:tcW w:w="970" w:type="dxa"/>
            <w:tcMar>
              <w:left w:w="28" w:type="dxa"/>
              <w:right w:w="28" w:type="dxa"/>
            </w:tcMar>
          </w:tcPr>
          <w:p w14:paraId="0FF2275A" w14:textId="77777777" w:rsidR="002709ED" w:rsidRDefault="002709ED">
            <w:pPr>
              <w:keepNext/>
              <w:keepLines/>
              <w:spacing w:before="40" w:after="40" w:line="360" w:lineRule="auto"/>
              <w:rPr>
                <w:noProof/>
                <w:sz w:val="22"/>
                <w:szCs w:val="24"/>
                <w:lang w:val="en-GB" w:eastAsia="en-US"/>
              </w:rPr>
            </w:pPr>
          </w:p>
        </w:tc>
      </w:tr>
      <w:tr w:rsidR="002709ED" w14:paraId="4DD637DC" w14:textId="77777777">
        <w:trPr>
          <w:gridBefore w:val="1"/>
          <w:wBefore w:w="12" w:type="dxa"/>
          <w:cantSplit/>
          <w:tblHeader/>
          <w:jc w:val="center"/>
        </w:trPr>
        <w:tc>
          <w:tcPr>
            <w:tcW w:w="651" w:type="dxa"/>
            <w:gridSpan w:val="3"/>
            <w:tcMar>
              <w:left w:w="28" w:type="dxa"/>
              <w:right w:w="28" w:type="dxa"/>
            </w:tcMar>
          </w:tcPr>
          <w:p w14:paraId="3D829A10"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(25)</w:t>
            </w:r>
          </w:p>
        </w:tc>
        <w:tc>
          <w:tcPr>
            <w:tcW w:w="2286" w:type="dxa"/>
            <w:gridSpan w:val="3"/>
            <w:tcMar>
              <w:left w:w="28" w:type="dxa"/>
              <w:right w:w="28" w:type="dxa"/>
            </w:tcMar>
          </w:tcPr>
          <w:p w14:paraId="565D2A75"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oktylfenoly (</w:t>
            </w:r>
            <w:r>
              <w:rPr>
                <w:noProof/>
                <w:sz w:val="22"/>
                <w:szCs w:val="24"/>
                <w:vertAlign w:val="superscript"/>
                <w:lang w:val="en-GB" w:eastAsia="en-US"/>
              </w:rPr>
              <w:t>15</w:t>
            </w:r>
            <w:r>
              <w:rPr>
                <w:noProof/>
                <w:sz w:val="22"/>
                <w:szCs w:val="24"/>
                <w:lang w:val="en-GB" w:eastAsia="en-US"/>
              </w:rPr>
              <w:t xml:space="preserve">) </w:t>
            </w:r>
            <w:r>
              <w:rPr>
                <w:noProof/>
                <w:szCs w:val="24"/>
                <w:lang w:val="en-GB" w:eastAsia="en-US"/>
              </w:rPr>
              <w:t xml:space="preserve"> </w:t>
            </w:r>
            <w:r>
              <w:rPr>
                <w:noProof/>
                <w:szCs w:val="24"/>
                <w:lang w:val="en-GB" w:eastAsia="en-US"/>
              </w:rPr>
              <w:br/>
            </w:r>
            <w:r>
              <w:rPr>
                <w:noProof/>
                <w:sz w:val="22"/>
                <w:szCs w:val="24"/>
                <w:lang w:val="en-GB" w:eastAsia="en-US"/>
              </w:rPr>
              <w:t>[4-(1,1′,3,3′-tetrametylbutyl)-fenol]</w:t>
            </w:r>
          </w:p>
        </w:tc>
        <w:tc>
          <w:tcPr>
            <w:tcW w:w="1329" w:type="dxa"/>
            <w:gridSpan w:val="3"/>
            <w:tcMar>
              <w:left w:w="28" w:type="dxa"/>
              <w:right w:w="28" w:type="dxa"/>
            </w:tcMar>
          </w:tcPr>
          <w:p w14:paraId="4F32B1C1"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priemyselné látky</w:t>
            </w:r>
          </w:p>
        </w:tc>
        <w:tc>
          <w:tcPr>
            <w:tcW w:w="992" w:type="dxa"/>
            <w:gridSpan w:val="2"/>
            <w:tcMar>
              <w:left w:w="28" w:type="dxa"/>
              <w:right w:w="28" w:type="dxa"/>
            </w:tcMar>
          </w:tcPr>
          <w:p w14:paraId="66DA1E7D"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140-66-9</w:t>
            </w:r>
          </w:p>
        </w:tc>
        <w:tc>
          <w:tcPr>
            <w:tcW w:w="1134" w:type="dxa"/>
          </w:tcPr>
          <w:p w14:paraId="58D09865"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205-426-2</w:t>
            </w:r>
          </w:p>
        </w:tc>
        <w:tc>
          <w:tcPr>
            <w:tcW w:w="1279" w:type="dxa"/>
            <w:gridSpan w:val="2"/>
            <w:tcMar>
              <w:left w:w="28" w:type="dxa"/>
              <w:right w:w="28" w:type="dxa"/>
            </w:tcMar>
          </w:tcPr>
          <w:p w14:paraId="5573459D"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0,1</w:t>
            </w:r>
          </w:p>
        </w:tc>
        <w:tc>
          <w:tcPr>
            <w:tcW w:w="1279" w:type="dxa"/>
            <w:gridSpan w:val="2"/>
            <w:tcMar>
              <w:left w:w="28" w:type="dxa"/>
              <w:right w:w="28" w:type="dxa"/>
            </w:tcMar>
          </w:tcPr>
          <w:p w14:paraId="42427998"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0,01</w:t>
            </w:r>
          </w:p>
        </w:tc>
        <w:tc>
          <w:tcPr>
            <w:tcW w:w="1278" w:type="dxa"/>
            <w:gridSpan w:val="2"/>
            <w:tcMar>
              <w:left w:w="28" w:type="dxa"/>
              <w:right w:w="28" w:type="dxa"/>
            </w:tcMar>
          </w:tcPr>
          <w:p w14:paraId="0B3F82BB"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neuplatňuje sa</w:t>
            </w:r>
          </w:p>
        </w:tc>
        <w:tc>
          <w:tcPr>
            <w:tcW w:w="1277" w:type="dxa"/>
            <w:gridSpan w:val="2"/>
            <w:tcMar>
              <w:left w:w="28" w:type="dxa"/>
              <w:right w:w="28" w:type="dxa"/>
            </w:tcMar>
          </w:tcPr>
          <w:p w14:paraId="1E86F07D"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neuplatňuje sa</w:t>
            </w:r>
          </w:p>
        </w:tc>
        <w:tc>
          <w:tcPr>
            <w:tcW w:w="1136" w:type="dxa"/>
            <w:gridSpan w:val="2"/>
            <w:tcMar>
              <w:left w:w="28" w:type="dxa"/>
              <w:right w:w="28" w:type="dxa"/>
            </w:tcMar>
          </w:tcPr>
          <w:p w14:paraId="39C4B9DC" w14:textId="77777777" w:rsidR="002709ED" w:rsidRDefault="002709ED">
            <w:pPr>
              <w:keepNext/>
              <w:keepLines/>
              <w:spacing w:before="40" w:after="40" w:line="360" w:lineRule="auto"/>
              <w:rPr>
                <w:noProof/>
                <w:sz w:val="22"/>
                <w:szCs w:val="24"/>
                <w:lang w:val="en-GB" w:eastAsia="en-US"/>
              </w:rPr>
            </w:pPr>
          </w:p>
        </w:tc>
        <w:tc>
          <w:tcPr>
            <w:tcW w:w="1262" w:type="dxa"/>
            <w:tcMar>
              <w:left w:w="28" w:type="dxa"/>
              <w:right w:w="28" w:type="dxa"/>
            </w:tcMar>
          </w:tcPr>
          <w:p w14:paraId="4B1B0D94"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X</w:t>
            </w:r>
          </w:p>
        </w:tc>
        <w:tc>
          <w:tcPr>
            <w:tcW w:w="1153" w:type="dxa"/>
            <w:gridSpan w:val="2"/>
            <w:tcMar>
              <w:left w:w="28" w:type="dxa"/>
              <w:right w:w="28" w:type="dxa"/>
            </w:tcMar>
          </w:tcPr>
          <w:p w14:paraId="67E4CCBE" w14:textId="77777777" w:rsidR="002709ED" w:rsidRDefault="002709ED">
            <w:pPr>
              <w:keepNext/>
              <w:keepLines/>
              <w:spacing w:before="40" w:after="40" w:line="360" w:lineRule="auto"/>
              <w:rPr>
                <w:noProof/>
                <w:sz w:val="22"/>
                <w:szCs w:val="24"/>
                <w:lang w:val="en-GB" w:eastAsia="en-US"/>
              </w:rPr>
            </w:pPr>
          </w:p>
        </w:tc>
        <w:tc>
          <w:tcPr>
            <w:tcW w:w="970" w:type="dxa"/>
            <w:tcMar>
              <w:left w:w="28" w:type="dxa"/>
              <w:right w:w="28" w:type="dxa"/>
            </w:tcMar>
          </w:tcPr>
          <w:p w14:paraId="4F8F7707" w14:textId="77777777" w:rsidR="002709ED" w:rsidRDefault="002709ED">
            <w:pPr>
              <w:keepNext/>
              <w:keepLines/>
              <w:spacing w:before="40" w:after="40" w:line="360" w:lineRule="auto"/>
              <w:rPr>
                <w:noProof/>
                <w:sz w:val="22"/>
                <w:szCs w:val="24"/>
                <w:lang w:val="en-GB" w:eastAsia="en-US"/>
              </w:rPr>
            </w:pPr>
          </w:p>
        </w:tc>
      </w:tr>
      <w:tr w:rsidR="002709ED" w14:paraId="603A8908" w14:textId="77777777">
        <w:trPr>
          <w:gridBefore w:val="1"/>
          <w:wBefore w:w="12" w:type="dxa"/>
          <w:cantSplit/>
          <w:tblHeader/>
          <w:jc w:val="center"/>
        </w:trPr>
        <w:tc>
          <w:tcPr>
            <w:tcW w:w="651" w:type="dxa"/>
            <w:gridSpan w:val="3"/>
            <w:tcMar>
              <w:left w:w="28" w:type="dxa"/>
              <w:right w:w="28" w:type="dxa"/>
            </w:tcMar>
          </w:tcPr>
          <w:p w14:paraId="2E29D77A"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(26)</w:t>
            </w:r>
          </w:p>
        </w:tc>
        <w:tc>
          <w:tcPr>
            <w:tcW w:w="2286" w:type="dxa"/>
            <w:gridSpan w:val="3"/>
            <w:tcMar>
              <w:left w:w="28" w:type="dxa"/>
              <w:right w:w="28" w:type="dxa"/>
            </w:tcMar>
          </w:tcPr>
          <w:p w14:paraId="163C3405"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pentachlórbenzén</w:t>
            </w:r>
          </w:p>
        </w:tc>
        <w:tc>
          <w:tcPr>
            <w:tcW w:w="1329" w:type="dxa"/>
            <w:gridSpan w:val="3"/>
            <w:tcMar>
              <w:left w:w="28" w:type="dxa"/>
              <w:right w:w="28" w:type="dxa"/>
            </w:tcMar>
          </w:tcPr>
          <w:p w14:paraId="1EA46F59"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priemyselné látky</w:t>
            </w:r>
          </w:p>
        </w:tc>
        <w:tc>
          <w:tcPr>
            <w:tcW w:w="992" w:type="dxa"/>
            <w:gridSpan w:val="2"/>
            <w:tcMar>
              <w:left w:w="28" w:type="dxa"/>
              <w:right w:w="28" w:type="dxa"/>
            </w:tcMar>
          </w:tcPr>
          <w:p w14:paraId="25506068"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608-93-5</w:t>
            </w:r>
          </w:p>
        </w:tc>
        <w:tc>
          <w:tcPr>
            <w:tcW w:w="1134" w:type="dxa"/>
          </w:tcPr>
          <w:p w14:paraId="178F3CAB"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210-172-0</w:t>
            </w:r>
          </w:p>
        </w:tc>
        <w:tc>
          <w:tcPr>
            <w:tcW w:w="1279" w:type="dxa"/>
            <w:gridSpan w:val="2"/>
            <w:tcMar>
              <w:left w:w="28" w:type="dxa"/>
              <w:right w:w="28" w:type="dxa"/>
            </w:tcMar>
          </w:tcPr>
          <w:p w14:paraId="6D171927"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0,007</w:t>
            </w:r>
          </w:p>
        </w:tc>
        <w:tc>
          <w:tcPr>
            <w:tcW w:w="1279" w:type="dxa"/>
            <w:gridSpan w:val="2"/>
            <w:tcMar>
              <w:left w:w="28" w:type="dxa"/>
              <w:right w:w="28" w:type="dxa"/>
            </w:tcMar>
          </w:tcPr>
          <w:p w14:paraId="2A2CCD61"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0,0007</w:t>
            </w:r>
          </w:p>
        </w:tc>
        <w:tc>
          <w:tcPr>
            <w:tcW w:w="1278" w:type="dxa"/>
            <w:gridSpan w:val="2"/>
            <w:tcMar>
              <w:left w:w="28" w:type="dxa"/>
              <w:right w:w="28" w:type="dxa"/>
            </w:tcMar>
          </w:tcPr>
          <w:p w14:paraId="13CFBE69"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neuplatňuje sa</w:t>
            </w:r>
          </w:p>
        </w:tc>
        <w:tc>
          <w:tcPr>
            <w:tcW w:w="1277" w:type="dxa"/>
            <w:gridSpan w:val="2"/>
            <w:tcMar>
              <w:left w:w="28" w:type="dxa"/>
              <w:right w:w="28" w:type="dxa"/>
            </w:tcMar>
          </w:tcPr>
          <w:p w14:paraId="23C87027"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neuplatňuje sa</w:t>
            </w:r>
          </w:p>
        </w:tc>
        <w:tc>
          <w:tcPr>
            <w:tcW w:w="1136" w:type="dxa"/>
            <w:gridSpan w:val="2"/>
            <w:tcMar>
              <w:left w:w="28" w:type="dxa"/>
              <w:right w:w="28" w:type="dxa"/>
            </w:tcMar>
          </w:tcPr>
          <w:p w14:paraId="5B834FDF" w14:textId="77777777" w:rsidR="002709ED" w:rsidRDefault="002709ED">
            <w:pPr>
              <w:keepNext/>
              <w:keepLines/>
              <w:spacing w:before="40" w:after="40" w:line="360" w:lineRule="auto"/>
              <w:rPr>
                <w:noProof/>
                <w:sz w:val="22"/>
                <w:szCs w:val="24"/>
                <w:lang w:val="en-GB" w:eastAsia="en-US"/>
              </w:rPr>
            </w:pPr>
          </w:p>
        </w:tc>
        <w:tc>
          <w:tcPr>
            <w:tcW w:w="1262" w:type="dxa"/>
            <w:tcMar>
              <w:left w:w="28" w:type="dxa"/>
              <w:right w:w="28" w:type="dxa"/>
            </w:tcMar>
          </w:tcPr>
          <w:p w14:paraId="579C17B2"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X</w:t>
            </w:r>
          </w:p>
        </w:tc>
        <w:tc>
          <w:tcPr>
            <w:tcW w:w="1153" w:type="dxa"/>
            <w:gridSpan w:val="2"/>
            <w:tcMar>
              <w:left w:w="28" w:type="dxa"/>
              <w:right w:w="28" w:type="dxa"/>
            </w:tcMar>
          </w:tcPr>
          <w:p w14:paraId="1A45E0E8" w14:textId="77777777" w:rsidR="002709ED" w:rsidRDefault="002709ED">
            <w:pPr>
              <w:keepNext/>
              <w:keepLines/>
              <w:spacing w:before="40" w:after="40" w:line="360" w:lineRule="auto"/>
              <w:rPr>
                <w:noProof/>
                <w:sz w:val="22"/>
                <w:szCs w:val="24"/>
                <w:lang w:val="en-GB" w:eastAsia="en-US"/>
              </w:rPr>
            </w:pPr>
          </w:p>
        </w:tc>
        <w:tc>
          <w:tcPr>
            <w:tcW w:w="970" w:type="dxa"/>
            <w:tcMar>
              <w:left w:w="28" w:type="dxa"/>
              <w:right w:w="28" w:type="dxa"/>
            </w:tcMar>
          </w:tcPr>
          <w:p w14:paraId="05D1E493"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X</w:t>
            </w:r>
          </w:p>
        </w:tc>
      </w:tr>
      <w:tr w:rsidR="002709ED" w14:paraId="78D347EC" w14:textId="77777777">
        <w:trPr>
          <w:gridBefore w:val="1"/>
          <w:wBefore w:w="12" w:type="dxa"/>
          <w:cantSplit/>
          <w:tblHeader/>
          <w:jc w:val="center"/>
        </w:trPr>
        <w:tc>
          <w:tcPr>
            <w:tcW w:w="651" w:type="dxa"/>
            <w:gridSpan w:val="3"/>
            <w:tcMar>
              <w:left w:w="28" w:type="dxa"/>
              <w:right w:w="28" w:type="dxa"/>
            </w:tcMar>
          </w:tcPr>
          <w:p w14:paraId="40A7E97F"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lastRenderedPageBreak/>
              <w:t>(27)</w:t>
            </w:r>
          </w:p>
        </w:tc>
        <w:tc>
          <w:tcPr>
            <w:tcW w:w="2286" w:type="dxa"/>
            <w:gridSpan w:val="3"/>
            <w:tcMar>
              <w:left w:w="28" w:type="dxa"/>
              <w:right w:w="28" w:type="dxa"/>
            </w:tcMar>
          </w:tcPr>
          <w:p w14:paraId="04B59511"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pentachlórfenol</w:t>
            </w:r>
          </w:p>
        </w:tc>
        <w:tc>
          <w:tcPr>
            <w:tcW w:w="1329" w:type="dxa"/>
            <w:gridSpan w:val="3"/>
            <w:tcMar>
              <w:left w:w="28" w:type="dxa"/>
              <w:right w:w="28" w:type="dxa"/>
            </w:tcMar>
          </w:tcPr>
          <w:p w14:paraId="45245E2E"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organochlórové pesticídy</w:t>
            </w:r>
          </w:p>
        </w:tc>
        <w:tc>
          <w:tcPr>
            <w:tcW w:w="992" w:type="dxa"/>
            <w:gridSpan w:val="2"/>
            <w:tcMar>
              <w:left w:w="28" w:type="dxa"/>
              <w:right w:w="28" w:type="dxa"/>
            </w:tcMar>
          </w:tcPr>
          <w:p w14:paraId="1F3DDC9C"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87-86-5</w:t>
            </w:r>
          </w:p>
        </w:tc>
        <w:tc>
          <w:tcPr>
            <w:tcW w:w="1134" w:type="dxa"/>
          </w:tcPr>
          <w:p w14:paraId="2345149B"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201-778-6</w:t>
            </w:r>
          </w:p>
        </w:tc>
        <w:tc>
          <w:tcPr>
            <w:tcW w:w="1279" w:type="dxa"/>
            <w:gridSpan w:val="2"/>
            <w:tcMar>
              <w:left w:w="28" w:type="dxa"/>
              <w:right w:w="28" w:type="dxa"/>
            </w:tcMar>
          </w:tcPr>
          <w:p w14:paraId="2C34402C"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0,4</w:t>
            </w:r>
          </w:p>
        </w:tc>
        <w:tc>
          <w:tcPr>
            <w:tcW w:w="1279" w:type="dxa"/>
            <w:gridSpan w:val="2"/>
            <w:tcMar>
              <w:left w:w="28" w:type="dxa"/>
              <w:right w:w="28" w:type="dxa"/>
            </w:tcMar>
          </w:tcPr>
          <w:p w14:paraId="6B8EA4DC"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0,4</w:t>
            </w:r>
          </w:p>
        </w:tc>
        <w:tc>
          <w:tcPr>
            <w:tcW w:w="1278" w:type="dxa"/>
            <w:gridSpan w:val="2"/>
            <w:tcMar>
              <w:left w:w="28" w:type="dxa"/>
              <w:right w:w="28" w:type="dxa"/>
            </w:tcMar>
          </w:tcPr>
          <w:p w14:paraId="5A5773B2"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1</w:t>
            </w:r>
          </w:p>
        </w:tc>
        <w:tc>
          <w:tcPr>
            <w:tcW w:w="1277" w:type="dxa"/>
            <w:gridSpan w:val="2"/>
            <w:tcMar>
              <w:left w:w="28" w:type="dxa"/>
              <w:right w:w="28" w:type="dxa"/>
            </w:tcMar>
          </w:tcPr>
          <w:p w14:paraId="67FE6388"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1</w:t>
            </w:r>
          </w:p>
        </w:tc>
        <w:tc>
          <w:tcPr>
            <w:tcW w:w="1136" w:type="dxa"/>
            <w:gridSpan w:val="2"/>
            <w:tcMar>
              <w:left w:w="28" w:type="dxa"/>
              <w:right w:w="28" w:type="dxa"/>
            </w:tcMar>
          </w:tcPr>
          <w:p w14:paraId="253D3984" w14:textId="77777777" w:rsidR="002709ED" w:rsidRDefault="002709ED">
            <w:pPr>
              <w:keepNext/>
              <w:keepLines/>
              <w:spacing w:before="40" w:after="40" w:line="360" w:lineRule="auto"/>
              <w:rPr>
                <w:noProof/>
                <w:sz w:val="22"/>
                <w:szCs w:val="24"/>
                <w:lang w:val="en-GB" w:eastAsia="en-US"/>
              </w:rPr>
            </w:pPr>
          </w:p>
        </w:tc>
        <w:tc>
          <w:tcPr>
            <w:tcW w:w="1262" w:type="dxa"/>
            <w:tcMar>
              <w:left w:w="28" w:type="dxa"/>
              <w:right w:w="28" w:type="dxa"/>
            </w:tcMar>
          </w:tcPr>
          <w:p w14:paraId="38D44004"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X</w:t>
            </w:r>
          </w:p>
        </w:tc>
        <w:tc>
          <w:tcPr>
            <w:tcW w:w="1153" w:type="dxa"/>
            <w:gridSpan w:val="2"/>
            <w:tcMar>
              <w:left w:w="28" w:type="dxa"/>
              <w:right w:w="28" w:type="dxa"/>
            </w:tcMar>
          </w:tcPr>
          <w:p w14:paraId="41A8A2BC" w14:textId="77777777" w:rsidR="002709ED" w:rsidRDefault="002709ED">
            <w:pPr>
              <w:keepNext/>
              <w:keepLines/>
              <w:spacing w:before="40" w:after="40" w:line="360" w:lineRule="auto"/>
              <w:rPr>
                <w:noProof/>
                <w:sz w:val="22"/>
                <w:szCs w:val="24"/>
                <w:lang w:val="en-GB" w:eastAsia="en-US"/>
              </w:rPr>
            </w:pPr>
          </w:p>
        </w:tc>
        <w:tc>
          <w:tcPr>
            <w:tcW w:w="970" w:type="dxa"/>
            <w:tcMar>
              <w:left w:w="28" w:type="dxa"/>
              <w:right w:w="28" w:type="dxa"/>
            </w:tcMar>
          </w:tcPr>
          <w:p w14:paraId="7D77D27F" w14:textId="77777777" w:rsidR="002709ED" w:rsidRDefault="002709ED">
            <w:pPr>
              <w:keepNext/>
              <w:keepLines/>
              <w:spacing w:before="40" w:after="40" w:line="360" w:lineRule="auto"/>
              <w:rPr>
                <w:noProof/>
                <w:sz w:val="22"/>
                <w:szCs w:val="24"/>
                <w:lang w:val="en-GB" w:eastAsia="en-US"/>
              </w:rPr>
            </w:pPr>
          </w:p>
        </w:tc>
      </w:tr>
      <w:tr w:rsidR="002709ED" w14:paraId="6E5AFCE6" w14:textId="77777777">
        <w:trPr>
          <w:gridBefore w:val="1"/>
          <w:wBefore w:w="12" w:type="dxa"/>
          <w:cantSplit/>
          <w:tblHeader/>
          <w:jc w:val="center"/>
        </w:trPr>
        <w:tc>
          <w:tcPr>
            <w:tcW w:w="651" w:type="dxa"/>
            <w:gridSpan w:val="3"/>
            <w:tcMar>
              <w:left w:w="28" w:type="dxa"/>
              <w:right w:w="28" w:type="dxa"/>
            </w:tcMar>
          </w:tcPr>
          <w:p w14:paraId="5C7B1741"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(28)</w:t>
            </w:r>
          </w:p>
        </w:tc>
        <w:tc>
          <w:tcPr>
            <w:tcW w:w="2286" w:type="dxa"/>
            <w:gridSpan w:val="3"/>
            <w:tcMar>
              <w:left w:w="28" w:type="dxa"/>
              <w:right w:w="28" w:type="dxa"/>
            </w:tcMar>
          </w:tcPr>
          <w:p w14:paraId="7937EF74"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polyaromatické uhľovodíky (PAH) (</w:t>
            </w:r>
            <w:r>
              <w:rPr>
                <w:noProof/>
                <w:sz w:val="22"/>
                <w:szCs w:val="24"/>
                <w:vertAlign w:val="superscript"/>
                <w:lang w:val="en-GB" w:eastAsia="en-US"/>
              </w:rPr>
              <w:t>16</w:t>
            </w:r>
            <w:r>
              <w:rPr>
                <w:noProof/>
                <w:sz w:val="22"/>
                <w:szCs w:val="24"/>
                <w:lang w:val="en-GB" w:eastAsia="en-US"/>
              </w:rPr>
              <w:t>)</w:t>
            </w:r>
          </w:p>
        </w:tc>
        <w:tc>
          <w:tcPr>
            <w:tcW w:w="1329" w:type="dxa"/>
            <w:gridSpan w:val="3"/>
            <w:tcMar>
              <w:left w:w="28" w:type="dxa"/>
              <w:right w:w="28" w:type="dxa"/>
            </w:tcMar>
          </w:tcPr>
          <w:p w14:paraId="71EA22FC"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produkty spaľovania</w:t>
            </w:r>
          </w:p>
        </w:tc>
        <w:tc>
          <w:tcPr>
            <w:tcW w:w="992" w:type="dxa"/>
            <w:gridSpan w:val="2"/>
            <w:tcMar>
              <w:left w:w="28" w:type="dxa"/>
              <w:right w:w="28" w:type="dxa"/>
            </w:tcMar>
          </w:tcPr>
          <w:p w14:paraId="3E4D027A"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neuplatňuje sa</w:t>
            </w:r>
          </w:p>
        </w:tc>
        <w:tc>
          <w:tcPr>
            <w:tcW w:w="1134" w:type="dxa"/>
          </w:tcPr>
          <w:p w14:paraId="2B64CF93"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neuplatňuje sa</w:t>
            </w:r>
          </w:p>
        </w:tc>
        <w:tc>
          <w:tcPr>
            <w:tcW w:w="1279" w:type="dxa"/>
            <w:gridSpan w:val="2"/>
            <w:tcMar>
              <w:left w:w="28" w:type="dxa"/>
              <w:right w:w="28" w:type="dxa"/>
            </w:tcMar>
          </w:tcPr>
          <w:p w14:paraId="557BF84B"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neuplatňuje sa</w:t>
            </w:r>
          </w:p>
        </w:tc>
        <w:tc>
          <w:tcPr>
            <w:tcW w:w="1279" w:type="dxa"/>
            <w:gridSpan w:val="2"/>
            <w:tcMar>
              <w:left w:w="28" w:type="dxa"/>
              <w:right w:w="28" w:type="dxa"/>
            </w:tcMar>
          </w:tcPr>
          <w:p w14:paraId="0FF13070"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neuplatňuje sa</w:t>
            </w:r>
          </w:p>
        </w:tc>
        <w:tc>
          <w:tcPr>
            <w:tcW w:w="1278" w:type="dxa"/>
            <w:gridSpan w:val="2"/>
            <w:tcMar>
              <w:left w:w="28" w:type="dxa"/>
              <w:right w:w="28" w:type="dxa"/>
            </w:tcMar>
          </w:tcPr>
          <w:p w14:paraId="32DBEE56"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neuplatňuje sa</w:t>
            </w:r>
          </w:p>
        </w:tc>
        <w:tc>
          <w:tcPr>
            <w:tcW w:w="1277" w:type="dxa"/>
            <w:gridSpan w:val="2"/>
            <w:tcMar>
              <w:left w:w="28" w:type="dxa"/>
              <w:right w:w="28" w:type="dxa"/>
            </w:tcMar>
          </w:tcPr>
          <w:p w14:paraId="3A53352E"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neuplatňuje sa</w:t>
            </w:r>
          </w:p>
        </w:tc>
        <w:tc>
          <w:tcPr>
            <w:tcW w:w="1136" w:type="dxa"/>
            <w:gridSpan w:val="2"/>
            <w:tcMar>
              <w:left w:w="28" w:type="dxa"/>
              <w:right w:w="28" w:type="dxa"/>
            </w:tcMar>
          </w:tcPr>
          <w:p w14:paraId="252BFAAE"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súčet ekvivalentov benzo(a)pyrénu [0,6]</w:t>
            </w:r>
            <w:r>
              <w:rPr>
                <w:noProof/>
                <w:sz w:val="22"/>
                <w:szCs w:val="24"/>
                <w:vertAlign w:val="superscript"/>
                <w:lang w:val="en-GB" w:eastAsia="en-US"/>
              </w:rPr>
              <w:t xml:space="preserve"> </w:t>
            </w:r>
            <w:r>
              <w:rPr>
                <w:noProof/>
                <w:sz w:val="22"/>
                <w:szCs w:val="24"/>
                <w:lang w:val="en-GB" w:eastAsia="en-US"/>
              </w:rPr>
              <w:t>(</w:t>
            </w:r>
            <w:r>
              <w:rPr>
                <w:noProof/>
                <w:sz w:val="22"/>
                <w:szCs w:val="24"/>
                <w:vertAlign w:val="superscript"/>
                <w:lang w:val="en-GB" w:eastAsia="en-US"/>
              </w:rPr>
              <w:t>17</w:t>
            </w:r>
            <w:r>
              <w:rPr>
                <w:noProof/>
                <w:sz w:val="22"/>
                <w:szCs w:val="24"/>
                <w:lang w:val="en-GB" w:eastAsia="en-US"/>
              </w:rPr>
              <w:t>)</w:t>
            </w:r>
          </w:p>
        </w:tc>
        <w:tc>
          <w:tcPr>
            <w:tcW w:w="1262" w:type="dxa"/>
            <w:tcMar>
              <w:left w:w="28" w:type="dxa"/>
              <w:right w:w="28" w:type="dxa"/>
            </w:tcMar>
          </w:tcPr>
          <w:p w14:paraId="233CBE4E"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 xml:space="preserve">X </w:t>
            </w:r>
          </w:p>
        </w:tc>
        <w:tc>
          <w:tcPr>
            <w:tcW w:w="1153" w:type="dxa"/>
            <w:gridSpan w:val="2"/>
            <w:tcMar>
              <w:left w:w="28" w:type="dxa"/>
              <w:right w:w="28" w:type="dxa"/>
            </w:tcMar>
          </w:tcPr>
          <w:p w14:paraId="6C5D68AF"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X</w:t>
            </w:r>
          </w:p>
        </w:tc>
        <w:tc>
          <w:tcPr>
            <w:tcW w:w="970" w:type="dxa"/>
            <w:tcMar>
              <w:left w:w="28" w:type="dxa"/>
              <w:right w:w="28" w:type="dxa"/>
            </w:tcMar>
          </w:tcPr>
          <w:p w14:paraId="5686042C"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X</w:t>
            </w:r>
          </w:p>
        </w:tc>
      </w:tr>
      <w:tr w:rsidR="002709ED" w14:paraId="13FEE9E2" w14:textId="77777777">
        <w:trPr>
          <w:gridBefore w:val="1"/>
          <w:wBefore w:w="12" w:type="dxa"/>
          <w:cantSplit/>
          <w:tblHeader/>
          <w:jc w:val="center"/>
        </w:trPr>
        <w:tc>
          <w:tcPr>
            <w:tcW w:w="651" w:type="dxa"/>
            <w:gridSpan w:val="3"/>
            <w:vMerge w:val="restart"/>
            <w:tcMar>
              <w:left w:w="28" w:type="dxa"/>
              <w:right w:w="28" w:type="dxa"/>
            </w:tcMar>
          </w:tcPr>
          <w:p w14:paraId="33A4F97E" w14:textId="77777777" w:rsidR="002709ED" w:rsidRDefault="002709ED">
            <w:pPr>
              <w:keepNext/>
              <w:keepLines/>
              <w:spacing w:before="40" w:after="40" w:line="360" w:lineRule="auto"/>
              <w:rPr>
                <w:noProof/>
                <w:sz w:val="22"/>
                <w:szCs w:val="24"/>
                <w:lang w:val="en-GB" w:eastAsia="en-US"/>
              </w:rPr>
            </w:pPr>
          </w:p>
        </w:tc>
        <w:tc>
          <w:tcPr>
            <w:tcW w:w="2286" w:type="dxa"/>
            <w:gridSpan w:val="3"/>
            <w:tcMar>
              <w:left w:w="28" w:type="dxa"/>
              <w:right w:w="28" w:type="dxa"/>
            </w:tcMar>
          </w:tcPr>
          <w:p w14:paraId="5B042D04"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benzo(a)pyrén</w:t>
            </w:r>
          </w:p>
        </w:tc>
        <w:tc>
          <w:tcPr>
            <w:tcW w:w="1329" w:type="dxa"/>
            <w:gridSpan w:val="3"/>
            <w:tcMar>
              <w:left w:w="28" w:type="dxa"/>
              <w:right w:w="28" w:type="dxa"/>
            </w:tcMar>
          </w:tcPr>
          <w:p w14:paraId="4A3FCEEA" w14:textId="77777777" w:rsidR="002709ED" w:rsidRDefault="002709ED">
            <w:pPr>
              <w:keepNext/>
              <w:keepLines/>
              <w:spacing w:before="40" w:after="40" w:line="360" w:lineRule="auto"/>
              <w:rPr>
                <w:noProof/>
                <w:sz w:val="22"/>
                <w:szCs w:val="24"/>
                <w:lang w:val="en-GB" w:eastAsia="en-US"/>
              </w:rPr>
            </w:pPr>
          </w:p>
        </w:tc>
        <w:tc>
          <w:tcPr>
            <w:tcW w:w="992" w:type="dxa"/>
            <w:gridSpan w:val="2"/>
            <w:tcMar>
              <w:left w:w="28" w:type="dxa"/>
              <w:right w:w="28" w:type="dxa"/>
            </w:tcMar>
          </w:tcPr>
          <w:p w14:paraId="0CF1C665"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50-32-8</w:t>
            </w:r>
          </w:p>
        </w:tc>
        <w:tc>
          <w:tcPr>
            <w:tcW w:w="1134" w:type="dxa"/>
            <w:shd w:val="clear" w:color="auto" w:fill="auto"/>
          </w:tcPr>
          <w:p w14:paraId="3254CCEF" w14:textId="77777777" w:rsidR="002709ED" w:rsidRDefault="00B2757B">
            <w:pPr>
              <w:keepNext/>
              <w:keepLines/>
              <w:spacing w:before="40" w:after="40" w:line="360" w:lineRule="auto"/>
              <w:rPr>
                <w:bCs/>
                <w:noProof/>
                <w:sz w:val="22"/>
                <w:szCs w:val="24"/>
                <w:lang w:val="en-GB" w:eastAsia="en-US"/>
              </w:rPr>
            </w:pPr>
            <w:r>
              <w:rPr>
                <w:noProof/>
                <w:sz w:val="22"/>
                <w:szCs w:val="24"/>
                <w:lang w:val="en-GB" w:eastAsia="en-US"/>
              </w:rPr>
              <w:t>200-028-5</w:t>
            </w:r>
          </w:p>
        </w:tc>
        <w:tc>
          <w:tcPr>
            <w:tcW w:w="1279" w:type="dxa"/>
            <w:gridSpan w:val="2"/>
            <w:shd w:val="clear" w:color="auto" w:fill="auto"/>
            <w:tcMar>
              <w:left w:w="28" w:type="dxa"/>
              <w:right w:w="28" w:type="dxa"/>
            </w:tcMar>
          </w:tcPr>
          <w:p w14:paraId="7A46C829" w14:textId="77777777" w:rsidR="002709ED" w:rsidRDefault="002709ED">
            <w:pPr>
              <w:keepNext/>
              <w:keepLines/>
              <w:spacing w:before="40" w:after="40" w:line="360" w:lineRule="auto"/>
              <w:rPr>
                <w:bCs/>
                <w:noProof/>
                <w:sz w:val="22"/>
                <w:szCs w:val="24"/>
                <w:vertAlign w:val="superscript"/>
                <w:lang w:val="en-GB" w:eastAsia="en-US"/>
              </w:rPr>
            </w:pPr>
          </w:p>
        </w:tc>
        <w:tc>
          <w:tcPr>
            <w:tcW w:w="1279" w:type="dxa"/>
            <w:gridSpan w:val="2"/>
            <w:shd w:val="clear" w:color="auto" w:fill="auto"/>
            <w:tcMar>
              <w:left w:w="28" w:type="dxa"/>
              <w:right w:w="28" w:type="dxa"/>
            </w:tcMar>
          </w:tcPr>
          <w:p w14:paraId="0879B6D9" w14:textId="77777777" w:rsidR="002709ED" w:rsidRDefault="002709ED">
            <w:pPr>
              <w:keepNext/>
              <w:keepLines/>
              <w:spacing w:before="40" w:after="40" w:line="360" w:lineRule="auto"/>
              <w:rPr>
                <w:bCs/>
                <w:noProof/>
                <w:sz w:val="22"/>
                <w:szCs w:val="24"/>
                <w:lang w:val="en-GB" w:eastAsia="en-US"/>
              </w:rPr>
            </w:pPr>
          </w:p>
        </w:tc>
        <w:tc>
          <w:tcPr>
            <w:tcW w:w="1278" w:type="dxa"/>
            <w:gridSpan w:val="2"/>
            <w:tcMar>
              <w:left w:w="28" w:type="dxa"/>
              <w:right w:w="28" w:type="dxa"/>
            </w:tcMar>
          </w:tcPr>
          <w:p w14:paraId="40685050" w14:textId="77777777" w:rsidR="002709ED" w:rsidRDefault="00B2757B">
            <w:pPr>
              <w:keepNext/>
              <w:keepLines/>
              <w:spacing w:before="40" w:after="40" w:line="360" w:lineRule="auto"/>
              <w:rPr>
                <w:bCs/>
                <w:noProof/>
                <w:sz w:val="22"/>
                <w:szCs w:val="24"/>
                <w:lang w:val="en-GB" w:eastAsia="en-US"/>
              </w:rPr>
            </w:pPr>
            <w:r>
              <w:rPr>
                <w:noProof/>
                <w:sz w:val="22"/>
                <w:szCs w:val="24"/>
                <w:lang w:val="en-GB" w:eastAsia="en-US"/>
              </w:rPr>
              <w:t>0,27</w:t>
            </w:r>
          </w:p>
        </w:tc>
        <w:tc>
          <w:tcPr>
            <w:tcW w:w="1277" w:type="dxa"/>
            <w:gridSpan w:val="2"/>
            <w:tcMar>
              <w:left w:w="28" w:type="dxa"/>
              <w:right w:w="28" w:type="dxa"/>
            </w:tcMar>
          </w:tcPr>
          <w:p w14:paraId="7CDDF0B7" w14:textId="77777777" w:rsidR="002709ED" w:rsidRDefault="00B2757B">
            <w:pPr>
              <w:keepNext/>
              <w:keepLines/>
              <w:spacing w:before="40" w:after="40" w:line="360" w:lineRule="auto"/>
              <w:rPr>
                <w:bCs/>
                <w:noProof/>
                <w:sz w:val="22"/>
                <w:szCs w:val="24"/>
                <w:lang w:val="en-GB" w:eastAsia="en-US"/>
              </w:rPr>
            </w:pPr>
            <w:r>
              <w:rPr>
                <w:noProof/>
                <w:sz w:val="22"/>
                <w:szCs w:val="24"/>
                <w:lang w:val="en-GB" w:eastAsia="en-US"/>
              </w:rPr>
              <w:t>0,027</w:t>
            </w:r>
          </w:p>
        </w:tc>
        <w:tc>
          <w:tcPr>
            <w:tcW w:w="1136" w:type="dxa"/>
            <w:gridSpan w:val="2"/>
            <w:tcMar>
              <w:left w:w="28" w:type="dxa"/>
              <w:right w:w="28" w:type="dxa"/>
            </w:tcMar>
          </w:tcPr>
          <w:p w14:paraId="69688CA5" w14:textId="77777777" w:rsidR="002709ED" w:rsidRPr="00C100E9" w:rsidRDefault="00B2757B">
            <w:pPr>
              <w:keepNext/>
              <w:keepLines/>
              <w:spacing w:before="40" w:after="40" w:line="360" w:lineRule="auto"/>
              <w:rPr>
                <w:bCs/>
                <w:noProof/>
                <w:sz w:val="22"/>
                <w:szCs w:val="24"/>
                <w:lang w:val="en-GB" w:eastAsia="en-US"/>
              </w:rPr>
            </w:pPr>
            <w:bookmarkStart w:id="25" w:name="_DV_C335"/>
            <w:r w:rsidRPr="00C100E9">
              <w:rPr>
                <w:noProof/>
                <w:sz w:val="22"/>
                <w:szCs w:val="24"/>
                <w:lang w:val="en-GB" w:eastAsia="en-US"/>
              </w:rPr>
              <w:t>[0,6</w:t>
            </w:r>
            <w:bookmarkEnd w:id="25"/>
            <w:r w:rsidRPr="00C100E9">
              <w:rPr>
                <w:noProof/>
                <w:sz w:val="22"/>
                <w:szCs w:val="24"/>
                <w:lang w:val="en-GB" w:eastAsia="en-US"/>
              </w:rPr>
              <w:t>]</w:t>
            </w:r>
          </w:p>
        </w:tc>
        <w:tc>
          <w:tcPr>
            <w:tcW w:w="1262" w:type="dxa"/>
            <w:tcMar>
              <w:left w:w="28" w:type="dxa"/>
              <w:right w:w="28" w:type="dxa"/>
            </w:tcMar>
          </w:tcPr>
          <w:p w14:paraId="6AE892FF" w14:textId="77777777" w:rsidR="002709ED" w:rsidRDefault="002709ED">
            <w:pPr>
              <w:keepNext/>
              <w:keepLines/>
              <w:spacing w:before="40" w:after="40" w:line="360" w:lineRule="auto"/>
              <w:rPr>
                <w:bCs/>
                <w:iCs/>
                <w:noProof/>
                <w:sz w:val="22"/>
                <w:szCs w:val="24"/>
                <w:lang w:val="en-GB" w:eastAsia="en-US"/>
              </w:rPr>
            </w:pPr>
          </w:p>
        </w:tc>
        <w:tc>
          <w:tcPr>
            <w:tcW w:w="1153" w:type="dxa"/>
            <w:gridSpan w:val="2"/>
            <w:tcMar>
              <w:left w:w="28" w:type="dxa"/>
              <w:right w:w="28" w:type="dxa"/>
            </w:tcMar>
          </w:tcPr>
          <w:p w14:paraId="775C208B" w14:textId="77777777" w:rsidR="002709ED" w:rsidRDefault="002709ED">
            <w:pPr>
              <w:keepNext/>
              <w:keepLines/>
              <w:spacing w:before="40" w:after="40" w:line="360" w:lineRule="auto"/>
              <w:rPr>
                <w:bCs/>
                <w:iCs/>
                <w:strike/>
                <w:noProof/>
                <w:sz w:val="22"/>
                <w:szCs w:val="24"/>
                <w:lang w:val="en-GB" w:eastAsia="en-US"/>
              </w:rPr>
            </w:pPr>
          </w:p>
        </w:tc>
        <w:tc>
          <w:tcPr>
            <w:tcW w:w="970" w:type="dxa"/>
            <w:tcMar>
              <w:left w:w="28" w:type="dxa"/>
              <w:right w:w="28" w:type="dxa"/>
            </w:tcMar>
          </w:tcPr>
          <w:p w14:paraId="24596185" w14:textId="77777777" w:rsidR="002709ED" w:rsidRDefault="002709ED">
            <w:pPr>
              <w:keepNext/>
              <w:keepLines/>
              <w:spacing w:before="40" w:after="40" w:line="360" w:lineRule="auto"/>
              <w:rPr>
                <w:bCs/>
                <w:iCs/>
                <w:strike/>
                <w:noProof/>
                <w:sz w:val="22"/>
                <w:szCs w:val="24"/>
                <w:lang w:val="en-GB" w:eastAsia="en-US"/>
              </w:rPr>
            </w:pPr>
          </w:p>
        </w:tc>
      </w:tr>
      <w:tr w:rsidR="002709ED" w14:paraId="65543951" w14:textId="77777777">
        <w:trPr>
          <w:gridBefore w:val="1"/>
          <w:wBefore w:w="12" w:type="dxa"/>
          <w:cantSplit/>
          <w:tblHeader/>
          <w:jc w:val="center"/>
        </w:trPr>
        <w:tc>
          <w:tcPr>
            <w:tcW w:w="651" w:type="dxa"/>
            <w:gridSpan w:val="3"/>
            <w:vMerge/>
            <w:tcMar>
              <w:left w:w="28" w:type="dxa"/>
              <w:right w:w="28" w:type="dxa"/>
            </w:tcMar>
          </w:tcPr>
          <w:p w14:paraId="355F5047" w14:textId="77777777" w:rsidR="002709ED" w:rsidRDefault="002709ED">
            <w:pPr>
              <w:keepNext/>
              <w:keepLines/>
              <w:spacing w:before="40" w:after="40" w:line="360" w:lineRule="auto"/>
              <w:rPr>
                <w:noProof/>
                <w:sz w:val="22"/>
                <w:szCs w:val="24"/>
                <w:lang w:val="en-GB" w:eastAsia="en-US"/>
              </w:rPr>
            </w:pPr>
          </w:p>
        </w:tc>
        <w:tc>
          <w:tcPr>
            <w:tcW w:w="2286" w:type="dxa"/>
            <w:gridSpan w:val="3"/>
            <w:tcMar>
              <w:left w:w="28" w:type="dxa"/>
              <w:right w:w="28" w:type="dxa"/>
            </w:tcMar>
          </w:tcPr>
          <w:p w14:paraId="24979115"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benzo(b)fluorantén</w:t>
            </w:r>
          </w:p>
        </w:tc>
        <w:tc>
          <w:tcPr>
            <w:tcW w:w="1329" w:type="dxa"/>
            <w:gridSpan w:val="3"/>
            <w:tcMar>
              <w:left w:w="28" w:type="dxa"/>
              <w:right w:w="28" w:type="dxa"/>
            </w:tcMar>
          </w:tcPr>
          <w:p w14:paraId="65A58B93" w14:textId="77777777" w:rsidR="002709ED" w:rsidRDefault="002709ED">
            <w:pPr>
              <w:keepNext/>
              <w:keepLines/>
              <w:spacing w:before="40" w:after="40" w:line="360" w:lineRule="auto"/>
              <w:rPr>
                <w:noProof/>
                <w:sz w:val="22"/>
                <w:szCs w:val="24"/>
                <w:lang w:val="en-GB" w:eastAsia="en-US"/>
              </w:rPr>
            </w:pPr>
          </w:p>
        </w:tc>
        <w:tc>
          <w:tcPr>
            <w:tcW w:w="992" w:type="dxa"/>
            <w:gridSpan w:val="2"/>
            <w:tcMar>
              <w:left w:w="28" w:type="dxa"/>
              <w:right w:w="28" w:type="dxa"/>
            </w:tcMar>
          </w:tcPr>
          <w:p w14:paraId="1AE8620B"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205-99-2</w:t>
            </w:r>
          </w:p>
        </w:tc>
        <w:tc>
          <w:tcPr>
            <w:tcW w:w="1134" w:type="dxa"/>
          </w:tcPr>
          <w:p w14:paraId="6005F917" w14:textId="77777777" w:rsidR="002709ED" w:rsidRPr="00F652FA" w:rsidRDefault="00B2757B">
            <w:pPr>
              <w:keepNext/>
              <w:keepLines/>
              <w:spacing w:before="40" w:after="40" w:line="360" w:lineRule="auto"/>
              <w:rPr>
                <w:iCs/>
                <w:noProof/>
                <w:sz w:val="22"/>
                <w:szCs w:val="24"/>
                <w:lang w:val="en-GB" w:eastAsia="en-US"/>
              </w:rPr>
            </w:pPr>
            <w:r w:rsidRPr="00C100E9">
              <w:rPr>
                <w:noProof/>
                <w:sz w:val="22"/>
                <w:szCs w:val="24"/>
                <w:lang w:val="en-GB" w:eastAsia="en-US"/>
              </w:rPr>
              <w:t>205-911-9</w:t>
            </w:r>
          </w:p>
        </w:tc>
        <w:tc>
          <w:tcPr>
            <w:tcW w:w="1279" w:type="dxa"/>
            <w:gridSpan w:val="2"/>
            <w:tcMar>
              <w:left w:w="28" w:type="dxa"/>
              <w:right w:w="28" w:type="dxa"/>
            </w:tcMar>
          </w:tcPr>
          <w:p w14:paraId="6031D0EE" w14:textId="77777777" w:rsidR="002709ED" w:rsidRDefault="002709ED">
            <w:pPr>
              <w:keepNext/>
              <w:keepLines/>
              <w:spacing w:before="40" w:after="40" w:line="360" w:lineRule="auto"/>
              <w:rPr>
                <w:b/>
                <w:i/>
                <w:noProof/>
                <w:sz w:val="22"/>
                <w:szCs w:val="24"/>
                <w:lang w:val="en-GB" w:eastAsia="en-US"/>
              </w:rPr>
            </w:pPr>
          </w:p>
        </w:tc>
        <w:tc>
          <w:tcPr>
            <w:tcW w:w="1279" w:type="dxa"/>
            <w:gridSpan w:val="2"/>
            <w:tcMar>
              <w:left w:w="28" w:type="dxa"/>
              <w:right w:w="28" w:type="dxa"/>
            </w:tcMar>
          </w:tcPr>
          <w:p w14:paraId="722911AD" w14:textId="77777777" w:rsidR="002709ED" w:rsidRDefault="002709ED">
            <w:pPr>
              <w:keepNext/>
              <w:keepLines/>
              <w:spacing w:before="40" w:after="40" w:line="360" w:lineRule="auto"/>
              <w:rPr>
                <w:b/>
                <w:i/>
                <w:noProof/>
                <w:sz w:val="22"/>
                <w:szCs w:val="24"/>
                <w:lang w:val="en-GB" w:eastAsia="en-US"/>
              </w:rPr>
            </w:pPr>
          </w:p>
        </w:tc>
        <w:tc>
          <w:tcPr>
            <w:tcW w:w="1278" w:type="dxa"/>
            <w:gridSpan w:val="2"/>
            <w:tcMar>
              <w:left w:w="28" w:type="dxa"/>
              <w:right w:w="28" w:type="dxa"/>
            </w:tcMar>
          </w:tcPr>
          <w:p w14:paraId="2C98042C"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0,017</w:t>
            </w:r>
          </w:p>
        </w:tc>
        <w:tc>
          <w:tcPr>
            <w:tcW w:w="1277" w:type="dxa"/>
            <w:gridSpan w:val="2"/>
            <w:tcMar>
              <w:left w:w="28" w:type="dxa"/>
              <w:right w:w="28" w:type="dxa"/>
            </w:tcMar>
          </w:tcPr>
          <w:p w14:paraId="5EE4DC3B"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0,017</w:t>
            </w:r>
          </w:p>
        </w:tc>
        <w:tc>
          <w:tcPr>
            <w:tcW w:w="1136" w:type="dxa"/>
            <w:gridSpan w:val="2"/>
            <w:tcMar>
              <w:left w:w="28" w:type="dxa"/>
              <w:right w:w="28" w:type="dxa"/>
            </w:tcMar>
          </w:tcPr>
          <w:p w14:paraId="0CE1B1E2" w14:textId="77777777" w:rsidR="002709ED" w:rsidRPr="00C100E9" w:rsidRDefault="00B2757B">
            <w:pPr>
              <w:keepNext/>
              <w:keepLines/>
              <w:spacing w:before="40" w:after="40" w:line="360" w:lineRule="auto"/>
              <w:rPr>
                <w:noProof/>
                <w:sz w:val="22"/>
                <w:szCs w:val="24"/>
                <w:lang w:val="en-GB" w:eastAsia="en-US"/>
              </w:rPr>
            </w:pPr>
            <w:bookmarkStart w:id="26" w:name="_DV_C338"/>
            <w:r w:rsidRPr="00C100E9">
              <w:rPr>
                <w:noProof/>
                <w:sz w:val="22"/>
                <w:szCs w:val="24"/>
                <w:lang w:val="en-GB" w:eastAsia="en-US"/>
              </w:rPr>
              <w:t xml:space="preserve">pozri poznámku pod čiarou </w:t>
            </w:r>
            <w:bookmarkEnd w:id="26"/>
            <w:r w:rsidRPr="00C100E9">
              <w:rPr>
                <w:noProof/>
                <w:sz w:val="22"/>
                <w:szCs w:val="24"/>
                <w:lang w:val="en-GB" w:eastAsia="en-US"/>
              </w:rPr>
              <w:t>17</w:t>
            </w:r>
          </w:p>
        </w:tc>
        <w:tc>
          <w:tcPr>
            <w:tcW w:w="1262" w:type="dxa"/>
            <w:tcMar>
              <w:left w:w="28" w:type="dxa"/>
              <w:right w:w="28" w:type="dxa"/>
            </w:tcMar>
          </w:tcPr>
          <w:p w14:paraId="4971D489" w14:textId="77777777" w:rsidR="002709ED" w:rsidRDefault="002709ED">
            <w:pPr>
              <w:keepNext/>
              <w:keepLines/>
              <w:spacing w:before="40" w:after="40" w:line="360" w:lineRule="auto"/>
              <w:rPr>
                <w:iCs/>
                <w:noProof/>
                <w:sz w:val="22"/>
                <w:szCs w:val="24"/>
                <w:lang w:val="en-GB" w:eastAsia="en-US"/>
              </w:rPr>
            </w:pPr>
          </w:p>
        </w:tc>
        <w:tc>
          <w:tcPr>
            <w:tcW w:w="1153" w:type="dxa"/>
            <w:gridSpan w:val="2"/>
            <w:tcMar>
              <w:left w:w="28" w:type="dxa"/>
              <w:right w:w="28" w:type="dxa"/>
            </w:tcMar>
          </w:tcPr>
          <w:p w14:paraId="2EF376C5" w14:textId="77777777" w:rsidR="002709ED" w:rsidRDefault="002709ED">
            <w:pPr>
              <w:keepNext/>
              <w:keepLines/>
              <w:spacing w:before="40" w:after="40" w:line="360" w:lineRule="auto"/>
              <w:rPr>
                <w:i/>
                <w:iCs/>
                <w:noProof/>
                <w:sz w:val="22"/>
                <w:szCs w:val="24"/>
                <w:lang w:val="en-GB" w:eastAsia="en-US"/>
              </w:rPr>
            </w:pPr>
          </w:p>
        </w:tc>
        <w:tc>
          <w:tcPr>
            <w:tcW w:w="970" w:type="dxa"/>
            <w:tcMar>
              <w:left w:w="28" w:type="dxa"/>
              <w:right w:w="28" w:type="dxa"/>
            </w:tcMar>
          </w:tcPr>
          <w:p w14:paraId="4D2025BA" w14:textId="77777777" w:rsidR="002709ED" w:rsidRDefault="002709ED">
            <w:pPr>
              <w:keepNext/>
              <w:keepLines/>
              <w:spacing w:before="40" w:after="40" w:line="360" w:lineRule="auto"/>
              <w:rPr>
                <w:i/>
                <w:iCs/>
                <w:noProof/>
                <w:sz w:val="22"/>
                <w:szCs w:val="24"/>
                <w:lang w:val="en-GB" w:eastAsia="en-US"/>
              </w:rPr>
            </w:pPr>
          </w:p>
        </w:tc>
      </w:tr>
      <w:tr w:rsidR="002709ED" w14:paraId="5C5043FF" w14:textId="77777777">
        <w:trPr>
          <w:gridBefore w:val="1"/>
          <w:wBefore w:w="12" w:type="dxa"/>
          <w:cantSplit/>
          <w:tblHeader/>
          <w:jc w:val="center"/>
        </w:trPr>
        <w:tc>
          <w:tcPr>
            <w:tcW w:w="651" w:type="dxa"/>
            <w:gridSpan w:val="3"/>
            <w:vMerge/>
            <w:tcMar>
              <w:left w:w="28" w:type="dxa"/>
              <w:right w:w="28" w:type="dxa"/>
            </w:tcMar>
          </w:tcPr>
          <w:p w14:paraId="6B27D614" w14:textId="77777777" w:rsidR="002709ED" w:rsidRDefault="002709ED">
            <w:pPr>
              <w:keepNext/>
              <w:keepLines/>
              <w:spacing w:before="40" w:after="40" w:line="360" w:lineRule="auto"/>
              <w:rPr>
                <w:noProof/>
                <w:sz w:val="22"/>
                <w:szCs w:val="24"/>
                <w:lang w:val="en-GB" w:eastAsia="en-US"/>
              </w:rPr>
            </w:pPr>
          </w:p>
        </w:tc>
        <w:tc>
          <w:tcPr>
            <w:tcW w:w="2286" w:type="dxa"/>
            <w:gridSpan w:val="3"/>
            <w:tcMar>
              <w:left w:w="28" w:type="dxa"/>
              <w:right w:w="28" w:type="dxa"/>
            </w:tcMar>
          </w:tcPr>
          <w:p w14:paraId="724CAE8E"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benzo(k)fluorantén</w:t>
            </w:r>
          </w:p>
        </w:tc>
        <w:tc>
          <w:tcPr>
            <w:tcW w:w="1329" w:type="dxa"/>
            <w:gridSpan w:val="3"/>
            <w:tcMar>
              <w:left w:w="28" w:type="dxa"/>
              <w:right w:w="28" w:type="dxa"/>
            </w:tcMar>
          </w:tcPr>
          <w:p w14:paraId="02D17001" w14:textId="77777777" w:rsidR="002709ED" w:rsidRDefault="002709ED">
            <w:pPr>
              <w:keepNext/>
              <w:keepLines/>
              <w:spacing w:before="40" w:after="40" w:line="360" w:lineRule="auto"/>
              <w:rPr>
                <w:noProof/>
                <w:sz w:val="22"/>
                <w:szCs w:val="24"/>
                <w:lang w:val="en-GB" w:eastAsia="en-US"/>
              </w:rPr>
            </w:pPr>
          </w:p>
        </w:tc>
        <w:tc>
          <w:tcPr>
            <w:tcW w:w="992" w:type="dxa"/>
            <w:gridSpan w:val="2"/>
            <w:tcMar>
              <w:left w:w="28" w:type="dxa"/>
              <w:right w:w="28" w:type="dxa"/>
            </w:tcMar>
          </w:tcPr>
          <w:p w14:paraId="37C297ED"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207-08-9</w:t>
            </w:r>
          </w:p>
        </w:tc>
        <w:tc>
          <w:tcPr>
            <w:tcW w:w="1134" w:type="dxa"/>
          </w:tcPr>
          <w:p w14:paraId="3F4B3677" w14:textId="77777777" w:rsidR="002709ED" w:rsidRPr="00F652FA" w:rsidRDefault="00B2757B">
            <w:pPr>
              <w:keepNext/>
              <w:keepLines/>
              <w:spacing w:before="40" w:after="40" w:line="360" w:lineRule="auto"/>
              <w:rPr>
                <w:iCs/>
                <w:noProof/>
                <w:sz w:val="22"/>
                <w:szCs w:val="24"/>
                <w:lang w:val="en-GB" w:eastAsia="en-US"/>
              </w:rPr>
            </w:pPr>
            <w:r w:rsidRPr="00C100E9">
              <w:rPr>
                <w:noProof/>
                <w:sz w:val="22"/>
                <w:szCs w:val="24"/>
                <w:lang w:val="en-GB" w:eastAsia="en-US"/>
              </w:rPr>
              <w:t>205-916-6</w:t>
            </w:r>
          </w:p>
        </w:tc>
        <w:tc>
          <w:tcPr>
            <w:tcW w:w="1279" w:type="dxa"/>
            <w:gridSpan w:val="2"/>
            <w:tcMar>
              <w:left w:w="28" w:type="dxa"/>
              <w:right w:w="28" w:type="dxa"/>
            </w:tcMar>
          </w:tcPr>
          <w:p w14:paraId="43755C21" w14:textId="77777777" w:rsidR="002709ED" w:rsidRDefault="002709ED">
            <w:pPr>
              <w:keepNext/>
              <w:keepLines/>
              <w:spacing w:before="40" w:after="40" w:line="360" w:lineRule="auto"/>
              <w:rPr>
                <w:b/>
                <w:i/>
                <w:noProof/>
                <w:sz w:val="22"/>
                <w:szCs w:val="24"/>
                <w:lang w:val="en-GB" w:eastAsia="en-US"/>
              </w:rPr>
            </w:pPr>
          </w:p>
        </w:tc>
        <w:tc>
          <w:tcPr>
            <w:tcW w:w="1279" w:type="dxa"/>
            <w:gridSpan w:val="2"/>
            <w:tcMar>
              <w:left w:w="28" w:type="dxa"/>
              <w:right w:w="28" w:type="dxa"/>
            </w:tcMar>
          </w:tcPr>
          <w:p w14:paraId="085C4338" w14:textId="77777777" w:rsidR="002709ED" w:rsidRDefault="002709ED">
            <w:pPr>
              <w:keepNext/>
              <w:keepLines/>
              <w:spacing w:before="40" w:after="40" w:line="360" w:lineRule="auto"/>
              <w:rPr>
                <w:b/>
                <w:i/>
                <w:noProof/>
                <w:sz w:val="22"/>
                <w:szCs w:val="24"/>
                <w:lang w:val="en-GB" w:eastAsia="en-US"/>
              </w:rPr>
            </w:pPr>
          </w:p>
        </w:tc>
        <w:tc>
          <w:tcPr>
            <w:tcW w:w="1278" w:type="dxa"/>
            <w:gridSpan w:val="2"/>
            <w:tcMar>
              <w:left w:w="28" w:type="dxa"/>
              <w:right w:w="28" w:type="dxa"/>
            </w:tcMar>
          </w:tcPr>
          <w:p w14:paraId="568B7E07"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0,017</w:t>
            </w:r>
          </w:p>
        </w:tc>
        <w:tc>
          <w:tcPr>
            <w:tcW w:w="1277" w:type="dxa"/>
            <w:gridSpan w:val="2"/>
            <w:tcMar>
              <w:left w:w="28" w:type="dxa"/>
              <w:right w:w="28" w:type="dxa"/>
            </w:tcMar>
          </w:tcPr>
          <w:p w14:paraId="406EC5B5"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0,017</w:t>
            </w:r>
          </w:p>
        </w:tc>
        <w:tc>
          <w:tcPr>
            <w:tcW w:w="1136" w:type="dxa"/>
            <w:gridSpan w:val="2"/>
            <w:tcMar>
              <w:left w:w="28" w:type="dxa"/>
              <w:right w:w="28" w:type="dxa"/>
            </w:tcMar>
          </w:tcPr>
          <w:p w14:paraId="74A3918F" w14:textId="77777777" w:rsidR="002709ED" w:rsidRPr="00C100E9" w:rsidRDefault="00B2757B">
            <w:pPr>
              <w:keepNext/>
              <w:keepLines/>
              <w:spacing w:before="40" w:after="40" w:line="360" w:lineRule="auto"/>
              <w:rPr>
                <w:noProof/>
                <w:sz w:val="22"/>
                <w:szCs w:val="24"/>
                <w:lang w:val="en-GB" w:eastAsia="en-US"/>
              </w:rPr>
            </w:pPr>
            <w:bookmarkStart w:id="27" w:name="_DV_C341"/>
            <w:r w:rsidRPr="00C100E9">
              <w:rPr>
                <w:noProof/>
                <w:sz w:val="22"/>
                <w:szCs w:val="24"/>
                <w:lang w:val="en-GB" w:eastAsia="en-US"/>
              </w:rPr>
              <w:t xml:space="preserve">pozri poznámku pod čiarou </w:t>
            </w:r>
            <w:bookmarkEnd w:id="27"/>
            <w:r w:rsidRPr="00C100E9">
              <w:rPr>
                <w:noProof/>
                <w:sz w:val="22"/>
                <w:szCs w:val="24"/>
                <w:lang w:val="en-GB" w:eastAsia="en-US"/>
              </w:rPr>
              <w:t>17</w:t>
            </w:r>
          </w:p>
        </w:tc>
        <w:tc>
          <w:tcPr>
            <w:tcW w:w="1262" w:type="dxa"/>
            <w:tcMar>
              <w:left w:w="28" w:type="dxa"/>
              <w:right w:w="28" w:type="dxa"/>
            </w:tcMar>
          </w:tcPr>
          <w:p w14:paraId="42140EDD" w14:textId="77777777" w:rsidR="002709ED" w:rsidRDefault="002709ED">
            <w:pPr>
              <w:keepNext/>
              <w:keepLines/>
              <w:spacing w:before="40" w:after="40" w:line="360" w:lineRule="auto"/>
              <w:rPr>
                <w:iCs/>
                <w:noProof/>
                <w:sz w:val="22"/>
                <w:szCs w:val="24"/>
                <w:lang w:val="en-GB" w:eastAsia="en-US"/>
              </w:rPr>
            </w:pPr>
          </w:p>
        </w:tc>
        <w:tc>
          <w:tcPr>
            <w:tcW w:w="1153" w:type="dxa"/>
            <w:gridSpan w:val="2"/>
            <w:tcMar>
              <w:left w:w="28" w:type="dxa"/>
              <w:right w:w="28" w:type="dxa"/>
            </w:tcMar>
          </w:tcPr>
          <w:p w14:paraId="168B0E21" w14:textId="77777777" w:rsidR="002709ED" w:rsidRDefault="002709ED">
            <w:pPr>
              <w:keepNext/>
              <w:keepLines/>
              <w:spacing w:before="40" w:after="40" w:line="360" w:lineRule="auto"/>
              <w:rPr>
                <w:i/>
                <w:iCs/>
                <w:noProof/>
                <w:sz w:val="22"/>
                <w:szCs w:val="24"/>
                <w:lang w:val="en-GB" w:eastAsia="en-US"/>
              </w:rPr>
            </w:pPr>
          </w:p>
        </w:tc>
        <w:tc>
          <w:tcPr>
            <w:tcW w:w="970" w:type="dxa"/>
            <w:tcMar>
              <w:left w:w="28" w:type="dxa"/>
              <w:right w:w="28" w:type="dxa"/>
            </w:tcMar>
          </w:tcPr>
          <w:p w14:paraId="6FA9B34B" w14:textId="77777777" w:rsidR="002709ED" w:rsidRDefault="002709ED">
            <w:pPr>
              <w:keepNext/>
              <w:keepLines/>
              <w:spacing w:before="40" w:after="40" w:line="360" w:lineRule="auto"/>
              <w:rPr>
                <w:i/>
                <w:iCs/>
                <w:noProof/>
                <w:sz w:val="22"/>
                <w:szCs w:val="24"/>
                <w:lang w:val="en-GB" w:eastAsia="en-US"/>
              </w:rPr>
            </w:pPr>
          </w:p>
        </w:tc>
      </w:tr>
      <w:tr w:rsidR="002709ED" w14:paraId="299203AD" w14:textId="77777777">
        <w:trPr>
          <w:gridBefore w:val="1"/>
          <w:wBefore w:w="12" w:type="dxa"/>
          <w:cantSplit/>
          <w:tblHeader/>
          <w:jc w:val="center"/>
        </w:trPr>
        <w:tc>
          <w:tcPr>
            <w:tcW w:w="651" w:type="dxa"/>
            <w:gridSpan w:val="3"/>
            <w:vMerge/>
            <w:tcMar>
              <w:left w:w="28" w:type="dxa"/>
              <w:right w:w="28" w:type="dxa"/>
            </w:tcMar>
          </w:tcPr>
          <w:p w14:paraId="0E4D824E" w14:textId="77777777" w:rsidR="002709ED" w:rsidRDefault="002709ED">
            <w:pPr>
              <w:keepNext/>
              <w:keepLines/>
              <w:spacing w:before="40" w:after="40" w:line="360" w:lineRule="auto"/>
              <w:rPr>
                <w:noProof/>
                <w:sz w:val="22"/>
                <w:szCs w:val="24"/>
                <w:lang w:val="en-GB" w:eastAsia="en-US"/>
              </w:rPr>
            </w:pPr>
          </w:p>
        </w:tc>
        <w:tc>
          <w:tcPr>
            <w:tcW w:w="2286" w:type="dxa"/>
            <w:gridSpan w:val="3"/>
            <w:tcMar>
              <w:left w:w="28" w:type="dxa"/>
              <w:right w:w="28" w:type="dxa"/>
            </w:tcMar>
          </w:tcPr>
          <w:p w14:paraId="4E8C96B1"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benzo(g,h,i)perylén</w:t>
            </w:r>
          </w:p>
        </w:tc>
        <w:tc>
          <w:tcPr>
            <w:tcW w:w="1329" w:type="dxa"/>
            <w:gridSpan w:val="3"/>
            <w:tcMar>
              <w:left w:w="28" w:type="dxa"/>
              <w:right w:w="28" w:type="dxa"/>
            </w:tcMar>
          </w:tcPr>
          <w:p w14:paraId="027DF286" w14:textId="77777777" w:rsidR="002709ED" w:rsidRDefault="002709ED">
            <w:pPr>
              <w:keepNext/>
              <w:keepLines/>
              <w:spacing w:before="40" w:after="40" w:line="360" w:lineRule="auto"/>
              <w:rPr>
                <w:noProof/>
                <w:sz w:val="22"/>
                <w:szCs w:val="24"/>
                <w:lang w:val="en-GB" w:eastAsia="en-US"/>
              </w:rPr>
            </w:pPr>
          </w:p>
        </w:tc>
        <w:tc>
          <w:tcPr>
            <w:tcW w:w="992" w:type="dxa"/>
            <w:gridSpan w:val="2"/>
            <w:tcMar>
              <w:left w:w="28" w:type="dxa"/>
              <w:right w:w="28" w:type="dxa"/>
            </w:tcMar>
          </w:tcPr>
          <w:p w14:paraId="34CDB993"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191-24-2</w:t>
            </w:r>
          </w:p>
        </w:tc>
        <w:tc>
          <w:tcPr>
            <w:tcW w:w="1134" w:type="dxa"/>
          </w:tcPr>
          <w:p w14:paraId="53550D67" w14:textId="77777777" w:rsidR="002709ED" w:rsidRPr="00F652FA" w:rsidRDefault="00B2757B">
            <w:pPr>
              <w:keepNext/>
              <w:keepLines/>
              <w:spacing w:before="40" w:after="40" w:line="360" w:lineRule="auto"/>
              <w:rPr>
                <w:iCs/>
                <w:noProof/>
                <w:sz w:val="22"/>
                <w:szCs w:val="24"/>
                <w:lang w:val="en-GB" w:eastAsia="en-US"/>
              </w:rPr>
            </w:pPr>
            <w:r w:rsidRPr="00C100E9">
              <w:rPr>
                <w:noProof/>
                <w:sz w:val="22"/>
                <w:szCs w:val="24"/>
                <w:lang w:val="en-GB" w:eastAsia="en-US"/>
              </w:rPr>
              <w:t>205-883-8</w:t>
            </w:r>
          </w:p>
        </w:tc>
        <w:tc>
          <w:tcPr>
            <w:tcW w:w="1279" w:type="dxa"/>
            <w:gridSpan w:val="2"/>
            <w:tcMar>
              <w:left w:w="28" w:type="dxa"/>
              <w:right w:w="28" w:type="dxa"/>
            </w:tcMar>
          </w:tcPr>
          <w:p w14:paraId="00F00076" w14:textId="77777777" w:rsidR="002709ED" w:rsidRDefault="002709ED">
            <w:pPr>
              <w:keepNext/>
              <w:keepLines/>
              <w:spacing w:before="40" w:after="40" w:line="360" w:lineRule="auto"/>
              <w:rPr>
                <w:b/>
                <w:i/>
                <w:noProof/>
                <w:sz w:val="22"/>
                <w:szCs w:val="24"/>
                <w:lang w:val="en-GB" w:eastAsia="en-US"/>
              </w:rPr>
            </w:pPr>
          </w:p>
        </w:tc>
        <w:tc>
          <w:tcPr>
            <w:tcW w:w="1279" w:type="dxa"/>
            <w:gridSpan w:val="2"/>
            <w:tcMar>
              <w:left w:w="28" w:type="dxa"/>
              <w:right w:w="28" w:type="dxa"/>
            </w:tcMar>
          </w:tcPr>
          <w:p w14:paraId="124E72C1" w14:textId="77777777" w:rsidR="002709ED" w:rsidRDefault="002709ED">
            <w:pPr>
              <w:keepNext/>
              <w:keepLines/>
              <w:spacing w:before="40" w:after="40" w:line="360" w:lineRule="auto"/>
              <w:rPr>
                <w:b/>
                <w:i/>
                <w:noProof/>
                <w:sz w:val="22"/>
                <w:szCs w:val="24"/>
                <w:lang w:val="en-GB" w:eastAsia="en-US"/>
              </w:rPr>
            </w:pPr>
          </w:p>
        </w:tc>
        <w:tc>
          <w:tcPr>
            <w:tcW w:w="1278" w:type="dxa"/>
            <w:gridSpan w:val="2"/>
            <w:tcMar>
              <w:left w:w="28" w:type="dxa"/>
              <w:right w:w="28" w:type="dxa"/>
            </w:tcMar>
          </w:tcPr>
          <w:p w14:paraId="66951F51" w14:textId="77777777" w:rsidR="002709ED" w:rsidRDefault="00B2757B">
            <w:pPr>
              <w:keepNext/>
              <w:keepLines/>
              <w:spacing w:before="40" w:after="40" w:line="360" w:lineRule="auto"/>
              <w:rPr>
                <w:noProof/>
                <w:sz w:val="22"/>
                <w:szCs w:val="24"/>
                <w:vertAlign w:val="superscript"/>
                <w:lang w:val="en-GB" w:eastAsia="en-US"/>
              </w:rPr>
            </w:pPr>
            <w:r>
              <w:rPr>
                <w:noProof/>
                <w:sz w:val="22"/>
                <w:szCs w:val="24"/>
                <w:lang w:val="en-GB" w:eastAsia="en-US"/>
              </w:rPr>
              <w:t>8,2 × 10</w:t>
            </w:r>
            <w:r>
              <w:rPr>
                <w:noProof/>
                <w:sz w:val="22"/>
                <w:szCs w:val="24"/>
                <w:vertAlign w:val="superscript"/>
                <w:lang w:val="en-GB" w:eastAsia="en-US"/>
              </w:rPr>
              <w:t>-3</w:t>
            </w:r>
          </w:p>
        </w:tc>
        <w:tc>
          <w:tcPr>
            <w:tcW w:w="1277" w:type="dxa"/>
            <w:gridSpan w:val="2"/>
            <w:tcMar>
              <w:left w:w="28" w:type="dxa"/>
              <w:right w:w="28" w:type="dxa"/>
            </w:tcMar>
          </w:tcPr>
          <w:p w14:paraId="01DF5D87" w14:textId="77777777" w:rsidR="002709ED" w:rsidRDefault="00B2757B">
            <w:pPr>
              <w:keepNext/>
              <w:keepLines/>
              <w:spacing w:before="40" w:after="40" w:line="360" w:lineRule="auto"/>
              <w:rPr>
                <w:noProof/>
                <w:sz w:val="22"/>
                <w:szCs w:val="24"/>
                <w:vertAlign w:val="superscript"/>
                <w:lang w:val="en-GB" w:eastAsia="en-US"/>
              </w:rPr>
            </w:pPr>
            <w:r>
              <w:rPr>
                <w:noProof/>
                <w:sz w:val="22"/>
                <w:szCs w:val="24"/>
                <w:lang w:val="en-GB" w:eastAsia="en-US"/>
              </w:rPr>
              <w:t>8,2 × 10</w:t>
            </w:r>
            <w:r>
              <w:rPr>
                <w:noProof/>
                <w:sz w:val="22"/>
                <w:szCs w:val="24"/>
                <w:vertAlign w:val="superscript"/>
                <w:lang w:val="en-GB" w:eastAsia="en-US"/>
              </w:rPr>
              <w:t>-4</w:t>
            </w:r>
          </w:p>
        </w:tc>
        <w:tc>
          <w:tcPr>
            <w:tcW w:w="1136" w:type="dxa"/>
            <w:gridSpan w:val="2"/>
            <w:tcMar>
              <w:left w:w="28" w:type="dxa"/>
              <w:right w:w="28" w:type="dxa"/>
            </w:tcMar>
          </w:tcPr>
          <w:p w14:paraId="7113BFD5" w14:textId="77777777" w:rsidR="002709ED" w:rsidRPr="00C100E9" w:rsidRDefault="00B2757B">
            <w:pPr>
              <w:keepNext/>
              <w:keepLines/>
              <w:spacing w:before="40" w:after="40" w:line="360" w:lineRule="auto"/>
              <w:rPr>
                <w:noProof/>
                <w:sz w:val="22"/>
                <w:szCs w:val="24"/>
                <w:lang w:val="en-GB" w:eastAsia="en-US"/>
              </w:rPr>
            </w:pPr>
            <w:bookmarkStart w:id="28" w:name="_DV_C344"/>
            <w:r w:rsidRPr="00C100E9">
              <w:rPr>
                <w:noProof/>
                <w:sz w:val="22"/>
                <w:szCs w:val="24"/>
                <w:lang w:val="en-GB" w:eastAsia="en-US"/>
              </w:rPr>
              <w:t xml:space="preserve">pozri poznámku pod čiarou </w:t>
            </w:r>
            <w:bookmarkEnd w:id="28"/>
            <w:r w:rsidRPr="00C100E9">
              <w:rPr>
                <w:noProof/>
                <w:sz w:val="22"/>
                <w:szCs w:val="24"/>
                <w:lang w:val="en-GB" w:eastAsia="en-US"/>
              </w:rPr>
              <w:t>17</w:t>
            </w:r>
          </w:p>
        </w:tc>
        <w:tc>
          <w:tcPr>
            <w:tcW w:w="1262" w:type="dxa"/>
            <w:tcMar>
              <w:left w:w="28" w:type="dxa"/>
              <w:right w:w="28" w:type="dxa"/>
            </w:tcMar>
          </w:tcPr>
          <w:p w14:paraId="1DB34CA3" w14:textId="77777777" w:rsidR="002709ED" w:rsidRDefault="002709ED">
            <w:pPr>
              <w:keepNext/>
              <w:keepLines/>
              <w:spacing w:before="40" w:after="40" w:line="360" w:lineRule="auto"/>
              <w:rPr>
                <w:iCs/>
                <w:noProof/>
                <w:sz w:val="22"/>
                <w:szCs w:val="24"/>
                <w:lang w:val="en-GB" w:eastAsia="en-US"/>
              </w:rPr>
            </w:pPr>
          </w:p>
        </w:tc>
        <w:tc>
          <w:tcPr>
            <w:tcW w:w="1153" w:type="dxa"/>
            <w:gridSpan w:val="2"/>
            <w:tcMar>
              <w:left w:w="28" w:type="dxa"/>
              <w:right w:w="28" w:type="dxa"/>
            </w:tcMar>
          </w:tcPr>
          <w:p w14:paraId="028FD62C" w14:textId="77777777" w:rsidR="002709ED" w:rsidRDefault="002709ED">
            <w:pPr>
              <w:keepNext/>
              <w:keepLines/>
              <w:spacing w:before="40" w:after="40" w:line="360" w:lineRule="auto"/>
              <w:rPr>
                <w:i/>
                <w:iCs/>
                <w:noProof/>
                <w:sz w:val="22"/>
                <w:szCs w:val="24"/>
                <w:lang w:val="en-GB" w:eastAsia="en-US"/>
              </w:rPr>
            </w:pPr>
          </w:p>
        </w:tc>
        <w:tc>
          <w:tcPr>
            <w:tcW w:w="970" w:type="dxa"/>
            <w:tcMar>
              <w:left w:w="28" w:type="dxa"/>
              <w:right w:w="28" w:type="dxa"/>
            </w:tcMar>
          </w:tcPr>
          <w:p w14:paraId="6317F800" w14:textId="77777777" w:rsidR="002709ED" w:rsidRDefault="002709ED">
            <w:pPr>
              <w:keepNext/>
              <w:keepLines/>
              <w:spacing w:before="40" w:after="40" w:line="360" w:lineRule="auto"/>
              <w:rPr>
                <w:i/>
                <w:iCs/>
                <w:noProof/>
                <w:sz w:val="22"/>
                <w:szCs w:val="24"/>
                <w:lang w:val="en-GB" w:eastAsia="en-US"/>
              </w:rPr>
            </w:pPr>
          </w:p>
        </w:tc>
      </w:tr>
      <w:tr w:rsidR="002709ED" w14:paraId="527A01EB" w14:textId="77777777">
        <w:trPr>
          <w:gridBefore w:val="1"/>
          <w:wBefore w:w="12" w:type="dxa"/>
          <w:cantSplit/>
          <w:tblHeader/>
          <w:jc w:val="center"/>
        </w:trPr>
        <w:tc>
          <w:tcPr>
            <w:tcW w:w="651" w:type="dxa"/>
            <w:gridSpan w:val="3"/>
            <w:vMerge/>
            <w:tcMar>
              <w:left w:w="28" w:type="dxa"/>
              <w:right w:w="28" w:type="dxa"/>
            </w:tcMar>
          </w:tcPr>
          <w:p w14:paraId="61A3CF00" w14:textId="77777777" w:rsidR="002709ED" w:rsidRDefault="002709ED">
            <w:pPr>
              <w:keepNext/>
              <w:keepLines/>
              <w:spacing w:before="40" w:after="40" w:line="360" w:lineRule="auto"/>
              <w:rPr>
                <w:noProof/>
                <w:sz w:val="22"/>
                <w:szCs w:val="24"/>
                <w:lang w:val="en-GB" w:eastAsia="en-US"/>
              </w:rPr>
            </w:pPr>
          </w:p>
        </w:tc>
        <w:tc>
          <w:tcPr>
            <w:tcW w:w="2286" w:type="dxa"/>
            <w:gridSpan w:val="3"/>
            <w:tcMar>
              <w:left w:w="28" w:type="dxa"/>
              <w:right w:w="28" w:type="dxa"/>
            </w:tcMar>
          </w:tcPr>
          <w:p w14:paraId="644913F5"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indeno(1,2,3-cd)pyrén</w:t>
            </w:r>
          </w:p>
        </w:tc>
        <w:tc>
          <w:tcPr>
            <w:tcW w:w="1329" w:type="dxa"/>
            <w:gridSpan w:val="3"/>
            <w:tcMar>
              <w:left w:w="28" w:type="dxa"/>
              <w:right w:w="28" w:type="dxa"/>
            </w:tcMar>
          </w:tcPr>
          <w:p w14:paraId="628F797D" w14:textId="77777777" w:rsidR="002709ED" w:rsidRDefault="002709ED">
            <w:pPr>
              <w:keepNext/>
              <w:keepLines/>
              <w:spacing w:before="40" w:after="40" w:line="360" w:lineRule="auto"/>
              <w:rPr>
                <w:noProof/>
                <w:sz w:val="22"/>
                <w:szCs w:val="24"/>
                <w:lang w:val="en-GB" w:eastAsia="en-US"/>
              </w:rPr>
            </w:pPr>
          </w:p>
        </w:tc>
        <w:tc>
          <w:tcPr>
            <w:tcW w:w="992" w:type="dxa"/>
            <w:gridSpan w:val="2"/>
            <w:tcMar>
              <w:left w:w="28" w:type="dxa"/>
              <w:right w:w="28" w:type="dxa"/>
            </w:tcMar>
          </w:tcPr>
          <w:p w14:paraId="3534A84C"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193-39-5</w:t>
            </w:r>
          </w:p>
        </w:tc>
        <w:tc>
          <w:tcPr>
            <w:tcW w:w="1134" w:type="dxa"/>
          </w:tcPr>
          <w:p w14:paraId="40293710" w14:textId="77777777" w:rsidR="002709ED" w:rsidRPr="00F652FA" w:rsidRDefault="00B2757B">
            <w:pPr>
              <w:keepNext/>
              <w:keepLines/>
              <w:spacing w:before="40" w:after="40" w:line="360" w:lineRule="auto"/>
              <w:rPr>
                <w:iCs/>
                <w:noProof/>
                <w:sz w:val="22"/>
                <w:szCs w:val="24"/>
                <w:lang w:val="en-GB" w:eastAsia="en-US"/>
              </w:rPr>
            </w:pPr>
            <w:r w:rsidRPr="00C100E9">
              <w:rPr>
                <w:noProof/>
                <w:sz w:val="22"/>
                <w:szCs w:val="24"/>
                <w:lang w:val="en-GB" w:eastAsia="en-US"/>
              </w:rPr>
              <w:t>205-893-2</w:t>
            </w:r>
          </w:p>
        </w:tc>
        <w:tc>
          <w:tcPr>
            <w:tcW w:w="1279" w:type="dxa"/>
            <w:gridSpan w:val="2"/>
            <w:tcMar>
              <w:left w:w="28" w:type="dxa"/>
              <w:right w:w="28" w:type="dxa"/>
            </w:tcMar>
          </w:tcPr>
          <w:p w14:paraId="08323749" w14:textId="77777777" w:rsidR="002709ED" w:rsidRPr="00C100E9" w:rsidRDefault="002709ED">
            <w:pPr>
              <w:keepNext/>
              <w:keepLines/>
              <w:spacing w:before="40" w:after="40" w:line="360" w:lineRule="auto"/>
              <w:rPr>
                <w:noProof/>
                <w:sz w:val="22"/>
                <w:szCs w:val="24"/>
                <w:lang w:val="en-GB" w:eastAsia="en-US"/>
              </w:rPr>
            </w:pPr>
          </w:p>
        </w:tc>
        <w:tc>
          <w:tcPr>
            <w:tcW w:w="1279" w:type="dxa"/>
            <w:gridSpan w:val="2"/>
            <w:tcMar>
              <w:left w:w="28" w:type="dxa"/>
              <w:right w:w="28" w:type="dxa"/>
            </w:tcMar>
          </w:tcPr>
          <w:p w14:paraId="097F902A" w14:textId="77777777" w:rsidR="002709ED" w:rsidRPr="00C100E9" w:rsidRDefault="002709ED">
            <w:pPr>
              <w:keepNext/>
              <w:keepLines/>
              <w:spacing w:before="40" w:after="40" w:line="360" w:lineRule="auto"/>
              <w:rPr>
                <w:noProof/>
                <w:sz w:val="22"/>
                <w:szCs w:val="24"/>
                <w:lang w:val="en-GB" w:eastAsia="en-US"/>
              </w:rPr>
            </w:pPr>
          </w:p>
        </w:tc>
        <w:tc>
          <w:tcPr>
            <w:tcW w:w="1278" w:type="dxa"/>
            <w:gridSpan w:val="2"/>
            <w:tcMar>
              <w:left w:w="28" w:type="dxa"/>
              <w:right w:w="28" w:type="dxa"/>
            </w:tcMar>
          </w:tcPr>
          <w:p w14:paraId="7DCA47E9" w14:textId="77777777" w:rsidR="002709ED" w:rsidRPr="00C100E9" w:rsidRDefault="00B2757B">
            <w:pPr>
              <w:keepNext/>
              <w:keepLines/>
              <w:spacing w:before="40" w:after="40" w:line="360" w:lineRule="auto"/>
              <w:rPr>
                <w:noProof/>
                <w:sz w:val="22"/>
                <w:szCs w:val="24"/>
                <w:lang w:val="en-GB" w:eastAsia="en-US"/>
              </w:rPr>
            </w:pPr>
            <w:bookmarkStart w:id="29" w:name="_DV_C347"/>
            <w:r w:rsidRPr="00C100E9">
              <w:rPr>
                <w:noProof/>
                <w:sz w:val="22"/>
                <w:szCs w:val="24"/>
                <w:lang w:val="en-GB" w:eastAsia="en-US"/>
              </w:rPr>
              <w:t>neuplatňuje sa</w:t>
            </w:r>
            <w:bookmarkEnd w:id="29"/>
          </w:p>
        </w:tc>
        <w:tc>
          <w:tcPr>
            <w:tcW w:w="1277" w:type="dxa"/>
            <w:gridSpan w:val="2"/>
            <w:tcMar>
              <w:left w:w="28" w:type="dxa"/>
              <w:right w:w="28" w:type="dxa"/>
            </w:tcMar>
          </w:tcPr>
          <w:p w14:paraId="5435BFBD" w14:textId="77777777" w:rsidR="002709ED" w:rsidRPr="00C100E9" w:rsidRDefault="00B2757B">
            <w:pPr>
              <w:keepNext/>
              <w:keepLines/>
              <w:spacing w:before="40" w:after="40" w:line="360" w:lineRule="auto"/>
              <w:rPr>
                <w:noProof/>
                <w:sz w:val="22"/>
                <w:szCs w:val="24"/>
                <w:lang w:val="en-GB" w:eastAsia="en-US"/>
              </w:rPr>
            </w:pPr>
            <w:bookmarkStart w:id="30" w:name="_DV_C348"/>
            <w:r w:rsidRPr="00C100E9">
              <w:rPr>
                <w:noProof/>
                <w:sz w:val="22"/>
                <w:szCs w:val="24"/>
                <w:lang w:val="en-GB" w:eastAsia="en-US"/>
              </w:rPr>
              <w:t>neuplatňuje sa</w:t>
            </w:r>
            <w:bookmarkEnd w:id="30"/>
          </w:p>
        </w:tc>
        <w:tc>
          <w:tcPr>
            <w:tcW w:w="1136" w:type="dxa"/>
            <w:gridSpan w:val="2"/>
            <w:tcMar>
              <w:left w:w="28" w:type="dxa"/>
              <w:right w:w="28" w:type="dxa"/>
            </w:tcMar>
          </w:tcPr>
          <w:p w14:paraId="2D098682" w14:textId="77777777" w:rsidR="002709ED" w:rsidRPr="00C100E9" w:rsidRDefault="00B2757B">
            <w:pPr>
              <w:keepNext/>
              <w:keepLines/>
              <w:spacing w:before="40" w:after="40" w:line="360" w:lineRule="auto"/>
              <w:rPr>
                <w:noProof/>
                <w:sz w:val="22"/>
                <w:szCs w:val="24"/>
                <w:lang w:val="en-GB" w:eastAsia="en-US"/>
              </w:rPr>
            </w:pPr>
            <w:bookmarkStart w:id="31" w:name="_DV_C349"/>
            <w:r w:rsidRPr="00C100E9">
              <w:rPr>
                <w:noProof/>
                <w:sz w:val="22"/>
                <w:szCs w:val="24"/>
                <w:lang w:val="en-GB" w:eastAsia="en-US"/>
              </w:rPr>
              <w:t xml:space="preserve">pozri poznámku pod čiarou </w:t>
            </w:r>
            <w:bookmarkEnd w:id="31"/>
            <w:r w:rsidRPr="00C100E9">
              <w:rPr>
                <w:noProof/>
                <w:sz w:val="22"/>
                <w:szCs w:val="24"/>
                <w:lang w:val="en-GB" w:eastAsia="en-US"/>
              </w:rPr>
              <w:t>17</w:t>
            </w:r>
          </w:p>
        </w:tc>
        <w:tc>
          <w:tcPr>
            <w:tcW w:w="1262" w:type="dxa"/>
            <w:tcMar>
              <w:left w:w="28" w:type="dxa"/>
              <w:right w:w="28" w:type="dxa"/>
            </w:tcMar>
          </w:tcPr>
          <w:p w14:paraId="617A02B0" w14:textId="77777777" w:rsidR="002709ED" w:rsidRDefault="002709ED">
            <w:pPr>
              <w:keepNext/>
              <w:keepLines/>
              <w:spacing w:before="40" w:after="40" w:line="360" w:lineRule="auto"/>
              <w:rPr>
                <w:iCs/>
                <w:noProof/>
                <w:sz w:val="22"/>
                <w:szCs w:val="24"/>
                <w:lang w:val="en-GB" w:eastAsia="en-US"/>
              </w:rPr>
            </w:pPr>
          </w:p>
        </w:tc>
        <w:tc>
          <w:tcPr>
            <w:tcW w:w="1153" w:type="dxa"/>
            <w:gridSpan w:val="2"/>
            <w:tcMar>
              <w:left w:w="28" w:type="dxa"/>
              <w:right w:w="28" w:type="dxa"/>
            </w:tcMar>
          </w:tcPr>
          <w:p w14:paraId="20C6157F" w14:textId="77777777" w:rsidR="002709ED" w:rsidRDefault="002709ED">
            <w:pPr>
              <w:keepNext/>
              <w:keepLines/>
              <w:spacing w:before="40" w:after="40" w:line="360" w:lineRule="auto"/>
              <w:rPr>
                <w:i/>
                <w:iCs/>
                <w:noProof/>
                <w:sz w:val="22"/>
                <w:szCs w:val="24"/>
                <w:lang w:val="en-GB" w:eastAsia="en-US"/>
              </w:rPr>
            </w:pPr>
          </w:p>
        </w:tc>
        <w:tc>
          <w:tcPr>
            <w:tcW w:w="970" w:type="dxa"/>
            <w:tcMar>
              <w:left w:w="28" w:type="dxa"/>
              <w:right w:w="28" w:type="dxa"/>
            </w:tcMar>
          </w:tcPr>
          <w:p w14:paraId="6A3370C4" w14:textId="77777777" w:rsidR="002709ED" w:rsidRDefault="002709ED">
            <w:pPr>
              <w:keepNext/>
              <w:keepLines/>
              <w:spacing w:before="40" w:after="40" w:line="360" w:lineRule="auto"/>
              <w:rPr>
                <w:i/>
                <w:iCs/>
                <w:noProof/>
                <w:sz w:val="22"/>
                <w:szCs w:val="24"/>
                <w:lang w:val="en-GB" w:eastAsia="en-US"/>
              </w:rPr>
            </w:pPr>
          </w:p>
        </w:tc>
      </w:tr>
      <w:tr w:rsidR="002709ED" w14:paraId="588A686D" w14:textId="77777777">
        <w:trPr>
          <w:gridBefore w:val="1"/>
          <w:wBefore w:w="12" w:type="dxa"/>
          <w:cantSplit/>
          <w:tblHeader/>
          <w:jc w:val="center"/>
        </w:trPr>
        <w:tc>
          <w:tcPr>
            <w:tcW w:w="651" w:type="dxa"/>
            <w:gridSpan w:val="3"/>
            <w:vMerge/>
            <w:tcMar>
              <w:left w:w="28" w:type="dxa"/>
              <w:right w:w="28" w:type="dxa"/>
            </w:tcMar>
          </w:tcPr>
          <w:p w14:paraId="2DA871BC" w14:textId="77777777" w:rsidR="002709ED" w:rsidRDefault="002709ED">
            <w:pPr>
              <w:keepNext/>
              <w:keepLines/>
              <w:spacing w:before="40" w:after="40" w:line="360" w:lineRule="auto"/>
              <w:rPr>
                <w:noProof/>
                <w:sz w:val="22"/>
                <w:szCs w:val="24"/>
                <w:lang w:val="en-GB" w:eastAsia="en-US"/>
              </w:rPr>
            </w:pPr>
            <w:bookmarkStart w:id="32" w:name="_Hlk115700632"/>
          </w:p>
        </w:tc>
        <w:tc>
          <w:tcPr>
            <w:tcW w:w="2286" w:type="dxa"/>
            <w:gridSpan w:val="3"/>
            <w:tcMar>
              <w:left w:w="28" w:type="dxa"/>
              <w:right w:w="28" w:type="dxa"/>
            </w:tcMar>
          </w:tcPr>
          <w:p w14:paraId="321FF936"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chryzén</w:t>
            </w:r>
          </w:p>
        </w:tc>
        <w:tc>
          <w:tcPr>
            <w:tcW w:w="1329" w:type="dxa"/>
            <w:gridSpan w:val="3"/>
            <w:tcMar>
              <w:left w:w="28" w:type="dxa"/>
              <w:right w:w="28" w:type="dxa"/>
            </w:tcMar>
          </w:tcPr>
          <w:p w14:paraId="0FA86423" w14:textId="77777777" w:rsidR="002709ED" w:rsidRDefault="002709ED">
            <w:pPr>
              <w:keepNext/>
              <w:keepLines/>
              <w:spacing w:before="40" w:after="40" w:line="360" w:lineRule="auto"/>
              <w:rPr>
                <w:noProof/>
                <w:sz w:val="22"/>
                <w:szCs w:val="24"/>
                <w:lang w:val="en-GB" w:eastAsia="en-US"/>
              </w:rPr>
            </w:pPr>
          </w:p>
        </w:tc>
        <w:tc>
          <w:tcPr>
            <w:tcW w:w="992" w:type="dxa"/>
            <w:gridSpan w:val="2"/>
            <w:tcMar>
              <w:left w:w="28" w:type="dxa"/>
              <w:right w:w="28" w:type="dxa"/>
            </w:tcMar>
          </w:tcPr>
          <w:p w14:paraId="4A164C2F"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218-01-9</w:t>
            </w:r>
          </w:p>
        </w:tc>
        <w:tc>
          <w:tcPr>
            <w:tcW w:w="1134" w:type="dxa"/>
          </w:tcPr>
          <w:p w14:paraId="54758D20" w14:textId="77777777" w:rsidR="002709ED" w:rsidRPr="00F652FA" w:rsidRDefault="00B2757B">
            <w:pPr>
              <w:keepNext/>
              <w:keepLines/>
              <w:spacing w:before="40" w:after="40" w:line="360" w:lineRule="auto"/>
              <w:rPr>
                <w:iCs/>
                <w:noProof/>
                <w:sz w:val="22"/>
                <w:szCs w:val="24"/>
                <w:lang w:val="en-GB" w:eastAsia="en-US"/>
              </w:rPr>
            </w:pPr>
            <w:r w:rsidRPr="00C100E9">
              <w:rPr>
                <w:noProof/>
                <w:sz w:val="22"/>
                <w:szCs w:val="24"/>
                <w:lang w:val="en-GB" w:eastAsia="en-US"/>
              </w:rPr>
              <w:t>205-923-4</w:t>
            </w:r>
          </w:p>
        </w:tc>
        <w:tc>
          <w:tcPr>
            <w:tcW w:w="1279" w:type="dxa"/>
            <w:gridSpan w:val="2"/>
            <w:tcMar>
              <w:left w:w="28" w:type="dxa"/>
              <w:right w:w="28" w:type="dxa"/>
            </w:tcMar>
          </w:tcPr>
          <w:p w14:paraId="3CB3ED9A" w14:textId="77777777" w:rsidR="002709ED" w:rsidRPr="00C100E9" w:rsidRDefault="002709ED">
            <w:pPr>
              <w:keepNext/>
              <w:keepLines/>
              <w:spacing w:before="40" w:after="40" w:line="360" w:lineRule="auto"/>
              <w:rPr>
                <w:iCs/>
                <w:noProof/>
                <w:sz w:val="22"/>
                <w:szCs w:val="24"/>
                <w:lang w:val="en-GB" w:eastAsia="en-US"/>
              </w:rPr>
            </w:pPr>
          </w:p>
        </w:tc>
        <w:tc>
          <w:tcPr>
            <w:tcW w:w="1279" w:type="dxa"/>
            <w:gridSpan w:val="2"/>
            <w:tcMar>
              <w:left w:w="28" w:type="dxa"/>
              <w:right w:w="28" w:type="dxa"/>
            </w:tcMar>
          </w:tcPr>
          <w:p w14:paraId="5DAEF2C7" w14:textId="77777777" w:rsidR="002709ED" w:rsidRPr="00C100E9" w:rsidRDefault="002709ED">
            <w:pPr>
              <w:keepNext/>
              <w:keepLines/>
              <w:spacing w:before="40" w:after="40" w:line="360" w:lineRule="auto"/>
              <w:rPr>
                <w:iCs/>
                <w:noProof/>
                <w:sz w:val="22"/>
                <w:szCs w:val="24"/>
                <w:lang w:val="en-GB" w:eastAsia="en-US"/>
              </w:rPr>
            </w:pPr>
          </w:p>
        </w:tc>
        <w:tc>
          <w:tcPr>
            <w:tcW w:w="1278" w:type="dxa"/>
            <w:gridSpan w:val="2"/>
            <w:tcMar>
              <w:left w:w="28" w:type="dxa"/>
              <w:right w:w="28" w:type="dxa"/>
            </w:tcMar>
          </w:tcPr>
          <w:p w14:paraId="1BA4A139" w14:textId="77777777" w:rsidR="002709ED" w:rsidRPr="00F652FA" w:rsidRDefault="00B2757B">
            <w:pPr>
              <w:keepNext/>
              <w:keepLines/>
              <w:spacing w:before="40" w:after="40" w:line="360" w:lineRule="auto"/>
              <w:rPr>
                <w:iCs/>
                <w:noProof/>
                <w:sz w:val="22"/>
                <w:szCs w:val="24"/>
                <w:lang w:val="en-GB" w:eastAsia="en-US"/>
              </w:rPr>
            </w:pPr>
            <w:r w:rsidRPr="00C100E9">
              <w:rPr>
                <w:noProof/>
                <w:sz w:val="22"/>
                <w:szCs w:val="24"/>
                <w:lang w:val="en-GB" w:eastAsia="en-US"/>
              </w:rPr>
              <w:t>0,07</w:t>
            </w:r>
          </w:p>
        </w:tc>
        <w:tc>
          <w:tcPr>
            <w:tcW w:w="1277" w:type="dxa"/>
            <w:gridSpan w:val="2"/>
            <w:tcMar>
              <w:left w:w="28" w:type="dxa"/>
              <w:right w:w="28" w:type="dxa"/>
            </w:tcMar>
          </w:tcPr>
          <w:p w14:paraId="15C9D4E3" w14:textId="77777777" w:rsidR="002709ED" w:rsidRPr="00F652FA" w:rsidRDefault="00B2757B">
            <w:pPr>
              <w:keepNext/>
              <w:keepLines/>
              <w:spacing w:before="40" w:after="40" w:line="360" w:lineRule="auto"/>
              <w:rPr>
                <w:iCs/>
                <w:noProof/>
                <w:sz w:val="22"/>
                <w:szCs w:val="24"/>
                <w:lang w:val="en-GB" w:eastAsia="en-US"/>
              </w:rPr>
            </w:pPr>
            <w:r w:rsidRPr="00C100E9">
              <w:rPr>
                <w:noProof/>
                <w:sz w:val="22"/>
                <w:szCs w:val="24"/>
                <w:lang w:val="en-GB" w:eastAsia="en-US"/>
              </w:rPr>
              <w:t>0,007</w:t>
            </w:r>
          </w:p>
        </w:tc>
        <w:tc>
          <w:tcPr>
            <w:tcW w:w="1136" w:type="dxa"/>
            <w:gridSpan w:val="2"/>
            <w:tcMar>
              <w:left w:w="28" w:type="dxa"/>
              <w:right w:w="28" w:type="dxa"/>
            </w:tcMar>
          </w:tcPr>
          <w:p w14:paraId="7AF8BF62" w14:textId="77777777" w:rsidR="002709ED" w:rsidRPr="00F652FA" w:rsidRDefault="00B2757B">
            <w:pPr>
              <w:keepNext/>
              <w:keepLines/>
              <w:spacing w:before="40" w:after="40" w:line="360" w:lineRule="auto"/>
              <w:rPr>
                <w:iCs/>
                <w:noProof/>
                <w:sz w:val="22"/>
                <w:szCs w:val="24"/>
                <w:lang w:val="en-GB" w:eastAsia="en-US"/>
              </w:rPr>
            </w:pPr>
            <w:r w:rsidRPr="00C100E9">
              <w:rPr>
                <w:noProof/>
                <w:sz w:val="22"/>
                <w:szCs w:val="24"/>
                <w:lang w:val="en-GB" w:eastAsia="en-US"/>
              </w:rPr>
              <w:t>pozri poznámku pod čiarou 17</w:t>
            </w:r>
          </w:p>
        </w:tc>
        <w:tc>
          <w:tcPr>
            <w:tcW w:w="1262" w:type="dxa"/>
            <w:tcMar>
              <w:left w:w="28" w:type="dxa"/>
              <w:right w:w="28" w:type="dxa"/>
            </w:tcMar>
          </w:tcPr>
          <w:p w14:paraId="33D31846" w14:textId="77777777" w:rsidR="002709ED" w:rsidRDefault="002709ED">
            <w:pPr>
              <w:keepNext/>
              <w:keepLines/>
              <w:spacing w:before="40" w:after="40" w:line="360" w:lineRule="auto"/>
              <w:rPr>
                <w:i/>
                <w:iCs/>
                <w:noProof/>
                <w:sz w:val="22"/>
                <w:szCs w:val="24"/>
                <w:lang w:val="en-GB" w:eastAsia="en-US"/>
              </w:rPr>
            </w:pPr>
          </w:p>
        </w:tc>
        <w:tc>
          <w:tcPr>
            <w:tcW w:w="1153" w:type="dxa"/>
            <w:gridSpan w:val="2"/>
            <w:tcMar>
              <w:left w:w="28" w:type="dxa"/>
              <w:right w:w="28" w:type="dxa"/>
            </w:tcMar>
          </w:tcPr>
          <w:p w14:paraId="44571111" w14:textId="77777777" w:rsidR="002709ED" w:rsidRDefault="002709ED">
            <w:pPr>
              <w:keepNext/>
              <w:keepLines/>
              <w:spacing w:before="40" w:after="40" w:line="360" w:lineRule="auto"/>
              <w:rPr>
                <w:i/>
                <w:iCs/>
                <w:noProof/>
                <w:sz w:val="22"/>
                <w:szCs w:val="24"/>
                <w:lang w:val="en-GB" w:eastAsia="en-US"/>
              </w:rPr>
            </w:pPr>
          </w:p>
        </w:tc>
        <w:tc>
          <w:tcPr>
            <w:tcW w:w="970" w:type="dxa"/>
            <w:tcMar>
              <w:left w:w="28" w:type="dxa"/>
              <w:right w:w="28" w:type="dxa"/>
            </w:tcMar>
          </w:tcPr>
          <w:p w14:paraId="5B3698A2" w14:textId="77777777" w:rsidR="002709ED" w:rsidRDefault="002709ED">
            <w:pPr>
              <w:keepNext/>
              <w:keepLines/>
              <w:spacing w:before="40" w:after="40" w:line="360" w:lineRule="auto"/>
              <w:rPr>
                <w:i/>
                <w:iCs/>
                <w:noProof/>
                <w:sz w:val="22"/>
                <w:szCs w:val="24"/>
                <w:lang w:val="en-GB" w:eastAsia="en-US"/>
              </w:rPr>
            </w:pPr>
          </w:p>
        </w:tc>
      </w:tr>
      <w:tr w:rsidR="002709ED" w14:paraId="04954DB3" w14:textId="77777777">
        <w:trPr>
          <w:gridBefore w:val="1"/>
          <w:wBefore w:w="12" w:type="dxa"/>
          <w:cantSplit/>
          <w:tblHeader/>
          <w:jc w:val="center"/>
        </w:trPr>
        <w:tc>
          <w:tcPr>
            <w:tcW w:w="651" w:type="dxa"/>
            <w:gridSpan w:val="3"/>
            <w:vMerge/>
            <w:tcMar>
              <w:left w:w="28" w:type="dxa"/>
              <w:right w:w="28" w:type="dxa"/>
            </w:tcMar>
          </w:tcPr>
          <w:p w14:paraId="50D4F4D0" w14:textId="77777777" w:rsidR="002709ED" w:rsidRDefault="002709ED">
            <w:pPr>
              <w:keepNext/>
              <w:keepLines/>
              <w:spacing w:before="40" w:after="40" w:line="360" w:lineRule="auto"/>
              <w:rPr>
                <w:noProof/>
                <w:sz w:val="22"/>
                <w:szCs w:val="24"/>
                <w:lang w:val="en-GB" w:eastAsia="en-US"/>
              </w:rPr>
            </w:pPr>
          </w:p>
        </w:tc>
        <w:tc>
          <w:tcPr>
            <w:tcW w:w="2286" w:type="dxa"/>
            <w:gridSpan w:val="3"/>
            <w:tcMar>
              <w:left w:w="28" w:type="dxa"/>
              <w:right w:w="28" w:type="dxa"/>
            </w:tcMar>
          </w:tcPr>
          <w:p w14:paraId="14C0B9E4"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benzo(a)antracén</w:t>
            </w:r>
          </w:p>
        </w:tc>
        <w:tc>
          <w:tcPr>
            <w:tcW w:w="1329" w:type="dxa"/>
            <w:gridSpan w:val="3"/>
            <w:vMerge w:val="restart"/>
            <w:tcMar>
              <w:left w:w="28" w:type="dxa"/>
              <w:right w:w="28" w:type="dxa"/>
            </w:tcMar>
          </w:tcPr>
          <w:p w14:paraId="40A809A3" w14:textId="77777777" w:rsidR="002709ED" w:rsidRDefault="002709ED">
            <w:pPr>
              <w:keepNext/>
              <w:keepLines/>
              <w:spacing w:before="40" w:after="40" w:line="360" w:lineRule="auto"/>
              <w:rPr>
                <w:noProof/>
                <w:sz w:val="22"/>
                <w:szCs w:val="24"/>
                <w:lang w:val="en-GB" w:eastAsia="en-US"/>
              </w:rPr>
            </w:pPr>
          </w:p>
        </w:tc>
        <w:tc>
          <w:tcPr>
            <w:tcW w:w="992" w:type="dxa"/>
            <w:gridSpan w:val="2"/>
            <w:tcMar>
              <w:left w:w="28" w:type="dxa"/>
              <w:right w:w="28" w:type="dxa"/>
            </w:tcMar>
          </w:tcPr>
          <w:p w14:paraId="098699B2"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56-55-3</w:t>
            </w:r>
          </w:p>
        </w:tc>
        <w:tc>
          <w:tcPr>
            <w:tcW w:w="1134" w:type="dxa"/>
          </w:tcPr>
          <w:p w14:paraId="0BC2EF39" w14:textId="77777777" w:rsidR="002709ED" w:rsidRPr="00F652FA" w:rsidRDefault="00B2757B">
            <w:pPr>
              <w:keepNext/>
              <w:keepLines/>
              <w:spacing w:before="40" w:after="40" w:line="360" w:lineRule="auto"/>
              <w:rPr>
                <w:iCs/>
                <w:noProof/>
                <w:sz w:val="22"/>
                <w:szCs w:val="24"/>
                <w:lang w:val="en-GB" w:eastAsia="en-US"/>
              </w:rPr>
            </w:pPr>
            <w:r w:rsidRPr="00C100E9">
              <w:rPr>
                <w:noProof/>
                <w:sz w:val="22"/>
                <w:szCs w:val="24"/>
                <w:lang w:val="en-GB" w:eastAsia="en-US"/>
              </w:rPr>
              <w:t>200-280-6</w:t>
            </w:r>
          </w:p>
        </w:tc>
        <w:tc>
          <w:tcPr>
            <w:tcW w:w="1279" w:type="dxa"/>
            <w:gridSpan w:val="2"/>
            <w:tcMar>
              <w:left w:w="28" w:type="dxa"/>
              <w:right w:w="28" w:type="dxa"/>
            </w:tcMar>
          </w:tcPr>
          <w:p w14:paraId="506021F7" w14:textId="77777777" w:rsidR="002709ED" w:rsidRPr="00C100E9" w:rsidRDefault="002709ED">
            <w:pPr>
              <w:keepNext/>
              <w:keepLines/>
              <w:spacing w:before="40" w:after="40" w:line="360" w:lineRule="auto"/>
              <w:rPr>
                <w:iCs/>
                <w:noProof/>
                <w:sz w:val="22"/>
                <w:szCs w:val="24"/>
                <w:lang w:val="en-GB" w:eastAsia="en-US"/>
              </w:rPr>
            </w:pPr>
          </w:p>
        </w:tc>
        <w:tc>
          <w:tcPr>
            <w:tcW w:w="1279" w:type="dxa"/>
            <w:gridSpan w:val="2"/>
            <w:tcMar>
              <w:left w:w="28" w:type="dxa"/>
              <w:right w:w="28" w:type="dxa"/>
            </w:tcMar>
          </w:tcPr>
          <w:p w14:paraId="1303ECC8" w14:textId="77777777" w:rsidR="002709ED" w:rsidRPr="00C100E9" w:rsidRDefault="002709ED">
            <w:pPr>
              <w:keepNext/>
              <w:keepLines/>
              <w:spacing w:before="40" w:after="40" w:line="360" w:lineRule="auto"/>
              <w:rPr>
                <w:iCs/>
                <w:noProof/>
                <w:sz w:val="22"/>
                <w:szCs w:val="24"/>
                <w:lang w:val="en-GB" w:eastAsia="en-US"/>
              </w:rPr>
            </w:pPr>
          </w:p>
        </w:tc>
        <w:tc>
          <w:tcPr>
            <w:tcW w:w="1278" w:type="dxa"/>
            <w:gridSpan w:val="2"/>
            <w:tcMar>
              <w:left w:w="28" w:type="dxa"/>
              <w:right w:w="28" w:type="dxa"/>
            </w:tcMar>
          </w:tcPr>
          <w:p w14:paraId="189F654A" w14:textId="77777777" w:rsidR="002709ED" w:rsidRPr="00F652FA" w:rsidRDefault="00B2757B">
            <w:pPr>
              <w:keepNext/>
              <w:keepLines/>
              <w:spacing w:before="40" w:after="40" w:line="360" w:lineRule="auto"/>
              <w:rPr>
                <w:iCs/>
                <w:noProof/>
                <w:sz w:val="22"/>
                <w:szCs w:val="24"/>
                <w:lang w:val="en-GB" w:eastAsia="en-US"/>
              </w:rPr>
            </w:pPr>
            <w:r w:rsidRPr="00C100E9">
              <w:rPr>
                <w:noProof/>
                <w:sz w:val="22"/>
                <w:szCs w:val="24"/>
                <w:lang w:val="en-GB" w:eastAsia="en-US"/>
              </w:rPr>
              <w:t>0,1</w:t>
            </w:r>
          </w:p>
        </w:tc>
        <w:tc>
          <w:tcPr>
            <w:tcW w:w="1277" w:type="dxa"/>
            <w:gridSpan w:val="2"/>
            <w:tcMar>
              <w:left w:w="28" w:type="dxa"/>
              <w:right w:w="28" w:type="dxa"/>
            </w:tcMar>
          </w:tcPr>
          <w:p w14:paraId="35FD76F0" w14:textId="77777777" w:rsidR="002709ED" w:rsidRPr="00F652FA" w:rsidRDefault="00B2757B">
            <w:pPr>
              <w:keepNext/>
              <w:keepLines/>
              <w:spacing w:before="40" w:after="40" w:line="360" w:lineRule="auto"/>
              <w:rPr>
                <w:iCs/>
                <w:noProof/>
                <w:sz w:val="22"/>
                <w:szCs w:val="24"/>
                <w:lang w:val="en-GB" w:eastAsia="en-US"/>
              </w:rPr>
            </w:pPr>
            <w:r w:rsidRPr="00C100E9">
              <w:rPr>
                <w:noProof/>
                <w:sz w:val="22"/>
                <w:szCs w:val="24"/>
                <w:lang w:val="en-GB" w:eastAsia="en-US"/>
              </w:rPr>
              <w:t>0,01</w:t>
            </w:r>
          </w:p>
        </w:tc>
        <w:tc>
          <w:tcPr>
            <w:tcW w:w="1136" w:type="dxa"/>
            <w:gridSpan w:val="2"/>
            <w:tcMar>
              <w:left w:w="28" w:type="dxa"/>
              <w:right w:w="28" w:type="dxa"/>
            </w:tcMar>
          </w:tcPr>
          <w:p w14:paraId="57C8B1B9" w14:textId="77777777" w:rsidR="002709ED" w:rsidRPr="00F652FA" w:rsidRDefault="00B2757B">
            <w:pPr>
              <w:keepNext/>
              <w:keepLines/>
              <w:spacing w:before="40" w:after="40" w:line="360" w:lineRule="auto"/>
              <w:rPr>
                <w:iCs/>
                <w:noProof/>
                <w:sz w:val="22"/>
                <w:szCs w:val="24"/>
                <w:lang w:val="en-GB" w:eastAsia="en-US"/>
              </w:rPr>
            </w:pPr>
            <w:r w:rsidRPr="00C100E9">
              <w:rPr>
                <w:noProof/>
                <w:sz w:val="22"/>
                <w:szCs w:val="24"/>
                <w:lang w:val="en-GB" w:eastAsia="en-US"/>
              </w:rPr>
              <w:t>pozri poznámku pod čiarou 17</w:t>
            </w:r>
          </w:p>
        </w:tc>
        <w:tc>
          <w:tcPr>
            <w:tcW w:w="1262" w:type="dxa"/>
            <w:tcMar>
              <w:left w:w="28" w:type="dxa"/>
              <w:right w:w="28" w:type="dxa"/>
            </w:tcMar>
          </w:tcPr>
          <w:p w14:paraId="4956EC8F" w14:textId="77777777" w:rsidR="002709ED" w:rsidRDefault="002709ED">
            <w:pPr>
              <w:keepNext/>
              <w:keepLines/>
              <w:spacing w:before="40" w:after="40" w:line="360" w:lineRule="auto"/>
              <w:rPr>
                <w:i/>
                <w:iCs/>
                <w:noProof/>
                <w:sz w:val="22"/>
                <w:szCs w:val="24"/>
                <w:lang w:val="en-GB" w:eastAsia="en-US"/>
              </w:rPr>
            </w:pPr>
          </w:p>
        </w:tc>
        <w:tc>
          <w:tcPr>
            <w:tcW w:w="1153" w:type="dxa"/>
            <w:gridSpan w:val="2"/>
            <w:tcMar>
              <w:left w:w="28" w:type="dxa"/>
              <w:right w:w="28" w:type="dxa"/>
            </w:tcMar>
          </w:tcPr>
          <w:p w14:paraId="26BE0870" w14:textId="77777777" w:rsidR="002709ED" w:rsidRDefault="002709ED">
            <w:pPr>
              <w:keepNext/>
              <w:keepLines/>
              <w:spacing w:before="40" w:after="40" w:line="360" w:lineRule="auto"/>
              <w:rPr>
                <w:i/>
                <w:iCs/>
                <w:noProof/>
                <w:sz w:val="22"/>
                <w:szCs w:val="24"/>
                <w:lang w:val="en-GB" w:eastAsia="en-US"/>
              </w:rPr>
            </w:pPr>
          </w:p>
        </w:tc>
        <w:tc>
          <w:tcPr>
            <w:tcW w:w="970" w:type="dxa"/>
            <w:tcMar>
              <w:left w:w="28" w:type="dxa"/>
              <w:right w:w="28" w:type="dxa"/>
            </w:tcMar>
          </w:tcPr>
          <w:p w14:paraId="63566609" w14:textId="77777777" w:rsidR="002709ED" w:rsidRDefault="002709ED">
            <w:pPr>
              <w:keepNext/>
              <w:keepLines/>
              <w:spacing w:before="40" w:after="40" w:line="360" w:lineRule="auto"/>
              <w:rPr>
                <w:i/>
                <w:iCs/>
                <w:noProof/>
                <w:sz w:val="22"/>
                <w:szCs w:val="24"/>
                <w:lang w:val="en-GB" w:eastAsia="en-US"/>
              </w:rPr>
            </w:pPr>
          </w:p>
        </w:tc>
      </w:tr>
      <w:tr w:rsidR="002709ED" w14:paraId="10CAEFCF" w14:textId="77777777">
        <w:trPr>
          <w:gridBefore w:val="1"/>
          <w:wBefore w:w="12" w:type="dxa"/>
          <w:cantSplit/>
          <w:tblHeader/>
          <w:jc w:val="center"/>
        </w:trPr>
        <w:tc>
          <w:tcPr>
            <w:tcW w:w="651" w:type="dxa"/>
            <w:gridSpan w:val="3"/>
            <w:vMerge/>
            <w:tcMar>
              <w:left w:w="28" w:type="dxa"/>
              <w:right w:w="28" w:type="dxa"/>
            </w:tcMar>
          </w:tcPr>
          <w:p w14:paraId="6ED28B1D" w14:textId="77777777" w:rsidR="002709ED" w:rsidRDefault="002709ED">
            <w:pPr>
              <w:keepNext/>
              <w:keepLines/>
              <w:spacing w:before="40" w:after="40" w:line="360" w:lineRule="auto"/>
              <w:rPr>
                <w:noProof/>
                <w:sz w:val="22"/>
                <w:szCs w:val="24"/>
                <w:lang w:val="en-GB" w:eastAsia="en-US"/>
              </w:rPr>
            </w:pPr>
          </w:p>
        </w:tc>
        <w:tc>
          <w:tcPr>
            <w:tcW w:w="2286" w:type="dxa"/>
            <w:gridSpan w:val="3"/>
            <w:tcMar>
              <w:left w:w="28" w:type="dxa"/>
              <w:right w:w="28" w:type="dxa"/>
            </w:tcMar>
          </w:tcPr>
          <w:p w14:paraId="1E2FD57E"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dibenz(a,h)antracén</w:t>
            </w:r>
          </w:p>
        </w:tc>
        <w:tc>
          <w:tcPr>
            <w:tcW w:w="1329" w:type="dxa"/>
            <w:gridSpan w:val="3"/>
            <w:vMerge/>
            <w:tcMar>
              <w:left w:w="28" w:type="dxa"/>
              <w:right w:w="28" w:type="dxa"/>
            </w:tcMar>
          </w:tcPr>
          <w:p w14:paraId="2C1E034A" w14:textId="77777777" w:rsidR="002709ED" w:rsidRDefault="002709ED">
            <w:pPr>
              <w:keepNext/>
              <w:keepLines/>
              <w:spacing w:before="40" w:after="40" w:line="360" w:lineRule="auto"/>
              <w:rPr>
                <w:noProof/>
                <w:sz w:val="22"/>
                <w:szCs w:val="24"/>
                <w:lang w:val="en-GB" w:eastAsia="en-US"/>
              </w:rPr>
            </w:pPr>
          </w:p>
        </w:tc>
        <w:tc>
          <w:tcPr>
            <w:tcW w:w="992" w:type="dxa"/>
            <w:gridSpan w:val="2"/>
            <w:tcMar>
              <w:left w:w="28" w:type="dxa"/>
              <w:right w:w="28" w:type="dxa"/>
            </w:tcMar>
          </w:tcPr>
          <w:p w14:paraId="1670F06C"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53-70-3</w:t>
            </w:r>
          </w:p>
        </w:tc>
        <w:tc>
          <w:tcPr>
            <w:tcW w:w="1134" w:type="dxa"/>
          </w:tcPr>
          <w:p w14:paraId="05C41E1A" w14:textId="77777777" w:rsidR="002709ED" w:rsidRPr="00F652FA" w:rsidRDefault="00B2757B">
            <w:pPr>
              <w:keepNext/>
              <w:keepLines/>
              <w:spacing w:before="40" w:after="40" w:line="360" w:lineRule="auto"/>
              <w:rPr>
                <w:iCs/>
                <w:noProof/>
                <w:sz w:val="22"/>
                <w:szCs w:val="24"/>
                <w:lang w:val="en-GB" w:eastAsia="en-US"/>
              </w:rPr>
            </w:pPr>
            <w:r w:rsidRPr="00C100E9">
              <w:rPr>
                <w:noProof/>
                <w:sz w:val="22"/>
                <w:szCs w:val="24"/>
                <w:lang w:val="en-GB" w:eastAsia="en-US"/>
              </w:rPr>
              <w:t>200-181-8</w:t>
            </w:r>
          </w:p>
        </w:tc>
        <w:tc>
          <w:tcPr>
            <w:tcW w:w="1279" w:type="dxa"/>
            <w:gridSpan w:val="2"/>
            <w:tcMar>
              <w:left w:w="28" w:type="dxa"/>
              <w:right w:w="28" w:type="dxa"/>
            </w:tcMar>
          </w:tcPr>
          <w:p w14:paraId="4FC38E21" w14:textId="77777777" w:rsidR="002709ED" w:rsidRPr="00C100E9" w:rsidRDefault="002709ED">
            <w:pPr>
              <w:keepNext/>
              <w:keepLines/>
              <w:spacing w:before="40" w:after="40" w:line="360" w:lineRule="auto"/>
              <w:rPr>
                <w:iCs/>
                <w:noProof/>
                <w:sz w:val="22"/>
                <w:szCs w:val="24"/>
                <w:lang w:val="en-GB" w:eastAsia="en-US"/>
              </w:rPr>
            </w:pPr>
          </w:p>
        </w:tc>
        <w:tc>
          <w:tcPr>
            <w:tcW w:w="1279" w:type="dxa"/>
            <w:gridSpan w:val="2"/>
            <w:tcMar>
              <w:left w:w="28" w:type="dxa"/>
              <w:right w:w="28" w:type="dxa"/>
            </w:tcMar>
          </w:tcPr>
          <w:p w14:paraId="1C307B28" w14:textId="77777777" w:rsidR="002709ED" w:rsidRPr="00C100E9" w:rsidRDefault="002709ED">
            <w:pPr>
              <w:keepNext/>
              <w:keepLines/>
              <w:spacing w:before="40" w:after="40" w:line="360" w:lineRule="auto"/>
              <w:rPr>
                <w:iCs/>
                <w:noProof/>
                <w:sz w:val="22"/>
                <w:szCs w:val="24"/>
                <w:lang w:val="en-GB" w:eastAsia="en-US"/>
              </w:rPr>
            </w:pPr>
          </w:p>
        </w:tc>
        <w:tc>
          <w:tcPr>
            <w:tcW w:w="1278" w:type="dxa"/>
            <w:gridSpan w:val="2"/>
            <w:tcMar>
              <w:left w:w="28" w:type="dxa"/>
              <w:right w:w="28" w:type="dxa"/>
            </w:tcMar>
          </w:tcPr>
          <w:p w14:paraId="0AF167FB" w14:textId="77777777" w:rsidR="002709ED" w:rsidRPr="00F652FA" w:rsidRDefault="00B2757B">
            <w:pPr>
              <w:keepNext/>
              <w:keepLines/>
              <w:spacing w:before="40" w:after="40" w:line="360" w:lineRule="auto"/>
              <w:rPr>
                <w:iCs/>
                <w:noProof/>
                <w:sz w:val="22"/>
                <w:szCs w:val="24"/>
                <w:lang w:val="en-GB" w:eastAsia="en-US"/>
              </w:rPr>
            </w:pPr>
            <w:r w:rsidRPr="00C100E9">
              <w:rPr>
                <w:noProof/>
                <w:sz w:val="22"/>
                <w:szCs w:val="24"/>
                <w:lang w:val="en-GB" w:eastAsia="en-US"/>
              </w:rPr>
              <w:t>0,014</w:t>
            </w:r>
          </w:p>
        </w:tc>
        <w:tc>
          <w:tcPr>
            <w:tcW w:w="1277" w:type="dxa"/>
            <w:gridSpan w:val="2"/>
            <w:tcMar>
              <w:left w:w="28" w:type="dxa"/>
              <w:right w:w="28" w:type="dxa"/>
            </w:tcMar>
          </w:tcPr>
          <w:p w14:paraId="6A2EAF5E" w14:textId="77777777" w:rsidR="002709ED" w:rsidRPr="00F652FA" w:rsidRDefault="00B2757B">
            <w:pPr>
              <w:keepNext/>
              <w:keepLines/>
              <w:spacing w:before="40" w:after="40" w:line="360" w:lineRule="auto"/>
              <w:rPr>
                <w:iCs/>
                <w:noProof/>
                <w:sz w:val="22"/>
                <w:szCs w:val="24"/>
                <w:lang w:val="en-GB" w:eastAsia="en-US"/>
              </w:rPr>
            </w:pPr>
            <w:r w:rsidRPr="00C100E9">
              <w:rPr>
                <w:noProof/>
                <w:sz w:val="22"/>
                <w:szCs w:val="24"/>
                <w:lang w:val="en-GB" w:eastAsia="en-US"/>
              </w:rPr>
              <w:t>0,0014</w:t>
            </w:r>
          </w:p>
        </w:tc>
        <w:tc>
          <w:tcPr>
            <w:tcW w:w="1136" w:type="dxa"/>
            <w:gridSpan w:val="2"/>
            <w:tcMar>
              <w:left w:w="28" w:type="dxa"/>
              <w:right w:w="28" w:type="dxa"/>
            </w:tcMar>
          </w:tcPr>
          <w:p w14:paraId="1C0AA947" w14:textId="77777777" w:rsidR="002709ED" w:rsidRPr="00F652FA" w:rsidRDefault="00B2757B">
            <w:pPr>
              <w:keepNext/>
              <w:keepLines/>
              <w:spacing w:before="40" w:after="40" w:line="360" w:lineRule="auto"/>
              <w:rPr>
                <w:iCs/>
                <w:noProof/>
                <w:sz w:val="22"/>
                <w:szCs w:val="24"/>
                <w:lang w:val="en-GB" w:eastAsia="en-US"/>
              </w:rPr>
            </w:pPr>
            <w:r w:rsidRPr="00C100E9">
              <w:rPr>
                <w:noProof/>
                <w:sz w:val="22"/>
                <w:szCs w:val="24"/>
                <w:lang w:val="en-GB" w:eastAsia="en-US"/>
              </w:rPr>
              <w:t>pozri poznámku pod čiarou 17</w:t>
            </w:r>
          </w:p>
        </w:tc>
        <w:tc>
          <w:tcPr>
            <w:tcW w:w="1262" w:type="dxa"/>
            <w:tcMar>
              <w:left w:w="28" w:type="dxa"/>
              <w:right w:w="28" w:type="dxa"/>
            </w:tcMar>
          </w:tcPr>
          <w:p w14:paraId="600CD37F" w14:textId="77777777" w:rsidR="002709ED" w:rsidRDefault="002709ED">
            <w:pPr>
              <w:keepNext/>
              <w:keepLines/>
              <w:spacing w:before="40" w:after="40" w:line="360" w:lineRule="auto"/>
              <w:rPr>
                <w:i/>
                <w:iCs/>
                <w:noProof/>
                <w:sz w:val="22"/>
                <w:szCs w:val="24"/>
                <w:lang w:val="en-GB" w:eastAsia="en-US"/>
              </w:rPr>
            </w:pPr>
          </w:p>
        </w:tc>
        <w:tc>
          <w:tcPr>
            <w:tcW w:w="1153" w:type="dxa"/>
            <w:gridSpan w:val="2"/>
            <w:tcMar>
              <w:left w:w="28" w:type="dxa"/>
              <w:right w:w="28" w:type="dxa"/>
            </w:tcMar>
          </w:tcPr>
          <w:p w14:paraId="671A8CA5" w14:textId="77777777" w:rsidR="002709ED" w:rsidRDefault="002709ED">
            <w:pPr>
              <w:keepNext/>
              <w:keepLines/>
              <w:spacing w:before="40" w:after="40" w:line="360" w:lineRule="auto"/>
              <w:rPr>
                <w:i/>
                <w:iCs/>
                <w:noProof/>
                <w:sz w:val="22"/>
                <w:szCs w:val="24"/>
                <w:lang w:val="en-GB" w:eastAsia="en-US"/>
              </w:rPr>
            </w:pPr>
          </w:p>
        </w:tc>
        <w:tc>
          <w:tcPr>
            <w:tcW w:w="970" w:type="dxa"/>
            <w:tcMar>
              <w:left w:w="28" w:type="dxa"/>
              <w:right w:w="28" w:type="dxa"/>
            </w:tcMar>
          </w:tcPr>
          <w:p w14:paraId="00928A29" w14:textId="77777777" w:rsidR="002709ED" w:rsidRDefault="002709ED">
            <w:pPr>
              <w:keepNext/>
              <w:keepLines/>
              <w:spacing w:before="40" w:after="40" w:line="360" w:lineRule="auto"/>
              <w:rPr>
                <w:i/>
                <w:iCs/>
                <w:noProof/>
                <w:sz w:val="22"/>
                <w:szCs w:val="24"/>
                <w:lang w:val="en-GB" w:eastAsia="en-US"/>
              </w:rPr>
            </w:pPr>
          </w:p>
        </w:tc>
      </w:tr>
      <w:tr w:rsidR="002709ED" w14:paraId="3EBC66FA" w14:textId="77777777">
        <w:trPr>
          <w:gridBefore w:val="1"/>
          <w:wBefore w:w="12" w:type="dxa"/>
          <w:cantSplit/>
          <w:tblHeader/>
          <w:jc w:val="center"/>
        </w:trPr>
        <w:tc>
          <w:tcPr>
            <w:tcW w:w="651" w:type="dxa"/>
            <w:gridSpan w:val="3"/>
            <w:tcMar>
              <w:left w:w="28" w:type="dxa"/>
              <w:right w:w="28" w:type="dxa"/>
            </w:tcMar>
          </w:tcPr>
          <w:p w14:paraId="545E926B"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(29)</w:t>
            </w:r>
          </w:p>
        </w:tc>
        <w:tc>
          <w:tcPr>
            <w:tcW w:w="15375" w:type="dxa"/>
            <w:gridSpan w:val="23"/>
            <w:tcMar>
              <w:left w:w="28" w:type="dxa"/>
              <w:right w:w="28" w:type="dxa"/>
            </w:tcMar>
          </w:tcPr>
          <w:p w14:paraId="4B23FD62"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 xml:space="preserve">Látka simazín bola presunutá do časti C prílohy II. </w:t>
            </w:r>
          </w:p>
        </w:tc>
      </w:tr>
      <w:bookmarkEnd w:id="32"/>
      <w:tr w:rsidR="002709ED" w14:paraId="7E7B7C01" w14:textId="77777777">
        <w:trPr>
          <w:gridBefore w:val="1"/>
          <w:wBefore w:w="12" w:type="dxa"/>
          <w:cantSplit/>
          <w:tblHeader/>
          <w:jc w:val="center"/>
        </w:trPr>
        <w:tc>
          <w:tcPr>
            <w:tcW w:w="651" w:type="dxa"/>
            <w:gridSpan w:val="3"/>
            <w:tcMar>
              <w:left w:w="28" w:type="dxa"/>
              <w:right w:w="28" w:type="dxa"/>
            </w:tcMar>
          </w:tcPr>
          <w:p w14:paraId="5CC75E82"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(29a)</w:t>
            </w:r>
          </w:p>
        </w:tc>
        <w:tc>
          <w:tcPr>
            <w:tcW w:w="2286" w:type="dxa"/>
            <w:gridSpan w:val="3"/>
            <w:tcMar>
              <w:left w:w="28" w:type="dxa"/>
              <w:right w:w="28" w:type="dxa"/>
            </w:tcMar>
          </w:tcPr>
          <w:p w14:paraId="67818B53" w14:textId="77777777" w:rsidR="002709ED" w:rsidRDefault="00B2757B">
            <w:pPr>
              <w:keepNext/>
              <w:keepLines/>
              <w:spacing w:before="40" w:after="40" w:line="360" w:lineRule="auto"/>
              <w:rPr>
                <w:noProof/>
                <w:sz w:val="22"/>
                <w:szCs w:val="24"/>
                <w:vertAlign w:val="superscript"/>
                <w:lang w:val="en-GB" w:eastAsia="en-US"/>
              </w:rPr>
            </w:pPr>
            <w:r>
              <w:rPr>
                <w:noProof/>
                <w:sz w:val="22"/>
                <w:szCs w:val="24"/>
                <w:lang w:val="en-GB" w:eastAsia="en-US"/>
              </w:rPr>
              <w:t xml:space="preserve">tetrachlóretylén </w:t>
            </w:r>
            <w:bookmarkStart w:id="33" w:name="_DV_M305"/>
            <w:bookmarkEnd w:id="33"/>
          </w:p>
        </w:tc>
        <w:tc>
          <w:tcPr>
            <w:tcW w:w="1329" w:type="dxa"/>
            <w:gridSpan w:val="3"/>
            <w:tcMar>
              <w:left w:w="28" w:type="dxa"/>
              <w:right w:w="28" w:type="dxa"/>
            </w:tcMar>
          </w:tcPr>
          <w:p w14:paraId="6FCAD0C8"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priemyselné látky</w:t>
            </w:r>
          </w:p>
        </w:tc>
        <w:tc>
          <w:tcPr>
            <w:tcW w:w="992" w:type="dxa"/>
            <w:gridSpan w:val="2"/>
            <w:tcMar>
              <w:left w:w="28" w:type="dxa"/>
              <w:right w:w="28" w:type="dxa"/>
            </w:tcMar>
          </w:tcPr>
          <w:p w14:paraId="52B87C7F"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127-18-4</w:t>
            </w:r>
          </w:p>
        </w:tc>
        <w:tc>
          <w:tcPr>
            <w:tcW w:w="1134" w:type="dxa"/>
          </w:tcPr>
          <w:p w14:paraId="0A8CE716"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204-825-9</w:t>
            </w:r>
          </w:p>
        </w:tc>
        <w:tc>
          <w:tcPr>
            <w:tcW w:w="1279" w:type="dxa"/>
            <w:gridSpan w:val="2"/>
            <w:tcMar>
              <w:left w:w="28" w:type="dxa"/>
              <w:right w:w="28" w:type="dxa"/>
            </w:tcMar>
          </w:tcPr>
          <w:p w14:paraId="5A89ED64"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10</w:t>
            </w:r>
          </w:p>
        </w:tc>
        <w:tc>
          <w:tcPr>
            <w:tcW w:w="1279" w:type="dxa"/>
            <w:gridSpan w:val="2"/>
            <w:tcMar>
              <w:left w:w="28" w:type="dxa"/>
              <w:right w:w="28" w:type="dxa"/>
            </w:tcMar>
          </w:tcPr>
          <w:p w14:paraId="7864EA38"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10</w:t>
            </w:r>
          </w:p>
        </w:tc>
        <w:tc>
          <w:tcPr>
            <w:tcW w:w="1278" w:type="dxa"/>
            <w:gridSpan w:val="2"/>
            <w:tcMar>
              <w:left w:w="28" w:type="dxa"/>
              <w:right w:w="28" w:type="dxa"/>
            </w:tcMar>
          </w:tcPr>
          <w:p w14:paraId="527A5ED4"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neuplatňuje sa</w:t>
            </w:r>
          </w:p>
        </w:tc>
        <w:tc>
          <w:tcPr>
            <w:tcW w:w="1277" w:type="dxa"/>
            <w:gridSpan w:val="2"/>
            <w:tcMar>
              <w:left w:w="28" w:type="dxa"/>
              <w:right w:w="28" w:type="dxa"/>
            </w:tcMar>
          </w:tcPr>
          <w:p w14:paraId="3B94C7DA"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neuplatňuje sa</w:t>
            </w:r>
          </w:p>
        </w:tc>
        <w:tc>
          <w:tcPr>
            <w:tcW w:w="1136" w:type="dxa"/>
            <w:gridSpan w:val="2"/>
            <w:tcMar>
              <w:left w:w="28" w:type="dxa"/>
              <w:right w:w="28" w:type="dxa"/>
            </w:tcMar>
          </w:tcPr>
          <w:p w14:paraId="55C3D20E" w14:textId="77777777" w:rsidR="002709ED" w:rsidRDefault="002709ED">
            <w:pPr>
              <w:keepNext/>
              <w:keepLines/>
              <w:spacing w:before="40" w:after="40" w:line="360" w:lineRule="auto"/>
              <w:rPr>
                <w:noProof/>
                <w:sz w:val="22"/>
                <w:szCs w:val="24"/>
                <w:lang w:val="en-GB" w:eastAsia="en-US"/>
              </w:rPr>
            </w:pPr>
          </w:p>
        </w:tc>
        <w:tc>
          <w:tcPr>
            <w:tcW w:w="1262" w:type="dxa"/>
            <w:tcMar>
              <w:left w:w="28" w:type="dxa"/>
              <w:right w:w="28" w:type="dxa"/>
            </w:tcMar>
          </w:tcPr>
          <w:p w14:paraId="545E5773" w14:textId="77777777" w:rsidR="002709ED" w:rsidRDefault="002709ED">
            <w:pPr>
              <w:keepNext/>
              <w:keepLines/>
              <w:spacing w:before="40" w:after="40" w:line="360" w:lineRule="auto"/>
              <w:rPr>
                <w:noProof/>
                <w:sz w:val="22"/>
                <w:szCs w:val="24"/>
                <w:lang w:val="en-GB" w:eastAsia="en-US"/>
              </w:rPr>
            </w:pPr>
          </w:p>
        </w:tc>
        <w:tc>
          <w:tcPr>
            <w:tcW w:w="1153" w:type="dxa"/>
            <w:gridSpan w:val="2"/>
            <w:tcMar>
              <w:left w:w="28" w:type="dxa"/>
              <w:right w:w="28" w:type="dxa"/>
            </w:tcMar>
          </w:tcPr>
          <w:p w14:paraId="424DB3FD" w14:textId="77777777" w:rsidR="002709ED" w:rsidRDefault="002709ED">
            <w:pPr>
              <w:keepNext/>
              <w:keepLines/>
              <w:spacing w:before="40" w:after="40" w:line="360" w:lineRule="auto"/>
              <w:rPr>
                <w:noProof/>
                <w:sz w:val="22"/>
                <w:szCs w:val="24"/>
                <w:lang w:val="en-GB" w:eastAsia="en-US"/>
              </w:rPr>
            </w:pPr>
          </w:p>
        </w:tc>
        <w:tc>
          <w:tcPr>
            <w:tcW w:w="970" w:type="dxa"/>
            <w:tcMar>
              <w:left w:w="28" w:type="dxa"/>
              <w:right w:w="28" w:type="dxa"/>
            </w:tcMar>
          </w:tcPr>
          <w:p w14:paraId="39FEC940" w14:textId="77777777" w:rsidR="002709ED" w:rsidRDefault="002709ED">
            <w:pPr>
              <w:keepNext/>
              <w:keepLines/>
              <w:spacing w:before="40" w:after="40" w:line="360" w:lineRule="auto"/>
              <w:rPr>
                <w:noProof/>
                <w:sz w:val="22"/>
                <w:szCs w:val="24"/>
                <w:lang w:val="en-GB" w:eastAsia="en-US"/>
              </w:rPr>
            </w:pPr>
          </w:p>
        </w:tc>
      </w:tr>
      <w:tr w:rsidR="002709ED" w14:paraId="17837003" w14:textId="77777777">
        <w:trPr>
          <w:gridBefore w:val="1"/>
          <w:wBefore w:w="12" w:type="dxa"/>
          <w:cantSplit/>
          <w:tblHeader/>
          <w:jc w:val="center"/>
        </w:trPr>
        <w:tc>
          <w:tcPr>
            <w:tcW w:w="651" w:type="dxa"/>
            <w:gridSpan w:val="3"/>
            <w:tcMar>
              <w:left w:w="28" w:type="dxa"/>
              <w:right w:w="28" w:type="dxa"/>
            </w:tcMar>
          </w:tcPr>
          <w:p w14:paraId="625137CF"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(29b)</w:t>
            </w:r>
          </w:p>
        </w:tc>
        <w:tc>
          <w:tcPr>
            <w:tcW w:w="2286" w:type="dxa"/>
            <w:gridSpan w:val="3"/>
            <w:tcMar>
              <w:left w:w="28" w:type="dxa"/>
              <w:right w:w="28" w:type="dxa"/>
            </w:tcMar>
          </w:tcPr>
          <w:p w14:paraId="60D6ED5E" w14:textId="77777777" w:rsidR="002709ED" w:rsidRDefault="00B2757B">
            <w:pPr>
              <w:keepNext/>
              <w:keepLines/>
              <w:spacing w:before="40" w:after="40" w:line="360" w:lineRule="auto"/>
              <w:rPr>
                <w:noProof/>
                <w:sz w:val="22"/>
                <w:szCs w:val="24"/>
                <w:vertAlign w:val="superscript"/>
                <w:lang w:val="en-GB" w:eastAsia="en-US"/>
              </w:rPr>
            </w:pPr>
            <w:r>
              <w:rPr>
                <w:noProof/>
                <w:sz w:val="22"/>
                <w:szCs w:val="24"/>
                <w:lang w:val="en-GB" w:eastAsia="en-US"/>
              </w:rPr>
              <w:t xml:space="preserve">trichlóretylén </w:t>
            </w:r>
            <w:bookmarkStart w:id="34" w:name="_DV_M306"/>
            <w:bookmarkEnd w:id="34"/>
          </w:p>
        </w:tc>
        <w:tc>
          <w:tcPr>
            <w:tcW w:w="1329" w:type="dxa"/>
            <w:gridSpan w:val="3"/>
            <w:tcMar>
              <w:left w:w="28" w:type="dxa"/>
              <w:right w:w="28" w:type="dxa"/>
            </w:tcMar>
          </w:tcPr>
          <w:p w14:paraId="305D21F1"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priemyselné látky</w:t>
            </w:r>
          </w:p>
        </w:tc>
        <w:tc>
          <w:tcPr>
            <w:tcW w:w="992" w:type="dxa"/>
            <w:gridSpan w:val="2"/>
            <w:tcMar>
              <w:left w:w="28" w:type="dxa"/>
              <w:right w:w="28" w:type="dxa"/>
            </w:tcMar>
          </w:tcPr>
          <w:p w14:paraId="7FEBD883"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79-01-6</w:t>
            </w:r>
          </w:p>
        </w:tc>
        <w:tc>
          <w:tcPr>
            <w:tcW w:w="1134" w:type="dxa"/>
          </w:tcPr>
          <w:p w14:paraId="15DE221D"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201-167-4</w:t>
            </w:r>
          </w:p>
        </w:tc>
        <w:tc>
          <w:tcPr>
            <w:tcW w:w="1279" w:type="dxa"/>
            <w:gridSpan w:val="2"/>
            <w:tcMar>
              <w:left w:w="28" w:type="dxa"/>
              <w:right w:w="28" w:type="dxa"/>
            </w:tcMar>
          </w:tcPr>
          <w:p w14:paraId="05CF6437"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10</w:t>
            </w:r>
          </w:p>
        </w:tc>
        <w:tc>
          <w:tcPr>
            <w:tcW w:w="1279" w:type="dxa"/>
            <w:gridSpan w:val="2"/>
            <w:tcMar>
              <w:left w:w="28" w:type="dxa"/>
              <w:right w:w="28" w:type="dxa"/>
            </w:tcMar>
          </w:tcPr>
          <w:p w14:paraId="004455DF"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10</w:t>
            </w:r>
          </w:p>
        </w:tc>
        <w:tc>
          <w:tcPr>
            <w:tcW w:w="1278" w:type="dxa"/>
            <w:gridSpan w:val="2"/>
            <w:tcMar>
              <w:left w:w="28" w:type="dxa"/>
              <w:right w:w="28" w:type="dxa"/>
            </w:tcMar>
          </w:tcPr>
          <w:p w14:paraId="589EEEDA"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neuplatňuje sa</w:t>
            </w:r>
          </w:p>
        </w:tc>
        <w:tc>
          <w:tcPr>
            <w:tcW w:w="1277" w:type="dxa"/>
            <w:gridSpan w:val="2"/>
            <w:tcMar>
              <w:left w:w="28" w:type="dxa"/>
              <w:right w:w="28" w:type="dxa"/>
            </w:tcMar>
          </w:tcPr>
          <w:p w14:paraId="643E0CCB"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neuplatňuje sa</w:t>
            </w:r>
          </w:p>
        </w:tc>
        <w:tc>
          <w:tcPr>
            <w:tcW w:w="1136" w:type="dxa"/>
            <w:gridSpan w:val="2"/>
            <w:tcMar>
              <w:left w:w="28" w:type="dxa"/>
              <w:right w:w="28" w:type="dxa"/>
            </w:tcMar>
          </w:tcPr>
          <w:p w14:paraId="3B7DA9AE" w14:textId="77777777" w:rsidR="002709ED" w:rsidRDefault="002709ED">
            <w:pPr>
              <w:keepNext/>
              <w:keepLines/>
              <w:spacing w:before="40" w:after="40" w:line="360" w:lineRule="auto"/>
              <w:rPr>
                <w:noProof/>
                <w:sz w:val="22"/>
                <w:szCs w:val="24"/>
                <w:lang w:val="en-GB" w:eastAsia="en-US"/>
              </w:rPr>
            </w:pPr>
          </w:p>
        </w:tc>
        <w:tc>
          <w:tcPr>
            <w:tcW w:w="1262" w:type="dxa"/>
            <w:tcMar>
              <w:left w:w="28" w:type="dxa"/>
              <w:right w:w="28" w:type="dxa"/>
            </w:tcMar>
          </w:tcPr>
          <w:p w14:paraId="5EE33B32"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X</w:t>
            </w:r>
          </w:p>
        </w:tc>
        <w:tc>
          <w:tcPr>
            <w:tcW w:w="1153" w:type="dxa"/>
            <w:gridSpan w:val="2"/>
            <w:tcMar>
              <w:left w:w="28" w:type="dxa"/>
              <w:right w:w="28" w:type="dxa"/>
            </w:tcMar>
          </w:tcPr>
          <w:p w14:paraId="4E62D5D7" w14:textId="77777777" w:rsidR="002709ED" w:rsidRDefault="002709ED">
            <w:pPr>
              <w:keepNext/>
              <w:keepLines/>
              <w:spacing w:before="40" w:after="40" w:line="360" w:lineRule="auto"/>
              <w:rPr>
                <w:noProof/>
                <w:sz w:val="22"/>
                <w:szCs w:val="24"/>
                <w:lang w:val="en-GB" w:eastAsia="en-US"/>
              </w:rPr>
            </w:pPr>
          </w:p>
        </w:tc>
        <w:tc>
          <w:tcPr>
            <w:tcW w:w="970" w:type="dxa"/>
            <w:tcMar>
              <w:left w:w="28" w:type="dxa"/>
              <w:right w:w="28" w:type="dxa"/>
            </w:tcMar>
          </w:tcPr>
          <w:p w14:paraId="40B2696E" w14:textId="77777777" w:rsidR="002709ED" w:rsidRDefault="002709ED">
            <w:pPr>
              <w:keepNext/>
              <w:keepLines/>
              <w:spacing w:before="40" w:after="40" w:line="360" w:lineRule="auto"/>
              <w:rPr>
                <w:noProof/>
                <w:sz w:val="22"/>
                <w:szCs w:val="24"/>
                <w:lang w:val="en-GB" w:eastAsia="en-US"/>
              </w:rPr>
            </w:pPr>
          </w:p>
        </w:tc>
      </w:tr>
      <w:tr w:rsidR="002709ED" w14:paraId="7067CEC7" w14:textId="77777777">
        <w:trPr>
          <w:gridBefore w:val="1"/>
          <w:wBefore w:w="12" w:type="dxa"/>
          <w:cantSplit/>
          <w:tblHeader/>
          <w:jc w:val="center"/>
        </w:trPr>
        <w:tc>
          <w:tcPr>
            <w:tcW w:w="651" w:type="dxa"/>
            <w:gridSpan w:val="3"/>
            <w:tcMar>
              <w:left w:w="28" w:type="dxa"/>
              <w:right w:w="28" w:type="dxa"/>
            </w:tcMar>
          </w:tcPr>
          <w:p w14:paraId="286CEEC5"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lastRenderedPageBreak/>
              <w:t>(30)</w:t>
            </w:r>
          </w:p>
        </w:tc>
        <w:tc>
          <w:tcPr>
            <w:tcW w:w="2286" w:type="dxa"/>
            <w:gridSpan w:val="3"/>
            <w:tcMar>
              <w:left w:w="28" w:type="dxa"/>
              <w:right w:w="28" w:type="dxa"/>
            </w:tcMar>
          </w:tcPr>
          <w:p w14:paraId="7610C093"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zlúčeniny tributylcínu (</w:t>
            </w:r>
            <w:r>
              <w:rPr>
                <w:noProof/>
                <w:sz w:val="22"/>
                <w:szCs w:val="24"/>
                <w:vertAlign w:val="superscript"/>
                <w:lang w:val="en-GB" w:eastAsia="en-US"/>
              </w:rPr>
              <w:t>18</w:t>
            </w:r>
            <w:r>
              <w:rPr>
                <w:noProof/>
                <w:sz w:val="22"/>
                <w:szCs w:val="24"/>
                <w:lang w:val="en-GB" w:eastAsia="en-US"/>
              </w:rPr>
              <w:t>) (</w:t>
            </w:r>
            <w:bookmarkStart w:id="35" w:name="_DV_C351"/>
            <w:r w:rsidRPr="00C100E9">
              <w:rPr>
                <w:noProof/>
                <w:sz w:val="22"/>
                <w:szCs w:val="24"/>
                <w:lang w:val="en-GB" w:eastAsia="en-US"/>
              </w:rPr>
              <w:t>katión</w:t>
            </w:r>
            <w:bookmarkStart w:id="36" w:name="_DV_M307"/>
            <w:bookmarkEnd w:id="35"/>
            <w:bookmarkEnd w:id="36"/>
            <w:r w:rsidRPr="00F652FA">
              <w:rPr>
                <w:noProof/>
                <w:sz w:val="22"/>
                <w:szCs w:val="24"/>
                <w:lang w:val="en-GB" w:eastAsia="en-US"/>
              </w:rPr>
              <w:t xml:space="preserve"> </w:t>
            </w:r>
            <w:r>
              <w:rPr>
                <w:noProof/>
                <w:sz w:val="22"/>
                <w:szCs w:val="24"/>
                <w:lang w:val="en-GB" w:eastAsia="en-US"/>
              </w:rPr>
              <w:t>tributylcínu)</w:t>
            </w:r>
          </w:p>
        </w:tc>
        <w:tc>
          <w:tcPr>
            <w:tcW w:w="1329" w:type="dxa"/>
            <w:gridSpan w:val="3"/>
            <w:tcMar>
              <w:left w:w="28" w:type="dxa"/>
              <w:right w:w="28" w:type="dxa"/>
            </w:tcMar>
          </w:tcPr>
          <w:p w14:paraId="7BB8AC67"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biocídy</w:t>
            </w:r>
          </w:p>
        </w:tc>
        <w:tc>
          <w:tcPr>
            <w:tcW w:w="992" w:type="dxa"/>
            <w:gridSpan w:val="2"/>
            <w:tcMar>
              <w:left w:w="28" w:type="dxa"/>
              <w:right w:w="28" w:type="dxa"/>
            </w:tcMar>
          </w:tcPr>
          <w:p w14:paraId="76BAE5EC"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36643-28-4</w:t>
            </w:r>
          </w:p>
        </w:tc>
        <w:tc>
          <w:tcPr>
            <w:tcW w:w="1134" w:type="dxa"/>
          </w:tcPr>
          <w:p w14:paraId="7B138E55"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neuplatňuje sa</w:t>
            </w:r>
          </w:p>
        </w:tc>
        <w:tc>
          <w:tcPr>
            <w:tcW w:w="1279" w:type="dxa"/>
            <w:gridSpan w:val="2"/>
            <w:tcMar>
              <w:left w:w="28" w:type="dxa"/>
              <w:right w:w="28" w:type="dxa"/>
            </w:tcMar>
          </w:tcPr>
          <w:p w14:paraId="38485FF8"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0,0002</w:t>
            </w:r>
          </w:p>
        </w:tc>
        <w:tc>
          <w:tcPr>
            <w:tcW w:w="1279" w:type="dxa"/>
            <w:gridSpan w:val="2"/>
            <w:tcMar>
              <w:left w:w="28" w:type="dxa"/>
              <w:right w:w="28" w:type="dxa"/>
            </w:tcMar>
          </w:tcPr>
          <w:p w14:paraId="4B968822"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0,0002</w:t>
            </w:r>
          </w:p>
        </w:tc>
        <w:tc>
          <w:tcPr>
            <w:tcW w:w="1278" w:type="dxa"/>
            <w:gridSpan w:val="2"/>
            <w:tcMar>
              <w:left w:w="28" w:type="dxa"/>
              <w:right w:w="28" w:type="dxa"/>
            </w:tcMar>
          </w:tcPr>
          <w:p w14:paraId="68F14E6D"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0,0015</w:t>
            </w:r>
          </w:p>
        </w:tc>
        <w:tc>
          <w:tcPr>
            <w:tcW w:w="1277" w:type="dxa"/>
            <w:gridSpan w:val="2"/>
            <w:tcMar>
              <w:left w:w="28" w:type="dxa"/>
              <w:right w:w="28" w:type="dxa"/>
            </w:tcMar>
          </w:tcPr>
          <w:p w14:paraId="0C5A8FC8"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0,0015</w:t>
            </w:r>
          </w:p>
        </w:tc>
        <w:tc>
          <w:tcPr>
            <w:tcW w:w="1136" w:type="dxa"/>
            <w:gridSpan w:val="2"/>
            <w:tcMar>
              <w:left w:w="28" w:type="dxa"/>
              <w:right w:w="28" w:type="dxa"/>
            </w:tcMar>
          </w:tcPr>
          <w:p w14:paraId="094A9984"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[1,3] (</w:t>
            </w:r>
            <w:r>
              <w:rPr>
                <w:noProof/>
                <w:sz w:val="22"/>
                <w:szCs w:val="24"/>
                <w:vertAlign w:val="superscript"/>
                <w:lang w:val="en-GB" w:eastAsia="en-US"/>
              </w:rPr>
              <w:t>19</w:t>
            </w:r>
            <w:r>
              <w:rPr>
                <w:noProof/>
                <w:sz w:val="22"/>
                <w:szCs w:val="24"/>
                <w:lang w:val="en-GB" w:eastAsia="en-US"/>
              </w:rPr>
              <w:t>)</w:t>
            </w:r>
          </w:p>
        </w:tc>
        <w:tc>
          <w:tcPr>
            <w:tcW w:w="1262" w:type="dxa"/>
            <w:tcMar>
              <w:left w:w="28" w:type="dxa"/>
              <w:right w:w="28" w:type="dxa"/>
            </w:tcMar>
          </w:tcPr>
          <w:p w14:paraId="0DF016BA"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 xml:space="preserve">X </w:t>
            </w:r>
          </w:p>
        </w:tc>
        <w:tc>
          <w:tcPr>
            <w:tcW w:w="1153" w:type="dxa"/>
            <w:gridSpan w:val="2"/>
            <w:tcMar>
              <w:left w:w="28" w:type="dxa"/>
              <w:right w:w="28" w:type="dxa"/>
            </w:tcMar>
          </w:tcPr>
          <w:p w14:paraId="4EA492C5"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X</w:t>
            </w:r>
          </w:p>
        </w:tc>
        <w:tc>
          <w:tcPr>
            <w:tcW w:w="970" w:type="dxa"/>
            <w:tcMar>
              <w:left w:w="28" w:type="dxa"/>
              <w:right w:w="28" w:type="dxa"/>
            </w:tcMar>
          </w:tcPr>
          <w:p w14:paraId="1A9F680F"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X</w:t>
            </w:r>
          </w:p>
        </w:tc>
      </w:tr>
      <w:tr w:rsidR="002709ED" w14:paraId="2C05F3B1" w14:textId="77777777">
        <w:trPr>
          <w:gridBefore w:val="1"/>
          <w:wBefore w:w="12" w:type="dxa"/>
          <w:cantSplit/>
          <w:tblHeader/>
          <w:jc w:val="center"/>
        </w:trPr>
        <w:tc>
          <w:tcPr>
            <w:tcW w:w="651" w:type="dxa"/>
            <w:gridSpan w:val="3"/>
            <w:tcMar>
              <w:left w:w="28" w:type="dxa"/>
              <w:right w:w="28" w:type="dxa"/>
            </w:tcMar>
          </w:tcPr>
          <w:p w14:paraId="5974A57F"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(31)</w:t>
            </w:r>
          </w:p>
        </w:tc>
        <w:tc>
          <w:tcPr>
            <w:tcW w:w="2286" w:type="dxa"/>
            <w:gridSpan w:val="3"/>
            <w:tcMar>
              <w:left w:w="28" w:type="dxa"/>
              <w:right w:w="28" w:type="dxa"/>
            </w:tcMar>
          </w:tcPr>
          <w:p w14:paraId="6AFDE70E"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trichlórbenzény</w:t>
            </w:r>
          </w:p>
        </w:tc>
        <w:tc>
          <w:tcPr>
            <w:tcW w:w="1329" w:type="dxa"/>
            <w:gridSpan w:val="3"/>
            <w:tcMar>
              <w:left w:w="28" w:type="dxa"/>
              <w:right w:w="28" w:type="dxa"/>
            </w:tcMar>
          </w:tcPr>
          <w:p w14:paraId="2995EFD6"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priemyselné látky (rozpúšťadlá)</w:t>
            </w:r>
          </w:p>
        </w:tc>
        <w:tc>
          <w:tcPr>
            <w:tcW w:w="992" w:type="dxa"/>
            <w:gridSpan w:val="2"/>
            <w:tcMar>
              <w:left w:w="28" w:type="dxa"/>
              <w:right w:w="28" w:type="dxa"/>
            </w:tcMar>
          </w:tcPr>
          <w:p w14:paraId="781EA002"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12002-48-1</w:t>
            </w:r>
          </w:p>
        </w:tc>
        <w:tc>
          <w:tcPr>
            <w:tcW w:w="1134" w:type="dxa"/>
          </w:tcPr>
          <w:p w14:paraId="49ED6091"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234-413-4</w:t>
            </w:r>
          </w:p>
        </w:tc>
        <w:tc>
          <w:tcPr>
            <w:tcW w:w="1279" w:type="dxa"/>
            <w:gridSpan w:val="2"/>
            <w:tcMar>
              <w:left w:w="28" w:type="dxa"/>
              <w:right w:w="28" w:type="dxa"/>
            </w:tcMar>
          </w:tcPr>
          <w:p w14:paraId="329E6D9F"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 xml:space="preserve">0,4 </w:t>
            </w:r>
          </w:p>
        </w:tc>
        <w:tc>
          <w:tcPr>
            <w:tcW w:w="1279" w:type="dxa"/>
            <w:gridSpan w:val="2"/>
            <w:tcMar>
              <w:left w:w="28" w:type="dxa"/>
              <w:right w:w="28" w:type="dxa"/>
            </w:tcMar>
          </w:tcPr>
          <w:p w14:paraId="02E04987"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0,4</w:t>
            </w:r>
          </w:p>
        </w:tc>
        <w:tc>
          <w:tcPr>
            <w:tcW w:w="1278" w:type="dxa"/>
            <w:gridSpan w:val="2"/>
            <w:tcMar>
              <w:left w:w="28" w:type="dxa"/>
              <w:right w:w="28" w:type="dxa"/>
            </w:tcMar>
          </w:tcPr>
          <w:p w14:paraId="71716E92"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neuplatňuje sa</w:t>
            </w:r>
          </w:p>
        </w:tc>
        <w:tc>
          <w:tcPr>
            <w:tcW w:w="1277" w:type="dxa"/>
            <w:gridSpan w:val="2"/>
            <w:tcMar>
              <w:left w:w="28" w:type="dxa"/>
              <w:right w:w="28" w:type="dxa"/>
            </w:tcMar>
          </w:tcPr>
          <w:p w14:paraId="27ABCF87"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neuplatňuje sa</w:t>
            </w:r>
          </w:p>
        </w:tc>
        <w:tc>
          <w:tcPr>
            <w:tcW w:w="1136" w:type="dxa"/>
            <w:gridSpan w:val="2"/>
            <w:tcMar>
              <w:left w:w="28" w:type="dxa"/>
              <w:right w:w="28" w:type="dxa"/>
            </w:tcMar>
          </w:tcPr>
          <w:p w14:paraId="05453B99" w14:textId="77777777" w:rsidR="002709ED" w:rsidRDefault="002709ED">
            <w:pPr>
              <w:keepNext/>
              <w:keepLines/>
              <w:spacing w:before="40" w:after="40" w:line="360" w:lineRule="auto"/>
              <w:rPr>
                <w:noProof/>
                <w:sz w:val="22"/>
                <w:szCs w:val="24"/>
                <w:lang w:val="en-GB" w:eastAsia="en-US"/>
              </w:rPr>
            </w:pPr>
          </w:p>
        </w:tc>
        <w:tc>
          <w:tcPr>
            <w:tcW w:w="1262" w:type="dxa"/>
            <w:tcMar>
              <w:left w:w="28" w:type="dxa"/>
              <w:right w:w="28" w:type="dxa"/>
            </w:tcMar>
          </w:tcPr>
          <w:p w14:paraId="4C0C0FFC" w14:textId="77777777" w:rsidR="002709ED" w:rsidRDefault="002709ED">
            <w:pPr>
              <w:keepNext/>
              <w:keepLines/>
              <w:spacing w:before="40" w:after="40" w:line="360" w:lineRule="auto"/>
              <w:rPr>
                <w:noProof/>
                <w:sz w:val="22"/>
                <w:szCs w:val="24"/>
                <w:lang w:val="en-GB" w:eastAsia="en-US"/>
              </w:rPr>
            </w:pPr>
          </w:p>
        </w:tc>
        <w:tc>
          <w:tcPr>
            <w:tcW w:w="1153" w:type="dxa"/>
            <w:gridSpan w:val="2"/>
            <w:tcMar>
              <w:left w:w="28" w:type="dxa"/>
              <w:right w:w="28" w:type="dxa"/>
            </w:tcMar>
          </w:tcPr>
          <w:p w14:paraId="05CE0141" w14:textId="77777777" w:rsidR="002709ED" w:rsidRDefault="002709ED">
            <w:pPr>
              <w:keepNext/>
              <w:keepLines/>
              <w:spacing w:before="40" w:after="40" w:line="360" w:lineRule="auto"/>
              <w:rPr>
                <w:noProof/>
                <w:sz w:val="22"/>
                <w:szCs w:val="24"/>
                <w:lang w:val="en-GB" w:eastAsia="en-US"/>
              </w:rPr>
            </w:pPr>
          </w:p>
        </w:tc>
        <w:tc>
          <w:tcPr>
            <w:tcW w:w="970" w:type="dxa"/>
            <w:tcMar>
              <w:left w:w="28" w:type="dxa"/>
              <w:right w:w="28" w:type="dxa"/>
            </w:tcMar>
          </w:tcPr>
          <w:p w14:paraId="4B12D1C3" w14:textId="77777777" w:rsidR="002709ED" w:rsidRDefault="002709ED">
            <w:pPr>
              <w:keepNext/>
              <w:keepLines/>
              <w:spacing w:before="40" w:after="40" w:line="360" w:lineRule="auto"/>
              <w:rPr>
                <w:noProof/>
                <w:sz w:val="22"/>
                <w:szCs w:val="24"/>
                <w:lang w:val="en-GB" w:eastAsia="en-US"/>
              </w:rPr>
            </w:pPr>
          </w:p>
        </w:tc>
      </w:tr>
      <w:tr w:rsidR="002709ED" w14:paraId="24A9C0FA" w14:textId="77777777">
        <w:trPr>
          <w:gridBefore w:val="1"/>
          <w:wBefore w:w="12" w:type="dxa"/>
          <w:cantSplit/>
          <w:tblHeader/>
          <w:jc w:val="center"/>
        </w:trPr>
        <w:tc>
          <w:tcPr>
            <w:tcW w:w="651" w:type="dxa"/>
            <w:gridSpan w:val="3"/>
            <w:tcMar>
              <w:left w:w="28" w:type="dxa"/>
              <w:right w:w="28" w:type="dxa"/>
            </w:tcMar>
          </w:tcPr>
          <w:p w14:paraId="7B629C92"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(32)</w:t>
            </w:r>
          </w:p>
        </w:tc>
        <w:tc>
          <w:tcPr>
            <w:tcW w:w="2286" w:type="dxa"/>
            <w:gridSpan w:val="3"/>
            <w:tcMar>
              <w:left w:w="28" w:type="dxa"/>
              <w:right w:w="28" w:type="dxa"/>
            </w:tcMar>
          </w:tcPr>
          <w:p w14:paraId="111D93FD"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trichlórmetán</w:t>
            </w:r>
          </w:p>
        </w:tc>
        <w:tc>
          <w:tcPr>
            <w:tcW w:w="1329" w:type="dxa"/>
            <w:gridSpan w:val="3"/>
            <w:tcMar>
              <w:left w:w="28" w:type="dxa"/>
              <w:right w:w="28" w:type="dxa"/>
            </w:tcMar>
          </w:tcPr>
          <w:p w14:paraId="36C309A2"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priemyselné látky</w:t>
            </w:r>
          </w:p>
        </w:tc>
        <w:tc>
          <w:tcPr>
            <w:tcW w:w="992" w:type="dxa"/>
            <w:gridSpan w:val="2"/>
            <w:tcMar>
              <w:left w:w="28" w:type="dxa"/>
              <w:right w:w="28" w:type="dxa"/>
            </w:tcMar>
          </w:tcPr>
          <w:p w14:paraId="73555295"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67-66-3</w:t>
            </w:r>
          </w:p>
        </w:tc>
        <w:tc>
          <w:tcPr>
            <w:tcW w:w="1134" w:type="dxa"/>
          </w:tcPr>
          <w:p w14:paraId="2B4E09F4"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200-663-8</w:t>
            </w:r>
          </w:p>
        </w:tc>
        <w:tc>
          <w:tcPr>
            <w:tcW w:w="1279" w:type="dxa"/>
            <w:gridSpan w:val="2"/>
            <w:tcMar>
              <w:left w:w="28" w:type="dxa"/>
              <w:right w:w="28" w:type="dxa"/>
            </w:tcMar>
          </w:tcPr>
          <w:p w14:paraId="6BE097CD"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 xml:space="preserve">2,5 </w:t>
            </w:r>
          </w:p>
        </w:tc>
        <w:tc>
          <w:tcPr>
            <w:tcW w:w="1279" w:type="dxa"/>
            <w:gridSpan w:val="2"/>
            <w:tcMar>
              <w:left w:w="28" w:type="dxa"/>
              <w:right w:w="28" w:type="dxa"/>
            </w:tcMar>
          </w:tcPr>
          <w:p w14:paraId="222C7C39"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 xml:space="preserve">2,5 </w:t>
            </w:r>
          </w:p>
        </w:tc>
        <w:tc>
          <w:tcPr>
            <w:tcW w:w="1278" w:type="dxa"/>
            <w:gridSpan w:val="2"/>
            <w:tcMar>
              <w:left w:w="28" w:type="dxa"/>
              <w:right w:w="28" w:type="dxa"/>
            </w:tcMar>
          </w:tcPr>
          <w:p w14:paraId="1FA66E27"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neuplatňuje sa</w:t>
            </w:r>
          </w:p>
        </w:tc>
        <w:tc>
          <w:tcPr>
            <w:tcW w:w="1277" w:type="dxa"/>
            <w:gridSpan w:val="2"/>
            <w:tcMar>
              <w:left w:w="28" w:type="dxa"/>
              <w:right w:w="28" w:type="dxa"/>
            </w:tcMar>
          </w:tcPr>
          <w:p w14:paraId="4EDC80AB"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neuplatňuje sa</w:t>
            </w:r>
          </w:p>
        </w:tc>
        <w:tc>
          <w:tcPr>
            <w:tcW w:w="1136" w:type="dxa"/>
            <w:gridSpan w:val="2"/>
            <w:tcMar>
              <w:left w:w="28" w:type="dxa"/>
              <w:right w:w="28" w:type="dxa"/>
            </w:tcMar>
          </w:tcPr>
          <w:p w14:paraId="7C410A4B" w14:textId="77777777" w:rsidR="002709ED" w:rsidRDefault="002709ED">
            <w:pPr>
              <w:keepNext/>
              <w:keepLines/>
              <w:spacing w:before="40" w:after="40" w:line="360" w:lineRule="auto"/>
              <w:rPr>
                <w:noProof/>
                <w:sz w:val="22"/>
                <w:szCs w:val="24"/>
                <w:lang w:val="en-GB" w:eastAsia="en-US"/>
              </w:rPr>
            </w:pPr>
          </w:p>
        </w:tc>
        <w:tc>
          <w:tcPr>
            <w:tcW w:w="1262" w:type="dxa"/>
            <w:tcMar>
              <w:left w:w="28" w:type="dxa"/>
              <w:right w:w="28" w:type="dxa"/>
            </w:tcMar>
          </w:tcPr>
          <w:p w14:paraId="6634C7D8" w14:textId="77777777" w:rsidR="002709ED" w:rsidRDefault="002709ED">
            <w:pPr>
              <w:keepNext/>
              <w:keepLines/>
              <w:spacing w:before="40" w:after="40" w:line="360" w:lineRule="auto"/>
              <w:rPr>
                <w:noProof/>
                <w:sz w:val="22"/>
                <w:szCs w:val="24"/>
                <w:lang w:val="en-GB" w:eastAsia="en-US"/>
              </w:rPr>
            </w:pPr>
          </w:p>
        </w:tc>
        <w:tc>
          <w:tcPr>
            <w:tcW w:w="1153" w:type="dxa"/>
            <w:gridSpan w:val="2"/>
            <w:tcMar>
              <w:left w:w="28" w:type="dxa"/>
              <w:right w:w="28" w:type="dxa"/>
            </w:tcMar>
          </w:tcPr>
          <w:p w14:paraId="11E39931" w14:textId="77777777" w:rsidR="002709ED" w:rsidRDefault="002709ED">
            <w:pPr>
              <w:keepNext/>
              <w:keepLines/>
              <w:spacing w:before="40" w:after="40" w:line="360" w:lineRule="auto"/>
              <w:rPr>
                <w:noProof/>
                <w:sz w:val="22"/>
                <w:szCs w:val="24"/>
                <w:lang w:val="en-GB" w:eastAsia="en-US"/>
              </w:rPr>
            </w:pPr>
          </w:p>
        </w:tc>
        <w:tc>
          <w:tcPr>
            <w:tcW w:w="970" w:type="dxa"/>
            <w:tcMar>
              <w:left w:w="28" w:type="dxa"/>
              <w:right w:w="28" w:type="dxa"/>
            </w:tcMar>
          </w:tcPr>
          <w:p w14:paraId="6378999B" w14:textId="77777777" w:rsidR="002709ED" w:rsidRDefault="002709ED">
            <w:pPr>
              <w:keepNext/>
              <w:keepLines/>
              <w:spacing w:before="40" w:after="40" w:line="360" w:lineRule="auto"/>
              <w:rPr>
                <w:noProof/>
                <w:sz w:val="22"/>
                <w:szCs w:val="24"/>
                <w:lang w:val="en-GB" w:eastAsia="en-US"/>
              </w:rPr>
            </w:pPr>
          </w:p>
        </w:tc>
      </w:tr>
      <w:tr w:rsidR="002709ED" w14:paraId="0932AA6E" w14:textId="77777777">
        <w:trPr>
          <w:gridBefore w:val="1"/>
          <w:wBefore w:w="12" w:type="dxa"/>
          <w:cantSplit/>
          <w:tblHeader/>
          <w:jc w:val="center"/>
        </w:trPr>
        <w:tc>
          <w:tcPr>
            <w:tcW w:w="651" w:type="dxa"/>
            <w:gridSpan w:val="3"/>
            <w:tcMar>
              <w:left w:w="28" w:type="dxa"/>
              <w:right w:w="28" w:type="dxa"/>
            </w:tcMar>
          </w:tcPr>
          <w:p w14:paraId="1F5CFF5A"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(33)</w:t>
            </w:r>
          </w:p>
        </w:tc>
        <w:tc>
          <w:tcPr>
            <w:tcW w:w="2286" w:type="dxa"/>
            <w:gridSpan w:val="3"/>
            <w:tcMar>
              <w:left w:w="28" w:type="dxa"/>
              <w:right w:w="28" w:type="dxa"/>
            </w:tcMar>
          </w:tcPr>
          <w:p w14:paraId="4DBCF2F1"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trifluralín</w:t>
            </w:r>
          </w:p>
        </w:tc>
        <w:tc>
          <w:tcPr>
            <w:tcW w:w="1329" w:type="dxa"/>
            <w:gridSpan w:val="3"/>
            <w:tcMar>
              <w:left w:w="28" w:type="dxa"/>
              <w:right w:w="28" w:type="dxa"/>
            </w:tcMar>
          </w:tcPr>
          <w:p w14:paraId="64C0D9D2"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herbicídy</w:t>
            </w:r>
          </w:p>
        </w:tc>
        <w:tc>
          <w:tcPr>
            <w:tcW w:w="992" w:type="dxa"/>
            <w:gridSpan w:val="2"/>
            <w:tcMar>
              <w:left w:w="28" w:type="dxa"/>
              <w:right w:w="28" w:type="dxa"/>
            </w:tcMar>
          </w:tcPr>
          <w:p w14:paraId="55713810"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1582-09-8</w:t>
            </w:r>
          </w:p>
        </w:tc>
        <w:tc>
          <w:tcPr>
            <w:tcW w:w="1134" w:type="dxa"/>
          </w:tcPr>
          <w:p w14:paraId="7380916E"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216-428-8</w:t>
            </w:r>
          </w:p>
        </w:tc>
        <w:tc>
          <w:tcPr>
            <w:tcW w:w="1279" w:type="dxa"/>
            <w:gridSpan w:val="2"/>
            <w:tcMar>
              <w:left w:w="28" w:type="dxa"/>
              <w:right w:w="28" w:type="dxa"/>
            </w:tcMar>
          </w:tcPr>
          <w:p w14:paraId="26581E13"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0,03</w:t>
            </w:r>
          </w:p>
        </w:tc>
        <w:tc>
          <w:tcPr>
            <w:tcW w:w="1279" w:type="dxa"/>
            <w:gridSpan w:val="2"/>
            <w:tcMar>
              <w:left w:w="28" w:type="dxa"/>
              <w:right w:w="28" w:type="dxa"/>
            </w:tcMar>
          </w:tcPr>
          <w:p w14:paraId="1D869526"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0,03</w:t>
            </w:r>
          </w:p>
        </w:tc>
        <w:tc>
          <w:tcPr>
            <w:tcW w:w="1278" w:type="dxa"/>
            <w:gridSpan w:val="2"/>
            <w:tcMar>
              <w:left w:w="28" w:type="dxa"/>
              <w:right w:w="28" w:type="dxa"/>
            </w:tcMar>
          </w:tcPr>
          <w:p w14:paraId="4F1488E7"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neuplatňuje sa</w:t>
            </w:r>
          </w:p>
        </w:tc>
        <w:tc>
          <w:tcPr>
            <w:tcW w:w="1277" w:type="dxa"/>
            <w:gridSpan w:val="2"/>
            <w:tcMar>
              <w:left w:w="28" w:type="dxa"/>
              <w:right w:w="28" w:type="dxa"/>
            </w:tcMar>
          </w:tcPr>
          <w:p w14:paraId="61D4E54D"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neuplatňuje sa</w:t>
            </w:r>
          </w:p>
        </w:tc>
        <w:tc>
          <w:tcPr>
            <w:tcW w:w="1136" w:type="dxa"/>
            <w:gridSpan w:val="2"/>
            <w:tcMar>
              <w:left w:w="28" w:type="dxa"/>
              <w:right w:w="28" w:type="dxa"/>
            </w:tcMar>
          </w:tcPr>
          <w:p w14:paraId="3F6D9D94" w14:textId="77777777" w:rsidR="002709ED" w:rsidRDefault="002709ED">
            <w:pPr>
              <w:keepNext/>
              <w:keepLines/>
              <w:spacing w:before="40" w:after="40" w:line="360" w:lineRule="auto"/>
              <w:rPr>
                <w:noProof/>
                <w:sz w:val="22"/>
                <w:szCs w:val="24"/>
                <w:lang w:val="en-GB" w:eastAsia="en-US"/>
              </w:rPr>
            </w:pPr>
          </w:p>
        </w:tc>
        <w:tc>
          <w:tcPr>
            <w:tcW w:w="1262" w:type="dxa"/>
            <w:tcMar>
              <w:left w:w="28" w:type="dxa"/>
              <w:right w:w="28" w:type="dxa"/>
            </w:tcMar>
          </w:tcPr>
          <w:p w14:paraId="6B43121A"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X</w:t>
            </w:r>
          </w:p>
        </w:tc>
        <w:tc>
          <w:tcPr>
            <w:tcW w:w="1153" w:type="dxa"/>
            <w:gridSpan w:val="2"/>
            <w:tcMar>
              <w:left w:w="28" w:type="dxa"/>
              <w:right w:w="28" w:type="dxa"/>
            </w:tcMar>
          </w:tcPr>
          <w:p w14:paraId="071A5966" w14:textId="77777777" w:rsidR="002709ED" w:rsidRDefault="002709ED">
            <w:pPr>
              <w:keepNext/>
              <w:keepLines/>
              <w:spacing w:before="40" w:after="40" w:line="360" w:lineRule="auto"/>
              <w:rPr>
                <w:noProof/>
                <w:sz w:val="22"/>
                <w:szCs w:val="24"/>
                <w:lang w:val="en-GB" w:eastAsia="en-US"/>
              </w:rPr>
            </w:pPr>
          </w:p>
        </w:tc>
        <w:tc>
          <w:tcPr>
            <w:tcW w:w="970" w:type="dxa"/>
            <w:tcMar>
              <w:left w:w="28" w:type="dxa"/>
              <w:right w:w="28" w:type="dxa"/>
            </w:tcMar>
          </w:tcPr>
          <w:p w14:paraId="18E44B8A" w14:textId="77777777" w:rsidR="002709ED" w:rsidRDefault="002709ED">
            <w:pPr>
              <w:keepNext/>
              <w:keepLines/>
              <w:spacing w:before="40" w:after="40" w:line="360" w:lineRule="auto"/>
              <w:rPr>
                <w:noProof/>
                <w:sz w:val="22"/>
                <w:szCs w:val="24"/>
                <w:lang w:val="en-GB" w:eastAsia="en-US"/>
              </w:rPr>
            </w:pPr>
          </w:p>
        </w:tc>
      </w:tr>
      <w:tr w:rsidR="002709ED" w14:paraId="6B3E66B1" w14:textId="77777777">
        <w:trPr>
          <w:gridBefore w:val="1"/>
          <w:wBefore w:w="12" w:type="dxa"/>
          <w:cantSplit/>
          <w:tblHeader/>
          <w:jc w:val="center"/>
        </w:trPr>
        <w:tc>
          <w:tcPr>
            <w:tcW w:w="651" w:type="dxa"/>
            <w:gridSpan w:val="3"/>
            <w:tcMar>
              <w:left w:w="28" w:type="dxa"/>
              <w:right w:w="28" w:type="dxa"/>
            </w:tcMar>
          </w:tcPr>
          <w:p w14:paraId="77C0E166"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(34)</w:t>
            </w:r>
          </w:p>
        </w:tc>
        <w:tc>
          <w:tcPr>
            <w:tcW w:w="2286" w:type="dxa"/>
            <w:gridSpan w:val="3"/>
            <w:tcMar>
              <w:left w:w="28" w:type="dxa"/>
              <w:right w:w="28" w:type="dxa"/>
            </w:tcMar>
          </w:tcPr>
          <w:p w14:paraId="3D940309"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dikofol</w:t>
            </w:r>
          </w:p>
        </w:tc>
        <w:tc>
          <w:tcPr>
            <w:tcW w:w="1329" w:type="dxa"/>
            <w:gridSpan w:val="3"/>
            <w:tcMar>
              <w:left w:w="28" w:type="dxa"/>
              <w:right w:w="28" w:type="dxa"/>
            </w:tcMar>
          </w:tcPr>
          <w:p w14:paraId="72454935"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organochlórové pesticídy</w:t>
            </w:r>
          </w:p>
        </w:tc>
        <w:tc>
          <w:tcPr>
            <w:tcW w:w="992" w:type="dxa"/>
            <w:gridSpan w:val="2"/>
            <w:tcMar>
              <w:left w:w="28" w:type="dxa"/>
              <w:right w:w="28" w:type="dxa"/>
            </w:tcMar>
          </w:tcPr>
          <w:p w14:paraId="67166765"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115-32-2</w:t>
            </w:r>
          </w:p>
        </w:tc>
        <w:tc>
          <w:tcPr>
            <w:tcW w:w="1134" w:type="dxa"/>
          </w:tcPr>
          <w:p w14:paraId="61897252" w14:textId="77777777" w:rsidR="002709ED" w:rsidRDefault="00B2757B">
            <w:pPr>
              <w:keepNext/>
              <w:keepLines/>
              <w:spacing w:before="40" w:after="40" w:line="360" w:lineRule="auto"/>
              <w:rPr>
                <w:strike/>
                <w:noProof/>
                <w:sz w:val="22"/>
                <w:szCs w:val="24"/>
                <w:lang w:val="en-GB" w:eastAsia="en-US"/>
              </w:rPr>
            </w:pPr>
            <w:r>
              <w:rPr>
                <w:noProof/>
                <w:sz w:val="22"/>
                <w:szCs w:val="24"/>
                <w:lang w:val="en-GB" w:eastAsia="en-US"/>
              </w:rPr>
              <w:t>204-082-0</w:t>
            </w:r>
          </w:p>
        </w:tc>
        <w:tc>
          <w:tcPr>
            <w:tcW w:w="1279" w:type="dxa"/>
            <w:gridSpan w:val="2"/>
            <w:tcMar>
              <w:left w:w="28" w:type="dxa"/>
              <w:right w:w="28" w:type="dxa"/>
            </w:tcMar>
          </w:tcPr>
          <w:p w14:paraId="70F38B74" w14:textId="77777777" w:rsidR="002709ED" w:rsidRDefault="00B2757B">
            <w:pPr>
              <w:keepNext/>
              <w:keepLines/>
              <w:spacing w:before="40" w:after="40" w:line="360" w:lineRule="auto"/>
              <w:rPr>
                <w:noProof/>
                <w:sz w:val="22"/>
                <w:szCs w:val="24"/>
                <w:vertAlign w:val="superscript"/>
                <w:lang w:val="en-GB" w:eastAsia="en-US"/>
              </w:rPr>
            </w:pPr>
            <w:r>
              <w:rPr>
                <w:noProof/>
                <w:sz w:val="22"/>
                <w:szCs w:val="24"/>
                <w:lang w:val="en-GB" w:eastAsia="en-US"/>
              </w:rPr>
              <w:t>[4,45 × 10</w:t>
            </w:r>
            <w:r>
              <w:rPr>
                <w:noProof/>
                <w:sz w:val="22"/>
                <w:szCs w:val="24"/>
                <w:vertAlign w:val="superscript"/>
                <w:lang w:val="en-GB" w:eastAsia="en-US"/>
              </w:rPr>
              <w:t>-3</w:t>
            </w:r>
            <w:r>
              <w:rPr>
                <w:noProof/>
                <w:sz w:val="22"/>
                <w:szCs w:val="24"/>
                <w:lang w:val="en-GB" w:eastAsia="en-US"/>
              </w:rPr>
              <w:t>]</w:t>
            </w:r>
          </w:p>
        </w:tc>
        <w:tc>
          <w:tcPr>
            <w:tcW w:w="1279" w:type="dxa"/>
            <w:gridSpan w:val="2"/>
            <w:tcMar>
              <w:left w:w="28" w:type="dxa"/>
              <w:right w:w="28" w:type="dxa"/>
            </w:tcMar>
          </w:tcPr>
          <w:p w14:paraId="4A39CEE9"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[0,185 × 10</w:t>
            </w:r>
            <w:r>
              <w:rPr>
                <w:noProof/>
                <w:sz w:val="22"/>
                <w:szCs w:val="24"/>
                <w:vertAlign w:val="superscript"/>
                <w:lang w:val="en-GB" w:eastAsia="en-US"/>
              </w:rPr>
              <w:t>-3</w:t>
            </w:r>
            <w:r>
              <w:rPr>
                <w:noProof/>
                <w:sz w:val="22"/>
                <w:szCs w:val="24"/>
                <w:lang w:val="en-GB" w:eastAsia="en-US"/>
              </w:rPr>
              <w:t>]</w:t>
            </w:r>
          </w:p>
        </w:tc>
        <w:tc>
          <w:tcPr>
            <w:tcW w:w="1278" w:type="dxa"/>
            <w:gridSpan w:val="2"/>
            <w:tcMar>
              <w:left w:w="28" w:type="dxa"/>
              <w:right w:w="28" w:type="dxa"/>
            </w:tcMar>
          </w:tcPr>
          <w:p w14:paraId="26C39E88" w14:textId="77777777" w:rsidR="002709ED" w:rsidRDefault="00B2757B">
            <w:pPr>
              <w:keepNext/>
              <w:keepLines/>
              <w:spacing w:before="40" w:after="40" w:line="360" w:lineRule="auto"/>
              <w:rPr>
                <w:noProof/>
                <w:sz w:val="22"/>
                <w:szCs w:val="24"/>
                <w:vertAlign w:val="superscript"/>
                <w:lang w:val="en-GB" w:eastAsia="en-US"/>
              </w:rPr>
            </w:pPr>
            <w:r>
              <w:rPr>
                <w:noProof/>
                <w:sz w:val="22"/>
                <w:szCs w:val="24"/>
                <w:lang w:val="en-GB" w:eastAsia="en-US"/>
              </w:rPr>
              <w:t xml:space="preserve">neuplatňuje sa </w:t>
            </w:r>
            <w:bookmarkStart w:id="37" w:name="_DV_M308"/>
            <w:bookmarkStart w:id="38" w:name="_Ref101447957"/>
            <w:bookmarkEnd w:id="37"/>
            <w:r>
              <w:rPr>
                <w:noProof/>
                <w:sz w:val="22"/>
                <w:szCs w:val="24"/>
                <w:lang w:val="en-GB" w:eastAsia="en-US"/>
              </w:rPr>
              <w:t>(</w:t>
            </w:r>
            <w:r>
              <w:rPr>
                <w:noProof/>
                <w:sz w:val="22"/>
                <w:szCs w:val="24"/>
                <w:vertAlign w:val="superscript"/>
                <w:lang w:val="en-GB" w:eastAsia="en-US"/>
              </w:rPr>
              <w:t>20</w:t>
            </w:r>
            <w:r>
              <w:rPr>
                <w:noProof/>
                <w:sz w:val="22"/>
                <w:szCs w:val="24"/>
                <w:lang w:val="en-GB" w:eastAsia="en-US"/>
              </w:rPr>
              <w:t>)</w:t>
            </w:r>
            <w:bookmarkEnd w:id="38"/>
          </w:p>
        </w:tc>
        <w:tc>
          <w:tcPr>
            <w:tcW w:w="1277" w:type="dxa"/>
            <w:gridSpan w:val="2"/>
            <w:tcMar>
              <w:left w:w="28" w:type="dxa"/>
              <w:right w:w="28" w:type="dxa"/>
            </w:tcMar>
          </w:tcPr>
          <w:p w14:paraId="39A591BC" w14:textId="77777777" w:rsidR="002709ED" w:rsidRDefault="00B2757B">
            <w:pPr>
              <w:keepNext/>
              <w:keepLines/>
              <w:spacing w:before="40" w:after="40" w:line="360" w:lineRule="auto"/>
              <w:rPr>
                <w:noProof/>
                <w:sz w:val="22"/>
                <w:szCs w:val="24"/>
                <w:vertAlign w:val="superscript"/>
                <w:lang w:val="en-GB" w:eastAsia="en-US"/>
              </w:rPr>
            </w:pPr>
            <w:r>
              <w:rPr>
                <w:noProof/>
                <w:sz w:val="22"/>
                <w:szCs w:val="24"/>
                <w:lang w:val="en-GB" w:eastAsia="en-US"/>
              </w:rPr>
              <w:t>neuplatňuje sa (</w:t>
            </w:r>
            <w:r>
              <w:rPr>
                <w:noProof/>
                <w:sz w:val="22"/>
                <w:szCs w:val="24"/>
                <w:vertAlign w:val="superscript"/>
                <w:lang w:val="en-GB" w:eastAsia="en-US"/>
              </w:rPr>
              <w:t>20</w:t>
            </w:r>
            <w:r>
              <w:rPr>
                <w:noProof/>
                <w:sz w:val="22"/>
                <w:szCs w:val="24"/>
                <w:lang w:val="en-GB" w:eastAsia="en-US"/>
              </w:rPr>
              <w:t>)</w:t>
            </w:r>
            <w:bookmarkStart w:id="39" w:name="_DV_M309"/>
            <w:bookmarkEnd w:id="39"/>
          </w:p>
        </w:tc>
        <w:tc>
          <w:tcPr>
            <w:tcW w:w="1136" w:type="dxa"/>
            <w:gridSpan w:val="2"/>
            <w:tcMar>
              <w:left w:w="28" w:type="dxa"/>
              <w:right w:w="28" w:type="dxa"/>
            </w:tcMar>
          </w:tcPr>
          <w:p w14:paraId="1FD4BA55"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[5.45]</w:t>
            </w:r>
          </w:p>
        </w:tc>
        <w:tc>
          <w:tcPr>
            <w:tcW w:w="1262" w:type="dxa"/>
            <w:tcMar>
              <w:left w:w="28" w:type="dxa"/>
              <w:right w:w="28" w:type="dxa"/>
            </w:tcMar>
          </w:tcPr>
          <w:p w14:paraId="3EFD0AF9"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X</w:t>
            </w:r>
          </w:p>
        </w:tc>
        <w:tc>
          <w:tcPr>
            <w:tcW w:w="1153" w:type="dxa"/>
            <w:gridSpan w:val="2"/>
            <w:tcMar>
              <w:left w:w="28" w:type="dxa"/>
              <w:right w:w="28" w:type="dxa"/>
            </w:tcMar>
          </w:tcPr>
          <w:p w14:paraId="0C9ABFDD" w14:textId="77777777" w:rsidR="002709ED" w:rsidRDefault="002709ED">
            <w:pPr>
              <w:keepNext/>
              <w:keepLines/>
              <w:spacing w:before="40" w:after="40" w:line="360" w:lineRule="auto"/>
              <w:rPr>
                <w:noProof/>
                <w:sz w:val="22"/>
                <w:szCs w:val="24"/>
                <w:lang w:val="en-GB" w:eastAsia="en-US"/>
              </w:rPr>
            </w:pPr>
          </w:p>
        </w:tc>
        <w:tc>
          <w:tcPr>
            <w:tcW w:w="970" w:type="dxa"/>
            <w:tcMar>
              <w:left w:w="28" w:type="dxa"/>
              <w:right w:w="28" w:type="dxa"/>
            </w:tcMar>
          </w:tcPr>
          <w:p w14:paraId="27BF26C0"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X</w:t>
            </w:r>
          </w:p>
        </w:tc>
      </w:tr>
      <w:tr w:rsidR="002709ED" w14:paraId="69D46E70" w14:textId="77777777">
        <w:trPr>
          <w:gridBefore w:val="1"/>
          <w:wBefore w:w="12" w:type="dxa"/>
          <w:cantSplit/>
          <w:tblHeader/>
          <w:jc w:val="center"/>
        </w:trPr>
        <w:tc>
          <w:tcPr>
            <w:tcW w:w="651" w:type="dxa"/>
            <w:gridSpan w:val="3"/>
            <w:tcMar>
              <w:left w:w="28" w:type="dxa"/>
              <w:right w:w="28" w:type="dxa"/>
            </w:tcMar>
          </w:tcPr>
          <w:p w14:paraId="53F6976D"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(35)</w:t>
            </w:r>
          </w:p>
        </w:tc>
        <w:tc>
          <w:tcPr>
            <w:tcW w:w="2286" w:type="dxa"/>
            <w:gridSpan w:val="3"/>
            <w:tcMar>
              <w:left w:w="28" w:type="dxa"/>
              <w:right w:w="28" w:type="dxa"/>
            </w:tcMar>
          </w:tcPr>
          <w:p w14:paraId="361C05A4" w14:textId="77777777" w:rsidR="002709ED" w:rsidRDefault="00B2757B">
            <w:pPr>
              <w:keepNext/>
              <w:keepLines/>
              <w:pageBreakBefore/>
              <w:spacing w:before="40" w:after="40" w:line="360" w:lineRule="auto"/>
              <w:rPr>
                <w:noProof/>
                <w:sz w:val="22"/>
                <w:szCs w:val="24"/>
                <w:lang w:val="en-GB" w:eastAsia="en-US"/>
              </w:rPr>
            </w:pPr>
            <w:r>
              <w:rPr>
                <w:noProof/>
                <w:sz w:val="22"/>
                <w:szCs w:val="24"/>
                <w:lang w:val="en-GB" w:eastAsia="en-US"/>
              </w:rPr>
              <w:t>kyselina perfluóroktánsulfónová a jej deriváty (PFOS)</w:t>
            </w:r>
          </w:p>
        </w:tc>
        <w:tc>
          <w:tcPr>
            <w:tcW w:w="1329" w:type="dxa"/>
            <w:gridSpan w:val="3"/>
            <w:tcMar>
              <w:left w:w="28" w:type="dxa"/>
              <w:right w:w="28" w:type="dxa"/>
            </w:tcMar>
          </w:tcPr>
          <w:p w14:paraId="6C1144A2"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priemyselné látky</w:t>
            </w:r>
          </w:p>
        </w:tc>
        <w:tc>
          <w:tcPr>
            <w:tcW w:w="992" w:type="dxa"/>
            <w:gridSpan w:val="2"/>
            <w:tcMar>
              <w:left w:w="28" w:type="dxa"/>
              <w:right w:w="28" w:type="dxa"/>
            </w:tcMar>
          </w:tcPr>
          <w:p w14:paraId="6D82F5CE"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1763-23-1</w:t>
            </w:r>
          </w:p>
        </w:tc>
        <w:tc>
          <w:tcPr>
            <w:tcW w:w="1134" w:type="dxa"/>
          </w:tcPr>
          <w:p w14:paraId="541CE2E2"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217-179-8</w:t>
            </w:r>
          </w:p>
        </w:tc>
        <w:tc>
          <w:tcPr>
            <w:tcW w:w="9634" w:type="dxa"/>
            <w:gridSpan w:val="14"/>
            <w:tcMar>
              <w:left w:w="28" w:type="dxa"/>
              <w:right w:w="28" w:type="dxa"/>
            </w:tcMar>
          </w:tcPr>
          <w:p w14:paraId="7338EC76"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Patrí do skupiny látok 65 [</w:t>
            </w:r>
            <w:r>
              <w:rPr>
                <w:noProof/>
                <w:color w:val="000000"/>
                <w:sz w:val="22"/>
                <w:szCs w:val="24"/>
                <w:lang w:val="en-GB" w:eastAsia="en-US"/>
              </w:rPr>
              <w:t>perfluórované a polyfluórované alkylované látky (PFAS) – súčet 24</w:t>
            </w:r>
            <w:r>
              <w:rPr>
                <w:noProof/>
                <w:sz w:val="22"/>
                <w:szCs w:val="24"/>
                <w:lang w:val="en-GB" w:eastAsia="en-US"/>
              </w:rPr>
              <w:t>].</w:t>
            </w:r>
          </w:p>
        </w:tc>
      </w:tr>
      <w:tr w:rsidR="002709ED" w14:paraId="19DD3B59" w14:textId="77777777">
        <w:trPr>
          <w:gridBefore w:val="1"/>
          <w:wBefore w:w="12" w:type="dxa"/>
          <w:cantSplit/>
          <w:tblHeader/>
          <w:jc w:val="center"/>
        </w:trPr>
        <w:tc>
          <w:tcPr>
            <w:tcW w:w="651" w:type="dxa"/>
            <w:gridSpan w:val="3"/>
            <w:tcMar>
              <w:left w:w="28" w:type="dxa"/>
              <w:right w:w="28" w:type="dxa"/>
            </w:tcMar>
          </w:tcPr>
          <w:p w14:paraId="159DBD65"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(36)</w:t>
            </w:r>
          </w:p>
        </w:tc>
        <w:tc>
          <w:tcPr>
            <w:tcW w:w="2286" w:type="dxa"/>
            <w:gridSpan w:val="3"/>
            <w:tcMar>
              <w:left w:w="28" w:type="dxa"/>
              <w:right w:w="28" w:type="dxa"/>
            </w:tcMar>
          </w:tcPr>
          <w:p w14:paraId="5F778516" w14:textId="77777777" w:rsidR="002709ED" w:rsidRDefault="00B2757B">
            <w:pPr>
              <w:keepNext/>
              <w:keepLines/>
              <w:pageBreakBefore/>
              <w:spacing w:before="40" w:after="40" w:line="360" w:lineRule="auto"/>
              <w:rPr>
                <w:noProof/>
                <w:sz w:val="22"/>
                <w:szCs w:val="24"/>
                <w:lang w:val="en-GB" w:eastAsia="en-US"/>
              </w:rPr>
            </w:pPr>
            <w:r>
              <w:rPr>
                <w:noProof/>
                <w:sz w:val="22"/>
                <w:szCs w:val="24"/>
                <w:lang w:val="en-GB" w:eastAsia="en-US"/>
              </w:rPr>
              <w:t>chinoxyfén</w:t>
            </w:r>
          </w:p>
        </w:tc>
        <w:tc>
          <w:tcPr>
            <w:tcW w:w="1329" w:type="dxa"/>
            <w:gridSpan w:val="3"/>
            <w:tcMar>
              <w:left w:w="28" w:type="dxa"/>
              <w:right w:w="28" w:type="dxa"/>
            </w:tcMar>
          </w:tcPr>
          <w:p w14:paraId="07397C14"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prípravky na ochranu rastlín</w:t>
            </w:r>
          </w:p>
        </w:tc>
        <w:tc>
          <w:tcPr>
            <w:tcW w:w="992" w:type="dxa"/>
            <w:gridSpan w:val="2"/>
            <w:tcMar>
              <w:left w:w="28" w:type="dxa"/>
              <w:right w:w="28" w:type="dxa"/>
            </w:tcMar>
          </w:tcPr>
          <w:p w14:paraId="4359D200"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124495-18-7</w:t>
            </w:r>
          </w:p>
        </w:tc>
        <w:tc>
          <w:tcPr>
            <w:tcW w:w="1134" w:type="dxa"/>
          </w:tcPr>
          <w:p w14:paraId="67DA0F75"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neuplatňuje sa</w:t>
            </w:r>
          </w:p>
        </w:tc>
        <w:tc>
          <w:tcPr>
            <w:tcW w:w="1279" w:type="dxa"/>
            <w:gridSpan w:val="2"/>
            <w:tcMar>
              <w:left w:w="28" w:type="dxa"/>
              <w:right w:w="28" w:type="dxa"/>
            </w:tcMar>
          </w:tcPr>
          <w:p w14:paraId="338FE3F4"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0,15</w:t>
            </w:r>
          </w:p>
        </w:tc>
        <w:tc>
          <w:tcPr>
            <w:tcW w:w="1279" w:type="dxa"/>
            <w:gridSpan w:val="2"/>
            <w:tcMar>
              <w:left w:w="28" w:type="dxa"/>
              <w:right w:w="28" w:type="dxa"/>
            </w:tcMar>
          </w:tcPr>
          <w:p w14:paraId="3228E96C"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0,015</w:t>
            </w:r>
          </w:p>
        </w:tc>
        <w:tc>
          <w:tcPr>
            <w:tcW w:w="1278" w:type="dxa"/>
            <w:gridSpan w:val="2"/>
            <w:tcMar>
              <w:left w:w="28" w:type="dxa"/>
              <w:right w:w="28" w:type="dxa"/>
            </w:tcMar>
          </w:tcPr>
          <w:p w14:paraId="668FAFA5"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2,7</w:t>
            </w:r>
          </w:p>
        </w:tc>
        <w:tc>
          <w:tcPr>
            <w:tcW w:w="1277" w:type="dxa"/>
            <w:gridSpan w:val="2"/>
            <w:tcMar>
              <w:left w:w="28" w:type="dxa"/>
              <w:right w:w="28" w:type="dxa"/>
            </w:tcMar>
          </w:tcPr>
          <w:p w14:paraId="31523DDC"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0,54</w:t>
            </w:r>
          </w:p>
        </w:tc>
        <w:tc>
          <w:tcPr>
            <w:tcW w:w="1136" w:type="dxa"/>
            <w:gridSpan w:val="2"/>
            <w:tcMar>
              <w:left w:w="28" w:type="dxa"/>
              <w:right w:w="28" w:type="dxa"/>
            </w:tcMar>
          </w:tcPr>
          <w:p w14:paraId="3B1BF07F" w14:textId="77777777" w:rsidR="002709ED" w:rsidRDefault="002709ED">
            <w:pPr>
              <w:keepNext/>
              <w:keepLines/>
              <w:spacing w:before="40" w:after="40" w:line="360" w:lineRule="auto"/>
              <w:rPr>
                <w:noProof/>
                <w:sz w:val="22"/>
                <w:szCs w:val="24"/>
                <w:lang w:val="en-GB" w:eastAsia="en-US"/>
              </w:rPr>
            </w:pPr>
          </w:p>
        </w:tc>
        <w:tc>
          <w:tcPr>
            <w:tcW w:w="1262" w:type="dxa"/>
            <w:tcMar>
              <w:left w:w="28" w:type="dxa"/>
              <w:right w:w="28" w:type="dxa"/>
            </w:tcMar>
          </w:tcPr>
          <w:p w14:paraId="39E60E3B"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X</w:t>
            </w:r>
          </w:p>
        </w:tc>
        <w:tc>
          <w:tcPr>
            <w:tcW w:w="1153" w:type="dxa"/>
            <w:gridSpan w:val="2"/>
            <w:tcMar>
              <w:left w:w="28" w:type="dxa"/>
              <w:right w:w="28" w:type="dxa"/>
            </w:tcMar>
          </w:tcPr>
          <w:p w14:paraId="49BCBBF5" w14:textId="77777777" w:rsidR="002709ED" w:rsidRDefault="002709ED">
            <w:pPr>
              <w:keepNext/>
              <w:keepLines/>
              <w:spacing w:before="40" w:after="40" w:line="360" w:lineRule="auto"/>
              <w:rPr>
                <w:noProof/>
                <w:sz w:val="22"/>
                <w:szCs w:val="24"/>
                <w:lang w:val="en-GB" w:eastAsia="en-US"/>
              </w:rPr>
            </w:pPr>
          </w:p>
        </w:tc>
        <w:tc>
          <w:tcPr>
            <w:tcW w:w="970" w:type="dxa"/>
            <w:tcMar>
              <w:left w:w="28" w:type="dxa"/>
              <w:right w:w="28" w:type="dxa"/>
            </w:tcMar>
          </w:tcPr>
          <w:p w14:paraId="68838DA1"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X</w:t>
            </w:r>
          </w:p>
        </w:tc>
      </w:tr>
      <w:tr w:rsidR="002709ED" w14:paraId="212209DC" w14:textId="77777777">
        <w:trPr>
          <w:cantSplit/>
          <w:tblHeader/>
          <w:jc w:val="center"/>
        </w:trPr>
        <w:tc>
          <w:tcPr>
            <w:tcW w:w="663" w:type="dxa"/>
            <w:gridSpan w:val="4"/>
            <w:tcMar>
              <w:left w:w="28" w:type="dxa"/>
              <w:right w:w="28" w:type="dxa"/>
            </w:tcMar>
          </w:tcPr>
          <w:p w14:paraId="573A8159"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lastRenderedPageBreak/>
              <w:t>(37)</w:t>
            </w:r>
          </w:p>
        </w:tc>
        <w:tc>
          <w:tcPr>
            <w:tcW w:w="2193" w:type="dxa"/>
            <w:tcMar>
              <w:left w:w="28" w:type="dxa"/>
              <w:right w:w="28" w:type="dxa"/>
            </w:tcMar>
          </w:tcPr>
          <w:p w14:paraId="7A812020" w14:textId="77777777" w:rsidR="002709ED" w:rsidRDefault="00B2757B">
            <w:pPr>
              <w:keepNext/>
              <w:keepLines/>
              <w:spacing w:before="40" w:after="40" w:line="360" w:lineRule="auto"/>
              <w:rPr>
                <w:noProof/>
                <w:color w:val="F79646"/>
                <w:sz w:val="22"/>
                <w:szCs w:val="24"/>
                <w:lang w:val="en-GB" w:eastAsia="en-US"/>
              </w:rPr>
            </w:pPr>
            <w:r>
              <w:rPr>
                <w:noProof/>
                <w:sz w:val="22"/>
                <w:szCs w:val="24"/>
                <w:lang w:val="en-GB" w:eastAsia="en-US"/>
              </w:rPr>
              <w:t>dioxíny a dioxínom podobné zlúčeniny (</w:t>
            </w:r>
            <w:r>
              <w:rPr>
                <w:noProof/>
                <w:sz w:val="22"/>
                <w:szCs w:val="24"/>
                <w:vertAlign w:val="superscript"/>
                <w:lang w:val="en-GB" w:eastAsia="en-US"/>
              </w:rPr>
              <w:t>21</w:t>
            </w:r>
            <w:r>
              <w:rPr>
                <w:noProof/>
                <w:sz w:val="22"/>
                <w:szCs w:val="24"/>
                <w:lang w:val="en-GB" w:eastAsia="en-US"/>
              </w:rPr>
              <w:t>)</w:t>
            </w:r>
          </w:p>
        </w:tc>
        <w:tc>
          <w:tcPr>
            <w:tcW w:w="1422" w:type="dxa"/>
            <w:gridSpan w:val="5"/>
            <w:tcMar>
              <w:left w:w="28" w:type="dxa"/>
              <w:right w:w="28" w:type="dxa"/>
            </w:tcMar>
          </w:tcPr>
          <w:p w14:paraId="46BA61F0"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priemyselné vedľajšie produkty</w:t>
            </w:r>
          </w:p>
        </w:tc>
        <w:tc>
          <w:tcPr>
            <w:tcW w:w="992" w:type="dxa"/>
            <w:gridSpan w:val="2"/>
            <w:tcMar>
              <w:left w:w="28" w:type="dxa"/>
              <w:right w:w="28" w:type="dxa"/>
            </w:tcMar>
          </w:tcPr>
          <w:p w14:paraId="774C06D5"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neuplatňuje sa</w:t>
            </w:r>
          </w:p>
        </w:tc>
        <w:tc>
          <w:tcPr>
            <w:tcW w:w="1134" w:type="dxa"/>
          </w:tcPr>
          <w:p w14:paraId="3AAF00A1"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neuplatňuje sa</w:t>
            </w:r>
          </w:p>
        </w:tc>
        <w:tc>
          <w:tcPr>
            <w:tcW w:w="1279" w:type="dxa"/>
            <w:gridSpan w:val="2"/>
            <w:tcMar>
              <w:left w:w="28" w:type="dxa"/>
              <w:right w:w="28" w:type="dxa"/>
            </w:tcMar>
          </w:tcPr>
          <w:p w14:paraId="66B80604" w14:textId="77777777" w:rsidR="002709ED" w:rsidRDefault="002709ED">
            <w:pPr>
              <w:keepNext/>
              <w:keepLines/>
              <w:spacing w:before="40" w:after="40" w:line="360" w:lineRule="auto"/>
              <w:rPr>
                <w:noProof/>
                <w:sz w:val="22"/>
                <w:szCs w:val="24"/>
                <w:lang w:val="en-GB" w:eastAsia="en-US"/>
              </w:rPr>
            </w:pPr>
          </w:p>
        </w:tc>
        <w:tc>
          <w:tcPr>
            <w:tcW w:w="1279" w:type="dxa"/>
            <w:gridSpan w:val="2"/>
            <w:tcMar>
              <w:left w:w="28" w:type="dxa"/>
              <w:right w:w="28" w:type="dxa"/>
            </w:tcMar>
          </w:tcPr>
          <w:p w14:paraId="3CCBA603" w14:textId="77777777" w:rsidR="002709ED" w:rsidRDefault="002709ED">
            <w:pPr>
              <w:keepNext/>
              <w:keepLines/>
              <w:spacing w:before="40" w:after="40" w:line="360" w:lineRule="auto"/>
              <w:rPr>
                <w:noProof/>
                <w:sz w:val="22"/>
                <w:szCs w:val="24"/>
                <w:lang w:val="en-GB" w:eastAsia="en-US"/>
              </w:rPr>
            </w:pPr>
          </w:p>
        </w:tc>
        <w:tc>
          <w:tcPr>
            <w:tcW w:w="1278" w:type="dxa"/>
            <w:gridSpan w:val="2"/>
            <w:tcMar>
              <w:left w:w="28" w:type="dxa"/>
              <w:right w:w="28" w:type="dxa"/>
            </w:tcMar>
          </w:tcPr>
          <w:p w14:paraId="6BACA3C5" w14:textId="77777777" w:rsidR="002709ED" w:rsidRPr="00C100E9" w:rsidRDefault="00B2757B">
            <w:pPr>
              <w:keepNext/>
              <w:keepLines/>
              <w:spacing w:before="40" w:after="40" w:line="360" w:lineRule="auto"/>
              <w:rPr>
                <w:noProof/>
                <w:sz w:val="22"/>
                <w:szCs w:val="24"/>
                <w:lang w:val="en-GB" w:eastAsia="en-US"/>
              </w:rPr>
            </w:pPr>
            <w:bookmarkStart w:id="40" w:name="_DV_C352"/>
            <w:r w:rsidRPr="00C100E9">
              <w:rPr>
                <w:noProof/>
                <w:sz w:val="22"/>
                <w:szCs w:val="24"/>
                <w:lang w:val="en-GB" w:eastAsia="en-US"/>
              </w:rPr>
              <w:t>neuplatňuje sa</w:t>
            </w:r>
            <w:bookmarkEnd w:id="40"/>
          </w:p>
        </w:tc>
        <w:tc>
          <w:tcPr>
            <w:tcW w:w="1277" w:type="dxa"/>
            <w:gridSpan w:val="2"/>
            <w:tcMar>
              <w:left w:w="28" w:type="dxa"/>
              <w:right w:w="28" w:type="dxa"/>
            </w:tcMar>
          </w:tcPr>
          <w:p w14:paraId="59139EDF" w14:textId="77777777" w:rsidR="002709ED" w:rsidRPr="00C100E9" w:rsidRDefault="00B2757B">
            <w:pPr>
              <w:keepNext/>
              <w:keepLines/>
              <w:spacing w:before="40" w:after="40" w:line="360" w:lineRule="auto"/>
              <w:rPr>
                <w:noProof/>
                <w:sz w:val="22"/>
                <w:szCs w:val="24"/>
                <w:lang w:val="en-GB" w:eastAsia="en-US"/>
              </w:rPr>
            </w:pPr>
            <w:bookmarkStart w:id="41" w:name="_DV_C353"/>
            <w:r w:rsidRPr="00C100E9">
              <w:rPr>
                <w:noProof/>
                <w:sz w:val="22"/>
                <w:szCs w:val="24"/>
                <w:lang w:val="en-GB" w:eastAsia="en-US"/>
              </w:rPr>
              <w:t>neuplatňuje sa</w:t>
            </w:r>
            <w:bookmarkEnd w:id="41"/>
          </w:p>
        </w:tc>
        <w:tc>
          <w:tcPr>
            <w:tcW w:w="1136" w:type="dxa"/>
            <w:gridSpan w:val="2"/>
            <w:tcMar>
              <w:left w:w="28" w:type="dxa"/>
              <w:right w:w="28" w:type="dxa"/>
            </w:tcMar>
          </w:tcPr>
          <w:p w14:paraId="60C2B6D6"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Súčet PCDD + PCDF+ PCB-DL</w:t>
            </w:r>
          </w:p>
          <w:p w14:paraId="28ED2A2D" w14:textId="77777777" w:rsidR="002709ED" w:rsidRDefault="00B2757B">
            <w:pPr>
              <w:keepNext/>
              <w:keepLines/>
              <w:spacing w:before="40" w:after="40" w:line="360" w:lineRule="auto"/>
              <w:rPr>
                <w:noProof/>
                <w:sz w:val="22"/>
                <w:szCs w:val="24"/>
                <w:vertAlign w:val="superscript"/>
                <w:lang w:val="en-GB" w:eastAsia="en-US"/>
              </w:rPr>
            </w:pPr>
            <w:r>
              <w:rPr>
                <w:noProof/>
                <w:sz w:val="22"/>
                <w:szCs w:val="24"/>
                <w:lang w:val="en-GB" w:eastAsia="en-US"/>
              </w:rPr>
              <w:t>ekvivalenty [3,5 10</w:t>
            </w:r>
            <w:r>
              <w:rPr>
                <w:noProof/>
                <w:sz w:val="22"/>
                <w:szCs w:val="24"/>
                <w:vertAlign w:val="superscript"/>
                <w:lang w:val="en-GB" w:eastAsia="en-US"/>
              </w:rPr>
              <w:t>-5</w:t>
            </w:r>
            <w:r>
              <w:rPr>
                <w:noProof/>
                <w:sz w:val="22"/>
                <w:szCs w:val="24"/>
                <w:lang w:val="en-GB" w:eastAsia="en-US"/>
              </w:rPr>
              <w:t>] (</w:t>
            </w:r>
            <w:r>
              <w:rPr>
                <w:noProof/>
                <w:sz w:val="22"/>
                <w:szCs w:val="24"/>
                <w:vertAlign w:val="superscript"/>
                <w:lang w:val="en-GB" w:eastAsia="en-US"/>
              </w:rPr>
              <w:t>22</w:t>
            </w:r>
            <w:r>
              <w:rPr>
                <w:noProof/>
                <w:sz w:val="22"/>
                <w:szCs w:val="24"/>
                <w:lang w:val="en-GB" w:eastAsia="en-US"/>
              </w:rPr>
              <w:t>)</w:t>
            </w:r>
          </w:p>
        </w:tc>
        <w:tc>
          <w:tcPr>
            <w:tcW w:w="1262" w:type="dxa"/>
            <w:tcMar>
              <w:left w:w="28" w:type="dxa"/>
              <w:right w:w="28" w:type="dxa"/>
            </w:tcMar>
          </w:tcPr>
          <w:p w14:paraId="2D77D28C"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X</w:t>
            </w:r>
          </w:p>
        </w:tc>
        <w:tc>
          <w:tcPr>
            <w:tcW w:w="1153" w:type="dxa"/>
            <w:gridSpan w:val="2"/>
            <w:tcMar>
              <w:left w:w="28" w:type="dxa"/>
              <w:right w:w="28" w:type="dxa"/>
            </w:tcMar>
          </w:tcPr>
          <w:p w14:paraId="68D5024C"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X</w:t>
            </w:r>
          </w:p>
        </w:tc>
        <w:tc>
          <w:tcPr>
            <w:tcW w:w="970" w:type="dxa"/>
            <w:tcMar>
              <w:left w:w="28" w:type="dxa"/>
              <w:right w:w="28" w:type="dxa"/>
            </w:tcMar>
          </w:tcPr>
          <w:p w14:paraId="4EC61BB7"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X</w:t>
            </w:r>
          </w:p>
        </w:tc>
      </w:tr>
      <w:tr w:rsidR="002709ED" w14:paraId="5B8A7453" w14:textId="77777777">
        <w:trPr>
          <w:gridBefore w:val="1"/>
          <w:wBefore w:w="12" w:type="dxa"/>
          <w:cantSplit/>
          <w:tblHeader/>
          <w:jc w:val="center"/>
        </w:trPr>
        <w:tc>
          <w:tcPr>
            <w:tcW w:w="651" w:type="dxa"/>
            <w:gridSpan w:val="3"/>
            <w:tcMar>
              <w:left w:w="28" w:type="dxa"/>
              <w:right w:w="28" w:type="dxa"/>
            </w:tcMar>
          </w:tcPr>
          <w:p w14:paraId="31E0F040"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(38)</w:t>
            </w:r>
          </w:p>
        </w:tc>
        <w:tc>
          <w:tcPr>
            <w:tcW w:w="2286" w:type="dxa"/>
            <w:gridSpan w:val="3"/>
            <w:tcMar>
              <w:left w:w="28" w:type="dxa"/>
              <w:right w:w="28" w:type="dxa"/>
            </w:tcMar>
          </w:tcPr>
          <w:p w14:paraId="1D6D8AFD"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aklonifén</w:t>
            </w:r>
          </w:p>
        </w:tc>
        <w:tc>
          <w:tcPr>
            <w:tcW w:w="1329" w:type="dxa"/>
            <w:gridSpan w:val="3"/>
            <w:tcMar>
              <w:left w:w="28" w:type="dxa"/>
              <w:right w:w="28" w:type="dxa"/>
            </w:tcMar>
          </w:tcPr>
          <w:p w14:paraId="0E79C72F"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herbicídy</w:t>
            </w:r>
          </w:p>
        </w:tc>
        <w:tc>
          <w:tcPr>
            <w:tcW w:w="992" w:type="dxa"/>
            <w:gridSpan w:val="2"/>
            <w:tcMar>
              <w:left w:w="28" w:type="dxa"/>
              <w:right w:w="28" w:type="dxa"/>
            </w:tcMar>
          </w:tcPr>
          <w:p w14:paraId="70DAFD2F"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74070-46-5</w:t>
            </w:r>
          </w:p>
        </w:tc>
        <w:tc>
          <w:tcPr>
            <w:tcW w:w="1134" w:type="dxa"/>
          </w:tcPr>
          <w:p w14:paraId="1C2FED3C"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277-704-1</w:t>
            </w:r>
          </w:p>
        </w:tc>
        <w:tc>
          <w:tcPr>
            <w:tcW w:w="1279" w:type="dxa"/>
            <w:gridSpan w:val="2"/>
            <w:tcMar>
              <w:left w:w="28" w:type="dxa"/>
              <w:right w:w="28" w:type="dxa"/>
            </w:tcMar>
          </w:tcPr>
          <w:p w14:paraId="75ACE5B2"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0,12</w:t>
            </w:r>
          </w:p>
        </w:tc>
        <w:tc>
          <w:tcPr>
            <w:tcW w:w="1279" w:type="dxa"/>
            <w:gridSpan w:val="2"/>
            <w:tcMar>
              <w:left w:w="28" w:type="dxa"/>
              <w:right w:w="28" w:type="dxa"/>
            </w:tcMar>
          </w:tcPr>
          <w:p w14:paraId="04F4C1C6"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0,012</w:t>
            </w:r>
          </w:p>
        </w:tc>
        <w:tc>
          <w:tcPr>
            <w:tcW w:w="1278" w:type="dxa"/>
            <w:gridSpan w:val="2"/>
            <w:tcMar>
              <w:left w:w="28" w:type="dxa"/>
              <w:right w:w="28" w:type="dxa"/>
            </w:tcMar>
          </w:tcPr>
          <w:p w14:paraId="3CBA6FD1"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0,12</w:t>
            </w:r>
          </w:p>
        </w:tc>
        <w:tc>
          <w:tcPr>
            <w:tcW w:w="1277" w:type="dxa"/>
            <w:gridSpan w:val="2"/>
            <w:tcMar>
              <w:left w:w="28" w:type="dxa"/>
              <w:right w:w="28" w:type="dxa"/>
            </w:tcMar>
          </w:tcPr>
          <w:p w14:paraId="5760892E"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0,012</w:t>
            </w:r>
          </w:p>
        </w:tc>
        <w:tc>
          <w:tcPr>
            <w:tcW w:w="1136" w:type="dxa"/>
            <w:gridSpan w:val="2"/>
            <w:tcMar>
              <w:left w:w="28" w:type="dxa"/>
              <w:right w:w="28" w:type="dxa"/>
            </w:tcMar>
          </w:tcPr>
          <w:p w14:paraId="2D7B84E6" w14:textId="77777777" w:rsidR="002709ED" w:rsidRDefault="002709ED">
            <w:pPr>
              <w:keepNext/>
              <w:keepLines/>
              <w:spacing w:before="40" w:after="40" w:line="360" w:lineRule="auto"/>
              <w:rPr>
                <w:noProof/>
                <w:sz w:val="22"/>
                <w:szCs w:val="24"/>
                <w:lang w:val="en-GB" w:eastAsia="en-US"/>
              </w:rPr>
            </w:pPr>
          </w:p>
        </w:tc>
        <w:tc>
          <w:tcPr>
            <w:tcW w:w="1262" w:type="dxa"/>
            <w:tcMar>
              <w:left w:w="28" w:type="dxa"/>
              <w:right w:w="28" w:type="dxa"/>
            </w:tcMar>
          </w:tcPr>
          <w:p w14:paraId="76A64790" w14:textId="77777777" w:rsidR="002709ED" w:rsidRDefault="002709ED">
            <w:pPr>
              <w:keepNext/>
              <w:keepLines/>
              <w:spacing w:before="40" w:after="40" w:line="360" w:lineRule="auto"/>
              <w:rPr>
                <w:noProof/>
                <w:sz w:val="22"/>
                <w:szCs w:val="24"/>
                <w:lang w:val="en-GB" w:eastAsia="en-US"/>
              </w:rPr>
            </w:pPr>
          </w:p>
        </w:tc>
        <w:tc>
          <w:tcPr>
            <w:tcW w:w="1153" w:type="dxa"/>
            <w:gridSpan w:val="2"/>
            <w:tcMar>
              <w:left w:w="28" w:type="dxa"/>
              <w:right w:w="28" w:type="dxa"/>
            </w:tcMar>
          </w:tcPr>
          <w:p w14:paraId="6414619C" w14:textId="77777777" w:rsidR="002709ED" w:rsidRDefault="002709ED">
            <w:pPr>
              <w:keepNext/>
              <w:keepLines/>
              <w:spacing w:before="40" w:after="40" w:line="360" w:lineRule="auto"/>
              <w:rPr>
                <w:noProof/>
                <w:sz w:val="22"/>
                <w:szCs w:val="24"/>
                <w:lang w:val="en-GB" w:eastAsia="en-US"/>
              </w:rPr>
            </w:pPr>
          </w:p>
        </w:tc>
        <w:tc>
          <w:tcPr>
            <w:tcW w:w="970" w:type="dxa"/>
            <w:tcMar>
              <w:left w:w="28" w:type="dxa"/>
              <w:right w:w="28" w:type="dxa"/>
            </w:tcMar>
          </w:tcPr>
          <w:p w14:paraId="7CF19913" w14:textId="77777777" w:rsidR="002709ED" w:rsidRDefault="002709ED">
            <w:pPr>
              <w:keepNext/>
              <w:keepLines/>
              <w:spacing w:before="40" w:after="40" w:line="360" w:lineRule="auto"/>
              <w:rPr>
                <w:noProof/>
                <w:sz w:val="22"/>
                <w:szCs w:val="24"/>
                <w:lang w:val="en-GB" w:eastAsia="en-US"/>
              </w:rPr>
            </w:pPr>
          </w:p>
        </w:tc>
      </w:tr>
      <w:tr w:rsidR="002709ED" w14:paraId="5C01FE2D" w14:textId="77777777">
        <w:trPr>
          <w:gridBefore w:val="1"/>
          <w:wBefore w:w="12" w:type="dxa"/>
          <w:cantSplit/>
          <w:tblHeader/>
          <w:jc w:val="center"/>
        </w:trPr>
        <w:tc>
          <w:tcPr>
            <w:tcW w:w="651" w:type="dxa"/>
            <w:gridSpan w:val="3"/>
            <w:tcMar>
              <w:left w:w="28" w:type="dxa"/>
              <w:right w:w="28" w:type="dxa"/>
            </w:tcMar>
          </w:tcPr>
          <w:p w14:paraId="699D68E5"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(39)</w:t>
            </w:r>
          </w:p>
        </w:tc>
        <w:tc>
          <w:tcPr>
            <w:tcW w:w="2286" w:type="dxa"/>
            <w:gridSpan w:val="3"/>
            <w:tcMar>
              <w:left w:w="28" w:type="dxa"/>
              <w:right w:w="28" w:type="dxa"/>
            </w:tcMar>
          </w:tcPr>
          <w:p w14:paraId="56CE03BD"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bifenox</w:t>
            </w:r>
          </w:p>
        </w:tc>
        <w:tc>
          <w:tcPr>
            <w:tcW w:w="1329" w:type="dxa"/>
            <w:gridSpan w:val="3"/>
            <w:tcMar>
              <w:left w:w="28" w:type="dxa"/>
              <w:right w:w="28" w:type="dxa"/>
            </w:tcMar>
          </w:tcPr>
          <w:p w14:paraId="38724EBD"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herbicídy</w:t>
            </w:r>
          </w:p>
        </w:tc>
        <w:tc>
          <w:tcPr>
            <w:tcW w:w="992" w:type="dxa"/>
            <w:gridSpan w:val="2"/>
            <w:tcMar>
              <w:left w:w="28" w:type="dxa"/>
              <w:right w:w="28" w:type="dxa"/>
            </w:tcMar>
          </w:tcPr>
          <w:p w14:paraId="144383C7"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42576-02-3</w:t>
            </w:r>
          </w:p>
        </w:tc>
        <w:tc>
          <w:tcPr>
            <w:tcW w:w="1134" w:type="dxa"/>
          </w:tcPr>
          <w:p w14:paraId="7D2317F8"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255-894-7</w:t>
            </w:r>
          </w:p>
        </w:tc>
        <w:tc>
          <w:tcPr>
            <w:tcW w:w="1279" w:type="dxa"/>
            <w:gridSpan w:val="2"/>
            <w:tcMar>
              <w:left w:w="28" w:type="dxa"/>
              <w:right w:w="28" w:type="dxa"/>
            </w:tcMar>
          </w:tcPr>
          <w:p w14:paraId="465B8B84"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0,012</w:t>
            </w:r>
          </w:p>
        </w:tc>
        <w:tc>
          <w:tcPr>
            <w:tcW w:w="1279" w:type="dxa"/>
            <w:gridSpan w:val="2"/>
            <w:tcMar>
              <w:left w:w="28" w:type="dxa"/>
              <w:right w:w="28" w:type="dxa"/>
            </w:tcMar>
          </w:tcPr>
          <w:p w14:paraId="41041BB3"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0,0012</w:t>
            </w:r>
          </w:p>
        </w:tc>
        <w:tc>
          <w:tcPr>
            <w:tcW w:w="1278" w:type="dxa"/>
            <w:gridSpan w:val="2"/>
            <w:tcMar>
              <w:left w:w="28" w:type="dxa"/>
              <w:right w:w="28" w:type="dxa"/>
            </w:tcMar>
          </w:tcPr>
          <w:p w14:paraId="55A76636"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0,04</w:t>
            </w:r>
          </w:p>
        </w:tc>
        <w:tc>
          <w:tcPr>
            <w:tcW w:w="1277" w:type="dxa"/>
            <w:gridSpan w:val="2"/>
            <w:tcMar>
              <w:left w:w="28" w:type="dxa"/>
              <w:right w:w="28" w:type="dxa"/>
            </w:tcMar>
          </w:tcPr>
          <w:p w14:paraId="12090AB3"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0,004</w:t>
            </w:r>
          </w:p>
        </w:tc>
        <w:tc>
          <w:tcPr>
            <w:tcW w:w="1136" w:type="dxa"/>
            <w:gridSpan w:val="2"/>
            <w:tcMar>
              <w:left w:w="28" w:type="dxa"/>
              <w:right w:w="28" w:type="dxa"/>
            </w:tcMar>
          </w:tcPr>
          <w:p w14:paraId="7FEC29C6" w14:textId="77777777" w:rsidR="002709ED" w:rsidRDefault="002709ED">
            <w:pPr>
              <w:keepNext/>
              <w:keepLines/>
              <w:spacing w:before="40" w:after="40" w:line="360" w:lineRule="auto"/>
              <w:rPr>
                <w:noProof/>
                <w:sz w:val="22"/>
                <w:szCs w:val="24"/>
                <w:lang w:val="en-GB" w:eastAsia="en-US"/>
              </w:rPr>
            </w:pPr>
          </w:p>
        </w:tc>
        <w:tc>
          <w:tcPr>
            <w:tcW w:w="1262" w:type="dxa"/>
            <w:tcMar>
              <w:left w:w="28" w:type="dxa"/>
              <w:right w:w="28" w:type="dxa"/>
            </w:tcMar>
          </w:tcPr>
          <w:p w14:paraId="220B8C57" w14:textId="77777777" w:rsidR="002709ED" w:rsidRDefault="002709ED">
            <w:pPr>
              <w:keepNext/>
              <w:keepLines/>
              <w:spacing w:before="40" w:after="40" w:line="360" w:lineRule="auto"/>
              <w:rPr>
                <w:noProof/>
                <w:sz w:val="22"/>
                <w:szCs w:val="24"/>
                <w:lang w:val="en-GB" w:eastAsia="en-US"/>
              </w:rPr>
            </w:pPr>
          </w:p>
        </w:tc>
        <w:tc>
          <w:tcPr>
            <w:tcW w:w="1153" w:type="dxa"/>
            <w:gridSpan w:val="2"/>
            <w:tcMar>
              <w:left w:w="28" w:type="dxa"/>
              <w:right w:w="28" w:type="dxa"/>
            </w:tcMar>
          </w:tcPr>
          <w:p w14:paraId="30139F60" w14:textId="77777777" w:rsidR="002709ED" w:rsidRDefault="002709ED">
            <w:pPr>
              <w:keepNext/>
              <w:keepLines/>
              <w:spacing w:before="40" w:after="40" w:line="360" w:lineRule="auto"/>
              <w:rPr>
                <w:noProof/>
                <w:sz w:val="22"/>
                <w:szCs w:val="24"/>
                <w:lang w:val="en-GB" w:eastAsia="en-US"/>
              </w:rPr>
            </w:pPr>
          </w:p>
        </w:tc>
        <w:tc>
          <w:tcPr>
            <w:tcW w:w="970" w:type="dxa"/>
            <w:tcMar>
              <w:left w:w="28" w:type="dxa"/>
              <w:right w:w="28" w:type="dxa"/>
            </w:tcMar>
          </w:tcPr>
          <w:p w14:paraId="7BD6016F" w14:textId="77777777" w:rsidR="002709ED" w:rsidRDefault="002709ED">
            <w:pPr>
              <w:keepNext/>
              <w:keepLines/>
              <w:spacing w:before="40" w:after="40" w:line="360" w:lineRule="auto"/>
              <w:rPr>
                <w:noProof/>
                <w:sz w:val="22"/>
                <w:szCs w:val="24"/>
                <w:lang w:val="en-GB" w:eastAsia="en-US"/>
              </w:rPr>
            </w:pPr>
          </w:p>
        </w:tc>
      </w:tr>
      <w:tr w:rsidR="002709ED" w14:paraId="7427D160" w14:textId="77777777">
        <w:trPr>
          <w:gridBefore w:val="1"/>
          <w:wBefore w:w="12" w:type="dxa"/>
          <w:cantSplit/>
          <w:tblHeader/>
          <w:jc w:val="center"/>
        </w:trPr>
        <w:tc>
          <w:tcPr>
            <w:tcW w:w="651" w:type="dxa"/>
            <w:gridSpan w:val="3"/>
            <w:tcMar>
              <w:left w:w="28" w:type="dxa"/>
              <w:right w:w="28" w:type="dxa"/>
            </w:tcMar>
          </w:tcPr>
          <w:p w14:paraId="5380F21E"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(40)</w:t>
            </w:r>
          </w:p>
        </w:tc>
        <w:tc>
          <w:tcPr>
            <w:tcW w:w="2286" w:type="dxa"/>
            <w:gridSpan w:val="3"/>
            <w:tcMar>
              <w:left w:w="28" w:type="dxa"/>
              <w:right w:w="28" w:type="dxa"/>
            </w:tcMar>
          </w:tcPr>
          <w:p w14:paraId="14D546B6"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cybutrín</w:t>
            </w:r>
          </w:p>
        </w:tc>
        <w:tc>
          <w:tcPr>
            <w:tcW w:w="1329" w:type="dxa"/>
            <w:gridSpan w:val="3"/>
            <w:tcMar>
              <w:left w:w="28" w:type="dxa"/>
              <w:right w:w="28" w:type="dxa"/>
            </w:tcMar>
          </w:tcPr>
          <w:p w14:paraId="5506777A"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biocídy</w:t>
            </w:r>
          </w:p>
        </w:tc>
        <w:tc>
          <w:tcPr>
            <w:tcW w:w="992" w:type="dxa"/>
            <w:gridSpan w:val="2"/>
            <w:tcMar>
              <w:left w:w="28" w:type="dxa"/>
              <w:right w:w="28" w:type="dxa"/>
            </w:tcMar>
          </w:tcPr>
          <w:p w14:paraId="74226878"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28159-98-0</w:t>
            </w:r>
          </w:p>
        </w:tc>
        <w:tc>
          <w:tcPr>
            <w:tcW w:w="1134" w:type="dxa"/>
          </w:tcPr>
          <w:p w14:paraId="670ECC09"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248-872-3</w:t>
            </w:r>
          </w:p>
        </w:tc>
        <w:tc>
          <w:tcPr>
            <w:tcW w:w="1279" w:type="dxa"/>
            <w:gridSpan w:val="2"/>
            <w:tcMar>
              <w:left w:w="28" w:type="dxa"/>
              <w:right w:w="28" w:type="dxa"/>
            </w:tcMar>
          </w:tcPr>
          <w:p w14:paraId="3DB66CA1"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0,0025</w:t>
            </w:r>
          </w:p>
        </w:tc>
        <w:tc>
          <w:tcPr>
            <w:tcW w:w="1279" w:type="dxa"/>
            <w:gridSpan w:val="2"/>
            <w:tcMar>
              <w:left w:w="28" w:type="dxa"/>
              <w:right w:w="28" w:type="dxa"/>
            </w:tcMar>
          </w:tcPr>
          <w:p w14:paraId="1A7243E4"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0,0025</w:t>
            </w:r>
          </w:p>
        </w:tc>
        <w:tc>
          <w:tcPr>
            <w:tcW w:w="1278" w:type="dxa"/>
            <w:gridSpan w:val="2"/>
            <w:tcMar>
              <w:left w:w="28" w:type="dxa"/>
              <w:right w:w="28" w:type="dxa"/>
            </w:tcMar>
          </w:tcPr>
          <w:p w14:paraId="2CA34EC8"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0,016</w:t>
            </w:r>
          </w:p>
        </w:tc>
        <w:tc>
          <w:tcPr>
            <w:tcW w:w="1277" w:type="dxa"/>
            <w:gridSpan w:val="2"/>
            <w:tcMar>
              <w:left w:w="28" w:type="dxa"/>
              <w:right w:w="28" w:type="dxa"/>
            </w:tcMar>
          </w:tcPr>
          <w:p w14:paraId="1012170A"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0,016</w:t>
            </w:r>
          </w:p>
        </w:tc>
        <w:tc>
          <w:tcPr>
            <w:tcW w:w="1136" w:type="dxa"/>
            <w:gridSpan w:val="2"/>
            <w:tcMar>
              <w:left w:w="28" w:type="dxa"/>
              <w:right w:w="28" w:type="dxa"/>
            </w:tcMar>
          </w:tcPr>
          <w:p w14:paraId="210A9FF2" w14:textId="77777777" w:rsidR="002709ED" w:rsidRDefault="002709ED">
            <w:pPr>
              <w:keepNext/>
              <w:keepLines/>
              <w:spacing w:before="40" w:after="40" w:line="360" w:lineRule="auto"/>
              <w:rPr>
                <w:noProof/>
                <w:sz w:val="22"/>
                <w:szCs w:val="24"/>
                <w:lang w:val="en-GB" w:eastAsia="en-US"/>
              </w:rPr>
            </w:pPr>
          </w:p>
        </w:tc>
        <w:tc>
          <w:tcPr>
            <w:tcW w:w="1262" w:type="dxa"/>
            <w:tcMar>
              <w:left w:w="28" w:type="dxa"/>
              <w:right w:w="28" w:type="dxa"/>
            </w:tcMar>
          </w:tcPr>
          <w:p w14:paraId="2FA6BB11" w14:textId="77777777" w:rsidR="002709ED" w:rsidRDefault="002709ED">
            <w:pPr>
              <w:keepNext/>
              <w:keepLines/>
              <w:spacing w:before="40" w:after="40" w:line="360" w:lineRule="auto"/>
              <w:rPr>
                <w:noProof/>
                <w:sz w:val="22"/>
                <w:szCs w:val="24"/>
                <w:lang w:val="en-GB" w:eastAsia="en-US"/>
              </w:rPr>
            </w:pPr>
          </w:p>
        </w:tc>
        <w:tc>
          <w:tcPr>
            <w:tcW w:w="1153" w:type="dxa"/>
            <w:gridSpan w:val="2"/>
            <w:tcMar>
              <w:left w:w="28" w:type="dxa"/>
              <w:right w:w="28" w:type="dxa"/>
            </w:tcMar>
          </w:tcPr>
          <w:p w14:paraId="2A633ED6" w14:textId="77777777" w:rsidR="002709ED" w:rsidRDefault="002709ED">
            <w:pPr>
              <w:keepNext/>
              <w:keepLines/>
              <w:spacing w:before="40" w:after="40" w:line="360" w:lineRule="auto"/>
              <w:rPr>
                <w:noProof/>
                <w:sz w:val="22"/>
                <w:szCs w:val="24"/>
                <w:lang w:val="en-GB" w:eastAsia="en-US"/>
              </w:rPr>
            </w:pPr>
          </w:p>
        </w:tc>
        <w:tc>
          <w:tcPr>
            <w:tcW w:w="970" w:type="dxa"/>
            <w:tcMar>
              <w:left w:w="28" w:type="dxa"/>
              <w:right w:w="28" w:type="dxa"/>
            </w:tcMar>
          </w:tcPr>
          <w:p w14:paraId="3C6E7268" w14:textId="77777777" w:rsidR="002709ED" w:rsidRDefault="002709ED">
            <w:pPr>
              <w:keepNext/>
              <w:keepLines/>
              <w:spacing w:before="40" w:after="40" w:line="360" w:lineRule="auto"/>
              <w:rPr>
                <w:noProof/>
                <w:sz w:val="22"/>
                <w:szCs w:val="24"/>
                <w:lang w:val="en-GB" w:eastAsia="en-US"/>
              </w:rPr>
            </w:pPr>
          </w:p>
        </w:tc>
      </w:tr>
      <w:tr w:rsidR="002709ED" w14:paraId="388FD30F" w14:textId="77777777">
        <w:trPr>
          <w:gridBefore w:val="1"/>
          <w:wBefore w:w="12" w:type="dxa"/>
          <w:cantSplit/>
          <w:tblHeader/>
          <w:jc w:val="center"/>
        </w:trPr>
        <w:tc>
          <w:tcPr>
            <w:tcW w:w="651" w:type="dxa"/>
            <w:gridSpan w:val="3"/>
            <w:tcMar>
              <w:left w:w="28" w:type="dxa"/>
              <w:right w:w="28" w:type="dxa"/>
            </w:tcMar>
          </w:tcPr>
          <w:p w14:paraId="369848A9"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(41)</w:t>
            </w:r>
          </w:p>
        </w:tc>
        <w:tc>
          <w:tcPr>
            <w:tcW w:w="2286" w:type="dxa"/>
            <w:gridSpan w:val="3"/>
            <w:tcMar>
              <w:left w:w="28" w:type="dxa"/>
              <w:right w:w="28" w:type="dxa"/>
            </w:tcMar>
          </w:tcPr>
          <w:p w14:paraId="0B284DBF"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cypermetrín (</w:t>
            </w:r>
            <w:r>
              <w:rPr>
                <w:noProof/>
                <w:sz w:val="22"/>
                <w:szCs w:val="24"/>
                <w:vertAlign w:val="superscript"/>
                <w:lang w:val="en-GB" w:eastAsia="en-US"/>
              </w:rPr>
              <w:t>23</w:t>
            </w:r>
            <w:r>
              <w:rPr>
                <w:noProof/>
                <w:sz w:val="22"/>
                <w:szCs w:val="24"/>
                <w:lang w:val="en-GB" w:eastAsia="en-US"/>
              </w:rPr>
              <w:t>)</w:t>
            </w:r>
          </w:p>
        </w:tc>
        <w:tc>
          <w:tcPr>
            <w:tcW w:w="1329" w:type="dxa"/>
            <w:gridSpan w:val="3"/>
            <w:tcMar>
              <w:left w:w="28" w:type="dxa"/>
              <w:right w:w="28" w:type="dxa"/>
            </w:tcMar>
          </w:tcPr>
          <w:p w14:paraId="243B3D67"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pyretroidné pesticídy</w:t>
            </w:r>
          </w:p>
        </w:tc>
        <w:tc>
          <w:tcPr>
            <w:tcW w:w="992" w:type="dxa"/>
            <w:gridSpan w:val="2"/>
            <w:tcMar>
              <w:left w:w="28" w:type="dxa"/>
              <w:right w:w="28" w:type="dxa"/>
            </w:tcMar>
          </w:tcPr>
          <w:p w14:paraId="0FAF67EC"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52315-07-8</w:t>
            </w:r>
          </w:p>
        </w:tc>
        <w:tc>
          <w:tcPr>
            <w:tcW w:w="1134" w:type="dxa"/>
          </w:tcPr>
          <w:p w14:paraId="5732717F" w14:textId="77777777" w:rsidR="002709ED" w:rsidRDefault="00B2757B">
            <w:pPr>
              <w:keepNext/>
              <w:keepLines/>
              <w:spacing w:before="40" w:after="40" w:line="360" w:lineRule="auto"/>
              <w:rPr>
                <w:strike/>
                <w:noProof/>
                <w:sz w:val="22"/>
                <w:szCs w:val="24"/>
                <w:lang w:val="en-GB" w:eastAsia="en-US"/>
              </w:rPr>
            </w:pPr>
            <w:r>
              <w:rPr>
                <w:noProof/>
                <w:sz w:val="22"/>
                <w:szCs w:val="24"/>
                <w:lang w:val="en-GB" w:eastAsia="en-US"/>
              </w:rPr>
              <w:t>257-842-9</w:t>
            </w:r>
          </w:p>
        </w:tc>
        <w:tc>
          <w:tcPr>
            <w:tcW w:w="1279" w:type="dxa"/>
            <w:gridSpan w:val="2"/>
            <w:tcMar>
              <w:left w:w="28" w:type="dxa"/>
              <w:right w:w="28" w:type="dxa"/>
            </w:tcMar>
          </w:tcPr>
          <w:p w14:paraId="4538E7C8"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3 × 10</w:t>
            </w:r>
            <w:r>
              <w:rPr>
                <w:noProof/>
                <w:sz w:val="22"/>
                <w:szCs w:val="24"/>
                <w:vertAlign w:val="superscript"/>
                <w:lang w:val="en-GB" w:eastAsia="en-US"/>
              </w:rPr>
              <w:t>-5</w:t>
            </w:r>
          </w:p>
        </w:tc>
        <w:tc>
          <w:tcPr>
            <w:tcW w:w="1279" w:type="dxa"/>
            <w:gridSpan w:val="2"/>
            <w:tcMar>
              <w:left w:w="28" w:type="dxa"/>
              <w:right w:w="28" w:type="dxa"/>
            </w:tcMar>
          </w:tcPr>
          <w:p w14:paraId="3320CAE9"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3 × 10</w:t>
            </w:r>
            <w:r>
              <w:rPr>
                <w:noProof/>
                <w:sz w:val="22"/>
                <w:szCs w:val="24"/>
                <w:vertAlign w:val="superscript"/>
                <w:lang w:val="en-GB" w:eastAsia="en-US"/>
              </w:rPr>
              <w:t>-6</w:t>
            </w:r>
          </w:p>
        </w:tc>
        <w:tc>
          <w:tcPr>
            <w:tcW w:w="1278" w:type="dxa"/>
            <w:gridSpan w:val="2"/>
            <w:tcMar>
              <w:left w:w="28" w:type="dxa"/>
              <w:right w:w="28" w:type="dxa"/>
            </w:tcMar>
          </w:tcPr>
          <w:p w14:paraId="0C150BAA" w14:textId="77777777" w:rsidR="002709ED" w:rsidRDefault="00B2757B">
            <w:pPr>
              <w:keepNext/>
              <w:keepLines/>
              <w:spacing w:before="40" w:after="40" w:line="360" w:lineRule="auto"/>
              <w:rPr>
                <w:noProof/>
                <w:sz w:val="22"/>
                <w:szCs w:val="24"/>
                <w:vertAlign w:val="superscript"/>
                <w:lang w:val="en-GB" w:eastAsia="en-US"/>
              </w:rPr>
            </w:pPr>
            <w:r>
              <w:rPr>
                <w:noProof/>
                <w:sz w:val="22"/>
                <w:szCs w:val="24"/>
                <w:lang w:val="en-GB" w:eastAsia="en-US"/>
              </w:rPr>
              <w:t>6 × 10</w:t>
            </w:r>
            <w:r>
              <w:rPr>
                <w:noProof/>
                <w:sz w:val="22"/>
                <w:szCs w:val="24"/>
                <w:vertAlign w:val="superscript"/>
                <w:lang w:val="en-GB" w:eastAsia="en-US"/>
              </w:rPr>
              <w:t>-4</w:t>
            </w:r>
          </w:p>
        </w:tc>
        <w:tc>
          <w:tcPr>
            <w:tcW w:w="1277" w:type="dxa"/>
            <w:gridSpan w:val="2"/>
            <w:tcMar>
              <w:left w:w="28" w:type="dxa"/>
              <w:right w:w="28" w:type="dxa"/>
            </w:tcMar>
          </w:tcPr>
          <w:p w14:paraId="1E6D2305" w14:textId="77777777" w:rsidR="002709ED" w:rsidRDefault="00B2757B">
            <w:pPr>
              <w:keepNext/>
              <w:keepLines/>
              <w:spacing w:before="40" w:after="40" w:line="360" w:lineRule="auto"/>
              <w:rPr>
                <w:noProof/>
                <w:sz w:val="22"/>
                <w:szCs w:val="24"/>
                <w:vertAlign w:val="superscript"/>
                <w:lang w:val="en-GB" w:eastAsia="en-US"/>
              </w:rPr>
            </w:pPr>
            <w:r>
              <w:rPr>
                <w:noProof/>
                <w:sz w:val="22"/>
                <w:szCs w:val="24"/>
                <w:lang w:val="en-GB" w:eastAsia="en-US"/>
              </w:rPr>
              <w:t>6 × 10</w:t>
            </w:r>
            <w:r>
              <w:rPr>
                <w:noProof/>
                <w:sz w:val="22"/>
                <w:szCs w:val="24"/>
                <w:vertAlign w:val="superscript"/>
                <w:lang w:val="en-GB" w:eastAsia="en-US"/>
              </w:rPr>
              <w:t>-5</w:t>
            </w:r>
          </w:p>
        </w:tc>
        <w:tc>
          <w:tcPr>
            <w:tcW w:w="1136" w:type="dxa"/>
            <w:gridSpan w:val="2"/>
            <w:tcMar>
              <w:left w:w="28" w:type="dxa"/>
              <w:right w:w="28" w:type="dxa"/>
            </w:tcMar>
          </w:tcPr>
          <w:p w14:paraId="5BE53B60" w14:textId="77777777" w:rsidR="002709ED" w:rsidRDefault="002709ED">
            <w:pPr>
              <w:keepNext/>
              <w:keepLines/>
              <w:spacing w:before="40" w:after="40" w:line="360" w:lineRule="auto"/>
              <w:rPr>
                <w:noProof/>
                <w:sz w:val="22"/>
                <w:szCs w:val="24"/>
                <w:lang w:val="en-GB" w:eastAsia="en-US"/>
              </w:rPr>
            </w:pPr>
          </w:p>
        </w:tc>
        <w:tc>
          <w:tcPr>
            <w:tcW w:w="1262" w:type="dxa"/>
            <w:tcMar>
              <w:left w:w="28" w:type="dxa"/>
              <w:right w:w="28" w:type="dxa"/>
            </w:tcMar>
          </w:tcPr>
          <w:p w14:paraId="0423B370" w14:textId="77777777" w:rsidR="002709ED" w:rsidRDefault="002709ED">
            <w:pPr>
              <w:keepNext/>
              <w:keepLines/>
              <w:spacing w:before="40" w:after="40" w:line="360" w:lineRule="auto"/>
              <w:rPr>
                <w:noProof/>
                <w:sz w:val="22"/>
                <w:szCs w:val="24"/>
                <w:vertAlign w:val="superscript"/>
                <w:lang w:val="en-GB" w:eastAsia="en-US"/>
              </w:rPr>
            </w:pPr>
          </w:p>
        </w:tc>
        <w:tc>
          <w:tcPr>
            <w:tcW w:w="1153" w:type="dxa"/>
            <w:gridSpan w:val="2"/>
            <w:tcMar>
              <w:left w:w="28" w:type="dxa"/>
              <w:right w:w="28" w:type="dxa"/>
            </w:tcMar>
          </w:tcPr>
          <w:p w14:paraId="68A76FD4" w14:textId="77777777" w:rsidR="002709ED" w:rsidRDefault="002709ED">
            <w:pPr>
              <w:keepNext/>
              <w:keepLines/>
              <w:spacing w:before="40" w:after="40" w:line="360" w:lineRule="auto"/>
              <w:rPr>
                <w:noProof/>
                <w:sz w:val="22"/>
                <w:szCs w:val="24"/>
                <w:vertAlign w:val="superscript"/>
                <w:lang w:val="en-GB" w:eastAsia="en-US"/>
              </w:rPr>
            </w:pPr>
          </w:p>
        </w:tc>
        <w:tc>
          <w:tcPr>
            <w:tcW w:w="970" w:type="dxa"/>
            <w:tcMar>
              <w:left w:w="28" w:type="dxa"/>
              <w:right w:w="28" w:type="dxa"/>
            </w:tcMar>
          </w:tcPr>
          <w:p w14:paraId="7A7A154B" w14:textId="77777777" w:rsidR="002709ED" w:rsidRDefault="00B2757B">
            <w:pPr>
              <w:keepNext/>
              <w:keepLines/>
              <w:spacing w:before="40" w:after="40" w:line="360" w:lineRule="auto"/>
              <w:rPr>
                <w:noProof/>
                <w:sz w:val="22"/>
                <w:szCs w:val="24"/>
                <w:vertAlign w:val="superscript"/>
                <w:lang w:val="en-GB" w:eastAsia="en-US"/>
              </w:rPr>
            </w:pPr>
            <w:r>
              <w:rPr>
                <w:noProof/>
                <w:sz w:val="22"/>
                <w:szCs w:val="24"/>
                <w:lang w:val="en-GB" w:eastAsia="en-US"/>
              </w:rPr>
              <w:t>X</w:t>
            </w:r>
          </w:p>
        </w:tc>
      </w:tr>
      <w:tr w:rsidR="002709ED" w14:paraId="5A47286E" w14:textId="77777777">
        <w:trPr>
          <w:gridBefore w:val="1"/>
          <w:wBefore w:w="12" w:type="dxa"/>
          <w:cantSplit/>
          <w:tblHeader/>
          <w:jc w:val="center"/>
        </w:trPr>
        <w:tc>
          <w:tcPr>
            <w:tcW w:w="651" w:type="dxa"/>
            <w:gridSpan w:val="3"/>
            <w:tcMar>
              <w:left w:w="28" w:type="dxa"/>
              <w:right w:w="28" w:type="dxa"/>
            </w:tcMar>
          </w:tcPr>
          <w:p w14:paraId="00A0C730"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(42)</w:t>
            </w:r>
          </w:p>
        </w:tc>
        <w:tc>
          <w:tcPr>
            <w:tcW w:w="2286" w:type="dxa"/>
            <w:gridSpan w:val="3"/>
            <w:tcMar>
              <w:left w:w="28" w:type="dxa"/>
              <w:right w:w="28" w:type="dxa"/>
            </w:tcMar>
          </w:tcPr>
          <w:p w14:paraId="33061CA8"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dichlórvos</w:t>
            </w:r>
          </w:p>
        </w:tc>
        <w:tc>
          <w:tcPr>
            <w:tcW w:w="1329" w:type="dxa"/>
            <w:gridSpan w:val="3"/>
            <w:tcMar>
              <w:left w:w="28" w:type="dxa"/>
              <w:right w:w="28" w:type="dxa"/>
            </w:tcMar>
          </w:tcPr>
          <w:p w14:paraId="0C8636EC"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organofosfátové pesticídy</w:t>
            </w:r>
          </w:p>
        </w:tc>
        <w:tc>
          <w:tcPr>
            <w:tcW w:w="992" w:type="dxa"/>
            <w:gridSpan w:val="2"/>
            <w:tcMar>
              <w:left w:w="28" w:type="dxa"/>
              <w:right w:w="28" w:type="dxa"/>
            </w:tcMar>
          </w:tcPr>
          <w:p w14:paraId="13F5AB34"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62-73-7</w:t>
            </w:r>
          </w:p>
        </w:tc>
        <w:tc>
          <w:tcPr>
            <w:tcW w:w="1134" w:type="dxa"/>
          </w:tcPr>
          <w:p w14:paraId="52B5B335"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200-547-7</w:t>
            </w:r>
          </w:p>
        </w:tc>
        <w:tc>
          <w:tcPr>
            <w:tcW w:w="1279" w:type="dxa"/>
            <w:gridSpan w:val="2"/>
            <w:tcMar>
              <w:left w:w="28" w:type="dxa"/>
              <w:right w:w="28" w:type="dxa"/>
            </w:tcMar>
          </w:tcPr>
          <w:p w14:paraId="1FA8DB20" w14:textId="77777777" w:rsidR="002709ED" w:rsidRDefault="00B2757B">
            <w:pPr>
              <w:keepNext/>
              <w:keepLines/>
              <w:spacing w:before="40" w:after="40" w:line="360" w:lineRule="auto"/>
              <w:rPr>
                <w:noProof/>
                <w:sz w:val="22"/>
                <w:szCs w:val="24"/>
                <w:vertAlign w:val="superscript"/>
                <w:lang w:val="en-GB" w:eastAsia="en-US"/>
              </w:rPr>
            </w:pPr>
            <w:r>
              <w:rPr>
                <w:noProof/>
                <w:sz w:val="22"/>
                <w:szCs w:val="24"/>
                <w:lang w:val="en-GB" w:eastAsia="en-US"/>
              </w:rPr>
              <w:t>6 × 10</w:t>
            </w:r>
            <w:r>
              <w:rPr>
                <w:noProof/>
                <w:sz w:val="22"/>
                <w:szCs w:val="24"/>
                <w:vertAlign w:val="superscript"/>
                <w:lang w:val="en-GB" w:eastAsia="en-US"/>
              </w:rPr>
              <w:t>-4</w:t>
            </w:r>
          </w:p>
        </w:tc>
        <w:tc>
          <w:tcPr>
            <w:tcW w:w="1279" w:type="dxa"/>
            <w:gridSpan w:val="2"/>
            <w:tcMar>
              <w:left w:w="28" w:type="dxa"/>
              <w:right w:w="28" w:type="dxa"/>
            </w:tcMar>
          </w:tcPr>
          <w:p w14:paraId="2BEB14C5" w14:textId="77777777" w:rsidR="002709ED" w:rsidRDefault="00B2757B">
            <w:pPr>
              <w:keepNext/>
              <w:keepLines/>
              <w:spacing w:before="40" w:after="40" w:line="360" w:lineRule="auto"/>
              <w:rPr>
                <w:noProof/>
                <w:sz w:val="22"/>
                <w:szCs w:val="24"/>
                <w:vertAlign w:val="superscript"/>
                <w:lang w:val="en-GB" w:eastAsia="en-US"/>
              </w:rPr>
            </w:pPr>
            <w:r>
              <w:rPr>
                <w:noProof/>
                <w:sz w:val="22"/>
                <w:szCs w:val="24"/>
                <w:lang w:val="en-GB" w:eastAsia="en-US"/>
              </w:rPr>
              <w:t>6 × 10</w:t>
            </w:r>
            <w:r>
              <w:rPr>
                <w:noProof/>
                <w:sz w:val="22"/>
                <w:szCs w:val="24"/>
                <w:vertAlign w:val="superscript"/>
                <w:lang w:val="en-GB" w:eastAsia="en-US"/>
              </w:rPr>
              <w:t>-5</w:t>
            </w:r>
          </w:p>
        </w:tc>
        <w:tc>
          <w:tcPr>
            <w:tcW w:w="1278" w:type="dxa"/>
            <w:gridSpan w:val="2"/>
            <w:tcMar>
              <w:left w:w="28" w:type="dxa"/>
              <w:right w:w="28" w:type="dxa"/>
            </w:tcMar>
          </w:tcPr>
          <w:p w14:paraId="7488A19B" w14:textId="77777777" w:rsidR="002709ED" w:rsidRDefault="00B2757B">
            <w:pPr>
              <w:keepNext/>
              <w:keepLines/>
              <w:spacing w:before="40" w:after="40" w:line="360" w:lineRule="auto"/>
              <w:rPr>
                <w:noProof/>
                <w:sz w:val="22"/>
                <w:szCs w:val="24"/>
                <w:vertAlign w:val="superscript"/>
                <w:lang w:val="en-GB" w:eastAsia="en-US"/>
              </w:rPr>
            </w:pPr>
            <w:r>
              <w:rPr>
                <w:noProof/>
                <w:sz w:val="22"/>
                <w:szCs w:val="24"/>
                <w:lang w:val="en-GB" w:eastAsia="en-US"/>
              </w:rPr>
              <w:t>7 × 10</w:t>
            </w:r>
            <w:r>
              <w:rPr>
                <w:noProof/>
                <w:sz w:val="22"/>
                <w:szCs w:val="24"/>
                <w:vertAlign w:val="superscript"/>
                <w:lang w:val="en-GB" w:eastAsia="en-US"/>
              </w:rPr>
              <w:t>-4</w:t>
            </w:r>
          </w:p>
        </w:tc>
        <w:tc>
          <w:tcPr>
            <w:tcW w:w="1277" w:type="dxa"/>
            <w:gridSpan w:val="2"/>
            <w:tcMar>
              <w:left w:w="28" w:type="dxa"/>
              <w:right w:w="28" w:type="dxa"/>
            </w:tcMar>
          </w:tcPr>
          <w:p w14:paraId="38ACA18F" w14:textId="77777777" w:rsidR="002709ED" w:rsidRDefault="00B2757B">
            <w:pPr>
              <w:keepNext/>
              <w:keepLines/>
              <w:spacing w:before="40" w:after="40" w:line="360" w:lineRule="auto"/>
              <w:rPr>
                <w:noProof/>
                <w:sz w:val="22"/>
                <w:szCs w:val="24"/>
                <w:vertAlign w:val="superscript"/>
                <w:lang w:val="en-GB" w:eastAsia="en-US"/>
              </w:rPr>
            </w:pPr>
            <w:r>
              <w:rPr>
                <w:noProof/>
                <w:sz w:val="22"/>
                <w:szCs w:val="24"/>
                <w:lang w:val="en-GB" w:eastAsia="en-US"/>
              </w:rPr>
              <w:t>7 × 10</w:t>
            </w:r>
            <w:r>
              <w:rPr>
                <w:noProof/>
                <w:sz w:val="22"/>
                <w:szCs w:val="24"/>
                <w:vertAlign w:val="superscript"/>
                <w:lang w:val="en-GB" w:eastAsia="en-US"/>
              </w:rPr>
              <w:t>-5</w:t>
            </w:r>
          </w:p>
        </w:tc>
        <w:tc>
          <w:tcPr>
            <w:tcW w:w="1136" w:type="dxa"/>
            <w:gridSpan w:val="2"/>
            <w:tcMar>
              <w:left w:w="28" w:type="dxa"/>
              <w:right w:w="28" w:type="dxa"/>
            </w:tcMar>
          </w:tcPr>
          <w:p w14:paraId="51BEB44E" w14:textId="77777777" w:rsidR="002709ED" w:rsidRDefault="002709ED">
            <w:pPr>
              <w:keepNext/>
              <w:keepLines/>
              <w:spacing w:before="40" w:after="40" w:line="360" w:lineRule="auto"/>
              <w:rPr>
                <w:noProof/>
                <w:sz w:val="22"/>
                <w:szCs w:val="24"/>
                <w:vertAlign w:val="superscript"/>
                <w:lang w:val="en-GB" w:eastAsia="en-US"/>
              </w:rPr>
            </w:pPr>
          </w:p>
        </w:tc>
        <w:tc>
          <w:tcPr>
            <w:tcW w:w="1262" w:type="dxa"/>
            <w:tcMar>
              <w:left w:w="28" w:type="dxa"/>
              <w:right w:w="28" w:type="dxa"/>
            </w:tcMar>
          </w:tcPr>
          <w:p w14:paraId="1C17E782" w14:textId="77777777" w:rsidR="002709ED" w:rsidRDefault="002709ED">
            <w:pPr>
              <w:keepNext/>
              <w:keepLines/>
              <w:spacing w:before="40" w:after="40" w:line="360" w:lineRule="auto"/>
              <w:rPr>
                <w:noProof/>
                <w:sz w:val="22"/>
                <w:szCs w:val="24"/>
                <w:vertAlign w:val="superscript"/>
                <w:lang w:val="en-GB" w:eastAsia="en-US"/>
              </w:rPr>
            </w:pPr>
          </w:p>
        </w:tc>
        <w:tc>
          <w:tcPr>
            <w:tcW w:w="1153" w:type="dxa"/>
            <w:gridSpan w:val="2"/>
            <w:tcMar>
              <w:left w:w="28" w:type="dxa"/>
              <w:right w:w="28" w:type="dxa"/>
            </w:tcMar>
          </w:tcPr>
          <w:p w14:paraId="5C193187" w14:textId="77777777" w:rsidR="002709ED" w:rsidRDefault="002709ED">
            <w:pPr>
              <w:keepNext/>
              <w:keepLines/>
              <w:spacing w:before="40" w:after="40" w:line="360" w:lineRule="auto"/>
              <w:rPr>
                <w:noProof/>
                <w:sz w:val="22"/>
                <w:szCs w:val="24"/>
                <w:vertAlign w:val="superscript"/>
                <w:lang w:val="en-GB" w:eastAsia="en-US"/>
              </w:rPr>
            </w:pPr>
          </w:p>
        </w:tc>
        <w:tc>
          <w:tcPr>
            <w:tcW w:w="970" w:type="dxa"/>
            <w:tcMar>
              <w:left w:w="28" w:type="dxa"/>
              <w:right w:w="28" w:type="dxa"/>
            </w:tcMar>
          </w:tcPr>
          <w:p w14:paraId="4D8DF6F0" w14:textId="77777777" w:rsidR="002709ED" w:rsidRDefault="002709ED">
            <w:pPr>
              <w:keepNext/>
              <w:keepLines/>
              <w:spacing w:before="40" w:after="40" w:line="360" w:lineRule="auto"/>
              <w:rPr>
                <w:noProof/>
                <w:sz w:val="22"/>
                <w:szCs w:val="24"/>
                <w:vertAlign w:val="superscript"/>
                <w:lang w:val="en-GB" w:eastAsia="en-US"/>
              </w:rPr>
            </w:pPr>
          </w:p>
        </w:tc>
      </w:tr>
      <w:tr w:rsidR="002709ED" w14:paraId="226204EC" w14:textId="77777777">
        <w:trPr>
          <w:gridBefore w:val="1"/>
          <w:wBefore w:w="12" w:type="dxa"/>
          <w:cantSplit/>
          <w:tblHeader/>
          <w:jc w:val="center"/>
        </w:trPr>
        <w:tc>
          <w:tcPr>
            <w:tcW w:w="651" w:type="dxa"/>
            <w:gridSpan w:val="3"/>
            <w:tcMar>
              <w:left w:w="28" w:type="dxa"/>
              <w:right w:w="28" w:type="dxa"/>
            </w:tcMar>
          </w:tcPr>
          <w:p w14:paraId="76E6FC98"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(43)</w:t>
            </w:r>
          </w:p>
        </w:tc>
        <w:tc>
          <w:tcPr>
            <w:tcW w:w="2286" w:type="dxa"/>
            <w:gridSpan w:val="3"/>
            <w:tcMar>
              <w:left w:w="28" w:type="dxa"/>
              <w:right w:w="28" w:type="dxa"/>
            </w:tcMar>
          </w:tcPr>
          <w:p w14:paraId="16753DFF"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hexabrómcyklododekán (HBCDD) (</w:t>
            </w:r>
            <w:r>
              <w:rPr>
                <w:noProof/>
                <w:sz w:val="22"/>
                <w:szCs w:val="24"/>
                <w:vertAlign w:val="superscript"/>
                <w:lang w:val="en-GB" w:eastAsia="en-US"/>
              </w:rPr>
              <w:t>24</w:t>
            </w:r>
            <w:r>
              <w:rPr>
                <w:noProof/>
                <w:sz w:val="22"/>
                <w:szCs w:val="24"/>
                <w:lang w:val="en-GB" w:eastAsia="en-US"/>
              </w:rPr>
              <w:t>)</w:t>
            </w:r>
            <w:r>
              <w:rPr>
                <w:noProof/>
                <w:szCs w:val="24"/>
                <w:u w:val="single"/>
                <w:lang w:val="en-GB" w:eastAsia="en-US"/>
              </w:rPr>
              <w:t xml:space="preserve"> </w:t>
            </w:r>
          </w:p>
        </w:tc>
        <w:tc>
          <w:tcPr>
            <w:tcW w:w="1329" w:type="dxa"/>
            <w:gridSpan w:val="3"/>
            <w:tcMar>
              <w:left w:w="28" w:type="dxa"/>
              <w:right w:w="28" w:type="dxa"/>
            </w:tcMar>
          </w:tcPr>
          <w:p w14:paraId="2AD80CF8"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priemyselné látky</w:t>
            </w:r>
          </w:p>
        </w:tc>
        <w:tc>
          <w:tcPr>
            <w:tcW w:w="992" w:type="dxa"/>
            <w:gridSpan w:val="2"/>
            <w:tcMar>
              <w:left w:w="28" w:type="dxa"/>
              <w:right w:w="28" w:type="dxa"/>
            </w:tcMar>
          </w:tcPr>
          <w:p w14:paraId="3D765BD0"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pozri poznámku pod čiarou 24</w:t>
            </w:r>
          </w:p>
        </w:tc>
        <w:tc>
          <w:tcPr>
            <w:tcW w:w="1134" w:type="dxa"/>
          </w:tcPr>
          <w:p w14:paraId="00AD0C9D"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pozri poznámku pod čiarou 24</w:t>
            </w:r>
          </w:p>
        </w:tc>
        <w:tc>
          <w:tcPr>
            <w:tcW w:w="1279" w:type="dxa"/>
            <w:gridSpan w:val="2"/>
            <w:tcMar>
              <w:left w:w="28" w:type="dxa"/>
              <w:right w:w="28" w:type="dxa"/>
            </w:tcMar>
          </w:tcPr>
          <w:p w14:paraId="09C9928B"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[4,6 × 10</w:t>
            </w:r>
            <w:r>
              <w:rPr>
                <w:noProof/>
                <w:sz w:val="22"/>
                <w:szCs w:val="24"/>
                <w:vertAlign w:val="superscript"/>
                <w:lang w:val="en-GB" w:eastAsia="en-US"/>
              </w:rPr>
              <w:t>-4</w:t>
            </w:r>
            <w:r>
              <w:rPr>
                <w:noProof/>
                <w:sz w:val="22"/>
                <w:szCs w:val="24"/>
                <w:lang w:val="en-GB" w:eastAsia="en-US"/>
              </w:rPr>
              <w:t>]</w:t>
            </w:r>
          </w:p>
        </w:tc>
        <w:tc>
          <w:tcPr>
            <w:tcW w:w="1279" w:type="dxa"/>
            <w:gridSpan w:val="2"/>
            <w:tcMar>
              <w:left w:w="28" w:type="dxa"/>
              <w:right w:w="28" w:type="dxa"/>
            </w:tcMar>
          </w:tcPr>
          <w:p w14:paraId="1507981F"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[2 × 10</w:t>
            </w:r>
            <w:r>
              <w:rPr>
                <w:noProof/>
                <w:sz w:val="22"/>
                <w:szCs w:val="24"/>
                <w:vertAlign w:val="superscript"/>
                <w:lang w:val="en-GB" w:eastAsia="en-US"/>
              </w:rPr>
              <w:t>-5</w:t>
            </w:r>
            <w:r>
              <w:rPr>
                <w:noProof/>
                <w:sz w:val="22"/>
                <w:szCs w:val="24"/>
                <w:lang w:val="en-GB" w:eastAsia="en-US"/>
              </w:rPr>
              <w:t>]</w:t>
            </w:r>
          </w:p>
        </w:tc>
        <w:tc>
          <w:tcPr>
            <w:tcW w:w="1278" w:type="dxa"/>
            <w:gridSpan w:val="2"/>
            <w:tcMar>
              <w:left w:w="28" w:type="dxa"/>
              <w:right w:w="28" w:type="dxa"/>
            </w:tcMar>
          </w:tcPr>
          <w:p w14:paraId="5F639006"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0,5</w:t>
            </w:r>
          </w:p>
        </w:tc>
        <w:tc>
          <w:tcPr>
            <w:tcW w:w="1277" w:type="dxa"/>
            <w:gridSpan w:val="2"/>
            <w:tcMar>
              <w:left w:w="28" w:type="dxa"/>
              <w:right w:w="28" w:type="dxa"/>
            </w:tcMar>
          </w:tcPr>
          <w:p w14:paraId="09992590"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0,05</w:t>
            </w:r>
          </w:p>
        </w:tc>
        <w:tc>
          <w:tcPr>
            <w:tcW w:w="1136" w:type="dxa"/>
            <w:gridSpan w:val="2"/>
            <w:tcMar>
              <w:left w:w="28" w:type="dxa"/>
              <w:right w:w="28" w:type="dxa"/>
            </w:tcMar>
          </w:tcPr>
          <w:p w14:paraId="5342CC58"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[3,5]</w:t>
            </w:r>
          </w:p>
        </w:tc>
        <w:tc>
          <w:tcPr>
            <w:tcW w:w="1262" w:type="dxa"/>
            <w:tcMar>
              <w:left w:w="28" w:type="dxa"/>
              <w:right w:w="28" w:type="dxa"/>
            </w:tcMar>
          </w:tcPr>
          <w:p w14:paraId="44A62D4D"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X</w:t>
            </w:r>
          </w:p>
        </w:tc>
        <w:tc>
          <w:tcPr>
            <w:tcW w:w="1153" w:type="dxa"/>
            <w:gridSpan w:val="2"/>
            <w:tcMar>
              <w:left w:w="28" w:type="dxa"/>
              <w:right w:w="28" w:type="dxa"/>
            </w:tcMar>
          </w:tcPr>
          <w:p w14:paraId="3624BAF0"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X</w:t>
            </w:r>
          </w:p>
        </w:tc>
        <w:tc>
          <w:tcPr>
            <w:tcW w:w="970" w:type="dxa"/>
            <w:tcMar>
              <w:left w:w="28" w:type="dxa"/>
              <w:right w:w="28" w:type="dxa"/>
            </w:tcMar>
          </w:tcPr>
          <w:p w14:paraId="3A246C78"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X</w:t>
            </w:r>
          </w:p>
        </w:tc>
      </w:tr>
      <w:tr w:rsidR="002709ED" w14:paraId="267342B8" w14:textId="77777777">
        <w:trPr>
          <w:gridBefore w:val="1"/>
          <w:wBefore w:w="12" w:type="dxa"/>
          <w:cantSplit/>
          <w:tblHeader/>
          <w:jc w:val="center"/>
        </w:trPr>
        <w:tc>
          <w:tcPr>
            <w:tcW w:w="651" w:type="dxa"/>
            <w:gridSpan w:val="3"/>
            <w:tcMar>
              <w:left w:w="28" w:type="dxa"/>
              <w:right w:w="28" w:type="dxa"/>
            </w:tcMar>
          </w:tcPr>
          <w:p w14:paraId="25639698"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lastRenderedPageBreak/>
              <w:t>(44)</w:t>
            </w:r>
          </w:p>
        </w:tc>
        <w:tc>
          <w:tcPr>
            <w:tcW w:w="2286" w:type="dxa"/>
            <w:gridSpan w:val="3"/>
            <w:tcMar>
              <w:left w:w="28" w:type="dxa"/>
              <w:right w:w="28" w:type="dxa"/>
            </w:tcMar>
          </w:tcPr>
          <w:p w14:paraId="78951C48"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heptachlór a heptachlór epoxid</w:t>
            </w:r>
          </w:p>
        </w:tc>
        <w:tc>
          <w:tcPr>
            <w:tcW w:w="1329" w:type="dxa"/>
            <w:gridSpan w:val="3"/>
            <w:tcMar>
              <w:left w:w="28" w:type="dxa"/>
              <w:right w:w="28" w:type="dxa"/>
            </w:tcMar>
          </w:tcPr>
          <w:p w14:paraId="0B6AF8E9"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organochlórové pesticídy</w:t>
            </w:r>
          </w:p>
        </w:tc>
        <w:tc>
          <w:tcPr>
            <w:tcW w:w="992" w:type="dxa"/>
            <w:gridSpan w:val="2"/>
            <w:tcMar>
              <w:left w:w="28" w:type="dxa"/>
              <w:right w:w="28" w:type="dxa"/>
            </w:tcMar>
          </w:tcPr>
          <w:p w14:paraId="21DBB4C6"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76-44-8 / 1024-57-3</w:t>
            </w:r>
          </w:p>
        </w:tc>
        <w:tc>
          <w:tcPr>
            <w:tcW w:w="1134" w:type="dxa"/>
          </w:tcPr>
          <w:p w14:paraId="04B2D744" w14:textId="77777777" w:rsidR="002709ED" w:rsidRDefault="00B2757B">
            <w:pPr>
              <w:keepNext/>
              <w:keepLines/>
              <w:spacing w:before="40" w:after="40" w:line="360" w:lineRule="auto"/>
              <w:rPr>
                <w:strike/>
                <w:noProof/>
                <w:sz w:val="22"/>
                <w:szCs w:val="24"/>
                <w:lang w:val="en-GB" w:eastAsia="en-US"/>
              </w:rPr>
            </w:pPr>
            <w:r>
              <w:rPr>
                <w:noProof/>
                <w:sz w:val="22"/>
                <w:szCs w:val="24"/>
                <w:lang w:val="en-GB" w:eastAsia="en-US"/>
              </w:rPr>
              <w:t>200-962-3/ 213-831-0</w:t>
            </w:r>
          </w:p>
        </w:tc>
        <w:tc>
          <w:tcPr>
            <w:tcW w:w="1279" w:type="dxa"/>
            <w:gridSpan w:val="2"/>
            <w:tcMar>
              <w:left w:w="28" w:type="dxa"/>
              <w:right w:w="28" w:type="dxa"/>
            </w:tcMar>
          </w:tcPr>
          <w:p w14:paraId="5BF8FC2E"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[1,7 × 10</w:t>
            </w:r>
            <w:r>
              <w:rPr>
                <w:noProof/>
                <w:sz w:val="22"/>
                <w:szCs w:val="24"/>
                <w:vertAlign w:val="superscript"/>
                <w:lang w:val="en-GB" w:eastAsia="en-US"/>
              </w:rPr>
              <w:t>-7</w:t>
            </w:r>
            <w:r>
              <w:rPr>
                <w:noProof/>
                <w:sz w:val="22"/>
                <w:szCs w:val="24"/>
                <w:lang w:val="en-GB" w:eastAsia="en-US"/>
              </w:rPr>
              <w:t>]</w:t>
            </w:r>
          </w:p>
        </w:tc>
        <w:tc>
          <w:tcPr>
            <w:tcW w:w="1279" w:type="dxa"/>
            <w:gridSpan w:val="2"/>
            <w:tcMar>
              <w:left w:w="28" w:type="dxa"/>
              <w:right w:w="28" w:type="dxa"/>
            </w:tcMar>
          </w:tcPr>
          <w:p w14:paraId="79EF5E8D"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[1,7 × 10</w:t>
            </w:r>
            <w:r>
              <w:rPr>
                <w:noProof/>
                <w:sz w:val="22"/>
                <w:szCs w:val="24"/>
                <w:vertAlign w:val="superscript"/>
                <w:lang w:val="en-GB" w:eastAsia="en-US"/>
              </w:rPr>
              <w:t>-7</w:t>
            </w:r>
            <w:r>
              <w:rPr>
                <w:noProof/>
                <w:sz w:val="22"/>
                <w:szCs w:val="24"/>
                <w:lang w:val="en-GB" w:eastAsia="en-US"/>
              </w:rPr>
              <w:t>]</w:t>
            </w:r>
          </w:p>
        </w:tc>
        <w:tc>
          <w:tcPr>
            <w:tcW w:w="1278" w:type="dxa"/>
            <w:gridSpan w:val="2"/>
            <w:tcMar>
              <w:left w:w="28" w:type="dxa"/>
              <w:right w:w="28" w:type="dxa"/>
            </w:tcMar>
          </w:tcPr>
          <w:p w14:paraId="6F0B525D" w14:textId="77777777" w:rsidR="002709ED" w:rsidRDefault="00B2757B">
            <w:pPr>
              <w:keepNext/>
              <w:keepLines/>
              <w:spacing w:before="40" w:after="40" w:line="360" w:lineRule="auto"/>
              <w:rPr>
                <w:noProof/>
                <w:sz w:val="22"/>
                <w:szCs w:val="24"/>
                <w:vertAlign w:val="superscript"/>
                <w:lang w:val="en-GB" w:eastAsia="en-US"/>
              </w:rPr>
            </w:pPr>
            <w:r>
              <w:rPr>
                <w:noProof/>
                <w:sz w:val="22"/>
                <w:szCs w:val="24"/>
                <w:lang w:val="en-GB" w:eastAsia="en-US"/>
              </w:rPr>
              <w:t>3 × 10</w:t>
            </w:r>
            <w:r>
              <w:rPr>
                <w:noProof/>
                <w:sz w:val="22"/>
                <w:szCs w:val="24"/>
                <w:vertAlign w:val="superscript"/>
                <w:lang w:val="en-GB" w:eastAsia="en-US"/>
              </w:rPr>
              <w:t>-4</w:t>
            </w:r>
          </w:p>
        </w:tc>
        <w:tc>
          <w:tcPr>
            <w:tcW w:w="1277" w:type="dxa"/>
            <w:gridSpan w:val="2"/>
            <w:tcMar>
              <w:left w:w="28" w:type="dxa"/>
              <w:right w:w="28" w:type="dxa"/>
            </w:tcMar>
          </w:tcPr>
          <w:p w14:paraId="20639F77" w14:textId="77777777" w:rsidR="002709ED" w:rsidRDefault="00B2757B">
            <w:pPr>
              <w:keepNext/>
              <w:keepLines/>
              <w:spacing w:before="40" w:after="40" w:line="360" w:lineRule="auto"/>
              <w:rPr>
                <w:noProof/>
                <w:sz w:val="22"/>
                <w:szCs w:val="24"/>
                <w:vertAlign w:val="superscript"/>
                <w:lang w:val="en-GB" w:eastAsia="en-US"/>
              </w:rPr>
            </w:pPr>
            <w:r>
              <w:rPr>
                <w:noProof/>
                <w:sz w:val="22"/>
                <w:szCs w:val="24"/>
                <w:lang w:val="en-GB" w:eastAsia="en-US"/>
              </w:rPr>
              <w:t>3 × 10</w:t>
            </w:r>
            <w:r>
              <w:rPr>
                <w:noProof/>
                <w:sz w:val="22"/>
                <w:szCs w:val="24"/>
                <w:vertAlign w:val="superscript"/>
                <w:lang w:val="en-GB" w:eastAsia="en-US"/>
              </w:rPr>
              <w:t>-5</w:t>
            </w:r>
          </w:p>
        </w:tc>
        <w:tc>
          <w:tcPr>
            <w:tcW w:w="1136" w:type="dxa"/>
            <w:gridSpan w:val="2"/>
            <w:tcMar>
              <w:left w:w="28" w:type="dxa"/>
              <w:right w:w="28" w:type="dxa"/>
            </w:tcMar>
          </w:tcPr>
          <w:p w14:paraId="28E95E71" w14:textId="77777777" w:rsidR="002709ED" w:rsidRDefault="00B2757B">
            <w:pPr>
              <w:keepNext/>
              <w:keepLines/>
              <w:spacing w:before="40" w:after="40" w:line="360" w:lineRule="auto"/>
              <w:rPr>
                <w:noProof/>
                <w:sz w:val="22"/>
                <w:szCs w:val="24"/>
                <w:vertAlign w:val="superscript"/>
                <w:lang w:val="en-GB" w:eastAsia="en-US"/>
              </w:rPr>
            </w:pPr>
            <w:r>
              <w:rPr>
                <w:noProof/>
                <w:sz w:val="22"/>
                <w:szCs w:val="24"/>
                <w:vertAlign w:val="superscript"/>
                <w:lang w:val="en-GB" w:eastAsia="en-US"/>
              </w:rPr>
              <w:t xml:space="preserve"> </w:t>
            </w:r>
            <w:r>
              <w:rPr>
                <w:noProof/>
                <w:sz w:val="22"/>
                <w:szCs w:val="24"/>
                <w:lang w:val="en-GB" w:eastAsia="en-US"/>
              </w:rPr>
              <w:t>[0,013]</w:t>
            </w:r>
          </w:p>
        </w:tc>
        <w:tc>
          <w:tcPr>
            <w:tcW w:w="1262" w:type="dxa"/>
            <w:tcMar>
              <w:left w:w="28" w:type="dxa"/>
              <w:right w:w="28" w:type="dxa"/>
            </w:tcMar>
          </w:tcPr>
          <w:p w14:paraId="1BD8D019"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X</w:t>
            </w:r>
          </w:p>
        </w:tc>
        <w:tc>
          <w:tcPr>
            <w:tcW w:w="1153" w:type="dxa"/>
            <w:gridSpan w:val="2"/>
            <w:tcMar>
              <w:left w:w="28" w:type="dxa"/>
              <w:right w:w="28" w:type="dxa"/>
            </w:tcMar>
          </w:tcPr>
          <w:p w14:paraId="67B407A7"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X</w:t>
            </w:r>
          </w:p>
        </w:tc>
        <w:tc>
          <w:tcPr>
            <w:tcW w:w="970" w:type="dxa"/>
            <w:tcMar>
              <w:left w:w="28" w:type="dxa"/>
              <w:right w:w="28" w:type="dxa"/>
            </w:tcMar>
          </w:tcPr>
          <w:p w14:paraId="009670D5"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X</w:t>
            </w:r>
          </w:p>
        </w:tc>
      </w:tr>
      <w:tr w:rsidR="002709ED" w14:paraId="6818A73D" w14:textId="77777777">
        <w:trPr>
          <w:gridBefore w:val="1"/>
          <w:wBefore w:w="12" w:type="dxa"/>
          <w:cantSplit/>
          <w:tblHeader/>
          <w:jc w:val="center"/>
        </w:trPr>
        <w:tc>
          <w:tcPr>
            <w:tcW w:w="651" w:type="dxa"/>
            <w:gridSpan w:val="3"/>
            <w:tcMar>
              <w:left w:w="28" w:type="dxa"/>
              <w:right w:w="28" w:type="dxa"/>
            </w:tcMar>
          </w:tcPr>
          <w:p w14:paraId="2ED34E2F"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(45)</w:t>
            </w:r>
          </w:p>
        </w:tc>
        <w:tc>
          <w:tcPr>
            <w:tcW w:w="2286" w:type="dxa"/>
            <w:gridSpan w:val="3"/>
            <w:tcMar>
              <w:left w:w="28" w:type="dxa"/>
              <w:right w:w="28" w:type="dxa"/>
            </w:tcMar>
          </w:tcPr>
          <w:p w14:paraId="7B6B2F09"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terbutrín</w:t>
            </w:r>
          </w:p>
        </w:tc>
        <w:tc>
          <w:tcPr>
            <w:tcW w:w="1329" w:type="dxa"/>
            <w:gridSpan w:val="3"/>
            <w:tcMar>
              <w:left w:w="28" w:type="dxa"/>
              <w:right w:w="28" w:type="dxa"/>
            </w:tcMar>
          </w:tcPr>
          <w:p w14:paraId="59F8592D"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herbicídy</w:t>
            </w:r>
          </w:p>
        </w:tc>
        <w:tc>
          <w:tcPr>
            <w:tcW w:w="992" w:type="dxa"/>
            <w:gridSpan w:val="2"/>
            <w:tcMar>
              <w:left w:w="28" w:type="dxa"/>
              <w:right w:w="28" w:type="dxa"/>
            </w:tcMar>
          </w:tcPr>
          <w:p w14:paraId="278200F8"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886-50-0</w:t>
            </w:r>
          </w:p>
        </w:tc>
        <w:tc>
          <w:tcPr>
            <w:tcW w:w="1134" w:type="dxa"/>
          </w:tcPr>
          <w:p w14:paraId="416BF9F8"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212-950-5</w:t>
            </w:r>
          </w:p>
        </w:tc>
        <w:tc>
          <w:tcPr>
            <w:tcW w:w="1279" w:type="dxa"/>
            <w:gridSpan w:val="2"/>
            <w:tcMar>
              <w:left w:w="28" w:type="dxa"/>
              <w:right w:w="28" w:type="dxa"/>
            </w:tcMar>
          </w:tcPr>
          <w:p w14:paraId="66616AB2"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0,065</w:t>
            </w:r>
          </w:p>
        </w:tc>
        <w:tc>
          <w:tcPr>
            <w:tcW w:w="1279" w:type="dxa"/>
            <w:gridSpan w:val="2"/>
            <w:tcMar>
              <w:left w:w="28" w:type="dxa"/>
              <w:right w:w="28" w:type="dxa"/>
            </w:tcMar>
          </w:tcPr>
          <w:p w14:paraId="42471311"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0,0065</w:t>
            </w:r>
          </w:p>
        </w:tc>
        <w:tc>
          <w:tcPr>
            <w:tcW w:w="1278" w:type="dxa"/>
            <w:gridSpan w:val="2"/>
            <w:tcMar>
              <w:left w:w="28" w:type="dxa"/>
              <w:right w:w="28" w:type="dxa"/>
            </w:tcMar>
          </w:tcPr>
          <w:p w14:paraId="3BB35C4D"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0,34</w:t>
            </w:r>
          </w:p>
        </w:tc>
        <w:tc>
          <w:tcPr>
            <w:tcW w:w="1277" w:type="dxa"/>
            <w:gridSpan w:val="2"/>
            <w:tcMar>
              <w:left w:w="28" w:type="dxa"/>
              <w:right w:w="28" w:type="dxa"/>
            </w:tcMar>
          </w:tcPr>
          <w:p w14:paraId="6AE8C9BD"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0,034</w:t>
            </w:r>
          </w:p>
        </w:tc>
        <w:tc>
          <w:tcPr>
            <w:tcW w:w="1136" w:type="dxa"/>
            <w:gridSpan w:val="2"/>
            <w:tcMar>
              <w:left w:w="28" w:type="dxa"/>
              <w:right w:w="28" w:type="dxa"/>
            </w:tcMar>
          </w:tcPr>
          <w:p w14:paraId="7F905AB5" w14:textId="77777777" w:rsidR="002709ED" w:rsidRDefault="002709ED">
            <w:pPr>
              <w:keepNext/>
              <w:keepLines/>
              <w:spacing w:before="40" w:after="40" w:line="360" w:lineRule="auto"/>
              <w:rPr>
                <w:noProof/>
                <w:sz w:val="22"/>
                <w:szCs w:val="24"/>
                <w:lang w:val="en-GB" w:eastAsia="en-US"/>
              </w:rPr>
            </w:pPr>
          </w:p>
        </w:tc>
        <w:tc>
          <w:tcPr>
            <w:tcW w:w="1262" w:type="dxa"/>
            <w:tcMar>
              <w:left w:w="28" w:type="dxa"/>
              <w:right w:w="28" w:type="dxa"/>
            </w:tcMar>
          </w:tcPr>
          <w:p w14:paraId="5FF4C61E" w14:textId="77777777" w:rsidR="002709ED" w:rsidRDefault="002709ED">
            <w:pPr>
              <w:keepNext/>
              <w:keepLines/>
              <w:spacing w:before="40" w:after="40" w:line="360" w:lineRule="auto"/>
              <w:rPr>
                <w:noProof/>
                <w:sz w:val="22"/>
                <w:szCs w:val="24"/>
                <w:lang w:val="en-GB" w:eastAsia="en-US"/>
              </w:rPr>
            </w:pPr>
          </w:p>
        </w:tc>
        <w:tc>
          <w:tcPr>
            <w:tcW w:w="1153" w:type="dxa"/>
            <w:gridSpan w:val="2"/>
            <w:tcMar>
              <w:left w:w="28" w:type="dxa"/>
              <w:right w:w="28" w:type="dxa"/>
            </w:tcMar>
          </w:tcPr>
          <w:p w14:paraId="4C614A2F" w14:textId="77777777" w:rsidR="002709ED" w:rsidRDefault="002709ED">
            <w:pPr>
              <w:keepNext/>
              <w:keepLines/>
              <w:spacing w:before="40" w:after="40" w:line="360" w:lineRule="auto"/>
              <w:rPr>
                <w:noProof/>
                <w:sz w:val="22"/>
                <w:szCs w:val="24"/>
                <w:lang w:val="en-GB" w:eastAsia="en-US"/>
              </w:rPr>
            </w:pPr>
          </w:p>
        </w:tc>
        <w:tc>
          <w:tcPr>
            <w:tcW w:w="970" w:type="dxa"/>
            <w:tcMar>
              <w:left w:w="28" w:type="dxa"/>
              <w:right w:w="28" w:type="dxa"/>
            </w:tcMar>
          </w:tcPr>
          <w:p w14:paraId="4B67CC62" w14:textId="77777777" w:rsidR="002709ED" w:rsidRDefault="002709ED">
            <w:pPr>
              <w:keepNext/>
              <w:keepLines/>
              <w:spacing w:before="40" w:after="40" w:line="360" w:lineRule="auto"/>
              <w:rPr>
                <w:noProof/>
                <w:sz w:val="22"/>
                <w:szCs w:val="24"/>
                <w:lang w:val="en-GB" w:eastAsia="en-US"/>
              </w:rPr>
            </w:pPr>
          </w:p>
        </w:tc>
      </w:tr>
      <w:tr w:rsidR="002709ED" w14:paraId="6A44023A" w14:textId="77777777">
        <w:trPr>
          <w:gridBefore w:val="1"/>
          <w:wBefore w:w="12" w:type="dxa"/>
          <w:cantSplit/>
          <w:tblHeader/>
          <w:jc w:val="center"/>
        </w:trPr>
        <w:tc>
          <w:tcPr>
            <w:tcW w:w="651" w:type="dxa"/>
            <w:gridSpan w:val="3"/>
            <w:tcMar>
              <w:left w:w="28" w:type="dxa"/>
              <w:right w:w="28" w:type="dxa"/>
            </w:tcMar>
          </w:tcPr>
          <w:p w14:paraId="14D4AE9F"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(46)</w:t>
            </w:r>
          </w:p>
        </w:tc>
        <w:tc>
          <w:tcPr>
            <w:tcW w:w="2286" w:type="dxa"/>
            <w:gridSpan w:val="3"/>
            <w:shd w:val="clear" w:color="auto" w:fill="auto"/>
            <w:tcMar>
              <w:left w:w="28" w:type="dxa"/>
              <w:right w:w="28" w:type="dxa"/>
            </w:tcMar>
          </w:tcPr>
          <w:p w14:paraId="3E3BCCF9"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17-alfa-etinylestradiol (EE2)</w:t>
            </w:r>
          </w:p>
        </w:tc>
        <w:tc>
          <w:tcPr>
            <w:tcW w:w="1329" w:type="dxa"/>
            <w:gridSpan w:val="3"/>
            <w:shd w:val="clear" w:color="auto" w:fill="auto"/>
            <w:tcMar>
              <w:left w:w="28" w:type="dxa"/>
              <w:right w:w="28" w:type="dxa"/>
            </w:tcMar>
          </w:tcPr>
          <w:p w14:paraId="173343AD"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lieky (estrogénne hormóny)</w:t>
            </w:r>
          </w:p>
        </w:tc>
        <w:tc>
          <w:tcPr>
            <w:tcW w:w="992" w:type="dxa"/>
            <w:gridSpan w:val="2"/>
            <w:shd w:val="clear" w:color="auto" w:fill="auto"/>
            <w:tcMar>
              <w:left w:w="28" w:type="dxa"/>
              <w:right w:w="28" w:type="dxa"/>
            </w:tcMar>
          </w:tcPr>
          <w:p w14:paraId="24B807CF"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57-63-6</w:t>
            </w:r>
          </w:p>
        </w:tc>
        <w:tc>
          <w:tcPr>
            <w:tcW w:w="1134" w:type="dxa"/>
          </w:tcPr>
          <w:p w14:paraId="4310605F"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200-342-2</w:t>
            </w:r>
          </w:p>
        </w:tc>
        <w:tc>
          <w:tcPr>
            <w:tcW w:w="1279" w:type="dxa"/>
            <w:gridSpan w:val="2"/>
            <w:shd w:val="clear" w:color="auto" w:fill="auto"/>
            <w:tcMar>
              <w:left w:w="28" w:type="dxa"/>
              <w:right w:w="28" w:type="dxa"/>
            </w:tcMar>
          </w:tcPr>
          <w:p w14:paraId="664E03FC"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1,7 × 10</w:t>
            </w:r>
            <w:r>
              <w:rPr>
                <w:noProof/>
                <w:color w:val="000000"/>
                <w:sz w:val="22"/>
                <w:szCs w:val="24"/>
                <w:vertAlign w:val="superscript"/>
                <w:lang w:val="en-GB" w:eastAsia="en-US"/>
              </w:rPr>
              <w:t>-5</w:t>
            </w:r>
          </w:p>
        </w:tc>
        <w:tc>
          <w:tcPr>
            <w:tcW w:w="1279" w:type="dxa"/>
            <w:gridSpan w:val="2"/>
            <w:shd w:val="clear" w:color="auto" w:fill="auto"/>
            <w:tcMar>
              <w:left w:w="28" w:type="dxa"/>
              <w:right w:w="28" w:type="dxa"/>
            </w:tcMar>
          </w:tcPr>
          <w:p w14:paraId="59FBD4D4"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1,6 × 10</w:t>
            </w:r>
            <w:r>
              <w:rPr>
                <w:noProof/>
                <w:color w:val="000000"/>
                <w:sz w:val="22"/>
                <w:szCs w:val="24"/>
                <w:vertAlign w:val="superscript"/>
                <w:lang w:val="en-GB" w:eastAsia="en-US"/>
              </w:rPr>
              <w:t>-6</w:t>
            </w:r>
          </w:p>
        </w:tc>
        <w:tc>
          <w:tcPr>
            <w:tcW w:w="1278" w:type="dxa"/>
            <w:gridSpan w:val="2"/>
            <w:shd w:val="clear" w:color="auto" w:fill="auto"/>
            <w:tcMar>
              <w:left w:w="28" w:type="dxa"/>
              <w:right w:w="28" w:type="dxa"/>
            </w:tcMar>
          </w:tcPr>
          <w:p w14:paraId="2D20B3A4"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neodvodené</w:t>
            </w:r>
          </w:p>
        </w:tc>
        <w:tc>
          <w:tcPr>
            <w:tcW w:w="1277" w:type="dxa"/>
            <w:gridSpan w:val="2"/>
            <w:shd w:val="clear" w:color="auto" w:fill="auto"/>
            <w:tcMar>
              <w:left w:w="28" w:type="dxa"/>
              <w:right w:w="28" w:type="dxa"/>
            </w:tcMar>
          </w:tcPr>
          <w:p w14:paraId="5A986043"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neodvodené</w:t>
            </w:r>
          </w:p>
        </w:tc>
        <w:tc>
          <w:tcPr>
            <w:tcW w:w="1136" w:type="dxa"/>
            <w:gridSpan w:val="2"/>
            <w:shd w:val="clear" w:color="auto" w:fill="auto"/>
            <w:tcMar>
              <w:left w:w="28" w:type="dxa"/>
              <w:right w:w="28" w:type="dxa"/>
            </w:tcMar>
          </w:tcPr>
          <w:p w14:paraId="22B1C155" w14:textId="77777777" w:rsidR="002709ED" w:rsidRDefault="002709ED">
            <w:pPr>
              <w:keepNext/>
              <w:keepLines/>
              <w:spacing w:before="40" w:after="40" w:line="360" w:lineRule="auto"/>
              <w:rPr>
                <w:noProof/>
                <w:sz w:val="22"/>
                <w:szCs w:val="24"/>
                <w:lang w:val="en-GB" w:eastAsia="en-US"/>
              </w:rPr>
            </w:pPr>
          </w:p>
        </w:tc>
        <w:tc>
          <w:tcPr>
            <w:tcW w:w="1262" w:type="dxa"/>
            <w:tcMar>
              <w:left w:w="28" w:type="dxa"/>
              <w:right w:w="28" w:type="dxa"/>
            </w:tcMar>
          </w:tcPr>
          <w:p w14:paraId="1852AF4D" w14:textId="77777777" w:rsidR="002709ED" w:rsidRDefault="002709ED">
            <w:pPr>
              <w:keepNext/>
              <w:keepLines/>
              <w:spacing w:before="40" w:after="40" w:line="360" w:lineRule="auto"/>
              <w:rPr>
                <w:noProof/>
                <w:color w:val="000000"/>
                <w:sz w:val="22"/>
                <w:szCs w:val="24"/>
                <w:lang w:val="en-GB" w:eastAsia="en-US"/>
              </w:rPr>
            </w:pPr>
          </w:p>
        </w:tc>
        <w:tc>
          <w:tcPr>
            <w:tcW w:w="1153" w:type="dxa"/>
            <w:gridSpan w:val="2"/>
            <w:tcMar>
              <w:left w:w="28" w:type="dxa"/>
              <w:right w:w="28" w:type="dxa"/>
            </w:tcMar>
          </w:tcPr>
          <w:p w14:paraId="371BD326" w14:textId="77777777" w:rsidR="002709ED" w:rsidRDefault="002709ED">
            <w:pPr>
              <w:keepNext/>
              <w:keepLines/>
              <w:spacing w:before="40" w:after="40" w:line="360" w:lineRule="auto"/>
              <w:rPr>
                <w:noProof/>
                <w:color w:val="000000"/>
                <w:sz w:val="22"/>
                <w:szCs w:val="24"/>
                <w:lang w:val="en-GB" w:eastAsia="en-US"/>
              </w:rPr>
            </w:pPr>
          </w:p>
        </w:tc>
        <w:tc>
          <w:tcPr>
            <w:tcW w:w="970" w:type="dxa"/>
            <w:tcMar>
              <w:left w:w="28" w:type="dxa"/>
              <w:right w:w="28" w:type="dxa"/>
            </w:tcMar>
          </w:tcPr>
          <w:p w14:paraId="418018CB" w14:textId="77777777" w:rsidR="002709ED" w:rsidRDefault="002709ED">
            <w:pPr>
              <w:keepNext/>
              <w:keepLines/>
              <w:spacing w:before="40" w:after="40" w:line="360" w:lineRule="auto"/>
              <w:rPr>
                <w:noProof/>
                <w:color w:val="000000"/>
                <w:sz w:val="22"/>
                <w:szCs w:val="24"/>
                <w:lang w:val="en-GB" w:eastAsia="en-US"/>
              </w:rPr>
            </w:pPr>
          </w:p>
        </w:tc>
      </w:tr>
      <w:tr w:rsidR="002709ED" w14:paraId="42F01898" w14:textId="77777777">
        <w:trPr>
          <w:gridBefore w:val="1"/>
          <w:wBefore w:w="12" w:type="dxa"/>
          <w:cantSplit/>
          <w:tblHeader/>
          <w:jc w:val="center"/>
        </w:trPr>
        <w:tc>
          <w:tcPr>
            <w:tcW w:w="651" w:type="dxa"/>
            <w:gridSpan w:val="3"/>
            <w:tcMar>
              <w:left w:w="28" w:type="dxa"/>
              <w:right w:w="28" w:type="dxa"/>
            </w:tcMar>
          </w:tcPr>
          <w:p w14:paraId="4E166D25"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(47)</w:t>
            </w:r>
          </w:p>
        </w:tc>
        <w:tc>
          <w:tcPr>
            <w:tcW w:w="2286" w:type="dxa"/>
            <w:gridSpan w:val="3"/>
            <w:shd w:val="clear" w:color="auto" w:fill="auto"/>
            <w:tcMar>
              <w:left w:w="28" w:type="dxa"/>
              <w:right w:w="28" w:type="dxa"/>
            </w:tcMar>
          </w:tcPr>
          <w:p w14:paraId="4D660ADE"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17-beta-estradiol (E2)</w:t>
            </w:r>
          </w:p>
        </w:tc>
        <w:tc>
          <w:tcPr>
            <w:tcW w:w="1329" w:type="dxa"/>
            <w:gridSpan w:val="3"/>
            <w:shd w:val="clear" w:color="auto" w:fill="auto"/>
            <w:tcMar>
              <w:left w:w="28" w:type="dxa"/>
              <w:right w:w="28" w:type="dxa"/>
            </w:tcMar>
          </w:tcPr>
          <w:p w14:paraId="5EBBCC1A"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lieky (estrogénne hormóny)</w:t>
            </w:r>
          </w:p>
        </w:tc>
        <w:tc>
          <w:tcPr>
            <w:tcW w:w="992" w:type="dxa"/>
            <w:gridSpan w:val="2"/>
            <w:shd w:val="clear" w:color="auto" w:fill="auto"/>
            <w:tcMar>
              <w:left w:w="28" w:type="dxa"/>
              <w:right w:w="28" w:type="dxa"/>
            </w:tcMar>
          </w:tcPr>
          <w:p w14:paraId="6591D909"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50-28-2</w:t>
            </w:r>
          </w:p>
        </w:tc>
        <w:tc>
          <w:tcPr>
            <w:tcW w:w="1134" w:type="dxa"/>
          </w:tcPr>
          <w:p w14:paraId="27401513"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200-023-8</w:t>
            </w:r>
          </w:p>
        </w:tc>
        <w:tc>
          <w:tcPr>
            <w:tcW w:w="1279" w:type="dxa"/>
            <w:gridSpan w:val="2"/>
            <w:shd w:val="clear" w:color="auto" w:fill="auto"/>
            <w:tcMar>
              <w:left w:w="28" w:type="dxa"/>
              <w:right w:w="28" w:type="dxa"/>
            </w:tcMar>
          </w:tcPr>
          <w:p w14:paraId="60753578"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0,00018</w:t>
            </w:r>
          </w:p>
        </w:tc>
        <w:tc>
          <w:tcPr>
            <w:tcW w:w="1279" w:type="dxa"/>
            <w:gridSpan w:val="2"/>
            <w:shd w:val="clear" w:color="auto" w:fill="auto"/>
            <w:tcMar>
              <w:left w:w="28" w:type="dxa"/>
              <w:right w:w="28" w:type="dxa"/>
            </w:tcMar>
          </w:tcPr>
          <w:p w14:paraId="0B9125F2"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9 × 10</w:t>
            </w:r>
            <w:r>
              <w:rPr>
                <w:noProof/>
                <w:color w:val="000000"/>
                <w:sz w:val="22"/>
                <w:szCs w:val="24"/>
                <w:vertAlign w:val="superscript"/>
                <w:lang w:val="en-GB" w:eastAsia="en-US"/>
              </w:rPr>
              <w:t>-6</w:t>
            </w:r>
          </w:p>
        </w:tc>
        <w:tc>
          <w:tcPr>
            <w:tcW w:w="1278" w:type="dxa"/>
            <w:gridSpan w:val="2"/>
            <w:shd w:val="clear" w:color="auto" w:fill="auto"/>
            <w:tcMar>
              <w:left w:w="28" w:type="dxa"/>
              <w:right w:w="28" w:type="dxa"/>
            </w:tcMar>
          </w:tcPr>
          <w:p w14:paraId="5A697739"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neodvodené</w:t>
            </w:r>
          </w:p>
        </w:tc>
        <w:tc>
          <w:tcPr>
            <w:tcW w:w="1277" w:type="dxa"/>
            <w:gridSpan w:val="2"/>
            <w:shd w:val="clear" w:color="auto" w:fill="auto"/>
            <w:tcMar>
              <w:left w:w="28" w:type="dxa"/>
              <w:right w:w="28" w:type="dxa"/>
            </w:tcMar>
          </w:tcPr>
          <w:p w14:paraId="1B0FBC65"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neodvodené</w:t>
            </w:r>
          </w:p>
        </w:tc>
        <w:tc>
          <w:tcPr>
            <w:tcW w:w="1136" w:type="dxa"/>
            <w:gridSpan w:val="2"/>
            <w:shd w:val="clear" w:color="auto" w:fill="auto"/>
            <w:tcMar>
              <w:left w:w="28" w:type="dxa"/>
              <w:right w:w="28" w:type="dxa"/>
            </w:tcMar>
          </w:tcPr>
          <w:p w14:paraId="45BB3DBE" w14:textId="77777777" w:rsidR="002709ED" w:rsidRDefault="002709ED">
            <w:pPr>
              <w:keepNext/>
              <w:keepLines/>
              <w:spacing w:before="40" w:after="40" w:line="360" w:lineRule="auto"/>
              <w:rPr>
                <w:noProof/>
                <w:sz w:val="22"/>
                <w:szCs w:val="24"/>
                <w:lang w:val="en-GB" w:eastAsia="en-US"/>
              </w:rPr>
            </w:pPr>
          </w:p>
        </w:tc>
        <w:tc>
          <w:tcPr>
            <w:tcW w:w="1262" w:type="dxa"/>
            <w:tcMar>
              <w:left w:w="28" w:type="dxa"/>
              <w:right w:w="28" w:type="dxa"/>
            </w:tcMar>
          </w:tcPr>
          <w:p w14:paraId="3B3C6DB4" w14:textId="77777777" w:rsidR="002709ED" w:rsidRDefault="002709ED">
            <w:pPr>
              <w:keepNext/>
              <w:keepLines/>
              <w:spacing w:before="40" w:after="40" w:line="360" w:lineRule="auto"/>
              <w:rPr>
                <w:noProof/>
                <w:color w:val="000000"/>
                <w:sz w:val="22"/>
                <w:szCs w:val="24"/>
                <w:lang w:val="en-GB" w:eastAsia="en-US"/>
              </w:rPr>
            </w:pPr>
          </w:p>
        </w:tc>
        <w:tc>
          <w:tcPr>
            <w:tcW w:w="1153" w:type="dxa"/>
            <w:gridSpan w:val="2"/>
            <w:tcMar>
              <w:left w:w="28" w:type="dxa"/>
              <w:right w:w="28" w:type="dxa"/>
            </w:tcMar>
          </w:tcPr>
          <w:p w14:paraId="18495767" w14:textId="77777777" w:rsidR="002709ED" w:rsidRDefault="002709ED">
            <w:pPr>
              <w:keepNext/>
              <w:keepLines/>
              <w:spacing w:before="40" w:after="40" w:line="360" w:lineRule="auto"/>
              <w:rPr>
                <w:noProof/>
                <w:color w:val="000000"/>
                <w:sz w:val="22"/>
                <w:szCs w:val="24"/>
                <w:lang w:val="en-GB" w:eastAsia="en-US"/>
              </w:rPr>
            </w:pPr>
          </w:p>
        </w:tc>
        <w:tc>
          <w:tcPr>
            <w:tcW w:w="970" w:type="dxa"/>
            <w:tcMar>
              <w:left w:w="28" w:type="dxa"/>
              <w:right w:w="28" w:type="dxa"/>
            </w:tcMar>
          </w:tcPr>
          <w:p w14:paraId="50AAC90F" w14:textId="77777777" w:rsidR="002709ED" w:rsidRDefault="002709ED">
            <w:pPr>
              <w:keepNext/>
              <w:keepLines/>
              <w:spacing w:before="40" w:after="40" w:line="360" w:lineRule="auto"/>
              <w:rPr>
                <w:noProof/>
                <w:color w:val="000000"/>
                <w:sz w:val="22"/>
                <w:szCs w:val="24"/>
                <w:lang w:val="en-GB" w:eastAsia="en-US"/>
              </w:rPr>
            </w:pPr>
          </w:p>
        </w:tc>
      </w:tr>
      <w:tr w:rsidR="002709ED" w14:paraId="531D8F38" w14:textId="77777777">
        <w:trPr>
          <w:gridBefore w:val="1"/>
          <w:wBefore w:w="12" w:type="dxa"/>
          <w:cantSplit/>
          <w:tblHeader/>
          <w:jc w:val="center"/>
        </w:trPr>
        <w:tc>
          <w:tcPr>
            <w:tcW w:w="651" w:type="dxa"/>
            <w:gridSpan w:val="3"/>
            <w:tcMar>
              <w:left w:w="28" w:type="dxa"/>
              <w:right w:w="28" w:type="dxa"/>
            </w:tcMar>
          </w:tcPr>
          <w:p w14:paraId="0FEC5863"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(48)</w:t>
            </w:r>
          </w:p>
        </w:tc>
        <w:tc>
          <w:tcPr>
            <w:tcW w:w="2286" w:type="dxa"/>
            <w:gridSpan w:val="3"/>
            <w:shd w:val="clear" w:color="auto" w:fill="auto"/>
            <w:tcMar>
              <w:left w:w="28" w:type="dxa"/>
              <w:right w:w="28" w:type="dxa"/>
            </w:tcMar>
          </w:tcPr>
          <w:p w14:paraId="79078748"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acetamiprid</w:t>
            </w:r>
          </w:p>
        </w:tc>
        <w:tc>
          <w:tcPr>
            <w:tcW w:w="1329" w:type="dxa"/>
            <w:gridSpan w:val="3"/>
            <w:shd w:val="clear" w:color="auto" w:fill="auto"/>
            <w:tcMar>
              <w:left w:w="28" w:type="dxa"/>
              <w:right w:w="28" w:type="dxa"/>
            </w:tcMar>
          </w:tcPr>
          <w:p w14:paraId="30DDD3A3"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neonikotinoidné pesticídy</w:t>
            </w:r>
          </w:p>
        </w:tc>
        <w:tc>
          <w:tcPr>
            <w:tcW w:w="992" w:type="dxa"/>
            <w:gridSpan w:val="2"/>
            <w:shd w:val="clear" w:color="auto" w:fill="auto"/>
            <w:tcMar>
              <w:left w:w="28" w:type="dxa"/>
              <w:right w:w="28" w:type="dxa"/>
            </w:tcMar>
          </w:tcPr>
          <w:p w14:paraId="490CDF11"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135410-20-7/160430-64-8</w:t>
            </w:r>
          </w:p>
        </w:tc>
        <w:tc>
          <w:tcPr>
            <w:tcW w:w="1134" w:type="dxa"/>
          </w:tcPr>
          <w:p w14:paraId="0DD67AA0"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603-921-1</w:t>
            </w:r>
          </w:p>
        </w:tc>
        <w:tc>
          <w:tcPr>
            <w:tcW w:w="1279" w:type="dxa"/>
            <w:gridSpan w:val="2"/>
            <w:shd w:val="clear" w:color="auto" w:fill="auto"/>
            <w:tcMar>
              <w:left w:w="28" w:type="dxa"/>
              <w:right w:w="28" w:type="dxa"/>
            </w:tcMar>
          </w:tcPr>
          <w:p w14:paraId="782B11BB"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0,037</w:t>
            </w:r>
          </w:p>
        </w:tc>
        <w:tc>
          <w:tcPr>
            <w:tcW w:w="1279" w:type="dxa"/>
            <w:gridSpan w:val="2"/>
            <w:shd w:val="clear" w:color="auto" w:fill="auto"/>
            <w:tcMar>
              <w:left w:w="28" w:type="dxa"/>
              <w:right w:w="28" w:type="dxa"/>
            </w:tcMar>
          </w:tcPr>
          <w:p w14:paraId="27542952"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0,0037</w:t>
            </w:r>
          </w:p>
        </w:tc>
        <w:tc>
          <w:tcPr>
            <w:tcW w:w="1278" w:type="dxa"/>
            <w:gridSpan w:val="2"/>
            <w:shd w:val="clear" w:color="auto" w:fill="auto"/>
            <w:tcMar>
              <w:left w:w="28" w:type="dxa"/>
              <w:right w:w="28" w:type="dxa"/>
            </w:tcMar>
          </w:tcPr>
          <w:p w14:paraId="62C20854"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0,16</w:t>
            </w:r>
          </w:p>
        </w:tc>
        <w:tc>
          <w:tcPr>
            <w:tcW w:w="1277" w:type="dxa"/>
            <w:gridSpan w:val="2"/>
            <w:shd w:val="clear" w:color="auto" w:fill="auto"/>
            <w:tcMar>
              <w:left w:w="28" w:type="dxa"/>
              <w:right w:w="28" w:type="dxa"/>
            </w:tcMar>
          </w:tcPr>
          <w:p w14:paraId="48C65AAD"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0,016</w:t>
            </w:r>
          </w:p>
        </w:tc>
        <w:tc>
          <w:tcPr>
            <w:tcW w:w="1136" w:type="dxa"/>
            <w:gridSpan w:val="2"/>
            <w:shd w:val="clear" w:color="auto" w:fill="auto"/>
            <w:tcMar>
              <w:left w:w="28" w:type="dxa"/>
              <w:right w:w="28" w:type="dxa"/>
            </w:tcMar>
          </w:tcPr>
          <w:p w14:paraId="7C9188B8" w14:textId="77777777" w:rsidR="002709ED" w:rsidRDefault="002709ED">
            <w:pPr>
              <w:keepNext/>
              <w:keepLines/>
              <w:spacing w:before="40" w:after="40" w:line="360" w:lineRule="auto"/>
              <w:rPr>
                <w:noProof/>
                <w:sz w:val="22"/>
                <w:szCs w:val="24"/>
                <w:lang w:val="en-GB" w:eastAsia="en-US"/>
              </w:rPr>
            </w:pPr>
          </w:p>
        </w:tc>
        <w:tc>
          <w:tcPr>
            <w:tcW w:w="1262" w:type="dxa"/>
            <w:tcMar>
              <w:left w:w="28" w:type="dxa"/>
              <w:right w:w="28" w:type="dxa"/>
            </w:tcMar>
          </w:tcPr>
          <w:p w14:paraId="7636EDEE" w14:textId="77777777" w:rsidR="002709ED" w:rsidRDefault="002709ED">
            <w:pPr>
              <w:keepNext/>
              <w:keepLines/>
              <w:spacing w:before="40" w:after="40" w:line="360" w:lineRule="auto"/>
              <w:rPr>
                <w:noProof/>
                <w:color w:val="000000"/>
                <w:sz w:val="22"/>
                <w:szCs w:val="24"/>
                <w:lang w:val="en-GB" w:eastAsia="en-US"/>
              </w:rPr>
            </w:pPr>
          </w:p>
        </w:tc>
        <w:tc>
          <w:tcPr>
            <w:tcW w:w="1153" w:type="dxa"/>
            <w:gridSpan w:val="2"/>
            <w:tcMar>
              <w:left w:w="28" w:type="dxa"/>
              <w:right w:w="28" w:type="dxa"/>
            </w:tcMar>
          </w:tcPr>
          <w:p w14:paraId="3452C3AA" w14:textId="77777777" w:rsidR="002709ED" w:rsidRDefault="002709ED">
            <w:pPr>
              <w:keepNext/>
              <w:keepLines/>
              <w:spacing w:before="40" w:after="40" w:line="360" w:lineRule="auto"/>
              <w:rPr>
                <w:noProof/>
                <w:color w:val="000000"/>
                <w:sz w:val="22"/>
                <w:szCs w:val="24"/>
                <w:lang w:val="en-GB" w:eastAsia="en-US"/>
              </w:rPr>
            </w:pPr>
          </w:p>
        </w:tc>
        <w:tc>
          <w:tcPr>
            <w:tcW w:w="970" w:type="dxa"/>
            <w:tcMar>
              <w:left w:w="28" w:type="dxa"/>
              <w:right w:w="28" w:type="dxa"/>
            </w:tcMar>
          </w:tcPr>
          <w:p w14:paraId="66292281" w14:textId="77777777" w:rsidR="002709ED" w:rsidRDefault="002709ED">
            <w:pPr>
              <w:keepNext/>
              <w:keepLines/>
              <w:spacing w:before="40" w:after="40" w:line="360" w:lineRule="auto"/>
              <w:rPr>
                <w:noProof/>
                <w:color w:val="000000"/>
                <w:sz w:val="22"/>
                <w:szCs w:val="24"/>
                <w:lang w:val="en-GB" w:eastAsia="en-US"/>
              </w:rPr>
            </w:pPr>
          </w:p>
        </w:tc>
      </w:tr>
      <w:tr w:rsidR="002709ED" w14:paraId="1BF8DE0F" w14:textId="77777777">
        <w:trPr>
          <w:gridBefore w:val="1"/>
          <w:wBefore w:w="12" w:type="dxa"/>
          <w:cantSplit/>
          <w:tblHeader/>
          <w:jc w:val="center"/>
        </w:trPr>
        <w:tc>
          <w:tcPr>
            <w:tcW w:w="651" w:type="dxa"/>
            <w:gridSpan w:val="3"/>
            <w:tcMar>
              <w:left w:w="28" w:type="dxa"/>
              <w:right w:w="28" w:type="dxa"/>
            </w:tcMar>
          </w:tcPr>
          <w:p w14:paraId="300C47D0"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(49)</w:t>
            </w:r>
          </w:p>
        </w:tc>
        <w:tc>
          <w:tcPr>
            <w:tcW w:w="2286" w:type="dxa"/>
            <w:gridSpan w:val="3"/>
            <w:shd w:val="clear" w:color="auto" w:fill="auto"/>
            <w:tcMar>
              <w:left w:w="28" w:type="dxa"/>
              <w:right w:w="28" w:type="dxa"/>
            </w:tcMar>
          </w:tcPr>
          <w:p w14:paraId="622BC2B0"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azitromycín</w:t>
            </w:r>
          </w:p>
        </w:tc>
        <w:tc>
          <w:tcPr>
            <w:tcW w:w="1329" w:type="dxa"/>
            <w:gridSpan w:val="3"/>
            <w:shd w:val="clear" w:color="auto" w:fill="auto"/>
            <w:tcMar>
              <w:left w:w="28" w:type="dxa"/>
              <w:right w:w="28" w:type="dxa"/>
            </w:tcMar>
          </w:tcPr>
          <w:p w14:paraId="43D8C8C2"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lieky (makrolidové antibiotiká)</w:t>
            </w:r>
          </w:p>
        </w:tc>
        <w:tc>
          <w:tcPr>
            <w:tcW w:w="992" w:type="dxa"/>
            <w:gridSpan w:val="2"/>
            <w:shd w:val="clear" w:color="auto" w:fill="auto"/>
            <w:tcMar>
              <w:left w:w="28" w:type="dxa"/>
              <w:right w:w="28" w:type="dxa"/>
            </w:tcMar>
          </w:tcPr>
          <w:p w14:paraId="6E9A86C0"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83905-01-5</w:t>
            </w:r>
          </w:p>
        </w:tc>
        <w:tc>
          <w:tcPr>
            <w:tcW w:w="1134" w:type="dxa"/>
          </w:tcPr>
          <w:p w14:paraId="39307082"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617-500-5</w:t>
            </w:r>
          </w:p>
        </w:tc>
        <w:tc>
          <w:tcPr>
            <w:tcW w:w="1279" w:type="dxa"/>
            <w:gridSpan w:val="2"/>
            <w:shd w:val="clear" w:color="auto" w:fill="auto"/>
            <w:tcMar>
              <w:left w:w="28" w:type="dxa"/>
              <w:right w:w="28" w:type="dxa"/>
            </w:tcMar>
          </w:tcPr>
          <w:p w14:paraId="1258EF57"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0,019</w:t>
            </w:r>
          </w:p>
        </w:tc>
        <w:tc>
          <w:tcPr>
            <w:tcW w:w="1279" w:type="dxa"/>
            <w:gridSpan w:val="2"/>
            <w:shd w:val="clear" w:color="auto" w:fill="auto"/>
            <w:tcMar>
              <w:left w:w="28" w:type="dxa"/>
              <w:right w:w="28" w:type="dxa"/>
            </w:tcMar>
          </w:tcPr>
          <w:p w14:paraId="78E29459"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0,0019</w:t>
            </w:r>
          </w:p>
        </w:tc>
        <w:tc>
          <w:tcPr>
            <w:tcW w:w="1278" w:type="dxa"/>
            <w:gridSpan w:val="2"/>
            <w:shd w:val="clear" w:color="auto" w:fill="auto"/>
            <w:tcMar>
              <w:left w:w="28" w:type="dxa"/>
              <w:right w:w="28" w:type="dxa"/>
            </w:tcMar>
          </w:tcPr>
          <w:p w14:paraId="27621FEE"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0,18</w:t>
            </w:r>
          </w:p>
        </w:tc>
        <w:tc>
          <w:tcPr>
            <w:tcW w:w="1277" w:type="dxa"/>
            <w:gridSpan w:val="2"/>
            <w:shd w:val="clear" w:color="auto" w:fill="auto"/>
            <w:tcMar>
              <w:left w:w="28" w:type="dxa"/>
              <w:right w:w="28" w:type="dxa"/>
            </w:tcMar>
          </w:tcPr>
          <w:p w14:paraId="7A6FC234"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0,018</w:t>
            </w:r>
          </w:p>
        </w:tc>
        <w:tc>
          <w:tcPr>
            <w:tcW w:w="1136" w:type="dxa"/>
            <w:gridSpan w:val="2"/>
            <w:shd w:val="clear" w:color="auto" w:fill="auto"/>
            <w:tcMar>
              <w:left w:w="28" w:type="dxa"/>
              <w:right w:w="28" w:type="dxa"/>
            </w:tcMar>
          </w:tcPr>
          <w:p w14:paraId="2C7A2F71" w14:textId="77777777" w:rsidR="002709ED" w:rsidRDefault="002709ED">
            <w:pPr>
              <w:keepNext/>
              <w:keepLines/>
              <w:spacing w:before="40" w:after="40" w:line="360" w:lineRule="auto"/>
              <w:rPr>
                <w:noProof/>
                <w:sz w:val="22"/>
                <w:szCs w:val="24"/>
                <w:lang w:val="en-GB" w:eastAsia="en-US"/>
              </w:rPr>
            </w:pPr>
          </w:p>
        </w:tc>
        <w:tc>
          <w:tcPr>
            <w:tcW w:w="1262" w:type="dxa"/>
            <w:tcMar>
              <w:left w:w="28" w:type="dxa"/>
              <w:right w:w="28" w:type="dxa"/>
            </w:tcMar>
          </w:tcPr>
          <w:p w14:paraId="667AC0EA" w14:textId="77777777" w:rsidR="002709ED" w:rsidRDefault="002709ED">
            <w:pPr>
              <w:keepNext/>
              <w:keepLines/>
              <w:spacing w:before="40" w:after="40" w:line="360" w:lineRule="auto"/>
              <w:rPr>
                <w:noProof/>
                <w:sz w:val="22"/>
                <w:szCs w:val="24"/>
                <w:lang w:val="en-GB" w:eastAsia="en-US"/>
              </w:rPr>
            </w:pPr>
          </w:p>
        </w:tc>
        <w:tc>
          <w:tcPr>
            <w:tcW w:w="1153" w:type="dxa"/>
            <w:gridSpan w:val="2"/>
            <w:tcMar>
              <w:left w:w="28" w:type="dxa"/>
              <w:right w:w="28" w:type="dxa"/>
            </w:tcMar>
          </w:tcPr>
          <w:p w14:paraId="0E47BA10" w14:textId="77777777" w:rsidR="002709ED" w:rsidRDefault="002709ED">
            <w:pPr>
              <w:keepNext/>
              <w:keepLines/>
              <w:spacing w:before="40" w:after="40" w:line="360" w:lineRule="auto"/>
              <w:rPr>
                <w:noProof/>
                <w:sz w:val="22"/>
                <w:szCs w:val="24"/>
                <w:lang w:val="en-GB" w:eastAsia="en-US"/>
              </w:rPr>
            </w:pPr>
          </w:p>
        </w:tc>
        <w:tc>
          <w:tcPr>
            <w:tcW w:w="970" w:type="dxa"/>
            <w:tcMar>
              <w:left w:w="28" w:type="dxa"/>
              <w:right w:w="28" w:type="dxa"/>
            </w:tcMar>
          </w:tcPr>
          <w:p w14:paraId="70B99E40"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X</w:t>
            </w:r>
          </w:p>
        </w:tc>
      </w:tr>
      <w:tr w:rsidR="002709ED" w14:paraId="134CDC23" w14:textId="77777777">
        <w:trPr>
          <w:gridBefore w:val="1"/>
          <w:wBefore w:w="12" w:type="dxa"/>
          <w:cantSplit/>
          <w:tblHeader/>
          <w:jc w:val="center"/>
        </w:trPr>
        <w:tc>
          <w:tcPr>
            <w:tcW w:w="651" w:type="dxa"/>
            <w:gridSpan w:val="3"/>
            <w:tcMar>
              <w:left w:w="28" w:type="dxa"/>
              <w:right w:w="28" w:type="dxa"/>
            </w:tcMar>
          </w:tcPr>
          <w:p w14:paraId="356BB300"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(50)</w:t>
            </w:r>
          </w:p>
        </w:tc>
        <w:tc>
          <w:tcPr>
            <w:tcW w:w="2286" w:type="dxa"/>
            <w:gridSpan w:val="3"/>
            <w:shd w:val="clear" w:color="auto" w:fill="auto"/>
            <w:tcMar>
              <w:left w:w="28" w:type="dxa"/>
              <w:right w:w="28" w:type="dxa"/>
            </w:tcMar>
          </w:tcPr>
          <w:p w14:paraId="7FBEE0C3"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bifentrin</w:t>
            </w:r>
          </w:p>
        </w:tc>
        <w:tc>
          <w:tcPr>
            <w:tcW w:w="1329" w:type="dxa"/>
            <w:gridSpan w:val="3"/>
            <w:shd w:val="clear" w:color="auto" w:fill="auto"/>
            <w:tcMar>
              <w:left w:w="28" w:type="dxa"/>
              <w:right w:w="28" w:type="dxa"/>
            </w:tcMar>
          </w:tcPr>
          <w:p w14:paraId="58C189E8"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pyretroidné pesticídy</w:t>
            </w:r>
          </w:p>
        </w:tc>
        <w:tc>
          <w:tcPr>
            <w:tcW w:w="992" w:type="dxa"/>
            <w:gridSpan w:val="2"/>
            <w:shd w:val="clear" w:color="auto" w:fill="auto"/>
            <w:tcMar>
              <w:left w:w="28" w:type="dxa"/>
              <w:right w:w="28" w:type="dxa"/>
            </w:tcMar>
          </w:tcPr>
          <w:p w14:paraId="13D466DF"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82657-04-3</w:t>
            </w:r>
          </w:p>
        </w:tc>
        <w:tc>
          <w:tcPr>
            <w:tcW w:w="1134" w:type="dxa"/>
          </w:tcPr>
          <w:p w14:paraId="567B2777"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617-373-6</w:t>
            </w:r>
          </w:p>
        </w:tc>
        <w:tc>
          <w:tcPr>
            <w:tcW w:w="1279" w:type="dxa"/>
            <w:gridSpan w:val="2"/>
            <w:shd w:val="clear" w:color="auto" w:fill="auto"/>
            <w:tcMar>
              <w:left w:w="28" w:type="dxa"/>
              <w:right w:w="28" w:type="dxa"/>
            </w:tcMar>
          </w:tcPr>
          <w:p w14:paraId="4DA5F1BF"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9,5 × 10</w:t>
            </w:r>
            <w:r>
              <w:rPr>
                <w:noProof/>
                <w:color w:val="000000"/>
                <w:sz w:val="22"/>
                <w:szCs w:val="24"/>
                <w:vertAlign w:val="superscript"/>
                <w:lang w:val="en-GB" w:eastAsia="en-US"/>
              </w:rPr>
              <w:t>-5</w:t>
            </w:r>
          </w:p>
        </w:tc>
        <w:tc>
          <w:tcPr>
            <w:tcW w:w="1279" w:type="dxa"/>
            <w:gridSpan w:val="2"/>
            <w:shd w:val="clear" w:color="auto" w:fill="auto"/>
            <w:tcMar>
              <w:left w:w="28" w:type="dxa"/>
              <w:right w:w="28" w:type="dxa"/>
            </w:tcMar>
          </w:tcPr>
          <w:p w14:paraId="72380D57"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9,5 × 10</w:t>
            </w:r>
            <w:r>
              <w:rPr>
                <w:noProof/>
                <w:color w:val="000000"/>
                <w:sz w:val="22"/>
                <w:szCs w:val="24"/>
                <w:vertAlign w:val="superscript"/>
                <w:lang w:val="en-GB" w:eastAsia="en-US"/>
              </w:rPr>
              <w:t>-6</w:t>
            </w:r>
          </w:p>
        </w:tc>
        <w:tc>
          <w:tcPr>
            <w:tcW w:w="1278" w:type="dxa"/>
            <w:gridSpan w:val="2"/>
            <w:shd w:val="clear" w:color="auto" w:fill="auto"/>
            <w:tcMar>
              <w:left w:w="28" w:type="dxa"/>
              <w:right w:w="28" w:type="dxa"/>
            </w:tcMar>
          </w:tcPr>
          <w:p w14:paraId="6B64C474"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0,011</w:t>
            </w:r>
          </w:p>
        </w:tc>
        <w:tc>
          <w:tcPr>
            <w:tcW w:w="1277" w:type="dxa"/>
            <w:gridSpan w:val="2"/>
            <w:shd w:val="clear" w:color="auto" w:fill="auto"/>
            <w:tcMar>
              <w:left w:w="28" w:type="dxa"/>
              <w:right w:w="28" w:type="dxa"/>
            </w:tcMar>
          </w:tcPr>
          <w:p w14:paraId="13D18E1B"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0,001</w:t>
            </w:r>
          </w:p>
        </w:tc>
        <w:tc>
          <w:tcPr>
            <w:tcW w:w="1136" w:type="dxa"/>
            <w:gridSpan w:val="2"/>
            <w:shd w:val="clear" w:color="auto" w:fill="auto"/>
            <w:tcMar>
              <w:left w:w="28" w:type="dxa"/>
              <w:right w:w="28" w:type="dxa"/>
            </w:tcMar>
          </w:tcPr>
          <w:p w14:paraId="69454DF0" w14:textId="77777777" w:rsidR="002709ED" w:rsidRDefault="002709ED">
            <w:pPr>
              <w:keepNext/>
              <w:keepLines/>
              <w:spacing w:before="40" w:after="40" w:line="360" w:lineRule="auto"/>
              <w:rPr>
                <w:noProof/>
                <w:sz w:val="22"/>
                <w:szCs w:val="24"/>
                <w:lang w:val="en-GB" w:eastAsia="en-US"/>
              </w:rPr>
            </w:pPr>
          </w:p>
        </w:tc>
        <w:tc>
          <w:tcPr>
            <w:tcW w:w="1262" w:type="dxa"/>
            <w:tcMar>
              <w:left w:w="28" w:type="dxa"/>
              <w:right w:w="28" w:type="dxa"/>
            </w:tcMar>
          </w:tcPr>
          <w:p w14:paraId="22CBEFDE" w14:textId="77777777" w:rsidR="002709ED" w:rsidRDefault="002709ED">
            <w:pPr>
              <w:keepNext/>
              <w:keepLines/>
              <w:spacing w:before="40" w:after="40" w:line="360" w:lineRule="auto"/>
              <w:rPr>
                <w:noProof/>
                <w:color w:val="000000"/>
                <w:sz w:val="22"/>
                <w:szCs w:val="24"/>
                <w:lang w:val="en-GB" w:eastAsia="en-US"/>
              </w:rPr>
            </w:pPr>
          </w:p>
        </w:tc>
        <w:tc>
          <w:tcPr>
            <w:tcW w:w="1153" w:type="dxa"/>
            <w:gridSpan w:val="2"/>
            <w:tcMar>
              <w:left w:w="28" w:type="dxa"/>
              <w:right w:w="28" w:type="dxa"/>
            </w:tcMar>
          </w:tcPr>
          <w:p w14:paraId="04BDDEE9" w14:textId="77777777" w:rsidR="002709ED" w:rsidRDefault="002709ED">
            <w:pPr>
              <w:keepNext/>
              <w:keepLines/>
              <w:spacing w:before="40" w:after="40" w:line="360" w:lineRule="auto"/>
              <w:rPr>
                <w:noProof/>
                <w:color w:val="000000"/>
                <w:sz w:val="22"/>
                <w:szCs w:val="24"/>
                <w:lang w:val="en-GB" w:eastAsia="en-US"/>
              </w:rPr>
            </w:pPr>
          </w:p>
        </w:tc>
        <w:tc>
          <w:tcPr>
            <w:tcW w:w="970" w:type="dxa"/>
            <w:tcMar>
              <w:left w:w="28" w:type="dxa"/>
              <w:right w:w="28" w:type="dxa"/>
            </w:tcMar>
          </w:tcPr>
          <w:p w14:paraId="031D3A29" w14:textId="77777777" w:rsidR="002709ED" w:rsidRDefault="00B2757B">
            <w:pPr>
              <w:keepNext/>
              <w:keepLines/>
              <w:spacing w:before="40" w:after="40" w:line="360" w:lineRule="auto"/>
              <w:rPr>
                <w:noProof/>
                <w:color w:val="000000"/>
                <w:sz w:val="22"/>
                <w:szCs w:val="24"/>
                <w:lang w:val="en-GB" w:eastAsia="en-US"/>
              </w:rPr>
            </w:pPr>
            <w:r>
              <w:rPr>
                <w:noProof/>
                <w:sz w:val="22"/>
                <w:szCs w:val="24"/>
                <w:lang w:val="en-GB" w:eastAsia="en-US"/>
              </w:rPr>
              <w:t>X</w:t>
            </w:r>
          </w:p>
        </w:tc>
      </w:tr>
      <w:tr w:rsidR="002709ED" w14:paraId="7D8C20DA" w14:textId="77777777">
        <w:trPr>
          <w:gridBefore w:val="1"/>
          <w:wBefore w:w="12" w:type="dxa"/>
          <w:cantSplit/>
          <w:tblHeader/>
          <w:jc w:val="center"/>
        </w:trPr>
        <w:tc>
          <w:tcPr>
            <w:tcW w:w="651" w:type="dxa"/>
            <w:gridSpan w:val="3"/>
            <w:tcMar>
              <w:left w:w="28" w:type="dxa"/>
              <w:right w:w="28" w:type="dxa"/>
            </w:tcMar>
          </w:tcPr>
          <w:p w14:paraId="06A5E8C3"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(51)</w:t>
            </w:r>
          </w:p>
        </w:tc>
        <w:tc>
          <w:tcPr>
            <w:tcW w:w="2286" w:type="dxa"/>
            <w:gridSpan w:val="3"/>
            <w:shd w:val="clear" w:color="auto" w:fill="auto"/>
            <w:tcMar>
              <w:left w:w="28" w:type="dxa"/>
              <w:right w:w="28" w:type="dxa"/>
            </w:tcMar>
          </w:tcPr>
          <w:p w14:paraId="25DF343E"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bisfenol A (BPA)</w:t>
            </w:r>
          </w:p>
        </w:tc>
        <w:tc>
          <w:tcPr>
            <w:tcW w:w="1329" w:type="dxa"/>
            <w:gridSpan w:val="3"/>
            <w:shd w:val="clear" w:color="auto" w:fill="auto"/>
            <w:tcMar>
              <w:left w:w="28" w:type="dxa"/>
              <w:right w:w="28" w:type="dxa"/>
            </w:tcMar>
          </w:tcPr>
          <w:p w14:paraId="7EE3F939"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priemyselné látky</w:t>
            </w:r>
          </w:p>
        </w:tc>
        <w:tc>
          <w:tcPr>
            <w:tcW w:w="992" w:type="dxa"/>
            <w:gridSpan w:val="2"/>
            <w:shd w:val="clear" w:color="auto" w:fill="auto"/>
            <w:tcMar>
              <w:left w:w="28" w:type="dxa"/>
              <w:right w:w="28" w:type="dxa"/>
            </w:tcMar>
          </w:tcPr>
          <w:p w14:paraId="0ADD0396"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80-05-7</w:t>
            </w:r>
          </w:p>
        </w:tc>
        <w:tc>
          <w:tcPr>
            <w:tcW w:w="1134" w:type="dxa"/>
          </w:tcPr>
          <w:p w14:paraId="5BDF38FA"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201-245-8</w:t>
            </w:r>
          </w:p>
        </w:tc>
        <w:tc>
          <w:tcPr>
            <w:tcW w:w="1279" w:type="dxa"/>
            <w:gridSpan w:val="2"/>
            <w:shd w:val="clear" w:color="auto" w:fill="auto"/>
            <w:tcMar>
              <w:left w:w="28" w:type="dxa"/>
              <w:right w:w="28" w:type="dxa"/>
            </w:tcMar>
          </w:tcPr>
          <w:p w14:paraId="1D99C476"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3,4 × 10</w:t>
            </w:r>
            <w:r>
              <w:rPr>
                <w:noProof/>
                <w:color w:val="000000"/>
                <w:sz w:val="22"/>
                <w:szCs w:val="24"/>
                <w:vertAlign w:val="superscript"/>
                <w:lang w:val="en-GB" w:eastAsia="en-US"/>
              </w:rPr>
              <w:t>-5</w:t>
            </w:r>
            <w:r>
              <w:rPr>
                <w:noProof/>
                <w:color w:val="000000"/>
                <w:sz w:val="22"/>
                <w:szCs w:val="24"/>
                <w:lang w:val="en-GB" w:eastAsia="en-US"/>
              </w:rPr>
              <w:t xml:space="preserve"> </w:t>
            </w:r>
          </w:p>
        </w:tc>
        <w:tc>
          <w:tcPr>
            <w:tcW w:w="1279" w:type="dxa"/>
            <w:gridSpan w:val="2"/>
            <w:shd w:val="clear" w:color="auto" w:fill="auto"/>
            <w:tcMar>
              <w:left w:w="28" w:type="dxa"/>
              <w:right w:w="28" w:type="dxa"/>
            </w:tcMar>
          </w:tcPr>
          <w:p w14:paraId="2F129D16"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3,4 × 10</w:t>
            </w:r>
            <w:r>
              <w:rPr>
                <w:noProof/>
                <w:color w:val="000000"/>
                <w:sz w:val="22"/>
                <w:szCs w:val="24"/>
                <w:vertAlign w:val="superscript"/>
                <w:lang w:val="en-GB" w:eastAsia="en-US"/>
              </w:rPr>
              <w:t>-5</w:t>
            </w:r>
            <w:r>
              <w:rPr>
                <w:noProof/>
                <w:color w:val="000000"/>
                <w:sz w:val="22"/>
                <w:szCs w:val="24"/>
                <w:lang w:val="en-GB" w:eastAsia="en-US"/>
              </w:rPr>
              <w:t xml:space="preserve"> </w:t>
            </w:r>
          </w:p>
        </w:tc>
        <w:tc>
          <w:tcPr>
            <w:tcW w:w="1278" w:type="dxa"/>
            <w:gridSpan w:val="2"/>
            <w:shd w:val="clear" w:color="auto" w:fill="auto"/>
            <w:tcMar>
              <w:left w:w="28" w:type="dxa"/>
              <w:right w:w="28" w:type="dxa"/>
            </w:tcMar>
          </w:tcPr>
          <w:p w14:paraId="78213400"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130</w:t>
            </w:r>
          </w:p>
        </w:tc>
        <w:tc>
          <w:tcPr>
            <w:tcW w:w="1277" w:type="dxa"/>
            <w:gridSpan w:val="2"/>
            <w:shd w:val="clear" w:color="auto" w:fill="auto"/>
            <w:tcMar>
              <w:left w:w="28" w:type="dxa"/>
              <w:right w:w="28" w:type="dxa"/>
            </w:tcMar>
          </w:tcPr>
          <w:p w14:paraId="2CD4CA21"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51</w:t>
            </w:r>
          </w:p>
        </w:tc>
        <w:tc>
          <w:tcPr>
            <w:tcW w:w="1136" w:type="dxa"/>
            <w:gridSpan w:val="2"/>
            <w:shd w:val="clear" w:color="auto" w:fill="auto"/>
            <w:tcMar>
              <w:left w:w="28" w:type="dxa"/>
              <w:right w:w="28" w:type="dxa"/>
            </w:tcMar>
          </w:tcPr>
          <w:p w14:paraId="7A5B1DA4"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0,005</w:t>
            </w:r>
          </w:p>
        </w:tc>
        <w:tc>
          <w:tcPr>
            <w:tcW w:w="1262" w:type="dxa"/>
            <w:tcMar>
              <w:left w:w="28" w:type="dxa"/>
              <w:right w:w="28" w:type="dxa"/>
            </w:tcMar>
          </w:tcPr>
          <w:p w14:paraId="148D0BA0" w14:textId="77777777" w:rsidR="002709ED" w:rsidRDefault="00B2757B">
            <w:pPr>
              <w:keepNext/>
              <w:keepLines/>
              <w:spacing w:before="40" w:after="40" w:line="360" w:lineRule="auto"/>
              <w:rPr>
                <w:noProof/>
                <w:color w:val="000000"/>
                <w:sz w:val="22"/>
                <w:szCs w:val="24"/>
                <w:lang w:val="en-GB" w:eastAsia="en-US"/>
              </w:rPr>
            </w:pPr>
            <w:r>
              <w:rPr>
                <w:noProof/>
                <w:sz w:val="22"/>
                <w:szCs w:val="24"/>
                <w:lang w:val="en-GB" w:eastAsia="en-US"/>
              </w:rPr>
              <w:t>X</w:t>
            </w:r>
          </w:p>
        </w:tc>
        <w:tc>
          <w:tcPr>
            <w:tcW w:w="1153" w:type="dxa"/>
            <w:gridSpan w:val="2"/>
            <w:tcMar>
              <w:left w:w="28" w:type="dxa"/>
              <w:right w:w="28" w:type="dxa"/>
            </w:tcMar>
          </w:tcPr>
          <w:p w14:paraId="0203B419" w14:textId="77777777" w:rsidR="002709ED" w:rsidRDefault="002709ED">
            <w:pPr>
              <w:keepNext/>
              <w:keepLines/>
              <w:spacing w:before="40" w:after="40" w:line="360" w:lineRule="auto"/>
              <w:rPr>
                <w:noProof/>
                <w:color w:val="000000"/>
                <w:sz w:val="22"/>
                <w:szCs w:val="24"/>
                <w:lang w:val="en-GB" w:eastAsia="en-US"/>
              </w:rPr>
            </w:pPr>
          </w:p>
        </w:tc>
        <w:tc>
          <w:tcPr>
            <w:tcW w:w="970" w:type="dxa"/>
            <w:tcMar>
              <w:left w:w="28" w:type="dxa"/>
              <w:right w:w="28" w:type="dxa"/>
            </w:tcMar>
          </w:tcPr>
          <w:p w14:paraId="6320D4AF" w14:textId="77777777" w:rsidR="002709ED" w:rsidRDefault="002709ED">
            <w:pPr>
              <w:keepNext/>
              <w:keepLines/>
              <w:spacing w:before="40" w:after="40" w:line="360" w:lineRule="auto"/>
              <w:rPr>
                <w:noProof/>
                <w:color w:val="000000"/>
                <w:sz w:val="22"/>
                <w:szCs w:val="24"/>
                <w:lang w:val="en-GB" w:eastAsia="en-US"/>
              </w:rPr>
            </w:pPr>
          </w:p>
        </w:tc>
      </w:tr>
      <w:tr w:rsidR="002709ED" w14:paraId="4F91F674" w14:textId="77777777">
        <w:trPr>
          <w:gridBefore w:val="1"/>
          <w:wBefore w:w="12" w:type="dxa"/>
          <w:cantSplit/>
          <w:tblHeader/>
          <w:jc w:val="center"/>
        </w:trPr>
        <w:tc>
          <w:tcPr>
            <w:tcW w:w="651" w:type="dxa"/>
            <w:gridSpan w:val="3"/>
            <w:tcMar>
              <w:left w:w="28" w:type="dxa"/>
              <w:right w:w="28" w:type="dxa"/>
            </w:tcMar>
          </w:tcPr>
          <w:p w14:paraId="03D555E4"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lastRenderedPageBreak/>
              <w:t>(52)</w:t>
            </w:r>
          </w:p>
        </w:tc>
        <w:tc>
          <w:tcPr>
            <w:tcW w:w="2286" w:type="dxa"/>
            <w:gridSpan w:val="3"/>
            <w:shd w:val="clear" w:color="auto" w:fill="auto"/>
            <w:tcMar>
              <w:left w:w="28" w:type="dxa"/>
              <w:right w:w="28" w:type="dxa"/>
            </w:tcMar>
          </w:tcPr>
          <w:p w14:paraId="2A4CC7B3"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karbamazepín</w:t>
            </w:r>
          </w:p>
        </w:tc>
        <w:tc>
          <w:tcPr>
            <w:tcW w:w="1329" w:type="dxa"/>
            <w:gridSpan w:val="3"/>
            <w:shd w:val="clear" w:color="auto" w:fill="auto"/>
            <w:tcMar>
              <w:left w:w="28" w:type="dxa"/>
              <w:right w:w="28" w:type="dxa"/>
            </w:tcMar>
          </w:tcPr>
          <w:p w14:paraId="5E95D686"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lieky</w:t>
            </w:r>
          </w:p>
        </w:tc>
        <w:tc>
          <w:tcPr>
            <w:tcW w:w="992" w:type="dxa"/>
            <w:gridSpan w:val="2"/>
            <w:shd w:val="clear" w:color="auto" w:fill="auto"/>
            <w:tcMar>
              <w:left w:w="28" w:type="dxa"/>
              <w:right w:w="28" w:type="dxa"/>
            </w:tcMar>
          </w:tcPr>
          <w:p w14:paraId="3553AADF"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298-46-4</w:t>
            </w:r>
          </w:p>
        </w:tc>
        <w:tc>
          <w:tcPr>
            <w:tcW w:w="1134" w:type="dxa"/>
          </w:tcPr>
          <w:p w14:paraId="65CEFED5"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206-062-7</w:t>
            </w:r>
          </w:p>
        </w:tc>
        <w:tc>
          <w:tcPr>
            <w:tcW w:w="1279" w:type="dxa"/>
            <w:gridSpan w:val="2"/>
            <w:shd w:val="clear" w:color="auto" w:fill="auto"/>
            <w:tcMar>
              <w:left w:w="28" w:type="dxa"/>
              <w:right w:w="28" w:type="dxa"/>
            </w:tcMar>
          </w:tcPr>
          <w:p w14:paraId="511318B4"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2,5</w:t>
            </w:r>
          </w:p>
        </w:tc>
        <w:tc>
          <w:tcPr>
            <w:tcW w:w="1279" w:type="dxa"/>
            <w:gridSpan w:val="2"/>
            <w:shd w:val="clear" w:color="auto" w:fill="auto"/>
            <w:tcMar>
              <w:left w:w="28" w:type="dxa"/>
              <w:right w:w="28" w:type="dxa"/>
            </w:tcMar>
          </w:tcPr>
          <w:p w14:paraId="64A79DBC"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0,25</w:t>
            </w:r>
          </w:p>
        </w:tc>
        <w:tc>
          <w:tcPr>
            <w:tcW w:w="1278" w:type="dxa"/>
            <w:gridSpan w:val="2"/>
            <w:shd w:val="clear" w:color="auto" w:fill="auto"/>
            <w:tcMar>
              <w:left w:w="28" w:type="dxa"/>
              <w:right w:w="28" w:type="dxa"/>
            </w:tcMar>
          </w:tcPr>
          <w:p w14:paraId="0D5B282A"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1,6 × 10</w:t>
            </w:r>
            <w:r>
              <w:rPr>
                <w:noProof/>
                <w:color w:val="000000"/>
                <w:sz w:val="22"/>
                <w:szCs w:val="24"/>
                <w:vertAlign w:val="superscript"/>
                <w:lang w:val="en-GB" w:eastAsia="en-US"/>
              </w:rPr>
              <w:t>3</w:t>
            </w:r>
          </w:p>
        </w:tc>
        <w:tc>
          <w:tcPr>
            <w:tcW w:w="1277" w:type="dxa"/>
            <w:gridSpan w:val="2"/>
            <w:shd w:val="clear" w:color="auto" w:fill="auto"/>
            <w:tcMar>
              <w:left w:w="28" w:type="dxa"/>
              <w:right w:w="28" w:type="dxa"/>
            </w:tcMar>
          </w:tcPr>
          <w:p w14:paraId="7D209830"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160</w:t>
            </w:r>
          </w:p>
        </w:tc>
        <w:tc>
          <w:tcPr>
            <w:tcW w:w="1136" w:type="dxa"/>
            <w:gridSpan w:val="2"/>
            <w:shd w:val="clear" w:color="auto" w:fill="auto"/>
            <w:tcMar>
              <w:left w:w="28" w:type="dxa"/>
              <w:right w:w="28" w:type="dxa"/>
            </w:tcMar>
          </w:tcPr>
          <w:p w14:paraId="667B6DD5" w14:textId="77777777" w:rsidR="002709ED" w:rsidRDefault="002709ED">
            <w:pPr>
              <w:keepNext/>
              <w:keepLines/>
              <w:spacing w:before="40" w:after="40" w:line="360" w:lineRule="auto"/>
              <w:rPr>
                <w:noProof/>
                <w:sz w:val="22"/>
                <w:szCs w:val="24"/>
                <w:lang w:val="en-GB" w:eastAsia="en-US"/>
              </w:rPr>
            </w:pPr>
          </w:p>
        </w:tc>
        <w:tc>
          <w:tcPr>
            <w:tcW w:w="1262" w:type="dxa"/>
            <w:tcMar>
              <w:left w:w="28" w:type="dxa"/>
              <w:right w:w="28" w:type="dxa"/>
            </w:tcMar>
          </w:tcPr>
          <w:p w14:paraId="28318316" w14:textId="77777777" w:rsidR="002709ED" w:rsidRDefault="002709ED">
            <w:pPr>
              <w:keepNext/>
              <w:keepLines/>
              <w:spacing w:before="40" w:after="40" w:line="360" w:lineRule="auto"/>
              <w:rPr>
                <w:noProof/>
                <w:color w:val="000000"/>
                <w:sz w:val="22"/>
                <w:szCs w:val="24"/>
                <w:lang w:val="en-GB" w:eastAsia="en-US"/>
              </w:rPr>
            </w:pPr>
          </w:p>
        </w:tc>
        <w:tc>
          <w:tcPr>
            <w:tcW w:w="1153" w:type="dxa"/>
            <w:gridSpan w:val="2"/>
            <w:tcMar>
              <w:left w:w="28" w:type="dxa"/>
              <w:right w:w="28" w:type="dxa"/>
            </w:tcMar>
          </w:tcPr>
          <w:p w14:paraId="0E7E9C64" w14:textId="77777777" w:rsidR="002709ED" w:rsidRDefault="002709ED">
            <w:pPr>
              <w:keepNext/>
              <w:keepLines/>
              <w:spacing w:before="40" w:after="40" w:line="360" w:lineRule="auto"/>
              <w:rPr>
                <w:noProof/>
                <w:color w:val="000000"/>
                <w:sz w:val="22"/>
                <w:szCs w:val="24"/>
                <w:lang w:val="en-GB" w:eastAsia="en-US"/>
              </w:rPr>
            </w:pPr>
          </w:p>
        </w:tc>
        <w:tc>
          <w:tcPr>
            <w:tcW w:w="970" w:type="dxa"/>
            <w:tcMar>
              <w:left w:w="28" w:type="dxa"/>
              <w:right w:w="28" w:type="dxa"/>
            </w:tcMar>
          </w:tcPr>
          <w:p w14:paraId="2A42610D" w14:textId="77777777" w:rsidR="002709ED" w:rsidRDefault="002709ED">
            <w:pPr>
              <w:keepNext/>
              <w:keepLines/>
              <w:spacing w:before="40" w:after="40" w:line="360" w:lineRule="auto"/>
              <w:rPr>
                <w:noProof/>
                <w:color w:val="000000"/>
                <w:sz w:val="22"/>
                <w:szCs w:val="24"/>
                <w:lang w:val="en-GB" w:eastAsia="en-US"/>
              </w:rPr>
            </w:pPr>
          </w:p>
        </w:tc>
      </w:tr>
      <w:tr w:rsidR="002709ED" w14:paraId="0FDC4250" w14:textId="77777777">
        <w:trPr>
          <w:gridBefore w:val="1"/>
          <w:wBefore w:w="12" w:type="dxa"/>
          <w:cantSplit/>
          <w:tblHeader/>
          <w:jc w:val="center"/>
        </w:trPr>
        <w:tc>
          <w:tcPr>
            <w:tcW w:w="651" w:type="dxa"/>
            <w:gridSpan w:val="3"/>
            <w:tcMar>
              <w:left w:w="28" w:type="dxa"/>
              <w:right w:w="28" w:type="dxa"/>
            </w:tcMar>
          </w:tcPr>
          <w:p w14:paraId="2DA8ABF7"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(53)</w:t>
            </w:r>
          </w:p>
        </w:tc>
        <w:tc>
          <w:tcPr>
            <w:tcW w:w="2286" w:type="dxa"/>
            <w:gridSpan w:val="3"/>
            <w:shd w:val="clear" w:color="auto" w:fill="auto"/>
            <w:tcMar>
              <w:left w:w="28" w:type="dxa"/>
              <w:right w:w="28" w:type="dxa"/>
            </w:tcMar>
          </w:tcPr>
          <w:p w14:paraId="3AD9E4D1"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klaritromycín</w:t>
            </w:r>
          </w:p>
        </w:tc>
        <w:tc>
          <w:tcPr>
            <w:tcW w:w="1329" w:type="dxa"/>
            <w:gridSpan w:val="3"/>
            <w:shd w:val="clear" w:color="auto" w:fill="auto"/>
            <w:tcMar>
              <w:left w:w="28" w:type="dxa"/>
              <w:right w:w="28" w:type="dxa"/>
            </w:tcMar>
          </w:tcPr>
          <w:p w14:paraId="542C07B5"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lieky (makrolidové antibiotiká)</w:t>
            </w:r>
          </w:p>
        </w:tc>
        <w:tc>
          <w:tcPr>
            <w:tcW w:w="992" w:type="dxa"/>
            <w:gridSpan w:val="2"/>
            <w:shd w:val="clear" w:color="auto" w:fill="auto"/>
            <w:tcMar>
              <w:left w:w="28" w:type="dxa"/>
              <w:right w:w="28" w:type="dxa"/>
            </w:tcMar>
          </w:tcPr>
          <w:p w14:paraId="3830862B"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81103-11-9</w:t>
            </w:r>
          </w:p>
        </w:tc>
        <w:tc>
          <w:tcPr>
            <w:tcW w:w="1134" w:type="dxa"/>
          </w:tcPr>
          <w:p w14:paraId="3897EA2D"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658-034-2</w:t>
            </w:r>
          </w:p>
        </w:tc>
        <w:tc>
          <w:tcPr>
            <w:tcW w:w="1279" w:type="dxa"/>
            <w:gridSpan w:val="2"/>
            <w:shd w:val="clear" w:color="auto" w:fill="auto"/>
            <w:tcMar>
              <w:left w:w="28" w:type="dxa"/>
              <w:right w:w="28" w:type="dxa"/>
            </w:tcMar>
          </w:tcPr>
          <w:p w14:paraId="36FF8FEC"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0,13</w:t>
            </w:r>
          </w:p>
        </w:tc>
        <w:tc>
          <w:tcPr>
            <w:tcW w:w="1279" w:type="dxa"/>
            <w:gridSpan w:val="2"/>
            <w:shd w:val="clear" w:color="auto" w:fill="auto"/>
            <w:tcMar>
              <w:left w:w="28" w:type="dxa"/>
              <w:right w:w="28" w:type="dxa"/>
            </w:tcMar>
          </w:tcPr>
          <w:p w14:paraId="054126D5"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0,013</w:t>
            </w:r>
          </w:p>
        </w:tc>
        <w:tc>
          <w:tcPr>
            <w:tcW w:w="1278" w:type="dxa"/>
            <w:gridSpan w:val="2"/>
            <w:shd w:val="clear" w:color="auto" w:fill="auto"/>
            <w:tcMar>
              <w:left w:w="28" w:type="dxa"/>
              <w:right w:w="28" w:type="dxa"/>
            </w:tcMar>
          </w:tcPr>
          <w:p w14:paraId="2F7B618B"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0,13</w:t>
            </w:r>
          </w:p>
        </w:tc>
        <w:tc>
          <w:tcPr>
            <w:tcW w:w="1277" w:type="dxa"/>
            <w:gridSpan w:val="2"/>
            <w:shd w:val="clear" w:color="auto" w:fill="auto"/>
            <w:tcMar>
              <w:left w:w="28" w:type="dxa"/>
              <w:right w:w="28" w:type="dxa"/>
            </w:tcMar>
          </w:tcPr>
          <w:p w14:paraId="2B59D2C3"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0,013</w:t>
            </w:r>
          </w:p>
        </w:tc>
        <w:tc>
          <w:tcPr>
            <w:tcW w:w="1136" w:type="dxa"/>
            <w:gridSpan w:val="2"/>
            <w:shd w:val="clear" w:color="auto" w:fill="auto"/>
            <w:tcMar>
              <w:left w:w="28" w:type="dxa"/>
              <w:right w:w="28" w:type="dxa"/>
            </w:tcMar>
          </w:tcPr>
          <w:p w14:paraId="2FF73E56" w14:textId="77777777" w:rsidR="002709ED" w:rsidRDefault="002709ED">
            <w:pPr>
              <w:keepNext/>
              <w:keepLines/>
              <w:spacing w:before="40" w:after="40" w:line="360" w:lineRule="auto"/>
              <w:rPr>
                <w:noProof/>
                <w:sz w:val="22"/>
                <w:szCs w:val="24"/>
                <w:lang w:val="en-GB" w:eastAsia="en-US"/>
              </w:rPr>
            </w:pPr>
          </w:p>
        </w:tc>
        <w:tc>
          <w:tcPr>
            <w:tcW w:w="1262" w:type="dxa"/>
            <w:tcMar>
              <w:left w:w="28" w:type="dxa"/>
              <w:right w:w="28" w:type="dxa"/>
            </w:tcMar>
          </w:tcPr>
          <w:p w14:paraId="3B1F2543" w14:textId="77777777" w:rsidR="002709ED" w:rsidRDefault="002709ED">
            <w:pPr>
              <w:keepNext/>
              <w:keepLines/>
              <w:spacing w:before="40" w:after="40" w:line="360" w:lineRule="auto"/>
              <w:rPr>
                <w:noProof/>
                <w:color w:val="000000"/>
                <w:sz w:val="22"/>
                <w:szCs w:val="24"/>
                <w:lang w:val="en-GB" w:eastAsia="en-US"/>
              </w:rPr>
            </w:pPr>
          </w:p>
        </w:tc>
        <w:tc>
          <w:tcPr>
            <w:tcW w:w="1153" w:type="dxa"/>
            <w:gridSpan w:val="2"/>
            <w:tcMar>
              <w:left w:w="28" w:type="dxa"/>
              <w:right w:w="28" w:type="dxa"/>
            </w:tcMar>
          </w:tcPr>
          <w:p w14:paraId="34E541C6" w14:textId="77777777" w:rsidR="002709ED" w:rsidRDefault="002709ED">
            <w:pPr>
              <w:keepNext/>
              <w:keepLines/>
              <w:spacing w:before="40" w:after="40" w:line="360" w:lineRule="auto"/>
              <w:rPr>
                <w:noProof/>
                <w:color w:val="000000"/>
                <w:sz w:val="22"/>
                <w:szCs w:val="24"/>
                <w:lang w:val="en-GB" w:eastAsia="en-US"/>
              </w:rPr>
            </w:pPr>
          </w:p>
        </w:tc>
        <w:tc>
          <w:tcPr>
            <w:tcW w:w="970" w:type="dxa"/>
            <w:tcMar>
              <w:left w:w="28" w:type="dxa"/>
              <w:right w:w="28" w:type="dxa"/>
            </w:tcMar>
          </w:tcPr>
          <w:p w14:paraId="5A1918E0" w14:textId="77777777" w:rsidR="002709ED" w:rsidRDefault="00B2757B">
            <w:pPr>
              <w:keepNext/>
              <w:keepLines/>
              <w:spacing w:before="40" w:after="40" w:line="360" w:lineRule="auto"/>
              <w:rPr>
                <w:noProof/>
                <w:color w:val="000000"/>
                <w:sz w:val="22"/>
                <w:szCs w:val="24"/>
                <w:lang w:val="en-GB" w:eastAsia="en-US"/>
              </w:rPr>
            </w:pPr>
            <w:r>
              <w:rPr>
                <w:noProof/>
                <w:sz w:val="22"/>
                <w:szCs w:val="24"/>
                <w:lang w:val="en-GB" w:eastAsia="en-US"/>
              </w:rPr>
              <w:t>X</w:t>
            </w:r>
          </w:p>
        </w:tc>
      </w:tr>
      <w:tr w:rsidR="002709ED" w14:paraId="17A352FE" w14:textId="77777777">
        <w:trPr>
          <w:gridBefore w:val="1"/>
          <w:wBefore w:w="12" w:type="dxa"/>
          <w:cantSplit/>
          <w:tblHeader/>
          <w:jc w:val="center"/>
        </w:trPr>
        <w:tc>
          <w:tcPr>
            <w:tcW w:w="651" w:type="dxa"/>
            <w:gridSpan w:val="3"/>
            <w:tcMar>
              <w:left w:w="28" w:type="dxa"/>
              <w:right w:w="28" w:type="dxa"/>
            </w:tcMar>
          </w:tcPr>
          <w:p w14:paraId="0FE8B0FC"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(54)</w:t>
            </w:r>
          </w:p>
        </w:tc>
        <w:tc>
          <w:tcPr>
            <w:tcW w:w="2286" w:type="dxa"/>
            <w:gridSpan w:val="3"/>
            <w:shd w:val="clear" w:color="auto" w:fill="auto"/>
            <w:tcMar>
              <w:left w:w="28" w:type="dxa"/>
              <w:right w:w="28" w:type="dxa"/>
            </w:tcMar>
          </w:tcPr>
          <w:p w14:paraId="6CDA76AE"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klotianidín</w:t>
            </w:r>
          </w:p>
        </w:tc>
        <w:tc>
          <w:tcPr>
            <w:tcW w:w="1329" w:type="dxa"/>
            <w:gridSpan w:val="3"/>
            <w:shd w:val="clear" w:color="auto" w:fill="auto"/>
            <w:tcMar>
              <w:left w:w="28" w:type="dxa"/>
              <w:right w:w="28" w:type="dxa"/>
            </w:tcMar>
          </w:tcPr>
          <w:p w14:paraId="1407E7D3"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neonikotinoidné pesticídy</w:t>
            </w:r>
          </w:p>
        </w:tc>
        <w:tc>
          <w:tcPr>
            <w:tcW w:w="992" w:type="dxa"/>
            <w:gridSpan w:val="2"/>
            <w:shd w:val="clear" w:color="auto" w:fill="auto"/>
            <w:tcMar>
              <w:left w:w="28" w:type="dxa"/>
              <w:right w:w="28" w:type="dxa"/>
            </w:tcMar>
          </w:tcPr>
          <w:p w14:paraId="0E5551D0"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210880-92-5</w:t>
            </w:r>
          </w:p>
        </w:tc>
        <w:tc>
          <w:tcPr>
            <w:tcW w:w="1134" w:type="dxa"/>
          </w:tcPr>
          <w:p w14:paraId="7A3048F7"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433-460-1</w:t>
            </w:r>
          </w:p>
        </w:tc>
        <w:tc>
          <w:tcPr>
            <w:tcW w:w="1279" w:type="dxa"/>
            <w:gridSpan w:val="2"/>
            <w:shd w:val="clear" w:color="auto" w:fill="auto"/>
            <w:tcMar>
              <w:left w:w="28" w:type="dxa"/>
              <w:right w:w="28" w:type="dxa"/>
            </w:tcMar>
          </w:tcPr>
          <w:p w14:paraId="296C129C"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0,01</w:t>
            </w:r>
          </w:p>
        </w:tc>
        <w:tc>
          <w:tcPr>
            <w:tcW w:w="1279" w:type="dxa"/>
            <w:gridSpan w:val="2"/>
            <w:shd w:val="clear" w:color="auto" w:fill="auto"/>
            <w:tcMar>
              <w:left w:w="28" w:type="dxa"/>
              <w:right w:w="28" w:type="dxa"/>
            </w:tcMar>
          </w:tcPr>
          <w:p w14:paraId="3212AD49"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0,001</w:t>
            </w:r>
          </w:p>
        </w:tc>
        <w:tc>
          <w:tcPr>
            <w:tcW w:w="1278" w:type="dxa"/>
            <w:gridSpan w:val="2"/>
            <w:shd w:val="clear" w:color="auto" w:fill="auto"/>
            <w:tcMar>
              <w:left w:w="28" w:type="dxa"/>
              <w:right w:w="28" w:type="dxa"/>
            </w:tcMar>
          </w:tcPr>
          <w:p w14:paraId="118E8F5B"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0,34</w:t>
            </w:r>
          </w:p>
        </w:tc>
        <w:tc>
          <w:tcPr>
            <w:tcW w:w="1277" w:type="dxa"/>
            <w:gridSpan w:val="2"/>
            <w:shd w:val="clear" w:color="auto" w:fill="auto"/>
            <w:tcMar>
              <w:left w:w="28" w:type="dxa"/>
              <w:right w:w="28" w:type="dxa"/>
            </w:tcMar>
          </w:tcPr>
          <w:p w14:paraId="251E54A0"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0,034</w:t>
            </w:r>
          </w:p>
        </w:tc>
        <w:tc>
          <w:tcPr>
            <w:tcW w:w="1136" w:type="dxa"/>
            <w:gridSpan w:val="2"/>
            <w:shd w:val="clear" w:color="auto" w:fill="auto"/>
            <w:tcMar>
              <w:left w:w="28" w:type="dxa"/>
              <w:right w:w="28" w:type="dxa"/>
            </w:tcMar>
          </w:tcPr>
          <w:p w14:paraId="17A14B4E" w14:textId="77777777" w:rsidR="002709ED" w:rsidRDefault="002709ED">
            <w:pPr>
              <w:keepNext/>
              <w:keepLines/>
              <w:spacing w:before="40" w:after="40" w:line="360" w:lineRule="auto"/>
              <w:rPr>
                <w:noProof/>
                <w:sz w:val="22"/>
                <w:szCs w:val="24"/>
                <w:lang w:val="en-GB" w:eastAsia="en-US"/>
              </w:rPr>
            </w:pPr>
          </w:p>
        </w:tc>
        <w:tc>
          <w:tcPr>
            <w:tcW w:w="1262" w:type="dxa"/>
            <w:tcMar>
              <w:left w:w="28" w:type="dxa"/>
              <w:right w:w="28" w:type="dxa"/>
            </w:tcMar>
          </w:tcPr>
          <w:p w14:paraId="21D2A643" w14:textId="77777777" w:rsidR="002709ED" w:rsidRDefault="002709ED">
            <w:pPr>
              <w:keepNext/>
              <w:keepLines/>
              <w:spacing w:before="40" w:after="40" w:line="360" w:lineRule="auto"/>
              <w:rPr>
                <w:noProof/>
                <w:color w:val="000000"/>
                <w:sz w:val="22"/>
                <w:szCs w:val="24"/>
                <w:lang w:val="en-GB" w:eastAsia="en-US"/>
              </w:rPr>
            </w:pPr>
          </w:p>
        </w:tc>
        <w:tc>
          <w:tcPr>
            <w:tcW w:w="1153" w:type="dxa"/>
            <w:gridSpan w:val="2"/>
            <w:tcMar>
              <w:left w:w="28" w:type="dxa"/>
              <w:right w:w="28" w:type="dxa"/>
            </w:tcMar>
          </w:tcPr>
          <w:p w14:paraId="29411149" w14:textId="77777777" w:rsidR="002709ED" w:rsidRDefault="002709ED">
            <w:pPr>
              <w:keepNext/>
              <w:keepLines/>
              <w:spacing w:before="40" w:after="40" w:line="360" w:lineRule="auto"/>
              <w:rPr>
                <w:noProof/>
                <w:color w:val="000000"/>
                <w:sz w:val="22"/>
                <w:szCs w:val="24"/>
                <w:lang w:val="en-GB" w:eastAsia="en-US"/>
              </w:rPr>
            </w:pPr>
          </w:p>
        </w:tc>
        <w:tc>
          <w:tcPr>
            <w:tcW w:w="970" w:type="dxa"/>
            <w:tcMar>
              <w:left w:w="28" w:type="dxa"/>
              <w:right w:w="28" w:type="dxa"/>
            </w:tcMar>
          </w:tcPr>
          <w:p w14:paraId="4040F928" w14:textId="77777777" w:rsidR="002709ED" w:rsidRDefault="002709ED">
            <w:pPr>
              <w:keepNext/>
              <w:keepLines/>
              <w:spacing w:before="40" w:after="40" w:line="360" w:lineRule="auto"/>
              <w:rPr>
                <w:noProof/>
                <w:color w:val="000000"/>
                <w:sz w:val="22"/>
                <w:szCs w:val="24"/>
                <w:lang w:val="en-GB" w:eastAsia="en-US"/>
              </w:rPr>
            </w:pPr>
          </w:p>
        </w:tc>
      </w:tr>
      <w:tr w:rsidR="002709ED" w14:paraId="6B75DEDF" w14:textId="77777777">
        <w:trPr>
          <w:gridBefore w:val="1"/>
          <w:wBefore w:w="12" w:type="dxa"/>
          <w:cantSplit/>
          <w:tblHeader/>
          <w:jc w:val="center"/>
        </w:trPr>
        <w:tc>
          <w:tcPr>
            <w:tcW w:w="651" w:type="dxa"/>
            <w:gridSpan w:val="3"/>
            <w:tcMar>
              <w:left w:w="28" w:type="dxa"/>
              <w:right w:w="28" w:type="dxa"/>
            </w:tcMar>
          </w:tcPr>
          <w:p w14:paraId="6FB39D7B"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(55)</w:t>
            </w:r>
          </w:p>
        </w:tc>
        <w:tc>
          <w:tcPr>
            <w:tcW w:w="2286" w:type="dxa"/>
            <w:gridSpan w:val="3"/>
            <w:shd w:val="clear" w:color="auto" w:fill="auto"/>
            <w:tcMar>
              <w:left w:w="28" w:type="dxa"/>
              <w:right w:w="28" w:type="dxa"/>
            </w:tcMar>
          </w:tcPr>
          <w:p w14:paraId="58AD7543"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deltametrín</w:t>
            </w:r>
          </w:p>
        </w:tc>
        <w:tc>
          <w:tcPr>
            <w:tcW w:w="1329" w:type="dxa"/>
            <w:gridSpan w:val="3"/>
            <w:shd w:val="clear" w:color="auto" w:fill="auto"/>
            <w:tcMar>
              <w:left w:w="28" w:type="dxa"/>
              <w:right w:w="28" w:type="dxa"/>
            </w:tcMar>
          </w:tcPr>
          <w:p w14:paraId="117875AB"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pyretroidné pesticídy</w:t>
            </w:r>
          </w:p>
        </w:tc>
        <w:tc>
          <w:tcPr>
            <w:tcW w:w="992" w:type="dxa"/>
            <w:gridSpan w:val="2"/>
            <w:shd w:val="clear" w:color="auto" w:fill="auto"/>
            <w:tcMar>
              <w:left w:w="28" w:type="dxa"/>
              <w:right w:w="28" w:type="dxa"/>
            </w:tcMar>
          </w:tcPr>
          <w:p w14:paraId="5546CAEE"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52918-63-5</w:t>
            </w:r>
          </w:p>
        </w:tc>
        <w:tc>
          <w:tcPr>
            <w:tcW w:w="1134" w:type="dxa"/>
          </w:tcPr>
          <w:p w14:paraId="17E3F3F1"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258-256-6</w:t>
            </w:r>
          </w:p>
        </w:tc>
        <w:tc>
          <w:tcPr>
            <w:tcW w:w="1279" w:type="dxa"/>
            <w:gridSpan w:val="2"/>
            <w:shd w:val="clear" w:color="auto" w:fill="auto"/>
            <w:tcMar>
              <w:left w:w="28" w:type="dxa"/>
              <w:right w:w="28" w:type="dxa"/>
            </w:tcMar>
          </w:tcPr>
          <w:p w14:paraId="1F12121C"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1,7 × 10</w:t>
            </w:r>
            <w:r>
              <w:rPr>
                <w:noProof/>
                <w:color w:val="000000"/>
                <w:sz w:val="22"/>
                <w:szCs w:val="24"/>
                <w:vertAlign w:val="superscript"/>
                <w:lang w:val="en-GB" w:eastAsia="en-US"/>
              </w:rPr>
              <w:t>-6</w:t>
            </w:r>
          </w:p>
        </w:tc>
        <w:tc>
          <w:tcPr>
            <w:tcW w:w="1279" w:type="dxa"/>
            <w:gridSpan w:val="2"/>
            <w:shd w:val="clear" w:color="auto" w:fill="auto"/>
            <w:tcMar>
              <w:left w:w="28" w:type="dxa"/>
              <w:right w:w="28" w:type="dxa"/>
            </w:tcMar>
          </w:tcPr>
          <w:p w14:paraId="134D806F"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1,7 × 10</w:t>
            </w:r>
            <w:r>
              <w:rPr>
                <w:noProof/>
                <w:color w:val="000000"/>
                <w:sz w:val="22"/>
                <w:szCs w:val="24"/>
                <w:vertAlign w:val="superscript"/>
                <w:lang w:val="en-GB" w:eastAsia="en-US"/>
              </w:rPr>
              <w:t>-7</w:t>
            </w:r>
          </w:p>
        </w:tc>
        <w:tc>
          <w:tcPr>
            <w:tcW w:w="1278" w:type="dxa"/>
            <w:gridSpan w:val="2"/>
            <w:shd w:val="clear" w:color="auto" w:fill="auto"/>
            <w:tcMar>
              <w:left w:w="28" w:type="dxa"/>
              <w:right w:w="28" w:type="dxa"/>
            </w:tcMar>
          </w:tcPr>
          <w:p w14:paraId="1F44E803"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1,7 × 10</w:t>
            </w:r>
            <w:r>
              <w:rPr>
                <w:noProof/>
                <w:color w:val="000000"/>
                <w:sz w:val="22"/>
                <w:szCs w:val="24"/>
                <w:vertAlign w:val="superscript"/>
                <w:lang w:val="en-GB" w:eastAsia="en-US"/>
              </w:rPr>
              <w:t>-5</w:t>
            </w:r>
          </w:p>
        </w:tc>
        <w:tc>
          <w:tcPr>
            <w:tcW w:w="1277" w:type="dxa"/>
            <w:gridSpan w:val="2"/>
            <w:shd w:val="clear" w:color="auto" w:fill="auto"/>
            <w:tcMar>
              <w:left w:w="28" w:type="dxa"/>
              <w:right w:w="28" w:type="dxa"/>
            </w:tcMar>
          </w:tcPr>
          <w:p w14:paraId="31856BB8"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3,4 × 10</w:t>
            </w:r>
            <w:r>
              <w:rPr>
                <w:noProof/>
                <w:color w:val="000000"/>
                <w:sz w:val="22"/>
                <w:szCs w:val="24"/>
                <w:vertAlign w:val="superscript"/>
                <w:lang w:val="en-GB" w:eastAsia="en-US"/>
              </w:rPr>
              <w:t>-6</w:t>
            </w:r>
          </w:p>
        </w:tc>
        <w:tc>
          <w:tcPr>
            <w:tcW w:w="1136" w:type="dxa"/>
            <w:gridSpan w:val="2"/>
            <w:shd w:val="clear" w:color="auto" w:fill="auto"/>
            <w:tcMar>
              <w:left w:w="28" w:type="dxa"/>
              <w:right w:w="28" w:type="dxa"/>
            </w:tcMar>
          </w:tcPr>
          <w:p w14:paraId="66824743" w14:textId="77777777" w:rsidR="002709ED" w:rsidRDefault="002709ED">
            <w:pPr>
              <w:keepNext/>
              <w:keepLines/>
              <w:spacing w:before="40" w:after="40" w:line="360" w:lineRule="auto"/>
              <w:rPr>
                <w:noProof/>
                <w:sz w:val="22"/>
                <w:szCs w:val="24"/>
                <w:lang w:val="en-GB" w:eastAsia="en-US"/>
              </w:rPr>
            </w:pPr>
          </w:p>
        </w:tc>
        <w:tc>
          <w:tcPr>
            <w:tcW w:w="1262" w:type="dxa"/>
            <w:tcMar>
              <w:left w:w="28" w:type="dxa"/>
              <w:right w:w="28" w:type="dxa"/>
            </w:tcMar>
          </w:tcPr>
          <w:p w14:paraId="2EF4B1E1" w14:textId="77777777" w:rsidR="002709ED" w:rsidRDefault="002709ED">
            <w:pPr>
              <w:keepNext/>
              <w:keepLines/>
              <w:spacing w:before="40" w:after="40" w:line="360" w:lineRule="auto"/>
              <w:rPr>
                <w:noProof/>
                <w:color w:val="000000"/>
                <w:sz w:val="22"/>
                <w:szCs w:val="24"/>
                <w:lang w:val="en-GB" w:eastAsia="en-US"/>
              </w:rPr>
            </w:pPr>
          </w:p>
        </w:tc>
        <w:tc>
          <w:tcPr>
            <w:tcW w:w="1153" w:type="dxa"/>
            <w:gridSpan w:val="2"/>
            <w:shd w:val="clear" w:color="auto" w:fill="auto"/>
            <w:tcMar>
              <w:left w:w="28" w:type="dxa"/>
              <w:right w:w="28" w:type="dxa"/>
            </w:tcMar>
          </w:tcPr>
          <w:p w14:paraId="7C58C4B9" w14:textId="77777777" w:rsidR="002709ED" w:rsidRDefault="002709ED">
            <w:pPr>
              <w:keepNext/>
              <w:keepLines/>
              <w:spacing w:before="40" w:after="40" w:line="360" w:lineRule="auto"/>
              <w:rPr>
                <w:noProof/>
                <w:color w:val="000000"/>
                <w:sz w:val="22"/>
                <w:szCs w:val="24"/>
                <w:lang w:val="en-GB" w:eastAsia="en-US"/>
              </w:rPr>
            </w:pPr>
          </w:p>
        </w:tc>
        <w:tc>
          <w:tcPr>
            <w:tcW w:w="970" w:type="dxa"/>
            <w:shd w:val="clear" w:color="auto" w:fill="auto"/>
            <w:tcMar>
              <w:left w:w="28" w:type="dxa"/>
              <w:right w:w="28" w:type="dxa"/>
            </w:tcMar>
          </w:tcPr>
          <w:p w14:paraId="747FF20D" w14:textId="77777777" w:rsidR="002709ED" w:rsidRDefault="00B2757B">
            <w:pPr>
              <w:keepNext/>
              <w:keepLines/>
              <w:spacing w:before="40" w:after="40" w:line="360" w:lineRule="auto"/>
              <w:rPr>
                <w:noProof/>
                <w:color w:val="000000"/>
                <w:sz w:val="22"/>
                <w:szCs w:val="24"/>
                <w:lang w:val="en-GB" w:eastAsia="en-US"/>
              </w:rPr>
            </w:pPr>
            <w:r>
              <w:rPr>
                <w:noProof/>
                <w:sz w:val="22"/>
                <w:szCs w:val="24"/>
                <w:lang w:val="en-GB" w:eastAsia="en-US"/>
              </w:rPr>
              <w:t>X</w:t>
            </w:r>
          </w:p>
        </w:tc>
      </w:tr>
      <w:tr w:rsidR="002709ED" w14:paraId="623AD3A5" w14:textId="77777777">
        <w:trPr>
          <w:gridBefore w:val="1"/>
          <w:wBefore w:w="12" w:type="dxa"/>
          <w:cantSplit/>
          <w:tblHeader/>
          <w:jc w:val="center"/>
        </w:trPr>
        <w:tc>
          <w:tcPr>
            <w:tcW w:w="651" w:type="dxa"/>
            <w:gridSpan w:val="3"/>
            <w:tcMar>
              <w:left w:w="28" w:type="dxa"/>
              <w:right w:w="28" w:type="dxa"/>
            </w:tcMar>
          </w:tcPr>
          <w:p w14:paraId="23F3FE7C"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(56)</w:t>
            </w:r>
          </w:p>
        </w:tc>
        <w:tc>
          <w:tcPr>
            <w:tcW w:w="2286" w:type="dxa"/>
            <w:gridSpan w:val="3"/>
            <w:shd w:val="clear" w:color="auto" w:fill="auto"/>
            <w:tcMar>
              <w:left w:w="28" w:type="dxa"/>
              <w:right w:w="28" w:type="dxa"/>
            </w:tcMar>
          </w:tcPr>
          <w:p w14:paraId="62769D0F"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diklofenak</w:t>
            </w:r>
          </w:p>
        </w:tc>
        <w:tc>
          <w:tcPr>
            <w:tcW w:w="1329" w:type="dxa"/>
            <w:gridSpan w:val="3"/>
            <w:shd w:val="clear" w:color="auto" w:fill="auto"/>
            <w:tcMar>
              <w:left w:w="28" w:type="dxa"/>
              <w:right w:w="28" w:type="dxa"/>
            </w:tcMar>
          </w:tcPr>
          <w:p w14:paraId="7B742342"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lieky</w:t>
            </w:r>
          </w:p>
        </w:tc>
        <w:tc>
          <w:tcPr>
            <w:tcW w:w="992" w:type="dxa"/>
            <w:gridSpan w:val="2"/>
            <w:shd w:val="clear" w:color="auto" w:fill="auto"/>
            <w:tcMar>
              <w:left w:w="28" w:type="dxa"/>
              <w:right w:w="28" w:type="dxa"/>
            </w:tcMar>
          </w:tcPr>
          <w:p w14:paraId="3179A0E0"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 xml:space="preserve">15307-86-5/15307-79-6 </w:t>
            </w:r>
          </w:p>
        </w:tc>
        <w:tc>
          <w:tcPr>
            <w:tcW w:w="1134" w:type="dxa"/>
          </w:tcPr>
          <w:p w14:paraId="221D7BA2"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239-348-5/239-346-4</w:t>
            </w:r>
          </w:p>
        </w:tc>
        <w:tc>
          <w:tcPr>
            <w:tcW w:w="1279" w:type="dxa"/>
            <w:gridSpan w:val="2"/>
            <w:shd w:val="clear" w:color="auto" w:fill="auto"/>
            <w:tcMar>
              <w:left w:w="28" w:type="dxa"/>
              <w:right w:w="28" w:type="dxa"/>
            </w:tcMar>
          </w:tcPr>
          <w:p w14:paraId="601CA98D"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0,04</w:t>
            </w:r>
          </w:p>
        </w:tc>
        <w:tc>
          <w:tcPr>
            <w:tcW w:w="1279" w:type="dxa"/>
            <w:gridSpan w:val="2"/>
            <w:shd w:val="clear" w:color="auto" w:fill="auto"/>
            <w:tcMar>
              <w:left w:w="28" w:type="dxa"/>
              <w:right w:w="28" w:type="dxa"/>
            </w:tcMar>
          </w:tcPr>
          <w:p w14:paraId="46A16CCD"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0,004</w:t>
            </w:r>
          </w:p>
        </w:tc>
        <w:tc>
          <w:tcPr>
            <w:tcW w:w="1278" w:type="dxa"/>
            <w:gridSpan w:val="2"/>
            <w:shd w:val="clear" w:color="auto" w:fill="auto"/>
            <w:tcMar>
              <w:left w:w="28" w:type="dxa"/>
              <w:right w:w="28" w:type="dxa"/>
            </w:tcMar>
          </w:tcPr>
          <w:p w14:paraId="39D7C180"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250</w:t>
            </w:r>
          </w:p>
        </w:tc>
        <w:tc>
          <w:tcPr>
            <w:tcW w:w="1277" w:type="dxa"/>
            <w:gridSpan w:val="2"/>
            <w:shd w:val="clear" w:color="auto" w:fill="auto"/>
            <w:tcMar>
              <w:left w:w="28" w:type="dxa"/>
              <w:right w:w="28" w:type="dxa"/>
            </w:tcMar>
          </w:tcPr>
          <w:p w14:paraId="25271ADA"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25</w:t>
            </w:r>
          </w:p>
        </w:tc>
        <w:tc>
          <w:tcPr>
            <w:tcW w:w="1136" w:type="dxa"/>
            <w:gridSpan w:val="2"/>
            <w:shd w:val="clear" w:color="auto" w:fill="auto"/>
            <w:tcMar>
              <w:left w:w="28" w:type="dxa"/>
              <w:right w:w="28" w:type="dxa"/>
            </w:tcMar>
          </w:tcPr>
          <w:p w14:paraId="683DDE61" w14:textId="77777777" w:rsidR="002709ED" w:rsidRDefault="002709ED">
            <w:pPr>
              <w:keepNext/>
              <w:keepLines/>
              <w:spacing w:before="40" w:after="40" w:line="360" w:lineRule="auto"/>
              <w:rPr>
                <w:noProof/>
                <w:sz w:val="22"/>
                <w:szCs w:val="24"/>
                <w:lang w:val="en-GB" w:eastAsia="en-US"/>
              </w:rPr>
            </w:pPr>
          </w:p>
        </w:tc>
        <w:tc>
          <w:tcPr>
            <w:tcW w:w="1262" w:type="dxa"/>
            <w:tcMar>
              <w:left w:w="28" w:type="dxa"/>
              <w:right w:w="28" w:type="dxa"/>
            </w:tcMar>
          </w:tcPr>
          <w:p w14:paraId="2889307E" w14:textId="77777777" w:rsidR="002709ED" w:rsidRDefault="002709ED">
            <w:pPr>
              <w:keepNext/>
              <w:keepLines/>
              <w:spacing w:before="40" w:after="40" w:line="360" w:lineRule="auto"/>
              <w:rPr>
                <w:noProof/>
                <w:color w:val="000000"/>
                <w:sz w:val="22"/>
                <w:szCs w:val="24"/>
                <w:lang w:val="en-GB" w:eastAsia="en-US"/>
              </w:rPr>
            </w:pPr>
          </w:p>
        </w:tc>
        <w:tc>
          <w:tcPr>
            <w:tcW w:w="1153" w:type="dxa"/>
            <w:gridSpan w:val="2"/>
            <w:shd w:val="clear" w:color="auto" w:fill="auto"/>
            <w:tcMar>
              <w:left w:w="28" w:type="dxa"/>
              <w:right w:w="28" w:type="dxa"/>
            </w:tcMar>
          </w:tcPr>
          <w:p w14:paraId="321611EA" w14:textId="77777777" w:rsidR="002709ED" w:rsidRDefault="002709ED">
            <w:pPr>
              <w:keepNext/>
              <w:keepLines/>
              <w:spacing w:before="40" w:after="40" w:line="360" w:lineRule="auto"/>
              <w:rPr>
                <w:noProof/>
                <w:color w:val="000000"/>
                <w:sz w:val="22"/>
                <w:szCs w:val="24"/>
                <w:lang w:val="en-GB" w:eastAsia="en-US"/>
              </w:rPr>
            </w:pPr>
          </w:p>
        </w:tc>
        <w:tc>
          <w:tcPr>
            <w:tcW w:w="970" w:type="dxa"/>
            <w:shd w:val="clear" w:color="auto" w:fill="auto"/>
            <w:tcMar>
              <w:left w:w="28" w:type="dxa"/>
              <w:right w:w="28" w:type="dxa"/>
            </w:tcMar>
          </w:tcPr>
          <w:p w14:paraId="13BA0412" w14:textId="77777777" w:rsidR="002709ED" w:rsidRDefault="00B2757B">
            <w:pPr>
              <w:keepNext/>
              <w:keepLines/>
              <w:spacing w:before="40" w:after="40" w:line="360" w:lineRule="auto"/>
              <w:rPr>
                <w:noProof/>
                <w:color w:val="000000"/>
                <w:sz w:val="22"/>
                <w:szCs w:val="24"/>
                <w:lang w:val="en-GB" w:eastAsia="en-US"/>
              </w:rPr>
            </w:pPr>
            <w:r>
              <w:rPr>
                <w:noProof/>
                <w:color w:val="000000"/>
                <w:sz w:val="22"/>
                <w:szCs w:val="24"/>
                <w:lang w:val="en-GB" w:eastAsia="en-US"/>
              </w:rPr>
              <w:t>X</w:t>
            </w:r>
          </w:p>
        </w:tc>
      </w:tr>
      <w:tr w:rsidR="002709ED" w14:paraId="0A0FF577" w14:textId="77777777">
        <w:trPr>
          <w:gridBefore w:val="1"/>
          <w:wBefore w:w="12" w:type="dxa"/>
          <w:cantSplit/>
          <w:tblHeader/>
          <w:jc w:val="center"/>
        </w:trPr>
        <w:tc>
          <w:tcPr>
            <w:tcW w:w="651" w:type="dxa"/>
            <w:gridSpan w:val="3"/>
            <w:tcMar>
              <w:left w:w="28" w:type="dxa"/>
              <w:right w:w="28" w:type="dxa"/>
            </w:tcMar>
          </w:tcPr>
          <w:p w14:paraId="05D6481F"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(57)</w:t>
            </w:r>
          </w:p>
        </w:tc>
        <w:tc>
          <w:tcPr>
            <w:tcW w:w="2286" w:type="dxa"/>
            <w:gridSpan w:val="3"/>
            <w:shd w:val="clear" w:color="auto" w:fill="auto"/>
            <w:tcMar>
              <w:left w:w="28" w:type="dxa"/>
              <w:right w:w="28" w:type="dxa"/>
            </w:tcMar>
          </w:tcPr>
          <w:p w14:paraId="08998550"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erytromycín</w:t>
            </w:r>
          </w:p>
        </w:tc>
        <w:tc>
          <w:tcPr>
            <w:tcW w:w="1329" w:type="dxa"/>
            <w:gridSpan w:val="3"/>
            <w:shd w:val="clear" w:color="auto" w:fill="auto"/>
            <w:tcMar>
              <w:left w:w="28" w:type="dxa"/>
              <w:right w:w="28" w:type="dxa"/>
            </w:tcMar>
          </w:tcPr>
          <w:p w14:paraId="049BFC72"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lieky (makrolidové antibiotiká)</w:t>
            </w:r>
          </w:p>
        </w:tc>
        <w:tc>
          <w:tcPr>
            <w:tcW w:w="992" w:type="dxa"/>
            <w:gridSpan w:val="2"/>
            <w:shd w:val="clear" w:color="auto" w:fill="auto"/>
            <w:tcMar>
              <w:left w:w="28" w:type="dxa"/>
              <w:right w:w="28" w:type="dxa"/>
            </w:tcMar>
          </w:tcPr>
          <w:p w14:paraId="6F306599"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114-07-8</w:t>
            </w:r>
          </w:p>
        </w:tc>
        <w:tc>
          <w:tcPr>
            <w:tcW w:w="1134" w:type="dxa"/>
          </w:tcPr>
          <w:p w14:paraId="2EB683A9"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204-040-1</w:t>
            </w:r>
          </w:p>
        </w:tc>
        <w:tc>
          <w:tcPr>
            <w:tcW w:w="1279" w:type="dxa"/>
            <w:gridSpan w:val="2"/>
            <w:shd w:val="clear" w:color="auto" w:fill="auto"/>
            <w:tcMar>
              <w:left w:w="28" w:type="dxa"/>
              <w:right w:w="28" w:type="dxa"/>
            </w:tcMar>
          </w:tcPr>
          <w:p w14:paraId="2AE5C595"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0,5</w:t>
            </w:r>
          </w:p>
        </w:tc>
        <w:tc>
          <w:tcPr>
            <w:tcW w:w="1279" w:type="dxa"/>
            <w:gridSpan w:val="2"/>
            <w:shd w:val="clear" w:color="auto" w:fill="auto"/>
            <w:tcMar>
              <w:left w:w="28" w:type="dxa"/>
              <w:right w:w="28" w:type="dxa"/>
            </w:tcMar>
          </w:tcPr>
          <w:p w14:paraId="4BD9C124"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0,05</w:t>
            </w:r>
          </w:p>
        </w:tc>
        <w:tc>
          <w:tcPr>
            <w:tcW w:w="1278" w:type="dxa"/>
            <w:gridSpan w:val="2"/>
            <w:shd w:val="clear" w:color="auto" w:fill="auto"/>
            <w:tcMar>
              <w:left w:w="28" w:type="dxa"/>
              <w:right w:w="28" w:type="dxa"/>
            </w:tcMar>
          </w:tcPr>
          <w:p w14:paraId="7BD35E03"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1</w:t>
            </w:r>
          </w:p>
        </w:tc>
        <w:tc>
          <w:tcPr>
            <w:tcW w:w="1277" w:type="dxa"/>
            <w:gridSpan w:val="2"/>
            <w:shd w:val="clear" w:color="auto" w:fill="auto"/>
            <w:tcMar>
              <w:left w:w="28" w:type="dxa"/>
              <w:right w:w="28" w:type="dxa"/>
            </w:tcMar>
          </w:tcPr>
          <w:p w14:paraId="76CA946B"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0,1</w:t>
            </w:r>
          </w:p>
        </w:tc>
        <w:tc>
          <w:tcPr>
            <w:tcW w:w="1136" w:type="dxa"/>
            <w:gridSpan w:val="2"/>
            <w:shd w:val="clear" w:color="auto" w:fill="auto"/>
            <w:tcMar>
              <w:left w:w="28" w:type="dxa"/>
              <w:right w:w="28" w:type="dxa"/>
            </w:tcMar>
          </w:tcPr>
          <w:p w14:paraId="54ACCC79" w14:textId="77777777" w:rsidR="002709ED" w:rsidRDefault="002709ED">
            <w:pPr>
              <w:keepNext/>
              <w:keepLines/>
              <w:spacing w:before="40" w:after="40" w:line="360" w:lineRule="auto"/>
              <w:rPr>
                <w:noProof/>
                <w:sz w:val="22"/>
                <w:szCs w:val="24"/>
                <w:lang w:val="en-GB" w:eastAsia="en-US"/>
              </w:rPr>
            </w:pPr>
          </w:p>
        </w:tc>
        <w:tc>
          <w:tcPr>
            <w:tcW w:w="1262" w:type="dxa"/>
            <w:tcMar>
              <w:left w:w="28" w:type="dxa"/>
              <w:right w:w="28" w:type="dxa"/>
            </w:tcMar>
          </w:tcPr>
          <w:p w14:paraId="042D24B0" w14:textId="77777777" w:rsidR="002709ED" w:rsidRDefault="002709ED">
            <w:pPr>
              <w:keepNext/>
              <w:keepLines/>
              <w:spacing w:before="40" w:after="40" w:line="360" w:lineRule="auto"/>
              <w:rPr>
                <w:noProof/>
                <w:color w:val="000000"/>
                <w:sz w:val="22"/>
                <w:szCs w:val="24"/>
                <w:lang w:val="en-GB" w:eastAsia="en-US"/>
              </w:rPr>
            </w:pPr>
          </w:p>
        </w:tc>
        <w:tc>
          <w:tcPr>
            <w:tcW w:w="1153" w:type="dxa"/>
            <w:gridSpan w:val="2"/>
            <w:shd w:val="clear" w:color="auto" w:fill="auto"/>
            <w:tcMar>
              <w:left w:w="28" w:type="dxa"/>
              <w:right w:w="28" w:type="dxa"/>
            </w:tcMar>
          </w:tcPr>
          <w:p w14:paraId="52E52889" w14:textId="77777777" w:rsidR="002709ED" w:rsidRDefault="002709ED">
            <w:pPr>
              <w:keepNext/>
              <w:keepLines/>
              <w:spacing w:before="40" w:after="40" w:line="360" w:lineRule="auto"/>
              <w:rPr>
                <w:noProof/>
                <w:color w:val="000000"/>
                <w:sz w:val="22"/>
                <w:szCs w:val="24"/>
                <w:lang w:val="en-GB" w:eastAsia="en-US"/>
              </w:rPr>
            </w:pPr>
          </w:p>
        </w:tc>
        <w:tc>
          <w:tcPr>
            <w:tcW w:w="970" w:type="dxa"/>
            <w:shd w:val="clear" w:color="auto" w:fill="auto"/>
            <w:tcMar>
              <w:left w:w="28" w:type="dxa"/>
              <w:right w:w="28" w:type="dxa"/>
            </w:tcMar>
          </w:tcPr>
          <w:p w14:paraId="3C50FD3E" w14:textId="77777777" w:rsidR="002709ED" w:rsidRDefault="00B2757B">
            <w:pPr>
              <w:keepNext/>
              <w:keepLines/>
              <w:spacing w:before="40" w:after="40" w:line="360" w:lineRule="auto"/>
              <w:rPr>
                <w:noProof/>
                <w:color w:val="000000"/>
                <w:sz w:val="22"/>
                <w:szCs w:val="24"/>
                <w:lang w:val="en-GB" w:eastAsia="en-US"/>
              </w:rPr>
            </w:pPr>
            <w:r>
              <w:rPr>
                <w:noProof/>
                <w:sz w:val="22"/>
                <w:szCs w:val="24"/>
                <w:lang w:val="en-GB" w:eastAsia="en-US"/>
              </w:rPr>
              <w:t>X</w:t>
            </w:r>
          </w:p>
        </w:tc>
      </w:tr>
      <w:tr w:rsidR="002709ED" w14:paraId="496CC3DB" w14:textId="77777777">
        <w:trPr>
          <w:gridBefore w:val="1"/>
          <w:wBefore w:w="12" w:type="dxa"/>
          <w:cantSplit/>
          <w:tblHeader/>
          <w:jc w:val="center"/>
        </w:trPr>
        <w:tc>
          <w:tcPr>
            <w:tcW w:w="651" w:type="dxa"/>
            <w:gridSpan w:val="3"/>
            <w:tcMar>
              <w:left w:w="28" w:type="dxa"/>
              <w:right w:w="28" w:type="dxa"/>
            </w:tcMar>
          </w:tcPr>
          <w:p w14:paraId="214883B7"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(58)</w:t>
            </w:r>
          </w:p>
        </w:tc>
        <w:tc>
          <w:tcPr>
            <w:tcW w:w="2286" w:type="dxa"/>
            <w:gridSpan w:val="3"/>
            <w:shd w:val="clear" w:color="auto" w:fill="auto"/>
            <w:tcMar>
              <w:left w:w="28" w:type="dxa"/>
              <w:right w:w="28" w:type="dxa"/>
            </w:tcMar>
          </w:tcPr>
          <w:p w14:paraId="75F1C0C5"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esfenvalerát</w:t>
            </w:r>
          </w:p>
        </w:tc>
        <w:tc>
          <w:tcPr>
            <w:tcW w:w="1329" w:type="dxa"/>
            <w:gridSpan w:val="3"/>
            <w:shd w:val="clear" w:color="auto" w:fill="auto"/>
            <w:tcMar>
              <w:left w:w="28" w:type="dxa"/>
              <w:right w:w="28" w:type="dxa"/>
            </w:tcMar>
          </w:tcPr>
          <w:p w14:paraId="567D35BC"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pyretroidné pesticídy</w:t>
            </w:r>
          </w:p>
        </w:tc>
        <w:tc>
          <w:tcPr>
            <w:tcW w:w="992" w:type="dxa"/>
            <w:gridSpan w:val="2"/>
            <w:shd w:val="clear" w:color="auto" w:fill="auto"/>
            <w:tcMar>
              <w:left w:w="28" w:type="dxa"/>
              <w:right w:w="28" w:type="dxa"/>
            </w:tcMar>
          </w:tcPr>
          <w:p w14:paraId="1C8343FE"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66230-04-4</w:t>
            </w:r>
          </w:p>
        </w:tc>
        <w:tc>
          <w:tcPr>
            <w:tcW w:w="1134" w:type="dxa"/>
          </w:tcPr>
          <w:p w14:paraId="72D420D1"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613-911-9</w:t>
            </w:r>
          </w:p>
        </w:tc>
        <w:tc>
          <w:tcPr>
            <w:tcW w:w="1279" w:type="dxa"/>
            <w:gridSpan w:val="2"/>
            <w:shd w:val="clear" w:color="auto" w:fill="auto"/>
            <w:tcMar>
              <w:left w:w="28" w:type="dxa"/>
              <w:right w:w="28" w:type="dxa"/>
            </w:tcMar>
          </w:tcPr>
          <w:p w14:paraId="4EFBDEF2"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1,7 × 10</w:t>
            </w:r>
            <w:r>
              <w:rPr>
                <w:noProof/>
                <w:color w:val="000000"/>
                <w:sz w:val="22"/>
                <w:szCs w:val="24"/>
                <w:vertAlign w:val="superscript"/>
                <w:lang w:val="en-GB" w:eastAsia="en-US"/>
              </w:rPr>
              <w:t>-5</w:t>
            </w:r>
          </w:p>
        </w:tc>
        <w:tc>
          <w:tcPr>
            <w:tcW w:w="1279" w:type="dxa"/>
            <w:gridSpan w:val="2"/>
            <w:shd w:val="clear" w:color="auto" w:fill="auto"/>
            <w:tcMar>
              <w:left w:w="28" w:type="dxa"/>
              <w:right w:w="28" w:type="dxa"/>
            </w:tcMar>
          </w:tcPr>
          <w:p w14:paraId="2FA4CED8"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1,7 × 10</w:t>
            </w:r>
            <w:r>
              <w:rPr>
                <w:noProof/>
                <w:color w:val="000000"/>
                <w:sz w:val="22"/>
                <w:szCs w:val="24"/>
                <w:vertAlign w:val="superscript"/>
                <w:lang w:val="en-GB" w:eastAsia="en-US"/>
              </w:rPr>
              <w:t>-6</w:t>
            </w:r>
          </w:p>
        </w:tc>
        <w:tc>
          <w:tcPr>
            <w:tcW w:w="1278" w:type="dxa"/>
            <w:gridSpan w:val="2"/>
            <w:shd w:val="clear" w:color="auto" w:fill="auto"/>
            <w:tcMar>
              <w:left w:w="28" w:type="dxa"/>
              <w:right w:w="28" w:type="dxa"/>
            </w:tcMar>
          </w:tcPr>
          <w:p w14:paraId="60A001A5"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0,0085</w:t>
            </w:r>
          </w:p>
        </w:tc>
        <w:tc>
          <w:tcPr>
            <w:tcW w:w="1277" w:type="dxa"/>
            <w:gridSpan w:val="2"/>
            <w:shd w:val="clear" w:color="auto" w:fill="auto"/>
            <w:tcMar>
              <w:left w:w="28" w:type="dxa"/>
              <w:right w:w="28" w:type="dxa"/>
            </w:tcMar>
          </w:tcPr>
          <w:p w14:paraId="756BF439"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0,00085</w:t>
            </w:r>
          </w:p>
        </w:tc>
        <w:tc>
          <w:tcPr>
            <w:tcW w:w="1136" w:type="dxa"/>
            <w:gridSpan w:val="2"/>
            <w:shd w:val="clear" w:color="auto" w:fill="auto"/>
            <w:tcMar>
              <w:left w:w="28" w:type="dxa"/>
              <w:right w:w="28" w:type="dxa"/>
            </w:tcMar>
          </w:tcPr>
          <w:p w14:paraId="49853461" w14:textId="77777777" w:rsidR="002709ED" w:rsidRDefault="002709ED">
            <w:pPr>
              <w:keepNext/>
              <w:keepLines/>
              <w:spacing w:before="40" w:after="40" w:line="360" w:lineRule="auto"/>
              <w:rPr>
                <w:noProof/>
                <w:sz w:val="22"/>
                <w:szCs w:val="24"/>
                <w:lang w:val="en-GB" w:eastAsia="en-US"/>
              </w:rPr>
            </w:pPr>
          </w:p>
        </w:tc>
        <w:tc>
          <w:tcPr>
            <w:tcW w:w="1262" w:type="dxa"/>
            <w:tcMar>
              <w:left w:w="28" w:type="dxa"/>
              <w:right w:w="28" w:type="dxa"/>
            </w:tcMar>
          </w:tcPr>
          <w:p w14:paraId="163748E1" w14:textId="77777777" w:rsidR="002709ED" w:rsidRDefault="002709ED">
            <w:pPr>
              <w:keepNext/>
              <w:keepLines/>
              <w:spacing w:before="40" w:after="40" w:line="360" w:lineRule="auto"/>
              <w:rPr>
                <w:noProof/>
                <w:color w:val="000000"/>
                <w:sz w:val="22"/>
                <w:szCs w:val="24"/>
                <w:lang w:val="en-GB" w:eastAsia="en-US"/>
              </w:rPr>
            </w:pPr>
          </w:p>
        </w:tc>
        <w:tc>
          <w:tcPr>
            <w:tcW w:w="1153" w:type="dxa"/>
            <w:gridSpan w:val="2"/>
            <w:shd w:val="clear" w:color="auto" w:fill="auto"/>
            <w:tcMar>
              <w:left w:w="28" w:type="dxa"/>
              <w:right w:w="28" w:type="dxa"/>
            </w:tcMar>
          </w:tcPr>
          <w:p w14:paraId="61F398D5" w14:textId="77777777" w:rsidR="002709ED" w:rsidRDefault="002709ED">
            <w:pPr>
              <w:keepNext/>
              <w:keepLines/>
              <w:spacing w:before="40" w:after="40" w:line="360" w:lineRule="auto"/>
              <w:rPr>
                <w:noProof/>
                <w:color w:val="000000"/>
                <w:sz w:val="22"/>
                <w:szCs w:val="24"/>
                <w:lang w:val="en-GB" w:eastAsia="en-US"/>
              </w:rPr>
            </w:pPr>
          </w:p>
        </w:tc>
        <w:tc>
          <w:tcPr>
            <w:tcW w:w="970" w:type="dxa"/>
            <w:shd w:val="clear" w:color="auto" w:fill="auto"/>
            <w:tcMar>
              <w:left w:w="28" w:type="dxa"/>
              <w:right w:w="28" w:type="dxa"/>
            </w:tcMar>
          </w:tcPr>
          <w:p w14:paraId="593B0CF4" w14:textId="77777777" w:rsidR="002709ED" w:rsidRDefault="00B2757B">
            <w:pPr>
              <w:keepNext/>
              <w:keepLines/>
              <w:spacing w:before="40" w:after="40" w:line="360" w:lineRule="auto"/>
              <w:rPr>
                <w:noProof/>
                <w:color w:val="000000"/>
                <w:sz w:val="22"/>
                <w:szCs w:val="24"/>
                <w:lang w:val="en-GB" w:eastAsia="en-US"/>
              </w:rPr>
            </w:pPr>
            <w:r>
              <w:rPr>
                <w:noProof/>
                <w:sz w:val="22"/>
                <w:szCs w:val="24"/>
                <w:lang w:val="en-GB" w:eastAsia="en-US"/>
              </w:rPr>
              <w:t>X</w:t>
            </w:r>
          </w:p>
        </w:tc>
      </w:tr>
      <w:tr w:rsidR="002709ED" w14:paraId="5F814918" w14:textId="77777777">
        <w:trPr>
          <w:gridBefore w:val="1"/>
          <w:wBefore w:w="12" w:type="dxa"/>
          <w:cantSplit/>
          <w:tblHeader/>
          <w:jc w:val="center"/>
        </w:trPr>
        <w:tc>
          <w:tcPr>
            <w:tcW w:w="651" w:type="dxa"/>
            <w:gridSpan w:val="3"/>
            <w:tcMar>
              <w:left w:w="28" w:type="dxa"/>
              <w:right w:w="28" w:type="dxa"/>
            </w:tcMar>
          </w:tcPr>
          <w:p w14:paraId="6CA292E1"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(59)</w:t>
            </w:r>
          </w:p>
        </w:tc>
        <w:tc>
          <w:tcPr>
            <w:tcW w:w="2286" w:type="dxa"/>
            <w:gridSpan w:val="3"/>
            <w:shd w:val="clear" w:color="auto" w:fill="auto"/>
            <w:tcMar>
              <w:left w:w="28" w:type="dxa"/>
              <w:right w:w="28" w:type="dxa"/>
            </w:tcMar>
          </w:tcPr>
          <w:p w14:paraId="33E9B847"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estrón (E1)</w:t>
            </w:r>
          </w:p>
        </w:tc>
        <w:tc>
          <w:tcPr>
            <w:tcW w:w="1329" w:type="dxa"/>
            <w:gridSpan w:val="3"/>
            <w:shd w:val="clear" w:color="auto" w:fill="auto"/>
            <w:tcMar>
              <w:left w:w="28" w:type="dxa"/>
              <w:right w:w="28" w:type="dxa"/>
            </w:tcMar>
          </w:tcPr>
          <w:p w14:paraId="284F3D0F"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lieky (estrogénne hormóny)</w:t>
            </w:r>
          </w:p>
        </w:tc>
        <w:tc>
          <w:tcPr>
            <w:tcW w:w="992" w:type="dxa"/>
            <w:gridSpan w:val="2"/>
            <w:shd w:val="clear" w:color="auto" w:fill="auto"/>
            <w:tcMar>
              <w:left w:w="28" w:type="dxa"/>
              <w:right w:w="28" w:type="dxa"/>
            </w:tcMar>
          </w:tcPr>
          <w:p w14:paraId="02E623F2"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53-16-7</w:t>
            </w:r>
          </w:p>
        </w:tc>
        <w:tc>
          <w:tcPr>
            <w:tcW w:w="1134" w:type="dxa"/>
          </w:tcPr>
          <w:p w14:paraId="51FDB6EE"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200-164-5</w:t>
            </w:r>
          </w:p>
        </w:tc>
        <w:tc>
          <w:tcPr>
            <w:tcW w:w="1279" w:type="dxa"/>
            <w:gridSpan w:val="2"/>
            <w:shd w:val="clear" w:color="auto" w:fill="auto"/>
            <w:tcMar>
              <w:left w:w="28" w:type="dxa"/>
              <w:right w:w="28" w:type="dxa"/>
            </w:tcMar>
          </w:tcPr>
          <w:p w14:paraId="0D5FB543"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3,6 × 10</w:t>
            </w:r>
            <w:r>
              <w:rPr>
                <w:noProof/>
                <w:color w:val="000000"/>
                <w:sz w:val="22"/>
                <w:szCs w:val="24"/>
                <w:vertAlign w:val="superscript"/>
                <w:lang w:val="en-GB" w:eastAsia="en-US"/>
              </w:rPr>
              <w:t>-4</w:t>
            </w:r>
          </w:p>
        </w:tc>
        <w:tc>
          <w:tcPr>
            <w:tcW w:w="1279" w:type="dxa"/>
            <w:gridSpan w:val="2"/>
            <w:shd w:val="clear" w:color="auto" w:fill="auto"/>
            <w:tcMar>
              <w:left w:w="28" w:type="dxa"/>
              <w:right w:w="28" w:type="dxa"/>
            </w:tcMar>
          </w:tcPr>
          <w:p w14:paraId="2BB98BEE"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1,8 × 10</w:t>
            </w:r>
            <w:r>
              <w:rPr>
                <w:noProof/>
                <w:color w:val="000000"/>
                <w:sz w:val="22"/>
                <w:szCs w:val="24"/>
                <w:vertAlign w:val="superscript"/>
                <w:lang w:val="en-GB" w:eastAsia="en-US"/>
              </w:rPr>
              <w:t>-5</w:t>
            </w:r>
          </w:p>
        </w:tc>
        <w:tc>
          <w:tcPr>
            <w:tcW w:w="1278" w:type="dxa"/>
            <w:gridSpan w:val="2"/>
            <w:shd w:val="clear" w:color="auto" w:fill="auto"/>
            <w:tcMar>
              <w:left w:w="28" w:type="dxa"/>
              <w:right w:w="28" w:type="dxa"/>
            </w:tcMar>
          </w:tcPr>
          <w:p w14:paraId="0839F2F8"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neodvodené</w:t>
            </w:r>
          </w:p>
        </w:tc>
        <w:tc>
          <w:tcPr>
            <w:tcW w:w="1277" w:type="dxa"/>
            <w:gridSpan w:val="2"/>
            <w:shd w:val="clear" w:color="auto" w:fill="auto"/>
            <w:tcMar>
              <w:left w:w="28" w:type="dxa"/>
              <w:right w:w="28" w:type="dxa"/>
            </w:tcMar>
          </w:tcPr>
          <w:p w14:paraId="322ACED7"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neodvodené</w:t>
            </w:r>
          </w:p>
        </w:tc>
        <w:tc>
          <w:tcPr>
            <w:tcW w:w="1136" w:type="dxa"/>
            <w:gridSpan w:val="2"/>
            <w:shd w:val="clear" w:color="auto" w:fill="auto"/>
            <w:tcMar>
              <w:left w:w="28" w:type="dxa"/>
              <w:right w:w="28" w:type="dxa"/>
            </w:tcMar>
          </w:tcPr>
          <w:p w14:paraId="2F4DD12B" w14:textId="77777777" w:rsidR="002709ED" w:rsidRDefault="002709ED">
            <w:pPr>
              <w:keepNext/>
              <w:keepLines/>
              <w:spacing w:before="40" w:after="40" w:line="360" w:lineRule="auto"/>
              <w:rPr>
                <w:noProof/>
                <w:sz w:val="22"/>
                <w:szCs w:val="24"/>
                <w:lang w:val="en-GB" w:eastAsia="en-US"/>
              </w:rPr>
            </w:pPr>
          </w:p>
        </w:tc>
        <w:tc>
          <w:tcPr>
            <w:tcW w:w="1262" w:type="dxa"/>
            <w:tcMar>
              <w:left w:w="28" w:type="dxa"/>
              <w:right w:w="28" w:type="dxa"/>
            </w:tcMar>
          </w:tcPr>
          <w:p w14:paraId="575E27E6" w14:textId="77777777" w:rsidR="002709ED" w:rsidRDefault="002709ED">
            <w:pPr>
              <w:keepNext/>
              <w:keepLines/>
              <w:spacing w:before="40" w:after="40" w:line="360" w:lineRule="auto"/>
              <w:rPr>
                <w:noProof/>
                <w:color w:val="000000"/>
                <w:sz w:val="22"/>
                <w:szCs w:val="24"/>
                <w:lang w:val="en-GB" w:eastAsia="en-US"/>
              </w:rPr>
            </w:pPr>
          </w:p>
        </w:tc>
        <w:tc>
          <w:tcPr>
            <w:tcW w:w="1153" w:type="dxa"/>
            <w:gridSpan w:val="2"/>
            <w:tcMar>
              <w:left w:w="28" w:type="dxa"/>
              <w:right w:w="28" w:type="dxa"/>
            </w:tcMar>
          </w:tcPr>
          <w:p w14:paraId="522D951F" w14:textId="77777777" w:rsidR="002709ED" w:rsidRDefault="002709ED">
            <w:pPr>
              <w:keepNext/>
              <w:keepLines/>
              <w:spacing w:before="40" w:after="40" w:line="360" w:lineRule="auto"/>
              <w:rPr>
                <w:noProof/>
                <w:color w:val="000000"/>
                <w:sz w:val="22"/>
                <w:szCs w:val="24"/>
                <w:lang w:val="en-GB" w:eastAsia="en-US"/>
              </w:rPr>
            </w:pPr>
          </w:p>
        </w:tc>
        <w:tc>
          <w:tcPr>
            <w:tcW w:w="970" w:type="dxa"/>
            <w:tcMar>
              <w:left w:w="28" w:type="dxa"/>
              <w:right w:w="28" w:type="dxa"/>
            </w:tcMar>
          </w:tcPr>
          <w:p w14:paraId="39BE95B0" w14:textId="77777777" w:rsidR="002709ED" w:rsidRDefault="002709ED">
            <w:pPr>
              <w:keepNext/>
              <w:keepLines/>
              <w:spacing w:before="40" w:after="40" w:line="360" w:lineRule="auto"/>
              <w:rPr>
                <w:noProof/>
                <w:color w:val="000000"/>
                <w:sz w:val="22"/>
                <w:szCs w:val="24"/>
                <w:lang w:val="en-GB" w:eastAsia="en-US"/>
              </w:rPr>
            </w:pPr>
          </w:p>
        </w:tc>
      </w:tr>
      <w:tr w:rsidR="002709ED" w14:paraId="6DA5706A" w14:textId="77777777">
        <w:trPr>
          <w:gridBefore w:val="1"/>
          <w:wBefore w:w="12" w:type="dxa"/>
          <w:cantSplit/>
          <w:tblHeader/>
          <w:jc w:val="center"/>
        </w:trPr>
        <w:tc>
          <w:tcPr>
            <w:tcW w:w="651" w:type="dxa"/>
            <w:gridSpan w:val="3"/>
            <w:tcMar>
              <w:left w:w="28" w:type="dxa"/>
              <w:right w:w="28" w:type="dxa"/>
            </w:tcMar>
          </w:tcPr>
          <w:p w14:paraId="7DDDF47B" w14:textId="77777777" w:rsidR="002709ED" w:rsidRDefault="00B2757B">
            <w:pPr>
              <w:keepNext/>
              <w:keepLines/>
              <w:spacing w:before="40" w:after="40" w:line="360" w:lineRule="auto"/>
              <w:rPr>
                <w:b/>
                <w:noProof/>
                <w:sz w:val="22"/>
                <w:szCs w:val="24"/>
                <w:lang w:val="en-GB" w:eastAsia="en-US"/>
              </w:rPr>
            </w:pPr>
            <w:r>
              <w:rPr>
                <w:noProof/>
                <w:sz w:val="22"/>
                <w:szCs w:val="24"/>
                <w:lang w:val="en-GB" w:eastAsia="en-US"/>
              </w:rPr>
              <w:lastRenderedPageBreak/>
              <w:t>(60)</w:t>
            </w:r>
            <w:r>
              <w:rPr>
                <w:b/>
                <w:noProof/>
                <w:sz w:val="22"/>
                <w:szCs w:val="24"/>
                <w:lang w:val="en-GB" w:eastAsia="en-US"/>
              </w:rPr>
              <w:t xml:space="preserve"> [PN 151]</w:t>
            </w:r>
          </w:p>
        </w:tc>
        <w:tc>
          <w:tcPr>
            <w:tcW w:w="2286" w:type="dxa"/>
            <w:gridSpan w:val="3"/>
            <w:shd w:val="clear" w:color="auto" w:fill="auto"/>
            <w:tcMar>
              <w:left w:w="28" w:type="dxa"/>
              <w:right w:w="28" w:type="dxa"/>
            </w:tcMar>
          </w:tcPr>
          <w:p w14:paraId="46F91FEC"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glyfozát</w:t>
            </w:r>
          </w:p>
        </w:tc>
        <w:tc>
          <w:tcPr>
            <w:tcW w:w="1329" w:type="dxa"/>
            <w:gridSpan w:val="3"/>
            <w:shd w:val="clear" w:color="auto" w:fill="auto"/>
            <w:tcMar>
              <w:left w:w="28" w:type="dxa"/>
              <w:right w:w="28" w:type="dxa"/>
            </w:tcMar>
          </w:tcPr>
          <w:p w14:paraId="5E4A89B5"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herbicídy</w:t>
            </w:r>
          </w:p>
        </w:tc>
        <w:tc>
          <w:tcPr>
            <w:tcW w:w="992" w:type="dxa"/>
            <w:gridSpan w:val="2"/>
            <w:shd w:val="clear" w:color="auto" w:fill="auto"/>
            <w:tcMar>
              <w:left w:w="28" w:type="dxa"/>
              <w:right w:w="28" w:type="dxa"/>
            </w:tcMar>
          </w:tcPr>
          <w:p w14:paraId="6C91D0F3"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1071-83-6</w:t>
            </w:r>
          </w:p>
        </w:tc>
        <w:tc>
          <w:tcPr>
            <w:tcW w:w="1134" w:type="dxa"/>
          </w:tcPr>
          <w:p w14:paraId="3109DF35"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213-997-4</w:t>
            </w:r>
          </w:p>
        </w:tc>
        <w:tc>
          <w:tcPr>
            <w:tcW w:w="1279" w:type="dxa"/>
            <w:gridSpan w:val="2"/>
            <w:shd w:val="clear" w:color="auto" w:fill="auto"/>
            <w:tcMar>
              <w:left w:w="28" w:type="dxa"/>
              <w:right w:w="28" w:type="dxa"/>
            </w:tcMar>
          </w:tcPr>
          <w:p w14:paraId="62C4C181" w14:textId="77777777" w:rsidR="002709ED" w:rsidRDefault="00B2757B">
            <w:pPr>
              <w:keepNext/>
              <w:keepLines/>
              <w:spacing w:before="40" w:after="40" w:line="360" w:lineRule="auto"/>
              <w:rPr>
                <w:strike/>
                <w:noProof/>
                <w:color w:val="000000"/>
                <w:sz w:val="22"/>
                <w:szCs w:val="24"/>
                <w:lang w:val="en-GB" w:eastAsia="en-US"/>
              </w:rPr>
            </w:pPr>
            <w:r>
              <w:rPr>
                <w:noProof/>
                <w:color w:val="000000"/>
                <w:sz w:val="22"/>
                <w:szCs w:val="24"/>
                <w:lang w:val="en-GB" w:eastAsia="en-US"/>
              </w:rPr>
              <w:t xml:space="preserve">0,1 </w:t>
            </w:r>
            <w:r>
              <w:rPr>
                <w:strike/>
                <w:noProof/>
                <w:color w:val="000000"/>
                <w:sz w:val="22"/>
                <w:szCs w:val="24"/>
                <w:lang w:val="en-GB" w:eastAsia="en-US"/>
              </w:rPr>
              <w:t>(</w:t>
            </w:r>
            <w:r>
              <w:rPr>
                <w:strike/>
                <w:noProof/>
                <w:color w:val="000000"/>
                <w:sz w:val="22"/>
                <w:szCs w:val="24"/>
                <w:vertAlign w:val="superscript"/>
                <w:lang w:val="en-GB" w:eastAsia="en-US"/>
              </w:rPr>
              <w:t>25</w:t>
            </w:r>
            <w:r>
              <w:rPr>
                <w:strike/>
                <w:noProof/>
                <w:color w:val="000000"/>
                <w:sz w:val="22"/>
                <w:szCs w:val="24"/>
                <w:lang w:val="en-GB" w:eastAsia="en-US"/>
              </w:rPr>
              <w:t>)</w:t>
            </w:r>
          </w:p>
          <w:p w14:paraId="3140561E" w14:textId="77777777" w:rsidR="002709ED" w:rsidRDefault="00B2757B">
            <w:pPr>
              <w:keepNext/>
              <w:keepLines/>
              <w:spacing w:before="40" w:after="40" w:line="360" w:lineRule="auto"/>
              <w:rPr>
                <w:noProof/>
                <w:sz w:val="22"/>
                <w:szCs w:val="24"/>
                <w:lang w:val="en-GB" w:eastAsia="en-US"/>
              </w:rPr>
            </w:pPr>
            <w:r>
              <w:rPr>
                <w:strike/>
                <w:noProof/>
                <w:color w:val="000000"/>
                <w:sz w:val="22"/>
                <w:szCs w:val="24"/>
                <w:lang w:val="en-GB" w:eastAsia="en-US"/>
              </w:rPr>
              <w:t>86,7 (</w:t>
            </w:r>
            <w:r>
              <w:rPr>
                <w:strike/>
                <w:noProof/>
                <w:color w:val="000000"/>
                <w:sz w:val="22"/>
                <w:szCs w:val="24"/>
                <w:vertAlign w:val="superscript"/>
                <w:lang w:val="en-GB" w:eastAsia="en-US"/>
              </w:rPr>
              <w:t>26</w:t>
            </w:r>
            <w:r>
              <w:rPr>
                <w:strike/>
                <w:noProof/>
                <w:color w:val="000000"/>
                <w:sz w:val="22"/>
                <w:szCs w:val="24"/>
                <w:lang w:val="en-GB" w:eastAsia="en-US"/>
              </w:rPr>
              <w:t>)</w:t>
            </w:r>
          </w:p>
        </w:tc>
        <w:tc>
          <w:tcPr>
            <w:tcW w:w="1279" w:type="dxa"/>
            <w:gridSpan w:val="2"/>
            <w:shd w:val="clear" w:color="auto" w:fill="auto"/>
            <w:tcMar>
              <w:left w:w="28" w:type="dxa"/>
              <w:right w:w="28" w:type="dxa"/>
            </w:tcMar>
          </w:tcPr>
          <w:p w14:paraId="0C349817" w14:textId="77777777" w:rsidR="002709ED" w:rsidRDefault="00B2757B">
            <w:pPr>
              <w:keepNext/>
              <w:keepLines/>
              <w:spacing w:before="40" w:after="40" w:line="360" w:lineRule="auto"/>
              <w:rPr>
                <w:b/>
                <w:i/>
                <w:noProof/>
                <w:sz w:val="22"/>
                <w:szCs w:val="24"/>
                <w:lang w:val="en-GB" w:eastAsia="en-US"/>
              </w:rPr>
            </w:pPr>
            <w:r>
              <w:rPr>
                <w:strike/>
                <w:noProof/>
                <w:color w:val="000000"/>
                <w:sz w:val="22"/>
                <w:szCs w:val="24"/>
                <w:lang w:val="en-GB" w:eastAsia="en-US"/>
              </w:rPr>
              <w:t xml:space="preserve">8,67 </w:t>
            </w:r>
            <w:r>
              <w:rPr>
                <w:b/>
                <w:i/>
                <w:noProof/>
                <w:color w:val="000000"/>
                <w:sz w:val="22"/>
                <w:szCs w:val="24"/>
                <w:lang w:val="en-GB" w:eastAsia="en-US"/>
              </w:rPr>
              <w:t>0,01</w:t>
            </w:r>
          </w:p>
        </w:tc>
        <w:tc>
          <w:tcPr>
            <w:tcW w:w="1278" w:type="dxa"/>
            <w:gridSpan w:val="2"/>
            <w:shd w:val="clear" w:color="auto" w:fill="auto"/>
            <w:tcMar>
              <w:left w:w="28" w:type="dxa"/>
              <w:right w:w="28" w:type="dxa"/>
            </w:tcMar>
          </w:tcPr>
          <w:p w14:paraId="58BB6001"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398,6</w:t>
            </w:r>
          </w:p>
        </w:tc>
        <w:tc>
          <w:tcPr>
            <w:tcW w:w="1277" w:type="dxa"/>
            <w:gridSpan w:val="2"/>
            <w:shd w:val="clear" w:color="auto" w:fill="auto"/>
            <w:tcMar>
              <w:left w:w="28" w:type="dxa"/>
              <w:right w:w="28" w:type="dxa"/>
            </w:tcMar>
          </w:tcPr>
          <w:p w14:paraId="275EE24D"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39,86</w:t>
            </w:r>
          </w:p>
        </w:tc>
        <w:tc>
          <w:tcPr>
            <w:tcW w:w="1136" w:type="dxa"/>
            <w:gridSpan w:val="2"/>
            <w:shd w:val="clear" w:color="auto" w:fill="auto"/>
            <w:tcMar>
              <w:left w:w="28" w:type="dxa"/>
              <w:right w:w="28" w:type="dxa"/>
            </w:tcMar>
          </w:tcPr>
          <w:p w14:paraId="7E1C78F0" w14:textId="77777777" w:rsidR="002709ED" w:rsidRDefault="002709ED">
            <w:pPr>
              <w:keepNext/>
              <w:keepLines/>
              <w:spacing w:before="40" w:after="40" w:line="360" w:lineRule="auto"/>
              <w:rPr>
                <w:noProof/>
                <w:sz w:val="22"/>
                <w:szCs w:val="24"/>
                <w:lang w:val="en-GB" w:eastAsia="en-US"/>
              </w:rPr>
            </w:pPr>
          </w:p>
        </w:tc>
        <w:tc>
          <w:tcPr>
            <w:tcW w:w="1262" w:type="dxa"/>
            <w:tcMar>
              <w:left w:w="28" w:type="dxa"/>
              <w:right w:w="28" w:type="dxa"/>
            </w:tcMar>
          </w:tcPr>
          <w:p w14:paraId="25588EA4" w14:textId="77777777" w:rsidR="002709ED" w:rsidRDefault="002709ED">
            <w:pPr>
              <w:keepNext/>
              <w:keepLines/>
              <w:spacing w:before="40" w:after="40" w:line="360" w:lineRule="auto"/>
              <w:rPr>
                <w:noProof/>
                <w:color w:val="000000"/>
                <w:sz w:val="22"/>
                <w:szCs w:val="24"/>
                <w:lang w:val="en-GB" w:eastAsia="en-US"/>
              </w:rPr>
            </w:pPr>
          </w:p>
        </w:tc>
        <w:tc>
          <w:tcPr>
            <w:tcW w:w="1153" w:type="dxa"/>
            <w:gridSpan w:val="2"/>
            <w:tcMar>
              <w:left w:w="28" w:type="dxa"/>
              <w:right w:w="28" w:type="dxa"/>
            </w:tcMar>
          </w:tcPr>
          <w:p w14:paraId="5165025E" w14:textId="77777777" w:rsidR="002709ED" w:rsidRDefault="002709ED">
            <w:pPr>
              <w:keepNext/>
              <w:keepLines/>
              <w:spacing w:before="40" w:after="40" w:line="360" w:lineRule="auto"/>
              <w:rPr>
                <w:noProof/>
                <w:color w:val="000000"/>
                <w:sz w:val="22"/>
                <w:szCs w:val="24"/>
                <w:lang w:val="en-GB" w:eastAsia="en-US"/>
              </w:rPr>
            </w:pPr>
          </w:p>
        </w:tc>
        <w:tc>
          <w:tcPr>
            <w:tcW w:w="970" w:type="dxa"/>
            <w:tcMar>
              <w:left w:w="28" w:type="dxa"/>
              <w:right w:w="28" w:type="dxa"/>
            </w:tcMar>
          </w:tcPr>
          <w:p w14:paraId="2B18B35B" w14:textId="77777777" w:rsidR="002709ED" w:rsidRDefault="002709ED">
            <w:pPr>
              <w:keepNext/>
              <w:keepLines/>
              <w:spacing w:before="40" w:after="40" w:line="360" w:lineRule="auto"/>
              <w:rPr>
                <w:noProof/>
                <w:color w:val="000000"/>
                <w:sz w:val="22"/>
                <w:szCs w:val="24"/>
                <w:lang w:val="en-GB" w:eastAsia="en-US"/>
              </w:rPr>
            </w:pPr>
          </w:p>
        </w:tc>
      </w:tr>
      <w:tr w:rsidR="002709ED" w14:paraId="6765D3C8" w14:textId="77777777">
        <w:trPr>
          <w:gridBefore w:val="2"/>
          <w:wBefore w:w="46" w:type="dxa"/>
          <w:cantSplit/>
          <w:tblHeader/>
          <w:jc w:val="center"/>
        </w:trPr>
        <w:tc>
          <w:tcPr>
            <w:tcW w:w="617" w:type="dxa"/>
            <w:gridSpan w:val="2"/>
            <w:tcMar>
              <w:left w:w="28" w:type="dxa"/>
              <w:right w:w="28" w:type="dxa"/>
            </w:tcMar>
          </w:tcPr>
          <w:p w14:paraId="7ED681D9"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(61)</w:t>
            </w:r>
          </w:p>
        </w:tc>
        <w:tc>
          <w:tcPr>
            <w:tcW w:w="2303" w:type="dxa"/>
            <w:gridSpan w:val="4"/>
            <w:shd w:val="clear" w:color="auto" w:fill="auto"/>
            <w:tcMar>
              <w:left w:w="28" w:type="dxa"/>
              <w:right w:w="28" w:type="dxa"/>
            </w:tcMar>
          </w:tcPr>
          <w:p w14:paraId="06405F0B"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ibuprofen</w:t>
            </w:r>
          </w:p>
        </w:tc>
        <w:tc>
          <w:tcPr>
            <w:tcW w:w="1312" w:type="dxa"/>
            <w:gridSpan w:val="2"/>
            <w:shd w:val="clear" w:color="auto" w:fill="auto"/>
            <w:tcMar>
              <w:left w:w="28" w:type="dxa"/>
              <w:right w:w="28" w:type="dxa"/>
            </w:tcMar>
          </w:tcPr>
          <w:p w14:paraId="6E8ACA30"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lieky</w:t>
            </w:r>
          </w:p>
        </w:tc>
        <w:tc>
          <w:tcPr>
            <w:tcW w:w="992" w:type="dxa"/>
            <w:gridSpan w:val="2"/>
            <w:shd w:val="clear" w:color="auto" w:fill="auto"/>
            <w:tcMar>
              <w:left w:w="28" w:type="dxa"/>
              <w:right w:w="28" w:type="dxa"/>
            </w:tcMar>
          </w:tcPr>
          <w:p w14:paraId="5D7B7F2F"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15687-27-1</w:t>
            </w:r>
          </w:p>
        </w:tc>
        <w:tc>
          <w:tcPr>
            <w:tcW w:w="1134" w:type="dxa"/>
          </w:tcPr>
          <w:p w14:paraId="65CB0FB4"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239-784-6</w:t>
            </w:r>
          </w:p>
        </w:tc>
        <w:tc>
          <w:tcPr>
            <w:tcW w:w="1279" w:type="dxa"/>
            <w:gridSpan w:val="2"/>
            <w:shd w:val="clear" w:color="auto" w:fill="auto"/>
            <w:tcMar>
              <w:left w:w="28" w:type="dxa"/>
              <w:right w:w="28" w:type="dxa"/>
            </w:tcMar>
          </w:tcPr>
          <w:p w14:paraId="3A26603B"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0,22</w:t>
            </w:r>
          </w:p>
        </w:tc>
        <w:tc>
          <w:tcPr>
            <w:tcW w:w="1279" w:type="dxa"/>
            <w:gridSpan w:val="2"/>
            <w:shd w:val="clear" w:color="auto" w:fill="auto"/>
            <w:tcMar>
              <w:left w:w="28" w:type="dxa"/>
              <w:right w:w="28" w:type="dxa"/>
            </w:tcMar>
          </w:tcPr>
          <w:p w14:paraId="6D468A3A"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0,022</w:t>
            </w:r>
          </w:p>
        </w:tc>
        <w:tc>
          <w:tcPr>
            <w:tcW w:w="1278" w:type="dxa"/>
            <w:gridSpan w:val="2"/>
            <w:shd w:val="clear" w:color="auto" w:fill="auto"/>
            <w:tcMar>
              <w:left w:w="28" w:type="dxa"/>
              <w:right w:w="28" w:type="dxa"/>
            </w:tcMar>
          </w:tcPr>
          <w:p w14:paraId="4631C842" w14:textId="77777777" w:rsidR="002709ED" w:rsidRDefault="002709ED">
            <w:pPr>
              <w:keepNext/>
              <w:keepLines/>
              <w:spacing w:before="40" w:after="40" w:line="360" w:lineRule="auto"/>
              <w:rPr>
                <w:noProof/>
                <w:sz w:val="22"/>
                <w:szCs w:val="24"/>
                <w:lang w:val="en-GB" w:eastAsia="en-US"/>
              </w:rPr>
            </w:pPr>
          </w:p>
        </w:tc>
        <w:tc>
          <w:tcPr>
            <w:tcW w:w="1277" w:type="dxa"/>
            <w:gridSpan w:val="2"/>
            <w:shd w:val="clear" w:color="auto" w:fill="auto"/>
            <w:tcMar>
              <w:left w:w="28" w:type="dxa"/>
              <w:right w:w="28" w:type="dxa"/>
            </w:tcMar>
          </w:tcPr>
          <w:p w14:paraId="7EDC691C" w14:textId="77777777" w:rsidR="002709ED" w:rsidRDefault="002709ED">
            <w:pPr>
              <w:keepNext/>
              <w:keepLines/>
              <w:spacing w:before="40" w:after="40" w:line="360" w:lineRule="auto"/>
              <w:rPr>
                <w:noProof/>
                <w:sz w:val="22"/>
                <w:szCs w:val="24"/>
                <w:lang w:val="en-GB" w:eastAsia="en-US"/>
              </w:rPr>
            </w:pPr>
          </w:p>
        </w:tc>
        <w:tc>
          <w:tcPr>
            <w:tcW w:w="1136" w:type="dxa"/>
            <w:gridSpan w:val="2"/>
            <w:shd w:val="clear" w:color="auto" w:fill="auto"/>
            <w:tcMar>
              <w:left w:w="28" w:type="dxa"/>
              <w:right w:w="28" w:type="dxa"/>
            </w:tcMar>
          </w:tcPr>
          <w:p w14:paraId="68B94EE8" w14:textId="77777777" w:rsidR="002709ED" w:rsidRDefault="002709ED">
            <w:pPr>
              <w:keepNext/>
              <w:keepLines/>
              <w:spacing w:before="40" w:after="40" w:line="360" w:lineRule="auto"/>
              <w:rPr>
                <w:noProof/>
                <w:sz w:val="22"/>
                <w:szCs w:val="24"/>
                <w:lang w:val="en-GB" w:eastAsia="en-US"/>
              </w:rPr>
            </w:pPr>
          </w:p>
        </w:tc>
        <w:tc>
          <w:tcPr>
            <w:tcW w:w="1279" w:type="dxa"/>
            <w:gridSpan w:val="2"/>
            <w:tcMar>
              <w:left w:w="28" w:type="dxa"/>
              <w:right w:w="28" w:type="dxa"/>
            </w:tcMar>
          </w:tcPr>
          <w:p w14:paraId="2814FE50" w14:textId="77777777" w:rsidR="002709ED" w:rsidRDefault="002709ED">
            <w:pPr>
              <w:keepNext/>
              <w:keepLines/>
              <w:spacing w:before="40" w:after="40" w:line="360" w:lineRule="auto"/>
              <w:rPr>
                <w:noProof/>
                <w:color w:val="000000"/>
                <w:sz w:val="22"/>
                <w:szCs w:val="24"/>
                <w:lang w:val="en-GB" w:eastAsia="en-US"/>
              </w:rPr>
            </w:pPr>
          </w:p>
        </w:tc>
        <w:tc>
          <w:tcPr>
            <w:tcW w:w="1136" w:type="dxa"/>
            <w:tcMar>
              <w:left w:w="28" w:type="dxa"/>
              <w:right w:w="28" w:type="dxa"/>
            </w:tcMar>
          </w:tcPr>
          <w:p w14:paraId="486D0958" w14:textId="77777777" w:rsidR="002709ED" w:rsidRDefault="002709ED">
            <w:pPr>
              <w:keepNext/>
              <w:keepLines/>
              <w:spacing w:before="40" w:after="40" w:line="360" w:lineRule="auto"/>
              <w:rPr>
                <w:noProof/>
                <w:color w:val="000000"/>
                <w:sz w:val="22"/>
                <w:szCs w:val="24"/>
                <w:lang w:val="en-GB" w:eastAsia="en-US"/>
              </w:rPr>
            </w:pPr>
          </w:p>
        </w:tc>
        <w:tc>
          <w:tcPr>
            <w:tcW w:w="970" w:type="dxa"/>
            <w:tcMar>
              <w:left w:w="28" w:type="dxa"/>
              <w:right w:w="28" w:type="dxa"/>
            </w:tcMar>
          </w:tcPr>
          <w:p w14:paraId="1A0C5D59" w14:textId="77777777" w:rsidR="002709ED" w:rsidRDefault="00B2757B">
            <w:pPr>
              <w:keepNext/>
              <w:keepLines/>
              <w:spacing w:before="40" w:after="40" w:line="360" w:lineRule="auto"/>
              <w:rPr>
                <w:noProof/>
                <w:color w:val="000000"/>
                <w:sz w:val="22"/>
                <w:szCs w:val="24"/>
                <w:lang w:val="en-GB" w:eastAsia="en-US"/>
              </w:rPr>
            </w:pPr>
            <w:r>
              <w:rPr>
                <w:noProof/>
                <w:color w:val="000000"/>
                <w:sz w:val="22"/>
                <w:szCs w:val="24"/>
                <w:lang w:val="en-GB" w:eastAsia="en-US"/>
              </w:rPr>
              <w:t>X</w:t>
            </w:r>
          </w:p>
        </w:tc>
      </w:tr>
      <w:tr w:rsidR="002709ED" w14:paraId="5AF2DD4B" w14:textId="77777777">
        <w:trPr>
          <w:gridBefore w:val="1"/>
          <w:wBefore w:w="12" w:type="dxa"/>
          <w:cantSplit/>
          <w:tblHeader/>
          <w:jc w:val="center"/>
        </w:trPr>
        <w:tc>
          <w:tcPr>
            <w:tcW w:w="651" w:type="dxa"/>
            <w:gridSpan w:val="3"/>
            <w:tcMar>
              <w:left w:w="28" w:type="dxa"/>
              <w:right w:w="28" w:type="dxa"/>
            </w:tcMar>
          </w:tcPr>
          <w:p w14:paraId="487A7F31"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(62)</w:t>
            </w:r>
          </w:p>
        </w:tc>
        <w:tc>
          <w:tcPr>
            <w:tcW w:w="2286" w:type="dxa"/>
            <w:gridSpan w:val="3"/>
            <w:shd w:val="clear" w:color="auto" w:fill="auto"/>
            <w:tcMar>
              <w:left w:w="28" w:type="dxa"/>
              <w:right w:w="28" w:type="dxa"/>
            </w:tcMar>
          </w:tcPr>
          <w:p w14:paraId="1E6E44FB"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imidakloprid</w:t>
            </w:r>
          </w:p>
        </w:tc>
        <w:tc>
          <w:tcPr>
            <w:tcW w:w="1329" w:type="dxa"/>
            <w:gridSpan w:val="3"/>
            <w:shd w:val="clear" w:color="auto" w:fill="auto"/>
            <w:tcMar>
              <w:left w:w="28" w:type="dxa"/>
              <w:right w:w="28" w:type="dxa"/>
            </w:tcMar>
          </w:tcPr>
          <w:p w14:paraId="07592448"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neonikotinoidné pesticídy</w:t>
            </w:r>
          </w:p>
        </w:tc>
        <w:tc>
          <w:tcPr>
            <w:tcW w:w="992" w:type="dxa"/>
            <w:gridSpan w:val="2"/>
            <w:shd w:val="clear" w:color="auto" w:fill="auto"/>
            <w:tcMar>
              <w:left w:w="28" w:type="dxa"/>
              <w:right w:w="28" w:type="dxa"/>
            </w:tcMar>
          </w:tcPr>
          <w:p w14:paraId="01D1A27F"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138261-41-3/105827-78-9</w:t>
            </w:r>
          </w:p>
        </w:tc>
        <w:tc>
          <w:tcPr>
            <w:tcW w:w="1134" w:type="dxa"/>
          </w:tcPr>
          <w:p w14:paraId="6253886C"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428-040-8</w:t>
            </w:r>
          </w:p>
        </w:tc>
        <w:tc>
          <w:tcPr>
            <w:tcW w:w="1279" w:type="dxa"/>
            <w:gridSpan w:val="2"/>
            <w:shd w:val="clear" w:color="auto" w:fill="auto"/>
            <w:tcMar>
              <w:left w:w="28" w:type="dxa"/>
              <w:right w:w="28" w:type="dxa"/>
            </w:tcMar>
          </w:tcPr>
          <w:p w14:paraId="39A59079"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0,0068</w:t>
            </w:r>
          </w:p>
        </w:tc>
        <w:tc>
          <w:tcPr>
            <w:tcW w:w="1279" w:type="dxa"/>
            <w:gridSpan w:val="2"/>
            <w:shd w:val="clear" w:color="auto" w:fill="auto"/>
            <w:tcMar>
              <w:left w:w="28" w:type="dxa"/>
              <w:right w:w="28" w:type="dxa"/>
            </w:tcMar>
          </w:tcPr>
          <w:p w14:paraId="1FA43864"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6,8 × 10</w:t>
            </w:r>
            <w:r>
              <w:rPr>
                <w:noProof/>
                <w:color w:val="000000"/>
                <w:sz w:val="22"/>
                <w:szCs w:val="24"/>
                <w:vertAlign w:val="superscript"/>
                <w:lang w:val="en-GB" w:eastAsia="en-US"/>
              </w:rPr>
              <w:t>-4</w:t>
            </w:r>
          </w:p>
        </w:tc>
        <w:tc>
          <w:tcPr>
            <w:tcW w:w="1278" w:type="dxa"/>
            <w:gridSpan w:val="2"/>
            <w:shd w:val="clear" w:color="auto" w:fill="auto"/>
            <w:tcMar>
              <w:left w:w="28" w:type="dxa"/>
              <w:right w:w="28" w:type="dxa"/>
            </w:tcMar>
          </w:tcPr>
          <w:p w14:paraId="7A142446"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0,057</w:t>
            </w:r>
          </w:p>
        </w:tc>
        <w:tc>
          <w:tcPr>
            <w:tcW w:w="1277" w:type="dxa"/>
            <w:gridSpan w:val="2"/>
            <w:shd w:val="clear" w:color="auto" w:fill="auto"/>
            <w:tcMar>
              <w:left w:w="28" w:type="dxa"/>
              <w:right w:w="28" w:type="dxa"/>
            </w:tcMar>
          </w:tcPr>
          <w:p w14:paraId="71C08A5C"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0,0057</w:t>
            </w:r>
          </w:p>
        </w:tc>
        <w:tc>
          <w:tcPr>
            <w:tcW w:w="1136" w:type="dxa"/>
            <w:gridSpan w:val="2"/>
            <w:shd w:val="clear" w:color="auto" w:fill="auto"/>
            <w:tcMar>
              <w:left w:w="28" w:type="dxa"/>
              <w:right w:w="28" w:type="dxa"/>
            </w:tcMar>
          </w:tcPr>
          <w:p w14:paraId="0288F239" w14:textId="77777777" w:rsidR="002709ED" w:rsidRDefault="002709ED">
            <w:pPr>
              <w:keepNext/>
              <w:keepLines/>
              <w:spacing w:before="40" w:after="40" w:line="360" w:lineRule="auto"/>
              <w:rPr>
                <w:noProof/>
                <w:sz w:val="22"/>
                <w:szCs w:val="24"/>
                <w:lang w:val="en-GB" w:eastAsia="en-US"/>
              </w:rPr>
            </w:pPr>
          </w:p>
        </w:tc>
        <w:tc>
          <w:tcPr>
            <w:tcW w:w="1262" w:type="dxa"/>
            <w:tcMar>
              <w:left w:w="28" w:type="dxa"/>
              <w:right w:w="28" w:type="dxa"/>
            </w:tcMar>
          </w:tcPr>
          <w:p w14:paraId="5AC11F7D" w14:textId="77777777" w:rsidR="002709ED" w:rsidRDefault="002709ED">
            <w:pPr>
              <w:keepNext/>
              <w:keepLines/>
              <w:spacing w:before="40" w:after="40" w:line="360" w:lineRule="auto"/>
              <w:rPr>
                <w:noProof/>
                <w:color w:val="000000"/>
                <w:sz w:val="22"/>
                <w:szCs w:val="24"/>
                <w:lang w:val="en-GB" w:eastAsia="en-US"/>
              </w:rPr>
            </w:pPr>
          </w:p>
        </w:tc>
        <w:tc>
          <w:tcPr>
            <w:tcW w:w="1153" w:type="dxa"/>
            <w:gridSpan w:val="2"/>
            <w:tcMar>
              <w:left w:w="28" w:type="dxa"/>
              <w:right w:w="28" w:type="dxa"/>
            </w:tcMar>
          </w:tcPr>
          <w:p w14:paraId="3DE1F3C0" w14:textId="77777777" w:rsidR="002709ED" w:rsidRDefault="002709ED">
            <w:pPr>
              <w:keepNext/>
              <w:keepLines/>
              <w:spacing w:before="40" w:after="40" w:line="360" w:lineRule="auto"/>
              <w:rPr>
                <w:noProof/>
                <w:color w:val="000000"/>
                <w:sz w:val="22"/>
                <w:szCs w:val="24"/>
                <w:lang w:val="en-GB" w:eastAsia="en-US"/>
              </w:rPr>
            </w:pPr>
          </w:p>
        </w:tc>
        <w:tc>
          <w:tcPr>
            <w:tcW w:w="970" w:type="dxa"/>
            <w:tcMar>
              <w:left w:w="28" w:type="dxa"/>
              <w:right w:w="28" w:type="dxa"/>
            </w:tcMar>
          </w:tcPr>
          <w:p w14:paraId="2050E877" w14:textId="77777777" w:rsidR="002709ED" w:rsidRDefault="002709ED">
            <w:pPr>
              <w:keepNext/>
              <w:keepLines/>
              <w:spacing w:before="40" w:after="40" w:line="360" w:lineRule="auto"/>
              <w:rPr>
                <w:noProof/>
                <w:color w:val="000000"/>
                <w:sz w:val="22"/>
                <w:szCs w:val="24"/>
                <w:lang w:val="en-GB" w:eastAsia="en-US"/>
              </w:rPr>
            </w:pPr>
          </w:p>
        </w:tc>
      </w:tr>
      <w:tr w:rsidR="002709ED" w14:paraId="1D453AAF" w14:textId="77777777">
        <w:trPr>
          <w:gridBefore w:val="1"/>
          <w:wBefore w:w="12" w:type="dxa"/>
          <w:cantSplit/>
          <w:tblHeader/>
          <w:jc w:val="center"/>
        </w:trPr>
        <w:tc>
          <w:tcPr>
            <w:tcW w:w="651" w:type="dxa"/>
            <w:gridSpan w:val="3"/>
            <w:tcMar>
              <w:left w:w="28" w:type="dxa"/>
              <w:right w:w="28" w:type="dxa"/>
            </w:tcMar>
          </w:tcPr>
          <w:p w14:paraId="32206BB3"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(63)</w:t>
            </w:r>
          </w:p>
        </w:tc>
        <w:tc>
          <w:tcPr>
            <w:tcW w:w="2286" w:type="dxa"/>
            <w:gridSpan w:val="3"/>
            <w:shd w:val="clear" w:color="auto" w:fill="auto"/>
            <w:tcMar>
              <w:left w:w="28" w:type="dxa"/>
              <w:right w:w="28" w:type="dxa"/>
            </w:tcMar>
          </w:tcPr>
          <w:p w14:paraId="20D0899F"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nikosulfurón</w:t>
            </w:r>
          </w:p>
        </w:tc>
        <w:tc>
          <w:tcPr>
            <w:tcW w:w="1329" w:type="dxa"/>
            <w:gridSpan w:val="3"/>
            <w:shd w:val="clear" w:color="auto" w:fill="auto"/>
            <w:tcMar>
              <w:left w:w="28" w:type="dxa"/>
              <w:right w:w="28" w:type="dxa"/>
            </w:tcMar>
          </w:tcPr>
          <w:p w14:paraId="7B3C5932"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herbicídy</w:t>
            </w:r>
          </w:p>
        </w:tc>
        <w:tc>
          <w:tcPr>
            <w:tcW w:w="992" w:type="dxa"/>
            <w:gridSpan w:val="2"/>
            <w:shd w:val="clear" w:color="auto" w:fill="auto"/>
            <w:tcMar>
              <w:left w:w="28" w:type="dxa"/>
              <w:right w:w="28" w:type="dxa"/>
            </w:tcMar>
          </w:tcPr>
          <w:p w14:paraId="5536DB75"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111991-09-4</w:t>
            </w:r>
          </w:p>
        </w:tc>
        <w:tc>
          <w:tcPr>
            <w:tcW w:w="1134" w:type="dxa"/>
          </w:tcPr>
          <w:p w14:paraId="348E00EE"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601-148-4</w:t>
            </w:r>
          </w:p>
        </w:tc>
        <w:tc>
          <w:tcPr>
            <w:tcW w:w="1279" w:type="dxa"/>
            <w:gridSpan w:val="2"/>
            <w:shd w:val="clear" w:color="auto" w:fill="auto"/>
            <w:tcMar>
              <w:left w:w="28" w:type="dxa"/>
              <w:right w:w="28" w:type="dxa"/>
            </w:tcMar>
          </w:tcPr>
          <w:p w14:paraId="46C673BE"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0,0087</w:t>
            </w:r>
          </w:p>
        </w:tc>
        <w:tc>
          <w:tcPr>
            <w:tcW w:w="1279" w:type="dxa"/>
            <w:gridSpan w:val="2"/>
            <w:shd w:val="clear" w:color="auto" w:fill="auto"/>
            <w:tcMar>
              <w:left w:w="28" w:type="dxa"/>
              <w:right w:w="28" w:type="dxa"/>
            </w:tcMar>
          </w:tcPr>
          <w:p w14:paraId="46530C3A"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8,7 × 10</w:t>
            </w:r>
            <w:r>
              <w:rPr>
                <w:noProof/>
                <w:color w:val="000000"/>
                <w:sz w:val="22"/>
                <w:szCs w:val="24"/>
                <w:vertAlign w:val="superscript"/>
                <w:lang w:val="en-GB" w:eastAsia="en-US"/>
              </w:rPr>
              <w:t>-4</w:t>
            </w:r>
          </w:p>
        </w:tc>
        <w:tc>
          <w:tcPr>
            <w:tcW w:w="1278" w:type="dxa"/>
            <w:gridSpan w:val="2"/>
            <w:shd w:val="clear" w:color="auto" w:fill="auto"/>
            <w:tcMar>
              <w:left w:w="28" w:type="dxa"/>
              <w:right w:w="28" w:type="dxa"/>
            </w:tcMar>
          </w:tcPr>
          <w:p w14:paraId="7B08DC7E"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0,23</w:t>
            </w:r>
          </w:p>
        </w:tc>
        <w:tc>
          <w:tcPr>
            <w:tcW w:w="1277" w:type="dxa"/>
            <w:gridSpan w:val="2"/>
            <w:shd w:val="clear" w:color="auto" w:fill="auto"/>
            <w:tcMar>
              <w:left w:w="28" w:type="dxa"/>
              <w:right w:w="28" w:type="dxa"/>
            </w:tcMar>
          </w:tcPr>
          <w:p w14:paraId="1DFFBC4C"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0,023</w:t>
            </w:r>
          </w:p>
        </w:tc>
        <w:tc>
          <w:tcPr>
            <w:tcW w:w="1136" w:type="dxa"/>
            <w:gridSpan w:val="2"/>
            <w:shd w:val="clear" w:color="auto" w:fill="auto"/>
            <w:tcMar>
              <w:left w:w="28" w:type="dxa"/>
              <w:right w:w="28" w:type="dxa"/>
            </w:tcMar>
          </w:tcPr>
          <w:p w14:paraId="76E76016" w14:textId="77777777" w:rsidR="002709ED" w:rsidRDefault="002709ED">
            <w:pPr>
              <w:keepNext/>
              <w:keepLines/>
              <w:spacing w:before="40" w:after="40" w:line="360" w:lineRule="auto"/>
              <w:rPr>
                <w:noProof/>
                <w:sz w:val="22"/>
                <w:szCs w:val="24"/>
                <w:lang w:val="en-GB" w:eastAsia="en-US"/>
              </w:rPr>
            </w:pPr>
          </w:p>
        </w:tc>
        <w:tc>
          <w:tcPr>
            <w:tcW w:w="1262" w:type="dxa"/>
            <w:tcMar>
              <w:left w:w="28" w:type="dxa"/>
              <w:right w:w="28" w:type="dxa"/>
            </w:tcMar>
          </w:tcPr>
          <w:p w14:paraId="255E19D7" w14:textId="77777777" w:rsidR="002709ED" w:rsidRDefault="002709ED">
            <w:pPr>
              <w:keepNext/>
              <w:keepLines/>
              <w:spacing w:before="40" w:after="40" w:line="360" w:lineRule="auto"/>
              <w:rPr>
                <w:noProof/>
                <w:color w:val="000000"/>
                <w:sz w:val="22"/>
                <w:szCs w:val="24"/>
                <w:lang w:val="en-GB" w:eastAsia="en-US"/>
              </w:rPr>
            </w:pPr>
          </w:p>
        </w:tc>
        <w:tc>
          <w:tcPr>
            <w:tcW w:w="1153" w:type="dxa"/>
            <w:gridSpan w:val="2"/>
            <w:tcMar>
              <w:left w:w="28" w:type="dxa"/>
              <w:right w:w="28" w:type="dxa"/>
            </w:tcMar>
          </w:tcPr>
          <w:p w14:paraId="26120BAC" w14:textId="77777777" w:rsidR="002709ED" w:rsidRDefault="002709ED">
            <w:pPr>
              <w:keepNext/>
              <w:keepLines/>
              <w:spacing w:before="40" w:after="40" w:line="360" w:lineRule="auto"/>
              <w:rPr>
                <w:noProof/>
                <w:color w:val="000000"/>
                <w:sz w:val="22"/>
                <w:szCs w:val="24"/>
                <w:lang w:val="en-GB" w:eastAsia="en-US"/>
              </w:rPr>
            </w:pPr>
          </w:p>
        </w:tc>
        <w:tc>
          <w:tcPr>
            <w:tcW w:w="970" w:type="dxa"/>
            <w:tcMar>
              <w:left w:w="28" w:type="dxa"/>
              <w:right w:w="28" w:type="dxa"/>
            </w:tcMar>
          </w:tcPr>
          <w:p w14:paraId="1D5692AA" w14:textId="77777777" w:rsidR="002709ED" w:rsidRDefault="002709ED">
            <w:pPr>
              <w:keepNext/>
              <w:keepLines/>
              <w:spacing w:before="40" w:after="40" w:line="360" w:lineRule="auto"/>
              <w:rPr>
                <w:noProof/>
                <w:color w:val="000000"/>
                <w:sz w:val="22"/>
                <w:szCs w:val="24"/>
                <w:lang w:val="en-GB" w:eastAsia="en-US"/>
              </w:rPr>
            </w:pPr>
          </w:p>
        </w:tc>
      </w:tr>
      <w:tr w:rsidR="002709ED" w14:paraId="17F227ED" w14:textId="77777777">
        <w:trPr>
          <w:gridBefore w:val="1"/>
          <w:wBefore w:w="12" w:type="dxa"/>
          <w:cantSplit/>
          <w:tblHeader/>
          <w:jc w:val="center"/>
        </w:trPr>
        <w:tc>
          <w:tcPr>
            <w:tcW w:w="651" w:type="dxa"/>
            <w:gridSpan w:val="3"/>
            <w:tcMar>
              <w:left w:w="28" w:type="dxa"/>
              <w:right w:w="28" w:type="dxa"/>
            </w:tcMar>
          </w:tcPr>
          <w:p w14:paraId="03E90486"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(64)</w:t>
            </w:r>
          </w:p>
        </w:tc>
        <w:tc>
          <w:tcPr>
            <w:tcW w:w="2286" w:type="dxa"/>
            <w:gridSpan w:val="3"/>
            <w:shd w:val="clear" w:color="auto" w:fill="auto"/>
            <w:tcMar>
              <w:left w:w="28" w:type="dxa"/>
              <w:right w:w="28" w:type="dxa"/>
            </w:tcMar>
          </w:tcPr>
          <w:p w14:paraId="1D5F3DF5"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permetrín</w:t>
            </w:r>
          </w:p>
        </w:tc>
        <w:tc>
          <w:tcPr>
            <w:tcW w:w="1329" w:type="dxa"/>
            <w:gridSpan w:val="3"/>
            <w:shd w:val="clear" w:color="auto" w:fill="auto"/>
            <w:tcMar>
              <w:left w:w="28" w:type="dxa"/>
              <w:right w:w="28" w:type="dxa"/>
            </w:tcMar>
          </w:tcPr>
          <w:p w14:paraId="69D89919"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pyretroidné pesticídy</w:t>
            </w:r>
          </w:p>
        </w:tc>
        <w:tc>
          <w:tcPr>
            <w:tcW w:w="992" w:type="dxa"/>
            <w:gridSpan w:val="2"/>
            <w:shd w:val="clear" w:color="auto" w:fill="auto"/>
            <w:tcMar>
              <w:left w:w="28" w:type="dxa"/>
              <w:right w:w="28" w:type="dxa"/>
            </w:tcMar>
          </w:tcPr>
          <w:p w14:paraId="35763DA8"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52645-53-1</w:t>
            </w:r>
          </w:p>
        </w:tc>
        <w:tc>
          <w:tcPr>
            <w:tcW w:w="1134" w:type="dxa"/>
          </w:tcPr>
          <w:p w14:paraId="14282D40"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258-067-9</w:t>
            </w:r>
          </w:p>
        </w:tc>
        <w:tc>
          <w:tcPr>
            <w:tcW w:w="1279" w:type="dxa"/>
            <w:gridSpan w:val="2"/>
            <w:shd w:val="clear" w:color="auto" w:fill="auto"/>
            <w:tcMar>
              <w:left w:w="28" w:type="dxa"/>
              <w:right w:w="28" w:type="dxa"/>
            </w:tcMar>
          </w:tcPr>
          <w:p w14:paraId="645CB435"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2,7× 10</w:t>
            </w:r>
            <w:r>
              <w:rPr>
                <w:noProof/>
                <w:color w:val="000000"/>
                <w:sz w:val="22"/>
                <w:szCs w:val="24"/>
                <w:vertAlign w:val="superscript"/>
                <w:lang w:val="en-GB" w:eastAsia="en-US"/>
              </w:rPr>
              <w:t>-4</w:t>
            </w:r>
          </w:p>
        </w:tc>
        <w:tc>
          <w:tcPr>
            <w:tcW w:w="1279" w:type="dxa"/>
            <w:gridSpan w:val="2"/>
            <w:shd w:val="clear" w:color="auto" w:fill="auto"/>
            <w:tcMar>
              <w:left w:w="28" w:type="dxa"/>
              <w:right w:w="28" w:type="dxa"/>
            </w:tcMar>
          </w:tcPr>
          <w:p w14:paraId="537A4BCA"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2.7 × 10</w:t>
            </w:r>
            <w:r>
              <w:rPr>
                <w:noProof/>
                <w:color w:val="000000"/>
                <w:sz w:val="22"/>
                <w:szCs w:val="24"/>
                <w:vertAlign w:val="superscript"/>
                <w:lang w:val="en-GB" w:eastAsia="en-US"/>
              </w:rPr>
              <w:t>-5</w:t>
            </w:r>
          </w:p>
        </w:tc>
        <w:tc>
          <w:tcPr>
            <w:tcW w:w="1278" w:type="dxa"/>
            <w:gridSpan w:val="2"/>
            <w:shd w:val="clear" w:color="auto" w:fill="auto"/>
            <w:tcMar>
              <w:left w:w="28" w:type="dxa"/>
              <w:right w:w="28" w:type="dxa"/>
            </w:tcMar>
          </w:tcPr>
          <w:p w14:paraId="15BA6BDD"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0,0025</w:t>
            </w:r>
          </w:p>
        </w:tc>
        <w:tc>
          <w:tcPr>
            <w:tcW w:w="1277" w:type="dxa"/>
            <w:gridSpan w:val="2"/>
            <w:shd w:val="clear" w:color="auto" w:fill="auto"/>
            <w:tcMar>
              <w:left w:w="28" w:type="dxa"/>
              <w:right w:w="28" w:type="dxa"/>
            </w:tcMar>
          </w:tcPr>
          <w:p w14:paraId="2BC8AAD8"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2,5 × 10</w:t>
            </w:r>
            <w:r>
              <w:rPr>
                <w:noProof/>
                <w:color w:val="000000"/>
                <w:sz w:val="22"/>
                <w:szCs w:val="24"/>
                <w:vertAlign w:val="superscript"/>
                <w:lang w:val="en-GB" w:eastAsia="en-US"/>
              </w:rPr>
              <w:t>-4</w:t>
            </w:r>
          </w:p>
        </w:tc>
        <w:tc>
          <w:tcPr>
            <w:tcW w:w="1136" w:type="dxa"/>
            <w:gridSpan w:val="2"/>
            <w:shd w:val="clear" w:color="auto" w:fill="auto"/>
            <w:tcMar>
              <w:left w:w="28" w:type="dxa"/>
              <w:right w:w="28" w:type="dxa"/>
            </w:tcMar>
          </w:tcPr>
          <w:p w14:paraId="4C4EE4BA" w14:textId="77777777" w:rsidR="002709ED" w:rsidRDefault="002709ED">
            <w:pPr>
              <w:keepNext/>
              <w:keepLines/>
              <w:spacing w:before="40" w:after="40" w:line="360" w:lineRule="auto"/>
              <w:rPr>
                <w:noProof/>
                <w:sz w:val="22"/>
                <w:szCs w:val="24"/>
                <w:lang w:val="en-GB" w:eastAsia="en-US"/>
              </w:rPr>
            </w:pPr>
          </w:p>
        </w:tc>
        <w:tc>
          <w:tcPr>
            <w:tcW w:w="1262" w:type="dxa"/>
            <w:tcMar>
              <w:left w:w="28" w:type="dxa"/>
              <w:right w:w="28" w:type="dxa"/>
            </w:tcMar>
          </w:tcPr>
          <w:p w14:paraId="09A99F9F" w14:textId="77777777" w:rsidR="002709ED" w:rsidRDefault="002709ED">
            <w:pPr>
              <w:keepNext/>
              <w:keepLines/>
              <w:spacing w:before="40" w:after="40" w:line="360" w:lineRule="auto"/>
              <w:rPr>
                <w:noProof/>
                <w:color w:val="000000"/>
                <w:sz w:val="22"/>
                <w:szCs w:val="24"/>
                <w:lang w:val="en-GB" w:eastAsia="en-US"/>
              </w:rPr>
            </w:pPr>
          </w:p>
        </w:tc>
        <w:tc>
          <w:tcPr>
            <w:tcW w:w="1153" w:type="dxa"/>
            <w:gridSpan w:val="2"/>
            <w:tcMar>
              <w:left w:w="28" w:type="dxa"/>
              <w:right w:w="28" w:type="dxa"/>
            </w:tcMar>
          </w:tcPr>
          <w:p w14:paraId="4B5D4764" w14:textId="77777777" w:rsidR="002709ED" w:rsidRDefault="002709ED">
            <w:pPr>
              <w:keepNext/>
              <w:keepLines/>
              <w:spacing w:before="40" w:after="40" w:line="360" w:lineRule="auto"/>
              <w:rPr>
                <w:noProof/>
                <w:color w:val="000000"/>
                <w:sz w:val="22"/>
                <w:szCs w:val="24"/>
                <w:lang w:val="en-GB" w:eastAsia="en-US"/>
              </w:rPr>
            </w:pPr>
          </w:p>
        </w:tc>
        <w:tc>
          <w:tcPr>
            <w:tcW w:w="970" w:type="dxa"/>
            <w:tcMar>
              <w:left w:w="28" w:type="dxa"/>
              <w:right w:w="28" w:type="dxa"/>
            </w:tcMar>
          </w:tcPr>
          <w:p w14:paraId="54889CBF" w14:textId="77777777" w:rsidR="002709ED" w:rsidRDefault="00B2757B">
            <w:pPr>
              <w:keepNext/>
              <w:keepLines/>
              <w:spacing w:before="40" w:after="40" w:line="360" w:lineRule="auto"/>
              <w:rPr>
                <w:noProof/>
                <w:color w:val="000000"/>
                <w:sz w:val="22"/>
                <w:szCs w:val="24"/>
                <w:lang w:val="en-GB" w:eastAsia="en-US"/>
              </w:rPr>
            </w:pPr>
            <w:r>
              <w:rPr>
                <w:noProof/>
                <w:sz w:val="22"/>
                <w:szCs w:val="24"/>
                <w:lang w:val="en-GB" w:eastAsia="en-US"/>
              </w:rPr>
              <w:t>X</w:t>
            </w:r>
          </w:p>
        </w:tc>
      </w:tr>
      <w:tr w:rsidR="002709ED" w14:paraId="5119DF1D" w14:textId="77777777">
        <w:trPr>
          <w:gridBefore w:val="1"/>
          <w:wBefore w:w="12" w:type="dxa"/>
          <w:cantSplit/>
          <w:tblHeader/>
          <w:jc w:val="center"/>
        </w:trPr>
        <w:tc>
          <w:tcPr>
            <w:tcW w:w="651" w:type="dxa"/>
            <w:gridSpan w:val="3"/>
            <w:tcMar>
              <w:left w:w="28" w:type="dxa"/>
              <w:right w:w="28" w:type="dxa"/>
            </w:tcMar>
          </w:tcPr>
          <w:p w14:paraId="3FF26F16"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(65)</w:t>
            </w:r>
          </w:p>
        </w:tc>
        <w:tc>
          <w:tcPr>
            <w:tcW w:w="2286" w:type="dxa"/>
            <w:gridSpan w:val="3"/>
            <w:shd w:val="clear" w:color="auto" w:fill="auto"/>
            <w:tcMar>
              <w:left w:w="28" w:type="dxa"/>
              <w:right w:w="28" w:type="dxa"/>
            </w:tcMar>
          </w:tcPr>
          <w:p w14:paraId="529C7D7A"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perfluórované a polyfluórované alkylované látky (PFAS) – súčet 24</w:t>
            </w:r>
            <w:bookmarkStart w:id="42" w:name="_Ref101448197"/>
            <w:r>
              <w:rPr>
                <w:noProof/>
                <w:color w:val="000000"/>
                <w:sz w:val="22"/>
                <w:szCs w:val="24"/>
                <w:lang w:val="en-GB" w:eastAsia="en-US"/>
              </w:rPr>
              <w:t xml:space="preserve"> (</w:t>
            </w:r>
            <w:r>
              <w:rPr>
                <w:noProof/>
                <w:color w:val="000000"/>
                <w:sz w:val="22"/>
                <w:szCs w:val="24"/>
                <w:vertAlign w:val="superscript"/>
                <w:lang w:val="en-GB" w:eastAsia="en-US"/>
              </w:rPr>
              <w:t>27</w:t>
            </w:r>
            <w:r>
              <w:rPr>
                <w:noProof/>
                <w:color w:val="000000"/>
                <w:sz w:val="22"/>
                <w:szCs w:val="24"/>
                <w:lang w:val="en-GB" w:eastAsia="en-US"/>
              </w:rPr>
              <w:t>)</w:t>
            </w:r>
            <w:bookmarkEnd w:id="42"/>
          </w:p>
        </w:tc>
        <w:tc>
          <w:tcPr>
            <w:tcW w:w="1329" w:type="dxa"/>
            <w:gridSpan w:val="3"/>
            <w:shd w:val="clear" w:color="auto" w:fill="auto"/>
            <w:tcMar>
              <w:left w:w="28" w:type="dxa"/>
              <w:right w:w="28" w:type="dxa"/>
            </w:tcMar>
          </w:tcPr>
          <w:p w14:paraId="58868D08"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priemyselné látky</w:t>
            </w:r>
          </w:p>
        </w:tc>
        <w:tc>
          <w:tcPr>
            <w:tcW w:w="992" w:type="dxa"/>
            <w:gridSpan w:val="2"/>
            <w:shd w:val="clear" w:color="auto" w:fill="auto"/>
            <w:tcMar>
              <w:left w:w="28" w:type="dxa"/>
              <w:right w:w="28" w:type="dxa"/>
            </w:tcMar>
          </w:tcPr>
          <w:p w14:paraId="3CDD5255"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neuplatňuje sa</w:t>
            </w:r>
          </w:p>
        </w:tc>
        <w:tc>
          <w:tcPr>
            <w:tcW w:w="1134" w:type="dxa"/>
          </w:tcPr>
          <w:p w14:paraId="11AC6C56"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neuplatňuje sa</w:t>
            </w:r>
          </w:p>
        </w:tc>
        <w:tc>
          <w:tcPr>
            <w:tcW w:w="1279" w:type="dxa"/>
            <w:gridSpan w:val="2"/>
            <w:shd w:val="clear" w:color="auto" w:fill="auto"/>
            <w:tcMar>
              <w:left w:w="28" w:type="dxa"/>
              <w:right w:w="28" w:type="dxa"/>
            </w:tcMar>
          </w:tcPr>
          <w:p w14:paraId="1EC4D079"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 xml:space="preserve">súčet ekvivalentov PFOA 0,0044 </w:t>
            </w:r>
            <w:bookmarkStart w:id="43" w:name="_Ref101448285"/>
            <w:r>
              <w:rPr>
                <w:noProof/>
                <w:color w:val="000000"/>
                <w:sz w:val="22"/>
                <w:szCs w:val="24"/>
                <w:lang w:val="en-GB" w:eastAsia="en-US"/>
              </w:rPr>
              <w:t>(</w:t>
            </w:r>
            <w:r>
              <w:rPr>
                <w:noProof/>
                <w:color w:val="000000"/>
                <w:sz w:val="22"/>
                <w:szCs w:val="24"/>
                <w:vertAlign w:val="superscript"/>
                <w:lang w:val="en-GB" w:eastAsia="en-US"/>
              </w:rPr>
              <w:t>28</w:t>
            </w:r>
            <w:r>
              <w:rPr>
                <w:noProof/>
                <w:color w:val="000000"/>
                <w:sz w:val="22"/>
                <w:szCs w:val="24"/>
                <w:lang w:val="en-GB" w:eastAsia="en-US"/>
              </w:rPr>
              <w:t>)</w:t>
            </w:r>
            <w:bookmarkEnd w:id="43"/>
          </w:p>
        </w:tc>
        <w:tc>
          <w:tcPr>
            <w:tcW w:w="1279" w:type="dxa"/>
            <w:gridSpan w:val="2"/>
            <w:shd w:val="clear" w:color="auto" w:fill="auto"/>
            <w:tcMar>
              <w:left w:w="28" w:type="dxa"/>
              <w:right w:w="28" w:type="dxa"/>
            </w:tcMar>
          </w:tcPr>
          <w:p w14:paraId="7F7E7264"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súčet ekvivalentov PFOA 0,0044 (</w:t>
            </w:r>
            <w:r>
              <w:rPr>
                <w:noProof/>
                <w:color w:val="000000"/>
                <w:sz w:val="22"/>
                <w:szCs w:val="24"/>
                <w:vertAlign w:val="superscript"/>
                <w:lang w:val="en-GB" w:eastAsia="en-US"/>
              </w:rPr>
              <w:t>28</w:t>
            </w:r>
            <w:r>
              <w:rPr>
                <w:noProof/>
                <w:color w:val="000000"/>
                <w:sz w:val="22"/>
                <w:szCs w:val="24"/>
                <w:lang w:val="en-GB" w:eastAsia="en-US"/>
              </w:rPr>
              <w:t>)</w:t>
            </w:r>
          </w:p>
        </w:tc>
        <w:tc>
          <w:tcPr>
            <w:tcW w:w="1278" w:type="dxa"/>
            <w:gridSpan w:val="2"/>
            <w:shd w:val="clear" w:color="auto" w:fill="auto"/>
            <w:tcMar>
              <w:left w:w="28" w:type="dxa"/>
              <w:right w:w="28" w:type="dxa"/>
            </w:tcMar>
          </w:tcPr>
          <w:p w14:paraId="30F76EA0"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neuplatňuje sa</w:t>
            </w:r>
          </w:p>
        </w:tc>
        <w:tc>
          <w:tcPr>
            <w:tcW w:w="1277" w:type="dxa"/>
            <w:gridSpan w:val="2"/>
            <w:shd w:val="clear" w:color="auto" w:fill="auto"/>
            <w:tcMar>
              <w:left w:w="28" w:type="dxa"/>
              <w:right w:w="28" w:type="dxa"/>
            </w:tcMar>
          </w:tcPr>
          <w:p w14:paraId="1F5BB330"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neuplatňuje sa</w:t>
            </w:r>
          </w:p>
        </w:tc>
        <w:tc>
          <w:tcPr>
            <w:tcW w:w="1136" w:type="dxa"/>
            <w:gridSpan w:val="2"/>
            <w:shd w:val="clear" w:color="auto" w:fill="auto"/>
            <w:tcMar>
              <w:left w:w="28" w:type="dxa"/>
              <w:right w:w="28" w:type="dxa"/>
            </w:tcMar>
          </w:tcPr>
          <w:p w14:paraId="1BF601B8"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súčet ekvivalentov PFOA 0,077 (</w:t>
            </w:r>
            <w:r>
              <w:rPr>
                <w:noProof/>
                <w:color w:val="000000"/>
                <w:sz w:val="22"/>
                <w:szCs w:val="24"/>
                <w:vertAlign w:val="superscript"/>
                <w:lang w:val="en-GB" w:eastAsia="en-US"/>
              </w:rPr>
              <w:t>28</w:t>
            </w:r>
            <w:r>
              <w:rPr>
                <w:noProof/>
                <w:color w:val="000000"/>
                <w:sz w:val="22"/>
                <w:szCs w:val="24"/>
                <w:lang w:val="en-GB" w:eastAsia="en-US"/>
              </w:rPr>
              <w:t xml:space="preserve">) </w:t>
            </w:r>
          </w:p>
        </w:tc>
        <w:tc>
          <w:tcPr>
            <w:tcW w:w="1262" w:type="dxa"/>
            <w:tcMar>
              <w:left w:w="28" w:type="dxa"/>
              <w:right w:w="28" w:type="dxa"/>
            </w:tcMar>
          </w:tcPr>
          <w:p w14:paraId="47ACBC0C" w14:textId="77777777" w:rsidR="002709ED" w:rsidRDefault="00B2757B">
            <w:pPr>
              <w:keepNext/>
              <w:keepLines/>
              <w:spacing w:before="40" w:after="40" w:line="360" w:lineRule="auto"/>
              <w:rPr>
                <w:noProof/>
                <w:color w:val="000000"/>
                <w:sz w:val="22"/>
                <w:szCs w:val="24"/>
                <w:lang w:val="en-GB" w:eastAsia="en-US"/>
              </w:rPr>
            </w:pPr>
            <w:r>
              <w:rPr>
                <w:noProof/>
                <w:color w:val="000000"/>
                <w:sz w:val="22"/>
                <w:szCs w:val="24"/>
                <w:lang w:val="en-GB" w:eastAsia="en-US"/>
              </w:rPr>
              <w:t>X</w:t>
            </w:r>
          </w:p>
        </w:tc>
        <w:tc>
          <w:tcPr>
            <w:tcW w:w="1153" w:type="dxa"/>
            <w:gridSpan w:val="2"/>
            <w:tcMar>
              <w:left w:w="28" w:type="dxa"/>
              <w:right w:w="28" w:type="dxa"/>
            </w:tcMar>
          </w:tcPr>
          <w:p w14:paraId="48B6E7C8" w14:textId="77777777" w:rsidR="002709ED" w:rsidRDefault="00B2757B">
            <w:pPr>
              <w:keepNext/>
              <w:keepLines/>
              <w:spacing w:before="40" w:after="40" w:line="360" w:lineRule="auto"/>
              <w:rPr>
                <w:noProof/>
                <w:color w:val="000000"/>
                <w:sz w:val="22"/>
                <w:szCs w:val="24"/>
                <w:lang w:val="en-GB" w:eastAsia="en-US"/>
              </w:rPr>
            </w:pPr>
            <w:r>
              <w:rPr>
                <w:noProof/>
                <w:color w:val="000000"/>
                <w:sz w:val="22"/>
                <w:szCs w:val="24"/>
                <w:lang w:val="en-GB" w:eastAsia="en-US"/>
              </w:rPr>
              <w:t>X</w:t>
            </w:r>
          </w:p>
        </w:tc>
        <w:tc>
          <w:tcPr>
            <w:tcW w:w="970" w:type="dxa"/>
            <w:tcMar>
              <w:left w:w="28" w:type="dxa"/>
              <w:right w:w="28" w:type="dxa"/>
            </w:tcMar>
          </w:tcPr>
          <w:p w14:paraId="2BE6D22D" w14:textId="77777777" w:rsidR="002709ED" w:rsidRDefault="00B2757B">
            <w:pPr>
              <w:keepNext/>
              <w:keepLines/>
              <w:spacing w:before="40" w:after="40" w:line="360" w:lineRule="auto"/>
              <w:rPr>
                <w:noProof/>
                <w:color w:val="000000"/>
                <w:sz w:val="22"/>
                <w:szCs w:val="24"/>
                <w:lang w:val="en-GB" w:eastAsia="en-US"/>
              </w:rPr>
            </w:pPr>
            <w:r>
              <w:rPr>
                <w:noProof/>
                <w:color w:val="000000"/>
                <w:sz w:val="22"/>
                <w:szCs w:val="24"/>
                <w:lang w:val="en-GB" w:eastAsia="en-US"/>
              </w:rPr>
              <w:t>X</w:t>
            </w:r>
          </w:p>
        </w:tc>
      </w:tr>
      <w:tr w:rsidR="002709ED" w14:paraId="5EAE4681" w14:textId="77777777">
        <w:trPr>
          <w:gridBefore w:val="1"/>
          <w:wBefore w:w="12" w:type="dxa"/>
          <w:cantSplit/>
          <w:tblHeader/>
          <w:jc w:val="center"/>
        </w:trPr>
        <w:tc>
          <w:tcPr>
            <w:tcW w:w="651" w:type="dxa"/>
            <w:gridSpan w:val="3"/>
            <w:tcMar>
              <w:left w:w="28" w:type="dxa"/>
              <w:right w:w="28" w:type="dxa"/>
            </w:tcMar>
          </w:tcPr>
          <w:p w14:paraId="68914269"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(66)</w:t>
            </w:r>
          </w:p>
        </w:tc>
        <w:tc>
          <w:tcPr>
            <w:tcW w:w="2286" w:type="dxa"/>
            <w:gridSpan w:val="3"/>
            <w:shd w:val="clear" w:color="auto" w:fill="auto"/>
            <w:tcMar>
              <w:left w:w="28" w:type="dxa"/>
              <w:right w:w="28" w:type="dxa"/>
            </w:tcMar>
          </w:tcPr>
          <w:p w14:paraId="27AD9F0C" w14:textId="77777777" w:rsidR="002709ED" w:rsidRDefault="00B2757B">
            <w:pPr>
              <w:keepNext/>
              <w:keepLines/>
              <w:spacing w:before="40" w:after="40" w:line="360" w:lineRule="auto"/>
              <w:rPr>
                <w:noProof/>
                <w:color w:val="000000"/>
                <w:sz w:val="22"/>
                <w:szCs w:val="24"/>
                <w:lang w:val="en-GB" w:eastAsia="en-US"/>
              </w:rPr>
            </w:pPr>
            <w:r>
              <w:rPr>
                <w:noProof/>
                <w:color w:val="000000"/>
                <w:sz w:val="22"/>
                <w:szCs w:val="24"/>
                <w:lang w:val="en-GB" w:eastAsia="en-US"/>
              </w:rPr>
              <w:t>striebro</w:t>
            </w:r>
          </w:p>
        </w:tc>
        <w:tc>
          <w:tcPr>
            <w:tcW w:w="1329" w:type="dxa"/>
            <w:gridSpan w:val="3"/>
            <w:shd w:val="clear" w:color="auto" w:fill="auto"/>
            <w:tcMar>
              <w:left w:w="28" w:type="dxa"/>
              <w:right w:w="28" w:type="dxa"/>
            </w:tcMar>
          </w:tcPr>
          <w:p w14:paraId="4ABB4E39" w14:textId="77777777" w:rsidR="002709ED" w:rsidRDefault="00B2757B">
            <w:pPr>
              <w:keepNext/>
              <w:keepLines/>
              <w:spacing w:before="40" w:after="40" w:line="360" w:lineRule="auto"/>
              <w:rPr>
                <w:noProof/>
                <w:color w:val="000000"/>
                <w:sz w:val="22"/>
                <w:szCs w:val="24"/>
                <w:lang w:val="en-GB" w:eastAsia="en-US"/>
              </w:rPr>
            </w:pPr>
            <w:r>
              <w:rPr>
                <w:noProof/>
                <w:sz w:val="22"/>
                <w:szCs w:val="24"/>
                <w:lang w:val="en-GB" w:eastAsia="en-US"/>
              </w:rPr>
              <w:t>kovy</w:t>
            </w:r>
          </w:p>
        </w:tc>
        <w:tc>
          <w:tcPr>
            <w:tcW w:w="992" w:type="dxa"/>
            <w:gridSpan w:val="2"/>
            <w:shd w:val="clear" w:color="auto" w:fill="auto"/>
            <w:tcMar>
              <w:left w:w="28" w:type="dxa"/>
              <w:right w:w="28" w:type="dxa"/>
            </w:tcMar>
          </w:tcPr>
          <w:p w14:paraId="0EB4C9C3" w14:textId="77777777" w:rsidR="002709ED" w:rsidRDefault="00B2757B">
            <w:pPr>
              <w:keepNext/>
              <w:keepLines/>
              <w:spacing w:before="40" w:after="40" w:line="360" w:lineRule="auto"/>
              <w:rPr>
                <w:noProof/>
                <w:color w:val="000000"/>
                <w:sz w:val="22"/>
                <w:szCs w:val="24"/>
                <w:lang w:val="en-GB" w:eastAsia="en-US"/>
              </w:rPr>
            </w:pPr>
            <w:r>
              <w:rPr>
                <w:noProof/>
                <w:color w:val="000000"/>
                <w:sz w:val="22"/>
                <w:szCs w:val="24"/>
                <w:lang w:val="en-GB" w:eastAsia="en-US"/>
              </w:rPr>
              <w:t>7440-22-4</w:t>
            </w:r>
          </w:p>
        </w:tc>
        <w:tc>
          <w:tcPr>
            <w:tcW w:w="1134" w:type="dxa"/>
          </w:tcPr>
          <w:p w14:paraId="48ACE447"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231-131-3</w:t>
            </w:r>
          </w:p>
        </w:tc>
        <w:tc>
          <w:tcPr>
            <w:tcW w:w="1279" w:type="dxa"/>
            <w:gridSpan w:val="2"/>
            <w:shd w:val="clear" w:color="auto" w:fill="auto"/>
            <w:tcMar>
              <w:left w:w="28" w:type="dxa"/>
              <w:right w:w="28" w:type="dxa"/>
            </w:tcMar>
          </w:tcPr>
          <w:p w14:paraId="2BBE589A" w14:textId="77777777" w:rsidR="002709ED" w:rsidRDefault="00B2757B">
            <w:pPr>
              <w:keepNext/>
              <w:keepLines/>
              <w:spacing w:before="40" w:after="40" w:line="360" w:lineRule="auto"/>
              <w:rPr>
                <w:noProof/>
                <w:color w:val="000000"/>
                <w:sz w:val="22"/>
                <w:szCs w:val="24"/>
                <w:lang w:val="en-GB" w:eastAsia="en-US"/>
              </w:rPr>
            </w:pPr>
            <w:r>
              <w:rPr>
                <w:noProof/>
                <w:color w:val="000000"/>
                <w:sz w:val="22"/>
                <w:szCs w:val="24"/>
                <w:lang w:val="en-GB" w:eastAsia="en-US"/>
              </w:rPr>
              <w:t>0,01</w:t>
            </w:r>
          </w:p>
        </w:tc>
        <w:tc>
          <w:tcPr>
            <w:tcW w:w="1279" w:type="dxa"/>
            <w:gridSpan w:val="2"/>
            <w:shd w:val="clear" w:color="auto" w:fill="auto"/>
            <w:tcMar>
              <w:left w:w="28" w:type="dxa"/>
              <w:right w:w="28" w:type="dxa"/>
            </w:tcMar>
          </w:tcPr>
          <w:p w14:paraId="4059D97F" w14:textId="77777777" w:rsidR="002709ED" w:rsidRDefault="00B2757B">
            <w:pPr>
              <w:keepNext/>
              <w:keepLines/>
              <w:spacing w:before="40" w:after="40" w:line="360" w:lineRule="auto"/>
              <w:rPr>
                <w:noProof/>
                <w:color w:val="000000"/>
                <w:sz w:val="22"/>
                <w:szCs w:val="24"/>
                <w:lang w:val="en-GB" w:eastAsia="en-US"/>
              </w:rPr>
            </w:pPr>
            <w:r>
              <w:rPr>
                <w:noProof/>
                <w:color w:val="000000"/>
                <w:sz w:val="22"/>
                <w:szCs w:val="24"/>
                <w:lang w:val="en-GB" w:eastAsia="en-US"/>
              </w:rPr>
              <w:t>0,006 (soľnosť 10 %)</w:t>
            </w:r>
            <w:r>
              <w:rPr>
                <w:noProof/>
                <w:szCs w:val="24"/>
                <w:lang w:val="en-GB" w:eastAsia="en-US"/>
              </w:rPr>
              <w:t xml:space="preserve"> </w:t>
            </w:r>
            <w:r>
              <w:rPr>
                <w:noProof/>
                <w:szCs w:val="24"/>
                <w:lang w:val="en-GB" w:eastAsia="en-US"/>
              </w:rPr>
              <w:br/>
            </w:r>
            <w:r>
              <w:rPr>
                <w:noProof/>
                <w:color w:val="000000"/>
                <w:sz w:val="22"/>
                <w:szCs w:val="24"/>
                <w:lang w:val="en-GB" w:eastAsia="en-US"/>
              </w:rPr>
              <w:t>0,17 (soľnosť 30 %)</w:t>
            </w:r>
          </w:p>
        </w:tc>
        <w:tc>
          <w:tcPr>
            <w:tcW w:w="1278" w:type="dxa"/>
            <w:gridSpan w:val="2"/>
            <w:shd w:val="clear" w:color="auto" w:fill="auto"/>
            <w:tcMar>
              <w:left w:w="28" w:type="dxa"/>
              <w:right w:w="28" w:type="dxa"/>
            </w:tcMar>
          </w:tcPr>
          <w:p w14:paraId="51F9B6E6" w14:textId="77777777" w:rsidR="002709ED" w:rsidRDefault="00B2757B">
            <w:pPr>
              <w:keepNext/>
              <w:keepLines/>
              <w:spacing w:before="40" w:after="40" w:line="360" w:lineRule="auto"/>
              <w:rPr>
                <w:noProof/>
                <w:color w:val="000000"/>
                <w:sz w:val="22"/>
                <w:szCs w:val="24"/>
                <w:lang w:val="en-GB" w:eastAsia="en-US"/>
              </w:rPr>
            </w:pPr>
            <w:r>
              <w:rPr>
                <w:noProof/>
                <w:color w:val="000000"/>
                <w:sz w:val="22"/>
                <w:szCs w:val="24"/>
                <w:lang w:val="en-GB" w:eastAsia="en-US"/>
              </w:rPr>
              <w:t>0,022</w:t>
            </w:r>
          </w:p>
        </w:tc>
        <w:tc>
          <w:tcPr>
            <w:tcW w:w="1277" w:type="dxa"/>
            <w:gridSpan w:val="2"/>
            <w:shd w:val="clear" w:color="auto" w:fill="auto"/>
            <w:tcMar>
              <w:left w:w="28" w:type="dxa"/>
              <w:right w:w="28" w:type="dxa"/>
            </w:tcMar>
          </w:tcPr>
          <w:p w14:paraId="73EA869E" w14:textId="77777777" w:rsidR="002709ED" w:rsidRDefault="00B2757B">
            <w:pPr>
              <w:keepNext/>
              <w:keepLines/>
              <w:spacing w:before="40" w:after="40" w:line="360" w:lineRule="auto"/>
              <w:rPr>
                <w:noProof/>
                <w:color w:val="000000"/>
                <w:sz w:val="22"/>
                <w:szCs w:val="24"/>
                <w:lang w:val="en-GB" w:eastAsia="en-US"/>
              </w:rPr>
            </w:pPr>
            <w:r>
              <w:rPr>
                <w:noProof/>
                <w:color w:val="000000"/>
                <w:sz w:val="22"/>
                <w:szCs w:val="24"/>
                <w:lang w:val="en-GB" w:eastAsia="en-US"/>
              </w:rPr>
              <w:t>neodvodené</w:t>
            </w:r>
          </w:p>
        </w:tc>
        <w:tc>
          <w:tcPr>
            <w:tcW w:w="1136" w:type="dxa"/>
            <w:gridSpan w:val="2"/>
            <w:shd w:val="clear" w:color="auto" w:fill="auto"/>
            <w:tcMar>
              <w:left w:w="28" w:type="dxa"/>
              <w:right w:w="28" w:type="dxa"/>
            </w:tcMar>
          </w:tcPr>
          <w:p w14:paraId="073B5F47" w14:textId="77777777" w:rsidR="002709ED" w:rsidRDefault="002709ED">
            <w:pPr>
              <w:keepNext/>
              <w:keepLines/>
              <w:spacing w:before="40" w:after="40" w:line="360" w:lineRule="auto"/>
              <w:rPr>
                <w:noProof/>
                <w:color w:val="000000"/>
                <w:sz w:val="22"/>
                <w:szCs w:val="24"/>
                <w:lang w:val="en-GB" w:eastAsia="en-US"/>
              </w:rPr>
            </w:pPr>
          </w:p>
        </w:tc>
        <w:tc>
          <w:tcPr>
            <w:tcW w:w="1262" w:type="dxa"/>
            <w:tcMar>
              <w:left w:w="28" w:type="dxa"/>
              <w:right w:w="28" w:type="dxa"/>
            </w:tcMar>
          </w:tcPr>
          <w:p w14:paraId="0BC2CE49" w14:textId="77777777" w:rsidR="002709ED" w:rsidRDefault="002709ED">
            <w:pPr>
              <w:keepNext/>
              <w:keepLines/>
              <w:spacing w:before="40" w:after="40" w:line="360" w:lineRule="auto"/>
              <w:rPr>
                <w:noProof/>
                <w:color w:val="000000"/>
                <w:sz w:val="22"/>
                <w:szCs w:val="24"/>
                <w:lang w:val="en-GB" w:eastAsia="en-US"/>
              </w:rPr>
            </w:pPr>
          </w:p>
        </w:tc>
        <w:tc>
          <w:tcPr>
            <w:tcW w:w="1153" w:type="dxa"/>
            <w:gridSpan w:val="2"/>
            <w:tcMar>
              <w:left w:w="28" w:type="dxa"/>
              <w:right w:w="28" w:type="dxa"/>
            </w:tcMar>
          </w:tcPr>
          <w:p w14:paraId="4B706F6E" w14:textId="77777777" w:rsidR="002709ED" w:rsidRDefault="002709ED">
            <w:pPr>
              <w:keepNext/>
              <w:keepLines/>
              <w:spacing w:before="40" w:after="40" w:line="360" w:lineRule="auto"/>
              <w:rPr>
                <w:noProof/>
                <w:color w:val="000000"/>
                <w:sz w:val="22"/>
                <w:szCs w:val="24"/>
                <w:lang w:val="en-GB" w:eastAsia="en-US"/>
              </w:rPr>
            </w:pPr>
          </w:p>
        </w:tc>
        <w:tc>
          <w:tcPr>
            <w:tcW w:w="970" w:type="dxa"/>
            <w:tcMar>
              <w:left w:w="28" w:type="dxa"/>
              <w:right w:w="28" w:type="dxa"/>
            </w:tcMar>
          </w:tcPr>
          <w:p w14:paraId="336FAF8B" w14:textId="77777777" w:rsidR="002709ED" w:rsidRDefault="002709ED">
            <w:pPr>
              <w:keepNext/>
              <w:keepLines/>
              <w:spacing w:before="40" w:after="40" w:line="360" w:lineRule="auto"/>
              <w:rPr>
                <w:noProof/>
                <w:color w:val="000000"/>
                <w:sz w:val="22"/>
                <w:szCs w:val="24"/>
                <w:lang w:val="en-GB" w:eastAsia="en-US"/>
              </w:rPr>
            </w:pPr>
          </w:p>
        </w:tc>
      </w:tr>
      <w:tr w:rsidR="002709ED" w14:paraId="247D80DF" w14:textId="77777777">
        <w:trPr>
          <w:gridBefore w:val="1"/>
          <w:wBefore w:w="12" w:type="dxa"/>
          <w:cantSplit/>
          <w:tblHeader/>
          <w:jc w:val="center"/>
        </w:trPr>
        <w:tc>
          <w:tcPr>
            <w:tcW w:w="651" w:type="dxa"/>
            <w:gridSpan w:val="3"/>
            <w:tcMar>
              <w:left w:w="28" w:type="dxa"/>
              <w:right w:w="28" w:type="dxa"/>
            </w:tcMar>
          </w:tcPr>
          <w:p w14:paraId="5ED3A8FD"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lastRenderedPageBreak/>
              <w:t>(67)</w:t>
            </w:r>
          </w:p>
        </w:tc>
        <w:tc>
          <w:tcPr>
            <w:tcW w:w="2286" w:type="dxa"/>
            <w:gridSpan w:val="3"/>
            <w:shd w:val="clear" w:color="auto" w:fill="auto"/>
            <w:tcMar>
              <w:left w:w="28" w:type="dxa"/>
              <w:right w:w="28" w:type="dxa"/>
            </w:tcMar>
          </w:tcPr>
          <w:p w14:paraId="7906E1DA"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tiakloprid</w:t>
            </w:r>
          </w:p>
        </w:tc>
        <w:tc>
          <w:tcPr>
            <w:tcW w:w="1329" w:type="dxa"/>
            <w:gridSpan w:val="3"/>
            <w:shd w:val="clear" w:color="auto" w:fill="auto"/>
            <w:tcMar>
              <w:left w:w="28" w:type="dxa"/>
              <w:right w:w="28" w:type="dxa"/>
            </w:tcMar>
          </w:tcPr>
          <w:p w14:paraId="18135046"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neonikotinoidné pesticídy</w:t>
            </w:r>
          </w:p>
        </w:tc>
        <w:tc>
          <w:tcPr>
            <w:tcW w:w="992" w:type="dxa"/>
            <w:gridSpan w:val="2"/>
            <w:shd w:val="clear" w:color="auto" w:fill="auto"/>
            <w:tcMar>
              <w:left w:w="28" w:type="dxa"/>
              <w:right w:w="28" w:type="dxa"/>
            </w:tcMar>
          </w:tcPr>
          <w:p w14:paraId="37FB4C72"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111988-49-9</w:t>
            </w:r>
          </w:p>
        </w:tc>
        <w:tc>
          <w:tcPr>
            <w:tcW w:w="1134" w:type="dxa"/>
          </w:tcPr>
          <w:p w14:paraId="3EB0820A"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601-147-9</w:t>
            </w:r>
          </w:p>
        </w:tc>
        <w:tc>
          <w:tcPr>
            <w:tcW w:w="1279" w:type="dxa"/>
            <w:gridSpan w:val="2"/>
            <w:shd w:val="clear" w:color="auto" w:fill="auto"/>
            <w:tcMar>
              <w:left w:w="28" w:type="dxa"/>
              <w:right w:w="28" w:type="dxa"/>
            </w:tcMar>
          </w:tcPr>
          <w:p w14:paraId="14797E32"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0,01</w:t>
            </w:r>
          </w:p>
        </w:tc>
        <w:tc>
          <w:tcPr>
            <w:tcW w:w="1279" w:type="dxa"/>
            <w:gridSpan w:val="2"/>
            <w:shd w:val="clear" w:color="auto" w:fill="auto"/>
            <w:tcMar>
              <w:left w:w="28" w:type="dxa"/>
              <w:right w:w="28" w:type="dxa"/>
            </w:tcMar>
          </w:tcPr>
          <w:p w14:paraId="13EAFF5C"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0,001</w:t>
            </w:r>
          </w:p>
        </w:tc>
        <w:tc>
          <w:tcPr>
            <w:tcW w:w="1278" w:type="dxa"/>
            <w:gridSpan w:val="2"/>
            <w:shd w:val="clear" w:color="auto" w:fill="auto"/>
            <w:tcMar>
              <w:left w:w="28" w:type="dxa"/>
              <w:right w:w="28" w:type="dxa"/>
            </w:tcMar>
          </w:tcPr>
          <w:p w14:paraId="395332EE"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0,05</w:t>
            </w:r>
          </w:p>
        </w:tc>
        <w:tc>
          <w:tcPr>
            <w:tcW w:w="1277" w:type="dxa"/>
            <w:gridSpan w:val="2"/>
            <w:shd w:val="clear" w:color="auto" w:fill="auto"/>
            <w:tcMar>
              <w:left w:w="28" w:type="dxa"/>
              <w:right w:w="28" w:type="dxa"/>
            </w:tcMar>
          </w:tcPr>
          <w:p w14:paraId="47D5AB61"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0,005</w:t>
            </w:r>
          </w:p>
        </w:tc>
        <w:tc>
          <w:tcPr>
            <w:tcW w:w="1136" w:type="dxa"/>
            <w:gridSpan w:val="2"/>
            <w:shd w:val="clear" w:color="auto" w:fill="auto"/>
            <w:tcMar>
              <w:left w:w="28" w:type="dxa"/>
              <w:right w:w="28" w:type="dxa"/>
            </w:tcMar>
          </w:tcPr>
          <w:p w14:paraId="6B1C76B0" w14:textId="77777777" w:rsidR="002709ED" w:rsidRDefault="002709ED">
            <w:pPr>
              <w:keepNext/>
              <w:keepLines/>
              <w:spacing w:before="40" w:after="40" w:line="360" w:lineRule="auto"/>
              <w:rPr>
                <w:noProof/>
                <w:sz w:val="22"/>
                <w:szCs w:val="24"/>
                <w:lang w:val="en-GB" w:eastAsia="en-US"/>
              </w:rPr>
            </w:pPr>
          </w:p>
        </w:tc>
        <w:tc>
          <w:tcPr>
            <w:tcW w:w="1262" w:type="dxa"/>
            <w:tcMar>
              <w:left w:w="28" w:type="dxa"/>
              <w:right w:w="28" w:type="dxa"/>
            </w:tcMar>
          </w:tcPr>
          <w:p w14:paraId="3E021E98" w14:textId="77777777" w:rsidR="002709ED" w:rsidRDefault="002709ED">
            <w:pPr>
              <w:keepNext/>
              <w:keepLines/>
              <w:spacing w:before="40" w:after="40" w:line="360" w:lineRule="auto"/>
              <w:rPr>
                <w:noProof/>
                <w:color w:val="000000"/>
                <w:sz w:val="22"/>
                <w:szCs w:val="24"/>
                <w:lang w:val="en-GB" w:eastAsia="en-US"/>
              </w:rPr>
            </w:pPr>
          </w:p>
        </w:tc>
        <w:tc>
          <w:tcPr>
            <w:tcW w:w="1153" w:type="dxa"/>
            <w:gridSpan w:val="2"/>
            <w:tcMar>
              <w:left w:w="28" w:type="dxa"/>
              <w:right w:w="28" w:type="dxa"/>
            </w:tcMar>
          </w:tcPr>
          <w:p w14:paraId="725C9358" w14:textId="77777777" w:rsidR="002709ED" w:rsidRDefault="002709ED">
            <w:pPr>
              <w:keepNext/>
              <w:keepLines/>
              <w:spacing w:before="40" w:after="40" w:line="360" w:lineRule="auto"/>
              <w:rPr>
                <w:noProof/>
                <w:color w:val="000000"/>
                <w:sz w:val="22"/>
                <w:szCs w:val="24"/>
                <w:lang w:val="en-GB" w:eastAsia="en-US"/>
              </w:rPr>
            </w:pPr>
          </w:p>
        </w:tc>
        <w:tc>
          <w:tcPr>
            <w:tcW w:w="970" w:type="dxa"/>
            <w:tcMar>
              <w:left w:w="28" w:type="dxa"/>
              <w:right w:w="28" w:type="dxa"/>
            </w:tcMar>
          </w:tcPr>
          <w:p w14:paraId="648D86E9" w14:textId="77777777" w:rsidR="002709ED" w:rsidRDefault="002709ED">
            <w:pPr>
              <w:keepNext/>
              <w:keepLines/>
              <w:spacing w:before="40" w:after="40" w:line="360" w:lineRule="auto"/>
              <w:rPr>
                <w:noProof/>
                <w:color w:val="000000"/>
                <w:sz w:val="22"/>
                <w:szCs w:val="24"/>
                <w:lang w:val="en-GB" w:eastAsia="en-US"/>
              </w:rPr>
            </w:pPr>
          </w:p>
        </w:tc>
      </w:tr>
      <w:tr w:rsidR="002709ED" w14:paraId="1DDEE3A1" w14:textId="77777777">
        <w:trPr>
          <w:gridBefore w:val="1"/>
          <w:wBefore w:w="12" w:type="dxa"/>
          <w:cantSplit/>
          <w:tblHeader/>
          <w:jc w:val="center"/>
        </w:trPr>
        <w:tc>
          <w:tcPr>
            <w:tcW w:w="651" w:type="dxa"/>
            <w:gridSpan w:val="3"/>
            <w:tcMar>
              <w:left w:w="28" w:type="dxa"/>
              <w:right w:w="28" w:type="dxa"/>
            </w:tcMar>
          </w:tcPr>
          <w:p w14:paraId="7DC5B7E2"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(68)</w:t>
            </w:r>
          </w:p>
        </w:tc>
        <w:tc>
          <w:tcPr>
            <w:tcW w:w="2286" w:type="dxa"/>
            <w:gridSpan w:val="3"/>
            <w:shd w:val="clear" w:color="auto" w:fill="auto"/>
            <w:tcMar>
              <w:left w:w="28" w:type="dxa"/>
              <w:right w:w="28" w:type="dxa"/>
            </w:tcMar>
          </w:tcPr>
          <w:p w14:paraId="252C673E"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tiametoxám</w:t>
            </w:r>
          </w:p>
        </w:tc>
        <w:tc>
          <w:tcPr>
            <w:tcW w:w="1329" w:type="dxa"/>
            <w:gridSpan w:val="3"/>
            <w:shd w:val="clear" w:color="auto" w:fill="auto"/>
            <w:tcMar>
              <w:left w:w="28" w:type="dxa"/>
              <w:right w:w="28" w:type="dxa"/>
            </w:tcMar>
          </w:tcPr>
          <w:p w14:paraId="33817F07"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neonikotinoidné pesticídy</w:t>
            </w:r>
          </w:p>
        </w:tc>
        <w:tc>
          <w:tcPr>
            <w:tcW w:w="992" w:type="dxa"/>
            <w:gridSpan w:val="2"/>
            <w:shd w:val="clear" w:color="auto" w:fill="auto"/>
            <w:tcMar>
              <w:left w:w="28" w:type="dxa"/>
              <w:right w:w="28" w:type="dxa"/>
            </w:tcMar>
          </w:tcPr>
          <w:p w14:paraId="09F310A7"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153719-23-4</w:t>
            </w:r>
          </w:p>
        </w:tc>
        <w:tc>
          <w:tcPr>
            <w:tcW w:w="1134" w:type="dxa"/>
          </w:tcPr>
          <w:p w14:paraId="4CD299BA"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428-650-4</w:t>
            </w:r>
          </w:p>
        </w:tc>
        <w:tc>
          <w:tcPr>
            <w:tcW w:w="1279" w:type="dxa"/>
            <w:gridSpan w:val="2"/>
            <w:shd w:val="clear" w:color="auto" w:fill="auto"/>
            <w:tcMar>
              <w:left w:w="28" w:type="dxa"/>
              <w:right w:w="28" w:type="dxa"/>
            </w:tcMar>
          </w:tcPr>
          <w:p w14:paraId="46606437"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0,04</w:t>
            </w:r>
          </w:p>
        </w:tc>
        <w:tc>
          <w:tcPr>
            <w:tcW w:w="1279" w:type="dxa"/>
            <w:gridSpan w:val="2"/>
            <w:shd w:val="clear" w:color="auto" w:fill="auto"/>
            <w:tcMar>
              <w:left w:w="28" w:type="dxa"/>
              <w:right w:w="28" w:type="dxa"/>
            </w:tcMar>
          </w:tcPr>
          <w:p w14:paraId="7AF15E2E"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0,004</w:t>
            </w:r>
          </w:p>
        </w:tc>
        <w:tc>
          <w:tcPr>
            <w:tcW w:w="1278" w:type="dxa"/>
            <w:gridSpan w:val="2"/>
            <w:shd w:val="clear" w:color="auto" w:fill="auto"/>
            <w:tcMar>
              <w:left w:w="28" w:type="dxa"/>
              <w:right w:w="28" w:type="dxa"/>
            </w:tcMar>
          </w:tcPr>
          <w:p w14:paraId="18B70080"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0,77</w:t>
            </w:r>
          </w:p>
        </w:tc>
        <w:tc>
          <w:tcPr>
            <w:tcW w:w="1277" w:type="dxa"/>
            <w:gridSpan w:val="2"/>
            <w:shd w:val="clear" w:color="auto" w:fill="auto"/>
            <w:tcMar>
              <w:left w:w="28" w:type="dxa"/>
              <w:right w:w="28" w:type="dxa"/>
            </w:tcMar>
          </w:tcPr>
          <w:p w14:paraId="3F9AF6A8"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0,077</w:t>
            </w:r>
          </w:p>
        </w:tc>
        <w:tc>
          <w:tcPr>
            <w:tcW w:w="1136" w:type="dxa"/>
            <w:gridSpan w:val="2"/>
            <w:shd w:val="clear" w:color="auto" w:fill="auto"/>
            <w:tcMar>
              <w:left w:w="28" w:type="dxa"/>
              <w:right w:w="28" w:type="dxa"/>
            </w:tcMar>
          </w:tcPr>
          <w:p w14:paraId="36F561CD" w14:textId="77777777" w:rsidR="002709ED" w:rsidRDefault="002709ED">
            <w:pPr>
              <w:keepNext/>
              <w:keepLines/>
              <w:spacing w:before="40" w:after="40" w:line="360" w:lineRule="auto"/>
              <w:rPr>
                <w:noProof/>
                <w:sz w:val="22"/>
                <w:szCs w:val="24"/>
                <w:lang w:val="en-GB" w:eastAsia="en-US"/>
              </w:rPr>
            </w:pPr>
          </w:p>
        </w:tc>
        <w:tc>
          <w:tcPr>
            <w:tcW w:w="1262" w:type="dxa"/>
            <w:tcMar>
              <w:left w:w="28" w:type="dxa"/>
              <w:right w:w="28" w:type="dxa"/>
            </w:tcMar>
          </w:tcPr>
          <w:p w14:paraId="7EB5B5FB" w14:textId="77777777" w:rsidR="002709ED" w:rsidRDefault="002709ED">
            <w:pPr>
              <w:keepNext/>
              <w:keepLines/>
              <w:spacing w:before="40" w:after="40" w:line="360" w:lineRule="auto"/>
              <w:rPr>
                <w:noProof/>
                <w:color w:val="000000"/>
                <w:sz w:val="22"/>
                <w:szCs w:val="24"/>
                <w:lang w:val="en-GB" w:eastAsia="en-US"/>
              </w:rPr>
            </w:pPr>
          </w:p>
        </w:tc>
        <w:tc>
          <w:tcPr>
            <w:tcW w:w="1153" w:type="dxa"/>
            <w:gridSpan w:val="2"/>
            <w:tcMar>
              <w:left w:w="28" w:type="dxa"/>
              <w:right w:w="28" w:type="dxa"/>
            </w:tcMar>
          </w:tcPr>
          <w:p w14:paraId="1C136D73" w14:textId="77777777" w:rsidR="002709ED" w:rsidRDefault="002709ED">
            <w:pPr>
              <w:keepNext/>
              <w:keepLines/>
              <w:spacing w:before="40" w:after="40" w:line="360" w:lineRule="auto"/>
              <w:rPr>
                <w:noProof/>
                <w:color w:val="000000"/>
                <w:sz w:val="22"/>
                <w:szCs w:val="24"/>
                <w:lang w:val="en-GB" w:eastAsia="en-US"/>
              </w:rPr>
            </w:pPr>
          </w:p>
        </w:tc>
        <w:tc>
          <w:tcPr>
            <w:tcW w:w="970" w:type="dxa"/>
            <w:tcMar>
              <w:left w:w="28" w:type="dxa"/>
              <w:right w:w="28" w:type="dxa"/>
            </w:tcMar>
          </w:tcPr>
          <w:p w14:paraId="305A93A5" w14:textId="77777777" w:rsidR="002709ED" w:rsidRDefault="002709ED">
            <w:pPr>
              <w:keepNext/>
              <w:keepLines/>
              <w:spacing w:before="40" w:after="40" w:line="360" w:lineRule="auto"/>
              <w:rPr>
                <w:noProof/>
                <w:color w:val="000000"/>
                <w:sz w:val="22"/>
                <w:szCs w:val="24"/>
                <w:lang w:val="en-GB" w:eastAsia="en-US"/>
              </w:rPr>
            </w:pPr>
          </w:p>
        </w:tc>
      </w:tr>
      <w:tr w:rsidR="002709ED" w14:paraId="1A1DAD56" w14:textId="77777777">
        <w:trPr>
          <w:gridBefore w:val="1"/>
          <w:wBefore w:w="12" w:type="dxa"/>
          <w:cantSplit/>
          <w:tblHeader/>
          <w:jc w:val="center"/>
        </w:trPr>
        <w:tc>
          <w:tcPr>
            <w:tcW w:w="651" w:type="dxa"/>
            <w:gridSpan w:val="3"/>
            <w:tcMar>
              <w:left w:w="28" w:type="dxa"/>
              <w:right w:w="28" w:type="dxa"/>
            </w:tcMar>
          </w:tcPr>
          <w:p w14:paraId="0ACF644B"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(69)</w:t>
            </w:r>
          </w:p>
        </w:tc>
        <w:tc>
          <w:tcPr>
            <w:tcW w:w="2286" w:type="dxa"/>
            <w:gridSpan w:val="3"/>
            <w:shd w:val="clear" w:color="auto" w:fill="auto"/>
            <w:tcMar>
              <w:left w:w="28" w:type="dxa"/>
              <w:right w:w="28" w:type="dxa"/>
            </w:tcMar>
          </w:tcPr>
          <w:p w14:paraId="51474BB0"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triklozán</w:t>
            </w:r>
          </w:p>
        </w:tc>
        <w:tc>
          <w:tcPr>
            <w:tcW w:w="1329" w:type="dxa"/>
            <w:gridSpan w:val="3"/>
            <w:shd w:val="clear" w:color="auto" w:fill="auto"/>
            <w:tcMar>
              <w:left w:w="28" w:type="dxa"/>
              <w:right w:w="28" w:type="dxa"/>
            </w:tcMar>
          </w:tcPr>
          <w:p w14:paraId="372F92DA"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biocídy</w:t>
            </w:r>
          </w:p>
        </w:tc>
        <w:tc>
          <w:tcPr>
            <w:tcW w:w="992" w:type="dxa"/>
            <w:gridSpan w:val="2"/>
            <w:shd w:val="clear" w:color="auto" w:fill="auto"/>
            <w:tcMar>
              <w:left w:w="28" w:type="dxa"/>
              <w:right w:w="28" w:type="dxa"/>
            </w:tcMar>
          </w:tcPr>
          <w:p w14:paraId="37218EF6"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3380-34-5</w:t>
            </w:r>
          </w:p>
        </w:tc>
        <w:tc>
          <w:tcPr>
            <w:tcW w:w="1134" w:type="dxa"/>
          </w:tcPr>
          <w:p w14:paraId="1D763E13"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222-182-2</w:t>
            </w:r>
          </w:p>
        </w:tc>
        <w:tc>
          <w:tcPr>
            <w:tcW w:w="1279" w:type="dxa"/>
            <w:gridSpan w:val="2"/>
            <w:shd w:val="clear" w:color="auto" w:fill="auto"/>
            <w:tcMar>
              <w:left w:w="28" w:type="dxa"/>
              <w:right w:w="28" w:type="dxa"/>
            </w:tcMar>
          </w:tcPr>
          <w:p w14:paraId="5C38160C"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0,02</w:t>
            </w:r>
          </w:p>
        </w:tc>
        <w:tc>
          <w:tcPr>
            <w:tcW w:w="1279" w:type="dxa"/>
            <w:gridSpan w:val="2"/>
            <w:shd w:val="clear" w:color="auto" w:fill="auto"/>
            <w:tcMar>
              <w:left w:w="28" w:type="dxa"/>
              <w:right w:w="28" w:type="dxa"/>
            </w:tcMar>
          </w:tcPr>
          <w:p w14:paraId="6EB2BE92"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0,002</w:t>
            </w:r>
          </w:p>
        </w:tc>
        <w:tc>
          <w:tcPr>
            <w:tcW w:w="1278" w:type="dxa"/>
            <w:gridSpan w:val="2"/>
            <w:shd w:val="clear" w:color="auto" w:fill="auto"/>
            <w:tcMar>
              <w:left w:w="28" w:type="dxa"/>
              <w:right w:w="28" w:type="dxa"/>
            </w:tcMar>
          </w:tcPr>
          <w:p w14:paraId="5A45DCAD"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0,02</w:t>
            </w:r>
          </w:p>
        </w:tc>
        <w:tc>
          <w:tcPr>
            <w:tcW w:w="1277" w:type="dxa"/>
            <w:gridSpan w:val="2"/>
            <w:shd w:val="clear" w:color="auto" w:fill="auto"/>
            <w:tcMar>
              <w:left w:w="28" w:type="dxa"/>
              <w:right w:w="28" w:type="dxa"/>
            </w:tcMar>
          </w:tcPr>
          <w:p w14:paraId="452FB995" w14:textId="77777777" w:rsidR="002709ED" w:rsidRDefault="00B2757B">
            <w:pPr>
              <w:keepNext/>
              <w:keepLines/>
              <w:spacing w:before="40" w:after="40" w:line="360" w:lineRule="auto"/>
              <w:rPr>
                <w:noProof/>
                <w:sz w:val="22"/>
                <w:szCs w:val="24"/>
                <w:lang w:val="en-GB" w:eastAsia="en-US"/>
              </w:rPr>
            </w:pPr>
            <w:r>
              <w:rPr>
                <w:noProof/>
                <w:color w:val="000000"/>
                <w:sz w:val="22"/>
                <w:szCs w:val="24"/>
                <w:lang w:val="en-GB" w:eastAsia="en-US"/>
              </w:rPr>
              <w:t>0,002</w:t>
            </w:r>
          </w:p>
        </w:tc>
        <w:tc>
          <w:tcPr>
            <w:tcW w:w="1136" w:type="dxa"/>
            <w:gridSpan w:val="2"/>
            <w:shd w:val="clear" w:color="auto" w:fill="auto"/>
            <w:tcMar>
              <w:left w:w="28" w:type="dxa"/>
              <w:right w:w="28" w:type="dxa"/>
            </w:tcMar>
          </w:tcPr>
          <w:p w14:paraId="52EF4FB6" w14:textId="77777777" w:rsidR="002709ED" w:rsidRDefault="002709ED">
            <w:pPr>
              <w:keepNext/>
              <w:keepLines/>
              <w:spacing w:before="40" w:after="40" w:line="360" w:lineRule="auto"/>
              <w:rPr>
                <w:noProof/>
                <w:sz w:val="22"/>
                <w:szCs w:val="24"/>
                <w:lang w:val="en-GB" w:eastAsia="en-US"/>
              </w:rPr>
            </w:pPr>
          </w:p>
        </w:tc>
        <w:tc>
          <w:tcPr>
            <w:tcW w:w="1262" w:type="dxa"/>
            <w:tcMar>
              <w:left w:w="28" w:type="dxa"/>
              <w:right w:w="28" w:type="dxa"/>
            </w:tcMar>
          </w:tcPr>
          <w:p w14:paraId="41D1D701" w14:textId="77777777" w:rsidR="002709ED" w:rsidRDefault="002709ED">
            <w:pPr>
              <w:keepNext/>
              <w:keepLines/>
              <w:spacing w:before="40" w:after="40" w:line="360" w:lineRule="auto"/>
              <w:rPr>
                <w:noProof/>
                <w:color w:val="000000"/>
                <w:sz w:val="22"/>
                <w:szCs w:val="24"/>
                <w:lang w:val="en-GB" w:eastAsia="en-US"/>
              </w:rPr>
            </w:pPr>
          </w:p>
        </w:tc>
        <w:tc>
          <w:tcPr>
            <w:tcW w:w="1153" w:type="dxa"/>
            <w:gridSpan w:val="2"/>
            <w:tcMar>
              <w:left w:w="28" w:type="dxa"/>
              <w:right w:w="28" w:type="dxa"/>
            </w:tcMar>
          </w:tcPr>
          <w:p w14:paraId="2A320BB2" w14:textId="77777777" w:rsidR="002709ED" w:rsidRDefault="002709ED">
            <w:pPr>
              <w:keepNext/>
              <w:keepLines/>
              <w:spacing w:before="40" w:after="40" w:line="360" w:lineRule="auto"/>
              <w:rPr>
                <w:noProof/>
                <w:color w:val="000000"/>
                <w:sz w:val="22"/>
                <w:szCs w:val="24"/>
                <w:lang w:val="en-GB" w:eastAsia="en-US"/>
              </w:rPr>
            </w:pPr>
          </w:p>
        </w:tc>
        <w:tc>
          <w:tcPr>
            <w:tcW w:w="970" w:type="dxa"/>
            <w:tcMar>
              <w:left w:w="28" w:type="dxa"/>
              <w:right w:w="28" w:type="dxa"/>
            </w:tcMar>
          </w:tcPr>
          <w:p w14:paraId="5CF76655" w14:textId="77777777" w:rsidR="002709ED" w:rsidRDefault="002709ED">
            <w:pPr>
              <w:keepNext/>
              <w:keepLines/>
              <w:spacing w:before="40" w:after="40" w:line="360" w:lineRule="auto"/>
              <w:rPr>
                <w:noProof/>
                <w:color w:val="000000"/>
                <w:sz w:val="22"/>
                <w:szCs w:val="24"/>
                <w:lang w:val="en-GB" w:eastAsia="en-US"/>
              </w:rPr>
            </w:pPr>
          </w:p>
        </w:tc>
      </w:tr>
      <w:tr w:rsidR="002709ED" w14:paraId="35DFB59D" w14:textId="77777777">
        <w:trPr>
          <w:gridBefore w:val="1"/>
          <w:wBefore w:w="12" w:type="dxa"/>
          <w:cantSplit/>
          <w:tblHeader/>
          <w:jc w:val="center"/>
        </w:trPr>
        <w:tc>
          <w:tcPr>
            <w:tcW w:w="651" w:type="dxa"/>
            <w:gridSpan w:val="3"/>
            <w:tcMar>
              <w:left w:w="28" w:type="dxa"/>
              <w:right w:w="28" w:type="dxa"/>
            </w:tcMar>
          </w:tcPr>
          <w:p w14:paraId="7F8F89A4" w14:textId="77777777" w:rsidR="002709ED" w:rsidRDefault="00B2757B">
            <w:pPr>
              <w:keepNext/>
              <w:keepLines/>
              <w:spacing w:before="40" w:after="40" w:line="360" w:lineRule="auto"/>
              <w:rPr>
                <w:noProof/>
                <w:sz w:val="22"/>
                <w:szCs w:val="24"/>
                <w:lang w:val="en-GB" w:eastAsia="en-US"/>
              </w:rPr>
            </w:pPr>
            <w:r>
              <w:rPr>
                <w:noProof/>
                <w:sz w:val="22"/>
                <w:szCs w:val="24"/>
                <w:lang w:val="en-GB" w:eastAsia="en-US"/>
              </w:rPr>
              <w:t>(70)</w:t>
            </w:r>
          </w:p>
        </w:tc>
        <w:tc>
          <w:tcPr>
            <w:tcW w:w="2286" w:type="dxa"/>
            <w:gridSpan w:val="3"/>
            <w:shd w:val="clear" w:color="auto" w:fill="auto"/>
            <w:tcMar>
              <w:left w:w="28" w:type="dxa"/>
              <w:right w:w="28" w:type="dxa"/>
            </w:tcMar>
          </w:tcPr>
          <w:p w14:paraId="40A04AC5" w14:textId="77777777" w:rsidR="002709ED" w:rsidRDefault="00B2757B">
            <w:pPr>
              <w:keepNext/>
              <w:keepLines/>
              <w:spacing w:before="40" w:after="40" w:line="360" w:lineRule="auto"/>
              <w:rPr>
                <w:noProof/>
                <w:color w:val="000000"/>
                <w:sz w:val="22"/>
                <w:szCs w:val="24"/>
                <w:lang w:val="en-GB" w:eastAsia="en-US"/>
              </w:rPr>
            </w:pPr>
            <w:r>
              <w:rPr>
                <w:noProof/>
                <w:color w:val="000000"/>
                <w:sz w:val="22"/>
                <w:szCs w:val="24"/>
                <w:lang w:val="en-GB" w:eastAsia="en-US"/>
              </w:rPr>
              <w:t>celkový súčet účinných látok v pesticídoch vrátane ich príslušných metabolitov a produktov vznikajúcich pri rozklade a reakcii (</w:t>
            </w:r>
            <w:r>
              <w:rPr>
                <w:noProof/>
                <w:color w:val="000000"/>
                <w:sz w:val="22"/>
                <w:szCs w:val="24"/>
                <w:vertAlign w:val="superscript"/>
                <w:lang w:val="en-GB" w:eastAsia="en-US"/>
              </w:rPr>
              <w:t>29</w:t>
            </w:r>
            <w:r>
              <w:rPr>
                <w:noProof/>
                <w:color w:val="000000"/>
                <w:sz w:val="22"/>
                <w:szCs w:val="24"/>
                <w:lang w:val="en-GB" w:eastAsia="en-US"/>
              </w:rPr>
              <w:t>)</w:t>
            </w:r>
          </w:p>
        </w:tc>
        <w:tc>
          <w:tcPr>
            <w:tcW w:w="1329" w:type="dxa"/>
            <w:gridSpan w:val="3"/>
            <w:shd w:val="clear" w:color="auto" w:fill="auto"/>
            <w:tcMar>
              <w:left w:w="28" w:type="dxa"/>
              <w:right w:w="28" w:type="dxa"/>
            </w:tcMar>
          </w:tcPr>
          <w:p w14:paraId="60613A83" w14:textId="77777777" w:rsidR="002709ED" w:rsidRDefault="00B2757B">
            <w:pPr>
              <w:keepNext/>
              <w:keepLines/>
              <w:spacing w:before="40" w:after="40" w:line="360" w:lineRule="auto"/>
              <w:rPr>
                <w:noProof/>
                <w:color w:val="000000"/>
                <w:sz w:val="22"/>
                <w:szCs w:val="24"/>
                <w:lang w:val="en-GB" w:eastAsia="en-US"/>
              </w:rPr>
            </w:pPr>
            <w:r>
              <w:rPr>
                <w:noProof/>
                <w:color w:val="000000"/>
                <w:sz w:val="22"/>
                <w:szCs w:val="24"/>
                <w:lang w:val="en-GB" w:eastAsia="en-US"/>
              </w:rPr>
              <w:t>prípravky na ochranu rastlín a biocídy</w:t>
            </w:r>
          </w:p>
        </w:tc>
        <w:tc>
          <w:tcPr>
            <w:tcW w:w="992" w:type="dxa"/>
            <w:gridSpan w:val="2"/>
            <w:shd w:val="clear" w:color="auto" w:fill="auto"/>
            <w:tcMar>
              <w:left w:w="28" w:type="dxa"/>
              <w:right w:w="28" w:type="dxa"/>
            </w:tcMar>
          </w:tcPr>
          <w:p w14:paraId="0D0E905B" w14:textId="77777777" w:rsidR="002709ED" w:rsidRDefault="002709ED">
            <w:pPr>
              <w:keepNext/>
              <w:keepLines/>
              <w:spacing w:before="40" w:after="40" w:line="360" w:lineRule="auto"/>
              <w:rPr>
                <w:noProof/>
                <w:color w:val="000000"/>
                <w:sz w:val="22"/>
                <w:szCs w:val="24"/>
                <w:lang w:val="en-GB" w:eastAsia="en-US"/>
              </w:rPr>
            </w:pPr>
          </w:p>
        </w:tc>
        <w:tc>
          <w:tcPr>
            <w:tcW w:w="1134" w:type="dxa"/>
          </w:tcPr>
          <w:p w14:paraId="02C4A198" w14:textId="77777777" w:rsidR="002709ED" w:rsidRDefault="002709ED">
            <w:pPr>
              <w:keepNext/>
              <w:keepLines/>
              <w:spacing w:before="40" w:after="40" w:line="360" w:lineRule="auto"/>
              <w:rPr>
                <w:noProof/>
                <w:sz w:val="22"/>
                <w:szCs w:val="24"/>
                <w:lang w:val="en-GB" w:eastAsia="en-US"/>
              </w:rPr>
            </w:pPr>
          </w:p>
        </w:tc>
        <w:tc>
          <w:tcPr>
            <w:tcW w:w="1279" w:type="dxa"/>
            <w:gridSpan w:val="2"/>
            <w:shd w:val="clear" w:color="auto" w:fill="auto"/>
            <w:tcMar>
              <w:left w:w="28" w:type="dxa"/>
              <w:right w:w="28" w:type="dxa"/>
            </w:tcMar>
          </w:tcPr>
          <w:p w14:paraId="4C77EFFA" w14:textId="77777777" w:rsidR="002709ED" w:rsidRDefault="00B2757B">
            <w:pPr>
              <w:keepNext/>
              <w:keepLines/>
              <w:spacing w:before="40" w:after="40" w:line="360" w:lineRule="auto"/>
              <w:rPr>
                <w:noProof/>
                <w:color w:val="000000"/>
                <w:sz w:val="22"/>
                <w:szCs w:val="24"/>
                <w:lang w:val="en-GB" w:eastAsia="en-US"/>
              </w:rPr>
            </w:pPr>
            <w:r>
              <w:rPr>
                <w:noProof/>
                <w:color w:val="000000"/>
                <w:sz w:val="22"/>
                <w:szCs w:val="24"/>
                <w:lang w:val="en-GB" w:eastAsia="en-US"/>
              </w:rPr>
              <w:t>0,5 (</w:t>
            </w:r>
            <w:r>
              <w:rPr>
                <w:noProof/>
                <w:color w:val="000000"/>
                <w:sz w:val="22"/>
                <w:szCs w:val="24"/>
                <w:vertAlign w:val="superscript"/>
                <w:lang w:val="en-GB" w:eastAsia="en-US"/>
              </w:rPr>
              <w:t>30</w:t>
            </w:r>
            <w:r>
              <w:rPr>
                <w:noProof/>
                <w:color w:val="000000"/>
                <w:sz w:val="22"/>
                <w:szCs w:val="24"/>
                <w:lang w:val="en-GB" w:eastAsia="en-US"/>
              </w:rPr>
              <w:t>)</w:t>
            </w:r>
          </w:p>
        </w:tc>
        <w:tc>
          <w:tcPr>
            <w:tcW w:w="1279" w:type="dxa"/>
            <w:gridSpan w:val="2"/>
            <w:shd w:val="clear" w:color="auto" w:fill="auto"/>
            <w:tcMar>
              <w:left w:w="28" w:type="dxa"/>
              <w:right w:w="28" w:type="dxa"/>
            </w:tcMar>
          </w:tcPr>
          <w:p w14:paraId="303E26A9" w14:textId="77777777" w:rsidR="002709ED" w:rsidRDefault="00B2757B">
            <w:pPr>
              <w:keepNext/>
              <w:keepLines/>
              <w:spacing w:before="40" w:after="40" w:line="360" w:lineRule="auto"/>
              <w:rPr>
                <w:noProof/>
                <w:color w:val="000000"/>
                <w:sz w:val="22"/>
                <w:szCs w:val="24"/>
                <w:lang w:val="en-GB" w:eastAsia="en-US"/>
              </w:rPr>
            </w:pPr>
            <w:r>
              <w:rPr>
                <w:noProof/>
                <w:color w:val="000000"/>
                <w:sz w:val="22"/>
                <w:szCs w:val="24"/>
                <w:lang w:val="en-GB" w:eastAsia="en-US"/>
              </w:rPr>
              <w:t>0,5 (</w:t>
            </w:r>
            <w:r>
              <w:rPr>
                <w:noProof/>
                <w:color w:val="000000"/>
                <w:sz w:val="22"/>
                <w:szCs w:val="24"/>
                <w:vertAlign w:val="superscript"/>
                <w:lang w:val="en-GB" w:eastAsia="en-US"/>
              </w:rPr>
              <w:t>30</w:t>
            </w:r>
            <w:r>
              <w:rPr>
                <w:noProof/>
                <w:color w:val="000000"/>
                <w:sz w:val="22"/>
                <w:szCs w:val="24"/>
                <w:lang w:val="en-GB" w:eastAsia="en-US"/>
              </w:rPr>
              <w:t>)</w:t>
            </w:r>
          </w:p>
        </w:tc>
        <w:tc>
          <w:tcPr>
            <w:tcW w:w="1278" w:type="dxa"/>
            <w:gridSpan w:val="2"/>
            <w:shd w:val="clear" w:color="auto" w:fill="auto"/>
            <w:tcMar>
              <w:left w:w="28" w:type="dxa"/>
              <w:right w:w="28" w:type="dxa"/>
            </w:tcMar>
          </w:tcPr>
          <w:p w14:paraId="5B5DEDE5" w14:textId="77777777" w:rsidR="002709ED" w:rsidRDefault="002709ED">
            <w:pPr>
              <w:keepNext/>
              <w:keepLines/>
              <w:spacing w:before="40" w:after="40" w:line="360" w:lineRule="auto"/>
              <w:rPr>
                <w:noProof/>
                <w:color w:val="000000"/>
                <w:sz w:val="22"/>
                <w:szCs w:val="24"/>
                <w:lang w:val="en-GB" w:eastAsia="en-US"/>
              </w:rPr>
            </w:pPr>
          </w:p>
        </w:tc>
        <w:tc>
          <w:tcPr>
            <w:tcW w:w="1277" w:type="dxa"/>
            <w:gridSpan w:val="2"/>
            <w:shd w:val="clear" w:color="auto" w:fill="auto"/>
            <w:tcMar>
              <w:left w:w="28" w:type="dxa"/>
              <w:right w:w="28" w:type="dxa"/>
            </w:tcMar>
          </w:tcPr>
          <w:p w14:paraId="3D7C557D" w14:textId="77777777" w:rsidR="002709ED" w:rsidRDefault="002709ED">
            <w:pPr>
              <w:keepNext/>
              <w:keepLines/>
              <w:spacing w:before="40" w:after="40" w:line="360" w:lineRule="auto"/>
              <w:rPr>
                <w:noProof/>
                <w:color w:val="000000"/>
                <w:sz w:val="22"/>
                <w:szCs w:val="24"/>
                <w:lang w:val="en-GB" w:eastAsia="en-US"/>
              </w:rPr>
            </w:pPr>
          </w:p>
        </w:tc>
        <w:tc>
          <w:tcPr>
            <w:tcW w:w="1136" w:type="dxa"/>
            <w:gridSpan w:val="2"/>
            <w:shd w:val="clear" w:color="auto" w:fill="auto"/>
            <w:tcMar>
              <w:left w:w="28" w:type="dxa"/>
              <w:right w:w="28" w:type="dxa"/>
            </w:tcMar>
          </w:tcPr>
          <w:p w14:paraId="65E87A71" w14:textId="77777777" w:rsidR="002709ED" w:rsidRDefault="002709ED">
            <w:pPr>
              <w:keepNext/>
              <w:keepLines/>
              <w:spacing w:before="40" w:after="40" w:line="360" w:lineRule="auto"/>
              <w:rPr>
                <w:noProof/>
                <w:color w:val="000000"/>
                <w:sz w:val="22"/>
                <w:szCs w:val="24"/>
                <w:lang w:val="en-GB" w:eastAsia="en-US"/>
              </w:rPr>
            </w:pPr>
          </w:p>
        </w:tc>
        <w:tc>
          <w:tcPr>
            <w:tcW w:w="1262" w:type="dxa"/>
            <w:tcMar>
              <w:left w:w="28" w:type="dxa"/>
              <w:right w:w="28" w:type="dxa"/>
            </w:tcMar>
          </w:tcPr>
          <w:p w14:paraId="22AE3FAF" w14:textId="77777777" w:rsidR="002709ED" w:rsidRDefault="002709ED">
            <w:pPr>
              <w:keepNext/>
              <w:keepLines/>
              <w:spacing w:before="40" w:after="40" w:line="360" w:lineRule="auto"/>
              <w:rPr>
                <w:noProof/>
                <w:color w:val="000000"/>
                <w:sz w:val="22"/>
                <w:szCs w:val="24"/>
                <w:lang w:val="en-GB" w:eastAsia="en-US"/>
              </w:rPr>
            </w:pPr>
          </w:p>
        </w:tc>
        <w:tc>
          <w:tcPr>
            <w:tcW w:w="1153" w:type="dxa"/>
            <w:gridSpan w:val="2"/>
            <w:tcMar>
              <w:left w:w="28" w:type="dxa"/>
              <w:right w:w="28" w:type="dxa"/>
            </w:tcMar>
          </w:tcPr>
          <w:p w14:paraId="11CDCF01" w14:textId="77777777" w:rsidR="002709ED" w:rsidRDefault="002709ED">
            <w:pPr>
              <w:keepNext/>
              <w:keepLines/>
              <w:spacing w:before="40" w:after="40" w:line="360" w:lineRule="auto"/>
              <w:rPr>
                <w:noProof/>
                <w:color w:val="000000"/>
                <w:sz w:val="22"/>
                <w:szCs w:val="24"/>
                <w:lang w:val="en-GB" w:eastAsia="en-US"/>
              </w:rPr>
            </w:pPr>
          </w:p>
        </w:tc>
        <w:tc>
          <w:tcPr>
            <w:tcW w:w="970" w:type="dxa"/>
            <w:tcMar>
              <w:left w:w="28" w:type="dxa"/>
              <w:right w:w="28" w:type="dxa"/>
            </w:tcMar>
          </w:tcPr>
          <w:p w14:paraId="1F8B1635" w14:textId="77777777" w:rsidR="002709ED" w:rsidRDefault="002709ED">
            <w:pPr>
              <w:keepNext/>
              <w:keepLines/>
              <w:spacing w:before="40" w:after="40" w:line="360" w:lineRule="auto"/>
              <w:rPr>
                <w:noProof/>
                <w:color w:val="000000"/>
                <w:sz w:val="22"/>
                <w:szCs w:val="24"/>
                <w:lang w:val="en-GB" w:eastAsia="en-US"/>
              </w:rPr>
            </w:pPr>
          </w:p>
        </w:tc>
      </w:tr>
      <w:tr w:rsidR="002709ED" w14:paraId="43A7D95D" w14:textId="77777777">
        <w:trPr>
          <w:gridBefore w:val="1"/>
          <w:wBefore w:w="12" w:type="dxa"/>
          <w:cantSplit/>
          <w:tblHeader/>
          <w:jc w:val="center"/>
        </w:trPr>
        <w:tc>
          <w:tcPr>
            <w:tcW w:w="651" w:type="dxa"/>
            <w:gridSpan w:val="3"/>
            <w:tcMar>
              <w:left w:w="28" w:type="dxa"/>
              <w:right w:w="28" w:type="dxa"/>
            </w:tcMar>
          </w:tcPr>
          <w:p w14:paraId="62471103" w14:textId="77777777" w:rsidR="002709ED" w:rsidRDefault="00B2757B">
            <w:pPr>
              <w:widowControl/>
              <w:tabs>
                <w:tab w:val="left" w:pos="720"/>
              </w:tabs>
              <w:spacing w:before="120" w:after="120"/>
              <w:jc w:val="both"/>
              <w:rPr>
                <w:rFonts w:eastAsia="Calibri"/>
                <w:b/>
                <w:noProof/>
                <w:szCs w:val="24"/>
                <w:lang w:eastAsia="en-US"/>
              </w:rPr>
            </w:pPr>
            <w:r>
              <w:rPr>
                <w:rFonts w:eastAsia="Calibri"/>
                <w:b/>
                <w:i/>
                <w:szCs w:val="24"/>
                <w:lang w:eastAsia="en-US"/>
              </w:rPr>
              <w:t>70a</w:t>
            </w:r>
            <w:r>
              <w:rPr>
                <w:rFonts w:eastAsia="Calibri"/>
                <w:b/>
                <w:szCs w:val="24"/>
                <w:lang w:eastAsia="en-US"/>
              </w:rPr>
              <w:t xml:space="preserve"> [PN 152]</w:t>
            </w:r>
          </w:p>
        </w:tc>
        <w:tc>
          <w:tcPr>
            <w:tcW w:w="2286" w:type="dxa"/>
            <w:gridSpan w:val="3"/>
            <w:shd w:val="clear" w:color="auto" w:fill="auto"/>
            <w:tcMar>
              <w:left w:w="28" w:type="dxa"/>
              <w:right w:w="28" w:type="dxa"/>
            </w:tcMar>
          </w:tcPr>
          <w:p w14:paraId="5B649D25" w14:textId="77777777" w:rsidR="002709ED" w:rsidRDefault="00B2757B">
            <w:pPr>
              <w:widowControl/>
              <w:tabs>
                <w:tab w:val="left" w:pos="720"/>
              </w:tabs>
              <w:spacing w:before="120" w:after="120"/>
              <w:jc w:val="both"/>
              <w:rPr>
                <w:rFonts w:eastAsia="Calibri"/>
                <w:noProof/>
                <w:szCs w:val="24"/>
                <w:lang w:eastAsia="en-US"/>
              </w:rPr>
            </w:pPr>
            <w:r>
              <w:rPr>
                <w:rFonts w:eastAsia="Calibri"/>
                <w:b/>
                <w:i/>
                <w:szCs w:val="24"/>
                <w:lang w:eastAsia="en-US"/>
              </w:rPr>
              <w:t>Bisfenoly</w:t>
            </w:r>
          </w:p>
        </w:tc>
        <w:tc>
          <w:tcPr>
            <w:tcW w:w="1329" w:type="dxa"/>
            <w:gridSpan w:val="3"/>
            <w:shd w:val="clear" w:color="auto" w:fill="auto"/>
            <w:tcMar>
              <w:left w:w="28" w:type="dxa"/>
              <w:right w:w="28" w:type="dxa"/>
            </w:tcMar>
          </w:tcPr>
          <w:p w14:paraId="3DED745A" w14:textId="77777777" w:rsidR="002709ED" w:rsidRDefault="00B2757B">
            <w:pPr>
              <w:widowControl/>
              <w:tabs>
                <w:tab w:val="left" w:pos="720"/>
              </w:tabs>
              <w:spacing w:before="120" w:after="120"/>
              <w:jc w:val="both"/>
              <w:rPr>
                <w:rFonts w:eastAsia="Calibri"/>
                <w:noProof/>
                <w:szCs w:val="24"/>
                <w:lang w:eastAsia="en-US"/>
              </w:rPr>
            </w:pPr>
            <w:r>
              <w:rPr>
                <w:rFonts w:eastAsia="Calibri"/>
                <w:b/>
                <w:i/>
                <w:szCs w:val="24"/>
                <w:lang w:eastAsia="en-US"/>
              </w:rPr>
              <w:t>Priemyselné chemikálie</w:t>
            </w:r>
          </w:p>
        </w:tc>
        <w:tc>
          <w:tcPr>
            <w:tcW w:w="992" w:type="dxa"/>
            <w:gridSpan w:val="2"/>
            <w:shd w:val="clear" w:color="auto" w:fill="auto"/>
            <w:tcMar>
              <w:left w:w="28" w:type="dxa"/>
              <w:right w:w="28" w:type="dxa"/>
            </w:tcMar>
          </w:tcPr>
          <w:p w14:paraId="5995675A" w14:textId="77777777" w:rsidR="002709ED" w:rsidRDefault="00B2757B">
            <w:pPr>
              <w:widowControl/>
              <w:tabs>
                <w:tab w:val="left" w:pos="720"/>
              </w:tabs>
              <w:spacing w:before="120" w:after="120"/>
              <w:jc w:val="both"/>
              <w:rPr>
                <w:rFonts w:eastAsia="Calibri"/>
                <w:noProof/>
                <w:szCs w:val="24"/>
                <w:lang w:eastAsia="en-US"/>
              </w:rPr>
            </w:pPr>
            <w:r>
              <w:rPr>
                <w:rFonts w:eastAsia="Calibri"/>
                <w:b/>
                <w:i/>
                <w:szCs w:val="24"/>
                <w:lang w:eastAsia="en-US"/>
              </w:rPr>
              <w:t>neuplatňuje sa</w:t>
            </w:r>
          </w:p>
        </w:tc>
        <w:tc>
          <w:tcPr>
            <w:tcW w:w="1134" w:type="dxa"/>
          </w:tcPr>
          <w:p w14:paraId="53AACC8C" w14:textId="77777777" w:rsidR="002709ED" w:rsidRDefault="00B2757B">
            <w:pPr>
              <w:widowControl/>
              <w:tabs>
                <w:tab w:val="left" w:pos="720"/>
              </w:tabs>
              <w:spacing w:before="120" w:after="120"/>
              <w:jc w:val="both"/>
              <w:rPr>
                <w:rFonts w:eastAsia="Calibri"/>
                <w:noProof/>
                <w:szCs w:val="24"/>
                <w:lang w:eastAsia="en-US"/>
              </w:rPr>
            </w:pPr>
            <w:r>
              <w:rPr>
                <w:rFonts w:eastAsia="Calibri"/>
                <w:b/>
                <w:i/>
                <w:szCs w:val="24"/>
                <w:lang w:eastAsia="en-US"/>
              </w:rPr>
              <w:t>neuplatňuje sa</w:t>
            </w:r>
          </w:p>
        </w:tc>
        <w:tc>
          <w:tcPr>
            <w:tcW w:w="1279" w:type="dxa"/>
            <w:gridSpan w:val="2"/>
            <w:shd w:val="clear" w:color="auto" w:fill="auto"/>
            <w:tcMar>
              <w:left w:w="28" w:type="dxa"/>
              <w:right w:w="28" w:type="dxa"/>
            </w:tcMar>
          </w:tcPr>
          <w:p w14:paraId="5A76036E" w14:textId="77777777" w:rsidR="002709ED" w:rsidRDefault="00B2757B">
            <w:pPr>
              <w:widowControl/>
              <w:tabs>
                <w:tab w:val="left" w:pos="720"/>
              </w:tabs>
              <w:spacing w:before="120" w:after="120"/>
              <w:jc w:val="both"/>
              <w:rPr>
                <w:rFonts w:eastAsia="Calibri"/>
                <w:b/>
                <w:i/>
                <w:noProof/>
                <w:szCs w:val="24"/>
                <w:lang w:eastAsia="en-US"/>
              </w:rPr>
            </w:pPr>
            <w:r>
              <w:rPr>
                <w:rFonts w:eastAsia="Calibri"/>
                <w:b/>
                <w:i/>
                <w:szCs w:val="24"/>
                <w:lang w:eastAsia="en-US"/>
              </w:rPr>
              <w:t>*</w:t>
            </w:r>
          </w:p>
        </w:tc>
        <w:tc>
          <w:tcPr>
            <w:tcW w:w="1279" w:type="dxa"/>
            <w:gridSpan w:val="2"/>
            <w:shd w:val="clear" w:color="auto" w:fill="auto"/>
            <w:tcMar>
              <w:left w:w="28" w:type="dxa"/>
              <w:right w:w="28" w:type="dxa"/>
            </w:tcMar>
          </w:tcPr>
          <w:p w14:paraId="7C6E745D" w14:textId="77777777" w:rsidR="002709ED" w:rsidRDefault="00B2757B">
            <w:pPr>
              <w:widowControl/>
              <w:tabs>
                <w:tab w:val="left" w:pos="720"/>
              </w:tabs>
              <w:spacing w:before="120" w:after="120"/>
              <w:jc w:val="both"/>
              <w:rPr>
                <w:rFonts w:eastAsia="Calibri"/>
                <w:b/>
                <w:i/>
                <w:noProof/>
                <w:szCs w:val="24"/>
                <w:lang w:eastAsia="en-US"/>
              </w:rPr>
            </w:pPr>
            <w:r>
              <w:rPr>
                <w:rFonts w:eastAsia="Calibri"/>
                <w:b/>
                <w:i/>
                <w:szCs w:val="24"/>
                <w:lang w:eastAsia="en-US"/>
              </w:rPr>
              <w:t>*</w:t>
            </w:r>
          </w:p>
        </w:tc>
        <w:tc>
          <w:tcPr>
            <w:tcW w:w="1278" w:type="dxa"/>
            <w:gridSpan w:val="2"/>
            <w:shd w:val="clear" w:color="auto" w:fill="auto"/>
            <w:tcMar>
              <w:left w:w="28" w:type="dxa"/>
              <w:right w:w="28" w:type="dxa"/>
            </w:tcMar>
          </w:tcPr>
          <w:p w14:paraId="34731915" w14:textId="77777777" w:rsidR="002709ED" w:rsidRDefault="00B2757B">
            <w:pPr>
              <w:widowControl/>
              <w:tabs>
                <w:tab w:val="left" w:pos="720"/>
              </w:tabs>
              <w:spacing w:before="120" w:after="120"/>
              <w:jc w:val="both"/>
              <w:rPr>
                <w:rFonts w:eastAsia="Calibri"/>
                <w:b/>
                <w:i/>
                <w:noProof/>
                <w:szCs w:val="24"/>
                <w:lang w:eastAsia="en-US"/>
              </w:rPr>
            </w:pPr>
            <w:r>
              <w:rPr>
                <w:rFonts w:eastAsia="Calibri"/>
                <w:b/>
                <w:i/>
                <w:szCs w:val="24"/>
                <w:lang w:eastAsia="en-US"/>
              </w:rPr>
              <w:t>*</w:t>
            </w:r>
          </w:p>
        </w:tc>
        <w:tc>
          <w:tcPr>
            <w:tcW w:w="1277" w:type="dxa"/>
            <w:gridSpan w:val="2"/>
            <w:shd w:val="clear" w:color="auto" w:fill="auto"/>
            <w:tcMar>
              <w:left w:w="28" w:type="dxa"/>
              <w:right w:w="28" w:type="dxa"/>
            </w:tcMar>
          </w:tcPr>
          <w:p w14:paraId="3E9619DD" w14:textId="77777777" w:rsidR="002709ED" w:rsidRDefault="00B2757B">
            <w:pPr>
              <w:widowControl/>
              <w:tabs>
                <w:tab w:val="left" w:pos="720"/>
              </w:tabs>
              <w:spacing w:before="120" w:after="120"/>
              <w:jc w:val="both"/>
              <w:rPr>
                <w:rFonts w:eastAsia="Calibri"/>
                <w:b/>
                <w:i/>
                <w:noProof/>
                <w:szCs w:val="24"/>
                <w:lang w:eastAsia="en-US"/>
              </w:rPr>
            </w:pPr>
            <w:r>
              <w:rPr>
                <w:rFonts w:eastAsia="Calibri"/>
                <w:b/>
                <w:i/>
                <w:szCs w:val="24"/>
                <w:lang w:eastAsia="en-US"/>
              </w:rPr>
              <w:t>*</w:t>
            </w:r>
          </w:p>
        </w:tc>
        <w:tc>
          <w:tcPr>
            <w:tcW w:w="1136" w:type="dxa"/>
            <w:gridSpan w:val="2"/>
            <w:shd w:val="clear" w:color="auto" w:fill="auto"/>
            <w:tcMar>
              <w:left w:w="28" w:type="dxa"/>
              <w:right w:w="28" w:type="dxa"/>
            </w:tcMar>
          </w:tcPr>
          <w:p w14:paraId="1F6B07F5" w14:textId="77777777" w:rsidR="002709ED" w:rsidRDefault="002709ED">
            <w:pPr>
              <w:widowControl/>
              <w:tabs>
                <w:tab w:val="left" w:pos="720"/>
              </w:tabs>
              <w:spacing w:before="120" w:after="120"/>
              <w:jc w:val="both"/>
              <w:rPr>
                <w:rFonts w:eastAsia="Calibri"/>
                <w:noProof/>
                <w:szCs w:val="24"/>
                <w:lang w:eastAsia="en-US"/>
              </w:rPr>
            </w:pPr>
          </w:p>
        </w:tc>
        <w:tc>
          <w:tcPr>
            <w:tcW w:w="1262" w:type="dxa"/>
            <w:tcMar>
              <w:left w:w="28" w:type="dxa"/>
              <w:right w:w="28" w:type="dxa"/>
            </w:tcMar>
          </w:tcPr>
          <w:p w14:paraId="681CFF38" w14:textId="77777777" w:rsidR="002709ED" w:rsidRDefault="002709ED">
            <w:pPr>
              <w:widowControl/>
              <w:tabs>
                <w:tab w:val="left" w:pos="720"/>
              </w:tabs>
              <w:spacing w:before="120" w:after="120"/>
              <w:jc w:val="both"/>
              <w:rPr>
                <w:rFonts w:eastAsia="Calibri"/>
                <w:noProof/>
                <w:sz w:val="22"/>
                <w:szCs w:val="22"/>
                <w:vertAlign w:val="superscript"/>
                <w:lang w:eastAsia="en-US"/>
              </w:rPr>
            </w:pPr>
          </w:p>
        </w:tc>
        <w:tc>
          <w:tcPr>
            <w:tcW w:w="1153" w:type="dxa"/>
            <w:gridSpan w:val="2"/>
            <w:tcMar>
              <w:left w:w="28" w:type="dxa"/>
              <w:right w:w="28" w:type="dxa"/>
            </w:tcMar>
          </w:tcPr>
          <w:p w14:paraId="3B77F08B" w14:textId="77777777" w:rsidR="002709ED" w:rsidRDefault="002709ED">
            <w:pPr>
              <w:widowControl/>
              <w:tabs>
                <w:tab w:val="left" w:pos="720"/>
              </w:tabs>
              <w:spacing w:before="120" w:after="120"/>
              <w:jc w:val="both"/>
              <w:rPr>
                <w:rFonts w:eastAsia="Calibri"/>
                <w:noProof/>
                <w:sz w:val="22"/>
                <w:szCs w:val="22"/>
                <w:vertAlign w:val="superscript"/>
                <w:lang w:eastAsia="en-US"/>
              </w:rPr>
            </w:pPr>
          </w:p>
        </w:tc>
        <w:tc>
          <w:tcPr>
            <w:tcW w:w="970" w:type="dxa"/>
            <w:tcMar>
              <w:left w:w="28" w:type="dxa"/>
              <w:right w:w="28" w:type="dxa"/>
            </w:tcMar>
          </w:tcPr>
          <w:p w14:paraId="0353DF3D" w14:textId="77777777" w:rsidR="002709ED" w:rsidRDefault="002709ED">
            <w:pPr>
              <w:widowControl/>
              <w:tabs>
                <w:tab w:val="left" w:pos="720"/>
              </w:tabs>
              <w:spacing w:before="120" w:after="120"/>
              <w:jc w:val="both"/>
              <w:rPr>
                <w:rFonts w:eastAsia="Calibri"/>
                <w:noProof/>
                <w:sz w:val="22"/>
                <w:szCs w:val="22"/>
                <w:vertAlign w:val="superscript"/>
                <w:lang w:eastAsia="en-US"/>
              </w:rPr>
            </w:pPr>
          </w:p>
        </w:tc>
      </w:tr>
      <w:tr w:rsidR="002709ED" w14:paraId="17965297" w14:textId="77777777">
        <w:trPr>
          <w:gridBefore w:val="1"/>
          <w:wBefore w:w="12" w:type="dxa"/>
          <w:cantSplit/>
          <w:tblHeader/>
          <w:jc w:val="center"/>
        </w:trPr>
        <w:tc>
          <w:tcPr>
            <w:tcW w:w="651" w:type="dxa"/>
            <w:gridSpan w:val="3"/>
            <w:tcMar>
              <w:left w:w="28" w:type="dxa"/>
              <w:right w:w="28" w:type="dxa"/>
            </w:tcMar>
          </w:tcPr>
          <w:p w14:paraId="194A9317" w14:textId="77777777" w:rsidR="002709ED" w:rsidRDefault="00B2757B">
            <w:pPr>
              <w:widowControl/>
              <w:tabs>
                <w:tab w:val="left" w:pos="720"/>
              </w:tabs>
              <w:spacing w:before="120" w:after="120"/>
              <w:jc w:val="both"/>
              <w:rPr>
                <w:rFonts w:eastAsia="Calibri"/>
                <w:b/>
                <w:noProof/>
                <w:szCs w:val="24"/>
                <w:lang w:eastAsia="en-US"/>
              </w:rPr>
            </w:pPr>
            <w:r>
              <w:rPr>
                <w:rFonts w:eastAsia="Calibri"/>
                <w:b/>
                <w:i/>
                <w:szCs w:val="24"/>
                <w:lang w:eastAsia="en-US"/>
              </w:rPr>
              <w:t xml:space="preserve">70b </w:t>
            </w:r>
            <w:r>
              <w:rPr>
                <w:rFonts w:eastAsia="Calibri"/>
                <w:b/>
                <w:szCs w:val="24"/>
                <w:lang w:eastAsia="en-US"/>
              </w:rPr>
              <w:t>[PN 153]</w:t>
            </w:r>
          </w:p>
        </w:tc>
        <w:tc>
          <w:tcPr>
            <w:tcW w:w="2286" w:type="dxa"/>
            <w:gridSpan w:val="3"/>
            <w:shd w:val="clear" w:color="auto" w:fill="auto"/>
            <w:tcMar>
              <w:left w:w="28" w:type="dxa"/>
              <w:right w:w="28" w:type="dxa"/>
            </w:tcMar>
          </w:tcPr>
          <w:p w14:paraId="5CF99CB7" w14:textId="77777777" w:rsidR="002709ED" w:rsidRDefault="00B2757B">
            <w:pPr>
              <w:widowControl/>
              <w:tabs>
                <w:tab w:val="left" w:pos="720"/>
              </w:tabs>
              <w:spacing w:before="120" w:after="120"/>
              <w:jc w:val="both"/>
              <w:rPr>
                <w:rFonts w:eastAsia="Calibri"/>
                <w:noProof/>
                <w:szCs w:val="24"/>
                <w:lang w:eastAsia="en-US"/>
              </w:rPr>
            </w:pPr>
            <w:r>
              <w:rPr>
                <w:rFonts w:eastAsia="Calibri"/>
                <w:b/>
                <w:i/>
                <w:szCs w:val="24"/>
                <w:lang w:eastAsia="en-US"/>
              </w:rPr>
              <w:t>PFAS – spolu</w:t>
            </w:r>
          </w:p>
        </w:tc>
        <w:tc>
          <w:tcPr>
            <w:tcW w:w="1329" w:type="dxa"/>
            <w:gridSpan w:val="3"/>
            <w:shd w:val="clear" w:color="auto" w:fill="auto"/>
            <w:tcMar>
              <w:left w:w="28" w:type="dxa"/>
              <w:right w:w="28" w:type="dxa"/>
            </w:tcMar>
          </w:tcPr>
          <w:p w14:paraId="6EFDFDA2" w14:textId="77777777" w:rsidR="002709ED" w:rsidRDefault="00B2757B">
            <w:pPr>
              <w:widowControl/>
              <w:tabs>
                <w:tab w:val="left" w:pos="720"/>
              </w:tabs>
              <w:spacing w:before="120" w:after="120"/>
              <w:jc w:val="both"/>
              <w:rPr>
                <w:rFonts w:eastAsia="Calibri"/>
                <w:noProof/>
                <w:szCs w:val="24"/>
                <w:lang w:eastAsia="en-US"/>
              </w:rPr>
            </w:pPr>
            <w:r>
              <w:rPr>
                <w:rFonts w:eastAsia="Calibri"/>
                <w:b/>
                <w:i/>
                <w:szCs w:val="24"/>
                <w:lang w:eastAsia="en-US"/>
              </w:rPr>
              <w:t>Priemyselné chemikálie</w:t>
            </w:r>
          </w:p>
        </w:tc>
        <w:tc>
          <w:tcPr>
            <w:tcW w:w="992" w:type="dxa"/>
            <w:gridSpan w:val="2"/>
            <w:shd w:val="clear" w:color="auto" w:fill="auto"/>
            <w:tcMar>
              <w:left w:w="28" w:type="dxa"/>
              <w:right w:w="28" w:type="dxa"/>
            </w:tcMar>
          </w:tcPr>
          <w:p w14:paraId="20F811EF" w14:textId="77777777" w:rsidR="002709ED" w:rsidRDefault="00B2757B">
            <w:pPr>
              <w:widowControl/>
              <w:tabs>
                <w:tab w:val="left" w:pos="720"/>
              </w:tabs>
              <w:spacing w:before="120" w:after="120"/>
              <w:jc w:val="both"/>
              <w:rPr>
                <w:rFonts w:eastAsia="Calibri"/>
                <w:noProof/>
                <w:szCs w:val="24"/>
                <w:lang w:eastAsia="en-US"/>
              </w:rPr>
            </w:pPr>
            <w:r>
              <w:rPr>
                <w:rFonts w:eastAsia="Calibri"/>
                <w:b/>
                <w:i/>
                <w:szCs w:val="24"/>
                <w:lang w:eastAsia="en-US"/>
              </w:rPr>
              <w:t>neuplatňuje sa</w:t>
            </w:r>
          </w:p>
        </w:tc>
        <w:tc>
          <w:tcPr>
            <w:tcW w:w="1134" w:type="dxa"/>
          </w:tcPr>
          <w:p w14:paraId="67D4CED2" w14:textId="77777777" w:rsidR="002709ED" w:rsidRDefault="00B2757B">
            <w:pPr>
              <w:widowControl/>
              <w:tabs>
                <w:tab w:val="left" w:pos="720"/>
              </w:tabs>
              <w:spacing w:before="120" w:after="120"/>
              <w:jc w:val="both"/>
              <w:rPr>
                <w:rFonts w:eastAsia="Calibri"/>
                <w:noProof/>
                <w:szCs w:val="24"/>
                <w:lang w:eastAsia="en-US"/>
              </w:rPr>
            </w:pPr>
            <w:r>
              <w:rPr>
                <w:rFonts w:eastAsia="Calibri"/>
                <w:b/>
                <w:i/>
                <w:szCs w:val="24"/>
                <w:lang w:eastAsia="en-US"/>
              </w:rPr>
              <w:t>neuplatňuje sa</w:t>
            </w:r>
          </w:p>
        </w:tc>
        <w:tc>
          <w:tcPr>
            <w:tcW w:w="1279" w:type="dxa"/>
            <w:gridSpan w:val="2"/>
            <w:shd w:val="clear" w:color="auto" w:fill="auto"/>
            <w:tcMar>
              <w:left w:w="28" w:type="dxa"/>
              <w:right w:w="28" w:type="dxa"/>
            </w:tcMar>
          </w:tcPr>
          <w:p w14:paraId="6A0F35B0" w14:textId="77777777" w:rsidR="002709ED" w:rsidRDefault="00B2757B">
            <w:pPr>
              <w:widowControl/>
              <w:tabs>
                <w:tab w:val="left" w:pos="720"/>
              </w:tabs>
              <w:spacing w:before="120" w:after="120"/>
              <w:jc w:val="both"/>
              <w:rPr>
                <w:rFonts w:eastAsia="Calibri"/>
                <w:b/>
                <w:i/>
                <w:noProof/>
                <w:szCs w:val="24"/>
                <w:lang w:eastAsia="en-US"/>
              </w:rPr>
            </w:pPr>
            <w:r>
              <w:rPr>
                <w:rFonts w:eastAsia="Calibri"/>
                <w:b/>
                <w:i/>
                <w:szCs w:val="24"/>
                <w:lang w:eastAsia="en-US"/>
              </w:rPr>
              <w:t>*</w:t>
            </w:r>
          </w:p>
        </w:tc>
        <w:tc>
          <w:tcPr>
            <w:tcW w:w="1279" w:type="dxa"/>
            <w:gridSpan w:val="2"/>
            <w:shd w:val="clear" w:color="auto" w:fill="auto"/>
            <w:tcMar>
              <w:left w:w="28" w:type="dxa"/>
              <w:right w:w="28" w:type="dxa"/>
            </w:tcMar>
          </w:tcPr>
          <w:p w14:paraId="648B9440" w14:textId="77777777" w:rsidR="002709ED" w:rsidRDefault="00B2757B">
            <w:pPr>
              <w:widowControl/>
              <w:tabs>
                <w:tab w:val="left" w:pos="720"/>
              </w:tabs>
              <w:spacing w:before="120" w:after="120"/>
              <w:jc w:val="both"/>
              <w:rPr>
                <w:rFonts w:eastAsia="Calibri"/>
                <w:b/>
                <w:i/>
                <w:noProof/>
                <w:szCs w:val="24"/>
                <w:lang w:eastAsia="en-US"/>
              </w:rPr>
            </w:pPr>
            <w:r>
              <w:rPr>
                <w:rFonts w:eastAsia="Calibri"/>
                <w:b/>
                <w:i/>
                <w:szCs w:val="24"/>
                <w:lang w:eastAsia="en-US"/>
              </w:rPr>
              <w:t>*</w:t>
            </w:r>
          </w:p>
        </w:tc>
        <w:tc>
          <w:tcPr>
            <w:tcW w:w="1278" w:type="dxa"/>
            <w:gridSpan w:val="2"/>
            <w:shd w:val="clear" w:color="auto" w:fill="auto"/>
            <w:tcMar>
              <w:left w:w="28" w:type="dxa"/>
              <w:right w:w="28" w:type="dxa"/>
            </w:tcMar>
          </w:tcPr>
          <w:p w14:paraId="59C349FE" w14:textId="77777777" w:rsidR="002709ED" w:rsidRDefault="00B2757B">
            <w:pPr>
              <w:widowControl/>
              <w:tabs>
                <w:tab w:val="left" w:pos="720"/>
              </w:tabs>
              <w:spacing w:before="120" w:after="120"/>
              <w:jc w:val="both"/>
              <w:rPr>
                <w:rFonts w:eastAsia="Calibri"/>
                <w:b/>
                <w:i/>
                <w:noProof/>
                <w:szCs w:val="24"/>
                <w:lang w:eastAsia="en-US"/>
              </w:rPr>
            </w:pPr>
            <w:r>
              <w:rPr>
                <w:rFonts w:eastAsia="Calibri"/>
                <w:b/>
                <w:i/>
                <w:szCs w:val="24"/>
                <w:lang w:eastAsia="en-US"/>
              </w:rPr>
              <w:t>*</w:t>
            </w:r>
          </w:p>
        </w:tc>
        <w:tc>
          <w:tcPr>
            <w:tcW w:w="1277" w:type="dxa"/>
            <w:gridSpan w:val="2"/>
            <w:shd w:val="clear" w:color="auto" w:fill="auto"/>
            <w:tcMar>
              <w:left w:w="28" w:type="dxa"/>
              <w:right w:w="28" w:type="dxa"/>
            </w:tcMar>
          </w:tcPr>
          <w:p w14:paraId="33FA80F2" w14:textId="77777777" w:rsidR="002709ED" w:rsidRDefault="00B2757B">
            <w:pPr>
              <w:widowControl/>
              <w:tabs>
                <w:tab w:val="left" w:pos="720"/>
              </w:tabs>
              <w:spacing w:before="120" w:after="120"/>
              <w:jc w:val="both"/>
              <w:rPr>
                <w:rFonts w:eastAsia="Calibri"/>
                <w:b/>
                <w:i/>
                <w:noProof/>
                <w:szCs w:val="24"/>
                <w:lang w:eastAsia="en-US"/>
              </w:rPr>
            </w:pPr>
            <w:r>
              <w:rPr>
                <w:rFonts w:eastAsia="Calibri"/>
                <w:b/>
                <w:i/>
                <w:szCs w:val="24"/>
                <w:lang w:eastAsia="en-US"/>
              </w:rPr>
              <w:t>*</w:t>
            </w:r>
          </w:p>
        </w:tc>
        <w:tc>
          <w:tcPr>
            <w:tcW w:w="1136" w:type="dxa"/>
            <w:gridSpan w:val="2"/>
            <w:shd w:val="clear" w:color="auto" w:fill="auto"/>
            <w:tcMar>
              <w:left w:w="28" w:type="dxa"/>
              <w:right w:w="28" w:type="dxa"/>
            </w:tcMar>
          </w:tcPr>
          <w:p w14:paraId="2C319E6E" w14:textId="77777777" w:rsidR="002709ED" w:rsidRDefault="002709ED">
            <w:pPr>
              <w:widowControl/>
              <w:tabs>
                <w:tab w:val="left" w:pos="720"/>
              </w:tabs>
              <w:spacing w:before="120" w:after="120"/>
              <w:jc w:val="both"/>
              <w:rPr>
                <w:rFonts w:eastAsia="Calibri"/>
                <w:noProof/>
                <w:szCs w:val="24"/>
                <w:lang w:eastAsia="en-US"/>
              </w:rPr>
            </w:pPr>
          </w:p>
        </w:tc>
        <w:tc>
          <w:tcPr>
            <w:tcW w:w="1262" w:type="dxa"/>
            <w:tcMar>
              <w:left w:w="28" w:type="dxa"/>
              <w:right w:w="28" w:type="dxa"/>
            </w:tcMar>
          </w:tcPr>
          <w:p w14:paraId="0697A5A0" w14:textId="77777777" w:rsidR="002709ED" w:rsidRDefault="002709ED">
            <w:pPr>
              <w:widowControl/>
              <w:tabs>
                <w:tab w:val="left" w:pos="720"/>
              </w:tabs>
              <w:spacing w:before="120" w:after="120"/>
              <w:jc w:val="both"/>
              <w:rPr>
                <w:rFonts w:eastAsia="Calibri"/>
                <w:noProof/>
                <w:szCs w:val="24"/>
                <w:vertAlign w:val="superscript"/>
                <w:lang w:eastAsia="en-US"/>
              </w:rPr>
            </w:pPr>
          </w:p>
        </w:tc>
        <w:tc>
          <w:tcPr>
            <w:tcW w:w="1153" w:type="dxa"/>
            <w:gridSpan w:val="2"/>
            <w:tcMar>
              <w:left w:w="28" w:type="dxa"/>
              <w:right w:w="28" w:type="dxa"/>
            </w:tcMar>
          </w:tcPr>
          <w:p w14:paraId="02B99F6E" w14:textId="77777777" w:rsidR="002709ED" w:rsidRDefault="002709ED">
            <w:pPr>
              <w:widowControl/>
              <w:tabs>
                <w:tab w:val="left" w:pos="720"/>
              </w:tabs>
              <w:spacing w:before="120" w:after="120"/>
              <w:jc w:val="both"/>
              <w:rPr>
                <w:rFonts w:eastAsia="Calibri"/>
                <w:noProof/>
                <w:sz w:val="22"/>
                <w:szCs w:val="22"/>
                <w:vertAlign w:val="superscript"/>
                <w:lang w:eastAsia="en-US"/>
              </w:rPr>
            </w:pPr>
          </w:p>
        </w:tc>
        <w:tc>
          <w:tcPr>
            <w:tcW w:w="970" w:type="dxa"/>
            <w:tcMar>
              <w:left w:w="28" w:type="dxa"/>
              <w:right w:w="28" w:type="dxa"/>
            </w:tcMar>
          </w:tcPr>
          <w:p w14:paraId="2625EA32" w14:textId="77777777" w:rsidR="002709ED" w:rsidRDefault="002709ED">
            <w:pPr>
              <w:widowControl/>
              <w:tabs>
                <w:tab w:val="left" w:pos="720"/>
              </w:tabs>
              <w:spacing w:before="120" w:after="120"/>
              <w:jc w:val="both"/>
              <w:rPr>
                <w:rFonts w:eastAsia="Calibri"/>
                <w:noProof/>
                <w:sz w:val="22"/>
                <w:szCs w:val="22"/>
                <w:vertAlign w:val="superscript"/>
                <w:lang w:eastAsia="en-US"/>
              </w:rPr>
            </w:pPr>
          </w:p>
        </w:tc>
      </w:tr>
      <w:tr w:rsidR="002709ED" w14:paraId="7282C4B6" w14:textId="77777777">
        <w:trPr>
          <w:gridBefore w:val="1"/>
          <w:wBefore w:w="12" w:type="dxa"/>
          <w:cantSplit/>
          <w:tblHeader/>
          <w:jc w:val="center"/>
        </w:trPr>
        <w:tc>
          <w:tcPr>
            <w:tcW w:w="651" w:type="dxa"/>
            <w:gridSpan w:val="3"/>
            <w:tcMar>
              <w:left w:w="28" w:type="dxa"/>
              <w:right w:w="28" w:type="dxa"/>
            </w:tcMar>
          </w:tcPr>
          <w:p w14:paraId="7CEB2DD7" w14:textId="77777777" w:rsidR="002709ED" w:rsidRDefault="00B2757B">
            <w:pPr>
              <w:widowControl/>
              <w:tabs>
                <w:tab w:val="left" w:pos="720"/>
              </w:tabs>
              <w:spacing w:before="120" w:after="120"/>
              <w:jc w:val="both"/>
              <w:rPr>
                <w:rFonts w:eastAsia="Calibri"/>
                <w:b/>
                <w:noProof/>
                <w:szCs w:val="24"/>
                <w:lang w:eastAsia="en-US"/>
              </w:rPr>
            </w:pPr>
            <w:r>
              <w:rPr>
                <w:rFonts w:eastAsia="Calibri"/>
                <w:b/>
                <w:i/>
                <w:szCs w:val="24"/>
                <w:lang w:eastAsia="en-US"/>
              </w:rPr>
              <w:t>70c</w:t>
            </w:r>
            <w:r>
              <w:rPr>
                <w:rFonts w:eastAsia="Calibri"/>
                <w:b/>
                <w:szCs w:val="24"/>
                <w:lang w:eastAsia="en-US"/>
              </w:rPr>
              <w:t xml:space="preserve"> [PN 154]</w:t>
            </w:r>
          </w:p>
        </w:tc>
        <w:tc>
          <w:tcPr>
            <w:tcW w:w="2286" w:type="dxa"/>
            <w:gridSpan w:val="3"/>
            <w:shd w:val="clear" w:color="auto" w:fill="auto"/>
            <w:tcMar>
              <w:left w:w="28" w:type="dxa"/>
              <w:right w:w="28" w:type="dxa"/>
            </w:tcMar>
          </w:tcPr>
          <w:p w14:paraId="654A79C7" w14:textId="77777777" w:rsidR="002709ED" w:rsidRDefault="00B2757B">
            <w:pPr>
              <w:widowControl/>
              <w:tabs>
                <w:tab w:val="left" w:pos="720"/>
              </w:tabs>
              <w:spacing w:before="120" w:after="120"/>
              <w:jc w:val="both"/>
              <w:rPr>
                <w:rFonts w:eastAsia="Calibri"/>
                <w:noProof/>
                <w:szCs w:val="24"/>
                <w:lang w:eastAsia="en-US"/>
              </w:rPr>
            </w:pPr>
            <w:r>
              <w:rPr>
                <w:rFonts w:eastAsia="Calibri"/>
                <w:b/>
                <w:i/>
                <w:szCs w:val="24"/>
                <w:lang w:eastAsia="en-US"/>
              </w:rPr>
              <w:t>Farmaceutické účinné látky – spolu (8)</w:t>
            </w:r>
          </w:p>
        </w:tc>
        <w:tc>
          <w:tcPr>
            <w:tcW w:w="1329" w:type="dxa"/>
            <w:gridSpan w:val="3"/>
            <w:shd w:val="clear" w:color="auto" w:fill="auto"/>
            <w:tcMar>
              <w:left w:w="28" w:type="dxa"/>
              <w:right w:w="28" w:type="dxa"/>
            </w:tcMar>
          </w:tcPr>
          <w:p w14:paraId="752EBE0D" w14:textId="77777777" w:rsidR="002709ED" w:rsidRDefault="00B2757B">
            <w:pPr>
              <w:widowControl/>
              <w:tabs>
                <w:tab w:val="left" w:pos="720"/>
              </w:tabs>
              <w:spacing w:before="120" w:after="120"/>
              <w:jc w:val="both"/>
              <w:rPr>
                <w:rFonts w:eastAsia="Calibri"/>
                <w:noProof/>
                <w:szCs w:val="24"/>
                <w:lang w:eastAsia="en-US"/>
              </w:rPr>
            </w:pPr>
            <w:r>
              <w:rPr>
                <w:rFonts w:eastAsia="Calibri"/>
                <w:b/>
                <w:i/>
                <w:szCs w:val="24"/>
                <w:lang w:eastAsia="en-US"/>
              </w:rPr>
              <w:t>lieky</w:t>
            </w:r>
          </w:p>
        </w:tc>
        <w:tc>
          <w:tcPr>
            <w:tcW w:w="992" w:type="dxa"/>
            <w:gridSpan w:val="2"/>
            <w:shd w:val="clear" w:color="auto" w:fill="auto"/>
            <w:tcMar>
              <w:left w:w="28" w:type="dxa"/>
              <w:right w:w="28" w:type="dxa"/>
            </w:tcMar>
          </w:tcPr>
          <w:p w14:paraId="1D3DF51B" w14:textId="77777777" w:rsidR="002709ED" w:rsidRDefault="00B2757B">
            <w:pPr>
              <w:widowControl/>
              <w:tabs>
                <w:tab w:val="left" w:pos="720"/>
              </w:tabs>
              <w:spacing w:before="120" w:after="120"/>
              <w:jc w:val="both"/>
              <w:rPr>
                <w:rFonts w:eastAsia="Calibri"/>
                <w:noProof/>
                <w:szCs w:val="24"/>
                <w:lang w:eastAsia="en-US"/>
              </w:rPr>
            </w:pPr>
            <w:r>
              <w:rPr>
                <w:rFonts w:eastAsia="Calibri"/>
                <w:b/>
                <w:i/>
                <w:szCs w:val="24"/>
                <w:lang w:eastAsia="en-US"/>
              </w:rPr>
              <w:t>neuplatňuje sa</w:t>
            </w:r>
          </w:p>
        </w:tc>
        <w:tc>
          <w:tcPr>
            <w:tcW w:w="1134" w:type="dxa"/>
          </w:tcPr>
          <w:p w14:paraId="6CF0D45D" w14:textId="77777777" w:rsidR="002709ED" w:rsidRDefault="00B2757B">
            <w:pPr>
              <w:widowControl/>
              <w:tabs>
                <w:tab w:val="left" w:pos="720"/>
              </w:tabs>
              <w:spacing w:before="120" w:after="120"/>
              <w:jc w:val="both"/>
              <w:rPr>
                <w:rFonts w:eastAsia="Calibri"/>
                <w:noProof/>
                <w:szCs w:val="24"/>
                <w:lang w:eastAsia="en-US"/>
              </w:rPr>
            </w:pPr>
            <w:r>
              <w:rPr>
                <w:rFonts w:eastAsia="Calibri"/>
                <w:b/>
                <w:i/>
                <w:szCs w:val="24"/>
                <w:lang w:eastAsia="en-US"/>
              </w:rPr>
              <w:t>neuplatňuje sa</w:t>
            </w:r>
          </w:p>
        </w:tc>
        <w:tc>
          <w:tcPr>
            <w:tcW w:w="1279" w:type="dxa"/>
            <w:gridSpan w:val="2"/>
            <w:shd w:val="clear" w:color="auto" w:fill="auto"/>
            <w:tcMar>
              <w:left w:w="28" w:type="dxa"/>
              <w:right w:w="28" w:type="dxa"/>
            </w:tcMar>
          </w:tcPr>
          <w:p w14:paraId="6E0FDF88" w14:textId="77777777" w:rsidR="002709ED" w:rsidRDefault="00B2757B">
            <w:pPr>
              <w:widowControl/>
              <w:tabs>
                <w:tab w:val="left" w:pos="720"/>
              </w:tabs>
              <w:spacing w:before="120" w:after="120"/>
              <w:jc w:val="both"/>
              <w:rPr>
                <w:rFonts w:eastAsia="Calibri"/>
                <w:b/>
                <w:i/>
                <w:noProof/>
                <w:szCs w:val="24"/>
                <w:lang w:eastAsia="en-US"/>
              </w:rPr>
            </w:pPr>
            <w:r>
              <w:rPr>
                <w:rFonts w:eastAsia="Calibri"/>
                <w:b/>
                <w:i/>
                <w:szCs w:val="24"/>
                <w:lang w:eastAsia="en-US"/>
              </w:rPr>
              <w:t>0,25</w:t>
            </w:r>
          </w:p>
        </w:tc>
        <w:tc>
          <w:tcPr>
            <w:tcW w:w="1279" w:type="dxa"/>
            <w:gridSpan w:val="2"/>
            <w:shd w:val="clear" w:color="auto" w:fill="auto"/>
            <w:tcMar>
              <w:left w:w="28" w:type="dxa"/>
              <w:right w:w="28" w:type="dxa"/>
            </w:tcMar>
          </w:tcPr>
          <w:p w14:paraId="71FF4609" w14:textId="77777777" w:rsidR="002709ED" w:rsidRDefault="00B2757B">
            <w:pPr>
              <w:widowControl/>
              <w:tabs>
                <w:tab w:val="left" w:pos="720"/>
              </w:tabs>
              <w:spacing w:before="120" w:after="120"/>
              <w:jc w:val="both"/>
              <w:rPr>
                <w:rFonts w:eastAsia="Calibri"/>
                <w:b/>
                <w:i/>
                <w:noProof/>
                <w:szCs w:val="24"/>
                <w:lang w:eastAsia="en-US"/>
              </w:rPr>
            </w:pPr>
            <w:r>
              <w:rPr>
                <w:rFonts w:eastAsia="Calibri"/>
                <w:b/>
                <w:i/>
                <w:szCs w:val="24"/>
                <w:lang w:eastAsia="en-US"/>
              </w:rPr>
              <w:t>0,025</w:t>
            </w:r>
          </w:p>
        </w:tc>
        <w:tc>
          <w:tcPr>
            <w:tcW w:w="1278" w:type="dxa"/>
            <w:gridSpan w:val="2"/>
            <w:shd w:val="clear" w:color="auto" w:fill="auto"/>
            <w:tcMar>
              <w:left w:w="28" w:type="dxa"/>
              <w:right w:w="28" w:type="dxa"/>
            </w:tcMar>
          </w:tcPr>
          <w:p w14:paraId="692EBB2E" w14:textId="77777777" w:rsidR="002709ED" w:rsidRDefault="002709ED">
            <w:pPr>
              <w:widowControl/>
              <w:tabs>
                <w:tab w:val="left" w:pos="720"/>
              </w:tabs>
              <w:spacing w:before="120" w:after="120"/>
              <w:jc w:val="both"/>
              <w:rPr>
                <w:rFonts w:eastAsia="Calibri"/>
                <w:b/>
                <w:i/>
                <w:noProof/>
                <w:szCs w:val="24"/>
                <w:lang w:eastAsia="en-US"/>
              </w:rPr>
            </w:pPr>
          </w:p>
        </w:tc>
        <w:tc>
          <w:tcPr>
            <w:tcW w:w="1277" w:type="dxa"/>
            <w:gridSpan w:val="2"/>
            <w:shd w:val="clear" w:color="auto" w:fill="auto"/>
            <w:tcMar>
              <w:left w:w="28" w:type="dxa"/>
              <w:right w:w="28" w:type="dxa"/>
            </w:tcMar>
          </w:tcPr>
          <w:p w14:paraId="40CFD3EA" w14:textId="77777777" w:rsidR="002709ED" w:rsidRDefault="002709ED">
            <w:pPr>
              <w:widowControl/>
              <w:tabs>
                <w:tab w:val="left" w:pos="720"/>
              </w:tabs>
              <w:spacing w:before="120" w:after="120"/>
              <w:jc w:val="both"/>
              <w:rPr>
                <w:rFonts w:eastAsia="Calibri"/>
                <w:b/>
                <w:i/>
                <w:noProof/>
                <w:szCs w:val="24"/>
                <w:lang w:eastAsia="en-US"/>
              </w:rPr>
            </w:pPr>
          </w:p>
        </w:tc>
        <w:tc>
          <w:tcPr>
            <w:tcW w:w="1136" w:type="dxa"/>
            <w:gridSpan w:val="2"/>
            <w:shd w:val="clear" w:color="auto" w:fill="auto"/>
            <w:tcMar>
              <w:left w:w="28" w:type="dxa"/>
              <w:right w:w="28" w:type="dxa"/>
            </w:tcMar>
          </w:tcPr>
          <w:p w14:paraId="000189AF" w14:textId="77777777" w:rsidR="002709ED" w:rsidRDefault="002709ED">
            <w:pPr>
              <w:widowControl/>
              <w:tabs>
                <w:tab w:val="left" w:pos="720"/>
              </w:tabs>
              <w:spacing w:before="120" w:after="120"/>
              <w:jc w:val="both"/>
              <w:rPr>
                <w:rFonts w:eastAsia="Calibri"/>
                <w:noProof/>
                <w:szCs w:val="24"/>
                <w:lang w:eastAsia="en-US"/>
              </w:rPr>
            </w:pPr>
          </w:p>
        </w:tc>
        <w:tc>
          <w:tcPr>
            <w:tcW w:w="1262" w:type="dxa"/>
            <w:tcMar>
              <w:left w:w="28" w:type="dxa"/>
              <w:right w:w="28" w:type="dxa"/>
            </w:tcMar>
          </w:tcPr>
          <w:p w14:paraId="560BB199" w14:textId="77777777" w:rsidR="002709ED" w:rsidRDefault="002709ED">
            <w:pPr>
              <w:widowControl/>
              <w:tabs>
                <w:tab w:val="left" w:pos="720"/>
              </w:tabs>
              <w:spacing w:before="120" w:after="120"/>
              <w:jc w:val="both"/>
              <w:rPr>
                <w:rFonts w:eastAsia="Calibri"/>
                <w:noProof/>
                <w:sz w:val="22"/>
                <w:szCs w:val="22"/>
                <w:vertAlign w:val="superscript"/>
                <w:lang w:eastAsia="en-US"/>
              </w:rPr>
            </w:pPr>
          </w:p>
        </w:tc>
        <w:tc>
          <w:tcPr>
            <w:tcW w:w="1153" w:type="dxa"/>
            <w:gridSpan w:val="2"/>
            <w:tcMar>
              <w:left w:w="28" w:type="dxa"/>
              <w:right w:w="28" w:type="dxa"/>
            </w:tcMar>
          </w:tcPr>
          <w:p w14:paraId="19A92F2D" w14:textId="77777777" w:rsidR="002709ED" w:rsidRDefault="002709ED">
            <w:pPr>
              <w:widowControl/>
              <w:tabs>
                <w:tab w:val="left" w:pos="720"/>
              </w:tabs>
              <w:spacing w:before="120" w:after="120"/>
              <w:jc w:val="both"/>
              <w:rPr>
                <w:rFonts w:eastAsia="Calibri"/>
                <w:noProof/>
                <w:sz w:val="22"/>
                <w:szCs w:val="22"/>
                <w:vertAlign w:val="superscript"/>
                <w:lang w:eastAsia="en-US"/>
              </w:rPr>
            </w:pPr>
          </w:p>
        </w:tc>
        <w:tc>
          <w:tcPr>
            <w:tcW w:w="970" w:type="dxa"/>
            <w:tcMar>
              <w:left w:w="28" w:type="dxa"/>
              <w:right w:w="28" w:type="dxa"/>
            </w:tcMar>
          </w:tcPr>
          <w:p w14:paraId="0A83849A" w14:textId="77777777" w:rsidR="002709ED" w:rsidRDefault="002709ED">
            <w:pPr>
              <w:widowControl/>
              <w:tabs>
                <w:tab w:val="left" w:pos="720"/>
              </w:tabs>
              <w:spacing w:before="120" w:after="120"/>
              <w:jc w:val="both"/>
              <w:rPr>
                <w:rFonts w:eastAsia="Calibri"/>
                <w:noProof/>
                <w:sz w:val="22"/>
                <w:szCs w:val="22"/>
                <w:vertAlign w:val="superscript"/>
                <w:lang w:eastAsia="en-US"/>
              </w:rPr>
            </w:pPr>
          </w:p>
        </w:tc>
      </w:tr>
    </w:tbl>
    <w:p w14:paraId="1DC15FDF" w14:textId="77777777" w:rsidR="002709ED" w:rsidRDefault="00B2757B">
      <w:pPr>
        <w:spacing w:before="120" w:after="120" w:line="360" w:lineRule="auto"/>
        <w:rPr>
          <w:b/>
          <w:i/>
          <w:szCs w:val="24"/>
          <w:lang w:val="en-GB" w:eastAsia="en-US"/>
        </w:rPr>
        <w:sectPr w:rsidR="002709ED">
          <w:footnotePr>
            <w:numRestart w:val="eachSect"/>
          </w:footnotePr>
          <w:pgSz w:w="16834" w:h="11909" w:orient="landscape"/>
          <w:pgMar w:top="1417" w:right="1134" w:bottom="1417" w:left="1417" w:header="1134" w:footer="567" w:gutter="0"/>
          <w:cols w:space="720"/>
          <w:docGrid w:linePitch="326"/>
        </w:sectPr>
      </w:pPr>
      <w:r>
        <w:rPr>
          <w:b/>
          <w:i/>
          <w:szCs w:val="24"/>
          <w:lang w:val="en-GB" w:eastAsia="en-US"/>
        </w:rPr>
        <w:t>*</w:t>
      </w:r>
      <w:r w:rsidR="00F652FA">
        <w:rPr>
          <w:b/>
          <w:i/>
          <w:szCs w:val="24"/>
          <w:lang w:val="en-GB" w:eastAsia="en-US"/>
        </w:rPr>
        <w:t xml:space="preserve"> </w:t>
      </w:r>
      <w:r w:rsidRPr="00C100E9">
        <w:rPr>
          <w:b/>
          <w:i/>
          <w:szCs w:val="24"/>
          <w:lang w:eastAsia="en-US"/>
        </w:rPr>
        <w:t>Normy kvality stanoví Komisia delegovaným aktom</w:t>
      </w:r>
      <w:r>
        <w:rPr>
          <w:b/>
          <w:i/>
          <w:szCs w:val="24"/>
          <w:lang w:val="en-GB" w:eastAsia="en-US"/>
        </w:rPr>
        <w:t>.</w:t>
      </w:r>
    </w:p>
    <w:p w14:paraId="1E87BB44" w14:textId="77777777" w:rsidR="002709ED" w:rsidRDefault="002709ED">
      <w:pPr>
        <w:spacing w:before="120" w:after="120" w:line="360" w:lineRule="auto"/>
        <w:rPr>
          <w:noProof/>
          <w:szCs w:val="24"/>
          <w:lang w:val="en-GB" w:eastAsia="en-US"/>
        </w:rPr>
      </w:pPr>
    </w:p>
    <w:p w14:paraId="5827DD98" w14:textId="77777777" w:rsidR="002709ED" w:rsidRDefault="00B2757B">
      <w:pPr>
        <w:spacing w:before="120" w:after="120" w:line="360" w:lineRule="auto"/>
        <w:ind w:left="1416" w:hanging="566"/>
        <w:rPr>
          <w:szCs w:val="24"/>
          <w:lang w:eastAsia="en-US"/>
        </w:rPr>
      </w:pPr>
      <w:r w:rsidRPr="00C100E9">
        <w:rPr>
          <w:szCs w:val="24"/>
          <w:vertAlign w:val="superscript"/>
          <w:lang w:eastAsia="en-US"/>
        </w:rPr>
        <w:t>(1)</w:t>
      </w:r>
      <w:r>
        <w:rPr>
          <w:szCs w:val="24"/>
          <w:lang w:eastAsia="en-US"/>
        </w:rPr>
        <w:tab/>
        <w:t>CAS: služba CAS (Chemical Abstracts Service).</w:t>
      </w:r>
    </w:p>
    <w:p w14:paraId="0C6CEB69" w14:textId="77777777" w:rsidR="002709ED" w:rsidRDefault="00B2757B">
      <w:pPr>
        <w:spacing w:before="120" w:after="120" w:line="360" w:lineRule="auto"/>
        <w:ind w:left="1416" w:hanging="566"/>
        <w:rPr>
          <w:szCs w:val="24"/>
          <w:lang w:eastAsia="en-US"/>
        </w:rPr>
      </w:pPr>
      <w:r w:rsidRPr="00C100E9">
        <w:rPr>
          <w:szCs w:val="24"/>
          <w:vertAlign w:val="superscript"/>
          <w:lang w:eastAsia="en-US"/>
        </w:rPr>
        <w:t>(2)</w:t>
      </w:r>
      <w:r>
        <w:rPr>
          <w:szCs w:val="24"/>
          <w:lang w:eastAsia="en-US"/>
        </w:rPr>
        <w:tab/>
        <w:t>EÚ číslo: Európsky zoznam existujúcich komerčných chemických látok (EINECS) alebo Európsky zoznam nových chemických látok (ELINCS).</w:t>
      </w:r>
    </w:p>
    <w:p w14:paraId="498FD0CB" w14:textId="77777777" w:rsidR="002709ED" w:rsidRDefault="00B2757B">
      <w:pPr>
        <w:spacing w:before="120" w:after="120" w:line="360" w:lineRule="auto"/>
        <w:ind w:left="1416" w:hanging="566"/>
        <w:rPr>
          <w:szCs w:val="24"/>
          <w:lang w:eastAsia="en-US"/>
        </w:rPr>
      </w:pPr>
      <w:r w:rsidRPr="00C100E9">
        <w:rPr>
          <w:szCs w:val="24"/>
          <w:vertAlign w:val="superscript"/>
          <w:lang w:eastAsia="en-US"/>
        </w:rPr>
        <w:t>(3)</w:t>
      </w:r>
      <w:r>
        <w:rPr>
          <w:szCs w:val="24"/>
          <w:lang w:eastAsia="en-US"/>
        </w:rPr>
        <w:tab/>
        <w:t>Tento parameter predstavuje ENK vyjadrenú ako priemernú ročnú hodnotu (RP-ENK). Pokiaľ nie je uvedené inak, uplatňuje sa na celkovú koncentráciu všetkých látok a izomérov.</w:t>
      </w:r>
    </w:p>
    <w:p w14:paraId="2D49D7AF" w14:textId="77777777" w:rsidR="002709ED" w:rsidRDefault="00B2757B">
      <w:pPr>
        <w:spacing w:before="120" w:after="120" w:line="360" w:lineRule="auto"/>
        <w:ind w:left="1416" w:hanging="566"/>
        <w:rPr>
          <w:szCs w:val="24"/>
          <w:lang w:eastAsia="en-US"/>
        </w:rPr>
      </w:pPr>
      <w:r w:rsidRPr="00C100E9">
        <w:rPr>
          <w:szCs w:val="24"/>
          <w:vertAlign w:val="superscript"/>
          <w:lang w:eastAsia="en-US"/>
        </w:rPr>
        <w:t>(4)</w:t>
      </w:r>
      <w:r>
        <w:rPr>
          <w:szCs w:val="24"/>
          <w:lang w:eastAsia="en-US"/>
        </w:rPr>
        <w:tab/>
        <w:t>Vnútrozemské povrchové vody zahŕňajú rieky a jazerá a súvisiace umelé alebo výrazne zmenené vodné útvary.</w:t>
      </w:r>
    </w:p>
    <w:p w14:paraId="04E4298C" w14:textId="77777777" w:rsidR="002709ED" w:rsidRDefault="00B2757B">
      <w:pPr>
        <w:spacing w:before="120" w:after="120" w:line="360" w:lineRule="auto"/>
        <w:ind w:left="1416" w:hanging="566"/>
        <w:rPr>
          <w:szCs w:val="24"/>
          <w:lang w:eastAsia="en-US"/>
        </w:rPr>
      </w:pPr>
      <w:r w:rsidRPr="00C100E9">
        <w:rPr>
          <w:szCs w:val="24"/>
          <w:vertAlign w:val="superscript"/>
          <w:lang w:eastAsia="en-US"/>
        </w:rPr>
        <w:t>(5)</w:t>
      </w:r>
      <w:r>
        <w:rPr>
          <w:szCs w:val="24"/>
          <w:lang w:eastAsia="en-US"/>
        </w:rPr>
        <w:tab/>
        <w:t>Tento parameter predstavuje ENK vyjadrenú ako najvyššiu prípustnú koncentráciu (NPK ENK). Ak sa NPK ENK označuje výrazom „neuplatňuje sa“, hodnoty RP-ENK sa považujú za hodnoty, ktoré v prípade nepretržitého vypúšťania chránia pred krátkodobým najväčším znečistením, pretože sú výrazne nižšie ako hodnoty odvodené na základe akútnej toxicity.</w:t>
      </w:r>
    </w:p>
    <w:p w14:paraId="401A9296" w14:textId="77777777" w:rsidR="002709ED" w:rsidRDefault="00B2757B">
      <w:pPr>
        <w:spacing w:before="120" w:after="120" w:line="360" w:lineRule="auto"/>
        <w:ind w:left="1416" w:hanging="566"/>
        <w:rPr>
          <w:szCs w:val="24"/>
          <w:lang w:eastAsia="en-US"/>
        </w:rPr>
      </w:pPr>
      <w:r>
        <w:rPr>
          <w:szCs w:val="24"/>
          <w:lang w:eastAsia="en-US"/>
        </w:rPr>
        <w:br w:type="page"/>
      </w:r>
      <w:r w:rsidRPr="00C100E9">
        <w:rPr>
          <w:szCs w:val="24"/>
          <w:vertAlign w:val="superscript"/>
          <w:lang w:eastAsia="en-US"/>
        </w:rPr>
        <w:lastRenderedPageBreak/>
        <w:t>(6)</w:t>
      </w:r>
      <w:r>
        <w:rPr>
          <w:szCs w:val="24"/>
          <w:lang w:eastAsia="en-US"/>
        </w:rPr>
        <w:tab/>
        <w:t>Ak sa uvádza ENK pre biotu, uplatňuje sa namiesto ENK pre vodu, a to bez toho, aby bolo dotknuté ustanovenie článku 3 ods. 3 tejto smernice, ktoré umožňuje namiesto toho monitorovať alternatívny taxón bioty alebo inú matricu, pokiaľ uplatňovaná ENK poskytuje rovnocennú úroveň ochrany. Pokiaľ nie je uvedené inak, ENK pre biotu sa vzťahuje na ryby. V prípade látok uvedených pod číslami 15 (fluorantén), 28 (PAH) a 51 (bisfenol A) sa ENK pre biotu vzťahuje na kôrovce a mäkkýše. Monitorovanie fluoranténu a PAH a bisfenolu A v rybách nie je na účely posúdenia chemického stavu primerané. Pokiaľ ide o látky uvedené pod číslom 37 (dioxíny a dioxínom podobné zlúčeniny), ENK pre biotu sa vzťahuje na ryby, kôrovce a mäkkýše v súlade s oddielom 5.3 prílohy k nariadeniu Komisie (EÚ) č. 1259/2011*.</w:t>
      </w:r>
    </w:p>
    <w:p w14:paraId="56765D35" w14:textId="77777777" w:rsidR="002709ED" w:rsidRDefault="00B2757B">
      <w:pPr>
        <w:spacing w:before="120" w:after="120" w:line="360" w:lineRule="auto"/>
        <w:ind w:left="1416" w:hanging="566"/>
        <w:rPr>
          <w:szCs w:val="24"/>
          <w:lang w:eastAsia="en-US"/>
        </w:rPr>
      </w:pPr>
      <w:r w:rsidRPr="00C100E9">
        <w:rPr>
          <w:szCs w:val="24"/>
          <w:vertAlign w:val="superscript"/>
          <w:lang w:eastAsia="en-US"/>
        </w:rPr>
        <w:t>(7)</w:t>
      </w:r>
      <w:r>
        <w:rPr>
          <w:szCs w:val="24"/>
          <w:lang w:eastAsia="en-US"/>
        </w:rPr>
        <w:tab/>
        <w:t>Pokiaľ ide o skupinu prioritných látok zahrnutých v brómovaných difenyléteroch (č. 5), ENK sa vzťahujú na súčet koncentrácií kongenérov uvedených pod číslami 28, 47, 99, 100, 153 a 154.</w:t>
      </w:r>
    </w:p>
    <w:p w14:paraId="15E2967E" w14:textId="77777777" w:rsidR="002709ED" w:rsidRDefault="00B2757B">
      <w:pPr>
        <w:spacing w:before="120" w:after="120" w:line="360" w:lineRule="auto"/>
        <w:ind w:left="1416" w:hanging="566"/>
        <w:rPr>
          <w:szCs w:val="24"/>
          <w:lang w:eastAsia="en-US"/>
        </w:rPr>
      </w:pPr>
      <w:r>
        <w:rPr>
          <w:szCs w:val="24"/>
          <w:lang w:eastAsia="en-US"/>
        </w:rPr>
        <w:br w:type="page"/>
      </w:r>
      <w:r w:rsidRPr="00C100E9">
        <w:rPr>
          <w:szCs w:val="24"/>
          <w:vertAlign w:val="superscript"/>
          <w:lang w:eastAsia="en-US"/>
        </w:rPr>
        <w:lastRenderedPageBreak/>
        <w:t>(8)</w:t>
      </w:r>
      <w:r>
        <w:rPr>
          <w:szCs w:val="24"/>
          <w:lang w:eastAsia="en-US"/>
        </w:rPr>
        <w:tab/>
        <w:t>Tetra, penta, hexa, hepta, okta a dekabrómdifenyléter (CAS čísla 40088-47-9, 32534-81-9, 36483-60-0, 68928-80-3, 32536-52-0, 1163-19-5).</w:t>
      </w:r>
    </w:p>
    <w:p w14:paraId="30B42A41" w14:textId="77777777" w:rsidR="002709ED" w:rsidRDefault="00B2757B">
      <w:pPr>
        <w:spacing w:before="120" w:after="120" w:line="360" w:lineRule="auto"/>
        <w:ind w:left="1416" w:hanging="566"/>
        <w:rPr>
          <w:szCs w:val="24"/>
          <w:lang w:eastAsia="en-US"/>
        </w:rPr>
      </w:pPr>
      <w:r w:rsidRPr="00C100E9">
        <w:rPr>
          <w:szCs w:val="24"/>
          <w:vertAlign w:val="superscript"/>
          <w:lang w:eastAsia="en-US"/>
        </w:rPr>
        <w:t>(9)</w:t>
      </w:r>
      <w:r>
        <w:rPr>
          <w:szCs w:val="24"/>
          <w:lang w:eastAsia="en-US"/>
        </w:rPr>
        <w:tab/>
        <w:t>Pokiaľ ide o kadmium a jeho zlúčeniny (č. 6), hodnoty ENK kolíšu v závislosti od tvrdosti vody, ktorá je špecifikovaná pomocou piatich tried (trieda 1: &lt; 40 mg CaCO3/l, trieda 2: 40 až &lt; 50 mg CaCO3/l, trieda 3: 50 až &lt; 100 mg CaCO3/l, trieda 4: 100 až &lt; 200 mg CaCO3/l a trieda 5: ≥ 200 mg CaCO3/l).</w:t>
      </w:r>
    </w:p>
    <w:p w14:paraId="0AC5C839" w14:textId="77777777" w:rsidR="002709ED" w:rsidRDefault="00B2757B">
      <w:pPr>
        <w:spacing w:before="120" w:after="120" w:line="360" w:lineRule="auto"/>
        <w:ind w:left="1416" w:hanging="566"/>
        <w:rPr>
          <w:szCs w:val="24"/>
          <w:lang w:eastAsia="en-US"/>
        </w:rPr>
      </w:pPr>
      <w:r w:rsidRPr="00C100E9">
        <w:rPr>
          <w:szCs w:val="24"/>
          <w:vertAlign w:val="superscript"/>
          <w:lang w:eastAsia="en-US"/>
        </w:rPr>
        <w:t>(10)</w:t>
      </w:r>
      <w:r>
        <w:rPr>
          <w:szCs w:val="24"/>
          <w:lang w:eastAsia="en-US"/>
        </w:rPr>
        <w:tab/>
        <w:t>Pre túto skupinu látok sa neuvádza žiadny indikatívny ukazovateľ. Indikatívne ukazovatele sa musia vymedziť analytickou metódou.</w:t>
      </w:r>
    </w:p>
    <w:p w14:paraId="609EE68E" w14:textId="77777777" w:rsidR="002709ED" w:rsidRDefault="00B2757B">
      <w:pPr>
        <w:spacing w:before="120" w:after="120" w:line="360" w:lineRule="auto"/>
        <w:ind w:left="1416" w:hanging="566"/>
        <w:rPr>
          <w:szCs w:val="24"/>
          <w:lang w:eastAsia="en-US"/>
        </w:rPr>
      </w:pPr>
      <w:r w:rsidRPr="00C100E9">
        <w:rPr>
          <w:szCs w:val="24"/>
          <w:vertAlign w:val="superscript"/>
          <w:lang w:eastAsia="en-US"/>
        </w:rPr>
        <w:t>(11)</w:t>
      </w:r>
      <w:r>
        <w:rPr>
          <w:szCs w:val="24"/>
          <w:lang w:eastAsia="en-US"/>
        </w:rPr>
        <w:tab/>
        <w:t>Do celkového DDT patria spoločne izoméry 1,1,1-trichlór-2,2bis (p-chlórfenyl)etán (CAS 50-29-3; EÚ 200-024-3); 1,1,1-trichlór-2 (o-chlórfenyl)-2-(p-chlórfenyl)etán (CAS 789-02-6; EÚ 212-332-5); 1,1-dichlór-2,2bis (p-chlórfenyl)etylén (CAS 72-55-9; EÚ 200-784-6) a 1,1-dichlór-2,2bis (p-chlórfenyl)etán (CAS 72-54-8; EÚ 200-783-0).</w:t>
      </w:r>
    </w:p>
    <w:p w14:paraId="4AFFCA19" w14:textId="77777777" w:rsidR="002709ED" w:rsidRDefault="00B2757B">
      <w:pPr>
        <w:spacing w:before="120" w:after="120" w:line="360" w:lineRule="auto"/>
        <w:ind w:left="1416" w:hanging="566"/>
        <w:rPr>
          <w:szCs w:val="24"/>
          <w:lang w:eastAsia="en-US"/>
        </w:rPr>
      </w:pPr>
      <w:r w:rsidRPr="00C100E9">
        <w:rPr>
          <w:szCs w:val="24"/>
          <w:vertAlign w:val="superscript"/>
          <w:lang w:eastAsia="en-US"/>
        </w:rPr>
        <w:t>(12)</w:t>
      </w:r>
      <w:r>
        <w:rPr>
          <w:szCs w:val="24"/>
          <w:lang w:eastAsia="en-US"/>
        </w:rPr>
        <w:tab/>
        <w:t>Tieto ENK sa vzťahujú na biologicky dostupné koncentrácie látok.</w:t>
      </w:r>
    </w:p>
    <w:p w14:paraId="51F90C3B" w14:textId="77777777" w:rsidR="002709ED" w:rsidRDefault="00B2757B">
      <w:pPr>
        <w:spacing w:before="120" w:after="120" w:line="360" w:lineRule="auto"/>
        <w:ind w:left="1416" w:hanging="566"/>
        <w:rPr>
          <w:szCs w:val="24"/>
          <w:lang w:eastAsia="en-US"/>
        </w:rPr>
      </w:pPr>
      <w:r>
        <w:rPr>
          <w:szCs w:val="24"/>
          <w:lang w:eastAsia="en-US"/>
        </w:rPr>
        <w:br w:type="page"/>
      </w:r>
      <w:r w:rsidRPr="00C100E9">
        <w:rPr>
          <w:szCs w:val="24"/>
          <w:vertAlign w:val="superscript"/>
          <w:lang w:eastAsia="en-US"/>
        </w:rPr>
        <w:lastRenderedPageBreak/>
        <w:t>(13)</w:t>
      </w:r>
      <w:r>
        <w:rPr>
          <w:szCs w:val="24"/>
          <w:lang w:eastAsia="en-US"/>
        </w:rPr>
        <w:tab/>
        <w:t>ENK pre biotu sa vzťahuje na metylortuť.</w:t>
      </w:r>
    </w:p>
    <w:p w14:paraId="5A570388" w14:textId="77777777" w:rsidR="002709ED" w:rsidRDefault="00B2757B">
      <w:pPr>
        <w:spacing w:before="120" w:after="120" w:line="360" w:lineRule="auto"/>
        <w:ind w:left="1416" w:hanging="566"/>
        <w:rPr>
          <w:szCs w:val="24"/>
          <w:lang w:eastAsia="en-US"/>
        </w:rPr>
      </w:pPr>
      <w:r w:rsidRPr="00C100E9">
        <w:rPr>
          <w:szCs w:val="24"/>
          <w:vertAlign w:val="superscript"/>
          <w:lang w:eastAsia="en-US"/>
        </w:rPr>
        <w:t>(14)</w:t>
      </w:r>
      <w:r>
        <w:rPr>
          <w:szCs w:val="24"/>
          <w:lang w:eastAsia="en-US"/>
        </w:rPr>
        <w:tab/>
        <w:t>Nonylfenol (CAS 25154-52-3, EÚ 246-672-0) vrátane izomérov 4-nonylfenol (CAS 104-40-5, EÚ 203-199-4) a 4-nonylfenol (nonyl rozvetvený) (CAS 84852-15-3, EÚ 284-325-5).</w:t>
      </w:r>
    </w:p>
    <w:p w14:paraId="572F58EA" w14:textId="77777777" w:rsidR="002709ED" w:rsidRDefault="00B2757B">
      <w:pPr>
        <w:spacing w:before="120" w:after="120" w:line="360" w:lineRule="auto"/>
        <w:ind w:left="1416" w:hanging="566"/>
        <w:rPr>
          <w:szCs w:val="24"/>
          <w:lang w:eastAsia="en-US"/>
        </w:rPr>
      </w:pPr>
      <w:r w:rsidRPr="00C100E9">
        <w:rPr>
          <w:szCs w:val="24"/>
          <w:vertAlign w:val="superscript"/>
          <w:lang w:eastAsia="en-US"/>
        </w:rPr>
        <w:t>(15)</w:t>
      </w:r>
      <w:r>
        <w:rPr>
          <w:szCs w:val="24"/>
          <w:lang w:eastAsia="en-US"/>
        </w:rPr>
        <w:tab/>
        <w:t>Oktylfenol (CAS 1806-26-4, EÚ 217-302-5) vrátene izoméru 4-(1,1‘,3,3’-tetrametylbutyl)fenol (CAS 140-66-9, EÚ 205-426-2).</w:t>
      </w:r>
    </w:p>
    <w:p w14:paraId="4E72E10C" w14:textId="77777777" w:rsidR="002709ED" w:rsidRDefault="00B2757B">
      <w:pPr>
        <w:spacing w:before="120" w:after="120" w:line="360" w:lineRule="auto"/>
        <w:ind w:left="1416" w:hanging="566"/>
        <w:rPr>
          <w:szCs w:val="24"/>
          <w:lang w:eastAsia="en-US"/>
        </w:rPr>
      </w:pPr>
      <w:r w:rsidRPr="00C100E9">
        <w:rPr>
          <w:szCs w:val="24"/>
          <w:vertAlign w:val="superscript"/>
          <w:lang w:eastAsia="en-US"/>
        </w:rPr>
        <w:t>(16)</w:t>
      </w:r>
      <w:r>
        <w:rPr>
          <w:szCs w:val="24"/>
          <w:lang w:eastAsia="en-US"/>
        </w:rPr>
        <w:tab/>
        <w:t>Benzo(a)pyrén (CAS 50-32-8) (RPF 1), benzo(b)fluorantén (CAS 205-99-2) (RPF 0,1), benzo(k)fluorantén (CAS 207-08-9) (RPF 0,1), benzo(g,h,i)perylén (CAS 191-24-2) (RPF 0), indeno(1,2,3-cd)pyrén (CAS 193-39-5) (RPF 0,1), chryzén (CAS 218-01-9) (RPF 0,01), benzo(a)antracén (CAS 56-55-3) (RPF 0,1) a dibenz(a,h)antracén (CAS 53-70-3) (RPF 1). PAH antracén, fluorantén a naftalén sa uvádzajú osobitne.</w:t>
      </w:r>
    </w:p>
    <w:p w14:paraId="2830739C" w14:textId="77777777" w:rsidR="002709ED" w:rsidRDefault="00B2757B">
      <w:pPr>
        <w:spacing w:before="120" w:after="120" w:line="360" w:lineRule="auto"/>
        <w:ind w:left="1416" w:hanging="566"/>
        <w:rPr>
          <w:szCs w:val="24"/>
          <w:lang w:eastAsia="en-US"/>
        </w:rPr>
      </w:pPr>
      <w:r>
        <w:rPr>
          <w:szCs w:val="24"/>
          <w:lang w:eastAsia="en-US"/>
        </w:rPr>
        <w:br w:type="page"/>
      </w:r>
      <w:r w:rsidRPr="00C100E9">
        <w:rPr>
          <w:szCs w:val="24"/>
          <w:vertAlign w:val="superscript"/>
          <w:lang w:eastAsia="en-US"/>
        </w:rPr>
        <w:lastRenderedPageBreak/>
        <w:t>(17)</w:t>
      </w:r>
      <w:r>
        <w:rPr>
          <w:szCs w:val="24"/>
          <w:lang w:eastAsia="en-US"/>
        </w:rPr>
        <w:tab/>
        <w:t>V prípade skupiny polyaromatických uhľovodíkov (PAH) (č. 28) sa ENK pre biotu vzťahuje na súčet koncentrácií siedmich z ôsmich PAH uvedených v poznámke pod čiarou 17 vyjadrených ako ekvivalenty benzo(a)pyrénu na základe karcinogenity látok vo vzťahu k benzo(a)pyrénu, t. j. RPF v poznámke pod čiarou 16. Benzo(g,h,i)perylén sa na účely stanovenia súladu s celkovou ENK pre biotu nemusí v biote merať.</w:t>
      </w:r>
    </w:p>
    <w:p w14:paraId="65CFF0E0" w14:textId="77777777" w:rsidR="002709ED" w:rsidRDefault="00B2757B">
      <w:pPr>
        <w:spacing w:before="120" w:after="120" w:line="360" w:lineRule="auto"/>
        <w:ind w:left="1416" w:hanging="566"/>
        <w:rPr>
          <w:szCs w:val="24"/>
          <w:lang w:eastAsia="en-US"/>
        </w:rPr>
      </w:pPr>
      <w:r w:rsidRPr="00C100E9">
        <w:rPr>
          <w:szCs w:val="24"/>
          <w:vertAlign w:val="superscript"/>
          <w:lang w:eastAsia="en-US"/>
        </w:rPr>
        <w:t>(18)</w:t>
      </w:r>
      <w:r>
        <w:rPr>
          <w:szCs w:val="24"/>
          <w:lang w:eastAsia="en-US"/>
        </w:rPr>
        <w:tab/>
        <w:t>Zlúčeniny tributylínu vrátane katiónu tributylcínu (CAS 36643-28-4).</w:t>
      </w:r>
    </w:p>
    <w:p w14:paraId="7558ACF8" w14:textId="77777777" w:rsidR="002709ED" w:rsidRDefault="00B2757B">
      <w:pPr>
        <w:spacing w:before="120" w:after="120" w:line="360" w:lineRule="auto"/>
        <w:ind w:left="1416" w:hanging="566"/>
        <w:rPr>
          <w:szCs w:val="24"/>
          <w:lang w:eastAsia="en-US"/>
        </w:rPr>
      </w:pPr>
      <w:r w:rsidRPr="00C100E9">
        <w:rPr>
          <w:szCs w:val="24"/>
          <w:vertAlign w:val="superscript"/>
          <w:lang w:eastAsia="en-US"/>
        </w:rPr>
        <w:t>(19)</w:t>
      </w:r>
      <w:r>
        <w:rPr>
          <w:szCs w:val="24"/>
          <w:lang w:eastAsia="en-US"/>
        </w:rPr>
        <w:tab/>
        <w:t>ENK pre sediment.</w:t>
      </w:r>
    </w:p>
    <w:p w14:paraId="65F0A000" w14:textId="77777777" w:rsidR="002709ED" w:rsidRDefault="00B2757B">
      <w:pPr>
        <w:spacing w:before="120" w:after="120" w:line="360" w:lineRule="auto"/>
        <w:ind w:left="1416" w:hanging="566"/>
        <w:rPr>
          <w:szCs w:val="24"/>
          <w:lang w:eastAsia="en-US"/>
        </w:rPr>
      </w:pPr>
      <w:r w:rsidRPr="00C100E9">
        <w:rPr>
          <w:szCs w:val="24"/>
          <w:vertAlign w:val="superscript"/>
          <w:lang w:eastAsia="en-US"/>
        </w:rPr>
        <w:t>(20)</w:t>
      </w:r>
      <w:r>
        <w:rPr>
          <w:szCs w:val="24"/>
          <w:lang w:eastAsia="en-US"/>
        </w:rPr>
        <w:tab/>
        <w:t>Na stanovenie NPK-ENK pre tieto látky nie je k dispozícii dostatok informácií.</w:t>
      </w:r>
    </w:p>
    <w:p w14:paraId="5B370E38" w14:textId="77777777" w:rsidR="002709ED" w:rsidRDefault="00B2757B">
      <w:pPr>
        <w:spacing w:before="120" w:after="120" w:line="360" w:lineRule="auto"/>
        <w:ind w:left="1416" w:hanging="566"/>
        <w:rPr>
          <w:szCs w:val="24"/>
          <w:lang w:eastAsia="en-US"/>
        </w:rPr>
      </w:pPr>
      <w:r w:rsidRPr="00C100E9">
        <w:rPr>
          <w:szCs w:val="24"/>
          <w:vertAlign w:val="superscript"/>
          <w:lang w:eastAsia="en-US"/>
        </w:rPr>
        <w:t>(21)</w:t>
      </w:r>
      <w:r>
        <w:rPr>
          <w:szCs w:val="24"/>
          <w:lang w:eastAsia="en-US"/>
        </w:rPr>
        <w:tab/>
        <w:t>Ide o tieto zlúčeniny:</w:t>
      </w:r>
    </w:p>
    <w:p w14:paraId="6A295B99" w14:textId="77777777" w:rsidR="002709ED" w:rsidRDefault="00B2757B">
      <w:pPr>
        <w:spacing w:before="120" w:after="120" w:line="360" w:lineRule="auto"/>
        <w:ind w:left="1416"/>
        <w:rPr>
          <w:szCs w:val="24"/>
          <w:lang w:eastAsia="en-US"/>
        </w:rPr>
      </w:pPr>
      <w:r>
        <w:rPr>
          <w:szCs w:val="24"/>
          <w:lang w:eastAsia="en-US"/>
        </w:rPr>
        <w:tab/>
        <w:t>7 polychlórovaných dibenzo-p-dioxínov (PCDD): 2,3,7,8-T4CDD (CAS 1746-01-6, EÚ 217-122-7), 1,2,3,7,8-P5CDD (CAS 40321-76-4), 1,2,3,4,7,8-H6CDD (CAS 39227-28-6), 1,2,3,6,7,8-H6CDD (CAS 57653-85-7), 1,2,3,7,8,9-H6CDD (CAS 19408-74-3), 1,2,3,4,6,7,8-H7CDD (CAS 35822-46-9), 1,2,3,4,6,7,8,9-O8CDD (CAS 3268-87-9),</w:t>
      </w:r>
    </w:p>
    <w:p w14:paraId="4FABF3F1" w14:textId="77777777" w:rsidR="002709ED" w:rsidRDefault="00B2757B">
      <w:pPr>
        <w:spacing w:before="120" w:after="120" w:line="360" w:lineRule="auto"/>
        <w:ind w:left="1416"/>
        <w:rPr>
          <w:szCs w:val="24"/>
          <w:lang w:eastAsia="en-US"/>
        </w:rPr>
      </w:pPr>
      <w:r>
        <w:rPr>
          <w:szCs w:val="24"/>
          <w:lang w:eastAsia="en-US"/>
        </w:rPr>
        <w:br w:type="page"/>
      </w:r>
      <w:r>
        <w:rPr>
          <w:szCs w:val="24"/>
          <w:lang w:eastAsia="en-US"/>
        </w:rPr>
        <w:lastRenderedPageBreak/>
        <w:tab/>
        <w:t>10 polychlórovaných dibenzofuránov (PCDF): 2,3,7,8-T4CDF (CAS 51207-31-9), 1,2,3,7,8-P5CDF (CAS 57117-41-6), 2,3,4,7,8-P5CDF (CAS 57117-31-4), 1,2,3,4,7,8-H6CDF (CAS 70648-26-9), 1,2,3,6,7,8-H6CDF (CAS 57117-44-9), 1,2,3,7,8,9-H6CDF (CAS 72918-21-9), 2,3,4,6,7,8-H6CDF (CAS 60851-34-5), 1,2,3,4,6,7,8-H7CDF (CAS 67562-39-4), 1,2,3,4,7,8,9-H7CDF (CAS 55673-89-7), 1,2,3,4,6,7,8,9-O8CDF (CAS 39001-02-0),</w:t>
      </w:r>
    </w:p>
    <w:p w14:paraId="12BA4BF4" w14:textId="77777777" w:rsidR="002709ED" w:rsidRDefault="00B2757B">
      <w:pPr>
        <w:spacing w:before="120" w:after="120" w:line="360" w:lineRule="auto"/>
        <w:ind w:left="1416"/>
        <w:rPr>
          <w:szCs w:val="24"/>
          <w:lang w:eastAsia="en-US"/>
        </w:rPr>
      </w:pPr>
      <w:r>
        <w:rPr>
          <w:szCs w:val="24"/>
          <w:lang w:eastAsia="en-US"/>
        </w:rPr>
        <w:tab/>
        <w:t>12 dioxínom podobných polychlórovaných bifenylov (PCB-DL): 3,3’,4,4’-T4CB (PCB 77, CAS 32598-13-3), 3,3’,4’,5-T4CB (PCB 81, CAS 70362-50-4), 2,3,3',4,4'-P5CB (PCB 105, CAS 32598-14-4), 2,3,4,4',5-P5CB (PCB 114, CAS 74472-37-0), 2,3',4,4',5-P5CB (PCB 118, CAS 31508-00-6), 2,3',4,4',5'-P5CB (PCB 123, CAS 65510-44-3), 3,3’,4,4’,5-P5CB (PCB 126, CAS 57465-28-8), 2,3,3',4,4',5-H6CB (PCB 156, CAS 38380-08-4), 2,3,3',4,4',5'-H6CB (PCB 157, CAS 69782-90-7), 2,3',4,4',5,5'-H6CB (PCB 167, CAS 52663-72-6), 3,3’,4,4’,5,5’-H6CB (PCB 169, CAS 32774-16-6), 2,3,3',4,4',5,5'-H7CB (PCB 189, CAS 39635-31-9).</w:t>
      </w:r>
    </w:p>
    <w:p w14:paraId="10009C98" w14:textId="77777777" w:rsidR="002709ED" w:rsidRDefault="00B2757B">
      <w:pPr>
        <w:spacing w:before="120" w:after="120" w:line="360" w:lineRule="auto"/>
        <w:ind w:left="1416" w:hanging="566"/>
        <w:rPr>
          <w:szCs w:val="24"/>
          <w:lang w:eastAsia="en-US"/>
        </w:rPr>
      </w:pPr>
      <w:r>
        <w:rPr>
          <w:szCs w:val="24"/>
          <w:lang w:eastAsia="en-US"/>
        </w:rPr>
        <w:br w:type="page"/>
      </w:r>
      <w:r w:rsidRPr="00C100E9">
        <w:rPr>
          <w:szCs w:val="24"/>
          <w:vertAlign w:val="superscript"/>
          <w:lang w:eastAsia="en-US"/>
        </w:rPr>
        <w:lastRenderedPageBreak/>
        <w:t>(22)</w:t>
      </w:r>
      <w:r>
        <w:rPr>
          <w:szCs w:val="24"/>
          <w:lang w:eastAsia="en-US"/>
        </w:rPr>
        <w:tab/>
        <w:t>V prípade skupiny dioxínov a dioxínom podobných zlúčenín (č. 37) sa ENK pre biotu vzťahuje na súčet koncentrácií látok uvedených v poznámke pod čiarou 20 vyjadrených ako toxické ekvivalenty na základe faktorov toxickej ekvivalencie z roku 2005 podľa Svetovej zdravotníckej organizácie.</w:t>
      </w:r>
    </w:p>
    <w:p w14:paraId="02843B9B" w14:textId="77777777" w:rsidR="002709ED" w:rsidRDefault="00B2757B">
      <w:pPr>
        <w:spacing w:before="120" w:after="120" w:line="360" w:lineRule="auto"/>
        <w:ind w:left="1416" w:hanging="566"/>
        <w:rPr>
          <w:szCs w:val="24"/>
          <w:lang w:eastAsia="en-US"/>
        </w:rPr>
      </w:pPr>
      <w:r w:rsidRPr="00C100E9">
        <w:rPr>
          <w:szCs w:val="24"/>
          <w:vertAlign w:val="superscript"/>
          <w:lang w:eastAsia="en-US"/>
        </w:rPr>
        <w:t>(23)</w:t>
      </w:r>
      <w:r>
        <w:rPr>
          <w:szCs w:val="24"/>
          <w:lang w:eastAsia="en-US"/>
        </w:rPr>
        <w:tab/>
        <w:t>CAS 52315-07-8 odkazuje na zmes izomérov cypermetrínu, alfa-cypermetrínu (CAS 67375-30-8, EÚ 257-842-9), beta-cypermetrínu (CAS 65731-84-2, EÚ 265-898-0), theta-cypermetrínu (CAS 71691-59-1) a zeta-cypermetrínu (CAS 52315-07-8, EÚ 257-842-9).</w:t>
      </w:r>
    </w:p>
    <w:p w14:paraId="25EF4842" w14:textId="77777777" w:rsidR="002709ED" w:rsidRDefault="00B2757B">
      <w:pPr>
        <w:spacing w:before="120" w:after="120" w:line="360" w:lineRule="auto"/>
        <w:ind w:left="1416" w:hanging="566"/>
        <w:rPr>
          <w:szCs w:val="24"/>
          <w:lang w:eastAsia="en-US"/>
        </w:rPr>
      </w:pPr>
      <w:r w:rsidRPr="00C100E9">
        <w:rPr>
          <w:szCs w:val="24"/>
          <w:vertAlign w:val="superscript"/>
          <w:lang w:eastAsia="en-US"/>
        </w:rPr>
        <w:t>(24)</w:t>
      </w:r>
      <w:r>
        <w:rPr>
          <w:szCs w:val="24"/>
          <w:lang w:eastAsia="en-US"/>
        </w:rPr>
        <w:tab/>
        <w:t>Ide o odkaz na 1,3,5,7,9,11-hexabrómcyklododekán (CAS 25637-99-4, EÚ 247-148-4), 1,2,5,6,9,10-hexabrómcyklododekán (CAS 3194-55-6, EÚ 221-695-9), alfa-hexabrómcyklododekán (CAS 134237-50-6), beta-hexabrómcyklododekán (CAS 134237-51-7) a gama-hexabrómcyklododekán (CAS 134237-52-8).</w:t>
      </w:r>
    </w:p>
    <w:p w14:paraId="67B3C020" w14:textId="77777777" w:rsidR="002709ED" w:rsidRDefault="00B2757B">
      <w:pPr>
        <w:spacing w:before="120" w:after="120" w:line="360" w:lineRule="auto"/>
        <w:ind w:left="1416" w:hanging="566"/>
        <w:rPr>
          <w:szCs w:val="24"/>
          <w:lang w:eastAsia="en-US"/>
        </w:rPr>
      </w:pPr>
      <w:r w:rsidRPr="00C100E9">
        <w:rPr>
          <w:strike/>
          <w:szCs w:val="24"/>
          <w:vertAlign w:val="superscript"/>
          <w:lang w:eastAsia="en-US"/>
        </w:rPr>
        <w:t>(25)</w:t>
      </w:r>
      <w:r w:rsidRPr="00C100E9">
        <w:rPr>
          <w:strike/>
          <w:szCs w:val="24"/>
          <w:lang w:eastAsia="en-US"/>
        </w:rPr>
        <w:tab/>
      </w:r>
      <w:r w:rsidRPr="00F652FA">
        <w:rPr>
          <w:strike/>
          <w:szCs w:val="24"/>
          <w:lang w:eastAsia="en-US"/>
        </w:rPr>
        <w:t>V</w:t>
      </w:r>
      <w:r>
        <w:rPr>
          <w:strike/>
          <w:szCs w:val="24"/>
          <w:lang w:eastAsia="en-US"/>
        </w:rPr>
        <w:t xml:space="preserve"> prípade sladkej vody použitej na odber a prípravu pitnej vody.</w:t>
      </w:r>
    </w:p>
    <w:p w14:paraId="75DE8CA6" w14:textId="77777777" w:rsidR="002709ED" w:rsidRDefault="00B2757B">
      <w:pPr>
        <w:spacing w:before="120" w:after="120" w:line="360" w:lineRule="auto"/>
        <w:ind w:left="1416" w:hanging="566"/>
        <w:rPr>
          <w:szCs w:val="24"/>
          <w:lang w:eastAsia="en-US"/>
        </w:rPr>
      </w:pPr>
      <w:r w:rsidRPr="00C100E9">
        <w:rPr>
          <w:strike/>
          <w:szCs w:val="24"/>
          <w:vertAlign w:val="superscript"/>
          <w:lang w:eastAsia="en-US"/>
        </w:rPr>
        <w:t>(26)</w:t>
      </w:r>
      <w:r w:rsidRPr="00C100E9">
        <w:rPr>
          <w:strike/>
          <w:szCs w:val="24"/>
          <w:lang w:eastAsia="en-US"/>
        </w:rPr>
        <w:tab/>
      </w:r>
      <w:r>
        <w:rPr>
          <w:strike/>
          <w:szCs w:val="24"/>
          <w:lang w:eastAsia="en-US"/>
        </w:rPr>
        <w:t>V prípade sladkej vody nepoužitej na odber a prípravu pitnej vody.</w:t>
      </w:r>
    </w:p>
    <w:p w14:paraId="75C6B443" w14:textId="77777777" w:rsidR="002709ED" w:rsidRDefault="00B2757B">
      <w:pPr>
        <w:spacing w:before="120" w:after="120" w:line="360" w:lineRule="auto"/>
        <w:ind w:left="1416" w:hanging="566"/>
        <w:rPr>
          <w:szCs w:val="24"/>
          <w:lang w:eastAsia="en-US"/>
        </w:rPr>
      </w:pPr>
      <w:r>
        <w:rPr>
          <w:szCs w:val="24"/>
          <w:lang w:eastAsia="en-US"/>
        </w:rPr>
        <w:br w:type="page"/>
      </w:r>
      <w:r w:rsidRPr="00C100E9">
        <w:rPr>
          <w:szCs w:val="24"/>
          <w:vertAlign w:val="superscript"/>
          <w:lang w:eastAsia="en-US"/>
        </w:rPr>
        <w:lastRenderedPageBreak/>
        <w:t>(27)</w:t>
      </w:r>
      <w:r>
        <w:rPr>
          <w:szCs w:val="24"/>
          <w:lang w:eastAsia="en-US"/>
        </w:rPr>
        <w:tab/>
        <w:t>Ide o tieto zlúčeniny uvedené spolu s ich CAS číslom, EÚ číslom a faktorom relatívnej účinnosti (RPF):</w:t>
      </w:r>
    </w:p>
    <w:p w14:paraId="62FE6733" w14:textId="77777777" w:rsidR="002709ED" w:rsidRDefault="00B2757B">
      <w:pPr>
        <w:spacing w:before="120" w:after="120" w:line="360" w:lineRule="auto"/>
        <w:ind w:left="1416"/>
        <w:rPr>
          <w:szCs w:val="24"/>
          <w:lang w:eastAsia="en-US"/>
        </w:rPr>
      </w:pPr>
      <w:r>
        <w:rPr>
          <w:szCs w:val="24"/>
          <w:lang w:eastAsia="en-US"/>
        </w:rPr>
        <w:tab/>
        <w:t>kyselina pentadekafluóroktánová (PFOA) (CAS 335-67-1, EÚ 206-397-9) (RPF 1), kyselina perfluóroktánsulfónová (PFOS) (CAS 1763-23-1, EÚ 217-179-8) (RPF 2), kyselina perfluórhexánsulfónová (PFHxS) (CAS 355-46-4, EÚ 206-587-1) (RPF 0,6), kyselina perfluórnonánová (PFNA) (CAS 375-95-1, EÚ 206-801-3) (RPF 10), kyselina perfluórobutánsulfónová (PFBS) (CAS 375-73-5, EÚ 206-793-1) (RPF 0,001), kyselina perfluórhexánová (PFHxA) (CAS 307-24-4, EÚ 206-196-6) (RPF 0,01), kyselina perfluórbutánová (PFBA) (CAS 375-22-4, EÚ 206-786-3) (RPF 0,05), kyselina perfluórpentánová (PFPeA) (CAS 2706-90-3, EÚ 220-300-7) (RPF 0,03), kyselina perfluórpentánsulfónová (PFPeS) (CAS 2706-91-4, EÚ 220-301-2) (RPF 0,3005), kyselina perfluórdekánová (PFDA) (CAS 335-76-2, EÚ 206-400-3) (RPF 7), kyselina perfluórdodekánová (PFDoDA alebo PFDoA) (CAS 307-55-1, EÚ 206-203-2) (RPF 3), kyselina perfluórundekánová (PFUnDA alebo PFUnA) (CAS 2058-94-8, EÚ 218-165-4) (RPF 4), kyselina perfluórheptánová (PFHpA) (CAS 375-85-9, EÚ 206-798-9) (RPF 0,505), kyselina perfluórtridekánová (PFTrDA) (CAS 72629-94-8, EÚ 276-745-2) (RPF 1,65), kyselina perfluórheptánsulfónová (PFHpS) (CAS 375-92-8, EÚ 206-800-8) (RPF 1,3), kyselina perfluórdekánsulfónová (PFDS) (CAS 335-77-3, EÚ 206-401-9) (RPF 2), kyselina perfluórtetradekánová (PFTeDA) (CAS 376-06-7, EÚ 206-803-4) (RPF 0,3), kyselina perfluórhexadekánová (PFHxDA) (CAS 67905-19-5, EÚ 267-638-1) (RPF 0,02), kyselina perfluóroktodekánová (PFODA) (CAS 16517-11-6, EÚ 240-582-5) (RPF 0,02) a amónium-perfluór(2-metyl-3-oxahexanoát) (HFPO-DA alebo Gen X) (CAS 62037-80-3) (RPF 0,06), kyselina propánová/amónium-2,2,3-trifluór-3-[1,1,2,2,3,3-hexafluór-3-(trifluórmetoxy)propoxy]propanoát (ADONA) (CAS 958445-44-8) (RPF 0,03), 2-(perfluórhexyl)etylalkohol (6:2 FTOH) (CAS 647-42-7, EÚ 211-477-1) (RPF 0,02), 2-(perfluóroktyl)etanol (8:2 FTOH) (CAS 678-39-7, EÚ 211-648-0) (RPF 0,04) a kyselina 2,2-difluór-2-{[2,2,4,5-tetrafluór-5-(trifluórmetoxy)-1,3-dioxolán-4-yl]oxy}octová (C6O4) (CAS 1190931-41-9) (RPF 0,06)</w:t>
      </w:r>
    </w:p>
    <w:p w14:paraId="54C9E8EA" w14:textId="77777777" w:rsidR="002709ED" w:rsidRDefault="00B2757B">
      <w:pPr>
        <w:spacing w:before="120" w:after="120" w:line="360" w:lineRule="auto"/>
        <w:ind w:left="1416" w:hanging="566"/>
        <w:rPr>
          <w:szCs w:val="24"/>
          <w:lang w:eastAsia="en-US"/>
        </w:rPr>
      </w:pPr>
      <w:r>
        <w:rPr>
          <w:szCs w:val="24"/>
          <w:lang w:eastAsia="en-US"/>
        </w:rPr>
        <w:br w:type="page"/>
      </w:r>
      <w:r w:rsidRPr="00C100E9">
        <w:rPr>
          <w:szCs w:val="24"/>
          <w:vertAlign w:val="superscript"/>
          <w:lang w:eastAsia="en-US"/>
        </w:rPr>
        <w:lastRenderedPageBreak/>
        <w:t>(28)</w:t>
      </w:r>
      <w:r>
        <w:rPr>
          <w:szCs w:val="24"/>
          <w:lang w:eastAsia="en-US"/>
        </w:rPr>
        <w:tab/>
        <w:t>V prípade skupiny PFAS (č. 65) sa ENK vzťahuje na súčet koncentrácií 24 PFAS uvedených v poznámke pod čiarou 27 a vyjadrených ako ekvivalenty PFOA na základe účinnosti látok vo vzťahu k PFOA, t. j. RPF v poznámke pod čiarou 27.</w:t>
      </w:r>
    </w:p>
    <w:p w14:paraId="60F94D98" w14:textId="77777777" w:rsidR="002709ED" w:rsidRDefault="00B2757B">
      <w:pPr>
        <w:spacing w:before="120" w:after="120" w:line="360" w:lineRule="auto"/>
        <w:ind w:left="1416" w:hanging="566"/>
        <w:rPr>
          <w:szCs w:val="24"/>
          <w:lang w:eastAsia="en-US"/>
        </w:rPr>
      </w:pPr>
      <w:r w:rsidRPr="00C100E9">
        <w:rPr>
          <w:szCs w:val="24"/>
          <w:vertAlign w:val="superscript"/>
          <w:lang w:eastAsia="en-US"/>
        </w:rPr>
        <w:t>(29)</w:t>
      </w:r>
      <w:r>
        <w:rPr>
          <w:szCs w:val="24"/>
          <w:lang w:eastAsia="en-US"/>
        </w:rPr>
        <w:tab/>
        <w:t>„Pesticídy“ sú prípravky na ochranu rastlín uvedené v článku 2 nariadenia (ES) č. 1107/2009 a biocídne výrobky uvedené v článku 3 nariadenia (EÚ) č. 528/2012.</w:t>
      </w:r>
    </w:p>
    <w:p w14:paraId="5722B255" w14:textId="77777777" w:rsidR="002709ED" w:rsidRDefault="00B2757B">
      <w:pPr>
        <w:spacing w:before="120" w:after="120" w:line="360" w:lineRule="auto"/>
        <w:ind w:left="1416" w:hanging="566"/>
        <w:rPr>
          <w:szCs w:val="24"/>
          <w:lang w:eastAsia="en-US"/>
        </w:rPr>
      </w:pPr>
      <w:r w:rsidRPr="00C100E9">
        <w:rPr>
          <w:szCs w:val="24"/>
          <w:vertAlign w:val="superscript"/>
          <w:lang w:eastAsia="en-US"/>
        </w:rPr>
        <w:t>(30)</w:t>
      </w:r>
      <w:r>
        <w:rPr>
          <w:szCs w:val="24"/>
          <w:lang w:eastAsia="en-US"/>
        </w:rPr>
        <w:tab/>
        <w:t>„Spolu“ je súčet všetkých jednotlivých pestícídov zistených a vyčíslených v priebehu monitorovacieho postupu vrátane príslušných metabolitov, produktov biologických rozkladov a chemických reakcií.;“</w:t>
      </w:r>
    </w:p>
    <w:p w14:paraId="69205938" w14:textId="77777777" w:rsidR="002709ED" w:rsidRDefault="00B2757B">
      <w:pPr>
        <w:spacing w:before="120" w:after="120" w:line="360" w:lineRule="auto"/>
        <w:ind w:left="850" w:hanging="850"/>
        <w:rPr>
          <w:szCs w:val="24"/>
          <w:lang w:eastAsia="en-US"/>
        </w:rPr>
      </w:pPr>
      <w:r>
        <w:rPr>
          <w:szCs w:val="24"/>
          <w:lang w:eastAsia="en-US"/>
        </w:rPr>
        <w:br w:type="page"/>
      </w:r>
      <w:r>
        <w:rPr>
          <w:szCs w:val="24"/>
          <w:lang w:eastAsia="en-US"/>
        </w:rPr>
        <w:lastRenderedPageBreak/>
        <w:t>3.</w:t>
      </w:r>
      <w:r>
        <w:rPr>
          <w:szCs w:val="24"/>
          <w:lang w:eastAsia="en-US"/>
        </w:rPr>
        <w:tab/>
        <w:t>Časť B sa mení takto:</w:t>
      </w:r>
    </w:p>
    <w:p w14:paraId="190B9A3B" w14:textId="77777777" w:rsidR="002709ED" w:rsidRDefault="00B2757B">
      <w:pPr>
        <w:spacing w:before="120" w:after="120" w:line="360" w:lineRule="auto"/>
        <w:ind w:left="1416" w:hanging="566"/>
        <w:rPr>
          <w:szCs w:val="24"/>
          <w:lang w:eastAsia="en-US"/>
        </w:rPr>
      </w:pPr>
      <w:r>
        <w:rPr>
          <w:szCs w:val="24"/>
          <w:lang w:eastAsia="en-US"/>
        </w:rPr>
        <w:t>a)</w:t>
      </w:r>
      <w:r>
        <w:rPr>
          <w:szCs w:val="24"/>
          <w:lang w:eastAsia="en-US"/>
        </w:rPr>
        <w:tab/>
      </w:r>
      <w:r w:rsidR="002038B2">
        <w:rPr>
          <w:szCs w:val="24"/>
          <w:lang w:eastAsia="en-US"/>
        </w:rPr>
        <w:t>v</w:t>
      </w:r>
      <w:r>
        <w:rPr>
          <w:szCs w:val="24"/>
          <w:lang w:eastAsia="en-US"/>
        </w:rPr>
        <w:t xml:space="preserve"> bode 1 sa prvý odsek nahrádza takto:</w:t>
      </w:r>
    </w:p>
    <w:p w14:paraId="6D287796" w14:textId="77777777" w:rsidR="002709ED" w:rsidRDefault="00B2757B">
      <w:pPr>
        <w:spacing w:before="120" w:after="120" w:line="360" w:lineRule="auto"/>
        <w:ind w:left="1416"/>
        <w:rPr>
          <w:szCs w:val="24"/>
          <w:lang w:eastAsia="en-US"/>
        </w:rPr>
      </w:pPr>
      <w:r>
        <w:rPr>
          <w:szCs w:val="24"/>
          <w:lang w:eastAsia="en-US"/>
        </w:rPr>
        <w:t>„Uplatňovanie RP-ENK na ktorýkoľvek útvar povrchovej vody znamená, že na žiadnom reprezentatívnom monitorovanom mieste v rámci vodného útvaru neprekročí aritmetický priemer koncentrácií nameraných v rôznych časoch počas roka túto normu.;“</w:t>
      </w:r>
    </w:p>
    <w:p w14:paraId="4480B180" w14:textId="77777777" w:rsidR="002709ED" w:rsidRDefault="00B2757B">
      <w:pPr>
        <w:spacing w:before="120" w:after="120" w:line="360" w:lineRule="auto"/>
        <w:ind w:left="1416" w:hanging="566"/>
        <w:rPr>
          <w:szCs w:val="24"/>
          <w:lang w:eastAsia="en-US"/>
        </w:rPr>
      </w:pPr>
      <w:r>
        <w:rPr>
          <w:szCs w:val="24"/>
          <w:lang w:eastAsia="en-US"/>
        </w:rPr>
        <w:t>b)</w:t>
      </w:r>
      <w:r>
        <w:rPr>
          <w:szCs w:val="24"/>
          <w:lang w:eastAsia="en-US"/>
        </w:rPr>
        <w:tab/>
      </w:r>
      <w:r w:rsidR="002038B2">
        <w:rPr>
          <w:szCs w:val="24"/>
          <w:lang w:eastAsia="en-US"/>
        </w:rPr>
        <w:t>v</w:t>
      </w:r>
      <w:r>
        <w:rPr>
          <w:szCs w:val="24"/>
          <w:lang w:eastAsia="en-US"/>
        </w:rPr>
        <w:t xml:space="preserve"> bode 2 sa prvý odsek nahrádza takto:</w:t>
      </w:r>
    </w:p>
    <w:p w14:paraId="182646A8" w14:textId="77777777" w:rsidR="002709ED" w:rsidRDefault="00B2757B">
      <w:pPr>
        <w:spacing w:before="120" w:after="120" w:line="360" w:lineRule="auto"/>
        <w:ind w:left="1416"/>
        <w:rPr>
          <w:szCs w:val="24"/>
          <w:lang w:eastAsia="en-US"/>
        </w:rPr>
      </w:pPr>
      <w:r>
        <w:rPr>
          <w:szCs w:val="24"/>
          <w:lang w:eastAsia="en-US"/>
        </w:rPr>
        <w:t>„Uplatňovanie NPK-ENK na ktorýkoľvek útvar povrchovej vody znamená, že nameraná koncentrácia na žiadnom reprezentatívnom monitorovanom mieste vodného útvaru neprekročí túto normu.“</w:t>
      </w:r>
    </w:p>
    <w:p w14:paraId="0F7155A1" w14:textId="77777777" w:rsidR="002709ED" w:rsidRDefault="002709ED">
      <w:pPr>
        <w:spacing w:before="120" w:after="120" w:line="360" w:lineRule="auto"/>
        <w:rPr>
          <w:szCs w:val="24"/>
          <w:lang w:eastAsia="en-US"/>
        </w:rPr>
        <w:sectPr w:rsidR="002709ED">
          <w:footnotePr>
            <w:numRestart w:val="eachSect"/>
          </w:footnotePr>
          <w:pgSz w:w="11909" w:h="16834"/>
          <w:pgMar w:top="1134" w:right="1417" w:bottom="1417" w:left="1417" w:header="1134" w:footer="567" w:gutter="0"/>
          <w:cols w:space="720"/>
          <w:docGrid w:linePitch="326"/>
        </w:sectPr>
      </w:pPr>
    </w:p>
    <w:p w14:paraId="09EEB69E" w14:textId="77777777" w:rsidR="002709ED" w:rsidRDefault="002709ED">
      <w:pPr>
        <w:spacing w:before="120" w:after="120" w:line="360" w:lineRule="auto"/>
        <w:rPr>
          <w:szCs w:val="24"/>
          <w:lang w:eastAsia="en-US"/>
        </w:rPr>
      </w:pPr>
    </w:p>
    <w:p w14:paraId="25E0768F" w14:textId="77777777" w:rsidR="002709ED" w:rsidRDefault="00B2757B">
      <w:pPr>
        <w:spacing w:before="120" w:after="120" w:line="360" w:lineRule="auto"/>
        <w:jc w:val="center"/>
        <w:rPr>
          <w:lang w:eastAsia="en-US"/>
        </w:rPr>
      </w:pPr>
      <w:r>
        <w:rPr>
          <w:lang w:eastAsia="en-US"/>
        </w:rPr>
        <w:t>PRÍLOHA VI</w:t>
      </w:r>
    </w:p>
    <w:p w14:paraId="2F311767" w14:textId="77777777" w:rsidR="002709ED" w:rsidRDefault="00B2757B">
      <w:pPr>
        <w:spacing w:before="120" w:after="120" w:line="360" w:lineRule="auto"/>
        <w:ind w:left="850"/>
        <w:rPr>
          <w:szCs w:val="24"/>
          <w:lang w:eastAsia="en-US"/>
        </w:rPr>
      </w:pPr>
      <w:r>
        <w:rPr>
          <w:szCs w:val="24"/>
          <w:lang w:eastAsia="en-US"/>
        </w:rPr>
        <w:t>„PRÍLOHA II</w:t>
      </w:r>
    </w:p>
    <w:p w14:paraId="095BA0E4" w14:textId="77777777" w:rsidR="002709ED" w:rsidRDefault="00B2757B">
      <w:pPr>
        <w:spacing w:before="120" w:after="120" w:line="360" w:lineRule="auto"/>
        <w:ind w:left="850"/>
        <w:rPr>
          <w:szCs w:val="24"/>
          <w:lang w:eastAsia="en-US"/>
        </w:rPr>
      </w:pPr>
      <w:r>
        <w:rPr>
          <w:szCs w:val="24"/>
          <w:lang w:eastAsia="en-US"/>
        </w:rPr>
        <w:t>ENVIRONMENTÁLNE NORMY KVALITY PRE ZNEČISŤUJÚCE LÁTKY ŠPECIFICKÉ PRE POVODIE</w:t>
      </w:r>
    </w:p>
    <w:p w14:paraId="1B37EF78" w14:textId="77777777" w:rsidR="002709ED" w:rsidRDefault="00B2757B">
      <w:pPr>
        <w:spacing w:before="120" w:after="120" w:line="360" w:lineRule="auto"/>
        <w:ind w:left="850"/>
        <w:rPr>
          <w:szCs w:val="24"/>
          <w:lang w:eastAsia="en-US"/>
        </w:rPr>
      </w:pPr>
      <w:r>
        <w:rPr>
          <w:szCs w:val="24"/>
          <w:lang w:eastAsia="en-US"/>
        </w:rPr>
        <w:t xml:space="preserve">Časť A: ZOZNAM KATEGÓRIÍ ZNEČISŤUJÚCICH LÁTOK ŠPECIFICKÝCH PRE POVODIE </w:t>
      </w:r>
    </w:p>
    <w:p w14:paraId="4BEAA19D" w14:textId="77777777" w:rsidR="002709ED" w:rsidRDefault="00B2757B">
      <w:pPr>
        <w:spacing w:before="120" w:after="120" w:line="360" w:lineRule="auto"/>
        <w:ind w:left="1416" w:hanging="566"/>
        <w:rPr>
          <w:szCs w:val="24"/>
          <w:lang w:eastAsia="en-US"/>
        </w:rPr>
      </w:pPr>
      <w:r>
        <w:rPr>
          <w:szCs w:val="24"/>
          <w:lang w:eastAsia="en-US"/>
        </w:rPr>
        <w:t>1.</w:t>
      </w:r>
      <w:r>
        <w:rPr>
          <w:szCs w:val="24"/>
          <w:lang w:eastAsia="en-US"/>
        </w:rPr>
        <w:tab/>
        <w:t>Organohalogénové zlúčeniny a látky, ktoré môžu vytvárať takéto zlúčeniny</w:t>
      </w:r>
    </w:p>
    <w:p w14:paraId="0346E7C5" w14:textId="77777777" w:rsidR="002709ED" w:rsidRDefault="00B2757B">
      <w:pPr>
        <w:spacing w:before="120" w:after="120" w:line="360" w:lineRule="auto"/>
        <w:ind w:left="1416"/>
        <w:rPr>
          <w:szCs w:val="24"/>
          <w:lang w:eastAsia="en-US"/>
        </w:rPr>
      </w:pPr>
      <w:r>
        <w:rPr>
          <w:szCs w:val="24"/>
          <w:lang w:eastAsia="en-US"/>
        </w:rPr>
        <w:t>vo vodnom prostredí.</w:t>
      </w:r>
    </w:p>
    <w:p w14:paraId="52361AFA" w14:textId="77777777" w:rsidR="002709ED" w:rsidRDefault="00B2757B">
      <w:pPr>
        <w:spacing w:before="120" w:after="120" w:line="360" w:lineRule="auto"/>
        <w:ind w:left="1416" w:hanging="566"/>
        <w:rPr>
          <w:szCs w:val="24"/>
          <w:lang w:eastAsia="en-US"/>
        </w:rPr>
      </w:pPr>
      <w:r>
        <w:rPr>
          <w:szCs w:val="24"/>
          <w:lang w:eastAsia="en-US"/>
        </w:rPr>
        <w:t>2.</w:t>
      </w:r>
      <w:r>
        <w:rPr>
          <w:szCs w:val="24"/>
          <w:lang w:eastAsia="en-US"/>
        </w:rPr>
        <w:tab/>
        <w:t>Organofosforové zlúčeniny.</w:t>
      </w:r>
    </w:p>
    <w:p w14:paraId="00B5BB53" w14:textId="77777777" w:rsidR="002709ED" w:rsidRDefault="00B2757B">
      <w:pPr>
        <w:spacing w:before="120" w:after="120" w:line="360" w:lineRule="auto"/>
        <w:ind w:left="1416" w:hanging="566"/>
        <w:rPr>
          <w:szCs w:val="24"/>
          <w:lang w:eastAsia="en-US"/>
        </w:rPr>
      </w:pPr>
      <w:r>
        <w:rPr>
          <w:szCs w:val="24"/>
          <w:lang w:eastAsia="en-US"/>
        </w:rPr>
        <w:t>3.</w:t>
      </w:r>
      <w:r>
        <w:rPr>
          <w:szCs w:val="24"/>
          <w:lang w:eastAsia="en-US"/>
        </w:rPr>
        <w:tab/>
        <w:t>Organocínové zlúčeniny.</w:t>
      </w:r>
    </w:p>
    <w:p w14:paraId="56E002BE" w14:textId="77777777" w:rsidR="002709ED" w:rsidRDefault="00B2757B">
      <w:pPr>
        <w:spacing w:before="120" w:after="120" w:line="360" w:lineRule="auto"/>
        <w:ind w:left="1416" w:hanging="566"/>
        <w:rPr>
          <w:szCs w:val="24"/>
          <w:lang w:eastAsia="en-US"/>
        </w:rPr>
      </w:pPr>
      <w:r>
        <w:rPr>
          <w:szCs w:val="24"/>
          <w:lang w:eastAsia="en-US"/>
        </w:rPr>
        <w:t>4.</w:t>
      </w:r>
      <w:r>
        <w:rPr>
          <w:szCs w:val="24"/>
          <w:lang w:eastAsia="en-US"/>
        </w:rPr>
        <w:tab/>
        <w:t>Látky a prípravky alebo produkty ich rozkladu, ktoré majú dokázateľné karcinogénne alebo mutagénne vlastnosti, alebo vlastnosti, ktoré môžu vo vodnom prostredí alebo prostredníctvom vodného prostredia ovplyvniť tvorbu steroidov, funkcie štítnej žľazy, rozmnožovania alebo iné endokrinné funkcie.</w:t>
      </w:r>
    </w:p>
    <w:p w14:paraId="6AD61793" w14:textId="77777777" w:rsidR="002709ED" w:rsidRDefault="00B2757B">
      <w:pPr>
        <w:spacing w:before="120" w:after="120" w:line="360" w:lineRule="auto"/>
        <w:ind w:left="1416" w:hanging="566"/>
        <w:rPr>
          <w:szCs w:val="24"/>
          <w:lang w:eastAsia="en-US"/>
        </w:rPr>
      </w:pPr>
      <w:r>
        <w:rPr>
          <w:szCs w:val="24"/>
          <w:lang w:eastAsia="en-US"/>
        </w:rPr>
        <w:br w:type="page"/>
      </w:r>
      <w:r>
        <w:rPr>
          <w:szCs w:val="24"/>
          <w:lang w:eastAsia="en-US"/>
        </w:rPr>
        <w:lastRenderedPageBreak/>
        <w:t>5.</w:t>
      </w:r>
      <w:r>
        <w:rPr>
          <w:szCs w:val="24"/>
          <w:lang w:eastAsia="en-US"/>
        </w:rPr>
        <w:tab/>
        <w:t>Perzistentné uhľovodíky a perzistentné a biologicky akumulovateľné organické toxické látky.</w:t>
      </w:r>
    </w:p>
    <w:p w14:paraId="325364EE" w14:textId="77777777" w:rsidR="002709ED" w:rsidRDefault="00B2757B">
      <w:pPr>
        <w:spacing w:before="120" w:after="120" w:line="360" w:lineRule="auto"/>
        <w:ind w:left="1416" w:hanging="566"/>
        <w:rPr>
          <w:szCs w:val="24"/>
          <w:lang w:eastAsia="en-US"/>
        </w:rPr>
      </w:pPr>
      <w:r>
        <w:rPr>
          <w:szCs w:val="24"/>
          <w:lang w:eastAsia="en-US"/>
        </w:rPr>
        <w:t>6.</w:t>
      </w:r>
      <w:r>
        <w:rPr>
          <w:szCs w:val="24"/>
          <w:lang w:eastAsia="en-US"/>
        </w:rPr>
        <w:tab/>
        <w:t>Kyanidy.</w:t>
      </w:r>
    </w:p>
    <w:p w14:paraId="4453C21F" w14:textId="77777777" w:rsidR="002709ED" w:rsidRDefault="00B2757B">
      <w:pPr>
        <w:spacing w:before="120" w:after="120" w:line="360" w:lineRule="auto"/>
        <w:ind w:left="1416" w:hanging="566"/>
        <w:rPr>
          <w:szCs w:val="24"/>
          <w:lang w:eastAsia="en-US"/>
        </w:rPr>
      </w:pPr>
      <w:r>
        <w:rPr>
          <w:szCs w:val="24"/>
          <w:lang w:eastAsia="en-US"/>
        </w:rPr>
        <w:t>7.</w:t>
      </w:r>
      <w:r>
        <w:rPr>
          <w:szCs w:val="24"/>
          <w:lang w:eastAsia="en-US"/>
        </w:rPr>
        <w:tab/>
        <w:t>Kovy a ich zlúčeniny.</w:t>
      </w:r>
    </w:p>
    <w:p w14:paraId="5C4AF9EC" w14:textId="77777777" w:rsidR="002709ED" w:rsidRDefault="00B2757B">
      <w:pPr>
        <w:spacing w:before="120" w:after="120" w:line="360" w:lineRule="auto"/>
        <w:ind w:left="1416" w:hanging="566"/>
        <w:rPr>
          <w:szCs w:val="24"/>
          <w:lang w:eastAsia="en-US"/>
        </w:rPr>
      </w:pPr>
      <w:r>
        <w:rPr>
          <w:szCs w:val="24"/>
          <w:lang w:eastAsia="en-US"/>
        </w:rPr>
        <w:t>8.</w:t>
      </w:r>
      <w:r>
        <w:rPr>
          <w:szCs w:val="24"/>
          <w:lang w:eastAsia="en-US"/>
        </w:rPr>
        <w:tab/>
        <w:t>Arzén a jeho zlúčeniny.</w:t>
      </w:r>
    </w:p>
    <w:p w14:paraId="4362CAB2" w14:textId="77777777" w:rsidR="002709ED" w:rsidRDefault="00B2757B">
      <w:pPr>
        <w:spacing w:before="120" w:after="120" w:line="360" w:lineRule="auto"/>
        <w:ind w:left="1416" w:hanging="566"/>
        <w:rPr>
          <w:szCs w:val="24"/>
          <w:lang w:eastAsia="en-US"/>
        </w:rPr>
      </w:pPr>
      <w:r>
        <w:rPr>
          <w:szCs w:val="24"/>
          <w:lang w:eastAsia="en-US"/>
        </w:rPr>
        <w:t>9.</w:t>
      </w:r>
      <w:r>
        <w:rPr>
          <w:szCs w:val="24"/>
          <w:lang w:eastAsia="en-US"/>
        </w:rPr>
        <w:tab/>
        <w:t>Biocídy a prípravky na ochranu rastlín.</w:t>
      </w:r>
    </w:p>
    <w:p w14:paraId="4006E116" w14:textId="77777777" w:rsidR="002709ED" w:rsidRDefault="00B2757B">
      <w:pPr>
        <w:spacing w:before="120" w:after="120" w:line="360" w:lineRule="auto"/>
        <w:ind w:left="1416" w:hanging="566"/>
        <w:rPr>
          <w:b/>
          <w:szCs w:val="24"/>
          <w:lang w:eastAsia="en-US"/>
        </w:rPr>
      </w:pPr>
      <w:r>
        <w:rPr>
          <w:szCs w:val="24"/>
          <w:lang w:eastAsia="en-US"/>
        </w:rPr>
        <w:t>10.</w:t>
      </w:r>
      <w:r>
        <w:rPr>
          <w:szCs w:val="24"/>
          <w:lang w:eastAsia="en-US"/>
        </w:rPr>
        <w:tab/>
        <w:t xml:space="preserve">Nerozpustené látky vrátane mikro/nanoplastov, </w:t>
      </w:r>
      <w:r>
        <w:rPr>
          <w:b/>
          <w:i/>
          <w:szCs w:val="24"/>
          <w:lang w:eastAsia="en-US"/>
        </w:rPr>
        <w:t>ako aj materiály, z ktorých mikro/nanoplasty vznikajú</w:t>
      </w:r>
      <w:r>
        <w:rPr>
          <w:szCs w:val="24"/>
          <w:lang w:eastAsia="en-US"/>
        </w:rPr>
        <w:t>.</w:t>
      </w:r>
      <w:r>
        <w:rPr>
          <w:b/>
          <w:szCs w:val="24"/>
          <w:lang w:eastAsia="en-US"/>
        </w:rPr>
        <w:t xml:space="preserve"> [PN 155]</w:t>
      </w:r>
    </w:p>
    <w:p w14:paraId="62F5DB56" w14:textId="77777777" w:rsidR="002709ED" w:rsidRDefault="00B2757B">
      <w:pPr>
        <w:spacing w:before="120" w:after="120" w:line="360" w:lineRule="auto"/>
        <w:ind w:left="1416" w:hanging="566"/>
        <w:rPr>
          <w:szCs w:val="24"/>
          <w:lang w:eastAsia="en-US"/>
        </w:rPr>
      </w:pPr>
      <w:r>
        <w:rPr>
          <w:szCs w:val="24"/>
          <w:lang w:eastAsia="en-US"/>
        </w:rPr>
        <w:t>11.</w:t>
      </w:r>
      <w:r>
        <w:rPr>
          <w:szCs w:val="24"/>
          <w:lang w:eastAsia="en-US"/>
        </w:rPr>
        <w:tab/>
        <w:t>Látky prispievajúce k eutrofizácii (hlavne dusičnany a fosforečnany).</w:t>
      </w:r>
    </w:p>
    <w:p w14:paraId="0CEC63FD" w14:textId="77777777" w:rsidR="002709ED" w:rsidRDefault="00B2757B">
      <w:pPr>
        <w:spacing w:before="120" w:after="120" w:line="360" w:lineRule="auto"/>
        <w:ind w:left="1416" w:hanging="566"/>
        <w:rPr>
          <w:szCs w:val="24"/>
          <w:lang w:eastAsia="en-US"/>
        </w:rPr>
      </w:pPr>
      <w:r>
        <w:rPr>
          <w:szCs w:val="24"/>
          <w:lang w:eastAsia="en-US"/>
        </w:rPr>
        <w:t>12.</w:t>
      </w:r>
      <w:r>
        <w:rPr>
          <w:szCs w:val="24"/>
          <w:lang w:eastAsia="en-US"/>
        </w:rPr>
        <w:tab/>
        <w:t>Látky s nepriaznivým vplyvom na kyslíkovú bilanciu, ktoré možno merať pomocou ukazovateľov ako BSK, CHSK atď.</w:t>
      </w:r>
    </w:p>
    <w:p w14:paraId="63C48A0B" w14:textId="77777777" w:rsidR="002709ED" w:rsidRDefault="00B2757B">
      <w:pPr>
        <w:spacing w:before="120" w:after="120" w:line="360" w:lineRule="auto"/>
        <w:ind w:left="1416" w:hanging="566"/>
        <w:rPr>
          <w:szCs w:val="24"/>
          <w:lang w:eastAsia="en-US"/>
        </w:rPr>
      </w:pPr>
      <w:r>
        <w:rPr>
          <w:szCs w:val="24"/>
          <w:lang w:eastAsia="en-US"/>
        </w:rPr>
        <w:br w:type="page"/>
      </w:r>
      <w:r>
        <w:rPr>
          <w:szCs w:val="24"/>
          <w:lang w:eastAsia="en-US"/>
        </w:rPr>
        <w:lastRenderedPageBreak/>
        <w:t>13.</w:t>
      </w:r>
      <w:r>
        <w:rPr>
          <w:szCs w:val="24"/>
          <w:lang w:eastAsia="en-US"/>
        </w:rPr>
        <w:tab/>
        <w:t>Mikroorganizmy, gény alebo genetický materiál odrážajúci prítomnosť mikroorganizmov rezistentných voči antimikrobiálnym látkam, najmä mikroorganizmov patogénnych pre ľudí alebo hospodárske zvieratá.</w:t>
      </w:r>
    </w:p>
    <w:p w14:paraId="05F0BD7D" w14:textId="77777777" w:rsidR="002709ED" w:rsidRDefault="00B2757B">
      <w:pPr>
        <w:spacing w:before="120" w:after="120" w:line="360" w:lineRule="auto"/>
        <w:ind w:left="850"/>
        <w:rPr>
          <w:szCs w:val="24"/>
          <w:lang w:eastAsia="en-US"/>
        </w:rPr>
      </w:pPr>
      <w:r>
        <w:rPr>
          <w:szCs w:val="24"/>
          <w:lang w:eastAsia="en-US"/>
        </w:rPr>
        <w:t>ČASŤ B: POSTUP ODVODZOVANIA ENVIRONMENTÁLNYCH NORIEM KVALITY PRE ZNEČISŤUJÚCE LÁTKY ŠPECIFICKÉ PRE POVODIE</w:t>
      </w:r>
    </w:p>
    <w:p w14:paraId="7FA210B0" w14:textId="77777777" w:rsidR="002709ED" w:rsidRDefault="00B2757B">
      <w:pPr>
        <w:spacing w:before="120" w:after="120" w:line="360" w:lineRule="auto"/>
        <w:ind w:left="850"/>
        <w:rPr>
          <w:szCs w:val="24"/>
          <w:lang w:eastAsia="en-US"/>
        </w:rPr>
      </w:pPr>
      <w:r>
        <w:rPr>
          <w:szCs w:val="24"/>
          <w:lang w:eastAsia="en-US"/>
        </w:rPr>
        <w:t>Metódy používané na stanovenie ENK pre znečisťujúce látky špecifické pre povodie zahŕňajú tieto kroky:</w:t>
      </w:r>
    </w:p>
    <w:p w14:paraId="07673D8E" w14:textId="77777777" w:rsidR="002709ED" w:rsidRDefault="00B2757B">
      <w:pPr>
        <w:spacing w:before="120" w:after="120" w:line="360" w:lineRule="auto"/>
        <w:ind w:left="1416" w:hanging="566"/>
        <w:rPr>
          <w:szCs w:val="24"/>
          <w:lang w:eastAsia="en-US"/>
        </w:rPr>
      </w:pPr>
      <w:r>
        <w:rPr>
          <w:szCs w:val="24"/>
          <w:lang w:eastAsia="en-US"/>
        </w:rPr>
        <w:t>a)</w:t>
      </w:r>
      <w:r>
        <w:rPr>
          <w:szCs w:val="24"/>
          <w:lang w:eastAsia="en-US"/>
        </w:rPr>
        <w:tab/>
        <w:t>identifikácia receptorov a zložiek alebo matríc ohrozených látkou vzbudzujúcou obavy;</w:t>
      </w:r>
    </w:p>
    <w:p w14:paraId="1EB12FC1" w14:textId="77777777" w:rsidR="002709ED" w:rsidRDefault="00B2757B">
      <w:pPr>
        <w:spacing w:before="120" w:after="120" w:line="360" w:lineRule="auto"/>
        <w:ind w:left="1416" w:hanging="566"/>
        <w:rPr>
          <w:szCs w:val="24"/>
          <w:lang w:eastAsia="en-US"/>
        </w:rPr>
      </w:pPr>
      <w:r>
        <w:rPr>
          <w:szCs w:val="24"/>
          <w:lang w:eastAsia="en-US"/>
        </w:rPr>
        <w:t>b)</w:t>
      </w:r>
      <w:r>
        <w:rPr>
          <w:szCs w:val="24"/>
          <w:lang w:eastAsia="en-US"/>
        </w:rPr>
        <w:tab/>
        <w:t>porovnanie a vyhodnotenie kvality údajov o vlastnostiach látky vzbudzujúcej obavy vrátane jej (eko)toxicity, najmä zo správ o laboratórnych, mezokozmických či terénnych štúdiách, ktoré sa týkajú chronických aj akútnych účinkov v prostredí sladkej i slanej vody;</w:t>
      </w:r>
    </w:p>
    <w:p w14:paraId="0E81B750" w14:textId="77777777" w:rsidR="002709ED" w:rsidRDefault="00B2757B">
      <w:pPr>
        <w:spacing w:before="120" w:after="120" w:line="360" w:lineRule="auto"/>
        <w:ind w:left="1416" w:hanging="566"/>
        <w:rPr>
          <w:szCs w:val="24"/>
          <w:lang w:eastAsia="en-US"/>
        </w:rPr>
      </w:pPr>
      <w:r>
        <w:rPr>
          <w:szCs w:val="24"/>
          <w:lang w:eastAsia="en-US"/>
        </w:rPr>
        <w:br w:type="page"/>
      </w:r>
      <w:r>
        <w:rPr>
          <w:szCs w:val="24"/>
          <w:lang w:eastAsia="en-US"/>
        </w:rPr>
        <w:lastRenderedPageBreak/>
        <w:t>c)</w:t>
      </w:r>
      <w:r>
        <w:rPr>
          <w:szCs w:val="24"/>
          <w:lang w:eastAsia="en-US"/>
        </w:rPr>
        <w:tab/>
        <w:t>extrapolácia údajov o (eko)toxicite v súvislosti s koncentráciami, pri ktorých nedochádza k žiadnym účinkom, alebo podobnými koncentráciami pomocou deterministických alebo pravdepodobnostných metód a výber a uplatňovanie vhodných faktorov hodnotenia na riešenie neistôt a odvodenie ENK;</w:t>
      </w:r>
    </w:p>
    <w:p w14:paraId="21623462" w14:textId="77777777" w:rsidR="002709ED" w:rsidRDefault="00B2757B">
      <w:pPr>
        <w:spacing w:before="120" w:after="120" w:line="360" w:lineRule="auto"/>
        <w:ind w:left="1416" w:hanging="566"/>
        <w:rPr>
          <w:b/>
          <w:i/>
          <w:szCs w:val="24"/>
          <w:lang w:eastAsia="en-US"/>
        </w:rPr>
      </w:pPr>
      <w:r>
        <w:rPr>
          <w:szCs w:val="24"/>
          <w:lang w:eastAsia="en-US"/>
        </w:rPr>
        <w:t>d)</w:t>
      </w:r>
      <w:r>
        <w:rPr>
          <w:szCs w:val="24"/>
          <w:lang w:eastAsia="en-US"/>
        </w:rPr>
        <w:tab/>
        <w:t>porovnanie ENK pre rôzne receptory a zložky a výber kritickej ENK, t. j. ENK, ktorá poskytuje ochranu najcitlivejšiemu receptoru v najrelevantnejšej zložke alebo matrici</w:t>
      </w:r>
      <w:r>
        <w:rPr>
          <w:strike/>
          <w:szCs w:val="24"/>
          <w:lang w:eastAsia="en-US"/>
        </w:rPr>
        <w:t>.</w:t>
      </w:r>
      <w:r>
        <w:rPr>
          <w:b/>
          <w:i/>
          <w:szCs w:val="24"/>
          <w:lang w:eastAsia="en-US"/>
        </w:rPr>
        <w:t>;</w:t>
      </w:r>
    </w:p>
    <w:p w14:paraId="4F804F8B" w14:textId="77777777" w:rsidR="002709ED" w:rsidRDefault="00B2757B">
      <w:pPr>
        <w:spacing w:before="120" w:after="120" w:line="360" w:lineRule="auto"/>
        <w:ind w:left="1416" w:hanging="566"/>
        <w:rPr>
          <w:b/>
          <w:szCs w:val="24"/>
          <w:lang w:eastAsia="en-US"/>
        </w:rPr>
        <w:sectPr w:rsidR="002709ED">
          <w:footnotePr>
            <w:numRestart w:val="eachSect"/>
          </w:footnotePr>
          <w:pgSz w:w="11909" w:h="16834"/>
          <w:pgMar w:top="1134" w:right="1417" w:bottom="1417" w:left="1417" w:header="1134" w:footer="567" w:gutter="0"/>
          <w:cols w:space="720"/>
        </w:sectPr>
      </w:pPr>
      <w:r>
        <w:rPr>
          <w:b/>
          <w:i/>
          <w:szCs w:val="24"/>
          <w:lang w:eastAsia="en-US"/>
        </w:rPr>
        <w:t>da)</w:t>
      </w:r>
      <w:r>
        <w:rPr>
          <w:szCs w:val="24"/>
          <w:lang w:eastAsia="en-US"/>
        </w:rPr>
        <w:tab/>
      </w:r>
      <w:r>
        <w:rPr>
          <w:b/>
          <w:i/>
          <w:szCs w:val="24"/>
          <w:lang w:eastAsia="en-US"/>
        </w:rPr>
        <w:t>pri stanovovaní ENK pre kovy sa zohľadňujú modely biologickej dostupnosti, aby sa zohľadnili rôzne parametre kvality vody, ktoré ovplyvňujú biologickú dostupnosť kovov.</w:t>
      </w:r>
      <w:r>
        <w:rPr>
          <w:b/>
          <w:szCs w:val="24"/>
          <w:lang w:eastAsia="en-US"/>
        </w:rPr>
        <w:t xml:space="preserve"> [PN 156]</w:t>
      </w:r>
    </w:p>
    <w:p w14:paraId="08786D54" w14:textId="77777777" w:rsidR="002709ED" w:rsidRDefault="002709ED">
      <w:pPr>
        <w:spacing w:before="120" w:after="120" w:line="360" w:lineRule="auto"/>
        <w:ind w:left="1416" w:hanging="566"/>
        <w:rPr>
          <w:b/>
          <w:szCs w:val="24"/>
          <w:lang w:eastAsia="en-US"/>
        </w:rPr>
      </w:pPr>
    </w:p>
    <w:p w14:paraId="0F06DD3A" w14:textId="77777777" w:rsidR="002709ED" w:rsidRDefault="00B2757B">
      <w:pPr>
        <w:spacing w:before="120" w:after="120" w:line="360" w:lineRule="auto"/>
        <w:ind w:left="850"/>
        <w:rPr>
          <w:szCs w:val="24"/>
          <w:lang w:eastAsia="en-US"/>
        </w:rPr>
      </w:pPr>
      <w:r>
        <w:rPr>
          <w:szCs w:val="24"/>
          <w:lang w:eastAsia="en-US"/>
        </w:rPr>
        <w:t xml:space="preserve">ČASŤ C: REGISTER HARMONIZOVANÝCH ENVIRONMENTÁLNYCH NORIEM KVALITY PRE ZNEČISŤUJÚCE LÁTKY ŠPECIFICKÉ PRE POVODIE </w:t>
      </w:r>
    </w:p>
    <w:tbl>
      <w:tblPr>
        <w:tblStyle w:val="TableGrid5"/>
        <w:tblW w:w="16128" w:type="dxa"/>
        <w:tblLayout w:type="fixed"/>
        <w:tblLook w:val="04A0" w:firstRow="1" w:lastRow="0" w:firstColumn="1" w:lastColumn="0" w:noHBand="0" w:noVBand="1"/>
      </w:tblPr>
      <w:tblGrid>
        <w:gridCol w:w="534"/>
        <w:gridCol w:w="1134"/>
        <w:gridCol w:w="1275"/>
        <w:gridCol w:w="993"/>
        <w:gridCol w:w="992"/>
        <w:gridCol w:w="1843"/>
        <w:gridCol w:w="1701"/>
        <w:gridCol w:w="2127"/>
        <w:gridCol w:w="2126"/>
        <w:gridCol w:w="2694"/>
        <w:gridCol w:w="709"/>
      </w:tblGrid>
      <w:tr w:rsidR="002709ED" w14:paraId="537A0115" w14:textId="77777777">
        <w:tc>
          <w:tcPr>
            <w:tcW w:w="534" w:type="dxa"/>
          </w:tcPr>
          <w:p w14:paraId="1561A5E8" w14:textId="77777777" w:rsidR="002709ED" w:rsidRDefault="00B2757B">
            <w:pPr>
              <w:widowControl/>
              <w:spacing w:before="120" w:after="120"/>
              <w:jc w:val="both"/>
              <w:rPr>
                <w:rFonts w:ascii="Times New Roman" w:hAnsi="Times New Roman" w:cs="Times New Roman"/>
                <w:noProof/>
                <w:szCs w:val="24"/>
              </w:rPr>
            </w:pPr>
            <w:r>
              <w:rPr>
                <w:rFonts w:ascii="Times New Roman" w:hAnsi="Times New Roman" w:cs="Times New Roman"/>
                <w:noProof/>
                <w:szCs w:val="24"/>
              </w:rPr>
              <w:t>[Položka] č.</w:t>
            </w:r>
          </w:p>
        </w:tc>
        <w:tc>
          <w:tcPr>
            <w:tcW w:w="1134" w:type="dxa"/>
          </w:tcPr>
          <w:p w14:paraId="5E2672B9" w14:textId="77777777" w:rsidR="002709ED" w:rsidRDefault="00B2757B">
            <w:pPr>
              <w:widowControl/>
              <w:spacing w:before="120" w:after="120"/>
              <w:rPr>
                <w:rFonts w:ascii="Times New Roman" w:hAnsi="Times New Roman" w:cs="Times New Roman"/>
                <w:noProof/>
                <w:szCs w:val="24"/>
              </w:rPr>
            </w:pPr>
            <w:r>
              <w:rPr>
                <w:rFonts w:ascii="Times New Roman" w:hAnsi="Times New Roman" w:cs="Times New Roman"/>
                <w:noProof/>
                <w:szCs w:val="24"/>
              </w:rPr>
              <w:t>Názov látky</w:t>
            </w:r>
          </w:p>
        </w:tc>
        <w:tc>
          <w:tcPr>
            <w:tcW w:w="1275" w:type="dxa"/>
          </w:tcPr>
          <w:p w14:paraId="040BFAF4" w14:textId="77777777" w:rsidR="002709ED" w:rsidRDefault="00B2757B">
            <w:pPr>
              <w:widowControl/>
              <w:spacing w:before="120" w:after="120"/>
              <w:jc w:val="both"/>
              <w:rPr>
                <w:rFonts w:ascii="Times New Roman" w:hAnsi="Times New Roman" w:cs="Times New Roman"/>
                <w:noProof/>
                <w:szCs w:val="24"/>
              </w:rPr>
            </w:pPr>
            <w:r>
              <w:rPr>
                <w:rFonts w:ascii="Times New Roman" w:hAnsi="Times New Roman" w:cs="Times New Roman"/>
                <w:noProof/>
                <w:szCs w:val="24"/>
              </w:rPr>
              <w:t>Kategória látok</w:t>
            </w:r>
          </w:p>
        </w:tc>
        <w:tc>
          <w:tcPr>
            <w:tcW w:w="993" w:type="dxa"/>
          </w:tcPr>
          <w:p w14:paraId="5AA70AA7" w14:textId="77777777" w:rsidR="002709ED" w:rsidRDefault="00B2757B">
            <w:pPr>
              <w:widowControl/>
              <w:spacing w:before="120" w:after="120"/>
              <w:jc w:val="both"/>
              <w:rPr>
                <w:rFonts w:ascii="Times New Roman" w:hAnsi="Times New Roman" w:cs="Times New Roman"/>
                <w:noProof/>
                <w:szCs w:val="24"/>
              </w:rPr>
            </w:pPr>
            <w:r>
              <w:rPr>
                <w:rFonts w:ascii="Times New Roman" w:hAnsi="Times New Roman" w:cs="Times New Roman"/>
                <w:noProof/>
                <w:szCs w:val="24"/>
              </w:rPr>
              <w:t>CAS číslo (</w:t>
            </w:r>
            <w:r>
              <w:rPr>
                <w:rFonts w:ascii="Times New Roman" w:hAnsi="Times New Roman" w:cs="Times New Roman"/>
                <w:noProof/>
                <w:szCs w:val="24"/>
                <w:vertAlign w:val="superscript"/>
              </w:rPr>
              <w:t>1</w:t>
            </w:r>
            <w:r>
              <w:rPr>
                <w:rFonts w:ascii="Times New Roman" w:hAnsi="Times New Roman" w:cs="Times New Roman"/>
                <w:noProof/>
                <w:szCs w:val="24"/>
              </w:rPr>
              <w:t>)</w:t>
            </w:r>
          </w:p>
        </w:tc>
        <w:tc>
          <w:tcPr>
            <w:tcW w:w="992" w:type="dxa"/>
          </w:tcPr>
          <w:p w14:paraId="5550825B" w14:textId="77777777" w:rsidR="002709ED" w:rsidRDefault="00B2757B">
            <w:pPr>
              <w:widowControl/>
              <w:spacing w:before="40" w:after="40"/>
              <w:rPr>
                <w:rFonts w:ascii="Times New Roman" w:hAnsi="Times New Roman" w:cs="Times New Roman"/>
                <w:noProof/>
                <w:szCs w:val="24"/>
              </w:rPr>
            </w:pPr>
            <w:r>
              <w:rPr>
                <w:rFonts w:ascii="Times New Roman" w:hAnsi="Times New Roman" w:cs="Times New Roman"/>
                <w:noProof/>
                <w:szCs w:val="24"/>
              </w:rPr>
              <w:t>EÚ číslo (</w:t>
            </w:r>
            <w:r>
              <w:rPr>
                <w:rFonts w:ascii="Times New Roman" w:hAnsi="Times New Roman" w:cs="Times New Roman"/>
                <w:noProof/>
                <w:szCs w:val="24"/>
                <w:vertAlign w:val="superscript"/>
              </w:rPr>
              <w:t>2</w:t>
            </w:r>
            <w:r>
              <w:rPr>
                <w:rFonts w:ascii="Times New Roman" w:hAnsi="Times New Roman" w:cs="Times New Roman"/>
                <w:noProof/>
                <w:szCs w:val="24"/>
              </w:rPr>
              <w:t>)</w:t>
            </w:r>
          </w:p>
        </w:tc>
        <w:tc>
          <w:tcPr>
            <w:tcW w:w="1843" w:type="dxa"/>
          </w:tcPr>
          <w:p w14:paraId="0CA5C729" w14:textId="77777777" w:rsidR="002709ED" w:rsidRDefault="00B2757B">
            <w:pPr>
              <w:widowControl/>
              <w:spacing w:before="40" w:after="40"/>
              <w:rPr>
                <w:rFonts w:ascii="Times New Roman" w:hAnsi="Times New Roman" w:cs="Times New Roman"/>
                <w:noProof/>
                <w:szCs w:val="24"/>
              </w:rPr>
            </w:pPr>
            <w:r>
              <w:rPr>
                <w:rFonts w:ascii="Times New Roman" w:hAnsi="Times New Roman" w:cs="Times New Roman"/>
                <w:noProof/>
                <w:szCs w:val="24"/>
              </w:rPr>
              <w:t>RP-ENK (</w:t>
            </w:r>
            <w:r>
              <w:rPr>
                <w:rFonts w:ascii="Times New Roman" w:hAnsi="Times New Roman" w:cs="Times New Roman"/>
                <w:noProof/>
                <w:szCs w:val="24"/>
                <w:vertAlign w:val="superscript"/>
              </w:rPr>
              <w:t>3</w:t>
            </w:r>
            <w:r>
              <w:rPr>
                <w:rFonts w:ascii="Times New Roman" w:hAnsi="Times New Roman" w:cs="Times New Roman"/>
                <w:noProof/>
                <w:szCs w:val="24"/>
              </w:rPr>
              <w:t xml:space="preserve">) </w:t>
            </w:r>
          </w:p>
          <w:p w14:paraId="4ED62B2A" w14:textId="77777777" w:rsidR="002709ED" w:rsidRDefault="00B2757B">
            <w:pPr>
              <w:widowControl/>
              <w:spacing w:before="40" w:after="40"/>
              <w:rPr>
                <w:rFonts w:ascii="Times New Roman" w:hAnsi="Times New Roman" w:cs="Times New Roman"/>
                <w:noProof/>
                <w:szCs w:val="24"/>
              </w:rPr>
            </w:pPr>
            <w:r>
              <w:rPr>
                <w:rFonts w:ascii="Times New Roman" w:hAnsi="Times New Roman" w:cs="Times New Roman"/>
                <w:noProof/>
                <w:szCs w:val="24"/>
              </w:rPr>
              <w:t>Vnútrozemské povrchové vody (</w:t>
            </w:r>
            <w:r>
              <w:rPr>
                <w:rFonts w:ascii="Times New Roman" w:hAnsi="Times New Roman" w:cs="Times New Roman"/>
                <w:noProof/>
                <w:szCs w:val="24"/>
                <w:vertAlign w:val="superscript"/>
              </w:rPr>
              <w:t>4</w:t>
            </w:r>
            <w:r>
              <w:rPr>
                <w:rFonts w:ascii="Times New Roman" w:hAnsi="Times New Roman" w:cs="Times New Roman"/>
                <w:noProof/>
                <w:szCs w:val="24"/>
              </w:rPr>
              <w:t>)</w:t>
            </w:r>
          </w:p>
          <w:p w14:paraId="0942B7BD" w14:textId="77777777" w:rsidR="002709ED" w:rsidRDefault="00B2757B">
            <w:pPr>
              <w:widowControl/>
              <w:spacing w:before="120" w:after="120"/>
              <w:jc w:val="both"/>
              <w:rPr>
                <w:rFonts w:ascii="Times New Roman" w:hAnsi="Times New Roman" w:cs="Times New Roman"/>
                <w:noProof/>
                <w:szCs w:val="24"/>
              </w:rPr>
            </w:pPr>
            <w:r>
              <w:rPr>
                <w:rFonts w:ascii="Times New Roman" w:hAnsi="Times New Roman" w:cs="Times New Roman"/>
                <w:noProof/>
                <w:szCs w:val="24"/>
              </w:rPr>
              <w:t>[µg/l]</w:t>
            </w:r>
          </w:p>
        </w:tc>
        <w:tc>
          <w:tcPr>
            <w:tcW w:w="1701" w:type="dxa"/>
          </w:tcPr>
          <w:p w14:paraId="5F8F7A17" w14:textId="77777777" w:rsidR="002709ED" w:rsidRDefault="00B2757B">
            <w:pPr>
              <w:widowControl/>
              <w:spacing w:before="40" w:after="40"/>
              <w:rPr>
                <w:rFonts w:ascii="Times New Roman" w:hAnsi="Times New Roman" w:cs="Times New Roman"/>
                <w:noProof/>
                <w:szCs w:val="24"/>
                <w:vertAlign w:val="superscript"/>
              </w:rPr>
            </w:pPr>
            <w:r>
              <w:rPr>
                <w:rFonts w:ascii="Times New Roman" w:hAnsi="Times New Roman" w:cs="Times New Roman"/>
                <w:noProof/>
                <w:szCs w:val="24"/>
              </w:rPr>
              <w:t>RP-ENK (</w:t>
            </w:r>
            <w:r>
              <w:rPr>
                <w:rFonts w:ascii="Times New Roman" w:hAnsi="Times New Roman" w:cs="Times New Roman"/>
                <w:noProof/>
                <w:szCs w:val="24"/>
                <w:vertAlign w:val="superscript"/>
              </w:rPr>
              <w:t>3</w:t>
            </w:r>
            <w:r>
              <w:rPr>
                <w:rFonts w:ascii="Times New Roman" w:hAnsi="Times New Roman" w:cs="Times New Roman"/>
                <w:noProof/>
                <w:szCs w:val="24"/>
              </w:rPr>
              <w:t>)</w:t>
            </w:r>
          </w:p>
          <w:p w14:paraId="1E4BB98C" w14:textId="77777777" w:rsidR="002709ED" w:rsidRDefault="00B2757B">
            <w:pPr>
              <w:widowControl/>
              <w:spacing w:before="40" w:after="40"/>
              <w:rPr>
                <w:rFonts w:ascii="Times New Roman" w:hAnsi="Times New Roman" w:cs="Times New Roman"/>
                <w:noProof/>
                <w:szCs w:val="24"/>
              </w:rPr>
            </w:pPr>
            <w:r>
              <w:rPr>
                <w:rFonts w:ascii="Times New Roman" w:hAnsi="Times New Roman" w:cs="Times New Roman"/>
                <w:noProof/>
                <w:szCs w:val="24"/>
              </w:rPr>
              <w:t xml:space="preserve">Ostatné povrchové vody </w:t>
            </w:r>
          </w:p>
          <w:p w14:paraId="5A19E6A1" w14:textId="77777777" w:rsidR="002709ED" w:rsidRDefault="00B2757B">
            <w:pPr>
              <w:widowControl/>
              <w:spacing w:before="120" w:after="120"/>
              <w:jc w:val="both"/>
              <w:rPr>
                <w:rFonts w:ascii="Times New Roman" w:hAnsi="Times New Roman" w:cs="Times New Roman"/>
                <w:noProof/>
                <w:szCs w:val="24"/>
              </w:rPr>
            </w:pPr>
            <w:r>
              <w:rPr>
                <w:rFonts w:ascii="Times New Roman" w:hAnsi="Times New Roman" w:cs="Times New Roman"/>
                <w:noProof/>
                <w:szCs w:val="24"/>
              </w:rPr>
              <w:t>[µg/l]</w:t>
            </w:r>
          </w:p>
        </w:tc>
        <w:tc>
          <w:tcPr>
            <w:tcW w:w="2127" w:type="dxa"/>
          </w:tcPr>
          <w:p w14:paraId="2EB1A63A" w14:textId="77777777" w:rsidR="002709ED" w:rsidRDefault="00B2757B">
            <w:pPr>
              <w:widowControl/>
              <w:spacing w:before="40" w:after="40"/>
              <w:rPr>
                <w:rFonts w:ascii="Times New Roman" w:hAnsi="Times New Roman" w:cs="Times New Roman"/>
                <w:noProof/>
                <w:szCs w:val="24"/>
              </w:rPr>
            </w:pPr>
            <w:r>
              <w:rPr>
                <w:rFonts w:ascii="Times New Roman" w:hAnsi="Times New Roman" w:cs="Times New Roman"/>
                <w:noProof/>
                <w:szCs w:val="24"/>
              </w:rPr>
              <w:t>NPK-ENK (</w:t>
            </w:r>
            <w:r>
              <w:rPr>
                <w:rFonts w:ascii="Times New Roman" w:hAnsi="Times New Roman" w:cs="Times New Roman"/>
                <w:noProof/>
                <w:szCs w:val="24"/>
                <w:vertAlign w:val="superscript"/>
              </w:rPr>
              <w:t>5</w:t>
            </w:r>
            <w:r>
              <w:rPr>
                <w:rFonts w:ascii="Times New Roman" w:hAnsi="Times New Roman" w:cs="Times New Roman"/>
                <w:noProof/>
                <w:szCs w:val="24"/>
              </w:rPr>
              <w:t xml:space="preserve">) </w:t>
            </w:r>
          </w:p>
          <w:p w14:paraId="7042BC95" w14:textId="77777777" w:rsidR="002709ED" w:rsidRDefault="00B2757B">
            <w:pPr>
              <w:widowControl/>
              <w:spacing w:before="40" w:after="40"/>
              <w:rPr>
                <w:rFonts w:ascii="Times New Roman" w:hAnsi="Times New Roman" w:cs="Times New Roman"/>
                <w:noProof/>
                <w:szCs w:val="24"/>
                <w:vertAlign w:val="superscript"/>
              </w:rPr>
            </w:pPr>
            <w:r>
              <w:rPr>
                <w:rFonts w:ascii="Times New Roman" w:hAnsi="Times New Roman" w:cs="Times New Roman"/>
                <w:noProof/>
                <w:szCs w:val="24"/>
              </w:rPr>
              <w:t>Vnútrozemské povrchové vody (</w:t>
            </w:r>
            <w:r>
              <w:rPr>
                <w:rFonts w:ascii="Times New Roman" w:hAnsi="Times New Roman" w:cs="Times New Roman"/>
                <w:noProof/>
                <w:szCs w:val="24"/>
                <w:vertAlign w:val="superscript"/>
              </w:rPr>
              <w:t>4</w:t>
            </w:r>
            <w:r>
              <w:rPr>
                <w:rFonts w:ascii="Times New Roman" w:hAnsi="Times New Roman" w:cs="Times New Roman"/>
                <w:noProof/>
                <w:szCs w:val="24"/>
              </w:rPr>
              <w:t>)</w:t>
            </w:r>
          </w:p>
          <w:p w14:paraId="4B49A534" w14:textId="77777777" w:rsidR="002709ED" w:rsidRDefault="00B2757B">
            <w:pPr>
              <w:widowControl/>
              <w:spacing w:before="40" w:after="40"/>
              <w:rPr>
                <w:rFonts w:ascii="Times New Roman" w:hAnsi="Times New Roman" w:cs="Times New Roman"/>
                <w:noProof/>
                <w:szCs w:val="24"/>
                <w:vertAlign w:val="superscript"/>
              </w:rPr>
            </w:pPr>
            <w:r>
              <w:rPr>
                <w:rFonts w:ascii="Times New Roman" w:hAnsi="Times New Roman" w:cs="Times New Roman"/>
                <w:noProof/>
                <w:szCs w:val="24"/>
              </w:rPr>
              <w:t xml:space="preserve"> </w:t>
            </w:r>
          </w:p>
          <w:p w14:paraId="63538625" w14:textId="77777777" w:rsidR="002709ED" w:rsidRDefault="00B2757B">
            <w:pPr>
              <w:widowControl/>
              <w:spacing w:before="120" w:after="120"/>
              <w:jc w:val="both"/>
              <w:rPr>
                <w:rFonts w:ascii="Times New Roman" w:hAnsi="Times New Roman" w:cs="Times New Roman"/>
                <w:noProof/>
                <w:szCs w:val="24"/>
              </w:rPr>
            </w:pPr>
            <w:r>
              <w:rPr>
                <w:rFonts w:ascii="Times New Roman" w:hAnsi="Times New Roman" w:cs="Times New Roman"/>
                <w:noProof/>
                <w:szCs w:val="24"/>
              </w:rPr>
              <w:t>[µg/l]</w:t>
            </w:r>
          </w:p>
        </w:tc>
        <w:tc>
          <w:tcPr>
            <w:tcW w:w="2126" w:type="dxa"/>
          </w:tcPr>
          <w:p w14:paraId="164E1382" w14:textId="77777777" w:rsidR="002709ED" w:rsidRDefault="00B2757B">
            <w:pPr>
              <w:widowControl/>
              <w:spacing w:before="40" w:after="40"/>
              <w:rPr>
                <w:rFonts w:ascii="Times New Roman" w:hAnsi="Times New Roman" w:cs="Times New Roman"/>
                <w:noProof/>
                <w:szCs w:val="24"/>
              </w:rPr>
            </w:pPr>
            <w:r>
              <w:rPr>
                <w:rFonts w:ascii="Times New Roman" w:hAnsi="Times New Roman" w:cs="Times New Roman"/>
                <w:noProof/>
                <w:szCs w:val="24"/>
              </w:rPr>
              <w:t>NPK-ENK (</w:t>
            </w:r>
            <w:r>
              <w:rPr>
                <w:rFonts w:ascii="Times New Roman" w:hAnsi="Times New Roman" w:cs="Times New Roman"/>
                <w:noProof/>
                <w:szCs w:val="24"/>
                <w:vertAlign w:val="superscript"/>
              </w:rPr>
              <w:t>5</w:t>
            </w:r>
            <w:r>
              <w:rPr>
                <w:rFonts w:ascii="Times New Roman" w:hAnsi="Times New Roman" w:cs="Times New Roman"/>
                <w:noProof/>
                <w:szCs w:val="24"/>
              </w:rPr>
              <w:t>)</w:t>
            </w:r>
          </w:p>
          <w:p w14:paraId="4C4F2271" w14:textId="77777777" w:rsidR="002709ED" w:rsidRDefault="00B2757B">
            <w:pPr>
              <w:widowControl/>
              <w:spacing w:before="40" w:after="40"/>
              <w:rPr>
                <w:rFonts w:ascii="Times New Roman" w:hAnsi="Times New Roman" w:cs="Times New Roman"/>
                <w:noProof/>
                <w:szCs w:val="24"/>
              </w:rPr>
            </w:pPr>
            <w:r>
              <w:rPr>
                <w:rFonts w:ascii="Times New Roman" w:hAnsi="Times New Roman" w:cs="Times New Roman"/>
                <w:noProof/>
                <w:szCs w:val="24"/>
              </w:rPr>
              <w:t>Ostatné povrchové vody</w:t>
            </w:r>
          </w:p>
          <w:p w14:paraId="12E91615" w14:textId="77777777" w:rsidR="002709ED" w:rsidRDefault="00B2757B">
            <w:pPr>
              <w:widowControl/>
              <w:spacing w:before="120" w:after="120"/>
              <w:jc w:val="both"/>
              <w:rPr>
                <w:rFonts w:ascii="Times New Roman" w:hAnsi="Times New Roman" w:cs="Times New Roman"/>
                <w:noProof/>
                <w:szCs w:val="24"/>
              </w:rPr>
            </w:pPr>
            <w:r>
              <w:rPr>
                <w:rFonts w:ascii="Times New Roman" w:hAnsi="Times New Roman" w:cs="Times New Roman"/>
                <w:noProof/>
                <w:szCs w:val="24"/>
              </w:rPr>
              <w:t>[µg/l]</w:t>
            </w:r>
          </w:p>
        </w:tc>
        <w:tc>
          <w:tcPr>
            <w:tcW w:w="2694" w:type="dxa"/>
            <w:tcBorders>
              <w:right w:val="single" w:sz="4" w:space="0" w:color="auto"/>
            </w:tcBorders>
          </w:tcPr>
          <w:p w14:paraId="1300CC9E" w14:textId="77777777" w:rsidR="002709ED" w:rsidRDefault="00B2757B">
            <w:pPr>
              <w:widowControl/>
              <w:spacing w:before="40" w:after="40"/>
              <w:rPr>
                <w:rFonts w:ascii="Times New Roman" w:hAnsi="Times New Roman" w:cs="Times New Roman"/>
                <w:noProof/>
                <w:szCs w:val="24"/>
              </w:rPr>
            </w:pPr>
            <w:r>
              <w:rPr>
                <w:rFonts w:ascii="Times New Roman" w:hAnsi="Times New Roman" w:cs="Times New Roman"/>
                <w:noProof/>
                <w:szCs w:val="24"/>
              </w:rPr>
              <w:t>ENK</w:t>
            </w:r>
          </w:p>
          <w:p w14:paraId="20B68A97" w14:textId="77777777" w:rsidR="002709ED" w:rsidRDefault="00B2757B">
            <w:pPr>
              <w:widowControl/>
              <w:spacing w:before="40" w:after="40"/>
              <w:rPr>
                <w:rFonts w:ascii="Times New Roman" w:hAnsi="Times New Roman" w:cs="Times New Roman"/>
                <w:noProof/>
                <w:szCs w:val="24"/>
              </w:rPr>
            </w:pPr>
            <w:r>
              <w:rPr>
                <w:rFonts w:ascii="Times New Roman" w:hAnsi="Times New Roman" w:cs="Times New Roman"/>
                <w:noProof/>
                <w:szCs w:val="24"/>
              </w:rPr>
              <w:t>Biota (</w:t>
            </w:r>
            <w:r>
              <w:rPr>
                <w:rFonts w:ascii="Times New Roman" w:hAnsi="Times New Roman" w:cs="Times New Roman"/>
                <w:noProof/>
                <w:szCs w:val="24"/>
                <w:vertAlign w:val="superscript"/>
              </w:rPr>
              <w:t>6</w:t>
            </w:r>
            <w:r>
              <w:rPr>
                <w:rFonts w:ascii="Times New Roman" w:hAnsi="Times New Roman" w:cs="Times New Roman"/>
                <w:noProof/>
                <w:szCs w:val="24"/>
              </w:rPr>
              <w:t>)</w:t>
            </w:r>
          </w:p>
          <w:p w14:paraId="15EF7762" w14:textId="77777777" w:rsidR="002709ED" w:rsidRDefault="00B2757B">
            <w:pPr>
              <w:widowControl/>
              <w:spacing w:before="120" w:after="120"/>
              <w:jc w:val="both"/>
              <w:rPr>
                <w:rFonts w:ascii="Times New Roman" w:hAnsi="Times New Roman" w:cs="Times New Roman"/>
                <w:noProof/>
                <w:szCs w:val="24"/>
              </w:rPr>
            </w:pPr>
            <w:r>
              <w:rPr>
                <w:rFonts w:ascii="Times New Roman" w:hAnsi="Times New Roman" w:cs="Times New Roman"/>
                <w:noProof/>
                <w:szCs w:val="24"/>
              </w:rPr>
              <w:t>[µg/kg vlhkej hmotnosti] alebo ENK pre sediment, ak je tak uvedené [µg/kg suchej hmotnosti]</w:t>
            </w:r>
          </w:p>
        </w:tc>
        <w:tc>
          <w:tcPr>
            <w:tcW w:w="709" w:type="dxa"/>
            <w:tcBorders>
              <w:right w:val="single" w:sz="4" w:space="0" w:color="auto"/>
            </w:tcBorders>
          </w:tcPr>
          <w:p w14:paraId="1EC3AABE" w14:textId="77777777" w:rsidR="002709ED" w:rsidRDefault="002709ED">
            <w:pPr>
              <w:widowControl/>
              <w:spacing w:before="40" w:after="40"/>
              <w:rPr>
                <w:rFonts w:ascii="Times New Roman" w:hAnsi="Times New Roman" w:cs="Times New Roman"/>
                <w:noProof/>
                <w:szCs w:val="24"/>
              </w:rPr>
            </w:pPr>
          </w:p>
        </w:tc>
      </w:tr>
      <w:tr w:rsidR="002709ED" w14:paraId="40008B77" w14:textId="77777777">
        <w:tc>
          <w:tcPr>
            <w:tcW w:w="534" w:type="dxa"/>
          </w:tcPr>
          <w:p w14:paraId="0A88561A" w14:textId="77777777" w:rsidR="002709ED" w:rsidRDefault="00B2757B">
            <w:pPr>
              <w:widowControl/>
              <w:spacing w:before="120" w:after="120"/>
              <w:jc w:val="both"/>
              <w:rPr>
                <w:rFonts w:ascii="Times New Roman" w:hAnsi="Times New Roman" w:cs="Times New Roman"/>
                <w:noProof/>
                <w:szCs w:val="24"/>
              </w:rPr>
            </w:pPr>
            <w:r>
              <w:rPr>
                <w:rFonts w:ascii="Times New Roman" w:hAnsi="Times New Roman" w:cs="Times New Roman"/>
                <w:noProof/>
                <w:szCs w:val="24"/>
              </w:rPr>
              <w:t>1</w:t>
            </w:r>
          </w:p>
        </w:tc>
        <w:tc>
          <w:tcPr>
            <w:tcW w:w="1134" w:type="dxa"/>
            <w:tcMar>
              <w:left w:w="57" w:type="dxa"/>
              <w:right w:w="57" w:type="dxa"/>
            </w:tcMar>
          </w:tcPr>
          <w:p w14:paraId="2B5BE443" w14:textId="77777777" w:rsidR="002709ED" w:rsidRDefault="00B2757B">
            <w:pPr>
              <w:widowControl/>
              <w:spacing w:before="120" w:after="120"/>
              <w:rPr>
                <w:rFonts w:ascii="Times New Roman" w:hAnsi="Times New Roman" w:cs="Times New Roman"/>
                <w:noProof/>
                <w:szCs w:val="24"/>
              </w:rPr>
            </w:pPr>
            <w:r>
              <w:rPr>
                <w:rFonts w:ascii="Times New Roman" w:hAnsi="Times New Roman" w:cs="Times New Roman"/>
                <w:noProof/>
                <w:szCs w:val="24"/>
              </w:rPr>
              <w:t>alachlór (</w:t>
            </w:r>
            <w:r>
              <w:rPr>
                <w:rFonts w:ascii="Times New Roman" w:hAnsi="Times New Roman" w:cs="Times New Roman"/>
                <w:noProof/>
                <w:szCs w:val="24"/>
                <w:vertAlign w:val="superscript"/>
              </w:rPr>
              <w:t>7</w:t>
            </w:r>
            <w:r>
              <w:rPr>
                <w:rFonts w:ascii="Times New Roman" w:hAnsi="Times New Roman" w:cs="Times New Roman"/>
                <w:noProof/>
                <w:szCs w:val="24"/>
              </w:rPr>
              <w:t>)</w:t>
            </w:r>
          </w:p>
        </w:tc>
        <w:tc>
          <w:tcPr>
            <w:tcW w:w="1275" w:type="dxa"/>
          </w:tcPr>
          <w:p w14:paraId="7F509662" w14:textId="77777777" w:rsidR="002709ED" w:rsidRDefault="00B2757B">
            <w:pPr>
              <w:widowControl/>
              <w:spacing w:before="120" w:after="120"/>
              <w:jc w:val="both"/>
              <w:rPr>
                <w:rFonts w:ascii="Times New Roman" w:hAnsi="Times New Roman" w:cs="Times New Roman"/>
                <w:noProof/>
                <w:szCs w:val="24"/>
              </w:rPr>
            </w:pPr>
            <w:r>
              <w:rPr>
                <w:rFonts w:ascii="Times New Roman" w:hAnsi="Times New Roman" w:cs="Times New Roman"/>
                <w:noProof/>
                <w:szCs w:val="24"/>
              </w:rPr>
              <w:t>pesticídy</w:t>
            </w:r>
          </w:p>
        </w:tc>
        <w:tc>
          <w:tcPr>
            <w:tcW w:w="993" w:type="dxa"/>
            <w:tcMar>
              <w:left w:w="28" w:type="dxa"/>
              <w:right w:w="28" w:type="dxa"/>
            </w:tcMar>
          </w:tcPr>
          <w:p w14:paraId="51A628B5" w14:textId="77777777" w:rsidR="002709ED" w:rsidRDefault="00B2757B">
            <w:pPr>
              <w:widowControl/>
              <w:spacing w:before="120" w:after="120"/>
              <w:jc w:val="both"/>
              <w:rPr>
                <w:rFonts w:ascii="Times New Roman" w:hAnsi="Times New Roman" w:cs="Times New Roman"/>
                <w:noProof/>
                <w:szCs w:val="24"/>
              </w:rPr>
            </w:pPr>
            <w:r>
              <w:rPr>
                <w:rFonts w:ascii="Times New Roman" w:hAnsi="Times New Roman" w:cs="Times New Roman"/>
                <w:noProof/>
                <w:szCs w:val="24"/>
              </w:rPr>
              <w:t>15972-60-8</w:t>
            </w:r>
          </w:p>
        </w:tc>
        <w:tc>
          <w:tcPr>
            <w:tcW w:w="992" w:type="dxa"/>
          </w:tcPr>
          <w:p w14:paraId="6E749260" w14:textId="77777777" w:rsidR="002709ED" w:rsidRDefault="00B2757B">
            <w:pPr>
              <w:widowControl/>
              <w:spacing w:before="120" w:after="120"/>
              <w:jc w:val="both"/>
              <w:rPr>
                <w:rFonts w:ascii="Times New Roman" w:hAnsi="Times New Roman" w:cs="Times New Roman"/>
                <w:noProof/>
                <w:szCs w:val="24"/>
              </w:rPr>
            </w:pPr>
            <w:r>
              <w:rPr>
                <w:rFonts w:ascii="Times New Roman" w:hAnsi="Times New Roman" w:cs="Times New Roman"/>
                <w:noProof/>
                <w:szCs w:val="24"/>
              </w:rPr>
              <w:t>240-110-8</w:t>
            </w:r>
          </w:p>
        </w:tc>
        <w:tc>
          <w:tcPr>
            <w:tcW w:w="1843" w:type="dxa"/>
          </w:tcPr>
          <w:p w14:paraId="092058ED" w14:textId="77777777" w:rsidR="002709ED" w:rsidRDefault="00B2757B">
            <w:pPr>
              <w:widowControl/>
              <w:spacing w:before="120" w:after="120"/>
              <w:jc w:val="both"/>
              <w:rPr>
                <w:rFonts w:ascii="Times New Roman" w:hAnsi="Times New Roman" w:cs="Times New Roman"/>
                <w:noProof/>
                <w:szCs w:val="24"/>
              </w:rPr>
            </w:pPr>
            <w:r>
              <w:rPr>
                <w:rFonts w:ascii="Times New Roman" w:hAnsi="Times New Roman" w:cs="Times New Roman"/>
                <w:noProof/>
                <w:szCs w:val="24"/>
              </w:rPr>
              <w:t>0,3</w:t>
            </w:r>
          </w:p>
        </w:tc>
        <w:tc>
          <w:tcPr>
            <w:tcW w:w="1701" w:type="dxa"/>
          </w:tcPr>
          <w:p w14:paraId="39002CE0" w14:textId="77777777" w:rsidR="002709ED" w:rsidRDefault="00B2757B">
            <w:pPr>
              <w:widowControl/>
              <w:spacing w:before="120" w:after="120"/>
              <w:jc w:val="both"/>
              <w:rPr>
                <w:rFonts w:ascii="Times New Roman" w:hAnsi="Times New Roman" w:cs="Times New Roman"/>
                <w:noProof/>
                <w:szCs w:val="24"/>
              </w:rPr>
            </w:pPr>
            <w:r>
              <w:rPr>
                <w:rFonts w:ascii="Times New Roman" w:hAnsi="Times New Roman" w:cs="Times New Roman"/>
                <w:noProof/>
                <w:szCs w:val="24"/>
              </w:rPr>
              <w:t>0,3</w:t>
            </w:r>
          </w:p>
        </w:tc>
        <w:tc>
          <w:tcPr>
            <w:tcW w:w="2127" w:type="dxa"/>
          </w:tcPr>
          <w:p w14:paraId="56C670BB" w14:textId="77777777" w:rsidR="002709ED" w:rsidRDefault="00B2757B">
            <w:pPr>
              <w:widowControl/>
              <w:spacing w:before="120" w:after="120"/>
              <w:jc w:val="both"/>
              <w:rPr>
                <w:rFonts w:ascii="Times New Roman" w:hAnsi="Times New Roman" w:cs="Times New Roman"/>
                <w:noProof/>
                <w:szCs w:val="24"/>
              </w:rPr>
            </w:pPr>
            <w:r>
              <w:rPr>
                <w:rFonts w:ascii="Times New Roman" w:hAnsi="Times New Roman" w:cs="Times New Roman"/>
                <w:noProof/>
                <w:szCs w:val="24"/>
              </w:rPr>
              <w:t>0,7</w:t>
            </w:r>
          </w:p>
        </w:tc>
        <w:tc>
          <w:tcPr>
            <w:tcW w:w="2126" w:type="dxa"/>
          </w:tcPr>
          <w:p w14:paraId="15DF8A3B" w14:textId="77777777" w:rsidR="002709ED" w:rsidRDefault="00B2757B">
            <w:pPr>
              <w:widowControl/>
              <w:spacing w:before="120" w:after="120"/>
              <w:jc w:val="both"/>
              <w:rPr>
                <w:rFonts w:ascii="Times New Roman" w:hAnsi="Times New Roman" w:cs="Times New Roman"/>
                <w:noProof/>
                <w:szCs w:val="24"/>
              </w:rPr>
            </w:pPr>
            <w:r>
              <w:rPr>
                <w:rFonts w:ascii="Times New Roman" w:hAnsi="Times New Roman" w:cs="Times New Roman"/>
                <w:noProof/>
                <w:szCs w:val="24"/>
              </w:rPr>
              <w:t>0,7</w:t>
            </w:r>
          </w:p>
        </w:tc>
        <w:tc>
          <w:tcPr>
            <w:tcW w:w="2694" w:type="dxa"/>
          </w:tcPr>
          <w:p w14:paraId="3BC6BA2C" w14:textId="77777777" w:rsidR="002709ED" w:rsidRDefault="002709ED">
            <w:pPr>
              <w:widowControl/>
              <w:spacing w:before="120" w:after="120"/>
              <w:jc w:val="both"/>
              <w:rPr>
                <w:rFonts w:ascii="Times New Roman" w:hAnsi="Times New Roman" w:cs="Times New Roman"/>
                <w:noProof/>
                <w:szCs w:val="24"/>
              </w:rPr>
            </w:pPr>
          </w:p>
        </w:tc>
        <w:tc>
          <w:tcPr>
            <w:tcW w:w="709" w:type="dxa"/>
          </w:tcPr>
          <w:p w14:paraId="51E1016D" w14:textId="77777777" w:rsidR="002709ED" w:rsidRDefault="002709ED">
            <w:pPr>
              <w:widowControl/>
              <w:spacing w:before="120" w:after="120"/>
              <w:jc w:val="both"/>
              <w:rPr>
                <w:rFonts w:ascii="Times New Roman" w:hAnsi="Times New Roman" w:cs="Times New Roman"/>
                <w:noProof/>
                <w:szCs w:val="24"/>
              </w:rPr>
            </w:pPr>
          </w:p>
        </w:tc>
      </w:tr>
      <w:tr w:rsidR="002709ED" w14:paraId="1539CEAE" w14:textId="77777777">
        <w:tc>
          <w:tcPr>
            <w:tcW w:w="534" w:type="dxa"/>
          </w:tcPr>
          <w:p w14:paraId="6FF3180A" w14:textId="77777777" w:rsidR="002709ED" w:rsidRDefault="00B2757B">
            <w:pPr>
              <w:widowControl/>
              <w:spacing w:before="120" w:after="120"/>
              <w:jc w:val="both"/>
              <w:rPr>
                <w:rFonts w:ascii="Times New Roman" w:hAnsi="Times New Roman" w:cs="Times New Roman"/>
                <w:noProof/>
                <w:szCs w:val="24"/>
              </w:rPr>
            </w:pPr>
            <w:r>
              <w:rPr>
                <w:rFonts w:ascii="Times New Roman" w:hAnsi="Times New Roman" w:cs="Times New Roman"/>
                <w:noProof/>
                <w:szCs w:val="24"/>
              </w:rPr>
              <w:t>2</w:t>
            </w:r>
          </w:p>
        </w:tc>
        <w:tc>
          <w:tcPr>
            <w:tcW w:w="1134" w:type="dxa"/>
            <w:tcMar>
              <w:left w:w="57" w:type="dxa"/>
              <w:right w:w="57" w:type="dxa"/>
            </w:tcMar>
          </w:tcPr>
          <w:p w14:paraId="5BEE203B" w14:textId="77777777" w:rsidR="002709ED" w:rsidRDefault="00B2757B">
            <w:pPr>
              <w:widowControl/>
              <w:spacing w:before="120" w:after="120"/>
              <w:rPr>
                <w:rFonts w:ascii="Times New Roman" w:hAnsi="Times New Roman" w:cs="Times New Roman"/>
                <w:noProof/>
                <w:szCs w:val="24"/>
              </w:rPr>
            </w:pPr>
            <w:r>
              <w:rPr>
                <w:rFonts w:ascii="Times New Roman" w:hAnsi="Times New Roman" w:cs="Times New Roman"/>
                <w:noProof/>
                <w:szCs w:val="24"/>
              </w:rPr>
              <w:t>chlorid uhličitý (</w:t>
            </w:r>
            <w:r>
              <w:rPr>
                <w:rFonts w:ascii="Times New Roman" w:hAnsi="Times New Roman" w:cs="Times New Roman"/>
                <w:noProof/>
                <w:szCs w:val="24"/>
                <w:vertAlign w:val="superscript"/>
              </w:rPr>
              <w:t>7</w:t>
            </w:r>
            <w:r>
              <w:rPr>
                <w:rFonts w:ascii="Times New Roman" w:hAnsi="Times New Roman" w:cs="Times New Roman"/>
                <w:noProof/>
                <w:szCs w:val="24"/>
              </w:rPr>
              <w:t>)</w:t>
            </w:r>
          </w:p>
        </w:tc>
        <w:tc>
          <w:tcPr>
            <w:tcW w:w="1275" w:type="dxa"/>
          </w:tcPr>
          <w:p w14:paraId="59576727" w14:textId="77777777" w:rsidR="002709ED" w:rsidRDefault="00B2757B">
            <w:pPr>
              <w:widowControl/>
              <w:spacing w:before="120" w:after="120"/>
              <w:jc w:val="both"/>
              <w:rPr>
                <w:rFonts w:ascii="Times New Roman" w:hAnsi="Times New Roman" w:cs="Times New Roman"/>
                <w:noProof/>
                <w:szCs w:val="24"/>
              </w:rPr>
            </w:pPr>
            <w:r>
              <w:rPr>
                <w:rFonts w:ascii="Times New Roman" w:hAnsi="Times New Roman" w:cs="Times New Roman"/>
                <w:noProof/>
                <w:szCs w:val="24"/>
              </w:rPr>
              <w:t>priemyselné látky</w:t>
            </w:r>
          </w:p>
        </w:tc>
        <w:tc>
          <w:tcPr>
            <w:tcW w:w="993" w:type="dxa"/>
            <w:tcMar>
              <w:left w:w="28" w:type="dxa"/>
              <w:right w:w="28" w:type="dxa"/>
            </w:tcMar>
          </w:tcPr>
          <w:p w14:paraId="091D1658" w14:textId="77777777" w:rsidR="002709ED" w:rsidRDefault="00B2757B">
            <w:pPr>
              <w:widowControl/>
              <w:spacing w:before="120" w:after="120"/>
              <w:jc w:val="both"/>
              <w:rPr>
                <w:rFonts w:ascii="Times New Roman" w:hAnsi="Times New Roman" w:cs="Times New Roman"/>
                <w:noProof/>
                <w:szCs w:val="24"/>
              </w:rPr>
            </w:pPr>
            <w:r>
              <w:rPr>
                <w:rFonts w:ascii="Times New Roman" w:hAnsi="Times New Roman" w:cs="Times New Roman"/>
                <w:noProof/>
                <w:szCs w:val="24"/>
              </w:rPr>
              <w:t>56-23-5</w:t>
            </w:r>
          </w:p>
        </w:tc>
        <w:tc>
          <w:tcPr>
            <w:tcW w:w="992" w:type="dxa"/>
          </w:tcPr>
          <w:p w14:paraId="3BEED2E9" w14:textId="77777777" w:rsidR="002709ED" w:rsidRDefault="00B2757B">
            <w:pPr>
              <w:widowControl/>
              <w:spacing w:before="120" w:after="120"/>
              <w:jc w:val="both"/>
              <w:rPr>
                <w:rFonts w:ascii="Times New Roman" w:hAnsi="Times New Roman" w:cs="Times New Roman"/>
                <w:noProof/>
                <w:szCs w:val="24"/>
              </w:rPr>
            </w:pPr>
            <w:r>
              <w:rPr>
                <w:rFonts w:ascii="Times New Roman" w:hAnsi="Times New Roman" w:cs="Times New Roman"/>
                <w:noProof/>
                <w:szCs w:val="24"/>
              </w:rPr>
              <w:t>200-262-8</w:t>
            </w:r>
          </w:p>
        </w:tc>
        <w:tc>
          <w:tcPr>
            <w:tcW w:w="1843" w:type="dxa"/>
          </w:tcPr>
          <w:p w14:paraId="541DFD2D" w14:textId="77777777" w:rsidR="002709ED" w:rsidRDefault="00B2757B">
            <w:pPr>
              <w:widowControl/>
              <w:spacing w:before="120" w:after="120"/>
              <w:jc w:val="both"/>
              <w:rPr>
                <w:rFonts w:ascii="Times New Roman" w:hAnsi="Times New Roman" w:cs="Times New Roman"/>
                <w:noProof/>
                <w:szCs w:val="24"/>
              </w:rPr>
            </w:pPr>
            <w:r>
              <w:rPr>
                <w:rFonts w:ascii="Times New Roman" w:hAnsi="Times New Roman" w:cs="Times New Roman"/>
                <w:noProof/>
                <w:szCs w:val="24"/>
              </w:rPr>
              <w:t xml:space="preserve">12 </w:t>
            </w:r>
          </w:p>
        </w:tc>
        <w:tc>
          <w:tcPr>
            <w:tcW w:w="1701" w:type="dxa"/>
          </w:tcPr>
          <w:p w14:paraId="1D867A98" w14:textId="77777777" w:rsidR="002709ED" w:rsidRDefault="00B2757B">
            <w:pPr>
              <w:widowControl/>
              <w:spacing w:before="120" w:after="120"/>
              <w:jc w:val="both"/>
              <w:rPr>
                <w:rFonts w:ascii="Times New Roman" w:hAnsi="Times New Roman" w:cs="Times New Roman"/>
                <w:noProof/>
                <w:szCs w:val="24"/>
              </w:rPr>
            </w:pPr>
            <w:r>
              <w:rPr>
                <w:rFonts w:ascii="Times New Roman" w:hAnsi="Times New Roman" w:cs="Times New Roman"/>
                <w:noProof/>
                <w:szCs w:val="24"/>
              </w:rPr>
              <w:t>12</w:t>
            </w:r>
          </w:p>
        </w:tc>
        <w:tc>
          <w:tcPr>
            <w:tcW w:w="2127" w:type="dxa"/>
          </w:tcPr>
          <w:p w14:paraId="4B19EB7D" w14:textId="77777777" w:rsidR="002709ED" w:rsidRDefault="00B2757B">
            <w:pPr>
              <w:widowControl/>
              <w:spacing w:before="120" w:after="120"/>
              <w:jc w:val="both"/>
              <w:rPr>
                <w:rFonts w:ascii="Times New Roman" w:hAnsi="Times New Roman" w:cs="Times New Roman"/>
                <w:noProof/>
                <w:szCs w:val="24"/>
              </w:rPr>
            </w:pPr>
            <w:r>
              <w:rPr>
                <w:rFonts w:ascii="Times New Roman" w:hAnsi="Times New Roman" w:cs="Times New Roman"/>
                <w:noProof/>
                <w:szCs w:val="24"/>
              </w:rPr>
              <w:t>neuplatňuje sa</w:t>
            </w:r>
          </w:p>
        </w:tc>
        <w:tc>
          <w:tcPr>
            <w:tcW w:w="2126" w:type="dxa"/>
          </w:tcPr>
          <w:p w14:paraId="3C6C052F" w14:textId="77777777" w:rsidR="002709ED" w:rsidRDefault="00B2757B">
            <w:pPr>
              <w:widowControl/>
              <w:spacing w:before="120" w:after="120"/>
              <w:jc w:val="both"/>
              <w:rPr>
                <w:rFonts w:ascii="Times New Roman" w:hAnsi="Times New Roman" w:cs="Times New Roman"/>
                <w:noProof/>
                <w:szCs w:val="24"/>
              </w:rPr>
            </w:pPr>
            <w:r>
              <w:rPr>
                <w:rFonts w:ascii="Times New Roman" w:hAnsi="Times New Roman" w:cs="Times New Roman"/>
                <w:noProof/>
                <w:szCs w:val="24"/>
              </w:rPr>
              <w:t>neuplatňuje sa</w:t>
            </w:r>
          </w:p>
        </w:tc>
        <w:tc>
          <w:tcPr>
            <w:tcW w:w="2694" w:type="dxa"/>
          </w:tcPr>
          <w:p w14:paraId="170FAFB2" w14:textId="77777777" w:rsidR="002709ED" w:rsidRDefault="002709ED">
            <w:pPr>
              <w:widowControl/>
              <w:spacing w:before="120" w:after="120"/>
              <w:jc w:val="both"/>
              <w:rPr>
                <w:rFonts w:ascii="Times New Roman" w:hAnsi="Times New Roman" w:cs="Times New Roman"/>
                <w:noProof/>
                <w:szCs w:val="24"/>
              </w:rPr>
            </w:pPr>
          </w:p>
        </w:tc>
        <w:tc>
          <w:tcPr>
            <w:tcW w:w="709" w:type="dxa"/>
          </w:tcPr>
          <w:p w14:paraId="4FD40E6A" w14:textId="77777777" w:rsidR="002709ED" w:rsidRDefault="002709ED">
            <w:pPr>
              <w:widowControl/>
              <w:spacing w:before="120" w:after="120"/>
              <w:jc w:val="both"/>
              <w:rPr>
                <w:rFonts w:ascii="Times New Roman" w:hAnsi="Times New Roman" w:cs="Times New Roman"/>
                <w:noProof/>
                <w:szCs w:val="24"/>
              </w:rPr>
            </w:pPr>
          </w:p>
        </w:tc>
      </w:tr>
      <w:tr w:rsidR="002709ED" w14:paraId="720F3CDD" w14:textId="77777777">
        <w:tc>
          <w:tcPr>
            <w:tcW w:w="534" w:type="dxa"/>
          </w:tcPr>
          <w:p w14:paraId="65BA9857" w14:textId="77777777" w:rsidR="002709ED" w:rsidRDefault="00B2757B">
            <w:pPr>
              <w:widowControl/>
              <w:spacing w:before="120" w:after="120"/>
              <w:jc w:val="both"/>
              <w:rPr>
                <w:rFonts w:ascii="Times New Roman" w:hAnsi="Times New Roman" w:cs="Times New Roman"/>
                <w:noProof/>
                <w:szCs w:val="24"/>
              </w:rPr>
            </w:pPr>
            <w:r>
              <w:rPr>
                <w:rFonts w:ascii="Times New Roman" w:hAnsi="Times New Roman" w:cs="Times New Roman"/>
                <w:noProof/>
                <w:szCs w:val="24"/>
              </w:rPr>
              <w:t>3</w:t>
            </w:r>
          </w:p>
        </w:tc>
        <w:tc>
          <w:tcPr>
            <w:tcW w:w="1134" w:type="dxa"/>
            <w:tcMar>
              <w:left w:w="57" w:type="dxa"/>
              <w:right w:w="57" w:type="dxa"/>
            </w:tcMar>
          </w:tcPr>
          <w:p w14:paraId="4273251C" w14:textId="77777777" w:rsidR="002709ED" w:rsidRDefault="00B2757B">
            <w:pPr>
              <w:widowControl/>
              <w:spacing w:before="120" w:after="120"/>
              <w:rPr>
                <w:rFonts w:ascii="Times New Roman" w:hAnsi="Times New Roman" w:cs="Times New Roman"/>
                <w:noProof/>
                <w:szCs w:val="24"/>
              </w:rPr>
            </w:pPr>
            <w:r>
              <w:rPr>
                <w:rFonts w:ascii="Times New Roman" w:hAnsi="Times New Roman" w:cs="Times New Roman"/>
                <w:noProof/>
                <w:szCs w:val="24"/>
              </w:rPr>
              <w:t>chlórfenvinfos (</w:t>
            </w:r>
            <w:r>
              <w:rPr>
                <w:rFonts w:ascii="Times New Roman" w:hAnsi="Times New Roman" w:cs="Times New Roman"/>
                <w:noProof/>
                <w:szCs w:val="24"/>
                <w:vertAlign w:val="superscript"/>
              </w:rPr>
              <w:t>7</w:t>
            </w:r>
            <w:r>
              <w:rPr>
                <w:rFonts w:ascii="Times New Roman" w:hAnsi="Times New Roman" w:cs="Times New Roman"/>
                <w:noProof/>
                <w:szCs w:val="24"/>
              </w:rPr>
              <w:t>)</w:t>
            </w:r>
          </w:p>
        </w:tc>
        <w:tc>
          <w:tcPr>
            <w:tcW w:w="1275" w:type="dxa"/>
          </w:tcPr>
          <w:p w14:paraId="56638567" w14:textId="77777777" w:rsidR="002709ED" w:rsidRDefault="00B2757B">
            <w:pPr>
              <w:widowControl/>
              <w:spacing w:before="120" w:after="120"/>
              <w:jc w:val="both"/>
              <w:rPr>
                <w:rFonts w:ascii="Times New Roman" w:hAnsi="Times New Roman" w:cs="Times New Roman"/>
                <w:noProof/>
                <w:szCs w:val="24"/>
              </w:rPr>
            </w:pPr>
            <w:r>
              <w:rPr>
                <w:rFonts w:ascii="Times New Roman" w:hAnsi="Times New Roman" w:cs="Times New Roman"/>
                <w:noProof/>
                <w:szCs w:val="24"/>
              </w:rPr>
              <w:t>pesticíd</w:t>
            </w:r>
          </w:p>
        </w:tc>
        <w:tc>
          <w:tcPr>
            <w:tcW w:w="993" w:type="dxa"/>
            <w:tcMar>
              <w:left w:w="28" w:type="dxa"/>
              <w:right w:w="28" w:type="dxa"/>
            </w:tcMar>
          </w:tcPr>
          <w:p w14:paraId="43019F47" w14:textId="77777777" w:rsidR="002709ED" w:rsidRDefault="00B2757B">
            <w:pPr>
              <w:widowControl/>
              <w:spacing w:before="120" w:after="120"/>
              <w:jc w:val="both"/>
              <w:rPr>
                <w:rFonts w:ascii="Times New Roman" w:hAnsi="Times New Roman" w:cs="Times New Roman"/>
                <w:noProof/>
                <w:szCs w:val="24"/>
              </w:rPr>
            </w:pPr>
            <w:r>
              <w:rPr>
                <w:rFonts w:ascii="Times New Roman" w:hAnsi="Times New Roman" w:cs="Times New Roman"/>
                <w:noProof/>
                <w:szCs w:val="24"/>
              </w:rPr>
              <w:t>470-90-6</w:t>
            </w:r>
          </w:p>
        </w:tc>
        <w:tc>
          <w:tcPr>
            <w:tcW w:w="992" w:type="dxa"/>
          </w:tcPr>
          <w:p w14:paraId="30483EFC" w14:textId="77777777" w:rsidR="002709ED" w:rsidRDefault="00B2757B">
            <w:pPr>
              <w:widowControl/>
              <w:spacing w:before="120" w:after="120"/>
              <w:jc w:val="both"/>
              <w:rPr>
                <w:rFonts w:ascii="Times New Roman" w:hAnsi="Times New Roman" w:cs="Times New Roman"/>
                <w:noProof/>
                <w:szCs w:val="24"/>
              </w:rPr>
            </w:pPr>
            <w:r>
              <w:rPr>
                <w:rFonts w:ascii="Times New Roman" w:hAnsi="Times New Roman" w:cs="Times New Roman"/>
                <w:noProof/>
                <w:szCs w:val="24"/>
              </w:rPr>
              <w:t>207-432-0</w:t>
            </w:r>
          </w:p>
        </w:tc>
        <w:tc>
          <w:tcPr>
            <w:tcW w:w="1843" w:type="dxa"/>
          </w:tcPr>
          <w:p w14:paraId="5EA51B5E" w14:textId="77777777" w:rsidR="002709ED" w:rsidRDefault="00B2757B">
            <w:pPr>
              <w:widowControl/>
              <w:spacing w:before="120" w:after="120"/>
              <w:jc w:val="both"/>
              <w:rPr>
                <w:rFonts w:ascii="Times New Roman" w:hAnsi="Times New Roman" w:cs="Times New Roman"/>
                <w:noProof/>
                <w:szCs w:val="24"/>
              </w:rPr>
            </w:pPr>
            <w:r>
              <w:rPr>
                <w:rFonts w:ascii="Times New Roman" w:hAnsi="Times New Roman" w:cs="Times New Roman"/>
                <w:noProof/>
                <w:szCs w:val="24"/>
              </w:rPr>
              <w:t>0,1</w:t>
            </w:r>
          </w:p>
        </w:tc>
        <w:tc>
          <w:tcPr>
            <w:tcW w:w="1701" w:type="dxa"/>
          </w:tcPr>
          <w:p w14:paraId="7F17CC79" w14:textId="77777777" w:rsidR="002709ED" w:rsidRDefault="00B2757B">
            <w:pPr>
              <w:widowControl/>
              <w:spacing w:before="120" w:after="120"/>
              <w:jc w:val="both"/>
              <w:rPr>
                <w:rFonts w:ascii="Times New Roman" w:hAnsi="Times New Roman" w:cs="Times New Roman"/>
                <w:noProof/>
                <w:szCs w:val="24"/>
              </w:rPr>
            </w:pPr>
            <w:r>
              <w:rPr>
                <w:rFonts w:ascii="Times New Roman" w:hAnsi="Times New Roman" w:cs="Times New Roman"/>
                <w:noProof/>
                <w:szCs w:val="24"/>
              </w:rPr>
              <w:t>0,1</w:t>
            </w:r>
          </w:p>
        </w:tc>
        <w:tc>
          <w:tcPr>
            <w:tcW w:w="2127" w:type="dxa"/>
          </w:tcPr>
          <w:p w14:paraId="4F0C2A4E" w14:textId="77777777" w:rsidR="002709ED" w:rsidRDefault="00B2757B">
            <w:pPr>
              <w:widowControl/>
              <w:spacing w:before="120" w:after="120"/>
              <w:jc w:val="both"/>
              <w:rPr>
                <w:rFonts w:ascii="Times New Roman" w:hAnsi="Times New Roman" w:cs="Times New Roman"/>
                <w:noProof/>
                <w:szCs w:val="24"/>
              </w:rPr>
            </w:pPr>
            <w:r>
              <w:rPr>
                <w:rFonts w:ascii="Times New Roman" w:hAnsi="Times New Roman" w:cs="Times New Roman"/>
                <w:noProof/>
                <w:szCs w:val="24"/>
              </w:rPr>
              <w:t>0,3</w:t>
            </w:r>
          </w:p>
        </w:tc>
        <w:tc>
          <w:tcPr>
            <w:tcW w:w="2126" w:type="dxa"/>
          </w:tcPr>
          <w:p w14:paraId="20BFBEFD" w14:textId="77777777" w:rsidR="002709ED" w:rsidRDefault="00B2757B">
            <w:pPr>
              <w:widowControl/>
              <w:spacing w:before="120" w:after="120"/>
              <w:jc w:val="both"/>
              <w:rPr>
                <w:rFonts w:ascii="Times New Roman" w:hAnsi="Times New Roman" w:cs="Times New Roman"/>
                <w:noProof/>
                <w:szCs w:val="24"/>
              </w:rPr>
            </w:pPr>
            <w:r>
              <w:rPr>
                <w:rFonts w:ascii="Times New Roman" w:hAnsi="Times New Roman" w:cs="Times New Roman"/>
                <w:noProof/>
                <w:szCs w:val="24"/>
              </w:rPr>
              <w:t>0,3</w:t>
            </w:r>
          </w:p>
        </w:tc>
        <w:tc>
          <w:tcPr>
            <w:tcW w:w="2694" w:type="dxa"/>
          </w:tcPr>
          <w:p w14:paraId="770EC2C7" w14:textId="77777777" w:rsidR="002709ED" w:rsidRDefault="002709ED">
            <w:pPr>
              <w:widowControl/>
              <w:spacing w:before="120" w:after="120"/>
              <w:jc w:val="both"/>
              <w:rPr>
                <w:rFonts w:ascii="Times New Roman" w:hAnsi="Times New Roman" w:cs="Times New Roman"/>
                <w:noProof/>
                <w:szCs w:val="24"/>
              </w:rPr>
            </w:pPr>
          </w:p>
        </w:tc>
        <w:tc>
          <w:tcPr>
            <w:tcW w:w="709" w:type="dxa"/>
          </w:tcPr>
          <w:p w14:paraId="0C534874" w14:textId="77777777" w:rsidR="002709ED" w:rsidRDefault="002709ED">
            <w:pPr>
              <w:widowControl/>
              <w:spacing w:before="120" w:after="120"/>
              <w:jc w:val="both"/>
              <w:rPr>
                <w:rFonts w:ascii="Times New Roman" w:hAnsi="Times New Roman" w:cs="Times New Roman"/>
                <w:noProof/>
                <w:szCs w:val="24"/>
              </w:rPr>
            </w:pPr>
          </w:p>
        </w:tc>
      </w:tr>
      <w:tr w:rsidR="002709ED" w14:paraId="7C20AAA8" w14:textId="77777777">
        <w:tc>
          <w:tcPr>
            <w:tcW w:w="534" w:type="dxa"/>
          </w:tcPr>
          <w:p w14:paraId="4D9EE95D" w14:textId="77777777" w:rsidR="002709ED" w:rsidRDefault="00B2757B">
            <w:pPr>
              <w:widowControl/>
              <w:spacing w:before="120" w:after="120"/>
              <w:jc w:val="both"/>
              <w:rPr>
                <w:rFonts w:ascii="Times New Roman" w:hAnsi="Times New Roman" w:cs="Times New Roman"/>
                <w:noProof/>
                <w:szCs w:val="24"/>
              </w:rPr>
            </w:pPr>
            <w:r>
              <w:rPr>
                <w:rFonts w:ascii="Times New Roman" w:hAnsi="Times New Roman" w:cs="Times New Roman"/>
                <w:noProof/>
                <w:szCs w:val="24"/>
              </w:rPr>
              <w:t>4</w:t>
            </w:r>
          </w:p>
        </w:tc>
        <w:tc>
          <w:tcPr>
            <w:tcW w:w="1134" w:type="dxa"/>
            <w:tcMar>
              <w:left w:w="57" w:type="dxa"/>
              <w:right w:w="57" w:type="dxa"/>
            </w:tcMar>
          </w:tcPr>
          <w:p w14:paraId="646B7105" w14:textId="77777777" w:rsidR="002709ED" w:rsidRDefault="00B2757B">
            <w:pPr>
              <w:widowControl/>
              <w:spacing w:before="120" w:after="120"/>
              <w:rPr>
                <w:rFonts w:ascii="Times New Roman" w:hAnsi="Times New Roman" w:cs="Times New Roman"/>
                <w:noProof/>
                <w:szCs w:val="24"/>
              </w:rPr>
            </w:pPr>
            <w:r>
              <w:rPr>
                <w:rFonts w:ascii="Times New Roman" w:hAnsi="Times New Roman" w:cs="Times New Roman"/>
                <w:noProof/>
                <w:szCs w:val="24"/>
              </w:rPr>
              <w:t>simazín (</w:t>
            </w:r>
            <w:r>
              <w:rPr>
                <w:rFonts w:ascii="Times New Roman" w:hAnsi="Times New Roman" w:cs="Times New Roman"/>
                <w:noProof/>
                <w:szCs w:val="24"/>
                <w:vertAlign w:val="superscript"/>
              </w:rPr>
              <w:t>7</w:t>
            </w:r>
            <w:r>
              <w:rPr>
                <w:rFonts w:ascii="Times New Roman" w:hAnsi="Times New Roman" w:cs="Times New Roman"/>
                <w:noProof/>
                <w:szCs w:val="24"/>
              </w:rPr>
              <w:t>)</w:t>
            </w:r>
          </w:p>
        </w:tc>
        <w:tc>
          <w:tcPr>
            <w:tcW w:w="1275" w:type="dxa"/>
          </w:tcPr>
          <w:p w14:paraId="08DBBDA9" w14:textId="77777777" w:rsidR="002709ED" w:rsidRDefault="00B2757B">
            <w:pPr>
              <w:widowControl/>
              <w:spacing w:before="120" w:after="120"/>
              <w:jc w:val="both"/>
              <w:rPr>
                <w:rFonts w:ascii="Times New Roman" w:hAnsi="Times New Roman" w:cs="Times New Roman"/>
                <w:noProof/>
                <w:szCs w:val="24"/>
              </w:rPr>
            </w:pPr>
            <w:r>
              <w:rPr>
                <w:rFonts w:ascii="Times New Roman" w:hAnsi="Times New Roman" w:cs="Times New Roman"/>
                <w:noProof/>
                <w:szCs w:val="24"/>
              </w:rPr>
              <w:t>pesticíd</w:t>
            </w:r>
          </w:p>
        </w:tc>
        <w:tc>
          <w:tcPr>
            <w:tcW w:w="993" w:type="dxa"/>
            <w:tcMar>
              <w:left w:w="28" w:type="dxa"/>
              <w:right w:w="28" w:type="dxa"/>
            </w:tcMar>
          </w:tcPr>
          <w:p w14:paraId="7107C4FF" w14:textId="77777777" w:rsidR="002709ED" w:rsidRDefault="00B2757B">
            <w:pPr>
              <w:widowControl/>
              <w:spacing w:before="120" w:after="120"/>
              <w:jc w:val="both"/>
              <w:rPr>
                <w:rFonts w:ascii="Times New Roman" w:hAnsi="Times New Roman" w:cs="Times New Roman"/>
                <w:noProof/>
                <w:szCs w:val="24"/>
              </w:rPr>
            </w:pPr>
            <w:r>
              <w:rPr>
                <w:rFonts w:ascii="Times New Roman" w:hAnsi="Times New Roman" w:cs="Times New Roman"/>
                <w:noProof/>
                <w:szCs w:val="24"/>
              </w:rPr>
              <w:t>122-34-9</w:t>
            </w:r>
          </w:p>
        </w:tc>
        <w:tc>
          <w:tcPr>
            <w:tcW w:w="992" w:type="dxa"/>
          </w:tcPr>
          <w:p w14:paraId="521D6B36" w14:textId="77777777" w:rsidR="002709ED" w:rsidRDefault="00B2757B">
            <w:pPr>
              <w:widowControl/>
              <w:spacing w:before="120" w:after="120"/>
              <w:jc w:val="both"/>
              <w:rPr>
                <w:rFonts w:ascii="Times New Roman" w:hAnsi="Times New Roman" w:cs="Times New Roman"/>
                <w:noProof/>
                <w:szCs w:val="24"/>
              </w:rPr>
            </w:pPr>
            <w:r>
              <w:rPr>
                <w:rFonts w:ascii="Times New Roman" w:hAnsi="Times New Roman" w:cs="Times New Roman"/>
                <w:noProof/>
                <w:szCs w:val="24"/>
              </w:rPr>
              <w:t>204-535-2</w:t>
            </w:r>
          </w:p>
        </w:tc>
        <w:tc>
          <w:tcPr>
            <w:tcW w:w="1843" w:type="dxa"/>
          </w:tcPr>
          <w:p w14:paraId="4DA6EB21" w14:textId="77777777" w:rsidR="002709ED" w:rsidRDefault="00B2757B">
            <w:pPr>
              <w:widowControl/>
              <w:spacing w:before="120" w:after="120"/>
              <w:jc w:val="both"/>
              <w:rPr>
                <w:rFonts w:ascii="Times New Roman" w:hAnsi="Times New Roman" w:cs="Times New Roman"/>
                <w:noProof/>
                <w:szCs w:val="24"/>
              </w:rPr>
            </w:pPr>
            <w:r>
              <w:rPr>
                <w:rFonts w:ascii="Times New Roman" w:hAnsi="Times New Roman" w:cs="Times New Roman"/>
                <w:noProof/>
                <w:szCs w:val="24"/>
              </w:rPr>
              <w:t>1</w:t>
            </w:r>
          </w:p>
        </w:tc>
        <w:tc>
          <w:tcPr>
            <w:tcW w:w="1701" w:type="dxa"/>
          </w:tcPr>
          <w:p w14:paraId="17973C23" w14:textId="77777777" w:rsidR="002709ED" w:rsidRDefault="00B2757B">
            <w:pPr>
              <w:widowControl/>
              <w:spacing w:before="120" w:after="120"/>
              <w:jc w:val="both"/>
              <w:rPr>
                <w:rFonts w:ascii="Times New Roman" w:hAnsi="Times New Roman" w:cs="Times New Roman"/>
                <w:noProof/>
                <w:szCs w:val="24"/>
              </w:rPr>
            </w:pPr>
            <w:r>
              <w:rPr>
                <w:rFonts w:ascii="Times New Roman" w:hAnsi="Times New Roman" w:cs="Times New Roman"/>
                <w:noProof/>
                <w:szCs w:val="24"/>
              </w:rPr>
              <w:t>1</w:t>
            </w:r>
          </w:p>
        </w:tc>
        <w:tc>
          <w:tcPr>
            <w:tcW w:w="2127" w:type="dxa"/>
          </w:tcPr>
          <w:p w14:paraId="1FEADAD1" w14:textId="77777777" w:rsidR="002709ED" w:rsidRDefault="00B2757B">
            <w:pPr>
              <w:widowControl/>
              <w:spacing w:before="120" w:after="120"/>
              <w:jc w:val="both"/>
              <w:rPr>
                <w:rFonts w:ascii="Times New Roman" w:hAnsi="Times New Roman" w:cs="Times New Roman"/>
                <w:noProof/>
                <w:szCs w:val="24"/>
              </w:rPr>
            </w:pPr>
            <w:r>
              <w:rPr>
                <w:rFonts w:ascii="Times New Roman" w:hAnsi="Times New Roman" w:cs="Times New Roman"/>
                <w:noProof/>
                <w:szCs w:val="24"/>
              </w:rPr>
              <w:t>4</w:t>
            </w:r>
          </w:p>
        </w:tc>
        <w:tc>
          <w:tcPr>
            <w:tcW w:w="2126" w:type="dxa"/>
          </w:tcPr>
          <w:p w14:paraId="0FD93E13" w14:textId="77777777" w:rsidR="002709ED" w:rsidRDefault="00B2757B">
            <w:pPr>
              <w:widowControl/>
              <w:spacing w:before="120" w:after="120"/>
              <w:jc w:val="both"/>
              <w:rPr>
                <w:rFonts w:ascii="Times New Roman" w:hAnsi="Times New Roman" w:cs="Times New Roman"/>
                <w:noProof/>
                <w:szCs w:val="24"/>
              </w:rPr>
            </w:pPr>
            <w:r>
              <w:rPr>
                <w:rFonts w:ascii="Times New Roman" w:hAnsi="Times New Roman" w:cs="Times New Roman"/>
                <w:noProof/>
                <w:szCs w:val="24"/>
              </w:rPr>
              <w:t>4</w:t>
            </w:r>
          </w:p>
        </w:tc>
        <w:tc>
          <w:tcPr>
            <w:tcW w:w="2694" w:type="dxa"/>
          </w:tcPr>
          <w:p w14:paraId="1C2F1095" w14:textId="77777777" w:rsidR="002709ED" w:rsidRDefault="002709ED">
            <w:pPr>
              <w:widowControl/>
              <w:spacing w:before="120" w:after="120"/>
              <w:jc w:val="both"/>
              <w:rPr>
                <w:rFonts w:ascii="Times New Roman" w:hAnsi="Times New Roman" w:cs="Times New Roman"/>
                <w:noProof/>
                <w:szCs w:val="24"/>
              </w:rPr>
            </w:pPr>
          </w:p>
        </w:tc>
        <w:tc>
          <w:tcPr>
            <w:tcW w:w="709" w:type="dxa"/>
          </w:tcPr>
          <w:p w14:paraId="549BE803" w14:textId="77777777" w:rsidR="002709ED" w:rsidRDefault="002709ED">
            <w:pPr>
              <w:widowControl/>
              <w:spacing w:before="120" w:after="120"/>
              <w:jc w:val="both"/>
              <w:rPr>
                <w:rFonts w:ascii="Times New Roman" w:hAnsi="Times New Roman" w:cs="Times New Roman"/>
                <w:noProof/>
                <w:szCs w:val="24"/>
              </w:rPr>
            </w:pPr>
          </w:p>
        </w:tc>
      </w:tr>
    </w:tbl>
    <w:p w14:paraId="0C3FDAA2" w14:textId="77777777" w:rsidR="002709ED" w:rsidRDefault="002709ED">
      <w:pPr>
        <w:spacing w:before="120" w:after="120" w:line="360" w:lineRule="auto"/>
        <w:ind w:left="1416" w:hanging="566"/>
        <w:rPr>
          <w:szCs w:val="24"/>
          <w:lang w:eastAsia="en-US"/>
        </w:rPr>
        <w:sectPr w:rsidR="002709ED">
          <w:footnotePr>
            <w:numRestart w:val="eachSect"/>
          </w:footnotePr>
          <w:pgSz w:w="16834" w:h="11909" w:orient="landscape"/>
          <w:pgMar w:top="1417" w:right="1134" w:bottom="1417" w:left="1417" w:header="1134" w:footer="567" w:gutter="0"/>
          <w:cols w:space="720"/>
          <w:docGrid w:linePitch="326"/>
        </w:sectPr>
      </w:pPr>
    </w:p>
    <w:p w14:paraId="08B32609" w14:textId="77777777" w:rsidR="002709ED" w:rsidRDefault="00B2757B">
      <w:pPr>
        <w:spacing w:before="120" w:after="120" w:line="360" w:lineRule="auto"/>
        <w:ind w:left="1416" w:hanging="566"/>
        <w:rPr>
          <w:szCs w:val="24"/>
          <w:lang w:eastAsia="en-US"/>
        </w:rPr>
      </w:pPr>
      <w:r>
        <w:rPr>
          <w:szCs w:val="24"/>
          <w:vertAlign w:val="superscript"/>
          <w:lang w:eastAsia="en-US"/>
        </w:rPr>
        <w:lastRenderedPageBreak/>
        <w:t>(1)</w:t>
      </w:r>
      <w:r>
        <w:rPr>
          <w:szCs w:val="24"/>
          <w:lang w:eastAsia="en-US"/>
        </w:rPr>
        <w:tab/>
        <w:t>CAS: služba CAS (Chemical Abstracts Service).</w:t>
      </w:r>
    </w:p>
    <w:p w14:paraId="5BC6EF0D" w14:textId="77777777" w:rsidR="002709ED" w:rsidRDefault="00B2757B">
      <w:pPr>
        <w:spacing w:before="120" w:after="120" w:line="360" w:lineRule="auto"/>
        <w:ind w:left="1416" w:hanging="566"/>
        <w:rPr>
          <w:szCs w:val="24"/>
          <w:lang w:eastAsia="en-US"/>
        </w:rPr>
      </w:pPr>
      <w:r>
        <w:rPr>
          <w:szCs w:val="24"/>
          <w:vertAlign w:val="superscript"/>
          <w:lang w:eastAsia="en-US"/>
        </w:rPr>
        <w:t>(2)</w:t>
      </w:r>
      <w:r>
        <w:rPr>
          <w:szCs w:val="24"/>
          <w:lang w:eastAsia="en-US"/>
        </w:rPr>
        <w:tab/>
        <w:t>EÚ číslo: Európsky zoznam existujúcich komerčných chemických látok (EINECS) alebo Európsky zoznam nových chemických látok (ELINCS).</w:t>
      </w:r>
    </w:p>
    <w:p w14:paraId="79CDA002" w14:textId="77777777" w:rsidR="002709ED" w:rsidRDefault="00B2757B">
      <w:pPr>
        <w:spacing w:before="120" w:after="120" w:line="360" w:lineRule="auto"/>
        <w:ind w:left="1416" w:hanging="566"/>
        <w:rPr>
          <w:szCs w:val="24"/>
          <w:lang w:eastAsia="en-US"/>
        </w:rPr>
      </w:pPr>
      <w:r>
        <w:rPr>
          <w:szCs w:val="24"/>
          <w:vertAlign w:val="superscript"/>
          <w:lang w:eastAsia="en-US"/>
        </w:rPr>
        <w:t>(3)</w:t>
      </w:r>
      <w:r>
        <w:rPr>
          <w:szCs w:val="24"/>
          <w:lang w:eastAsia="en-US"/>
        </w:rPr>
        <w:tab/>
        <w:t>Tento parameter predstavuje ENK vyjadrenú ako priemernú ročnú hodnotu (RP-ENK). Pokiaľ nie je uvedené inak, uplatňuje sa na celkovú koncentráciu všetkých látok a izomérov.</w:t>
      </w:r>
    </w:p>
    <w:p w14:paraId="60806835" w14:textId="77777777" w:rsidR="002709ED" w:rsidRDefault="00B2757B">
      <w:pPr>
        <w:spacing w:before="120" w:after="120" w:line="360" w:lineRule="auto"/>
        <w:ind w:left="1416" w:hanging="566"/>
        <w:rPr>
          <w:szCs w:val="24"/>
          <w:lang w:eastAsia="en-US"/>
        </w:rPr>
      </w:pPr>
      <w:r>
        <w:rPr>
          <w:szCs w:val="24"/>
          <w:vertAlign w:val="superscript"/>
          <w:lang w:eastAsia="en-US"/>
        </w:rPr>
        <w:t>(4)</w:t>
      </w:r>
      <w:r>
        <w:rPr>
          <w:szCs w:val="24"/>
          <w:lang w:eastAsia="en-US"/>
        </w:rPr>
        <w:tab/>
        <w:t>Vnútrozemské povrchové vody zahŕňajú rieky a jazerá a súvisiace umelé alebo výrazne zmenené vodné útvary.</w:t>
      </w:r>
    </w:p>
    <w:p w14:paraId="392AA048" w14:textId="77777777" w:rsidR="002709ED" w:rsidRDefault="00B2757B">
      <w:pPr>
        <w:spacing w:before="120" w:after="120" w:line="360" w:lineRule="auto"/>
        <w:ind w:left="1416" w:hanging="566"/>
        <w:rPr>
          <w:szCs w:val="24"/>
          <w:lang w:eastAsia="en-US"/>
        </w:rPr>
      </w:pPr>
      <w:r>
        <w:rPr>
          <w:szCs w:val="24"/>
          <w:vertAlign w:val="superscript"/>
          <w:lang w:eastAsia="en-US"/>
        </w:rPr>
        <w:t>(5)</w:t>
      </w:r>
      <w:r>
        <w:rPr>
          <w:szCs w:val="24"/>
          <w:lang w:eastAsia="en-US"/>
        </w:rPr>
        <w:tab/>
        <w:t>Tento parameter predstavuje ENK vyjadrenú ako najvyššiu prípustnú koncentráciu (NPK ENK). Ak sa NPK ENK označuje výrazom „neuplatňuje sa“, hodnoty RP-ENK sa považujú za hodnoty, ktoré v prípade nepretržitého vypúšťania chránia pred krátkodobým najväčším znečistením, pretože sú výrazne nižšie ako hodnoty odvodené na základe akútnej toxicity.</w:t>
      </w:r>
    </w:p>
    <w:p w14:paraId="3353BAA1" w14:textId="77777777" w:rsidR="002709ED" w:rsidRDefault="00B2757B">
      <w:pPr>
        <w:spacing w:before="120" w:after="120" w:line="360" w:lineRule="auto"/>
        <w:ind w:left="1416" w:hanging="566"/>
        <w:rPr>
          <w:szCs w:val="24"/>
          <w:lang w:eastAsia="en-US"/>
        </w:rPr>
      </w:pPr>
      <w:r>
        <w:rPr>
          <w:szCs w:val="24"/>
          <w:vertAlign w:val="superscript"/>
          <w:lang w:eastAsia="en-US"/>
        </w:rPr>
        <w:br w:type="page"/>
      </w:r>
      <w:r>
        <w:rPr>
          <w:szCs w:val="24"/>
          <w:vertAlign w:val="superscript"/>
          <w:lang w:eastAsia="en-US"/>
        </w:rPr>
        <w:lastRenderedPageBreak/>
        <w:t>(6)</w:t>
      </w:r>
      <w:r>
        <w:rPr>
          <w:szCs w:val="24"/>
          <w:lang w:eastAsia="en-US"/>
        </w:rPr>
        <w:tab/>
        <w:t>Ak sa uvádza ENK pre biotu, uplatňuje sa namiesto ENK pre vodu, a to bez toho, aby bolo dotknuté ustanovenie článku 3 ods. 3 tejto smernice, ktoré umožňuje namiesto toho monitorovať alternatívny taxón bioty alebo inú matricu, pokiaľ uplatňovaná ENK poskytuje rovnocennú úroveň ochrany. Pokiaľ nie je uvedené inak, ENK pre biotu sa vzťahuje na ryby.</w:t>
      </w:r>
    </w:p>
    <w:p w14:paraId="2E2B8F7A" w14:textId="77777777" w:rsidR="002709ED" w:rsidRDefault="00B2757B">
      <w:pPr>
        <w:spacing w:before="120" w:after="120" w:line="360" w:lineRule="auto"/>
        <w:ind w:left="1416" w:hanging="566"/>
        <w:rPr>
          <w:szCs w:val="24"/>
          <w:lang w:eastAsia="en-US"/>
        </w:rPr>
      </w:pPr>
      <w:r>
        <w:rPr>
          <w:szCs w:val="24"/>
          <w:vertAlign w:val="superscript"/>
          <w:lang w:eastAsia="en-US"/>
        </w:rPr>
        <w:t>(7)</w:t>
      </w:r>
      <w:r>
        <w:rPr>
          <w:szCs w:val="24"/>
          <w:lang w:eastAsia="en-US"/>
        </w:rPr>
        <w:tab/>
        <w:t>Látka predtým uvedená ako prioritná látka v prílohe X k smernici 2000/60/ES alebo v prílohe I k smernici 2008/105/ES.“</w:t>
      </w:r>
    </w:p>
    <w:p w14:paraId="582BFEC1" w14:textId="77777777" w:rsidR="002709ED" w:rsidRDefault="002709ED">
      <w:pPr>
        <w:pStyle w:val="AmNumberTabs"/>
      </w:pPr>
    </w:p>
    <w:sectPr w:rsidR="002709ED">
      <w:headerReference w:type="even" r:id="rId17"/>
      <w:headerReference w:type="default" r:id="rId18"/>
      <w:footerReference w:type="even" r:id="rId19"/>
      <w:footerReference w:type="default" r:id="rId20"/>
      <w:headerReference w:type="first" r:id="rId21"/>
      <w:footerReference w:type="first" r:id="rId22"/>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D04219" w14:textId="77777777" w:rsidR="00B2757B" w:rsidRDefault="00B2757B">
      <w:r>
        <w:separator/>
      </w:r>
    </w:p>
  </w:endnote>
  <w:endnote w:type="continuationSeparator" w:id="0">
    <w:p w14:paraId="6B81AD65" w14:textId="77777777" w:rsidR="00B2757B" w:rsidRDefault="00B275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___WRD_EMBED_SUB_178">
    <w:altName w:val="MS Gothic"/>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adeGothic">
    <w:altName w:val="Courier New"/>
    <w:panose1 w:val="00000000000000000000"/>
    <w:charset w:val="00"/>
    <w:family w:val="auto"/>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EUAlbertina">
    <w:charset w:val="00"/>
    <w:family w:val="auto"/>
    <w:pitch w:val="variable"/>
    <w:sig w:usb0="800002EF" w:usb1="1000E0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A5B0C" w14:textId="77777777" w:rsidR="00B2757B" w:rsidRDefault="00B2757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7DAF3" w14:textId="77777777" w:rsidR="00B2757B" w:rsidRDefault="00B2757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094F0" w14:textId="77777777" w:rsidR="00B2757B" w:rsidRDefault="00B2757B"/>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230D3" w14:textId="77777777" w:rsidR="00B2757B" w:rsidRDefault="00B2757B">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1CCAA" w14:textId="77777777" w:rsidR="00B2757B" w:rsidRDefault="00B2757B">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0EE09" w14:textId="77777777" w:rsidR="00B2757B" w:rsidRDefault="00B2757B"/>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E0FA4" w14:textId="77777777" w:rsidR="00B2757B" w:rsidRDefault="00B2757B"/>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B4C67" w14:textId="77777777" w:rsidR="00B2757B" w:rsidRDefault="00B2757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9988D8" w14:textId="77777777" w:rsidR="00B2757B" w:rsidRDefault="00B2757B">
      <w:r>
        <w:separator/>
      </w:r>
    </w:p>
  </w:footnote>
  <w:footnote w:type="continuationSeparator" w:id="0">
    <w:p w14:paraId="02631213" w14:textId="77777777" w:rsidR="00B2757B" w:rsidRDefault="00B2757B">
      <w:r>
        <w:continuationSeparator/>
      </w:r>
    </w:p>
  </w:footnote>
  <w:footnote w:id="1">
    <w:p w14:paraId="0CA4F3FF" w14:textId="77777777" w:rsidR="00B2757B" w:rsidRDefault="00B2757B">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 v. EÚ C 146, 27.4.2023, s. 41.</w:t>
      </w:r>
    </w:p>
  </w:footnote>
  <w:footnote w:id="2">
    <w:p w14:paraId="2F314292" w14:textId="77777777" w:rsidR="00B2757B" w:rsidRDefault="00B2757B">
      <w:pPr>
        <w:pStyle w:val="FootnoteText"/>
        <w:ind w:left="567" w:hanging="567"/>
        <w:rPr>
          <w:sz w:val="24"/>
          <w:szCs w:val="24"/>
          <w:lang w:val="sk-SK"/>
        </w:rPr>
      </w:pPr>
      <w:r>
        <w:rPr>
          <w:rStyle w:val="FootnoteReference"/>
        </w:rPr>
        <w:footnoteRef/>
      </w:r>
      <w:r>
        <w:rPr>
          <w:lang w:val="sk-SK"/>
        </w:rPr>
        <w:t xml:space="preserve"> </w:t>
      </w:r>
      <w:r>
        <w:rPr>
          <w:lang w:val="sk-SK"/>
        </w:rPr>
        <w:tab/>
      </w:r>
      <w:r>
        <w:rPr>
          <w:sz w:val="24"/>
          <w:szCs w:val="24"/>
          <w:lang w:val="sk-SK"/>
        </w:rPr>
        <w:t>Táto pozícia zodpovedá pozmeňujúcim návrhom prijatým 12. septembra 2023 (</w:t>
      </w:r>
      <w:r>
        <w:rPr>
          <w:iCs/>
          <w:sz w:val="24"/>
          <w:szCs w:val="24"/>
          <w:lang w:val="sk-SK"/>
        </w:rPr>
        <w:t xml:space="preserve">Ú. v. EÚ C, C/2024/1777, 22.3.2024, </w:t>
      </w:r>
      <w:r>
        <w:rPr>
          <w:sz w:val="24"/>
          <w:szCs w:val="24"/>
          <w:lang w:val="sk-SK"/>
        </w:rPr>
        <w:t xml:space="preserve">ELI: </w:t>
      </w:r>
      <w:hyperlink r:id="rId1" w:history="1">
        <w:r w:rsidRPr="0061315A">
          <w:rPr>
            <w:rStyle w:val="Hyperlink"/>
            <w:sz w:val="24"/>
            <w:szCs w:val="24"/>
            <w:lang w:val="sk-SK"/>
          </w:rPr>
          <w:t>http://data.europa.eu/eli/C/2024/1777/oj</w:t>
        </w:r>
      </w:hyperlink>
      <w:r>
        <w:rPr>
          <w:sz w:val="24"/>
          <w:szCs w:val="24"/>
          <w:lang w:val="sk-SK"/>
        </w:rPr>
        <w:t>).</w:t>
      </w:r>
    </w:p>
  </w:footnote>
  <w:footnote w:id="3">
    <w:p w14:paraId="0FD3B914" w14:textId="77777777" w:rsidR="00B2757B" w:rsidRDefault="00B2757B">
      <w:pPr>
        <w:pStyle w:val="FootnoteTextForceStyle"/>
        <w:rPr>
          <w:lang w:val="sk-SK"/>
        </w:rPr>
      </w:pPr>
      <w:r>
        <w:rPr>
          <w:vertAlign w:val="superscript"/>
          <w:lang w:val="sk-SK"/>
        </w:rPr>
        <w:footnoteRef/>
      </w:r>
      <w:r>
        <w:rPr>
          <w:lang w:val="sk-SK"/>
        </w:rPr>
        <w:tab/>
        <w:t>Ú. v. EÚ C , , s. .</w:t>
      </w:r>
    </w:p>
  </w:footnote>
  <w:footnote w:id="4">
    <w:p w14:paraId="486FE62B" w14:textId="77777777" w:rsidR="00B2757B" w:rsidRDefault="00B2757B">
      <w:pPr>
        <w:pStyle w:val="FootnoteTextForceStyle"/>
        <w:rPr>
          <w:lang w:val="sk-SK"/>
        </w:rPr>
      </w:pPr>
      <w:r>
        <w:rPr>
          <w:vertAlign w:val="superscript"/>
          <w:lang w:val="sk-SK"/>
        </w:rPr>
        <w:footnoteRef/>
      </w:r>
      <w:r>
        <w:rPr>
          <w:lang w:val="sk-SK"/>
        </w:rPr>
        <w:tab/>
        <w:t>Ú. v. EÚ C , , s. .</w:t>
      </w:r>
    </w:p>
  </w:footnote>
  <w:footnote w:id="5">
    <w:p w14:paraId="07DDD86A" w14:textId="77777777" w:rsidR="00B2757B" w:rsidRDefault="00B2757B">
      <w:pPr>
        <w:pStyle w:val="FootnoteTextForceStyle"/>
        <w:rPr>
          <w:lang w:val="sk-SK"/>
        </w:rPr>
      </w:pPr>
      <w:r>
        <w:rPr>
          <w:vertAlign w:val="superscript"/>
          <w:lang w:val="sk-SK"/>
        </w:rPr>
        <w:footnoteRef/>
      </w:r>
      <w:r>
        <w:rPr>
          <w:lang w:val="sk-SK"/>
        </w:rPr>
        <w:tab/>
      </w:r>
      <w:r>
        <w:rPr>
          <w:b/>
          <w:i/>
          <w:lang w:val="sk-SK"/>
        </w:rPr>
        <w:t>Rozhodnutie Európskeho parlamentu a Rady (EÚ) 2022/591 zo 6. apríla 2022 o všeobecnom environmentálnom akčnom programe Únie do roku 2030.</w:t>
      </w:r>
    </w:p>
  </w:footnote>
  <w:footnote w:id="6">
    <w:p w14:paraId="64C41759" w14:textId="77777777" w:rsidR="00B2757B" w:rsidRDefault="00B2757B">
      <w:pPr>
        <w:pStyle w:val="FootnoteTextForceStyle"/>
        <w:rPr>
          <w:lang w:val="sk-SK"/>
        </w:rPr>
      </w:pPr>
      <w:r>
        <w:rPr>
          <w:vertAlign w:val="superscript"/>
          <w:lang w:val="sk-SK"/>
        </w:rPr>
        <w:footnoteRef/>
      </w:r>
      <w:r>
        <w:rPr>
          <w:lang w:val="sk-SK"/>
        </w:rPr>
        <w:tab/>
      </w:r>
      <w:r>
        <w:rPr>
          <w:b/>
          <w:i/>
          <w:lang w:val="sk-SK"/>
        </w:rPr>
        <w:t>Drivers of and pressures arising from selected key water management challenges: A European overview (Hnacie sily vybratých kľúčových výziev v oblasti vodného hospodárstva a tlaky z nich vyplývajúce: Európsky prehľad), správa EEA č. 09/2021.</w:t>
      </w:r>
    </w:p>
  </w:footnote>
  <w:footnote w:id="7">
    <w:p w14:paraId="51C09E0D" w14:textId="77777777" w:rsidR="00B2757B" w:rsidRDefault="00B2757B">
      <w:pPr>
        <w:pStyle w:val="FootnoteTextForceStyle"/>
        <w:rPr>
          <w:lang w:val="sk-SK"/>
        </w:rPr>
      </w:pPr>
      <w:r>
        <w:rPr>
          <w:vertAlign w:val="superscript"/>
          <w:lang w:val="sk-SK"/>
        </w:rPr>
        <w:footnoteRef/>
      </w:r>
      <w:r>
        <w:rPr>
          <w:lang w:val="sk-SK"/>
        </w:rPr>
        <w:tab/>
      </w:r>
      <w:r>
        <w:rPr>
          <w:b/>
          <w:i/>
          <w:lang w:val="sk-SK"/>
        </w:rPr>
        <w:t>https://www.oecd.org/agriculture/topics/water-and-agriculture/</w:t>
      </w:r>
    </w:p>
  </w:footnote>
  <w:footnote w:id="8">
    <w:p w14:paraId="657C4810" w14:textId="77777777" w:rsidR="00B2757B" w:rsidRDefault="00B2757B">
      <w:pPr>
        <w:pStyle w:val="FootnoteTextForceStyle"/>
        <w:rPr>
          <w:lang w:val="sk-SK"/>
        </w:rPr>
      </w:pPr>
      <w:r>
        <w:rPr>
          <w:vertAlign w:val="superscript"/>
          <w:lang w:val="sk-SK"/>
        </w:rPr>
        <w:footnoteRef/>
      </w:r>
      <w:r>
        <w:rPr>
          <w:lang w:val="sk-SK"/>
        </w:rPr>
        <w:tab/>
      </w:r>
      <w:r>
        <w:rPr>
          <w:b/>
          <w:i/>
          <w:lang w:val="sk-SK"/>
        </w:rPr>
        <w:t>https://www.eea.europa.eu/publications/state-of-water</w:t>
      </w:r>
    </w:p>
  </w:footnote>
  <w:footnote w:id="9">
    <w:p w14:paraId="6BE58ADE" w14:textId="77777777" w:rsidR="00B2757B" w:rsidRDefault="00B2757B">
      <w:pPr>
        <w:pStyle w:val="FootnoteTextForceStyle"/>
        <w:rPr>
          <w:lang w:val="sk-SK"/>
        </w:rPr>
      </w:pPr>
      <w:r>
        <w:rPr>
          <w:vertAlign w:val="superscript"/>
          <w:lang w:val="sk-SK"/>
        </w:rPr>
        <w:footnoteRef/>
      </w:r>
      <w:r>
        <w:rPr>
          <w:lang w:val="sk-SK"/>
        </w:rPr>
        <w:tab/>
      </w:r>
      <w:r>
        <w:rPr>
          <w:b/>
          <w:i/>
          <w:lang w:val="sk-SK"/>
        </w:rPr>
        <w:t xml:space="preserve">https://food.ec.europa.eu/plants/pesticides/sustainable-use-pesticides/farm-fork-targets-progress/eu-trends_en </w:t>
      </w:r>
    </w:p>
  </w:footnote>
  <w:footnote w:id="10">
    <w:p w14:paraId="600D468E" w14:textId="77777777" w:rsidR="00B2757B" w:rsidRDefault="00B2757B">
      <w:pPr>
        <w:pStyle w:val="FootnoteTextForceStyle"/>
        <w:rPr>
          <w:lang w:val="sk-SK"/>
        </w:rPr>
      </w:pPr>
      <w:r>
        <w:rPr>
          <w:vertAlign w:val="superscript"/>
          <w:lang w:val="sk-SK"/>
        </w:rPr>
        <w:footnoteRef/>
      </w:r>
      <w:r>
        <w:rPr>
          <w:lang w:val="sk-SK"/>
        </w:rPr>
        <w:tab/>
        <w:t>Oznámenie Komisie Európskemu parlamentu, Európskej rade, Rade, Európskemu hospodárskemu a sociálnemu výboru a Výboru regiónov, Európska zelená dohoda [COM(2019) 640 final].</w:t>
      </w:r>
    </w:p>
  </w:footnote>
  <w:footnote w:id="11">
    <w:p w14:paraId="7858A29A" w14:textId="77777777" w:rsidR="00B2757B" w:rsidRDefault="00B2757B">
      <w:pPr>
        <w:pStyle w:val="FootnoteTextForceStyle"/>
        <w:rPr>
          <w:lang w:val="sk-SK"/>
        </w:rPr>
      </w:pPr>
      <w:r>
        <w:rPr>
          <w:vertAlign w:val="superscript"/>
          <w:lang w:val="sk-SK"/>
        </w:rPr>
        <w:footnoteRef/>
      </w:r>
      <w:r>
        <w:rPr>
          <w:lang w:val="sk-SK"/>
        </w:rPr>
        <w:tab/>
        <w:t>Oznámenie Komisie Európskemu parlamentu, Rade, Európskemu hospodárskemu a sociálnemu výboru a Výboru regiónov, Chemikálie – stratégia udržateľnosti, Na ceste k životnému prostrediu bez toxických látok [COM(2020) 667 final].</w:t>
      </w:r>
    </w:p>
  </w:footnote>
  <w:footnote w:id="12">
    <w:p w14:paraId="7B62F929" w14:textId="77777777" w:rsidR="00B2757B" w:rsidRDefault="00B2757B">
      <w:pPr>
        <w:pStyle w:val="FootnoteTextForceStyle"/>
        <w:rPr>
          <w:lang w:val="sk-SK"/>
        </w:rPr>
      </w:pPr>
      <w:r>
        <w:rPr>
          <w:vertAlign w:val="superscript"/>
          <w:lang w:val="sk-SK"/>
        </w:rPr>
        <w:footnoteRef/>
      </w:r>
      <w:r>
        <w:rPr>
          <w:lang w:val="sk-SK"/>
        </w:rPr>
        <w:tab/>
        <w:t>Oznámenie Komisie Európskemu parlamentu, Rade, Európskemu hospodárskemu a sociálnemu výboru a Výboru regiónov, Cesta k zdravej planéte pre všetkých, Akčný plán EÚ: „Dosahovanie nulového znečisťovania ovzdušia, vody a pôdy“ [COM(2021) 400 final].</w:t>
      </w:r>
    </w:p>
  </w:footnote>
  <w:footnote w:id="13">
    <w:p w14:paraId="1EFD869E" w14:textId="77777777" w:rsidR="00B2757B" w:rsidRDefault="00B2757B">
      <w:pPr>
        <w:pStyle w:val="FootnoteTextForceStyle"/>
        <w:rPr>
          <w:lang w:val="sk-SK"/>
        </w:rPr>
      </w:pPr>
      <w:r>
        <w:rPr>
          <w:vertAlign w:val="superscript"/>
          <w:lang w:val="sk-SK"/>
        </w:rPr>
        <w:footnoteRef/>
      </w:r>
      <w:r>
        <w:rPr>
          <w:lang w:val="sk-SK"/>
        </w:rPr>
        <w:tab/>
        <w:t>Oznámenie Komisie Európskemu parlamentu, Rade, Európskemu hospodárskemu a sociálnemu výboru a Výboru regiónov, Európska stratégia pre plasty v obehovom hospodárstve [COM(2018) 28 final].</w:t>
      </w:r>
    </w:p>
  </w:footnote>
  <w:footnote w:id="14">
    <w:p w14:paraId="7F222473" w14:textId="77777777" w:rsidR="00B2757B" w:rsidRDefault="00B2757B">
      <w:pPr>
        <w:pStyle w:val="FootnoteTextForceStyle"/>
        <w:rPr>
          <w:lang w:val="sk-SK"/>
        </w:rPr>
      </w:pPr>
      <w:r>
        <w:rPr>
          <w:vertAlign w:val="superscript"/>
          <w:lang w:val="sk-SK"/>
        </w:rPr>
        <w:footnoteRef/>
      </w:r>
      <w:r>
        <w:rPr>
          <w:lang w:val="sk-SK"/>
        </w:rPr>
        <w:tab/>
        <w:t>Oznámenie Komisie Európskemu parlamentu, Rade, Európskemu hospodárskemu a sociálnemu výboru a Výboru regiónov, Farmaceutická stratégia pre Európu [COM(2020) 761 final].</w:t>
      </w:r>
    </w:p>
  </w:footnote>
  <w:footnote w:id="15">
    <w:p w14:paraId="5BDD53CD" w14:textId="77777777" w:rsidR="00B2757B" w:rsidRDefault="00B2757B">
      <w:pPr>
        <w:pStyle w:val="FootnoteTextForceStyle"/>
        <w:rPr>
          <w:lang w:val="sk-SK"/>
        </w:rPr>
      </w:pPr>
      <w:r>
        <w:rPr>
          <w:vertAlign w:val="superscript"/>
          <w:lang w:val="sk-SK"/>
        </w:rPr>
        <w:footnoteRef/>
      </w:r>
      <w:r>
        <w:rPr>
          <w:lang w:val="sk-SK"/>
        </w:rPr>
        <w:tab/>
        <w:t>Oznámenie Komisie Európskemu parlamentu, Rade, Európskemu hospodárskemu a sociálnemu výboru a Výboru regiónov, Stratégia EÚ v oblasti biodiverzity do roku 2030, Prinavrátenie prírody do našich životov [COM(2020) 380 final].</w:t>
      </w:r>
    </w:p>
  </w:footnote>
  <w:footnote w:id="16">
    <w:p w14:paraId="54E4BB69" w14:textId="77777777" w:rsidR="00B2757B" w:rsidRDefault="00B2757B">
      <w:pPr>
        <w:pStyle w:val="FootnoteTextForceStyle"/>
        <w:rPr>
          <w:lang w:val="sk-SK"/>
        </w:rPr>
      </w:pPr>
      <w:r>
        <w:rPr>
          <w:vertAlign w:val="superscript"/>
          <w:lang w:val="sk-SK"/>
        </w:rPr>
        <w:footnoteRef/>
      </w:r>
      <w:r>
        <w:rPr>
          <w:lang w:val="sk-SK"/>
        </w:rPr>
        <w:tab/>
        <w:t>Oznámenie Komisie Európskemu parlamentu, Rade, Európskemu hospodárskemu a sociálnemu výboru a Výboru regiónov, Stratégia „z farmy na stôl“ v záujme spravodlivého, zdravého potravinového systému šetrného k životnému prostrediu [COM(2020) 381 final].</w:t>
      </w:r>
    </w:p>
  </w:footnote>
  <w:footnote w:id="17">
    <w:p w14:paraId="65F6801C" w14:textId="77777777" w:rsidR="00B2757B" w:rsidRDefault="00B2757B">
      <w:pPr>
        <w:pStyle w:val="FootnoteTextForceStyle"/>
        <w:rPr>
          <w:lang w:val="sk-SK"/>
        </w:rPr>
      </w:pPr>
      <w:r>
        <w:rPr>
          <w:vertAlign w:val="superscript"/>
          <w:lang w:val="sk-SK"/>
        </w:rPr>
        <w:footnoteRef/>
      </w:r>
      <w:r>
        <w:rPr>
          <w:lang w:val="sk-SK"/>
        </w:rPr>
        <w:tab/>
        <w:t>Oznámenie Komisie Európskemu parlamentu, Rade, Európskemu hospodárskemu a sociálnemu výboru a Výboru regiónov, Stratégia EÚ v oblasti pôdy do roku 2030, Využívanie prínosov zdravej pôdy v prospech ľudí, potravín, prírody a klímy [COM(2021) 699 final].</w:t>
      </w:r>
    </w:p>
  </w:footnote>
  <w:footnote w:id="18">
    <w:p w14:paraId="3C9DB1A0" w14:textId="77777777" w:rsidR="00B2757B" w:rsidRDefault="00B2757B">
      <w:pPr>
        <w:pStyle w:val="FootnoteTextForceStyle"/>
        <w:rPr>
          <w:lang w:val="sk-SK"/>
        </w:rPr>
      </w:pPr>
      <w:r>
        <w:rPr>
          <w:vertAlign w:val="superscript"/>
          <w:lang w:val="sk-SK"/>
        </w:rPr>
        <w:footnoteRef/>
      </w:r>
      <w:r>
        <w:rPr>
          <w:lang w:val="sk-SK"/>
        </w:rPr>
        <w:tab/>
        <w:t>Oznámenie Komisie Európskemu parlamentu, Rade, Európskemu hospodárskemu a sociálnemu výboru a Výboru regiónov, Formovanie digitálnej budúcnosti Európy [COM(2020) 67 final].</w:t>
      </w:r>
    </w:p>
  </w:footnote>
  <w:footnote w:id="19">
    <w:p w14:paraId="08B41FD8" w14:textId="77777777" w:rsidR="00B2757B" w:rsidRDefault="00B2757B">
      <w:pPr>
        <w:pStyle w:val="FootnoteTextForceStyle"/>
        <w:rPr>
          <w:lang w:val="sk-SK"/>
        </w:rPr>
      </w:pPr>
      <w:r>
        <w:rPr>
          <w:vertAlign w:val="superscript"/>
          <w:lang w:val="sk-SK"/>
        </w:rPr>
        <w:footnoteRef/>
      </w:r>
      <w:r>
        <w:rPr>
          <w:lang w:val="sk-SK"/>
        </w:rPr>
        <w:tab/>
        <w:t>Oznámenie Komisie Európskemu parlamentu, Rade, Európskemu hospodárskemu a sociálnemu výboru a Výboru regiónov, Európska dátová stratégia [COM(2020) 66 final].</w:t>
      </w:r>
    </w:p>
  </w:footnote>
  <w:footnote w:id="20">
    <w:p w14:paraId="01365759" w14:textId="77777777" w:rsidR="00B2757B" w:rsidRDefault="00B2757B">
      <w:pPr>
        <w:pStyle w:val="FootnoteTextForceStyle"/>
        <w:rPr>
          <w:lang w:val="sk-SK"/>
        </w:rPr>
      </w:pPr>
      <w:r>
        <w:rPr>
          <w:vertAlign w:val="superscript"/>
          <w:lang w:val="sk-SK"/>
        </w:rPr>
        <w:footnoteRef/>
      </w:r>
      <w:r>
        <w:rPr>
          <w:lang w:val="sk-SK"/>
        </w:rPr>
        <w:tab/>
        <w:t>Smernica Európskeho parlamentu a Rady 2000/60/ES z 23. októbra 2000, ktorou sa stanovuje rámec pôsobnosti pre opatrenia Spoločenstva v oblasti vodného hospodárstva (Ú. v. ES L 327, 22.12.2000, s. 1).</w:t>
      </w:r>
    </w:p>
  </w:footnote>
  <w:footnote w:id="21">
    <w:p w14:paraId="1CC19573" w14:textId="77777777" w:rsidR="00B2757B" w:rsidRDefault="00B2757B">
      <w:pPr>
        <w:pStyle w:val="FootnoteTextForceStyle"/>
        <w:rPr>
          <w:lang w:val="sk-SK"/>
        </w:rPr>
      </w:pPr>
      <w:r>
        <w:rPr>
          <w:vertAlign w:val="superscript"/>
          <w:lang w:val="sk-SK"/>
        </w:rPr>
        <w:footnoteRef/>
      </w:r>
      <w:r>
        <w:rPr>
          <w:lang w:val="sk-SK"/>
        </w:rPr>
        <w:tab/>
        <w:t>Smernica Európskeho parlamentu a Rady 2008/105/ES zo 16. decembra 2008 o environmentálnych normách kvality v oblasti vodnej politiky, o zmene a doplnení a následnom zrušení smerníc Rady 82/176/EHS, 83/513/EHS, 84/156/EHS, 84/491/EHS a 86/280/EHS a o zmene a doplnení smernice Európskeho parlamentu a Rady 2000/60/ES (Ú. v. EÚ L 348, 24.12.2008, s. 84).</w:t>
      </w:r>
    </w:p>
  </w:footnote>
  <w:footnote w:id="22">
    <w:p w14:paraId="498F2562" w14:textId="77777777" w:rsidR="00B2757B" w:rsidRDefault="00B2757B">
      <w:pPr>
        <w:pStyle w:val="FootnoteTextForceStyle"/>
        <w:rPr>
          <w:lang w:val="sk-SK"/>
        </w:rPr>
      </w:pPr>
      <w:r>
        <w:rPr>
          <w:vertAlign w:val="superscript"/>
          <w:lang w:val="sk-SK"/>
        </w:rPr>
        <w:footnoteRef/>
      </w:r>
      <w:r>
        <w:rPr>
          <w:lang w:val="sk-SK"/>
        </w:rPr>
        <w:tab/>
        <w:t>Rozhodnutie Európskeho parlamentu a Rady č. 2455/2001/ES z 20. novembra 2001, ktorým sa ustanovuje zoznam prioritných látok v oblasti vodnej politiky a ktorým sa mení a dopĺňa smernica 2000/60/ES (Ú. v. ES L 331, 15.12.2001, s. 1).</w:t>
      </w:r>
    </w:p>
  </w:footnote>
  <w:footnote w:id="23">
    <w:p w14:paraId="139A0652" w14:textId="77777777" w:rsidR="00B2757B" w:rsidRDefault="00B2757B">
      <w:pPr>
        <w:pStyle w:val="FootnoteTextForceStyle"/>
        <w:rPr>
          <w:lang w:val="sk-SK"/>
        </w:rPr>
      </w:pPr>
      <w:r>
        <w:rPr>
          <w:vertAlign w:val="superscript"/>
          <w:lang w:val="sk-SK"/>
        </w:rPr>
        <w:footnoteRef/>
      </w:r>
      <w:r>
        <w:rPr>
          <w:lang w:val="sk-SK"/>
        </w:rPr>
        <w:tab/>
        <w:t>Smernica Európskeho parlamentu a Rady 2006/118/ES z 12. decembra 2006 o ochrane podzemných vôd pred znečistením a zhoršením kvality (Ú. v. EÚ L 372, 27.12.2006, s. 19).</w:t>
      </w:r>
    </w:p>
  </w:footnote>
  <w:footnote w:id="24">
    <w:p w14:paraId="16F12E31" w14:textId="77777777" w:rsidR="00B2757B" w:rsidRDefault="00B2757B">
      <w:pPr>
        <w:pStyle w:val="FootnoteTextForceStyle"/>
        <w:rPr>
          <w:lang w:val="sk-SK"/>
        </w:rPr>
      </w:pPr>
      <w:r>
        <w:rPr>
          <w:vertAlign w:val="superscript"/>
          <w:lang w:val="sk-SK"/>
        </w:rPr>
        <w:footnoteRef/>
      </w:r>
      <w:r>
        <w:rPr>
          <w:lang w:val="sk-SK"/>
        </w:rPr>
        <w:tab/>
        <w:t>Nariadenie Európskeho parlamentu a Rady (ES) č. 1907/2006 z 18. decembra 2006 o registrácii, hodnotení, autorizácii a obmedzovaní chemikálií (REACH) a o zriadení Európskej chemickej agentúry (Ú. v. EÚ L 396, 30.12.2006, s. 1).</w:t>
      </w:r>
    </w:p>
  </w:footnote>
  <w:footnote w:id="25">
    <w:p w14:paraId="3D85BC55" w14:textId="77777777" w:rsidR="00B2757B" w:rsidRDefault="00B2757B">
      <w:pPr>
        <w:pStyle w:val="FootnoteTextForceStyle"/>
        <w:rPr>
          <w:lang w:val="sk-SK"/>
        </w:rPr>
      </w:pPr>
      <w:r>
        <w:rPr>
          <w:vertAlign w:val="superscript"/>
          <w:lang w:val="sk-SK"/>
        </w:rPr>
        <w:footnoteRef/>
      </w:r>
      <w:r>
        <w:rPr>
          <w:lang w:val="sk-SK"/>
        </w:rPr>
        <w:tab/>
        <w:t>Nariadenie Európskeho parlamentu a Rady (ES) č. 1107/2009 z 21. októbra 2009 o uvádzaní prípravkov na ochranu rastlín na trh a o zrušení smerníc Rady 79/117/EHS a 91/414/EHS (Ú. v. EÚ L 309, 24.11.2009, s. 1).</w:t>
      </w:r>
    </w:p>
  </w:footnote>
  <w:footnote w:id="26">
    <w:p w14:paraId="4E96DB00" w14:textId="77777777" w:rsidR="00B2757B" w:rsidRDefault="00B2757B">
      <w:pPr>
        <w:pStyle w:val="FootnoteTextForceStyle"/>
        <w:rPr>
          <w:lang w:val="sk-SK"/>
        </w:rPr>
      </w:pPr>
      <w:r>
        <w:rPr>
          <w:vertAlign w:val="superscript"/>
          <w:lang w:val="sk-SK"/>
        </w:rPr>
        <w:footnoteRef/>
      </w:r>
      <w:r>
        <w:rPr>
          <w:lang w:val="sk-SK"/>
        </w:rPr>
        <w:tab/>
        <w:t>Nariadenie Európskeho parlamentu a Rady (EÚ) č. 528/2012 z 22. mája 2012 o sprístupňovaní biocídnych výrobkov na trhu a ich používaní (Ú. v. EÚ L 167, 27.6.2012, s. 1).</w:t>
      </w:r>
    </w:p>
  </w:footnote>
  <w:footnote w:id="27">
    <w:p w14:paraId="0C5C6BD7" w14:textId="77777777" w:rsidR="00B2757B" w:rsidRDefault="00B2757B">
      <w:pPr>
        <w:pStyle w:val="FootnoteTextForceStyle"/>
        <w:rPr>
          <w:lang w:val="sk-SK"/>
        </w:rPr>
      </w:pPr>
      <w:r>
        <w:rPr>
          <w:vertAlign w:val="superscript"/>
          <w:lang w:val="sk-SK"/>
        </w:rPr>
        <w:footnoteRef/>
      </w:r>
      <w:r>
        <w:rPr>
          <w:lang w:val="sk-SK"/>
        </w:rPr>
        <w:tab/>
        <w:t>Nariadenie Európskeho parlamentu a Rady (EÚ) 2019/6 z 11. decembra 2018 o veterinárnych liekoch a o zrušení smernice 2001/82/ES (Ú. v. EÚ L 4, 7.1.2019, s. 43).</w:t>
      </w:r>
    </w:p>
  </w:footnote>
  <w:footnote w:id="28">
    <w:p w14:paraId="50A1CC9B" w14:textId="77777777" w:rsidR="00B2757B" w:rsidRDefault="00B2757B">
      <w:pPr>
        <w:pStyle w:val="FootnoteTextForceStyle"/>
        <w:rPr>
          <w:lang w:val="sk-SK"/>
        </w:rPr>
      </w:pPr>
      <w:r>
        <w:rPr>
          <w:vertAlign w:val="superscript"/>
          <w:lang w:val="sk-SK"/>
        </w:rPr>
        <w:footnoteRef/>
      </w:r>
      <w:r>
        <w:rPr>
          <w:lang w:val="sk-SK"/>
        </w:rPr>
        <w:tab/>
        <w:t>Smernica Európskeho parlamentu a Rady 2001/83/ES zo 6. novembra 2001, ktorou sa ustanovuje zákonník Spoločenstva o humánnych liekoch (Ú. v. ES L 311, 28.11.2001, s. 67).</w:t>
      </w:r>
    </w:p>
  </w:footnote>
  <w:footnote w:id="29">
    <w:p w14:paraId="6A33244F" w14:textId="77777777" w:rsidR="00B2757B" w:rsidRDefault="00B2757B">
      <w:pPr>
        <w:pStyle w:val="FootnoteTextForceStyle"/>
        <w:rPr>
          <w:lang w:val="sk-SK"/>
        </w:rPr>
      </w:pPr>
      <w:r>
        <w:rPr>
          <w:vertAlign w:val="superscript"/>
          <w:lang w:val="sk-SK"/>
        </w:rPr>
        <w:footnoteRef/>
      </w:r>
      <w:r>
        <w:rPr>
          <w:lang w:val="sk-SK"/>
        </w:rPr>
        <w:tab/>
        <w:t>Smernica Európskeho parlamentu a Rady 2009/128/ES z 21. októbra 2009, ktorou sa ustanovuje rámec pre činnosť Spoločenstva na dosiahnutie trvalo udržateľného používania pesticídov (Ú. v. EÚ L 309, 24.11.2009, s. 71).</w:t>
      </w:r>
    </w:p>
  </w:footnote>
  <w:footnote w:id="30">
    <w:p w14:paraId="4704C7E9" w14:textId="77777777" w:rsidR="00B2757B" w:rsidRDefault="00B2757B">
      <w:pPr>
        <w:pStyle w:val="FootnoteTextForceStyle"/>
        <w:rPr>
          <w:lang w:val="sk-SK"/>
        </w:rPr>
      </w:pPr>
      <w:r>
        <w:rPr>
          <w:vertAlign w:val="superscript"/>
          <w:lang w:val="sk-SK"/>
        </w:rPr>
        <w:footnoteRef/>
      </w:r>
      <w:r>
        <w:rPr>
          <w:lang w:val="sk-SK"/>
        </w:rPr>
        <w:tab/>
        <w:t>Smernica Európskeho parlamentu a Rady 2010/75/EÚ z 24. novembra 2010 o priemyselných emisiách (integrovaná prevencia a kontrola znečisťovania životného prostredia) (Ú. v. EÚ L 334, 17.12.2010, s. 17).</w:t>
      </w:r>
    </w:p>
  </w:footnote>
  <w:footnote w:id="31">
    <w:p w14:paraId="1D760DFD" w14:textId="77777777" w:rsidR="00B2757B" w:rsidRDefault="00B2757B">
      <w:pPr>
        <w:pStyle w:val="FootnoteTextForceStyle"/>
        <w:rPr>
          <w:lang w:val="sk-SK"/>
        </w:rPr>
      </w:pPr>
      <w:r>
        <w:rPr>
          <w:vertAlign w:val="superscript"/>
          <w:lang w:val="sk-SK"/>
        </w:rPr>
        <w:footnoteRef/>
      </w:r>
      <w:r>
        <w:rPr>
          <w:lang w:val="sk-SK"/>
        </w:rPr>
        <w:tab/>
        <w:t>Smernica Rady 91/271/EHS z 21. mája 1991 o čistení komunálnych odpadových vôd (Ú. v. ES L 135, 30.5.1991, s. 40).</w:t>
      </w:r>
    </w:p>
  </w:footnote>
  <w:footnote w:id="32">
    <w:p w14:paraId="55035C4E" w14:textId="77777777" w:rsidR="00B2757B" w:rsidRDefault="00B2757B">
      <w:pPr>
        <w:pStyle w:val="FootnoteTextForceStyle"/>
        <w:rPr>
          <w:lang w:val="sk-SK"/>
        </w:rPr>
      </w:pPr>
      <w:r>
        <w:rPr>
          <w:vertAlign w:val="superscript"/>
          <w:lang w:val="sk-SK"/>
        </w:rPr>
        <w:footnoteRef/>
      </w:r>
      <w:r>
        <w:rPr>
          <w:lang w:val="sk-SK"/>
        </w:rPr>
        <w:tab/>
      </w:r>
      <w:r>
        <w:rPr>
          <w:b/>
          <w:i/>
          <w:lang w:val="sk-SK"/>
        </w:rPr>
        <w:t>Transkriptomická signalizácia v embryách zebričiek vystavených environmentálnym koncentráciám glyfozátu, 2022. Účinky glyfozátu s nízkou koncentráciou a kyseliny aminometylfosfónovej na vývoj embryí zebričky, 2021. Globálne transkriptomické profilovanie poukazuje na indukciu oxidačného stresu a kompenzačných reakcií bunkového stresu u pstruha hnedého vystaveného glyfozátu a produktu Roundup, 2018.</w:t>
      </w:r>
    </w:p>
  </w:footnote>
  <w:footnote w:id="33">
    <w:p w14:paraId="7CF8FB6B" w14:textId="77777777" w:rsidR="00B2757B" w:rsidRDefault="00B2757B">
      <w:pPr>
        <w:pStyle w:val="FootnoteTextForceStyle"/>
        <w:rPr>
          <w:lang w:val="sk-SK"/>
        </w:rPr>
      </w:pPr>
      <w:r>
        <w:rPr>
          <w:vertAlign w:val="superscript"/>
          <w:lang w:val="sk-SK"/>
        </w:rPr>
        <w:footnoteRef/>
      </w:r>
      <w:r>
        <w:rPr>
          <w:lang w:val="sk-SK"/>
        </w:rPr>
        <w:tab/>
      </w:r>
      <w:r>
        <w:rPr>
          <w:b/>
          <w:i/>
          <w:lang w:val="sk-SK"/>
        </w:rPr>
        <w:t xml:space="preserve">Rozhodnutie Komisie </w:t>
      </w:r>
      <w:r w:rsidR="00E71C88" w:rsidRPr="00C100E9">
        <w:rPr>
          <w:b/>
          <w:i/>
          <w:szCs w:val="24"/>
          <w:lang w:val="sk-SK"/>
        </w:rPr>
        <w:t xml:space="preserve">2004/248/ES </w:t>
      </w:r>
      <w:r>
        <w:rPr>
          <w:b/>
          <w:i/>
          <w:lang w:val="sk-SK"/>
        </w:rPr>
        <w:t xml:space="preserve">z 10. marca 2004 o nezaradení atrazínu do prílohy I k smernici Rady 91/414/EHS a o odňatí povolení pre prípravky na ochranu rastlín obsahujúce túto účinnú látku </w:t>
      </w:r>
      <w:r w:rsidR="00E71C88">
        <w:rPr>
          <w:b/>
          <w:i/>
          <w:lang w:val="sk-SK"/>
        </w:rPr>
        <w:t>(</w:t>
      </w:r>
      <w:r>
        <w:rPr>
          <w:b/>
          <w:i/>
          <w:lang w:val="sk-SK"/>
        </w:rPr>
        <w:t>Ú. v. EÚ L 78, 16</w:t>
      </w:r>
      <w:r w:rsidR="00E71C88">
        <w:rPr>
          <w:b/>
          <w:i/>
          <w:lang w:val="sk-SK"/>
        </w:rPr>
        <w:t>.</w:t>
      </w:r>
      <w:r>
        <w:rPr>
          <w:b/>
          <w:i/>
          <w:lang w:val="sk-SK"/>
        </w:rPr>
        <w:t>3</w:t>
      </w:r>
      <w:r w:rsidR="00E71C88">
        <w:rPr>
          <w:b/>
          <w:i/>
          <w:lang w:val="sk-SK"/>
        </w:rPr>
        <w:t>.</w:t>
      </w:r>
      <w:r>
        <w:rPr>
          <w:b/>
          <w:i/>
          <w:lang w:val="sk-SK"/>
        </w:rPr>
        <w:t>2004</w:t>
      </w:r>
      <w:r w:rsidR="00E71C88">
        <w:rPr>
          <w:b/>
          <w:i/>
          <w:lang w:val="sk-SK"/>
        </w:rPr>
        <w:t>, s. 53</w:t>
      </w:r>
      <w:r>
        <w:rPr>
          <w:b/>
          <w:i/>
          <w:lang w:val="sk-SK"/>
        </w:rPr>
        <w:t>.</w:t>
      </w:r>
    </w:p>
  </w:footnote>
  <w:footnote w:id="34">
    <w:p w14:paraId="76D224F7" w14:textId="77777777" w:rsidR="00B2757B" w:rsidRDefault="00B2757B">
      <w:pPr>
        <w:pStyle w:val="FootnoteTextForceStyle"/>
        <w:rPr>
          <w:lang w:val="sk-SK"/>
        </w:rPr>
      </w:pPr>
      <w:r>
        <w:rPr>
          <w:vertAlign w:val="superscript"/>
          <w:lang w:val="sk-SK"/>
        </w:rPr>
        <w:footnoteRef/>
      </w:r>
      <w:r>
        <w:rPr>
          <w:lang w:val="sk-SK"/>
        </w:rPr>
        <w:tab/>
      </w:r>
      <w:r>
        <w:rPr>
          <w:b/>
          <w:i/>
          <w:lang w:val="sk-SK"/>
        </w:rPr>
        <w:t>Smernica Európskeho parlamentu a Rady (EÚ) 2020/2184 zo 16. decembra 2020 o kvalite vody určenej na ľudskú spotrebu (prepracované znenie)</w:t>
      </w:r>
      <w:r w:rsidR="00E71C88">
        <w:rPr>
          <w:b/>
          <w:i/>
          <w:lang w:val="sk-SK"/>
        </w:rPr>
        <w:t xml:space="preserve"> </w:t>
      </w:r>
      <w:r w:rsidR="00E71C88">
        <w:rPr>
          <w:b/>
          <w:i/>
          <w:szCs w:val="24"/>
          <w:lang w:val="sk-SK"/>
        </w:rPr>
        <w:t>(Ú. v. EÚ L 435, 23.12.2020, s</w:t>
      </w:r>
      <w:r w:rsidR="00E71C88" w:rsidRPr="00C100E9">
        <w:rPr>
          <w:b/>
          <w:i/>
          <w:szCs w:val="24"/>
          <w:lang w:val="sk-SK"/>
        </w:rPr>
        <w:t>. 1)</w:t>
      </w:r>
      <w:r>
        <w:rPr>
          <w:b/>
          <w:i/>
          <w:lang w:val="sk-SK"/>
        </w:rPr>
        <w:t>.</w:t>
      </w:r>
    </w:p>
  </w:footnote>
  <w:footnote w:id="35">
    <w:p w14:paraId="76E1038D" w14:textId="77777777" w:rsidR="00B2757B" w:rsidRDefault="00B2757B">
      <w:pPr>
        <w:pStyle w:val="FootnoteTextForceStyle"/>
        <w:rPr>
          <w:lang w:val="sk-SK"/>
        </w:rPr>
      </w:pPr>
      <w:r>
        <w:rPr>
          <w:vertAlign w:val="superscript"/>
          <w:lang w:val="sk-SK"/>
        </w:rPr>
        <w:footnoteRef/>
      </w:r>
      <w:r>
        <w:rPr>
          <w:lang w:val="sk-SK"/>
        </w:rPr>
        <w:tab/>
      </w:r>
      <w:r>
        <w:rPr>
          <w:b/>
          <w:i/>
          <w:lang w:val="sk-SK"/>
        </w:rPr>
        <w:t>SCHEER. Contribution to ENV consultation: Comments on the Commission’s proposal for amending the WFD/GWD/EQSD (Príspevok ku konzultácii ENV: Pripomienky k návrhu Komisie na zmenu rámcovej smernice o vode/smernice o podzemnej vode/smernice o kvalite životného prostredia), marec 2023. SCHEER. Groundwater quality standards for proposed additional pollutants in the annexes to the Groundwater Directive (2006/118/EC) [Normy kvality podzemných vôd pre navrhované ďalšie znečisťujúce látky v prílohách k smernici o podzemných vodách (2006/118/ES)], júl 2022.</w:t>
      </w:r>
    </w:p>
  </w:footnote>
  <w:footnote w:id="36">
    <w:p w14:paraId="315220C0" w14:textId="77777777" w:rsidR="00B2757B" w:rsidRDefault="00B2757B">
      <w:pPr>
        <w:pStyle w:val="FootnoteTextForceStyle"/>
        <w:rPr>
          <w:lang w:val="sk-SK"/>
        </w:rPr>
      </w:pPr>
      <w:r>
        <w:rPr>
          <w:vertAlign w:val="superscript"/>
          <w:lang w:val="sk-SK"/>
        </w:rPr>
        <w:footnoteRef/>
      </w:r>
      <w:r>
        <w:rPr>
          <w:lang w:val="sk-SK"/>
        </w:rPr>
        <w:tab/>
      </w:r>
      <w:r>
        <w:rPr>
          <w:b/>
          <w:i/>
          <w:lang w:val="sk-SK"/>
        </w:rPr>
        <w:t>EMA. Assessing the toxicological risk to human health and groundwater communities from veterinary pharmaceuticals in groundwater - Scientific guideline (Posudzovanie toxikologického rizika pre ľudské zdravie a spoločenstvá podzemných vôd vyplývajúceho z veterinárnych liečiv v podzemných vodách – vedecké usmernenie), apríl 2018.</w:t>
      </w:r>
    </w:p>
  </w:footnote>
  <w:footnote w:id="37">
    <w:p w14:paraId="36BF2836" w14:textId="77777777" w:rsidR="00B2757B" w:rsidRDefault="00B2757B">
      <w:pPr>
        <w:pStyle w:val="FootnoteTextForceStyle"/>
        <w:rPr>
          <w:lang w:val="sk-SK"/>
        </w:rPr>
      </w:pPr>
      <w:r>
        <w:rPr>
          <w:vertAlign w:val="superscript"/>
          <w:lang w:val="sk-SK"/>
        </w:rPr>
        <w:footnoteRef/>
      </w:r>
      <w:r>
        <w:rPr>
          <w:lang w:val="sk-SK"/>
        </w:rPr>
        <w:tab/>
      </w:r>
      <w:r>
        <w:rPr>
          <w:b/>
          <w:i/>
          <w:lang w:val="sk-SK"/>
        </w:rPr>
        <w:t>European Groundwater Memorandum: To secure the quality and quantity of drinking water for future generations (Európske memorandum o podzemných vodách: Zabezpečiť kvalitu a množstvo pitnej vody pre budúce generácie), marec 2022.</w:t>
      </w:r>
    </w:p>
  </w:footnote>
  <w:footnote w:id="38">
    <w:p w14:paraId="5E767DE0" w14:textId="77777777" w:rsidR="00B2757B" w:rsidRDefault="00B2757B">
      <w:pPr>
        <w:pStyle w:val="FootnoteTextForceStyle"/>
        <w:rPr>
          <w:lang w:val="sk-SK"/>
        </w:rPr>
      </w:pPr>
      <w:r>
        <w:rPr>
          <w:vertAlign w:val="superscript"/>
          <w:lang w:val="sk-SK"/>
        </w:rPr>
        <w:footnoteRef/>
      </w:r>
      <w:r>
        <w:rPr>
          <w:lang w:val="sk-SK"/>
        </w:rPr>
        <w:tab/>
      </w:r>
      <w:r>
        <w:rPr>
          <w:b/>
          <w:i/>
          <w:lang w:val="sk-SK"/>
        </w:rPr>
        <w:t>EMA. Assessing the toxicological risk to human health and groundwater communities from veterinary pharmaceuticals in groundwater - Scientific guideline (Posudzovanie toxikologického rizika pre ľudské zdravie a spoločenstvá podzemných vôd vyplývajúceho z veterinárnych liečiv v podzemných vodách – vedecké usmernenie), apríl 2018.</w:t>
      </w:r>
    </w:p>
  </w:footnote>
  <w:footnote w:id="39">
    <w:p w14:paraId="02C7E78D" w14:textId="77777777" w:rsidR="00B2757B" w:rsidRDefault="00B2757B">
      <w:pPr>
        <w:pStyle w:val="FootnoteTextForceStyle"/>
        <w:rPr>
          <w:lang w:val="sk-SK"/>
        </w:rPr>
      </w:pPr>
      <w:r>
        <w:rPr>
          <w:vertAlign w:val="superscript"/>
          <w:lang w:val="sk-SK"/>
        </w:rPr>
        <w:footnoteRef/>
      </w:r>
      <w:r>
        <w:rPr>
          <w:lang w:val="sk-SK"/>
        </w:rPr>
        <w:tab/>
        <w:t>Smernica Európskeho parlamentu a Rady (EÚ) 2020/2184 zo 16. decembra 2020 o kvalite vody určenej na ľudskú spotrebu (prepracované znenie) (Ú. v. EÚ L 435, 23.12.2020, s. 1).</w:t>
      </w:r>
    </w:p>
  </w:footnote>
  <w:footnote w:id="40">
    <w:p w14:paraId="4A0AB249" w14:textId="77777777" w:rsidR="00B2757B" w:rsidRDefault="00B2757B">
      <w:pPr>
        <w:pStyle w:val="FootnoteTextForceStyle"/>
        <w:rPr>
          <w:lang w:val="sk-SK"/>
        </w:rPr>
      </w:pPr>
      <w:r>
        <w:rPr>
          <w:vertAlign w:val="superscript"/>
          <w:lang w:val="sk-SK"/>
        </w:rPr>
        <w:footnoteRef/>
      </w:r>
      <w:r>
        <w:rPr>
          <w:lang w:val="sk-SK"/>
        </w:rPr>
        <w:tab/>
      </w:r>
      <w:r>
        <w:rPr>
          <w:b/>
          <w:i/>
          <w:lang w:val="sk-SK"/>
        </w:rPr>
        <w:t>“Global burden of bacterial antimicrobial resistance in 2019: a systematic analysis”, Lancet, 19</w:t>
      </w:r>
      <w:r w:rsidR="005E03AE">
        <w:rPr>
          <w:b/>
          <w:i/>
          <w:lang w:val="sk-SK"/>
        </w:rPr>
        <w:t>.</w:t>
      </w:r>
      <w:r>
        <w:rPr>
          <w:b/>
          <w:i/>
          <w:lang w:val="sk-SK"/>
        </w:rPr>
        <w:t xml:space="preserve"> </w:t>
      </w:r>
      <w:r w:rsidR="005E03AE">
        <w:rPr>
          <w:b/>
          <w:i/>
          <w:lang w:val="sk-SK"/>
        </w:rPr>
        <w:t>januára</w:t>
      </w:r>
      <w:r>
        <w:rPr>
          <w:b/>
          <w:i/>
          <w:lang w:val="sk-SK"/>
        </w:rPr>
        <w:t xml:space="preserve"> 2022 https://www.sciencedirect.com/science/article/pii/S0140673621027240?via%3Dihub</w:t>
      </w:r>
    </w:p>
  </w:footnote>
  <w:footnote w:id="41">
    <w:p w14:paraId="17667EDB" w14:textId="77777777" w:rsidR="00B2757B" w:rsidRDefault="00B2757B">
      <w:pPr>
        <w:pStyle w:val="FootnoteTextForceStyle"/>
        <w:rPr>
          <w:lang w:val="sk-SK"/>
        </w:rPr>
      </w:pPr>
      <w:r>
        <w:rPr>
          <w:vertAlign w:val="superscript"/>
          <w:lang w:val="sk-SK"/>
        </w:rPr>
        <w:footnoteRef/>
      </w:r>
      <w:r>
        <w:rPr>
          <w:lang w:val="sk-SK"/>
        </w:rPr>
        <w:tab/>
      </w:r>
      <w:r>
        <w:rPr>
          <w:b/>
          <w:i/>
          <w:lang w:val="sk-SK"/>
        </w:rPr>
        <w:t>https://www.sciencedirect.com/science/article/pii/S2352186422000724</w:t>
      </w:r>
    </w:p>
  </w:footnote>
  <w:footnote w:id="42">
    <w:p w14:paraId="521D43FE" w14:textId="77777777" w:rsidR="00B2757B" w:rsidRDefault="00B2757B">
      <w:pPr>
        <w:pStyle w:val="FootnoteTextForceStyle"/>
        <w:rPr>
          <w:lang w:val="sk-SK"/>
        </w:rPr>
      </w:pPr>
      <w:r>
        <w:rPr>
          <w:vertAlign w:val="superscript"/>
          <w:lang w:val="sk-SK"/>
        </w:rPr>
        <w:footnoteRef/>
      </w:r>
      <w:r>
        <w:rPr>
          <w:lang w:val="sk-SK"/>
        </w:rPr>
        <w:tab/>
        <w:t>Commission Staff Working Document Fitness check of the Water Framework Directive, Groundwater Directive, Environmental Quality Standards Directive and Floods Directive (Pracovný dokument útvarov Komisie, Kontrola vhodnosti rámcovej smernice o vode, smernice o podzemných vodách, smernice o environmentálnych normách kvality a smernice o povodniach) [SWD(2019) 439 final].</w:t>
      </w:r>
    </w:p>
  </w:footnote>
  <w:footnote w:id="43">
    <w:p w14:paraId="47C63619" w14:textId="77777777" w:rsidR="00B2757B" w:rsidRDefault="00B2757B">
      <w:pPr>
        <w:pStyle w:val="FootnoteTextForceStyle"/>
        <w:rPr>
          <w:lang w:val="sk-SK"/>
        </w:rPr>
      </w:pPr>
      <w:r>
        <w:rPr>
          <w:vertAlign w:val="superscript"/>
          <w:lang w:val="sk-SK"/>
        </w:rPr>
        <w:footnoteRef/>
      </w:r>
      <w:r>
        <w:rPr>
          <w:lang w:val="sk-SK"/>
        </w:rPr>
        <w:tab/>
      </w:r>
      <w:r>
        <w:rPr>
          <w:b/>
          <w:i/>
          <w:lang w:val="sk-SK"/>
        </w:rPr>
        <w:t>https://www.igb-berlin.de/sites/default/files/media-files/download-files/IGB_Policy_Brief_WFD_2019.pdf</w:t>
      </w:r>
    </w:p>
  </w:footnote>
  <w:footnote w:id="44">
    <w:p w14:paraId="1A163A38" w14:textId="77777777" w:rsidR="00B2757B" w:rsidRDefault="00B2757B">
      <w:pPr>
        <w:pStyle w:val="FootnoteTextForceStyle"/>
        <w:rPr>
          <w:lang w:val="sk-SK"/>
        </w:rPr>
      </w:pPr>
      <w:r>
        <w:rPr>
          <w:vertAlign w:val="superscript"/>
          <w:lang w:val="sk-SK"/>
        </w:rPr>
        <w:footnoteRef/>
      </w:r>
      <w:r>
        <w:rPr>
          <w:lang w:val="sk-SK"/>
        </w:rPr>
        <w:tab/>
        <w:t>Smernica Európskeho parlamentu a Rady 2007/2/ES zo 14. marca 2007, ktorou sa zriaďuje Infraštruktúra pre priestorové informácie v Európskom spoločenstve (INSPIRE) (Ú. v. EÚ L 108, 25.4.2007, s. 1).</w:t>
      </w:r>
    </w:p>
  </w:footnote>
  <w:footnote w:id="45">
    <w:p w14:paraId="61C447B7" w14:textId="77777777" w:rsidR="00B2757B" w:rsidRDefault="00B2757B">
      <w:pPr>
        <w:pStyle w:val="FootnoteTextForceStyle"/>
        <w:rPr>
          <w:lang w:val="sk-SK"/>
        </w:rPr>
      </w:pPr>
      <w:r>
        <w:rPr>
          <w:vertAlign w:val="superscript"/>
          <w:lang w:val="sk-SK"/>
        </w:rPr>
        <w:footnoteRef/>
      </w:r>
      <w:r>
        <w:rPr>
          <w:lang w:val="sk-SK"/>
        </w:rPr>
        <w:tab/>
        <w:t>Smernica Európskeho parlamentu a Rady (EÚ) 2019/1024 z 20. júna 2019 o otvorených dátach a opakovanom použití informácií verejného sektora (Ú. v. EÚ L 172, 26.6.2019, s. 56).</w:t>
      </w:r>
    </w:p>
  </w:footnote>
  <w:footnote w:id="46">
    <w:p w14:paraId="42001B5C" w14:textId="77777777" w:rsidR="00B2757B" w:rsidRDefault="00B2757B">
      <w:pPr>
        <w:pStyle w:val="FootnoteTextForceStyle"/>
        <w:rPr>
          <w:lang w:val="sk-SK"/>
        </w:rPr>
      </w:pPr>
      <w:r>
        <w:rPr>
          <w:strike/>
          <w:vertAlign w:val="superscript"/>
          <w:lang w:val="sk-SK"/>
        </w:rPr>
        <w:footnoteRef/>
      </w:r>
      <w:r>
        <w:rPr>
          <w:strike/>
          <w:lang w:val="sk-SK"/>
        </w:rPr>
        <w:tab/>
        <w:t>Nariadenie Európskeho parlamentu a Rady (ES) č. 166/2006 z 18. januára 2006 o zriadení Európskeho registra uvoľňovania a prenosov znečisťujúcich látok, ktorým sa menia a dopĺňajú smernice Rady 91/689/EHS a 96/61/ES (Ú. v. EÚ L 33, 4.2.2006, s. 1).</w:t>
      </w:r>
    </w:p>
  </w:footnote>
  <w:footnote w:id="47">
    <w:p w14:paraId="19267722" w14:textId="77777777" w:rsidR="00B2757B" w:rsidRDefault="00B2757B">
      <w:pPr>
        <w:pStyle w:val="FootnoteTextForceStyle"/>
        <w:rPr>
          <w:lang w:val="sk-SK"/>
        </w:rPr>
      </w:pPr>
      <w:r>
        <w:rPr>
          <w:vertAlign w:val="superscript"/>
          <w:lang w:val="sk-SK"/>
        </w:rPr>
        <w:footnoteRef/>
      </w:r>
      <w:r>
        <w:rPr>
          <w:lang w:val="sk-SK"/>
        </w:rPr>
        <w:tab/>
        <w:t>Nariadenie Európskeho parlamentu a Rady (EÚ) č. 182/2011 zo 16. februára 2011, ktorým sa ustanovujú pravidlá a všeobecné zásady mechanizmu, na základe ktorého členské štáty kontrolujú vykonávanie vykonávacích právomocí Komisie (Ú. v. EÚ L 55, 28.2.2011, s. 13).</w:t>
      </w:r>
    </w:p>
  </w:footnote>
  <w:footnote w:id="48">
    <w:p w14:paraId="73B51D9A" w14:textId="77777777" w:rsidR="00B2757B" w:rsidRDefault="00B2757B">
      <w:pPr>
        <w:pStyle w:val="FootnoteTextForceStyle"/>
        <w:rPr>
          <w:lang w:val="sk-SK"/>
        </w:rPr>
      </w:pPr>
      <w:r>
        <w:rPr>
          <w:vertAlign w:val="superscript"/>
          <w:lang w:val="sk-SK"/>
        </w:rPr>
        <w:footnoteRef/>
      </w:r>
      <w:r>
        <w:rPr>
          <w:lang w:val="sk-SK"/>
        </w:rPr>
        <w:tab/>
        <w:t>Úrad pre publikácie: vložte</w:t>
      </w:r>
      <w:r w:rsidR="00A756A4">
        <w:rPr>
          <w:lang w:val="sk-SK"/>
        </w:rPr>
        <w:t>, prosím,</w:t>
      </w:r>
      <w:r>
        <w:rPr>
          <w:lang w:val="sk-SK"/>
        </w:rPr>
        <w:t xml:space="preserve"> do textu číslo nariadenia nachádzajúceho sa v dokumente COM(2022) 157 a do poznámky pod čiarou vložte číslo, dátum, názov a odkaz na uverejnenie uvedenej smernice v úradnom vestníku.</w:t>
      </w:r>
    </w:p>
  </w:footnote>
  <w:footnote w:id="49">
    <w:p w14:paraId="063D9D60" w14:textId="77777777" w:rsidR="00B2757B" w:rsidRDefault="00B2757B">
      <w:pPr>
        <w:pStyle w:val="FootnoteTextForceStyle"/>
        <w:rPr>
          <w:lang w:val="sk-SK"/>
        </w:rPr>
      </w:pPr>
      <w:r>
        <w:rPr>
          <w:vertAlign w:val="superscript"/>
          <w:lang w:val="sk-SK"/>
        </w:rPr>
        <w:footnoteRef/>
      </w:r>
      <w:r>
        <w:rPr>
          <w:lang w:val="sk-SK"/>
        </w:rPr>
        <w:tab/>
      </w:r>
      <w:r>
        <w:rPr>
          <w:b/>
          <w:i/>
          <w:lang w:val="sk-SK"/>
        </w:rPr>
        <w:t>Vec C-535/18, rozsudok Súdneho dvora (prvá komora) zo 28. mája 2020; Il a i./Spolková krajina Severné Porýnie-Vestfálsko. Vec C-664/15, rozsudok Súdneho dvora (druhá komora) zo 20. decembra 2017; Protect Natur-, Arten- und Landschaftsschutz Umweltorganisation/Bezirkshauptmannschaft Gmünd.</w:t>
      </w:r>
    </w:p>
  </w:footnote>
  <w:footnote w:id="50">
    <w:p w14:paraId="04CB2C3E" w14:textId="77777777" w:rsidR="00B2757B" w:rsidRDefault="00B2757B">
      <w:pPr>
        <w:pStyle w:val="FootnoteTextForceStyle"/>
        <w:rPr>
          <w:lang w:val="sk-SK"/>
        </w:rPr>
      </w:pPr>
      <w:r>
        <w:rPr>
          <w:vertAlign w:val="superscript"/>
          <w:lang w:val="sk-SK"/>
        </w:rPr>
        <w:footnoteRef/>
      </w:r>
      <w:r>
        <w:rPr>
          <w:lang w:val="sk-SK"/>
        </w:rPr>
        <w:tab/>
        <w:t>Rozhodnutie Európskeho parlamentu a Rady č. 1313/2013/EÚ zo 17. decembra 2013 o mechanizme Únie v oblasti civilnej ochrany (Ú. v. EÚ L 347, 20.12.2013, s. 924).</w:t>
      </w:r>
    </w:p>
  </w:footnote>
  <w:footnote w:id="51">
    <w:p w14:paraId="016CFB21" w14:textId="77777777" w:rsidR="00B2757B" w:rsidRDefault="00B2757B">
      <w:pPr>
        <w:pStyle w:val="FootnoteTextForceStyle"/>
        <w:rPr>
          <w:lang w:val="sk-SK"/>
        </w:rPr>
      </w:pPr>
      <w:r>
        <w:rPr>
          <w:vertAlign w:val="superscript"/>
          <w:lang w:val="sk-SK"/>
        </w:rPr>
        <w:footnoteRef/>
      </w:r>
      <w:r>
        <w:rPr>
          <w:lang w:val="sk-SK"/>
        </w:rPr>
        <w:tab/>
      </w:r>
      <w:r>
        <w:rPr>
          <w:b/>
          <w:i/>
          <w:lang w:val="sk-SK"/>
        </w:rPr>
        <w:t>OECD, 6. okrúhly stôl o financovaní vody. K dispozícii na adrese: K dispozícii na adrese https://www.oecd.org/water/6th-Roundtable-on-Financing-Water-in-Europe-Summary-and-Highlights.pdf</w:t>
      </w:r>
      <w:r w:rsidR="00ED2E09">
        <w:rPr>
          <w:b/>
          <w:i/>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A88C5" w14:textId="77777777" w:rsidR="00B2757B" w:rsidRDefault="00B2757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6A2FD" w14:textId="77777777" w:rsidR="00B2757B" w:rsidRDefault="00B2757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387B7" w14:textId="77777777" w:rsidR="00B2757B" w:rsidRDefault="00B2757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C76B9" w14:textId="77777777" w:rsidR="00B2757B" w:rsidRDefault="00B2757B"/>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29868" w14:textId="77777777" w:rsidR="00B2757B" w:rsidRDefault="00B2757B"/>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22C10" w14:textId="77777777" w:rsidR="00B2757B" w:rsidRDefault="00B2757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1E76DABA"/>
    <w:lvl w:ilvl="0">
      <w:start w:val="1"/>
      <w:numFmt w:val="bullet"/>
      <w:pStyle w:val="ThetitleofAnnexIPoint0number"/>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08668F7C"/>
    <w:lvl w:ilvl="0">
      <w:start w:val="1"/>
      <w:numFmt w:val="bullet"/>
      <w:pStyle w:val="ListBullet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49721B5C"/>
    <w:lvl w:ilvl="0">
      <w:start w:val="1"/>
      <w:numFmt w:val="bullet"/>
      <w:pStyle w:val="ListBullet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393E84BA"/>
    <w:lvl w:ilvl="0">
      <w:start w:val="1"/>
      <w:numFmt w:val="bullet"/>
      <w:pStyle w:val="ListBullet2"/>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A4C82928"/>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6"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8" w15:restartNumberingAfterBreak="0">
    <w:nsid w:val="13E4330B"/>
    <w:multiLevelType w:val="multilevel"/>
    <w:tmpl w:val="643A6648"/>
    <w:name w:val="List Dash 3"/>
    <w:lvl w:ilvl="0">
      <w:start w:val="1"/>
      <w:numFmt w:val="decimal"/>
      <w:pStyle w:val="ListNumber1"/>
      <w:lvlText w:val="(%1)"/>
      <w:lvlJc w:val="left"/>
      <w:pPr>
        <w:tabs>
          <w:tab w:val="num" w:pos="1701"/>
        </w:tabs>
        <w:ind w:left="1701" w:hanging="709"/>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2"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3"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5"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7"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8" w15:restartNumberingAfterBreak="0">
    <w:nsid w:val="398C015E"/>
    <w:multiLevelType w:val="multilevel"/>
    <w:tmpl w:val="4F4EEA34"/>
    <w:name w:val="List Dash 4"/>
    <w:lvl w:ilvl="0">
      <w:start w:val="1"/>
      <w:numFmt w:val="decimal"/>
      <w:pStyle w:val="ListNumber2"/>
      <w:lvlText w:val="(%1)"/>
      <w:lvlJc w:val="left"/>
      <w:pPr>
        <w:tabs>
          <w:tab w:val="num" w:pos="1560"/>
        </w:tabs>
        <w:ind w:left="1560" w:hanging="709"/>
      </w:pPr>
      <w:rPr>
        <w:rFonts w:cs="Times New Roman"/>
        <w:lang w:val="en-GB"/>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3"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4"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5"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6" w15:restartNumberingAfterBreak="0">
    <w:nsid w:val="556E1D63"/>
    <w:multiLevelType w:val="singleLevel"/>
    <w:tmpl w:val="493AAFF0"/>
    <w:name w:val="Bullet 4"/>
    <w:lvl w:ilvl="0">
      <w:start w:val="1"/>
      <w:numFmt w:val="bullet"/>
      <w:lvlRestart w:val="0"/>
      <w:lvlText w:val=""/>
      <w:lvlJc w:val="left"/>
      <w:pPr>
        <w:tabs>
          <w:tab w:val="num" w:pos="3118"/>
        </w:tabs>
        <w:ind w:left="3118" w:hanging="567"/>
      </w:pPr>
      <w:rPr>
        <w:rFonts w:ascii="Symbol" w:hAnsi="Symbol" w:hint="default"/>
      </w:rPr>
    </w:lvl>
  </w:abstractNum>
  <w:abstractNum w:abstractNumId="2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0"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2" w15:restartNumberingAfterBreak="0">
    <w:nsid w:val="71F06166"/>
    <w:multiLevelType w:val="multilevel"/>
    <w:tmpl w:val="538806B0"/>
    <w:name w:val="0.6719891"/>
    <w:lvl w:ilvl="0">
      <w:start w:val="1"/>
      <w:numFmt w:val="decimal"/>
      <w:lvlRestart w:val="0"/>
      <w:pStyle w:val="ListNumber"/>
      <w:lvlText w:val="(%1)"/>
      <w:lvlJc w:val="left"/>
      <w:pPr>
        <w:tabs>
          <w:tab w:val="num" w:pos="1276"/>
        </w:tabs>
        <w:ind w:left="1276" w:hanging="709"/>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7CBE4812"/>
    <w:multiLevelType w:val="singleLevel"/>
    <w:tmpl w:val="23C821E4"/>
    <w:name w:val="Considérant"/>
    <w:lvl w:ilvl="0">
      <w:start w:val="1"/>
      <w:numFmt w:val="decimal"/>
      <w:lvlRestart w:val="0"/>
      <w:pStyle w:val="Bullet4"/>
      <w:lvlText w:val="(%1)"/>
      <w:lvlJc w:val="left"/>
      <w:pPr>
        <w:tabs>
          <w:tab w:val="num" w:pos="709"/>
        </w:tabs>
        <w:ind w:left="709" w:hanging="709"/>
      </w:pPr>
    </w:lvl>
  </w:abstractNum>
  <w:num w:numId="1" w16cid:durableId="327905959">
    <w:abstractNumId w:val="4"/>
  </w:num>
  <w:num w:numId="2" w16cid:durableId="1987511881">
    <w:abstractNumId w:val="3"/>
  </w:num>
  <w:num w:numId="3" w16cid:durableId="1571039437">
    <w:abstractNumId w:val="2"/>
  </w:num>
  <w:num w:numId="4" w16cid:durableId="1437482634">
    <w:abstractNumId w:val="1"/>
  </w:num>
  <w:num w:numId="5" w16cid:durableId="1260792369">
    <w:abstractNumId w:val="0"/>
  </w:num>
  <w:num w:numId="6" w16cid:durableId="1717856339">
    <w:abstractNumId w:val="6"/>
  </w:num>
  <w:num w:numId="7" w16cid:durableId="1249197104">
    <w:abstractNumId w:val="17"/>
  </w:num>
  <w:num w:numId="8" w16cid:durableId="40204823">
    <w:abstractNumId w:val="9"/>
  </w:num>
  <w:num w:numId="9" w16cid:durableId="1493569392">
    <w:abstractNumId w:val="5"/>
  </w:num>
  <w:num w:numId="10" w16cid:durableId="550965540">
    <w:abstractNumId w:val="14"/>
  </w:num>
  <w:num w:numId="11" w16cid:durableId="505678066">
    <w:abstractNumId w:val="24"/>
  </w:num>
  <w:num w:numId="12" w16cid:durableId="1108429443">
    <w:abstractNumId w:val="23"/>
  </w:num>
  <w:num w:numId="13" w16cid:durableId="1710258105">
    <w:abstractNumId w:val="32"/>
  </w:num>
  <w:num w:numId="14" w16cid:durableId="290599125">
    <w:abstractNumId w:val="7"/>
  </w:num>
  <w:num w:numId="15" w16cid:durableId="2089762207">
    <w:abstractNumId w:val="16"/>
  </w:num>
  <w:num w:numId="16" w16cid:durableId="240454662">
    <w:abstractNumId w:val="8"/>
  </w:num>
  <w:num w:numId="17" w16cid:durableId="1022894989">
    <w:abstractNumId w:val="18"/>
  </w:num>
  <w:num w:numId="18" w16cid:durableId="1018192974">
    <w:abstractNumId w:val="15"/>
  </w:num>
  <w:num w:numId="19" w16cid:durableId="1970624338">
    <w:abstractNumId w:val="25"/>
  </w:num>
  <w:num w:numId="20" w16cid:durableId="228418327">
    <w:abstractNumId w:val="13"/>
  </w:num>
  <w:num w:numId="21" w16cid:durableId="1689478112">
    <w:abstractNumId w:val="29"/>
  </w:num>
  <w:num w:numId="22" w16cid:durableId="606163217">
    <w:abstractNumId w:val="19"/>
  </w:num>
  <w:num w:numId="23" w16cid:durableId="2107848465">
    <w:abstractNumId w:val="31"/>
  </w:num>
  <w:num w:numId="24" w16cid:durableId="686564288">
    <w:abstractNumId w:val="12"/>
  </w:num>
  <w:num w:numId="25" w16cid:durableId="1173454438">
    <w:abstractNumId w:val="20"/>
  </w:num>
  <w:num w:numId="26" w16cid:durableId="1165897042">
    <w:abstractNumId w:val="21"/>
  </w:num>
  <w:num w:numId="27" w16cid:durableId="2035039143">
    <w:abstractNumId w:val="10"/>
  </w:num>
  <w:num w:numId="28" w16cid:durableId="1696492406">
    <w:abstractNumId w:val="22"/>
  </w:num>
  <w:num w:numId="29" w16cid:durableId="1728333829">
    <w:abstractNumId w:val="27"/>
  </w:num>
  <w:num w:numId="30" w16cid:durableId="377781193">
    <w:abstractNumId w:val="28"/>
  </w:num>
  <w:num w:numId="31" w16cid:durableId="411242836">
    <w:abstractNumId w:val="11"/>
  </w:num>
  <w:num w:numId="32" w16cid:durableId="975379002">
    <w:abstractNumId w:val="33"/>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9-0238/2023"/>
    <w:docVar w:name="dvlangue" w:val="SK"/>
    <w:docVar w:name="dvnumam" w:val="228"/>
    <w:docVar w:name="dvpe" w:val="740.884"/>
    <w:docVar w:name="dvrapporteur" w:val="Spravodajca: "/>
    <w:docVar w:name="dvstar" w:val="***I"/>
    <w:docVar w:name="dvtitre" w:val="Legislatívne uznesenie Európskeho parlamentu z xx. apríla 2024o návrhu smernice Európskeho parlamentu a Rady, ktorou sa mení smernica 2000/60/ES, ktorou sa stanovuje rámec pôsobnosti pre opatrenia Spoločenstva v oblasti vodného hospodárstva, smernica 2006/118/ES o ochrane podzemných vôd pred znečistením a zhoršením kvality a smernica 2008/105/ES o environmentálnych normách kvality v oblasti vodnej politiky(COM(2022)0540 – C9-0361/2022 – 2022/0344(COD))"/>
  </w:docVars>
  <w:rsids>
    <w:rsidRoot w:val="002709ED"/>
    <w:rsid w:val="0000288C"/>
    <w:rsid w:val="00097A12"/>
    <w:rsid w:val="00171158"/>
    <w:rsid w:val="001D4230"/>
    <w:rsid w:val="002038B2"/>
    <w:rsid w:val="002709ED"/>
    <w:rsid w:val="0032662A"/>
    <w:rsid w:val="0035063B"/>
    <w:rsid w:val="003F2F15"/>
    <w:rsid w:val="00435C8D"/>
    <w:rsid w:val="00567411"/>
    <w:rsid w:val="005E03AE"/>
    <w:rsid w:val="0061315A"/>
    <w:rsid w:val="00633F94"/>
    <w:rsid w:val="00694858"/>
    <w:rsid w:val="006D5113"/>
    <w:rsid w:val="00746478"/>
    <w:rsid w:val="007B7D04"/>
    <w:rsid w:val="00880E12"/>
    <w:rsid w:val="008E6754"/>
    <w:rsid w:val="00A756A4"/>
    <w:rsid w:val="00AA4AA6"/>
    <w:rsid w:val="00B2757B"/>
    <w:rsid w:val="00B7287D"/>
    <w:rsid w:val="00B868B1"/>
    <w:rsid w:val="00C100E9"/>
    <w:rsid w:val="00C27C94"/>
    <w:rsid w:val="00CA7169"/>
    <w:rsid w:val="00D00819"/>
    <w:rsid w:val="00D952FD"/>
    <w:rsid w:val="00DB6E14"/>
    <w:rsid w:val="00E06D69"/>
    <w:rsid w:val="00E240DD"/>
    <w:rsid w:val="00E71C88"/>
    <w:rsid w:val="00E87FD2"/>
    <w:rsid w:val="00ED2E09"/>
    <w:rsid w:val="00F652FA"/>
    <w:rsid w:val="00F957E3"/>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16DC1B"/>
  <w15:chartTrackingRefBased/>
  <w15:docId w15:val="{4F699E13-6FED-4170-BC72-0F974614A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99"/>
    <w:lsdException w:name="toc 1" w:uiPriority="39"/>
    <w:lsdException w:name="toc 2" w:uiPriority="39"/>
    <w:lsdException w:name="toc 3" w:uiPriority="39"/>
    <w:lsdException w:name="Normal Indent" w:uiPriority="99"/>
    <w:lsdException w:name="footnote text" w:uiPriority="99"/>
    <w:lsdException w:name="annotation text" w:uiPriority="99"/>
    <w:lsdException w:name="header" w:uiPriority="99"/>
    <w:lsdException w:name="footer" w:uiPriority="99"/>
    <w:lsdException w:name="index heading" w:uiPriority="99"/>
    <w:lsdException w:name="caption" w:semiHidden="1" w:uiPriority="35" w:unhideWhenUsed="1" w:qFormat="1"/>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macro" w:uiPriority="99"/>
    <w:lsdException w:name="List" w:uiPriority="99"/>
    <w:lsdException w:name="List Number" w:uiPriority="99"/>
    <w:lsdException w:name="List 2" w:uiPriority="99"/>
    <w:lsdException w:name="List 3" w:uiPriority="99"/>
    <w:lsdException w:name="List 4" w:uiPriority="99"/>
    <w:lsdException w:name="List 5" w:uiPriority="99"/>
    <w:lsdException w:name="List Bullet 5" w:uiPriority="99"/>
    <w:lsdException w:name="List Number 2" w:uiPriority="99"/>
    <w:lsdException w:name="List Number 3" w:uiPriority="99"/>
    <w:lsdException w:name="List Number 4" w:uiPriority="99"/>
    <w:lsdException w:name="List Number 5" w:uiPriority="99"/>
    <w:lsdException w:name="Title" w:uiPriority="10" w:qFormat="1"/>
    <w:lsdException w:name="Closing" w:uiPriority="99"/>
    <w:lsdException w:name="Signature" w:uiPriority="99"/>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uiPriority="11" w:qFormat="1"/>
    <w:lsdException w:name="Body Text First Indent" w:uiPriority="99"/>
    <w:lsdException w:name="Body Text First Inden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uiPriority="22" w:qFormat="1"/>
    <w:lsdException w:name="Emphasis" w:uiPriority="20" w:qFormat="1"/>
    <w:lsdException w:name="Document Map" w:uiPriority="99"/>
    <w:lsdException w:name="Plain Text" w:uiPriority="99"/>
    <w:lsdException w:name="E-mail Signature"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lang w:val="sk-SK"/>
    </w:rPr>
  </w:style>
  <w:style w:type="paragraph" w:styleId="Heading1">
    <w:name w:val="heading 1"/>
    <w:basedOn w:val="Normal"/>
    <w:next w:val="Normal"/>
    <w:link w:val="Heading1Char"/>
    <w:uiPriority w:val="9"/>
    <w:qFormat/>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pPr>
      <w:keepNext/>
      <w:widowControl/>
      <w:numPr>
        <w:ilvl w:val="1"/>
        <w:numId w:val="6"/>
      </w:numPr>
      <w:spacing w:before="240" w:after="60"/>
      <w:outlineLvl w:val="1"/>
    </w:pPr>
    <w:rPr>
      <w:lang w:val="fr-FR" w:eastAsia="fr-FR"/>
    </w:rPr>
  </w:style>
  <w:style w:type="paragraph" w:styleId="Heading3">
    <w:name w:val="heading 3"/>
    <w:basedOn w:val="Normal"/>
    <w:next w:val="Normal"/>
    <w:link w:val="Heading3Char"/>
    <w:uiPriority w:val="9"/>
    <w:semiHidden/>
    <w:qFormat/>
    <w:pPr>
      <w:keepNext/>
      <w:widowControl/>
      <w:numPr>
        <w:ilvl w:val="2"/>
        <w:numId w:val="6"/>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pPr>
      <w:keepNext/>
      <w:widowControl/>
      <w:numPr>
        <w:ilvl w:val="3"/>
        <w:numId w:val="6"/>
      </w:numPr>
      <w:spacing w:before="240" w:after="60"/>
      <w:outlineLvl w:val="3"/>
    </w:pPr>
    <w:rPr>
      <w:lang w:val="en-US" w:eastAsia="fr-FR"/>
    </w:rPr>
  </w:style>
  <w:style w:type="paragraph" w:styleId="Heading5">
    <w:name w:val="heading 5"/>
    <w:basedOn w:val="Normal"/>
    <w:next w:val="Normal"/>
    <w:link w:val="Heading5Char"/>
    <w:uiPriority w:val="9"/>
    <w:semiHidden/>
    <w:qFormat/>
    <w:pPr>
      <w:widowControl/>
      <w:numPr>
        <w:ilvl w:val="4"/>
        <w:numId w:val="7"/>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qFormat/>
    <w:pPr>
      <w:spacing w:before="240" w:after="60"/>
      <w:outlineLvl w:val="7"/>
    </w:pPr>
    <w:rPr>
      <w:rFonts w:ascii="Arial" w:hAnsi="Arial"/>
      <w:i/>
    </w:rPr>
  </w:style>
  <w:style w:type="paragraph" w:styleId="Heading9">
    <w:name w:val="heading 9"/>
    <w:basedOn w:val="Normal"/>
    <w:next w:val="Normal"/>
    <w:link w:val="Heading9Char"/>
    <w:uiPriority w:val="9"/>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pPr>
      <w:jc w:val="center"/>
    </w:pPr>
    <w:rPr>
      <w:rFonts w:ascii="Arial" w:hAnsi="Arial"/>
      <w:bCs/>
      <w:i/>
      <w:sz w:val="20"/>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pPr>
      <w:jc w:val="center"/>
    </w:pPr>
    <w:rPr>
      <w:rFonts w:ascii="Arial" w:hAnsi="Arial" w:cs="Arial"/>
      <w:b/>
      <w:sz w:val="22"/>
      <w:szCs w:val="22"/>
    </w:rPr>
  </w:style>
  <w:style w:type="paragraph" w:customStyle="1" w:styleId="LineTop">
    <w:name w:val="LineTop"/>
    <w:basedOn w:val="Normal"/>
    <w:next w:val="Normal"/>
    <w:pPr>
      <w:pBdr>
        <w:top w:val="single" w:sz="4" w:space="1" w:color="auto"/>
      </w:pBdr>
      <w:jc w:val="center"/>
    </w:pPr>
    <w:rPr>
      <w:rFonts w:ascii="Arial" w:hAnsi="Arial" w:cs="Arial"/>
      <w:sz w:val="16"/>
      <w:szCs w:val="16"/>
    </w:rPr>
  </w:style>
  <w:style w:type="paragraph" w:customStyle="1" w:styleId="LineBottom">
    <w:name w:val="LineBottom"/>
    <w:basedOn w:val="Normal"/>
    <w:next w:val="Normal"/>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pPr>
      <w:keepNext/>
      <w:keepLines/>
      <w:widowControl/>
      <w:spacing w:before="480" w:after="120"/>
      <w:outlineLvl w:val="0"/>
    </w:pPr>
    <w:rPr>
      <w:b/>
      <w:sz w:val="28"/>
      <w:lang w:eastAsia="fr-FR"/>
    </w:rPr>
  </w:style>
  <w:style w:type="paragraph" w:customStyle="1" w:styleId="ATHeading2">
    <w:name w:val="AT Heading 2"/>
    <w:basedOn w:val="Normal"/>
    <w:next w:val="Normal"/>
    <w:pPr>
      <w:widowControl/>
      <w:spacing w:before="120" w:after="120"/>
      <w:outlineLvl w:val="1"/>
    </w:pPr>
    <w:rPr>
      <w:b/>
      <w:sz w:val="28"/>
      <w:lang w:eastAsia="fr-FR"/>
    </w:rPr>
  </w:style>
  <w:style w:type="paragraph" w:customStyle="1" w:styleId="ATHeading3">
    <w:name w:val="AT Heading 3"/>
    <w:basedOn w:val="Normal"/>
    <w:next w:val="Normal"/>
    <w:pPr>
      <w:keepNext/>
      <w:keepLines/>
      <w:widowControl/>
      <w:spacing w:before="120" w:after="120"/>
      <w:outlineLvl w:val="2"/>
    </w:pPr>
    <w:rPr>
      <w:b/>
      <w:lang w:eastAsia="fr-FR"/>
    </w:rPr>
  </w:style>
  <w:style w:type="paragraph" w:customStyle="1" w:styleId="ATHeadingMotiv">
    <w:name w:val="AT Heading Motiv"/>
    <w:basedOn w:val="Normal"/>
    <w:next w:val="Normal"/>
    <w:pPr>
      <w:keepNext/>
      <w:widowControl/>
      <w:spacing w:before="60" w:after="60"/>
      <w:jc w:val="center"/>
    </w:pPr>
    <w:rPr>
      <w:i/>
      <w:lang w:eastAsia="fr-FR"/>
    </w:rPr>
  </w:style>
  <w:style w:type="character" w:styleId="FootnoteReference">
    <w:name w:val="footnote reference"/>
    <w:uiPriority w:val="99"/>
    <w:rPr>
      <w:b w:val="0"/>
      <w:vertAlign w:val="superscript"/>
    </w:rPr>
  </w:style>
  <w:style w:type="paragraph" w:styleId="FootnoteText">
    <w:name w:val="footnote text"/>
    <w:basedOn w:val="Normal"/>
    <w:link w:val="FootnoteTextChar"/>
    <w:uiPriority w:val="99"/>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Pr>
      <w:sz w:val="22"/>
      <w:lang w:val="fr-FR" w:eastAsia="fr-FR"/>
    </w:rPr>
  </w:style>
  <w:style w:type="character" w:styleId="PageNumber">
    <w:name w:val="page number"/>
    <w:uiPriority w:val="99"/>
  </w:style>
  <w:style w:type="paragraph" w:styleId="TOC2">
    <w:name w:val="toc 2"/>
    <w:basedOn w:val="Normal"/>
    <w:next w:val="Normal"/>
    <w:autoRedefine/>
    <w:uiPriority w:val="39"/>
    <w:semiHidden/>
    <w:pPr>
      <w:keepNext/>
      <w:keepLines/>
      <w:widowControl/>
    </w:pPr>
    <w:rPr>
      <w:b/>
      <w:noProof/>
      <w:lang w:val="fr-FR" w:eastAsia="fr-FR"/>
    </w:rPr>
  </w:style>
  <w:style w:type="paragraph" w:styleId="TOC3">
    <w:name w:val="toc 3"/>
    <w:basedOn w:val="Normal"/>
    <w:next w:val="Normal"/>
    <w:autoRedefine/>
    <w:uiPriority w:val="39"/>
    <w:semiHidden/>
    <w:pPr>
      <w:keepLines/>
      <w:widowControl/>
      <w:ind w:right="510"/>
    </w:pPr>
    <w:rPr>
      <w:noProof/>
      <w:lang w:val="fr-FR" w:eastAsia="fr-FR"/>
    </w:rPr>
  </w:style>
  <w:style w:type="paragraph" w:customStyle="1" w:styleId="EPName">
    <w:name w:val="EPName"/>
    <w:basedOn w:val="Normal"/>
    <w:pPr>
      <w:spacing w:before="80" w:after="80"/>
    </w:pPr>
    <w:rPr>
      <w:rFonts w:ascii="Arial Narrow" w:hAnsi="Arial Narrow" w:cs="Arial"/>
      <w:b/>
      <w:sz w:val="32"/>
      <w:szCs w:val="22"/>
    </w:rPr>
  </w:style>
  <w:style w:type="paragraph" w:customStyle="1" w:styleId="EPTerm">
    <w:name w:val="EPTerm"/>
    <w:basedOn w:val="Normal"/>
    <w:next w:val="Normal"/>
    <w:pPr>
      <w:spacing w:after="80"/>
    </w:pPr>
    <w:rPr>
      <w:rFonts w:ascii="Arial" w:hAnsi="Arial" w:cs="Arial"/>
      <w:sz w:val="20"/>
      <w:szCs w:val="22"/>
    </w:rPr>
  </w:style>
  <w:style w:type="paragraph" w:customStyle="1" w:styleId="EPLogo">
    <w:name w:val="EPLogo"/>
    <w:basedOn w:val="Normal"/>
    <w:qFormat/>
    <w:pPr>
      <w:jc w:val="right"/>
    </w:pPr>
  </w:style>
  <w:style w:type="character" w:customStyle="1" w:styleId="Heading1Char">
    <w:name w:val="Heading 1 Char"/>
    <w:basedOn w:val="DefaultParagraphFont"/>
    <w:link w:val="Heading1"/>
    <w:uiPriority w:val="9"/>
    <w:rPr>
      <w:b/>
      <w:kern w:val="28"/>
      <w:sz w:val="28"/>
      <w:lang w:val="fr-FR" w:eastAsia="fr-FR"/>
    </w:rPr>
  </w:style>
  <w:style w:type="character" w:customStyle="1" w:styleId="Heading2Char">
    <w:name w:val="Heading 2 Char"/>
    <w:basedOn w:val="DefaultParagraphFont"/>
    <w:link w:val="Heading2"/>
    <w:uiPriority w:val="9"/>
    <w:semiHidden/>
    <w:rPr>
      <w:sz w:val="24"/>
      <w:lang w:val="fr-FR" w:eastAsia="fr-FR"/>
    </w:rPr>
  </w:style>
  <w:style w:type="character" w:customStyle="1" w:styleId="Heading3Char">
    <w:name w:val="Heading 3 Char"/>
    <w:basedOn w:val="DefaultParagraphFont"/>
    <w:link w:val="Heading3"/>
    <w:uiPriority w:val="9"/>
    <w:semiHidden/>
    <w:rPr>
      <w:rFonts w:ascii="Arial" w:hAnsi="Arial"/>
      <w:sz w:val="24"/>
      <w:lang w:val="fr-FR" w:eastAsia="fr-FR"/>
    </w:rPr>
  </w:style>
  <w:style w:type="character" w:customStyle="1" w:styleId="Heading4Char">
    <w:name w:val="Heading 4 Char"/>
    <w:basedOn w:val="DefaultParagraphFont"/>
    <w:link w:val="Heading4"/>
    <w:uiPriority w:val="9"/>
    <w:semiHidden/>
    <w:rPr>
      <w:sz w:val="24"/>
      <w:lang w:val="en-US" w:eastAsia="fr-FR"/>
    </w:rPr>
  </w:style>
  <w:style w:type="character" w:customStyle="1" w:styleId="Heading5Char">
    <w:name w:val="Heading 5 Char"/>
    <w:basedOn w:val="DefaultParagraphFont"/>
    <w:link w:val="Heading5"/>
    <w:uiPriority w:val="9"/>
    <w:semiHidden/>
    <w:rPr>
      <w:sz w:val="24"/>
      <w:lang w:val="en-US" w:eastAsia="fr-FR"/>
    </w:rPr>
  </w:style>
  <w:style w:type="character" w:customStyle="1" w:styleId="Heading6Char">
    <w:name w:val="Heading 6 Char"/>
    <w:basedOn w:val="DefaultParagraphFont"/>
    <w:link w:val="Heading6"/>
    <w:uiPriority w:val="9"/>
    <w:semiHidden/>
    <w:rPr>
      <w:i/>
      <w:sz w:val="22"/>
      <w:lang w:val="sk-SK"/>
    </w:rPr>
  </w:style>
  <w:style w:type="character" w:customStyle="1" w:styleId="Heading7Char">
    <w:name w:val="Heading 7 Char"/>
    <w:basedOn w:val="DefaultParagraphFont"/>
    <w:link w:val="Heading7"/>
    <w:uiPriority w:val="9"/>
    <w:semiHidden/>
    <w:rPr>
      <w:rFonts w:ascii="Arial" w:hAnsi="Arial"/>
      <w:sz w:val="24"/>
      <w:lang w:val="sk-SK"/>
    </w:rPr>
  </w:style>
  <w:style w:type="character" w:customStyle="1" w:styleId="Heading8Char">
    <w:name w:val="Heading 8 Char"/>
    <w:basedOn w:val="DefaultParagraphFont"/>
    <w:link w:val="Heading8"/>
    <w:uiPriority w:val="9"/>
    <w:rPr>
      <w:rFonts w:ascii="Arial" w:hAnsi="Arial"/>
      <w:i/>
      <w:sz w:val="24"/>
      <w:lang w:val="sk-SK"/>
    </w:rPr>
  </w:style>
  <w:style w:type="character" w:customStyle="1" w:styleId="Heading9Char">
    <w:name w:val="Heading 9 Char"/>
    <w:basedOn w:val="DefaultParagraphFont"/>
    <w:link w:val="Heading9"/>
    <w:uiPriority w:val="9"/>
    <w:rPr>
      <w:rFonts w:ascii="Arial" w:hAnsi="Arial"/>
      <w:b/>
      <w:i/>
      <w:sz w:val="18"/>
      <w:lang w:val="sk-SK"/>
    </w:rPr>
  </w:style>
  <w:style w:type="paragraph" w:styleId="TOCHeading">
    <w:name w:val="TOC Heading"/>
    <w:basedOn w:val="Normal"/>
    <w:next w:val="Normal"/>
    <w:uiPriority w:val="39"/>
    <w:unhideWhenUsed/>
    <w:qFormat/>
    <w:pPr>
      <w:widowControl/>
      <w:spacing w:after="240"/>
    </w:pPr>
    <w:rPr>
      <w:lang w:val="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pPr>
      <w:keepNext/>
      <w:spacing w:after="240"/>
      <w:jc w:val="right"/>
    </w:pPr>
    <w:rPr>
      <w:rFonts w:ascii="Arial" w:hAnsi="Arial"/>
      <w:b/>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CoverNormal24a">
    <w:name w:val="CoverNormal24a"/>
    <w:basedOn w:val="Normal"/>
    <w:pPr>
      <w:spacing w:after="480"/>
      <w:ind w:left="1417"/>
    </w:pPr>
  </w:style>
  <w:style w:type="paragraph" w:customStyle="1" w:styleId="CoverNormal">
    <w:name w:val="CoverNormal"/>
    <w:basedOn w:val="Normal"/>
    <w:pPr>
      <w:ind w:left="1418"/>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rPr>
      <w:sz w:val="24"/>
      <w:lang w:val="sk-SK"/>
    </w:rPr>
  </w:style>
  <w:style w:type="paragraph" w:customStyle="1" w:styleId="AmOrLang">
    <w:name w:val="AmOrLang"/>
    <w:basedOn w:val="Normal"/>
    <w:pPr>
      <w:spacing w:before="240" w:after="240"/>
      <w:jc w:val="right"/>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link w:val="AmNumberTabsChar"/>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pPr>
      <w:spacing w:before="240"/>
    </w:pPr>
    <w:rPr>
      <w:b/>
    </w:rPr>
  </w:style>
  <w:style w:type="paragraph" w:customStyle="1" w:styleId="EPBody">
    <w:name w:val="EPBody"/>
    <w:basedOn w:val="Normal"/>
    <w:pPr>
      <w:jc w:val="center"/>
    </w:pPr>
    <w:rPr>
      <w:rFonts w:ascii="Arial" w:hAnsi="Arial" w:cs="Arial"/>
      <w:i/>
      <w:sz w:val="22"/>
      <w:szCs w:val="22"/>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EPComma">
    <w:name w:val="EPComma"/>
    <w:basedOn w:val="Normal"/>
    <w:pPr>
      <w:spacing w:before="480" w:after="240"/>
    </w:pPr>
  </w:style>
  <w:style w:type="paragraph" w:customStyle="1" w:styleId="Lgendesigne">
    <w:name w:val="Légende signe"/>
    <w:basedOn w:val="Normal"/>
    <w:pPr>
      <w:tabs>
        <w:tab w:val="right" w:pos="454"/>
        <w:tab w:val="left" w:pos="737"/>
      </w:tabs>
      <w:ind w:left="737" w:hanging="737"/>
    </w:pPr>
    <w:rPr>
      <w:snapToGrid w:val="0"/>
      <w:sz w:val="18"/>
      <w:lang w:eastAsia="en-US"/>
    </w:rPr>
  </w:style>
  <w:style w:type="paragraph" w:customStyle="1" w:styleId="Lgendetitre">
    <w:name w:val="Légende titre"/>
    <w:basedOn w:val="Normal"/>
    <w:pPr>
      <w:spacing w:before="240" w:after="240"/>
    </w:pPr>
    <w:rPr>
      <w:b/>
      <w:i/>
      <w:snapToGrid w:val="0"/>
      <w:lang w:eastAsia="en-US"/>
    </w:rPr>
  </w:style>
  <w:style w:type="paragraph" w:customStyle="1" w:styleId="Lgendestandard">
    <w:name w:val="Légende standard"/>
    <w:basedOn w:val="Normal"/>
    <w:rPr>
      <w:sz w:val="18"/>
    </w:rPr>
  </w:style>
  <w:style w:type="paragraph" w:customStyle="1" w:styleId="EntPE">
    <w:name w:val="EntPE"/>
    <w:basedOn w:val="Normal12"/>
    <w:pPr>
      <w:jc w:val="center"/>
    </w:pPr>
    <w:rPr>
      <w:noProof w:val="0"/>
      <w:sz w:val="56"/>
    </w:rPr>
  </w:style>
  <w:style w:type="paragraph" w:customStyle="1" w:styleId="Normal12">
    <w:name w:val="Normal12"/>
    <w:basedOn w:val="Normal"/>
    <w:link w:val="Normal12Char"/>
    <w:pPr>
      <w:spacing w:after="240"/>
    </w:pPr>
    <w:rPr>
      <w:noProof/>
    </w:rPr>
  </w:style>
  <w:style w:type="paragraph" w:customStyle="1" w:styleId="CommitteeAM">
    <w:name w:val="CommitteeAM"/>
    <w:basedOn w:val="Normal"/>
    <w:pPr>
      <w:spacing w:before="240" w:after="600"/>
      <w:jc w:val="center"/>
    </w:pPr>
    <w:rPr>
      <w:i/>
    </w:rPr>
  </w:style>
  <w:style w:type="paragraph" w:customStyle="1" w:styleId="ZDateAM">
    <w:name w:val="ZDateAM"/>
    <w:basedOn w:val="Normal"/>
    <w:pPr>
      <w:tabs>
        <w:tab w:val="right" w:pos="9356"/>
      </w:tabs>
      <w:spacing w:after="480"/>
    </w:pPr>
    <w:rPr>
      <w:noProof/>
    </w:rPr>
  </w:style>
  <w:style w:type="paragraph" w:customStyle="1" w:styleId="ProjRap">
    <w:name w:val="ProjRap"/>
    <w:basedOn w:val="Normal"/>
    <w:pPr>
      <w:tabs>
        <w:tab w:val="right" w:pos="9356"/>
      </w:tabs>
    </w:pPr>
    <w:rPr>
      <w:b/>
      <w:noProof/>
    </w:rPr>
  </w:style>
  <w:style w:type="character" w:customStyle="1" w:styleId="Normal12Char">
    <w:name w:val="Normal12 Char"/>
    <w:basedOn w:val="DefaultParagraphFont"/>
    <w:link w:val="Normal12"/>
    <w:locked/>
    <w:rPr>
      <w:noProof/>
      <w:sz w:val="24"/>
      <w:lang w:val="sk-SK"/>
    </w:rPr>
  </w:style>
  <w:style w:type="paragraph" w:customStyle="1" w:styleId="PELeft">
    <w:name w:val="PELeft"/>
    <w:basedOn w:val="Normal"/>
    <w:pPr>
      <w:spacing w:before="40" w:after="40"/>
    </w:pPr>
    <w:rPr>
      <w:rFonts w:ascii="Arial" w:hAnsi="Arial" w:cs="Arial"/>
      <w:sz w:val="22"/>
      <w:szCs w:val="22"/>
    </w:rPr>
  </w:style>
  <w:style w:type="paragraph" w:customStyle="1" w:styleId="PERight">
    <w:name w:val="PERight"/>
    <w:basedOn w:val="Normal"/>
    <w:next w:val="Normal"/>
    <w:pPr>
      <w:jc w:val="right"/>
    </w:pPr>
    <w:rPr>
      <w:rFonts w:ascii="Arial" w:hAnsi="Arial" w:cs="Arial"/>
      <w:sz w:val="22"/>
      <w:szCs w:val="22"/>
    </w:rPr>
  </w:style>
  <w:style w:type="paragraph" w:customStyle="1" w:styleId="Normal6">
    <w:name w:val="Normal6"/>
    <w:basedOn w:val="Normal"/>
    <w:link w:val="Normal6Char"/>
    <w:pPr>
      <w:spacing w:after="120"/>
    </w:pPr>
  </w:style>
  <w:style w:type="paragraph" w:customStyle="1" w:styleId="Normal12Italic">
    <w:name w:val="Normal12Italic"/>
    <w:basedOn w:val="Normal12"/>
    <w:rPr>
      <w:i/>
    </w:rPr>
  </w:style>
  <w:style w:type="character" w:customStyle="1" w:styleId="NormalBoldChar">
    <w:name w:val="NormalBold Char"/>
    <w:basedOn w:val="DefaultParagraphFont"/>
    <w:link w:val="NormalBold"/>
    <w:rPr>
      <w:b/>
      <w:sz w:val="24"/>
      <w:lang w:val="sk-SK"/>
    </w:rPr>
  </w:style>
  <w:style w:type="paragraph" w:customStyle="1" w:styleId="JustificationTitle">
    <w:name w:val="JustificationTitle"/>
    <w:basedOn w:val="Normal"/>
    <w:next w:val="Normal12"/>
    <w:pPr>
      <w:keepNext/>
      <w:spacing w:before="240" w:after="240"/>
      <w:jc w:val="center"/>
    </w:pPr>
    <w:rPr>
      <w:i/>
      <w:noProof/>
    </w:rPr>
  </w:style>
  <w:style w:type="paragraph" w:customStyle="1" w:styleId="Olang">
    <w:name w:val="Olang"/>
    <w:basedOn w:val="Normal"/>
    <w:pPr>
      <w:spacing w:before="240" w:after="240"/>
      <w:jc w:val="right"/>
    </w:pPr>
    <w:rPr>
      <w:noProof/>
      <w:szCs w:val="24"/>
    </w:rPr>
  </w:style>
  <w:style w:type="character" w:customStyle="1" w:styleId="Normal6Char">
    <w:name w:val="Normal6 Char"/>
    <w:basedOn w:val="DefaultParagraphFont"/>
    <w:link w:val="Normal6"/>
    <w:rPr>
      <w:sz w:val="24"/>
      <w:lang w:val="sk-SK"/>
    </w:rPr>
  </w:style>
  <w:style w:type="paragraph" w:customStyle="1" w:styleId="ColumnHeading">
    <w:name w:val="ColumnHeading"/>
    <w:basedOn w:val="Normal"/>
    <w:pPr>
      <w:spacing w:after="240"/>
      <w:jc w:val="center"/>
    </w:pPr>
    <w:rPr>
      <w:i/>
    </w:rPr>
  </w:style>
  <w:style w:type="paragraph" w:customStyle="1" w:styleId="AMNumberTabs0">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pPr>
      <w:spacing w:before="240"/>
      <w:jc w:val="center"/>
    </w:pPr>
    <w:rPr>
      <w:i/>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rPr>
      <w:sz w:val="24"/>
      <w:lang w:val="sk-SK"/>
    </w:rPr>
  </w:style>
  <w:style w:type="character" w:customStyle="1" w:styleId="Footer2Middle">
    <w:name w:val="Footer2Middle"/>
    <w:rPr>
      <w:rFonts w:ascii="Arial" w:cs="Arial"/>
      <w:b w:val="0"/>
      <w:i/>
      <w:color w:val="C0C0C0"/>
      <w:sz w:val="22"/>
    </w:rPr>
  </w:style>
  <w:style w:type="paragraph" w:customStyle="1" w:styleId="Normal24a">
    <w:name w:val="Normal24a"/>
    <w:basedOn w:val="Normal"/>
    <w:pPr>
      <w:spacing w:after="480"/>
    </w:pPr>
  </w:style>
  <w:style w:type="paragraph" w:customStyle="1" w:styleId="NormalBoldCenter">
    <w:name w:val="NormalBoldCenter"/>
    <w:basedOn w:val="Normal"/>
    <w:pPr>
      <w:jc w:val="center"/>
    </w:pPr>
    <w:rPr>
      <w:b/>
    </w:rPr>
  </w:style>
  <w:style w:type="paragraph" w:customStyle="1" w:styleId="Point0number">
    <w:name w:val="Point 0 (number)"/>
    <w:basedOn w:val="Normal"/>
    <w:pPr>
      <w:widowControl/>
      <w:numPr>
        <w:numId w:val="8"/>
      </w:numPr>
      <w:spacing w:before="120" w:after="120"/>
      <w:jc w:val="both"/>
    </w:pPr>
    <w:rPr>
      <w:rFonts w:eastAsiaTheme="minorHAnsi"/>
      <w:szCs w:val="22"/>
      <w:lang w:eastAsia="en-US"/>
    </w:rPr>
  </w:style>
  <w:style w:type="paragraph" w:customStyle="1" w:styleId="Point1number">
    <w:name w:val="Point 1 (number)"/>
    <w:basedOn w:val="Normal"/>
    <w:pPr>
      <w:widowControl/>
      <w:numPr>
        <w:ilvl w:val="2"/>
        <w:numId w:val="8"/>
      </w:numPr>
      <w:spacing w:before="120" w:after="120"/>
      <w:jc w:val="both"/>
    </w:pPr>
    <w:rPr>
      <w:rFonts w:eastAsiaTheme="minorHAnsi"/>
      <w:szCs w:val="22"/>
      <w:lang w:eastAsia="en-US"/>
    </w:rPr>
  </w:style>
  <w:style w:type="paragraph" w:customStyle="1" w:styleId="Point2number">
    <w:name w:val="Point 2 (number)"/>
    <w:basedOn w:val="Normal"/>
    <w:pPr>
      <w:widowControl/>
      <w:numPr>
        <w:ilvl w:val="4"/>
        <w:numId w:val="8"/>
      </w:numPr>
      <w:spacing w:before="120" w:after="120"/>
      <w:jc w:val="both"/>
    </w:pPr>
    <w:rPr>
      <w:rFonts w:eastAsiaTheme="minorHAnsi"/>
      <w:szCs w:val="22"/>
      <w:lang w:eastAsia="en-US"/>
    </w:rPr>
  </w:style>
  <w:style w:type="paragraph" w:customStyle="1" w:styleId="Point3number">
    <w:name w:val="Point 3 (number)"/>
    <w:basedOn w:val="Normal"/>
    <w:pPr>
      <w:widowControl/>
      <w:numPr>
        <w:ilvl w:val="6"/>
        <w:numId w:val="8"/>
      </w:numPr>
      <w:spacing w:before="120" w:after="120"/>
      <w:jc w:val="both"/>
    </w:pPr>
    <w:rPr>
      <w:rFonts w:eastAsiaTheme="minorHAnsi"/>
      <w:szCs w:val="22"/>
      <w:lang w:eastAsia="en-US"/>
    </w:rPr>
  </w:style>
  <w:style w:type="paragraph" w:customStyle="1" w:styleId="Point0letter">
    <w:name w:val="Point 0 (letter)"/>
    <w:basedOn w:val="Normal"/>
    <w:pPr>
      <w:widowControl/>
      <w:numPr>
        <w:ilvl w:val="1"/>
        <w:numId w:val="8"/>
      </w:numPr>
      <w:spacing w:before="120" w:after="120"/>
      <w:jc w:val="both"/>
    </w:pPr>
    <w:rPr>
      <w:rFonts w:eastAsiaTheme="minorHAnsi"/>
      <w:szCs w:val="22"/>
      <w:lang w:eastAsia="en-US"/>
    </w:rPr>
  </w:style>
  <w:style w:type="paragraph" w:customStyle="1" w:styleId="Point1letter">
    <w:name w:val="Point 1 (letter)"/>
    <w:basedOn w:val="Normal"/>
    <w:pPr>
      <w:widowControl/>
      <w:numPr>
        <w:ilvl w:val="3"/>
        <w:numId w:val="8"/>
      </w:numPr>
      <w:spacing w:before="120" w:after="120"/>
      <w:jc w:val="both"/>
    </w:pPr>
    <w:rPr>
      <w:rFonts w:eastAsiaTheme="minorHAnsi"/>
      <w:szCs w:val="22"/>
      <w:lang w:eastAsia="en-US"/>
    </w:rPr>
  </w:style>
  <w:style w:type="paragraph" w:customStyle="1" w:styleId="Point2letter">
    <w:name w:val="Point 2 (letter)"/>
    <w:basedOn w:val="Normal"/>
    <w:pPr>
      <w:widowControl/>
      <w:numPr>
        <w:ilvl w:val="5"/>
        <w:numId w:val="8"/>
      </w:numPr>
      <w:spacing w:before="120" w:after="120"/>
      <w:jc w:val="both"/>
    </w:pPr>
    <w:rPr>
      <w:rFonts w:eastAsiaTheme="minorHAnsi"/>
      <w:szCs w:val="22"/>
      <w:lang w:eastAsia="en-US"/>
    </w:rPr>
  </w:style>
  <w:style w:type="paragraph" w:customStyle="1" w:styleId="Point3letter">
    <w:name w:val="Point 3 (letter)"/>
    <w:basedOn w:val="Normal"/>
    <w:pPr>
      <w:widowControl/>
      <w:numPr>
        <w:ilvl w:val="7"/>
        <w:numId w:val="8"/>
      </w:numPr>
      <w:spacing w:before="120" w:after="120"/>
      <w:jc w:val="both"/>
    </w:pPr>
    <w:rPr>
      <w:rFonts w:eastAsiaTheme="minorHAnsi"/>
      <w:szCs w:val="22"/>
      <w:lang w:eastAsia="en-US"/>
    </w:rPr>
  </w:style>
  <w:style w:type="paragraph" w:customStyle="1" w:styleId="Point4letter">
    <w:name w:val="Point 4 (letter)"/>
    <w:basedOn w:val="Normal"/>
    <w:pPr>
      <w:widowControl/>
      <w:numPr>
        <w:ilvl w:val="8"/>
        <w:numId w:val="8"/>
      </w:numPr>
      <w:spacing w:before="120" w:after="120"/>
      <w:jc w:val="both"/>
    </w:pPr>
    <w:rPr>
      <w:rFonts w:eastAsiaTheme="minorHAnsi"/>
      <w:szCs w:val="22"/>
      <w:lang w:eastAsia="en-US"/>
    </w:rPr>
  </w:style>
  <w:style w:type="paragraph" w:styleId="BalloonText">
    <w:name w:val="Balloon Text"/>
    <w:basedOn w:val="Normal"/>
    <w:link w:val="BalloonTextChar"/>
    <w:uiPriority w:val="99"/>
    <w:unhideWhenUsed/>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lang w:val="sk-SK"/>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rPr>
      <w:sz w:val="20"/>
    </w:rPr>
  </w:style>
  <w:style w:type="character" w:customStyle="1" w:styleId="CommentTextChar">
    <w:name w:val="Comment Text Char"/>
    <w:basedOn w:val="DefaultParagraphFont"/>
    <w:link w:val="CommentText"/>
    <w:uiPriority w:val="99"/>
    <w:rPr>
      <w:lang w:val="sk-SK"/>
    </w:rPr>
  </w:style>
  <w:style w:type="paragraph" w:styleId="CommentSubject">
    <w:name w:val="annotation subject"/>
    <w:basedOn w:val="CommentText"/>
    <w:next w:val="CommentText"/>
    <w:link w:val="CommentSubjectChar"/>
    <w:uiPriority w:val="99"/>
    <w:unhideWhenUsed/>
    <w:rPr>
      <w:b/>
      <w:bCs/>
    </w:rPr>
  </w:style>
  <w:style w:type="character" w:customStyle="1" w:styleId="CommentSubjectChar">
    <w:name w:val="Comment Subject Char"/>
    <w:basedOn w:val="CommentTextChar"/>
    <w:link w:val="CommentSubject"/>
    <w:uiPriority w:val="99"/>
    <w:rPr>
      <w:b/>
      <w:bCs/>
      <w:lang w:val="sk-SK"/>
    </w:rPr>
  </w:style>
  <w:style w:type="paragraph" w:styleId="Revision">
    <w:name w:val="Revision"/>
    <w:hidden/>
    <w:uiPriority w:val="99"/>
    <w:semiHidden/>
    <w:rPr>
      <w:sz w:val="24"/>
      <w:lang w:val="sk-SK"/>
    </w:rPr>
  </w:style>
  <w:style w:type="character" w:customStyle="1" w:styleId="AmNumberTabsChar">
    <w:name w:val="AmNumberTabs Char"/>
    <w:basedOn w:val="DefaultParagraphFont"/>
    <w:link w:val="AmNumberTabs"/>
    <w:rPr>
      <w:b/>
      <w:sz w:val="24"/>
      <w:lang w:val="sk-SK"/>
    </w:rPr>
  </w:style>
  <w:style w:type="character" w:customStyle="1" w:styleId="NormalBold12bChar">
    <w:name w:val="NormalBold12b Char"/>
    <w:basedOn w:val="AmNumberTabsChar"/>
    <w:link w:val="NormalBold12b"/>
    <w:rPr>
      <w:b/>
      <w:sz w:val="24"/>
      <w:lang w:val="sk-SK"/>
    </w:rPr>
  </w:style>
  <w:style w:type="character" w:customStyle="1" w:styleId="highlight-diff">
    <w:name w:val="highlight-diff"/>
    <w:basedOn w:val="DefaultParagraphFont"/>
  </w:style>
  <w:style w:type="paragraph" w:customStyle="1" w:styleId="Normal12a">
    <w:name w:val="Normal12a"/>
    <w:basedOn w:val="Normal"/>
    <w:pPr>
      <w:spacing w:after="240"/>
    </w:pPr>
  </w:style>
  <w:style w:type="paragraph" w:customStyle="1" w:styleId="PageHeadingNotTOC">
    <w:name w:val="PageHeadingNotTOC"/>
    <w:basedOn w:val="Normal"/>
    <w:pPr>
      <w:keepNext/>
      <w:spacing w:after="480"/>
      <w:jc w:val="center"/>
    </w:pPr>
    <w:rPr>
      <w:rFonts w:ascii="Arial" w:hAnsi="Arial" w:cs="Arial"/>
      <w:b/>
    </w:rPr>
  </w:style>
  <w:style w:type="paragraph" w:customStyle="1" w:styleId="AmHeadingPA">
    <w:name w:val="AmHeadingPA"/>
    <w:basedOn w:val="Normal"/>
    <w:next w:val="Normal"/>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pPr>
      <w:spacing w:before="120" w:after="120"/>
      <w:jc w:val="center"/>
    </w:pPr>
    <w:rPr>
      <w:rFonts w:ascii="Arial" w:hAnsi="Arial"/>
      <w:b/>
      <w:bCs/>
      <w:snapToGrid w:val="0"/>
      <w:sz w:val="28"/>
      <w:lang w:eastAsia="en-US"/>
    </w:rPr>
  </w:style>
  <w:style w:type="paragraph" w:customStyle="1" w:styleId="RollCallTabs">
    <w:name w:val="RollCallTabs"/>
    <w:basedOn w:val="Normal"/>
    <w:qFormat/>
    <w:pPr>
      <w:tabs>
        <w:tab w:val="center" w:pos="284"/>
        <w:tab w:val="left" w:pos="426"/>
      </w:tabs>
    </w:pPr>
    <w:rPr>
      <w:snapToGrid w:val="0"/>
      <w:lang w:eastAsia="en-US"/>
    </w:rPr>
  </w:style>
  <w:style w:type="paragraph" w:customStyle="1" w:styleId="RollCallVotes">
    <w:name w:val="RollCallVotes"/>
    <w:basedOn w:val="Normal"/>
    <w:pPr>
      <w:spacing w:before="120" w:after="120"/>
      <w:jc w:val="center"/>
    </w:pPr>
    <w:rPr>
      <w:b/>
      <w:bCs/>
      <w:snapToGrid w:val="0"/>
      <w:sz w:val="16"/>
      <w:lang w:eastAsia="en-US"/>
    </w:rPr>
  </w:style>
  <w:style w:type="paragraph" w:customStyle="1" w:styleId="RollCallTable">
    <w:name w:val="RollCallTable"/>
    <w:basedOn w:val="Normal"/>
    <w:pPr>
      <w:spacing w:before="120" w:after="120"/>
    </w:pPr>
    <w:rPr>
      <w:snapToGrid w:val="0"/>
      <w:sz w:val="16"/>
      <w:lang w:eastAsia="en-US"/>
    </w:rPr>
  </w:style>
  <w:style w:type="character" w:styleId="Hyperlink">
    <w:name w:val="Hyperlink"/>
    <w:uiPriority w:val="99"/>
    <w:rPr>
      <w:color w:val="0000FF"/>
      <w:u w:val="single"/>
      <w:shd w:val="clear" w:color="auto" w:fill="auto"/>
    </w:rPr>
  </w:style>
  <w:style w:type="paragraph" w:customStyle="1" w:styleId="CM1">
    <w:name w:val="CM1"/>
    <w:basedOn w:val="Normal"/>
    <w:next w:val="Normal"/>
    <w:uiPriority w:val="99"/>
    <w:pPr>
      <w:widowControl/>
      <w:autoSpaceDE w:val="0"/>
      <w:autoSpaceDN w:val="0"/>
      <w:adjustRightInd w:val="0"/>
    </w:pPr>
    <w:rPr>
      <w:szCs w:val="24"/>
    </w:rPr>
  </w:style>
  <w:style w:type="paragraph" w:customStyle="1" w:styleId="CM3">
    <w:name w:val="CM3"/>
    <w:basedOn w:val="Normal"/>
    <w:next w:val="Normal"/>
    <w:uiPriority w:val="99"/>
    <w:pPr>
      <w:widowControl/>
      <w:autoSpaceDE w:val="0"/>
      <w:autoSpaceDN w:val="0"/>
      <w:adjustRightInd w:val="0"/>
    </w:pPr>
    <w:rPr>
      <w:szCs w:val="24"/>
    </w:rPr>
  </w:style>
  <w:style w:type="character" w:styleId="FollowedHyperlink">
    <w:name w:val="FollowedHyperlink"/>
    <w:basedOn w:val="DefaultParagraphFont"/>
    <w:uiPriority w:val="99"/>
    <w:unhideWhenUsed/>
    <w:rPr>
      <w:color w:val="954F72" w:themeColor="followedHyperlink"/>
      <w:u w:val="single"/>
    </w:rPr>
  </w:style>
  <w:style w:type="paragraph" w:customStyle="1" w:styleId="Institutionquiagit">
    <w:name w:val="Institution qui agit"/>
    <w:basedOn w:val="Normal"/>
    <w:next w:val="Normal"/>
    <w:qFormat/>
    <w:pPr>
      <w:keepNext/>
      <w:widowControl/>
      <w:spacing w:before="600" w:after="120"/>
      <w:jc w:val="both"/>
    </w:pPr>
    <w:rPr>
      <w:rFonts w:eastAsia="Calibri"/>
      <w:szCs w:val="22"/>
      <w:lang w:eastAsia="en-US"/>
    </w:rPr>
  </w:style>
  <w:style w:type="numbering" w:customStyle="1" w:styleId="NoList1">
    <w:name w:val="No List1"/>
    <w:next w:val="NoList"/>
    <w:uiPriority w:val="99"/>
    <w:semiHidden/>
    <w:unhideWhenUsed/>
  </w:style>
  <w:style w:type="paragraph" w:customStyle="1" w:styleId="SignaturePersonne">
    <w:name w:val="Signature Personne"/>
    <w:basedOn w:val="Normal"/>
    <w:pPr>
      <w:widowControl/>
      <w:tabs>
        <w:tab w:val="left" w:pos="4252"/>
      </w:tabs>
      <w:spacing w:line="360" w:lineRule="auto"/>
    </w:pPr>
    <w:rPr>
      <w:i/>
      <w:szCs w:val="24"/>
      <w:lang w:val="en-GB" w:eastAsia="en-US"/>
    </w:rPr>
  </w:style>
  <w:style w:type="paragraph" w:customStyle="1" w:styleId="Considrant">
    <w:name w:val="Considérant"/>
    <w:basedOn w:val="Normal"/>
    <w:pPr>
      <w:spacing w:before="120" w:after="120" w:line="360" w:lineRule="auto"/>
      <w:ind w:left="850" w:hanging="850"/>
    </w:pPr>
    <w:rPr>
      <w:szCs w:val="24"/>
      <w:lang w:val="en-GB" w:eastAsia="en-US"/>
    </w:rPr>
  </w:style>
  <w:style w:type="paragraph" w:customStyle="1" w:styleId="Institutionquisigne">
    <w:name w:val="Institution qui signe"/>
    <w:basedOn w:val="Normal"/>
    <w:next w:val="Normal"/>
    <w:pPr>
      <w:keepNext/>
      <w:tabs>
        <w:tab w:val="left" w:pos="4252"/>
      </w:tabs>
      <w:spacing w:before="720" w:line="360" w:lineRule="auto"/>
    </w:pPr>
    <w:rPr>
      <w:i/>
      <w:szCs w:val="24"/>
      <w:lang w:val="en-GB" w:eastAsia="en-US"/>
    </w:rPr>
  </w:style>
  <w:style w:type="paragraph" w:customStyle="1" w:styleId="Fait">
    <w:name w:val="Fait à"/>
    <w:basedOn w:val="Normal"/>
    <w:pPr>
      <w:keepNext/>
      <w:widowControl/>
      <w:spacing w:before="120" w:line="360" w:lineRule="auto"/>
    </w:pPr>
    <w:rPr>
      <w:szCs w:val="24"/>
      <w:lang w:val="en-GB" w:eastAsia="en-US"/>
    </w:rPr>
  </w:style>
  <w:style w:type="paragraph" w:customStyle="1" w:styleId="FootnoteTextForceStyle">
    <w:name w:val="Footnote Text ForceStyle"/>
    <w:pPr>
      <w:keepLines/>
      <w:widowControl w:val="0"/>
      <w:ind w:left="850" w:hanging="850"/>
    </w:pPr>
    <w:rPr>
      <w:sz w:val="24"/>
      <w:lang w:eastAsia="en-US"/>
    </w:rPr>
  </w:style>
  <w:style w:type="character" w:customStyle="1" w:styleId="Footer2">
    <w:name w:val="Footer2"/>
    <w:rPr>
      <w:rFonts w:ascii="Arial" w:hAnsi="Arial"/>
      <w:b/>
      <w:sz w:val="48"/>
    </w:rPr>
  </w:style>
  <w:style w:type="paragraph" w:customStyle="1" w:styleId="Applicationdirecte">
    <w:name w:val="Application directe"/>
    <w:basedOn w:val="Normal"/>
    <w:next w:val="Normal"/>
    <w:pPr>
      <w:spacing w:before="120" w:after="120" w:line="360" w:lineRule="auto"/>
    </w:pPr>
    <w:rPr>
      <w:szCs w:val="24"/>
      <w:lang w:val="en-GB" w:eastAsia="en-US"/>
    </w:rPr>
  </w:style>
  <w:style w:type="paragraph" w:customStyle="1" w:styleId="Normale">
    <w:name w:val="Normale"/>
    <w:pPr>
      <w:widowControl w:val="0"/>
      <w:spacing w:before="120" w:after="120" w:line="360" w:lineRule="auto"/>
    </w:pPr>
    <w:rPr>
      <w:sz w:val="24"/>
      <w:lang w:eastAsia="en-US"/>
    </w:rPr>
  </w:style>
  <w:style w:type="paragraph" w:customStyle="1" w:styleId="Formuledadoption">
    <w:name w:val="Formule d'adoption"/>
    <w:basedOn w:val="Normal"/>
    <w:next w:val="Normal"/>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pPr>
      <w:widowControl/>
      <w:spacing w:after="240" w:line="360" w:lineRule="auto"/>
      <w:ind w:left="5102"/>
    </w:pPr>
    <w:rPr>
      <w:szCs w:val="24"/>
      <w:lang w:val="en-GB" w:eastAsia="en-US"/>
    </w:rPr>
  </w:style>
  <w:style w:type="paragraph" w:customStyle="1" w:styleId="Footer1">
    <w:name w:val="Footer1"/>
    <w:basedOn w:val="Normal"/>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pPr>
      <w:widowControl/>
      <w:spacing w:before="840" w:line="360" w:lineRule="auto"/>
      <w:jc w:val="center"/>
    </w:pPr>
    <w:rPr>
      <w:szCs w:val="24"/>
      <w:lang w:val="en-GB" w:eastAsia="en-US"/>
    </w:rPr>
  </w:style>
  <w:style w:type="paragraph" w:customStyle="1" w:styleId="Typedudocument">
    <w:name w:val="Type du document"/>
    <w:basedOn w:val="Normal"/>
    <w:next w:val="Normal"/>
    <w:pPr>
      <w:widowControl/>
      <w:spacing w:before="360" w:line="360" w:lineRule="auto"/>
      <w:jc w:val="center"/>
    </w:pPr>
    <w:rPr>
      <w:b/>
      <w:szCs w:val="24"/>
      <w:lang w:val="en-GB" w:eastAsia="en-US"/>
    </w:rPr>
  </w:style>
  <w:style w:type="paragraph" w:customStyle="1" w:styleId="Titreobjet">
    <w:name w:val="Titre objet"/>
    <w:basedOn w:val="Normal"/>
    <w:next w:val="Normal"/>
    <w:pPr>
      <w:widowControl/>
      <w:spacing w:before="360" w:after="360" w:line="360" w:lineRule="auto"/>
      <w:jc w:val="center"/>
    </w:pPr>
    <w:rPr>
      <w:b/>
      <w:szCs w:val="24"/>
      <w:lang w:val="en-GB" w:eastAsia="en-US"/>
    </w:rPr>
  </w:style>
  <w:style w:type="paragraph" w:customStyle="1" w:styleId="IntrtEEE">
    <w:name w:val="Intérêt EEE"/>
    <w:basedOn w:val="Normal"/>
    <w:next w:val="Normal"/>
    <w:pPr>
      <w:widowControl/>
      <w:spacing w:before="360" w:after="240" w:line="360" w:lineRule="auto"/>
      <w:jc w:val="center"/>
    </w:pPr>
    <w:rPr>
      <w:szCs w:val="24"/>
      <w:lang w:val="en-GB" w:eastAsia="en-US"/>
    </w:r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pPr>
      <w:spacing w:before="120" w:after="120" w:line="360" w:lineRule="auto"/>
    </w:pPr>
    <w:rPr>
      <w:color w:val="FFFFFF"/>
      <w:szCs w:val="24"/>
      <w:shd w:val="clear" w:color="000000" w:fill="000000"/>
      <w:lang w:val="en-GB" w:eastAsia="en-US"/>
    </w:rPr>
  </w:style>
  <w:style w:type="character" w:customStyle="1" w:styleId="FooterChar1">
    <w:name w:val="Footer Char1"/>
    <w:basedOn w:val="DefaultParagraphFont"/>
    <w:rPr>
      <w:sz w:val="24"/>
      <w:szCs w:val="24"/>
    </w:rPr>
  </w:style>
  <w:style w:type="character" w:customStyle="1" w:styleId="Heading1Char1">
    <w:name w:val="Heading 1 Char1"/>
    <w:basedOn w:val="DefaultParagraphFont"/>
    <w:rPr>
      <w:rFonts w:ascii="Cambria" w:eastAsia="Times New Roman" w:hAnsi="Cambria" w:cs="Times New Roman"/>
      <w:color w:val="365F91"/>
      <w:sz w:val="32"/>
      <w:szCs w:val="32"/>
    </w:rPr>
  </w:style>
  <w:style w:type="character" w:customStyle="1" w:styleId="Heading2Char1">
    <w:name w:val="Heading 2 Char1"/>
    <w:basedOn w:val="DefaultParagraphFont"/>
    <w:rPr>
      <w:rFonts w:ascii="Cambria" w:eastAsia="Times New Roman" w:hAnsi="Cambria" w:cs="Times New Roman"/>
      <w:color w:val="365F91"/>
      <w:sz w:val="26"/>
      <w:szCs w:val="26"/>
    </w:rPr>
  </w:style>
  <w:style w:type="character" w:customStyle="1" w:styleId="Heading3Char1">
    <w:name w:val="Heading 3 Char1"/>
    <w:basedOn w:val="DefaultParagraphFont"/>
    <w:rPr>
      <w:rFonts w:ascii="Cambria" w:eastAsia="Times New Roman" w:hAnsi="Cambria" w:cs="Times New Roman"/>
      <w:color w:val="243F60"/>
      <w:sz w:val="24"/>
      <w:szCs w:val="24"/>
    </w:rPr>
  </w:style>
  <w:style w:type="character" w:customStyle="1" w:styleId="Heading4Char1">
    <w:name w:val="Heading 4 Char1"/>
    <w:basedOn w:val="DefaultParagraphFont"/>
    <w:rPr>
      <w:rFonts w:ascii="Cambria" w:eastAsia="Times New Roman" w:hAnsi="Cambria" w:cs="Times New Roman"/>
      <w:i/>
      <w:iCs/>
      <w:color w:val="365F91"/>
      <w:sz w:val="24"/>
      <w:szCs w:val="24"/>
    </w:rPr>
  </w:style>
  <w:style w:type="paragraph" w:customStyle="1" w:styleId="ListBullet10">
    <w:name w:val="List Bullet1"/>
    <w:basedOn w:val="Normal"/>
    <w:next w:val="ListBullet"/>
    <w:uiPriority w:val="99"/>
    <w:unhideWhenUsed/>
    <w:pPr>
      <w:widowControl/>
      <w:tabs>
        <w:tab w:val="num" w:pos="360"/>
      </w:tabs>
      <w:spacing w:before="120" w:after="120"/>
      <w:ind w:left="360" w:hanging="360"/>
      <w:contextualSpacing/>
      <w:jc w:val="both"/>
    </w:pPr>
    <w:rPr>
      <w:rFonts w:eastAsia="Calibri"/>
      <w:szCs w:val="22"/>
      <w:lang w:eastAsia="en-US"/>
    </w:rPr>
  </w:style>
  <w:style w:type="paragraph" w:customStyle="1" w:styleId="ListBullet21">
    <w:name w:val="List Bullet 21"/>
    <w:basedOn w:val="Normal"/>
    <w:next w:val="ListBullet2"/>
    <w:uiPriority w:val="99"/>
    <w:unhideWhenUsed/>
    <w:pPr>
      <w:widowControl/>
      <w:tabs>
        <w:tab w:val="num" w:pos="360"/>
      </w:tabs>
      <w:spacing w:before="120" w:after="120"/>
      <w:ind w:left="360" w:hanging="360"/>
      <w:contextualSpacing/>
      <w:jc w:val="both"/>
    </w:pPr>
    <w:rPr>
      <w:rFonts w:eastAsia="Calibri"/>
      <w:szCs w:val="22"/>
      <w:lang w:eastAsia="en-US"/>
    </w:rPr>
  </w:style>
  <w:style w:type="paragraph" w:customStyle="1" w:styleId="ListBullet31">
    <w:name w:val="List Bullet 31"/>
    <w:basedOn w:val="Normal"/>
    <w:next w:val="ListBullet3"/>
    <w:uiPriority w:val="99"/>
    <w:unhideWhenUsed/>
    <w:pPr>
      <w:widowControl/>
      <w:tabs>
        <w:tab w:val="num" w:pos="643"/>
      </w:tabs>
      <w:spacing w:before="120" w:after="120"/>
      <w:ind w:left="643" w:hanging="360"/>
      <w:contextualSpacing/>
      <w:jc w:val="both"/>
    </w:pPr>
    <w:rPr>
      <w:rFonts w:eastAsia="Calibri"/>
      <w:szCs w:val="22"/>
      <w:lang w:eastAsia="en-US"/>
    </w:rPr>
  </w:style>
  <w:style w:type="paragraph" w:customStyle="1" w:styleId="ListBullet41">
    <w:name w:val="List Bullet 41"/>
    <w:basedOn w:val="Normal"/>
    <w:next w:val="ListBullet4"/>
    <w:uiPriority w:val="99"/>
    <w:unhideWhenUsed/>
    <w:pPr>
      <w:widowControl/>
      <w:tabs>
        <w:tab w:val="num" w:pos="643"/>
      </w:tabs>
      <w:spacing w:before="120" w:after="120"/>
      <w:ind w:left="643" w:hanging="360"/>
      <w:contextualSpacing/>
      <w:jc w:val="both"/>
    </w:pPr>
    <w:rPr>
      <w:rFonts w:eastAsia="Calibri"/>
      <w:szCs w:val="22"/>
      <w:lang w:eastAsia="en-US"/>
    </w:rPr>
  </w:style>
  <w:style w:type="table" w:customStyle="1" w:styleId="TableGrid1">
    <w:name w:val="Table Grid1"/>
    <w:basedOn w:val="TableNormal"/>
    <w:next w:val="TableGrid"/>
    <w:uiPriority w:val="59"/>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
    <w:name w:val="Plain Table 11"/>
    <w:basedOn w:val="TableNormal"/>
    <w:next w:val="PlainTable1"/>
    <w:uiPriority w:val="41"/>
    <w:rPr>
      <w:rFonts w:ascii="Calibri" w:eastAsia="Calibri" w:hAnsi="Calibri"/>
      <w:sz w:val="22"/>
      <w:szCs w:val="22"/>
      <w:lang w:val="en-US"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Light1">
    <w:name w:val="Table Grid Light1"/>
    <w:basedOn w:val="TableNormal"/>
    <w:next w:val="TableGridLight"/>
    <w:uiPriority w:val="40"/>
    <w:rPr>
      <w:rFonts w:ascii="Calibri" w:eastAsia="Calibri" w:hAnsi="Calibri"/>
      <w:sz w:val="22"/>
      <w:szCs w:val="22"/>
      <w:lang w:val="en-US"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51">
    <w:name w:val="Plain Table 51"/>
    <w:basedOn w:val="TableNormal"/>
    <w:next w:val="PlainTable5"/>
    <w:uiPriority w:val="45"/>
    <w:rPr>
      <w:rFonts w:ascii="Calibri" w:eastAsia="Calibri" w:hAnsi="Calibri"/>
      <w:sz w:val="22"/>
      <w:szCs w:val="22"/>
      <w:lang w:val="en-US" w:eastAsia="en-US"/>
    </w:rPr>
    <w:tblPr>
      <w:tblStyleRowBandSize w:val="1"/>
      <w:tblStyleColBandSize w:val="1"/>
    </w:tblPr>
    <w:tblStylePr w:type="firstRow">
      <w:rPr>
        <w:rFonts w:ascii="Cambria" w:eastAsia="Times New Roman" w:hAnsi="Cambria" w:cs="Times New Roman"/>
        <w:i/>
        <w:iCs/>
        <w:sz w:val="26"/>
      </w:rPr>
      <w:tblPr/>
      <w:tcPr>
        <w:tcBorders>
          <w:bottom w:val="single" w:sz="4" w:space="0" w:color="7F7F7F"/>
        </w:tcBorders>
        <w:shd w:val="clear" w:color="auto" w:fill="FFFFFF"/>
      </w:tcPr>
    </w:tblStylePr>
    <w:tblStylePr w:type="lastRow">
      <w:rPr>
        <w:rFonts w:ascii="Cambria" w:eastAsia="Times New Roman" w:hAnsi="Cambria" w:cs="Times New Roman"/>
        <w:i/>
        <w:iCs/>
        <w:sz w:val="26"/>
      </w:rPr>
      <w:tblPr/>
      <w:tcPr>
        <w:tcBorders>
          <w:top w:val="single" w:sz="4" w:space="0" w:color="7F7F7F"/>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7F7F7F"/>
        </w:tcBorders>
        <w:shd w:val="clear" w:color="auto" w:fill="FFFFFF"/>
      </w:tcPr>
    </w:tblStylePr>
    <w:tblStylePr w:type="lastCol">
      <w:rPr>
        <w:rFonts w:ascii="Cambria" w:eastAsia="Times New Roman" w:hAnsi="Cambri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foonote">
    <w:name w:val="foonote"/>
    <w:basedOn w:val="FootnoteText"/>
    <w:link w:val="foonoteChar"/>
    <w:qFormat/>
    <w:pPr>
      <w:keepLines w:val="0"/>
      <w:spacing w:line="240" w:lineRule="auto"/>
      <w:ind w:left="0" w:firstLine="0"/>
    </w:pPr>
    <w:rPr>
      <w:rFonts w:eastAsia="Calibri"/>
      <w:sz w:val="16"/>
      <w:szCs w:val="16"/>
      <w:lang w:val="sk-SK" w:eastAsia="en-US"/>
    </w:rPr>
  </w:style>
  <w:style w:type="character" w:customStyle="1" w:styleId="foonoteChar">
    <w:name w:val="foonote Char"/>
    <w:basedOn w:val="DefaultParagraphFont"/>
    <w:link w:val="foonote"/>
    <w:rPr>
      <w:rFonts w:eastAsia="Calibri"/>
      <w:sz w:val="16"/>
      <w:szCs w:val="16"/>
      <w:lang w:val="sk-SK" w:eastAsia="en-US"/>
    </w:rPr>
  </w:style>
  <w:style w:type="paragraph" w:styleId="ListNumber">
    <w:name w:val="List Number"/>
    <w:basedOn w:val="Normal"/>
    <w:uiPriority w:val="99"/>
    <w:pPr>
      <w:widowControl/>
      <w:numPr>
        <w:numId w:val="13"/>
      </w:numPr>
      <w:spacing w:before="120" w:after="120"/>
      <w:jc w:val="both"/>
    </w:pPr>
    <w:rPr>
      <w:szCs w:val="22"/>
      <w:lang w:eastAsia="de-DE"/>
    </w:rPr>
  </w:style>
  <w:style w:type="paragraph" w:customStyle="1" w:styleId="ListBullet1">
    <w:name w:val="List Bullet 1"/>
    <w:basedOn w:val="Normal"/>
    <w:pPr>
      <w:widowControl/>
      <w:numPr>
        <w:numId w:val="9"/>
      </w:numPr>
      <w:spacing w:before="120" w:after="120"/>
      <w:jc w:val="both"/>
    </w:pPr>
    <w:rPr>
      <w:szCs w:val="22"/>
      <w:lang w:eastAsia="de-DE"/>
    </w:rPr>
  </w:style>
  <w:style w:type="paragraph" w:customStyle="1" w:styleId="ListDash">
    <w:name w:val="List Dash"/>
    <w:basedOn w:val="Normal"/>
    <w:pPr>
      <w:widowControl/>
      <w:numPr>
        <w:numId w:val="10"/>
      </w:numPr>
      <w:spacing w:before="120" w:after="120"/>
      <w:jc w:val="both"/>
    </w:pPr>
    <w:rPr>
      <w:szCs w:val="22"/>
      <w:lang w:eastAsia="de-DE"/>
    </w:rPr>
  </w:style>
  <w:style w:type="paragraph" w:customStyle="1" w:styleId="ListDash1">
    <w:name w:val="List Dash 1"/>
    <w:basedOn w:val="Normal"/>
    <w:pPr>
      <w:widowControl/>
      <w:numPr>
        <w:numId w:val="11"/>
      </w:numPr>
      <w:spacing w:before="120" w:after="120"/>
      <w:jc w:val="both"/>
    </w:pPr>
    <w:rPr>
      <w:szCs w:val="22"/>
      <w:lang w:eastAsia="de-DE"/>
    </w:rPr>
  </w:style>
  <w:style w:type="paragraph" w:customStyle="1" w:styleId="ListDash2">
    <w:name w:val="List Dash 2"/>
    <w:basedOn w:val="Normal"/>
    <w:pPr>
      <w:widowControl/>
      <w:numPr>
        <w:numId w:val="12"/>
      </w:numPr>
      <w:spacing w:before="120" w:after="120"/>
      <w:jc w:val="both"/>
    </w:pPr>
    <w:rPr>
      <w:szCs w:val="22"/>
      <w:lang w:eastAsia="de-DE"/>
    </w:rPr>
  </w:style>
  <w:style w:type="paragraph" w:customStyle="1" w:styleId="ListNumberLevel2">
    <w:name w:val="List Number (Level 2)"/>
    <w:basedOn w:val="Normal"/>
    <w:pPr>
      <w:widowControl/>
      <w:numPr>
        <w:ilvl w:val="1"/>
        <w:numId w:val="13"/>
      </w:numPr>
      <w:spacing w:before="120" w:after="120"/>
      <w:jc w:val="both"/>
    </w:pPr>
    <w:rPr>
      <w:szCs w:val="22"/>
      <w:lang w:eastAsia="de-DE"/>
    </w:rPr>
  </w:style>
  <w:style w:type="paragraph" w:customStyle="1" w:styleId="ListNumberLevel3">
    <w:name w:val="List Number (Level 3)"/>
    <w:basedOn w:val="Normal"/>
    <w:pPr>
      <w:widowControl/>
      <w:numPr>
        <w:ilvl w:val="2"/>
        <w:numId w:val="13"/>
      </w:numPr>
      <w:spacing w:before="120" w:after="120"/>
      <w:jc w:val="both"/>
    </w:pPr>
    <w:rPr>
      <w:szCs w:val="22"/>
      <w:lang w:eastAsia="de-DE"/>
    </w:rPr>
  </w:style>
  <w:style w:type="paragraph" w:customStyle="1" w:styleId="ListNumberLevel4">
    <w:name w:val="List Number (Level 4)"/>
    <w:basedOn w:val="Normal"/>
    <w:pPr>
      <w:widowControl/>
      <w:numPr>
        <w:ilvl w:val="3"/>
        <w:numId w:val="13"/>
      </w:numPr>
      <w:spacing w:before="120" w:after="120"/>
      <w:jc w:val="both"/>
    </w:pPr>
    <w:rPr>
      <w:szCs w:val="22"/>
      <w:lang w:eastAsia="de-DE"/>
    </w:rPr>
  </w:style>
  <w:style w:type="table" w:customStyle="1" w:styleId="TableGrid11">
    <w:name w:val="Table Grid11"/>
    <w:basedOn w:val="TableNormal"/>
    <w:next w:val="TableGrid"/>
    <w:pPr>
      <w:spacing w:before="120" w:after="120"/>
      <w:jc w:val="both"/>
    </w:pPr>
    <w:rPr>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uiPriority w:val="99"/>
    <w:pPr>
      <w:widowControl/>
      <w:numPr>
        <w:numId w:val="17"/>
      </w:numPr>
      <w:spacing w:before="120" w:after="120"/>
      <w:jc w:val="both"/>
    </w:pPr>
    <w:rPr>
      <w:szCs w:val="22"/>
    </w:rPr>
  </w:style>
  <w:style w:type="paragraph" w:styleId="ListNumber3">
    <w:name w:val="List Number 3"/>
    <w:basedOn w:val="Normal"/>
    <w:uiPriority w:val="99"/>
    <w:pPr>
      <w:widowControl/>
      <w:numPr>
        <w:numId w:val="18"/>
      </w:numPr>
      <w:spacing w:before="120" w:after="120"/>
      <w:jc w:val="both"/>
    </w:pPr>
    <w:rPr>
      <w:szCs w:val="22"/>
    </w:rPr>
  </w:style>
  <w:style w:type="paragraph" w:styleId="ListNumber4">
    <w:name w:val="List Number 4"/>
    <w:basedOn w:val="Normal"/>
    <w:uiPriority w:val="99"/>
    <w:pPr>
      <w:widowControl/>
      <w:numPr>
        <w:numId w:val="19"/>
      </w:numPr>
      <w:spacing w:before="120" w:after="120"/>
      <w:jc w:val="both"/>
    </w:pPr>
    <w:rPr>
      <w:szCs w:val="22"/>
    </w:rPr>
  </w:style>
  <w:style w:type="paragraph" w:customStyle="1" w:styleId="ListDash3">
    <w:name w:val="List Dash 3"/>
    <w:basedOn w:val="Normal"/>
    <w:pPr>
      <w:widowControl/>
      <w:numPr>
        <w:numId w:val="14"/>
      </w:numPr>
      <w:spacing w:before="120" w:after="120"/>
      <w:jc w:val="both"/>
    </w:pPr>
    <w:rPr>
      <w:szCs w:val="22"/>
    </w:rPr>
  </w:style>
  <w:style w:type="paragraph" w:customStyle="1" w:styleId="ListDash4">
    <w:name w:val="List Dash 4"/>
    <w:basedOn w:val="Normal"/>
    <w:pPr>
      <w:widowControl/>
      <w:numPr>
        <w:numId w:val="15"/>
      </w:numPr>
      <w:spacing w:before="120" w:after="120"/>
      <w:jc w:val="both"/>
    </w:pPr>
    <w:rPr>
      <w:szCs w:val="22"/>
    </w:rPr>
  </w:style>
  <w:style w:type="paragraph" w:customStyle="1" w:styleId="ListNumber1">
    <w:name w:val="List Number 1"/>
    <w:basedOn w:val="Text1"/>
    <w:pPr>
      <w:numPr>
        <w:numId w:val="16"/>
      </w:numPr>
      <w:tabs>
        <w:tab w:val="clear" w:pos="1701"/>
        <w:tab w:val="num" w:pos="360"/>
      </w:tabs>
      <w:ind w:left="360" w:hanging="360"/>
    </w:pPr>
    <w:rPr>
      <w:rFonts w:eastAsia="Times New Roman"/>
      <w:lang w:eastAsia="en-GB"/>
    </w:rPr>
  </w:style>
  <w:style w:type="paragraph" w:customStyle="1" w:styleId="ListNumber1Level2">
    <w:name w:val="List Number 1 (Level 2)"/>
    <w:basedOn w:val="Text1"/>
    <w:pPr>
      <w:numPr>
        <w:ilvl w:val="1"/>
        <w:numId w:val="16"/>
      </w:numPr>
      <w:tabs>
        <w:tab w:val="clear" w:pos="2268"/>
        <w:tab w:val="num" w:pos="360"/>
      </w:tabs>
      <w:ind w:left="360" w:hanging="360"/>
    </w:pPr>
    <w:rPr>
      <w:rFonts w:eastAsia="Times New Roman"/>
      <w:lang w:eastAsia="en-GB"/>
    </w:rPr>
  </w:style>
  <w:style w:type="paragraph" w:customStyle="1" w:styleId="ListNumber2Level2">
    <w:name w:val="List Number 2 (Level 2)"/>
    <w:basedOn w:val="Text2"/>
    <w:pPr>
      <w:numPr>
        <w:ilvl w:val="1"/>
        <w:numId w:val="17"/>
      </w:numPr>
      <w:tabs>
        <w:tab w:val="clear" w:pos="2268"/>
        <w:tab w:val="num" w:pos="643"/>
      </w:tabs>
      <w:ind w:left="643" w:hanging="360"/>
    </w:pPr>
    <w:rPr>
      <w:rFonts w:eastAsia="Times New Roman"/>
      <w:lang w:eastAsia="en-GB"/>
    </w:rPr>
  </w:style>
  <w:style w:type="paragraph" w:customStyle="1" w:styleId="ListNumber3Level2">
    <w:name w:val="List Number 3 (Level 2)"/>
    <w:basedOn w:val="Text3"/>
    <w:pPr>
      <w:numPr>
        <w:ilvl w:val="1"/>
        <w:numId w:val="18"/>
      </w:numPr>
      <w:tabs>
        <w:tab w:val="clear" w:pos="2268"/>
        <w:tab w:val="num" w:pos="643"/>
      </w:tabs>
      <w:ind w:left="643" w:hanging="360"/>
    </w:pPr>
    <w:rPr>
      <w:rFonts w:eastAsia="Times New Roman"/>
      <w:lang w:eastAsia="en-GB"/>
    </w:rPr>
  </w:style>
  <w:style w:type="paragraph" w:customStyle="1" w:styleId="ListNumber4Level2">
    <w:name w:val="List Number 4 (Level 2)"/>
    <w:basedOn w:val="Text4"/>
    <w:pPr>
      <w:numPr>
        <w:ilvl w:val="1"/>
        <w:numId w:val="19"/>
      </w:numPr>
      <w:tabs>
        <w:tab w:val="clear" w:pos="2268"/>
        <w:tab w:val="num" w:pos="926"/>
      </w:tabs>
      <w:ind w:left="926" w:hanging="360"/>
    </w:pPr>
    <w:rPr>
      <w:rFonts w:eastAsia="Times New Roman"/>
      <w:lang w:eastAsia="en-GB"/>
    </w:rPr>
  </w:style>
  <w:style w:type="paragraph" w:customStyle="1" w:styleId="ListNumber1Level3">
    <w:name w:val="List Number 1 (Level 3)"/>
    <w:basedOn w:val="Text1"/>
    <w:pPr>
      <w:numPr>
        <w:ilvl w:val="2"/>
        <w:numId w:val="16"/>
      </w:numPr>
      <w:tabs>
        <w:tab w:val="clear" w:pos="2977"/>
        <w:tab w:val="num" w:pos="360"/>
      </w:tabs>
      <w:ind w:left="360" w:hanging="360"/>
    </w:pPr>
    <w:rPr>
      <w:rFonts w:eastAsia="Times New Roman"/>
      <w:lang w:eastAsia="en-GB"/>
    </w:rPr>
  </w:style>
  <w:style w:type="paragraph" w:customStyle="1" w:styleId="ListNumber2Level3">
    <w:name w:val="List Number 2 (Level 3)"/>
    <w:basedOn w:val="Text2"/>
    <w:pPr>
      <w:numPr>
        <w:ilvl w:val="2"/>
        <w:numId w:val="17"/>
      </w:numPr>
      <w:tabs>
        <w:tab w:val="clear" w:pos="2977"/>
        <w:tab w:val="num" w:pos="643"/>
      </w:tabs>
      <w:ind w:left="643" w:hanging="360"/>
    </w:pPr>
    <w:rPr>
      <w:rFonts w:eastAsia="Times New Roman"/>
      <w:lang w:eastAsia="en-GB"/>
    </w:rPr>
  </w:style>
  <w:style w:type="paragraph" w:customStyle="1" w:styleId="ListNumber3Level3">
    <w:name w:val="List Number 3 (Level 3)"/>
    <w:basedOn w:val="Text3"/>
    <w:pPr>
      <w:numPr>
        <w:ilvl w:val="2"/>
        <w:numId w:val="18"/>
      </w:numPr>
      <w:tabs>
        <w:tab w:val="clear" w:pos="2977"/>
        <w:tab w:val="num" w:pos="643"/>
      </w:tabs>
      <w:ind w:left="643" w:hanging="360"/>
    </w:pPr>
    <w:rPr>
      <w:rFonts w:eastAsia="Times New Roman"/>
      <w:lang w:eastAsia="en-GB"/>
    </w:rPr>
  </w:style>
  <w:style w:type="paragraph" w:customStyle="1" w:styleId="ListNumber4Level3">
    <w:name w:val="List Number 4 (Level 3)"/>
    <w:basedOn w:val="Text4"/>
    <w:pPr>
      <w:numPr>
        <w:ilvl w:val="2"/>
        <w:numId w:val="19"/>
      </w:numPr>
      <w:tabs>
        <w:tab w:val="clear" w:pos="2977"/>
        <w:tab w:val="num" w:pos="926"/>
      </w:tabs>
      <w:ind w:left="926" w:hanging="360"/>
    </w:pPr>
    <w:rPr>
      <w:rFonts w:eastAsia="Times New Roman"/>
      <w:lang w:eastAsia="en-GB"/>
    </w:rPr>
  </w:style>
  <w:style w:type="paragraph" w:customStyle="1" w:styleId="ListNumber1Level4">
    <w:name w:val="List Number 1 (Level 4)"/>
    <w:basedOn w:val="Text1"/>
    <w:pPr>
      <w:numPr>
        <w:ilvl w:val="3"/>
        <w:numId w:val="16"/>
      </w:numPr>
      <w:tabs>
        <w:tab w:val="clear" w:pos="3686"/>
        <w:tab w:val="num" w:pos="360"/>
      </w:tabs>
      <w:ind w:left="360" w:hanging="360"/>
    </w:pPr>
    <w:rPr>
      <w:rFonts w:eastAsia="Times New Roman"/>
      <w:lang w:eastAsia="en-GB"/>
    </w:rPr>
  </w:style>
  <w:style w:type="paragraph" w:customStyle="1" w:styleId="ListNumber2Level4">
    <w:name w:val="List Number 2 (Level 4)"/>
    <w:basedOn w:val="Text2"/>
    <w:pPr>
      <w:numPr>
        <w:ilvl w:val="3"/>
        <w:numId w:val="17"/>
      </w:numPr>
      <w:tabs>
        <w:tab w:val="clear" w:pos="3686"/>
        <w:tab w:val="num" w:pos="643"/>
      </w:tabs>
      <w:ind w:left="643" w:hanging="360"/>
    </w:pPr>
    <w:rPr>
      <w:rFonts w:eastAsia="Times New Roman"/>
      <w:lang w:eastAsia="en-GB"/>
    </w:rPr>
  </w:style>
  <w:style w:type="paragraph" w:customStyle="1" w:styleId="ListNumber3Level4">
    <w:name w:val="List Number 3 (Level 4)"/>
    <w:basedOn w:val="Text3"/>
    <w:pPr>
      <w:numPr>
        <w:ilvl w:val="3"/>
        <w:numId w:val="18"/>
      </w:numPr>
      <w:tabs>
        <w:tab w:val="clear" w:pos="3686"/>
        <w:tab w:val="num" w:pos="643"/>
      </w:tabs>
      <w:ind w:left="643" w:hanging="360"/>
    </w:pPr>
    <w:rPr>
      <w:rFonts w:eastAsia="Times New Roman"/>
      <w:lang w:eastAsia="en-GB"/>
    </w:rPr>
  </w:style>
  <w:style w:type="paragraph" w:customStyle="1" w:styleId="ListNumber4Level4">
    <w:name w:val="List Number 4 (Level 4)"/>
    <w:basedOn w:val="Text4"/>
    <w:pPr>
      <w:numPr>
        <w:ilvl w:val="3"/>
        <w:numId w:val="19"/>
      </w:numPr>
      <w:tabs>
        <w:tab w:val="clear" w:pos="3686"/>
        <w:tab w:val="num" w:pos="926"/>
      </w:tabs>
      <w:ind w:left="926" w:hanging="360"/>
    </w:pPr>
    <w:rPr>
      <w:rFonts w:eastAsia="Times New Roman"/>
      <w:lang w:eastAsia="en-GB"/>
    </w:rPr>
  </w:style>
  <w:style w:type="paragraph" w:customStyle="1" w:styleId="Annexetitreacte">
    <w:name w:val="Annexe titre (acte)"/>
    <w:basedOn w:val="Normal"/>
    <w:next w:val="Normal"/>
    <w:pPr>
      <w:widowControl/>
      <w:spacing w:before="120" w:after="120"/>
      <w:jc w:val="center"/>
    </w:pPr>
    <w:rPr>
      <w:b/>
      <w:szCs w:val="22"/>
      <w:u w:val="single"/>
    </w:rPr>
  </w:style>
  <w:style w:type="paragraph" w:customStyle="1" w:styleId="Annexetitreexposglobal">
    <w:name w:val="Annexe titre (exposé global)"/>
    <w:basedOn w:val="Normal"/>
    <w:next w:val="Normal"/>
    <w:pPr>
      <w:widowControl/>
      <w:spacing w:before="120" w:after="120"/>
      <w:jc w:val="center"/>
    </w:pPr>
    <w:rPr>
      <w:b/>
      <w:szCs w:val="22"/>
      <w:u w:val="single"/>
    </w:rPr>
  </w:style>
  <w:style w:type="paragraph" w:customStyle="1" w:styleId="Annexetitrefichefinacte">
    <w:name w:val="Annexe titre (fiche fin. acte)"/>
    <w:basedOn w:val="Normal"/>
    <w:next w:val="Normal"/>
    <w:pPr>
      <w:widowControl/>
      <w:spacing w:before="120" w:after="120"/>
      <w:jc w:val="center"/>
    </w:pPr>
    <w:rPr>
      <w:b/>
      <w:szCs w:val="22"/>
      <w:u w:val="single"/>
    </w:rPr>
  </w:style>
  <w:style w:type="paragraph" w:customStyle="1" w:styleId="Annexetitrefichefinglobale">
    <w:name w:val="Annexe titre (fiche fin. globale)"/>
    <w:basedOn w:val="Normal"/>
    <w:next w:val="Normal"/>
    <w:pPr>
      <w:widowControl/>
      <w:spacing w:before="120" w:after="120"/>
      <w:jc w:val="center"/>
    </w:pPr>
    <w:rPr>
      <w:b/>
      <w:szCs w:val="22"/>
      <w:u w:val="single"/>
    </w:rPr>
  </w:style>
  <w:style w:type="paragraph" w:customStyle="1" w:styleId="Annexetitreglobale">
    <w:name w:val="Annexe titre (globale)"/>
    <w:basedOn w:val="Normal"/>
    <w:next w:val="Normal"/>
    <w:pPr>
      <w:widowControl/>
      <w:spacing w:before="120" w:after="120"/>
      <w:jc w:val="center"/>
    </w:pPr>
    <w:rPr>
      <w:b/>
      <w:szCs w:val="22"/>
      <w:u w:val="single"/>
    </w:rPr>
  </w:style>
  <w:style w:type="paragraph" w:customStyle="1" w:styleId="Exposdesmotifstitreglobal">
    <w:name w:val="Exposé des motifs titre (global)"/>
    <w:basedOn w:val="Normal"/>
    <w:next w:val="Normal"/>
    <w:pPr>
      <w:widowControl/>
      <w:spacing w:before="120" w:after="120"/>
      <w:jc w:val="center"/>
    </w:pPr>
    <w:rPr>
      <w:b/>
      <w:szCs w:val="22"/>
      <w:u w:val="single"/>
    </w:rPr>
  </w:style>
  <w:style w:type="paragraph" w:customStyle="1" w:styleId="Langueoriginale">
    <w:name w:val="Langue originale"/>
    <w:basedOn w:val="Normal"/>
    <w:pPr>
      <w:widowControl/>
      <w:spacing w:before="360" w:after="120"/>
      <w:jc w:val="center"/>
    </w:pPr>
    <w:rPr>
      <w:caps/>
      <w:szCs w:val="22"/>
    </w:rPr>
  </w:style>
  <w:style w:type="paragraph" w:customStyle="1" w:styleId="Phrasefinale">
    <w:name w:val="Phrase finale"/>
    <w:basedOn w:val="Normal"/>
    <w:next w:val="Normal"/>
    <w:pPr>
      <w:widowControl/>
      <w:spacing w:before="360"/>
      <w:jc w:val="center"/>
    </w:pPr>
    <w:rPr>
      <w:szCs w:val="22"/>
    </w:rPr>
  </w:style>
  <w:style w:type="paragraph" w:customStyle="1" w:styleId="Prliminairetitre">
    <w:name w:val="Préliminaire titre"/>
    <w:basedOn w:val="Normal"/>
    <w:next w:val="Normal"/>
    <w:pPr>
      <w:widowControl/>
      <w:spacing w:before="360" w:after="360"/>
      <w:jc w:val="center"/>
    </w:pPr>
    <w:rPr>
      <w:b/>
      <w:szCs w:val="22"/>
    </w:rPr>
  </w:style>
  <w:style w:type="paragraph" w:customStyle="1" w:styleId="Prliminairetype">
    <w:name w:val="Préliminaire type"/>
    <w:basedOn w:val="Normal"/>
    <w:next w:val="Normal"/>
    <w:pPr>
      <w:widowControl/>
      <w:spacing w:before="360"/>
      <w:jc w:val="center"/>
    </w:pPr>
    <w:rPr>
      <w:b/>
      <w:szCs w:val="22"/>
    </w:rPr>
  </w:style>
  <w:style w:type="paragraph" w:customStyle="1" w:styleId="Rfrenceinstitutionelle">
    <w:name w:val="Référence institutionelle"/>
    <w:basedOn w:val="Normal"/>
    <w:next w:val="Statut"/>
    <w:pPr>
      <w:widowControl/>
      <w:spacing w:after="240"/>
      <w:ind w:left="5103"/>
    </w:pPr>
    <w:rPr>
      <w:szCs w:val="22"/>
    </w:rPr>
  </w:style>
  <w:style w:type="paragraph" w:customStyle="1" w:styleId="Rfrenceinterinstitutionelle">
    <w:name w:val="Référence interinstitutionelle"/>
    <w:basedOn w:val="Normal"/>
    <w:next w:val="Statut"/>
    <w:pPr>
      <w:widowControl/>
      <w:ind w:left="5103"/>
    </w:pPr>
    <w:rPr>
      <w:szCs w:val="22"/>
    </w:rPr>
  </w:style>
  <w:style w:type="paragraph" w:customStyle="1" w:styleId="Rfrenceinterinstitutionelleprliminaire">
    <w:name w:val="Référence interinstitutionelle (préliminaire)"/>
    <w:basedOn w:val="Normal"/>
    <w:next w:val="Normal"/>
    <w:pPr>
      <w:widowControl/>
      <w:ind w:left="5103"/>
    </w:pPr>
    <w:rPr>
      <w:szCs w:val="22"/>
    </w:rPr>
  </w:style>
  <w:style w:type="paragraph" w:customStyle="1" w:styleId="Sous-titreobjetprliminaire">
    <w:name w:val="Sous-titre objet (préliminaire)"/>
    <w:basedOn w:val="Normal"/>
    <w:pPr>
      <w:widowControl/>
      <w:jc w:val="center"/>
    </w:pPr>
    <w:rPr>
      <w:b/>
      <w:szCs w:val="22"/>
    </w:rPr>
  </w:style>
  <w:style w:type="paragraph" w:customStyle="1" w:styleId="Statutprliminaire">
    <w:name w:val="Statut (préliminaire)"/>
    <w:basedOn w:val="Normal"/>
    <w:next w:val="Normal"/>
    <w:pPr>
      <w:widowControl/>
      <w:spacing w:before="360"/>
      <w:jc w:val="center"/>
    </w:pPr>
    <w:rPr>
      <w:szCs w:val="22"/>
    </w:rPr>
  </w:style>
  <w:style w:type="paragraph" w:customStyle="1" w:styleId="Titreobjetprliminaire">
    <w:name w:val="Titre objet (préliminaire)"/>
    <w:basedOn w:val="Normal"/>
    <w:next w:val="Normal"/>
    <w:pPr>
      <w:widowControl/>
      <w:spacing w:before="360" w:after="360"/>
      <w:jc w:val="center"/>
    </w:pPr>
    <w:rPr>
      <w:b/>
      <w:szCs w:val="22"/>
    </w:rPr>
  </w:style>
  <w:style w:type="paragraph" w:customStyle="1" w:styleId="Typedudocumentprliminaire">
    <w:name w:val="Type du document (préliminaire)"/>
    <w:basedOn w:val="Normal"/>
    <w:next w:val="Normal"/>
    <w:pPr>
      <w:widowControl/>
      <w:spacing w:before="360"/>
      <w:jc w:val="center"/>
    </w:pPr>
    <w:rPr>
      <w:b/>
      <w:szCs w:val="22"/>
    </w:rPr>
  </w:style>
  <w:style w:type="paragraph" w:customStyle="1" w:styleId="Fichefinancirestandardtitre">
    <w:name w:val="Fiche financière (standard) titre"/>
    <w:basedOn w:val="Normal"/>
    <w:next w:val="Normal"/>
    <w:pPr>
      <w:widowControl/>
      <w:spacing w:before="120" w:after="120"/>
      <w:jc w:val="center"/>
    </w:pPr>
    <w:rPr>
      <w:b/>
      <w:szCs w:val="22"/>
      <w:u w:val="single"/>
    </w:rPr>
  </w:style>
  <w:style w:type="paragraph" w:customStyle="1" w:styleId="Fichefinancirestandardtitreacte">
    <w:name w:val="Fiche financière (standard) titre (acte)"/>
    <w:basedOn w:val="Normal"/>
    <w:next w:val="Normal"/>
    <w:pPr>
      <w:widowControl/>
      <w:spacing w:before="120" w:after="120"/>
      <w:jc w:val="center"/>
    </w:pPr>
    <w:rPr>
      <w:b/>
      <w:szCs w:val="22"/>
      <w:u w:val="single"/>
    </w:rPr>
  </w:style>
  <w:style w:type="paragraph" w:customStyle="1" w:styleId="Fichefinanciretravailtitre">
    <w:name w:val="Fiche financière (travail) titre"/>
    <w:basedOn w:val="Normal"/>
    <w:next w:val="Normal"/>
    <w:pPr>
      <w:widowControl/>
      <w:spacing w:before="120" w:after="120"/>
      <w:jc w:val="center"/>
    </w:pPr>
    <w:rPr>
      <w:b/>
      <w:szCs w:val="22"/>
      <w:u w:val="single"/>
    </w:rPr>
  </w:style>
  <w:style w:type="paragraph" w:customStyle="1" w:styleId="Fichefinanciretravailtitreacte">
    <w:name w:val="Fiche financière (travail) titre (acte)"/>
    <w:basedOn w:val="Normal"/>
    <w:next w:val="Normal"/>
    <w:pPr>
      <w:widowControl/>
      <w:spacing w:before="120" w:after="120"/>
      <w:jc w:val="center"/>
    </w:pPr>
    <w:rPr>
      <w:b/>
      <w:szCs w:val="22"/>
      <w:u w:val="single"/>
    </w:rPr>
  </w:style>
  <w:style w:type="paragraph" w:customStyle="1" w:styleId="Fichefinancireattributiontitre">
    <w:name w:val="Fiche financière (attribution) titre"/>
    <w:basedOn w:val="Normal"/>
    <w:next w:val="Normal"/>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pPr>
      <w:widowControl/>
      <w:spacing w:before="120" w:after="120"/>
      <w:jc w:val="center"/>
    </w:pPr>
    <w:rPr>
      <w:b/>
      <w:szCs w:val="22"/>
      <w:u w:val="single"/>
    </w:rPr>
  </w:style>
  <w:style w:type="paragraph" w:styleId="Caption">
    <w:name w:val="caption"/>
    <w:basedOn w:val="Normal"/>
    <w:next w:val="Normal"/>
    <w:uiPriority w:val="35"/>
    <w:qFormat/>
    <w:pPr>
      <w:widowControl/>
      <w:spacing w:before="120" w:after="120"/>
      <w:jc w:val="both"/>
    </w:pPr>
    <w:rPr>
      <w:b/>
      <w:bCs/>
      <w:sz w:val="20"/>
    </w:rPr>
  </w:style>
  <w:style w:type="paragraph" w:styleId="TableofFigures">
    <w:name w:val="table of figures"/>
    <w:basedOn w:val="Normal"/>
    <w:next w:val="Normal"/>
    <w:uiPriority w:val="99"/>
    <w:pPr>
      <w:widowControl/>
      <w:spacing w:before="120" w:after="120"/>
      <w:jc w:val="both"/>
    </w:pPr>
    <w:rPr>
      <w:szCs w:val="22"/>
    </w:rPr>
  </w:style>
  <w:style w:type="character" w:customStyle="1" w:styleId="tw4winMark">
    <w:name w:val="tw4winMark"/>
    <w:rPr>
      <w:vanish/>
      <w:color w:val="800080"/>
      <w:vertAlign w:val="subscript"/>
    </w:rPr>
  </w:style>
  <w:style w:type="paragraph" w:customStyle="1" w:styleId="Sous-titreobjet">
    <w:name w:val="Sous-titre objet"/>
    <w:basedOn w:val="Normal"/>
    <w:pPr>
      <w:widowControl/>
      <w:jc w:val="center"/>
    </w:pPr>
    <w:rPr>
      <w:b/>
      <w:szCs w:val="22"/>
    </w:rPr>
  </w:style>
  <w:style w:type="paragraph" w:customStyle="1" w:styleId="Sous-titreobjetPagedecouverture">
    <w:name w:val="Sous-titre objet (Page de couverture)"/>
    <w:basedOn w:val="Sous-titreobjet"/>
  </w:style>
  <w:style w:type="paragraph" w:customStyle="1" w:styleId="FooterCoverPage">
    <w:name w:val="Footer Cover Page"/>
    <w:basedOn w:val="Normal"/>
    <w:link w:val="FooterCoverPageChar"/>
    <w:pPr>
      <w:widowControl/>
      <w:tabs>
        <w:tab w:val="center" w:pos="4535"/>
        <w:tab w:val="right" w:pos="9071"/>
        <w:tab w:val="right" w:pos="9921"/>
      </w:tabs>
      <w:spacing w:before="360"/>
      <w:ind w:left="-850" w:right="-850"/>
    </w:pPr>
    <w:rPr>
      <w:rFonts w:eastAsia="Calibri"/>
      <w:szCs w:val="22"/>
    </w:rPr>
  </w:style>
  <w:style w:type="character" w:customStyle="1" w:styleId="TOCHeadingChar">
    <w:name w:val="TOC Heading Char"/>
    <w:uiPriority w:val="39"/>
    <w:rPr>
      <w:rFonts w:ascii="Times New Roman" w:hAnsi="Times New Roman" w:cs="Times New Roman"/>
      <w:b/>
      <w:sz w:val="28"/>
      <w:lang w:val="sk-SK"/>
    </w:rPr>
  </w:style>
  <w:style w:type="character" w:customStyle="1" w:styleId="FooterCoverPageChar">
    <w:name w:val="Footer Cover Page Char"/>
    <w:link w:val="FooterCoverPage"/>
    <w:rPr>
      <w:rFonts w:eastAsia="Calibri"/>
      <w:sz w:val="24"/>
      <w:szCs w:val="22"/>
      <w:lang w:val="sk-SK"/>
    </w:rPr>
  </w:style>
  <w:style w:type="paragraph" w:customStyle="1" w:styleId="HeaderCoverPage">
    <w:name w:val="Header Cover Page"/>
    <w:basedOn w:val="Normal"/>
    <w:link w:val="HeaderCoverPageChar"/>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Pr>
      <w:rFonts w:eastAsia="Calibri"/>
      <w:sz w:val="24"/>
      <w:szCs w:val="22"/>
      <w:lang w:val="sk-SK"/>
    </w:rPr>
  </w:style>
  <w:style w:type="paragraph" w:customStyle="1" w:styleId="ListParagraph1">
    <w:name w:val="List Paragraph1"/>
    <w:basedOn w:val="Normal"/>
    <w:next w:val="ListParagraph"/>
    <w:uiPriority w:val="34"/>
    <w:qFormat/>
    <w:pPr>
      <w:widowControl/>
      <w:spacing w:before="120" w:after="120"/>
      <w:ind w:left="720"/>
      <w:contextualSpacing/>
      <w:jc w:val="both"/>
    </w:pPr>
    <w:rPr>
      <w:rFonts w:eastAsia="Calibri"/>
      <w:szCs w:val="22"/>
      <w:lang w:eastAsia="en-US"/>
    </w:rPr>
  </w:style>
  <w:style w:type="paragraph" w:customStyle="1" w:styleId="Default">
    <w:name w:val="Default"/>
    <w:pPr>
      <w:autoSpaceDE w:val="0"/>
      <w:autoSpaceDN w:val="0"/>
      <w:adjustRightInd w:val="0"/>
    </w:pPr>
    <w:rPr>
      <w:rFonts w:eastAsia="Calibri"/>
      <w:color w:val="000000"/>
      <w:sz w:val="24"/>
      <w:szCs w:val="24"/>
      <w:lang w:val="en-US" w:eastAsia="en-US"/>
    </w:rPr>
  </w:style>
  <w:style w:type="table" w:customStyle="1" w:styleId="Table11">
    <w:name w:val="Table 11"/>
    <w:basedOn w:val="TableNormal"/>
    <w:uiPriority w:val="99"/>
    <w:pPr>
      <w:jc w:val="center"/>
    </w:pPr>
    <w:rPr>
      <w:rFonts w:ascii="Trebuchet MS" w:eastAsia="Calibri" w:hAnsi="Trebuchet MS"/>
      <w:sz w:val="16"/>
      <w:lang w:val="en-US" w:eastAsia="it-IT"/>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paragraph" w:customStyle="1" w:styleId="TitreobjetPagedecouverture">
    <w:name w:val="Titre objet (Page de couverture)"/>
    <w:basedOn w:val="Titreobjet"/>
    <w:next w:val="IntrtEEEPagedecouverture"/>
    <w:pPr>
      <w:spacing w:line="240" w:lineRule="auto"/>
    </w:pPr>
    <w:rPr>
      <w:rFonts w:eastAsia="Calibri"/>
      <w:szCs w:val="22"/>
      <w:lang w:val="sk-SK"/>
    </w:rPr>
  </w:style>
  <w:style w:type="table" w:customStyle="1" w:styleId="TableGrid2">
    <w:name w:val="Table Grid2"/>
    <w:basedOn w:val="TableNormal"/>
    <w:next w:val="TableGrid"/>
    <w:pPr>
      <w:spacing w:before="120" w:after="120"/>
      <w:jc w:val="both"/>
    </w:pPr>
    <w:rPr>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11">
    <w:name w:val="Table 111"/>
    <w:basedOn w:val="TableNormal"/>
    <w:uiPriority w:val="99"/>
    <w:pPr>
      <w:jc w:val="center"/>
    </w:pPr>
    <w:rPr>
      <w:rFonts w:ascii="Trebuchet MS" w:eastAsia="Calibri" w:hAnsi="Trebuchet MS"/>
      <w:sz w:val="16"/>
      <w:lang w:val="en-US" w:eastAsia="it-IT"/>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numbering" w:customStyle="1" w:styleId="NoList11">
    <w:name w:val="No List11"/>
    <w:next w:val="NoList"/>
    <w:uiPriority w:val="99"/>
    <w:semiHidden/>
    <w:unhideWhenUsed/>
  </w:style>
  <w:style w:type="table" w:customStyle="1" w:styleId="TableGrid3">
    <w:name w:val="Table Grid3"/>
    <w:basedOn w:val="TableNormal"/>
    <w:next w:val="TableGrid"/>
    <w:pPr>
      <w:spacing w:before="120" w:after="120"/>
      <w:jc w:val="both"/>
    </w:pPr>
    <w:rPr>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12">
    <w:name w:val="Table 112"/>
    <w:basedOn w:val="TableNormal"/>
    <w:uiPriority w:val="99"/>
    <w:pPr>
      <w:jc w:val="center"/>
    </w:pPr>
    <w:rPr>
      <w:rFonts w:ascii="Trebuchet MS" w:eastAsia="Calibri" w:hAnsi="Trebuchet MS"/>
      <w:sz w:val="16"/>
      <w:lang w:val="en-US" w:eastAsia="it-IT"/>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numbering" w:customStyle="1" w:styleId="NoList2">
    <w:name w:val="No List2"/>
    <w:next w:val="NoList"/>
    <w:uiPriority w:val="99"/>
    <w:semiHidden/>
    <w:unhideWhenUsed/>
  </w:style>
  <w:style w:type="table" w:customStyle="1" w:styleId="TableGrid4">
    <w:name w:val="Table Grid4"/>
    <w:basedOn w:val="TableNormal"/>
    <w:next w:val="TableGrid"/>
    <w:pPr>
      <w:spacing w:before="120" w:after="120"/>
      <w:jc w:val="both"/>
    </w:pPr>
    <w:rPr>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13">
    <w:name w:val="Table 113"/>
    <w:basedOn w:val="TableNormal"/>
    <w:uiPriority w:val="99"/>
    <w:pPr>
      <w:jc w:val="center"/>
    </w:pPr>
    <w:rPr>
      <w:rFonts w:ascii="Trebuchet MS" w:eastAsia="Calibri" w:hAnsi="Trebuchet MS"/>
      <w:sz w:val="16"/>
      <w:lang w:val="en-US" w:eastAsia="it-IT"/>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table" w:customStyle="1" w:styleId="TableGrid12">
    <w:name w:val="Table Grid12"/>
    <w:basedOn w:val="TableNormal"/>
    <w:next w:val="TableGrid"/>
    <w:pPr>
      <w:spacing w:before="120" w:after="120"/>
      <w:jc w:val="both"/>
    </w:pPr>
    <w:rPr>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Instit">
    <w:name w:val="EntInstit"/>
    <w:basedOn w:val="Normal"/>
    <w:pPr>
      <w:autoSpaceDE w:val="0"/>
      <w:autoSpaceDN w:val="0"/>
      <w:adjustRightInd w:val="0"/>
      <w:jc w:val="right"/>
    </w:pPr>
    <w:rPr>
      <w:b/>
      <w:bCs/>
      <w:szCs w:val="24"/>
      <w:lang w:eastAsia="fr-BE"/>
    </w:rPr>
  </w:style>
  <w:style w:type="paragraph" w:customStyle="1" w:styleId="EntRefer">
    <w:name w:val="EntRefer"/>
    <w:basedOn w:val="Normal"/>
    <w:pPr>
      <w:autoSpaceDE w:val="0"/>
      <w:autoSpaceDN w:val="0"/>
      <w:adjustRightInd w:val="0"/>
    </w:pPr>
    <w:rPr>
      <w:b/>
      <w:bCs/>
      <w:szCs w:val="24"/>
      <w:lang w:eastAsia="fr-BE"/>
    </w:rPr>
  </w:style>
  <w:style w:type="paragraph" w:customStyle="1" w:styleId="Par-number1">
    <w:name w:val="Par-number 1)"/>
    <w:basedOn w:val="Normal"/>
    <w:next w:val="Normal"/>
    <w:pPr>
      <w:tabs>
        <w:tab w:val="num" w:pos="567"/>
      </w:tabs>
      <w:autoSpaceDE w:val="0"/>
      <w:autoSpaceDN w:val="0"/>
      <w:adjustRightInd w:val="0"/>
      <w:spacing w:line="360" w:lineRule="auto"/>
      <w:ind w:left="567" w:hanging="567"/>
    </w:pPr>
    <w:rPr>
      <w:szCs w:val="24"/>
      <w:lang w:eastAsia="fr-BE"/>
    </w:rPr>
  </w:style>
  <w:style w:type="paragraph" w:customStyle="1" w:styleId="EntEmet">
    <w:name w:val="EntEmet"/>
    <w:basedOn w:val="Normal"/>
    <w:pPr>
      <w:tabs>
        <w:tab w:val="left" w:pos="284"/>
        <w:tab w:val="left" w:pos="567"/>
        <w:tab w:val="left" w:pos="851"/>
        <w:tab w:val="left" w:pos="1134"/>
        <w:tab w:val="left" w:pos="1418"/>
      </w:tabs>
      <w:autoSpaceDE w:val="0"/>
      <w:autoSpaceDN w:val="0"/>
      <w:adjustRightInd w:val="0"/>
      <w:spacing w:before="40"/>
    </w:pPr>
    <w:rPr>
      <w:szCs w:val="24"/>
      <w:lang w:eastAsia="fr-BE"/>
    </w:rPr>
  </w:style>
  <w:style w:type="paragraph" w:customStyle="1" w:styleId="Par-bullet">
    <w:name w:val="Par-bullet"/>
    <w:basedOn w:val="Normal"/>
    <w:next w:val="Normal"/>
    <w:pPr>
      <w:tabs>
        <w:tab w:val="num" w:pos="567"/>
      </w:tabs>
      <w:autoSpaceDE w:val="0"/>
      <w:autoSpaceDN w:val="0"/>
      <w:adjustRightInd w:val="0"/>
      <w:spacing w:line="360" w:lineRule="auto"/>
      <w:ind w:left="567" w:hanging="567"/>
    </w:pPr>
    <w:rPr>
      <w:szCs w:val="24"/>
      <w:lang w:eastAsia="fr-BE"/>
    </w:rPr>
  </w:style>
  <w:style w:type="paragraph" w:customStyle="1" w:styleId="Par-equal">
    <w:name w:val="Par-equal"/>
    <w:basedOn w:val="Normal"/>
    <w:next w:val="Normal"/>
    <w:pPr>
      <w:tabs>
        <w:tab w:val="num" w:pos="567"/>
      </w:tabs>
      <w:autoSpaceDE w:val="0"/>
      <w:autoSpaceDN w:val="0"/>
      <w:adjustRightInd w:val="0"/>
      <w:spacing w:line="360" w:lineRule="auto"/>
      <w:ind w:left="567" w:hanging="567"/>
    </w:pPr>
    <w:rPr>
      <w:szCs w:val="24"/>
      <w:lang w:eastAsia="fr-BE"/>
    </w:rPr>
  </w:style>
  <w:style w:type="paragraph" w:customStyle="1" w:styleId="Par-number10">
    <w:name w:val="Par-number (1)"/>
    <w:basedOn w:val="Normal"/>
    <w:next w:val="Normal"/>
    <w:pPr>
      <w:tabs>
        <w:tab w:val="num" w:pos="567"/>
      </w:tabs>
      <w:autoSpaceDE w:val="0"/>
      <w:autoSpaceDN w:val="0"/>
      <w:adjustRightInd w:val="0"/>
      <w:spacing w:line="360" w:lineRule="auto"/>
      <w:ind w:left="567" w:hanging="567"/>
    </w:pPr>
    <w:rPr>
      <w:szCs w:val="24"/>
      <w:lang w:eastAsia="fr-BE"/>
    </w:rPr>
  </w:style>
  <w:style w:type="paragraph" w:customStyle="1" w:styleId="Par-number11">
    <w:name w:val="Par-number 1."/>
    <w:basedOn w:val="Normal"/>
    <w:next w:val="Normal"/>
    <w:pPr>
      <w:tabs>
        <w:tab w:val="num" w:pos="567"/>
      </w:tabs>
      <w:autoSpaceDE w:val="0"/>
      <w:autoSpaceDN w:val="0"/>
      <w:adjustRightInd w:val="0"/>
      <w:spacing w:line="360" w:lineRule="auto"/>
      <w:ind w:left="567" w:hanging="567"/>
    </w:pPr>
    <w:rPr>
      <w:szCs w:val="24"/>
      <w:lang w:eastAsia="fr-BE"/>
    </w:rPr>
  </w:style>
  <w:style w:type="paragraph" w:customStyle="1" w:styleId="Par-numberI">
    <w:name w:val="Par-number I."/>
    <w:basedOn w:val="Normal"/>
    <w:next w:val="Normal"/>
    <w:pPr>
      <w:tabs>
        <w:tab w:val="num" w:pos="567"/>
      </w:tabs>
      <w:autoSpaceDE w:val="0"/>
      <w:autoSpaceDN w:val="0"/>
      <w:adjustRightInd w:val="0"/>
      <w:spacing w:line="360" w:lineRule="auto"/>
      <w:ind w:left="567" w:hanging="567"/>
    </w:pPr>
    <w:rPr>
      <w:szCs w:val="24"/>
      <w:lang w:eastAsia="fr-BE"/>
    </w:rPr>
  </w:style>
  <w:style w:type="paragraph" w:customStyle="1" w:styleId="Par-dash">
    <w:name w:val="Par-dash"/>
    <w:basedOn w:val="Normal"/>
    <w:next w:val="Normal"/>
    <w:pPr>
      <w:tabs>
        <w:tab w:val="num" w:pos="567"/>
      </w:tabs>
      <w:autoSpaceDE w:val="0"/>
      <w:autoSpaceDN w:val="0"/>
      <w:adjustRightInd w:val="0"/>
      <w:spacing w:line="360" w:lineRule="auto"/>
      <w:ind w:left="567" w:hanging="567"/>
    </w:pPr>
    <w:rPr>
      <w:szCs w:val="24"/>
      <w:lang w:eastAsia="fr-BE"/>
    </w:rPr>
  </w:style>
  <w:style w:type="paragraph" w:customStyle="1" w:styleId="EntLogo">
    <w:name w:val="EntLogo"/>
    <w:basedOn w:val="Normal"/>
    <w:next w:val="EntInstit"/>
    <w:pPr>
      <w:autoSpaceDE w:val="0"/>
      <w:autoSpaceDN w:val="0"/>
      <w:adjustRightInd w:val="0"/>
      <w:spacing w:line="360" w:lineRule="auto"/>
    </w:pPr>
    <w:rPr>
      <w:b/>
      <w:bCs/>
      <w:szCs w:val="24"/>
      <w:lang w:eastAsia="fr-BE"/>
    </w:rPr>
  </w:style>
  <w:style w:type="paragraph" w:customStyle="1" w:styleId="Par-numberA">
    <w:name w:val="Par-number A."/>
    <w:basedOn w:val="Normal"/>
    <w:next w:val="Normal"/>
    <w:pPr>
      <w:tabs>
        <w:tab w:val="num" w:pos="567"/>
      </w:tabs>
      <w:autoSpaceDE w:val="0"/>
      <w:autoSpaceDN w:val="0"/>
      <w:adjustRightInd w:val="0"/>
      <w:spacing w:line="360" w:lineRule="auto"/>
      <w:ind w:left="567" w:hanging="567"/>
    </w:pPr>
    <w:rPr>
      <w:szCs w:val="24"/>
      <w:lang w:eastAsia="fr-BE"/>
    </w:rPr>
  </w:style>
  <w:style w:type="paragraph" w:styleId="EndnoteText">
    <w:name w:val="endnote text"/>
    <w:basedOn w:val="Normal"/>
    <w:link w:val="EndnoteTextChar"/>
    <w:uiPriority w:val="99"/>
    <w:pPr>
      <w:tabs>
        <w:tab w:val="left" w:pos="567"/>
      </w:tabs>
      <w:autoSpaceDE w:val="0"/>
      <w:autoSpaceDN w:val="0"/>
      <w:adjustRightInd w:val="0"/>
      <w:ind w:left="567" w:hanging="567"/>
    </w:pPr>
    <w:rPr>
      <w:szCs w:val="24"/>
      <w:lang w:eastAsia="fr-BE"/>
    </w:rPr>
  </w:style>
  <w:style w:type="character" w:customStyle="1" w:styleId="EndnoteTextChar">
    <w:name w:val="Endnote Text Char"/>
    <w:basedOn w:val="DefaultParagraphFont"/>
    <w:link w:val="EndnoteText"/>
    <w:uiPriority w:val="99"/>
    <w:rPr>
      <w:sz w:val="24"/>
      <w:szCs w:val="24"/>
      <w:lang w:val="sk-SK" w:eastAsia="fr-BE"/>
    </w:rPr>
  </w:style>
  <w:style w:type="character" w:styleId="EndnoteReference">
    <w:name w:val="endnote reference"/>
    <w:basedOn w:val="DefaultParagraphFont"/>
    <w:uiPriority w:val="99"/>
    <w:rPr>
      <w:rFonts w:cs="Times New Roman"/>
      <w:b/>
      <w:bCs/>
      <w:spacing w:val="0"/>
      <w:vertAlign w:val="superscript"/>
    </w:rPr>
  </w:style>
  <w:style w:type="paragraph" w:customStyle="1" w:styleId="AC">
    <w:name w:val="AC"/>
    <w:basedOn w:val="Normal"/>
    <w:next w:val="Normal"/>
    <w:pPr>
      <w:autoSpaceDE w:val="0"/>
      <w:autoSpaceDN w:val="0"/>
      <w:adjustRightInd w:val="0"/>
      <w:spacing w:line="360" w:lineRule="auto"/>
    </w:pPr>
    <w:rPr>
      <w:b/>
      <w:bCs/>
      <w:sz w:val="40"/>
      <w:szCs w:val="40"/>
      <w:lang w:eastAsia="fr-BE"/>
    </w:rPr>
  </w:style>
  <w:style w:type="paragraph" w:customStyle="1" w:styleId="Par-numberi0">
    <w:name w:val="Par-number (i)"/>
    <w:basedOn w:val="Normal"/>
    <w:next w:val="Normal"/>
    <w:pPr>
      <w:tabs>
        <w:tab w:val="left" w:pos="567"/>
      </w:tabs>
      <w:autoSpaceDE w:val="0"/>
      <w:autoSpaceDN w:val="0"/>
      <w:adjustRightInd w:val="0"/>
      <w:spacing w:line="360" w:lineRule="auto"/>
      <w:ind w:left="567" w:hanging="567"/>
    </w:pPr>
    <w:rPr>
      <w:szCs w:val="24"/>
      <w:lang w:eastAsia="fr-BE"/>
    </w:rPr>
  </w:style>
  <w:style w:type="paragraph" w:customStyle="1" w:styleId="Par-numbera0">
    <w:name w:val="Par-number (a)"/>
    <w:basedOn w:val="Normal"/>
    <w:next w:val="Normal"/>
    <w:pPr>
      <w:tabs>
        <w:tab w:val="num" w:pos="567"/>
      </w:tabs>
      <w:autoSpaceDE w:val="0"/>
      <w:autoSpaceDN w:val="0"/>
      <w:adjustRightInd w:val="0"/>
      <w:spacing w:line="360" w:lineRule="auto"/>
      <w:ind w:left="567" w:hanging="567"/>
    </w:pPr>
    <w:rPr>
      <w:szCs w:val="24"/>
      <w:lang w:eastAsia="fr-BE"/>
    </w:rPr>
  </w:style>
  <w:style w:type="character" w:customStyle="1" w:styleId="DontTranslate">
    <w:name w:val="DontTranslate"/>
    <w:basedOn w:val="DefaultParagraphFont"/>
    <w:rPr>
      <w:rFonts w:cs="Times New Roman"/>
      <w:color w:val="auto"/>
      <w:spacing w:val="0"/>
    </w:rPr>
  </w:style>
  <w:style w:type="paragraph" w:customStyle="1" w:styleId="AddReference">
    <w:name w:val="Add Reference"/>
    <w:basedOn w:val="Normal"/>
    <w:pPr>
      <w:pBdr>
        <w:top w:val="single" w:sz="4" w:space="1" w:color="auto"/>
        <w:left w:val="single" w:sz="4" w:space="4" w:color="auto"/>
        <w:bottom w:val="single" w:sz="4" w:space="1" w:color="auto"/>
        <w:right w:val="single" w:sz="4" w:space="4" w:color="auto"/>
      </w:pBdr>
      <w:autoSpaceDE w:val="0"/>
      <w:autoSpaceDN w:val="0"/>
      <w:adjustRightInd w:val="0"/>
      <w:ind w:left="7655" w:right="-454"/>
    </w:pPr>
    <w:rPr>
      <w:i/>
      <w:iCs/>
      <w:sz w:val="20"/>
      <w:lang w:eastAsia="fr-BE"/>
    </w:rPr>
  </w:style>
  <w:style w:type="paragraph" w:styleId="DocumentMap">
    <w:name w:val="Document Map"/>
    <w:basedOn w:val="Normal"/>
    <w:link w:val="DocumentMapChar"/>
    <w:uiPriority w:val="99"/>
    <w:pPr>
      <w:shd w:val="clear" w:color="auto" w:fill="000080"/>
      <w:autoSpaceDE w:val="0"/>
      <w:autoSpaceDN w:val="0"/>
      <w:adjustRightInd w:val="0"/>
      <w:spacing w:line="360" w:lineRule="auto"/>
    </w:pPr>
    <w:rPr>
      <w:rFonts w:ascii="Tahoma" w:hAnsi="Tahoma" w:cs="Tahoma"/>
      <w:szCs w:val="24"/>
      <w:lang w:eastAsia="fr-BE"/>
    </w:rPr>
  </w:style>
  <w:style w:type="character" w:customStyle="1" w:styleId="DocumentMapChar">
    <w:name w:val="Document Map Char"/>
    <w:basedOn w:val="DefaultParagraphFont"/>
    <w:link w:val="DocumentMap"/>
    <w:uiPriority w:val="99"/>
    <w:rPr>
      <w:rFonts w:ascii="Tahoma" w:hAnsi="Tahoma" w:cs="Tahoma"/>
      <w:sz w:val="24"/>
      <w:szCs w:val="24"/>
      <w:shd w:val="clear" w:color="auto" w:fill="000080"/>
      <w:lang w:val="sk-SK" w:eastAsia="fr-BE"/>
    </w:rPr>
  </w:style>
  <w:style w:type="paragraph" w:customStyle="1" w:styleId="RKrubrik">
    <w:name w:val="RKrubrik"/>
    <w:basedOn w:val="Normal"/>
    <w:next w:val="Normal"/>
    <w:pPr>
      <w:keepNext/>
      <w:widowControl/>
      <w:tabs>
        <w:tab w:val="left" w:pos="1134"/>
        <w:tab w:val="left" w:pos="2835"/>
      </w:tabs>
      <w:autoSpaceDE w:val="0"/>
      <w:autoSpaceDN w:val="0"/>
      <w:adjustRightInd w:val="0"/>
      <w:spacing w:before="360" w:after="120" w:line="240" w:lineRule="atLeast"/>
    </w:pPr>
    <w:rPr>
      <w:rFonts w:ascii="TradeGothic" w:hAnsi="TradeGothic" w:cs="TradeGothic"/>
      <w:b/>
      <w:bCs/>
      <w:sz w:val="22"/>
      <w:szCs w:val="22"/>
      <w:lang w:eastAsia="fr-BE"/>
    </w:rPr>
  </w:style>
  <w:style w:type="character" w:customStyle="1" w:styleId="Heading5Char1">
    <w:name w:val="Heading 5 Char1"/>
    <w:basedOn w:val="DefaultParagraphFont"/>
    <w:rPr>
      <w:rFonts w:ascii="Arial" w:hAnsi="Arial" w:cs="Arial"/>
      <w:spacing w:val="0"/>
      <w:sz w:val="24"/>
      <w:szCs w:val="24"/>
      <w:lang w:val="sk-SK"/>
    </w:rPr>
  </w:style>
  <w:style w:type="character" w:customStyle="1" w:styleId="Heading6Char1">
    <w:name w:val="Heading 6 Char1"/>
    <w:basedOn w:val="DefaultParagraphFont"/>
    <w:rPr>
      <w:rFonts w:ascii="Arial" w:hAnsi="Arial" w:cs="Arial"/>
      <w:i/>
      <w:iCs/>
      <w:spacing w:val="0"/>
      <w:sz w:val="24"/>
      <w:szCs w:val="24"/>
      <w:lang w:val="sk-SK"/>
    </w:rPr>
  </w:style>
  <w:style w:type="character" w:customStyle="1" w:styleId="Heading7Char1">
    <w:name w:val="Heading 7 Char1"/>
    <w:basedOn w:val="DefaultParagraphFont"/>
    <w:rPr>
      <w:rFonts w:ascii="Arial" w:hAnsi="Arial" w:cs="Arial"/>
      <w:spacing w:val="0"/>
      <w:sz w:val="24"/>
      <w:szCs w:val="24"/>
      <w:lang w:val="sk-SK"/>
    </w:rPr>
  </w:style>
  <w:style w:type="character" w:customStyle="1" w:styleId="Heading8Char1">
    <w:name w:val="Heading 8 Char1"/>
    <w:basedOn w:val="DefaultParagraphFont"/>
    <w:rPr>
      <w:rFonts w:ascii="Arial" w:hAnsi="Arial" w:cs="Arial"/>
      <w:i/>
      <w:iCs/>
      <w:spacing w:val="0"/>
      <w:sz w:val="24"/>
      <w:szCs w:val="24"/>
      <w:lang w:val="sk-SK"/>
    </w:rPr>
  </w:style>
  <w:style w:type="character" w:customStyle="1" w:styleId="Heading9Char1">
    <w:name w:val="Heading 9 Char1"/>
    <w:basedOn w:val="DefaultParagraphFont"/>
    <w:rPr>
      <w:rFonts w:ascii="Arial" w:hAnsi="Arial" w:cs="Arial"/>
      <w:i/>
      <w:iCs/>
      <w:spacing w:val="0"/>
      <w:sz w:val="24"/>
      <w:szCs w:val="24"/>
      <w:lang w:val="sk-SK"/>
    </w:rPr>
  </w:style>
  <w:style w:type="character" w:customStyle="1" w:styleId="BalloonTextChar1">
    <w:name w:val="Balloon Text Char1"/>
    <w:basedOn w:val="DefaultParagraphFont"/>
    <w:rPr>
      <w:rFonts w:ascii="Tahoma" w:hAnsi="Tahoma" w:cs="Tahoma"/>
      <w:spacing w:val="0"/>
      <w:sz w:val="16"/>
      <w:szCs w:val="16"/>
      <w:lang w:val="sk-SK"/>
    </w:rPr>
  </w:style>
  <w:style w:type="character" w:customStyle="1" w:styleId="HeaderChar1">
    <w:name w:val="Header Char1"/>
    <w:basedOn w:val="DefaultParagraphFont"/>
    <w:rPr>
      <w:rFonts w:cs="Times New Roman"/>
      <w:spacing w:val="0"/>
      <w:sz w:val="24"/>
      <w:szCs w:val="24"/>
      <w:lang w:val="sk-SK"/>
    </w:rPr>
  </w:style>
  <w:style w:type="paragraph" w:customStyle="1" w:styleId="Overskrift1">
    <w:name w:val="Overskrift1"/>
    <w:basedOn w:val="Normal"/>
    <w:next w:val="Normal"/>
    <w:pPr>
      <w:widowControl/>
      <w:autoSpaceDE w:val="0"/>
      <w:autoSpaceDN w:val="0"/>
      <w:adjustRightInd w:val="0"/>
      <w:spacing w:before="120" w:after="240" w:line="360" w:lineRule="auto"/>
      <w:jc w:val="center"/>
    </w:pPr>
    <w:rPr>
      <w:b/>
      <w:bCs/>
      <w:sz w:val="28"/>
      <w:szCs w:val="28"/>
      <w:lang w:eastAsia="fr-BE"/>
    </w:rPr>
  </w:style>
  <w:style w:type="paragraph" w:customStyle="1" w:styleId="Lignefinal">
    <w:name w:val="Ligne final"/>
    <w:basedOn w:val="Normal"/>
    <w:next w:val="Normal"/>
    <w:pPr>
      <w:widowControl/>
      <w:pBdr>
        <w:bottom w:val="single" w:sz="4" w:space="0" w:color="000000"/>
      </w:pBdr>
      <w:autoSpaceDE w:val="0"/>
      <w:autoSpaceDN w:val="0"/>
      <w:adjustRightInd w:val="0"/>
      <w:spacing w:before="720" w:after="360" w:line="360" w:lineRule="auto"/>
      <w:ind w:left="3400" w:right="3400"/>
      <w:jc w:val="center"/>
    </w:pPr>
    <w:rPr>
      <w:b/>
      <w:bCs/>
      <w:szCs w:val="24"/>
      <w:lang w:eastAsia="fr-BE"/>
    </w:rPr>
  </w:style>
  <w:style w:type="paragraph" w:customStyle="1" w:styleId="LignefinalLandscape">
    <w:name w:val="Ligne final (Landscape)"/>
    <w:basedOn w:val="Normal"/>
    <w:next w:val="Normal"/>
    <w:pPr>
      <w:widowControl/>
      <w:pBdr>
        <w:bottom w:val="single" w:sz="4" w:space="0" w:color="000000"/>
      </w:pBdr>
      <w:autoSpaceDE w:val="0"/>
      <w:autoSpaceDN w:val="0"/>
      <w:adjustRightInd w:val="0"/>
      <w:spacing w:before="720" w:after="360" w:line="360" w:lineRule="auto"/>
      <w:ind w:left="5868" w:right="5868"/>
      <w:jc w:val="center"/>
    </w:pPr>
    <w:rPr>
      <w:b/>
      <w:bCs/>
      <w:szCs w:val="24"/>
      <w:lang w:eastAsia="fr-BE"/>
    </w:rPr>
  </w:style>
  <w:style w:type="paragraph" w:customStyle="1" w:styleId="EntText">
    <w:name w:val="EntText"/>
    <w:basedOn w:val="Normal"/>
    <w:pPr>
      <w:widowControl/>
      <w:autoSpaceDE w:val="0"/>
      <w:autoSpaceDN w:val="0"/>
      <w:adjustRightInd w:val="0"/>
      <w:spacing w:before="120" w:after="120" w:line="360" w:lineRule="auto"/>
    </w:pPr>
    <w:rPr>
      <w:szCs w:val="24"/>
      <w:lang w:eastAsia="fr-BE"/>
    </w:rPr>
  </w:style>
  <w:style w:type="paragraph" w:customStyle="1" w:styleId="EntEU">
    <w:name w:val="EntEU"/>
    <w:basedOn w:val="Normal"/>
    <w:pPr>
      <w:widowControl/>
      <w:autoSpaceDE w:val="0"/>
      <w:autoSpaceDN w:val="0"/>
      <w:adjustRightInd w:val="0"/>
      <w:spacing w:before="240" w:after="240"/>
      <w:jc w:val="center"/>
    </w:pPr>
    <w:rPr>
      <w:b/>
      <w:bCs/>
      <w:sz w:val="36"/>
      <w:szCs w:val="36"/>
      <w:lang w:eastAsia="fr-BE"/>
    </w:rPr>
  </w:style>
  <w:style w:type="paragraph" w:customStyle="1" w:styleId="EntASSOC">
    <w:name w:val="EntASSOC"/>
    <w:basedOn w:val="Normal"/>
    <w:pPr>
      <w:widowControl/>
      <w:autoSpaceDE w:val="0"/>
      <w:autoSpaceDN w:val="0"/>
      <w:adjustRightInd w:val="0"/>
      <w:jc w:val="center"/>
    </w:pPr>
    <w:rPr>
      <w:b/>
      <w:bCs/>
      <w:szCs w:val="24"/>
      <w:lang w:eastAsia="fr-BE"/>
    </w:rPr>
  </w:style>
  <w:style w:type="paragraph" w:customStyle="1" w:styleId="EntACP">
    <w:name w:val="EntACP"/>
    <w:basedOn w:val="Normal"/>
    <w:pPr>
      <w:widowControl/>
      <w:autoSpaceDE w:val="0"/>
      <w:autoSpaceDN w:val="0"/>
      <w:adjustRightInd w:val="0"/>
      <w:spacing w:after="120"/>
      <w:jc w:val="center"/>
    </w:pPr>
    <w:rPr>
      <w:b/>
      <w:bCs/>
      <w:spacing w:val="40"/>
      <w:sz w:val="28"/>
      <w:szCs w:val="28"/>
      <w:lang w:eastAsia="fr-BE"/>
    </w:rPr>
  </w:style>
  <w:style w:type="paragraph" w:customStyle="1" w:styleId="EntInstitACP">
    <w:name w:val="EntInstitACP"/>
    <w:basedOn w:val="Normal"/>
    <w:pPr>
      <w:widowControl/>
      <w:autoSpaceDE w:val="0"/>
      <w:autoSpaceDN w:val="0"/>
      <w:adjustRightInd w:val="0"/>
      <w:jc w:val="center"/>
    </w:pPr>
    <w:rPr>
      <w:b/>
      <w:bCs/>
      <w:szCs w:val="24"/>
      <w:lang w:eastAsia="fr-BE"/>
    </w:rPr>
  </w:style>
  <w:style w:type="paragraph" w:customStyle="1" w:styleId="Genredudocument">
    <w:name w:val="Genre du document"/>
    <w:basedOn w:val="EntRefer"/>
    <w:next w:val="EntRefer"/>
    <w:pPr>
      <w:widowControl/>
      <w:spacing w:before="240"/>
    </w:pPr>
  </w:style>
  <w:style w:type="paragraph" w:customStyle="1" w:styleId="Accordtitre">
    <w:name w:val="Accord titre"/>
    <w:basedOn w:val="Normal"/>
    <w:pPr>
      <w:widowControl/>
      <w:autoSpaceDE w:val="0"/>
      <w:autoSpaceDN w:val="0"/>
      <w:adjustRightInd w:val="0"/>
      <w:spacing w:line="360" w:lineRule="auto"/>
      <w:jc w:val="center"/>
    </w:pPr>
    <w:rPr>
      <w:szCs w:val="24"/>
      <w:lang w:eastAsia="fr-BE"/>
    </w:rPr>
  </w:style>
  <w:style w:type="paragraph" w:customStyle="1" w:styleId="FooterAccord">
    <w:name w:val="Footer Accord"/>
    <w:basedOn w:val="Normal"/>
    <w:pPr>
      <w:widowControl/>
      <w:tabs>
        <w:tab w:val="center" w:pos="4819"/>
        <w:tab w:val="center" w:pos="7370"/>
        <w:tab w:val="right" w:pos="9638"/>
      </w:tabs>
      <w:autoSpaceDE w:val="0"/>
      <w:autoSpaceDN w:val="0"/>
      <w:adjustRightInd w:val="0"/>
      <w:spacing w:before="360"/>
      <w:jc w:val="center"/>
    </w:pPr>
    <w:rPr>
      <w:szCs w:val="24"/>
      <w:lang w:eastAsia="fr-BE"/>
    </w:rPr>
  </w:style>
  <w:style w:type="paragraph" w:customStyle="1" w:styleId="FooterLandscapeAccord">
    <w:name w:val="FooterLandscape Accord"/>
    <w:basedOn w:val="Normal"/>
    <w:pPr>
      <w:widowControl/>
      <w:tabs>
        <w:tab w:val="center" w:pos="7285"/>
        <w:tab w:val="center" w:pos="10930"/>
        <w:tab w:val="right" w:pos="14570"/>
      </w:tabs>
      <w:autoSpaceDE w:val="0"/>
      <w:autoSpaceDN w:val="0"/>
      <w:adjustRightInd w:val="0"/>
      <w:spacing w:before="360"/>
      <w:jc w:val="center"/>
    </w:pPr>
    <w:rPr>
      <w:szCs w:val="24"/>
      <w:lang w:eastAsia="fr-BE"/>
    </w:rPr>
  </w:style>
  <w:style w:type="paragraph" w:styleId="BlockText">
    <w:name w:val="Block Text"/>
    <w:basedOn w:val="Normal"/>
    <w:uiPriority w:val="99"/>
    <w:pPr>
      <w:widowControl/>
      <w:autoSpaceDE w:val="0"/>
      <w:autoSpaceDN w:val="0"/>
      <w:adjustRightInd w:val="0"/>
      <w:spacing w:before="120" w:after="120" w:line="360" w:lineRule="auto"/>
      <w:ind w:left="1440" w:right="1440"/>
    </w:pPr>
    <w:rPr>
      <w:szCs w:val="24"/>
      <w:lang w:eastAsia="fr-BE"/>
    </w:rPr>
  </w:style>
  <w:style w:type="paragraph" w:styleId="BodyText">
    <w:name w:val="Body Text"/>
    <w:basedOn w:val="Normal"/>
    <w:link w:val="BodyTextChar"/>
    <w:uiPriority w:val="99"/>
    <w:pPr>
      <w:widowControl/>
      <w:autoSpaceDE w:val="0"/>
      <w:autoSpaceDN w:val="0"/>
      <w:adjustRightInd w:val="0"/>
      <w:spacing w:before="120" w:after="120" w:line="360" w:lineRule="auto"/>
    </w:pPr>
    <w:rPr>
      <w:szCs w:val="24"/>
      <w:lang w:eastAsia="fr-BE"/>
    </w:rPr>
  </w:style>
  <w:style w:type="character" w:customStyle="1" w:styleId="BodyTextChar">
    <w:name w:val="Body Text Char"/>
    <w:basedOn w:val="DefaultParagraphFont"/>
    <w:link w:val="BodyText"/>
    <w:uiPriority w:val="99"/>
    <w:rPr>
      <w:sz w:val="24"/>
      <w:szCs w:val="24"/>
      <w:lang w:val="sk-SK" w:eastAsia="fr-BE"/>
    </w:rPr>
  </w:style>
  <w:style w:type="character" w:customStyle="1" w:styleId="BodyTextChar1">
    <w:name w:val="Body Text Char1"/>
    <w:basedOn w:val="DefaultParagraphFont"/>
    <w:rPr>
      <w:rFonts w:cs="Times New Roman"/>
      <w:spacing w:val="0"/>
      <w:sz w:val="24"/>
      <w:szCs w:val="24"/>
      <w:lang w:val="sk-SK"/>
    </w:rPr>
  </w:style>
  <w:style w:type="paragraph" w:styleId="BodyTextIndent">
    <w:name w:val="Body Text Indent"/>
    <w:basedOn w:val="Normal"/>
    <w:link w:val="BodyTextIndentChar"/>
    <w:uiPriority w:val="99"/>
    <w:pPr>
      <w:widowControl/>
      <w:autoSpaceDE w:val="0"/>
      <w:autoSpaceDN w:val="0"/>
      <w:adjustRightInd w:val="0"/>
      <w:spacing w:before="120" w:after="120" w:line="360" w:lineRule="auto"/>
      <w:ind w:left="283"/>
    </w:pPr>
    <w:rPr>
      <w:szCs w:val="24"/>
      <w:lang w:eastAsia="fr-BE"/>
    </w:rPr>
  </w:style>
  <w:style w:type="character" w:customStyle="1" w:styleId="BodyTextIndentChar">
    <w:name w:val="Body Text Indent Char"/>
    <w:basedOn w:val="DefaultParagraphFont"/>
    <w:link w:val="BodyTextIndent"/>
    <w:uiPriority w:val="99"/>
    <w:rPr>
      <w:sz w:val="24"/>
      <w:szCs w:val="24"/>
      <w:lang w:val="sk-SK" w:eastAsia="fr-BE"/>
    </w:rPr>
  </w:style>
  <w:style w:type="character" w:customStyle="1" w:styleId="BodyText2Char">
    <w:name w:val="Body Text 2 Char"/>
    <w:basedOn w:val="DefaultParagraphFont"/>
    <w:rPr>
      <w:rFonts w:ascii="Times New Roman" w:hAnsi="Times New Roman" w:cs="Times New Roman"/>
      <w:spacing w:val="0"/>
      <w:sz w:val="24"/>
      <w:szCs w:val="24"/>
      <w:lang w:val="sk-SK"/>
    </w:rPr>
  </w:style>
  <w:style w:type="paragraph" w:styleId="BodyText3">
    <w:name w:val="Body Text 3"/>
    <w:basedOn w:val="Normal"/>
    <w:link w:val="BodyText3Char"/>
    <w:uiPriority w:val="99"/>
    <w:pPr>
      <w:widowControl/>
      <w:autoSpaceDE w:val="0"/>
      <w:autoSpaceDN w:val="0"/>
      <w:adjustRightInd w:val="0"/>
      <w:spacing w:before="120" w:after="120" w:line="360" w:lineRule="auto"/>
    </w:pPr>
    <w:rPr>
      <w:sz w:val="16"/>
      <w:szCs w:val="16"/>
      <w:lang w:eastAsia="fr-BE"/>
    </w:rPr>
  </w:style>
  <w:style w:type="character" w:customStyle="1" w:styleId="BodyText3Char">
    <w:name w:val="Body Text 3 Char"/>
    <w:basedOn w:val="DefaultParagraphFont"/>
    <w:link w:val="BodyText3"/>
    <w:uiPriority w:val="99"/>
    <w:rPr>
      <w:sz w:val="16"/>
      <w:szCs w:val="16"/>
      <w:lang w:val="sk-SK" w:eastAsia="fr-BE"/>
    </w:rPr>
  </w:style>
  <w:style w:type="character" w:customStyle="1" w:styleId="BodyText3Char1">
    <w:name w:val="Body Text 3 Char1"/>
    <w:basedOn w:val="DefaultParagraphFont"/>
    <w:rPr>
      <w:rFonts w:cs="Times New Roman"/>
      <w:spacing w:val="0"/>
      <w:sz w:val="16"/>
      <w:szCs w:val="16"/>
      <w:lang w:val="sk-SK"/>
    </w:rPr>
  </w:style>
  <w:style w:type="paragraph" w:styleId="BodyTextFirstIndent">
    <w:name w:val="Body Text First Indent"/>
    <w:basedOn w:val="BodyText"/>
    <w:link w:val="BodyTextFirstIndentChar"/>
    <w:uiPriority w:val="99"/>
    <w:pPr>
      <w:ind w:firstLine="210"/>
    </w:pPr>
  </w:style>
  <w:style w:type="character" w:customStyle="1" w:styleId="BodyTextFirstIndentChar">
    <w:name w:val="Body Text First Indent Char"/>
    <w:basedOn w:val="BodyTextChar"/>
    <w:link w:val="BodyTextFirstIndent"/>
    <w:uiPriority w:val="99"/>
    <w:rPr>
      <w:sz w:val="24"/>
      <w:szCs w:val="24"/>
      <w:lang w:val="sk-SK" w:eastAsia="fr-BE"/>
    </w:rPr>
  </w:style>
  <w:style w:type="character" w:customStyle="1" w:styleId="BodyTextFirstIndentChar1">
    <w:name w:val="Body Text First Indent Char1"/>
    <w:basedOn w:val="BodyTextChar1"/>
    <w:rPr>
      <w:rFonts w:cs="Times New Roman"/>
      <w:spacing w:val="0"/>
      <w:sz w:val="24"/>
      <w:szCs w:val="24"/>
      <w:lang w:val="sk-SK"/>
    </w:rPr>
  </w:style>
  <w:style w:type="character" w:customStyle="1" w:styleId="BodyTextIndentChar1">
    <w:name w:val="Body Text Indent Char1"/>
    <w:basedOn w:val="DefaultParagraphFont"/>
    <w:rPr>
      <w:rFonts w:cs="Times New Roman"/>
      <w:spacing w:val="0"/>
      <w:sz w:val="24"/>
      <w:szCs w:val="24"/>
      <w:lang w:val="sk-SK"/>
    </w:rPr>
  </w:style>
  <w:style w:type="paragraph" w:styleId="BodyTextFirstIndent2">
    <w:name w:val="Body Text First Indent 2"/>
    <w:basedOn w:val="BodyTextIndent"/>
    <w:link w:val="BodyTextFirstIndent2Char"/>
    <w:uiPriority w:val="99"/>
    <w:pPr>
      <w:ind w:firstLine="210"/>
    </w:pPr>
  </w:style>
  <w:style w:type="character" w:customStyle="1" w:styleId="BodyTextFirstIndent2Char">
    <w:name w:val="Body Text First Indent 2 Char"/>
    <w:basedOn w:val="BodyTextIndentChar"/>
    <w:link w:val="BodyTextFirstIndent2"/>
    <w:uiPriority w:val="99"/>
    <w:rPr>
      <w:sz w:val="24"/>
      <w:szCs w:val="24"/>
      <w:lang w:val="sk-SK" w:eastAsia="fr-BE"/>
    </w:rPr>
  </w:style>
  <w:style w:type="character" w:customStyle="1" w:styleId="BodyTextFirstIndent2Char1">
    <w:name w:val="Body Text First Indent 2 Char1"/>
    <w:basedOn w:val="BodyTextIndentChar1"/>
    <w:rPr>
      <w:rFonts w:cs="Times New Roman"/>
      <w:spacing w:val="0"/>
      <w:sz w:val="24"/>
      <w:szCs w:val="24"/>
      <w:lang w:val="sk-SK"/>
    </w:rPr>
  </w:style>
  <w:style w:type="paragraph" w:styleId="BodyTextIndent2">
    <w:name w:val="Body Text Indent 2"/>
    <w:basedOn w:val="Normal"/>
    <w:link w:val="BodyTextIndent2Char"/>
    <w:uiPriority w:val="99"/>
    <w:pPr>
      <w:widowControl/>
      <w:autoSpaceDE w:val="0"/>
      <w:autoSpaceDN w:val="0"/>
      <w:adjustRightInd w:val="0"/>
      <w:spacing w:before="120" w:after="120" w:line="480" w:lineRule="auto"/>
      <w:ind w:left="283"/>
    </w:pPr>
    <w:rPr>
      <w:szCs w:val="24"/>
      <w:lang w:eastAsia="fr-BE"/>
    </w:rPr>
  </w:style>
  <w:style w:type="character" w:customStyle="1" w:styleId="BodyTextIndent2Char">
    <w:name w:val="Body Text Indent 2 Char"/>
    <w:basedOn w:val="DefaultParagraphFont"/>
    <w:link w:val="BodyTextIndent2"/>
    <w:uiPriority w:val="99"/>
    <w:rPr>
      <w:sz w:val="24"/>
      <w:szCs w:val="24"/>
      <w:lang w:val="sk-SK" w:eastAsia="fr-BE"/>
    </w:rPr>
  </w:style>
  <w:style w:type="character" w:customStyle="1" w:styleId="BodyTextIndent2Char1">
    <w:name w:val="Body Text Indent 2 Char1"/>
    <w:basedOn w:val="DefaultParagraphFont"/>
    <w:rPr>
      <w:rFonts w:cs="Times New Roman"/>
      <w:spacing w:val="0"/>
      <w:sz w:val="24"/>
      <w:szCs w:val="24"/>
      <w:lang w:val="sk-SK"/>
    </w:rPr>
  </w:style>
  <w:style w:type="paragraph" w:styleId="BodyTextIndent3">
    <w:name w:val="Body Text Indent 3"/>
    <w:basedOn w:val="Normal"/>
    <w:link w:val="BodyTextIndent3Char"/>
    <w:uiPriority w:val="99"/>
    <w:pPr>
      <w:widowControl/>
      <w:autoSpaceDE w:val="0"/>
      <w:autoSpaceDN w:val="0"/>
      <w:adjustRightInd w:val="0"/>
      <w:spacing w:before="120" w:after="120" w:line="360" w:lineRule="auto"/>
      <w:ind w:left="283"/>
    </w:pPr>
    <w:rPr>
      <w:sz w:val="16"/>
      <w:szCs w:val="16"/>
      <w:lang w:eastAsia="fr-BE"/>
    </w:rPr>
  </w:style>
  <w:style w:type="character" w:customStyle="1" w:styleId="BodyTextIndent3Char">
    <w:name w:val="Body Text Indent 3 Char"/>
    <w:basedOn w:val="DefaultParagraphFont"/>
    <w:link w:val="BodyTextIndent3"/>
    <w:uiPriority w:val="99"/>
    <w:rPr>
      <w:sz w:val="16"/>
      <w:szCs w:val="16"/>
      <w:lang w:val="sk-SK" w:eastAsia="fr-BE"/>
    </w:rPr>
  </w:style>
  <w:style w:type="character" w:customStyle="1" w:styleId="BodyTextIndent3Char1">
    <w:name w:val="Body Text Indent 3 Char1"/>
    <w:basedOn w:val="DefaultParagraphFont"/>
    <w:rPr>
      <w:rFonts w:cs="Times New Roman"/>
      <w:spacing w:val="0"/>
      <w:sz w:val="16"/>
      <w:szCs w:val="16"/>
      <w:lang w:val="sk-SK"/>
    </w:rPr>
  </w:style>
  <w:style w:type="paragraph" w:styleId="Closing">
    <w:name w:val="Closing"/>
    <w:basedOn w:val="Normal"/>
    <w:link w:val="ClosingChar"/>
    <w:uiPriority w:val="99"/>
    <w:pPr>
      <w:widowControl/>
      <w:autoSpaceDE w:val="0"/>
      <w:autoSpaceDN w:val="0"/>
      <w:adjustRightInd w:val="0"/>
      <w:spacing w:before="120" w:after="120" w:line="360" w:lineRule="auto"/>
      <w:ind w:left="4252"/>
    </w:pPr>
    <w:rPr>
      <w:szCs w:val="24"/>
      <w:lang w:eastAsia="fr-BE"/>
    </w:rPr>
  </w:style>
  <w:style w:type="character" w:customStyle="1" w:styleId="ClosingChar">
    <w:name w:val="Closing Char"/>
    <w:basedOn w:val="DefaultParagraphFont"/>
    <w:link w:val="Closing"/>
    <w:uiPriority w:val="99"/>
    <w:rPr>
      <w:sz w:val="24"/>
      <w:szCs w:val="24"/>
      <w:lang w:val="sk-SK" w:eastAsia="fr-BE"/>
    </w:rPr>
  </w:style>
  <w:style w:type="character" w:customStyle="1" w:styleId="ClosingChar1">
    <w:name w:val="Closing Char1"/>
    <w:basedOn w:val="DefaultParagraphFont"/>
    <w:rPr>
      <w:rFonts w:cs="Times New Roman"/>
      <w:spacing w:val="0"/>
      <w:sz w:val="24"/>
      <w:szCs w:val="24"/>
      <w:lang w:val="sk-SK"/>
    </w:rPr>
  </w:style>
  <w:style w:type="character" w:customStyle="1" w:styleId="CommentTextChar1">
    <w:name w:val="Comment Text Char1"/>
    <w:basedOn w:val="DefaultParagraphFont"/>
    <w:rPr>
      <w:rFonts w:cs="Times New Roman"/>
      <w:spacing w:val="0"/>
      <w:sz w:val="24"/>
      <w:szCs w:val="24"/>
      <w:lang w:val="sk-SK"/>
    </w:rPr>
  </w:style>
  <w:style w:type="character" w:customStyle="1" w:styleId="CommentSubjectChar1">
    <w:name w:val="Comment Subject Char1"/>
    <w:basedOn w:val="CommentTextChar1"/>
    <w:rPr>
      <w:rFonts w:cs="Times New Roman"/>
      <w:b/>
      <w:bCs/>
      <w:spacing w:val="0"/>
      <w:sz w:val="24"/>
      <w:szCs w:val="24"/>
      <w:lang w:val="sk-SK"/>
    </w:rPr>
  </w:style>
  <w:style w:type="character" w:customStyle="1" w:styleId="DocumentMapChar1">
    <w:name w:val="Document Map Char1"/>
    <w:basedOn w:val="DefaultParagraphFont"/>
    <w:rPr>
      <w:rFonts w:ascii="Tahoma" w:hAnsi="Tahoma" w:cs="Tahoma"/>
      <w:spacing w:val="0"/>
      <w:sz w:val="24"/>
      <w:szCs w:val="24"/>
      <w:lang w:val="sk-SK"/>
    </w:rPr>
  </w:style>
  <w:style w:type="paragraph" w:styleId="E-mailSignature">
    <w:name w:val="E-mail Signature"/>
    <w:basedOn w:val="Normal"/>
    <w:link w:val="E-mailSignatureChar"/>
    <w:uiPriority w:val="99"/>
    <w:pPr>
      <w:widowControl/>
      <w:autoSpaceDE w:val="0"/>
      <w:autoSpaceDN w:val="0"/>
      <w:adjustRightInd w:val="0"/>
      <w:spacing w:before="120" w:after="120" w:line="360" w:lineRule="auto"/>
    </w:pPr>
    <w:rPr>
      <w:szCs w:val="24"/>
      <w:lang w:eastAsia="fr-BE"/>
    </w:rPr>
  </w:style>
  <w:style w:type="character" w:customStyle="1" w:styleId="E-mailSignatureChar">
    <w:name w:val="E-mail Signature Char"/>
    <w:basedOn w:val="DefaultParagraphFont"/>
    <w:link w:val="E-mailSignature"/>
    <w:uiPriority w:val="99"/>
    <w:rPr>
      <w:sz w:val="24"/>
      <w:szCs w:val="24"/>
      <w:lang w:val="sk-SK" w:eastAsia="fr-BE"/>
    </w:rPr>
  </w:style>
  <w:style w:type="character" w:customStyle="1" w:styleId="E-mailSignatureChar1">
    <w:name w:val="E-mail Signature Char1"/>
    <w:basedOn w:val="DefaultParagraphFont"/>
    <w:rPr>
      <w:rFonts w:cs="Times New Roman"/>
      <w:spacing w:val="0"/>
      <w:sz w:val="24"/>
      <w:szCs w:val="24"/>
      <w:lang w:val="sk-SK"/>
    </w:rPr>
  </w:style>
  <w:style w:type="character" w:styleId="Emphasis">
    <w:name w:val="Emphasis"/>
    <w:basedOn w:val="DefaultParagraphFont"/>
    <w:uiPriority w:val="20"/>
    <w:qFormat/>
    <w:rPr>
      <w:rFonts w:cs="Times New Roman"/>
      <w:i/>
      <w:iCs/>
      <w:spacing w:val="0"/>
    </w:rPr>
  </w:style>
  <w:style w:type="character" w:customStyle="1" w:styleId="EndnoteTextChar1">
    <w:name w:val="Endnote Text Char1"/>
    <w:basedOn w:val="DefaultParagraphFont"/>
    <w:rPr>
      <w:rFonts w:cs="Times New Roman"/>
      <w:spacing w:val="0"/>
      <w:sz w:val="24"/>
      <w:szCs w:val="24"/>
      <w:lang w:val="sk-SK"/>
    </w:rPr>
  </w:style>
  <w:style w:type="paragraph" w:styleId="EnvelopeAddress">
    <w:name w:val="envelope address"/>
    <w:basedOn w:val="Normal"/>
    <w:uiPriority w:val="99"/>
    <w:pPr>
      <w:framePr w:w="7920" w:h="1980" w:hRule="exact" w:hSpace="180" w:wrap="auto" w:hAnchor="page" w:xAlign="center" w:yAlign="bottom"/>
      <w:widowControl/>
      <w:autoSpaceDE w:val="0"/>
      <w:autoSpaceDN w:val="0"/>
      <w:adjustRightInd w:val="0"/>
      <w:spacing w:before="120" w:after="120" w:line="360" w:lineRule="auto"/>
      <w:ind w:left="2880"/>
    </w:pPr>
    <w:rPr>
      <w:rFonts w:ascii="Arial" w:hAnsi="Arial" w:cs="Arial"/>
      <w:szCs w:val="24"/>
      <w:lang w:eastAsia="fr-BE"/>
    </w:rPr>
  </w:style>
  <w:style w:type="paragraph" w:styleId="EnvelopeReturn">
    <w:name w:val="envelope return"/>
    <w:basedOn w:val="Normal"/>
    <w:uiPriority w:val="99"/>
    <w:pPr>
      <w:widowControl/>
      <w:autoSpaceDE w:val="0"/>
      <w:autoSpaceDN w:val="0"/>
      <w:adjustRightInd w:val="0"/>
      <w:spacing w:before="120" w:after="120" w:line="360" w:lineRule="auto"/>
    </w:pPr>
    <w:rPr>
      <w:rFonts w:ascii="Arial" w:hAnsi="Arial" w:cs="Arial"/>
      <w:sz w:val="20"/>
      <w:lang w:eastAsia="fr-BE"/>
    </w:rPr>
  </w:style>
  <w:style w:type="character" w:styleId="HTMLAcronym">
    <w:name w:val="HTML Acronym"/>
    <w:basedOn w:val="DefaultParagraphFont"/>
    <w:uiPriority w:val="99"/>
    <w:rPr>
      <w:rFonts w:cs="Times New Roman"/>
    </w:rPr>
  </w:style>
  <w:style w:type="paragraph" w:styleId="HTMLAddress">
    <w:name w:val="HTML Address"/>
    <w:basedOn w:val="Normal"/>
    <w:link w:val="HTMLAddressChar"/>
    <w:uiPriority w:val="99"/>
    <w:pPr>
      <w:widowControl/>
      <w:autoSpaceDE w:val="0"/>
      <w:autoSpaceDN w:val="0"/>
      <w:adjustRightInd w:val="0"/>
      <w:spacing w:before="120" w:after="120" w:line="360" w:lineRule="auto"/>
    </w:pPr>
    <w:rPr>
      <w:i/>
      <w:iCs/>
      <w:szCs w:val="24"/>
      <w:lang w:eastAsia="fr-BE"/>
    </w:rPr>
  </w:style>
  <w:style w:type="character" w:customStyle="1" w:styleId="HTMLAddressChar">
    <w:name w:val="HTML Address Char"/>
    <w:basedOn w:val="DefaultParagraphFont"/>
    <w:link w:val="HTMLAddress"/>
    <w:uiPriority w:val="99"/>
    <w:rPr>
      <w:i/>
      <w:iCs/>
      <w:sz w:val="24"/>
      <w:szCs w:val="24"/>
      <w:lang w:val="sk-SK" w:eastAsia="fr-BE"/>
    </w:rPr>
  </w:style>
  <w:style w:type="character" w:customStyle="1" w:styleId="HTMLAddressChar1">
    <w:name w:val="HTML Address Char1"/>
    <w:basedOn w:val="DefaultParagraphFont"/>
    <w:rPr>
      <w:rFonts w:cs="Times New Roman"/>
      <w:i/>
      <w:iCs/>
      <w:spacing w:val="0"/>
      <w:sz w:val="24"/>
      <w:szCs w:val="24"/>
      <w:lang w:val="sk-SK"/>
    </w:rPr>
  </w:style>
  <w:style w:type="character" w:styleId="HTMLCite">
    <w:name w:val="HTML Cite"/>
    <w:basedOn w:val="DefaultParagraphFont"/>
    <w:uiPriority w:val="99"/>
    <w:rPr>
      <w:rFonts w:cs="Times New Roman"/>
      <w:i/>
      <w:iCs/>
      <w:spacing w:val="0"/>
    </w:rPr>
  </w:style>
  <w:style w:type="character" w:styleId="HTMLCode">
    <w:name w:val="HTML Code"/>
    <w:basedOn w:val="DefaultParagraphFont"/>
    <w:uiPriority w:val="99"/>
    <w:rPr>
      <w:rFonts w:ascii="Courier New" w:hAnsi="Courier New" w:cs="Courier New"/>
      <w:spacing w:val="0"/>
      <w:sz w:val="20"/>
      <w:szCs w:val="20"/>
    </w:rPr>
  </w:style>
  <w:style w:type="character" w:styleId="HTMLDefinition">
    <w:name w:val="HTML Definition"/>
    <w:basedOn w:val="DefaultParagraphFont"/>
    <w:uiPriority w:val="99"/>
    <w:rPr>
      <w:rFonts w:cs="Times New Roman"/>
      <w:i/>
      <w:iCs/>
      <w:spacing w:val="0"/>
    </w:rPr>
  </w:style>
  <w:style w:type="character" w:styleId="HTMLKeyboard">
    <w:name w:val="HTML Keyboard"/>
    <w:basedOn w:val="DefaultParagraphFont"/>
    <w:uiPriority w:val="99"/>
    <w:rPr>
      <w:rFonts w:ascii="Courier New" w:hAnsi="Courier New" w:cs="Courier New"/>
      <w:spacing w:val="0"/>
      <w:sz w:val="20"/>
      <w:szCs w:val="20"/>
    </w:rPr>
  </w:style>
  <w:style w:type="paragraph" w:styleId="HTMLPreformatted">
    <w:name w:val="HTML Preformatted"/>
    <w:basedOn w:val="Normal"/>
    <w:link w:val="HTMLPreformattedChar"/>
    <w:uiPriority w:val="99"/>
    <w:pPr>
      <w:widowControl/>
      <w:autoSpaceDE w:val="0"/>
      <w:autoSpaceDN w:val="0"/>
      <w:adjustRightInd w:val="0"/>
      <w:spacing w:before="120" w:after="120" w:line="360" w:lineRule="auto"/>
    </w:pPr>
    <w:rPr>
      <w:rFonts w:ascii="Courier New" w:hAnsi="Courier New" w:cs="Courier New"/>
      <w:szCs w:val="24"/>
      <w:lang w:eastAsia="fr-BE"/>
    </w:rPr>
  </w:style>
  <w:style w:type="character" w:customStyle="1" w:styleId="HTMLPreformattedChar">
    <w:name w:val="HTML Preformatted Char"/>
    <w:basedOn w:val="DefaultParagraphFont"/>
    <w:link w:val="HTMLPreformatted"/>
    <w:uiPriority w:val="99"/>
    <w:rPr>
      <w:rFonts w:ascii="Courier New" w:hAnsi="Courier New" w:cs="Courier New"/>
      <w:sz w:val="24"/>
      <w:szCs w:val="24"/>
      <w:lang w:val="sk-SK" w:eastAsia="fr-BE"/>
    </w:rPr>
  </w:style>
  <w:style w:type="character" w:customStyle="1" w:styleId="HTMLPreformattedChar1">
    <w:name w:val="HTML Preformatted Char1"/>
    <w:basedOn w:val="DefaultParagraphFont"/>
    <w:rPr>
      <w:rFonts w:ascii="Courier New" w:hAnsi="Courier New" w:cs="Courier New"/>
      <w:spacing w:val="0"/>
      <w:sz w:val="24"/>
      <w:szCs w:val="24"/>
      <w:lang w:val="sk-SK"/>
    </w:rPr>
  </w:style>
  <w:style w:type="character" w:styleId="HTMLSample">
    <w:name w:val="HTML Sample"/>
    <w:basedOn w:val="DefaultParagraphFont"/>
    <w:uiPriority w:val="99"/>
    <w:rPr>
      <w:rFonts w:ascii="Courier New" w:hAnsi="Courier New" w:cs="Courier New"/>
      <w:spacing w:val="0"/>
    </w:rPr>
  </w:style>
  <w:style w:type="character" w:styleId="HTMLTypewriter">
    <w:name w:val="HTML Typewriter"/>
    <w:basedOn w:val="DefaultParagraphFont"/>
    <w:uiPriority w:val="99"/>
    <w:rPr>
      <w:rFonts w:ascii="Courier New" w:hAnsi="Courier New" w:cs="Courier New"/>
      <w:spacing w:val="0"/>
      <w:sz w:val="20"/>
      <w:szCs w:val="20"/>
    </w:rPr>
  </w:style>
  <w:style w:type="character" w:styleId="HTMLVariable">
    <w:name w:val="HTML Variable"/>
    <w:basedOn w:val="DefaultParagraphFont"/>
    <w:uiPriority w:val="99"/>
    <w:rPr>
      <w:rFonts w:cs="Times New Roman"/>
      <w:i/>
      <w:iCs/>
      <w:spacing w:val="0"/>
    </w:rPr>
  </w:style>
  <w:style w:type="character" w:styleId="LineNumber">
    <w:name w:val="line number"/>
    <w:basedOn w:val="DefaultParagraphFont"/>
    <w:uiPriority w:val="99"/>
    <w:rPr>
      <w:rFonts w:cs="Times New Roman"/>
    </w:rPr>
  </w:style>
  <w:style w:type="paragraph" w:styleId="List">
    <w:name w:val="List"/>
    <w:basedOn w:val="Normal"/>
    <w:uiPriority w:val="99"/>
    <w:pPr>
      <w:widowControl/>
      <w:autoSpaceDE w:val="0"/>
      <w:autoSpaceDN w:val="0"/>
      <w:adjustRightInd w:val="0"/>
      <w:spacing w:before="120" w:after="120" w:line="360" w:lineRule="auto"/>
      <w:ind w:left="283" w:hanging="283"/>
    </w:pPr>
    <w:rPr>
      <w:szCs w:val="24"/>
      <w:lang w:eastAsia="fr-BE"/>
    </w:rPr>
  </w:style>
  <w:style w:type="paragraph" w:styleId="List2">
    <w:name w:val="List 2"/>
    <w:basedOn w:val="Normal"/>
    <w:uiPriority w:val="99"/>
    <w:pPr>
      <w:widowControl/>
      <w:autoSpaceDE w:val="0"/>
      <w:autoSpaceDN w:val="0"/>
      <w:adjustRightInd w:val="0"/>
      <w:spacing w:before="120" w:after="120" w:line="360" w:lineRule="auto"/>
      <w:ind w:left="566" w:hanging="283"/>
    </w:pPr>
    <w:rPr>
      <w:szCs w:val="24"/>
      <w:lang w:eastAsia="fr-BE"/>
    </w:rPr>
  </w:style>
  <w:style w:type="paragraph" w:styleId="List3">
    <w:name w:val="List 3"/>
    <w:basedOn w:val="Normal"/>
    <w:uiPriority w:val="99"/>
    <w:pPr>
      <w:widowControl/>
      <w:autoSpaceDE w:val="0"/>
      <w:autoSpaceDN w:val="0"/>
      <w:adjustRightInd w:val="0"/>
      <w:spacing w:before="120" w:after="120" w:line="360" w:lineRule="auto"/>
      <w:ind w:left="849" w:hanging="283"/>
    </w:pPr>
    <w:rPr>
      <w:szCs w:val="24"/>
      <w:lang w:eastAsia="fr-BE"/>
    </w:rPr>
  </w:style>
  <w:style w:type="paragraph" w:styleId="List4">
    <w:name w:val="List 4"/>
    <w:basedOn w:val="Normal"/>
    <w:uiPriority w:val="99"/>
    <w:pPr>
      <w:widowControl/>
      <w:autoSpaceDE w:val="0"/>
      <w:autoSpaceDN w:val="0"/>
      <w:adjustRightInd w:val="0"/>
      <w:spacing w:before="120" w:after="120" w:line="360" w:lineRule="auto"/>
      <w:ind w:left="1132" w:hanging="283"/>
    </w:pPr>
    <w:rPr>
      <w:szCs w:val="24"/>
      <w:lang w:eastAsia="fr-BE"/>
    </w:rPr>
  </w:style>
  <w:style w:type="paragraph" w:styleId="List5">
    <w:name w:val="List 5"/>
    <w:basedOn w:val="Normal"/>
    <w:uiPriority w:val="99"/>
    <w:pPr>
      <w:widowControl/>
      <w:autoSpaceDE w:val="0"/>
      <w:autoSpaceDN w:val="0"/>
      <w:adjustRightInd w:val="0"/>
      <w:spacing w:before="120" w:after="120" w:line="360" w:lineRule="auto"/>
      <w:ind w:left="1415" w:hanging="283"/>
    </w:pPr>
    <w:rPr>
      <w:szCs w:val="24"/>
      <w:lang w:eastAsia="fr-BE"/>
    </w:rPr>
  </w:style>
  <w:style w:type="paragraph" w:styleId="ListBullet5">
    <w:name w:val="List Bullet 5"/>
    <w:basedOn w:val="Normal"/>
    <w:autoRedefine/>
    <w:uiPriority w:val="99"/>
    <w:pPr>
      <w:widowControl/>
      <w:tabs>
        <w:tab w:val="num" w:pos="643"/>
        <w:tab w:val="num" w:pos="1492"/>
      </w:tabs>
      <w:autoSpaceDE w:val="0"/>
      <w:autoSpaceDN w:val="0"/>
      <w:adjustRightInd w:val="0"/>
      <w:spacing w:before="120" w:after="120" w:line="360" w:lineRule="auto"/>
      <w:ind w:left="1492" w:hanging="360"/>
    </w:pPr>
    <w:rPr>
      <w:szCs w:val="24"/>
      <w:lang w:eastAsia="fr-BE"/>
    </w:rPr>
  </w:style>
  <w:style w:type="paragraph" w:styleId="ListContinue">
    <w:name w:val="List Continue"/>
    <w:basedOn w:val="Normal"/>
    <w:uiPriority w:val="99"/>
    <w:pPr>
      <w:widowControl/>
      <w:autoSpaceDE w:val="0"/>
      <w:autoSpaceDN w:val="0"/>
      <w:adjustRightInd w:val="0"/>
      <w:spacing w:before="120" w:after="120" w:line="360" w:lineRule="auto"/>
      <w:ind w:left="283"/>
    </w:pPr>
    <w:rPr>
      <w:szCs w:val="24"/>
      <w:lang w:eastAsia="fr-BE"/>
    </w:rPr>
  </w:style>
  <w:style w:type="paragraph" w:styleId="ListContinue2">
    <w:name w:val="List Continue 2"/>
    <w:basedOn w:val="Normal"/>
    <w:uiPriority w:val="99"/>
    <w:pPr>
      <w:widowControl/>
      <w:autoSpaceDE w:val="0"/>
      <w:autoSpaceDN w:val="0"/>
      <w:adjustRightInd w:val="0"/>
      <w:spacing w:before="120" w:after="120" w:line="360" w:lineRule="auto"/>
      <w:ind w:left="566"/>
    </w:pPr>
    <w:rPr>
      <w:szCs w:val="24"/>
      <w:lang w:eastAsia="fr-BE"/>
    </w:rPr>
  </w:style>
  <w:style w:type="paragraph" w:styleId="ListContinue3">
    <w:name w:val="List Continue 3"/>
    <w:basedOn w:val="Normal"/>
    <w:uiPriority w:val="99"/>
    <w:pPr>
      <w:widowControl/>
      <w:autoSpaceDE w:val="0"/>
      <w:autoSpaceDN w:val="0"/>
      <w:adjustRightInd w:val="0"/>
      <w:spacing w:before="120" w:after="120" w:line="360" w:lineRule="auto"/>
      <w:ind w:left="849"/>
    </w:pPr>
    <w:rPr>
      <w:szCs w:val="24"/>
      <w:lang w:eastAsia="fr-BE"/>
    </w:rPr>
  </w:style>
  <w:style w:type="paragraph" w:styleId="ListContinue4">
    <w:name w:val="List Continue 4"/>
    <w:basedOn w:val="Normal"/>
    <w:uiPriority w:val="99"/>
    <w:pPr>
      <w:widowControl/>
      <w:autoSpaceDE w:val="0"/>
      <w:autoSpaceDN w:val="0"/>
      <w:adjustRightInd w:val="0"/>
      <w:spacing w:before="120" w:after="120" w:line="360" w:lineRule="auto"/>
      <w:ind w:left="1132"/>
    </w:pPr>
    <w:rPr>
      <w:szCs w:val="24"/>
      <w:lang w:eastAsia="fr-BE"/>
    </w:rPr>
  </w:style>
  <w:style w:type="paragraph" w:styleId="ListContinue5">
    <w:name w:val="List Continue 5"/>
    <w:basedOn w:val="Normal"/>
    <w:uiPriority w:val="99"/>
    <w:pPr>
      <w:widowControl/>
      <w:autoSpaceDE w:val="0"/>
      <w:autoSpaceDN w:val="0"/>
      <w:adjustRightInd w:val="0"/>
      <w:spacing w:before="120" w:after="120" w:line="360" w:lineRule="auto"/>
      <w:ind w:left="1415"/>
    </w:pPr>
    <w:rPr>
      <w:szCs w:val="24"/>
      <w:lang w:eastAsia="fr-BE"/>
    </w:rPr>
  </w:style>
  <w:style w:type="paragraph" w:styleId="ListNumber5">
    <w:name w:val="List Number 5"/>
    <w:basedOn w:val="Normal"/>
    <w:uiPriority w:val="99"/>
    <w:pPr>
      <w:widowControl/>
      <w:tabs>
        <w:tab w:val="num" w:pos="360"/>
        <w:tab w:val="num" w:pos="1492"/>
      </w:tabs>
      <w:autoSpaceDE w:val="0"/>
      <w:autoSpaceDN w:val="0"/>
      <w:adjustRightInd w:val="0"/>
      <w:spacing w:before="120" w:after="120" w:line="360" w:lineRule="auto"/>
      <w:ind w:left="1492" w:hanging="360"/>
    </w:pPr>
    <w:rPr>
      <w:szCs w:val="24"/>
      <w:lang w:eastAsia="fr-BE"/>
    </w:rPr>
  </w:style>
  <w:style w:type="paragraph" w:styleId="MacroText">
    <w:name w:val="macro"/>
    <w:link w:val="MacroTextChar"/>
    <w:uiPriority w:val="99"/>
    <w:pPr>
      <w:tabs>
        <w:tab w:val="left" w:pos="480"/>
        <w:tab w:val="left" w:pos="960"/>
        <w:tab w:val="left" w:pos="1440"/>
        <w:tab w:val="left" w:pos="1920"/>
        <w:tab w:val="left" w:pos="2400"/>
        <w:tab w:val="left" w:pos="2880"/>
        <w:tab w:val="left" w:pos="3360"/>
        <w:tab w:val="left" w:pos="3840"/>
        <w:tab w:val="left" w:pos="4320"/>
      </w:tabs>
      <w:autoSpaceDE w:val="0"/>
      <w:autoSpaceDN w:val="0"/>
      <w:adjustRightInd w:val="0"/>
      <w:spacing w:before="120" w:after="120" w:line="360" w:lineRule="auto"/>
    </w:pPr>
    <w:rPr>
      <w:rFonts w:ascii="Courier New" w:hAnsi="Courier New" w:cs="Courier New"/>
      <w:sz w:val="24"/>
      <w:szCs w:val="24"/>
      <w:lang w:val="en-US" w:eastAsia="fr-BE"/>
    </w:rPr>
  </w:style>
  <w:style w:type="character" w:customStyle="1" w:styleId="MacroTextChar">
    <w:name w:val="Macro Text Char"/>
    <w:basedOn w:val="DefaultParagraphFont"/>
    <w:link w:val="MacroText"/>
    <w:uiPriority w:val="99"/>
    <w:rPr>
      <w:rFonts w:ascii="Courier New" w:hAnsi="Courier New" w:cs="Courier New"/>
      <w:sz w:val="24"/>
      <w:szCs w:val="24"/>
      <w:lang w:val="en-US" w:eastAsia="fr-BE"/>
    </w:rPr>
  </w:style>
  <w:style w:type="character" w:customStyle="1" w:styleId="MacroTextChar1">
    <w:name w:val="Macro Text Char1"/>
    <w:basedOn w:val="DefaultParagraphFont"/>
    <w:rPr>
      <w:rFonts w:ascii="Courier New" w:hAnsi="Courier New" w:cs="Courier New"/>
      <w:spacing w:val="0"/>
      <w:sz w:val="24"/>
      <w:szCs w:val="24"/>
      <w:lang w:val="sk-SK"/>
    </w:rPr>
  </w:style>
  <w:style w:type="paragraph" w:styleId="MessageHeader">
    <w:name w:val="Message Header"/>
    <w:basedOn w:val="Normal"/>
    <w:link w:val="MessageHeaderChar"/>
    <w:uiPriority w:val="99"/>
    <w:pPr>
      <w:widowControl/>
      <w:pBdr>
        <w:top w:val="single" w:sz="6" w:space="1" w:color="auto"/>
        <w:left w:val="single" w:sz="6" w:space="1" w:color="auto"/>
        <w:bottom w:val="single" w:sz="6" w:space="1" w:color="auto"/>
        <w:right w:val="single" w:sz="6" w:space="1" w:color="auto"/>
      </w:pBdr>
      <w:autoSpaceDE w:val="0"/>
      <w:autoSpaceDN w:val="0"/>
      <w:adjustRightInd w:val="0"/>
      <w:spacing w:before="120" w:after="120" w:line="360" w:lineRule="auto"/>
      <w:ind w:left="1134" w:hanging="1134"/>
    </w:pPr>
    <w:rPr>
      <w:rFonts w:ascii="Arial" w:hAnsi="Arial" w:cs="Arial"/>
      <w:szCs w:val="24"/>
      <w:shd w:val="pct20" w:color="auto" w:fill="auto"/>
      <w:lang w:eastAsia="fr-BE"/>
    </w:rPr>
  </w:style>
  <w:style w:type="character" w:customStyle="1" w:styleId="MessageHeaderChar">
    <w:name w:val="Message Header Char"/>
    <w:basedOn w:val="DefaultParagraphFont"/>
    <w:link w:val="MessageHeader"/>
    <w:uiPriority w:val="99"/>
    <w:rPr>
      <w:rFonts w:ascii="Arial" w:hAnsi="Arial" w:cs="Arial"/>
      <w:sz w:val="24"/>
      <w:szCs w:val="24"/>
      <w:lang w:val="sk-SK" w:eastAsia="fr-BE"/>
    </w:rPr>
  </w:style>
  <w:style w:type="character" w:customStyle="1" w:styleId="MessageHeaderChar1">
    <w:name w:val="Message Header Char1"/>
    <w:basedOn w:val="DefaultParagraphFont"/>
    <w:rPr>
      <w:rFonts w:ascii="Arial" w:hAnsi="Arial" w:cs="Arial"/>
      <w:spacing w:val="0"/>
      <w:sz w:val="24"/>
      <w:szCs w:val="24"/>
      <w:shd w:val="pct20" w:color="auto" w:fill="auto"/>
      <w:lang w:val="sk-SK"/>
    </w:rPr>
  </w:style>
  <w:style w:type="paragraph" w:styleId="NormalWeb">
    <w:name w:val="Normal (Web)"/>
    <w:basedOn w:val="Normal"/>
    <w:uiPriority w:val="99"/>
    <w:pPr>
      <w:widowControl/>
      <w:autoSpaceDE w:val="0"/>
      <w:autoSpaceDN w:val="0"/>
      <w:adjustRightInd w:val="0"/>
      <w:spacing w:before="120" w:after="120" w:line="360" w:lineRule="auto"/>
    </w:pPr>
    <w:rPr>
      <w:szCs w:val="24"/>
      <w:lang w:eastAsia="fr-BE"/>
    </w:rPr>
  </w:style>
  <w:style w:type="paragraph" w:styleId="NormalIndent">
    <w:name w:val="Normal Indent"/>
    <w:basedOn w:val="Normal"/>
    <w:uiPriority w:val="99"/>
    <w:pPr>
      <w:widowControl/>
      <w:autoSpaceDE w:val="0"/>
      <w:autoSpaceDN w:val="0"/>
      <w:adjustRightInd w:val="0"/>
      <w:spacing w:before="120" w:after="120" w:line="360" w:lineRule="auto"/>
      <w:ind w:left="720"/>
    </w:pPr>
    <w:rPr>
      <w:szCs w:val="24"/>
      <w:lang w:eastAsia="fr-BE"/>
    </w:rPr>
  </w:style>
  <w:style w:type="paragraph" w:styleId="PlainText">
    <w:name w:val="Plain Text"/>
    <w:basedOn w:val="Normal"/>
    <w:link w:val="PlainTextChar"/>
    <w:uiPriority w:val="99"/>
    <w:pPr>
      <w:widowControl/>
      <w:autoSpaceDE w:val="0"/>
      <w:autoSpaceDN w:val="0"/>
      <w:adjustRightInd w:val="0"/>
      <w:spacing w:before="120" w:after="120" w:line="360" w:lineRule="auto"/>
    </w:pPr>
    <w:rPr>
      <w:rFonts w:ascii="Courier New" w:hAnsi="Courier New" w:cs="Courier New"/>
      <w:szCs w:val="24"/>
      <w:lang w:eastAsia="fr-BE"/>
    </w:rPr>
  </w:style>
  <w:style w:type="character" w:customStyle="1" w:styleId="PlainTextChar">
    <w:name w:val="Plain Text Char"/>
    <w:basedOn w:val="DefaultParagraphFont"/>
    <w:link w:val="PlainText"/>
    <w:uiPriority w:val="99"/>
    <w:rPr>
      <w:rFonts w:ascii="Courier New" w:hAnsi="Courier New" w:cs="Courier New"/>
      <w:sz w:val="24"/>
      <w:szCs w:val="24"/>
      <w:lang w:val="sk-SK" w:eastAsia="fr-BE"/>
    </w:rPr>
  </w:style>
  <w:style w:type="character" w:customStyle="1" w:styleId="PlainTextChar1">
    <w:name w:val="Plain Text Char1"/>
    <w:basedOn w:val="DefaultParagraphFont"/>
    <w:rPr>
      <w:rFonts w:ascii="Courier New" w:hAnsi="Courier New" w:cs="Courier New"/>
      <w:spacing w:val="0"/>
      <w:sz w:val="24"/>
      <w:szCs w:val="24"/>
      <w:lang w:val="sk-SK"/>
    </w:rPr>
  </w:style>
  <w:style w:type="paragraph" w:styleId="Signature">
    <w:name w:val="Signature"/>
    <w:basedOn w:val="Normal"/>
    <w:link w:val="SignatureChar"/>
    <w:uiPriority w:val="99"/>
    <w:pPr>
      <w:widowControl/>
      <w:autoSpaceDE w:val="0"/>
      <w:autoSpaceDN w:val="0"/>
      <w:adjustRightInd w:val="0"/>
      <w:spacing w:before="120" w:after="120" w:line="360" w:lineRule="auto"/>
      <w:ind w:left="4252"/>
    </w:pPr>
    <w:rPr>
      <w:szCs w:val="24"/>
      <w:lang w:eastAsia="fr-BE"/>
    </w:rPr>
  </w:style>
  <w:style w:type="character" w:customStyle="1" w:styleId="SignatureChar">
    <w:name w:val="Signature Char"/>
    <w:basedOn w:val="DefaultParagraphFont"/>
    <w:link w:val="Signature"/>
    <w:uiPriority w:val="99"/>
    <w:rPr>
      <w:sz w:val="24"/>
      <w:szCs w:val="24"/>
      <w:lang w:val="sk-SK" w:eastAsia="fr-BE"/>
    </w:rPr>
  </w:style>
  <w:style w:type="character" w:customStyle="1" w:styleId="SignatureChar1">
    <w:name w:val="Signature Char1"/>
    <w:basedOn w:val="DefaultParagraphFont"/>
    <w:rPr>
      <w:rFonts w:cs="Times New Roman"/>
      <w:spacing w:val="0"/>
      <w:sz w:val="24"/>
      <w:szCs w:val="24"/>
      <w:lang w:val="sk-SK"/>
    </w:rPr>
  </w:style>
  <w:style w:type="character" w:styleId="Strong">
    <w:name w:val="Strong"/>
    <w:basedOn w:val="DefaultParagraphFont"/>
    <w:uiPriority w:val="22"/>
    <w:qFormat/>
    <w:rPr>
      <w:rFonts w:cs="Times New Roman"/>
      <w:b/>
      <w:bCs/>
      <w:spacing w:val="0"/>
    </w:rPr>
  </w:style>
  <w:style w:type="paragraph" w:styleId="Subtitle">
    <w:name w:val="Subtitle"/>
    <w:basedOn w:val="Normal"/>
    <w:link w:val="SubtitleChar"/>
    <w:uiPriority w:val="11"/>
    <w:qFormat/>
    <w:pPr>
      <w:widowControl/>
      <w:autoSpaceDE w:val="0"/>
      <w:autoSpaceDN w:val="0"/>
      <w:adjustRightInd w:val="0"/>
      <w:spacing w:before="120" w:after="60" w:line="360" w:lineRule="auto"/>
      <w:jc w:val="center"/>
      <w:outlineLvl w:val="1"/>
    </w:pPr>
    <w:rPr>
      <w:rFonts w:ascii="Arial" w:hAnsi="Arial" w:cs="Arial"/>
      <w:szCs w:val="24"/>
      <w:lang w:eastAsia="fr-BE"/>
    </w:rPr>
  </w:style>
  <w:style w:type="character" w:customStyle="1" w:styleId="SubtitleChar">
    <w:name w:val="Subtitle Char"/>
    <w:basedOn w:val="DefaultParagraphFont"/>
    <w:link w:val="Subtitle"/>
    <w:uiPriority w:val="11"/>
    <w:rPr>
      <w:rFonts w:ascii="Arial" w:hAnsi="Arial" w:cs="Arial"/>
      <w:sz w:val="24"/>
      <w:szCs w:val="24"/>
      <w:lang w:val="sk-SK" w:eastAsia="fr-BE"/>
    </w:rPr>
  </w:style>
  <w:style w:type="character" w:customStyle="1" w:styleId="SubtitleChar1">
    <w:name w:val="Subtitle Char1"/>
    <w:basedOn w:val="DefaultParagraphFont"/>
    <w:rPr>
      <w:rFonts w:ascii="Arial" w:hAnsi="Arial" w:cs="Arial"/>
      <w:spacing w:val="0"/>
      <w:sz w:val="24"/>
      <w:szCs w:val="24"/>
      <w:lang w:val="sk-SK"/>
    </w:rPr>
  </w:style>
  <w:style w:type="paragraph" w:styleId="Title">
    <w:name w:val="Title"/>
    <w:basedOn w:val="Normal"/>
    <w:link w:val="TitleChar"/>
    <w:uiPriority w:val="10"/>
    <w:qFormat/>
    <w:pPr>
      <w:widowControl/>
      <w:autoSpaceDE w:val="0"/>
      <w:autoSpaceDN w:val="0"/>
      <w:adjustRightInd w:val="0"/>
      <w:spacing w:before="240" w:after="60" w:line="360" w:lineRule="auto"/>
      <w:jc w:val="center"/>
      <w:outlineLvl w:val="0"/>
    </w:pPr>
    <w:rPr>
      <w:rFonts w:ascii="Arial" w:hAnsi="Arial" w:cs="Arial"/>
      <w:b/>
      <w:bCs/>
      <w:kern w:val="28"/>
      <w:sz w:val="32"/>
      <w:szCs w:val="32"/>
      <w:lang w:eastAsia="fr-BE"/>
    </w:rPr>
  </w:style>
  <w:style w:type="character" w:customStyle="1" w:styleId="TitleChar">
    <w:name w:val="Title Char"/>
    <w:basedOn w:val="DefaultParagraphFont"/>
    <w:link w:val="Title"/>
    <w:uiPriority w:val="10"/>
    <w:rPr>
      <w:rFonts w:ascii="Arial" w:hAnsi="Arial" w:cs="Arial"/>
      <w:b/>
      <w:bCs/>
      <w:kern w:val="28"/>
      <w:sz w:val="32"/>
      <w:szCs w:val="32"/>
      <w:lang w:val="sk-SK" w:eastAsia="fr-BE"/>
    </w:rPr>
  </w:style>
  <w:style w:type="character" w:customStyle="1" w:styleId="TitleChar1">
    <w:name w:val="Title Char1"/>
    <w:basedOn w:val="DefaultParagraphFont"/>
    <w:rPr>
      <w:rFonts w:ascii="Arial" w:hAnsi="Arial" w:cs="Arial"/>
      <w:b/>
      <w:bCs/>
      <w:spacing w:val="0"/>
      <w:kern w:val="28"/>
      <w:sz w:val="32"/>
      <w:szCs w:val="32"/>
      <w:lang w:val="sk-SK"/>
    </w:rPr>
  </w:style>
  <w:style w:type="paragraph" w:styleId="Index1">
    <w:name w:val="index 1"/>
    <w:basedOn w:val="Normal"/>
    <w:next w:val="Normal"/>
    <w:autoRedefine/>
    <w:uiPriority w:val="99"/>
    <w:pPr>
      <w:widowControl/>
      <w:autoSpaceDE w:val="0"/>
      <w:autoSpaceDN w:val="0"/>
      <w:adjustRightInd w:val="0"/>
      <w:ind w:left="200" w:hanging="200"/>
    </w:pPr>
    <w:rPr>
      <w:szCs w:val="24"/>
      <w:lang w:eastAsia="fr-BE"/>
    </w:rPr>
  </w:style>
  <w:style w:type="paragraph" w:styleId="IndexHeading">
    <w:name w:val="index heading"/>
    <w:basedOn w:val="Normal"/>
    <w:next w:val="Index1"/>
    <w:uiPriority w:val="99"/>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autoSpaceDE w:val="0"/>
      <w:autoSpaceDN w:val="0"/>
      <w:adjustRightInd w:val="0"/>
      <w:jc w:val="both"/>
    </w:pPr>
    <w:rPr>
      <w:szCs w:val="24"/>
      <w:lang w:eastAsia="fr-BE"/>
    </w:rPr>
  </w:style>
  <w:style w:type="paragraph" w:customStyle="1" w:styleId="Titre1">
    <w:name w:val="Titre1"/>
    <w:basedOn w:val="Heading6"/>
    <w:pPr>
      <w:keepNext/>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autoSpaceDE w:val="0"/>
      <w:autoSpaceDN w:val="0"/>
      <w:adjustRightInd w:val="0"/>
      <w:spacing w:before="0" w:after="0"/>
      <w:jc w:val="center"/>
    </w:pPr>
    <w:rPr>
      <w:i w:val="0"/>
      <w:sz w:val="60"/>
      <w:szCs w:val="60"/>
      <w:lang w:eastAsia="fr-BE"/>
    </w:rPr>
  </w:style>
  <w:style w:type="paragraph" w:customStyle="1" w:styleId="Titre2">
    <w:name w:val="Titre2"/>
    <w:basedOn w:val="Normal"/>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autoSpaceDE w:val="0"/>
      <w:autoSpaceDN w:val="0"/>
      <w:adjustRightInd w:val="0"/>
      <w:ind w:left="1701"/>
      <w:jc w:val="both"/>
    </w:pPr>
    <w:rPr>
      <w:rFonts w:ascii="Arial" w:hAnsi="Arial" w:cs="Arial"/>
      <w:b/>
      <w:bCs/>
      <w:sz w:val="48"/>
      <w:szCs w:val="48"/>
      <w:lang w:eastAsia="fr-BE"/>
    </w:rPr>
  </w:style>
  <w:style w:type="paragraph" w:customStyle="1" w:styleId="pj">
    <w:name w:val="p.j."/>
    <w:basedOn w:val="Normal"/>
    <w:next w:val="Normal"/>
    <w:pPr>
      <w:widowControl/>
      <w:autoSpaceDE w:val="0"/>
      <w:autoSpaceDN w:val="0"/>
      <w:adjustRightInd w:val="0"/>
      <w:spacing w:before="1200" w:after="120"/>
      <w:ind w:left="1440" w:hanging="1440"/>
    </w:pPr>
    <w:rPr>
      <w:szCs w:val="24"/>
      <w:lang w:eastAsia="fr-BE"/>
    </w:rPr>
  </w:style>
  <w:style w:type="paragraph" w:customStyle="1" w:styleId="Text0">
    <w:name w:val="Text 0"/>
    <w:basedOn w:val="Normal"/>
    <w:pPr>
      <w:autoSpaceDE w:val="0"/>
      <w:autoSpaceDN w:val="0"/>
      <w:adjustRightInd w:val="0"/>
      <w:spacing w:before="120" w:after="120" w:line="360" w:lineRule="auto"/>
    </w:pPr>
    <w:rPr>
      <w:szCs w:val="24"/>
      <w:lang w:eastAsia="fr-BE"/>
    </w:rPr>
  </w:style>
  <w:style w:type="paragraph" w:customStyle="1" w:styleId="N">
    <w:name w:val="N"/>
    <w:aliases w:val="ORMAL"/>
    <w:basedOn w:val="Text0"/>
    <w:pPr>
      <w:spacing w:before="0" w:after="0"/>
    </w:pPr>
  </w:style>
  <w:style w:type="paragraph" w:customStyle="1" w:styleId="Considerant">
    <w:name w:val="Considerant"/>
    <w:basedOn w:val="Considrant"/>
    <w:pPr>
      <w:tabs>
        <w:tab w:val="num" w:pos="709"/>
      </w:tabs>
      <w:autoSpaceDE w:val="0"/>
      <w:autoSpaceDN w:val="0"/>
      <w:adjustRightInd w:val="0"/>
      <w:spacing w:before="0" w:after="0"/>
      <w:ind w:left="709" w:hanging="709"/>
    </w:pPr>
    <w:rPr>
      <w:lang w:val="sk-SK" w:eastAsia="fr-BE"/>
    </w:rPr>
  </w:style>
  <w:style w:type="paragraph" w:customStyle="1" w:styleId="Lginef">
    <w:name w:val="Lgine f"/>
    <w:basedOn w:val="Normal"/>
    <w:pPr>
      <w:widowControl/>
      <w:autoSpaceDE w:val="0"/>
      <w:autoSpaceDN w:val="0"/>
      <w:adjustRightInd w:val="0"/>
      <w:spacing w:before="120" w:after="120" w:line="360" w:lineRule="auto"/>
    </w:pPr>
    <w:rPr>
      <w:szCs w:val="24"/>
      <w:lang w:eastAsia="fr-BE"/>
    </w:rPr>
  </w:style>
  <w:style w:type="paragraph" w:customStyle="1" w:styleId="Normal12Bold">
    <w:name w:val="Normal12Bold"/>
    <w:basedOn w:val="Normal12"/>
    <w:pPr>
      <w:autoSpaceDE w:val="0"/>
      <w:autoSpaceDN w:val="0"/>
      <w:adjustRightInd w:val="0"/>
    </w:pPr>
    <w:rPr>
      <w:b/>
      <w:bCs/>
      <w:noProof w:val="0"/>
      <w:szCs w:val="24"/>
      <w:lang w:eastAsia="fr-BE"/>
    </w:rPr>
  </w:style>
  <w:style w:type="paragraph" w:customStyle="1" w:styleId="Normal12Hanging">
    <w:name w:val="Normal12Hanging"/>
    <w:basedOn w:val="Normal12"/>
    <w:pPr>
      <w:autoSpaceDE w:val="0"/>
      <w:autoSpaceDN w:val="0"/>
      <w:adjustRightInd w:val="0"/>
      <w:ind w:left="357" w:hanging="357"/>
    </w:pPr>
    <w:rPr>
      <w:noProof w:val="0"/>
      <w:szCs w:val="24"/>
      <w:lang w:eastAsia="fr-BE"/>
    </w:rPr>
  </w:style>
  <w:style w:type="character" w:customStyle="1" w:styleId="italic1">
    <w:name w:val="italic1"/>
    <w:basedOn w:val="DefaultParagraphFont"/>
    <w:rPr>
      <w:rFonts w:cs="Times New Roman"/>
      <w:i/>
      <w:iCs/>
      <w:spacing w:val="0"/>
      <w:shd w:val="clear" w:color="auto" w:fill="auto"/>
    </w:rPr>
  </w:style>
  <w:style w:type="paragraph" w:customStyle="1" w:styleId="CM4">
    <w:name w:val="CM4"/>
    <w:basedOn w:val="Default"/>
    <w:next w:val="Default"/>
    <w:uiPriority w:val="99"/>
    <w:rPr>
      <w:rFonts w:ascii="EUAlbertina" w:eastAsia="Times New Roman" w:hAnsi="EUAlbertina" w:cs="EUAlbertina"/>
      <w:color w:val="auto"/>
      <w:lang w:eastAsia="fr-BE"/>
    </w:rPr>
  </w:style>
  <w:style w:type="paragraph" w:customStyle="1" w:styleId="NormalConseil">
    <w:name w:val="NormalConseil"/>
    <w:basedOn w:val="Normal"/>
    <w:pPr>
      <w:widowControl/>
      <w:autoSpaceDE w:val="0"/>
      <w:autoSpaceDN w:val="0"/>
      <w:adjustRightInd w:val="0"/>
    </w:pPr>
    <w:rPr>
      <w:szCs w:val="24"/>
      <w:lang w:eastAsia="fr-BE"/>
    </w:rPr>
  </w:style>
  <w:style w:type="paragraph" w:customStyle="1" w:styleId="FooterConseil">
    <w:name w:val="FooterConseil"/>
    <w:basedOn w:val="NormalConseil"/>
    <w:pPr>
      <w:tabs>
        <w:tab w:val="center" w:pos="4820"/>
        <w:tab w:val="center" w:pos="7371"/>
        <w:tab w:val="right" w:pos="9639"/>
      </w:tabs>
    </w:pPr>
  </w:style>
  <w:style w:type="character" w:customStyle="1" w:styleId="st1">
    <w:name w:val="st1"/>
    <w:rPr>
      <w:spacing w:val="0"/>
      <w:sz w:val="24"/>
      <w:lang w:val="sk-SK"/>
    </w:rPr>
  </w:style>
  <w:style w:type="character" w:customStyle="1" w:styleId="Point0Char">
    <w:name w:val="Point 0 Char"/>
    <w:rPr>
      <w:spacing w:val="0"/>
      <w:sz w:val="24"/>
      <w:lang w:val="sk-SK"/>
    </w:rPr>
  </w:style>
  <w:style w:type="paragraph" w:customStyle="1" w:styleId="DeltaViewTableHeading">
    <w:name w:val="DeltaView Table Heading"/>
    <w:basedOn w:val="Normal"/>
    <w:pPr>
      <w:widowControl/>
      <w:autoSpaceDE w:val="0"/>
      <w:autoSpaceDN w:val="0"/>
      <w:adjustRightInd w:val="0"/>
      <w:spacing w:after="120"/>
    </w:pPr>
    <w:rPr>
      <w:rFonts w:ascii="Arial" w:hAnsi="Arial" w:cs="Arial"/>
      <w:b/>
      <w:bCs/>
      <w:szCs w:val="24"/>
      <w:lang w:eastAsia="fr-BE"/>
    </w:rPr>
  </w:style>
  <w:style w:type="paragraph" w:customStyle="1" w:styleId="DeltaViewTableBody">
    <w:name w:val="DeltaView Table Body"/>
    <w:basedOn w:val="Normal"/>
    <w:pPr>
      <w:widowControl/>
      <w:autoSpaceDE w:val="0"/>
      <w:autoSpaceDN w:val="0"/>
      <w:adjustRightInd w:val="0"/>
    </w:pPr>
    <w:rPr>
      <w:rFonts w:ascii="Arial" w:hAnsi="Arial" w:cs="Arial"/>
      <w:szCs w:val="24"/>
      <w:lang w:eastAsia="fr-BE"/>
    </w:rPr>
  </w:style>
  <w:style w:type="paragraph" w:customStyle="1" w:styleId="DeltaViewAnnounce">
    <w:name w:val="DeltaView Announce"/>
    <w:pPr>
      <w:autoSpaceDE w:val="0"/>
      <w:autoSpaceDN w:val="0"/>
      <w:adjustRightInd w:val="0"/>
      <w:spacing w:before="100" w:beforeAutospacing="1" w:after="100" w:afterAutospacing="1"/>
    </w:pPr>
    <w:rPr>
      <w:rFonts w:ascii="Arial" w:hAnsi="Arial" w:cs="Arial"/>
      <w:sz w:val="24"/>
      <w:szCs w:val="24"/>
      <w:lang w:val="en-US" w:eastAsia="fr-BE"/>
    </w:rPr>
  </w:style>
  <w:style w:type="character" w:customStyle="1" w:styleId="DeltaViewInsertion">
    <w:name w:val="DeltaView Insertion"/>
    <w:rPr>
      <w:b/>
      <w:i/>
      <w:spacing w:val="0"/>
    </w:rPr>
  </w:style>
  <w:style w:type="character" w:customStyle="1" w:styleId="DeltaViewDeletion">
    <w:name w:val="DeltaView Deletion"/>
    <w:rPr>
      <w:strike/>
      <w:spacing w:val="0"/>
    </w:rPr>
  </w:style>
  <w:style w:type="character" w:customStyle="1" w:styleId="DeltaViewMoveSource">
    <w:name w:val="DeltaView Move Source"/>
    <w:rPr>
      <w:strike/>
      <w:spacing w:val="0"/>
    </w:rPr>
  </w:style>
  <w:style w:type="character" w:customStyle="1" w:styleId="DeltaViewMoveDestination">
    <w:name w:val="DeltaView Move Destination"/>
    <w:rPr>
      <w:spacing w:val="0"/>
      <w:u w:val="double"/>
    </w:rPr>
  </w:style>
  <w:style w:type="character" w:customStyle="1" w:styleId="DeltaViewChangeNumber">
    <w:name w:val="DeltaView Change Number"/>
    <w:rPr>
      <w:color w:val="000000"/>
      <w:spacing w:val="0"/>
      <w:vertAlign w:val="superscript"/>
    </w:rPr>
  </w:style>
  <w:style w:type="character" w:customStyle="1" w:styleId="DeltaViewDelimiter">
    <w:name w:val="DeltaView Delimiter"/>
    <w:rPr>
      <w:spacing w:val="0"/>
    </w:rPr>
  </w:style>
  <w:style w:type="character" w:customStyle="1" w:styleId="DeltaViewFormatChange">
    <w:name w:val="DeltaView Format Change"/>
    <w:rPr>
      <w:color w:val="000000"/>
      <w:spacing w:val="0"/>
    </w:rPr>
  </w:style>
  <w:style w:type="character" w:customStyle="1" w:styleId="DeltaViewMovedDeletion">
    <w:name w:val="DeltaView Moved Deletion"/>
    <w:rPr>
      <w:strike/>
      <w:color w:val="C08080"/>
      <w:spacing w:val="0"/>
    </w:rPr>
  </w:style>
  <w:style w:type="character" w:customStyle="1" w:styleId="DeltaViewEditorComment">
    <w:name w:val="DeltaView Editor Comment"/>
    <w:basedOn w:val="DefaultParagraphFont"/>
    <w:rPr>
      <w:rFonts w:cs="Times New Roman"/>
      <w:color w:val="0000FF"/>
      <w:spacing w:val="0"/>
      <w:u w:val="double"/>
    </w:rPr>
  </w:style>
  <w:style w:type="character" w:customStyle="1" w:styleId="DeltaViewStyleChangeText">
    <w:name w:val="DeltaView Style Change Text"/>
    <w:rPr>
      <w:color w:val="000000"/>
      <w:spacing w:val="0"/>
      <w:u w:val="double"/>
    </w:rPr>
  </w:style>
  <w:style w:type="character" w:customStyle="1" w:styleId="DeltaViewStyleChangeLabel">
    <w:name w:val="DeltaView Style Change Label"/>
    <w:rPr>
      <w:color w:val="000000"/>
      <w:spacing w:val="0"/>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UnresolvedMention2">
    <w:name w:val="Unresolved Mention2"/>
    <w:basedOn w:val="DefaultParagraphFont"/>
    <w:uiPriority w:val="99"/>
    <w:semiHidden/>
    <w:unhideWhenUsed/>
    <w:rPr>
      <w:color w:val="605E5C"/>
      <w:shd w:val="clear" w:color="auto" w:fill="E1DFDD"/>
    </w:rPr>
  </w:style>
  <w:style w:type="paragraph" w:customStyle="1" w:styleId="ThetitleofAnnexIPoint0number">
    <w:name w:val="The title of Annex I Point 0 (number)"/>
    <w:basedOn w:val="Point0number"/>
    <w:pPr>
      <w:numPr>
        <w:numId w:val="5"/>
      </w:numPr>
    </w:pPr>
  </w:style>
  <w:style w:type="paragraph" w:customStyle="1" w:styleId="Part1isreplacedwiththefollowignPoint0number">
    <w:name w:val="Part 1 is replaced with the followign: Point 0 (number)"/>
    <w:basedOn w:val="Point0number"/>
    <w:pPr>
      <w:numPr>
        <w:numId w:val="0"/>
      </w:numPr>
      <w:tabs>
        <w:tab w:val="num" w:pos="1492"/>
      </w:tabs>
      <w:ind w:left="1492" w:hanging="360"/>
    </w:pPr>
  </w:style>
  <w:style w:type="paragraph" w:customStyle="1" w:styleId="PartPoint0number">
    <w:name w:val="PartPoint 0 (number)"/>
    <w:basedOn w:val="Point0number"/>
    <w:pPr>
      <w:numPr>
        <w:numId w:val="0"/>
      </w:numPr>
      <w:tabs>
        <w:tab w:val="num" w:pos="1492"/>
      </w:tabs>
      <w:ind w:left="1492" w:hanging="360"/>
    </w:pPr>
  </w:style>
  <w:style w:type="paragraph" w:customStyle="1" w:styleId="AnewPoint0number">
    <w:name w:val="A new Point 0 (number)"/>
    <w:basedOn w:val="Point0number"/>
    <w:pPr>
      <w:numPr>
        <w:numId w:val="0"/>
      </w:numPr>
      <w:tabs>
        <w:tab w:val="num" w:pos="1492"/>
      </w:tabs>
      <w:ind w:left="1492" w:hanging="360"/>
    </w:pPr>
    <w:rPr>
      <w:lang w:eastAsia="en-GB"/>
    </w:rPr>
  </w:style>
  <w:style w:type="paragraph" w:customStyle="1" w:styleId="LegalNumPar">
    <w:name w:val="LegalNumPar"/>
    <w:basedOn w:val="Normal"/>
    <w:pPr>
      <w:widowControl/>
      <w:numPr>
        <w:numId w:val="20"/>
      </w:numPr>
      <w:tabs>
        <w:tab w:val="num" w:pos="926"/>
      </w:tabs>
      <w:spacing w:before="120" w:after="120" w:line="360" w:lineRule="auto"/>
      <w:ind w:left="926" w:hanging="360"/>
      <w:jc w:val="both"/>
    </w:pPr>
    <w:rPr>
      <w:rFonts w:eastAsia="Calibri"/>
      <w:szCs w:val="22"/>
      <w:lang w:eastAsia="en-US"/>
    </w:rPr>
  </w:style>
  <w:style w:type="paragraph" w:customStyle="1" w:styleId="LegalNumPar2">
    <w:name w:val="LegalNumPar2"/>
    <w:basedOn w:val="Normal"/>
    <w:pPr>
      <w:widowControl/>
      <w:numPr>
        <w:ilvl w:val="1"/>
        <w:numId w:val="20"/>
      </w:numPr>
      <w:tabs>
        <w:tab w:val="num" w:pos="926"/>
      </w:tabs>
      <w:spacing w:before="120" w:after="120" w:line="360" w:lineRule="auto"/>
      <w:ind w:left="926" w:hanging="360"/>
      <w:jc w:val="both"/>
    </w:pPr>
    <w:rPr>
      <w:rFonts w:eastAsia="Calibri"/>
      <w:szCs w:val="22"/>
      <w:lang w:eastAsia="en-US"/>
    </w:rPr>
  </w:style>
  <w:style w:type="paragraph" w:customStyle="1" w:styleId="LegalNumPar3">
    <w:name w:val="LegalNumPar3"/>
    <w:basedOn w:val="Normal"/>
    <w:pPr>
      <w:widowControl/>
      <w:numPr>
        <w:ilvl w:val="2"/>
        <w:numId w:val="20"/>
      </w:numPr>
      <w:tabs>
        <w:tab w:val="num" w:pos="926"/>
      </w:tabs>
      <w:spacing w:before="120" w:after="120"/>
      <w:ind w:left="926" w:hanging="360"/>
      <w:jc w:val="both"/>
    </w:pPr>
    <w:rPr>
      <w:rFonts w:eastAsia="Calibri"/>
      <w:szCs w:val="22"/>
      <w:lang w:eastAsia="en-US"/>
    </w:rPr>
  </w:style>
  <w:style w:type="character" w:customStyle="1" w:styleId="UnresolvedMention3">
    <w:name w:val="Unresolved Mention3"/>
    <w:basedOn w:val="DefaultParagraphFont"/>
    <w:uiPriority w:val="99"/>
    <w:semiHidden/>
    <w:unhideWhenUsed/>
    <w:rPr>
      <w:color w:val="605E5C"/>
      <w:shd w:val="clear" w:color="auto" w:fill="E1DFDD"/>
    </w:rPr>
  </w:style>
  <w:style w:type="paragraph" w:customStyle="1" w:styleId="title-gr-seq-level-1">
    <w:name w:val="title-gr-seq-level-1"/>
    <w:basedOn w:val="Normal"/>
    <w:pPr>
      <w:widowControl/>
      <w:spacing w:before="100" w:beforeAutospacing="1" w:after="100" w:afterAutospacing="1"/>
    </w:pPr>
    <w:rPr>
      <w:szCs w:val="24"/>
      <w:lang w:eastAsia="en-US"/>
    </w:rPr>
  </w:style>
  <w:style w:type="character" w:customStyle="1" w:styleId="boldface">
    <w:name w:val="boldface"/>
    <w:basedOn w:val="DefaultParagraphFont"/>
  </w:style>
  <w:style w:type="paragraph" w:customStyle="1" w:styleId="title-gr-seq-level-4">
    <w:name w:val="title-gr-seq-level-4"/>
    <w:basedOn w:val="Normal"/>
    <w:pPr>
      <w:widowControl/>
      <w:spacing w:before="100" w:beforeAutospacing="1" w:after="100" w:afterAutospacing="1"/>
    </w:pPr>
    <w:rPr>
      <w:szCs w:val="24"/>
      <w:lang w:eastAsia="en-US"/>
    </w:rPr>
  </w:style>
  <w:style w:type="paragraph" w:customStyle="1" w:styleId="norm">
    <w:name w:val="norm"/>
    <w:basedOn w:val="Normal"/>
    <w:pPr>
      <w:widowControl/>
      <w:spacing w:before="100" w:beforeAutospacing="1" w:after="100" w:afterAutospacing="1"/>
    </w:pPr>
    <w:rPr>
      <w:szCs w:val="24"/>
      <w:lang w:eastAsia="en-US"/>
    </w:rPr>
  </w:style>
  <w:style w:type="paragraph" w:customStyle="1" w:styleId="title-table">
    <w:name w:val="title-table"/>
    <w:basedOn w:val="Normal"/>
    <w:pPr>
      <w:widowControl/>
      <w:spacing w:before="100" w:beforeAutospacing="1" w:after="100" w:afterAutospacing="1"/>
    </w:pPr>
    <w:rPr>
      <w:szCs w:val="24"/>
      <w:lang w:eastAsia="en-US"/>
    </w:rPr>
  </w:style>
  <w:style w:type="character" w:customStyle="1" w:styleId="superscript">
    <w:name w:val="superscript"/>
    <w:basedOn w:val="DefaultParagraphFont"/>
  </w:style>
  <w:style w:type="paragraph" w:customStyle="1" w:styleId="tbl-norm">
    <w:name w:val="tbl-norm"/>
    <w:basedOn w:val="Normal"/>
    <w:pPr>
      <w:widowControl/>
      <w:spacing w:before="100" w:beforeAutospacing="1" w:after="100" w:afterAutospacing="1"/>
    </w:pPr>
    <w:rPr>
      <w:szCs w:val="24"/>
      <w:lang w:eastAsia="en-US"/>
    </w:rPr>
  </w:style>
  <w:style w:type="paragraph" w:customStyle="1" w:styleId="item-none">
    <w:name w:val="item-none"/>
    <w:basedOn w:val="Normal"/>
    <w:pPr>
      <w:widowControl/>
      <w:spacing w:before="100" w:beforeAutospacing="1" w:after="100" w:afterAutospacing="1"/>
    </w:pPr>
    <w:rPr>
      <w:szCs w:val="24"/>
      <w:lang w:eastAsia="en-US"/>
    </w:rPr>
  </w:style>
  <w:style w:type="paragraph" w:customStyle="1" w:styleId="TOC41">
    <w:name w:val="TOC 41"/>
    <w:basedOn w:val="Normal"/>
    <w:next w:val="Normal"/>
    <w:uiPriority w:val="39"/>
    <w:semiHidden/>
    <w:unhideWhenUsed/>
    <w:pPr>
      <w:widowControl/>
      <w:tabs>
        <w:tab w:val="right" w:leader="dot" w:pos="9071"/>
      </w:tabs>
      <w:spacing w:before="60" w:after="120"/>
      <w:ind w:left="850" w:hanging="850"/>
    </w:pPr>
    <w:rPr>
      <w:rFonts w:eastAsia="Calibri"/>
      <w:szCs w:val="22"/>
      <w:lang w:eastAsia="en-US"/>
    </w:rPr>
  </w:style>
  <w:style w:type="paragraph" w:customStyle="1" w:styleId="TOC51">
    <w:name w:val="TOC 51"/>
    <w:basedOn w:val="Normal"/>
    <w:next w:val="Normal"/>
    <w:uiPriority w:val="39"/>
    <w:semiHidden/>
    <w:unhideWhenUsed/>
    <w:pPr>
      <w:widowControl/>
      <w:tabs>
        <w:tab w:val="right" w:leader="dot" w:pos="9071"/>
      </w:tabs>
      <w:spacing w:before="300" w:after="120"/>
    </w:pPr>
    <w:rPr>
      <w:rFonts w:eastAsia="Calibri"/>
      <w:szCs w:val="22"/>
      <w:lang w:eastAsia="en-US"/>
    </w:rPr>
  </w:style>
  <w:style w:type="paragraph" w:customStyle="1" w:styleId="TOC61">
    <w:name w:val="TOC 61"/>
    <w:basedOn w:val="Normal"/>
    <w:next w:val="Normal"/>
    <w:uiPriority w:val="39"/>
    <w:semiHidden/>
    <w:unhideWhenUsed/>
    <w:pPr>
      <w:widowControl/>
      <w:tabs>
        <w:tab w:val="right" w:leader="dot" w:pos="9071"/>
      </w:tabs>
      <w:spacing w:before="240" w:after="120"/>
    </w:pPr>
    <w:rPr>
      <w:rFonts w:eastAsia="Calibri"/>
      <w:szCs w:val="22"/>
      <w:lang w:eastAsia="en-US"/>
    </w:rPr>
  </w:style>
  <w:style w:type="paragraph" w:customStyle="1" w:styleId="TOC71">
    <w:name w:val="TOC 71"/>
    <w:basedOn w:val="Normal"/>
    <w:next w:val="Normal"/>
    <w:uiPriority w:val="39"/>
    <w:semiHidden/>
    <w:unhideWhenUsed/>
    <w:pPr>
      <w:widowControl/>
      <w:tabs>
        <w:tab w:val="right" w:leader="dot" w:pos="9071"/>
      </w:tabs>
      <w:spacing w:before="180" w:after="120"/>
    </w:pPr>
    <w:rPr>
      <w:rFonts w:eastAsia="Calibri"/>
      <w:szCs w:val="22"/>
      <w:lang w:eastAsia="en-US"/>
    </w:rPr>
  </w:style>
  <w:style w:type="paragraph" w:customStyle="1" w:styleId="TOC81">
    <w:name w:val="TOC 81"/>
    <w:basedOn w:val="Normal"/>
    <w:next w:val="Normal"/>
    <w:uiPriority w:val="39"/>
    <w:semiHidden/>
    <w:unhideWhenUsed/>
    <w:pPr>
      <w:widowControl/>
      <w:tabs>
        <w:tab w:val="right" w:leader="dot" w:pos="9071"/>
      </w:tabs>
      <w:spacing w:before="120" w:after="120"/>
    </w:pPr>
    <w:rPr>
      <w:rFonts w:eastAsia="Calibri"/>
      <w:szCs w:val="22"/>
      <w:lang w:eastAsia="en-US"/>
    </w:rPr>
  </w:style>
  <w:style w:type="paragraph" w:customStyle="1" w:styleId="TOC91">
    <w:name w:val="TOC 91"/>
    <w:basedOn w:val="Normal"/>
    <w:next w:val="Normal"/>
    <w:uiPriority w:val="39"/>
    <w:semiHidden/>
    <w:unhideWhenUsed/>
    <w:pPr>
      <w:widowControl/>
      <w:tabs>
        <w:tab w:val="right" w:leader="dot" w:pos="9071"/>
      </w:tabs>
      <w:spacing w:before="120" w:after="120"/>
      <w:ind w:left="1417" w:hanging="1417"/>
    </w:pPr>
    <w:rPr>
      <w:rFonts w:eastAsia="Calibri"/>
      <w:szCs w:val="22"/>
      <w:lang w:eastAsia="en-US"/>
    </w:rPr>
  </w:style>
  <w:style w:type="paragraph" w:customStyle="1" w:styleId="HeaderLandscape">
    <w:name w:val="HeaderLandscape"/>
    <w:basedOn w:val="Normal"/>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pPr>
      <w:widowControl/>
      <w:spacing w:after="120"/>
      <w:jc w:val="right"/>
    </w:pPr>
    <w:rPr>
      <w:rFonts w:eastAsia="Calibri"/>
      <w:sz w:val="28"/>
      <w:szCs w:val="22"/>
      <w:lang w:eastAsia="en-US"/>
    </w:rPr>
  </w:style>
  <w:style w:type="paragraph" w:customStyle="1" w:styleId="FooterSensitivity">
    <w:name w:val="Footer Sensitivity"/>
    <w:basedOn w:val="Normal"/>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1">
    <w:name w:val="Text 1"/>
    <w:basedOn w:val="Normal"/>
    <w:pPr>
      <w:widowControl/>
      <w:spacing w:before="120" w:after="120"/>
      <w:ind w:left="850"/>
      <w:jc w:val="both"/>
    </w:pPr>
    <w:rPr>
      <w:rFonts w:eastAsia="Calibri"/>
      <w:szCs w:val="22"/>
      <w:lang w:eastAsia="en-US"/>
    </w:rPr>
  </w:style>
  <w:style w:type="paragraph" w:customStyle="1" w:styleId="Text2">
    <w:name w:val="Text 2"/>
    <w:basedOn w:val="Normal"/>
    <w:pPr>
      <w:widowControl/>
      <w:spacing w:before="120" w:after="120"/>
      <w:ind w:left="1417"/>
      <w:jc w:val="both"/>
    </w:pPr>
    <w:rPr>
      <w:rFonts w:eastAsia="Calibri"/>
      <w:szCs w:val="22"/>
      <w:lang w:eastAsia="en-US"/>
    </w:rPr>
  </w:style>
  <w:style w:type="paragraph" w:customStyle="1" w:styleId="Text3">
    <w:name w:val="Text 3"/>
    <w:basedOn w:val="Normal"/>
    <w:pPr>
      <w:widowControl/>
      <w:spacing w:before="120" w:after="120"/>
      <w:ind w:left="1984"/>
      <w:jc w:val="both"/>
    </w:pPr>
    <w:rPr>
      <w:rFonts w:eastAsia="Calibri"/>
      <w:szCs w:val="22"/>
      <w:lang w:eastAsia="en-US"/>
    </w:rPr>
  </w:style>
  <w:style w:type="paragraph" w:customStyle="1" w:styleId="Text4">
    <w:name w:val="Text 4"/>
    <w:basedOn w:val="Normal"/>
    <w:pPr>
      <w:widowControl/>
      <w:spacing w:before="120" w:after="120"/>
      <w:ind w:left="2551"/>
      <w:jc w:val="both"/>
    </w:pPr>
    <w:rPr>
      <w:rFonts w:eastAsia="Calibri"/>
      <w:szCs w:val="22"/>
      <w:lang w:eastAsia="en-US"/>
    </w:rPr>
  </w:style>
  <w:style w:type="paragraph" w:customStyle="1" w:styleId="Text5">
    <w:name w:val="Text 5"/>
    <w:basedOn w:val="Normal"/>
    <w:pPr>
      <w:widowControl/>
      <w:spacing w:before="120" w:after="120"/>
      <w:ind w:left="3118"/>
      <w:jc w:val="both"/>
    </w:pPr>
    <w:rPr>
      <w:rFonts w:eastAsia="Calibri"/>
      <w:szCs w:val="22"/>
      <w:lang w:eastAsia="en-US"/>
    </w:rPr>
  </w:style>
  <w:style w:type="paragraph" w:customStyle="1" w:styleId="Text6">
    <w:name w:val="Text 6"/>
    <w:basedOn w:val="Normal"/>
    <w:pPr>
      <w:widowControl/>
      <w:spacing w:before="120" w:after="120"/>
      <w:ind w:left="3685"/>
      <w:jc w:val="both"/>
    </w:pPr>
    <w:rPr>
      <w:rFonts w:eastAsia="Calibri"/>
      <w:szCs w:val="22"/>
      <w:lang w:eastAsia="en-US"/>
    </w:rPr>
  </w:style>
  <w:style w:type="paragraph" w:customStyle="1" w:styleId="NormalCentered">
    <w:name w:val="Normal Centered"/>
    <w:basedOn w:val="Normal"/>
    <w:pPr>
      <w:widowControl/>
      <w:spacing w:before="120" w:after="120"/>
      <w:jc w:val="center"/>
    </w:pPr>
    <w:rPr>
      <w:rFonts w:eastAsia="Calibri"/>
      <w:szCs w:val="22"/>
      <w:lang w:eastAsia="en-US"/>
    </w:rPr>
  </w:style>
  <w:style w:type="paragraph" w:customStyle="1" w:styleId="NormalLeft">
    <w:name w:val="Normal Left"/>
    <w:basedOn w:val="Normal"/>
    <w:pPr>
      <w:widowControl/>
      <w:spacing w:before="120" w:after="120"/>
    </w:pPr>
    <w:rPr>
      <w:rFonts w:eastAsia="Calibri"/>
      <w:szCs w:val="22"/>
      <w:lang w:eastAsia="en-US"/>
    </w:rPr>
  </w:style>
  <w:style w:type="paragraph" w:customStyle="1" w:styleId="NormalRight">
    <w:name w:val="Normal Right"/>
    <w:basedOn w:val="Normal"/>
    <w:pPr>
      <w:widowControl/>
      <w:spacing w:before="120" w:after="120"/>
      <w:jc w:val="right"/>
    </w:pPr>
    <w:rPr>
      <w:rFonts w:eastAsia="Calibri"/>
      <w:szCs w:val="22"/>
      <w:lang w:eastAsia="en-US"/>
    </w:rPr>
  </w:style>
  <w:style w:type="paragraph" w:customStyle="1" w:styleId="QuotedText">
    <w:name w:val="Quoted Text"/>
    <w:basedOn w:val="Normal"/>
    <w:pPr>
      <w:widowControl/>
      <w:spacing w:before="120" w:after="120"/>
      <w:ind w:left="1417"/>
      <w:jc w:val="both"/>
    </w:pPr>
    <w:rPr>
      <w:rFonts w:eastAsia="Calibri"/>
      <w:szCs w:val="22"/>
      <w:lang w:eastAsia="en-US"/>
    </w:rPr>
  </w:style>
  <w:style w:type="paragraph" w:customStyle="1" w:styleId="Point0">
    <w:name w:val="Point 0"/>
    <w:basedOn w:val="Normal"/>
    <w:pPr>
      <w:widowControl/>
      <w:spacing w:before="120" w:after="120"/>
      <w:ind w:left="850" w:hanging="850"/>
      <w:jc w:val="both"/>
    </w:pPr>
    <w:rPr>
      <w:rFonts w:eastAsia="Calibri"/>
      <w:szCs w:val="22"/>
      <w:lang w:eastAsia="en-US"/>
    </w:rPr>
  </w:style>
  <w:style w:type="paragraph" w:customStyle="1" w:styleId="Point1">
    <w:name w:val="Point 1"/>
    <w:basedOn w:val="Normal"/>
    <w:pPr>
      <w:widowControl/>
      <w:spacing w:before="120" w:after="120"/>
      <w:ind w:left="1417" w:hanging="567"/>
      <w:jc w:val="both"/>
    </w:pPr>
    <w:rPr>
      <w:rFonts w:eastAsia="Calibri"/>
      <w:szCs w:val="22"/>
      <w:lang w:eastAsia="en-US"/>
    </w:rPr>
  </w:style>
  <w:style w:type="paragraph" w:customStyle="1" w:styleId="Point2">
    <w:name w:val="Point 2"/>
    <w:basedOn w:val="Normal"/>
    <w:pPr>
      <w:widowControl/>
      <w:spacing w:before="120" w:after="120"/>
      <w:ind w:left="1984" w:hanging="567"/>
      <w:jc w:val="both"/>
    </w:pPr>
    <w:rPr>
      <w:rFonts w:eastAsia="Calibri"/>
      <w:szCs w:val="22"/>
      <w:lang w:eastAsia="en-US"/>
    </w:rPr>
  </w:style>
  <w:style w:type="paragraph" w:customStyle="1" w:styleId="Point3">
    <w:name w:val="Point 3"/>
    <w:basedOn w:val="Normal"/>
    <w:pPr>
      <w:widowControl/>
      <w:spacing w:before="120" w:after="120"/>
      <w:ind w:left="2551" w:hanging="567"/>
      <w:jc w:val="both"/>
    </w:pPr>
    <w:rPr>
      <w:rFonts w:eastAsia="Calibri"/>
      <w:szCs w:val="22"/>
      <w:lang w:eastAsia="en-US"/>
    </w:rPr>
  </w:style>
  <w:style w:type="paragraph" w:customStyle="1" w:styleId="Point4">
    <w:name w:val="Point 4"/>
    <w:basedOn w:val="Normal"/>
    <w:pPr>
      <w:widowControl/>
      <w:spacing w:before="120" w:after="120"/>
      <w:ind w:left="3118" w:hanging="567"/>
      <w:jc w:val="both"/>
    </w:pPr>
    <w:rPr>
      <w:rFonts w:eastAsia="Calibri"/>
      <w:szCs w:val="22"/>
      <w:lang w:eastAsia="en-US"/>
    </w:rPr>
  </w:style>
  <w:style w:type="paragraph" w:customStyle="1" w:styleId="Point5">
    <w:name w:val="Point 5"/>
    <w:basedOn w:val="Normal"/>
    <w:pPr>
      <w:widowControl/>
      <w:spacing w:before="120" w:after="120"/>
      <w:ind w:left="3685" w:hanging="567"/>
      <w:jc w:val="both"/>
    </w:pPr>
    <w:rPr>
      <w:rFonts w:eastAsia="Calibri"/>
      <w:szCs w:val="22"/>
      <w:lang w:eastAsia="en-US"/>
    </w:rPr>
  </w:style>
  <w:style w:type="paragraph" w:customStyle="1" w:styleId="Tiret0">
    <w:name w:val="Tiret 0"/>
    <w:basedOn w:val="Point0"/>
    <w:pPr>
      <w:numPr>
        <w:numId w:val="21"/>
      </w:numPr>
      <w:tabs>
        <w:tab w:val="clear" w:pos="850"/>
        <w:tab w:val="num" w:pos="1209"/>
      </w:tabs>
      <w:ind w:left="1209" w:hanging="360"/>
    </w:pPr>
  </w:style>
  <w:style w:type="paragraph" w:customStyle="1" w:styleId="Tiret1">
    <w:name w:val="Tiret 1"/>
    <w:basedOn w:val="Point1"/>
    <w:pPr>
      <w:numPr>
        <w:numId w:val="22"/>
      </w:numPr>
      <w:tabs>
        <w:tab w:val="clear" w:pos="1417"/>
        <w:tab w:val="num" w:pos="1209"/>
      </w:tabs>
      <w:ind w:left="1209" w:hanging="360"/>
    </w:pPr>
  </w:style>
  <w:style w:type="paragraph" w:customStyle="1" w:styleId="Tiret2">
    <w:name w:val="Tiret 2"/>
    <w:basedOn w:val="Point2"/>
    <w:pPr>
      <w:numPr>
        <w:numId w:val="23"/>
      </w:numPr>
      <w:tabs>
        <w:tab w:val="clear" w:pos="1984"/>
        <w:tab w:val="num" w:pos="1492"/>
      </w:tabs>
      <w:ind w:left="1492" w:hanging="360"/>
    </w:pPr>
  </w:style>
  <w:style w:type="paragraph" w:customStyle="1" w:styleId="Tiret3">
    <w:name w:val="Tiret 3"/>
    <w:basedOn w:val="Point3"/>
    <w:pPr>
      <w:numPr>
        <w:numId w:val="24"/>
      </w:numPr>
      <w:tabs>
        <w:tab w:val="clear" w:pos="2551"/>
        <w:tab w:val="num" w:pos="1492"/>
      </w:tabs>
      <w:ind w:left="1492" w:hanging="360"/>
    </w:pPr>
  </w:style>
  <w:style w:type="paragraph" w:customStyle="1" w:styleId="Tiret4">
    <w:name w:val="Tiret 4"/>
    <w:basedOn w:val="Point4"/>
    <w:pPr>
      <w:numPr>
        <w:numId w:val="25"/>
      </w:numPr>
      <w:tabs>
        <w:tab w:val="clear" w:pos="3118"/>
        <w:tab w:val="num" w:pos="360"/>
      </w:tabs>
      <w:ind w:left="360" w:hanging="360"/>
    </w:pPr>
  </w:style>
  <w:style w:type="paragraph" w:customStyle="1" w:styleId="Tiret5">
    <w:name w:val="Tiret 5"/>
    <w:basedOn w:val="Point5"/>
    <w:pPr>
      <w:numPr>
        <w:numId w:val="26"/>
      </w:numPr>
      <w:tabs>
        <w:tab w:val="clear" w:pos="3685"/>
        <w:tab w:val="num" w:pos="643"/>
      </w:tabs>
      <w:ind w:left="643" w:hanging="360"/>
    </w:pPr>
  </w:style>
  <w:style w:type="paragraph" w:customStyle="1" w:styleId="PointDouble0">
    <w:name w:val="PointDouble 0"/>
    <w:basedOn w:val="Normal"/>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pPr>
      <w:widowControl/>
      <w:numPr>
        <w:numId w:val="27"/>
      </w:numPr>
      <w:tabs>
        <w:tab w:val="clear" w:pos="850"/>
        <w:tab w:val="num" w:pos="926"/>
      </w:tabs>
      <w:spacing w:before="120" w:after="120"/>
      <w:ind w:left="926" w:hanging="360"/>
      <w:jc w:val="both"/>
    </w:pPr>
    <w:rPr>
      <w:rFonts w:eastAsia="Calibri"/>
      <w:szCs w:val="22"/>
      <w:lang w:eastAsia="en-US"/>
    </w:rPr>
  </w:style>
  <w:style w:type="paragraph" w:customStyle="1" w:styleId="NumPar2">
    <w:name w:val="NumPar 2"/>
    <w:basedOn w:val="Normal"/>
    <w:next w:val="Text1"/>
    <w:pPr>
      <w:widowControl/>
      <w:numPr>
        <w:ilvl w:val="1"/>
        <w:numId w:val="27"/>
      </w:numPr>
      <w:tabs>
        <w:tab w:val="clear" w:pos="850"/>
        <w:tab w:val="num" w:pos="926"/>
      </w:tabs>
      <w:spacing w:before="120" w:after="120"/>
      <w:ind w:left="926" w:hanging="360"/>
      <w:jc w:val="both"/>
    </w:pPr>
    <w:rPr>
      <w:rFonts w:eastAsia="Calibri"/>
      <w:szCs w:val="22"/>
      <w:lang w:eastAsia="en-US"/>
    </w:rPr>
  </w:style>
  <w:style w:type="paragraph" w:customStyle="1" w:styleId="NumPar3">
    <w:name w:val="NumPar 3"/>
    <w:basedOn w:val="Normal"/>
    <w:next w:val="Text1"/>
    <w:pPr>
      <w:widowControl/>
      <w:numPr>
        <w:ilvl w:val="2"/>
        <w:numId w:val="27"/>
      </w:numPr>
      <w:tabs>
        <w:tab w:val="clear" w:pos="850"/>
        <w:tab w:val="num" w:pos="926"/>
      </w:tabs>
      <w:spacing w:before="120" w:after="120"/>
      <w:ind w:left="926" w:hanging="360"/>
      <w:jc w:val="both"/>
    </w:pPr>
    <w:rPr>
      <w:rFonts w:eastAsia="Calibri"/>
      <w:szCs w:val="22"/>
      <w:lang w:eastAsia="en-US"/>
    </w:rPr>
  </w:style>
  <w:style w:type="paragraph" w:customStyle="1" w:styleId="NumPar4">
    <w:name w:val="NumPar 4"/>
    <w:basedOn w:val="Normal"/>
    <w:next w:val="Text1"/>
    <w:pPr>
      <w:widowControl/>
      <w:numPr>
        <w:ilvl w:val="3"/>
        <w:numId w:val="27"/>
      </w:numPr>
      <w:tabs>
        <w:tab w:val="clear" w:pos="850"/>
        <w:tab w:val="num" w:pos="926"/>
      </w:tabs>
      <w:spacing w:before="120" w:after="120"/>
      <w:ind w:left="926" w:hanging="360"/>
      <w:jc w:val="both"/>
    </w:pPr>
    <w:rPr>
      <w:rFonts w:eastAsia="Calibri"/>
      <w:szCs w:val="22"/>
      <w:lang w:eastAsia="en-US"/>
    </w:rPr>
  </w:style>
  <w:style w:type="paragraph" w:customStyle="1" w:styleId="NumPar5">
    <w:name w:val="NumPar 5"/>
    <w:basedOn w:val="Normal"/>
    <w:next w:val="Text2"/>
    <w:pPr>
      <w:widowControl/>
      <w:numPr>
        <w:ilvl w:val="4"/>
        <w:numId w:val="27"/>
      </w:numPr>
      <w:tabs>
        <w:tab w:val="clear" w:pos="1417"/>
        <w:tab w:val="num" w:pos="926"/>
      </w:tabs>
      <w:spacing w:before="120" w:after="120"/>
      <w:ind w:left="926" w:hanging="360"/>
      <w:jc w:val="both"/>
    </w:pPr>
    <w:rPr>
      <w:rFonts w:eastAsia="Calibri"/>
      <w:szCs w:val="22"/>
      <w:lang w:eastAsia="en-US"/>
    </w:rPr>
  </w:style>
  <w:style w:type="paragraph" w:customStyle="1" w:styleId="NumPar6">
    <w:name w:val="NumPar 6"/>
    <w:basedOn w:val="Normal"/>
    <w:next w:val="Text2"/>
    <w:pPr>
      <w:widowControl/>
      <w:numPr>
        <w:ilvl w:val="5"/>
        <w:numId w:val="27"/>
      </w:numPr>
      <w:tabs>
        <w:tab w:val="clear" w:pos="1417"/>
        <w:tab w:val="num" w:pos="926"/>
      </w:tabs>
      <w:spacing w:before="120" w:after="120"/>
      <w:ind w:left="926" w:hanging="360"/>
      <w:jc w:val="both"/>
    </w:pPr>
    <w:rPr>
      <w:rFonts w:eastAsia="Calibri"/>
      <w:szCs w:val="22"/>
      <w:lang w:eastAsia="en-US"/>
    </w:rPr>
  </w:style>
  <w:style w:type="paragraph" w:customStyle="1" w:styleId="NumPar7">
    <w:name w:val="NumPar 7"/>
    <w:basedOn w:val="Normal"/>
    <w:next w:val="Text2"/>
    <w:pPr>
      <w:widowControl/>
      <w:numPr>
        <w:ilvl w:val="6"/>
        <w:numId w:val="27"/>
      </w:numPr>
      <w:tabs>
        <w:tab w:val="clear" w:pos="1417"/>
        <w:tab w:val="num" w:pos="926"/>
      </w:tabs>
      <w:spacing w:before="120" w:after="120"/>
      <w:ind w:left="926" w:hanging="360"/>
      <w:jc w:val="both"/>
    </w:pPr>
    <w:rPr>
      <w:rFonts w:eastAsia="Calibri"/>
      <w:szCs w:val="22"/>
      <w:lang w:eastAsia="en-US"/>
    </w:rPr>
  </w:style>
  <w:style w:type="paragraph" w:customStyle="1" w:styleId="ManualNumPar1">
    <w:name w:val="Manual NumPar 1"/>
    <w:basedOn w:val="Normal"/>
    <w:next w:val="Text1"/>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pPr>
      <w:widowControl/>
      <w:spacing w:before="120" w:after="120"/>
      <w:ind w:left="1417" w:hanging="1417"/>
      <w:jc w:val="both"/>
    </w:pPr>
    <w:rPr>
      <w:rFonts w:eastAsia="Calibri"/>
      <w:szCs w:val="22"/>
      <w:lang w:eastAsia="en-US"/>
    </w:rPr>
  </w:style>
  <w:style w:type="paragraph" w:customStyle="1" w:styleId="QuotedNumPar">
    <w:name w:val="Quoted NumPar"/>
    <w:basedOn w:val="Normal"/>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pPr>
      <w:widowControl/>
      <w:spacing w:before="120" w:after="120"/>
      <w:jc w:val="center"/>
    </w:pPr>
    <w:rPr>
      <w:rFonts w:eastAsia="Calibri"/>
      <w:b/>
      <w:szCs w:val="22"/>
      <w:lang w:eastAsia="en-US"/>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Bullet0">
    <w:name w:val="Bullet 0"/>
    <w:basedOn w:val="Normal"/>
    <w:pPr>
      <w:widowControl/>
      <w:numPr>
        <w:numId w:val="28"/>
      </w:numPr>
      <w:tabs>
        <w:tab w:val="clear" w:pos="850"/>
        <w:tab w:val="num" w:pos="360"/>
      </w:tabs>
      <w:spacing w:before="120" w:after="120"/>
      <w:ind w:left="360" w:hanging="360"/>
      <w:jc w:val="both"/>
    </w:pPr>
    <w:rPr>
      <w:rFonts w:eastAsia="Calibri"/>
      <w:szCs w:val="22"/>
      <w:lang w:eastAsia="en-US"/>
    </w:rPr>
  </w:style>
  <w:style w:type="paragraph" w:customStyle="1" w:styleId="Bullet1">
    <w:name w:val="Bullet 1"/>
    <w:basedOn w:val="Normal"/>
    <w:pPr>
      <w:widowControl/>
      <w:numPr>
        <w:numId w:val="29"/>
      </w:numPr>
      <w:tabs>
        <w:tab w:val="clear" w:pos="1417"/>
        <w:tab w:val="num" w:pos="643"/>
      </w:tabs>
      <w:spacing w:before="120" w:after="120"/>
      <w:ind w:left="643" w:hanging="360"/>
      <w:jc w:val="both"/>
    </w:pPr>
    <w:rPr>
      <w:rFonts w:eastAsia="Calibri"/>
      <w:szCs w:val="22"/>
      <w:lang w:eastAsia="en-US"/>
    </w:rPr>
  </w:style>
  <w:style w:type="paragraph" w:customStyle="1" w:styleId="Bullet2">
    <w:name w:val="Bullet 2"/>
    <w:basedOn w:val="Normal"/>
    <w:pPr>
      <w:widowControl/>
      <w:numPr>
        <w:numId w:val="30"/>
      </w:numPr>
      <w:tabs>
        <w:tab w:val="clear" w:pos="1984"/>
        <w:tab w:val="num" w:pos="926"/>
      </w:tabs>
      <w:spacing w:before="120" w:after="120"/>
      <w:ind w:left="926" w:hanging="360"/>
      <w:jc w:val="both"/>
    </w:pPr>
    <w:rPr>
      <w:rFonts w:eastAsia="Calibri"/>
      <w:szCs w:val="22"/>
      <w:lang w:eastAsia="en-US"/>
    </w:rPr>
  </w:style>
  <w:style w:type="paragraph" w:customStyle="1" w:styleId="Bullet3">
    <w:name w:val="Bullet 3"/>
    <w:basedOn w:val="Normal"/>
    <w:pPr>
      <w:widowControl/>
      <w:numPr>
        <w:numId w:val="31"/>
      </w:numPr>
      <w:tabs>
        <w:tab w:val="clear" w:pos="2551"/>
        <w:tab w:val="num" w:pos="1209"/>
      </w:tabs>
      <w:spacing w:before="120" w:after="120"/>
      <w:ind w:left="1209" w:hanging="360"/>
      <w:jc w:val="both"/>
    </w:pPr>
    <w:rPr>
      <w:rFonts w:eastAsia="Calibri"/>
      <w:szCs w:val="22"/>
      <w:lang w:eastAsia="en-US"/>
    </w:rPr>
  </w:style>
  <w:style w:type="paragraph" w:customStyle="1" w:styleId="Bullet4">
    <w:name w:val="Bullet 4"/>
    <w:basedOn w:val="Normal"/>
    <w:pPr>
      <w:widowControl/>
      <w:numPr>
        <w:numId w:val="32"/>
      </w:numPr>
      <w:tabs>
        <w:tab w:val="clear" w:pos="709"/>
        <w:tab w:val="num" w:pos="1492"/>
      </w:tabs>
      <w:spacing w:before="120" w:after="120"/>
      <w:ind w:left="1492" w:hanging="360"/>
      <w:jc w:val="both"/>
    </w:pPr>
    <w:rPr>
      <w:rFonts w:eastAsia="Calibri"/>
      <w:szCs w:val="22"/>
      <w:lang w:eastAsia="en-US"/>
    </w:rPr>
  </w:style>
  <w:style w:type="paragraph" w:customStyle="1" w:styleId="Langue">
    <w:name w:val="Langue"/>
    <w:basedOn w:val="Normal"/>
    <w:next w:val="Rfrenceinterne"/>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pPr>
      <w:widowControl/>
    </w:pPr>
    <w:rPr>
      <w:rFonts w:ascii="Arial" w:eastAsia="Calibri" w:hAnsi="Arial" w:cs="Arial"/>
      <w:szCs w:val="22"/>
      <w:lang w:eastAsia="en-US"/>
    </w:rPr>
  </w:style>
  <w:style w:type="paragraph" w:customStyle="1" w:styleId="Emission">
    <w:name w:val="Emission"/>
    <w:basedOn w:val="Normal"/>
    <w:next w:val="Rfrenceinstitutionnelle"/>
    <w:pPr>
      <w:widowControl/>
      <w:ind w:left="5103"/>
    </w:pPr>
    <w:rPr>
      <w:rFonts w:eastAsia="Calibri"/>
      <w:szCs w:val="22"/>
      <w:lang w:eastAsia="en-US"/>
    </w:rPr>
  </w:style>
  <w:style w:type="paragraph" w:customStyle="1" w:styleId="Pagedecouverture">
    <w:name w:val="Page de couverture"/>
    <w:basedOn w:val="Normal"/>
    <w:next w:val="Normal"/>
    <w:pPr>
      <w:widowControl/>
      <w:jc w:val="both"/>
    </w:pPr>
    <w:rPr>
      <w:rFonts w:eastAsia="Calibri"/>
      <w:szCs w:val="22"/>
      <w:lang w:eastAsia="en-US"/>
    </w:rPr>
  </w:style>
  <w:style w:type="paragraph" w:customStyle="1" w:styleId="Declassification">
    <w:name w:val="Declassification"/>
    <w:basedOn w:val="Normal"/>
    <w:next w:val="Normal"/>
    <w:pPr>
      <w:widowControl/>
      <w:jc w:val="both"/>
    </w:pPr>
    <w:rPr>
      <w:rFonts w:eastAsia="Calibri"/>
      <w:szCs w:val="22"/>
      <w:lang w:eastAsia="en-US"/>
    </w:rPr>
  </w:style>
  <w:style w:type="paragraph" w:customStyle="1" w:styleId="Disclaimer">
    <w:name w:val="Disclaimer"/>
    <w:basedOn w:val="Normal"/>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pPr>
      <w:widowControl/>
      <w:spacing w:line="276" w:lineRule="auto"/>
      <w:ind w:left="5103"/>
    </w:pPr>
    <w:rPr>
      <w:rFonts w:eastAsia="Calibri"/>
      <w:sz w:val="28"/>
      <w:szCs w:val="22"/>
      <w:lang w:eastAsia="en-US"/>
    </w:rPr>
  </w:style>
  <w:style w:type="paragraph" w:customStyle="1" w:styleId="DateMarking">
    <w:name w:val="DateMarking"/>
    <w:basedOn w:val="Normal"/>
    <w:pPr>
      <w:widowControl/>
      <w:spacing w:line="276" w:lineRule="auto"/>
      <w:ind w:left="5103"/>
    </w:pPr>
    <w:rPr>
      <w:rFonts w:eastAsia="Calibri"/>
      <w:i/>
      <w:sz w:val="28"/>
      <w:szCs w:val="22"/>
      <w:lang w:eastAsia="en-US"/>
    </w:rPr>
  </w:style>
  <w:style w:type="paragraph" w:customStyle="1" w:styleId="ReleasableTo">
    <w:name w:val="ReleasableTo"/>
    <w:basedOn w:val="Normal"/>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pPr>
      <w:widowControl/>
      <w:spacing w:before="120" w:after="120"/>
      <w:jc w:val="center"/>
    </w:pPr>
    <w:rPr>
      <w:rFonts w:eastAsia="Calibri"/>
      <w:b/>
      <w:szCs w:val="22"/>
      <w:u w:val="single"/>
      <w:lang w:eastAsia="en-US"/>
    </w:rPr>
  </w:style>
  <w:style w:type="paragraph" w:customStyle="1" w:styleId="Annexetitre">
    <w:name w:val="Annexe titre"/>
    <w:basedOn w:val="Normal"/>
    <w:next w:val="Normal"/>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pPr>
      <w:widowControl/>
      <w:spacing w:before="120" w:after="120"/>
      <w:jc w:val="center"/>
    </w:pPr>
    <w:rPr>
      <w:rFonts w:eastAsia="Calibri"/>
      <w:b/>
      <w:szCs w:val="22"/>
      <w:u w:val="single"/>
      <w:lang w:eastAsia="en-US"/>
    </w:rPr>
  </w:style>
  <w:style w:type="paragraph" w:customStyle="1" w:styleId="Avertissementtitre">
    <w:name w:val="Avertissement titre"/>
    <w:basedOn w:val="Normal"/>
    <w:next w:val="Normal"/>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pPr>
      <w:widowControl/>
      <w:spacing w:before="240" w:after="240"/>
      <w:ind w:left="5103"/>
    </w:pPr>
    <w:rPr>
      <w:rFonts w:eastAsia="Calibri"/>
      <w:i/>
      <w:sz w:val="32"/>
      <w:szCs w:val="22"/>
      <w:lang w:eastAsia="en-US"/>
    </w:rPr>
  </w:style>
  <w:style w:type="paragraph" w:customStyle="1" w:styleId="Corrigendum">
    <w:name w:val="Corrigendum"/>
    <w:basedOn w:val="Normal"/>
    <w:next w:val="Normal"/>
    <w:pPr>
      <w:widowControl/>
      <w:spacing w:after="240"/>
    </w:pPr>
    <w:rPr>
      <w:rFonts w:eastAsia="Calibri"/>
      <w:szCs w:val="22"/>
      <w:lang w:eastAsia="en-US"/>
    </w:rPr>
  </w:style>
  <w:style w:type="paragraph" w:customStyle="1" w:styleId="Datedadoption">
    <w:name w:val="Date d'adoption"/>
    <w:basedOn w:val="Normal"/>
    <w:next w:val="IntrtEEE"/>
    <w:pPr>
      <w:widowControl/>
      <w:spacing w:before="360"/>
      <w:jc w:val="center"/>
    </w:pPr>
    <w:rPr>
      <w:rFonts w:eastAsia="Calibri"/>
      <w:b/>
      <w:szCs w:val="22"/>
      <w:lang w:eastAsia="en-US"/>
    </w:rPr>
  </w:style>
  <w:style w:type="paragraph" w:customStyle="1" w:styleId="Exposdesmotifstitre">
    <w:name w:val="Exposé des motifs titre"/>
    <w:basedOn w:val="Normal"/>
    <w:next w:val="Normal"/>
    <w:pPr>
      <w:widowControl/>
      <w:spacing w:before="120" w:after="120"/>
      <w:jc w:val="center"/>
    </w:pPr>
    <w:rPr>
      <w:rFonts w:eastAsia="Calibri"/>
      <w:b/>
      <w:szCs w:val="22"/>
      <w:u w:val="single"/>
      <w:lang w:eastAsia="en-US"/>
    </w:rPr>
  </w:style>
  <w:style w:type="paragraph" w:customStyle="1" w:styleId="ManualConsidrant">
    <w:name w:val="Manual Considérant"/>
    <w:basedOn w:val="Normal"/>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pPr>
      <w:widowControl/>
      <w:ind w:left="5103"/>
    </w:pPr>
    <w:rPr>
      <w:rFonts w:eastAsia="Calibri"/>
      <w:szCs w:val="22"/>
      <w:lang w:eastAsia="en-US"/>
    </w:rPr>
  </w:style>
  <w:style w:type="paragraph" w:customStyle="1" w:styleId="Rfrenceinterne">
    <w:name w:val="Référence interne"/>
    <w:basedOn w:val="Normal"/>
    <w:next w:val="Rfrenceinterinstitutionnelle"/>
    <w:pPr>
      <w:widowControl/>
      <w:ind w:left="5103"/>
    </w:pPr>
    <w:rPr>
      <w:rFonts w:eastAsia="Calibri"/>
      <w:szCs w:val="22"/>
      <w:lang w:eastAsia="en-US"/>
    </w:rPr>
  </w:style>
  <w:style w:type="paragraph" w:customStyle="1" w:styleId="Titrearticle">
    <w:name w:val="Titre article"/>
    <w:basedOn w:val="Normal"/>
    <w:next w:val="Normal"/>
    <w:pPr>
      <w:keepNext/>
      <w:widowControl/>
      <w:spacing w:before="360" w:after="120"/>
      <w:jc w:val="center"/>
    </w:pPr>
    <w:rPr>
      <w:rFonts w:eastAsia="Calibri"/>
      <w:i/>
      <w:szCs w:val="22"/>
      <w:lang w:eastAsia="en-US"/>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pPr>
      <w:widowControl/>
      <w:spacing w:before="120" w:after="120"/>
      <w:jc w:val="both"/>
    </w:pPr>
    <w:rPr>
      <w:rFonts w:eastAsia="Calibri"/>
      <w:i/>
      <w:caps/>
      <w:szCs w:val="22"/>
      <w:lang w:eastAsia="en-US"/>
    </w:rPr>
  </w:style>
  <w:style w:type="paragraph" w:customStyle="1" w:styleId="Supertitre">
    <w:name w:val="Supertitre"/>
    <w:basedOn w:val="Normal"/>
    <w:next w:val="Normal"/>
    <w:pPr>
      <w:widowControl/>
      <w:spacing w:after="600"/>
      <w:jc w:val="center"/>
    </w:pPr>
    <w:rPr>
      <w:rFonts w:eastAsia="Calibri"/>
      <w:b/>
      <w:szCs w:val="22"/>
      <w:lang w:eastAsia="en-US"/>
    </w:rPr>
  </w:style>
  <w:style w:type="paragraph" w:customStyle="1" w:styleId="Languesfaisantfoi">
    <w:name w:val="Langues faisant foi"/>
    <w:basedOn w:val="Normal"/>
    <w:next w:val="Normal"/>
    <w:pPr>
      <w:widowControl/>
      <w:spacing w:before="360"/>
      <w:jc w:val="center"/>
    </w:pPr>
    <w:rPr>
      <w:rFonts w:eastAsia="Calibri"/>
      <w:szCs w:val="22"/>
      <w:lang w:eastAsia="en-US"/>
    </w:rPr>
  </w:style>
  <w:style w:type="paragraph" w:customStyle="1" w:styleId="Rfrencecroise">
    <w:name w:val="Référence croisée"/>
    <w:basedOn w:val="Normal"/>
    <w:pPr>
      <w:widowControl/>
      <w:jc w:val="center"/>
    </w:pPr>
    <w:rPr>
      <w:rFonts w:eastAsia="Calibri"/>
      <w:szCs w:val="22"/>
      <w:lang w:eastAsia="en-US"/>
    </w:rPr>
  </w:style>
  <w:style w:type="paragraph" w:customStyle="1" w:styleId="Fichefinanciretitre">
    <w:name w:val="Fiche financière titre"/>
    <w:basedOn w:val="Normal"/>
    <w:next w:val="Normal"/>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pPr>
      <w:spacing w:before="0" w:after="240" w:line="240" w:lineRule="auto"/>
    </w:pPr>
    <w:rPr>
      <w:rFonts w:eastAsia="Calibri"/>
      <w:szCs w:val="22"/>
      <w:lang w:val="sk-SK"/>
    </w:rPr>
  </w:style>
  <w:style w:type="paragraph" w:customStyle="1" w:styleId="TypedudocumentPagedecouverture">
    <w:name w:val="Type du document (Page de couverture)"/>
    <w:basedOn w:val="Typedudocument"/>
    <w:next w:val="AccompagnantPagedecouverture"/>
    <w:pPr>
      <w:spacing w:after="180" w:line="240" w:lineRule="auto"/>
    </w:pPr>
    <w:rPr>
      <w:rFonts w:eastAsia="Calibri"/>
      <w:szCs w:val="22"/>
      <w:lang w:val="sk-SK"/>
    </w:rPr>
  </w:style>
  <w:style w:type="paragraph" w:customStyle="1" w:styleId="Volume">
    <w:name w:val="Volume"/>
    <w:basedOn w:val="Normal"/>
    <w:next w:val="Confidentialit"/>
    <w:pPr>
      <w:widowControl/>
      <w:spacing w:after="240"/>
      <w:ind w:left="5103"/>
    </w:pPr>
    <w:rPr>
      <w:rFonts w:eastAsia="Calibri"/>
      <w:szCs w:val="22"/>
      <w:lang w:eastAsia="en-US"/>
    </w:rPr>
  </w:style>
  <w:style w:type="paragraph" w:customStyle="1" w:styleId="Accompagnant">
    <w:name w:val="Accompagnant"/>
    <w:basedOn w:val="Normal"/>
    <w:next w:val="Typeacteprincipal"/>
    <w:pPr>
      <w:widowControl/>
      <w:spacing w:before="180" w:after="240"/>
      <w:jc w:val="center"/>
    </w:pPr>
    <w:rPr>
      <w:rFonts w:eastAsia="Calibri"/>
      <w:b/>
      <w:szCs w:val="22"/>
      <w:lang w:eastAsia="en-US"/>
    </w:rPr>
  </w:style>
  <w:style w:type="paragraph" w:customStyle="1" w:styleId="Typeacteprincipal">
    <w:name w:val="Type acte principal"/>
    <w:basedOn w:val="Normal"/>
    <w:next w:val="Objetacteprincipal"/>
    <w:pPr>
      <w:widowControl/>
      <w:spacing w:after="240"/>
      <w:jc w:val="center"/>
    </w:pPr>
    <w:rPr>
      <w:rFonts w:eastAsia="Calibri"/>
      <w:b/>
      <w:szCs w:val="22"/>
      <w:lang w:eastAsia="en-US"/>
    </w:rPr>
  </w:style>
  <w:style w:type="paragraph" w:customStyle="1" w:styleId="Objetacteprincipal">
    <w:name w:val="Objet acte principal"/>
    <w:basedOn w:val="Normal"/>
    <w:next w:val="Titrearticle"/>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pPr>
      <w:spacing w:line="240" w:lineRule="auto"/>
    </w:pPr>
    <w:rPr>
      <w:rFonts w:eastAsia="Calibri"/>
      <w:szCs w:val="22"/>
      <w:lang w:val="sk-SK"/>
    </w:rPr>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widowControl/>
      <w:spacing w:before="360"/>
      <w:jc w:val="center"/>
    </w:pPr>
    <w:rPr>
      <w:rFonts w:eastAsia="Calibri"/>
      <w:szCs w:val="22"/>
      <w:lang w:eastAsia="en-US"/>
    </w:rPr>
  </w:style>
  <w:style w:type="table" w:customStyle="1" w:styleId="TableGrid5">
    <w:name w:val="Table Grid5"/>
    <w:basedOn w:val="TableNormal"/>
    <w:next w:val="TableGrid"/>
    <w:uiPriority w:val="59"/>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pPr>
      <w:numPr>
        <w:numId w:val="1"/>
      </w:numPr>
      <w:contextualSpacing/>
    </w:pPr>
  </w:style>
  <w:style w:type="paragraph" w:styleId="ListBullet2">
    <w:name w:val="List Bullet 2"/>
    <w:basedOn w:val="Normal"/>
    <w:pPr>
      <w:numPr>
        <w:numId w:val="2"/>
      </w:numPr>
      <w:contextualSpacing/>
    </w:pPr>
  </w:style>
  <w:style w:type="paragraph" w:styleId="ListBullet3">
    <w:name w:val="List Bullet 3"/>
    <w:basedOn w:val="Normal"/>
    <w:pPr>
      <w:numPr>
        <w:numId w:val="3"/>
      </w:numPr>
      <w:contextualSpacing/>
    </w:pPr>
  </w:style>
  <w:style w:type="paragraph" w:styleId="ListBullet4">
    <w:name w:val="List Bullet 4"/>
    <w:basedOn w:val="Normal"/>
    <w:pPr>
      <w:numPr>
        <w:numId w:val="4"/>
      </w:numPr>
      <w:contextualSpacing/>
    </w:pPr>
  </w:style>
  <w:style w:type="table" w:styleId="PlainTable1">
    <w:name w:val="Plain Table 1"/>
    <w:basedOn w:val="TableNormal"/>
    <w:uiPriority w:val="4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5">
    <w:name w:val="Plain Table 5"/>
    <w:basedOn w:val="TableNormal"/>
    <w:uiPriority w:val="4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8.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77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87919C-58B3-41E9-91B1-951DDBB0CB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213</Pages>
  <Words>28056</Words>
  <Characters>159923</Characters>
  <Application>Microsoft Office Word</Application>
  <DocSecurity>0</DocSecurity>
  <Lines>1332</Lines>
  <Paragraphs>375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187604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BINKEVICIUTE Aurelija</cp:lastModifiedBy>
  <cp:revision>5</cp:revision>
  <cp:lastPrinted>2004-11-19T15:42:00Z</cp:lastPrinted>
  <dcterms:created xsi:type="dcterms:W3CDTF">2024-10-17T08:37:00Z</dcterms:created>
  <dcterms:modified xsi:type="dcterms:W3CDTF">2025-09-08T13:11:00Z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A9-0238/2023</vt:lpwstr>
  </property>
  <property fmtid="{D5CDD505-2E9C-101B-9397-08002B2CF9AE}" pid="4" name="&lt;Type&gt;">
    <vt:lpwstr>RR</vt:lpwstr>
  </property>
</Properties>
</file>