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6CF7" w14:paraId="13E66565" w14:textId="77777777" w:rsidTr="0010095E">
        <w:trPr>
          <w:trHeight w:hRule="exact" w:val="1418"/>
        </w:trPr>
        <w:tc>
          <w:tcPr>
            <w:tcW w:w="6804" w:type="dxa"/>
            <w:shd w:val="clear" w:color="auto" w:fill="auto"/>
            <w:vAlign w:val="center"/>
          </w:tcPr>
          <w:p w14:paraId="2F6A6C95" w14:textId="77777777" w:rsidR="00751A4A" w:rsidRPr="003B6CF7" w:rsidRDefault="00FE48A6" w:rsidP="0010095E">
            <w:pPr>
              <w:pStyle w:val="EPName"/>
            </w:pPr>
            <w:r w:rsidRPr="003B6CF7">
              <w:t>Europaparlamentet</w:t>
            </w:r>
          </w:p>
          <w:p w14:paraId="20D46ACB" w14:textId="77777777" w:rsidR="00751A4A" w:rsidRPr="003B6CF7" w:rsidRDefault="00817416" w:rsidP="00756632">
            <w:pPr>
              <w:pStyle w:val="EPTerm"/>
              <w:rPr>
                <w:rStyle w:val="HideTWBExt"/>
                <w:noProof w:val="0"/>
                <w:vanish w:val="0"/>
                <w:color w:val="auto"/>
              </w:rPr>
            </w:pPr>
            <w:r w:rsidRPr="003B6CF7">
              <w:t>2019-2024</w:t>
            </w:r>
          </w:p>
        </w:tc>
        <w:tc>
          <w:tcPr>
            <w:tcW w:w="2268" w:type="dxa"/>
            <w:shd w:val="clear" w:color="auto" w:fill="auto"/>
          </w:tcPr>
          <w:p w14:paraId="1011BF59" w14:textId="77777777" w:rsidR="00751A4A" w:rsidRPr="003B6CF7" w:rsidRDefault="00187494" w:rsidP="0010095E">
            <w:pPr>
              <w:pStyle w:val="EPLogo"/>
            </w:pPr>
            <w:r w:rsidRPr="003B6CF7">
              <w:rPr>
                <w:noProof/>
                <w:lang w:val="en-GB"/>
              </w:rPr>
              <w:drawing>
                <wp:inline distT="0" distB="0" distL="0" distR="0" wp14:anchorId="3BE75709" wp14:editId="3502CC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C7FAE" w14:textId="77777777" w:rsidR="00D058B8" w:rsidRPr="003B6CF7" w:rsidRDefault="00D058B8" w:rsidP="004C5D52">
      <w:pPr>
        <w:pStyle w:val="LineTop"/>
      </w:pPr>
    </w:p>
    <w:p w14:paraId="284ADB3A" w14:textId="77777777" w:rsidR="00680577" w:rsidRPr="003B6CF7" w:rsidRDefault="00FE48A6" w:rsidP="00680577">
      <w:pPr>
        <w:pStyle w:val="EPBodyTA1"/>
      </w:pPr>
      <w:r w:rsidRPr="003B6CF7">
        <w:t>ANTAGNA TEXTER</w:t>
      </w:r>
    </w:p>
    <w:p w14:paraId="5AC90F91" w14:textId="77777777" w:rsidR="00D058B8" w:rsidRPr="003B6CF7" w:rsidRDefault="00D058B8" w:rsidP="00D058B8">
      <w:pPr>
        <w:pStyle w:val="LineBottom"/>
      </w:pPr>
    </w:p>
    <w:p w14:paraId="6E672329" w14:textId="2CF39F18" w:rsidR="00FE48A6" w:rsidRPr="003B6CF7" w:rsidRDefault="00FE48A6" w:rsidP="00FE48A6">
      <w:pPr>
        <w:pStyle w:val="ATHeading1"/>
      </w:pPr>
      <w:bookmarkStart w:id="0" w:name="TANumber"/>
      <w:r w:rsidRPr="003B6CF7">
        <w:t>P9_TA(2024)0</w:t>
      </w:r>
      <w:bookmarkEnd w:id="0"/>
      <w:r w:rsidR="0037181A" w:rsidRPr="003B6CF7">
        <w:t>358</w:t>
      </w:r>
    </w:p>
    <w:p w14:paraId="05BCD4E8" w14:textId="77777777" w:rsidR="00FE48A6" w:rsidRPr="003B6CF7" w:rsidRDefault="00FE48A6" w:rsidP="00FE48A6">
      <w:pPr>
        <w:pStyle w:val="ATHeading2"/>
      </w:pPr>
      <w:bookmarkStart w:id="1" w:name="title"/>
      <w:r w:rsidRPr="003B6CF7">
        <w:t>Förorenande ämnen i ytvatten och grundvatten</w:t>
      </w:r>
      <w:bookmarkEnd w:id="1"/>
    </w:p>
    <w:p w14:paraId="3840893F" w14:textId="77777777" w:rsidR="00FE48A6" w:rsidRPr="003B6CF7" w:rsidRDefault="00FE48A6" w:rsidP="00FE48A6">
      <w:pPr>
        <w:rPr>
          <w:i/>
          <w:vanish/>
        </w:rPr>
      </w:pPr>
      <w:r w:rsidRPr="003B6CF7">
        <w:rPr>
          <w:i/>
        </w:rPr>
        <w:fldChar w:fldCharType="begin"/>
      </w:r>
      <w:r w:rsidRPr="003B6CF7">
        <w:rPr>
          <w:i/>
        </w:rPr>
        <w:instrText xml:space="preserve"> TC"(</w:instrText>
      </w:r>
      <w:bookmarkStart w:id="2" w:name="DocNumber"/>
      <w:r w:rsidRPr="003B6CF7">
        <w:rPr>
          <w:i/>
        </w:rPr>
        <w:instrText>A9-0238/2023</w:instrText>
      </w:r>
      <w:bookmarkEnd w:id="2"/>
      <w:r w:rsidRPr="003B6CF7">
        <w:rPr>
          <w:i/>
        </w:rPr>
        <w:instrText xml:space="preserve"> - Föredragande: Milan Brglez)"\l3 \n&gt; \* MERGEFORMAT </w:instrText>
      </w:r>
      <w:r w:rsidRPr="003B6CF7">
        <w:rPr>
          <w:i/>
        </w:rPr>
        <w:fldChar w:fldCharType="end"/>
      </w:r>
    </w:p>
    <w:p w14:paraId="1EDDFBDF" w14:textId="77777777" w:rsidR="00FE48A6" w:rsidRPr="003B6CF7" w:rsidRDefault="00FE48A6" w:rsidP="00FE48A6">
      <w:pPr>
        <w:rPr>
          <w:vanish/>
        </w:rPr>
      </w:pPr>
      <w:bookmarkStart w:id="3" w:name="Commission"/>
      <w:r w:rsidRPr="003B6CF7">
        <w:rPr>
          <w:vanish/>
        </w:rPr>
        <w:t>Utskottet för miljö, folkhälsa och livsmedelssäkerhet</w:t>
      </w:r>
      <w:bookmarkEnd w:id="3"/>
    </w:p>
    <w:p w14:paraId="45146683" w14:textId="77777777" w:rsidR="00FE48A6" w:rsidRPr="003B6CF7" w:rsidRDefault="00FE48A6" w:rsidP="00FE48A6">
      <w:pPr>
        <w:rPr>
          <w:vanish/>
        </w:rPr>
      </w:pPr>
      <w:bookmarkStart w:id="4" w:name="PE"/>
      <w:r w:rsidRPr="003B6CF7">
        <w:rPr>
          <w:vanish/>
        </w:rPr>
        <w:t>PE740.884</w:t>
      </w:r>
      <w:bookmarkEnd w:id="4"/>
    </w:p>
    <w:p w14:paraId="3AAD9AE3" w14:textId="7BD91126" w:rsidR="00FE48A6" w:rsidRPr="003B6CF7" w:rsidRDefault="00FE48A6" w:rsidP="00FE48A6">
      <w:pPr>
        <w:pStyle w:val="ATHeading3"/>
      </w:pPr>
      <w:bookmarkStart w:id="5" w:name="Sujet"/>
      <w:r w:rsidRPr="003B6CF7">
        <w:t xml:space="preserve">Europaparlamentets lagstiftningsresolution av den </w:t>
      </w:r>
      <w:r w:rsidR="00E615CD" w:rsidRPr="003B6CF7">
        <w:t>2</w:t>
      </w:r>
      <w:r w:rsidR="0037181A" w:rsidRPr="003B6CF7">
        <w:t>4</w:t>
      </w:r>
      <w:r w:rsidRPr="003B6CF7">
        <w:t xml:space="preserve"> </w:t>
      </w:r>
      <w:r w:rsidR="00E96CB5" w:rsidRPr="003B6CF7">
        <w:t xml:space="preserve">april </w:t>
      </w:r>
      <w:r w:rsidRPr="003B6CF7">
        <w:t>2024 om förslaget till Europaparlamentets och rådets direktiv om ändring av direktiv 2000/60/EG om upprättande av en ram för gemenskapens åtgärder på vattenpolitikens område, direktiv 2006/118/EG om skydd för grundvatten mot föroreningar och försämring och direktiv 2008/105/EG om miljökvalitetsnormer inom vattenpolitikens område</w:t>
      </w:r>
      <w:bookmarkEnd w:id="5"/>
      <w:r w:rsidRPr="003B6CF7">
        <w:t xml:space="preserve"> </w:t>
      </w:r>
      <w:bookmarkStart w:id="6" w:name="References"/>
      <w:r w:rsidRPr="003B6CF7">
        <w:t>(COM(2022)0540 – C9-0361/2022 – 2022/0344(COD))</w:t>
      </w:r>
      <w:bookmarkEnd w:id="6"/>
    </w:p>
    <w:p w14:paraId="13B40AC5" w14:textId="77777777" w:rsidR="000E08EE" w:rsidRPr="003B6CF7" w:rsidRDefault="000E08EE" w:rsidP="000E08EE">
      <w:pPr>
        <w:pStyle w:val="NormalBold"/>
      </w:pPr>
      <w:bookmarkStart w:id="7" w:name="TextBodyBegin"/>
      <w:bookmarkEnd w:id="7"/>
      <w:r w:rsidRPr="003B6CF7">
        <w:t>(Ordinarie lagstiftningsförfarande: första behandlingen)</w:t>
      </w:r>
    </w:p>
    <w:p w14:paraId="7D0DD9FD" w14:textId="77777777" w:rsidR="000E08EE" w:rsidRPr="003B6CF7" w:rsidRDefault="000E08EE" w:rsidP="000E08EE">
      <w:pPr>
        <w:pStyle w:val="EPComma"/>
      </w:pPr>
      <w:r w:rsidRPr="003B6CF7">
        <w:rPr>
          <w:i/>
        </w:rPr>
        <w:t>Europaparlamentet utfärdar denna resolution</w:t>
      </w:r>
    </w:p>
    <w:p w14:paraId="1770C87B" w14:textId="77777777" w:rsidR="000E08EE" w:rsidRPr="003B6CF7" w:rsidRDefault="000E08EE" w:rsidP="000E08EE">
      <w:pPr>
        <w:pStyle w:val="NormalHanging12a"/>
      </w:pPr>
      <w:r w:rsidRPr="003B6CF7">
        <w:t>–</w:t>
      </w:r>
      <w:r w:rsidRPr="003B6CF7">
        <w:tab/>
        <w:t>med beaktande av kommissionens förslag till Europaparlamentet och rådet (COM(2022)0540),</w:t>
      </w:r>
    </w:p>
    <w:p w14:paraId="5CC7DD0A" w14:textId="77777777" w:rsidR="000E08EE" w:rsidRPr="003B6CF7" w:rsidRDefault="000E08EE" w:rsidP="000E08EE">
      <w:pPr>
        <w:pStyle w:val="NormalHanging12a"/>
      </w:pPr>
      <w:r w:rsidRPr="003B6CF7">
        <w:t>–</w:t>
      </w:r>
      <w:r w:rsidRPr="003B6CF7">
        <w:tab/>
        <w:t>med beaktande av artiklarna 294.2 och 192.1 i fördraget om Europeiska unionens funktionssätt, i enlighet med vilka kommissionen har lagt fram sitt förslag för parlamentet (C9</w:t>
      </w:r>
      <w:r w:rsidRPr="003B6CF7">
        <w:noBreakHyphen/>
        <w:t>0361/2022),</w:t>
      </w:r>
    </w:p>
    <w:p w14:paraId="7A77B7F9" w14:textId="77777777" w:rsidR="000E08EE" w:rsidRPr="003B6CF7" w:rsidRDefault="000E08EE" w:rsidP="000E08EE">
      <w:pPr>
        <w:pStyle w:val="NormalHanging12a"/>
      </w:pPr>
      <w:r w:rsidRPr="003B6CF7">
        <w:t>–</w:t>
      </w:r>
      <w:r w:rsidRPr="003B6CF7">
        <w:tab/>
        <w:t>med beaktande av artikel 294.3 i fördraget om Europeiska unionens funktionssätt,</w:t>
      </w:r>
    </w:p>
    <w:p w14:paraId="5DD9C883" w14:textId="77777777" w:rsidR="000E08EE" w:rsidRPr="003B6CF7" w:rsidRDefault="000E08EE" w:rsidP="000E08EE">
      <w:pPr>
        <w:pStyle w:val="NormalHanging12a"/>
      </w:pPr>
      <w:r w:rsidRPr="003B6CF7">
        <w:t>–</w:t>
      </w:r>
      <w:r w:rsidRPr="003B6CF7">
        <w:tab/>
        <w:t>med beaktande av Ekonomiska och sociala kommitténs yttrande av den 22 februari 2023</w:t>
      </w:r>
      <w:r w:rsidRPr="003B6CF7">
        <w:rPr>
          <w:rStyle w:val="FootnoteReference"/>
        </w:rPr>
        <w:footnoteReference w:id="1"/>
      </w:r>
      <w:r w:rsidRPr="003B6CF7">
        <w:t>,</w:t>
      </w:r>
    </w:p>
    <w:p w14:paraId="06EE2994" w14:textId="77777777" w:rsidR="000E08EE" w:rsidRPr="003B6CF7" w:rsidRDefault="000E08EE" w:rsidP="000E08EE">
      <w:pPr>
        <w:pStyle w:val="NormalHanging12a"/>
      </w:pPr>
      <w:r w:rsidRPr="003B6CF7">
        <w:t>–</w:t>
      </w:r>
      <w:r w:rsidRPr="003B6CF7">
        <w:tab/>
        <w:t>efter att ha hört Regionkommittén,</w:t>
      </w:r>
    </w:p>
    <w:p w14:paraId="79BDBA06" w14:textId="77777777" w:rsidR="000E08EE" w:rsidRPr="003B6CF7" w:rsidRDefault="000E08EE" w:rsidP="000E08EE">
      <w:pPr>
        <w:pStyle w:val="NormalHanging12a"/>
      </w:pPr>
      <w:r w:rsidRPr="003B6CF7">
        <w:t>–</w:t>
      </w:r>
      <w:r w:rsidRPr="003B6CF7">
        <w:tab/>
        <w:t>med beaktande av artikel 59 i arbetsordningen,</w:t>
      </w:r>
    </w:p>
    <w:p w14:paraId="7E967F46" w14:textId="77777777" w:rsidR="000E08EE" w:rsidRPr="003B6CF7" w:rsidRDefault="000E08EE" w:rsidP="000E08EE">
      <w:pPr>
        <w:pStyle w:val="NormalHanging12a"/>
      </w:pPr>
      <w:r w:rsidRPr="003B6CF7">
        <w:t>–</w:t>
      </w:r>
      <w:r w:rsidRPr="003B6CF7">
        <w:tab/>
        <w:t>med beaktande av yttrandena från utskottet för industrifrågor, forskning och energi och utskottet för jordbruk och landsbygdens utveckling,</w:t>
      </w:r>
    </w:p>
    <w:p w14:paraId="6E9D8D73" w14:textId="77777777" w:rsidR="000E08EE" w:rsidRPr="003B6CF7" w:rsidRDefault="000E08EE" w:rsidP="000E08EE">
      <w:pPr>
        <w:pStyle w:val="NormalHanging12a"/>
      </w:pPr>
      <w:r w:rsidRPr="003B6CF7">
        <w:t>–</w:t>
      </w:r>
      <w:r w:rsidRPr="003B6CF7">
        <w:tab/>
        <w:t>med beaktande av betänkandet från utskottet för miljö, folkhälsa och livsmedelssäkerhet (A9-0238/2023).</w:t>
      </w:r>
    </w:p>
    <w:p w14:paraId="2D4859B5" w14:textId="77777777" w:rsidR="000E08EE" w:rsidRPr="003B6CF7" w:rsidRDefault="000E08EE" w:rsidP="000E08EE">
      <w:pPr>
        <w:pStyle w:val="NormalHanging12a"/>
      </w:pPr>
      <w:r w:rsidRPr="003B6CF7">
        <w:lastRenderedPageBreak/>
        <w:t>1.</w:t>
      </w:r>
      <w:r w:rsidRPr="003B6CF7">
        <w:tab/>
        <w:t>Europaparlamentet antar nedanstående ståndpunkt vid första behandlingen</w:t>
      </w:r>
      <w:r w:rsidR="00E615CD" w:rsidRPr="003B6CF7">
        <w:rPr>
          <w:rStyle w:val="FootnoteReference"/>
        </w:rPr>
        <w:footnoteReference w:id="2"/>
      </w:r>
      <w:r w:rsidRPr="003B6CF7">
        <w:t>.</w:t>
      </w:r>
    </w:p>
    <w:p w14:paraId="4BA64201" w14:textId="77777777" w:rsidR="000E08EE" w:rsidRPr="003B6CF7" w:rsidRDefault="000E08EE" w:rsidP="000E08EE">
      <w:pPr>
        <w:pStyle w:val="NormalHanging12a"/>
      </w:pPr>
      <w:r w:rsidRPr="003B6CF7">
        <w:t>2.</w:t>
      </w:r>
      <w:r w:rsidRPr="003B6CF7">
        <w:tab/>
        <w:t>Europaparlamentet uppmanar kommissionen att på nytt lägga fram ärendet för parlamentet om den ersätter, väsentligt ändrar eller har för avsikt att väsentligt ändra sitt förslag.</w:t>
      </w:r>
    </w:p>
    <w:p w14:paraId="7FC46FBD" w14:textId="77777777" w:rsidR="00BD5295" w:rsidRPr="003B6CF7" w:rsidRDefault="000E08EE" w:rsidP="000E08EE">
      <w:pPr>
        <w:pStyle w:val="NormalHanging12a"/>
        <w:sectPr w:rsidR="00BD5295" w:rsidRPr="003B6CF7">
          <w:footerReference w:type="even" r:id="rId9"/>
          <w:footerReference w:type="first" r:id="rId10"/>
          <w:footnotePr>
            <w:numRestart w:val="eachSect"/>
          </w:footnotePr>
          <w:pgSz w:w="11909" w:h="16834"/>
          <w:pgMar w:top="1134" w:right="1417" w:bottom="1417" w:left="1417" w:header="1134" w:footer="567" w:gutter="0"/>
          <w:cols w:space="720"/>
        </w:sectPr>
      </w:pPr>
      <w:r w:rsidRPr="003B6CF7">
        <w:t>3.</w:t>
      </w:r>
      <w:r w:rsidRPr="003B6CF7">
        <w:tab/>
        <w:t>Europaparlamentet uppdrar åt talmannen att översända parlamentets ståndpunkt till rådet, kommissionen och de nationella parlamenten.</w:t>
      </w:r>
    </w:p>
    <w:p w14:paraId="370402CB" w14:textId="03E978FE" w:rsidR="00BD5295" w:rsidRPr="003B6CF7" w:rsidRDefault="00BD5295" w:rsidP="00BD5295">
      <w:pPr>
        <w:widowControl/>
        <w:spacing w:after="240"/>
        <w:rPr>
          <w:b/>
          <w:snapToGrid w:val="0"/>
        </w:rPr>
      </w:pPr>
      <w:r w:rsidRPr="003B6CF7">
        <w:rPr>
          <w:b/>
          <w:snapToGrid w:val="0"/>
        </w:rPr>
        <w:lastRenderedPageBreak/>
        <w:t>P9_TC1-COD(2022)0344</w:t>
      </w:r>
    </w:p>
    <w:p w14:paraId="443F049E" w14:textId="575035D5" w:rsidR="000E08EE" w:rsidRPr="003B6CF7" w:rsidRDefault="00BD5295" w:rsidP="003B6CF7">
      <w:pPr>
        <w:pStyle w:val="NormalHanging12a"/>
        <w:ind w:left="0" w:firstLine="0"/>
        <w:rPr>
          <w:b/>
        </w:rPr>
      </w:pPr>
      <w:r w:rsidRPr="003B6CF7">
        <w:rPr>
          <w:b/>
          <w:szCs w:val="24"/>
        </w:rPr>
        <w:t>Europaparlamentets ståndpunkt fastställd vid första behandlingen den 24 april 2024 inför antagandet av Europaparlamentets och rådets direktiv (EU) 2024/… om ändring av direktiv 2000/60/EG om upprättande av en ram för gemenskapens åtgärder på vattenpolitikens område, direktiv 2006/118/EG om skydd för grundvatten mot föroreningar och försämring och direktiv 2008/105/EG om miljökvalitetsnormer inom vattenpolitikens område</w:t>
      </w:r>
    </w:p>
    <w:p w14:paraId="23B035C8" w14:textId="77777777" w:rsidR="001831FD" w:rsidRPr="003B6CF7" w:rsidRDefault="001831FD" w:rsidP="001831FD">
      <w:pPr>
        <w:widowControl/>
        <w:spacing w:before="360" w:after="240" w:line="360" w:lineRule="auto"/>
        <w:jc w:val="center"/>
        <w:rPr>
          <w:szCs w:val="24"/>
          <w:lang w:eastAsia="en-US"/>
        </w:rPr>
      </w:pPr>
      <w:r w:rsidRPr="003B6CF7">
        <w:rPr>
          <w:szCs w:val="24"/>
          <w:lang w:eastAsia="en-US"/>
        </w:rPr>
        <w:t>(Text av betydelse för EES)</w:t>
      </w:r>
    </w:p>
    <w:p w14:paraId="3A0BF42D" w14:textId="77777777" w:rsidR="001831FD" w:rsidRPr="003B6CF7" w:rsidRDefault="001831FD" w:rsidP="001831FD">
      <w:pPr>
        <w:keepNext/>
        <w:spacing w:before="600" w:after="120" w:line="360" w:lineRule="auto"/>
        <w:rPr>
          <w:szCs w:val="24"/>
          <w:lang w:eastAsia="en-US"/>
        </w:rPr>
      </w:pPr>
      <w:r w:rsidRPr="003B6CF7">
        <w:rPr>
          <w:szCs w:val="24"/>
          <w:lang w:eastAsia="en-US"/>
        </w:rPr>
        <w:t>EUROPAPARLAMENTET OCH EUROPEISKA UNIONENS RÅD HAR ANTAGIT DETTA DIREKTIV</w:t>
      </w:r>
    </w:p>
    <w:p w14:paraId="77A336DD" w14:textId="77777777" w:rsidR="001831FD" w:rsidRPr="003B6CF7" w:rsidRDefault="001831FD" w:rsidP="001831FD">
      <w:pPr>
        <w:spacing w:before="120" w:after="120" w:line="360" w:lineRule="auto"/>
        <w:rPr>
          <w:lang w:eastAsia="en-US"/>
        </w:rPr>
      </w:pPr>
      <w:r w:rsidRPr="003B6CF7">
        <w:rPr>
          <w:lang w:eastAsia="en-US"/>
        </w:rPr>
        <w:t>med beaktande av fördraget om Europeiska unionens funktionssätt, särskilt artikel 192.1,</w:t>
      </w:r>
    </w:p>
    <w:p w14:paraId="4B7CB84B" w14:textId="77777777" w:rsidR="001831FD" w:rsidRPr="003B6CF7" w:rsidRDefault="001831FD" w:rsidP="001831FD">
      <w:pPr>
        <w:spacing w:before="120" w:after="120" w:line="360" w:lineRule="auto"/>
        <w:rPr>
          <w:lang w:eastAsia="en-US"/>
        </w:rPr>
      </w:pPr>
      <w:r w:rsidRPr="003B6CF7">
        <w:rPr>
          <w:lang w:eastAsia="en-US"/>
        </w:rPr>
        <w:t>med beaktande av Europeiska kommissionens förslag,</w:t>
      </w:r>
    </w:p>
    <w:p w14:paraId="0AB6E067" w14:textId="77777777" w:rsidR="001831FD" w:rsidRPr="003B6CF7" w:rsidRDefault="001831FD" w:rsidP="001831FD">
      <w:pPr>
        <w:spacing w:before="120" w:after="120" w:line="360" w:lineRule="auto"/>
        <w:rPr>
          <w:lang w:eastAsia="en-US"/>
        </w:rPr>
      </w:pPr>
      <w:r w:rsidRPr="003B6CF7">
        <w:rPr>
          <w:lang w:eastAsia="en-US"/>
        </w:rPr>
        <w:t>efter översändande av utkastet till lagstiftningsakt till de nationella parlamenten,</w:t>
      </w:r>
    </w:p>
    <w:p w14:paraId="24CB8A04" w14:textId="77777777" w:rsidR="001831FD" w:rsidRPr="003B6CF7" w:rsidRDefault="001831FD" w:rsidP="001831FD">
      <w:pPr>
        <w:spacing w:before="120" w:after="120" w:line="360" w:lineRule="auto"/>
        <w:rPr>
          <w:lang w:eastAsia="en-US"/>
        </w:rPr>
      </w:pPr>
      <w:r w:rsidRPr="003B6CF7">
        <w:rPr>
          <w:lang w:eastAsia="en-US"/>
        </w:rPr>
        <w:t>med beaktande av Europeiska ekonomiska och sociala kommitténs yttrande</w:t>
      </w:r>
      <w:r w:rsidRPr="003B6CF7">
        <w:rPr>
          <w:vertAlign w:val="superscript"/>
          <w:lang w:val="en-GB" w:eastAsia="en-US"/>
        </w:rPr>
        <w:footnoteReference w:id="3"/>
      </w:r>
      <w:r w:rsidRPr="003B6CF7">
        <w:rPr>
          <w:lang w:eastAsia="en-US"/>
        </w:rPr>
        <w:t>,</w:t>
      </w:r>
    </w:p>
    <w:p w14:paraId="2F7A7094" w14:textId="77777777" w:rsidR="001831FD" w:rsidRPr="003B6CF7" w:rsidRDefault="001831FD" w:rsidP="001831FD">
      <w:pPr>
        <w:spacing w:before="120" w:after="120" w:line="360" w:lineRule="auto"/>
        <w:rPr>
          <w:lang w:eastAsia="en-US"/>
        </w:rPr>
      </w:pPr>
      <w:r w:rsidRPr="003B6CF7">
        <w:rPr>
          <w:lang w:eastAsia="en-US"/>
        </w:rPr>
        <w:t>med beaktande av Regionkommitténs yttrande</w:t>
      </w:r>
      <w:r w:rsidRPr="003B6CF7">
        <w:rPr>
          <w:vertAlign w:val="superscript"/>
          <w:lang w:val="en-GB" w:eastAsia="en-US"/>
        </w:rPr>
        <w:footnoteReference w:id="4"/>
      </w:r>
      <w:r w:rsidRPr="003B6CF7">
        <w:rPr>
          <w:lang w:eastAsia="en-US"/>
        </w:rPr>
        <w:t>,</w:t>
      </w:r>
    </w:p>
    <w:p w14:paraId="073DAF4B" w14:textId="77777777" w:rsidR="001831FD" w:rsidRPr="003B6CF7" w:rsidRDefault="001831FD" w:rsidP="001831FD">
      <w:pPr>
        <w:spacing w:before="120" w:after="120" w:line="360" w:lineRule="auto"/>
        <w:rPr>
          <w:lang w:eastAsia="en-US"/>
        </w:rPr>
      </w:pPr>
      <w:r w:rsidRPr="003B6CF7">
        <w:rPr>
          <w:lang w:eastAsia="en-US"/>
        </w:rPr>
        <w:t>i enlighet med det ordinarie lagstiftningsförfarandet, och</w:t>
      </w:r>
    </w:p>
    <w:p w14:paraId="741C31D1" w14:textId="77777777" w:rsidR="00BD5295" w:rsidRPr="003B6CF7" w:rsidRDefault="00BD5295">
      <w:pPr>
        <w:widowControl/>
        <w:rPr>
          <w:lang w:eastAsia="en-US"/>
        </w:rPr>
      </w:pPr>
      <w:r w:rsidRPr="003B6CF7">
        <w:rPr>
          <w:lang w:eastAsia="en-US"/>
        </w:rPr>
        <w:br w:type="page"/>
      </w:r>
    </w:p>
    <w:p w14:paraId="647A7555" w14:textId="256378C0" w:rsidR="001831FD" w:rsidRPr="003B6CF7" w:rsidRDefault="001831FD" w:rsidP="001831FD">
      <w:pPr>
        <w:spacing w:before="120" w:after="120" w:line="360" w:lineRule="auto"/>
        <w:rPr>
          <w:lang w:eastAsia="en-US"/>
        </w:rPr>
      </w:pPr>
      <w:r w:rsidRPr="003B6CF7">
        <w:rPr>
          <w:lang w:eastAsia="en-US"/>
        </w:rPr>
        <w:lastRenderedPageBreak/>
        <w:t>av följande skäl:</w:t>
      </w:r>
    </w:p>
    <w:p w14:paraId="48F43AB6" w14:textId="1649C778" w:rsidR="001831FD" w:rsidRPr="003B6CF7" w:rsidRDefault="001831FD" w:rsidP="001831FD">
      <w:pPr>
        <w:spacing w:before="120" w:after="120" w:line="360" w:lineRule="auto"/>
        <w:ind w:left="850" w:hanging="850"/>
        <w:rPr>
          <w:b/>
          <w:szCs w:val="24"/>
          <w:lang w:eastAsia="en-US"/>
        </w:rPr>
      </w:pPr>
      <w:r w:rsidRPr="003B6CF7">
        <w:rPr>
          <w:b/>
          <w:i/>
          <w:szCs w:val="24"/>
          <w:lang w:eastAsia="en-US"/>
        </w:rPr>
        <w:t>(</w:t>
      </w:r>
      <w:r w:rsidR="00BD5295" w:rsidRPr="003B6CF7">
        <w:rPr>
          <w:b/>
          <w:i/>
        </w:rPr>
        <w:t>-</w:t>
      </w:r>
      <w:r w:rsidRPr="003B6CF7">
        <w:rPr>
          <w:b/>
          <w:i/>
          <w:szCs w:val="24"/>
          <w:lang w:eastAsia="en-US"/>
        </w:rPr>
        <w:t>1)</w:t>
      </w:r>
      <w:r w:rsidRPr="003B6CF7">
        <w:rPr>
          <w:szCs w:val="24"/>
          <w:lang w:eastAsia="en-US"/>
        </w:rPr>
        <w:tab/>
      </w:r>
      <w:r w:rsidRPr="003B6CF7">
        <w:rPr>
          <w:b/>
          <w:i/>
          <w:szCs w:val="24"/>
          <w:lang w:eastAsia="en-US"/>
        </w:rPr>
        <w:t>Vatten är inte en kommersiell produkt bland andra utan snarare en allmän nyttighet och ett arv som måste skyddas och behandlas som sådant, så att ekosystem kan bevaras och så att alla kan få tillgång till rent vatten.</w:t>
      </w:r>
      <w:r w:rsidR="00BF0DC5" w:rsidRPr="003B6CF7">
        <w:rPr>
          <w:b/>
          <w:szCs w:val="24"/>
          <w:lang w:eastAsia="en-US"/>
        </w:rPr>
        <w:t xml:space="preserve"> [Ändr. 1]</w:t>
      </w:r>
    </w:p>
    <w:p w14:paraId="5C7D231E" w14:textId="08BD3C36" w:rsidR="001831FD" w:rsidRPr="003B6CF7" w:rsidRDefault="001831FD" w:rsidP="001831FD">
      <w:pPr>
        <w:spacing w:before="120" w:after="120" w:line="360" w:lineRule="auto"/>
        <w:ind w:left="850" w:hanging="850"/>
        <w:rPr>
          <w:b/>
          <w:szCs w:val="24"/>
          <w:lang w:eastAsia="en-US"/>
        </w:rPr>
      </w:pPr>
      <w:r w:rsidRPr="003B6CF7">
        <w:rPr>
          <w:b/>
          <w:i/>
          <w:szCs w:val="24"/>
          <w:lang w:eastAsia="en-US"/>
        </w:rPr>
        <w:t>(</w:t>
      </w:r>
      <w:r w:rsidR="00BD5295" w:rsidRPr="003B6CF7">
        <w:rPr>
          <w:b/>
          <w:i/>
        </w:rPr>
        <w:t>-1a</w:t>
      </w:r>
      <w:r w:rsidRPr="003B6CF7">
        <w:rPr>
          <w:b/>
          <w:i/>
          <w:szCs w:val="24"/>
          <w:lang w:eastAsia="en-US"/>
        </w:rPr>
        <w:t>)</w:t>
      </w:r>
      <w:r w:rsidRPr="003B6CF7">
        <w:rPr>
          <w:szCs w:val="24"/>
          <w:lang w:eastAsia="en-US"/>
        </w:rPr>
        <w:tab/>
      </w:r>
      <w:r w:rsidRPr="003B6CF7">
        <w:rPr>
          <w:b/>
          <w:i/>
          <w:szCs w:val="24"/>
          <w:lang w:eastAsia="en-US"/>
        </w:rPr>
        <w:t>FN:s generalförsamling erkände den 28 juli 2010 rätten till säkert och rent dricksvatten och sanitet som en mänsklig rättighet som är absolut nödvändig för full livskvalitet och åtnjutande av samtliga mänskliga rättigheter. Efter framgången med 2014 års europeiska medborgarinitiativ ”Right2Water” antog kommissionen 2018 ett förslag till översyn av dricksvattendirektivet, och det motsvarande ändrade direktivet trädde i kraft den 12 januari 2021. I detta direktiv fastställs en skyldighet för medlemsstaterna att förbättra tillgången till dricksvatten genom att utgå från bland annat den kunskap som förvärvats och de åtgärder som vidtagits enligt direktiv 2000/60/EG. Medlemsstaterna bör också säkerställa rätten till rent vatten och sanitet genom att förbättra kvaliteten på både yt- och grundvatten.</w:t>
      </w:r>
      <w:r w:rsidR="00BF0DC5" w:rsidRPr="003B6CF7">
        <w:rPr>
          <w:b/>
          <w:szCs w:val="24"/>
          <w:lang w:eastAsia="en-US"/>
        </w:rPr>
        <w:t xml:space="preserve"> [Ändr. 2]</w:t>
      </w:r>
    </w:p>
    <w:p w14:paraId="4B386CFD" w14:textId="77777777" w:rsidR="00BD5295" w:rsidRPr="003B6CF7" w:rsidRDefault="00BD5295">
      <w:pPr>
        <w:widowControl/>
        <w:rPr>
          <w:szCs w:val="24"/>
          <w:lang w:eastAsia="en-US"/>
        </w:rPr>
      </w:pPr>
      <w:r w:rsidRPr="003B6CF7">
        <w:rPr>
          <w:szCs w:val="24"/>
          <w:lang w:eastAsia="en-US"/>
        </w:rPr>
        <w:br w:type="page"/>
      </w:r>
    </w:p>
    <w:p w14:paraId="47B92F48" w14:textId="56ACC6D9"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(1)</w:t>
      </w:r>
      <w:r w:rsidRPr="003B6CF7">
        <w:rPr>
          <w:szCs w:val="24"/>
          <w:lang w:eastAsia="en-US"/>
        </w:rPr>
        <w:tab/>
        <w:t>Kemisk förorening av yt- och grundvatten utgör ett hot mot vattenmiljön med effekter som akut och kronisk toxicitet i vattenorganismer, ackumulering av förorenande ämnen i ekosystemet och förlust av livsmiljöer och biologisk mångfald och utgör även ett hot mot människors hälsa. Fastställande av miljökvalitetsnormer bidrar till att genomföra nollföroreningsstrategin för en giftfri miljö</w:t>
      </w:r>
      <w:r w:rsidRPr="003B6CF7">
        <w:rPr>
          <w:b/>
          <w:i/>
          <w:szCs w:val="24"/>
          <w:lang w:eastAsia="en-US"/>
        </w:rPr>
        <w:t>, ett av de prioriterade målen i det åttonde miljöhandlingsprogrammet</w:t>
      </w:r>
      <w:r w:rsidRPr="003B6CF7">
        <w:rPr>
          <w:szCs w:val="24"/>
          <w:vertAlign w:val="superscript"/>
          <w:lang w:val="en-GB" w:eastAsia="en-US"/>
        </w:rPr>
        <w:footnoteReference w:id="5"/>
      </w:r>
      <w:r w:rsidRPr="003B6CF7">
        <w:rPr>
          <w:szCs w:val="24"/>
          <w:lang w:eastAsia="en-US"/>
        </w:rPr>
        <w:t>.</w:t>
      </w:r>
      <w:r w:rsidR="00BF0DC5" w:rsidRPr="003B6CF7">
        <w:rPr>
          <w:b/>
          <w:szCs w:val="24"/>
          <w:lang w:eastAsia="en-US"/>
        </w:rPr>
        <w:t xml:space="preserve"> [Ändr. 3]</w:t>
      </w:r>
    </w:p>
    <w:p w14:paraId="2657C0E3" w14:textId="7A11BAA3" w:rsidR="001831FD" w:rsidRPr="003B6CF7" w:rsidRDefault="001831FD" w:rsidP="001831FD">
      <w:pPr>
        <w:spacing w:before="120" w:after="120" w:line="360" w:lineRule="auto"/>
        <w:ind w:left="850" w:hanging="850"/>
        <w:rPr>
          <w:b/>
          <w:szCs w:val="24"/>
          <w:lang w:eastAsia="en-US"/>
        </w:rPr>
      </w:pPr>
      <w:r w:rsidRPr="003B6CF7">
        <w:rPr>
          <w:b/>
          <w:i/>
          <w:szCs w:val="24"/>
          <w:lang w:eastAsia="en-US"/>
        </w:rPr>
        <w:t>(1a)</w:t>
      </w:r>
      <w:r w:rsidRPr="003B6CF7">
        <w:rPr>
          <w:szCs w:val="24"/>
          <w:lang w:eastAsia="en-US"/>
        </w:rPr>
        <w:tab/>
      </w:r>
      <w:r w:rsidRPr="003B6CF7">
        <w:rPr>
          <w:b/>
          <w:i/>
          <w:szCs w:val="24"/>
          <w:lang w:eastAsia="en-US"/>
        </w:rPr>
        <w:t xml:space="preserve">Enligt Europeiska miljöbyrån rapporteras omkring 90 % av grundvattenförekomsterna ha god kvantitativ status, omkring 75 % av grundvattenförekomsterna ha god kemisk status, 40 % av ytvattenförekomsterna ha god eller hög ekologisk status och 38 % av ytvattenförekomsterna ha god kemisk status, medan Europeiska miljöbyrån i sin rapport The </w:t>
      </w:r>
      <w:proofErr w:type="spellStart"/>
      <w:r w:rsidRPr="003B6CF7">
        <w:rPr>
          <w:b/>
          <w:i/>
          <w:szCs w:val="24"/>
          <w:lang w:eastAsia="en-US"/>
        </w:rPr>
        <w:t>European</w:t>
      </w:r>
      <w:proofErr w:type="spellEnd"/>
      <w:r w:rsidRPr="003B6CF7">
        <w:rPr>
          <w:b/>
          <w:i/>
          <w:szCs w:val="24"/>
          <w:lang w:eastAsia="en-US"/>
        </w:rPr>
        <w:t xml:space="preserve"> </w:t>
      </w:r>
      <w:proofErr w:type="spellStart"/>
      <w:r w:rsidRPr="003B6CF7">
        <w:rPr>
          <w:b/>
          <w:i/>
          <w:szCs w:val="24"/>
          <w:lang w:eastAsia="en-US"/>
        </w:rPr>
        <w:t>environment</w:t>
      </w:r>
      <w:proofErr w:type="spellEnd"/>
      <w:r w:rsidRPr="003B6CF7">
        <w:rPr>
          <w:b/>
          <w:i/>
          <w:szCs w:val="24"/>
          <w:lang w:eastAsia="en-US"/>
        </w:rPr>
        <w:t xml:space="preserve"> – </w:t>
      </w:r>
      <w:proofErr w:type="spellStart"/>
      <w:r w:rsidRPr="003B6CF7">
        <w:rPr>
          <w:b/>
          <w:i/>
          <w:szCs w:val="24"/>
          <w:lang w:eastAsia="en-US"/>
        </w:rPr>
        <w:t>state</w:t>
      </w:r>
      <w:proofErr w:type="spellEnd"/>
      <w:r w:rsidRPr="003B6CF7">
        <w:rPr>
          <w:b/>
          <w:i/>
          <w:szCs w:val="24"/>
          <w:lang w:eastAsia="en-US"/>
        </w:rPr>
        <w:t xml:space="preserve"> and </w:t>
      </w:r>
      <w:proofErr w:type="spellStart"/>
      <w:r w:rsidRPr="003B6CF7">
        <w:rPr>
          <w:b/>
          <w:i/>
          <w:szCs w:val="24"/>
          <w:lang w:eastAsia="en-US"/>
        </w:rPr>
        <w:t>outlook</w:t>
      </w:r>
      <w:proofErr w:type="spellEnd"/>
      <w:r w:rsidRPr="003B6CF7">
        <w:rPr>
          <w:b/>
          <w:i/>
          <w:szCs w:val="24"/>
          <w:lang w:eastAsia="en-US"/>
        </w:rPr>
        <w:t xml:space="preserve"> 2020: Knowledge for </w:t>
      </w:r>
      <w:proofErr w:type="spellStart"/>
      <w:r w:rsidRPr="003B6CF7">
        <w:rPr>
          <w:b/>
          <w:i/>
          <w:szCs w:val="24"/>
          <w:lang w:eastAsia="en-US"/>
        </w:rPr>
        <w:t>transition</w:t>
      </w:r>
      <w:proofErr w:type="spellEnd"/>
      <w:r w:rsidRPr="003B6CF7">
        <w:rPr>
          <w:b/>
          <w:i/>
          <w:szCs w:val="24"/>
          <w:lang w:eastAsia="en-US"/>
        </w:rPr>
        <w:t xml:space="preserve"> to a </w:t>
      </w:r>
      <w:proofErr w:type="spellStart"/>
      <w:r w:rsidRPr="003B6CF7">
        <w:rPr>
          <w:b/>
          <w:i/>
          <w:szCs w:val="24"/>
          <w:lang w:eastAsia="en-US"/>
        </w:rPr>
        <w:t>sustainable</w:t>
      </w:r>
      <w:proofErr w:type="spellEnd"/>
      <w:r w:rsidRPr="003B6CF7">
        <w:rPr>
          <w:b/>
          <w:i/>
          <w:szCs w:val="24"/>
          <w:lang w:eastAsia="en-US"/>
        </w:rPr>
        <w:t xml:space="preserve"> </w:t>
      </w:r>
      <w:proofErr w:type="spellStart"/>
      <w:r w:rsidRPr="003B6CF7">
        <w:rPr>
          <w:b/>
          <w:i/>
          <w:szCs w:val="24"/>
          <w:lang w:eastAsia="en-US"/>
        </w:rPr>
        <w:t>Europe</w:t>
      </w:r>
      <w:proofErr w:type="spellEnd"/>
      <w:r w:rsidRPr="003B6CF7">
        <w:rPr>
          <w:b/>
          <w:i/>
          <w:szCs w:val="24"/>
          <w:lang w:eastAsia="en-US"/>
        </w:rPr>
        <w:t xml:space="preserve"> av den 4 december 2019 konstaterade att minskade föroreningar har förbättrat vattenkvaliteten, men att unionen var långt ifrån att uppnå god ekologisk status för alla vattenförekomster senast 2020.</w:t>
      </w:r>
      <w:r w:rsidR="00540F6A" w:rsidRPr="003B6CF7">
        <w:rPr>
          <w:b/>
          <w:szCs w:val="24"/>
          <w:lang w:eastAsia="en-US"/>
        </w:rPr>
        <w:t xml:space="preserve"> [Ändr. 4]</w:t>
      </w:r>
    </w:p>
    <w:p w14:paraId="51AC0DE0" w14:textId="77777777" w:rsidR="00BD5295" w:rsidRPr="003B6CF7" w:rsidRDefault="00BD5295">
      <w:pPr>
        <w:widowControl/>
        <w:rPr>
          <w:b/>
          <w:i/>
          <w:szCs w:val="24"/>
          <w:lang w:eastAsia="en-US"/>
        </w:rPr>
      </w:pPr>
      <w:r w:rsidRPr="003B6CF7">
        <w:rPr>
          <w:b/>
          <w:i/>
          <w:szCs w:val="24"/>
          <w:lang w:eastAsia="en-US"/>
        </w:rPr>
        <w:br w:type="page"/>
      </w:r>
    </w:p>
    <w:p w14:paraId="0F8F953E" w14:textId="5FF4C5DA"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(1b)</w:t>
      </w:r>
      <w:r w:rsidRPr="003B6CF7">
        <w:rPr>
          <w:szCs w:val="24"/>
          <w:lang w:eastAsia="en-US"/>
        </w:rPr>
        <w:tab/>
      </w:r>
      <w:r w:rsidRPr="003B6CF7">
        <w:rPr>
          <w:b/>
          <w:i/>
          <w:szCs w:val="24"/>
          <w:lang w:eastAsia="en-US"/>
        </w:rPr>
        <w:t xml:space="preserve">Vid 2019 års kontroll av vattendirektivets ändamålsenlighet drog man i utvärderingen slutsatsen att nästa runda av åtgärdsprogram kommer att spela en nyckelroll för att säkerställa de nödvändiga framstegen mot uppnåendet av miljömålen i direktiv 2000/60/EG senast 2027, och man uppgav att mer än hälften av alla europeiska vattenförekomster för närvarande är undantagna enligt direktiv 2000/60/EG, vilket gör utmaningarna för medlemsstaterna att uppnå miljökvalitetsnormerna för prioriterade ämnen inom den fastställda tidsfristen mer än betydande. Vid kontrollen av ändamålsenligheten drogs dessutom slutsatsen att miljömålen ännu inte har uppnåtts fullt ut, vilket till stor del beror på otillräcklig finansiering, långsamt genomförande och otillräcklig integrering av miljömålen i </w:t>
      </w:r>
      <w:proofErr w:type="spellStart"/>
      <w:r w:rsidRPr="003B6CF7">
        <w:rPr>
          <w:b/>
          <w:i/>
          <w:szCs w:val="24"/>
          <w:lang w:eastAsia="en-US"/>
        </w:rPr>
        <w:t>sektorspolitiken</w:t>
      </w:r>
      <w:proofErr w:type="spellEnd"/>
      <w:r w:rsidRPr="003B6CF7">
        <w:rPr>
          <w:b/>
          <w:i/>
          <w:szCs w:val="24"/>
          <w:lang w:eastAsia="en-US"/>
        </w:rPr>
        <w:t>, och inte på brister i lagstiftningen.</w:t>
      </w:r>
      <w:r w:rsidR="00540F6A" w:rsidRPr="003B6CF7">
        <w:rPr>
          <w:b/>
          <w:szCs w:val="24"/>
          <w:lang w:eastAsia="en-US"/>
        </w:rPr>
        <w:t xml:space="preserve"> [Ändr. 5]</w:t>
      </w:r>
    </w:p>
    <w:p w14:paraId="3AC79E05" w14:textId="77777777" w:rsidR="00BD5295" w:rsidRPr="003B6CF7" w:rsidRDefault="00BD5295">
      <w:pPr>
        <w:widowControl/>
        <w:rPr>
          <w:b/>
          <w:i/>
          <w:szCs w:val="24"/>
          <w:lang w:eastAsia="en-US"/>
        </w:rPr>
      </w:pPr>
      <w:r w:rsidRPr="003B6CF7">
        <w:rPr>
          <w:b/>
          <w:i/>
          <w:szCs w:val="24"/>
          <w:lang w:eastAsia="en-US"/>
        </w:rPr>
        <w:br w:type="page"/>
      </w:r>
    </w:p>
    <w:p w14:paraId="125D17A9" w14:textId="5FB5AD64"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(1c)</w:t>
      </w:r>
      <w:r w:rsidRPr="003B6CF7">
        <w:rPr>
          <w:szCs w:val="24"/>
          <w:lang w:eastAsia="en-US"/>
        </w:rPr>
        <w:tab/>
      </w:r>
      <w:r w:rsidRPr="003B6CF7">
        <w:rPr>
          <w:b/>
          <w:i/>
          <w:szCs w:val="24"/>
          <w:lang w:eastAsia="en-US"/>
        </w:rPr>
        <w:t xml:space="preserve">På grund av geografiska och socioekonomiska faktorer är vissa befolkningsgrupper, inklusive urfolk, mer sårbara för vattenföroreningar. Gruvsektorn i Europeiska unionen förväntas växa för att säkerställa utvecklingen av </w:t>
      </w:r>
      <w:proofErr w:type="spellStart"/>
      <w:r w:rsidRPr="003B6CF7">
        <w:rPr>
          <w:b/>
          <w:i/>
          <w:szCs w:val="24"/>
          <w:lang w:eastAsia="en-US"/>
        </w:rPr>
        <w:t>nettonollindustrin</w:t>
      </w:r>
      <w:proofErr w:type="spellEnd"/>
      <w:r w:rsidRPr="003B6CF7">
        <w:rPr>
          <w:b/>
          <w:i/>
          <w:szCs w:val="24"/>
          <w:lang w:eastAsia="en-US"/>
        </w:rPr>
        <w:t>. Såsom framhålls i Europeiska miljöbyråns rapport 09/2021</w:t>
      </w:r>
      <w:r w:rsidRPr="003B6CF7">
        <w:rPr>
          <w:szCs w:val="24"/>
          <w:vertAlign w:val="superscript"/>
          <w:lang w:val="en-GB" w:eastAsia="en-US"/>
        </w:rPr>
        <w:footnoteReference w:id="6"/>
      </w:r>
      <w:r w:rsidRPr="003B6CF7">
        <w:rPr>
          <w:b/>
          <w:i/>
          <w:szCs w:val="24"/>
          <w:lang w:eastAsia="en-US"/>
        </w:rPr>
        <w:t xml:space="preserve"> påverkar gruvsektorn direkt vattenkvaliteten och vattenkvantiteten. Det är därför nödvändigt att bättre genomföra befintliga lagstiftningsramar och planera och kontrollera vattenanvändning och vattenutsläpp även vid gruvdrift.</w:t>
      </w:r>
      <w:r w:rsidR="00540F6A" w:rsidRPr="003B6CF7">
        <w:rPr>
          <w:b/>
          <w:szCs w:val="24"/>
          <w:lang w:eastAsia="en-US"/>
        </w:rPr>
        <w:t xml:space="preserve"> [Ändr. 6]</w:t>
      </w:r>
    </w:p>
    <w:p w14:paraId="18616159" w14:textId="391347C9" w:rsidR="001831FD" w:rsidRPr="003B6CF7" w:rsidRDefault="001831FD" w:rsidP="001831FD">
      <w:pPr>
        <w:spacing w:before="120" w:after="120" w:line="360" w:lineRule="auto"/>
        <w:ind w:left="850" w:hanging="850"/>
        <w:rPr>
          <w:b/>
          <w:szCs w:val="24"/>
          <w:lang w:eastAsia="en-US"/>
        </w:rPr>
      </w:pPr>
      <w:r w:rsidRPr="003B6CF7">
        <w:rPr>
          <w:b/>
          <w:i/>
          <w:szCs w:val="24"/>
          <w:lang w:eastAsia="en-US"/>
        </w:rPr>
        <w:t>(1d)</w:t>
      </w:r>
      <w:r w:rsidRPr="003B6CF7">
        <w:rPr>
          <w:szCs w:val="24"/>
          <w:lang w:eastAsia="en-US"/>
        </w:rPr>
        <w:tab/>
      </w:r>
      <w:r w:rsidRPr="003B6CF7">
        <w:rPr>
          <w:b/>
          <w:i/>
          <w:szCs w:val="24"/>
          <w:lang w:eastAsia="en-US"/>
        </w:rPr>
        <w:t>I många territorier i unionen råder stora och tilltagande begränsningar i vattentillgången. Den omfattande och ihållande torkan under senare år, särskilt i Medelhavsregionerna, utgör en risk för jordbruksproduktionen och orsakar en allvarlig minskning av yt- och grundvattenreserverna</w:t>
      </w:r>
      <w:r w:rsidRPr="003B6CF7">
        <w:rPr>
          <w:szCs w:val="24"/>
          <w:vertAlign w:val="superscript"/>
          <w:lang w:val="en-GB" w:eastAsia="en-US"/>
        </w:rPr>
        <w:footnoteReference w:id="7"/>
      </w:r>
      <w:r w:rsidRPr="003B6CF7">
        <w:rPr>
          <w:b/>
          <w:i/>
          <w:szCs w:val="24"/>
          <w:lang w:eastAsia="en-US"/>
        </w:rPr>
        <w:t>.</w:t>
      </w:r>
      <w:r w:rsidR="00540F6A" w:rsidRPr="003B6CF7">
        <w:rPr>
          <w:b/>
          <w:szCs w:val="24"/>
          <w:lang w:eastAsia="en-US"/>
        </w:rPr>
        <w:t xml:space="preserve"> [Ändr. 7]</w:t>
      </w:r>
    </w:p>
    <w:p w14:paraId="6AE05A96" w14:textId="31FA270B" w:rsidR="001831FD" w:rsidRPr="003B6CF7" w:rsidRDefault="001831FD" w:rsidP="001831FD">
      <w:pPr>
        <w:spacing w:before="120" w:after="120" w:line="360" w:lineRule="auto"/>
        <w:ind w:left="850" w:hanging="850"/>
        <w:rPr>
          <w:b/>
          <w:szCs w:val="24"/>
          <w:lang w:eastAsia="en-US"/>
        </w:rPr>
      </w:pPr>
      <w:r w:rsidRPr="003B6CF7">
        <w:rPr>
          <w:b/>
          <w:i/>
          <w:szCs w:val="24"/>
          <w:lang w:eastAsia="en-US"/>
        </w:rPr>
        <w:t>(1e)</w:t>
      </w:r>
      <w:r w:rsidRPr="003B6CF7">
        <w:rPr>
          <w:szCs w:val="24"/>
          <w:lang w:eastAsia="en-US"/>
        </w:rPr>
        <w:tab/>
      </w:r>
      <w:r w:rsidRPr="003B6CF7">
        <w:rPr>
          <w:b/>
          <w:i/>
          <w:szCs w:val="24"/>
          <w:lang w:eastAsia="en-US"/>
        </w:rPr>
        <w:t>Vatten är en allmän nyttighet till gagn för alla och måste som en väsentlig naturresurs som är oersättlig och oumbärlig för livet beaktas noga mot bakgrund av sina sociala, ekonomiska och miljömässiga dimensioner. Både klimatförändringarna, med ökad frekvens av naturkatastrofer och extrema väderhändelser, och den försämrade biologiska mångfalden har en negativ inverkan på vattenkvaliteten och vattenkvantiteten, vilket medför påfrestningar för sektorer som är beroende av tillgången på vatten, framför allt jordbruket.</w:t>
      </w:r>
      <w:r w:rsidR="00540F6A" w:rsidRPr="003B6CF7">
        <w:rPr>
          <w:b/>
          <w:szCs w:val="24"/>
          <w:lang w:eastAsia="en-US"/>
        </w:rPr>
        <w:t xml:space="preserve"> [Ändr. 8]</w:t>
      </w:r>
    </w:p>
    <w:p w14:paraId="5A9E13AE" w14:textId="77777777" w:rsidR="00BD5295" w:rsidRPr="003B6CF7" w:rsidRDefault="00BD5295">
      <w:pPr>
        <w:widowControl/>
        <w:rPr>
          <w:b/>
          <w:i/>
          <w:szCs w:val="24"/>
          <w:lang w:eastAsia="en-US"/>
        </w:rPr>
      </w:pPr>
      <w:r w:rsidRPr="003B6CF7">
        <w:rPr>
          <w:b/>
          <w:i/>
          <w:szCs w:val="24"/>
          <w:lang w:eastAsia="en-US"/>
        </w:rPr>
        <w:br w:type="page"/>
      </w:r>
    </w:p>
    <w:p w14:paraId="3C0022BB" w14:textId="5F455806"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(1f)</w:t>
      </w:r>
      <w:r w:rsidRPr="003B6CF7">
        <w:rPr>
          <w:szCs w:val="24"/>
          <w:lang w:eastAsia="en-US"/>
        </w:rPr>
        <w:tab/>
      </w:r>
      <w:r w:rsidRPr="003B6CF7">
        <w:rPr>
          <w:b/>
          <w:i/>
          <w:szCs w:val="24"/>
          <w:lang w:eastAsia="en-US"/>
        </w:rPr>
        <w:t xml:space="preserve">Europeiska miljöbyrån pekade i sin rapport </w:t>
      </w:r>
      <w:proofErr w:type="spellStart"/>
      <w:r w:rsidRPr="003B6CF7">
        <w:rPr>
          <w:b/>
          <w:i/>
          <w:szCs w:val="24"/>
          <w:lang w:eastAsia="en-US"/>
        </w:rPr>
        <w:t>European</w:t>
      </w:r>
      <w:proofErr w:type="spellEnd"/>
      <w:r w:rsidRPr="003B6CF7">
        <w:rPr>
          <w:b/>
          <w:i/>
          <w:szCs w:val="24"/>
          <w:lang w:eastAsia="en-US"/>
        </w:rPr>
        <w:t xml:space="preserve"> </w:t>
      </w:r>
      <w:proofErr w:type="spellStart"/>
      <w:r w:rsidRPr="003B6CF7">
        <w:rPr>
          <w:b/>
          <w:i/>
          <w:szCs w:val="24"/>
          <w:lang w:eastAsia="en-US"/>
        </w:rPr>
        <w:t>waters</w:t>
      </w:r>
      <w:proofErr w:type="spellEnd"/>
      <w:r w:rsidRPr="003B6CF7">
        <w:rPr>
          <w:b/>
          <w:i/>
          <w:szCs w:val="24"/>
          <w:lang w:eastAsia="en-US"/>
        </w:rPr>
        <w:t xml:space="preserve"> – </w:t>
      </w:r>
      <w:proofErr w:type="spellStart"/>
      <w:r w:rsidRPr="003B6CF7">
        <w:rPr>
          <w:b/>
          <w:i/>
          <w:szCs w:val="24"/>
          <w:lang w:eastAsia="en-US"/>
        </w:rPr>
        <w:t>Assessment</w:t>
      </w:r>
      <w:proofErr w:type="spellEnd"/>
      <w:r w:rsidRPr="003B6CF7">
        <w:rPr>
          <w:b/>
          <w:i/>
          <w:szCs w:val="24"/>
          <w:lang w:eastAsia="en-US"/>
        </w:rPr>
        <w:t xml:space="preserve"> </w:t>
      </w:r>
      <w:proofErr w:type="spellStart"/>
      <w:r w:rsidRPr="003B6CF7">
        <w:rPr>
          <w:b/>
          <w:i/>
          <w:szCs w:val="24"/>
          <w:lang w:eastAsia="en-US"/>
        </w:rPr>
        <w:t>of</w:t>
      </w:r>
      <w:proofErr w:type="spellEnd"/>
      <w:r w:rsidRPr="003B6CF7">
        <w:rPr>
          <w:b/>
          <w:i/>
          <w:szCs w:val="24"/>
          <w:lang w:eastAsia="en-US"/>
        </w:rPr>
        <w:t xml:space="preserve"> status and </w:t>
      </w:r>
      <w:proofErr w:type="spellStart"/>
      <w:r w:rsidRPr="003B6CF7">
        <w:rPr>
          <w:b/>
          <w:i/>
          <w:szCs w:val="24"/>
          <w:lang w:eastAsia="en-US"/>
        </w:rPr>
        <w:t>pressures</w:t>
      </w:r>
      <w:proofErr w:type="spellEnd"/>
      <w:r w:rsidRPr="003B6CF7">
        <w:rPr>
          <w:b/>
          <w:i/>
          <w:szCs w:val="24"/>
          <w:lang w:eastAsia="en-US"/>
        </w:rPr>
        <w:t xml:space="preserve"> från 2018 ut vissa jordbruksmetoder som hinder för att uppnå god kemisk grundvattenstatus i unionen, med föroreningar i form av nitrater och bekämpningsmedel; samtidigt har en stadig minskning i användningen av mineralgödselmedel i näringsöverskottet observerats i EU under de senaste årtiondena</w:t>
      </w:r>
      <w:r w:rsidRPr="003B6CF7">
        <w:rPr>
          <w:szCs w:val="24"/>
          <w:vertAlign w:val="superscript"/>
          <w:lang w:val="en-GB" w:eastAsia="en-US"/>
        </w:rPr>
        <w:footnoteReference w:id="8"/>
      </w:r>
      <w:r w:rsidRPr="003B6CF7">
        <w:rPr>
          <w:b/>
          <w:i/>
          <w:szCs w:val="24"/>
          <w:lang w:eastAsia="en-US"/>
        </w:rPr>
        <w:t>. Andra betydande föroreningskällor utgörs av utsläpp som inte är kopplade till ett avloppssystem, förorenade platser och övergivna industriområden.</w:t>
      </w:r>
      <w:r w:rsidR="00540F6A" w:rsidRPr="003B6CF7">
        <w:rPr>
          <w:b/>
          <w:szCs w:val="24"/>
          <w:lang w:eastAsia="en-US"/>
        </w:rPr>
        <w:t xml:space="preserve"> [Ändr. 9]</w:t>
      </w:r>
    </w:p>
    <w:p w14:paraId="6C412BAF" w14:textId="76B307A1" w:rsidR="001831FD" w:rsidRPr="003B6CF7" w:rsidRDefault="001831FD" w:rsidP="001831FD">
      <w:pPr>
        <w:spacing w:before="120" w:after="120" w:line="360" w:lineRule="auto"/>
        <w:ind w:left="850" w:hanging="850"/>
        <w:rPr>
          <w:b/>
          <w:szCs w:val="24"/>
          <w:lang w:eastAsia="en-US"/>
        </w:rPr>
      </w:pPr>
      <w:r w:rsidRPr="003B6CF7">
        <w:rPr>
          <w:b/>
          <w:i/>
          <w:szCs w:val="24"/>
          <w:lang w:eastAsia="en-US"/>
        </w:rPr>
        <w:t>(1g)</w:t>
      </w:r>
      <w:r w:rsidRPr="003B6CF7">
        <w:rPr>
          <w:szCs w:val="24"/>
          <w:lang w:eastAsia="en-US"/>
        </w:rPr>
        <w:tab/>
      </w:r>
      <w:r w:rsidRPr="003B6CF7">
        <w:rPr>
          <w:b/>
          <w:i/>
          <w:szCs w:val="24"/>
          <w:lang w:eastAsia="en-US"/>
        </w:rPr>
        <w:t>En god status för vattenförekomster och en effektiv förvaltning av vattenresurser är en prioritering för jordbruket, eftersom jordbrukarna är beroende av vatten för att kunna bedriva sin verksamhet och därmed har ett egenintresse av en hållbar användning av denna resurs.</w:t>
      </w:r>
      <w:r w:rsidR="00540F6A" w:rsidRPr="003B6CF7">
        <w:rPr>
          <w:b/>
          <w:szCs w:val="24"/>
          <w:lang w:eastAsia="en-US"/>
        </w:rPr>
        <w:t xml:space="preserve"> [Ändr. 10]</w:t>
      </w:r>
    </w:p>
    <w:p w14:paraId="1B35CAEB" w14:textId="33FC1ACC" w:rsidR="001831FD" w:rsidRPr="003B6CF7" w:rsidRDefault="001831FD" w:rsidP="001831FD">
      <w:pPr>
        <w:spacing w:before="120" w:after="120" w:line="360" w:lineRule="auto"/>
        <w:ind w:left="850" w:hanging="850"/>
        <w:rPr>
          <w:b/>
          <w:szCs w:val="24"/>
          <w:lang w:eastAsia="en-US"/>
        </w:rPr>
      </w:pPr>
      <w:r w:rsidRPr="003B6CF7">
        <w:rPr>
          <w:b/>
          <w:i/>
          <w:szCs w:val="24"/>
          <w:lang w:eastAsia="en-US"/>
        </w:rPr>
        <w:t>(1h)</w:t>
      </w:r>
      <w:r w:rsidRPr="003B6CF7">
        <w:rPr>
          <w:szCs w:val="24"/>
          <w:lang w:eastAsia="en-US"/>
        </w:rPr>
        <w:tab/>
      </w:r>
      <w:r w:rsidRPr="003B6CF7">
        <w:rPr>
          <w:b/>
          <w:i/>
          <w:szCs w:val="24"/>
          <w:lang w:eastAsia="en-US"/>
        </w:rPr>
        <w:t>För att underlätta omställningen till en mer hållbar och produktiv jordbrukssektor som är motståndskraftig mot begränsningar i vattentillgången bör incitament införas för jordbrukare i syfte att förbättra vattenförvaltningen och moderniseringen av bevattningssystem och bevattningsmetoder.</w:t>
      </w:r>
      <w:r w:rsidR="00540F6A" w:rsidRPr="003B6CF7">
        <w:rPr>
          <w:b/>
          <w:szCs w:val="24"/>
          <w:lang w:eastAsia="en-US"/>
        </w:rPr>
        <w:t xml:space="preserve"> [Ändr. 11]</w:t>
      </w:r>
    </w:p>
    <w:p w14:paraId="460EEDB2" w14:textId="77777777" w:rsidR="00BD5295" w:rsidRPr="003B6CF7" w:rsidRDefault="00BD5295">
      <w:pPr>
        <w:widowControl/>
        <w:rPr>
          <w:b/>
          <w:i/>
          <w:szCs w:val="24"/>
          <w:lang w:eastAsia="en-US"/>
        </w:rPr>
      </w:pPr>
      <w:r w:rsidRPr="003B6CF7">
        <w:rPr>
          <w:b/>
          <w:i/>
          <w:szCs w:val="24"/>
          <w:lang w:eastAsia="en-US"/>
        </w:rPr>
        <w:br w:type="page"/>
      </w:r>
    </w:p>
    <w:p w14:paraId="79B65409" w14:textId="068D0670"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(1i)</w:t>
      </w:r>
      <w:r w:rsidRPr="003B6CF7">
        <w:rPr>
          <w:szCs w:val="24"/>
          <w:lang w:eastAsia="en-US"/>
        </w:rPr>
        <w:tab/>
      </w:r>
      <w:r w:rsidRPr="003B6CF7">
        <w:rPr>
          <w:b/>
          <w:i/>
          <w:szCs w:val="24"/>
          <w:lang w:eastAsia="en-US"/>
        </w:rPr>
        <w:t>Bekämpningsmedel kan ha en allvarlig inverkan på kvaliteten och kvantiteten på det vatten som finns tillgängligt för användning i jordbruket, med negativa effekter för den biologiska mångfalden både i vattenmiljöer och på land. Det är därför lämpligt att övervaka vilka effekter och ekotoxikologiska följder bekämpningsmedel och deras metaboliter får i vattenförekomster.</w:t>
      </w:r>
      <w:r w:rsidR="00540F6A" w:rsidRPr="003B6CF7">
        <w:rPr>
          <w:b/>
          <w:szCs w:val="24"/>
          <w:lang w:eastAsia="en-US"/>
        </w:rPr>
        <w:t xml:space="preserve"> [Ändr. 12]</w:t>
      </w:r>
    </w:p>
    <w:p w14:paraId="62C2E616" w14:textId="0E9776B8" w:rsidR="001831FD" w:rsidRPr="003B6CF7" w:rsidRDefault="001831FD" w:rsidP="001831FD">
      <w:pPr>
        <w:spacing w:before="120" w:after="120" w:line="360" w:lineRule="auto"/>
        <w:ind w:left="850" w:hanging="850"/>
        <w:rPr>
          <w:b/>
          <w:szCs w:val="24"/>
          <w:lang w:eastAsia="en-US"/>
        </w:rPr>
      </w:pPr>
      <w:r w:rsidRPr="003B6CF7">
        <w:rPr>
          <w:b/>
          <w:i/>
          <w:szCs w:val="24"/>
          <w:lang w:eastAsia="en-US"/>
        </w:rPr>
        <w:t>(1j)</w:t>
      </w:r>
      <w:r w:rsidRPr="003B6CF7">
        <w:rPr>
          <w:szCs w:val="24"/>
          <w:lang w:eastAsia="en-US"/>
        </w:rPr>
        <w:tab/>
      </w:r>
      <w:r w:rsidRPr="003B6CF7">
        <w:rPr>
          <w:b/>
          <w:i/>
          <w:szCs w:val="24"/>
          <w:lang w:eastAsia="en-US"/>
        </w:rPr>
        <w:t xml:space="preserve">Det är viktigt att beakta de insatser som hittills har gjorts i sektorer som jordbruket, där den </w:t>
      </w:r>
      <w:proofErr w:type="spellStart"/>
      <w:r w:rsidRPr="003B6CF7">
        <w:rPr>
          <w:b/>
          <w:i/>
          <w:szCs w:val="24"/>
          <w:lang w:eastAsia="en-US"/>
        </w:rPr>
        <w:t>fytosanitära</w:t>
      </w:r>
      <w:proofErr w:type="spellEnd"/>
      <w:r w:rsidRPr="003B6CF7">
        <w:rPr>
          <w:b/>
          <w:i/>
          <w:szCs w:val="24"/>
          <w:lang w:eastAsia="en-US"/>
        </w:rPr>
        <w:t xml:space="preserve"> föroreningen redan har kunnat minskas med 14 % jämfört med 2015–2017 och med 26 % sett till de mest skadliga förorenande ämnena. Siffrorna visar därför en kontinuerligt minskad användning av och risk med kemikalier, och 2020 minskade användningen av bekämpningsmedel, särskilt de allra farligaste</w:t>
      </w:r>
      <w:r w:rsidRPr="003B6CF7">
        <w:rPr>
          <w:szCs w:val="24"/>
          <w:vertAlign w:val="superscript"/>
          <w:lang w:val="en-GB" w:eastAsia="en-US"/>
        </w:rPr>
        <w:footnoteReference w:id="9"/>
      </w:r>
      <w:r w:rsidRPr="003B6CF7">
        <w:rPr>
          <w:b/>
          <w:i/>
          <w:szCs w:val="24"/>
          <w:lang w:eastAsia="en-US"/>
        </w:rPr>
        <w:t>, kraftigt för andra året i rad.</w:t>
      </w:r>
      <w:r w:rsidR="00540F6A" w:rsidRPr="003B6CF7">
        <w:rPr>
          <w:b/>
          <w:szCs w:val="24"/>
          <w:lang w:eastAsia="en-US"/>
        </w:rPr>
        <w:t xml:space="preserve"> [Ändr. 13]</w:t>
      </w:r>
    </w:p>
    <w:p w14:paraId="778E1F95" w14:textId="77777777" w:rsidR="00BD5295" w:rsidRPr="003B6CF7" w:rsidRDefault="00BD5295">
      <w:pPr>
        <w:widowControl/>
        <w:rPr>
          <w:b/>
          <w:i/>
          <w:szCs w:val="24"/>
          <w:lang w:eastAsia="en-US"/>
        </w:rPr>
      </w:pPr>
      <w:r w:rsidRPr="003B6CF7">
        <w:rPr>
          <w:b/>
          <w:i/>
          <w:szCs w:val="24"/>
          <w:lang w:eastAsia="en-US"/>
        </w:rPr>
        <w:br w:type="page"/>
      </w:r>
    </w:p>
    <w:p w14:paraId="6A01CDE7" w14:textId="09196DC7"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(1k)</w:t>
      </w:r>
      <w:r w:rsidRPr="003B6CF7">
        <w:rPr>
          <w:szCs w:val="24"/>
          <w:lang w:eastAsia="en-US"/>
        </w:rPr>
        <w:tab/>
      </w:r>
      <w:r w:rsidRPr="003B6CF7">
        <w:rPr>
          <w:b/>
          <w:i/>
          <w:szCs w:val="24"/>
          <w:lang w:eastAsia="en-US"/>
        </w:rPr>
        <w:t xml:space="preserve">Kemisk förorening av yt- och grundvatten utgör även en risk för jordbruket genom att begränsa tillgången på vatten som lämpar sig för bevattning av grödor och ytterligare förvärra vattenbristen. Unionen och medlemsstaterna bör därför öka stödet till forskning och innovation för att snabbt sätta in lösningar i syfte att bekämpa bristen på och föroreningarna av yt- och grundvatten, bland annat genom digitalisering, precisionsjordbruk, optimerad och moderniserad bevattning och en cirkulär resursanvändning för en förbättrad </w:t>
      </w:r>
      <w:proofErr w:type="spellStart"/>
      <w:r w:rsidRPr="003B6CF7">
        <w:rPr>
          <w:b/>
          <w:i/>
          <w:szCs w:val="24"/>
          <w:lang w:eastAsia="en-US"/>
        </w:rPr>
        <w:t>klimatresilient</w:t>
      </w:r>
      <w:proofErr w:type="spellEnd"/>
      <w:r w:rsidRPr="003B6CF7">
        <w:rPr>
          <w:b/>
          <w:i/>
          <w:szCs w:val="24"/>
          <w:lang w:eastAsia="en-US"/>
        </w:rPr>
        <w:t xml:space="preserve"> vattenförvaltning och en mer träffsäker användning av bekämpnings- och gödningsmedel för grödor, mindre förorenande och säkrare alternativ till jordbruksinsatsvaror, mer motståndskraftiga och näringseffektiva sorter av grödor och ökad användning av renat avloppsvatten för jordbruksbevattning. Detta bör bidra till att uppnå ett hållbart och motståndskraftigt livsmedelssystem i unionen och samtidigt minska de diffusa föroreningarna från jordbruket och behovet av uttag i jordbruket.</w:t>
      </w:r>
      <w:r w:rsidR="00540F6A" w:rsidRPr="003B6CF7">
        <w:rPr>
          <w:b/>
          <w:szCs w:val="24"/>
          <w:lang w:eastAsia="en-US"/>
        </w:rPr>
        <w:t xml:space="preserve"> [Ändr. 14]</w:t>
      </w:r>
    </w:p>
    <w:p w14:paraId="20E37502" w14:textId="77777777" w:rsidR="00BD5295" w:rsidRPr="003B6CF7" w:rsidRDefault="00BD5295">
      <w:pPr>
        <w:widowControl/>
        <w:rPr>
          <w:szCs w:val="24"/>
          <w:lang w:eastAsia="en-US"/>
        </w:rPr>
      </w:pPr>
      <w:r w:rsidRPr="003B6CF7">
        <w:rPr>
          <w:szCs w:val="24"/>
          <w:lang w:eastAsia="en-US"/>
        </w:rPr>
        <w:br w:type="page"/>
      </w:r>
    </w:p>
    <w:p w14:paraId="6245170B" w14:textId="225E90B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w:t>
      </w:r>
      <w:r w:rsidRPr="003B6CF7">
        <w:rPr>
          <w:szCs w:val="24"/>
          <w:lang w:eastAsia="en-US"/>
        </w:rPr>
        <w:tab/>
        <w:t>I enlighet med artikel 191.2 andra meningen i fördraget om Europeiska unionens funktionssätt (EUF-fördraget) ska unionens miljöpolitik bygga på försiktighetsprincipen och på principerna att förebyggande åtgärder ska vidtas, att miljöförstöring företrädesvis ska hejdas vid källan och att förorenaren ska betala.</w:t>
      </w:r>
    </w:p>
    <w:p w14:paraId="0F91F211" w14:textId="798E575D" w:rsidR="001831FD" w:rsidRPr="003B6CF7" w:rsidRDefault="001831FD" w:rsidP="001831FD">
      <w:pPr>
        <w:spacing w:before="120" w:after="120" w:line="360" w:lineRule="auto"/>
        <w:ind w:left="850" w:hanging="850"/>
        <w:rPr>
          <w:b/>
          <w:szCs w:val="24"/>
          <w:lang w:eastAsia="en-US"/>
        </w:rPr>
      </w:pPr>
      <w:r w:rsidRPr="003B6CF7">
        <w:rPr>
          <w:b/>
          <w:i/>
          <w:szCs w:val="24"/>
          <w:lang w:eastAsia="en-US"/>
        </w:rPr>
        <w:t>(2a)</w:t>
      </w:r>
      <w:r w:rsidRPr="003B6CF7">
        <w:rPr>
          <w:szCs w:val="24"/>
          <w:lang w:eastAsia="en-US"/>
        </w:rPr>
        <w:tab/>
      </w:r>
      <w:r w:rsidRPr="003B6CF7">
        <w:rPr>
          <w:b/>
          <w:i/>
          <w:szCs w:val="24"/>
          <w:lang w:eastAsia="en-US"/>
        </w:rPr>
        <w:t>I strävan efter att uppnå en hög miljöskyddsnivå och i genomförandet av handlingsplanen för nollförorening bör unionen beakta de många olika situationer som råder i olika regioner i unionen, inverkan på livsmedelstryggheten, livsmedelsproduktionen och överkomliga livsmedelspriser samt en hälsosam och hållbar kost.</w:t>
      </w:r>
      <w:r w:rsidR="00540F6A" w:rsidRPr="003B6CF7">
        <w:rPr>
          <w:b/>
          <w:szCs w:val="24"/>
          <w:lang w:eastAsia="en-US"/>
        </w:rPr>
        <w:t xml:space="preserve"> [Ändr. 15]</w:t>
      </w:r>
    </w:p>
    <w:p w14:paraId="6B5A704E" w14:textId="77777777" w:rsidR="00BD5295" w:rsidRPr="003B6CF7" w:rsidRDefault="00BD5295">
      <w:pPr>
        <w:widowControl/>
        <w:rPr>
          <w:szCs w:val="24"/>
          <w:lang w:eastAsia="en-US"/>
        </w:rPr>
      </w:pPr>
      <w:r w:rsidRPr="003B6CF7">
        <w:rPr>
          <w:szCs w:val="24"/>
          <w:lang w:eastAsia="en-US"/>
        </w:rPr>
        <w:br w:type="page"/>
      </w:r>
    </w:p>
    <w:p w14:paraId="6D002D52" w14:textId="510C991B"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(3)</w:t>
      </w:r>
      <w:r w:rsidRPr="003B6CF7">
        <w:rPr>
          <w:szCs w:val="24"/>
          <w:lang w:eastAsia="en-US"/>
        </w:rPr>
        <w:tab/>
        <w:t>Den europeiska gröna given</w:t>
      </w:r>
      <w:r w:rsidRPr="003B6CF7">
        <w:rPr>
          <w:szCs w:val="24"/>
          <w:vertAlign w:val="superscript"/>
          <w:lang w:val="en-GB" w:eastAsia="en-US"/>
        </w:rPr>
        <w:footnoteReference w:id="10"/>
      </w:r>
      <w:r w:rsidRPr="003B6CF7">
        <w:rPr>
          <w:szCs w:val="24"/>
          <w:lang w:eastAsia="en-US"/>
        </w:rPr>
        <w:t xml:space="preserve"> är EU:s strategi för att senast 2050 säkerställa en klimatneutral, ren och cirkulär ekonomi genom att optimera resursförvaltningen samtidigt som föroreningarna minimeras. EU:s kemikaliestrategi för hållbarhet</w:t>
      </w:r>
      <w:r w:rsidRPr="003B6CF7">
        <w:rPr>
          <w:szCs w:val="24"/>
          <w:vertAlign w:val="superscript"/>
          <w:lang w:val="en-GB" w:eastAsia="en-US"/>
        </w:rPr>
        <w:footnoteReference w:id="11"/>
      </w:r>
      <w:r w:rsidRPr="003B6CF7">
        <w:rPr>
          <w:szCs w:val="24"/>
          <w:lang w:eastAsia="en-US"/>
        </w:rPr>
        <w:t xml:space="preserve"> och handlingsplanen för nollförorening</w:t>
      </w:r>
      <w:r w:rsidRPr="003B6CF7">
        <w:rPr>
          <w:szCs w:val="24"/>
          <w:vertAlign w:val="superscript"/>
          <w:lang w:val="en-GB" w:eastAsia="en-US"/>
        </w:rPr>
        <w:footnoteReference w:id="12"/>
      </w:r>
      <w:r w:rsidRPr="003B6CF7">
        <w:rPr>
          <w:szCs w:val="24"/>
          <w:lang w:eastAsia="en-US"/>
        </w:rPr>
        <w:t xml:space="preserve"> tar särskilt upp föroreningsaspekterna av den europeiska gröna given. Andra särskilt relevanta och kompletterande strategier är EU:s plaststrategi från 2018</w:t>
      </w:r>
      <w:r w:rsidRPr="003B6CF7">
        <w:rPr>
          <w:szCs w:val="24"/>
          <w:vertAlign w:val="superscript"/>
          <w:lang w:val="en-GB" w:eastAsia="en-US"/>
        </w:rPr>
        <w:footnoteReference w:id="13"/>
      </w:r>
      <w:r w:rsidRPr="003B6CF7">
        <w:rPr>
          <w:szCs w:val="24"/>
          <w:lang w:eastAsia="en-US"/>
        </w:rPr>
        <w:t>, läkemedelsstrategin för Europa från 2021</w:t>
      </w:r>
      <w:r w:rsidRPr="003B6CF7">
        <w:rPr>
          <w:szCs w:val="24"/>
          <w:vertAlign w:val="superscript"/>
          <w:lang w:val="en-GB" w:eastAsia="en-US"/>
        </w:rPr>
        <w:footnoteReference w:id="14"/>
      </w:r>
      <w:r w:rsidRPr="003B6CF7">
        <w:rPr>
          <w:szCs w:val="24"/>
          <w:lang w:eastAsia="en-US"/>
        </w:rPr>
        <w:t>, strategin för biologisk mångfald</w:t>
      </w:r>
      <w:r w:rsidRPr="003B6CF7">
        <w:rPr>
          <w:szCs w:val="24"/>
          <w:vertAlign w:val="superscript"/>
          <w:lang w:val="en-GB" w:eastAsia="en-US"/>
        </w:rPr>
        <w:footnoteReference w:id="15"/>
      </w:r>
      <w:r w:rsidRPr="003B6CF7">
        <w:rPr>
          <w:szCs w:val="24"/>
          <w:lang w:eastAsia="en-US"/>
        </w:rPr>
        <w:t>, från jord till bord-strategin</w:t>
      </w:r>
      <w:r w:rsidRPr="003B6CF7">
        <w:rPr>
          <w:szCs w:val="24"/>
          <w:vertAlign w:val="superscript"/>
          <w:lang w:val="en-GB" w:eastAsia="en-US"/>
        </w:rPr>
        <w:footnoteReference w:id="16"/>
      </w:r>
      <w:r w:rsidRPr="003B6CF7">
        <w:rPr>
          <w:szCs w:val="24"/>
          <w:lang w:eastAsia="en-US"/>
        </w:rPr>
        <w:t>, EU:s markstrategi för 2030</w:t>
      </w:r>
      <w:r w:rsidRPr="003B6CF7">
        <w:rPr>
          <w:szCs w:val="24"/>
          <w:vertAlign w:val="superscript"/>
          <w:lang w:val="en-GB" w:eastAsia="en-US"/>
        </w:rPr>
        <w:footnoteReference w:id="17"/>
      </w:r>
      <w:r w:rsidRPr="003B6CF7">
        <w:rPr>
          <w:szCs w:val="24"/>
          <w:lang w:eastAsia="en-US"/>
        </w:rPr>
        <w:t>, EU:s digitala strategi</w:t>
      </w:r>
      <w:r w:rsidRPr="003B6CF7">
        <w:rPr>
          <w:szCs w:val="24"/>
          <w:vertAlign w:val="superscript"/>
          <w:lang w:val="en-GB" w:eastAsia="en-US"/>
        </w:rPr>
        <w:footnoteReference w:id="18"/>
      </w:r>
      <w:r w:rsidRPr="003B6CF7">
        <w:rPr>
          <w:szCs w:val="24"/>
          <w:lang w:eastAsia="en-US"/>
        </w:rPr>
        <w:t xml:space="preserve"> och EU:s datastrategi</w:t>
      </w:r>
      <w:r w:rsidRPr="003B6CF7">
        <w:rPr>
          <w:szCs w:val="24"/>
          <w:vertAlign w:val="superscript"/>
          <w:lang w:val="en-GB" w:eastAsia="en-US"/>
        </w:rPr>
        <w:footnoteReference w:id="19"/>
      </w:r>
      <w:r w:rsidRPr="003B6CF7">
        <w:rPr>
          <w:szCs w:val="24"/>
          <w:lang w:eastAsia="en-US"/>
        </w:rPr>
        <w:t>.</w:t>
      </w:r>
    </w:p>
    <w:p w14:paraId="3A50524D" w14:textId="77777777" w:rsidR="00BD5295" w:rsidRPr="003B6CF7" w:rsidRDefault="00BD5295">
      <w:pPr>
        <w:widowControl/>
        <w:rPr>
          <w:b/>
          <w:i/>
          <w:szCs w:val="24"/>
          <w:lang w:eastAsia="en-US"/>
        </w:rPr>
      </w:pPr>
      <w:r w:rsidRPr="003B6CF7">
        <w:rPr>
          <w:b/>
          <w:i/>
          <w:szCs w:val="24"/>
          <w:lang w:eastAsia="en-US"/>
        </w:rPr>
        <w:br w:type="page"/>
      </w:r>
    </w:p>
    <w:p w14:paraId="3AD79701" w14:textId="579AA4C3"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(3a)</w:t>
      </w:r>
      <w:r w:rsidRPr="003B6CF7">
        <w:rPr>
          <w:szCs w:val="24"/>
          <w:lang w:eastAsia="en-US"/>
        </w:rPr>
        <w:tab/>
      </w:r>
      <w:r w:rsidRPr="003B6CF7">
        <w:rPr>
          <w:b/>
          <w:i/>
          <w:szCs w:val="24"/>
          <w:lang w:eastAsia="en-US"/>
        </w:rPr>
        <w:t>Målen om att uppnå en ”god status för vattenförekomster” och säkerställa vattentillgång är av övergripande natur, och arbetet med dem bedrivs ofta inte på ett tillräckligt enhetligt sätt. God vattenförvaltning bör integreras i all unionspolitik som rör vattenanvändande sektorer.</w:t>
      </w:r>
      <w:r w:rsidR="00540F6A" w:rsidRPr="003B6CF7">
        <w:rPr>
          <w:b/>
          <w:szCs w:val="24"/>
          <w:lang w:eastAsia="en-US"/>
        </w:rPr>
        <w:t xml:space="preserve"> [Ändr. 16]</w:t>
      </w:r>
    </w:p>
    <w:p w14:paraId="7BC8D0B6" w14:textId="481D82BB" w:rsidR="001831FD" w:rsidRPr="003B6CF7" w:rsidRDefault="001831FD" w:rsidP="001831FD">
      <w:pPr>
        <w:spacing w:before="120" w:after="120" w:line="360" w:lineRule="auto"/>
        <w:ind w:left="850" w:hanging="850"/>
        <w:rPr>
          <w:b/>
          <w:szCs w:val="24"/>
          <w:lang w:eastAsia="en-US"/>
        </w:rPr>
      </w:pPr>
      <w:r w:rsidRPr="003B6CF7">
        <w:rPr>
          <w:b/>
          <w:i/>
          <w:szCs w:val="24"/>
          <w:lang w:eastAsia="en-US"/>
        </w:rPr>
        <w:t>(3b)</w:t>
      </w:r>
      <w:r w:rsidRPr="003B6CF7">
        <w:rPr>
          <w:szCs w:val="24"/>
          <w:lang w:eastAsia="en-US"/>
        </w:rPr>
        <w:tab/>
      </w:r>
      <w:r w:rsidRPr="003B6CF7">
        <w:rPr>
          <w:b/>
          <w:i/>
          <w:szCs w:val="24"/>
          <w:lang w:eastAsia="en-US"/>
        </w:rPr>
        <w:t>I kontrollen av ändamålsenligheten påpekades att vattenmålen måste integreras bättre i jordbrukspolitiken. Genom den nya gemensamma jordbrukspolitiken har det införts åtgärder som gör vattenförvaltningen mer hållbar. För ökad samstämmighet mellan jordbruks- och vattenpolitiken bör medlemsstaterna dra full nytta av de tillgängliga möjligheterna i den nya gemensamma jordbrukspolitiken och till fullo integrera vattenfrågor i sina strategiska planer, inklusive användning av kunskaps- och innovationssystem inom jordbruket (Akis), samt underlätta utveckling av rådgivningstjänster för att främja bästa praxis i fråga om vattenförvaltning.</w:t>
      </w:r>
      <w:r w:rsidR="00540F6A" w:rsidRPr="003B6CF7">
        <w:rPr>
          <w:b/>
          <w:szCs w:val="24"/>
          <w:lang w:eastAsia="en-US"/>
        </w:rPr>
        <w:t xml:space="preserve"> [Ändr. 17]</w:t>
      </w:r>
    </w:p>
    <w:p w14:paraId="5197214D" w14:textId="77777777" w:rsidR="00BD5295" w:rsidRPr="003B6CF7" w:rsidRDefault="00BD5295">
      <w:pPr>
        <w:widowControl/>
        <w:rPr>
          <w:szCs w:val="24"/>
          <w:lang w:eastAsia="en-US"/>
        </w:rPr>
      </w:pPr>
      <w:r w:rsidRPr="003B6CF7">
        <w:rPr>
          <w:szCs w:val="24"/>
          <w:lang w:eastAsia="en-US"/>
        </w:rPr>
        <w:br w:type="page"/>
      </w:r>
    </w:p>
    <w:p w14:paraId="61FBBDAB" w14:textId="0D07ED6A"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(4)</w:t>
      </w:r>
      <w:r w:rsidRPr="003B6CF7">
        <w:rPr>
          <w:szCs w:val="24"/>
          <w:lang w:eastAsia="en-US"/>
        </w:rPr>
        <w:tab/>
        <w:t>I Europaparlamentets och rådets direktiv 2000/60/EG</w:t>
      </w:r>
      <w:r w:rsidRPr="003B6CF7">
        <w:rPr>
          <w:szCs w:val="24"/>
          <w:vertAlign w:val="superscript"/>
          <w:lang w:val="en-GB" w:eastAsia="en-US"/>
        </w:rPr>
        <w:footnoteReference w:id="20"/>
      </w:r>
      <w:r w:rsidRPr="003B6CF7">
        <w:rPr>
          <w:szCs w:val="24"/>
          <w:lang w:eastAsia="en-US"/>
        </w:rPr>
        <w:t xml:space="preserve"> fastställs en ram för skyddet av unionens inlandsytvatten, vatten i övergångszon, kustvatten och grundvatten. Genom denna ram identifieras prioriterade ämnen bland dem som utgör en betydande risk för, eller via, vattenmiljön på unionsnivå. I Europaparlamentets och rådets direktiv 2008/105/EG</w:t>
      </w:r>
      <w:r w:rsidRPr="003B6CF7">
        <w:rPr>
          <w:szCs w:val="24"/>
          <w:vertAlign w:val="superscript"/>
          <w:lang w:val="en-GB" w:eastAsia="en-US"/>
        </w:rPr>
        <w:footnoteReference w:id="21"/>
      </w:r>
      <w:r w:rsidRPr="003B6CF7">
        <w:rPr>
          <w:szCs w:val="24"/>
          <w:lang w:eastAsia="en-US"/>
        </w:rPr>
        <w:t xml:space="preserve"> fastställs unionsomfattande miljökvalitetsnormer för de 45 prioriterade ämnen som förtecknas i bilaga X till direktiv 2000/60/EG och åtta andra förorenande ämnen som redan reglerades på unionsnivå innan bilaga X infördes genom Europaparlamentets och rådets beslut nr 2455/2001/EG</w:t>
      </w:r>
      <w:r w:rsidRPr="003B6CF7">
        <w:rPr>
          <w:szCs w:val="24"/>
          <w:vertAlign w:val="superscript"/>
          <w:lang w:val="en-GB" w:eastAsia="en-US"/>
        </w:rPr>
        <w:footnoteReference w:id="22"/>
      </w:r>
      <w:r w:rsidRPr="003B6CF7">
        <w:rPr>
          <w:szCs w:val="24"/>
          <w:lang w:eastAsia="en-US"/>
        </w:rPr>
        <w:t>. I Europaparlamentets och rådets direktiv 2006/118/EG</w:t>
      </w:r>
      <w:r w:rsidRPr="003B6CF7">
        <w:rPr>
          <w:szCs w:val="24"/>
          <w:vertAlign w:val="superscript"/>
          <w:lang w:val="en-GB" w:eastAsia="en-US"/>
        </w:rPr>
        <w:footnoteReference w:id="23"/>
      </w:r>
      <w:r w:rsidRPr="003B6CF7">
        <w:rPr>
          <w:szCs w:val="24"/>
          <w:lang w:eastAsia="en-US"/>
        </w:rPr>
        <w:t xml:space="preserve"> fastställs unionsomfattande kvalitetsnormer för grundvatten för nitrater och för aktiva ämnen i bekämpningsmedel samt kriterier för fastställande av nationella tröskelvärden för andra förorenande ämnen i grundvatten. Det innehåller också en minimiförteckning över tolv förorenande ämnen och deras indikatorer för vilka medlemsstaterna är skyldiga att </w:t>
      </w:r>
      <w:r w:rsidRPr="003B6CF7">
        <w:rPr>
          <w:strike/>
          <w:szCs w:val="24"/>
          <w:lang w:eastAsia="en-US"/>
        </w:rPr>
        <w:t xml:space="preserve">överväga att </w:t>
      </w:r>
      <w:r w:rsidRPr="003B6CF7">
        <w:rPr>
          <w:szCs w:val="24"/>
          <w:lang w:eastAsia="en-US"/>
        </w:rPr>
        <w:t>fastställa sådana nationella tröskelvärden. Kvalitetsnormerna för grundvatten fastställs i bilaga I till direktiv 2006/118/EG.</w:t>
      </w:r>
      <w:r w:rsidR="00540F6A" w:rsidRPr="003B6CF7">
        <w:rPr>
          <w:b/>
          <w:szCs w:val="24"/>
          <w:lang w:eastAsia="en-US"/>
        </w:rPr>
        <w:t xml:space="preserve"> [Ändr. 18]</w:t>
      </w:r>
    </w:p>
    <w:p w14:paraId="525E4D24" w14:textId="77777777" w:rsidR="00BD5295" w:rsidRPr="003B6CF7" w:rsidRDefault="00BD5295">
      <w:pPr>
        <w:widowControl/>
        <w:rPr>
          <w:b/>
          <w:i/>
          <w:szCs w:val="24"/>
          <w:lang w:eastAsia="en-US"/>
        </w:rPr>
      </w:pPr>
      <w:r w:rsidRPr="003B6CF7">
        <w:rPr>
          <w:b/>
          <w:i/>
          <w:szCs w:val="24"/>
          <w:lang w:eastAsia="en-US"/>
        </w:rPr>
        <w:br w:type="page"/>
      </w:r>
    </w:p>
    <w:p w14:paraId="11A8242A" w14:textId="4F8DBA5B"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(4a)</w:t>
      </w:r>
      <w:r w:rsidRPr="003B6CF7">
        <w:rPr>
          <w:szCs w:val="24"/>
          <w:lang w:eastAsia="en-US"/>
        </w:rPr>
        <w:tab/>
      </w:r>
      <w:r w:rsidRPr="003B6CF7">
        <w:rPr>
          <w:b/>
          <w:i/>
          <w:szCs w:val="24"/>
          <w:lang w:eastAsia="en-US"/>
        </w:rPr>
        <w:t>Medlemsstaterna bör se till att föroreningar genom utsläpp eller spill av prioriterade farliga ämnen upphör eller elimineras stegvis inom en lämplig tidsram och under alla omständigheter senast 20 år efter det att ett visst prioriterat ämne förtecknats som farligt i del A i bilaga I till direktiv 2008/105/EG. Denna tidsram bör gälla utan att det påverkar tillämpningen av striktare tidsramar i annan tillämplig unionslagstiftning.</w:t>
      </w:r>
      <w:r w:rsidR="00540F6A" w:rsidRPr="003B6CF7">
        <w:rPr>
          <w:b/>
          <w:szCs w:val="24"/>
          <w:lang w:eastAsia="en-US"/>
        </w:rPr>
        <w:t xml:space="preserve"> [Ändr. 19]</w:t>
      </w:r>
    </w:p>
    <w:p w14:paraId="7A8006F7" w14:textId="6ED8C4B0" w:rsidR="001831FD" w:rsidRPr="003B6CF7" w:rsidRDefault="001831FD" w:rsidP="001831FD">
      <w:pPr>
        <w:spacing w:before="120" w:after="120" w:line="360" w:lineRule="auto"/>
        <w:ind w:left="850" w:hanging="850"/>
        <w:rPr>
          <w:b/>
          <w:szCs w:val="24"/>
          <w:lang w:eastAsia="en-US"/>
        </w:rPr>
      </w:pPr>
      <w:r w:rsidRPr="003B6CF7">
        <w:rPr>
          <w:szCs w:val="24"/>
          <w:lang w:eastAsia="en-US"/>
        </w:rPr>
        <w:t>(5)</w:t>
      </w:r>
      <w:r w:rsidRPr="003B6CF7">
        <w:rPr>
          <w:szCs w:val="24"/>
          <w:lang w:eastAsia="en-US"/>
        </w:rPr>
        <w:tab/>
        <w:t xml:space="preserve">Ämnen övervägs för upptagande i bilaga X till direktiv 2000/60/EG eller i bilaga I eller bilaga II till direktiv 2006/118/EG på grundval av en bedömning av den risk de utgör för människor och vattenmiljön. De viktigaste faktorerna i denna bedömning är kunskap om ämnenas miljökoncentration, inklusive information som samlats in genom övervakning av bevakningslistan, och om ämnenas (eko)toxikologi samt deras persistens, bioackumulering, </w:t>
      </w:r>
      <w:r w:rsidRPr="003B6CF7">
        <w:rPr>
          <w:b/>
          <w:i/>
          <w:szCs w:val="24"/>
          <w:lang w:eastAsia="en-US"/>
        </w:rPr>
        <w:t xml:space="preserve">toxicitet, mobilitet, </w:t>
      </w:r>
      <w:proofErr w:type="spellStart"/>
      <w:r w:rsidRPr="003B6CF7">
        <w:rPr>
          <w:szCs w:val="24"/>
          <w:lang w:eastAsia="en-US"/>
        </w:rPr>
        <w:t>cancerogenitet</w:t>
      </w:r>
      <w:proofErr w:type="spellEnd"/>
      <w:r w:rsidRPr="003B6CF7">
        <w:rPr>
          <w:szCs w:val="24"/>
          <w:lang w:eastAsia="en-US"/>
        </w:rPr>
        <w:t xml:space="preserve">, </w:t>
      </w:r>
      <w:proofErr w:type="spellStart"/>
      <w:r w:rsidRPr="003B6CF7">
        <w:rPr>
          <w:szCs w:val="24"/>
          <w:lang w:eastAsia="en-US"/>
        </w:rPr>
        <w:t>mutagenitet</w:t>
      </w:r>
      <w:proofErr w:type="spellEnd"/>
      <w:r w:rsidRPr="003B6CF7">
        <w:rPr>
          <w:szCs w:val="24"/>
          <w:lang w:eastAsia="en-US"/>
        </w:rPr>
        <w:t>, reproduktionstoxicitet och hormonstörande potential.</w:t>
      </w:r>
      <w:r w:rsidR="00540F6A" w:rsidRPr="003B6CF7">
        <w:rPr>
          <w:b/>
          <w:szCs w:val="24"/>
          <w:lang w:eastAsia="en-US"/>
        </w:rPr>
        <w:t xml:space="preserve"> [Ändr. 20]</w:t>
      </w:r>
    </w:p>
    <w:p w14:paraId="651016B8" w14:textId="77777777" w:rsidR="00BD5295" w:rsidRPr="003B6CF7" w:rsidRDefault="00BD5295">
      <w:pPr>
        <w:widowControl/>
        <w:rPr>
          <w:szCs w:val="24"/>
          <w:lang w:eastAsia="en-US"/>
        </w:rPr>
      </w:pPr>
      <w:r w:rsidRPr="003B6CF7">
        <w:rPr>
          <w:szCs w:val="24"/>
          <w:lang w:eastAsia="en-US"/>
        </w:rPr>
        <w:br w:type="page"/>
      </w:r>
    </w:p>
    <w:p w14:paraId="1C983C46" w14:textId="06C23FA3"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(6)</w:t>
      </w:r>
      <w:r w:rsidRPr="003B6CF7">
        <w:rPr>
          <w:szCs w:val="24"/>
          <w:lang w:eastAsia="en-US"/>
        </w:rPr>
        <w:tab/>
        <w:t xml:space="preserve">Kommissionen har genomfört en översyn av förteckningen över prioriterade ämnen i bilaga X till direktiv 2000/60/EG i enlighet med artikel 16.4 i det direktivet och artikel 8 i direktiv 2008/105/EG, och en översyn av förteckningarna över ämnen i bilagorna I och II till direktiv 2006/118/EG i enlighet med artikel 10 i det direktivet, och har, mot bakgrund av nya vetenskapliga rön, dragit slutsatsen att det är lämpligt att ändra dessa förteckningar genom att lägga till nya ämnen, fastställa miljökvalitetsnormer för dessa nya ämnen, se över miljökvalitetsnormerna för vissa befintliga ämnen i enlighet med den senaste vetenskapliga utvecklingen, och fastställa miljökvalitetsnormer för </w:t>
      </w:r>
      <w:proofErr w:type="spellStart"/>
      <w:r w:rsidRPr="003B6CF7">
        <w:rPr>
          <w:szCs w:val="24"/>
          <w:lang w:eastAsia="en-US"/>
        </w:rPr>
        <w:t>biota</w:t>
      </w:r>
      <w:proofErr w:type="spellEnd"/>
      <w:r w:rsidRPr="003B6CF7">
        <w:rPr>
          <w:szCs w:val="24"/>
          <w:lang w:eastAsia="en-US"/>
        </w:rPr>
        <w:t xml:space="preserve"> för vissa befintliga och nya ämnen. Kommissionen har också identifierat vilka ytterligare ämnen som sannolikt ackumuleras i sediment eller </w:t>
      </w:r>
      <w:proofErr w:type="spellStart"/>
      <w:r w:rsidRPr="003B6CF7">
        <w:rPr>
          <w:szCs w:val="24"/>
          <w:lang w:eastAsia="en-US"/>
        </w:rPr>
        <w:t>biota</w:t>
      </w:r>
      <w:proofErr w:type="spellEnd"/>
      <w:r w:rsidRPr="003B6CF7">
        <w:rPr>
          <w:szCs w:val="24"/>
          <w:lang w:eastAsia="en-US"/>
        </w:rPr>
        <w:t xml:space="preserve">, och klargjort att trendövervakning av sådana ämnen bör utföras i sediment eller </w:t>
      </w:r>
      <w:proofErr w:type="spellStart"/>
      <w:r w:rsidRPr="003B6CF7">
        <w:rPr>
          <w:szCs w:val="24"/>
          <w:lang w:eastAsia="en-US"/>
        </w:rPr>
        <w:t>biota</w:t>
      </w:r>
      <w:proofErr w:type="spellEnd"/>
      <w:r w:rsidRPr="003B6CF7">
        <w:rPr>
          <w:szCs w:val="24"/>
          <w:lang w:eastAsia="en-US"/>
        </w:rPr>
        <w:t>. Översynen av förteckningarna över ämnen har underbyggts genom ett omfattande samråd med experter från kommissionen, medlemsstaterna, grupper av berörda parter och vetenskapliga kommittén för hälso- och miljörisker och nya risker.</w:t>
      </w:r>
    </w:p>
    <w:p w14:paraId="220D3014" w14:textId="77777777" w:rsidR="00BD5295" w:rsidRPr="003B6CF7" w:rsidRDefault="00BD5295">
      <w:pPr>
        <w:widowControl/>
        <w:rPr>
          <w:szCs w:val="24"/>
          <w:lang w:eastAsia="en-US"/>
        </w:rPr>
      </w:pPr>
      <w:r w:rsidRPr="003B6CF7">
        <w:rPr>
          <w:szCs w:val="24"/>
          <w:lang w:eastAsia="en-US"/>
        </w:rPr>
        <w:br w:type="page"/>
      </w:r>
    </w:p>
    <w:p w14:paraId="174D1DBA" w14:textId="5A686CA0"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(7)</w:t>
      </w:r>
      <w:r w:rsidRPr="003B6CF7">
        <w:rPr>
          <w:szCs w:val="24"/>
          <w:lang w:eastAsia="en-US"/>
        </w:rPr>
        <w:tab/>
        <w:t xml:space="preserve">Det krävs en kombination av åtgärder för kontroll av utsläppskällorna och åtgärder på utsläppsplatserna för att effektivt hantera de flesta förorenande ämnen under hela deras livscykel, inbegripet, i tillämpliga fall, kemisk design, tillstånd eller godkännande, kontroll av utsläpp under tillverkning och användning eller andra processer samt avfallshantering. Fastställandet av nya eller strängare kvalitetsnormer för vattenförekomster kompletterar därför och är förenligt med annan unionslagstiftning som hanterar eller </w:t>
      </w:r>
      <w:r w:rsidRPr="003B6CF7">
        <w:rPr>
          <w:strike/>
          <w:szCs w:val="24"/>
          <w:lang w:eastAsia="en-US"/>
        </w:rPr>
        <w:t xml:space="preserve">skulle </w:t>
      </w:r>
      <w:proofErr w:type="spellStart"/>
      <w:r w:rsidRPr="003B6CF7">
        <w:rPr>
          <w:strike/>
          <w:szCs w:val="24"/>
          <w:lang w:eastAsia="en-US"/>
        </w:rPr>
        <w:t>kunna</w:t>
      </w:r>
      <w:r w:rsidRPr="003B6CF7">
        <w:rPr>
          <w:b/>
          <w:i/>
          <w:szCs w:val="24"/>
          <w:lang w:eastAsia="en-US"/>
        </w:rPr>
        <w:t>bör</w:t>
      </w:r>
      <w:proofErr w:type="spellEnd"/>
      <w:r w:rsidRPr="003B6CF7">
        <w:rPr>
          <w:szCs w:val="24"/>
          <w:lang w:eastAsia="en-US"/>
        </w:rPr>
        <w:t xml:space="preserve"> hantera föroreningsproblemet i en eller flera av dessa faser, däribland Europaparlamentets och rådets förordning (EG) nr 1907/2006</w:t>
      </w:r>
      <w:r w:rsidRPr="003B6CF7">
        <w:rPr>
          <w:szCs w:val="24"/>
          <w:vertAlign w:val="superscript"/>
          <w:lang w:val="en-GB" w:eastAsia="en-US"/>
        </w:rPr>
        <w:footnoteReference w:id="24"/>
      </w:r>
      <w:r w:rsidRPr="003B6CF7">
        <w:rPr>
          <w:szCs w:val="24"/>
          <w:lang w:eastAsia="en-US"/>
        </w:rPr>
        <w:t>, Europaparlamentets och rådets förordning (EG) nr 1107/2009</w:t>
      </w:r>
      <w:r w:rsidRPr="003B6CF7">
        <w:rPr>
          <w:szCs w:val="24"/>
          <w:vertAlign w:val="superscript"/>
          <w:lang w:val="en-GB" w:eastAsia="en-US"/>
        </w:rPr>
        <w:footnoteReference w:id="25"/>
      </w:r>
      <w:r w:rsidRPr="003B6CF7">
        <w:rPr>
          <w:szCs w:val="24"/>
          <w:lang w:eastAsia="en-US"/>
        </w:rPr>
        <w:t>, Europaparlamentets och rådets förordning (EU) nr 528/2012</w:t>
      </w:r>
      <w:r w:rsidRPr="003B6CF7">
        <w:rPr>
          <w:szCs w:val="24"/>
          <w:vertAlign w:val="superscript"/>
          <w:lang w:val="en-GB" w:eastAsia="en-US"/>
        </w:rPr>
        <w:footnoteReference w:id="26"/>
      </w:r>
      <w:r w:rsidRPr="003B6CF7">
        <w:rPr>
          <w:szCs w:val="24"/>
          <w:lang w:eastAsia="en-US"/>
        </w:rPr>
        <w:t>, Europaparlamentets och rådets förordning (EU) 2019/6</w:t>
      </w:r>
      <w:r w:rsidRPr="003B6CF7">
        <w:rPr>
          <w:szCs w:val="24"/>
          <w:vertAlign w:val="superscript"/>
          <w:lang w:val="en-GB" w:eastAsia="en-US"/>
        </w:rPr>
        <w:footnoteReference w:id="27"/>
      </w:r>
      <w:r w:rsidRPr="003B6CF7">
        <w:rPr>
          <w:szCs w:val="24"/>
          <w:lang w:eastAsia="en-US"/>
        </w:rPr>
        <w:t>, Europaparlamentets och rådets direktiv 2001/83/EG</w:t>
      </w:r>
      <w:r w:rsidRPr="003B6CF7">
        <w:rPr>
          <w:szCs w:val="24"/>
          <w:vertAlign w:val="superscript"/>
          <w:lang w:val="en-GB" w:eastAsia="en-US"/>
        </w:rPr>
        <w:footnoteReference w:id="28"/>
      </w:r>
      <w:r w:rsidRPr="003B6CF7">
        <w:rPr>
          <w:szCs w:val="24"/>
          <w:lang w:eastAsia="en-US"/>
        </w:rPr>
        <w:t>, Europaparlamentets och rådets direktiv 2009/128/EG</w:t>
      </w:r>
      <w:r w:rsidRPr="003B6CF7">
        <w:rPr>
          <w:szCs w:val="24"/>
          <w:vertAlign w:val="superscript"/>
          <w:lang w:val="en-GB" w:eastAsia="en-US"/>
        </w:rPr>
        <w:footnoteReference w:id="29"/>
      </w:r>
      <w:r w:rsidRPr="003B6CF7">
        <w:rPr>
          <w:szCs w:val="24"/>
          <w:lang w:eastAsia="en-US"/>
        </w:rPr>
        <w:t>, Europaparlamentets och rådets direktiv 2010/75/EU</w:t>
      </w:r>
      <w:r w:rsidRPr="003B6CF7">
        <w:rPr>
          <w:szCs w:val="24"/>
          <w:vertAlign w:val="superscript"/>
          <w:lang w:val="en-GB" w:eastAsia="en-US"/>
        </w:rPr>
        <w:footnoteReference w:id="30"/>
      </w:r>
      <w:r w:rsidRPr="003B6CF7">
        <w:rPr>
          <w:szCs w:val="24"/>
          <w:lang w:eastAsia="en-US"/>
        </w:rPr>
        <w:t xml:space="preserve"> och rådets direktiv 91/271/EEG</w:t>
      </w:r>
      <w:r w:rsidRPr="003B6CF7">
        <w:rPr>
          <w:szCs w:val="24"/>
          <w:vertAlign w:val="superscript"/>
          <w:lang w:val="en-GB" w:eastAsia="en-US"/>
        </w:rPr>
        <w:footnoteReference w:id="31"/>
      </w:r>
      <w:r w:rsidRPr="003B6CF7">
        <w:rPr>
          <w:szCs w:val="24"/>
          <w:lang w:eastAsia="en-US"/>
        </w:rPr>
        <w:t>.</w:t>
      </w:r>
      <w:r w:rsidRPr="003B6CF7">
        <w:rPr>
          <w:b/>
          <w:i/>
          <w:szCs w:val="24"/>
          <w:lang w:eastAsia="en-US"/>
        </w:rPr>
        <w:t xml:space="preserve"> För att medlemsstaterna på bästa och mest kostnadseffektiva sätt ska kunna uppnå de miljömål som fastställs i artikel 4 i direktiv 2000/60/EG bör de, när de fastställer sina åtgärdsprogram, se till att åtgärder för kontroll av utsläppskällorna prioriteras framför åtgärder på </w:t>
      </w:r>
      <w:r w:rsidRPr="003B6CF7">
        <w:rPr>
          <w:b/>
          <w:i/>
          <w:szCs w:val="24"/>
          <w:lang w:eastAsia="en-US"/>
        </w:rPr>
        <w:lastRenderedPageBreak/>
        <w:t>utsläppsplatserna och att dessa åtgärder är förenliga med relevant sektorsspecifik unionslagstiftning om föroreningar. Om det finns risk för att åtgärder för kontroll av utsläppskällorna inte uppnår god status för vattenförekomster bör åtgärder på utsläppsplatserna vidtas. Kommissionen bör utarbeta riktlinjer om bästa praxis för åtgärder för kontroll av utsläppskällorna och den kompletterande karaktären av åtgärder på utsläppsplatserna.</w:t>
      </w:r>
      <w:r w:rsidR="00540F6A" w:rsidRPr="003B6CF7">
        <w:rPr>
          <w:b/>
          <w:szCs w:val="24"/>
          <w:lang w:eastAsia="en-US"/>
        </w:rPr>
        <w:t xml:space="preserve"> [Ändr. 21]</w:t>
      </w:r>
    </w:p>
    <w:p w14:paraId="0E1938EE" w14:textId="77777777" w:rsidR="00BD5295" w:rsidRPr="003B6CF7" w:rsidRDefault="00BD5295">
      <w:pPr>
        <w:widowControl/>
        <w:rPr>
          <w:b/>
          <w:i/>
          <w:szCs w:val="24"/>
          <w:lang w:eastAsia="en-US"/>
        </w:rPr>
      </w:pPr>
      <w:r w:rsidRPr="003B6CF7">
        <w:rPr>
          <w:b/>
          <w:i/>
          <w:szCs w:val="24"/>
          <w:lang w:eastAsia="en-US"/>
        </w:rPr>
        <w:br w:type="page"/>
      </w:r>
    </w:p>
    <w:p w14:paraId="047A2950" w14:textId="505D2B76"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(7a)</w:t>
      </w:r>
      <w:r w:rsidRPr="003B6CF7">
        <w:rPr>
          <w:szCs w:val="24"/>
          <w:lang w:eastAsia="en-US"/>
        </w:rPr>
        <w:tab/>
      </w:r>
      <w:r w:rsidRPr="003B6CF7">
        <w:rPr>
          <w:b/>
          <w:i/>
          <w:szCs w:val="24"/>
          <w:lang w:eastAsia="en-US"/>
        </w:rPr>
        <w:t>Vattenföroreningar beror främst på industri- och jordbruksverksamhet, utsläpp av avloppsvatten och avrinning från tätbebyggelse, inbegripet dagvatten. Kommissionen och medlemsstaterna bör i samband med sina insatser prioritera åtgärder som minskar föroreningar vid källan samt kontrollera att de efterlevs. För detta ändamål bör samstämmighet mellan all unionslagstiftning och nationell lagstiftning om utsläpp av föroreningar vid källan säkerställas så att föroreningar minskas till nivåer som inte längre anses vara skadliga för hälsan och de naturliga ekosystemen.</w:t>
      </w:r>
      <w:r w:rsidR="00540F6A" w:rsidRPr="003B6CF7">
        <w:rPr>
          <w:b/>
          <w:szCs w:val="24"/>
          <w:lang w:eastAsia="en-US"/>
        </w:rPr>
        <w:t xml:space="preserve"> [Ändr. 22]</w:t>
      </w:r>
    </w:p>
    <w:p w14:paraId="22F1BBA3" w14:textId="77777777" w:rsidR="00BD5295" w:rsidRPr="003B6CF7" w:rsidRDefault="00BD5295">
      <w:pPr>
        <w:widowControl/>
        <w:rPr>
          <w:b/>
          <w:i/>
          <w:szCs w:val="24"/>
          <w:lang w:eastAsia="en-US"/>
        </w:rPr>
      </w:pPr>
      <w:r w:rsidRPr="003B6CF7">
        <w:rPr>
          <w:b/>
          <w:i/>
          <w:szCs w:val="24"/>
          <w:lang w:eastAsia="en-US"/>
        </w:rPr>
        <w:br w:type="page"/>
      </w:r>
    </w:p>
    <w:p w14:paraId="5D8F9324" w14:textId="059FB4C2"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(7b)</w:t>
      </w:r>
      <w:r w:rsidRPr="003B6CF7">
        <w:rPr>
          <w:szCs w:val="24"/>
          <w:lang w:eastAsia="en-US"/>
        </w:rPr>
        <w:tab/>
      </w:r>
      <w:r w:rsidRPr="003B6CF7">
        <w:rPr>
          <w:b/>
          <w:i/>
          <w:szCs w:val="24"/>
          <w:lang w:eastAsia="en-US"/>
        </w:rPr>
        <w:t>För att säkerställa att den lagstiftning som är avsedd att förhindra föroreningar av yt- och grundvatten är aktuell i förhållande till den snabba utvecklingen av nya kemikalier som i egenskap av förorenande ämnen kan medföra betydande risker för människors hälsa eller vattenmiljön, bör mekanismerna för att upptäcka och bedöma sådana nya riskämnen stärkas. I detta avseende bör en metod som möjliggör övervakning och analys av ett större antal sådana ämnen eller grupper av ämnen på bevakningslistorna för yt- och grundvatten utarbetas. De ämnen som ska föras upp på bevakningslistan bör väljas ut bland ämnen för vilka tillgänglig information tyder på att de kan utgöra en betydande risk på unionsnivå för, eller via, vattenmiljön och för vilka övervakningsdata är otillräckliga. Antalet sådana ämnen eller grupper av ämnen som ska övervakas och analyseras enligt bevakningslistorna för yt- och grundvatten bör inte begränsas.</w:t>
      </w:r>
      <w:r w:rsidR="00540F6A" w:rsidRPr="003B6CF7">
        <w:rPr>
          <w:b/>
          <w:szCs w:val="24"/>
          <w:lang w:eastAsia="en-US"/>
        </w:rPr>
        <w:t xml:space="preserve"> [Ändr. 23]</w:t>
      </w:r>
    </w:p>
    <w:p w14:paraId="673BBF97" w14:textId="77777777" w:rsidR="00BD5295" w:rsidRPr="003B6CF7" w:rsidRDefault="00BD5295">
      <w:pPr>
        <w:widowControl/>
        <w:rPr>
          <w:szCs w:val="24"/>
          <w:lang w:eastAsia="en-US"/>
        </w:rPr>
      </w:pPr>
      <w:r w:rsidRPr="003B6CF7">
        <w:rPr>
          <w:szCs w:val="24"/>
          <w:lang w:eastAsia="en-US"/>
        </w:rPr>
        <w:br w:type="page"/>
      </w:r>
    </w:p>
    <w:p w14:paraId="680CA4F1" w14:textId="36D141A0"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(8)</w:t>
      </w:r>
      <w:r w:rsidRPr="003B6CF7">
        <w:rPr>
          <w:szCs w:val="24"/>
          <w:lang w:eastAsia="en-US"/>
        </w:rPr>
        <w:tab/>
        <w:t xml:space="preserve">Nya vetenskapliga rön pekar på en betydande risk från flera andra förorenande ämnen i vattenförekomster utöver de som redan </w:t>
      </w:r>
      <w:proofErr w:type="spellStart"/>
      <w:r w:rsidRPr="003B6CF7">
        <w:rPr>
          <w:szCs w:val="24"/>
          <w:lang w:eastAsia="en-US"/>
        </w:rPr>
        <w:t>regleras.När</w:t>
      </w:r>
      <w:proofErr w:type="spellEnd"/>
      <w:r w:rsidRPr="003B6CF7">
        <w:rPr>
          <w:szCs w:val="24"/>
          <w:lang w:eastAsia="en-US"/>
        </w:rPr>
        <w:t xml:space="preserve"> det gäller grundvatten har ett särskilt problem identifierats genom frivillig övervakning av per- och </w:t>
      </w:r>
      <w:proofErr w:type="spellStart"/>
      <w:r w:rsidRPr="003B6CF7">
        <w:rPr>
          <w:szCs w:val="24"/>
          <w:lang w:eastAsia="en-US"/>
        </w:rPr>
        <w:t>polyfluoralkylerade</w:t>
      </w:r>
      <w:proofErr w:type="spellEnd"/>
      <w:r w:rsidRPr="003B6CF7">
        <w:rPr>
          <w:szCs w:val="24"/>
          <w:lang w:eastAsia="en-US"/>
        </w:rPr>
        <w:t xml:space="preserve"> ämnen (PFAS) och läkemedel. PFAS har påvisats vid mer än 70 % av mätpunkterna för grundvatten i unionen och befintliga nationella tröskelvärden överskrids tydligt på ett betydande antal platser, och även läkemedel förekommer i stor utsträckning. </w:t>
      </w:r>
      <w:r w:rsidRPr="003B6CF7">
        <w:rPr>
          <w:b/>
          <w:i/>
          <w:szCs w:val="24"/>
          <w:lang w:eastAsia="en-US"/>
        </w:rPr>
        <w:t xml:space="preserve">En undergrupp av såväl specifika PFAS som PFAS totalt bör därför läggas till i förteckningen över förorenande ämnen i grundvattnet. </w:t>
      </w:r>
      <w:r w:rsidRPr="003B6CF7">
        <w:rPr>
          <w:szCs w:val="24"/>
          <w:lang w:eastAsia="en-US"/>
        </w:rPr>
        <w:t xml:space="preserve">I ytvatten är </w:t>
      </w:r>
      <w:proofErr w:type="spellStart"/>
      <w:r w:rsidRPr="003B6CF7">
        <w:rPr>
          <w:szCs w:val="24"/>
          <w:lang w:eastAsia="en-US"/>
        </w:rPr>
        <w:t>perfluoroktansulfonsyra</w:t>
      </w:r>
      <w:proofErr w:type="spellEnd"/>
      <w:r w:rsidRPr="003B6CF7">
        <w:rPr>
          <w:szCs w:val="24"/>
          <w:lang w:eastAsia="en-US"/>
        </w:rPr>
        <w:t xml:space="preserve"> och dess derivat redan förtecknade som prioriterade ämnen, men andra PFAS-ämnen anses nu också utgöra en risk. </w:t>
      </w:r>
      <w:r w:rsidRPr="003B6CF7">
        <w:rPr>
          <w:b/>
          <w:i/>
          <w:szCs w:val="24"/>
          <w:lang w:eastAsia="en-US"/>
        </w:rPr>
        <w:t xml:space="preserve">En undergrupp av såväl specifika PFAS som PFAS totalt bör därför läggas till i förteckningen över prioriterade ämnen. För att säkerställa ett harmoniserat tillvägagångssätt och lika villkor i unionen bör befogenheten att anta akter i enlighet med artikel 290 i EUF-fördraget delegeras till kommissionen för att ändra bilaga I till direktiv 2006/118/EG genom att fastställa en kvalitetsnorm för PFAS totalt. </w:t>
      </w:r>
      <w:r w:rsidRPr="003B6CF7">
        <w:rPr>
          <w:szCs w:val="24"/>
          <w:lang w:eastAsia="en-US"/>
        </w:rPr>
        <w:t>Övervakningen av bevakningslistan enligt artikel 8b i direktiv 2008/105/EG har</w:t>
      </w:r>
      <w:r w:rsidRPr="003B6CF7">
        <w:rPr>
          <w:b/>
          <w:i/>
          <w:szCs w:val="24"/>
          <w:lang w:eastAsia="en-US"/>
        </w:rPr>
        <w:t xml:space="preserve"> även</w:t>
      </w:r>
      <w:r w:rsidRPr="003B6CF7">
        <w:rPr>
          <w:szCs w:val="24"/>
          <w:lang w:eastAsia="en-US"/>
        </w:rPr>
        <w:t xml:space="preserve"> bekräftat en risk i ytvatten från ett antal läkemedel som därför bör införas i förteckningen över prioriterade ämnen.</w:t>
      </w:r>
      <w:r w:rsidR="00540F6A" w:rsidRPr="003B6CF7">
        <w:rPr>
          <w:b/>
          <w:szCs w:val="24"/>
          <w:lang w:eastAsia="en-US"/>
        </w:rPr>
        <w:t xml:space="preserve"> [Ändr. 24]</w:t>
      </w:r>
    </w:p>
    <w:p w14:paraId="692663E6" w14:textId="77777777" w:rsidR="00BD5295" w:rsidRPr="003B6CF7" w:rsidRDefault="00BD5295">
      <w:pPr>
        <w:widowControl/>
        <w:rPr>
          <w:b/>
          <w:i/>
          <w:szCs w:val="24"/>
          <w:lang w:eastAsia="en-US"/>
        </w:rPr>
      </w:pPr>
      <w:r w:rsidRPr="003B6CF7">
        <w:rPr>
          <w:b/>
          <w:i/>
          <w:szCs w:val="24"/>
          <w:lang w:eastAsia="en-US"/>
        </w:rPr>
        <w:br w:type="page"/>
      </w:r>
    </w:p>
    <w:p w14:paraId="48209BB9" w14:textId="0C0D19F6"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w:t>
      </w:r>
      <w:proofErr w:type="spellStart"/>
      <w:r w:rsidRPr="003B6CF7">
        <w:rPr>
          <w:b/>
          <w:i/>
          <w:szCs w:val="24"/>
          <w:lang w:eastAsia="en-US"/>
        </w:rPr>
        <w:t>8a</w:t>
      </w:r>
      <w:proofErr w:type="spellEnd"/>
      <w:r w:rsidRPr="003B6CF7">
        <w:rPr>
          <w:b/>
          <w:i/>
          <w:szCs w:val="24"/>
          <w:lang w:eastAsia="en-US"/>
        </w:rPr>
        <w:t>)</w:t>
      </w:r>
      <w:r w:rsidRPr="003B6CF7">
        <w:rPr>
          <w:szCs w:val="24"/>
          <w:lang w:eastAsia="en-US"/>
        </w:rPr>
        <w:tab/>
      </w:r>
      <w:proofErr w:type="spellStart"/>
      <w:r w:rsidRPr="003B6CF7">
        <w:rPr>
          <w:b/>
          <w:i/>
          <w:szCs w:val="24"/>
          <w:lang w:eastAsia="en-US"/>
        </w:rPr>
        <w:t>Glyfosat</w:t>
      </w:r>
      <w:proofErr w:type="spellEnd"/>
      <w:r w:rsidRPr="003B6CF7">
        <w:rPr>
          <w:b/>
          <w:i/>
          <w:szCs w:val="24"/>
          <w:lang w:eastAsia="en-US"/>
        </w:rPr>
        <w:t xml:space="preserve"> är det mest använda växtbekämpningsmedlet för jordbruksändamål inom unionen. Som verksamt ämne har det gett upphov till allvarliga farhågor när det gäller dess inverkan på människors hälsa och toxiciteten för vattenmiljön. I december 2022 beslutade kommissionen att bevilja en tillfällig förlängning på ytterligare ett år av godkännandet för försäljning av </w:t>
      </w:r>
      <w:proofErr w:type="spellStart"/>
      <w:r w:rsidRPr="003B6CF7">
        <w:rPr>
          <w:b/>
          <w:i/>
          <w:szCs w:val="24"/>
          <w:lang w:eastAsia="en-US"/>
        </w:rPr>
        <w:t>glyfosat</w:t>
      </w:r>
      <w:proofErr w:type="spellEnd"/>
      <w:r w:rsidRPr="003B6CF7">
        <w:rPr>
          <w:b/>
          <w:i/>
          <w:szCs w:val="24"/>
          <w:lang w:eastAsia="en-US"/>
        </w:rPr>
        <w:t>, i avvaktan på att Europeiska myndigheten för livsmedelssäkerhet gör en ny bedömning av det verksamma ämnet i juli 2023. Flera vetenskapliga studier som gjorts på senare tid</w:t>
      </w:r>
      <w:r w:rsidRPr="003B6CF7">
        <w:rPr>
          <w:szCs w:val="24"/>
          <w:vertAlign w:val="superscript"/>
          <w:lang w:val="en-GB" w:eastAsia="en-US"/>
        </w:rPr>
        <w:footnoteReference w:id="32"/>
      </w:r>
      <w:r w:rsidRPr="003B6CF7">
        <w:rPr>
          <w:b/>
          <w:i/>
          <w:szCs w:val="24"/>
          <w:lang w:eastAsia="en-US"/>
        </w:rPr>
        <w:t xml:space="preserve"> visar emellertid på att en miljökvalitetsnorm (MKN) på under 0,1 </w:t>
      </w:r>
      <w:r w:rsidRPr="003B6CF7">
        <w:rPr>
          <w:b/>
          <w:i/>
          <w:szCs w:val="24"/>
          <w:lang w:val="en-GB" w:eastAsia="en-US"/>
        </w:rPr>
        <w:t>μ</w:t>
      </w:r>
      <w:r w:rsidRPr="003B6CF7">
        <w:rPr>
          <w:b/>
          <w:i/>
          <w:szCs w:val="24"/>
          <w:lang w:eastAsia="en-US"/>
        </w:rPr>
        <w:t xml:space="preserve">g/l för alla ytvattensförekomster bör övervägas på grundval av den toxicitet för vattenmiljön som </w:t>
      </w:r>
      <w:proofErr w:type="spellStart"/>
      <w:r w:rsidRPr="003B6CF7">
        <w:rPr>
          <w:b/>
          <w:i/>
          <w:szCs w:val="24"/>
          <w:lang w:eastAsia="en-US"/>
        </w:rPr>
        <w:t>glyfosat</w:t>
      </w:r>
      <w:proofErr w:type="spellEnd"/>
      <w:r w:rsidRPr="003B6CF7">
        <w:rPr>
          <w:b/>
          <w:i/>
          <w:szCs w:val="24"/>
          <w:lang w:eastAsia="en-US"/>
        </w:rPr>
        <w:t xml:space="preserve">, </w:t>
      </w:r>
      <w:proofErr w:type="spellStart"/>
      <w:r w:rsidRPr="003B6CF7">
        <w:rPr>
          <w:b/>
          <w:i/>
          <w:szCs w:val="24"/>
          <w:lang w:eastAsia="en-US"/>
        </w:rPr>
        <w:t>AMPA</w:t>
      </w:r>
      <w:proofErr w:type="spellEnd"/>
      <w:r w:rsidRPr="003B6CF7">
        <w:rPr>
          <w:b/>
          <w:i/>
          <w:szCs w:val="24"/>
          <w:lang w:eastAsia="en-US"/>
        </w:rPr>
        <w:t xml:space="preserve"> och </w:t>
      </w:r>
      <w:proofErr w:type="spellStart"/>
      <w:r w:rsidRPr="003B6CF7">
        <w:rPr>
          <w:b/>
          <w:i/>
          <w:szCs w:val="24"/>
          <w:lang w:eastAsia="en-US"/>
        </w:rPr>
        <w:t>glyfosatbaserade</w:t>
      </w:r>
      <w:proofErr w:type="spellEnd"/>
      <w:r w:rsidRPr="003B6CF7">
        <w:rPr>
          <w:b/>
          <w:i/>
          <w:szCs w:val="24"/>
          <w:lang w:eastAsia="en-US"/>
        </w:rPr>
        <w:t xml:space="preserve"> växtbekämpningsmedel utgör. Med beaktande av behöriga tillsynsmyndigheters pågående bedömningar och de vetenskapliga rönen i relevanta studier om effekterna av </w:t>
      </w:r>
      <w:proofErr w:type="spellStart"/>
      <w:r w:rsidRPr="003B6CF7">
        <w:rPr>
          <w:b/>
          <w:i/>
          <w:szCs w:val="24"/>
          <w:lang w:eastAsia="en-US"/>
        </w:rPr>
        <w:t>glyfosat</w:t>
      </w:r>
      <w:proofErr w:type="spellEnd"/>
      <w:r w:rsidRPr="003B6CF7">
        <w:rPr>
          <w:b/>
          <w:i/>
          <w:szCs w:val="24"/>
          <w:lang w:eastAsia="en-US"/>
        </w:rPr>
        <w:t xml:space="preserve"> på vattenlevande organismer, och för att säkerställa en god kemisk status för majoriteten av unionens vatten, baserat på försiktighetsprincipen, bör en gemensam och enhetlig AA-MKN för inlandsytvatten, och separat för andra ytvatten, antas i fråga om </w:t>
      </w:r>
      <w:proofErr w:type="spellStart"/>
      <w:r w:rsidRPr="003B6CF7">
        <w:rPr>
          <w:b/>
          <w:i/>
          <w:szCs w:val="24"/>
          <w:lang w:eastAsia="en-US"/>
        </w:rPr>
        <w:t>glyfosat</w:t>
      </w:r>
      <w:proofErr w:type="spellEnd"/>
      <w:r w:rsidRPr="003B6CF7">
        <w:rPr>
          <w:b/>
          <w:i/>
          <w:szCs w:val="24"/>
          <w:lang w:eastAsia="en-US"/>
        </w:rPr>
        <w:t>.</w:t>
      </w:r>
      <w:r w:rsidR="00540F6A" w:rsidRPr="003B6CF7">
        <w:rPr>
          <w:b/>
          <w:szCs w:val="24"/>
          <w:lang w:eastAsia="en-US"/>
        </w:rPr>
        <w:t xml:space="preserve"> [Ändr. 25]</w:t>
      </w:r>
    </w:p>
    <w:p w14:paraId="47BD77A2" w14:textId="77777777" w:rsidR="00BD5295" w:rsidRPr="003B6CF7" w:rsidRDefault="00BD5295">
      <w:pPr>
        <w:widowControl/>
        <w:rPr>
          <w:b/>
          <w:i/>
          <w:szCs w:val="24"/>
          <w:lang w:eastAsia="en-US"/>
        </w:rPr>
      </w:pPr>
      <w:r w:rsidRPr="003B6CF7">
        <w:rPr>
          <w:b/>
          <w:i/>
          <w:szCs w:val="24"/>
          <w:lang w:eastAsia="en-US"/>
        </w:rPr>
        <w:br w:type="page"/>
      </w:r>
    </w:p>
    <w:p w14:paraId="2602F0CF" w14:textId="645639E3"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w:t>
      </w:r>
      <w:proofErr w:type="spellStart"/>
      <w:r w:rsidRPr="003B6CF7">
        <w:rPr>
          <w:b/>
          <w:i/>
          <w:szCs w:val="24"/>
          <w:lang w:eastAsia="en-US"/>
        </w:rPr>
        <w:t>8b</w:t>
      </w:r>
      <w:proofErr w:type="spellEnd"/>
      <w:r w:rsidRPr="003B6CF7">
        <w:rPr>
          <w:b/>
          <w:i/>
          <w:szCs w:val="24"/>
          <w:lang w:eastAsia="en-US"/>
        </w:rPr>
        <w:t>)</w:t>
      </w:r>
      <w:r w:rsidRPr="003B6CF7">
        <w:rPr>
          <w:szCs w:val="24"/>
          <w:lang w:eastAsia="en-US"/>
        </w:rPr>
        <w:tab/>
      </w:r>
      <w:proofErr w:type="spellStart"/>
      <w:r w:rsidRPr="003B6CF7">
        <w:rPr>
          <w:b/>
          <w:i/>
          <w:szCs w:val="24"/>
          <w:lang w:eastAsia="en-US"/>
        </w:rPr>
        <w:t>Atrazin</w:t>
      </w:r>
      <w:proofErr w:type="spellEnd"/>
      <w:r w:rsidRPr="003B6CF7">
        <w:rPr>
          <w:b/>
          <w:i/>
          <w:szCs w:val="24"/>
          <w:lang w:eastAsia="en-US"/>
        </w:rPr>
        <w:t xml:space="preserve"> är en herbicid som används för ettåriga bredbladiga ogräs och ettåriga gräs i spannmål. Användningen av </w:t>
      </w:r>
      <w:proofErr w:type="spellStart"/>
      <w:r w:rsidRPr="003B6CF7">
        <w:rPr>
          <w:b/>
          <w:i/>
          <w:szCs w:val="24"/>
          <w:lang w:eastAsia="en-US"/>
        </w:rPr>
        <w:t>atrazin</w:t>
      </w:r>
      <w:proofErr w:type="spellEnd"/>
      <w:r w:rsidRPr="003B6CF7">
        <w:rPr>
          <w:b/>
          <w:i/>
          <w:szCs w:val="24"/>
          <w:lang w:eastAsia="en-US"/>
        </w:rPr>
        <w:t xml:space="preserve"> i växtskyddsmedel är inte längre godkänd inom unionen enligt kommissionens beslut 2004/248/EG</w:t>
      </w:r>
      <w:r w:rsidRPr="003B6CF7">
        <w:rPr>
          <w:szCs w:val="24"/>
          <w:vertAlign w:val="superscript"/>
          <w:lang w:val="en-GB" w:eastAsia="en-US"/>
        </w:rPr>
        <w:footnoteReference w:id="33"/>
      </w:r>
      <w:r w:rsidRPr="003B6CF7">
        <w:rPr>
          <w:b/>
          <w:i/>
          <w:szCs w:val="24"/>
          <w:lang w:eastAsia="en-US"/>
        </w:rPr>
        <w:t xml:space="preserve">. </w:t>
      </w:r>
      <w:proofErr w:type="spellStart"/>
      <w:r w:rsidRPr="003B6CF7">
        <w:rPr>
          <w:b/>
          <w:i/>
          <w:szCs w:val="24"/>
          <w:lang w:eastAsia="en-US"/>
        </w:rPr>
        <w:t>Atrazin</w:t>
      </w:r>
      <w:proofErr w:type="spellEnd"/>
      <w:r w:rsidRPr="003B6CF7">
        <w:rPr>
          <w:b/>
          <w:i/>
          <w:szCs w:val="24"/>
          <w:lang w:eastAsia="en-US"/>
        </w:rPr>
        <w:t xml:space="preserve"> har visat sig vara ett hormonstörande ämne, och det finns bevis för att det påverkar fortplantning och utveckling, och kan orsaka cancer. Europeiska miljöbyrån konstaterade i samband med sin utvärdering av bekämpningsmedel i förhållande till tröskelvärdena för effekt eller kvalitet mellan 2013 och 2020, att det upptäckts att ett eller flera bekämpningsmedel, främst </w:t>
      </w:r>
      <w:proofErr w:type="spellStart"/>
      <w:r w:rsidRPr="003B6CF7">
        <w:rPr>
          <w:b/>
          <w:i/>
          <w:szCs w:val="24"/>
          <w:lang w:eastAsia="en-US"/>
        </w:rPr>
        <w:t>atrazin</w:t>
      </w:r>
      <w:proofErr w:type="spellEnd"/>
      <w:r w:rsidRPr="003B6CF7">
        <w:rPr>
          <w:b/>
          <w:i/>
          <w:szCs w:val="24"/>
          <w:lang w:eastAsia="en-US"/>
        </w:rPr>
        <w:t xml:space="preserve"> och dess metaboliter, överskridit gränsvärdena vid mellan 4 % och 11 % av övervakningsplatserna för grundvatten. Med beaktande av den långlivade förekomsten av </w:t>
      </w:r>
      <w:proofErr w:type="spellStart"/>
      <w:r w:rsidRPr="003B6CF7">
        <w:rPr>
          <w:b/>
          <w:i/>
          <w:szCs w:val="24"/>
          <w:lang w:eastAsia="en-US"/>
        </w:rPr>
        <w:t>atrazin</w:t>
      </w:r>
      <w:proofErr w:type="spellEnd"/>
      <w:r w:rsidRPr="003B6CF7">
        <w:rPr>
          <w:b/>
          <w:i/>
          <w:szCs w:val="24"/>
          <w:lang w:eastAsia="en-US"/>
        </w:rPr>
        <w:t xml:space="preserve"> i yt- och grundvatten i unionen och för att säkerställa att gränsvärdena för </w:t>
      </w:r>
      <w:proofErr w:type="spellStart"/>
      <w:r w:rsidRPr="003B6CF7">
        <w:rPr>
          <w:b/>
          <w:i/>
          <w:szCs w:val="24"/>
          <w:lang w:eastAsia="en-US"/>
        </w:rPr>
        <w:t>atrazin</w:t>
      </w:r>
      <w:proofErr w:type="spellEnd"/>
      <w:r w:rsidRPr="003B6CF7">
        <w:rPr>
          <w:b/>
          <w:i/>
          <w:szCs w:val="24"/>
          <w:lang w:eastAsia="en-US"/>
        </w:rPr>
        <w:t xml:space="preserve"> inte överskrider miljökvalitetsnormerna för bekämpningsmedel och metaboliter totalt, bör gränsvärdet för </w:t>
      </w:r>
      <w:proofErr w:type="spellStart"/>
      <w:r w:rsidRPr="003B6CF7">
        <w:rPr>
          <w:b/>
          <w:i/>
          <w:szCs w:val="24"/>
          <w:lang w:eastAsia="en-US"/>
        </w:rPr>
        <w:t>atrazin</w:t>
      </w:r>
      <w:proofErr w:type="spellEnd"/>
      <w:r w:rsidRPr="003B6CF7">
        <w:rPr>
          <w:b/>
          <w:i/>
          <w:szCs w:val="24"/>
          <w:lang w:eastAsia="en-US"/>
        </w:rPr>
        <w:t xml:space="preserve"> i bilaga I till direktiv 2008/105/EG anpassas, även i enlighet med tröskelvärdet för samma ämne som fastställts i direktiv (EU) 2020/2184</w:t>
      </w:r>
      <w:r w:rsidRPr="003B6CF7">
        <w:rPr>
          <w:szCs w:val="24"/>
          <w:vertAlign w:val="superscript"/>
          <w:lang w:val="en-GB" w:eastAsia="en-US"/>
        </w:rPr>
        <w:footnoteReference w:id="34"/>
      </w:r>
      <w:r w:rsidRPr="003B6CF7">
        <w:rPr>
          <w:b/>
          <w:i/>
          <w:szCs w:val="24"/>
          <w:lang w:eastAsia="en-US"/>
        </w:rPr>
        <w:t>.</w:t>
      </w:r>
      <w:r w:rsidR="00540F6A" w:rsidRPr="003B6CF7">
        <w:rPr>
          <w:b/>
          <w:szCs w:val="24"/>
          <w:lang w:eastAsia="en-US"/>
        </w:rPr>
        <w:t xml:space="preserve"> [Ändr. 26]</w:t>
      </w:r>
    </w:p>
    <w:p w14:paraId="7AC4929F" w14:textId="77777777" w:rsidR="00BD5295" w:rsidRPr="003B6CF7" w:rsidRDefault="00BD5295">
      <w:pPr>
        <w:widowControl/>
        <w:rPr>
          <w:b/>
          <w:i/>
          <w:szCs w:val="24"/>
          <w:lang w:eastAsia="en-US"/>
        </w:rPr>
      </w:pPr>
      <w:r w:rsidRPr="003B6CF7">
        <w:rPr>
          <w:b/>
          <w:i/>
          <w:szCs w:val="24"/>
          <w:lang w:eastAsia="en-US"/>
        </w:rPr>
        <w:br w:type="page"/>
      </w:r>
    </w:p>
    <w:p w14:paraId="59DCFE8E" w14:textId="17F663A6"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w:t>
      </w:r>
      <w:proofErr w:type="spellStart"/>
      <w:r w:rsidRPr="003B6CF7">
        <w:rPr>
          <w:b/>
          <w:i/>
          <w:szCs w:val="24"/>
          <w:lang w:eastAsia="en-US"/>
        </w:rPr>
        <w:t>8c</w:t>
      </w:r>
      <w:proofErr w:type="spellEnd"/>
      <w:r w:rsidRPr="003B6CF7">
        <w:rPr>
          <w:b/>
          <w:i/>
          <w:szCs w:val="24"/>
          <w:lang w:eastAsia="en-US"/>
        </w:rPr>
        <w:t>)</w:t>
      </w:r>
      <w:r w:rsidRPr="003B6CF7">
        <w:rPr>
          <w:szCs w:val="24"/>
          <w:lang w:eastAsia="en-US"/>
        </w:rPr>
        <w:tab/>
      </w:r>
      <w:r w:rsidRPr="003B6CF7">
        <w:rPr>
          <w:b/>
          <w:i/>
          <w:szCs w:val="24"/>
          <w:lang w:eastAsia="en-US"/>
        </w:rPr>
        <w:t xml:space="preserve">Enligt </w:t>
      </w:r>
      <w:proofErr w:type="spellStart"/>
      <w:r w:rsidRPr="003B6CF7">
        <w:rPr>
          <w:b/>
          <w:i/>
          <w:szCs w:val="24"/>
          <w:lang w:eastAsia="en-US"/>
        </w:rPr>
        <w:t>Scheer</w:t>
      </w:r>
      <w:proofErr w:type="spellEnd"/>
      <w:r w:rsidRPr="003B6CF7">
        <w:rPr>
          <w:szCs w:val="24"/>
          <w:vertAlign w:val="superscript"/>
          <w:lang w:val="en-GB" w:eastAsia="en-US"/>
        </w:rPr>
        <w:footnoteReference w:id="35"/>
      </w:r>
      <w:r w:rsidRPr="003B6CF7">
        <w:rPr>
          <w:b/>
          <w:i/>
          <w:szCs w:val="24"/>
          <w:lang w:eastAsia="en-US"/>
        </w:rPr>
        <w:t xml:space="preserve"> och EMA</w:t>
      </w:r>
      <w:r w:rsidRPr="003B6CF7">
        <w:rPr>
          <w:szCs w:val="24"/>
          <w:vertAlign w:val="superscript"/>
          <w:lang w:val="en-GB" w:eastAsia="en-US"/>
        </w:rPr>
        <w:footnoteReference w:id="36"/>
      </w:r>
      <w:r w:rsidRPr="003B6CF7">
        <w:rPr>
          <w:b/>
          <w:i/>
          <w:szCs w:val="24"/>
          <w:lang w:eastAsia="en-US"/>
        </w:rPr>
        <w:t xml:space="preserve"> fastställdes på 1980-talet den allmänna kvalitetsstandarden 0,1 </w:t>
      </w:r>
      <w:r w:rsidRPr="003B6CF7">
        <w:rPr>
          <w:b/>
          <w:i/>
          <w:szCs w:val="24"/>
          <w:lang w:val="en-GB" w:eastAsia="en-US"/>
        </w:rPr>
        <w:t>μ</w:t>
      </w:r>
      <w:r w:rsidRPr="003B6CF7">
        <w:rPr>
          <w:b/>
          <w:i/>
          <w:szCs w:val="24"/>
          <w:lang w:eastAsia="en-US"/>
        </w:rPr>
        <w:t xml:space="preserve">g/l och 0,5 </w:t>
      </w:r>
      <w:r w:rsidRPr="003B6CF7">
        <w:rPr>
          <w:b/>
          <w:i/>
          <w:szCs w:val="24"/>
          <w:lang w:val="en-GB" w:eastAsia="en-US"/>
        </w:rPr>
        <w:t>μ</w:t>
      </w:r>
      <w:r w:rsidRPr="003B6CF7">
        <w:rPr>
          <w:b/>
          <w:i/>
          <w:szCs w:val="24"/>
          <w:lang w:eastAsia="en-US"/>
        </w:rPr>
        <w:t xml:space="preserve">g/l för grundvatten, som föreslås för enskilda bekämpningsmedel respektive summan av alla bekämpningsmedel i direktiv 2006/118/EG, på grundval av den kemiska och analytiska känslighet som fanns tillgänglig vid den tidpunkten. Standardvärdet 0,1 </w:t>
      </w:r>
      <w:r w:rsidRPr="003B6CF7">
        <w:rPr>
          <w:b/>
          <w:i/>
          <w:szCs w:val="24"/>
          <w:lang w:val="en-GB" w:eastAsia="en-US"/>
        </w:rPr>
        <w:t>μ</w:t>
      </w:r>
      <w:r w:rsidRPr="003B6CF7">
        <w:rPr>
          <w:b/>
          <w:i/>
          <w:szCs w:val="24"/>
          <w:lang w:eastAsia="en-US"/>
        </w:rPr>
        <w:t xml:space="preserve">g/l för enskilda bekämpningsmedel har inte visat sig vara tillräckligt för att skydda människors hälsa och grundvattenekosystemet och är ibland betydligt högre jämfört med tröskelvärdena för många bekämpningsmedel och svampbekämpningsmedel på förteckningen över prioriterade ämnen i bilaga I till direktiv 2008/105/EG. Med beaktande av att </w:t>
      </w:r>
      <w:proofErr w:type="spellStart"/>
      <w:r w:rsidRPr="003B6CF7">
        <w:rPr>
          <w:b/>
          <w:i/>
          <w:szCs w:val="24"/>
          <w:lang w:eastAsia="en-US"/>
        </w:rPr>
        <w:t>Scheer</w:t>
      </w:r>
      <w:proofErr w:type="spellEnd"/>
      <w:r w:rsidRPr="003B6CF7">
        <w:rPr>
          <w:b/>
          <w:i/>
          <w:szCs w:val="24"/>
          <w:lang w:eastAsia="en-US"/>
        </w:rPr>
        <w:t xml:space="preserve"> också anser att inga tröskelvärden för grundvatten bör vara högre än miljökvalitetsnormerna för ytvatten bör kommissionen se över tröskelvärdena för enskilda bekämpningsmedel och summan av alla bekämpningsmedel i bilaga I till direktiv 2006/118/EG genom att tillämpa moderna analysmetoder och jämföra dem med bästa tillgängliga toxikologiska kunskap. I avvaktan på denna översyn och i linje med den försiktighetsmetod som uttrycks av leverantörer av dricksvatten i det europeiska memorandumet om grundvatten</w:t>
      </w:r>
      <w:r w:rsidRPr="003B6CF7">
        <w:rPr>
          <w:szCs w:val="24"/>
          <w:vertAlign w:val="superscript"/>
          <w:lang w:val="en-GB" w:eastAsia="en-US"/>
        </w:rPr>
        <w:footnoteReference w:id="37"/>
      </w:r>
      <w:r w:rsidRPr="003B6CF7">
        <w:rPr>
          <w:b/>
          <w:i/>
          <w:szCs w:val="24"/>
          <w:lang w:eastAsia="en-US"/>
        </w:rPr>
        <w:t xml:space="preserve"> bör tillfälliga tröskelvärden fastställas, baserat på bästa tillgängliga vetenskapliga kunskap.</w:t>
      </w:r>
      <w:r w:rsidR="00540F6A" w:rsidRPr="003B6CF7">
        <w:rPr>
          <w:b/>
          <w:szCs w:val="24"/>
          <w:lang w:eastAsia="en-US"/>
        </w:rPr>
        <w:t xml:space="preserve"> [Ändr. 27]</w:t>
      </w:r>
    </w:p>
    <w:p w14:paraId="5D4DA935" w14:textId="77777777" w:rsidR="00BD5295" w:rsidRPr="003B6CF7" w:rsidRDefault="00BD5295">
      <w:pPr>
        <w:widowControl/>
        <w:rPr>
          <w:b/>
          <w:i/>
          <w:szCs w:val="24"/>
          <w:lang w:eastAsia="en-US"/>
        </w:rPr>
      </w:pPr>
      <w:r w:rsidRPr="003B6CF7">
        <w:rPr>
          <w:b/>
          <w:i/>
          <w:szCs w:val="24"/>
          <w:lang w:eastAsia="en-US"/>
        </w:rPr>
        <w:br w:type="page"/>
      </w:r>
    </w:p>
    <w:p w14:paraId="0E1E60C2" w14:textId="5ECEAFE2"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(8d)</w:t>
      </w:r>
      <w:r w:rsidRPr="003B6CF7">
        <w:rPr>
          <w:szCs w:val="24"/>
          <w:lang w:eastAsia="en-US"/>
        </w:rPr>
        <w:tab/>
      </w:r>
      <w:r w:rsidRPr="003B6CF7">
        <w:rPr>
          <w:b/>
          <w:i/>
          <w:szCs w:val="24"/>
          <w:lang w:eastAsia="en-US"/>
        </w:rPr>
        <w:t xml:space="preserve">Bisfenol A bör behandlas som ett prioriterat farligt ämne och läggas till i förteckningen i bilaga I till direktiv 2008/105/EG. Vetenskapliga rapporter visar att även andra bisfenoler än bisfenol A har påvisat hormonstörande potential och att blandningar av dessa bisfenoler utgör en </w:t>
      </w:r>
      <w:proofErr w:type="spellStart"/>
      <w:r w:rsidRPr="003B6CF7">
        <w:rPr>
          <w:b/>
          <w:i/>
          <w:szCs w:val="24"/>
          <w:lang w:eastAsia="en-US"/>
        </w:rPr>
        <w:t>ekotoxikologisk</w:t>
      </w:r>
      <w:proofErr w:type="spellEnd"/>
      <w:r w:rsidRPr="003B6CF7">
        <w:rPr>
          <w:b/>
          <w:i/>
          <w:szCs w:val="24"/>
          <w:lang w:eastAsia="en-US"/>
        </w:rPr>
        <w:t xml:space="preserve"> risk. Med tanke på att dessa vetenskapliga rön ger upphov till farhågor om säker användning av alternativ till bisfenoler som kan ha en negativ inverkan på människors hälsa och miljön, bör kommissionen fastställa en parameter för ”bisfenoler sammanlagt” och en lämplig miljökvalitetsnorm för samtliga bisfenolämnen.</w:t>
      </w:r>
      <w:r w:rsidR="00540F6A" w:rsidRPr="003B6CF7">
        <w:rPr>
          <w:b/>
          <w:szCs w:val="24"/>
          <w:lang w:eastAsia="en-US"/>
        </w:rPr>
        <w:t xml:space="preserve"> [Ändr. 28]</w:t>
      </w:r>
    </w:p>
    <w:p w14:paraId="3E72BDC8" w14:textId="209EE06E" w:rsidR="001831FD" w:rsidRPr="003B6CF7" w:rsidRDefault="001831FD" w:rsidP="001831FD">
      <w:pPr>
        <w:spacing w:before="120" w:after="120" w:line="360" w:lineRule="auto"/>
        <w:ind w:left="850" w:hanging="850"/>
        <w:rPr>
          <w:b/>
          <w:szCs w:val="24"/>
          <w:lang w:eastAsia="en-US"/>
        </w:rPr>
      </w:pPr>
      <w:r w:rsidRPr="003B6CF7">
        <w:rPr>
          <w:b/>
          <w:i/>
          <w:szCs w:val="24"/>
          <w:lang w:eastAsia="en-US"/>
        </w:rPr>
        <w:t>(8e)</w:t>
      </w:r>
      <w:r w:rsidRPr="003B6CF7">
        <w:rPr>
          <w:szCs w:val="24"/>
          <w:lang w:eastAsia="en-US"/>
        </w:rPr>
        <w:tab/>
      </w:r>
      <w:r w:rsidRPr="003B6CF7">
        <w:rPr>
          <w:b/>
          <w:i/>
          <w:szCs w:val="24"/>
          <w:lang w:eastAsia="en-US"/>
        </w:rPr>
        <w:t>Enligt Europeiska läkemedelsmyndigheten (EMA)</w:t>
      </w:r>
      <w:r w:rsidRPr="003B6CF7">
        <w:rPr>
          <w:szCs w:val="24"/>
          <w:vertAlign w:val="superscript"/>
          <w:lang w:val="en-GB" w:eastAsia="en-US"/>
        </w:rPr>
        <w:footnoteReference w:id="38"/>
      </w:r>
      <w:r w:rsidRPr="003B6CF7">
        <w:rPr>
          <w:b/>
          <w:i/>
          <w:szCs w:val="24"/>
          <w:lang w:eastAsia="en-US"/>
        </w:rPr>
        <w:t xml:space="preserve"> är grundvattenekosystemen helt annorlunda och kan därför vara mer sårbara för </w:t>
      </w:r>
      <w:proofErr w:type="spellStart"/>
      <w:r w:rsidRPr="003B6CF7">
        <w:rPr>
          <w:b/>
          <w:i/>
          <w:szCs w:val="24"/>
          <w:lang w:eastAsia="en-US"/>
        </w:rPr>
        <w:t>stressorer</w:t>
      </w:r>
      <w:proofErr w:type="spellEnd"/>
      <w:r w:rsidRPr="003B6CF7">
        <w:rPr>
          <w:b/>
          <w:i/>
          <w:szCs w:val="24"/>
          <w:lang w:eastAsia="en-US"/>
        </w:rPr>
        <w:t xml:space="preserve"> än ytvattenekosystem, eftersom de inte kan återhämta sig från störningar. En försiktighetsansats bör därför tillämpas vid fastställandet av tröskelvärden för grundvatten för att skydda människors hälsa, grundvattenekosystem och grundvattenberoende ekosystem. I linje med EMA:s råd till följd av denna sårbarhet bör tröskelvärdena för grundvatten normalt vara tio gånger lägre än motsvarande tröskelvärden för ytvatten. Om den faktiska risken för grundvattenekosystemen kan fastställas kan det vara lämpligt att fastställa tröskelvärden för grundvatten på en annan nivå.</w:t>
      </w:r>
      <w:r w:rsidR="00540F6A" w:rsidRPr="003B6CF7">
        <w:rPr>
          <w:b/>
          <w:szCs w:val="24"/>
          <w:lang w:eastAsia="en-US"/>
        </w:rPr>
        <w:t xml:space="preserve"> [Ändr. 29]</w:t>
      </w:r>
    </w:p>
    <w:p w14:paraId="39A0D64F" w14:textId="77777777" w:rsidR="00BD5295" w:rsidRPr="003B6CF7" w:rsidRDefault="00BD5295">
      <w:pPr>
        <w:widowControl/>
        <w:rPr>
          <w:szCs w:val="24"/>
          <w:lang w:eastAsia="en-US"/>
        </w:rPr>
      </w:pPr>
      <w:r w:rsidRPr="003B6CF7">
        <w:rPr>
          <w:szCs w:val="24"/>
          <w:lang w:eastAsia="en-US"/>
        </w:rPr>
        <w:br w:type="page"/>
      </w:r>
    </w:p>
    <w:p w14:paraId="52E76A30" w14:textId="07614500"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(9)</w:t>
      </w:r>
      <w:r w:rsidRPr="003B6CF7">
        <w:rPr>
          <w:szCs w:val="24"/>
          <w:lang w:eastAsia="en-US"/>
        </w:rPr>
        <w:tab/>
        <w:t>Enligt direktiv 2000/60/EG ska medlemsstaterna identifiera vattenförekomster som används för uttag av dricksvatten, övervaka dem och vidta nödvändiga åtgärder för att undvika försämring av deras kvalitet och minska den nivå av vattenrening som krävs för produktion av tjänligt dricksvatten. I detta sammanhang har mikroplaster identifierats som en potentiell risk för människors hälsa, men det krävs mer övervakningsdata för att bekräfta behovet av att fastställa en miljökvalitetsnorm för mikroplaster i yt- och grundvatten. Mikroplaster bör därför föras in i bevakningslistorna för yt- och grundvatten och övervakas så snart kommissionen har identifierat lämpliga övervakningsmetoder. I detta sammanhang bör hänsyn tas till de metoder för övervakning och bedömning av riskerna med mikroplaster i dricksvatten som utvecklas enligt Europaparlamentets och rådets direktiv (EU) 2020/2184</w:t>
      </w:r>
      <w:r w:rsidRPr="003B6CF7">
        <w:rPr>
          <w:szCs w:val="24"/>
          <w:vertAlign w:val="superscript"/>
          <w:lang w:val="en-GB" w:eastAsia="en-US"/>
        </w:rPr>
        <w:footnoteReference w:id="39"/>
      </w:r>
      <w:r w:rsidRPr="003B6CF7">
        <w:rPr>
          <w:szCs w:val="24"/>
          <w:lang w:eastAsia="en-US"/>
        </w:rPr>
        <w:t>.</w:t>
      </w:r>
    </w:p>
    <w:p w14:paraId="449954A4" w14:textId="77777777" w:rsidR="00BD5295" w:rsidRPr="003B6CF7" w:rsidRDefault="00BD5295">
      <w:pPr>
        <w:widowControl/>
        <w:rPr>
          <w:b/>
          <w:i/>
          <w:szCs w:val="24"/>
          <w:lang w:eastAsia="en-US"/>
        </w:rPr>
      </w:pPr>
      <w:r w:rsidRPr="003B6CF7">
        <w:rPr>
          <w:b/>
          <w:i/>
          <w:szCs w:val="24"/>
          <w:lang w:eastAsia="en-US"/>
        </w:rPr>
        <w:br w:type="page"/>
      </w:r>
    </w:p>
    <w:p w14:paraId="12E186B0" w14:textId="0B2FAFB9"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(9a)</w:t>
      </w:r>
      <w:r w:rsidRPr="003B6CF7">
        <w:rPr>
          <w:szCs w:val="24"/>
          <w:lang w:eastAsia="en-US"/>
        </w:rPr>
        <w:tab/>
      </w:r>
      <w:r w:rsidRPr="003B6CF7">
        <w:rPr>
          <w:b/>
          <w:i/>
          <w:szCs w:val="24"/>
          <w:lang w:eastAsia="en-US"/>
        </w:rPr>
        <w:t>Enligt tillämplig unionsrätt är medlemsstaterna skyldiga att identifiera drabbade vatten och vatten i riskzonen, utse nitratkänsliga områden, utarbeta handlingsprogram och genomföra relevanta åtgärder. I detta avseende finns det fortfarande ett behov av att förbättra harmoniseringen av kontrollåtgärder och system för mätning av vattenkvaliteten mellan medlemsstaterna för att möjliggöra enhetliga standarder i hela unionen som gör det möjligt att göra jämförelser mellan medlemsstaterna och därigenom undvika konkurrensproblem inom den europeiska jordbrukssektorn som leder till störningar på den inre marknaden.</w:t>
      </w:r>
      <w:r w:rsidR="00540F6A" w:rsidRPr="003B6CF7">
        <w:rPr>
          <w:b/>
          <w:szCs w:val="24"/>
          <w:lang w:eastAsia="en-US"/>
        </w:rPr>
        <w:t xml:space="preserve"> [Ändr. 30]</w:t>
      </w:r>
    </w:p>
    <w:p w14:paraId="70F8B9D8" w14:textId="79A532D3" w:rsidR="001831FD" w:rsidRPr="003B6CF7" w:rsidRDefault="001831FD" w:rsidP="001831FD">
      <w:pPr>
        <w:spacing w:before="120" w:after="120" w:line="360" w:lineRule="auto"/>
        <w:ind w:left="850" w:hanging="850"/>
        <w:rPr>
          <w:b/>
          <w:szCs w:val="24"/>
          <w:lang w:eastAsia="en-US"/>
        </w:rPr>
      </w:pPr>
      <w:r w:rsidRPr="003B6CF7">
        <w:rPr>
          <w:szCs w:val="24"/>
          <w:lang w:eastAsia="en-US"/>
        </w:rPr>
        <w:t>(10)</w:t>
      </w:r>
      <w:r w:rsidRPr="003B6CF7">
        <w:rPr>
          <w:szCs w:val="24"/>
          <w:lang w:eastAsia="en-US"/>
        </w:rPr>
        <w:tab/>
      </w:r>
      <w:r w:rsidRPr="003B6CF7">
        <w:rPr>
          <w:b/>
          <w:i/>
          <w:szCs w:val="24"/>
          <w:lang w:eastAsia="en-US"/>
        </w:rPr>
        <w:t>Det beräknas att 2019 kunde mellan 900 000 och 1,7 miljoner dödsfall världen över tillskrivas antimikrobiell resistens</w:t>
      </w:r>
      <w:r w:rsidRPr="003B6CF7">
        <w:rPr>
          <w:szCs w:val="24"/>
          <w:vertAlign w:val="superscript"/>
          <w:lang w:val="en-GB" w:eastAsia="en-US"/>
        </w:rPr>
        <w:footnoteReference w:id="40"/>
      </w:r>
      <w:r w:rsidRPr="003B6CF7">
        <w:rPr>
          <w:b/>
          <w:i/>
          <w:szCs w:val="24"/>
          <w:lang w:eastAsia="en-US"/>
        </w:rPr>
        <w:t xml:space="preserve">. </w:t>
      </w:r>
      <w:r w:rsidRPr="003B6CF7">
        <w:rPr>
          <w:szCs w:val="24"/>
          <w:lang w:eastAsia="en-US"/>
        </w:rPr>
        <w:t>Det har</w:t>
      </w:r>
      <w:r w:rsidRPr="003B6CF7">
        <w:rPr>
          <w:b/>
          <w:i/>
          <w:szCs w:val="24"/>
          <w:lang w:eastAsia="en-US"/>
        </w:rPr>
        <w:t xml:space="preserve"> samtidigt</w:t>
      </w:r>
      <w:r w:rsidRPr="003B6CF7">
        <w:rPr>
          <w:szCs w:val="24"/>
          <w:lang w:eastAsia="en-US"/>
        </w:rPr>
        <w:t xml:space="preserve"> uttryckts oro över risken för att antimikrobiell resistens utvecklas på grund av förekomsten av antimikrobiellt resistenta mikroorganismer och gener i vattenmiljön, men övervakningen har varit begränsad. Relevanta antimikrobiellt resistenta gener bör också föras in i bevakningslistorna för yt- och grundvatten och övervakas så snart lämpliga övervakningsmetoder har utvecklats. Detta är i linje med den europeiska </w:t>
      </w:r>
      <w:proofErr w:type="spellStart"/>
      <w:r w:rsidRPr="003B6CF7">
        <w:rPr>
          <w:szCs w:val="24"/>
          <w:lang w:eastAsia="en-US"/>
        </w:rPr>
        <w:t>One</w:t>
      </w:r>
      <w:proofErr w:type="spellEnd"/>
      <w:r w:rsidRPr="003B6CF7">
        <w:rPr>
          <w:szCs w:val="24"/>
          <w:lang w:eastAsia="en-US"/>
        </w:rPr>
        <w:t xml:space="preserve"> Health-handlingsplanen mot antimikrobiell resistens, som antogs av kommissionen i juni 2017, och med läkemedelsstrategin för Europa, som också tar upp detta problem.</w:t>
      </w:r>
      <w:r w:rsidR="00540F6A" w:rsidRPr="003B6CF7">
        <w:rPr>
          <w:b/>
          <w:szCs w:val="24"/>
          <w:lang w:eastAsia="en-US"/>
        </w:rPr>
        <w:t xml:space="preserve"> [Ändr. 31]</w:t>
      </w:r>
    </w:p>
    <w:p w14:paraId="416A061F" w14:textId="77777777" w:rsidR="00BD5295" w:rsidRPr="003B6CF7" w:rsidRDefault="00BD5295">
      <w:pPr>
        <w:widowControl/>
        <w:rPr>
          <w:b/>
          <w:i/>
          <w:szCs w:val="24"/>
          <w:lang w:eastAsia="en-US"/>
        </w:rPr>
      </w:pPr>
      <w:r w:rsidRPr="003B6CF7">
        <w:rPr>
          <w:b/>
          <w:i/>
          <w:szCs w:val="24"/>
          <w:lang w:eastAsia="en-US"/>
        </w:rPr>
        <w:br w:type="page"/>
      </w:r>
    </w:p>
    <w:p w14:paraId="10FE7E3F" w14:textId="22754559"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(10a)</w:t>
      </w:r>
      <w:r w:rsidRPr="003B6CF7">
        <w:rPr>
          <w:szCs w:val="24"/>
          <w:lang w:eastAsia="en-US"/>
        </w:rPr>
        <w:tab/>
      </w:r>
      <w:r w:rsidRPr="003B6CF7">
        <w:rPr>
          <w:b/>
          <w:i/>
          <w:szCs w:val="24"/>
          <w:lang w:eastAsia="en-US"/>
        </w:rPr>
        <w:t>I kommissionens genomförandebeslut (EU) 2020/1729 om upphävande av genomförandebeslut 2013/652/EU fastställs ramen för att få jämförbara och tillförlitliga data om antimikrobiell resistens i Europeiska unionen, bland annat genom att övervaka avloppsvatten från slakterier som en potentiell källa till antibiotikaresistenta bakterier och därmed en möjlig orsak till miljöförgiftning. Antibiotikaresistenta bakterier har påträffats i vatten som släpps ut av slakterier.</w:t>
      </w:r>
      <w:r w:rsidR="00540F6A" w:rsidRPr="003B6CF7">
        <w:rPr>
          <w:b/>
          <w:szCs w:val="24"/>
          <w:lang w:eastAsia="en-US"/>
        </w:rPr>
        <w:t xml:space="preserve"> [Ändr. 32]</w:t>
      </w:r>
    </w:p>
    <w:p w14:paraId="0E3DE439" w14:textId="7A9BDA37" w:rsidR="001831FD" w:rsidRPr="003B6CF7" w:rsidRDefault="001831FD" w:rsidP="001831FD">
      <w:pPr>
        <w:spacing w:before="120" w:after="120" w:line="360" w:lineRule="auto"/>
        <w:ind w:left="850" w:hanging="850"/>
        <w:rPr>
          <w:b/>
          <w:szCs w:val="24"/>
          <w:lang w:eastAsia="en-US"/>
        </w:rPr>
      </w:pPr>
      <w:r w:rsidRPr="003B6CF7">
        <w:rPr>
          <w:b/>
          <w:i/>
          <w:szCs w:val="24"/>
          <w:lang w:eastAsia="en-US"/>
        </w:rPr>
        <w:t>(10b)</w:t>
      </w:r>
      <w:r w:rsidRPr="003B6CF7">
        <w:rPr>
          <w:szCs w:val="24"/>
          <w:lang w:eastAsia="en-US"/>
        </w:rPr>
        <w:tab/>
      </w:r>
      <w:r w:rsidRPr="003B6CF7">
        <w:rPr>
          <w:b/>
          <w:i/>
          <w:szCs w:val="24"/>
          <w:lang w:eastAsia="en-US"/>
        </w:rPr>
        <w:t xml:space="preserve">Det har uttryckts oro över risken för </w:t>
      </w:r>
      <w:proofErr w:type="spellStart"/>
      <w:r w:rsidRPr="003B6CF7">
        <w:rPr>
          <w:b/>
          <w:i/>
          <w:szCs w:val="24"/>
          <w:lang w:eastAsia="en-US"/>
        </w:rPr>
        <w:t>sulfater</w:t>
      </w:r>
      <w:proofErr w:type="spellEnd"/>
      <w:r w:rsidRPr="003B6CF7">
        <w:rPr>
          <w:b/>
          <w:i/>
          <w:szCs w:val="24"/>
          <w:lang w:eastAsia="en-US"/>
        </w:rPr>
        <w:t xml:space="preserve"> och xantater i vattenmiljön. </w:t>
      </w:r>
      <w:proofErr w:type="spellStart"/>
      <w:r w:rsidRPr="003B6CF7">
        <w:rPr>
          <w:b/>
          <w:i/>
          <w:szCs w:val="24"/>
          <w:lang w:eastAsia="en-US"/>
        </w:rPr>
        <w:t>Sulfater</w:t>
      </w:r>
      <w:proofErr w:type="spellEnd"/>
      <w:r w:rsidRPr="003B6CF7">
        <w:rPr>
          <w:b/>
          <w:i/>
          <w:szCs w:val="24"/>
          <w:lang w:eastAsia="en-US"/>
        </w:rPr>
        <w:t xml:space="preserve"> försämrar inte bara dricksvattenkvaliteten, utan påverkar även materialcykeln för kol, kväve och fosfor. Detta ökar bland annat näringsämnesbelastningen i vattenförekomster och därmed växt- och algutvecklingen och ökar även mängden föda för vattenlevande organismer och leder till syrebrist i vattnet. </w:t>
      </w:r>
      <w:proofErr w:type="spellStart"/>
      <w:r w:rsidRPr="003B6CF7">
        <w:rPr>
          <w:b/>
          <w:i/>
          <w:szCs w:val="24"/>
          <w:lang w:eastAsia="en-US"/>
        </w:rPr>
        <w:t>Sulfater</w:t>
      </w:r>
      <w:proofErr w:type="spellEnd"/>
      <w:r w:rsidRPr="003B6CF7">
        <w:rPr>
          <w:b/>
          <w:i/>
          <w:szCs w:val="24"/>
          <w:lang w:eastAsia="en-US"/>
        </w:rPr>
        <w:t xml:space="preserve"> och deras nedbrytningsprodukter, särskilt sulfid, kan under vissa förhållanden ha en toxisk effekt på vattenlevande organismer. Resultat från standardiserade provningar visar att vissa xantater och deras nedbrytningsprodukter är toxiska för vattenlevande ryggradslösa djur och fiskarter och att de kan bioackumuleras. </w:t>
      </w:r>
      <w:proofErr w:type="spellStart"/>
      <w:r w:rsidRPr="003B6CF7">
        <w:rPr>
          <w:b/>
          <w:i/>
          <w:szCs w:val="24"/>
          <w:lang w:eastAsia="en-US"/>
        </w:rPr>
        <w:t>Sulfater</w:t>
      </w:r>
      <w:proofErr w:type="spellEnd"/>
      <w:r w:rsidRPr="003B6CF7">
        <w:rPr>
          <w:b/>
          <w:i/>
          <w:szCs w:val="24"/>
          <w:lang w:eastAsia="en-US"/>
        </w:rPr>
        <w:t xml:space="preserve"> har redan förtecknats som förorenande ämnen i grundvattnet, men de kontroller som ägt rum har varit otillräckliga. </w:t>
      </w:r>
      <w:proofErr w:type="spellStart"/>
      <w:r w:rsidRPr="003B6CF7">
        <w:rPr>
          <w:b/>
          <w:i/>
          <w:szCs w:val="24"/>
          <w:lang w:eastAsia="en-US"/>
        </w:rPr>
        <w:t>Sulfater</w:t>
      </w:r>
      <w:proofErr w:type="spellEnd"/>
      <w:r w:rsidRPr="003B6CF7">
        <w:rPr>
          <w:b/>
          <w:i/>
          <w:szCs w:val="24"/>
          <w:lang w:eastAsia="en-US"/>
        </w:rPr>
        <w:t xml:space="preserve"> bör därför upptas på bevakningslistorna för yt- och grundvatten. Xantater bör upptas på bevakningslistan för ytvatten.</w:t>
      </w:r>
      <w:r w:rsidR="00540F6A" w:rsidRPr="003B6CF7">
        <w:rPr>
          <w:b/>
          <w:szCs w:val="24"/>
          <w:lang w:eastAsia="en-US"/>
        </w:rPr>
        <w:t xml:space="preserve"> [Ändr. 33]</w:t>
      </w:r>
    </w:p>
    <w:p w14:paraId="24D5FCEC" w14:textId="77777777" w:rsidR="00BD5295" w:rsidRPr="003B6CF7" w:rsidRDefault="00BD5295">
      <w:pPr>
        <w:widowControl/>
        <w:rPr>
          <w:b/>
          <w:i/>
          <w:szCs w:val="24"/>
          <w:lang w:eastAsia="en-US"/>
        </w:rPr>
      </w:pPr>
      <w:r w:rsidRPr="003B6CF7">
        <w:rPr>
          <w:b/>
          <w:i/>
          <w:szCs w:val="24"/>
          <w:lang w:eastAsia="en-US"/>
        </w:rPr>
        <w:br w:type="page"/>
      </w:r>
    </w:p>
    <w:p w14:paraId="77690E0F" w14:textId="6F567AAD"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(10c)</w:t>
      </w:r>
      <w:r w:rsidRPr="003B6CF7">
        <w:rPr>
          <w:szCs w:val="24"/>
          <w:lang w:eastAsia="en-US"/>
        </w:rPr>
        <w:tab/>
      </w:r>
      <w:r w:rsidRPr="003B6CF7">
        <w:rPr>
          <w:b/>
          <w:i/>
          <w:szCs w:val="24"/>
          <w:lang w:eastAsia="en-US"/>
        </w:rPr>
        <w:t>Ämnen som mikroplaster utgör en tydlig risk för folkhälsan och miljön, men också för grundläggande verksamheter som utvecklingen av jordbruket. Förekomsten av sådana ämnen och andra partiklar kan påverka inte bara det vatten som går till boskap och grödor utan även jordens bördighet, vilket äventyrar hälsan och den goda utvecklingen av nuvarande och framtida grödor</w:t>
      </w:r>
      <w:r w:rsidRPr="003B6CF7">
        <w:rPr>
          <w:szCs w:val="24"/>
          <w:vertAlign w:val="superscript"/>
          <w:lang w:val="en-GB" w:eastAsia="en-US"/>
        </w:rPr>
        <w:footnoteReference w:id="41"/>
      </w:r>
      <w:r w:rsidRPr="003B6CF7">
        <w:rPr>
          <w:b/>
          <w:i/>
          <w:szCs w:val="24"/>
          <w:lang w:eastAsia="en-US"/>
        </w:rPr>
        <w:t>.</w:t>
      </w:r>
      <w:r w:rsidR="00540F6A" w:rsidRPr="003B6CF7">
        <w:rPr>
          <w:b/>
          <w:szCs w:val="24"/>
          <w:lang w:eastAsia="en-US"/>
        </w:rPr>
        <w:t xml:space="preserve"> [Ändr. 34]</w:t>
      </w:r>
    </w:p>
    <w:p w14:paraId="0CB4E90A" w14:textId="77777777" w:rsidR="00BD5295" w:rsidRPr="003B6CF7" w:rsidRDefault="00BD5295">
      <w:pPr>
        <w:widowControl/>
        <w:rPr>
          <w:szCs w:val="24"/>
          <w:lang w:eastAsia="en-US"/>
        </w:rPr>
      </w:pPr>
      <w:r w:rsidRPr="003B6CF7">
        <w:rPr>
          <w:szCs w:val="24"/>
          <w:lang w:eastAsia="en-US"/>
        </w:rPr>
        <w:br w:type="page"/>
      </w:r>
    </w:p>
    <w:p w14:paraId="144D4DDD" w14:textId="4F6CCD32"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(11)</w:t>
      </w:r>
      <w:r w:rsidRPr="003B6CF7">
        <w:rPr>
          <w:szCs w:val="24"/>
          <w:lang w:eastAsia="en-US"/>
        </w:rPr>
        <w:tab/>
      </w:r>
      <w:r w:rsidRPr="003B6CF7">
        <w:rPr>
          <w:b/>
          <w:i/>
          <w:szCs w:val="24"/>
          <w:lang w:eastAsia="en-US"/>
        </w:rPr>
        <w:t xml:space="preserve">Nuvarande och konventionella metoder för att kontrollera vattenförekomsters kemiska status kan i allmänhet inte avgöra hur komplexa blandningar av kemikalier påverkar vattenkvaliteten. </w:t>
      </w:r>
      <w:r w:rsidRPr="003B6CF7">
        <w:rPr>
          <w:szCs w:val="24"/>
          <w:lang w:eastAsia="en-US"/>
        </w:rPr>
        <w:t xml:space="preserve">Med tanke på den ökande medvetenheten om blandningars relevans och därmed om betydelsen av effektbaserad övervakning för att fastställa kemisk status, och med tanke på att det redan finns tillräckligt robusta effektbaserade övervakningsmetoder för östrogena ämnen, bör medlemsstaterna tillämpa sådana metoder för att bedöma de kumulativa effekterna av östrogena ämnen i ytvatten under en period på minst två år. Detta kommer att göra det möjligt att jämföra de effektbaserade resultaten med de resultat som erhålls med hjälp av konventionella metoder för övervakning av de tre östrogena ämnen som förtecknas i bilaga I till direktiv 2008/105/EG. Jämförelsen </w:t>
      </w:r>
      <w:r w:rsidRPr="003B6CF7">
        <w:rPr>
          <w:strike/>
          <w:szCs w:val="24"/>
          <w:lang w:eastAsia="en-US"/>
        </w:rPr>
        <w:t xml:space="preserve">kommer att användas för att </w:t>
      </w:r>
      <w:proofErr w:type="spellStart"/>
      <w:r w:rsidRPr="003B6CF7">
        <w:rPr>
          <w:strike/>
          <w:szCs w:val="24"/>
          <w:lang w:eastAsia="en-US"/>
        </w:rPr>
        <w:t>bedöma</w:t>
      </w:r>
      <w:r w:rsidRPr="003B6CF7">
        <w:rPr>
          <w:b/>
          <w:i/>
          <w:szCs w:val="24"/>
          <w:lang w:eastAsia="en-US"/>
        </w:rPr>
        <w:t>bör</w:t>
      </w:r>
      <w:proofErr w:type="spellEnd"/>
      <w:r w:rsidRPr="003B6CF7">
        <w:rPr>
          <w:b/>
          <w:i/>
          <w:szCs w:val="24"/>
          <w:lang w:eastAsia="en-US"/>
        </w:rPr>
        <w:t xml:space="preserve"> ingå i en utvärderingsrapport som offentliggörs av kommissionen, i vilken kommissionen bedömer</w:t>
      </w:r>
      <w:r w:rsidRPr="003B6CF7">
        <w:rPr>
          <w:szCs w:val="24"/>
          <w:lang w:eastAsia="en-US"/>
        </w:rPr>
        <w:t xml:space="preserve"> om effektbaserade övervakningsmetoder</w:t>
      </w:r>
      <w:r w:rsidRPr="003B6CF7">
        <w:rPr>
          <w:b/>
          <w:i/>
          <w:szCs w:val="24"/>
          <w:lang w:eastAsia="en-US"/>
        </w:rPr>
        <w:t xml:space="preserve"> ger tillförlitliga och korrekta data och</w:t>
      </w:r>
      <w:r w:rsidRPr="003B6CF7">
        <w:rPr>
          <w:szCs w:val="24"/>
          <w:lang w:eastAsia="en-US"/>
        </w:rPr>
        <w:t xml:space="preserve"> kan användas som tillförlitliga screeningmetoder. Användning av sådana screeningmetoder har fördelen att de skulle kunna omfatta effekterna av alla östrogena ämnen med liknande effekt, och inte bara de som förtecknas i bilaga I till direktiv 2008/105/EG. </w:t>
      </w:r>
      <w:r w:rsidRPr="003B6CF7">
        <w:rPr>
          <w:b/>
          <w:i/>
          <w:szCs w:val="24"/>
          <w:lang w:eastAsia="en-US"/>
        </w:rPr>
        <w:t xml:space="preserve">Kommissionen bör ges befogenhet att anta delegerade akter för att komplettera direktiv 2008/105/EG så att medlemsstaterna använder de effektbaserade övervakningsmetoderna till att även bedöma förekomsten av andra ämnen i vattenförekomster, med avseende på ett eventuellt fastställande av effektbaserade utlösande värden i framtiden. </w:t>
      </w:r>
      <w:r w:rsidRPr="003B6CF7">
        <w:rPr>
          <w:szCs w:val="24"/>
          <w:lang w:eastAsia="en-US"/>
        </w:rPr>
        <w:t>Definitionen av miljökvalitetsnormer i direktiv 2000/60/EG bör ändras för att säkerställa att den i framtiden också kan omfatta utlösande värden som kan komma att fastställas för att bedöma resultaten av den effektbaserade övervakningen.</w:t>
      </w:r>
      <w:r w:rsidR="00540F6A" w:rsidRPr="003B6CF7">
        <w:rPr>
          <w:b/>
          <w:szCs w:val="24"/>
          <w:lang w:eastAsia="en-US"/>
        </w:rPr>
        <w:t xml:space="preserve"> [Ändr. 35]</w:t>
      </w:r>
    </w:p>
    <w:p w14:paraId="6A406E56" w14:textId="77777777" w:rsidR="00BD5295" w:rsidRPr="003B6CF7" w:rsidRDefault="00BD5295">
      <w:pPr>
        <w:widowControl/>
        <w:rPr>
          <w:b/>
          <w:i/>
          <w:szCs w:val="24"/>
          <w:lang w:eastAsia="en-US"/>
        </w:rPr>
      </w:pPr>
      <w:r w:rsidRPr="003B6CF7">
        <w:rPr>
          <w:b/>
          <w:i/>
          <w:szCs w:val="24"/>
          <w:lang w:eastAsia="en-US"/>
        </w:rPr>
        <w:br w:type="page"/>
      </w:r>
    </w:p>
    <w:p w14:paraId="74B0C6DD" w14:textId="1755C059"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(11a)</w:t>
      </w:r>
      <w:r w:rsidRPr="003B6CF7">
        <w:rPr>
          <w:szCs w:val="24"/>
          <w:lang w:eastAsia="en-US"/>
        </w:rPr>
        <w:tab/>
      </w:r>
      <w:r w:rsidRPr="003B6CF7">
        <w:rPr>
          <w:b/>
          <w:i/>
          <w:szCs w:val="24"/>
          <w:lang w:eastAsia="en-US"/>
        </w:rPr>
        <w:t>Strängare tröskelvärden bör fastställas där kvalitetsnormer för grundvatten kan leda till att miljömålen i direktiv 2000/60/EG inte uppnås för berörda vattenförekomster, i enlighet med kravet i direktiv 2006/118/EG. Det kravet i direktiv 2006/118/EG bör utvidgas ytterligare för att bättre skydda känsliga områden från föroreningar.</w:t>
      </w:r>
      <w:r w:rsidR="00540F6A" w:rsidRPr="003B6CF7">
        <w:rPr>
          <w:b/>
          <w:szCs w:val="24"/>
          <w:lang w:eastAsia="en-US"/>
        </w:rPr>
        <w:t xml:space="preserve"> [Ändr. 36]</w:t>
      </w:r>
    </w:p>
    <w:p w14:paraId="57468726" w14:textId="77777777" w:rsidR="00BD5295" w:rsidRPr="003B6CF7" w:rsidRDefault="00BD5295">
      <w:pPr>
        <w:widowControl/>
        <w:rPr>
          <w:szCs w:val="24"/>
          <w:lang w:eastAsia="en-US"/>
        </w:rPr>
      </w:pPr>
      <w:r w:rsidRPr="003B6CF7">
        <w:rPr>
          <w:szCs w:val="24"/>
          <w:lang w:eastAsia="en-US"/>
        </w:rPr>
        <w:br w:type="page"/>
      </w:r>
    </w:p>
    <w:p w14:paraId="3CC9F33D" w14:textId="56D2A97D"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(12)</w:t>
      </w:r>
      <w:r w:rsidRPr="003B6CF7">
        <w:rPr>
          <w:szCs w:val="24"/>
          <w:lang w:eastAsia="en-US"/>
        </w:rPr>
        <w:tab/>
        <w:t>Utvärderingen av unionens vattenlagstiftning</w:t>
      </w:r>
      <w:r w:rsidRPr="003B6CF7">
        <w:rPr>
          <w:szCs w:val="24"/>
          <w:vertAlign w:val="superscript"/>
          <w:lang w:val="en-GB" w:eastAsia="en-US"/>
        </w:rPr>
        <w:footnoteReference w:id="42"/>
      </w:r>
      <w:r w:rsidRPr="003B6CF7">
        <w:rPr>
          <w:szCs w:val="24"/>
          <w:lang w:eastAsia="en-US"/>
        </w:rPr>
        <w:t xml:space="preserve"> (utvärderingen) visade att processen för att identifiera och förteckna förorenande ämnen som påverkar yt- och grundvatten och fastställa eller revidera kvalitetsnormer för dem mot bakgrund av nya vetenskapliga rön skulle kunna påskyndas. </w:t>
      </w:r>
      <w:r w:rsidRPr="003B6CF7">
        <w:rPr>
          <w:strike/>
          <w:szCs w:val="24"/>
          <w:lang w:eastAsia="en-US"/>
        </w:rPr>
        <w:t xml:space="preserve">Om dessa uppgifter utfördes av kommissionen, snarare än </w:t>
      </w:r>
      <w:r w:rsidRPr="003B6CF7">
        <w:rPr>
          <w:szCs w:val="24"/>
          <w:lang w:eastAsia="en-US"/>
        </w:rPr>
        <w:t xml:space="preserve">Inom ramen för </w:t>
      </w:r>
      <w:r w:rsidRPr="003B6CF7">
        <w:rPr>
          <w:strike/>
          <w:szCs w:val="24"/>
          <w:lang w:eastAsia="en-US"/>
        </w:rPr>
        <w:t xml:space="preserve">det ordinarie lagstiftningsförfarande som för närvarande föreskrivs i artiklarna 16 och 17 </w:t>
      </w:r>
      <w:proofErr w:type="spellStart"/>
      <w:r w:rsidRPr="003B6CF7">
        <w:rPr>
          <w:strike/>
          <w:szCs w:val="24"/>
          <w:lang w:eastAsia="en-US"/>
        </w:rPr>
        <w:t>i</w:t>
      </w:r>
      <w:r w:rsidRPr="003B6CF7">
        <w:rPr>
          <w:b/>
          <w:i/>
          <w:szCs w:val="24"/>
          <w:lang w:eastAsia="en-US"/>
        </w:rPr>
        <w:t>framtida</w:t>
      </w:r>
      <w:proofErr w:type="spellEnd"/>
      <w:r w:rsidRPr="003B6CF7">
        <w:rPr>
          <w:b/>
          <w:i/>
          <w:szCs w:val="24"/>
          <w:lang w:eastAsia="en-US"/>
        </w:rPr>
        <w:t xml:space="preserve"> översyn av bilaga I till</w:t>
      </w:r>
      <w:r w:rsidRPr="003B6CF7">
        <w:rPr>
          <w:szCs w:val="24"/>
          <w:lang w:eastAsia="en-US"/>
        </w:rPr>
        <w:t xml:space="preserve"> direktiv </w:t>
      </w:r>
      <w:r w:rsidRPr="003B6CF7">
        <w:rPr>
          <w:strike/>
          <w:szCs w:val="24"/>
          <w:lang w:eastAsia="en-US"/>
        </w:rPr>
        <w:t>2000/60/EG och artikel 10 i</w:t>
      </w:r>
      <w:r w:rsidRPr="003B6CF7">
        <w:rPr>
          <w:b/>
          <w:i/>
          <w:szCs w:val="24"/>
          <w:lang w:eastAsia="en-US"/>
        </w:rPr>
        <w:t>2008/105/EG med avseende på förteckningen över prioriterade ämnen och motsvarande miljökvalitetsnormer som fastställs i del A i den bilagan och i bilaga I till</w:t>
      </w:r>
      <w:r w:rsidRPr="003B6CF7">
        <w:rPr>
          <w:szCs w:val="24"/>
          <w:lang w:eastAsia="en-US"/>
        </w:rPr>
        <w:t xml:space="preserve"> direktiv 2006/118/EG, </w:t>
      </w:r>
      <w:proofErr w:type="spellStart"/>
      <w:r w:rsidRPr="003B6CF7">
        <w:rPr>
          <w:strike/>
          <w:szCs w:val="24"/>
          <w:lang w:eastAsia="en-US"/>
        </w:rPr>
        <w:t>skulle</w:t>
      </w:r>
      <w:r w:rsidRPr="003B6CF7">
        <w:rPr>
          <w:b/>
          <w:i/>
          <w:szCs w:val="24"/>
          <w:lang w:eastAsia="en-US"/>
        </w:rPr>
        <w:t>bör</w:t>
      </w:r>
      <w:proofErr w:type="spellEnd"/>
      <w:r w:rsidRPr="003B6CF7">
        <w:rPr>
          <w:szCs w:val="24"/>
          <w:lang w:eastAsia="en-US"/>
        </w:rPr>
        <w:t xml:space="preserve"> funktionen hos mekanismerna för övervakning av yt- och grundvatten, särskilt när det gäller tidpunkt och ordningsföljd för förteckning, övervakning och bedömning av resultat</w:t>
      </w:r>
      <w:r w:rsidRPr="003B6CF7">
        <w:rPr>
          <w:strike/>
          <w:szCs w:val="24"/>
          <w:lang w:eastAsia="en-US"/>
        </w:rPr>
        <w:t>, kunna</w:t>
      </w:r>
      <w:r w:rsidRPr="003B6CF7">
        <w:rPr>
          <w:szCs w:val="24"/>
          <w:lang w:eastAsia="en-US"/>
        </w:rPr>
        <w:t xml:space="preserve"> förbättras, kopplingarna mellan bevakningslistmekanismen och översynen av förteckningarna över förorenande ämnen </w:t>
      </w:r>
      <w:r w:rsidRPr="003B6CF7">
        <w:rPr>
          <w:strike/>
          <w:szCs w:val="24"/>
          <w:lang w:eastAsia="en-US"/>
        </w:rPr>
        <w:t xml:space="preserve">kunna </w:t>
      </w:r>
      <w:r w:rsidRPr="003B6CF7">
        <w:rPr>
          <w:szCs w:val="24"/>
          <w:lang w:eastAsia="en-US"/>
        </w:rPr>
        <w:t xml:space="preserve">stärkas, och </w:t>
      </w:r>
      <w:r w:rsidRPr="003B6CF7">
        <w:rPr>
          <w:strike/>
          <w:szCs w:val="24"/>
          <w:lang w:eastAsia="en-US"/>
        </w:rPr>
        <w:t>ändringar</w:t>
      </w:r>
      <w:r w:rsidRPr="003B6CF7">
        <w:rPr>
          <w:b/>
          <w:i/>
          <w:szCs w:val="24"/>
          <w:lang w:eastAsia="en-US"/>
        </w:rPr>
        <w:t>tiden för översynen</w:t>
      </w:r>
      <w:r w:rsidRPr="003B6CF7">
        <w:rPr>
          <w:szCs w:val="24"/>
          <w:lang w:eastAsia="en-US"/>
        </w:rPr>
        <w:t xml:space="preserve"> av förteckningarna över förorenande ämnen </w:t>
      </w:r>
      <w:r w:rsidRPr="003B6CF7">
        <w:rPr>
          <w:b/>
          <w:i/>
          <w:szCs w:val="24"/>
          <w:lang w:eastAsia="en-US"/>
        </w:rPr>
        <w:t xml:space="preserve">bör anpassas för att </w:t>
      </w:r>
      <w:r w:rsidRPr="003B6CF7">
        <w:rPr>
          <w:szCs w:val="24"/>
          <w:lang w:eastAsia="en-US"/>
        </w:rPr>
        <w:t>snabbare</w:t>
      </w:r>
      <w:r w:rsidRPr="003B6CF7">
        <w:rPr>
          <w:strike/>
          <w:szCs w:val="24"/>
          <w:lang w:eastAsia="en-US"/>
        </w:rPr>
        <w:t xml:space="preserve"> kunna</w:t>
      </w:r>
      <w:r w:rsidRPr="003B6CF7">
        <w:rPr>
          <w:szCs w:val="24"/>
          <w:lang w:eastAsia="en-US"/>
        </w:rPr>
        <w:t xml:space="preserve"> ta hänsyn till den vetenskapliga utvecklingen</w:t>
      </w:r>
      <w:r w:rsidRPr="003B6CF7">
        <w:rPr>
          <w:strike/>
          <w:szCs w:val="24"/>
          <w:lang w:eastAsia="en-US"/>
        </w:rPr>
        <w:t>. Med hänsyn till behovet av att snabbt kunna ändra förteckningarna över förorenande ämnen och miljökvalitetsnormerna mot bakgrund av nya vetenskapliga och tekniska rön bör därför befogenheten att anta akter i enlighet med artikel 290 i EUF-fördraget delegeras till kommissionen för att ändra bilaga I till direktiv 2008/105/EG med avseende på förteckningen över prioriterade ämnen och motsvarande miljökvalitetsnormer i del A i den bilagan, och för att ändra bilaga I till direktiv 2006/118/EG med avseende på förteckningen över förorenande ämnen i grundvatten och de kvalitetsnormer som fastställs i den bilagan</w:t>
      </w:r>
      <w:r w:rsidRPr="003B6CF7">
        <w:rPr>
          <w:szCs w:val="24"/>
          <w:lang w:eastAsia="en-US"/>
        </w:rPr>
        <w:t>. I detta sammanhang bör kommissionen beakta resultaten av övervakningen av ämnen på bevakningslistorna för yt- och grundvatten. Artiklarna 16 och 17 i direktiv 2000/60/EG och bilaga X till det direktivet samt artikel 10 i direktiv 2006/118/EG bör därför utgå</w:t>
      </w:r>
      <w:r w:rsidRPr="003B6CF7">
        <w:rPr>
          <w:b/>
          <w:i/>
          <w:szCs w:val="24"/>
          <w:lang w:eastAsia="en-US"/>
        </w:rPr>
        <w:t>, samtidigt som behovet kvarstår av att vidta åtgärder för att stoppa eller fasa ut utsläpp och spill av prioriterade farliga ämnen</w:t>
      </w:r>
      <w:r w:rsidRPr="003B6CF7">
        <w:rPr>
          <w:szCs w:val="24"/>
          <w:lang w:eastAsia="en-US"/>
        </w:rPr>
        <w:t>.</w:t>
      </w:r>
      <w:r w:rsidR="00540F6A" w:rsidRPr="003B6CF7">
        <w:rPr>
          <w:b/>
          <w:szCs w:val="24"/>
          <w:lang w:eastAsia="en-US"/>
        </w:rPr>
        <w:t xml:space="preserve"> [Ändr. 37]</w:t>
      </w:r>
    </w:p>
    <w:p w14:paraId="06ED374F" w14:textId="77777777" w:rsidR="00BD5295" w:rsidRPr="003B6CF7" w:rsidRDefault="00BD5295">
      <w:pPr>
        <w:widowControl/>
        <w:rPr>
          <w:b/>
          <w:i/>
          <w:szCs w:val="24"/>
          <w:lang w:eastAsia="en-US"/>
        </w:rPr>
      </w:pPr>
      <w:r w:rsidRPr="003B6CF7">
        <w:rPr>
          <w:b/>
          <w:i/>
          <w:szCs w:val="24"/>
          <w:lang w:eastAsia="en-US"/>
        </w:rPr>
        <w:br w:type="page"/>
      </w:r>
    </w:p>
    <w:p w14:paraId="2A8534D1" w14:textId="512975C4"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(12a)</w:t>
      </w:r>
      <w:r w:rsidRPr="003B6CF7">
        <w:rPr>
          <w:szCs w:val="24"/>
          <w:lang w:eastAsia="en-US"/>
        </w:rPr>
        <w:tab/>
      </w:r>
      <w:r w:rsidRPr="003B6CF7">
        <w:rPr>
          <w:b/>
          <w:i/>
          <w:szCs w:val="24"/>
          <w:lang w:eastAsia="en-US"/>
        </w:rPr>
        <w:t>Sammantaget tyder slutsatserna i kontrollen av ändamålsenligheten på att direktiven i det stora hela är ändamålsenliga, med utrymme för förbättringar, bland annat ett snabbare korrekt genomförande av målen, vilket kan åstadkommas genom mer unionsfinansiering. Bedömningen tyder på att direktiven hittills generellt har lett till en högre nivå på skyddet av vattenförekomster och hanteringen av översvämningsrisker.</w:t>
      </w:r>
      <w:r w:rsidR="00540F6A" w:rsidRPr="003B6CF7">
        <w:rPr>
          <w:b/>
          <w:szCs w:val="24"/>
          <w:lang w:eastAsia="en-US"/>
        </w:rPr>
        <w:t xml:space="preserve"> [Ändr. 38]</w:t>
      </w:r>
    </w:p>
    <w:p w14:paraId="337CF3B3" w14:textId="77777777" w:rsidR="00BD5295" w:rsidRPr="003B6CF7" w:rsidRDefault="00BD5295">
      <w:pPr>
        <w:widowControl/>
        <w:rPr>
          <w:szCs w:val="24"/>
          <w:lang w:eastAsia="en-US"/>
        </w:rPr>
      </w:pPr>
      <w:r w:rsidRPr="003B6CF7">
        <w:rPr>
          <w:szCs w:val="24"/>
          <w:lang w:eastAsia="en-US"/>
        </w:rPr>
        <w:br w:type="page"/>
      </w:r>
    </w:p>
    <w:p w14:paraId="5347FE9B" w14:textId="556F8CE4"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(13)</w:t>
      </w:r>
      <w:r w:rsidRPr="003B6CF7">
        <w:rPr>
          <w:szCs w:val="24"/>
          <w:lang w:eastAsia="en-US"/>
        </w:rPr>
        <w:tab/>
        <w:t>I utvärderingen drogs också slutsatsen att det finns alltför stora skillnader mellan medlemsstaterna när det gäller de kvalitetsnormer och tröskelvärden som fastställts på nationell nivå för förorenande ämnen som är specifika för avrinningsområden respektive förorenande ämnen i grundvatten. Hittills har förorenande ämnen som är specifika för avrinningsområden och som inte identifierats som prioriterade ämnen enligt direktiv 2000/60/EG omfattats av nationella miljökvalitetsnormer och räknats som fysikalisk-kemiska kvalitetsfaktorer till stöd för bedömningen av ekologisk status i ytvatten. När det gäller grundvatten har det också varit möjligt för medlemsstaterna att fastställa egna tröskelvärden, även för av människan framställda syntetiska ämnen. Denna flexibilitet har lett till suboptimala resultat i fråga om jämförbarheten för vattenförekomsternas status mellan medlemsstaterna och i fråga om miljöskydd. Det är därför nödvändigt att föreskriva ett förfarande som möjliggör en överenskommelse på unionsnivå om de miljökvalitetsnormer och tröskelvärden som ska tillämpas för dessa ämnen om de identifieras vara av nationell betydelse och att upprätta register över tillämpliga miljökvalitetsnormer och tröskelvärden.</w:t>
      </w:r>
    </w:p>
    <w:p w14:paraId="5531425D" w14:textId="77777777" w:rsidR="00BD5295" w:rsidRPr="003B6CF7" w:rsidRDefault="00BD5295">
      <w:pPr>
        <w:widowControl/>
        <w:rPr>
          <w:b/>
          <w:i/>
          <w:szCs w:val="24"/>
          <w:lang w:eastAsia="en-US"/>
        </w:rPr>
      </w:pPr>
      <w:r w:rsidRPr="003B6CF7">
        <w:rPr>
          <w:b/>
          <w:i/>
          <w:szCs w:val="24"/>
          <w:lang w:eastAsia="en-US"/>
        </w:rPr>
        <w:br w:type="page"/>
      </w:r>
    </w:p>
    <w:p w14:paraId="0BFF617E" w14:textId="319731C3"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(13a)</w:t>
      </w:r>
      <w:r w:rsidRPr="003B6CF7">
        <w:rPr>
          <w:szCs w:val="24"/>
          <w:lang w:eastAsia="en-US"/>
        </w:rPr>
        <w:tab/>
      </w:r>
      <w:r w:rsidRPr="003B6CF7">
        <w:rPr>
          <w:b/>
          <w:i/>
          <w:szCs w:val="24"/>
          <w:lang w:eastAsia="en-US"/>
        </w:rPr>
        <w:t>Alla beslut om urval, översyn av ämnen och fastställande av miljökvalitetsnormer bör baseras på en riskbedömning och följa en proportionerlig, öppen och vetenskapligt baserad ansats med beaktande av rekommendationer från Europaparlamentet, medlemsstaterna och berörda parter.</w:t>
      </w:r>
      <w:r w:rsidR="00540F6A" w:rsidRPr="003B6CF7">
        <w:rPr>
          <w:b/>
          <w:szCs w:val="24"/>
          <w:lang w:eastAsia="en-US"/>
        </w:rPr>
        <w:t xml:space="preserve"> [Ändr. 39]</w:t>
      </w:r>
    </w:p>
    <w:p w14:paraId="5F4BE8CD" w14:textId="3A1252D9" w:rsidR="001831FD" w:rsidRPr="003B6CF7" w:rsidRDefault="001831FD" w:rsidP="001831FD">
      <w:pPr>
        <w:spacing w:before="120" w:after="120" w:line="360" w:lineRule="auto"/>
        <w:ind w:left="850" w:hanging="850"/>
        <w:rPr>
          <w:b/>
          <w:szCs w:val="24"/>
          <w:lang w:eastAsia="en-US"/>
        </w:rPr>
      </w:pPr>
      <w:r w:rsidRPr="003B6CF7">
        <w:rPr>
          <w:b/>
          <w:i/>
          <w:szCs w:val="24"/>
          <w:lang w:eastAsia="en-US"/>
        </w:rPr>
        <w:t>(13b)</w:t>
      </w:r>
      <w:r w:rsidRPr="003B6CF7">
        <w:rPr>
          <w:szCs w:val="24"/>
          <w:lang w:eastAsia="en-US"/>
        </w:rPr>
        <w:tab/>
      </w:r>
      <w:r w:rsidRPr="003B6CF7">
        <w:rPr>
          <w:b/>
          <w:i/>
          <w:szCs w:val="24"/>
          <w:lang w:eastAsia="en-US"/>
        </w:rPr>
        <w:t xml:space="preserve">Samtidigt som det i direktiv 2000/60/EG fastställs nödvändiga regler för att göra framsteg med vattnets kvantitet och kvalitet visade kontrollen av ändamålsenligheten att de långsamma framstegen med att uppnå målen i detta direktiv bland annat kan tillskrivas avsaknad av tillräckliga ekonomiska resurser samt den regleringsmässiga och ekologiska komplexiteten, bland annat eventuell fördröjning innan grundvattnet reagerar på åtgärder samt med avseende på tidsfristerna för rapportering. Åtgärder som förbättrar vattenförekomsternas status genom återställande av floder och ekosystemtjänster ger ekonomiska fördelar som uppväger kostnaderna och kan minska onödiga utgifter för medlemsstaterna. Vidare tyder utvärderingen på bristande genomförande, otillräckligt tillämpningsområde samt otillräckliga eller inadekvata återställande åtgärder för att säkerställa hydrologisk och ekologisk </w:t>
      </w:r>
      <w:proofErr w:type="spellStart"/>
      <w:r w:rsidRPr="003B6CF7">
        <w:rPr>
          <w:b/>
          <w:i/>
          <w:szCs w:val="24"/>
          <w:lang w:eastAsia="en-US"/>
        </w:rPr>
        <w:t>konnektivitet</w:t>
      </w:r>
      <w:proofErr w:type="spellEnd"/>
      <w:r w:rsidRPr="003B6CF7">
        <w:rPr>
          <w:szCs w:val="24"/>
          <w:vertAlign w:val="superscript"/>
          <w:lang w:val="en-GB" w:eastAsia="en-US"/>
        </w:rPr>
        <w:footnoteReference w:id="43"/>
      </w:r>
      <w:r w:rsidRPr="003B6CF7">
        <w:rPr>
          <w:b/>
          <w:i/>
          <w:szCs w:val="24"/>
          <w:lang w:eastAsia="en-US"/>
        </w:rPr>
        <w:t>.</w:t>
      </w:r>
      <w:r w:rsidR="00540F6A" w:rsidRPr="003B6CF7">
        <w:rPr>
          <w:b/>
          <w:szCs w:val="24"/>
          <w:lang w:eastAsia="en-US"/>
        </w:rPr>
        <w:t xml:space="preserve"> [Ändr. 40]</w:t>
      </w:r>
    </w:p>
    <w:p w14:paraId="6E223707" w14:textId="77777777" w:rsidR="00BD5295" w:rsidRPr="003B6CF7" w:rsidRDefault="00BD5295">
      <w:pPr>
        <w:widowControl/>
        <w:rPr>
          <w:szCs w:val="24"/>
          <w:lang w:eastAsia="en-US"/>
        </w:rPr>
      </w:pPr>
      <w:r w:rsidRPr="003B6CF7">
        <w:rPr>
          <w:szCs w:val="24"/>
          <w:lang w:eastAsia="en-US"/>
        </w:rPr>
        <w:br w:type="page"/>
      </w:r>
    </w:p>
    <w:p w14:paraId="7E2EEBFE" w14:textId="5DCBCA71"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(14)</w:t>
      </w:r>
      <w:r w:rsidRPr="003B6CF7">
        <w:rPr>
          <w:szCs w:val="24"/>
          <w:lang w:eastAsia="en-US"/>
        </w:rPr>
        <w:tab/>
        <w:t>Genom att förorenande ämnen som är specifika för avrinningsområden integreras i definitionen av kemisk status i ytvatten säkerställs också en mer samordnad, enhetlig och öppen strategi när det gäller övervakning och bedömning av ytvattenförekomsters kemiska status och relaterad information till allmänheten. Det underlättar också en mer målinriktad strategi för att identifiera och genomföra åtgärder för att hantera alla ”kemikalierelaterade” frågor på ett mer holistiskt, effektivt och ändamålsenligt sätt. Därför bör definitionerna av ”ekologisk status” och ”kemisk status” ändras och räckvidden för ”kemisk status” utvidgas till att även omfatta de förorenande ämnen som är specifika för avrinningsområden som hittills ingått i definitionen av ”ekologisk status” i bilaga V till direktiv 2000/60/EG. Konceptet med miljökvalitetsnormer för förorenande ämnen som är specifika för avrinningsområden och därmed sammanhängande förfaranden bör därför införas i direktiv 2008/105/EG.</w:t>
      </w:r>
    </w:p>
    <w:p w14:paraId="69206236" w14:textId="4EF33D56" w:rsidR="001831FD" w:rsidRPr="003B6CF7" w:rsidRDefault="001831FD" w:rsidP="001831FD">
      <w:pPr>
        <w:spacing w:before="120" w:after="120" w:line="360" w:lineRule="auto"/>
        <w:ind w:left="850" w:hanging="850"/>
        <w:rPr>
          <w:b/>
          <w:szCs w:val="24"/>
          <w:lang w:eastAsia="en-US"/>
        </w:rPr>
      </w:pPr>
      <w:r w:rsidRPr="003B6CF7">
        <w:rPr>
          <w:szCs w:val="24"/>
          <w:lang w:eastAsia="en-US"/>
        </w:rPr>
        <w:t>(15)</w:t>
      </w:r>
      <w:r w:rsidRPr="003B6CF7">
        <w:rPr>
          <w:szCs w:val="24"/>
          <w:lang w:eastAsia="en-US"/>
        </w:rPr>
        <w:tab/>
        <w:t xml:space="preserve">För att säkerställa ett harmoniserat tillvägagångssätt och lika villkor i unionen bör befogenheten att anta akter i enlighet med artikel 290 i EUF-fördraget delegeras till kommissionen för att ändra del B i bilaga II till direktiv 2006/118/EG genom att anpassa förteckningen över förorenande ämnen för vilka medlemsstaterna måste </w:t>
      </w:r>
      <w:r w:rsidRPr="003B6CF7">
        <w:rPr>
          <w:strike/>
          <w:szCs w:val="24"/>
          <w:lang w:eastAsia="en-US"/>
        </w:rPr>
        <w:t xml:space="preserve">överväga att </w:t>
      </w:r>
      <w:r w:rsidRPr="003B6CF7">
        <w:rPr>
          <w:szCs w:val="24"/>
          <w:lang w:eastAsia="en-US"/>
        </w:rPr>
        <w:t>fastställa nationella tröskelvärden.</w:t>
      </w:r>
      <w:r w:rsidR="00540F6A" w:rsidRPr="003B6CF7">
        <w:rPr>
          <w:b/>
          <w:szCs w:val="24"/>
          <w:lang w:eastAsia="en-US"/>
        </w:rPr>
        <w:t xml:space="preserve"> [Ändr. 41]</w:t>
      </w:r>
    </w:p>
    <w:p w14:paraId="44FD902D" w14:textId="77777777" w:rsidR="00BD5295" w:rsidRPr="003B6CF7" w:rsidRDefault="00BD5295">
      <w:pPr>
        <w:widowControl/>
        <w:rPr>
          <w:szCs w:val="24"/>
          <w:lang w:eastAsia="en-US"/>
        </w:rPr>
      </w:pPr>
      <w:r w:rsidRPr="003B6CF7">
        <w:rPr>
          <w:szCs w:val="24"/>
          <w:lang w:eastAsia="en-US"/>
        </w:rPr>
        <w:br w:type="page"/>
      </w:r>
    </w:p>
    <w:p w14:paraId="1A64A409" w14:textId="31A5E98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(16)</w:t>
      </w:r>
      <w:r w:rsidRPr="003B6CF7">
        <w:rPr>
          <w:szCs w:val="24"/>
          <w:lang w:eastAsia="en-US"/>
        </w:rPr>
        <w:tab/>
        <w:t>Med hänsyn till behovet av snabb anpassning till vetenskapliga och tekniska rön och av att säkerställa ett harmoniserat tillvägagångssätt och lika villkor i unionen när det gäller förorenande ämnen som är specifika för avrinningsområden, bör befogenheten att anta akter i enlighet med artikel 290 i EUF-fördraget delegeras till kommissionen för att anpassa bilaga II till direktiv 2008/105/EG med avseende på förteckningen över kategorier av förorenande ämnen i del A i den bilagan och för att anpassa del C i bilaga II med avseende på de harmoniserade miljökvalitetsnormerna i den bilagan för förorenande ämnen som är specifika för avrinningsområden. Dessa harmoniserade miljökvalitetsnormer bör tillämpas av medlemsstaterna vid bedömningen av deras ytvattenförekomsters status när en risk har identifierats från dessa förorenande ämnen.</w:t>
      </w:r>
    </w:p>
    <w:p w14:paraId="21F5AEC2"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(17)</w:t>
      </w:r>
      <w:r w:rsidRPr="003B6CF7">
        <w:rPr>
          <w:szCs w:val="24"/>
          <w:lang w:eastAsia="en-US"/>
        </w:rPr>
        <w:tab/>
        <w:t>Vid översynen av förteckningen över prioriterade ämnen i del A i bilaga I till direktiv 2008/105/EG drogs slutsatsen att flera prioriterade ämnen inte längre är av unionsomfattande betydelse och därför inte längre bör tas upp i del A i bilaga I till det direktivet. Dessa ämnen bör därför betraktas som förorenande ämnen som är specifika för avrinningsområden och tas upp i del C i bilaga II till direktiv 2008/105/EG tillsammans med motsvarande miljökvalitetsnormer. Eftersom dessa förorenande ämnen inte längre anses vara av unionsomfattande betydelse behöver miljökvalitetsnormerna endast tillämpas om ämnena fortfarande kan vara av nationell, regional eller lokal betydelse.</w:t>
      </w:r>
    </w:p>
    <w:p w14:paraId="29C3589E" w14:textId="77777777" w:rsidR="00BD5295" w:rsidRPr="003B6CF7" w:rsidRDefault="00BD5295">
      <w:pPr>
        <w:widowControl/>
        <w:rPr>
          <w:szCs w:val="24"/>
          <w:lang w:eastAsia="en-US"/>
        </w:rPr>
      </w:pPr>
      <w:r w:rsidRPr="003B6CF7">
        <w:rPr>
          <w:szCs w:val="24"/>
          <w:lang w:eastAsia="en-US"/>
        </w:rPr>
        <w:br w:type="page"/>
      </w:r>
    </w:p>
    <w:p w14:paraId="693E18DF" w14:textId="4E90F2E7"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(18)</w:t>
      </w:r>
      <w:r w:rsidRPr="003B6CF7">
        <w:rPr>
          <w:szCs w:val="24"/>
          <w:lang w:eastAsia="en-US"/>
        </w:rPr>
        <w:tab/>
        <w:t>För att säkerställa lika villkor och göra det möjligt att jämföra statusen för vattenförekomster mellan medlemsstaterna finns det ett behov av att harmonisera nationella tröskelvärden för vissa förorenande ämnen i grundvatten. Därför bör ett register med harmoniserade tröskelvärden för förorenande ämnen i grundvatten som är av nationell, regional eller lokal betydelse införas som en ny del D i bilaga II till direktiv 2006/118/EG. De harmoniserade tröskelvärden som fastställs i det registret behöver endast tillämpas i de medlemsstater där de förorenande ämnen som omfattas av dessa tröskelvärden påverkar grundvattenstatusen. För summan av de två syntetiska förorenande ämnena trikloretylen och tetrakloretylen finns det ett behov av att harmonisera de nationella tröskelvärdena, eftersom inte alla medlemsstater där ämnena är relevanta tillämpar ett tröskelvärde för summan av dessa förorenande ämnen och alla nationella tröskelvärden som fastställts inte är desamma. Det harmoniserade tröskelvärdet bör överensstämma med det parametervärde som fastställts för summan av dessa föroreningar i dricksvatten enligt direktiv (EU) 2020/2184.</w:t>
      </w:r>
    </w:p>
    <w:p w14:paraId="0E4D1F65"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(19)</w:t>
      </w:r>
      <w:r w:rsidRPr="003B6CF7">
        <w:rPr>
          <w:szCs w:val="24"/>
          <w:lang w:eastAsia="en-US"/>
        </w:rPr>
        <w:tab/>
        <w:t>För att säkerställa ett harmoniserat tillvägagångssätt och lika villkor i unionen bör befogenheten att anta akter i enlighet med artikel 290 i EUF-fördraget delegeras till kommissionen för att ändra del D i bilaga II till direktiv 2006/118/EG i syfte att anpassa registret med harmoniserade tröskelvärden till den vetenskapliga och tekniska utvecklingen med avseende på de förorenande ämnen som förtecknas och de harmoniserade tröskelvärdena.</w:t>
      </w:r>
    </w:p>
    <w:p w14:paraId="0B981189" w14:textId="77777777" w:rsidR="00BD5295" w:rsidRPr="003B6CF7" w:rsidRDefault="00BD5295">
      <w:pPr>
        <w:widowControl/>
        <w:rPr>
          <w:szCs w:val="24"/>
          <w:lang w:eastAsia="en-US"/>
        </w:rPr>
      </w:pPr>
      <w:r w:rsidRPr="003B6CF7">
        <w:rPr>
          <w:szCs w:val="24"/>
          <w:lang w:eastAsia="en-US"/>
        </w:rPr>
        <w:br w:type="page"/>
      </w:r>
    </w:p>
    <w:p w14:paraId="3FBA2D40" w14:textId="462B70E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(20)</w:t>
      </w:r>
      <w:r w:rsidRPr="003B6CF7">
        <w:rPr>
          <w:szCs w:val="24"/>
          <w:lang w:eastAsia="en-US"/>
        </w:rPr>
        <w:tab/>
        <w:t>Alla bestämmelser i direktiv 2006/118/EG som rör bedömning av kemisk grundvattenstatus bör anpassas till införandet av den tredje kategorin harmoniserade tröskelvärden i del D i bilaga II till det direktivet, utöver de kvalitetsnormer som anges i bilaga I till det direktivet och de nationella tröskelvärden som fastställs i enlighet med den metod som anges i del A i bilaga II till det direktivet.</w:t>
      </w:r>
    </w:p>
    <w:p w14:paraId="6466B5A2" w14:textId="2C80400A" w:rsidR="001831FD" w:rsidRPr="003B6CF7" w:rsidRDefault="001831FD" w:rsidP="001831FD">
      <w:pPr>
        <w:spacing w:before="120" w:after="120" w:line="360" w:lineRule="auto"/>
        <w:ind w:left="850" w:hanging="850"/>
        <w:rPr>
          <w:b/>
          <w:szCs w:val="24"/>
          <w:lang w:eastAsia="en-US"/>
        </w:rPr>
      </w:pPr>
      <w:r w:rsidRPr="003B6CF7">
        <w:rPr>
          <w:b/>
          <w:i/>
          <w:szCs w:val="24"/>
          <w:lang w:eastAsia="en-US"/>
        </w:rPr>
        <w:t>(20a)</w:t>
      </w:r>
      <w:r w:rsidRPr="003B6CF7">
        <w:rPr>
          <w:szCs w:val="24"/>
          <w:lang w:eastAsia="en-US"/>
        </w:rPr>
        <w:tab/>
      </w:r>
      <w:r w:rsidRPr="003B6CF7">
        <w:rPr>
          <w:b/>
          <w:i/>
          <w:szCs w:val="24"/>
          <w:lang w:eastAsia="en-US"/>
        </w:rPr>
        <w:t>För att tillräckliga skyddsnormer ska tillhandahållas för områden med högt ekologiskt värde, känsliga områden eller förorenade områden, såsom grottor och karstområden som innehåller ekosystem som hör till de mest känsliga för föroreningar och utgör en viktig källa till dricksvattenförsörjning samt tidigare industriområden med känd historisk förorening, bör kommissionen offentliggöra en bedömning om den kemiska statusen för sådana områden och vid behov lägga fram ett lagstiftningsförslag om ändring av direktiv 2006/118/EG i enlighet med detta.</w:t>
      </w:r>
      <w:r w:rsidR="00540F6A" w:rsidRPr="003B6CF7">
        <w:rPr>
          <w:b/>
          <w:szCs w:val="24"/>
          <w:lang w:eastAsia="en-US"/>
        </w:rPr>
        <w:t xml:space="preserve"> [Ändr. 42]</w:t>
      </w:r>
    </w:p>
    <w:p w14:paraId="75C5890F" w14:textId="77777777" w:rsidR="00BD5295" w:rsidRPr="003B6CF7" w:rsidRDefault="00BD5295">
      <w:pPr>
        <w:widowControl/>
        <w:rPr>
          <w:szCs w:val="24"/>
          <w:lang w:eastAsia="en-US"/>
        </w:rPr>
      </w:pPr>
      <w:r w:rsidRPr="003B6CF7">
        <w:rPr>
          <w:szCs w:val="24"/>
          <w:lang w:eastAsia="en-US"/>
        </w:rPr>
        <w:br w:type="page"/>
      </w:r>
    </w:p>
    <w:p w14:paraId="5352E955" w14:textId="123DDDAD"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(21)</w:t>
      </w:r>
      <w:r w:rsidRPr="003B6CF7">
        <w:rPr>
          <w:szCs w:val="24"/>
          <w:lang w:eastAsia="en-US"/>
        </w:rPr>
        <w:tab/>
        <w:t>För att säkerställa ett effektivt och samstämmigt beslutsfattande och utveckla synergier med det arbete som utförs inom ramen för annan unionslagstiftning om kemikalier bör Europeiska kemikaliemyndigheten (</w:t>
      </w:r>
      <w:proofErr w:type="spellStart"/>
      <w:r w:rsidRPr="003B6CF7">
        <w:rPr>
          <w:szCs w:val="24"/>
          <w:lang w:eastAsia="en-US"/>
        </w:rPr>
        <w:t>Echa</w:t>
      </w:r>
      <w:proofErr w:type="spellEnd"/>
      <w:r w:rsidRPr="003B6CF7">
        <w:rPr>
          <w:szCs w:val="24"/>
          <w:lang w:eastAsia="en-US"/>
        </w:rPr>
        <w:t xml:space="preserve">) ges en permanent och tydligt avgränsad roll i prioriteringen av ämnen som ska tas upp på bevakningslistorna och i förteckningarna över ämnen i bilagorna I och II till direktiv 2008/105/EG och bilagorna I och II till direktiv 2006/118/EG, och i utarbetandet av lämpliga vetenskapligt baserade kvalitetsnormer. </w:t>
      </w:r>
      <w:proofErr w:type="spellStart"/>
      <w:r w:rsidRPr="003B6CF7">
        <w:rPr>
          <w:szCs w:val="24"/>
          <w:lang w:eastAsia="en-US"/>
        </w:rPr>
        <w:t>Echas</w:t>
      </w:r>
      <w:proofErr w:type="spellEnd"/>
      <w:r w:rsidRPr="003B6CF7">
        <w:rPr>
          <w:szCs w:val="24"/>
          <w:lang w:eastAsia="en-US"/>
        </w:rPr>
        <w:t xml:space="preserve"> riskbedömningskommitté och kommitté för samhällsekonomisk analys bör stödja utförandet av vissa uppgifter som tilldelas </w:t>
      </w:r>
      <w:proofErr w:type="spellStart"/>
      <w:r w:rsidRPr="003B6CF7">
        <w:rPr>
          <w:szCs w:val="24"/>
          <w:lang w:eastAsia="en-US"/>
        </w:rPr>
        <w:t>Echa</w:t>
      </w:r>
      <w:proofErr w:type="spellEnd"/>
      <w:r w:rsidRPr="003B6CF7">
        <w:rPr>
          <w:szCs w:val="24"/>
          <w:lang w:eastAsia="en-US"/>
        </w:rPr>
        <w:t xml:space="preserve"> genom att avge yttranden. </w:t>
      </w:r>
      <w:proofErr w:type="spellStart"/>
      <w:r w:rsidRPr="003B6CF7">
        <w:rPr>
          <w:szCs w:val="24"/>
          <w:lang w:eastAsia="en-US"/>
        </w:rPr>
        <w:t>Echa</w:t>
      </w:r>
      <w:proofErr w:type="spellEnd"/>
      <w:r w:rsidRPr="003B6CF7">
        <w:rPr>
          <w:szCs w:val="24"/>
          <w:lang w:eastAsia="en-US"/>
        </w:rPr>
        <w:t xml:space="preserve"> bör också säkerställa bättre samordning mellan olika delar av miljölagstiftningen genom ökad öppenhet när det gäller förorenande ämnen på en bevakningslista eller utveckling av unionsomfattande eller nationella miljökvalitetsnormer eller tröskelvärden, genom att göra relevanta vetenskapliga rapporter tillgängliga för allmänheten.</w:t>
      </w:r>
      <w:r w:rsidRPr="003B6CF7">
        <w:rPr>
          <w:b/>
          <w:i/>
          <w:szCs w:val="24"/>
          <w:lang w:eastAsia="en-US"/>
        </w:rPr>
        <w:t xml:space="preserve"> När det gäller bedömning av tröskelvärden för läkemedel bör </w:t>
      </w:r>
      <w:proofErr w:type="spellStart"/>
      <w:r w:rsidRPr="003B6CF7">
        <w:rPr>
          <w:b/>
          <w:i/>
          <w:szCs w:val="24"/>
          <w:lang w:eastAsia="en-US"/>
        </w:rPr>
        <w:t>Echa</w:t>
      </w:r>
      <w:proofErr w:type="spellEnd"/>
      <w:r w:rsidRPr="003B6CF7">
        <w:rPr>
          <w:b/>
          <w:i/>
          <w:szCs w:val="24"/>
          <w:lang w:eastAsia="en-US"/>
        </w:rPr>
        <w:t xml:space="preserve"> samarbeta med Europeiska läkemedelsmyndigheten (EMA).</w:t>
      </w:r>
      <w:r w:rsidR="00540F6A" w:rsidRPr="003B6CF7">
        <w:rPr>
          <w:b/>
          <w:szCs w:val="24"/>
          <w:lang w:eastAsia="en-US"/>
        </w:rPr>
        <w:t xml:space="preserve"> [Ändr. 43]</w:t>
      </w:r>
    </w:p>
    <w:p w14:paraId="393BA159" w14:textId="77777777" w:rsidR="00BD5295" w:rsidRPr="003B6CF7" w:rsidRDefault="00BD5295">
      <w:pPr>
        <w:widowControl/>
        <w:rPr>
          <w:szCs w:val="24"/>
          <w:lang w:eastAsia="en-US"/>
        </w:rPr>
      </w:pPr>
      <w:r w:rsidRPr="003B6CF7">
        <w:rPr>
          <w:szCs w:val="24"/>
          <w:lang w:eastAsia="en-US"/>
        </w:rPr>
        <w:br w:type="page"/>
      </w:r>
    </w:p>
    <w:p w14:paraId="2ECE47C8" w14:textId="36280B05"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(22)</w:t>
      </w:r>
      <w:r w:rsidRPr="003B6CF7">
        <w:rPr>
          <w:szCs w:val="24"/>
          <w:lang w:eastAsia="en-US"/>
        </w:rPr>
        <w:tab/>
        <w:t>I utvärderingen drogs slutsatsen att en mer frekvent och rationaliserad elektronisk rapportering är nödvändig för att främja bättre genomförande och tillämpning av unionens vattenlagstiftning. Mot bakgrund av dess roll att också mer regelbundet övervaka föroreningsläget i enlighet med handlingsplanen för nollförorening bör Europeiska miljöbyrån (EEA) stödja en sådan mer frekvent och rationell rapportering från medlemsstaternas sida. Det är viktigt att allmänheten och kommissionen i god tid får tillgång till miljöinformation om statusen för unionens ytvatten och grundvatten. Medlemsstaterna bör därför åläggas att göra de övervakningsdata som samlas in inom ramen för direktiv 2000/60/EG tillgängliga för kommissionen och EEA, med hjälp av mekanismer för automatisk rapportering och dataöverföring genom användning av applikationsprogrammeringsgränssnitt eller motsvarande mekanismer. Den administrativa bördan förväntas bli begränsad i den mån medlemsstaterna redan är skyldiga att offentliggöra teman för rumsliga data inom tillämpningsområdet för Europaparlamentets och rådets direktiv 2007/2/EG</w:t>
      </w:r>
      <w:r w:rsidRPr="003B6CF7">
        <w:rPr>
          <w:szCs w:val="24"/>
          <w:vertAlign w:val="superscript"/>
          <w:lang w:val="en-GB" w:eastAsia="en-US"/>
        </w:rPr>
        <w:footnoteReference w:id="44"/>
      </w:r>
      <w:r w:rsidRPr="003B6CF7">
        <w:rPr>
          <w:szCs w:val="24"/>
          <w:lang w:eastAsia="en-US"/>
        </w:rPr>
        <w:t>, liksom enligt Europaparlamentets och rådets direktiv (EU) 2019/1024</w:t>
      </w:r>
      <w:r w:rsidRPr="003B6CF7">
        <w:rPr>
          <w:szCs w:val="24"/>
          <w:vertAlign w:val="superscript"/>
          <w:lang w:val="en-GB" w:eastAsia="en-US"/>
        </w:rPr>
        <w:footnoteReference w:id="45"/>
      </w:r>
      <w:r w:rsidRPr="003B6CF7">
        <w:rPr>
          <w:szCs w:val="24"/>
          <w:lang w:eastAsia="en-US"/>
        </w:rPr>
        <w:t>. I dessa teman för rumsliga data ingår placering och användning av anläggningar för miljöövervakning, relaterade utsläppsmätningar och miljömediernas tillstånd.</w:t>
      </w:r>
    </w:p>
    <w:p w14:paraId="6A936C18" w14:textId="77777777" w:rsidR="00BD5295" w:rsidRPr="003B6CF7" w:rsidRDefault="00BD5295">
      <w:pPr>
        <w:widowControl/>
        <w:rPr>
          <w:strike/>
          <w:szCs w:val="24"/>
          <w:lang w:eastAsia="en-US"/>
        </w:rPr>
      </w:pPr>
      <w:r w:rsidRPr="003B6CF7">
        <w:rPr>
          <w:strike/>
          <w:szCs w:val="24"/>
          <w:lang w:eastAsia="en-US"/>
        </w:rPr>
        <w:br w:type="page"/>
      </w:r>
    </w:p>
    <w:p w14:paraId="3AA49EB2" w14:textId="46742E68" w:rsidR="001831FD" w:rsidRPr="003B6CF7" w:rsidRDefault="001831FD" w:rsidP="001831FD">
      <w:pPr>
        <w:spacing w:before="120" w:after="120" w:line="360" w:lineRule="auto"/>
        <w:ind w:left="850" w:hanging="850"/>
        <w:rPr>
          <w:b/>
          <w:szCs w:val="24"/>
          <w:lang w:eastAsia="en-US"/>
        </w:rPr>
      </w:pPr>
      <w:r w:rsidRPr="003B6CF7">
        <w:rPr>
          <w:strike/>
          <w:szCs w:val="24"/>
          <w:lang w:eastAsia="en-US"/>
        </w:rPr>
        <w:lastRenderedPageBreak/>
        <w:t>(23)</w:t>
      </w:r>
      <w:r w:rsidRPr="003B6CF7">
        <w:rPr>
          <w:szCs w:val="24"/>
          <w:lang w:eastAsia="en-US"/>
        </w:rPr>
        <w:tab/>
      </w:r>
      <w:r w:rsidRPr="003B6CF7">
        <w:rPr>
          <w:strike/>
          <w:szCs w:val="24"/>
          <w:lang w:eastAsia="en-US"/>
        </w:rPr>
        <w:t>Bättre integrering av de dataflöden som rapporteras till EEA enligt unionens vattenlagstiftning, särskilt de register över utsläpp som krävs enligt direktiv 2008/105/EG, med de dataflöden som rapporteras till portalen för industriutsläpp enligt direktiv 2010/75/EU och Europaparlamentets och rådets förordning (EG) nr 166/2006</w:t>
      </w:r>
      <w:r w:rsidRPr="003B6CF7">
        <w:rPr>
          <w:szCs w:val="24"/>
          <w:vertAlign w:val="superscript"/>
          <w:lang w:val="en-GB" w:eastAsia="en-US"/>
        </w:rPr>
        <w:footnoteReference w:id="46"/>
      </w:r>
      <w:r w:rsidRPr="003B6CF7">
        <w:rPr>
          <w:strike/>
          <w:szCs w:val="24"/>
          <w:lang w:eastAsia="en-US"/>
        </w:rPr>
        <w:t xml:space="preserve">, kommer att göra registerrapporteringen enligt artikel 5 i direktiv 2008/105/EG enklare och effektivare. Det kommer samtidigt att minska den administrativa bördan och arbetstoppen vid utarbetandet av förvaltningsplanerna för avrinningsdistrikt. I kombination med avskaffandet av </w:t>
      </w:r>
      <w:proofErr w:type="spellStart"/>
      <w:r w:rsidRPr="003B6CF7">
        <w:rPr>
          <w:strike/>
          <w:szCs w:val="24"/>
          <w:lang w:eastAsia="en-US"/>
        </w:rPr>
        <w:t>interimsrapporteringen</w:t>
      </w:r>
      <w:proofErr w:type="spellEnd"/>
      <w:r w:rsidRPr="003B6CF7">
        <w:rPr>
          <w:strike/>
          <w:szCs w:val="24"/>
          <w:lang w:eastAsia="en-US"/>
        </w:rPr>
        <w:t xml:space="preserve"> om framstegen i åtgärdsprogrammen, som inte visade sig vara effektiv, kommer denna förenklade rapportering att göra det möjligt för medlemsstaterna att lägga mer arbete på att rapportera utsläpp som inte omfattas av lagstiftningen om industriutsläpp men som omfattas av utsläppsrapporteringen enligt artikel 5 i direktiv 2008/105/EG.</w:t>
      </w:r>
      <w:r w:rsidR="00540F6A" w:rsidRPr="003B6CF7">
        <w:rPr>
          <w:b/>
          <w:szCs w:val="24"/>
          <w:lang w:eastAsia="en-US"/>
        </w:rPr>
        <w:t xml:space="preserve"> [Ändr. 44]</w:t>
      </w:r>
    </w:p>
    <w:p w14:paraId="7E491EA7" w14:textId="77777777" w:rsidR="00BD5295" w:rsidRPr="003B6CF7" w:rsidRDefault="00BD5295">
      <w:pPr>
        <w:widowControl/>
        <w:rPr>
          <w:szCs w:val="24"/>
          <w:lang w:eastAsia="en-US"/>
        </w:rPr>
      </w:pPr>
      <w:r w:rsidRPr="003B6CF7">
        <w:rPr>
          <w:szCs w:val="24"/>
          <w:lang w:eastAsia="en-US"/>
        </w:rPr>
        <w:br w:type="page"/>
      </w:r>
    </w:p>
    <w:p w14:paraId="5868E0BD" w14:textId="34A6CE67"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(24)</w:t>
      </w:r>
      <w:r w:rsidRPr="003B6CF7">
        <w:rPr>
          <w:szCs w:val="24"/>
          <w:lang w:eastAsia="en-US"/>
        </w:rPr>
        <w:tab/>
        <w:t>Genom Lissabonfördraget infördes en åtskillnad mellan å ena sidan befogenheter som delegeras till kommissionen så att den kan anta akter med allmän räckvidd som inte är lagstiftningsakter och som kompletterar eller ändrar vissa icke väsentliga delar av en lagstiftningsakt (delegerade akter), och å andra sidan befogenheter som tilldelas kommissionen så att den kan anta akter för att säkra enhetliga villkor för genomförande av unionens rättsligt bindande akter (genomförandeakter). Direktiven 2000/60/EG och 2006/118/EG bör anpassas till den rättsliga ram som infördes genom Lissabonfördraget.</w:t>
      </w:r>
    </w:p>
    <w:p w14:paraId="4A8296D7"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(25)</w:t>
      </w:r>
      <w:r w:rsidRPr="003B6CF7">
        <w:rPr>
          <w:szCs w:val="24"/>
          <w:lang w:eastAsia="en-US"/>
        </w:rPr>
        <w:tab/>
        <w:t>Befogenheterna i artikel 20.1 första stycket i direktiv 2000/60/EG och i punkt 1.4.1 ix i bilaga V till det direktivet, där det föreskrivs att det föreskrivande förfarandet med kontroll ska användas, uppfyller kriterierna i artikel 290.1 i EUF-fördraget, eftersom de avser anpassningar av bilagorna till det direktivet och antagande av bestämmelser som kompletterar det. De bör därför ändras till befogenheter för kommissionen att anta delegerade akter.</w:t>
      </w:r>
    </w:p>
    <w:p w14:paraId="235C82B9" w14:textId="77777777" w:rsidR="00BD5295" w:rsidRPr="003B6CF7" w:rsidRDefault="00BD5295">
      <w:pPr>
        <w:widowControl/>
        <w:rPr>
          <w:szCs w:val="24"/>
          <w:lang w:eastAsia="en-US"/>
        </w:rPr>
      </w:pPr>
      <w:r w:rsidRPr="003B6CF7">
        <w:rPr>
          <w:szCs w:val="24"/>
          <w:lang w:eastAsia="en-US"/>
        </w:rPr>
        <w:br w:type="page"/>
      </w:r>
    </w:p>
    <w:p w14:paraId="0EE18A54" w14:textId="5629F9AF"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(26)</w:t>
      </w:r>
      <w:r w:rsidRPr="003B6CF7">
        <w:rPr>
          <w:szCs w:val="24"/>
          <w:lang w:eastAsia="en-US"/>
        </w:rPr>
        <w:tab/>
        <w:t>Befogenheten i artikel 8 i direktiv 2006/118/EG, som föreskriver användning av det föreskrivande förfarandet med kontroll, uppfyller kriterierna i artikel 290.1 i EUF-fördraget, eftersom den avser anpassningar av bilagorna till det direktivet. Den bör därför ändras till en befogenhet för kommissionen att anta delegerade akter.</w:t>
      </w:r>
    </w:p>
    <w:p w14:paraId="7D847248"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(27)</w:t>
      </w:r>
      <w:r w:rsidRPr="003B6CF7">
        <w:rPr>
          <w:szCs w:val="24"/>
          <w:lang w:eastAsia="en-US"/>
        </w:rPr>
        <w:tab/>
        <w:t>Det är särskilt viktigt att kommissionen genomför lämpliga samråd vid utarbetandet av delegerade akter, under sitt förberedande arbete, inklusive på expertnivå, och att dessa samråd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06607A6A" w14:textId="77777777" w:rsidR="00BD5295" w:rsidRPr="003B6CF7" w:rsidRDefault="00BD5295">
      <w:pPr>
        <w:widowControl/>
        <w:rPr>
          <w:szCs w:val="24"/>
          <w:lang w:eastAsia="en-US"/>
        </w:rPr>
      </w:pPr>
      <w:r w:rsidRPr="003B6CF7">
        <w:rPr>
          <w:szCs w:val="24"/>
          <w:lang w:eastAsia="en-US"/>
        </w:rPr>
        <w:br w:type="page"/>
      </w:r>
    </w:p>
    <w:p w14:paraId="5D213615" w14:textId="2F0FA603"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(28)</w:t>
      </w:r>
      <w:r w:rsidRPr="003B6CF7">
        <w:rPr>
          <w:szCs w:val="24"/>
          <w:lang w:eastAsia="en-US"/>
        </w:rPr>
        <w:tab/>
        <w:t>Befogenheten enligt artikel 8.3 i direktiv 2000/60/EG, som föreskriver användning av det föreskrivande förfarandet med kontroll, uppfyller kriterierna i artikel 290.2 i EUF-fördraget, eftersom den avser antagandet av tekniska specifikationer och standardmetoder för analys och övervakning av vattenstatus och därför syftar till att fastställa enhetliga villkor för ett harmoniserat genomförande av det direktivet. Den bör därför ändras till en befogenhet för kommissionen att anta genomförandeakter.  För att säkerställa jämförbara data bör befogenheten även utvidgas till att omfatta fastställandet av format för rapportering av övervaknings- och statusdata i enlighet med artikel 8.4. De befogenheter som kommissionen tilldelas bör utövas i enlighet med Europaparlamentets och rådets förordning (EU) nr 182/2011</w:t>
      </w:r>
      <w:r w:rsidRPr="003B6CF7">
        <w:rPr>
          <w:szCs w:val="24"/>
          <w:vertAlign w:val="superscript"/>
          <w:lang w:val="en-GB" w:eastAsia="en-US"/>
        </w:rPr>
        <w:footnoteReference w:id="47"/>
      </w:r>
      <w:r w:rsidRPr="003B6CF7">
        <w:rPr>
          <w:szCs w:val="24"/>
          <w:lang w:eastAsia="en-US"/>
        </w:rPr>
        <w:t>.</w:t>
      </w:r>
    </w:p>
    <w:p w14:paraId="5E249C4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(29)</w:t>
      </w:r>
      <w:r w:rsidRPr="003B6CF7">
        <w:rPr>
          <w:szCs w:val="24"/>
          <w:lang w:eastAsia="en-US"/>
        </w:rPr>
        <w:tab/>
        <w:t>För att säkerställa enhetliga villkor för genomförandet av direktiv 2000/60/EG bör kommissionen tilldelas genomförandebefogenheter för att anta tekniska format för rapportering av övervakningsdata och data om vattenstatus i enlighet med artikel 8.3 i direktiv 2000/60/EG. Dessa befogenheter bör utövas i enlighet med förordning (EU) nr 182/2011.</w:t>
      </w:r>
    </w:p>
    <w:p w14:paraId="74426331" w14:textId="77777777" w:rsidR="00BD5295" w:rsidRPr="003B6CF7" w:rsidRDefault="00BD5295">
      <w:pPr>
        <w:widowControl/>
        <w:rPr>
          <w:szCs w:val="24"/>
          <w:lang w:eastAsia="en-US"/>
        </w:rPr>
      </w:pPr>
      <w:r w:rsidRPr="003B6CF7">
        <w:rPr>
          <w:szCs w:val="24"/>
          <w:lang w:eastAsia="en-US"/>
        </w:rPr>
        <w:br w:type="page"/>
      </w:r>
    </w:p>
    <w:p w14:paraId="3D8BD856" w14:textId="3E44E643"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(30)</w:t>
      </w:r>
      <w:r w:rsidRPr="003B6CF7">
        <w:rPr>
          <w:szCs w:val="24"/>
          <w:lang w:eastAsia="en-US"/>
        </w:rPr>
        <w:tab/>
        <w:t>För att säkerställa enhetliga villkor för genomförandet av direktiv 2008/105/EG bör kommissionen tilldelas genomförandebefogenheter för att anta standardiserade format för rapportering till EEA av utsläpp från punktkällor som inte omfattas av Europaparlamentets och rådets förordning (EU) …/…</w:t>
      </w:r>
      <w:r w:rsidRPr="003B6CF7">
        <w:rPr>
          <w:szCs w:val="24"/>
          <w:vertAlign w:val="superscript"/>
          <w:lang w:val="en-GB" w:eastAsia="en-US"/>
        </w:rPr>
        <w:footnoteReference w:id="48"/>
      </w:r>
      <w:r w:rsidRPr="003B6CF7">
        <w:rPr>
          <w:szCs w:val="24"/>
          <w:lang w:eastAsia="en-US"/>
        </w:rPr>
        <w:t>. Dessa befogenheter bör utövas i enlighet med förordning (EU) nr 182/2011.</w:t>
      </w:r>
    </w:p>
    <w:p w14:paraId="38F729D8" w14:textId="35FAB266" w:rsidR="001831FD" w:rsidRPr="003B6CF7" w:rsidRDefault="001831FD" w:rsidP="001831FD">
      <w:pPr>
        <w:spacing w:before="120" w:after="120" w:line="360" w:lineRule="auto"/>
        <w:ind w:left="850" w:hanging="850"/>
        <w:rPr>
          <w:b/>
          <w:szCs w:val="24"/>
          <w:lang w:eastAsia="en-US"/>
        </w:rPr>
      </w:pPr>
      <w:r w:rsidRPr="003B6CF7">
        <w:rPr>
          <w:szCs w:val="24"/>
          <w:lang w:eastAsia="en-US"/>
        </w:rPr>
        <w:t>(31)</w:t>
      </w:r>
      <w:r w:rsidRPr="003B6CF7">
        <w:rPr>
          <w:szCs w:val="24"/>
          <w:lang w:eastAsia="en-US"/>
        </w:rPr>
        <w:tab/>
        <w:t>Det är nödvändigt att beakta vetenskapliga och tekniska framsteg</w:t>
      </w:r>
      <w:r w:rsidRPr="003B6CF7">
        <w:rPr>
          <w:b/>
          <w:i/>
          <w:szCs w:val="24"/>
          <w:lang w:eastAsia="en-US"/>
        </w:rPr>
        <w:t xml:space="preserve"> och de bästa tillgängliga metoderna</w:t>
      </w:r>
      <w:r w:rsidRPr="003B6CF7">
        <w:rPr>
          <w:szCs w:val="24"/>
          <w:lang w:eastAsia="en-US"/>
        </w:rPr>
        <w:t xml:space="preserve"> när det gäller övervakningen av vattenförekomsters status i enlighet med övervakningskraven i bilaga V till direktiv 2000/60/EG. Därför bör medlemsstaterna tillåtas att använda data och tjänster från fjärranalysteknik, jordobservation (Copernicustjänster), sensorer och anordningar på plats eller data från medborgarforskning, med utnyttjande de möjligheter som artificiell intelligens, avancerad dataanalys och databehandling erbjuder.</w:t>
      </w:r>
      <w:r w:rsidR="00540F6A" w:rsidRPr="003B6CF7">
        <w:rPr>
          <w:b/>
          <w:szCs w:val="24"/>
          <w:lang w:eastAsia="en-US"/>
        </w:rPr>
        <w:t xml:space="preserve"> [Ändr. 45]</w:t>
      </w:r>
    </w:p>
    <w:p w14:paraId="1B9B6F03" w14:textId="77777777" w:rsidR="00BD5295" w:rsidRPr="003B6CF7" w:rsidRDefault="00BD5295">
      <w:pPr>
        <w:widowControl/>
        <w:rPr>
          <w:b/>
          <w:i/>
          <w:szCs w:val="24"/>
          <w:lang w:eastAsia="en-US"/>
        </w:rPr>
      </w:pPr>
      <w:r w:rsidRPr="003B6CF7">
        <w:rPr>
          <w:b/>
          <w:i/>
          <w:szCs w:val="24"/>
          <w:lang w:eastAsia="en-US"/>
        </w:rPr>
        <w:br w:type="page"/>
      </w:r>
    </w:p>
    <w:p w14:paraId="7D0D0BB2" w14:textId="2D896F19"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(31a)</w:t>
      </w:r>
      <w:r w:rsidRPr="003B6CF7">
        <w:rPr>
          <w:szCs w:val="24"/>
          <w:lang w:eastAsia="en-US"/>
        </w:rPr>
        <w:tab/>
      </w:r>
      <w:r w:rsidRPr="003B6CF7">
        <w:rPr>
          <w:b/>
          <w:i/>
          <w:szCs w:val="24"/>
          <w:lang w:eastAsia="en-US"/>
        </w:rPr>
        <w:t>Industriell verksamhet med anknytning till energiomställningen kan öka den negativa inverkan på vattenkvaliteten. En begränsning av sådan framtida inverkan, såsom förändring av naturliga flödesmönster och temperatur samt vattenföroreningar, kräver en bedömning av en full uppsättning potentiella faktorer samt åtgärder som ska vidtas för att uppnå och behålla god vattenkvalitet. Medlemsstaterna bör därför regelbundet utvärdera inverkan på vattenkvaliteten av industriell verksamhet med anknytning till energiomställningen och informera kommissionen om nyligen identifierade hot så att bevakningslistan kan uppdateras i enlighet med detta. Utvärderingen bör vara lättillgänglig för allmänheten och uppdateringen bör kunna ske utanför de allmänna uppdateringscyklerna för att säkerställa en kontinuerlig förbättring av vattenkvalitetsbedömningen.</w:t>
      </w:r>
      <w:r w:rsidR="00540F6A" w:rsidRPr="003B6CF7">
        <w:rPr>
          <w:b/>
          <w:szCs w:val="24"/>
          <w:lang w:eastAsia="en-US"/>
        </w:rPr>
        <w:t xml:space="preserve"> [Ändr. 46]</w:t>
      </w:r>
    </w:p>
    <w:p w14:paraId="22289A3D" w14:textId="77777777" w:rsidR="00BD5295" w:rsidRPr="003B6CF7" w:rsidRDefault="00BD5295">
      <w:pPr>
        <w:widowControl/>
        <w:rPr>
          <w:b/>
          <w:i/>
          <w:szCs w:val="24"/>
          <w:lang w:eastAsia="en-US"/>
        </w:rPr>
      </w:pPr>
      <w:r w:rsidRPr="003B6CF7">
        <w:rPr>
          <w:b/>
          <w:i/>
          <w:szCs w:val="24"/>
          <w:lang w:eastAsia="en-US"/>
        </w:rPr>
        <w:br w:type="page"/>
      </w:r>
    </w:p>
    <w:p w14:paraId="7886AFC2" w14:textId="113E8D13"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(31b)</w:t>
      </w:r>
      <w:r w:rsidRPr="003B6CF7">
        <w:rPr>
          <w:szCs w:val="24"/>
          <w:lang w:eastAsia="en-US"/>
        </w:rPr>
        <w:tab/>
      </w:r>
      <w:r w:rsidRPr="003B6CF7">
        <w:rPr>
          <w:b/>
          <w:i/>
          <w:szCs w:val="24"/>
          <w:lang w:eastAsia="en-US"/>
        </w:rPr>
        <w:t>Kommissionen åtog sig i sitt meddelande av den 11 december 2019 om den europeiska gröna given och i sitt meddelande av den 14 oktober 2020 om att förbättra tillgången till rättslig prövning i miljöfrågor att vidta åtgärder för att förbättra tillgången till rättslig prövning vid nationella domstolar i alla medlemsstater för medborgare och icke-statliga miljöorganisationer som på ett konkret och specifikt plan ifrågasätter om förvaltningsåtgärder som påverkar miljön överensstämmer med miljölagstiftningen. I det senare meddelandet bekräftar kommissionen att ”tillgång till rättslig prövning i miljöfrågor, både via EU-domstolen och de nationella domstolarna som unionsdomstolar, är en viktig stödåtgärd för att bidra till övergången till den europeiska gröna given och ett sätt att stärka civilsamhällets roll som väktare i det demokratiska utrymmet”. Dessa åtaganden bör genomföras även enligt direktiv 2000/60/EG.</w:t>
      </w:r>
      <w:r w:rsidR="00540F6A" w:rsidRPr="003B6CF7">
        <w:rPr>
          <w:b/>
          <w:szCs w:val="24"/>
          <w:lang w:eastAsia="en-US"/>
        </w:rPr>
        <w:t xml:space="preserve"> [Ändr. 47]</w:t>
      </w:r>
    </w:p>
    <w:p w14:paraId="62071E95" w14:textId="77777777" w:rsidR="00BD5295" w:rsidRPr="003B6CF7" w:rsidRDefault="00BD5295">
      <w:pPr>
        <w:widowControl/>
        <w:rPr>
          <w:b/>
          <w:i/>
          <w:szCs w:val="24"/>
          <w:lang w:eastAsia="en-US"/>
        </w:rPr>
      </w:pPr>
      <w:r w:rsidRPr="003B6CF7">
        <w:rPr>
          <w:b/>
          <w:i/>
          <w:szCs w:val="24"/>
          <w:lang w:eastAsia="en-US"/>
        </w:rPr>
        <w:br w:type="page"/>
      </w:r>
    </w:p>
    <w:p w14:paraId="6211AEAB" w14:textId="59CBF947"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(31c)</w:t>
      </w:r>
      <w:r w:rsidRPr="003B6CF7">
        <w:rPr>
          <w:szCs w:val="24"/>
          <w:lang w:eastAsia="en-US"/>
        </w:rPr>
        <w:tab/>
      </w:r>
      <w:r w:rsidRPr="003B6CF7">
        <w:rPr>
          <w:b/>
          <w:i/>
          <w:szCs w:val="24"/>
          <w:lang w:eastAsia="en-US"/>
        </w:rPr>
        <w:t>Såsom bekräftas i EU-domstolens rättspraxis</w:t>
      </w:r>
      <w:r w:rsidRPr="003B6CF7">
        <w:rPr>
          <w:szCs w:val="24"/>
          <w:vertAlign w:val="superscript"/>
          <w:lang w:val="en-GB" w:eastAsia="en-US"/>
        </w:rPr>
        <w:footnoteReference w:id="49"/>
      </w:r>
      <w:r w:rsidRPr="003B6CF7">
        <w:rPr>
          <w:b/>
          <w:i/>
          <w:szCs w:val="24"/>
          <w:lang w:eastAsia="en-US"/>
        </w:rPr>
        <w:t xml:space="preserve"> bör icke-statliga miljöorganisationer och direkt berörda personer ges talerätt för att överklaga ett beslut som fattats av en myndighet och som bryter mot de miljömål som avses i artikel 4 i direktiv 2000/60/EG. I syfte att förbättra tillgången till rättslig prövning i de berörda ärendena vid nationella domstolar i hela unionen och för att icke-statliga miljöorganisationer och direkt berörda personer ska kunna förlita sig på nationell lagstiftning när de överklagar beslut som strider mot direktiv 2000/60/EG, bör bestämmelser för att säkerställa tillgång till rättslig prövning fastställas i direktiv 2000/60/EG.</w:t>
      </w:r>
      <w:r w:rsidR="00540F6A" w:rsidRPr="003B6CF7">
        <w:rPr>
          <w:b/>
          <w:szCs w:val="24"/>
          <w:lang w:eastAsia="en-US"/>
        </w:rPr>
        <w:t xml:space="preserve"> [Ändr. 48]</w:t>
      </w:r>
    </w:p>
    <w:p w14:paraId="4DBF5C19" w14:textId="77777777" w:rsidR="00BD5295" w:rsidRPr="003B6CF7" w:rsidRDefault="00BD5295">
      <w:pPr>
        <w:widowControl/>
        <w:rPr>
          <w:szCs w:val="24"/>
          <w:lang w:eastAsia="en-US"/>
        </w:rPr>
      </w:pPr>
      <w:r w:rsidRPr="003B6CF7">
        <w:rPr>
          <w:szCs w:val="24"/>
          <w:lang w:eastAsia="en-US"/>
        </w:rPr>
        <w:br w:type="page"/>
      </w:r>
    </w:p>
    <w:p w14:paraId="5B66C670" w14:textId="583FEEB9" w:rsidR="001831FD" w:rsidRPr="003B6CF7" w:rsidRDefault="001831FD" w:rsidP="001831FD">
      <w:pPr>
        <w:spacing w:before="120" w:after="120" w:line="360" w:lineRule="auto"/>
        <w:ind w:left="850" w:hanging="850"/>
        <w:rPr>
          <w:b/>
          <w:szCs w:val="24"/>
          <w:lang w:eastAsia="en-US"/>
        </w:rPr>
      </w:pPr>
      <w:r w:rsidRPr="003B6CF7">
        <w:rPr>
          <w:szCs w:val="24"/>
          <w:lang w:eastAsia="en-US"/>
        </w:rPr>
        <w:lastRenderedPageBreak/>
        <w:t>(32)</w:t>
      </w:r>
      <w:r w:rsidRPr="003B6CF7">
        <w:rPr>
          <w:szCs w:val="24"/>
          <w:lang w:eastAsia="en-US"/>
        </w:rPr>
        <w:tab/>
        <w:t>Med tanke på ökningen av oförutsedda väderhändelser, särskilt extrem översvämning och utdragen torka, och betydande föroreningsincidenter som leder till eller förvärrar gränsöverskridande</w:t>
      </w:r>
      <w:r w:rsidRPr="003B6CF7">
        <w:rPr>
          <w:strike/>
          <w:szCs w:val="24"/>
          <w:lang w:eastAsia="en-US"/>
        </w:rPr>
        <w:t xml:space="preserve"> oavsiktlig</w:t>
      </w:r>
      <w:r w:rsidRPr="003B6CF7">
        <w:rPr>
          <w:szCs w:val="24"/>
          <w:lang w:eastAsia="en-US"/>
        </w:rPr>
        <w:t xml:space="preserve"> förorening, bör medlemsstaterna åläggas att se till att omedelbar information om sådana incidenter lämnas till andra potentiellt berörda medlemsstater och effektivt samarbeta med potentiellt berörda medlemsstater för att mildra effekterna av händelsen eller incidenten. Det är också nödvändigt att stärka samarbetet mellan medlemsstaterna och effektivisera förfarandena för gränsöverskridande samarbete i händelse av mer strukturella, dvs. icke oavsiktliga, och långsiktiga gränsöverskridande frågor som inte kan lösas på medlemsstatsnivå, i enlighet med artikel 12 i direktiv 2000/60/EG. Om europeiskt bistånd är nödvändigt kan de behöriga nationella myndigheterna skicka en begäran om bistånd till kommissionens centrum för samordning av katastrofberedskap, som kommer att samordna eventuella erbjudanden om bistånd och deras insättande genom unionens civilskyddsmekanism, i enlighet med artikel 15 i Europaparlamentets och rådets beslut 1313/2013/EU</w:t>
      </w:r>
      <w:r w:rsidRPr="003B6CF7">
        <w:rPr>
          <w:szCs w:val="24"/>
          <w:vertAlign w:val="superscript"/>
          <w:lang w:val="en-GB" w:eastAsia="en-US"/>
        </w:rPr>
        <w:footnoteReference w:id="50"/>
      </w:r>
      <w:r w:rsidRPr="003B6CF7">
        <w:rPr>
          <w:szCs w:val="24"/>
          <w:lang w:eastAsia="en-US"/>
        </w:rPr>
        <w:t>.</w:t>
      </w:r>
      <w:r w:rsidRPr="003B6CF7">
        <w:rPr>
          <w:b/>
          <w:i/>
          <w:szCs w:val="24"/>
          <w:lang w:eastAsia="en-US"/>
        </w:rPr>
        <w:t xml:space="preserve"> Med beaktande av att avrinningsdistrikt också kan sträcka sig utanför unionens territorium skulle ett säkerställande av ett effektivt genomförande av relevanta bestämmelser för vattenskydd enligt direktiv 2000/60/EG samt lämplig samordning med relevanta länder som inte är medlemmar i unionen också bidra till målen i direktiv 2000/60/EG för de specifika avrinningsdistrikten, i enlighet med artikel 3.5 i direktiv 2000/60/EG. Dessutom bör väpnade konflikter som äger rum i geografisk närhet till unionen också betraktas som exceptionella händelser på grund av deras omfattande negativa gränsöverskridande inverkan på miljön, inbegripet luft-, mark- och vattenföroreningar. Eftersom de avrinningsområden som berörs av sådana konflikter sträcker sig innanför unionens gränser bör kommissionen och medlemsstaterna öka sina ansträngningar för att upprätta lämplig samordning med berörda länder som inte är medlemmar i unionen, i enlighet med artikel 3.5 i direktiv 2000/60/EG.</w:t>
      </w:r>
      <w:r w:rsidR="00540F6A" w:rsidRPr="003B6CF7">
        <w:rPr>
          <w:b/>
          <w:szCs w:val="24"/>
          <w:lang w:eastAsia="en-US"/>
        </w:rPr>
        <w:t xml:space="preserve"> [Ändr. 49]</w:t>
      </w:r>
    </w:p>
    <w:p w14:paraId="5C320C12" w14:textId="77777777" w:rsidR="00BD5295" w:rsidRPr="003B6CF7" w:rsidRDefault="00BD5295">
      <w:pPr>
        <w:widowControl/>
        <w:rPr>
          <w:b/>
          <w:i/>
          <w:szCs w:val="24"/>
          <w:lang w:eastAsia="en-US"/>
        </w:rPr>
      </w:pPr>
      <w:r w:rsidRPr="003B6CF7">
        <w:rPr>
          <w:b/>
          <w:i/>
          <w:szCs w:val="24"/>
          <w:lang w:eastAsia="en-US"/>
        </w:rPr>
        <w:br w:type="page"/>
      </w:r>
    </w:p>
    <w:p w14:paraId="10D79B3F" w14:textId="21B4AC8B"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(32a)</w:t>
      </w:r>
      <w:r w:rsidRPr="003B6CF7">
        <w:rPr>
          <w:szCs w:val="24"/>
          <w:lang w:eastAsia="en-US"/>
        </w:rPr>
        <w:tab/>
      </w:r>
      <w:r w:rsidRPr="003B6CF7">
        <w:rPr>
          <w:b/>
          <w:i/>
          <w:szCs w:val="24"/>
          <w:lang w:eastAsia="en-US"/>
        </w:rPr>
        <w:t>Europeiska revisionsrätten konstaterar i sin rapport Principen att förorenaren betalar: tillämpas inte konsekvent i EU:s miljöpolitik och miljöåtgärder av den 19 maj 2021 att medlemsstaterna redan spenderar omkring 100 miljarder euro per år på vattenförsörjning och sanitet och att dessa utgifter förväntas öka med över 25 % för att uppfylla målen i unionens lagstiftning om rening av avloppsvatten och dricksvatten, samtidigt som investeringar som behövs för att förnya befintlig infrastruktur eller uppfylla målen i vattendirektivet och översvämningsdirektivet inte är medräknade. Vidare betalar användarna i unionen i genomsnitt 70 % av kostnaden för att tillhandahålla vattentjänster genom vattenavgifter, medan de återstående 30 % finansieras med offentliga medel, även om det råder stora skillnader mellan regioner och mellan medlemsstater. Hushållen i unionen betalar vanligtvis merparten av kostnaderna för vattenförsörjning och sanitetstjänster, även om de bara förbrukar 10 % av vattnet, medan de ekonomiska sektorer som belastar de förnybara sötvattenresurserna mest bidrar minst till att täcka dessa kostnader.</w:t>
      </w:r>
      <w:r w:rsidR="00540F6A" w:rsidRPr="003B6CF7">
        <w:rPr>
          <w:b/>
          <w:szCs w:val="24"/>
          <w:lang w:eastAsia="en-US"/>
        </w:rPr>
        <w:t xml:space="preserve"> [Ändr. 50]</w:t>
      </w:r>
    </w:p>
    <w:p w14:paraId="09C1B6A1" w14:textId="77777777" w:rsidR="00BD5295" w:rsidRPr="003B6CF7" w:rsidRDefault="00BD5295">
      <w:pPr>
        <w:widowControl/>
        <w:rPr>
          <w:b/>
          <w:i/>
          <w:szCs w:val="24"/>
          <w:lang w:eastAsia="en-US"/>
        </w:rPr>
      </w:pPr>
      <w:r w:rsidRPr="003B6CF7">
        <w:rPr>
          <w:b/>
          <w:i/>
          <w:szCs w:val="24"/>
          <w:lang w:eastAsia="en-US"/>
        </w:rPr>
        <w:br w:type="page"/>
      </w:r>
    </w:p>
    <w:p w14:paraId="3A6B6A39" w14:textId="7F46DEC7"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(32b)</w:t>
      </w:r>
      <w:r w:rsidRPr="003B6CF7">
        <w:rPr>
          <w:szCs w:val="24"/>
          <w:lang w:eastAsia="en-US"/>
        </w:rPr>
        <w:tab/>
      </w:r>
      <w:r w:rsidRPr="003B6CF7">
        <w:rPr>
          <w:b/>
          <w:i/>
          <w:szCs w:val="24"/>
          <w:lang w:eastAsia="en-US"/>
        </w:rPr>
        <w:t>Kostnaderna för övervakningsprogram för fastställande av status för yt- och grundvatten finansieras enbart genom medlemsstaternas budgetar. Med tanke på att antalet kemikalier som upptäcks i vattenmiljön ständigt förändras, att det finns ett ökande antal nya föroreningar som nyligen har dykt upp i vattenmiljön, att det krävs kontinuerligt förbättrade kemiska analysmetoder för att upptäcka dessa nya föroreningar och korrekt bedöma deras ekologiska inverkan, och att det även behöver utvecklas nya övervakningsmetoder för att bättre kunna bedöma effekterna av kemiska blandningar, förväntas dessa övervakningskostnader öka ännu mer. För att täcka dessa kostnader, och i enlighet med principen om att förorenaren betalar som föreskrivs i artikel 191.2 i fördraget om Europeiska unionens funktionssätt (EUF-fördraget), är det mycket viktigt att tillverkare som släpper ut produkter på unionsmarknaden som innehåller ämnen som har en bevisad eller potentiell negativ inverkan på människors hälsa och vattenmiljön tar det ekonomiska ansvaret för de åtgärder som krävs för att kontrollera ämnen som genererats i samband med deras kommersiella verksamhet och som återfinns i yt- och grundvatten. Ett system med utökat producentansvar vore det lämpligaste sättet att uppnå detta, eftersom det skulle begränsa kostnaden för skattebetalarna och samtidigt ge incitament att utveckla miljövänligare produkter. Kommissionen bör därför utarbeta en konsekvensbedömning och undersöka om det i direktiv 2006/118/EG och direktiv 2008/105/EG kan införas en mekanism för utökat producentansvar, som bör tillämpas på prioriterade ämnen enligt direktiv 2006/118/EG och direktiv 2008/105/EG samt på nya föroreningar enligt bevakningslistorna i direktiv 2006/118/EG och direktiv 2008/105/EG. Konsekvensbedömningen bör vid behov åtföljas av ett lagstiftningsförslag om ändring av direktiv 2006/118/EG och direktiv 2008/105/EG.</w:t>
      </w:r>
      <w:r w:rsidR="00540F6A" w:rsidRPr="003B6CF7">
        <w:rPr>
          <w:b/>
          <w:szCs w:val="24"/>
          <w:lang w:eastAsia="en-US"/>
        </w:rPr>
        <w:t xml:space="preserve"> [Ändr. 51]</w:t>
      </w:r>
    </w:p>
    <w:p w14:paraId="641B50C1" w14:textId="77777777" w:rsidR="00BD5295" w:rsidRPr="003B6CF7" w:rsidRDefault="00BD5295">
      <w:pPr>
        <w:widowControl/>
        <w:rPr>
          <w:b/>
          <w:i/>
          <w:szCs w:val="24"/>
          <w:lang w:eastAsia="en-US"/>
        </w:rPr>
      </w:pPr>
      <w:r w:rsidRPr="003B6CF7">
        <w:rPr>
          <w:b/>
          <w:i/>
          <w:szCs w:val="24"/>
          <w:lang w:eastAsia="en-US"/>
        </w:rPr>
        <w:br w:type="page"/>
      </w:r>
    </w:p>
    <w:p w14:paraId="45D6D83C" w14:textId="4E7DD9C5"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(32c)</w:t>
      </w:r>
      <w:r w:rsidRPr="003B6CF7">
        <w:rPr>
          <w:szCs w:val="24"/>
          <w:lang w:eastAsia="en-US"/>
        </w:rPr>
        <w:tab/>
      </w:r>
      <w:r w:rsidRPr="003B6CF7">
        <w:rPr>
          <w:b/>
          <w:i/>
          <w:szCs w:val="24"/>
          <w:lang w:eastAsia="en-US"/>
        </w:rPr>
        <w:t>Övervakning av ett ökat antal ämnen eller grupper av ämnen innebär ökade kostnader men också behov av förstärkt administrativ kapacitet i medlemsstaterna, särskilt i medlemsstater med knappare resurser. Mot bakgrund av ovanstående bör kommissionen inrätta en gemensam europeisk övervakningsmekanism för hantering av övervakningskraven när medlemsstaterna begär detta, och på så sätt minska deras ekonomiska och administrativa bördor. Kommissionen bör fastställa övervakningsmekanismens funktionssätt. Användningen av en sådan mekanism bör vara frivillig och inte påverka de arrangemang som redan införts av medlemsstaterna.</w:t>
      </w:r>
      <w:r w:rsidR="00540F6A" w:rsidRPr="003B6CF7">
        <w:rPr>
          <w:b/>
          <w:szCs w:val="24"/>
          <w:lang w:eastAsia="en-US"/>
        </w:rPr>
        <w:t xml:space="preserve"> [Ändr. 52]</w:t>
      </w:r>
    </w:p>
    <w:p w14:paraId="255C26EB" w14:textId="77777777" w:rsidR="00BD5295" w:rsidRPr="003B6CF7" w:rsidRDefault="00BD5295">
      <w:pPr>
        <w:widowControl/>
        <w:rPr>
          <w:b/>
          <w:i/>
          <w:szCs w:val="24"/>
          <w:lang w:eastAsia="en-US"/>
        </w:rPr>
      </w:pPr>
      <w:r w:rsidRPr="003B6CF7">
        <w:rPr>
          <w:b/>
          <w:i/>
          <w:szCs w:val="24"/>
          <w:lang w:eastAsia="en-US"/>
        </w:rPr>
        <w:br w:type="page"/>
      </w:r>
    </w:p>
    <w:p w14:paraId="5E32533B" w14:textId="4FA36956"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(32d)</w:t>
      </w:r>
      <w:r w:rsidRPr="003B6CF7">
        <w:rPr>
          <w:szCs w:val="24"/>
          <w:lang w:eastAsia="en-US"/>
        </w:rPr>
        <w:tab/>
      </w:r>
      <w:r w:rsidRPr="003B6CF7">
        <w:rPr>
          <w:b/>
          <w:i/>
          <w:szCs w:val="24"/>
          <w:lang w:eastAsia="en-US"/>
        </w:rPr>
        <w:t xml:space="preserve">Det är påvisat att det finns ett investeringsbehov inom vattensektorn, och unionsfinansiering är avgörande för att vissa medlemsstater ska kunna uppfylla rättsliga skyldigheter i direktiv 2000/60/EG, direktiv 2008/105/EG och direktiv 2006/118/EG. Alla medlemsstater måste öka sina utgifter med minst 20 % för att uppnå unionens </w:t>
      </w:r>
      <w:proofErr w:type="spellStart"/>
      <w:r w:rsidRPr="003B6CF7">
        <w:rPr>
          <w:b/>
          <w:i/>
          <w:szCs w:val="24"/>
          <w:lang w:eastAsia="en-US"/>
        </w:rPr>
        <w:t>vattennormer</w:t>
      </w:r>
      <w:proofErr w:type="spellEnd"/>
      <w:r w:rsidRPr="003B6CF7">
        <w:rPr>
          <w:b/>
          <w:i/>
          <w:szCs w:val="24"/>
          <w:lang w:eastAsia="en-US"/>
        </w:rPr>
        <w:t>, och det finns ett aggregerat finansieringsunderskott på 289 miljarder euro fram till 2030</w:t>
      </w:r>
      <w:r w:rsidRPr="003B6CF7">
        <w:rPr>
          <w:szCs w:val="24"/>
          <w:vertAlign w:val="superscript"/>
          <w:lang w:val="en-GB" w:eastAsia="en-US"/>
        </w:rPr>
        <w:footnoteReference w:id="51"/>
      </w:r>
      <w:r w:rsidRPr="003B6CF7">
        <w:rPr>
          <w:b/>
          <w:i/>
          <w:szCs w:val="24"/>
          <w:lang w:eastAsia="en-US"/>
        </w:rPr>
        <w:t>. Tillräckliga finansiella och mänskliga resurser måste därför säkerställas för övervakning och inspektion av vattenförekomster i alla medlemsstater, inbegripet genom unionens relevanta strukturfonder och program samt genom bidrag från den privata sektorn, inbegripet inom ramen för mekanismen för utökat producentansvar när den väl införts.</w:t>
      </w:r>
      <w:r w:rsidR="00540F6A" w:rsidRPr="003B6CF7">
        <w:rPr>
          <w:b/>
          <w:szCs w:val="24"/>
          <w:lang w:eastAsia="en-US"/>
        </w:rPr>
        <w:t xml:space="preserve"> [Ändr. 53]</w:t>
      </w:r>
    </w:p>
    <w:p w14:paraId="4BAFEBAE"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(33)</w:t>
      </w:r>
      <w:r w:rsidRPr="003B6CF7">
        <w:rPr>
          <w:szCs w:val="24"/>
          <w:lang w:eastAsia="en-US"/>
        </w:rPr>
        <w:tab/>
        <w:t>Direktiven 2000/60/EG, 2006/118/EG och 2008/105/EG bör därför ändras i enlighet med detta.</w:t>
      </w:r>
    </w:p>
    <w:p w14:paraId="5473580F" w14:textId="77777777" w:rsidR="00BD5295" w:rsidRPr="003B6CF7" w:rsidRDefault="00BD5295">
      <w:pPr>
        <w:widowControl/>
        <w:rPr>
          <w:szCs w:val="24"/>
          <w:lang w:eastAsia="en-US"/>
        </w:rPr>
      </w:pPr>
      <w:r w:rsidRPr="003B6CF7">
        <w:rPr>
          <w:szCs w:val="24"/>
          <w:lang w:eastAsia="en-US"/>
        </w:rPr>
        <w:br w:type="page"/>
      </w:r>
    </w:p>
    <w:p w14:paraId="36F1459B" w14:textId="5B4DD864"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(34)</w:t>
      </w:r>
      <w:r w:rsidRPr="003B6CF7">
        <w:rPr>
          <w:szCs w:val="24"/>
          <w:lang w:eastAsia="en-US"/>
        </w:rPr>
        <w:tab/>
        <w:t>Eftersom målen för detta direktiv, nämligen att säkerställa en hög miljöskyddsnivå och en förbättring av miljökvaliteten i Europas sötvatten, inte i tillräcklig utsträckning kan uppnås av medlemsstaterna själva, utan snarare, på grund av vattenföroreningarnas gränsöverskridande karaktär, bättre kan uppnås på unionsnivå, kan unionen vidta åtgärder i enlighet med subsidiaritetsprincipen i artikel 5 i fördraget om Europeiska unionen. I enlighet med proportionalitetsprincipen i samma artikel går detta direktiv inte utöver vad som är nödvändigt för att uppnå dessa mål.</w:t>
      </w:r>
    </w:p>
    <w:p w14:paraId="61082B84" w14:textId="256C3D04" w:rsidR="001831FD" w:rsidRPr="003B6CF7" w:rsidRDefault="001831FD" w:rsidP="001831FD">
      <w:pPr>
        <w:spacing w:before="120" w:after="120" w:line="360" w:lineRule="auto"/>
        <w:ind w:left="850" w:hanging="850"/>
        <w:rPr>
          <w:b/>
          <w:szCs w:val="24"/>
          <w:lang w:eastAsia="en-US"/>
        </w:rPr>
      </w:pPr>
      <w:r w:rsidRPr="003B6CF7">
        <w:rPr>
          <w:b/>
          <w:i/>
          <w:szCs w:val="24"/>
          <w:lang w:eastAsia="en-US"/>
        </w:rPr>
        <w:t>(34a)</w:t>
      </w:r>
      <w:r w:rsidRPr="003B6CF7">
        <w:rPr>
          <w:szCs w:val="24"/>
          <w:lang w:eastAsia="en-US"/>
        </w:rPr>
        <w:tab/>
      </w:r>
      <w:r w:rsidRPr="003B6CF7">
        <w:rPr>
          <w:b/>
          <w:i/>
          <w:szCs w:val="24"/>
          <w:lang w:eastAsia="en-US"/>
        </w:rPr>
        <w:t>Medlemsstaterna bör uppmuntra synergier mellan de relevanta direktivens krav avseende både datainsamling och införande av digitala verktyg såsom fjärranalysteknik eller jordobservation (Copernicustjänster).</w:t>
      </w:r>
      <w:r w:rsidR="00540F6A" w:rsidRPr="003B6CF7">
        <w:rPr>
          <w:b/>
          <w:szCs w:val="24"/>
          <w:lang w:eastAsia="en-US"/>
        </w:rPr>
        <w:t xml:space="preserve"> [Ändr. 54]</w:t>
      </w:r>
    </w:p>
    <w:p w14:paraId="4A764534" w14:textId="77777777" w:rsidR="00BD5295" w:rsidRPr="003B6CF7" w:rsidRDefault="00BD5295">
      <w:pPr>
        <w:widowControl/>
        <w:rPr>
          <w:b/>
          <w:i/>
          <w:szCs w:val="24"/>
          <w:lang w:eastAsia="en-US"/>
        </w:rPr>
      </w:pPr>
      <w:r w:rsidRPr="003B6CF7">
        <w:rPr>
          <w:b/>
          <w:i/>
          <w:szCs w:val="24"/>
          <w:lang w:eastAsia="en-US"/>
        </w:rPr>
        <w:br w:type="page"/>
      </w:r>
    </w:p>
    <w:p w14:paraId="117A497D" w14:textId="15CB3071" w:rsidR="001831FD" w:rsidRPr="003B6CF7" w:rsidRDefault="001831FD" w:rsidP="001831FD">
      <w:pPr>
        <w:spacing w:before="120" w:after="120" w:line="360" w:lineRule="auto"/>
        <w:ind w:left="850" w:hanging="850"/>
        <w:rPr>
          <w:b/>
          <w:szCs w:val="24"/>
          <w:lang w:eastAsia="en-US"/>
        </w:rPr>
      </w:pPr>
      <w:r w:rsidRPr="003B6CF7">
        <w:rPr>
          <w:b/>
          <w:i/>
          <w:szCs w:val="24"/>
          <w:lang w:eastAsia="en-US"/>
        </w:rPr>
        <w:lastRenderedPageBreak/>
        <w:t>(34b)</w:t>
      </w:r>
      <w:r w:rsidRPr="003B6CF7">
        <w:rPr>
          <w:szCs w:val="24"/>
          <w:lang w:eastAsia="en-US"/>
        </w:rPr>
        <w:tab/>
      </w:r>
      <w:r w:rsidRPr="003B6CF7">
        <w:rPr>
          <w:b/>
          <w:i/>
          <w:szCs w:val="24"/>
          <w:lang w:eastAsia="en-US"/>
        </w:rPr>
        <w:t>De behöriga myndigheterna bör stödja utbildning, kompetensutvecklingsprogram och investeringar i humankapital för att stödja ett effektivt genomförande av bästa teknik och innovativa lösningar inom ramen för direktiven. Informationen bör vara tillgänglig på de olika nationella språken för att stärka tillgången till relevanta data i hela Europa för berörda lokala aktörer och medborgare.</w:t>
      </w:r>
      <w:r w:rsidR="00540F6A" w:rsidRPr="003B6CF7">
        <w:rPr>
          <w:b/>
          <w:szCs w:val="24"/>
          <w:lang w:eastAsia="en-US"/>
        </w:rPr>
        <w:t xml:space="preserve"> [Ändr. 55]</w:t>
      </w:r>
    </w:p>
    <w:p w14:paraId="1B61EE6B" w14:textId="77777777" w:rsidR="001831FD" w:rsidRPr="003B6CF7" w:rsidRDefault="001831FD" w:rsidP="001831FD">
      <w:pPr>
        <w:keepNext/>
        <w:widowControl/>
        <w:spacing w:before="120" w:after="120" w:line="360" w:lineRule="auto"/>
        <w:rPr>
          <w:szCs w:val="24"/>
          <w:lang w:eastAsia="en-US"/>
        </w:rPr>
      </w:pPr>
      <w:r w:rsidRPr="003B6CF7">
        <w:rPr>
          <w:szCs w:val="24"/>
          <w:lang w:eastAsia="en-US"/>
        </w:rPr>
        <w:t>HÄRIGENOM FÖRESKRIVS FÖLJANDE.</w:t>
      </w:r>
    </w:p>
    <w:p w14:paraId="44B97983" w14:textId="77777777" w:rsidR="00BD5295" w:rsidRPr="003B6CF7" w:rsidRDefault="00BD5295">
      <w:pPr>
        <w:widowControl/>
        <w:rPr>
          <w:szCs w:val="24"/>
          <w:lang w:eastAsia="en-US"/>
        </w:rPr>
      </w:pPr>
      <w:r w:rsidRPr="003B6CF7">
        <w:rPr>
          <w:szCs w:val="24"/>
          <w:lang w:eastAsia="en-US"/>
        </w:rPr>
        <w:br w:type="page"/>
      </w:r>
    </w:p>
    <w:p w14:paraId="17044695" w14:textId="3649B535" w:rsidR="001831FD" w:rsidRPr="003B6CF7" w:rsidRDefault="001831FD" w:rsidP="001831FD">
      <w:pPr>
        <w:spacing w:before="120" w:after="120" w:line="360" w:lineRule="auto"/>
        <w:jc w:val="center"/>
        <w:rPr>
          <w:szCs w:val="24"/>
          <w:lang w:eastAsia="en-US"/>
        </w:rPr>
      </w:pPr>
      <w:r w:rsidRPr="003B6CF7">
        <w:rPr>
          <w:szCs w:val="24"/>
          <w:lang w:eastAsia="en-US"/>
        </w:rPr>
        <w:lastRenderedPageBreak/>
        <w:t>Artikel 1</w:t>
      </w:r>
      <w:r w:rsidRPr="003B6CF7">
        <w:rPr>
          <w:szCs w:val="24"/>
          <w:lang w:eastAsia="en-US"/>
        </w:rPr>
        <w:br/>
        <w:t>Ändringar av direktiv 2000/60/EG</w:t>
      </w:r>
    </w:p>
    <w:p w14:paraId="1A146F17" w14:textId="77777777" w:rsidR="001831FD" w:rsidRPr="003B6CF7" w:rsidRDefault="001831FD" w:rsidP="001831FD">
      <w:pPr>
        <w:spacing w:before="120" w:after="120" w:line="360" w:lineRule="auto"/>
        <w:rPr>
          <w:szCs w:val="24"/>
          <w:lang w:eastAsia="en-US"/>
        </w:rPr>
      </w:pPr>
      <w:r w:rsidRPr="003B6CF7">
        <w:rPr>
          <w:szCs w:val="24"/>
          <w:lang w:eastAsia="en-US"/>
        </w:rPr>
        <w:t>Direktiv 2000/60/EG ska ändras på följande sätt:</w:t>
      </w:r>
    </w:p>
    <w:p w14:paraId="1CF6783C" w14:textId="67A3C0DD" w:rsidR="001831FD" w:rsidRPr="003B6CF7" w:rsidRDefault="001831FD" w:rsidP="001831FD">
      <w:pPr>
        <w:spacing w:before="120" w:after="120" w:line="360" w:lineRule="auto"/>
        <w:ind w:left="850" w:hanging="850"/>
        <w:rPr>
          <w:b/>
          <w:szCs w:val="24"/>
          <w:lang w:eastAsia="en-US"/>
        </w:rPr>
      </w:pPr>
      <w:r w:rsidRPr="003B6CF7">
        <w:rPr>
          <w:szCs w:val="24"/>
          <w:lang w:eastAsia="en-US"/>
        </w:rPr>
        <w:t>(1)</w:t>
      </w:r>
      <w:r w:rsidRPr="003B6CF7">
        <w:rPr>
          <w:szCs w:val="24"/>
          <w:lang w:eastAsia="en-US"/>
        </w:rPr>
        <w:tab/>
        <w:t>I artikel 1</w:t>
      </w:r>
      <w:r w:rsidRPr="003B6CF7">
        <w:rPr>
          <w:b/>
          <w:i/>
          <w:szCs w:val="24"/>
          <w:lang w:eastAsia="en-US"/>
        </w:rPr>
        <w:t xml:space="preserve"> e</w:t>
      </w:r>
      <w:r w:rsidRPr="003B6CF7">
        <w:rPr>
          <w:szCs w:val="24"/>
          <w:lang w:eastAsia="en-US"/>
        </w:rPr>
        <w:t xml:space="preserve"> ska fjärde strecksatsen ersättas med följande:</w:t>
      </w:r>
      <w:r w:rsidR="00540F6A" w:rsidRPr="003B6CF7">
        <w:rPr>
          <w:b/>
          <w:szCs w:val="24"/>
          <w:lang w:eastAsia="en-US"/>
        </w:rPr>
        <w:t xml:space="preserve"> [Ändr. 56]</w:t>
      </w:r>
    </w:p>
    <w:p w14:paraId="366F5616" w14:textId="77777777" w:rsidR="001831FD" w:rsidRPr="003B6CF7" w:rsidRDefault="001831FD" w:rsidP="001831FD">
      <w:pPr>
        <w:spacing w:before="120" w:after="120" w:line="360" w:lineRule="auto"/>
        <w:ind w:left="850"/>
        <w:rPr>
          <w:szCs w:val="24"/>
          <w:lang w:eastAsia="en-US"/>
        </w:rPr>
      </w:pPr>
      <w:r w:rsidRPr="003B6CF7">
        <w:rPr>
          <w:szCs w:val="24"/>
          <w:lang w:eastAsia="en-US"/>
        </w:rPr>
        <w:t>”— uppfyllande av målen för relevanta internationella överenskommelser, inbegripet sådana som syftar till att förebygga och eliminera förorening av den marina miljön, genom unionsåtgärder för att utsläpp och spill av prioriterade farliga ämnen upphör eller gradvis elimineras, med det slutgiltiga målet att uppnå koncentrationer i den marina miljön som ligger nära bakgrundsnivåerna för naturligt förekommande ämnen och nära noll för av människan framställda syntetiska ämnen.”</w:t>
      </w:r>
    </w:p>
    <w:p w14:paraId="71A2AED5" w14:textId="77777777" w:rsidR="00BD5295" w:rsidRPr="003B6CF7" w:rsidRDefault="00BD5295">
      <w:pPr>
        <w:widowControl/>
        <w:rPr>
          <w:szCs w:val="24"/>
          <w:lang w:eastAsia="en-US"/>
        </w:rPr>
      </w:pPr>
      <w:r w:rsidRPr="003B6CF7">
        <w:rPr>
          <w:szCs w:val="24"/>
          <w:lang w:eastAsia="en-US"/>
        </w:rPr>
        <w:br w:type="page"/>
      </w:r>
    </w:p>
    <w:p w14:paraId="68465DFC" w14:textId="1A776677"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w:t>
      </w:r>
      <w:r w:rsidRPr="003B6CF7">
        <w:rPr>
          <w:szCs w:val="24"/>
          <w:lang w:eastAsia="en-US"/>
        </w:rPr>
        <w:tab/>
        <w:t>Artikel 2 ska ändras på följande sätt:</w:t>
      </w:r>
    </w:p>
    <w:p w14:paraId="6E907E2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Led 24 ska ersättas med följande:</w:t>
      </w:r>
    </w:p>
    <w:p w14:paraId="3843ECA4"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”24)</w:t>
      </w:r>
      <w:r w:rsidRPr="003B6CF7">
        <w:rPr>
          <w:szCs w:val="24"/>
          <w:lang w:eastAsia="en-US"/>
        </w:rPr>
        <w:tab/>
        <w:t>god kemisk ytvattenstatus: den kemiska status som krävs för att uppfylla miljömålen för ytvatten enligt artikel 4.1 a i detta direktiv, det vill säga den kemiska status som uppnås hos en ytvattenförekomst i vilken koncentrationerna av förorenande ämnen inte överskrider de miljökvalitetsnormer för prioriterade ämnen som förtecknas i del A i bilaga I till Europaparlamentets och rådets direktiv 2008/105/EG* och de miljökvalitetsnormer för förorenande ämnen som är specifika för avrinningsområden som fastställs i enlighet med artiklarna 8.2 c och 8d.1 i det direktivet.”</w:t>
      </w:r>
    </w:p>
    <w:p w14:paraId="20DA270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Led 30 ska ersättas med följande:</w:t>
      </w:r>
    </w:p>
    <w:p w14:paraId="6C17C3A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”30)</w:t>
      </w:r>
      <w:r w:rsidRPr="003B6CF7">
        <w:rPr>
          <w:szCs w:val="24"/>
          <w:lang w:eastAsia="en-US"/>
        </w:rPr>
        <w:tab/>
        <w:t>prioriterade ämnen: ämnen som förtecknas i del A i bilaga I till direktiv 2008/105/EG, det vill säga ämnen som innebär en betydande risk för eller via vattenmiljön i en stor andel av medlemsstaterna.”</w:t>
      </w:r>
    </w:p>
    <w:p w14:paraId="465CB2C8" w14:textId="77777777" w:rsidR="00BD5295" w:rsidRPr="003B6CF7" w:rsidRDefault="00BD5295">
      <w:pPr>
        <w:widowControl/>
        <w:rPr>
          <w:szCs w:val="24"/>
          <w:lang w:eastAsia="en-US"/>
        </w:rPr>
      </w:pPr>
      <w:r w:rsidRPr="003B6CF7">
        <w:rPr>
          <w:szCs w:val="24"/>
          <w:lang w:eastAsia="en-US"/>
        </w:rPr>
        <w:br w:type="page"/>
      </w:r>
    </w:p>
    <w:p w14:paraId="66BAD462" w14:textId="091A05C9"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(c)</w:t>
      </w:r>
      <w:r w:rsidRPr="003B6CF7">
        <w:rPr>
          <w:szCs w:val="24"/>
          <w:lang w:eastAsia="en-US"/>
        </w:rPr>
        <w:tab/>
        <w:t>Följande led ska införas som led 30a och 30b:</w:t>
      </w:r>
    </w:p>
    <w:p w14:paraId="28729C47" w14:textId="01ED5F96" w:rsidR="001831FD" w:rsidRPr="003B6CF7" w:rsidRDefault="001831FD" w:rsidP="001831FD">
      <w:pPr>
        <w:spacing w:before="120" w:after="120" w:line="360" w:lineRule="auto"/>
        <w:ind w:left="1982" w:hanging="566"/>
        <w:rPr>
          <w:b/>
          <w:szCs w:val="24"/>
          <w:lang w:eastAsia="en-US"/>
        </w:rPr>
      </w:pPr>
      <w:r w:rsidRPr="003B6CF7">
        <w:rPr>
          <w:szCs w:val="24"/>
          <w:lang w:eastAsia="en-US"/>
        </w:rPr>
        <w:t>”30a)</w:t>
      </w:r>
      <w:r w:rsidRPr="003B6CF7">
        <w:rPr>
          <w:szCs w:val="24"/>
          <w:lang w:eastAsia="en-US"/>
        </w:rPr>
        <w:tab/>
        <w:t xml:space="preserve">prioriterade farliga ämnen: prioriterade ämnen som anges som ’farligt’ på grundval av att de i vetenskapliga rapporter, i relevant unionslagstiftning eller i relevanta internationella avtal erkänns som toxiska, beständiga och med benägenhet för bioackumulering eller </w:t>
      </w:r>
      <w:r w:rsidRPr="003B6CF7">
        <w:rPr>
          <w:b/>
          <w:i/>
          <w:szCs w:val="24"/>
          <w:lang w:eastAsia="en-US"/>
        </w:rPr>
        <w:t xml:space="preserve">mycket beständiga och mycket </w:t>
      </w:r>
      <w:proofErr w:type="spellStart"/>
      <w:r w:rsidRPr="003B6CF7">
        <w:rPr>
          <w:b/>
          <w:i/>
          <w:szCs w:val="24"/>
          <w:lang w:eastAsia="en-US"/>
        </w:rPr>
        <w:t>bioackumlerande</w:t>
      </w:r>
      <w:proofErr w:type="spellEnd"/>
      <w:r w:rsidRPr="003B6CF7">
        <w:rPr>
          <w:b/>
          <w:i/>
          <w:szCs w:val="24"/>
          <w:lang w:eastAsia="en-US"/>
        </w:rPr>
        <w:t xml:space="preserve"> eller beständiga, mobila och toxiska eller mycket beständiga och mycket mobila eller </w:t>
      </w:r>
      <w:r w:rsidRPr="003B6CF7">
        <w:rPr>
          <w:szCs w:val="24"/>
          <w:lang w:eastAsia="en-US"/>
        </w:rPr>
        <w:t>ger upphov till motsvarande farhågor, om detta är relevant för vattenmiljön</w:t>
      </w:r>
      <w:r w:rsidRPr="003B6CF7">
        <w:rPr>
          <w:b/>
          <w:i/>
          <w:szCs w:val="24"/>
          <w:lang w:eastAsia="en-US"/>
        </w:rPr>
        <w:t>, och för vilka åtgärder krävs i enlighet med artikel 4.1 a iv</w:t>
      </w:r>
      <w:r w:rsidRPr="003B6CF7">
        <w:rPr>
          <w:szCs w:val="24"/>
          <w:lang w:eastAsia="en-US"/>
        </w:rPr>
        <w:t>.</w:t>
      </w:r>
      <w:r w:rsidR="00540F6A" w:rsidRPr="003B6CF7">
        <w:rPr>
          <w:b/>
          <w:szCs w:val="24"/>
          <w:lang w:eastAsia="en-US"/>
        </w:rPr>
        <w:t xml:space="preserve"> [Ändr. 57]</w:t>
      </w:r>
    </w:p>
    <w:p w14:paraId="4FE2201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30b)</w:t>
      </w:r>
      <w:r w:rsidRPr="003B6CF7">
        <w:rPr>
          <w:szCs w:val="24"/>
          <w:lang w:eastAsia="en-US"/>
        </w:rPr>
        <w:tab/>
        <w:t>förorenande ämnen som är specifika för avrinningsområden: förorenande ämnen som inte eller inte längre identifieras som prioriterade ämnen men som medlemsstaterna, på grundval av den bedömning av påverkan på och konsekvenser för ytvattenförekomster som utförts i enlighet med bilaga II till detta direktiv, har identifierat som ämnen som innebär en betydande risk för eller via vattenmiljön inom deras territorium.”</w:t>
      </w:r>
    </w:p>
    <w:p w14:paraId="50231049" w14:textId="77777777" w:rsidR="00BD5295" w:rsidRPr="003B6CF7" w:rsidRDefault="00BD5295">
      <w:pPr>
        <w:widowControl/>
        <w:rPr>
          <w:szCs w:val="24"/>
          <w:lang w:eastAsia="en-US"/>
        </w:rPr>
      </w:pPr>
      <w:r w:rsidRPr="003B6CF7">
        <w:rPr>
          <w:szCs w:val="24"/>
          <w:lang w:eastAsia="en-US"/>
        </w:rPr>
        <w:br w:type="page"/>
      </w:r>
    </w:p>
    <w:p w14:paraId="30F6EDF3" w14:textId="6D43766C"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(d)</w:t>
      </w:r>
      <w:r w:rsidRPr="003B6CF7">
        <w:rPr>
          <w:szCs w:val="24"/>
          <w:lang w:eastAsia="en-US"/>
        </w:rPr>
        <w:tab/>
        <w:t>Led 35 ska ersättas med följande:</w:t>
      </w:r>
    </w:p>
    <w:p w14:paraId="0C134EF5" w14:textId="5EBBA075" w:rsidR="001831FD" w:rsidRPr="003B6CF7" w:rsidRDefault="001831FD" w:rsidP="001831FD">
      <w:pPr>
        <w:spacing w:before="120" w:after="120" w:line="360" w:lineRule="auto"/>
        <w:ind w:left="1982" w:hanging="566"/>
        <w:rPr>
          <w:b/>
          <w:szCs w:val="24"/>
          <w:lang w:eastAsia="en-US"/>
        </w:rPr>
      </w:pPr>
      <w:r w:rsidRPr="003B6CF7">
        <w:rPr>
          <w:szCs w:val="24"/>
          <w:lang w:eastAsia="en-US"/>
        </w:rPr>
        <w:t>”35)</w:t>
      </w:r>
      <w:r w:rsidRPr="003B6CF7">
        <w:rPr>
          <w:szCs w:val="24"/>
          <w:lang w:eastAsia="en-US"/>
        </w:rPr>
        <w:tab/>
        <w:t xml:space="preserve">miljökvalitetsnormer: den koncentration av ett visst förorenande ämne eller en viss grupp av förorenande ämnen i vatten, sediment eller </w:t>
      </w:r>
      <w:proofErr w:type="spellStart"/>
      <w:r w:rsidRPr="003B6CF7">
        <w:rPr>
          <w:szCs w:val="24"/>
          <w:lang w:eastAsia="en-US"/>
        </w:rPr>
        <w:t>biota</w:t>
      </w:r>
      <w:proofErr w:type="spellEnd"/>
      <w:r w:rsidRPr="003B6CF7">
        <w:rPr>
          <w:szCs w:val="24"/>
          <w:lang w:eastAsia="en-US"/>
        </w:rPr>
        <w:t xml:space="preserve"> som, för att skydda människors hälsa eller miljön, inte får överskridas, eller ett utlösande värde för de negativa effekterna på människors hälsa eller miljön av ett sådant förorenande ämne eller en sådan grupp av förorenande ämnen som uppmätts med en lämplig </w:t>
      </w:r>
      <w:r w:rsidRPr="003B6CF7">
        <w:rPr>
          <w:b/>
          <w:i/>
          <w:szCs w:val="24"/>
          <w:lang w:eastAsia="en-US"/>
        </w:rPr>
        <w:t xml:space="preserve">och vetenskapligt baserad </w:t>
      </w:r>
      <w:r w:rsidRPr="003B6CF7">
        <w:rPr>
          <w:szCs w:val="24"/>
          <w:lang w:eastAsia="en-US"/>
        </w:rPr>
        <w:t>effektbaserad metod.</w:t>
      </w:r>
      <w:r w:rsidR="00540F6A" w:rsidRPr="003B6CF7">
        <w:rPr>
          <w:b/>
          <w:szCs w:val="24"/>
          <w:lang w:eastAsia="en-US"/>
        </w:rPr>
        <w:t xml:space="preserve"> [Ändr. 58]</w:t>
      </w:r>
    </w:p>
    <w:p w14:paraId="5BC8D203" w14:textId="5F079539" w:rsidR="001831FD" w:rsidRPr="003B6CF7" w:rsidRDefault="001831FD" w:rsidP="001831FD">
      <w:pPr>
        <w:spacing w:before="120" w:after="120" w:line="360" w:lineRule="auto"/>
        <w:ind w:left="1982"/>
        <w:rPr>
          <w:szCs w:val="24"/>
          <w:lang w:eastAsia="en-US"/>
        </w:rPr>
      </w:pPr>
      <w:r w:rsidRPr="003B6CF7">
        <w:rPr>
          <w:szCs w:val="24"/>
          <w:lang w:eastAsia="en-US"/>
        </w:rPr>
        <w:t>* Europaparlamentets och rådets direktiv 2008/105/EG om förebyggande och begränsning av förorening i ytvatten och ändring och senare upphävande av rådets direktiv 82/176/EEG, 83/513/EEG, 84/156/EEG, 84/491/EEG och 86/280/EEG, samt om ändring av Europaparlamentets och rådets direktiv 2000/60/EG (EUT L 348, 24.12.2008, s. 84).”</w:t>
      </w:r>
    </w:p>
    <w:p w14:paraId="422DA218"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da)</w:t>
      </w:r>
      <w:r w:rsidRPr="003B6CF7">
        <w:rPr>
          <w:szCs w:val="24"/>
          <w:lang w:eastAsia="en-US"/>
        </w:rPr>
        <w:tab/>
      </w:r>
      <w:r w:rsidRPr="003B6CF7">
        <w:rPr>
          <w:b/>
          <w:i/>
          <w:szCs w:val="24"/>
          <w:lang w:eastAsia="en-US"/>
        </w:rPr>
        <w:t>Led 37 ska ersättas med följande:</w:t>
      </w:r>
    </w:p>
    <w:p w14:paraId="6BB046DC" w14:textId="40F49B0D" w:rsidR="001831FD" w:rsidRPr="003B6CF7" w:rsidRDefault="001831FD" w:rsidP="001831FD">
      <w:pPr>
        <w:spacing w:before="120" w:after="120" w:line="360" w:lineRule="auto"/>
        <w:ind w:left="1982" w:hanging="566"/>
        <w:rPr>
          <w:b/>
          <w:szCs w:val="24"/>
          <w:lang w:eastAsia="en-US"/>
        </w:rPr>
      </w:pPr>
      <w:r w:rsidRPr="003B6CF7">
        <w:rPr>
          <w:szCs w:val="24"/>
          <w:lang w:eastAsia="en-US"/>
        </w:rPr>
        <w:t>”</w:t>
      </w:r>
      <w:r w:rsidR="0033374B" w:rsidRPr="003B6CF7">
        <w:rPr>
          <w:b/>
          <w:i/>
          <w:szCs w:val="24"/>
          <w:lang w:eastAsia="en-US"/>
        </w:rPr>
        <w:t>37</w:t>
      </w:r>
      <w:r w:rsidRPr="003B6CF7">
        <w:rPr>
          <w:b/>
          <w:i/>
          <w:szCs w:val="24"/>
          <w:lang w:eastAsia="en-US"/>
        </w:rPr>
        <w:t>.</w:t>
      </w:r>
      <w:r w:rsidRPr="003B6CF7">
        <w:rPr>
          <w:szCs w:val="24"/>
          <w:lang w:eastAsia="en-US"/>
        </w:rPr>
        <w:tab/>
      </w:r>
      <w:r w:rsidRPr="003B6CF7">
        <w:rPr>
          <w:b/>
          <w:i/>
          <w:szCs w:val="24"/>
          <w:lang w:eastAsia="en-US"/>
        </w:rPr>
        <w:t>dricksvatten: samma betydelse som i direktiv (EU) 2020/2184.</w:t>
      </w:r>
      <w:r w:rsidRPr="003B6CF7">
        <w:rPr>
          <w:szCs w:val="24"/>
          <w:lang w:eastAsia="en-US"/>
        </w:rPr>
        <w:t>”</w:t>
      </w:r>
      <w:r w:rsidR="00540F6A" w:rsidRPr="003B6CF7">
        <w:rPr>
          <w:b/>
          <w:szCs w:val="24"/>
          <w:lang w:eastAsia="en-US"/>
        </w:rPr>
        <w:t xml:space="preserve"> [Ändr. 59]</w:t>
      </w:r>
    </w:p>
    <w:p w14:paraId="7B14F926" w14:textId="77777777" w:rsidR="0033374B" w:rsidRPr="003B6CF7" w:rsidRDefault="0033374B">
      <w:pPr>
        <w:widowControl/>
        <w:rPr>
          <w:b/>
          <w:i/>
          <w:szCs w:val="24"/>
          <w:lang w:eastAsia="en-US"/>
        </w:rPr>
      </w:pPr>
      <w:r w:rsidRPr="003B6CF7">
        <w:rPr>
          <w:b/>
          <w:i/>
          <w:szCs w:val="24"/>
          <w:lang w:eastAsia="en-US"/>
        </w:rPr>
        <w:br w:type="page"/>
      </w:r>
    </w:p>
    <w:p w14:paraId="649B6573" w14:textId="02ED186B" w:rsidR="001831FD" w:rsidRPr="003B6CF7" w:rsidRDefault="001831FD" w:rsidP="001831FD">
      <w:pPr>
        <w:spacing w:before="120" w:after="120" w:line="360" w:lineRule="auto"/>
        <w:ind w:left="1416" w:hanging="566"/>
        <w:rPr>
          <w:szCs w:val="24"/>
          <w:lang w:eastAsia="en-US"/>
        </w:rPr>
      </w:pPr>
      <w:proofErr w:type="spellStart"/>
      <w:r w:rsidRPr="003B6CF7">
        <w:rPr>
          <w:b/>
          <w:i/>
          <w:szCs w:val="24"/>
          <w:lang w:eastAsia="en-US"/>
        </w:rPr>
        <w:lastRenderedPageBreak/>
        <w:t>db</w:t>
      </w:r>
      <w:proofErr w:type="spellEnd"/>
      <w:r w:rsidRPr="003B6CF7">
        <w:rPr>
          <w:b/>
          <w:i/>
          <w:szCs w:val="24"/>
          <w:lang w:eastAsia="en-US"/>
        </w:rPr>
        <w:t>)</w:t>
      </w:r>
      <w:r w:rsidRPr="003B6CF7">
        <w:rPr>
          <w:szCs w:val="24"/>
          <w:lang w:eastAsia="en-US"/>
        </w:rPr>
        <w:tab/>
      </w:r>
      <w:r w:rsidRPr="003B6CF7">
        <w:rPr>
          <w:b/>
          <w:i/>
          <w:szCs w:val="24"/>
          <w:lang w:eastAsia="en-US"/>
        </w:rPr>
        <w:t>I led 40 ska första stycket ersättas med följande:</w:t>
      </w:r>
    </w:p>
    <w:p w14:paraId="388FCC9D" w14:textId="5CCE7A6A" w:rsidR="001831FD" w:rsidRPr="003B6CF7" w:rsidRDefault="001831FD" w:rsidP="001831FD">
      <w:pPr>
        <w:spacing w:before="120" w:after="120" w:line="360" w:lineRule="auto"/>
        <w:ind w:left="1982" w:hanging="566"/>
        <w:rPr>
          <w:b/>
          <w:szCs w:val="24"/>
          <w:lang w:eastAsia="en-US"/>
        </w:rPr>
      </w:pPr>
      <w:r w:rsidRPr="003B6CF7">
        <w:rPr>
          <w:szCs w:val="24"/>
          <w:lang w:eastAsia="en-US"/>
        </w:rPr>
        <w:t>”</w:t>
      </w:r>
      <w:r w:rsidR="0033374B" w:rsidRPr="003B6CF7">
        <w:rPr>
          <w:b/>
          <w:i/>
          <w:szCs w:val="24"/>
          <w:lang w:eastAsia="en-US"/>
        </w:rPr>
        <w:t>40</w:t>
      </w:r>
      <w:r w:rsidRPr="003B6CF7">
        <w:rPr>
          <w:b/>
          <w:i/>
          <w:szCs w:val="24"/>
          <w:lang w:eastAsia="en-US"/>
        </w:rPr>
        <w:t>.</w:t>
      </w:r>
      <w:r w:rsidRPr="003B6CF7">
        <w:rPr>
          <w:szCs w:val="24"/>
          <w:lang w:eastAsia="en-US"/>
        </w:rPr>
        <w:tab/>
      </w:r>
      <w:r w:rsidRPr="003B6CF7">
        <w:rPr>
          <w:b/>
          <w:i/>
          <w:szCs w:val="24"/>
          <w:lang w:eastAsia="en-US"/>
        </w:rPr>
        <w:t>gränsvärden för utsläpp : massa, uttryckt i vissa specifika parametrar, i koncentration och/eller i utsläppsnivå, som inte får överskridas under en eller flera tidsperioder. Gränsvärden för utsläpp får också bestämmas för vissa grupper, familjer eller kategorier av ämnen, i synnerhet för dem som anges i bilaga I till direktiv 2008/105/EG.</w:t>
      </w:r>
      <w:r w:rsidRPr="003B6CF7">
        <w:rPr>
          <w:szCs w:val="24"/>
          <w:lang w:eastAsia="en-US"/>
        </w:rPr>
        <w:t>”</w:t>
      </w:r>
      <w:r w:rsidR="00540F6A" w:rsidRPr="003B6CF7">
        <w:rPr>
          <w:b/>
          <w:szCs w:val="24"/>
          <w:lang w:eastAsia="en-US"/>
        </w:rPr>
        <w:t xml:space="preserve"> [Ändr. 60]</w:t>
      </w:r>
    </w:p>
    <w:p w14:paraId="7FA962B8"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(3)</w:t>
      </w:r>
      <w:r w:rsidRPr="003B6CF7">
        <w:rPr>
          <w:szCs w:val="24"/>
          <w:lang w:eastAsia="en-US"/>
        </w:rPr>
        <w:tab/>
        <w:t>I artikel 3 ska följande punkt införas som punkt 4a:</w:t>
      </w:r>
    </w:p>
    <w:p w14:paraId="203D3C2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”4a.</w:t>
      </w:r>
      <w:r w:rsidRPr="003B6CF7">
        <w:rPr>
          <w:szCs w:val="24"/>
          <w:lang w:eastAsia="en-US"/>
        </w:rPr>
        <w:tab/>
        <w:t>I händelse av exceptionella omständigheter som orsakas av naturliga skäl eller force majeure, särskilt extrem översvämning och utdragen torka, eller betydande föroreningsincidenter, som kan påverka nedströms belägna vattenförekomster i andra medlemsstater, ska medlemsstaterna se till att de behöriga myndigheterna för nedströms belägna vattenförekomster i dessa medlemsstater, samt kommissionen, omedelbart informeras och att nödvändigt samarbete inrättas för att undersöka orsakerna till och hantera konsekvenserna av de exceptionella omständigheterna eller incidenterna.</w:t>
      </w:r>
    </w:p>
    <w:p w14:paraId="39DD1312" w14:textId="77777777" w:rsidR="0033374B" w:rsidRPr="003B6CF7" w:rsidRDefault="0033374B">
      <w:pPr>
        <w:widowControl/>
        <w:rPr>
          <w:b/>
          <w:i/>
          <w:szCs w:val="24"/>
          <w:lang w:eastAsia="en-US"/>
        </w:rPr>
      </w:pPr>
      <w:r w:rsidRPr="003B6CF7">
        <w:rPr>
          <w:b/>
          <w:i/>
          <w:szCs w:val="24"/>
          <w:lang w:eastAsia="en-US"/>
        </w:rPr>
        <w:br w:type="page"/>
      </w:r>
    </w:p>
    <w:p w14:paraId="683A9CFB" w14:textId="1B8AE0C1" w:rsidR="001831FD" w:rsidRPr="003B6CF7" w:rsidRDefault="001831FD" w:rsidP="001831FD">
      <w:pPr>
        <w:spacing w:before="120" w:after="120" w:line="360" w:lineRule="auto"/>
        <w:ind w:left="1416"/>
        <w:rPr>
          <w:szCs w:val="24"/>
          <w:lang w:eastAsia="en-US"/>
        </w:rPr>
      </w:pPr>
      <w:r w:rsidRPr="003B6CF7">
        <w:rPr>
          <w:b/>
          <w:i/>
          <w:szCs w:val="24"/>
          <w:lang w:eastAsia="en-US"/>
        </w:rPr>
        <w:lastRenderedPageBreak/>
        <w:t>Medlemsstaterna ska underrätta andra medlemsstater som kan påverkas negativt av föroreningsincidenten.</w:t>
      </w:r>
    </w:p>
    <w:p w14:paraId="2BA53515" w14:textId="58D6B17B" w:rsidR="001831FD" w:rsidRPr="003B6CF7" w:rsidRDefault="001831FD" w:rsidP="001831FD">
      <w:pPr>
        <w:spacing w:before="120" w:after="120" w:line="360" w:lineRule="auto"/>
        <w:ind w:left="1416"/>
        <w:rPr>
          <w:b/>
          <w:szCs w:val="24"/>
          <w:lang w:eastAsia="en-US"/>
        </w:rPr>
      </w:pPr>
      <w:r w:rsidRPr="003B6CF7">
        <w:rPr>
          <w:b/>
          <w:i/>
          <w:szCs w:val="24"/>
          <w:lang w:eastAsia="en-US"/>
        </w:rPr>
        <w:t>För att ytterligare förbättra samarbetet och informationsutbytet i de internationella avrinningsdistrikten ska det införas ordningar för nödkommunikation och nödinsatser för alla internationella avrinningsdistrikt.</w:t>
      </w:r>
      <w:r w:rsidRPr="003B6CF7">
        <w:rPr>
          <w:szCs w:val="24"/>
          <w:lang w:eastAsia="en-US"/>
        </w:rPr>
        <w:t>”</w:t>
      </w:r>
      <w:r w:rsidR="00540F6A" w:rsidRPr="003B6CF7">
        <w:rPr>
          <w:b/>
          <w:szCs w:val="24"/>
          <w:lang w:eastAsia="en-US"/>
        </w:rPr>
        <w:t xml:space="preserve"> [Ändr. 61]</w:t>
      </w:r>
    </w:p>
    <w:p w14:paraId="7BF22FAE"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(4)</w:t>
      </w:r>
      <w:r w:rsidRPr="003B6CF7">
        <w:rPr>
          <w:szCs w:val="24"/>
          <w:lang w:eastAsia="en-US"/>
        </w:rPr>
        <w:tab/>
        <w:t>Artikel 4.1 ska ändras på följande sätt:</w:t>
      </w:r>
    </w:p>
    <w:p w14:paraId="151C2A3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led a ska led iv ersättas med följande:</w:t>
      </w:r>
    </w:p>
    <w:p w14:paraId="748D1BBB" w14:textId="04F150D8" w:rsidR="001831FD" w:rsidRPr="003B6CF7" w:rsidRDefault="001831FD" w:rsidP="001831FD">
      <w:pPr>
        <w:spacing w:before="120" w:after="120" w:line="360" w:lineRule="auto"/>
        <w:ind w:left="1982" w:hanging="566"/>
        <w:rPr>
          <w:b/>
          <w:szCs w:val="24"/>
          <w:lang w:eastAsia="en-US"/>
        </w:rPr>
      </w:pPr>
      <w:r w:rsidRPr="003B6CF7">
        <w:rPr>
          <w:szCs w:val="24"/>
          <w:lang w:eastAsia="en-US"/>
        </w:rPr>
        <w:t>”iv)</w:t>
      </w:r>
      <w:r w:rsidRPr="003B6CF7">
        <w:rPr>
          <w:szCs w:val="24"/>
          <w:lang w:eastAsia="en-US"/>
        </w:rPr>
        <w:tab/>
        <w:t>genomföra nödvändiga åtgärder för att gradvis minska förorening</w:t>
      </w:r>
      <w:r w:rsidRPr="003B6CF7">
        <w:rPr>
          <w:b/>
          <w:i/>
          <w:szCs w:val="24"/>
          <w:lang w:eastAsia="en-US"/>
        </w:rPr>
        <w:t xml:space="preserve"> genom utsläpp och spill</w:t>
      </w:r>
      <w:r w:rsidRPr="003B6CF7">
        <w:rPr>
          <w:szCs w:val="24"/>
          <w:lang w:eastAsia="en-US"/>
        </w:rPr>
        <w:t xml:space="preserve"> från prioriterade ämnen och förorenande ämnen som är specifika för avrinningsområden och för att utsläpp och spill av prioriterade farliga ämnen ska upphöra eller stegvis elimineras</w:t>
      </w:r>
      <w:r w:rsidRPr="003B6CF7">
        <w:rPr>
          <w:b/>
          <w:i/>
          <w:szCs w:val="24"/>
          <w:lang w:eastAsia="en-US"/>
        </w:rPr>
        <w:t xml:space="preserve"> inom en lämplig tidsram och under alla omständigheter senast 20 år efter det att ett visst prioriterat ämne har förtecknats som farligt i del A i bilaga I till direktiv 2008/105/EG</w:t>
      </w:r>
      <w:r w:rsidRPr="003B6CF7">
        <w:rPr>
          <w:szCs w:val="24"/>
          <w:lang w:eastAsia="en-US"/>
        </w:rPr>
        <w:t>.</w:t>
      </w:r>
      <w:r w:rsidRPr="003B6CF7">
        <w:rPr>
          <w:b/>
          <w:i/>
          <w:szCs w:val="24"/>
          <w:lang w:eastAsia="en-US"/>
        </w:rPr>
        <w:t xml:space="preserve"> Denna tidsram ska gälla utan att det påverkar tillämpningen av striktare tidsramar i annan tillämplig unionslagstiftning.</w:t>
      </w:r>
      <w:r w:rsidRPr="003B6CF7">
        <w:rPr>
          <w:szCs w:val="24"/>
          <w:lang w:eastAsia="en-US"/>
        </w:rPr>
        <w:t>”</w:t>
      </w:r>
      <w:r w:rsidR="00540F6A" w:rsidRPr="003B6CF7">
        <w:rPr>
          <w:b/>
          <w:szCs w:val="24"/>
          <w:lang w:eastAsia="en-US"/>
        </w:rPr>
        <w:t xml:space="preserve"> [Ändr. 62]</w:t>
      </w:r>
    </w:p>
    <w:p w14:paraId="11384102" w14:textId="77777777" w:rsidR="0033374B" w:rsidRPr="003B6CF7" w:rsidRDefault="0033374B">
      <w:pPr>
        <w:widowControl/>
        <w:rPr>
          <w:szCs w:val="24"/>
          <w:lang w:eastAsia="en-US"/>
        </w:rPr>
      </w:pPr>
      <w:r w:rsidRPr="003B6CF7">
        <w:rPr>
          <w:szCs w:val="24"/>
          <w:lang w:eastAsia="en-US"/>
        </w:rPr>
        <w:br w:type="page"/>
      </w:r>
    </w:p>
    <w:p w14:paraId="646DD044" w14:textId="713173E6"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(b)</w:t>
      </w:r>
      <w:r w:rsidRPr="003B6CF7">
        <w:rPr>
          <w:szCs w:val="24"/>
          <w:lang w:eastAsia="en-US"/>
        </w:rPr>
        <w:tab/>
        <w:t>I led b iii ska andra stycket ersättas med följande:</w:t>
      </w:r>
    </w:p>
    <w:p w14:paraId="63DB99F1" w14:textId="77777777" w:rsidR="001831FD" w:rsidRPr="003B6CF7" w:rsidRDefault="001831FD" w:rsidP="001831FD">
      <w:pPr>
        <w:spacing w:before="120" w:after="120" w:line="360" w:lineRule="auto"/>
        <w:ind w:left="1416"/>
        <w:rPr>
          <w:szCs w:val="24"/>
          <w:lang w:eastAsia="en-US"/>
        </w:rPr>
      </w:pPr>
      <w:r w:rsidRPr="003B6CF7">
        <w:rPr>
          <w:szCs w:val="24"/>
          <w:lang w:eastAsia="en-US"/>
        </w:rPr>
        <w:t>”åtgärder för att motverka sådana tendenser ska genomföras i enlighet med artikel 5 i direktiv 2006/118/EG och bilaga IV till det direktivet, om inte annat följer av tillämpningen av punkterna 6 och 7 i den här artikeln och utan att det påverkar tillämpningen av punkt 8 i den här artikeln.”</w:t>
      </w:r>
    </w:p>
    <w:p w14:paraId="7AAD9933" w14:textId="77777777" w:rsidR="001831FD" w:rsidRPr="003B6CF7" w:rsidRDefault="001831FD" w:rsidP="001831FD">
      <w:pPr>
        <w:spacing w:before="120" w:after="120" w:line="360" w:lineRule="auto"/>
        <w:ind w:left="1416" w:hanging="566"/>
        <w:rPr>
          <w:szCs w:val="24"/>
          <w:lang w:eastAsia="en-US"/>
        </w:rPr>
      </w:pPr>
      <w:proofErr w:type="spellStart"/>
      <w:r w:rsidRPr="003B6CF7">
        <w:rPr>
          <w:b/>
          <w:i/>
          <w:szCs w:val="24"/>
          <w:lang w:eastAsia="en-US"/>
        </w:rPr>
        <w:t>ba</w:t>
      </w:r>
      <w:proofErr w:type="spellEnd"/>
      <w:r w:rsidRPr="003B6CF7">
        <w:rPr>
          <w:b/>
          <w:i/>
          <w:szCs w:val="24"/>
          <w:lang w:eastAsia="en-US"/>
        </w:rPr>
        <w:t>)</w:t>
      </w:r>
      <w:r w:rsidRPr="003B6CF7">
        <w:rPr>
          <w:szCs w:val="24"/>
          <w:lang w:eastAsia="en-US"/>
        </w:rPr>
        <w:tab/>
      </w:r>
      <w:r w:rsidRPr="003B6CF7">
        <w:rPr>
          <w:b/>
          <w:i/>
          <w:szCs w:val="24"/>
          <w:lang w:eastAsia="en-US"/>
        </w:rPr>
        <w:t>I led c ska följande stycke 1a läggas till:</w:t>
      </w:r>
    </w:p>
    <w:p w14:paraId="70DB33E2" w14:textId="7997BF13" w:rsidR="001831FD" w:rsidRPr="003B6CF7" w:rsidRDefault="001831FD" w:rsidP="001831FD">
      <w:pPr>
        <w:spacing w:before="120" w:after="120" w:line="360" w:lineRule="auto"/>
        <w:ind w:left="1416"/>
        <w:rPr>
          <w:b/>
          <w:szCs w:val="24"/>
          <w:lang w:eastAsia="en-US"/>
        </w:rPr>
      </w:pPr>
      <w:r w:rsidRPr="003B6CF7">
        <w:rPr>
          <w:szCs w:val="24"/>
          <w:lang w:eastAsia="en-US"/>
        </w:rPr>
        <w:t>”</w:t>
      </w:r>
      <w:r w:rsidRPr="003B6CF7">
        <w:rPr>
          <w:b/>
          <w:i/>
          <w:szCs w:val="24"/>
          <w:lang w:eastAsia="en-US"/>
        </w:rPr>
        <w:t>Medlemsstaterna ska fastställa strängare normer eller tröskelvärden om detta krävs för att tillräckligt skydda de områden som förtecknas i bilaga IV till detta direktiv, inbegripet särskilda bevarandeområden enligt rådets direktiv 92/43/EEG. De program och åtgärder som krävs för sådana tröskelvärden ska även gälla verksamhet som omfattas av direktiv 91/676/EEG.</w:t>
      </w:r>
      <w:r w:rsidRPr="003B6CF7">
        <w:rPr>
          <w:szCs w:val="24"/>
          <w:lang w:eastAsia="en-US"/>
        </w:rPr>
        <w:t>”</w:t>
      </w:r>
      <w:r w:rsidR="00540F6A" w:rsidRPr="003B6CF7">
        <w:rPr>
          <w:b/>
          <w:szCs w:val="24"/>
          <w:lang w:eastAsia="en-US"/>
        </w:rPr>
        <w:t xml:space="preserve"> [Ändr. 63]</w:t>
      </w:r>
    </w:p>
    <w:p w14:paraId="6A5455C8" w14:textId="77777777" w:rsidR="0033374B" w:rsidRPr="003B6CF7" w:rsidRDefault="0033374B">
      <w:pPr>
        <w:widowControl/>
        <w:rPr>
          <w:szCs w:val="24"/>
          <w:lang w:eastAsia="en-US"/>
        </w:rPr>
      </w:pPr>
      <w:r w:rsidRPr="003B6CF7">
        <w:rPr>
          <w:szCs w:val="24"/>
          <w:lang w:eastAsia="en-US"/>
        </w:rPr>
        <w:br w:type="page"/>
      </w:r>
    </w:p>
    <w:p w14:paraId="246256C5" w14:textId="3622A658"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(5)</w:t>
      </w:r>
      <w:r w:rsidRPr="003B6CF7">
        <w:rPr>
          <w:szCs w:val="24"/>
          <w:lang w:eastAsia="en-US"/>
        </w:rPr>
        <w:tab/>
        <w:t>Artikel 7.2 ska ersättas med följande:</w:t>
      </w:r>
    </w:p>
    <w:p w14:paraId="6BA78C2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I fråga om de vattenförekomster som identifieras enligt punkt 1, ska medlemsstaterna se till att uppfylla målen i artikel 4 i enlighet med detta direktivs krav för ytvattenförekomster, inklusive de kvalitetsnormer som fastställs på unionsnivå, och dessutom se till att det resulterande vattnet enligt det vattenreningssystem som används och i enlighet med unionslagstiftningen uppfyller kraven i Europaparlamentets och rådets direktiv (EU) 2020/2184*.</w:t>
      </w:r>
    </w:p>
    <w:p w14:paraId="15B94E33"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(EU) 2020/2184 av den 16 december 2020 om kvaliteten på dricksvatten (EUT L 435, 23.12.2020, s. 1).”</w:t>
      </w:r>
    </w:p>
    <w:p w14:paraId="03E5265B" w14:textId="77777777" w:rsidR="0033374B" w:rsidRPr="003B6CF7" w:rsidRDefault="0033374B">
      <w:pPr>
        <w:widowControl/>
        <w:rPr>
          <w:szCs w:val="24"/>
          <w:lang w:eastAsia="en-US"/>
        </w:rPr>
      </w:pPr>
      <w:r w:rsidRPr="003B6CF7">
        <w:rPr>
          <w:szCs w:val="24"/>
          <w:lang w:eastAsia="en-US"/>
        </w:rPr>
        <w:br w:type="page"/>
      </w:r>
    </w:p>
    <w:p w14:paraId="00F9C8AF" w14:textId="406BD55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(6)</w:t>
      </w:r>
      <w:r w:rsidRPr="003B6CF7">
        <w:rPr>
          <w:szCs w:val="24"/>
          <w:lang w:eastAsia="en-US"/>
        </w:rPr>
        <w:tab/>
        <w:t>Artikel 8 ska ändras på följande sätt:</w:t>
      </w:r>
    </w:p>
    <w:p w14:paraId="09948000"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Punkt 3 ska ersättas med följande:</w:t>
      </w:r>
    </w:p>
    <w:p w14:paraId="20FF29BD" w14:textId="58C34146" w:rsidR="001831FD" w:rsidRPr="003B6CF7" w:rsidRDefault="001831FD" w:rsidP="001831FD">
      <w:pPr>
        <w:spacing w:before="120" w:after="120" w:line="360" w:lineRule="auto"/>
        <w:ind w:left="1982" w:hanging="566"/>
        <w:rPr>
          <w:b/>
          <w:szCs w:val="24"/>
          <w:lang w:eastAsia="en-US"/>
        </w:rPr>
      </w:pPr>
      <w:r w:rsidRPr="003B6CF7">
        <w:rPr>
          <w:szCs w:val="24"/>
          <w:lang w:eastAsia="en-US"/>
        </w:rPr>
        <w:t>”3.</w:t>
      </w:r>
      <w:r w:rsidRPr="003B6CF7">
        <w:rPr>
          <w:szCs w:val="24"/>
          <w:lang w:eastAsia="en-US"/>
        </w:rPr>
        <w:tab/>
        <w:t xml:space="preserve">Kommissionen ges befogenhet att anta </w:t>
      </w:r>
      <w:r w:rsidRPr="003B6CF7">
        <w:rPr>
          <w:strike/>
          <w:szCs w:val="24"/>
          <w:lang w:eastAsia="en-US"/>
        </w:rPr>
        <w:t>genomförandeakter för</w:t>
      </w:r>
      <w:r w:rsidRPr="003B6CF7">
        <w:rPr>
          <w:b/>
          <w:i/>
          <w:szCs w:val="24"/>
          <w:lang w:eastAsia="en-US"/>
        </w:rPr>
        <w:t>delegerade akter i enlighet med artikel 20a för att komplettera detta direktiv genom</w:t>
      </w:r>
      <w:r w:rsidRPr="003B6CF7">
        <w:rPr>
          <w:szCs w:val="24"/>
          <w:lang w:eastAsia="en-US"/>
        </w:rPr>
        <w:t xml:space="preserve"> att fastställa tekniska specifikationer och standardmetoder för analys och övervakning av vattenstatusen i enlighet med bilaga V</w:t>
      </w:r>
      <w:r w:rsidRPr="003B6CF7">
        <w:rPr>
          <w:b/>
          <w:i/>
          <w:szCs w:val="24"/>
          <w:lang w:eastAsia="en-US"/>
        </w:rPr>
        <w:t>. Kommissionen ges befogenhet att anta genomförandeakter</w:t>
      </w:r>
      <w:r w:rsidRPr="003B6CF7">
        <w:rPr>
          <w:strike/>
          <w:szCs w:val="24"/>
          <w:lang w:eastAsia="en-US"/>
        </w:rPr>
        <w:t xml:space="preserve"> och</w:t>
      </w:r>
      <w:r w:rsidRPr="003B6CF7">
        <w:rPr>
          <w:szCs w:val="24"/>
          <w:lang w:eastAsia="en-US"/>
        </w:rPr>
        <w:t xml:space="preserve"> för att fastställa format för rapportering av övervaknings- och statusdata i enlighet med punkt 4</w:t>
      </w:r>
      <w:r w:rsidRPr="003B6CF7">
        <w:rPr>
          <w:strike/>
          <w:szCs w:val="24"/>
          <w:lang w:eastAsia="en-US"/>
        </w:rPr>
        <w:t>.</w:t>
      </w:r>
      <w:r w:rsidRPr="003B6CF7">
        <w:rPr>
          <w:szCs w:val="24"/>
          <w:lang w:eastAsia="en-US"/>
        </w:rPr>
        <w:t xml:space="preserve"> Dessa genomförandeakter ska antas i enlighet med det granskningsförfarande som avses i artikel 21.2.”</w:t>
      </w:r>
      <w:r w:rsidR="00540F6A" w:rsidRPr="003B6CF7">
        <w:rPr>
          <w:b/>
          <w:szCs w:val="24"/>
          <w:lang w:eastAsia="en-US"/>
        </w:rPr>
        <w:t xml:space="preserve"> [Ändr. 64]</w:t>
      </w:r>
    </w:p>
    <w:p w14:paraId="74ED90BA" w14:textId="77777777" w:rsidR="0033374B" w:rsidRPr="003B6CF7" w:rsidRDefault="0033374B">
      <w:pPr>
        <w:widowControl/>
        <w:rPr>
          <w:b/>
          <w:i/>
          <w:szCs w:val="24"/>
          <w:lang w:eastAsia="en-US"/>
        </w:rPr>
      </w:pPr>
      <w:r w:rsidRPr="003B6CF7">
        <w:rPr>
          <w:b/>
          <w:i/>
          <w:szCs w:val="24"/>
          <w:lang w:eastAsia="en-US"/>
        </w:rPr>
        <w:br w:type="page"/>
      </w:r>
    </w:p>
    <w:p w14:paraId="77F0FD4E" w14:textId="08FD352C" w:rsidR="001831FD" w:rsidRPr="003B6CF7" w:rsidRDefault="001831FD" w:rsidP="001831FD">
      <w:pPr>
        <w:spacing w:before="120" w:after="120" w:line="360" w:lineRule="auto"/>
        <w:ind w:left="1416" w:hanging="566"/>
        <w:rPr>
          <w:szCs w:val="24"/>
          <w:lang w:eastAsia="en-US"/>
        </w:rPr>
      </w:pPr>
      <w:proofErr w:type="spellStart"/>
      <w:r w:rsidRPr="003B6CF7">
        <w:rPr>
          <w:b/>
          <w:i/>
          <w:szCs w:val="24"/>
          <w:lang w:eastAsia="en-US"/>
        </w:rPr>
        <w:lastRenderedPageBreak/>
        <w:t>aa</w:t>
      </w:r>
      <w:proofErr w:type="spellEnd"/>
      <w:r w:rsidRPr="003B6CF7">
        <w:rPr>
          <w:b/>
          <w:i/>
          <w:szCs w:val="24"/>
          <w:lang w:eastAsia="en-US"/>
        </w:rPr>
        <w:t>)</w:t>
      </w:r>
      <w:r w:rsidRPr="003B6CF7">
        <w:rPr>
          <w:szCs w:val="24"/>
          <w:lang w:eastAsia="en-US"/>
        </w:rPr>
        <w:tab/>
      </w:r>
      <w:r w:rsidRPr="003B6CF7">
        <w:rPr>
          <w:b/>
          <w:i/>
          <w:szCs w:val="24"/>
          <w:lang w:eastAsia="en-US"/>
        </w:rPr>
        <w:t>Följande punkt ska läggas till:</w:t>
      </w:r>
    </w:p>
    <w:p w14:paraId="73328006" w14:textId="783B2187" w:rsidR="001831FD" w:rsidRPr="003B6CF7" w:rsidRDefault="001831FD" w:rsidP="001831FD">
      <w:pPr>
        <w:spacing w:before="120" w:after="120" w:line="360" w:lineRule="auto"/>
        <w:ind w:left="1982" w:hanging="566"/>
        <w:rPr>
          <w:szCs w:val="24"/>
          <w:lang w:eastAsia="en-US"/>
        </w:rPr>
      </w:pPr>
      <w:r w:rsidRPr="003B6CF7">
        <w:rPr>
          <w:szCs w:val="24"/>
          <w:lang w:eastAsia="en-US"/>
        </w:rPr>
        <w:t>”</w:t>
      </w:r>
      <w:r w:rsidR="00540F6A" w:rsidRPr="003B6CF7">
        <w:rPr>
          <w:b/>
          <w:i/>
          <w:szCs w:val="24"/>
          <w:lang w:eastAsia="en-US"/>
        </w:rPr>
        <w:t>3a</w:t>
      </w:r>
      <w:r w:rsidRPr="003B6CF7">
        <w:rPr>
          <w:b/>
          <w:i/>
          <w:szCs w:val="24"/>
          <w:lang w:eastAsia="en-US"/>
        </w:rPr>
        <w:t>.</w:t>
      </w:r>
      <w:r w:rsidRPr="003B6CF7">
        <w:rPr>
          <w:szCs w:val="24"/>
          <w:lang w:eastAsia="en-US"/>
        </w:rPr>
        <w:tab/>
      </w:r>
      <w:r w:rsidRPr="003B6CF7">
        <w:rPr>
          <w:b/>
          <w:i/>
          <w:szCs w:val="24"/>
          <w:lang w:eastAsia="en-US"/>
        </w:rPr>
        <w:t>Senast [två år efter detta direktivs ikraftträdande] ska kommissionen offentliggöra en omfattande bedömning av eventuell tillämpning av kontinuerliga och exakta föroreningsövervakningssystem från vattenkvalitetsmätningar i realtid (online), inklusive sådana systems ekonomiska och tekniska genomförbarhetsaspekter som är relevanta för medlemsstaterna, samt av användningen av harmoniserade standarder.</w:t>
      </w:r>
    </w:p>
    <w:p w14:paraId="736650F3" w14:textId="29471F47" w:rsidR="001831FD" w:rsidRPr="003B6CF7" w:rsidRDefault="001831FD" w:rsidP="001831FD">
      <w:pPr>
        <w:spacing w:before="120" w:after="120" w:line="360" w:lineRule="auto"/>
        <w:ind w:left="1982"/>
        <w:rPr>
          <w:b/>
          <w:szCs w:val="24"/>
          <w:lang w:eastAsia="en-US"/>
        </w:rPr>
      </w:pPr>
      <w:r w:rsidRPr="003B6CF7">
        <w:rPr>
          <w:b/>
          <w:i/>
          <w:szCs w:val="24"/>
          <w:lang w:eastAsia="en-US"/>
        </w:rPr>
        <w:t xml:space="preserve">Kommissionen ska vid behov anta en </w:t>
      </w:r>
      <w:proofErr w:type="spellStart"/>
      <w:r w:rsidRPr="003B6CF7">
        <w:rPr>
          <w:b/>
          <w:i/>
          <w:szCs w:val="24"/>
          <w:lang w:eastAsia="en-US"/>
        </w:rPr>
        <w:t>genomförandeakt</w:t>
      </w:r>
      <w:proofErr w:type="spellEnd"/>
      <w:r w:rsidRPr="003B6CF7">
        <w:rPr>
          <w:b/>
          <w:i/>
          <w:szCs w:val="24"/>
          <w:lang w:eastAsia="en-US"/>
        </w:rPr>
        <w:t xml:space="preserve"> i enlighet med det granskningsförfarande som avses i artikel 21.2, för att fastställa harmoniserade standarder för vattenövervakning online.</w:t>
      </w:r>
      <w:r w:rsidRPr="003B6CF7">
        <w:rPr>
          <w:szCs w:val="24"/>
          <w:lang w:eastAsia="en-US"/>
        </w:rPr>
        <w:t>”</w:t>
      </w:r>
      <w:r w:rsidR="00540F6A" w:rsidRPr="003B6CF7">
        <w:rPr>
          <w:b/>
          <w:szCs w:val="24"/>
          <w:lang w:eastAsia="en-US"/>
        </w:rPr>
        <w:t xml:space="preserve"> [Ändr. 65]</w:t>
      </w:r>
    </w:p>
    <w:p w14:paraId="2CC2875E" w14:textId="77777777" w:rsidR="0033374B" w:rsidRPr="003B6CF7" w:rsidRDefault="0033374B">
      <w:pPr>
        <w:widowControl/>
        <w:rPr>
          <w:szCs w:val="24"/>
          <w:lang w:eastAsia="en-US"/>
        </w:rPr>
      </w:pPr>
      <w:r w:rsidRPr="003B6CF7">
        <w:rPr>
          <w:szCs w:val="24"/>
          <w:lang w:eastAsia="en-US"/>
        </w:rPr>
        <w:br w:type="page"/>
      </w:r>
    </w:p>
    <w:p w14:paraId="373C7456" w14:textId="58D6352B"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(b)</w:t>
      </w:r>
      <w:r w:rsidRPr="003B6CF7">
        <w:rPr>
          <w:szCs w:val="24"/>
          <w:lang w:eastAsia="en-US"/>
        </w:rPr>
        <w:tab/>
        <w:t>Följande punkter ska införas som punkterna 4 och 5:</w:t>
      </w:r>
    </w:p>
    <w:p w14:paraId="2547DD09" w14:textId="1B0078D0" w:rsidR="001831FD" w:rsidRPr="003B6CF7" w:rsidRDefault="001831FD" w:rsidP="001831FD">
      <w:pPr>
        <w:spacing w:before="120" w:after="120" w:line="360" w:lineRule="auto"/>
        <w:ind w:left="1982" w:hanging="566"/>
        <w:rPr>
          <w:b/>
          <w:szCs w:val="24"/>
          <w:lang w:eastAsia="en-US"/>
        </w:rPr>
      </w:pPr>
      <w:r w:rsidRPr="003B6CF7">
        <w:rPr>
          <w:szCs w:val="24"/>
          <w:lang w:eastAsia="en-US"/>
        </w:rPr>
        <w:t>”4.</w:t>
      </w:r>
      <w:r w:rsidRPr="003B6CF7">
        <w:rPr>
          <w:szCs w:val="24"/>
          <w:lang w:eastAsia="en-US"/>
        </w:rPr>
        <w:tab/>
        <w:t xml:space="preserve">Medlemsstaterna ska se till att tillgängliga enskilda övervakningsdata som samlats in i enlighet med punkt 1.3.4 </w:t>
      </w:r>
      <w:r w:rsidRPr="003B6CF7">
        <w:rPr>
          <w:b/>
          <w:i/>
          <w:szCs w:val="24"/>
          <w:lang w:eastAsia="en-US"/>
        </w:rPr>
        <w:t xml:space="preserve">och 2.4.3 </w:t>
      </w:r>
      <w:r w:rsidRPr="003B6CF7">
        <w:rPr>
          <w:szCs w:val="24"/>
          <w:lang w:eastAsia="en-US"/>
        </w:rPr>
        <w:t xml:space="preserve">i bilaga V och den resulterande statusen i enlighet med bilaga V görs tillgängliga för </w:t>
      </w:r>
      <w:r w:rsidRPr="003B6CF7">
        <w:rPr>
          <w:strike/>
          <w:szCs w:val="24"/>
          <w:lang w:eastAsia="en-US"/>
        </w:rPr>
        <w:t xml:space="preserve">allmänheten och för </w:t>
      </w:r>
      <w:r w:rsidRPr="003B6CF7">
        <w:rPr>
          <w:szCs w:val="24"/>
          <w:lang w:eastAsia="en-US"/>
        </w:rPr>
        <w:t>Europeiska miljöbyrån (EEA)</w:t>
      </w:r>
      <w:r w:rsidRPr="003B6CF7">
        <w:rPr>
          <w:b/>
          <w:i/>
          <w:szCs w:val="24"/>
          <w:lang w:eastAsia="en-US"/>
        </w:rPr>
        <w:t xml:space="preserve"> och, utan onödigt dröjsmål och på ett lättillgängligt sätt, för allmänheten</w:t>
      </w:r>
      <w:r w:rsidRPr="003B6CF7">
        <w:rPr>
          <w:szCs w:val="24"/>
          <w:lang w:eastAsia="en-US"/>
        </w:rPr>
        <w:t xml:space="preserve"> minst en gång om året i maskinläsbart format i enlighet med Europaparlamentets och rådets direktiv 2003/4/EG*, Europaparlamentets och rådets direktiv 2007/2/EG** och Europaparlamentets och rådets direktiv (EU) 2019/1024***. För detta ändamål ska medlemsstaterna använda de format som fastställs i enlighet med punkt 3 i denna artikel.</w:t>
      </w:r>
      <w:r w:rsidR="00540F6A" w:rsidRPr="003B6CF7">
        <w:rPr>
          <w:b/>
          <w:szCs w:val="24"/>
          <w:lang w:eastAsia="en-US"/>
        </w:rPr>
        <w:t xml:space="preserve"> [Ändr. 66]</w:t>
      </w:r>
    </w:p>
    <w:p w14:paraId="6B9DD2F4" w14:textId="77777777" w:rsidR="0033374B" w:rsidRPr="003B6CF7" w:rsidRDefault="0033374B">
      <w:pPr>
        <w:widowControl/>
        <w:rPr>
          <w:szCs w:val="24"/>
          <w:lang w:eastAsia="en-US"/>
        </w:rPr>
      </w:pPr>
      <w:r w:rsidRPr="003B6CF7">
        <w:rPr>
          <w:szCs w:val="24"/>
          <w:lang w:eastAsia="en-US"/>
        </w:rPr>
        <w:br w:type="page"/>
      </w:r>
    </w:p>
    <w:p w14:paraId="50F77B49" w14:textId="3DCFE555"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5.</w:t>
      </w:r>
      <w:r w:rsidRPr="003B6CF7">
        <w:rPr>
          <w:szCs w:val="24"/>
          <w:lang w:eastAsia="en-US"/>
        </w:rPr>
        <w:tab/>
        <w:t>EEA ska se till att den information som görs tillgänglig i enlighet med punkt 4 regelbundet behandlas och analyseras i syfte att göra den tillgänglig, via relevanta unionsportaler, för vidareutnyttjande av kommissionen och relevanta unionsorgan och i syfte att förse kommissionen, medlemsstaterna och allmänheten med aktuell, objektiv, tillförlitlig och jämförbar information, särskilt om status, i enlighet med Europaparlamentets och rådets förordning (EG) nr 401/2009****.</w:t>
      </w:r>
    </w:p>
    <w:p w14:paraId="41417144"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2003/4/EG av den 28 januari 2003 om allmänhetens tillgång till miljöinformation och om upphävande av rådets direktiv 90/313/EEG (EUT L 41, 14.2.2003, s. 26).</w:t>
      </w:r>
    </w:p>
    <w:p w14:paraId="06A31E11"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2007/2/EG av den 14 mars 2007 om upprättande av en infrastruktur för rumslig information i Europeiska gemenskapen (</w:t>
      </w:r>
      <w:proofErr w:type="spellStart"/>
      <w:r w:rsidRPr="003B6CF7">
        <w:rPr>
          <w:szCs w:val="24"/>
          <w:lang w:eastAsia="en-US"/>
        </w:rPr>
        <w:t>Inspire</w:t>
      </w:r>
      <w:proofErr w:type="spellEnd"/>
      <w:r w:rsidRPr="003B6CF7">
        <w:rPr>
          <w:szCs w:val="24"/>
          <w:lang w:eastAsia="en-US"/>
        </w:rPr>
        <w:t>) (</w:t>
      </w:r>
      <w:proofErr w:type="spellStart"/>
      <w:r w:rsidRPr="003B6CF7">
        <w:rPr>
          <w:szCs w:val="24"/>
          <w:lang w:eastAsia="en-US"/>
        </w:rPr>
        <w:t>EUT</w:t>
      </w:r>
      <w:proofErr w:type="spellEnd"/>
      <w:r w:rsidRPr="003B6CF7">
        <w:rPr>
          <w:szCs w:val="24"/>
          <w:lang w:eastAsia="en-US"/>
        </w:rPr>
        <w:t xml:space="preserve"> L 108, 25.4.2007, s. 1).</w:t>
      </w:r>
    </w:p>
    <w:p w14:paraId="3AC515EB"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(EU) 2019/1024 av den 20 juni 2019 om öppna data och vidareutnyttjande av information från den offentliga sektorn (EUT L 172, 26.6.2019, s. 56).</w:t>
      </w:r>
    </w:p>
    <w:p w14:paraId="35E6A480"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förordning (EG) nr 401/2009 av den 23 april 2009 om Europeiska miljöbyrån och Europeiska nätverket för miljöinformation och miljöövervakning (EUT L 126, 21.5.2009, s. 13).”</w:t>
      </w:r>
    </w:p>
    <w:p w14:paraId="08B33FF2" w14:textId="77777777" w:rsidR="0033374B" w:rsidRPr="003B6CF7" w:rsidRDefault="0033374B">
      <w:pPr>
        <w:widowControl/>
        <w:rPr>
          <w:szCs w:val="24"/>
          <w:lang w:eastAsia="en-US"/>
        </w:rPr>
      </w:pPr>
      <w:r w:rsidRPr="003B6CF7">
        <w:rPr>
          <w:szCs w:val="24"/>
          <w:lang w:eastAsia="en-US"/>
        </w:rPr>
        <w:br w:type="page"/>
      </w:r>
    </w:p>
    <w:p w14:paraId="6C418AF4" w14:textId="20B2DC1E"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(7)</w:t>
      </w:r>
      <w:r w:rsidRPr="003B6CF7">
        <w:rPr>
          <w:szCs w:val="24"/>
          <w:lang w:eastAsia="en-US"/>
        </w:rPr>
        <w:tab/>
        <w:t>Artikel 10 ska ändras på följande sätt:</w:t>
      </w:r>
    </w:p>
    <w:p w14:paraId="297CA548"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Punkt 2 ska ersättas med följande:</w:t>
      </w:r>
    </w:p>
    <w:p w14:paraId="2DDD91B3"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”2.</w:t>
      </w:r>
      <w:r w:rsidRPr="003B6CF7">
        <w:rPr>
          <w:szCs w:val="24"/>
          <w:lang w:eastAsia="en-US"/>
        </w:rPr>
        <w:tab/>
        <w:t>För att uppfylla de mål, kvalitetsnormer och tröskelvärden som har upprättats i enlighet med detta direktiv ska medlemsstaterna säkerställa att följande upprättas och genomförs:</w:t>
      </w:r>
    </w:p>
    <w:p w14:paraId="282B5200" w14:textId="77777777" w:rsidR="001831FD" w:rsidRPr="003B6CF7" w:rsidRDefault="001831FD" w:rsidP="001831FD">
      <w:pPr>
        <w:spacing w:before="120" w:after="120" w:line="360" w:lineRule="auto"/>
        <w:ind w:left="2548" w:hanging="566"/>
        <w:rPr>
          <w:szCs w:val="24"/>
          <w:lang w:eastAsia="en-US"/>
        </w:rPr>
      </w:pPr>
      <w:r w:rsidRPr="003B6CF7">
        <w:rPr>
          <w:szCs w:val="24"/>
          <w:lang w:eastAsia="en-US"/>
        </w:rPr>
        <w:t>a)</w:t>
      </w:r>
      <w:r w:rsidRPr="003B6CF7">
        <w:rPr>
          <w:szCs w:val="24"/>
          <w:lang w:eastAsia="en-US"/>
        </w:rPr>
        <w:tab/>
        <w:t>Utsläppsregleringar som grundas på bästa tillgängliga teknik.</w:t>
      </w:r>
    </w:p>
    <w:p w14:paraId="20F598E7" w14:textId="77777777" w:rsidR="001831FD" w:rsidRPr="003B6CF7" w:rsidRDefault="001831FD" w:rsidP="001831FD">
      <w:pPr>
        <w:spacing w:before="120" w:after="120" w:line="360" w:lineRule="auto"/>
        <w:ind w:left="2548" w:hanging="566"/>
        <w:rPr>
          <w:szCs w:val="24"/>
          <w:lang w:eastAsia="en-US"/>
        </w:rPr>
      </w:pPr>
      <w:r w:rsidRPr="003B6CF7">
        <w:rPr>
          <w:szCs w:val="24"/>
          <w:lang w:eastAsia="en-US"/>
        </w:rPr>
        <w:t>b)</w:t>
      </w:r>
      <w:r w:rsidRPr="003B6CF7">
        <w:rPr>
          <w:szCs w:val="24"/>
          <w:lang w:eastAsia="en-US"/>
        </w:rPr>
        <w:tab/>
        <w:t>Relevanta gränsvärden för utsläpp.</w:t>
      </w:r>
    </w:p>
    <w:p w14:paraId="6CBD9543" w14:textId="77777777" w:rsidR="0033374B" w:rsidRPr="003B6CF7" w:rsidRDefault="0033374B">
      <w:pPr>
        <w:widowControl/>
        <w:rPr>
          <w:szCs w:val="24"/>
          <w:lang w:eastAsia="en-US"/>
        </w:rPr>
      </w:pPr>
      <w:r w:rsidRPr="003B6CF7">
        <w:rPr>
          <w:szCs w:val="24"/>
          <w:lang w:eastAsia="en-US"/>
        </w:rPr>
        <w:br w:type="page"/>
      </w:r>
    </w:p>
    <w:p w14:paraId="08F793AA" w14:textId="5FA8E09B" w:rsidR="001831FD" w:rsidRPr="003B6CF7" w:rsidRDefault="001831FD" w:rsidP="001831FD">
      <w:pPr>
        <w:spacing w:before="120" w:after="120" w:line="360" w:lineRule="auto"/>
        <w:ind w:left="2548" w:hanging="566"/>
        <w:rPr>
          <w:szCs w:val="24"/>
          <w:lang w:eastAsia="en-US"/>
        </w:rPr>
      </w:pPr>
      <w:r w:rsidRPr="003B6CF7">
        <w:rPr>
          <w:szCs w:val="24"/>
          <w:lang w:eastAsia="en-US"/>
        </w:rPr>
        <w:lastRenderedPageBreak/>
        <w:t>c)</w:t>
      </w:r>
      <w:r w:rsidRPr="003B6CF7">
        <w:rPr>
          <w:szCs w:val="24"/>
          <w:lang w:eastAsia="en-US"/>
        </w:rPr>
        <w:tab/>
        <w:t>I fall av diffusa konsekvenser, regleringarna inklusive, när det är lämpligt, bästa miljöpraxis enligt</w:t>
      </w:r>
    </w:p>
    <w:p w14:paraId="1CE887A6" w14:textId="77777777" w:rsidR="001831FD" w:rsidRPr="003B6CF7" w:rsidRDefault="001831FD" w:rsidP="001831FD">
      <w:pPr>
        <w:spacing w:before="120" w:after="120" w:line="360" w:lineRule="auto"/>
        <w:ind w:left="3114" w:hanging="566"/>
        <w:rPr>
          <w:szCs w:val="24"/>
          <w:lang w:eastAsia="en-US"/>
        </w:rPr>
      </w:pPr>
      <w:r w:rsidRPr="003B6CF7">
        <w:rPr>
          <w:szCs w:val="24"/>
          <w:lang w:eastAsia="en-US"/>
        </w:rPr>
        <w:t>-</w:t>
      </w:r>
      <w:r w:rsidRPr="003B6CF7">
        <w:rPr>
          <w:szCs w:val="24"/>
          <w:lang w:eastAsia="en-US"/>
        </w:rPr>
        <w:tab/>
        <w:t>Europaparlamentets och rådets direktiv 2009/128/EG*,</w:t>
      </w:r>
    </w:p>
    <w:p w14:paraId="1FA8A933" w14:textId="77777777" w:rsidR="001831FD" w:rsidRPr="003B6CF7" w:rsidRDefault="001831FD" w:rsidP="001831FD">
      <w:pPr>
        <w:spacing w:before="120" w:after="120" w:line="360" w:lineRule="auto"/>
        <w:ind w:left="3114" w:hanging="566"/>
        <w:rPr>
          <w:szCs w:val="24"/>
          <w:lang w:eastAsia="en-US"/>
        </w:rPr>
      </w:pPr>
      <w:r w:rsidRPr="003B6CF7">
        <w:rPr>
          <w:szCs w:val="24"/>
          <w:lang w:eastAsia="en-US"/>
        </w:rPr>
        <w:t>-</w:t>
      </w:r>
      <w:r w:rsidRPr="003B6CF7">
        <w:rPr>
          <w:szCs w:val="24"/>
          <w:lang w:eastAsia="en-US"/>
        </w:rPr>
        <w:tab/>
        <w:t>Europaparlamentets och rådets direktiv 2010/75/EU**,</w:t>
      </w:r>
    </w:p>
    <w:p w14:paraId="246FBE5B" w14:textId="77777777" w:rsidR="001831FD" w:rsidRPr="003B6CF7" w:rsidRDefault="001831FD" w:rsidP="001831FD">
      <w:pPr>
        <w:spacing w:before="120" w:after="120" w:line="360" w:lineRule="auto"/>
        <w:ind w:left="3114" w:hanging="566"/>
        <w:rPr>
          <w:szCs w:val="24"/>
          <w:lang w:eastAsia="en-US"/>
        </w:rPr>
      </w:pPr>
      <w:r w:rsidRPr="003B6CF7">
        <w:rPr>
          <w:szCs w:val="24"/>
          <w:lang w:eastAsia="en-US"/>
        </w:rPr>
        <w:t>-</w:t>
      </w:r>
      <w:r w:rsidRPr="003B6CF7">
        <w:rPr>
          <w:szCs w:val="24"/>
          <w:lang w:eastAsia="en-US"/>
        </w:rPr>
        <w:tab/>
        <w:t>rådets direktiv 91/271/EEG***,</w:t>
      </w:r>
    </w:p>
    <w:p w14:paraId="6DE65EB4" w14:textId="77777777" w:rsidR="001831FD" w:rsidRPr="003B6CF7" w:rsidRDefault="001831FD" w:rsidP="001831FD">
      <w:pPr>
        <w:spacing w:before="120" w:after="120" w:line="360" w:lineRule="auto"/>
        <w:ind w:left="3114" w:hanging="566"/>
        <w:rPr>
          <w:szCs w:val="24"/>
          <w:lang w:eastAsia="en-US"/>
        </w:rPr>
      </w:pPr>
      <w:r w:rsidRPr="003B6CF7">
        <w:rPr>
          <w:szCs w:val="24"/>
          <w:lang w:eastAsia="en-US"/>
        </w:rPr>
        <w:t>-</w:t>
      </w:r>
      <w:r w:rsidRPr="003B6CF7">
        <w:rPr>
          <w:szCs w:val="24"/>
          <w:lang w:eastAsia="en-US"/>
        </w:rPr>
        <w:tab/>
        <w:t>rådets direktiv 91/676/EEG****,</w:t>
      </w:r>
    </w:p>
    <w:p w14:paraId="39CC21B1" w14:textId="77777777" w:rsidR="001831FD" w:rsidRPr="003B6CF7" w:rsidRDefault="001831FD" w:rsidP="001831FD">
      <w:pPr>
        <w:spacing w:before="120" w:after="120" w:line="360" w:lineRule="auto"/>
        <w:ind w:left="3114" w:hanging="566"/>
        <w:rPr>
          <w:szCs w:val="24"/>
          <w:lang w:eastAsia="en-US"/>
        </w:rPr>
      </w:pPr>
      <w:r w:rsidRPr="003B6CF7">
        <w:rPr>
          <w:szCs w:val="24"/>
          <w:lang w:eastAsia="en-US"/>
        </w:rPr>
        <w:t>-</w:t>
      </w:r>
      <w:r w:rsidRPr="003B6CF7">
        <w:rPr>
          <w:szCs w:val="24"/>
          <w:lang w:eastAsia="en-US"/>
        </w:rPr>
        <w:tab/>
        <w:t>all annan unionslagstiftning som är relevant för hantering av föroreningar från punktkällor eller diffusa föroreningar.</w:t>
      </w:r>
    </w:p>
    <w:p w14:paraId="67355858" w14:textId="77777777" w:rsidR="001831FD" w:rsidRPr="003B6CF7" w:rsidRDefault="001831FD" w:rsidP="001831FD">
      <w:pPr>
        <w:spacing w:before="120" w:after="120" w:line="360" w:lineRule="auto"/>
        <w:ind w:left="2548"/>
        <w:rPr>
          <w:szCs w:val="24"/>
          <w:lang w:eastAsia="en-US"/>
        </w:rPr>
      </w:pPr>
      <w:r w:rsidRPr="003B6CF7">
        <w:rPr>
          <w:szCs w:val="24"/>
          <w:lang w:eastAsia="en-US"/>
        </w:rPr>
        <w:t>* Europaparlamentets och rådets direktiv 2009/128/EG av den 21 oktober 2009 om upprättande av en ram för gemenskapens åtgärder för att uppnå en hållbar användning av bekämpningsmedel (EUT L 309, 24.11.2009, s. 71).</w:t>
      </w:r>
    </w:p>
    <w:p w14:paraId="048B0808" w14:textId="77777777" w:rsidR="001831FD" w:rsidRPr="003B6CF7" w:rsidRDefault="001831FD" w:rsidP="001831FD">
      <w:pPr>
        <w:spacing w:before="120" w:after="120" w:line="360" w:lineRule="auto"/>
        <w:ind w:left="2548"/>
        <w:rPr>
          <w:szCs w:val="24"/>
          <w:lang w:eastAsia="en-US"/>
        </w:rPr>
      </w:pPr>
      <w:r w:rsidRPr="003B6CF7">
        <w:rPr>
          <w:szCs w:val="24"/>
          <w:lang w:eastAsia="en-US"/>
        </w:rPr>
        <w:t>** Europaparlamentets och rådets direktiv 2010/75/EU av den 24 november 2010 om industriutsläpp (EUT L 334, 17.12.2010, s. 17).</w:t>
      </w:r>
    </w:p>
    <w:p w14:paraId="64BFC923" w14:textId="77777777" w:rsidR="001831FD" w:rsidRPr="003B6CF7" w:rsidRDefault="001831FD" w:rsidP="001831FD">
      <w:pPr>
        <w:spacing w:before="120" w:after="120" w:line="360" w:lineRule="auto"/>
        <w:ind w:left="2548"/>
        <w:rPr>
          <w:szCs w:val="24"/>
          <w:lang w:eastAsia="en-US"/>
        </w:rPr>
      </w:pPr>
      <w:r w:rsidRPr="003B6CF7">
        <w:rPr>
          <w:szCs w:val="24"/>
          <w:lang w:eastAsia="en-US"/>
        </w:rPr>
        <w:t>*** Rådets direktiv 91/271/EEG av den 21 maj 1991 om rening av avloppsvatten från tätbebyggelse (EGT L 135, 30.5.1991, s. 40).</w:t>
      </w:r>
    </w:p>
    <w:p w14:paraId="2C942054" w14:textId="77777777" w:rsidR="001831FD" w:rsidRPr="003B6CF7" w:rsidRDefault="001831FD" w:rsidP="001831FD">
      <w:pPr>
        <w:spacing w:before="120" w:after="120" w:line="360" w:lineRule="auto"/>
        <w:ind w:left="2548"/>
        <w:rPr>
          <w:szCs w:val="24"/>
          <w:lang w:eastAsia="en-US"/>
        </w:rPr>
      </w:pPr>
      <w:r w:rsidRPr="003B6CF7">
        <w:rPr>
          <w:szCs w:val="24"/>
          <w:lang w:eastAsia="en-US"/>
        </w:rPr>
        <w:t>**** Rådets direktiv 91/676/EEG av den 12 december 1991 om skydd mot att vatten förorenas av nitrater från jordbruket (EGT L 375, 31.12.1991, s. 1).”</w:t>
      </w:r>
    </w:p>
    <w:p w14:paraId="6141A062" w14:textId="77777777" w:rsidR="0033374B" w:rsidRPr="003B6CF7" w:rsidRDefault="0033374B">
      <w:pPr>
        <w:widowControl/>
        <w:rPr>
          <w:szCs w:val="24"/>
          <w:lang w:eastAsia="en-US"/>
        </w:rPr>
      </w:pPr>
      <w:r w:rsidRPr="003B6CF7">
        <w:rPr>
          <w:szCs w:val="24"/>
          <w:lang w:eastAsia="en-US"/>
        </w:rPr>
        <w:br w:type="page"/>
      </w:r>
    </w:p>
    <w:p w14:paraId="49A8FD79" w14:textId="40142E51"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(b)</w:t>
      </w:r>
      <w:r w:rsidRPr="003B6CF7">
        <w:rPr>
          <w:szCs w:val="24"/>
          <w:lang w:eastAsia="en-US"/>
        </w:rPr>
        <w:tab/>
        <w:t>Punkt 3 ska ersättas med följande:</w:t>
      </w:r>
    </w:p>
    <w:p w14:paraId="7310E551"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”3.</w:t>
      </w:r>
      <w:r w:rsidRPr="003B6CF7">
        <w:rPr>
          <w:szCs w:val="24"/>
          <w:lang w:eastAsia="en-US"/>
        </w:rPr>
        <w:tab/>
        <w:t>Om ett kvalitetsmål, en kvalitetsnorm eller ett tröskelvärde, oavsett om det/den har upprättats i enlighet med detta direktiv, i enlighet med direktiven 2006/118/EG eller 2008/105/EG, eller i enlighet med någon annan unionslagstiftning, uppställer strängare villkor än de som skulle bli resultatet vid tillämpning av punkt 2, ska strängare utsläppsregleringar fastställas.”</w:t>
      </w:r>
    </w:p>
    <w:p w14:paraId="3A2F44D1" w14:textId="77777777" w:rsidR="0033374B" w:rsidRPr="003B6CF7" w:rsidRDefault="0033374B">
      <w:pPr>
        <w:widowControl/>
        <w:rPr>
          <w:b/>
          <w:i/>
          <w:szCs w:val="24"/>
          <w:lang w:eastAsia="en-US"/>
        </w:rPr>
      </w:pPr>
      <w:r w:rsidRPr="003B6CF7">
        <w:rPr>
          <w:b/>
          <w:i/>
          <w:szCs w:val="24"/>
          <w:lang w:eastAsia="en-US"/>
        </w:rPr>
        <w:br w:type="page"/>
      </w:r>
    </w:p>
    <w:p w14:paraId="6A3A56E0" w14:textId="2DB2A9F7"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7a.</w:t>
      </w:r>
      <w:r w:rsidRPr="003B6CF7">
        <w:rPr>
          <w:szCs w:val="24"/>
          <w:lang w:eastAsia="en-US"/>
        </w:rPr>
        <w:tab/>
      </w:r>
      <w:r w:rsidRPr="003B6CF7">
        <w:rPr>
          <w:b/>
          <w:i/>
          <w:szCs w:val="24"/>
          <w:lang w:eastAsia="en-US"/>
        </w:rPr>
        <w:t>Artikel 11.1 ska ersättas med följande:</w:t>
      </w:r>
    </w:p>
    <w:p w14:paraId="5B23B25B" w14:textId="2C67CE19"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Pr="003B6CF7">
        <w:rPr>
          <w:b/>
          <w:i/>
          <w:szCs w:val="24"/>
          <w:lang w:eastAsia="en-US"/>
        </w:rPr>
        <w:t>1.</w:t>
      </w:r>
      <w:r w:rsidRPr="003B6CF7">
        <w:rPr>
          <w:szCs w:val="24"/>
          <w:lang w:eastAsia="en-US"/>
        </w:rPr>
        <w:tab/>
      </w:r>
      <w:r w:rsidRPr="003B6CF7">
        <w:rPr>
          <w:b/>
          <w:i/>
          <w:szCs w:val="24"/>
          <w:lang w:eastAsia="en-US"/>
        </w:rPr>
        <w:t>Varje medlemsstat ska för varje avrinningsdistrikt eller för den del av ett internationellt avrinningsdistrikt som ligger på dess territorium se till att ett åtgärdsprogram upprättas och därvid beakta resultaten av de analyser som krävs enligt artikel 5 för att uppnå de mål som fastställs enligt artikel 4. Sådana åtgärdsprogram ska prioritera åtgärder för kontroll av utsläppskällorna i enlighet med relevant sektorsspecifik unionslagstiftning om föroreningar. Åtgärder på utsläppsplatserna ska tillämpas utöver åtgärder för kontroll av utsläppskällorna, om det finns en risk för att åtgärderna inte uppnår god status för vattenförekomsterna. Åtgärdsprogrammen kan hänvisa till åtgärder till följd av lagstiftning som antagits på nationell nivå och som omfattar hela medlemsstatens territorium. När det är lämpligt kan en medlemsstat besluta om åtgärder för alla avrinningsdistrikt och/eller de delar av internationella avrinningsdistrikt som ligger på dess territorium. Kommissionen ska utarbeta riktlinjer om bästa praxis för åtgärder för kontroll av utsläppskällorna och den kompletterande karaktären av åtgärder på utsläppsplatserna.</w:t>
      </w:r>
      <w:r w:rsidRPr="003B6CF7">
        <w:rPr>
          <w:szCs w:val="24"/>
          <w:lang w:eastAsia="en-US"/>
        </w:rPr>
        <w:t>”</w:t>
      </w:r>
      <w:r w:rsidR="00540F6A" w:rsidRPr="003B6CF7">
        <w:rPr>
          <w:b/>
          <w:szCs w:val="24"/>
          <w:lang w:eastAsia="en-US"/>
        </w:rPr>
        <w:t xml:space="preserve"> [Ändr. 67]</w:t>
      </w:r>
    </w:p>
    <w:p w14:paraId="5A44043A" w14:textId="77777777" w:rsidR="0033374B" w:rsidRPr="003B6CF7" w:rsidRDefault="0033374B">
      <w:pPr>
        <w:widowControl/>
        <w:rPr>
          <w:b/>
          <w:i/>
          <w:szCs w:val="24"/>
          <w:lang w:eastAsia="en-US"/>
        </w:rPr>
      </w:pPr>
      <w:r w:rsidRPr="003B6CF7">
        <w:rPr>
          <w:b/>
          <w:i/>
          <w:szCs w:val="24"/>
          <w:lang w:eastAsia="en-US"/>
        </w:rPr>
        <w:br w:type="page"/>
      </w:r>
    </w:p>
    <w:p w14:paraId="037E24E1" w14:textId="426FE8D5"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7b.</w:t>
      </w:r>
      <w:r w:rsidRPr="003B6CF7">
        <w:rPr>
          <w:szCs w:val="24"/>
          <w:lang w:eastAsia="en-US"/>
        </w:rPr>
        <w:tab/>
      </w:r>
      <w:r w:rsidRPr="003B6CF7">
        <w:rPr>
          <w:b/>
          <w:i/>
          <w:szCs w:val="24"/>
          <w:lang w:eastAsia="en-US"/>
        </w:rPr>
        <w:t>I artikel 11.3 ska led c ersättas med följande:</w:t>
      </w:r>
    </w:p>
    <w:p w14:paraId="19597AB9" w14:textId="10CCFD38"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Pr="003B6CF7">
        <w:rPr>
          <w:b/>
          <w:i/>
          <w:szCs w:val="24"/>
          <w:lang w:eastAsia="en-US"/>
        </w:rPr>
        <w:t>a)</w:t>
      </w:r>
      <w:r w:rsidRPr="003B6CF7">
        <w:rPr>
          <w:szCs w:val="24"/>
          <w:lang w:eastAsia="en-US"/>
        </w:rPr>
        <w:tab/>
      </w:r>
      <w:r w:rsidRPr="003B6CF7">
        <w:rPr>
          <w:b/>
          <w:i/>
          <w:szCs w:val="24"/>
          <w:lang w:eastAsia="en-US"/>
        </w:rPr>
        <w:t>Åtgärder för att främja en effektiv och hållbar vattenanvändning, även inom jordbruket, för att undvika att uppnåendet av de mål som anges i artikel 4 äventyras.</w:t>
      </w:r>
      <w:r w:rsidRPr="003B6CF7">
        <w:rPr>
          <w:szCs w:val="24"/>
          <w:lang w:eastAsia="en-US"/>
        </w:rPr>
        <w:t>”</w:t>
      </w:r>
      <w:r w:rsidR="00540F6A" w:rsidRPr="003B6CF7">
        <w:rPr>
          <w:b/>
          <w:szCs w:val="24"/>
          <w:lang w:eastAsia="en-US"/>
        </w:rPr>
        <w:t xml:space="preserve"> [Ändr. 68]</w:t>
      </w:r>
    </w:p>
    <w:p w14:paraId="18C5BA6A"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(8)</w:t>
      </w:r>
      <w:r w:rsidRPr="003B6CF7">
        <w:rPr>
          <w:szCs w:val="24"/>
          <w:lang w:eastAsia="en-US"/>
        </w:rPr>
        <w:tab/>
        <w:t>I artikel 11.3 ska led k ersättas med följande:</w:t>
      </w:r>
    </w:p>
    <w:p w14:paraId="748D389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”k)</w:t>
      </w:r>
      <w:r w:rsidRPr="003B6CF7">
        <w:rPr>
          <w:szCs w:val="24"/>
          <w:lang w:eastAsia="en-US"/>
        </w:rPr>
        <w:tab/>
        <w:t>Åtgärder för att eliminera förorening av ytvatten genom prioriterade farliga ämnen och för att progressivt minska förorening genom andra ämnen som annars skulle hindra medlemsstaterna från att uppnå de miljömål för ytvattenförekomster som anges i artikel 4.”</w:t>
      </w:r>
    </w:p>
    <w:p w14:paraId="68C1E382"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8a.</w:t>
      </w:r>
      <w:r w:rsidRPr="003B6CF7">
        <w:rPr>
          <w:szCs w:val="24"/>
          <w:lang w:eastAsia="en-US"/>
        </w:rPr>
        <w:tab/>
      </w:r>
      <w:r w:rsidRPr="003B6CF7">
        <w:rPr>
          <w:b/>
          <w:i/>
          <w:szCs w:val="24"/>
          <w:lang w:eastAsia="en-US"/>
        </w:rPr>
        <w:t>I artikel 11.5 ska strecksats 2 ersättas med följande:</w:t>
      </w:r>
    </w:p>
    <w:p w14:paraId="7141D175" w14:textId="110DE223"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33374B" w:rsidRPr="003B6CF7">
        <w:rPr>
          <w:b/>
          <w:i/>
          <w:szCs w:val="24"/>
          <w:lang w:eastAsia="en-US"/>
        </w:rPr>
        <w:t> </w:t>
      </w:r>
      <w:r w:rsidRPr="003B6CF7">
        <w:rPr>
          <w:szCs w:val="24"/>
          <w:lang w:eastAsia="en-US"/>
        </w:rPr>
        <w:tab/>
      </w:r>
      <w:r w:rsidR="0033374B" w:rsidRPr="003B6CF7">
        <w:rPr>
          <w:b/>
          <w:i/>
        </w:rPr>
        <w:t>—</w:t>
      </w:r>
      <w:r w:rsidRPr="003B6CF7">
        <w:rPr>
          <w:b/>
          <w:i/>
          <w:szCs w:val="24"/>
          <w:lang w:eastAsia="en-US"/>
        </w:rPr>
        <w:t xml:space="preserve"> relevanta tillstånd och godkännanden granskas och ses över och, i vederbörligen motiverade fall, upphävs, vid behov,</w:t>
      </w:r>
      <w:r w:rsidRPr="003B6CF7">
        <w:rPr>
          <w:szCs w:val="24"/>
          <w:lang w:eastAsia="en-US"/>
        </w:rPr>
        <w:t>”</w:t>
      </w:r>
      <w:r w:rsidR="00540F6A" w:rsidRPr="003B6CF7">
        <w:rPr>
          <w:b/>
          <w:szCs w:val="24"/>
          <w:lang w:eastAsia="en-US"/>
        </w:rPr>
        <w:t xml:space="preserve"> [Ändr. 69]</w:t>
      </w:r>
    </w:p>
    <w:p w14:paraId="36CBA2F7" w14:textId="77777777" w:rsidR="0033374B" w:rsidRPr="003B6CF7" w:rsidRDefault="0033374B">
      <w:pPr>
        <w:widowControl/>
        <w:rPr>
          <w:szCs w:val="24"/>
          <w:lang w:eastAsia="en-US"/>
        </w:rPr>
      </w:pPr>
      <w:r w:rsidRPr="003B6CF7">
        <w:rPr>
          <w:szCs w:val="24"/>
          <w:lang w:eastAsia="en-US"/>
        </w:rPr>
        <w:br w:type="page"/>
      </w:r>
    </w:p>
    <w:p w14:paraId="050D708A" w14:textId="7E62FE88"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(9)</w:t>
      </w:r>
      <w:r w:rsidRPr="003B6CF7">
        <w:rPr>
          <w:szCs w:val="24"/>
          <w:lang w:eastAsia="en-US"/>
        </w:rPr>
        <w:tab/>
        <w:t>Artikel 12 ska ersättas med följande:</w:t>
      </w:r>
    </w:p>
    <w:p w14:paraId="6FA31B7F"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12</w:t>
      </w:r>
    </w:p>
    <w:p w14:paraId="5F62CE45" w14:textId="77777777" w:rsidR="001831FD" w:rsidRPr="003B6CF7" w:rsidRDefault="001831FD" w:rsidP="001831FD">
      <w:pPr>
        <w:spacing w:before="120" w:after="120" w:line="360" w:lineRule="auto"/>
        <w:ind w:left="850"/>
        <w:rPr>
          <w:szCs w:val="24"/>
          <w:lang w:eastAsia="en-US"/>
        </w:rPr>
      </w:pPr>
      <w:r w:rsidRPr="003B6CF7">
        <w:rPr>
          <w:szCs w:val="24"/>
          <w:lang w:eastAsia="en-US"/>
        </w:rPr>
        <w:t xml:space="preserve"> Frågor som inte kan hanteras på medlemsstatsnivå</w:t>
      </w:r>
    </w:p>
    <w:p w14:paraId="6C90261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Om en medlemsstat identifierar en fråga som har konsekvenser för förvaltningen av dess vatten, men som inte kan lösas av medlemsstaten själv, ska medlemsstaten underrätta kommissionen och varje annan berörd medlemsstat om frågan och lämna rekommendationer om hur frågan kan lösas.</w:t>
      </w:r>
    </w:p>
    <w:p w14:paraId="71118E27" w14:textId="055D453F" w:rsidR="001831FD" w:rsidRPr="003B6CF7" w:rsidRDefault="001831FD" w:rsidP="001831FD">
      <w:pPr>
        <w:spacing w:before="120" w:after="120" w:line="360" w:lineRule="auto"/>
        <w:ind w:left="1416"/>
        <w:rPr>
          <w:b/>
          <w:szCs w:val="24"/>
          <w:lang w:eastAsia="en-US"/>
        </w:rPr>
      </w:pPr>
      <w:r w:rsidRPr="003B6CF7">
        <w:rPr>
          <w:b/>
          <w:i/>
          <w:szCs w:val="24"/>
          <w:lang w:eastAsia="en-US"/>
        </w:rPr>
        <w:t>Kommissionen ska svara på ett meddelande från en medlemsstat inom en sexmånadersperiod. Om frågan rör bristande uppfyllande av god kemisk status ska kommissionen agera i enlighet med artikel 7a i direktiv 2008/105/EG.</w:t>
      </w:r>
      <w:r w:rsidR="00540F6A" w:rsidRPr="003B6CF7">
        <w:rPr>
          <w:b/>
          <w:szCs w:val="24"/>
          <w:lang w:eastAsia="en-US"/>
        </w:rPr>
        <w:t xml:space="preserve"> [Ändr. 70]</w:t>
      </w:r>
    </w:p>
    <w:p w14:paraId="498753B2"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De berörda medlemsstaterna ska samarbeta för att identifiera källorna till de frågor som avses i punkt 1 och de åtgärder som krävs för att hantera dessa frågor.</w:t>
      </w:r>
    </w:p>
    <w:p w14:paraId="5B50DFCF" w14:textId="77777777" w:rsidR="0033374B" w:rsidRPr="003B6CF7" w:rsidRDefault="0033374B">
      <w:pPr>
        <w:widowControl/>
        <w:rPr>
          <w:szCs w:val="24"/>
          <w:lang w:eastAsia="en-US"/>
        </w:rPr>
      </w:pPr>
      <w:r w:rsidRPr="003B6CF7">
        <w:rPr>
          <w:szCs w:val="24"/>
          <w:lang w:eastAsia="en-US"/>
        </w:rPr>
        <w:br w:type="page"/>
      </w:r>
    </w:p>
    <w:p w14:paraId="67A2B24C" w14:textId="6A8BB0CF" w:rsidR="001831FD" w:rsidRPr="003B6CF7" w:rsidRDefault="001831FD" w:rsidP="001831FD">
      <w:pPr>
        <w:spacing w:before="120" w:after="120" w:line="360" w:lineRule="auto"/>
        <w:ind w:left="1416"/>
        <w:rPr>
          <w:b/>
          <w:szCs w:val="24"/>
          <w:lang w:eastAsia="en-US"/>
        </w:rPr>
      </w:pPr>
      <w:r w:rsidRPr="003B6CF7">
        <w:rPr>
          <w:szCs w:val="24"/>
          <w:lang w:eastAsia="en-US"/>
        </w:rPr>
        <w:lastRenderedPageBreak/>
        <w:t xml:space="preserve">Medlemsstaterna ska svara varandra i god tid och senast </w:t>
      </w:r>
      <w:proofErr w:type="spellStart"/>
      <w:r w:rsidRPr="003B6CF7">
        <w:rPr>
          <w:strike/>
          <w:szCs w:val="24"/>
          <w:lang w:eastAsia="en-US"/>
        </w:rPr>
        <w:t>tre</w:t>
      </w:r>
      <w:r w:rsidRPr="003B6CF7">
        <w:rPr>
          <w:b/>
          <w:i/>
          <w:szCs w:val="24"/>
          <w:lang w:eastAsia="en-US"/>
        </w:rPr>
        <w:t>två</w:t>
      </w:r>
      <w:proofErr w:type="spellEnd"/>
      <w:r w:rsidRPr="003B6CF7">
        <w:rPr>
          <w:szCs w:val="24"/>
          <w:lang w:eastAsia="en-US"/>
        </w:rPr>
        <w:t xml:space="preserve"> månader efter det att en annan medlemsstat har lämnat underrättelser om frågan i enlighet med punkt 1.</w:t>
      </w:r>
      <w:r w:rsidR="005B0B4C" w:rsidRPr="003B6CF7">
        <w:rPr>
          <w:b/>
          <w:szCs w:val="24"/>
          <w:lang w:eastAsia="en-US"/>
        </w:rPr>
        <w:t xml:space="preserve"> [Ändr. 71]</w:t>
      </w:r>
    </w:p>
    <w:p w14:paraId="679EF742"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Kommissionen ska informeras om och bjudas in att delta i allt samarbete som avses i punkt 2. Vid behov ska kommissionen, med beaktande av de rapporter som upprättats i enlighet med artikel 13, överväga om ytterligare åtgärder behöver vidtas på unionsnivå för att minska den gränsöverskridande påverkan på vattenförekomster.”</w:t>
      </w:r>
    </w:p>
    <w:p w14:paraId="58807D29"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9a.</w:t>
      </w:r>
      <w:r w:rsidRPr="003B6CF7">
        <w:rPr>
          <w:szCs w:val="24"/>
          <w:lang w:eastAsia="en-US"/>
        </w:rPr>
        <w:tab/>
      </w:r>
      <w:r w:rsidRPr="003B6CF7">
        <w:rPr>
          <w:b/>
          <w:i/>
          <w:szCs w:val="24"/>
          <w:lang w:eastAsia="en-US"/>
        </w:rPr>
        <w:t>I artikel 13 ska följande punkt införas:</w:t>
      </w:r>
    </w:p>
    <w:p w14:paraId="544E7419" w14:textId="5CA91B8D"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33374B" w:rsidRPr="003B6CF7">
        <w:rPr>
          <w:b/>
          <w:i/>
          <w:szCs w:val="24"/>
          <w:lang w:eastAsia="en-US"/>
        </w:rPr>
        <w:t>4a</w:t>
      </w:r>
      <w:r w:rsidRPr="003B6CF7">
        <w:rPr>
          <w:b/>
          <w:i/>
          <w:szCs w:val="24"/>
          <w:lang w:eastAsia="en-US"/>
        </w:rPr>
        <w:t>.</w:t>
      </w:r>
      <w:r w:rsidRPr="003B6CF7">
        <w:rPr>
          <w:szCs w:val="24"/>
          <w:lang w:eastAsia="en-US"/>
        </w:rPr>
        <w:tab/>
      </w:r>
      <w:r w:rsidRPr="003B6CF7">
        <w:rPr>
          <w:b/>
          <w:i/>
          <w:szCs w:val="24"/>
          <w:lang w:eastAsia="en-US"/>
        </w:rPr>
        <w:t>Kommissionen ska avvisa de förvaltningsplaner för avrinningsdistrikt som lagts fram av medlemsstaterna, om dessa planer inte innehåller de delar som förtecknas i bilaga VII.</w:t>
      </w:r>
      <w:r w:rsidRPr="003B6CF7">
        <w:rPr>
          <w:szCs w:val="24"/>
          <w:lang w:eastAsia="en-US"/>
        </w:rPr>
        <w:t>”</w:t>
      </w:r>
      <w:r w:rsidR="005B0B4C" w:rsidRPr="003B6CF7">
        <w:rPr>
          <w:b/>
          <w:szCs w:val="24"/>
          <w:lang w:eastAsia="en-US"/>
        </w:rPr>
        <w:t xml:space="preserve"> [Ändr. 72]</w:t>
      </w:r>
    </w:p>
    <w:p w14:paraId="54505BEA" w14:textId="77777777" w:rsidR="0033374B" w:rsidRPr="003B6CF7" w:rsidRDefault="0033374B">
      <w:pPr>
        <w:widowControl/>
        <w:rPr>
          <w:b/>
          <w:i/>
          <w:szCs w:val="24"/>
          <w:lang w:eastAsia="en-US"/>
        </w:rPr>
      </w:pPr>
      <w:r w:rsidRPr="003B6CF7">
        <w:rPr>
          <w:b/>
          <w:i/>
          <w:szCs w:val="24"/>
          <w:lang w:eastAsia="en-US"/>
        </w:rPr>
        <w:br w:type="page"/>
      </w:r>
    </w:p>
    <w:p w14:paraId="60C8B3A1" w14:textId="68E92C2B"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9b.</w:t>
      </w:r>
      <w:r w:rsidRPr="003B6CF7">
        <w:rPr>
          <w:szCs w:val="24"/>
          <w:lang w:eastAsia="en-US"/>
        </w:rPr>
        <w:tab/>
      </w:r>
      <w:r w:rsidRPr="003B6CF7">
        <w:rPr>
          <w:b/>
          <w:i/>
          <w:szCs w:val="24"/>
          <w:lang w:eastAsia="en-US"/>
        </w:rPr>
        <w:t>Följande artikel ska införas:</w:t>
      </w:r>
    </w:p>
    <w:p w14:paraId="0EA00B72" w14:textId="5E92CAF6"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33374B" w:rsidRPr="003B6CF7">
        <w:rPr>
          <w:b/>
          <w:i/>
          <w:szCs w:val="24"/>
          <w:lang w:eastAsia="en-US"/>
        </w:rPr>
        <w:t>kel</w:t>
      </w:r>
      <w:r w:rsidR="00754D6D" w:rsidRPr="003B6CF7">
        <w:rPr>
          <w:b/>
          <w:i/>
          <w:szCs w:val="24"/>
          <w:lang w:eastAsia="en-US"/>
        </w:rPr>
        <w:t xml:space="preserve"> 14a</w:t>
      </w:r>
      <w:r w:rsidRPr="003B6CF7">
        <w:rPr>
          <w:szCs w:val="24"/>
          <w:lang w:eastAsia="en-US"/>
        </w:rPr>
        <w:br/>
      </w:r>
      <w:r w:rsidRPr="003B6CF7">
        <w:rPr>
          <w:b/>
          <w:i/>
          <w:szCs w:val="24"/>
          <w:lang w:eastAsia="en-US"/>
        </w:rPr>
        <w:t>Tillgång till rättslig prövning</w:t>
      </w:r>
    </w:p>
    <w:p w14:paraId="2CE3D3BB"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1.</w:t>
      </w:r>
      <w:r w:rsidRPr="003B6CF7">
        <w:rPr>
          <w:szCs w:val="24"/>
          <w:lang w:eastAsia="en-US"/>
        </w:rPr>
        <w:tab/>
      </w:r>
      <w:r w:rsidRPr="003B6CF7">
        <w:rPr>
          <w:b/>
          <w:i/>
          <w:szCs w:val="24"/>
          <w:lang w:eastAsia="en-US"/>
        </w:rPr>
        <w:t>Medlemsstaterna ska i enlighet med nationell rätt se till att de medlemmar av den berörda allmänheten som har ett tillräckligt intresse eller som hävdar att en rättighet har kränkts, har rätt att få den materiella eller formella giltigheten av beslut, handlingar eller underlåtelser enligt detta direktiv prövad i domstol eller något annat oberoende och opartiskt organ som inrättats genom lag, bland annat när det gäller</w:t>
      </w:r>
    </w:p>
    <w:p w14:paraId="3B3E7311" w14:textId="77777777" w:rsidR="001831FD" w:rsidRPr="003B6CF7" w:rsidRDefault="001831FD" w:rsidP="001831FD">
      <w:pPr>
        <w:spacing w:before="120" w:after="120" w:line="360" w:lineRule="auto"/>
        <w:ind w:left="1982" w:hanging="566"/>
        <w:rPr>
          <w:szCs w:val="24"/>
          <w:lang w:eastAsia="en-US"/>
        </w:rPr>
      </w:pPr>
      <w:r w:rsidRPr="003B6CF7">
        <w:rPr>
          <w:b/>
          <w:i/>
          <w:szCs w:val="24"/>
          <w:lang w:eastAsia="en-US"/>
        </w:rPr>
        <w:t>a)</w:t>
      </w:r>
      <w:r w:rsidRPr="003B6CF7">
        <w:rPr>
          <w:szCs w:val="24"/>
          <w:lang w:eastAsia="en-US"/>
        </w:rPr>
        <w:tab/>
      </w:r>
      <w:r w:rsidRPr="003B6CF7">
        <w:rPr>
          <w:b/>
          <w:i/>
          <w:szCs w:val="24"/>
          <w:lang w:eastAsia="en-US"/>
        </w:rPr>
        <w:t>planer och projekt som kan strida mot kraven i artikel 4, inbegripet för att förhindra försämring av vattenförekomsters status och för att uppnå god vattenstatus, god ekologisk potential eller god kemisk vattenstatus, i den mån dessa krav inte redan föreskrivs i artikel 11 i direktiv 2011/92/EU,</w:t>
      </w:r>
    </w:p>
    <w:p w14:paraId="0347AC1A" w14:textId="77777777" w:rsidR="00754D6D" w:rsidRPr="003B6CF7" w:rsidRDefault="00754D6D">
      <w:pPr>
        <w:widowControl/>
        <w:rPr>
          <w:b/>
          <w:i/>
          <w:szCs w:val="24"/>
          <w:lang w:eastAsia="en-US"/>
        </w:rPr>
      </w:pPr>
      <w:r w:rsidRPr="003B6CF7">
        <w:rPr>
          <w:b/>
          <w:i/>
          <w:szCs w:val="24"/>
          <w:lang w:eastAsia="en-US"/>
        </w:rPr>
        <w:br w:type="page"/>
      </w:r>
    </w:p>
    <w:p w14:paraId="65D12D9D" w14:textId="2917709B" w:rsidR="001831FD" w:rsidRPr="003B6CF7" w:rsidRDefault="001831FD" w:rsidP="001831FD">
      <w:pPr>
        <w:spacing w:before="120" w:after="120" w:line="360" w:lineRule="auto"/>
        <w:ind w:left="1982" w:hanging="566"/>
        <w:rPr>
          <w:szCs w:val="24"/>
          <w:lang w:eastAsia="en-US"/>
        </w:rPr>
      </w:pPr>
      <w:r w:rsidRPr="003B6CF7">
        <w:rPr>
          <w:b/>
          <w:i/>
          <w:szCs w:val="24"/>
          <w:lang w:eastAsia="en-US"/>
        </w:rPr>
        <w:lastRenderedPageBreak/>
        <w:t>b)</w:t>
      </w:r>
      <w:r w:rsidRPr="003B6CF7">
        <w:rPr>
          <w:szCs w:val="24"/>
          <w:lang w:eastAsia="en-US"/>
        </w:rPr>
        <w:tab/>
      </w:r>
      <w:r w:rsidRPr="003B6CF7">
        <w:rPr>
          <w:b/>
          <w:i/>
          <w:szCs w:val="24"/>
          <w:lang w:eastAsia="en-US"/>
        </w:rPr>
        <w:t>åtgärdsprogram som avses i artikel 11, medlemsstaternas förvaltningsplaner för avrinningsdistrikt som avses i artikel 13.1 och medlemsstaterna kompletterande program eller förvaltningsplaner som avses i artikel 13.5.</w:t>
      </w:r>
    </w:p>
    <w:p w14:paraId="24CFC318"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2.</w:t>
      </w:r>
      <w:r w:rsidRPr="003B6CF7">
        <w:rPr>
          <w:szCs w:val="24"/>
          <w:lang w:eastAsia="en-US"/>
        </w:rPr>
        <w:tab/>
      </w:r>
      <w:r w:rsidRPr="003B6CF7">
        <w:rPr>
          <w:b/>
          <w:i/>
          <w:szCs w:val="24"/>
          <w:lang w:eastAsia="en-US"/>
        </w:rPr>
        <w:t>Vad som utgör ett tillräckligt intresse och en kränkning av en rättighet ska fastställas av medlemsstaterna, på ett sätt som är förenligt med målet att ge den berörda allmänheten omfattande tillgång till rättslig prövning. Vid tillämpningen av punkt 1 ska en icke-statlig organisation som främjar miljöskydd och uppfyller de relevanta kraven enligt nationell rätt anses ha rättigheter som kan kränkas och deras intresse ska anses vara tillräckligt.</w:t>
      </w:r>
    </w:p>
    <w:p w14:paraId="517C2824"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3.</w:t>
      </w:r>
      <w:r w:rsidRPr="003B6CF7">
        <w:rPr>
          <w:szCs w:val="24"/>
          <w:lang w:eastAsia="en-US"/>
        </w:rPr>
        <w:tab/>
      </w:r>
      <w:r w:rsidRPr="003B6CF7">
        <w:rPr>
          <w:b/>
          <w:i/>
          <w:szCs w:val="24"/>
          <w:lang w:eastAsia="en-US"/>
        </w:rPr>
        <w:t>De prövningsförfaranden som avses i punkt 1 ska vara rättvisa, skäliga och genomföras i tid, och får inte vara oöverkomligt kostsamma. Dessa förfaranden ska också omfatta tillhandahållande av lämplig och effektiv prövning, inbegripet förbudsföreläggande när så är lämpligt.</w:t>
      </w:r>
    </w:p>
    <w:p w14:paraId="350CD5CF" w14:textId="77777777" w:rsidR="00754D6D" w:rsidRPr="003B6CF7" w:rsidRDefault="00754D6D">
      <w:pPr>
        <w:widowControl/>
        <w:rPr>
          <w:b/>
          <w:i/>
          <w:szCs w:val="24"/>
          <w:lang w:eastAsia="en-US"/>
        </w:rPr>
      </w:pPr>
      <w:r w:rsidRPr="003B6CF7">
        <w:rPr>
          <w:b/>
          <w:i/>
          <w:szCs w:val="24"/>
          <w:lang w:eastAsia="en-US"/>
        </w:rPr>
        <w:br w:type="page"/>
      </w:r>
    </w:p>
    <w:p w14:paraId="231CBE4D" w14:textId="185CE9E6" w:rsidR="001831FD" w:rsidRPr="003B6CF7" w:rsidRDefault="001831FD" w:rsidP="001831FD">
      <w:pPr>
        <w:spacing w:before="120" w:after="120" w:line="360" w:lineRule="auto"/>
        <w:ind w:left="1416" w:hanging="566"/>
        <w:rPr>
          <w:b/>
          <w:szCs w:val="24"/>
          <w:lang w:eastAsia="en-US"/>
        </w:rPr>
      </w:pPr>
      <w:r w:rsidRPr="003B6CF7">
        <w:rPr>
          <w:b/>
          <w:i/>
          <w:szCs w:val="24"/>
          <w:lang w:eastAsia="en-US"/>
        </w:rPr>
        <w:lastRenderedPageBreak/>
        <w:t>4.</w:t>
      </w:r>
      <w:r w:rsidRPr="003B6CF7">
        <w:rPr>
          <w:szCs w:val="24"/>
          <w:lang w:eastAsia="en-US"/>
        </w:rPr>
        <w:tab/>
      </w:r>
      <w:r w:rsidRPr="003B6CF7">
        <w:rPr>
          <w:b/>
          <w:i/>
          <w:szCs w:val="24"/>
          <w:lang w:eastAsia="en-US"/>
        </w:rPr>
        <w:t>Medlemsstaterna ska se till att praktisk information om den rätt till rättslig prövning i domstol och i administrativ ordning som avses i den här artikeln görs tillgänglig för allmänheten.</w:t>
      </w:r>
      <w:r w:rsidRPr="003B6CF7">
        <w:rPr>
          <w:szCs w:val="24"/>
          <w:lang w:eastAsia="en-US"/>
        </w:rPr>
        <w:t>”</w:t>
      </w:r>
      <w:r w:rsidR="005B0B4C" w:rsidRPr="003B6CF7">
        <w:rPr>
          <w:b/>
          <w:szCs w:val="24"/>
          <w:lang w:eastAsia="en-US"/>
        </w:rPr>
        <w:t xml:space="preserve"> [Ändr. 73]</w:t>
      </w:r>
    </w:p>
    <w:p w14:paraId="20BD65EB" w14:textId="74921A6D" w:rsidR="001831FD" w:rsidRPr="003B6CF7" w:rsidRDefault="001831FD" w:rsidP="001831FD">
      <w:pPr>
        <w:spacing w:before="120" w:after="120" w:line="360" w:lineRule="auto"/>
        <w:ind w:left="850" w:hanging="850"/>
        <w:rPr>
          <w:b/>
          <w:szCs w:val="24"/>
          <w:lang w:eastAsia="en-US"/>
        </w:rPr>
      </w:pPr>
      <w:r w:rsidRPr="003B6CF7">
        <w:rPr>
          <w:strike/>
          <w:szCs w:val="24"/>
          <w:lang w:eastAsia="en-US"/>
        </w:rPr>
        <w:t>(10)</w:t>
      </w:r>
      <w:r w:rsidRPr="003B6CF7">
        <w:rPr>
          <w:szCs w:val="24"/>
          <w:lang w:eastAsia="en-US"/>
        </w:rPr>
        <w:tab/>
      </w:r>
      <w:r w:rsidRPr="003B6CF7">
        <w:rPr>
          <w:strike/>
          <w:szCs w:val="24"/>
          <w:lang w:eastAsia="en-US"/>
        </w:rPr>
        <w:t>Artikel 15.3 ska utgå.</w:t>
      </w:r>
      <w:r w:rsidR="005B0B4C" w:rsidRPr="003B6CF7">
        <w:rPr>
          <w:b/>
          <w:szCs w:val="24"/>
          <w:lang w:eastAsia="en-US"/>
        </w:rPr>
        <w:t xml:space="preserve"> [Ändr. 74]</w:t>
      </w:r>
    </w:p>
    <w:p w14:paraId="1CFBA8F6"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10a.</w:t>
      </w:r>
      <w:r w:rsidRPr="003B6CF7">
        <w:rPr>
          <w:szCs w:val="24"/>
          <w:lang w:eastAsia="en-US"/>
        </w:rPr>
        <w:tab/>
      </w:r>
      <w:r w:rsidRPr="003B6CF7">
        <w:rPr>
          <w:b/>
          <w:i/>
          <w:szCs w:val="24"/>
          <w:lang w:eastAsia="en-US"/>
        </w:rPr>
        <w:t>I punkt 15.3 ska följande stycke läggas till:</w:t>
      </w:r>
    </w:p>
    <w:p w14:paraId="7D8DAEDE" w14:textId="2F80E948" w:rsidR="001831FD" w:rsidRPr="003B6CF7" w:rsidRDefault="001831FD" w:rsidP="001831FD">
      <w:pPr>
        <w:spacing w:before="120" w:after="120" w:line="360" w:lineRule="auto"/>
        <w:ind w:left="850"/>
        <w:rPr>
          <w:b/>
          <w:szCs w:val="24"/>
          <w:lang w:eastAsia="en-US"/>
        </w:rPr>
      </w:pPr>
      <w:r w:rsidRPr="003B6CF7">
        <w:rPr>
          <w:szCs w:val="24"/>
          <w:lang w:eastAsia="en-US"/>
        </w:rPr>
        <w:t>”</w:t>
      </w:r>
      <w:r w:rsidRPr="003B6CF7">
        <w:rPr>
          <w:b/>
          <w:i/>
          <w:szCs w:val="24"/>
          <w:lang w:eastAsia="en-US"/>
        </w:rPr>
        <w:t>Kommissionen ska anta riktlinjer och mallar om innehållet, strukturen och formatet för de interimsrapporter som avses i första stycket senast [sex månader efter ikraftträdandet av detta direktiv].</w:t>
      </w:r>
      <w:r w:rsidRPr="003B6CF7">
        <w:rPr>
          <w:szCs w:val="24"/>
          <w:lang w:eastAsia="en-US"/>
        </w:rPr>
        <w:t>”</w:t>
      </w:r>
      <w:r w:rsidR="005B0B4C" w:rsidRPr="003B6CF7">
        <w:rPr>
          <w:b/>
          <w:szCs w:val="24"/>
          <w:lang w:eastAsia="en-US"/>
        </w:rPr>
        <w:t xml:space="preserve"> [Ändr. 75]</w:t>
      </w:r>
    </w:p>
    <w:p w14:paraId="3F7A821F"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(11)</w:t>
      </w:r>
      <w:r w:rsidRPr="003B6CF7">
        <w:rPr>
          <w:szCs w:val="24"/>
          <w:lang w:eastAsia="en-US"/>
        </w:rPr>
        <w:tab/>
        <w:t>Artiklarna 16 och 17 ska utgå.</w:t>
      </w:r>
    </w:p>
    <w:p w14:paraId="59DEA252"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(12)</w:t>
      </w:r>
      <w:r w:rsidRPr="003B6CF7">
        <w:rPr>
          <w:szCs w:val="24"/>
          <w:lang w:eastAsia="en-US"/>
        </w:rPr>
        <w:tab/>
        <w:t>Artikel 18 ska ändras på följande sätt:</w:t>
      </w:r>
    </w:p>
    <w:p w14:paraId="4D06136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punkt 2 ska led e ersättas med följande:</w:t>
      </w:r>
    </w:p>
    <w:p w14:paraId="7D245586"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”e)</w:t>
      </w:r>
      <w:r w:rsidRPr="003B6CF7">
        <w:rPr>
          <w:szCs w:val="24"/>
          <w:lang w:eastAsia="en-US"/>
        </w:rPr>
        <w:tab/>
        <w:t>En sammanfattning av alla förslag, regleringsåtgärder och strategier för att reglera kemisk förorening eller för att upphöra med eller stegvis eliminera farliga ämnen.”</w:t>
      </w:r>
    </w:p>
    <w:p w14:paraId="75F1EB77" w14:textId="5A35736B" w:rsidR="001831FD" w:rsidRPr="003B6CF7" w:rsidRDefault="001831FD" w:rsidP="001831FD">
      <w:pPr>
        <w:spacing w:before="120" w:after="120" w:line="360" w:lineRule="auto"/>
        <w:ind w:left="1416" w:hanging="566"/>
        <w:rPr>
          <w:b/>
          <w:szCs w:val="24"/>
          <w:lang w:eastAsia="en-US"/>
        </w:rPr>
      </w:pPr>
      <w:r w:rsidRPr="003B6CF7">
        <w:rPr>
          <w:strike/>
          <w:szCs w:val="24"/>
          <w:lang w:eastAsia="en-US"/>
        </w:rPr>
        <w:t>(b)</w:t>
      </w:r>
      <w:r w:rsidRPr="003B6CF7">
        <w:rPr>
          <w:szCs w:val="24"/>
          <w:lang w:eastAsia="en-US"/>
        </w:rPr>
        <w:tab/>
      </w:r>
      <w:r w:rsidRPr="003B6CF7">
        <w:rPr>
          <w:strike/>
          <w:szCs w:val="24"/>
          <w:lang w:eastAsia="en-US"/>
        </w:rPr>
        <w:t>Punkt 4 ska utgå.</w:t>
      </w:r>
      <w:r w:rsidR="005B0B4C" w:rsidRPr="003B6CF7">
        <w:rPr>
          <w:b/>
          <w:szCs w:val="24"/>
          <w:lang w:eastAsia="en-US"/>
        </w:rPr>
        <w:t xml:space="preserve"> [Ändr. 76]</w:t>
      </w:r>
    </w:p>
    <w:p w14:paraId="095E0672" w14:textId="77777777" w:rsidR="00754D6D" w:rsidRPr="003B6CF7" w:rsidRDefault="00754D6D">
      <w:pPr>
        <w:widowControl/>
        <w:rPr>
          <w:szCs w:val="24"/>
          <w:lang w:eastAsia="en-US"/>
        </w:rPr>
      </w:pPr>
      <w:r w:rsidRPr="003B6CF7">
        <w:rPr>
          <w:szCs w:val="24"/>
          <w:lang w:eastAsia="en-US"/>
        </w:rPr>
        <w:br w:type="page"/>
      </w:r>
    </w:p>
    <w:p w14:paraId="5CE322C0" w14:textId="48734655"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(13)</w:t>
      </w:r>
      <w:r w:rsidRPr="003B6CF7">
        <w:rPr>
          <w:szCs w:val="24"/>
          <w:lang w:eastAsia="en-US"/>
        </w:rPr>
        <w:tab/>
        <w:t>Artikel 20 ska ersättas med följande:</w:t>
      </w:r>
    </w:p>
    <w:p w14:paraId="10B8F698"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20</w:t>
      </w:r>
    </w:p>
    <w:p w14:paraId="22D8ECB4" w14:textId="77777777" w:rsidR="001831FD" w:rsidRPr="003B6CF7" w:rsidRDefault="001831FD" w:rsidP="001831FD">
      <w:pPr>
        <w:spacing w:before="120" w:after="120" w:line="360" w:lineRule="auto"/>
        <w:ind w:left="850"/>
        <w:rPr>
          <w:szCs w:val="24"/>
          <w:lang w:eastAsia="en-US"/>
        </w:rPr>
      </w:pPr>
      <w:r w:rsidRPr="003B6CF7">
        <w:rPr>
          <w:szCs w:val="24"/>
          <w:lang w:eastAsia="en-US"/>
        </w:rPr>
        <w:t>Tekniska anpassningar och genomförande av detta direktiv</w:t>
      </w:r>
    </w:p>
    <w:p w14:paraId="76FD73C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Kommissionen ges befogenhet att anta delegerade akter i enlighet med artikel 20a för att ändra bilagorna I och III samt avsnitt 1.3.6 i bilaga V i syfte att anpassa informationskraven avseende behöriga myndigheter, innehållet i den ekonomiska analysen respektive de valda övervakningsstandarderna till vetenskapliga och tekniska framsteg.</w:t>
      </w:r>
    </w:p>
    <w:p w14:paraId="74508B70"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Kommissionen ges befogenhet att anta delegerade akter i enlighet med artikel 20a för att komplettera detta direktiv genom att bestämma de värden som fastställs för klassificeringarna i medlemsstaternas övervakningssystem i enlighet med interkalibreringsförfarandet i punkt 1.4.1 i bilaga V.</w:t>
      </w:r>
    </w:p>
    <w:p w14:paraId="51022D3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Kommissionen ges befogenhet att anta genomförandeakter för att fastställa de tekniska formaten för överföringen av de data som avses i artikel 8.4. Dessa genomförandeakter ska antas i enlighet med det granskningsförfarande som avses i artikel 21.2. När kommissionen fastställer dessa format ska den, om så krävs, biträdas av EEA.”</w:t>
      </w:r>
    </w:p>
    <w:p w14:paraId="1FBD9CD5" w14:textId="77777777" w:rsidR="00754D6D" w:rsidRPr="003B6CF7" w:rsidRDefault="00754D6D">
      <w:pPr>
        <w:widowControl/>
        <w:rPr>
          <w:szCs w:val="24"/>
          <w:lang w:eastAsia="en-US"/>
        </w:rPr>
      </w:pPr>
      <w:r w:rsidRPr="003B6CF7">
        <w:rPr>
          <w:szCs w:val="24"/>
          <w:lang w:eastAsia="en-US"/>
        </w:rPr>
        <w:br w:type="page"/>
      </w:r>
    </w:p>
    <w:p w14:paraId="5B8D759D" w14:textId="7729F58A"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(14)</w:t>
      </w:r>
      <w:r w:rsidRPr="003B6CF7">
        <w:rPr>
          <w:szCs w:val="24"/>
          <w:lang w:eastAsia="en-US"/>
        </w:rPr>
        <w:tab/>
        <w:t>Följande artikel ska införas som artikel 20a:</w:t>
      </w:r>
    </w:p>
    <w:p w14:paraId="5CE5F1AF"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20a</w:t>
      </w:r>
    </w:p>
    <w:p w14:paraId="7C75A4C1" w14:textId="77777777" w:rsidR="001831FD" w:rsidRPr="003B6CF7" w:rsidRDefault="001831FD" w:rsidP="001831FD">
      <w:pPr>
        <w:spacing w:before="120" w:after="120" w:line="360" w:lineRule="auto"/>
        <w:ind w:left="850"/>
        <w:rPr>
          <w:szCs w:val="24"/>
          <w:lang w:eastAsia="en-US"/>
        </w:rPr>
      </w:pPr>
      <w:r w:rsidRPr="003B6CF7">
        <w:rPr>
          <w:szCs w:val="24"/>
          <w:lang w:eastAsia="en-US"/>
        </w:rPr>
        <w:t>Utövande av delegeringen</w:t>
      </w:r>
    </w:p>
    <w:p w14:paraId="483E8CA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Befogenheten att anta delegerade akter ges till kommissionen med förbehåll för de villkor som anges i denna artikel.</w:t>
      </w:r>
    </w:p>
    <w:p w14:paraId="22A7BFC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Den befogenhet att anta delegerade akter som avses i artikel 20.1 ges till kommissionen tills vidare från och med [Publikationsbyrån: infoga datum = dagen för ikraftträdandet av detta direktiv].</w:t>
      </w:r>
    </w:p>
    <w:p w14:paraId="1874596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 xml:space="preserve">Den delegering av befogenhet som avses i artikel 20.1 får när som helst återkallas av Europaparlamentet eller rådet. Ett beslut om återkallelse innebär att delegeringen av den befogenhet som anges i beslutet upphör att gälla. Beslutet får verkan dagen efter det att det offentliggörs i </w:t>
      </w:r>
      <w:r w:rsidRPr="003B6CF7">
        <w:rPr>
          <w:i/>
          <w:szCs w:val="24"/>
          <w:lang w:eastAsia="en-US"/>
        </w:rPr>
        <w:t>Europeiska unionens officiella tidning</w:t>
      </w:r>
      <w:r w:rsidRPr="003B6CF7">
        <w:rPr>
          <w:szCs w:val="24"/>
          <w:lang w:eastAsia="en-US"/>
        </w:rPr>
        <w:t>, eller vid ett senare i beslutet angivet datum. Det påverkar inte giltigheten av delegerade akter som redan trätt i kraft.</w:t>
      </w:r>
    </w:p>
    <w:p w14:paraId="656F8A67" w14:textId="77777777" w:rsidR="00754D6D" w:rsidRPr="003B6CF7" w:rsidRDefault="00754D6D">
      <w:pPr>
        <w:widowControl/>
        <w:rPr>
          <w:szCs w:val="24"/>
          <w:lang w:eastAsia="en-US"/>
        </w:rPr>
      </w:pPr>
      <w:r w:rsidRPr="003B6CF7">
        <w:rPr>
          <w:szCs w:val="24"/>
          <w:lang w:eastAsia="en-US"/>
        </w:rPr>
        <w:br w:type="page"/>
      </w:r>
    </w:p>
    <w:p w14:paraId="4297B6A4" w14:textId="483647DB"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4.</w:t>
      </w:r>
      <w:r w:rsidRPr="003B6CF7">
        <w:rPr>
          <w:szCs w:val="24"/>
          <w:lang w:eastAsia="en-US"/>
        </w:rPr>
        <w:tab/>
        <w:t>Innan kommissionen antar en delegerad akt ska den samråda med experter som utsetts av varje medlemsstat i enlighet med principerna i det interinstitutionella avtalet om bättre lagstiftning av den 13 april 2016.</w:t>
      </w:r>
    </w:p>
    <w:p w14:paraId="514677B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5.</w:t>
      </w:r>
      <w:r w:rsidRPr="003B6CF7">
        <w:rPr>
          <w:szCs w:val="24"/>
          <w:lang w:eastAsia="en-US"/>
        </w:rPr>
        <w:tab/>
        <w:t>Så snart kommissionen antar en delegerad akt ska den samtidigt delge Europaparlamentet och rådet denna.</w:t>
      </w:r>
    </w:p>
    <w:p w14:paraId="176B5B8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6.</w:t>
      </w:r>
      <w:r w:rsidRPr="003B6CF7">
        <w:rPr>
          <w:szCs w:val="24"/>
          <w:lang w:eastAsia="en-US"/>
        </w:rPr>
        <w:tab/>
        <w:t>En delegerad akt som antas enligt artikel 20.1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7FB490FB" w14:textId="77777777" w:rsidR="00754D6D" w:rsidRPr="003B6CF7" w:rsidRDefault="00754D6D">
      <w:pPr>
        <w:widowControl/>
        <w:rPr>
          <w:szCs w:val="24"/>
          <w:lang w:eastAsia="en-US"/>
        </w:rPr>
      </w:pPr>
      <w:r w:rsidRPr="003B6CF7">
        <w:rPr>
          <w:szCs w:val="24"/>
          <w:lang w:eastAsia="en-US"/>
        </w:rPr>
        <w:br w:type="page"/>
      </w:r>
    </w:p>
    <w:p w14:paraId="0CA439A5" w14:textId="38A727F4"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(15)</w:t>
      </w:r>
      <w:r w:rsidRPr="003B6CF7">
        <w:rPr>
          <w:szCs w:val="24"/>
          <w:lang w:eastAsia="en-US"/>
        </w:rPr>
        <w:tab/>
        <w:t>Artikel 21 ska ersättas med följande:</w:t>
      </w:r>
    </w:p>
    <w:p w14:paraId="1344275E"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21</w:t>
      </w:r>
    </w:p>
    <w:p w14:paraId="38A6EC02" w14:textId="77777777" w:rsidR="001831FD" w:rsidRPr="003B6CF7" w:rsidRDefault="001831FD" w:rsidP="001831FD">
      <w:pPr>
        <w:spacing w:before="120" w:after="120" w:line="360" w:lineRule="auto"/>
        <w:ind w:left="850"/>
        <w:rPr>
          <w:szCs w:val="24"/>
          <w:lang w:eastAsia="en-US"/>
        </w:rPr>
      </w:pPr>
      <w:r w:rsidRPr="003B6CF7">
        <w:rPr>
          <w:szCs w:val="24"/>
          <w:lang w:eastAsia="en-US"/>
        </w:rPr>
        <w:t>Kommittéförfarande</w:t>
      </w:r>
    </w:p>
    <w:p w14:paraId="76B8DEA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Kommissionen ska biträdas av en kommitté. Denna kommitté ska vara en kommitté i den mening som avses i Europaparlamentets och rådets förordning (EU) nr 182/2011*.</w:t>
      </w:r>
    </w:p>
    <w:p w14:paraId="2D432D1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När det hänvisas till denna punkt ska artikel 5 i förordning (EU) nr 182/2011 tillämpas.</w:t>
      </w:r>
    </w:p>
    <w:p w14:paraId="0524FB90"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Om kommittén inte avger något yttrande, ska kommissionen inte anta utkastet till </w:t>
      </w:r>
      <w:proofErr w:type="spellStart"/>
      <w:r w:rsidRPr="003B6CF7">
        <w:rPr>
          <w:szCs w:val="24"/>
          <w:lang w:eastAsia="en-US"/>
        </w:rPr>
        <w:t>genomförandeakt</w:t>
      </w:r>
      <w:proofErr w:type="spellEnd"/>
      <w:r w:rsidRPr="003B6CF7">
        <w:rPr>
          <w:szCs w:val="24"/>
          <w:lang w:eastAsia="en-US"/>
        </w:rPr>
        <w:t xml:space="preserve"> och artikel 5.4 tredje stycket i förordning (EU) nr 182/2011 ska tillämpas.</w:t>
      </w:r>
    </w:p>
    <w:p w14:paraId="76D365A0"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förordning (EU) nr 182/2011 av den 16 februari 2011 om fastställande av allmänna regler och principer för medlemsstaternas kontroll av kommissionens utövande av sina genomförandebefogenheter (EUT L 55, 28.2.2011, s. 13).”</w:t>
      </w:r>
    </w:p>
    <w:p w14:paraId="023DE82A" w14:textId="77777777" w:rsidR="00754D6D" w:rsidRPr="003B6CF7" w:rsidRDefault="00754D6D">
      <w:pPr>
        <w:widowControl/>
        <w:rPr>
          <w:szCs w:val="24"/>
          <w:lang w:eastAsia="en-US"/>
        </w:rPr>
      </w:pPr>
      <w:r w:rsidRPr="003B6CF7">
        <w:rPr>
          <w:szCs w:val="24"/>
          <w:lang w:eastAsia="en-US"/>
        </w:rPr>
        <w:br w:type="page"/>
      </w:r>
    </w:p>
    <w:p w14:paraId="26EEB2AC" w14:textId="4D2AE91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(16)</w:t>
      </w:r>
      <w:r w:rsidRPr="003B6CF7">
        <w:rPr>
          <w:szCs w:val="24"/>
          <w:lang w:eastAsia="en-US"/>
        </w:rPr>
        <w:tab/>
        <w:t>Artikel 22.4 ska ersättas med följande:</w:t>
      </w:r>
    </w:p>
    <w:p w14:paraId="2E493A9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w:t>
      </w:r>
      <w:r w:rsidRPr="003B6CF7">
        <w:rPr>
          <w:szCs w:val="24"/>
          <w:lang w:eastAsia="en-US"/>
        </w:rPr>
        <w:tab/>
        <w:t>Miljömålen i artikel 4, de miljökvalitetsnormer som anges i del A i bilaga I till direktiv 2008/105/EG och de tröskelvärden för förorenande ämnen som är specifika för avrinningsområden som fastställs i enlighet med artiklarna 8 och 8d i det direktivet ska betraktas som miljökvalitetsnormer med avseende på direktiv 2010/75/EU.”</w:t>
      </w:r>
    </w:p>
    <w:p w14:paraId="4A597EFB"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(17)</w:t>
      </w:r>
      <w:r w:rsidRPr="003B6CF7">
        <w:rPr>
          <w:szCs w:val="24"/>
          <w:lang w:eastAsia="en-US"/>
        </w:rPr>
        <w:tab/>
        <w:t>Bilaga V ska ändras i enlighet med bilaga I till det här direktivet.</w:t>
      </w:r>
    </w:p>
    <w:p w14:paraId="66695200"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(18)</w:t>
      </w:r>
      <w:r w:rsidRPr="003B6CF7">
        <w:rPr>
          <w:szCs w:val="24"/>
          <w:lang w:eastAsia="en-US"/>
        </w:rPr>
        <w:tab/>
        <w:t>I del A i bilaga VII ska punkt 7.7 ersättas med följande:</w:t>
      </w:r>
    </w:p>
    <w:p w14:paraId="717BBCA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”7.7.</w:t>
      </w:r>
      <w:r w:rsidRPr="003B6CF7">
        <w:rPr>
          <w:szCs w:val="24"/>
          <w:lang w:eastAsia="en-US"/>
        </w:rPr>
        <w:tab/>
        <w:t>En sammanfattning av de åtgärder som vidtagits för att minska utsläppen av prioriterade ämnen och stegvis eliminera utsläppen av prioriterade farliga ämnen.”</w:t>
      </w:r>
    </w:p>
    <w:p w14:paraId="3300B5F9"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18a.</w:t>
      </w:r>
      <w:r w:rsidRPr="003B6CF7">
        <w:rPr>
          <w:szCs w:val="24"/>
          <w:lang w:eastAsia="en-US"/>
        </w:rPr>
        <w:tab/>
      </w:r>
      <w:r w:rsidRPr="003B6CF7">
        <w:rPr>
          <w:b/>
          <w:i/>
          <w:szCs w:val="24"/>
          <w:lang w:eastAsia="en-US"/>
        </w:rPr>
        <w:t>I bilaga VII, del A, ska följande punkt införas:</w:t>
      </w:r>
    </w:p>
    <w:p w14:paraId="3D51D591" w14:textId="408117EF"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5B0B4C" w:rsidRPr="003B6CF7">
        <w:rPr>
          <w:b/>
          <w:i/>
          <w:szCs w:val="24"/>
          <w:lang w:eastAsia="en-US"/>
        </w:rPr>
        <w:t>7.7a</w:t>
      </w:r>
      <w:r w:rsidRPr="003B6CF7">
        <w:rPr>
          <w:b/>
          <w:i/>
          <w:szCs w:val="24"/>
          <w:lang w:eastAsia="en-US"/>
        </w:rPr>
        <w:t>.</w:t>
      </w:r>
      <w:r w:rsidRPr="003B6CF7">
        <w:rPr>
          <w:szCs w:val="24"/>
          <w:lang w:eastAsia="en-US"/>
        </w:rPr>
        <w:tab/>
      </w:r>
      <w:r w:rsidRPr="003B6CF7">
        <w:rPr>
          <w:b/>
          <w:i/>
          <w:szCs w:val="24"/>
          <w:lang w:eastAsia="en-US"/>
        </w:rPr>
        <w:t>En sammanfattning av de åtgärder som vidtagits för att digitalisera övervakningen av vattensektorn.</w:t>
      </w:r>
      <w:r w:rsidRPr="003B6CF7">
        <w:rPr>
          <w:szCs w:val="24"/>
          <w:lang w:eastAsia="en-US"/>
        </w:rPr>
        <w:t>”</w:t>
      </w:r>
      <w:r w:rsidR="005B0B4C" w:rsidRPr="003B6CF7">
        <w:rPr>
          <w:b/>
          <w:szCs w:val="24"/>
          <w:lang w:eastAsia="en-US"/>
        </w:rPr>
        <w:t xml:space="preserve"> [Ändr. 77]</w:t>
      </w:r>
    </w:p>
    <w:p w14:paraId="077AF9CA"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(19)</w:t>
      </w:r>
      <w:r w:rsidRPr="003B6CF7">
        <w:rPr>
          <w:szCs w:val="24"/>
          <w:lang w:eastAsia="en-US"/>
        </w:rPr>
        <w:tab/>
        <w:t>Bilaga VIII ska ändras i enlighet med bilaga II till detta direktiv.</w:t>
      </w:r>
    </w:p>
    <w:p w14:paraId="13CD7342" w14:textId="79C421DC" w:rsidR="001831FD" w:rsidRPr="003B6CF7" w:rsidRDefault="001831FD" w:rsidP="001831FD">
      <w:pPr>
        <w:spacing w:before="120" w:after="120" w:line="360" w:lineRule="auto"/>
        <w:ind w:left="850" w:hanging="850"/>
        <w:rPr>
          <w:b/>
          <w:szCs w:val="24"/>
          <w:lang w:eastAsia="en-US"/>
        </w:rPr>
      </w:pPr>
      <w:r w:rsidRPr="003B6CF7">
        <w:rPr>
          <w:szCs w:val="24"/>
          <w:lang w:eastAsia="en-US"/>
        </w:rPr>
        <w:t>(20)</w:t>
      </w:r>
      <w:r w:rsidRPr="003B6CF7">
        <w:rPr>
          <w:szCs w:val="24"/>
          <w:lang w:eastAsia="en-US"/>
        </w:rPr>
        <w:tab/>
      </w:r>
      <w:proofErr w:type="spellStart"/>
      <w:r w:rsidRPr="003B6CF7">
        <w:rPr>
          <w:strike/>
          <w:szCs w:val="24"/>
          <w:lang w:eastAsia="en-US"/>
        </w:rPr>
        <w:t>Bilaga</w:t>
      </w:r>
      <w:r w:rsidRPr="003B6CF7">
        <w:rPr>
          <w:b/>
          <w:i/>
          <w:szCs w:val="24"/>
          <w:lang w:eastAsia="en-US"/>
        </w:rPr>
        <w:t>Bilagorna</w:t>
      </w:r>
      <w:proofErr w:type="spellEnd"/>
      <w:r w:rsidRPr="003B6CF7">
        <w:rPr>
          <w:b/>
          <w:i/>
          <w:szCs w:val="24"/>
          <w:lang w:eastAsia="en-US"/>
        </w:rPr>
        <w:t xml:space="preserve"> IX och</w:t>
      </w:r>
      <w:r w:rsidRPr="003B6CF7">
        <w:rPr>
          <w:szCs w:val="24"/>
          <w:lang w:eastAsia="en-US"/>
        </w:rPr>
        <w:t xml:space="preserve"> X ska utgå.</w:t>
      </w:r>
      <w:r w:rsidR="005B0B4C" w:rsidRPr="003B6CF7">
        <w:rPr>
          <w:b/>
          <w:szCs w:val="24"/>
          <w:lang w:eastAsia="en-US"/>
        </w:rPr>
        <w:t xml:space="preserve"> [Ändr. 78]</w:t>
      </w:r>
    </w:p>
    <w:p w14:paraId="4EA12EC2" w14:textId="77777777" w:rsidR="00754D6D" w:rsidRPr="003B6CF7" w:rsidRDefault="00754D6D">
      <w:pPr>
        <w:widowControl/>
        <w:rPr>
          <w:szCs w:val="24"/>
          <w:lang w:eastAsia="en-US"/>
        </w:rPr>
      </w:pPr>
      <w:r w:rsidRPr="003B6CF7">
        <w:rPr>
          <w:szCs w:val="24"/>
          <w:lang w:eastAsia="en-US"/>
        </w:rPr>
        <w:br w:type="page"/>
      </w:r>
    </w:p>
    <w:p w14:paraId="4BCB5948" w14:textId="1C003295" w:rsidR="001831FD" w:rsidRPr="003B6CF7" w:rsidRDefault="001831FD" w:rsidP="001831FD">
      <w:pPr>
        <w:spacing w:before="120" w:after="120" w:line="360" w:lineRule="auto"/>
        <w:jc w:val="center"/>
        <w:rPr>
          <w:szCs w:val="24"/>
          <w:lang w:eastAsia="en-US"/>
        </w:rPr>
      </w:pPr>
      <w:r w:rsidRPr="003B6CF7">
        <w:rPr>
          <w:szCs w:val="24"/>
          <w:lang w:eastAsia="en-US"/>
        </w:rPr>
        <w:lastRenderedPageBreak/>
        <w:t>Artikel 2</w:t>
      </w:r>
      <w:r w:rsidRPr="003B6CF7">
        <w:rPr>
          <w:szCs w:val="24"/>
          <w:lang w:eastAsia="en-US"/>
        </w:rPr>
        <w:br/>
        <w:t>Ändringar av direktiv 2006/118/EG</w:t>
      </w:r>
    </w:p>
    <w:p w14:paraId="532D02BC" w14:textId="77777777" w:rsidR="001831FD" w:rsidRPr="003B6CF7" w:rsidRDefault="001831FD" w:rsidP="001831FD">
      <w:pPr>
        <w:spacing w:before="120" w:after="120" w:line="360" w:lineRule="auto"/>
        <w:rPr>
          <w:szCs w:val="24"/>
          <w:lang w:eastAsia="en-US"/>
        </w:rPr>
      </w:pPr>
      <w:r w:rsidRPr="003B6CF7">
        <w:rPr>
          <w:szCs w:val="24"/>
          <w:lang w:eastAsia="en-US"/>
        </w:rPr>
        <w:t>Direktiv 2006/118/EG ska ändras på följande sätt:</w:t>
      </w:r>
    </w:p>
    <w:p w14:paraId="00CECF80"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Titeln ska ersättas med följande:</w:t>
      </w:r>
    </w:p>
    <w:p w14:paraId="18FB15E1" w14:textId="77777777" w:rsidR="001831FD" w:rsidRPr="003B6CF7" w:rsidRDefault="001831FD" w:rsidP="001831FD">
      <w:pPr>
        <w:spacing w:before="120" w:after="120" w:line="360" w:lineRule="auto"/>
        <w:ind w:left="850"/>
        <w:rPr>
          <w:szCs w:val="24"/>
          <w:lang w:eastAsia="en-US"/>
        </w:rPr>
      </w:pPr>
      <w:r w:rsidRPr="003B6CF7">
        <w:rPr>
          <w:szCs w:val="24"/>
          <w:lang w:eastAsia="en-US"/>
        </w:rPr>
        <w:t>”Europaparlamentets och rådets direktiv 2006/118/EG av den 12 december 2006 om förebyggande och begränsning av förorening av grundvatten.”</w:t>
      </w:r>
    </w:p>
    <w:p w14:paraId="73830AF0"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Artikel 1.1 ska ersättas med följande:</w:t>
      </w:r>
    </w:p>
    <w:p w14:paraId="0547995B" w14:textId="419C8129" w:rsidR="001831FD" w:rsidRPr="003B6CF7" w:rsidRDefault="001831FD" w:rsidP="001831FD">
      <w:pPr>
        <w:spacing w:before="120" w:after="120" w:line="360" w:lineRule="auto"/>
        <w:ind w:left="1416" w:hanging="566"/>
        <w:rPr>
          <w:b/>
          <w:szCs w:val="24"/>
          <w:lang w:eastAsia="en-US"/>
        </w:rPr>
      </w:pPr>
      <w:r w:rsidRPr="003B6CF7">
        <w:rPr>
          <w:szCs w:val="24"/>
          <w:lang w:eastAsia="en-US"/>
        </w:rPr>
        <w:t>”1.</w:t>
      </w:r>
      <w:r w:rsidRPr="003B6CF7">
        <w:rPr>
          <w:szCs w:val="24"/>
          <w:lang w:eastAsia="en-US"/>
        </w:rPr>
        <w:tab/>
        <w:t xml:space="preserve">Genom detta direktiv inrättas särskilda åtgärder för att förebygga och begränsa förorening av grundvatten i syfte att uppnå de miljömål som fastställs i artikel 4.1 b i direktiv 2000/60/EG. </w:t>
      </w:r>
      <w:r w:rsidRPr="003B6CF7">
        <w:rPr>
          <w:b/>
          <w:i/>
          <w:szCs w:val="24"/>
          <w:lang w:eastAsia="en-US"/>
        </w:rPr>
        <w:t xml:space="preserve">När så är tillämpligt ska åtgärdshierarkin prioritera begränsningar och andra åtgärder för kontroll vid utsläppskällan, utan att det påverkar betydelsen av åtgärder på utsläppsplatsen. </w:t>
      </w:r>
      <w:r w:rsidRPr="003B6CF7">
        <w:rPr>
          <w:szCs w:val="24"/>
          <w:lang w:eastAsia="en-US"/>
        </w:rPr>
        <w:t>Dessa åtgärder omfattar följande:</w:t>
      </w:r>
      <w:r w:rsidR="005B0B4C" w:rsidRPr="003B6CF7">
        <w:rPr>
          <w:b/>
          <w:szCs w:val="24"/>
          <w:lang w:eastAsia="en-US"/>
        </w:rPr>
        <w:t xml:space="preserve"> [Ändr. 79]</w:t>
      </w:r>
    </w:p>
    <w:p w14:paraId="26D2F32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Kriterier för bedömning av god kemisk grundvattenstatus.</w:t>
      </w:r>
    </w:p>
    <w:p w14:paraId="42A7AF06" w14:textId="77777777" w:rsidR="00754D6D" w:rsidRPr="003B6CF7" w:rsidRDefault="00754D6D">
      <w:pPr>
        <w:widowControl/>
        <w:rPr>
          <w:szCs w:val="24"/>
          <w:lang w:eastAsia="en-US"/>
        </w:rPr>
      </w:pPr>
      <w:r w:rsidRPr="003B6CF7">
        <w:rPr>
          <w:szCs w:val="24"/>
          <w:lang w:eastAsia="en-US"/>
        </w:rPr>
        <w:br w:type="page"/>
      </w:r>
    </w:p>
    <w:p w14:paraId="05C7EB41" w14:textId="188BB4E7"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b)</w:t>
      </w:r>
      <w:r w:rsidRPr="003B6CF7">
        <w:rPr>
          <w:szCs w:val="24"/>
          <w:lang w:eastAsia="en-US"/>
        </w:rPr>
        <w:tab/>
        <w:t>Kriterier för identifiering och vändning av betydande och ihållande uppåtgående trender och för fastställande av utgångspunkter för att vända trender.</w:t>
      </w:r>
    </w:p>
    <w:p w14:paraId="6198D149" w14:textId="47D828C0" w:rsidR="001831FD" w:rsidRPr="003B6CF7" w:rsidRDefault="001831FD" w:rsidP="001831FD">
      <w:pPr>
        <w:spacing w:before="120" w:after="120" w:line="360" w:lineRule="auto"/>
        <w:ind w:left="1982" w:hanging="566"/>
        <w:rPr>
          <w:b/>
          <w:szCs w:val="24"/>
          <w:lang w:eastAsia="en-US"/>
        </w:rPr>
      </w:pPr>
      <w:proofErr w:type="spellStart"/>
      <w:r w:rsidRPr="003B6CF7">
        <w:rPr>
          <w:b/>
          <w:i/>
          <w:szCs w:val="24"/>
          <w:lang w:eastAsia="en-US"/>
        </w:rPr>
        <w:t>ba</w:t>
      </w:r>
      <w:proofErr w:type="spellEnd"/>
      <w:r w:rsidRPr="003B6CF7">
        <w:rPr>
          <w:b/>
          <w:i/>
          <w:szCs w:val="24"/>
          <w:lang w:eastAsia="en-US"/>
        </w:rPr>
        <w:t>)</w:t>
      </w:r>
      <w:r w:rsidRPr="003B6CF7">
        <w:rPr>
          <w:szCs w:val="24"/>
          <w:lang w:eastAsia="en-US"/>
        </w:rPr>
        <w:tab/>
      </w:r>
      <w:r w:rsidRPr="003B6CF7">
        <w:rPr>
          <w:b/>
          <w:i/>
          <w:szCs w:val="24"/>
          <w:lang w:eastAsia="en-US"/>
        </w:rPr>
        <w:t>Kriterier för bedömning av god ekologisk status för grundvatten.</w:t>
      </w:r>
      <w:r w:rsidRPr="003B6CF7">
        <w:rPr>
          <w:szCs w:val="24"/>
          <w:lang w:eastAsia="en-US"/>
        </w:rPr>
        <w:t>”</w:t>
      </w:r>
      <w:r w:rsidR="005B0B4C" w:rsidRPr="003B6CF7">
        <w:rPr>
          <w:b/>
          <w:szCs w:val="24"/>
          <w:lang w:eastAsia="en-US"/>
        </w:rPr>
        <w:t xml:space="preserve"> [Ändr. 80]</w:t>
      </w:r>
    </w:p>
    <w:p w14:paraId="3EA1D1F5"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(3)</w:t>
      </w:r>
      <w:r w:rsidRPr="003B6CF7">
        <w:rPr>
          <w:szCs w:val="24"/>
          <w:lang w:eastAsia="en-US"/>
        </w:rPr>
        <w:tab/>
        <w:t>I artikel 2 ska led 2 ersättas med följande:</w:t>
      </w:r>
    </w:p>
    <w:p w14:paraId="6100882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tröskelvärde: en kvalitetsnorm för grundvatten som fastställs av medlemsstaterna i enlighet med artikel 3.1 b eller på unionsnivå i enlighet med artikel 8.3.”</w:t>
      </w:r>
    </w:p>
    <w:p w14:paraId="6C75474B"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(4)</w:t>
      </w:r>
      <w:r w:rsidRPr="003B6CF7">
        <w:rPr>
          <w:szCs w:val="24"/>
          <w:lang w:eastAsia="en-US"/>
        </w:rPr>
        <w:tab/>
        <w:t>Artikel 3 ska ändras på följande sätt:</w:t>
      </w:r>
    </w:p>
    <w:p w14:paraId="6A3CE860"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punkt 1 första stycket ska följande led läggas till som led c:</w:t>
      </w:r>
    </w:p>
    <w:p w14:paraId="3DABACE0"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”c)</w:t>
      </w:r>
      <w:r w:rsidRPr="003B6CF7">
        <w:rPr>
          <w:szCs w:val="24"/>
          <w:lang w:eastAsia="en-US"/>
        </w:rPr>
        <w:tab/>
        <w:t>De tröskelvärden som fastställs på unionsnivå i enlighet med artikel 8.3 och som förtecknas i del D i bilaga II till detta direktiv.”</w:t>
      </w:r>
    </w:p>
    <w:p w14:paraId="2E676178" w14:textId="77777777" w:rsidR="00754D6D" w:rsidRPr="003B6CF7" w:rsidRDefault="00754D6D">
      <w:pPr>
        <w:widowControl/>
        <w:rPr>
          <w:b/>
          <w:i/>
          <w:szCs w:val="24"/>
          <w:lang w:eastAsia="en-US"/>
        </w:rPr>
      </w:pPr>
      <w:r w:rsidRPr="003B6CF7">
        <w:rPr>
          <w:b/>
          <w:i/>
          <w:szCs w:val="24"/>
          <w:lang w:eastAsia="en-US"/>
        </w:rPr>
        <w:br w:type="page"/>
      </w:r>
    </w:p>
    <w:p w14:paraId="7E13ECD5" w14:textId="35F2605B" w:rsidR="001831FD" w:rsidRPr="003B6CF7" w:rsidRDefault="001831FD" w:rsidP="001831FD">
      <w:pPr>
        <w:spacing w:before="120" w:after="120" w:line="360" w:lineRule="auto"/>
        <w:ind w:left="1416" w:hanging="566"/>
        <w:rPr>
          <w:szCs w:val="24"/>
          <w:lang w:eastAsia="en-US"/>
        </w:rPr>
      </w:pPr>
      <w:proofErr w:type="spellStart"/>
      <w:r w:rsidRPr="003B6CF7">
        <w:rPr>
          <w:b/>
          <w:i/>
          <w:szCs w:val="24"/>
          <w:lang w:eastAsia="en-US"/>
        </w:rPr>
        <w:lastRenderedPageBreak/>
        <w:t>aa</w:t>
      </w:r>
      <w:proofErr w:type="spellEnd"/>
      <w:r w:rsidRPr="003B6CF7">
        <w:rPr>
          <w:b/>
          <w:i/>
          <w:szCs w:val="24"/>
          <w:lang w:eastAsia="en-US"/>
        </w:rPr>
        <w:t>)</w:t>
      </w:r>
      <w:r w:rsidRPr="003B6CF7">
        <w:rPr>
          <w:szCs w:val="24"/>
          <w:lang w:eastAsia="en-US"/>
        </w:rPr>
        <w:tab/>
      </w:r>
      <w:r w:rsidRPr="003B6CF7">
        <w:rPr>
          <w:b/>
          <w:i/>
          <w:szCs w:val="24"/>
          <w:lang w:eastAsia="en-US"/>
        </w:rPr>
        <w:t>I punkt 1 ska följande stycke införas:</w:t>
      </w:r>
    </w:p>
    <w:p w14:paraId="5D7190F4" w14:textId="02CD9860" w:rsidR="001831FD" w:rsidRPr="003B6CF7" w:rsidRDefault="001831FD" w:rsidP="001831FD">
      <w:pPr>
        <w:spacing w:before="120" w:after="120" w:line="360" w:lineRule="auto"/>
        <w:ind w:left="1416"/>
        <w:rPr>
          <w:b/>
          <w:szCs w:val="24"/>
          <w:lang w:eastAsia="en-US"/>
        </w:rPr>
      </w:pPr>
      <w:r w:rsidRPr="003B6CF7">
        <w:rPr>
          <w:szCs w:val="24"/>
          <w:lang w:eastAsia="en-US"/>
        </w:rPr>
        <w:t>”</w:t>
      </w:r>
      <w:r w:rsidRPr="003B6CF7">
        <w:rPr>
          <w:b/>
          <w:i/>
          <w:szCs w:val="24"/>
          <w:lang w:eastAsia="en-US"/>
        </w:rPr>
        <w:t>Tröskelvärdena för grundvatten ska vara tio gånger lägre än motsvarande miljökvalitetsnormer för ytvatten, utom i fall där den faktiska risken för grundvattenekosystemen kan fastställas, där det kan vara lämpligt att fastställa tröskelvärden för grundvatten på en annan nivå.</w:t>
      </w:r>
      <w:r w:rsidRPr="003B6CF7">
        <w:rPr>
          <w:szCs w:val="24"/>
          <w:lang w:eastAsia="en-US"/>
        </w:rPr>
        <w:t>”</w:t>
      </w:r>
      <w:r w:rsidR="005B0B4C" w:rsidRPr="003B6CF7">
        <w:rPr>
          <w:b/>
          <w:szCs w:val="24"/>
          <w:lang w:eastAsia="en-US"/>
        </w:rPr>
        <w:t xml:space="preserve"> [Ändr. 81]</w:t>
      </w:r>
    </w:p>
    <w:p w14:paraId="68D2B7E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Punkt 2 ska ersättas med följande:</w:t>
      </w:r>
    </w:p>
    <w:p w14:paraId="76E716C0"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”2.</w:t>
      </w:r>
      <w:r w:rsidRPr="003B6CF7">
        <w:rPr>
          <w:szCs w:val="24"/>
          <w:lang w:eastAsia="en-US"/>
        </w:rPr>
        <w:tab/>
        <w:t>De tröskelvärden som avses i punkt 1 b får fastställas på nationell nivå, för ett avrinningsdistrikt eller för den del av det internationella avrinningsdistriktet som ligger inom en medlemsstats territorium eller för en grundvattenförekomst eller en grupp av grundvattenförekomster.”</w:t>
      </w:r>
    </w:p>
    <w:p w14:paraId="28F386CB" w14:textId="77777777" w:rsidR="00754D6D" w:rsidRPr="003B6CF7" w:rsidRDefault="00754D6D">
      <w:pPr>
        <w:widowControl/>
        <w:rPr>
          <w:szCs w:val="24"/>
          <w:lang w:eastAsia="en-US"/>
        </w:rPr>
      </w:pPr>
      <w:r w:rsidRPr="003B6CF7">
        <w:rPr>
          <w:szCs w:val="24"/>
          <w:lang w:eastAsia="en-US"/>
        </w:rPr>
        <w:br w:type="page"/>
      </w:r>
    </w:p>
    <w:p w14:paraId="1A60B62B" w14:textId="4F130D56"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(c)</w:t>
      </w:r>
      <w:r w:rsidRPr="003B6CF7">
        <w:rPr>
          <w:szCs w:val="24"/>
          <w:lang w:eastAsia="en-US"/>
        </w:rPr>
        <w:tab/>
        <w:t>Punkt 5 ska ersättas med följande:</w:t>
      </w:r>
    </w:p>
    <w:p w14:paraId="0B395130"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”5.</w:t>
      </w:r>
      <w:r w:rsidRPr="003B6CF7">
        <w:rPr>
          <w:szCs w:val="24"/>
          <w:lang w:eastAsia="en-US"/>
        </w:rPr>
        <w:tab/>
        <w:t>Alla tröskelvärden som avses i punkt 1 ska offentliggöras i de förvaltningsplaner för avrinningsdistrikt som ska utarbetas enligt artikel 13 i direktiv 2000/60/EG, tillsammans med en sammanfattning av den information som fastställs i del C i bilaga II till det här direktivet.</w:t>
      </w:r>
    </w:p>
    <w:p w14:paraId="30EC4F71" w14:textId="03D42DB5" w:rsidR="001831FD" w:rsidRPr="003B6CF7" w:rsidRDefault="001831FD" w:rsidP="001831FD">
      <w:pPr>
        <w:spacing w:before="120" w:after="120" w:line="360" w:lineRule="auto"/>
        <w:ind w:left="1982"/>
        <w:rPr>
          <w:szCs w:val="24"/>
          <w:lang w:eastAsia="en-US"/>
        </w:rPr>
      </w:pPr>
      <w:r w:rsidRPr="003B6CF7">
        <w:rPr>
          <w:szCs w:val="24"/>
          <w:lang w:eastAsia="en-US"/>
        </w:rPr>
        <w:t>Medlemsstaterna ska senast den [Publikationsbyrån: infoga datum = första dagen i den månad som följer 18 månader efter dagen för ikraftträdandet av detta direktiv] informera Europeiska kemikaliemyndigheten (</w:t>
      </w:r>
      <w:proofErr w:type="spellStart"/>
      <w:r w:rsidRPr="003B6CF7">
        <w:rPr>
          <w:szCs w:val="24"/>
          <w:lang w:eastAsia="en-US"/>
        </w:rPr>
        <w:t>Echa</w:t>
      </w:r>
      <w:proofErr w:type="spellEnd"/>
      <w:r w:rsidRPr="003B6CF7">
        <w:rPr>
          <w:szCs w:val="24"/>
          <w:lang w:eastAsia="en-US"/>
        </w:rPr>
        <w:t xml:space="preserve">) om de nationella tröskelvärden som avses i punkt 1 b. </w:t>
      </w:r>
      <w:proofErr w:type="spellStart"/>
      <w:r w:rsidRPr="003B6CF7">
        <w:rPr>
          <w:szCs w:val="24"/>
          <w:lang w:eastAsia="en-US"/>
        </w:rPr>
        <w:t>Echa</w:t>
      </w:r>
      <w:proofErr w:type="spellEnd"/>
      <w:r w:rsidRPr="003B6CF7">
        <w:rPr>
          <w:szCs w:val="24"/>
          <w:lang w:eastAsia="en-US"/>
        </w:rPr>
        <w:t xml:space="preserve"> ska offentliggöra denna information.</w:t>
      </w:r>
      <w:r w:rsidR="00520BE2" w:rsidRPr="003B6CF7">
        <w:rPr>
          <w:szCs w:val="24"/>
          <w:lang w:eastAsia="en-US"/>
        </w:rPr>
        <w:t>”</w:t>
      </w:r>
    </w:p>
    <w:p w14:paraId="39D1FA95" w14:textId="0517F36E" w:rsidR="00754D6D" w:rsidRPr="003B6CF7" w:rsidRDefault="00754D6D" w:rsidP="003B6CF7">
      <w:pPr>
        <w:spacing w:before="120" w:after="120" w:line="360" w:lineRule="auto"/>
        <w:ind w:left="1418" w:hanging="567"/>
        <w:rPr>
          <w:szCs w:val="24"/>
          <w:lang w:eastAsia="en-US"/>
        </w:rPr>
      </w:pPr>
      <w:r w:rsidRPr="003B6CF7">
        <w:rPr>
          <w:b/>
          <w:i/>
          <w:szCs w:val="24"/>
          <w:lang w:eastAsia="en-US"/>
        </w:rPr>
        <w:t>(ca)</w:t>
      </w:r>
      <w:r w:rsidRPr="003B6CF7">
        <w:rPr>
          <w:b/>
          <w:i/>
          <w:szCs w:val="24"/>
          <w:lang w:eastAsia="en-US"/>
        </w:rPr>
        <w:tab/>
        <w:t>i punkt 5 ska följande stycke införas:</w:t>
      </w:r>
    </w:p>
    <w:p w14:paraId="74B073F2" w14:textId="07A62EBC" w:rsidR="001831FD" w:rsidRPr="003B6CF7" w:rsidRDefault="00754D6D" w:rsidP="001831FD">
      <w:pPr>
        <w:spacing w:before="120" w:after="120" w:line="360" w:lineRule="auto"/>
        <w:ind w:left="1982"/>
        <w:rPr>
          <w:b/>
          <w:szCs w:val="24"/>
          <w:lang w:eastAsia="en-US"/>
        </w:rPr>
      </w:pPr>
      <w:r w:rsidRPr="003B6CF7">
        <w:rPr>
          <w:b/>
          <w:i/>
          <w:szCs w:val="24"/>
          <w:lang w:eastAsia="en-US"/>
        </w:rPr>
        <w:t>”</w:t>
      </w:r>
      <w:r w:rsidR="001831FD" w:rsidRPr="003B6CF7">
        <w:rPr>
          <w:b/>
          <w:i/>
          <w:szCs w:val="24"/>
          <w:lang w:eastAsia="en-US"/>
        </w:rPr>
        <w:t>Medlemsstaterna ska säkerställa att invånarna i det berörda avrinningsdistriktet eller i den del av det internationella avrinningsdistrikt som ligger inom en medlemsstats territorium informeras på lämpligt sätt och i god tid.</w:t>
      </w:r>
      <w:r w:rsidR="001831FD" w:rsidRPr="003B6CF7">
        <w:rPr>
          <w:szCs w:val="24"/>
          <w:lang w:eastAsia="en-US"/>
        </w:rPr>
        <w:t>”</w:t>
      </w:r>
      <w:r w:rsidR="005B0B4C" w:rsidRPr="003B6CF7">
        <w:rPr>
          <w:b/>
          <w:szCs w:val="24"/>
          <w:lang w:eastAsia="en-US"/>
        </w:rPr>
        <w:t xml:space="preserve"> [Ändr. 82]</w:t>
      </w:r>
    </w:p>
    <w:p w14:paraId="224C9C01" w14:textId="77777777" w:rsidR="00754D6D" w:rsidRPr="003B6CF7" w:rsidRDefault="00754D6D">
      <w:pPr>
        <w:widowControl/>
        <w:rPr>
          <w:szCs w:val="24"/>
          <w:lang w:eastAsia="en-US"/>
        </w:rPr>
      </w:pPr>
      <w:r w:rsidRPr="003B6CF7">
        <w:rPr>
          <w:szCs w:val="24"/>
          <w:lang w:eastAsia="en-US"/>
        </w:rPr>
        <w:br w:type="page"/>
      </w:r>
    </w:p>
    <w:p w14:paraId="305CF936" w14:textId="078206D4"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(d)</w:t>
      </w:r>
      <w:r w:rsidRPr="003B6CF7">
        <w:rPr>
          <w:szCs w:val="24"/>
          <w:lang w:eastAsia="en-US"/>
        </w:rPr>
        <w:tab/>
        <w:t>I punkt 6 ska första stycket ersättas med följande:</w:t>
      </w:r>
    </w:p>
    <w:p w14:paraId="79D14E7A" w14:textId="1CF52499" w:rsidR="001831FD" w:rsidRPr="003B6CF7" w:rsidRDefault="001831FD" w:rsidP="001831FD">
      <w:pPr>
        <w:spacing w:before="120" w:after="120" w:line="360" w:lineRule="auto"/>
        <w:ind w:left="1416"/>
        <w:rPr>
          <w:b/>
          <w:szCs w:val="24"/>
          <w:lang w:eastAsia="en-US"/>
        </w:rPr>
      </w:pPr>
      <w:r w:rsidRPr="003B6CF7">
        <w:rPr>
          <w:szCs w:val="24"/>
          <w:lang w:eastAsia="en-US"/>
        </w:rPr>
        <w:t>”Medlemsstaterna ska ändra förteckningen över de tröskelvärden som tillämpas inom deras territorier så snart som ny information om förorenande ämnen, grupper av förorenande ämnen eller föroreningsindikatorer</w:t>
      </w:r>
      <w:r w:rsidRPr="003B6CF7">
        <w:rPr>
          <w:b/>
          <w:i/>
          <w:szCs w:val="24"/>
          <w:lang w:eastAsia="en-US"/>
        </w:rPr>
        <w:t>, även med beaktande av försiktighetsprincipen,</w:t>
      </w:r>
      <w:r w:rsidRPr="003B6CF7">
        <w:rPr>
          <w:szCs w:val="24"/>
          <w:lang w:eastAsia="en-US"/>
        </w:rPr>
        <w:t xml:space="preserve"> visar att ett tröskelvärde behöver fastställas för ytterligare ett ämne eller att ett befintligt tröskelvärde behöver ändras eller att ett tröskelvärde som tidigare tagits bort från förteckningen behöver återinföras. Om relevanta tröskelvärden fastställs eller ändras på unionsnivå ska medlemsstaterna anpassa förteckningen över de tröskelvärden som tillämpas inom deras territorier till dessa värden.”</w:t>
      </w:r>
      <w:r w:rsidR="005B0B4C" w:rsidRPr="003B6CF7">
        <w:rPr>
          <w:b/>
          <w:szCs w:val="24"/>
          <w:lang w:eastAsia="en-US"/>
        </w:rPr>
        <w:t xml:space="preserve"> [Ändr. 83]</w:t>
      </w:r>
    </w:p>
    <w:p w14:paraId="6DBC918F" w14:textId="337FFA20" w:rsidR="001831FD" w:rsidRPr="003B6CF7" w:rsidRDefault="00754D6D" w:rsidP="003B6CF7">
      <w:pPr>
        <w:spacing w:before="120" w:after="120" w:line="360" w:lineRule="auto"/>
        <w:ind w:left="1418" w:hanging="567"/>
        <w:rPr>
          <w:szCs w:val="24"/>
          <w:lang w:eastAsia="en-US"/>
        </w:rPr>
      </w:pPr>
      <w:r w:rsidRPr="003B6CF7">
        <w:rPr>
          <w:b/>
          <w:i/>
          <w:szCs w:val="24"/>
          <w:lang w:eastAsia="en-US"/>
        </w:rPr>
        <w:t>e</w:t>
      </w:r>
      <w:r w:rsidR="001831FD" w:rsidRPr="003B6CF7">
        <w:rPr>
          <w:b/>
          <w:i/>
          <w:szCs w:val="24"/>
          <w:lang w:eastAsia="en-US"/>
        </w:rPr>
        <w:t>.</w:t>
      </w:r>
      <w:r w:rsidR="001831FD" w:rsidRPr="003B6CF7">
        <w:rPr>
          <w:szCs w:val="24"/>
          <w:lang w:eastAsia="en-US"/>
        </w:rPr>
        <w:tab/>
      </w:r>
      <w:r w:rsidR="001831FD" w:rsidRPr="003B6CF7">
        <w:rPr>
          <w:b/>
          <w:i/>
          <w:szCs w:val="24"/>
          <w:lang w:eastAsia="en-US"/>
        </w:rPr>
        <w:t>Punkt 7 ska ersättas med följande:</w:t>
      </w:r>
    </w:p>
    <w:p w14:paraId="762902DF" w14:textId="4FAB7058" w:rsidR="001831FD" w:rsidRPr="003B6CF7" w:rsidRDefault="001831FD" w:rsidP="003B6CF7">
      <w:pPr>
        <w:spacing w:before="120" w:after="120" w:line="360" w:lineRule="auto"/>
        <w:ind w:left="1985" w:hanging="567"/>
        <w:rPr>
          <w:b/>
          <w:szCs w:val="24"/>
          <w:lang w:eastAsia="en-US"/>
        </w:rPr>
      </w:pPr>
      <w:r w:rsidRPr="003B6CF7">
        <w:rPr>
          <w:szCs w:val="24"/>
          <w:lang w:eastAsia="en-US"/>
        </w:rPr>
        <w:t>”</w:t>
      </w:r>
      <w:r w:rsidR="00754D6D" w:rsidRPr="003B6CF7">
        <w:rPr>
          <w:b/>
          <w:i/>
          <w:szCs w:val="24"/>
          <w:lang w:eastAsia="en-US"/>
        </w:rPr>
        <w:t>7</w:t>
      </w:r>
      <w:r w:rsidRPr="003B6CF7">
        <w:rPr>
          <w:b/>
          <w:i/>
          <w:szCs w:val="24"/>
          <w:lang w:eastAsia="en-US"/>
        </w:rPr>
        <w:t>.</w:t>
      </w:r>
      <w:r w:rsidRPr="003B6CF7">
        <w:rPr>
          <w:szCs w:val="24"/>
          <w:lang w:eastAsia="en-US"/>
        </w:rPr>
        <w:tab/>
      </w:r>
      <w:r w:rsidRPr="003B6CF7">
        <w:rPr>
          <w:b/>
          <w:i/>
          <w:szCs w:val="24"/>
          <w:lang w:eastAsia="en-US"/>
        </w:rPr>
        <w:t xml:space="preserve">Kommissionen ska offentliggöra en rapport om de nationella tröskelvärden som avses i punkt 1 b ett år efter det att medlemsstaterna lämnat denna information till </w:t>
      </w:r>
      <w:proofErr w:type="spellStart"/>
      <w:r w:rsidRPr="003B6CF7">
        <w:rPr>
          <w:b/>
          <w:i/>
          <w:szCs w:val="24"/>
          <w:lang w:eastAsia="en-US"/>
        </w:rPr>
        <w:t>Echa</w:t>
      </w:r>
      <w:proofErr w:type="spellEnd"/>
      <w:r w:rsidRPr="003B6CF7">
        <w:rPr>
          <w:b/>
          <w:i/>
          <w:szCs w:val="24"/>
          <w:lang w:eastAsia="en-US"/>
        </w:rPr>
        <w:t xml:space="preserve"> i enlighet med punkt 5.</w:t>
      </w:r>
      <w:r w:rsidRPr="003B6CF7">
        <w:rPr>
          <w:szCs w:val="24"/>
          <w:lang w:eastAsia="en-US"/>
        </w:rPr>
        <w:t>”</w:t>
      </w:r>
      <w:r w:rsidR="005B0B4C" w:rsidRPr="003B6CF7">
        <w:rPr>
          <w:b/>
          <w:szCs w:val="24"/>
          <w:lang w:eastAsia="en-US"/>
        </w:rPr>
        <w:t xml:space="preserve"> [Ändr. 84]</w:t>
      </w:r>
    </w:p>
    <w:p w14:paraId="0D295E0A" w14:textId="77777777" w:rsidR="00754D6D" w:rsidRPr="003B6CF7" w:rsidRDefault="00754D6D">
      <w:pPr>
        <w:widowControl/>
        <w:rPr>
          <w:szCs w:val="24"/>
          <w:lang w:eastAsia="en-US"/>
        </w:rPr>
      </w:pPr>
      <w:r w:rsidRPr="003B6CF7">
        <w:rPr>
          <w:szCs w:val="24"/>
          <w:lang w:eastAsia="en-US"/>
        </w:rPr>
        <w:br w:type="page"/>
      </w:r>
    </w:p>
    <w:p w14:paraId="1E6022D2" w14:textId="214FCAF2"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(5)</w:t>
      </w:r>
      <w:r w:rsidRPr="003B6CF7">
        <w:rPr>
          <w:szCs w:val="24"/>
          <w:lang w:eastAsia="en-US"/>
        </w:rPr>
        <w:tab/>
        <w:t>I artikel 4.2 ska led b ersättas med följande:</w:t>
      </w:r>
    </w:p>
    <w:p w14:paraId="692484D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de värden för kvalitetsnormerna för grundvatten som förtecknas i bilaga I och de relevanta tröskelvärden som avses i artikel 3.1 b och c inte överskrids vid någon övervakningspunkt i denna grundvattenförekomst eller grupp av grundvattenförekomster, eller.”</w:t>
      </w:r>
    </w:p>
    <w:p w14:paraId="390A036D"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(6)</w:t>
      </w:r>
      <w:r w:rsidRPr="003B6CF7">
        <w:rPr>
          <w:szCs w:val="24"/>
          <w:lang w:eastAsia="en-US"/>
        </w:rPr>
        <w:tab/>
        <w:t>Följande artikel ska införas som artikel 6a:</w:t>
      </w:r>
    </w:p>
    <w:p w14:paraId="50325113"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6a</w:t>
      </w:r>
    </w:p>
    <w:p w14:paraId="355D35FF" w14:textId="77777777" w:rsidR="001831FD" w:rsidRPr="003B6CF7" w:rsidRDefault="001831FD" w:rsidP="001831FD">
      <w:pPr>
        <w:spacing w:before="120" w:after="120" w:line="360" w:lineRule="auto"/>
        <w:ind w:left="850"/>
        <w:rPr>
          <w:szCs w:val="24"/>
          <w:lang w:eastAsia="en-US"/>
        </w:rPr>
      </w:pPr>
      <w:r w:rsidRPr="003B6CF7">
        <w:rPr>
          <w:szCs w:val="24"/>
          <w:lang w:eastAsia="en-US"/>
        </w:rPr>
        <w:t>Bevakningslista</w:t>
      </w:r>
    </w:p>
    <w:p w14:paraId="53ED4749"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 xml:space="preserve">Kommissionen ges befogenhet att anta genomförandeakter för att, med beaktande av vetenskapliga rapporter som utarbetats av </w:t>
      </w:r>
      <w:proofErr w:type="spellStart"/>
      <w:r w:rsidRPr="003B6CF7">
        <w:rPr>
          <w:szCs w:val="24"/>
          <w:lang w:eastAsia="en-US"/>
        </w:rPr>
        <w:t>Echa</w:t>
      </w:r>
      <w:proofErr w:type="spellEnd"/>
      <w:r w:rsidRPr="003B6CF7">
        <w:rPr>
          <w:szCs w:val="24"/>
          <w:lang w:eastAsia="en-US"/>
        </w:rPr>
        <w:t>, upprätta en bevakningslista över ämnen för vilka unionsomfattande övervakningsdata ska samlas in av medlemsstaterna och för att fastställa de format som medlemsstaterna ska använda för att rapportera resultaten av övervakningen och tillhörande information till kommissionen. Dessa genomförandeakter ska antas i enlighet med det granskningsförfarande som avses i artikel 9.2.</w:t>
      </w:r>
    </w:p>
    <w:p w14:paraId="0CF4359D" w14:textId="77777777" w:rsidR="00754D6D" w:rsidRPr="003B6CF7" w:rsidRDefault="00754D6D">
      <w:pPr>
        <w:widowControl/>
        <w:rPr>
          <w:szCs w:val="24"/>
          <w:lang w:eastAsia="en-US"/>
        </w:rPr>
      </w:pPr>
      <w:r w:rsidRPr="003B6CF7">
        <w:rPr>
          <w:szCs w:val="24"/>
          <w:lang w:eastAsia="en-US"/>
        </w:rPr>
        <w:br w:type="page"/>
      </w:r>
    </w:p>
    <w:p w14:paraId="50D49894" w14:textId="07095AFC"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xml:space="preserve">Bevakningslistan ska innehålla </w:t>
      </w:r>
      <w:r w:rsidRPr="003B6CF7">
        <w:rPr>
          <w:strike/>
          <w:szCs w:val="24"/>
          <w:lang w:eastAsia="en-US"/>
        </w:rPr>
        <w:t xml:space="preserve">högst fem </w:t>
      </w:r>
      <w:proofErr w:type="spellStart"/>
      <w:r w:rsidRPr="003B6CF7">
        <w:rPr>
          <w:strike/>
          <w:szCs w:val="24"/>
          <w:lang w:eastAsia="en-US"/>
        </w:rPr>
        <w:t>ämnen</w:t>
      </w:r>
      <w:r w:rsidRPr="003B6CF7">
        <w:rPr>
          <w:b/>
          <w:i/>
          <w:szCs w:val="24"/>
          <w:lang w:eastAsia="en-US"/>
        </w:rPr>
        <w:t>minst</w:t>
      </w:r>
      <w:proofErr w:type="spellEnd"/>
      <w:r w:rsidRPr="003B6CF7">
        <w:rPr>
          <w:b/>
          <w:i/>
          <w:szCs w:val="24"/>
          <w:lang w:eastAsia="en-US"/>
        </w:rPr>
        <w:t xml:space="preserve"> fem nya riskämnen</w:t>
      </w:r>
      <w:r w:rsidRPr="003B6CF7">
        <w:rPr>
          <w:szCs w:val="24"/>
          <w:lang w:eastAsia="en-US"/>
        </w:rPr>
        <w:t xml:space="preserve"> eller grupper av </w:t>
      </w:r>
      <w:r w:rsidRPr="003B6CF7">
        <w:rPr>
          <w:strike/>
          <w:szCs w:val="24"/>
          <w:lang w:eastAsia="en-US"/>
        </w:rPr>
        <w:t xml:space="preserve">ämnen, och den ska för varje ämne ange övervakningsmatris och möjliga analysmetoder. Dessa övervakningsmatriser och metoder får inte medföra orimliga kostnader för de behöriga myndigheterna. De ämnen som ska inkluderas i bevakningslistan ska </w:t>
      </w:r>
      <w:proofErr w:type="spellStart"/>
      <w:r w:rsidRPr="003B6CF7">
        <w:rPr>
          <w:strike/>
          <w:szCs w:val="24"/>
          <w:lang w:eastAsia="en-US"/>
        </w:rPr>
        <w:t>väljas</w:t>
      </w:r>
      <w:r w:rsidRPr="003B6CF7">
        <w:rPr>
          <w:b/>
          <w:i/>
          <w:szCs w:val="24"/>
          <w:lang w:eastAsia="en-US"/>
        </w:rPr>
        <w:t>nya</w:t>
      </w:r>
      <w:proofErr w:type="spellEnd"/>
      <w:r w:rsidRPr="003B6CF7">
        <w:rPr>
          <w:b/>
          <w:i/>
          <w:szCs w:val="24"/>
          <w:lang w:eastAsia="en-US"/>
        </w:rPr>
        <w:t xml:space="preserve"> riskämnen som valts</w:t>
      </w:r>
      <w:r w:rsidRPr="003B6CF7">
        <w:rPr>
          <w:szCs w:val="24"/>
          <w:lang w:eastAsia="en-US"/>
        </w:rPr>
        <w:t xml:space="preserve"> ut bland</w:t>
      </w:r>
      <w:r w:rsidRPr="003B6CF7">
        <w:rPr>
          <w:b/>
          <w:i/>
          <w:szCs w:val="24"/>
          <w:lang w:eastAsia="en-US"/>
        </w:rPr>
        <w:t xml:space="preserve"> de</w:t>
      </w:r>
      <w:r w:rsidRPr="003B6CF7">
        <w:rPr>
          <w:szCs w:val="24"/>
          <w:lang w:eastAsia="en-US"/>
        </w:rPr>
        <w:t xml:space="preserve"> ämnen för vilka tillgänglig information</w:t>
      </w:r>
      <w:r w:rsidRPr="003B6CF7">
        <w:rPr>
          <w:b/>
          <w:i/>
          <w:szCs w:val="24"/>
          <w:lang w:eastAsia="en-US"/>
        </w:rPr>
        <w:t>, även i enlighet med fjärde stycket nedan,</w:t>
      </w:r>
      <w:r w:rsidRPr="003B6CF7">
        <w:rPr>
          <w:szCs w:val="24"/>
          <w:lang w:eastAsia="en-US"/>
        </w:rPr>
        <w:t xml:space="preserve"> tyder på att de kan utgöra en betydande risk på unionsnivå för, eller via, vattenmiljön och för vilka övervakningsdata är otillräckliga</w:t>
      </w:r>
      <w:r w:rsidRPr="003B6CF7">
        <w:rPr>
          <w:strike/>
          <w:szCs w:val="24"/>
          <w:lang w:eastAsia="en-US"/>
        </w:rPr>
        <w:t>. Denna bevakningslista</w:t>
      </w:r>
      <w:r w:rsidRPr="003B6CF7">
        <w:rPr>
          <w:b/>
          <w:i/>
          <w:szCs w:val="24"/>
          <w:lang w:eastAsia="en-US"/>
        </w:rPr>
        <w:t>, förutom när det antal ämnen eller grupper av ämnen för vilka tillgänglig information tyder på att de kan utgöra en betydande risk för, eller via, vattenmiljön som kan väljas är mindre än fem, varvid bevakningslistan</w:t>
      </w:r>
      <w:r w:rsidRPr="003B6CF7">
        <w:rPr>
          <w:szCs w:val="24"/>
          <w:lang w:eastAsia="en-US"/>
        </w:rPr>
        <w:t xml:space="preserve"> ska omfatta </w:t>
      </w:r>
      <w:r w:rsidRPr="003B6CF7">
        <w:rPr>
          <w:strike/>
          <w:szCs w:val="24"/>
          <w:lang w:eastAsia="en-US"/>
        </w:rPr>
        <w:t xml:space="preserve">nya </w:t>
      </w:r>
      <w:proofErr w:type="spellStart"/>
      <w:r w:rsidRPr="003B6CF7">
        <w:rPr>
          <w:strike/>
          <w:szCs w:val="24"/>
          <w:lang w:eastAsia="en-US"/>
        </w:rPr>
        <w:t>riskämnen</w:t>
      </w:r>
      <w:r w:rsidRPr="003B6CF7">
        <w:rPr>
          <w:b/>
          <w:i/>
          <w:szCs w:val="24"/>
          <w:lang w:eastAsia="en-US"/>
        </w:rPr>
        <w:t>alla</w:t>
      </w:r>
      <w:proofErr w:type="spellEnd"/>
      <w:r w:rsidRPr="003B6CF7">
        <w:rPr>
          <w:b/>
          <w:i/>
          <w:szCs w:val="24"/>
          <w:lang w:eastAsia="en-US"/>
        </w:rPr>
        <w:t xml:space="preserve"> dessa ämnen</w:t>
      </w:r>
      <w:r w:rsidRPr="003B6CF7">
        <w:rPr>
          <w:szCs w:val="24"/>
          <w:lang w:eastAsia="en-US"/>
        </w:rPr>
        <w:t>.</w:t>
      </w:r>
    </w:p>
    <w:p w14:paraId="06EE5689" w14:textId="77777777" w:rsidR="001831FD" w:rsidRPr="003B6CF7" w:rsidRDefault="001831FD" w:rsidP="001831FD">
      <w:pPr>
        <w:spacing w:before="120" w:after="120" w:line="360" w:lineRule="auto"/>
        <w:ind w:left="1416"/>
        <w:rPr>
          <w:szCs w:val="24"/>
          <w:lang w:eastAsia="en-US"/>
        </w:rPr>
      </w:pPr>
      <w:r w:rsidRPr="003B6CF7">
        <w:rPr>
          <w:b/>
          <w:i/>
          <w:szCs w:val="24"/>
          <w:lang w:eastAsia="en-US"/>
        </w:rPr>
        <w:t>Utöver det minsta antalet ämnen eller grupper av ämnen kan bevakningslistan också innehålla föroreningsindikatorer.</w:t>
      </w:r>
    </w:p>
    <w:p w14:paraId="7F854920" w14:textId="77777777" w:rsidR="00510056" w:rsidRPr="003B6CF7" w:rsidRDefault="00510056">
      <w:pPr>
        <w:widowControl/>
        <w:rPr>
          <w:b/>
          <w:i/>
          <w:szCs w:val="24"/>
          <w:lang w:eastAsia="en-US"/>
        </w:rPr>
      </w:pPr>
      <w:r w:rsidRPr="003B6CF7">
        <w:rPr>
          <w:b/>
          <w:i/>
          <w:szCs w:val="24"/>
          <w:lang w:eastAsia="en-US"/>
        </w:rPr>
        <w:br w:type="page"/>
      </w:r>
    </w:p>
    <w:p w14:paraId="007A8769" w14:textId="7B5329DF" w:rsidR="001831FD" w:rsidRPr="003B6CF7" w:rsidRDefault="001831FD" w:rsidP="001831FD">
      <w:pPr>
        <w:spacing w:before="120" w:after="120" w:line="360" w:lineRule="auto"/>
        <w:ind w:left="1416"/>
        <w:rPr>
          <w:b/>
          <w:szCs w:val="24"/>
          <w:lang w:eastAsia="en-US"/>
        </w:rPr>
      </w:pPr>
      <w:r w:rsidRPr="003B6CF7">
        <w:rPr>
          <w:b/>
          <w:i/>
          <w:szCs w:val="24"/>
          <w:lang w:eastAsia="en-US"/>
        </w:rPr>
        <w:lastRenderedPageBreak/>
        <w:t>Bevakningslistan ska för varje ämne specificera övervakningsmatriserna och möjliga analysmetoder. Dessa övervakningsmatriser och metoder får inte medföra orimliga kostnader för de behöriga myndigheterna.</w:t>
      </w:r>
      <w:r w:rsidR="005B0B4C" w:rsidRPr="003B6CF7">
        <w:rPr>
          <w:b/>
          <w:szCs w:val="24"/>
          <w:lang w:eastAsia="en-US"/>
        </w:rPr>
        <w:t xml:space="preserve"> [Ändr. 85]</w:t>
      </w:r>
    </w:p>
    <w:p w14:paraId="77A97F1D" w14:textId="3AE65D92" w:rsidR="001831FD" w:rsidRPr="003B6CF7" w:rsidRDefault="001831FD" w:rsidP="001831FD">
      <w:pPr>
        <w:spacing w:before="120" w:after="120" w:line="360" w:lineRule="auto"/>
        <w:ind w:left="1416"/>
        <w:rPr>
          <w:b/>
          <w:szCs w:val="24"/>
          <w:lang w:eastAsia="en-US"/>
        </w:rPr>
      </w:pPr>
      <w:r w:rsidRPr="003B6CF7">
        <w:rPr>
          <w:strike/>
          <w:szCs w:val="24"/>
          <w:lang w:eastAsia="en-US"/>
        </w:rPr>
        <w:t xml:space="preserve">Så snart </w:t>
      </w:r>
      <w:r w:rsidRPr="003B6CF7">
        <w:rPr>
          <w:szCs w:val="24"/>
          <w:lang w:eastAsia="en-US"/>
        </w:rPr>
        <w:t xml:space="preserve">Lämpliga övervakningsmetoder för mikroplaster och utvalda antimikrobiellt resistenta gener </w:t>
      </w:r>
      <w:r w:rsidRPr="003B6CF7">
        <w:rPr>
          <w:b/>
          <w:i/>
          <w:szCs w:val="24"/>
          <w:lang w:eastAsia="en-US"/>
        </w:rPr>
        <w:t xml:space="preserve">ska identifieras så snart som möjligt och senast [första dagen i den månad som följer 18 månader efter dagen för ikraftträdandet av detta ändringsdirektiv]. Så snart dessa övervakningsmetoder </w:t>
      </w:r>
      <w:r w:rsidRPr="003B6CF7">
        <w:rPr>
          <w:szCs w:val="24"/>
          <w:lang w:eastAsia="en-US"/>
        </w:rPr>
        <w:t xml:space="preserve">har identifierats ska </w:t>
      </w:r>
      <w:r w:rsidRPr="003B6CF7">
        <w:rPr>
          <w:strike/>
          <w:szCs w:val="24"/>
          <w:lang w:eastAsia="en-US"/>
        </w:rPr>
        <w:t xml:space="preserve">dessa </w:t>
      </w:r>
      <w:proofErr w:type="spellStart"/>
      <w:r w:rsidRPr="003B6CF7">
        <w:rPr>
          <w:strike/>
          <w:szCs w:val="24"/>
          <w:lang w:eastAsia="en-US"/>
        </w:rPr>
        <w:t>ämnen</w:t>
      </w:r>
      <w:r w:rsidRPr="003B6CF7">
        <w:rPr>
          <w:b/>
          <w:i/>
          <w:szCs w:val="24"/>
          <w:lang w:eastAsia="en-US"/>
        </w:rPr>
        <w:t>mikroplaster</w:t>
      </w:r>
      <w:proofErr w:type="spellEnd"/>
      <w:r w:rsidRPr="003B6CF7">
        <w:rPr>
          <w:b/>
          <w:i/>
          <w:szCs w:val="24"/>
          <w:lang w:eastAsia="en-US"/>
        </w:rPr>
        <w:t xml:space="preserve"> och utvalda gener för antimikrobiell resistens</w:t>
      </w:r>
      <w:r w:rsidRPr="003B6CF7">
        <w:rPr>
          <w:szCs w:val="24"/>
          <w:lang w:eastAsia="en-US"/>
        </w:rPr>
        <w:t xml:space="preserve"> föras upp på bevakningslistan</w:t>
      </w:r>
      <w:r w:rsidRPr="003B6CF7">
        <w:rPr>
          <w:b/>
          <w:i/>
          <w:szCs w:val="24"/>
          <w:lang w:eastAsia="en-US"/>
        </w:rPr>
        <w:t xml:space="preserve"> i enlighet med artikel 6a</w:t>
      </w:r>
      <w:r w:rsidRPr="003B6CF7">
        <w:rPr>
          <w:szCs w:val="24"/>
          <w:lang w:eastAsia="en-US"/>
        </w:rPr>
        <w:t>.</w:t>
      </w:r>
      <w:r w:rsidRPr="003B6CF7">
        <w:rPr>
          <w:b/>
          <w:i/>
          <w:szCs w:val="24"/>
          <w:lang w:eastAsia="en-US"/>
        </w:rPr>
        <w:t xml:space="preserve">2.1. Kommissionen ska också överväga om det är nödvändigt att inkludera </w:t>
      </w:r>
      <w:proofErr w:type="spellStart"/>
      <w:r w:rsidRPr="003B6CF7">
        <w:rPr>
          <w:b/>
          <w:i/>
          <w:szCs w:val="24"/>
          <w:lang w:eastAsia="en-US"/>
        </w:rPr>
        <w:t>sulfater</w:t>
      </w:r>
      <w:proofErr w:type="spellEnd"/>
      <w:r w:rsidRPr="003B6CF7">
        <w:rPr>
          <w:b/>
          <w:i/>
          <w:szCs w:val="24"/>
          <w:lang w:eastAsia="en-US"/>
        </w:rPr>
        <w:t xml:space="preserve"> i den första bevakningslistan för att förbättra tillgången på uppgifter om deras förekomst med avseende på detta direktivs tillämpningsområde.</w:t>
      </w:r>
      <w:r w:rsidR="005B0B4C" w:rsidRPr="003B6CF7">
        <w:rPr>
          <w:b/>
          <w:szCs w:val="24"/>
          <w:lang w:eastAsia="en-US"/>
        </w:rPr>
        <w:t xml:space="preserve"> [Ändr. 86]</w:t>
      </w:r>
    </w:p>
    <w:p w14:paraId="3C7E6FAD" w14:textId="77777777" w:rsidR="001831FD" w:rsidRPr="003B6CF7" w:rsidRDefault="001831FD" w:rsidP="001831FD">
      <w:pPr>
        <w:spacing w:before="120" w:after="120" w:line="360" w:lineRule="auto"/>
        <w:rPr>
          <w:szCs w:val="24"/>
          <w:lang w:eastAsia="en-US"/>
        </w:rPr>
      </w:pPr>
    </w:p>
    <w:p w14:paraId="7D788C96" w14:textId="77777777" w:rsidR="00754D6D" w:rsidRPr="003B6CF7" w:rsidRDefault="00754D6D">
      <w:pPr>
        <w:widowControl/>
        <w:rPr>
          <w:szCs w:val="24"/>
          <w:lang w:eastAsia="en-US"/>
        </w:rPr>
      </w:pPr>
      <w:r w:rsidRPr="003B6CF7">
        <w:rPr>
          <w:szCs w:val="24"/>
          <w:lang w:eastAsia="en-US"/>
        </w:rPr>
        <w:br w:type="page"/>
      </w:r>
    </w:p>
    <w:p w14:paraId="598F13B1" w14:textId="7AD67761" w:rsidR="001831FD" w:rsidRPr="003B6CF7" w:rsidRDefault="001831FD" w:rsidP="001831FD">
      <w:pPr>
        <w:spacing w:before="120" w:after="120" w:line="360" w:lineRule="auto"/>
        <w:ind w:left="1416"/>
        <w:rPr>
          <w:b/>
          <w:szCs w:val="24"/>
          <w:lang w:eastAsia="en-US"/>
        </w:rPr>
      </w:pPr>
      <w:proofErr w:type="spellStart"/>
      <w:r w:rsidRPr="003B6CF7">
        <w:rPr>
          <w:szCs w:val="24"/>
          <w:lang w:eastAsia="en-US"/>
        </w:rPr>
        <w:lastRenderedPageBreak/>
        <w:t>Echa</w:t>
      </w:r>
      <w:proofErr w:type="spellEnd"/>
      <w:r w:rsidRPr="003B6CF7">
        <w:rPr>
          <w:szCs w:val="24"/>
          <w:lang w:eastAsia="en-US"/>
        </w:rPr>
        <w:t xml:space="preserve"> ska utarbeta vetenskapliga rapporter för att bistå kommissionen vid valet av ämnen </w:t>
      </w:r>
      <w:r w:rsidRPr="003B6CF7">
        <w:rPr>
          <w:b/>
          <w:i/>
          <w:szCs w:val="24"/>
          <w:lang w:eastAsia="en-US"/>
        </w:rPr>
        <w:t xml:space="preserve">och föroreningsindikatorer </w:t>
      </w:r>
      <w:r w:rsidRPr="003B6CF7">
        <w:rPr>
          <w:szCs w:val="24"/>
          <w:lang w:eastAsia="en-US"/>
        </w:rPr>
        <w:t>till bevakningslistan, med beaktande av följande information:</w:t>
      </w:r>
      <w:r w:rsidR="005B0B4C" w:rsidRPr="003B6CF7">
        <w:rPr>
          <w:b/>
          <w:szCs w:val="24"/>
          <w:lang w:eastAsia="en-US"/>
        </w:rPr>
        <w:t xml:space="preserve"> [Ändr. 87]</w:t>
      </w:r>
    </w:p>
    <w:p w14:paraId="60F350F4"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Bilaga I till Europaparlamentets och rådets direktiv 2008/105/EG* och resultaten av den senaste översynen av den bilagan.</w:t>
      </w:r>
    </w:p>
    <w:p w14:paraId="717590C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De bevakningslistor som upprättats i enlighet med direktiv 2008/105/EG och Europaparlamentets och rådets direktiv (EU) 2020/2184**.</w:t>
      </w:r>
    </w:p>
    <w:p w14:paraId="46412BD1"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(c)</w:t>
      </w:r>
      <w:r w:rsidRPr="003B6CF7">
        <w:rPr>
          <w:szCs w:val="24"/>
          <w:lang w:eastAsia="en-US"/>
        </w:rPr>
        <w:tab/>
        <w:t>Krav för att hantera markföroreningar, inbegripet tillhörande övervakningsdata.</w:t>
      </w:r>
    </w:p>
    <w:p w14:paraId="4D3AC9DD"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(d)</w:t>
      </w:r>
      <w:r w:rsidRPr="003B6CF7">
        <w:rPr>
          <w:szCs w:val="24"/>
          <w:lang w:eastAsia="en-US"/>
        </w:rPr>
        <w:tab/>
        <w:t>Medlemsstaternas karakterisering av avrinningsdistrikt i enlighet med artikel 5 i direktiv 2000/60/EG och resultaten av övervakningsprogram som upprättats i enlighet med artikel 8 i det direktivet.</w:t>
      </w:r>
    </w:p>
    <w:p w14:paraId="2EBC03EE" w14:textId="77777777" w:rsidR="00754D6D" w:rsidRPr="003B6CF7" w:rsidRDefault="00754D6D">
      <w:pPr>
        <w:widowControl/>
        <w:rPr>
          <w:szCs w:val="24"/>
          <w:lang w:eastAsia="en-US"/>
        </w:rPr>
      </w:pPr>
      <w:r w:rsidRPr="003B6CF7">
        <w:rPr>
          <w:szCs w:val="24"/>
          <w:lang w:eastAsia="en-US"/>
        </w:rPr>
        <w:br w:type="page"/>
      </w:r>
    </w:p>
    <w:p w14:paraId="635F146D" w14:textId="14B63FD8"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(e)</w:t>
      </w:r>
      <w:r w:rsidRPr="003B6CF7">
        <w:rPr>
          <w:szCs w:val="24"/>
          <w:lang w:eastAsia="en-US"/>
        </w:rPr>
        <w:tab/>
        <w:t>Information om produktionsvolymer, användningsmönster, inneboende egenskaper (däribland rörlighet i mark och, i relevanta fall, partikelstorlek), koncentrationer i miljön och skadliga effekter på människors hälsa och vattenmiljön av ett visst ämne eller en viss grupp av ämnen, inbegripet information som samlats in i enlighet med Europaparlamentets och rådets förordning (EG) nr 1907/2006***, Europaparlamentets och rådets förordning (EG) nr 1107/2009****, Europaparlamentets och rådets förordning (EU) nr 528/2012*****, Europaparlamentets och rådets förordning (EU) 2019/6******, Europaparlamentets och rådets direktiv 2001/83/EG******* och Europaparlamentets och rådets direktiv 2009/128/EG********.</w:t>
      </w:r>
    </w:p>
    <w:p w14:paraId="6CCF4303" w14:textId="77777777" w:rsidR="00754D6D" w:rsidRPr="003B6CF7" w:rsidRDefault="00754D6D">
      <w:pPr>
        <w:widowControl/>
        <w:rPr>
          <w:szCs w:val="24"/>
          <w:lang w:eastAsia="en-US"/>
        </w:rPr>
      </w:pPr>
      <w:r w:rsidRPr="003B6CF7">
        <w:rPr>
          <w:szCs w:val="24"/>
          <w:lang w:eastAsia="en-US"/>
        </w:rPr>
        <w:br w:type="page"/>
      </w:r>
    </w:p>
    <w:p w14:paraId="519F7E13" w14:textId="4C233E91" w:rsidR="001831FD" w:rsidRPr="003B6CF7" w:rsidRDefault="001831FD" w:rsidP="001831FD">
      <w:pPr>
        <w:spacing w:before="120" w:after="120" w:line="360" w:lineRule="auto"/>
        <w:ind w:left="1982" w:hanging="566"/>
        <w:rPr>
          <w:b/>
          <w:szCs w:val="24"/>
          <w:lang w:eastAsia="en-US"/>
        </w:rPr>
      </w:pPr>
      <w:r w:rsidRPr="003B6CF7">
        <w:rPr>
          <w:szCs w:val="24"/>
          <w:lang w:eastAsia="en-US"/>
        </w:rPr>
        <w:lastRenderedPageBreak/>
        <w:t>(f)</w:t>
      </w:r>
      <w:r w:rsidRPr="003B6CF7">
        <w:rPr>
          <w:szCs w:val="24"/>
          <w:lang w:eastAsia="en-US"/>
        </w:rPr>
        <w:tab/>
        <w:t>Forskningsprojekt och vetenskapliga publikationer</w:t>
      </w:r>
      <w:r w:rsidRPr="003B6CF7">
        <w:rPr>
          <w:b/>
          <w:i/>
          <w:szCs w:val="24"/>
          <w:lang w:eastAsia="en-US"/>
        </w:rPr>
        <w:t xml:space="preserve"> och rön</w:t>
      </w:r>
      <w:r w:rsidRPr="003B6CF7">
        <w:rPr>
          <w:szCs w:val="24"/>
          <w:lang w:eastAsia="en-US"/>
        </w:rPr>
        <w:t>, inklusive</w:t>
      </w:r>
      <w:r w:rsidRPr="003B6CF7">
        <w:rPr>
          <w:b/>
          <w:i/>
          <w:szCs w:val="24"/>
          <w:lang w:eastAsia="en-US"/>
        </w:rPr>
        <w:t xml:space="preserve"> information om inverkan av material och termiska föroreningar samt inverkan av utvinnings- och infrastrukturverksamhet ovan och under jord på grundvattenekosystem och ekosystem som är beroende av grundvatten och deras biologiska mångfald,</w:t>
      </w:r>
      <w:r w:rsidRPr="003B6CF7">
        <w:rPr>
          <w:szCs w:val="24"/>
          <w:lang w:eastAsia="en-US"/>
        </w:rPr>
        <w:t xml:space="preserve"> information om trender och prognoser baserade på modeller eller andra prediktiva bedömningar </w:t>
      </w:r>
      <w:r w:rsidRPr="003B6CF7">
        <w:rPr>
          <w:strike/>
          <w:szCs w:val="24"/>
          <w:lang w:eastAsia="en-US"/>
        </w:rPr>
        <w:t xml:space="preserve">och data </w:t>
      </w:r>
      <w:proofErr w:type="spellStart"/>
      <w:r w:rsidRPr="003B6CF7">
        <w:rPr>
          <w:strike/>
          <w:szCs w:val="24"/>
          <w:lang w:eastAsia="en-US"/>
        </w:rPr>
        <w:t>och</w:t>
      </w:r>
      <w:r w:rsidRPr="003B6CF7">
        <w:rPr>
          <w:b/>
          <w:i/>
          <w:szCs w:val="24"/>
          <w:lang w:eastAsia="en-US"/>
        </w:rPr>
        <w:t>samt</w:t>
      </w:r>
      <w:proofErr w:type="spellEnd"/>
      <w:r w:rsidRPr="003B6CF7">
        <w:rPr>
          <w:szCs w:val="24"/>
          <w:lang w:eastAsia="en-US"/>
        </w:rPr>
        <w:t xml:space="preserve"> information </w:t>
      </w:r>
      <w:proofErr w:type="spellStart"/>
      <w:r w:rsidRPr="003B6CF7">
        <w:rPr>
          <w:strike/>
          <w:szCs w:val="24"/>
          <w:lang w:eastAsia="en-US"/>
        </w:rPr>
        <w:t>från</w:t>
      </w:r>
      <w:r w:rsidRPr="003B6CF7">
        <w:rPr>
          <w:b/>
          <w:i/>
          <w:szCs w:val="24"/>
          <w:lang w:eastAsia="en-US"/>
        </w:rPr>
        <w:t>och</w:t>
      </w:r>
      <w:proofErr w:type="spellEnd"/>
      <w:r w:rsidRPr="003B6CF7">
        <w:rPr>
          <w:b/>
          <w:i/>
          <w:szCs w:val="24"/>
          <w:lang w:eastAsia="en-US"/>
        </w:rPr>
        <w:t xml:space="preserve"> data som samlas in av</w:t>
      </w:r>
      <w:r w:rsidRPr="003B6CF7">
        <w:rPr>
          <w:szCs w:val="24"/>
          <w:lang w:eastAsia="en-US"/>
        </w:rPr>
        <w:t xml:space="preserve"> teknik för fjärranalys, jordobservation (Copernicustjänster), sensorer och anordningar på plats eller data från medborgarforskning, med utnyttjande av de möjligheter som artificiell intelligens, avancerad dataanalys och databehandling </w:t>
      </w:r>
      <w:proofErr w:type="spellStart"/>
      <w:r w:rsidRPr="003B6CF7">
        <w:rPr>
          <w:strike/>
          <w:szCs w:val="24"/>
          <w:lang w:eastAsia="en-US"/>
        </w:rPr>
        <w:t>erbjuder</w:t>
      </w:r>
      <w:r w:rsidRPr="003B6CF7">
        <w:rPr>
          <w:b/>
          <w:i/>
          <w:szCs w:val="24"/>
          <w:lang w:eastAsia="en-US"/>
        </w:rPr>
        <w:t>öppnar</w:t>
      </w:r>
      <w:proofErr w:type="spellEnd"/>
      <w:r w:rsidRPr="003B6CF7">
        <w:rPr>
          <w:b/>
          <w:i/>
          <w:szCs w:val="24"/>
          <w:lang w:eastAsia="en-US"/>
        </w:rPr>
        <w:t xml:space="preserve"> upp för</w:t>
      </w:r>
      <w:r w:rsidRPr="003B6CF7">
        <w:rPr>
          <w:szCs w:val="24"/>
          <w:lang w:eastAsia="en-US"/>
        </w:rPr>
        <w:t>.</w:t>
      </w:r>
      <w:r w:rsidR="005B0B4C" w:rsidRPr="003B6CF7">
        <w:rPr>
          <w:b/>
          <w:szCs w:val="24"/>
          <w:lang w:eastAsia="en-US"/>
        </w:rPr>
        <w:t xml:space="preserve"> [Ändr. 88]</w:t>
      </w:r>
    </w:p>
    <w:p w14:paraId="6EB48EF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(g)</w:t>
      </w:r>
      <w:r w:rsidRPr="003B6CF7">
        <w:rPr>
          <w:szCs w:val="24"/>
          <w:lang w:eastAsia="en-US"/>
        </w:rPr>
        <w:tab/>
        <w:t>Rekommendationer från berörda parter.</w:t>
      </w:r>
    </w:p>
    <w:p w14:paraId="1FDE9C4A" w14:textId="77777777" w:rsidR="001831FD" w:rsidRPr="003B6CF7" w:rsidRDefault="001831FD" w:rsidP="001831FD">
      <w:pPr>
        <w:spacing w:before="120" w:after="120" w:line="360" w:lineRule="auto"/>
        <w:ind w:left="1416"/>
        <w:rPr>
          <w:szCs w:val="24"/>
          <w:lang w:eastAsia="en-US"/>
        </w:rPr>
      </w:pPr>
      <w:proofErr w:type="spellStart"/>
      <w:r w:rsidRPr="003B6CF7">
        <w:rPr>
          <w:szCs w:val="24"/>
          <w:lang w:eastAsia="en-US"/>
        </w:rPr>
        <w:t>Echa</w:t>
      </w:r>
      <w:proofErr w:type="spellEnd"/>
      <w:r w:rsidRPr="003B6CF7">
        <w:rPr>
          <w:szCs w:val="24"/>
          <w:lang w:eastAsia="en-US"/>
        </w:rPr>
        <w:t xml:space="preserve"> ska vart tredje år utarbeta en rapport som sammanfattar resultaten av de vetenskapliga rapporter som upprättats enligt fjärde stycket och offentliggöra denna rapport. Den första rapporten ska offentliggöras senast den X [Publikationsbyrån: infoga datum = första dagen i den tjugoförsta månaden efter dagen för ikraftträdandet av detta direktiv].</w:t>
      </w:r>
    </w:p>
    <w:p w14:paraId="5C3FC803" w14:textId="77777777" w:rsidR="00754D6D" w:rsidRPr="003B6CF7" w:rsidRDefault="00754D6D">
      <w:pPr>
        <w:widowControl/>
        <w:rPr>
          <w:szCs w:val="24"/>
          <w:lang w:eastAsia="en-US"/>
        </w:rPr>
      </w:pPr>
      <w:r w:rsidRPr="003B6CF7">
        <w:rPr>
          <w:szCs w:val="24"/>
          <w:lang w:eastAsia="en-US"/>
        </w:rPr>
        <w:br w:type="page"/>
      </w:r>
    </w:p>
    <w:p w14:paraId="3A1E79A8" w14:textId="123330A0"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2.</w:t>
      </w:r>
      <w:r w:rsidRPr="003B6CF7">
        <w:rPr>
          <w:szCs w:val="24"/>
          <w:lang w:eastAsia="en-US"/>
        </w:rPr>
        <w:tab/>
        <w:t xml:space="preserve">Den första bevakningslistan ska upprättas senast den … [Publikationsbyrån: infoga datum = första dagen i den månad som följer 24 månader efter dagen för ikraftträdandet av detta direktiv]. Bevakningslistan ska </w:t>
      </w:r>
      <w:r w:rsidRPr="003B6CF7">
        <w:rPr>
          <w:strike/>
          <w:szCs w:val="24"/>
          <w:lang w:eastAsia="en-US"/>
        </w:rPr>
        <w:t xml:space="preserve">därefter </w:t>
      </w:r>
      <w:r w:rsidRPr="003B6CF7">
        <w:rPr>
          <w:szCs w:val="24"/>
          <w:lang w:eastAsia="en-US"/>
        </w:rPr>
        <w:t>uppdateras</w:t>
      </w:r>
      <w:r w:rsidRPr="003B6CF7">
        <w:rPr>
          <w:b/>
          <w:i/>
          <w:szCs w:val="24"/>
          <w:lang w:eastAsia="en-US"/>
        </w:rPr>
        <w:t xml:space="preserve"> senast</w:t>
      </w:r>
      <w:r w:rsidRPr="003B6CF7">
        <w:rPr>
          <w:szCs w:val="24"/>
          <w:lang w:eastAsia="en-US"/>
        </w:rPr>
        <w:t xml:space="preserve"> var 36:e månad</w:t>
      </w:r>
      <w:r w:rsidRPr="003B6CF7">
        <w:rPr>
          <w:b/>
          <w:i/>
          <w:szCs w:val="24"/>
          <w:lang w:eastAsia="en-US"/>
        </w:rPr>
        <w:t xml:space="preserve"> därefter eller oftare, om nya vetenskapliga rön framkommer som skulle kräva att listan uppdateras under tiden mellan två individuella översyner</w:t>
      </w:r>
      <w:r w:rsidRPr="003B6CF7">
        <w:rPr>
          <w:szCs w:val="24"/>
          <w:lang w:eastAsia="en-US"/>
        </w:rPr>
        <w:t>.</w:t>
      </w:r>
      <w:r w:rsidR="005B0B4C" w:rsidRPr="003B6CF7">
        <w:rPr>
          <w:b/>
          <w:szCs w:val="24"/>
          <w:lang w:eastAsia="en-US"/>
        </w:rPr>
        <w:t xml:space="preserve"> [Ändr. 89]</w:t>
      </w:r>
    </w:p>
    <w:p w14:paraId="3E2DF367" w14:textId="27FDA610" w:rsidR="001831FD" w:rsidRPr="003B6CF7" w:rsidRDefault="001831FD" w:rsidP="001831FD">
      <w:pPr>
        <w:spacing w:before="120" w:after="120" w:line="360" w:lineRule="auto"/>
        <w:ind w:left="1416"/>
        <w:rPr>
          <w:b/>
          <w:szCs w:val="24"/>
          <w:lang w:eastAsia="en-US"/>
        </w:rPr>
      </w:pPr>
      <w:r w:rsidRPr="003B6CF7">
        <w:rPr>
          <w:b/>
          <w:i/>
          <w:szCs w:val="24"/>
          <w:lang w:eastAsia="en-US"/>
        </w:rPr>
        <w:t>Medlemsstaterna ska vartannat år utvärdera inverkan på vattenkvaliteten av industriell verksamhet med anknytning till energiomställningen och informera kommissionen om nyligen identifierade hot så att den kan uppdatera bevakningslistan i enlighet med detta. Utvärderingen ska vara lättillgänglig för allmänheten.</w:t>
      </w:r>
      <w:r w:rsidR="005B0B4C" w:rsidRPr="003B6CF7">
        <w:rPr>
          <w:b/>
          <w:szCs w:val="24"/>
          <w:lang w:eastAsia="en-US"/>
        </w:rPr>
        <w:t xml:space="preserve"> [Ändr. 90]</w:t>
      </w:r>
    </w:p>
    <w:p w14:paraId="26B56CDD" w14:textId="77777777" w:rsidR="00754D6D" w:rsidRPr="003B6CF7" w:rsidRDefault="00754D6D">
      <w:pPr>
        <w:widowControl/>
        <w:rPr>
          <w:szCs w:val="24"/>
          <w:lang w:eastAsia="en-US"/>
        </w:rPr>
      </w:pPr>
      <w:r w:rsidRPr="003B6CF7">
        <w:rPr>
          <w:szCs w:val="24"/>
          <w:lang w:eastAsia="en-US"/>
        </w:rPr>
        <w:br w:type="page"/>
      </w:r>
    </w:p>
    <w:p w14:paraId="03DF9A4D" w14:textId="15E90019"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xml:space="preserve">Vid uppdatering av bevakningslistan ska kommissionen ta bort alla ämnen eller grupper av ämnen från den befintliga bevakningslistan för vilka den anser det möjligt att bedöma risken för vattenmiljön utan ytterligare övervakningsdata. När bevakningslistan uppdateras får ett enskilt ämne eller en grupp av ämnen behållas på bevakningslistan under ytterligare tre år om ytterligare övervakningsdata behövs för att bedöma risken för vattenmiljön. Den uppdaterade bevakningslistan ska också innehålla ett eller flera ytterligare ämnen för vilka kommissionen, med beaktande av </w:t>
      </w:r>
      <w:proofErr w:type="spellStart"/>
      <w:r w:rsidRPr="003B6CF7">
        <w:rPr>
          <w:szCs w:val="24"/>
          <w:lang w:eastAsia="en-US"/>
        </w:rPr>
        <w:t>Echas</w:t>
      </w:r>
      <w:proofErr w:type="spellEnd"/>
      <w:r w:rsidRPr="003B6CF7">
        <w:rPr>
          <w:szCs w:val="24"/>
          <w:lang w:eastAsia="en-US"/>
        </w:rPr>
        <w:t xml:space="preserve"> vetenskapliga rapporter, anser att det kan finnas en risk för vattenmiljön.</w:t>
      </w:r>
    </w:p>
    <w:p w14:paraId="342F3452"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Medlemsstaterna ska övervaka varje ämne eller grupp av ämnen på bevakningslistan vid utvalda representativa övervakningsstationer under en 24-månadersperiod. Övervakningsperioden ska inledas inom sex månader efter det att bevakningslistan upprättats.</w:t>
      </w:r>
    </w:p>
    <w:p w14:paraId="11F6F80C" w14:textId="3D7F04BA" w:rsidR="001831FD" w:rsidRPr="003B6CF7" w:rsidRDefault="001831FD" w:rsidP="001831FD">
      <w:pPr>
        <w:spacing w:before="120" w:after="120" w:line="360" w:lineRule="auto"/>
        <w:ind w:left="1416"/>
        <w:rPr>
          <w:b/>
          <w:szCs w:val="24"/>
          <w:lang w:eastAsia="en-US"/>
        </w:rPr>
      </w:pPr>
      <w:r w:rsidRPr="003B6CF7">
        <w:rPr>
          <w:szCs w:val="24"/>
          <w:lang w:eastAsia="en-US"/>
        </w:rPr>
        <w:t xml:space="preserve">Varje medlemsstat ska välja åtminstone </w:t>
      </w:r>
      <w:r w:rsidRPr="003B6CF7">
        <w:rPr>
          <w:strike/>
          <w:szCs w:val="24"/>
          <w:lang w:eastAsia="en-US"/>
        </w:rPr>
        <w:t xml:space="preserve">en </w:t>
      </w:r>
      <w:proofErr w:type="spellStart"/>
      <w:r w:rsidRPr="003B6CF7">
        <w:rPr>
          <w:strike/>
          <w:szCs w:val="24"/>
          <w:lang w:eastAsia="en-US"/>
        </w:rPr>
        <w:t>övervakningsstation</w:t>
      </w:r>
      <w:r w:rsidRPr="003B6CF7">
        <w:rPr>
          <w:b/>
          <w:i/>
          <w:szCs w:val="24"/>
          <w:lang w:eastAsia="en-US"/>
        </w:rPr>
        <w:t>två</w:t>
      </w:r>
      <w:proofErr w:type="spellEnd"/>
      <w:r w:rsidRPr="003B6CF7">
        <w:rPr>
          <w:b/>
          <w:i/>
          <w:szCs w:val="24"/>
          <w:lang w:eastAsia="en-US"/>
        </w:rPr>
        <w:t xml:space="preserve"> övervakningsstationer</w:t>
      </w:r>
      <w:r w:rsidRPr="003B6CF7">
        <w:rPr>
          <w:szCs w:val="24"/>
          <w:lang w:eastAsia="en-US"/>
        </w:rPr>
        <w:t xml:space="preserve"> plus det antal stationer som motsvarar medlemsstatens totala areal av grundvattenförekomster i km2 dividerat med </w:t>
      </w:r>
      <w:r w:rsidRPr="003B6CF7">
        <w:rPr>
          <w:strike/>
          <w:szCs w:val="24"/>
          <w:lang w:eastAsia="en-US"/>
        </w:rPr>
        <w:t>60 000</w:t>
      </w:r>
      <w:r w:rsidRPr="003B6CF7">
        <w:rPr>
          <w:b/>
          <w:i/>
          <w:szCs w:val="24"/>
          <w:lang w:eastAsia="en-US"/>
        </w:rPr>
        <w:t>30 000</w:t>
      </w:r>
      <w:r w:rsidRPr="003B6CF7">
        <w:rPr>
          <w:szCs w:val="24"/>
          <w:lang w:eastAsia="en-US"/>
        </w:rPr>
        <w:t xml:space="preserve"> (avrundat till närmaste heltal).</w:t>
      </w:r>
      <w:r w:rsidR="005B0B4C" w:rsidRPr="003B6CF7">
        <w:rPr>
          <w:b/>
          <w:szCs w:val="24"/>
          <w:lang w:eastAsia="en-US"/>
        </w:rPr>
        <w:t xml:space="preserve"> [Ändr. 91]</w:t>
      </w:r>
    </w:p>
    <w:p w14:paraId="36A8A276" w14:textId="77777777" w:rsidR="00754D6D" w:rsidRPr="003B6CF7" w:rsidRDefault="00754D6D">
      <w:pPr>
        <w:widowControl/>
        <w:rPr>
          <w:szCs w:val="24"/>
          <w:lang w:eastAsia="en-US"/>
        </w:rPr>
      </w:pPr>
      <w:r w:rsidRPr="003B6CF7">
        <w:rPr>
          <w:szCs w:val="24"/>
          <w:lang w:eastAsia="en-US"/>
        </w:rPr>
        <w:br w:type="page"/>
      </w:r>
    </w:p>
    <w:p w14:paraId="4A96980F" w14:textId="191E3374" w:rsidR="001831FD" w:rsidRPr="003B6CF7" w:rsidRDefault="001831FD" w:rsidP="001831FD">
      <w:pPr>
        <w:spacing w:before="120" w:after="120" w:line="360" w:lineRule="auto"/>
        <w:ind w:left="1416"/>
        <w:rPr>
          <w:szCs w:val="24"/>
          <w:lang w:eastAsia="en-US"/>
        </w:rPr>
      </w:pPr>
      <w:r w:rsidRPr="003B6CF7">
        <w:rPr>
          <w:szCs w:val="24"/>
          <w:lang w:eastAsia="en-US"/>
        </w:rPr>
        <w:lastRenderedPageBreak/>
        <w:t>Vid urvalet av representativa övervakningsstationer, övervakningsfrekvens och säsongstidpunkt för varje ämne eller grupp av ämnen ska medlemsstaterna beakta användningsmönster för och möjlig förekomst av ämnet eller gruppen av ämnen. Övervakningsfrekvensen får inte vara mindre än en gång per år.</w:t>
      </w:r>
    </w:p>
    <w:p w14:paraId="0E545E08"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I de fall där en medlemsstat för ett visst ämne eller en viss grupp av ämnen kan generera tillräckliga, jämförbara, representativa och aktuella data från redan befintliga övervakningsprogram eller studier, får den besluta att inte utföra någon ytterligare övervakning av det ämnet eller den gruppen av ämnen inom ramen för bevakningslistmekanismen, under förutsättning att ämnet eller gruppen av ämnen övervakades med hjälp av en metod som överensstämmer med de övervakningsmatriser och de analysmetoder som avses i </w:t>
      </w:r>
      <w:proofErr w:type="spellStart"/>
      <w:r w:rsidRPr="003B6CF7">
        <w:rPr>
          <w:szCs w:val="24"/>
          <w:lang w:eastAsia="en-US"/>
        </w:rPr>
        <w:t>genomförandeakten</w:t>
      </w:r>
      <w:proofErr w:type="spellEnd"/>
      <w:r w:rsidRPr="003B6CF7">
        <w:rPr>
          <w:szCs w:val="24"/>
          <w:lang w:eastAsia="en-US"/>
        </w:rPr>
        <w:t xml:space="preserve"> om upprättande av bevakningslistan.</w:t>
      </w:r>
    </w:p>
    <w:p w14:paraId="452E6E66" w14:textId="77777777" w:rsidR="00754D6D" w:rsidRPr="003B6CF7" w:rsidRDefault="00754D6D">
      <w:pPr>
        <w:widowControl/>
        <w:rPr>
          <w:szCs w:val="24"/>
          <w:lang w:eastAsia="en-US"/>
        </w:rPr>
      </w:pPr>
      <w:r w:rsidRPr="003B6CF7">
        <w:rPr>
          <w:szCs w:val="24"/>
          <w:lang w:eastAsia="en-US"/>
        </w:rPr>
        <w:br w:type="page"/>
      </w:r>
    </w:p>
    <w:p w14:paraId="55A7FF91" w14:textId="7E6D60FB"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4.</w:t>
      </w:r>
      <w:r w:rsidRPr="003B6CF7">
        <w:rPr>
          <w:szCs w:val="24"/>
          <w:lang w:eastAsia="en-US"/>
        </w:rPr>
        <w:tab/>
        <w:t xml:space="preserve">Medlemsstaterna ska tillhandahålla resultaten av den övervakning som avses i punkt 3 i denna artikel i enlighet med artikel 8.4 i direktiv 2000/60/EG och den </w:t>
      </w:r>
      <w:proofErr w:type="spellStart"/>
      <w:r w:rsidRPr="003B6CF7">
        <w:rPr>
          <w:szCs w:val="24"/>
          <w:lang w:eastAsia="en-US"/>
        </w:rPr>
        <w:t>genomförandeakt</w:t>
      </w:r>
      <w:proofErr w:type="spellEnd"/>
      <w:r w:rsidRPr="003B6CF7">
        <w:rPr>
          <w:szCs w:val="24"/>
          <w:lang w:eastAsia="en-US"/>
        </w:rPr>
        <w:t xml:space="preserve"> om upprättande av bevakningslistan som antagits enligt punkt 1. De ska också tillhandahålla information om övervakningsstationernas representativitet och om övervakningsstrategin.</w:t>
      </w:r>
    </w:p>
    <w:p w14:paraId="2904536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5.</w:t>
      </w:r>
      <w:r w:rsidRPr="003B6CF7">
        <w:rPr>
          <w:szCs w:val="24"/>
          <w:lang w:eastAsia="en-US"/>
        </w:rPr>
        <w:tab/>
      </w:r>
      <w:proofErr w:type="spellStart"/>
      <w:r w:rsidRPr="003B6CF7">
        <w:rPr>
          <w:szCs w:val="24"/>
          <w:lang w:eastAsia="en-US"/>
        </w:rPr>
        <w:t>Echa</w:t>
      </w:r>
      <w:proofErr w:type="spellEnd"/>
      <w:r w:rsidRPr="003B6CF7">
        <w:rPr>
          <w:szCs w:val="24"/>
          <w:lang w:eastAsia="en-US"/>
        </w:rPr>
        <w:t xml:space="preserve"> ska granska övervakningsresultaten vid utgången av den 24-månadersperiod som avses i punkt 3 och bedöma vilka ämnen eller grupper av ämnen som behöver övervakas under ytterligare en 24-månadersperiod och därför ska behållas på bevakningslistan, och vilka ämnen eller grupper av ämnen som kan tas bort från bevakningslistan.</w:t>
      </w:r>
    </w:p>
    <w:p w14:paraId="25FFE485"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Om kommissionen, med beaktande av </w:t>
      </w:r>
      <w:proofErr w:type="spellStart"/>
      <w:r w:rsidRPr="003B6CF7">
        <w:rPr>
          <w:szCs w:val="24"/>
          <w:lang w:eastAsia="en-US"/>
        </w:rPr>
        <w:t>Echas</w:t>
      </w:r>
      <w:proofErr w:type="spellEnd"/>
      <w:r w:rsidRPr="003B6CF7">
        <w:rPr>
          <w:szCs w:val="24"/>
          <w:lang w:eastAsia="en-US"/>
        </w:rPr>
        <w:t xml:space="preserve"> bedömning enligt första stycket, drar slutsatsen att det inte krävs någon ytterligare övervakning för att ytterligare bedöma risken för vattenmiljön, ska den bedömningen beaktas i den översyn av bilaga I eller II som avses i artikel 8.</w:t>
      </w:r>
    </w:p>
    <w:p w14:paraId="4EC43C57" w14:textId="77777777" w:rsidR="00754D6D" w:rsidRPr="003B6CF7" w:rsidRDefault="00754D6D">
      <w:pPr>
        <w:widowControl/>
        <w:rPr>
          <w:szCs w:val="24"/>
          <w:lang w:eastAsia="en-US"/>
        </w:rPr>
      </w:pPr>
      <w:r w:rsidRPr="003B6CF7">
        <w:rPr>
          <w:szCs w:val="24"/>
          <w:lang w:eastAsia="en-US"/>
        </w:rPr>
        <w:br w:type="page"/>
      </w:r>
    </w:p>
    <w:p w14:paraId="64EE76D7" w14:textId="214E2A94"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Europaparlamentets och rådets direktiv 2008/105/EG om förebyggande och begränsning av förorening av ytvatten och ändring och senare upphävande av rådets direktiv 82/176/EEG, 83/513/EEG, 84/156/EEG, 84/491/EEG och 86/280/EEG, samt om ändring av Europaparlamentets och rådets direktiv 2000/60/EG (EUT L 348, 24.12.2008, s. 84).</w:t>
      </w:r>
    </w:p>
    <w:p w14:paraId="2B51FC9C"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(EU) 2020/2184 av den 16 december 2020 om kvaliteten på dricksvatten (EUT L 435, 23.12.2020, s. 1).</w:t>
      </w:r>
    </w:p>
    <w:p w14:paraId="0354B2BC"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förordning (EG) nr 1907/2006 av den 18 december 2006 om registrering, utvärdering, godkännande och begränsning av kemikalier (</w:t>
      </w:r>
      <w:proofErr w:type="spellStart"/>
      <w:r w:rsidRPr="003B6CF7">
        <w:rPr>
          <w:szCs w:val="24"/>
          <w:lang w:eastAsia="en-US"/>
        </w:rPr>
        <w:t>Reach</w:t>
      </w:r>
      <w:proofErr w:type="spellEnd"/>
      <w:r w:rsidRPr="003B6CF7">
        <w:rPr>
          <w:szCs w:val="24"/>
          <w:lang w:eastAsia="en-US"/>
        </w:rPr>
        <w:t>) (</w:t>
      </w:r>
      <w:proofErr w:type="spellStart"/>
      <w:r w:rsidRPr="003B6CF7">
        <w:rPr>
          <w:szCs w:val="24"/>
          <w:lang w:eastAsia="en-US"/>
        </w:rPr>
        <w:t>EUT</w:t>
      </w:r>
      <w:proofErr w:type="spellEnd"/>
      <w:r w:rsidRPr="003B6CF7">
        <w:rPr>
          <w:szCs w:val="24"/>
          <w:lang w:eastAsia="en-US"/>
        </w:rPr>
        <w:t xml:space="preserve"> L 396, 30.12.2006, s. 1).</w:t>
      </w:r>
    </w:p>
    <w:p w14:paraId="63598367"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förordning (EG) nr 1107/2009 av den 21 oktober 2009 om utsläppande av växtskyddsmedel på marknaden (EUT L 309, 24.11.2009, s. 1).</w:t>
      </w:r>
    </w:p>
    <w:p w14:paraId="4B3F8FED" w14:textId="77777777" w:rsidR="00754D6D" w:rsidRPr="003B6CF7" w:rsidRDefault="00754D6D">
      <w:pPr>
        <w:widowControl/>
        <w:rPr>
          <w:szCs w:val="24"/>
          <w:lang w:eastAsia="en-US"/>
        </w:rPr>
      </w:pPr>
      <w:r w:rsidRPr="003B6CF7">
        <w:rPr>
          <w:szCs w:val="24"/>
          <w:lang w:eastAsia="en-US"/>
        </w:rPr>
        <w:br w:type="page"/>
      </w:r>
    </w:p>
    <w:p w14:paraId="7C12ED98" w14:textId="594BC7DF"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Europaparlamentets och rådets förordning (EU) nr 528/2012 av den 22 maj 2012 om tillhandahållande på marknaden och användning av biocidprodukter (EUT L 167, 27.6.2012, s. 1).</w:t>
      </w:r>
    </w:p>
    <w:p w14:paraId="7D31D5A1"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förordning (EU) 2019/6 av den 11 december 2018 om veterinärmedicinska läkemedel (EUT L 4, 7.1.2019, s. 43).</w:t>
      </w:r>
    </w:p>
    <w:p w14:paraId="7BDD739A"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2001/83/EG av den 6 november 2001 om upprättande av gemenskapsregler för humanläkemedel (EGT L 311, 28.11.2001, s. 67).</w:t>
      </w:r>
    </w:p>
    <w:p w14:paraId="79A8CD5C" w14:textId="77777777" w:rsidR="001831FD" w:rsidRPr="003B6CF7" w:rsidRDefault="001831FD" w:rsidP="001831FD">
      <w:pPr>
        <w:spacing w:before="120" w:after="120" w:line="360" w:lineRule="auto"/>
        <w:ind w:left="1416"/>
        <w:rPr>
          <w:szCs w:val="24"/>
          <w:lang w:eastAsia="en-US"/>
        </w:rPr>
      </w:pPr>
      <w:r w:rsidRPr="003B6CF7">
        <w:rPr>
          <w:szCs w:val="24"/>
          <w:lang w:eastAsia="en-US"/>
        </w:rPr>
        <w:t>******** Europaparlamentets och rådets direktiv 2009/128/EG av den 21 oktober 2009 om upprättande av en ram för gemenskapens åtgärder för att uppnå en hållbar användning av bekämpningsmedel (EUT L 309, 24.11.2009, s. 71).”</w:t>
      </w:r>
    </w:p>
    <w:p w14:paraId="5BDCDAED" w14:textId="77777777" w:rsidR="00754D6D" w:rsidRPr="003B6CF7" w:rsidRDefault="00754D6D">
      <w:pPr>
        <w:widowControl/>
        <w:rPr>
          <w:b/>
          <w:i/>
          <w:szCs w:val="24"/>
          <w:lang w:eastAsia="en-US"/>
        </w:rPr>
      </w:pPr>
      <w:r w:rsidRPr="003B6CF7">
        <w:rPr>
          <w:b/>
          <w:i/>
          <w:szCs w:val="24"/>
          <w:lang w:eastAsia="en-US"/>
        </w:rPr>
        <w:br w:type="page"/>
      </w:r>
    </w:p>
    <w:p w14:paraId="5BDB2A59" w14:textId="60814FBC"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6a.</w:t>
      </w:r>
      <w:r w:rsidRPr="003B6CF7">
        <w:rPr>
          <w:szCs w:val="24"/>
          <w:lang w:eastAsia="en-US"/>
        </w:rPr>
        <w:tab/>
      </w:r>
      <w:r w:rsidRPr="003B6CF7">
        <w:rPr>
          <w:b/>
          <w:i/>
          <w:szCs w:val="24"/>
          <w:lang w:eastAsia="en-US"/>
        </w:rPr>
        <w:t>Följande artikel ska införas:</w:t>
      </w:r>
    </w:p>
    <w:p w14:paraId="01F46FC7" w14:textId="7F01CE2F"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754D6D" w:rsidRPr="003B6CF7">
        <w:rPr>
          <w:b/>
          <w:i/>
          <w:szCs w:val="24"/>
          <w:lang w:eastAsia="en-US"/>
        </w:rPr>
        <w:t>kel 6aa</w:t>
      </w:r>
      <w:r w:rsidRPr="003B6CF7">
        <w:rPr>
          <w:szCs w:val="24"/>
          <w:lang w:eastAsia="en-US"/>
        </w:rPr>
        <w:br/>
      </w:r>
      <w:r w:rsidRPr="003B6CF7">
        <w:rPr>
          <w:b/>
          <w:i/>
          <w:szCs w:val="24"/>
          <w:lang w:eastAsia="en-US"/>
        </w:rPr>
        <w:t>Förbättring av skyddet av grundvattenekosystem</w:t>
      </w:r>
    </w:p>
    <w:p w14:paraId="1970D7CC" w14:textId="02CF62A3" w:rsidR="001831FD" w:rsidRPr="003B6CF7" w:rsidRDefault="001831FD" w:rsidP="001831FD">
      <w:pPr>
        <w:spacing w:before="120" w:after="120" w:line="360" w:lineRule="auto"/>
        <w:ind w:left="850"/>
        <w:rPr>
          <w:b/>
          <w:szCs w:val="24"/>
          <w:lang w:eastAsia="en-US"/>
        </w:rPr>
      </w:pPr>
      <w:r w:rsidRPr="003B6CF7">
        <w:rPr>
          <w:b/>
          <w:i/>
          <w:szCs w:val="24"/>
          <w:lang w:eastAsia="en-US"/>
        </w:rPr>
        <w:t>Kommissionen ska senast den [Publikationsbyrån: infoga datum = fyra år efter dagen för ikraftträdandet av detta direktiv] offentliggöra en utvärdering av verkningarna av fysikalisk-kemiska faktorer, såsom pH, syresättning och temperatur, på grundvattenekosystems hälsa, i tillämpliga fall tillsammans med ett lagstiftningsförslag för att se över detta direktiv i enlighet med det, för att fastställa motsvarande parametrar, tillhandahålla harmoniserade övervakningsmetoder och definiera vad som utgör ”god ekologisk status” för grundvatten.</w:t>
      </w:r>
      <w:r w:rsidRPr="003B6CF7">
        <w:rPr>
          <w:szCs w:val="24"/>
          <w:lang w:eastAsia="en-US"/>
        </w:rPr>
        <w:t>”</w:t>
      </w:r>
      <w:r w:rsidR="005B0B4C" w:rsidRPr="003B6CF7">
        <w:rPr>
          <w:b/>
          <w:szCs w:val="24"/>
          <w:lang w:eastAsia="en-US"/>
        </w:rPr>
        <w:t xml:space="preserve"> [Ändr. 92]</w:t>
      </w:r>
    </w:p>
    <w:p w14:paraId="1F19AB60" w14:textId="77777777" w:rsidR="00754D6D" w:rsidRPr="003B6CF7" w:rsidRDefault="00754D6D">
      <w:pPr>
        <w:widowControl/>
        <w:rPr>
          <w:b/>
          <w:i/>
          <w:szCs w:val="24"/>
          <w:lang w:eastAsia="en-US"/>
        </w:rPr>
      </w:pPr>
      <w:r w:rsidRPr="003B6CF7">
        <w:rPr>
          <w:b/>
          <w:i/>
          <w:szCs w:val="24"/>
          <w:lang w:eastAsia="en-US"/>
        </w:rPr>
        <w:br w:type="page"/>
      </w:r>
    </w:p>
    <w:p w14:paraId="191370ED" w14:textId="30253973"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6b.</w:t>
      </w:r>
      <w:r w:rsidRPr="003B6CF7">
        <w:rPr>
          <w:szCs w:val="24"/>
          <w:lang w:eastAsia="en-US"/>
        </w:rPr>
        <w:tab/>
      </w:r>
      <w:r w:rsidRPr="003B6CF7">
        <w:rPr>
          <w:b/>
          <w:i/>
          <w:szCs w:val="24"/>
          <w:lang w:eastAsia="en-US"/>
        </w:rPr>
        <w:t>Följande artikel ska införas:</w:t>
      </w:r>
    </w:p>
    <w:p w14:paraId="19DFE6FA" w14:textId="034FE8B3"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754D6D" w:rsidRPr="003B6CF7">
        <w:rPr>
          <w:b/>
          <w:i/>
          <w:szCs w:val="24"/>
          <w:lang w:eastAsia="en-US"/>
        </w:rPr>
        <w:t>kel 6ab</w:t>
      </w:r>
      <w:r w:rsidRPr="003B6CF7">
        <w:rPr>
          <w:szCs w:val="24"/>
          <w:lang w:eastAsia="en-US"/>
        </w:rPr>
        <w:br/>
      </w:r>
      <w:r w:rsidRPr="003B6CF7">
        <w:rPr>
          <w:b/>
          <w:i/>
          <w:szCs w:val="24"/>
          <w:lang w:eastAsia="en-US"/>
        </w:rPr>
        <w:t>Särskild behandling för områden med stort ekologiskt värde, stor sårbarhet eller omfattande förorening</w:t>
      </w:r>
    </w:p>
    <w:p w14:paraId="3DACC51C" w14:textId="6125FDB4" w:rsidR="001831FD" w:rsidRPr="003B6CF7" w:rsidRDefault="001831FD" w:rsidP="001831FD">
      <w:pPr>
        <w:spacing w:before="120" w:after="120" w:line="360" w:lineRule="auto"/>
        <w:ind w:left="850"/>
        <w:rPr>
          <w:b/>
          <w:szCs w:val="24"/>
          <w:lang w:eastAsia="en-US"/>
        </w:rPr>
      </w:pPr>
      <w:r w:rsidRPr="003B6CF7">
        <w:rPr>
          <w:b/>
          <w:i/>
          <w:szCs w:val="24"/>
          <w:lang w:eastAsia="en-US"/>
        </w:rPr>
        <w:t>Kommissionen ska ... [senast fyra år efter ikraftträdandet av detta direktiv] offentliggöra en utvärdering av den kemiska statusen för områden som karaktäriseras av ett stort ekologiskt värde, stor sårbarhet eller omfattande förorening, såsom grottor och karstområden, gamla industriområden och andra områden med kända historiska föroreningar, när så är tillämpligt tillsammans med ett lagstiftningsförslag för att se över detta direktiv.</w:t>
      </w:r>
      <w:r w:rsidRPr="003B6CF7">
        <w:rPr>
          <w:szCs w:val="24"/>
          <w:lang w:eastAsia="en-US"/>
        </w:rPr>
        <w:t>”</w:t>
      </w:r>
      <w:r w:rsidR="005B0B4C" w:rsidRPr="003B6CF7">
        <w:rPr>
          <w:b/>
          <w:szCs w:val="24"/>
          <w:lang w:eastAsia="en-US"/>
        </w:rPr>
        <w:t xml:space="preserve"> [Ändr. 93]</w:t>
      </w:r>
    </w:p>
    <w:p w14:paraId="788B5A79" w14:textId="77777777" w:rsidR="00754D6D" w:rsidRPr="003B6CF7" w:rsidRDefault="00754D6D">
      <w:pPr>
        <w:widowControl/>
        <w:rPr>
          <w:b/>
          <w:i/>
          <w:szCs w:val="24"/>
          <w:lang w:eastAsia="en-US"/>
        </w:rPr>
      </w:pPr>
      <w:r w:rsidRPr="003B6CF7">
        <w:rPr>
          <w:b/>
          <w:i/>
          <w:szCs w:val="24"/>
          <w:lang w:eastAsia="en-US"/>
        </w:rPr>
        <w:br w:type="page"/>
      </w:r>
    </w:p>
    <w:p w14:paraId="2812972B" w14:textId="4DF985B5"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6c.</w:t>
      </w:r>
      <w:r w:rsidRPr="003B6CF7">
        <w:rPr>
          <w:szCs w:val="24"/>
          <w:lang w:eastAsia="en-US"/>
        </w:rPr>
        <w:tab/>
      </w:r>
      <w:r w:rsidRPr="003B6CF7">
        <w:rPr>
          <w:b/>
          <w:i/>
          <w:szCs w:val="24"/>
          <w:lang w:eastAsia="en-US"/>
        </w:rPr>
        <w:t>Följande artikel ska införas:</w:t>
      </w:r>
    </w:p>
    <w:p w14:paraId="2525C7C2" w14:textId="05178B8B" w:rsidR="001831FD" w:rsidRPr="003B6CF7" w:rsidRDefault="001831FD" w:rsidP="001831FD">
      <w:pPr>
        <w:spacing w:before="120" w:after="120" w:line="360" w:lineRule="auto"/>
        <w:ind w:left="850"/>
        <w:rPr>
          <w:b/>
          <w:szCs w:val="24"/>
          <w:lang w:eastAsia="en-US"/>
        </w:rPr>
      </w:pPr>
      <w:r w:rsidRPr="003B6CF7">
        <w:rPr>
          <w:szCs w:val="24"/>
          <w:lang w:eastAsia="en-US"/>
        </w:rPr>
        <w:t>”</w:t>
      </w:r>
      <w:r w:rsidRPr="003B6CF7">
        <w:rPr>
          <w:b/>
          <w:i/>
          <w:szCs w:val="24"/>
          <w:lang w:eastAsia="en-US"/>
        </w:rPr>
        <w:t>Arti</w:t>
      </w:r>
      <w:r w:rsidR="00754D6D" w:rsidRPr="003B6CF7">
        <w:rPr>
          <w:b/>
          <w:i/>
          <w:szCs w:val="24"/>
          <w:lang w:eastAsia="en-US"/>
        </w:rPr>
        <w:t>kel 6ac</w:t>
      </w:r>
      <w:r w:rsidRPr="003B6CF7">
        <w:rPr>
          <w:szCs w:val="24"/>
          <w:lang w:eastAsia="en-US"/>
        </w:rPr>
        <w:br/>
      </w:r>
      <w:r w:rsidRPr="003B6CF7">
        <w:rPr>
          <w:b/>
          <w:i/>
          <w:szCs w:val="24"/>
          <w:lang w:eastAsia="en-US"/>
        </w:rPr>
        <w:t>Inte senare än ... [ett år efter ikraftträdandet av detta direktiv] ska kommissionen lägga fram en konsekvensbedömning som granskar införandet i detta direktiv av en mekanism för utökat producentansvar som säkerställer att producenter som släpper ut sådana produkter på marknaden som innehåller något av de ämnen eller någon av de föreningar som förtecknas i bilaga I, samt nya riskämnen på bevakningslistan enligt detta direktiv, bidrar till kostnaderna för övervakningsprogram som utarbetats enligt artikel 8 i direktiv 2000/60/EG. Konsekvensbedömningen ska vid behov åtföljas av ett lagstiftningsförslag om ändring av detta direktiv.</w:t>
      </w:r>
      <w:r w:rsidRPr="003B6CF7">
        <w:rPr>
          <w:szCs w:val="24"/>
          <w:lang w:eastAsia="en-US"/>
        </w:rPr>
        <w:t>”</w:t>
      </w:r>
      <w:r w:rsidR="005B0B4C" w:rsidRPr="003B6CF7">
        <w:rPr>
          <w:b/>
          <w:szCs w:val="24"/>
          <w:lang w:eastAsia="en-US"/>
        </w:rPr>
        <w:t xml:space="preserve"> [Ändr. 94]</w:t>
      </w:r>
    </w:p>
    <w:p w14:paraId="7B9F7FDB" w14:textId="77777777" w:rsidR="00754D6D" w:rsidRPr="003B6CF7" w:rsidRDefault="00754D6D">
      <w:pPr>
        <w:widowControl/>
        <w:rPr>
          <w:b/>
          <w:i/>
          <w:szCs w:val="24"/>
          <w:lang w:eastAsia="en-US"/>
        </w:rPr>
      </w:pPr>
      <w:r w:rsidRPr="003B6CF7">
        <w:rPr>
          <w:b/>
          <w:i/>
          <w:szCs w:val="24"/>
          <w:lang w:eastAsia="en-US"/>
        </w:rPr>
        <w:br w:type="page"/>
      </w:r>
    </w:p>
    <w:p w14:paraId="356D34EB" w14:textId="051E6F46"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6d.</w:t>
      </w:r>
      <w:r w:rsidRPr="003B6CF7">
        <w:rPr>
          <w:szCs w:val="24"/>
          <w:lang w:eastAsia="en-US"/>
        </w:rPr>
        <w:tab/>
      </w:r>
      <w:r w:rsidRPr="003B6CF7">
        <w:rPr>
          <w:b/>
          <w:i/>
          <w:szCs w:val="24"/>
          <w:lang w:eastAsia="en-US"/>
        </w:rPr>
        <w:t>Följande artikel ska införas:</w:t>
      </w:r>
    </w:p>
    <w:p w14:paraId="3993F43D" w14:textId="735108D8"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754D6D" w:rsidRPr="003B6CF7">
        <w:rPr>
          <w:b/>
          <w:i/>
          <w:szCs w:val="24"/>
          <w:lang w:eastAsia="en-US"/>
        </w:rPr>
        <w:t>kel 6ad</w:t>
      </w:r>
      <w:r w:rsidRPr="003B6CF7">
        <w:rPr>
          <w:szCs w:val="24"/>
          <w:lang w:eastAsia="en-US"/>
        </w:rPr>
        <w:br/>
      </w:r>
      <w:r w:rsidRPr="003B6CF7">
        <w:rPr>
          <w:b/>
          <w:i/>
          <w:szCs w:val="24"/>
          <w:lang w:eastAsia="en-US"/>
        </w:rPr>
        <w:t>Europeisk övervakningsmekanism</w:t>
      </w:r>
    </w:p>
    <w:p w14:paraId="7C0D8BF8" w14:textId="77777777" w:rsidR="001831FD" w:rsidRPr="003B6CF7" w:rsidRDefault="001831FD" w:rsidP="001831FD">
      <w:pPr>
        <w:spacing w:before="120" w:after="120" w:line="360" w:lineRule="auto"/>
        <w:ind w:left="850"/>
        <w:rPr>
          <w:szCs w:val="24"/>
          <w:lang w:eastAsia="en-US"/>
        </w:rPr>
      </w:pPr>
      <w:r w:rsidRPr="003B6CF7">
        <w:rPr>
          <w:b/>
          <w:i/>
          <w:szCs w:val="24"/>
          <w:lang w:eastAsia="en-US"/>
        </w:rPr>
        <w:t>Kommissionen ska ... [ett år efter ikraftträdandet av detta direktiv] inrätta en gemensam övervakningsmekanism för att förvalta övervakningskraven när medlemsstaterna så begär.</w:t>
      </w:r>
    </w:p>
    <w:p w14:paraId="2EBF91B2" w14:textId="77777777" w:rsidR="001831FD" w:rsidRPr="003B6CF7" w:rsidRDefault="001831FD" w:rsidP="001831FD">
      <w:pPr>
        <w:spacing w:before="120" w:after="120" w:line="360" w:lineRule="auto"/>
        <w:ind w:left="850"/>
        <w:rPr>
          <w:szCs w:val="24"/>
          <w:lang w:eastAsia="en-US"/>
        </w:rPr>
      </w:pPr>
      <w:r w:rsidRPr="003B6CF7">
        <w:rPr>
          <w:b/>
          <w:i/>
          <w:szCs w:val="24"/>
          <w:lang w:eastAsia="en-US"/>
        </w:rPr>
        <w:t>Kommissionen ska definiera övervakningsmekanismens funktion, som bland annat ska omfatta följande:</w:t>
      </w:r>
    </w:p>
    <w:p w14:paraId="06452306"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a)</w:t>
      </w:r>
      <w:r w:rsidRPr="003B6CF7">
        <w:rPr>
          <w:szCs w:val="24"/>
          <w:lang w:eastAsia="en-US"/>
        </w:rPr>
        <w:tab/>
      </w:r>
      <w:r w:rsidRPr="003B6CF7">
        <w:rPr>
          <w:b/>
          <w:i/>
          <w:szCs w:val="24"/>
          <w:lang w:eastAsia="en-US"/>
        </w:rPr>
        <w:t>Användningen av övervakningsmekanismen ska vara frivillig och inte påverka de arrangemang som redan införts av medlemsstaterna.</w:t>
      </w:r>
    </w:p>
    <w:p w14:paraId="255D49FD"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b)</w:t>
      </w:r>
      <w:r w:rsidRPr="003B6CF7">
        <w:rPr>
          <w:szCs w:val="24"/>
          <w:lang w:eastAsia="en-US"/>
        </w:rPr>
        <w:tab/>
      </w:r>
      <w:r w:rsidRPr="003B6CF7">
        <w:rPr>
          <w:b/>
          <w:i/>
          <w:szCs w:val="24"/>
          <w:lang w:eastAsia="en-US"/>
        </w:rPr>
        <w:t>De operativa förfarandena för medlemsstater som avser använda sig av övervakningsmekanismen, vilket bland annat ska omfatta den anmälan till kommissionen som krävs över deras exakta övervakningsbehov eller övervakningskapaciteter, de exakta förfarandena för förvaltning av urval liksom den tid de avser vara part i mekanismen.</w:t>
      </w:r>
    </w:p>
    <w:p w14:paraId="22F1C06F" w14:textId="77777777" w:rsidR="00754D6D" w:rsidRPr="003B6CF7" w:rsidRDefault="00754D6D">
      <w:pPr>
        <w:widowControl/>
        <w:rPr>
          <w:b/>
          <w:i/>
          <w:szCs w:val="24"/>
          <w:lang w:eastAsia="en-US"/>
        </w:rPr>
      </w:pPr>
      <w:r w:rsidRPr="003B6CF7">
        <w:rPr>
          <w:b/>
          <w:i/>
          <w:szCs w:val="24"/>
          <w:lang w:eastAsia="en-US"/>
        </w:rPr>
        <w:br w:type="page"/>
      </w:r>
    </w:p>
    <w:p w14:paraId="06EC3A38" w14:textId="2CDBCBA0" w:rsidR="001831FD" w:rsidRPr="003B6CF7" w:rsidRDefault="001831FD" w:rsidP="001831FD">
      <w:pPr>
        <w:spacing w:before="120" w:after="120" w:line="360" w:lineRule="auto"/>
        <w:ind w:left="1416" w:hanging="566"/>
        <w:rPr>
          <w:b/>
          <w:szCs w:val="24"/>
          <w:lang w:eastAsia="en-US"/>
        </w:rPr>
      </w:pPr>
      <w:r w:rsidRPr="003B6CF7">
        <w:rPr>
          <w:b/>
          <w:i/>
          <w:szCs w:val="24"/>
          <w:lang w:eastAsia="en-US"/>
        </w:rPr>
        <w:lastRenderedPageBreak/>
        <w:t>c)</w:t>
      </w:r>
      <w:r w:rsidRPr="003B6CF7">
        <w:rPr>
          <w:szCs w:val="24"/>
          <w:lang w:eastAsia="en-US"/>
        </w:rPr>
        <w:tab/>
      </w:r>
      <w:r w:rsidRPr="003B6CF7">
        <w:rPr>
          <w:b/>
          <w:i/>
          <w:szCs w:val="24"/>
          <w:lang w:eastAsia="en-US"/>
        </w:rPr>
        <w:t>Finansieringskällorna, vilket kan omfatta unionens relevanta strukturfonder och program, samt bidrag från den privata sektorn, inklusive inom ramen för mekanismen för utökat producentansvar, när den införts i enlighet med artikel 6ac.</w:t>
      </w:r>
      <w:r w:rsidRPr="003B6CF7">
        <w:rPr>
          <w:szCs w:val="24"/>
          <w:lang w:eastAsia="en-US"/>
        </w:rPr>
        <w:t>”</w:t>
      </w:r>
      <w:r w:rsidR="005B0B4C" w:rsidRPr="003B6CF7">
        <w:rPr>
          <w:b/>
          <w:szCs w:val="24"/>
          <w:lang w:eastAsia="en-US"/>
        </w:rPr>
        <w:t xml:space="preserve"> [Ändr. 95]</w:t>
      </w:r>
    </w:p>
    <w:p w14:paraId="2F821883"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(7)</w:t>
      </w:r>
      <w:r w:rsidRPr="003B6CF7">
        <w:rPr>
          <w:szCs w:val="24"/>
          <w:lang w:eastAsia="en-US"/>
        </w:rPr>
        <w:tab/>
        <w:t>Artikel 8 ska ersättas med följande:</w:t>
      </w:r>
    </w:p>
    <w:p w14:paraId="2CF32CD6"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w:t>
      </w:r>
    </w:p>
    <w:p w14:paraId="080BE004" w14:textId="77777777" w:rsidR="001831FD" w:rsidRPr="003B6CF7" w:rsidRDefault="001831FD" w:rsidP="001831FD">
      <w:pPr>
        <w:spacing w:before="120" w:after="120" w:line="360" w:lineRule="auto"/>
        <w:ind w:left="850"/>
        <w:rPr>
          <w:szCs w:val="24"/>
          <w:lang w:eastAsia="en-US"/>
        </w:rPr>
      </w:pPr>
      <w:r w:rsidRPr="003B6CF7">
        <w:rPr>
          <w:szCs w:val="24"/>
          <w:lang w:eastAsia="en-US"/>
        </w:rPr>
        <w:t xml:space="preserve">Översyn av bilagorna I–IV </w:t>
      </w:r>
    </w:p>
    <w:p w14:paraId="4A9DBDDD" w14:textId="1544EF7F" w:rsidR="001831FD" w:rsidRPr="003B6CF7" w:rsidRDefault="001831FD" w:rsidP="001831FD">
      <w:pPr>
        <w:spacing w:before="120" w:after="120" w:line="360" w:lineRule="auto"/>
        <w:ind w:left="1416" w:hanging="566"/>
        <w:rPr>
          <w:b/>
          <w:szCs w:val="24"/>
          <w:lang w:eastAsia="en-US"/>
        </w:rPr>
      </w:pPr>
      <w:r w:rsidRPr="003B6CF7">
        <w:rPr>
          <w:szCs w:val="24"/>
          <w:lang w:eastAsia="en-US"/>
        </w:rPr>
        <w:t>1.</w:t>
      </w:r>
      <w:r w:rsidRPr="003B6CF7">
        <w:rPr>
          <w:szCs w:val="24"/>
          <w:lang w:eastAsia="en-US"/>
        </w:rPr>
        <w:tab/>
        <w:t xml:space="preserve">Kommissionen ska för första gången göra en översyn senast den … [Publikationsbyrån: infoga datum = </w:t>
      </w:r>
      <w:proofErr w:type="spellStart"/>
      <w:r w:rsidRPr="003B6CF7">
        <w:rPr>
          <w:strike/>
          <w:szCs w:val="24"/>
          <w:lang w:eastAsia="en-US"/>
        </w:rPr>
        <w:t>sex</w:t>
      </w:r>
      <w:r w:rsidRPr="003B6CF7">
        <w:rPr>
          <w:b/>
          <w:i/>
          <w:szCs w:val="24"/>
          <w:lang w:eastAsia="en-US"/>
        </w:rPr>
        <w:t>fyra</w:t>
      </w:r>
      <w:proofErr w:type="spellEnd"/>
      <w:r w:rsidRPr="003B6CF7">
        <w:rPr>
          <w:szCs w:val="24"/>
          <w:lang w:eastAsia="en-US"/>
        </w:rPr>
        <w:t xml:space="preserve"> år efter dagen för ikraftträdandet av detta direktiv] och därefter vart </w:t>
      </w:r>
      <w:proofErr w:type="spellStart"/>
      <w:r w:rsidRPr="003B6CF7">
        <w:rPr>
          <w:strike/>
          <w:szCs w:val="24"/>
          <w:lang w:eastAsia="en-US"/>
        </w:rPr>
        <w:t>sjätte</w:t>
      </w:r>
      <w:r w:rsidRPr="003B6CF7">
        <w:rPr>
          <w:b/>
          <w:i/>
          <w:szCs w:val="24"/>
          <w:lang w:eastAsia="en-US"/>
        </w:rPr>
        <w:t>fjärde</w:t>
      </w:r>
      <w:proofErr w:type="spellEnd"/>
      <w:r w:rsidRPr="003B6CF7">
        <w:rPr>
          <w:szCs w:val="24"/>
          <w:lang w:eastAsia="en-US"/>
        </w:rPr>
        <w:t xml:space="preserve"> år av förteckningen över förorenande ämnen i bilaga I och kvalitetsnormerna för dessa förorenande ämnen i den bilagan samt av förteckningen över förorenande ämnen och indikatorer i del B i bilaga II.</w:t>
      </w:r>
      <w:r w:rsidR="005B0B4C" w:rsidRPr="003B6CF7">
        <w:rPr>
          <w:b/>
          <w:szCs w:val="24"/>
          <w:lang w:eastAsia="en-US"/>
        </w:rPr>
        <w:t xml:space="preserve"> [Ändr. 96]</w:t>
      </w:r>
    </w:p>
    <w:p w14:paraId="7A23A997" w14:textId="77777777" w:rsidR="00754D6D" w:rsidRPr="003B6CF7" w:rsidRDefault="00754D6D">
      <w:pPr>
        <w:widowControl/>
        <w:rPr>
          <w:szCs w:val="24"/>
          <w:lang w:eastAsia="en-US"/>
        </w:rPr>
      </w:pPr>
      <w:r w:rsidRPr="003B6CF7">
        <w:rPr>
          <w:szCs w:val="24"/>
          <w:lang w:eastAsia="en-US"/>
        </w:rPr>
        <w:br w:type="page"/>
      </w:r>
    </w:p>
    <w:p w14:paraId="20899AE8" w14:textId="4C562F1E"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2.</w:t>
      </w:r>
      <w:r w:rsidRPr="003B6CF7">
        <w:rPr>
          <w:szCs w:val="24"/>
          <w:lang w:eastAsia="en-US"/>
        </w:rPr>
        <w:tab/>
      </w:r>
      <w:r w:rsidRPr="003B6CF7">
        <w:rPr>
          <w:b/>
          <w:i/>
          <w:szCs w:val="24"/>
          <w:lang w:eastAsia="en-US"/>
        </w:rPr>
        <w:t xml:space="preserve">På basis av utredningen ska </w:t>
      </w:r>
      <w:r w:rsidRPr="003B6CF7">
        <w:rPr>
          <w:szCs w:val="24"/>
          <w:lang w:eastAsia="en-US"/>
        </w:rPr>
        <w:t>kommissionen</w:t>
      </w:r>
      <w:r w:rsidRPr="003B6CF7">
        <w:rPr>
          <w:strike/>
          <w:szCs w:val="24"/>
          <w:lang w:eastAsia="en-US"/>
        </w:rPr>
        <w:t xml:space="preserve"> ges befogenhet att anta delegerade akter i enlighet med artikel 8a</w:t>
      </w:r>
      <w:r w:rsidRPr="003B6CF7">
        <w:rPr>
          <w:b/>
          <w:i/>
          <w:szCs w:val="24"/>
          <w:lang w:eastAsia="en-US"/>
        </w:rPr>
        <w:t>, när så är tillämpligt, föreslå lagstiftning</w:t>
      </w:r>
      <w:r w:rsidRPr="003B6CF7">
        <w:rPr>
          <w:szCs w:val="24"/>
          <w:lang w:eastAsia="en-US"/>
        </w:rPr>
        <w:t xml:space="preserve"> för att ändra bilaga I för att anpassa den till den tekniska och vetenskapliga utvecklingen genom att lägga till eller ta bort förorenande ämnen i grundvatten och kvalitetsnormer för de förorenande ämnen som anges i den bilagan</w:t>
      </w:r>
      <w:r w:rsidRPr="003B6CF7">
        <w:rPr>
          <w:strike/>
          <w:szCs w:val="24"/>
          <w:lang w:eastAsia="en-US"/>
        </w:rPr>
        <w:t>, och</w:t>
      </w:r>
      <w:r w:rsidRPr="003B6CF7">
        <w:rPr>
          <w:b/>
          <w:i/>
          <w:szCs w:val="24"/>
          <w:lang w:eastAsia="en-US"/>
        </w:rPr>
        <w:t>. Kommissionen ges befogenhet att anta delegerade akter i enlighet med artikel 8a</w:t>
      </w:r>
      <w:r w:rsidRPr="003B6CF7">
        <w:rPr>
          <w:szCs w:val="24"/>
          <w:lang w:eastAsia="en-US"/>
        </w:rPr>
        <w:t xml:space="preserve"> för att ändra del B</w:t>
      </w:r>
      <w:r w:rsidRPr="003B6CF7">
        <w:rPr>
          <w:b/>
          <w:i/>
          <w:szCs w:val="24"/>
          <w:lang w:eastAsia="en-US"/>
        </w:rPr>
        <w:t xml:space="preserve"> i bilaga II</w:t>
      </w:r>
      <w:r w:rsidRPr="003B6CF7">
        <w:rPr>
          <w:szCs w:val="24"/>
          <w:lang w:eastAsia="en-US"/>
        </w:rPr>
        <w:t xml:space="preserve"> i syfte att anpassa den till den tekniska och vetenskapliga utvecklingen genom att lägga till förorenande ämnen eller indikatorer för vilka medlemsstaterna måste överväga att fastställa nationella tröskelvärden.</w:t>
      </w:r>
      <w:r w:rsidR="005B0B4C" w:rsidRPr="003B6CF7">
        <w:rPr>
          <w:b/>
          <w:szCs w:val="24"/>
          <w:lang w:eastAsia="en-US"/>
        </w:rPr>
        <w:t xml:space="preserve"> [Ändr. 97]</w:t>
      </w:r>
    </w:p>
    <w:p w14:paraId="5A088508"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Kommissionen ges befogenhet att anta delegerade akter i enlighet med artikel 8a för att ändra del D i bilaga II i syfte att anpassa den till den vetenskapliga och tekniska utvecklingen genom att lägga till eller ändra harmoniserade tröskelvärden för ett eller flera förorenande ämnen som förtecknas i del B i den bilagan.</w:t>
      </w:r>
    </w:p>
    <w:p w14:paraId="13E45A14" w14:textId="2184CB4A" w:rsidR="001831FD" w:rsidRPr="003B6CF7" w:rsidRDefault="001831FD" w:rsidP="001831FD">
      <w:pPr>
        <w:spacing w:before="120" w:after="120" w:line="360" w:lineRule="auto"/>
        <w:ind w:left="1416" w:hanging="566"/>
        <w:rPr>
          <w:b/>
          <w:szCs w:val="24"/>
          <w:lang w:eastAsia="en-US"/>
        </w:rPr>
      </w:pPr>
      <w:r w:rsidRPr="003B6CF7">
        <w:rPr>
          <w:szCs w:val="24"/>
          <w:lang w:eastAsia="en-US"/>
        </w:rPr>
        <w:t>4.</w:t>
      </w:r>
      <w:r w:rsidRPr="003B6CF7">
        <w:rPr>
          <w:szCs w:val="24"/>
          <w:lang w:eastAsia="en-US"/>
        </w:rPr>
        <w:tab/>
        <w:t>Vid antagandet av de</w:t>
      </w:r>
      <w:r w:rsidRPr="003B6CF7">
        <w:rPr>
          <w:b/>
          <w:i/>
          <w:szCs w:val="24"/>
          <w:lang w:eastAsia="en-US"/>
        </w:rPr>
        <w:t xml:space="preserve"> lagstiftningsförslag och</w:t>
      </w:r>
      <w:r w:rsidRPr="003B6CF7">
        <w:rPr>
          <w:szCs w:val="24"/>
          <w:lang w:eastAsia="en-US"/>
        </w:rPr>
        <w:t xml:space="preserve"> delegerade akter som avses i punkterna 2 och 3 ska kommissionen beakta de vetenskapliga rapporter som utarbetats av </w:t>
      </w:r>
      <w:proofErr w:type="spellStart"/>
      <w:r w:rsidRPr="003B6CF7">
        <w:rPr>
          <w:szCs w:val="24"/>
          <w:lang w:eastAsia="en-US"/>
        </w:rPr>
        <w:t>Echa</w:t>
      </w:r>
      <w:proofErr w:type="spellEnd"/>
      <w:r w:rsidRPr="003B6CF7">
        <w:rPr>
          <w:szCs w:val="24"/>
          <w:lang w:eastAsia="en-US"/>
        </w:rPr>
        <w:t xml:space="preserve"> i enligt punkt 6 i denna artikel.</w:t>
      </w:r>
      <w:r w:rsidR="005B0B4C" w:rsidRPr="003B6CF7">
        <w:rPr>
          <w:b/>
          <w:szCs w:val="24"/>
          <w:lang w:eastAsia="en-US"/>
        </w:rPr>
        <w:t xml:space="preserve"> [Ändr. 98]</w:t>
      </w:r>
    </w:p>
    <w:p w14:paraId="0FF0931E" w14:textId="77777777" w:rsidR="00754D6D" w:rsidRPr="003B6CF7" w:rsidRDefault="00754D6D">
      <w:pPr>
        <w:widowControl/>
        <w:rPr>
          <w:szCs w:val="24"/>
          <w:lang w:eastAsia="en-US"/>
        </w:rPr>
      </w:pPr>
      <w:r w:rsidRPr="003B6CF7">
        <w:rPr>
          <w:szCs w:val="24"/>
          <w:lang w:eastAsia="en-US"/>
        </w:rPr>
        <w:br w:type="page"/>
      </w:r>
    </w:p>
    <w:p w14:paraId="3A606065" w14:textId="452DFA85"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5.</w:t>
      </w:r>
      <w:r w:rsidRPr="003B6CF7">
        <w:rPr>
          <w:szCs w:val="24"/>
          <w:lang w:eastAsia="en-US"/>
        </w:rPr>
        <w:tab/>
        <w:t>Kommissionen ges befogenhet att anta delegerade akter i enlighet med artikel 8a för att ändra delarna A och C i bilaga II samt bilagorna III och IV i syfte att anpassa dem till den vetenskapliga och tekniska utvecklingen.</w:t>
      </w:r>
    </w:p>
    <w:p w14:paraId="1E5EE63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6.</w:t>
      </w:r>
      <w:r w:rsidRPr="003B6CF7">
        <w:rPr>
          <w:szCs w:val="24"/>
          <w:lang w:eastAsia="en-US"/>
        </w:rPr>
        <w:tab/>
        <w:t xml:space="preserve">För att bistå kommissionen med översynen av bilagorna I och II ska </w:t>
      </w:r>
      <w:proofErr w:type="spellStart"/>
      <w:r w:rsidRPr="003B6CF7">
        <w:rPr>
          <w:szCs w:val="24"/>
          <w:lang w:eastAsia="en-US"/>
        </w:rPr>
        <w:t>Echa</w:t>
      </w:r>
      <w:proofErr w:type="spellEnd"/>
      <w:r w:rsidRPr="003B6CF7">
        <w:rPr>
          <w:szCs w:val="24"/>
          <w:lang w:eastAsia="en-US"/>
        </w:rPr>
        <w:t xml:space="preserve"> utarbeta vetenskapliga rapporter. I dessa rapporter ska följande beaktas:</w:t>
      </w:r>
    </w:p>
    <w:p w14:paraId="39B1EE65"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 xml:space="preserve">Yttranden från </w:t>
      </w:r>
      <w:proofErr w:type="spellStart"/>
      <w:r w:rsidRPr="003B6CF7">
        <w:rPr>
          <w:szCs w:val="24"/>
          <w:lang w:eastAsia="en-US"/>
        </w:rPr>
        <w:t>Echas</w:t>
      </w:r>
      <w:proofErr w:type="spellEnd"/>
      <w:r w:rsidRPr="003B6CF7">
        <w:rPr>
          <w:szCs w:val="24"/>
          <w:lang w:eastAsia="en-US"/>
        </w:rPr>
        <w:t xml:space="preserve"> riskbedömningskommitté och kommitté för samhällsekonomisk analys.</w:t>
      </w:r>
    </w:p>
    <w:p w14:paraId="7A13778C"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Resultaten av de övervakningsprogram som upprättats i enlighet med artikel 8 i direktiv 2000/60/EG.</w:t>
      </w:r>
    </w:p>
    <w:p w14:paraId="57DE346A"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c)</w:t>
      </w:r>
      <w:r w:rsidRPr="003B6CF7">
        <w:rPr>
          <w:szCs w:val="24"/>
          <w:lang w:eastAsia="en-US"/>
        </w:rPr>
        <w:tab/>
        <w:t>Övervakningsdata som samlats in i enlighet med artikel 6a.4 i det här direktivet.</w:t>
      </w:r>
    </w:p>
    <w:p w14:paraId="028D9869"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d)</w:t>
      </w:r>
      <w:r w:rsidRPr="003B6CF7">
        <w:rPr>
          <w:szCs w:val="24"/>
          <w:lang w:eastAsia="en-US"/>
        </w:rPr>
        <w:tab/>
        <w:t>Resultatet av översynen av bilagorna till direktiv 2008/105/EG och direktiv (EU) 2020/2184.</w:t>
      </w:r>
    </w:p>
    <w:p w14:paraId="498A3C8F" w14:textId="77777777" w:rsidR="00754D6D" w:rsidRPr="003B6CF7" w:rsidRDefault="00754D6D">
      <w:pPr>
        <w:widowControl/>
        <w:rPr>
          <w:szCs w:val="24"/>
          <w:lang w:eastAsia="en-US"/>
        </w:rPr>
      </w:pPr>
      <w:r w:rsidRPr="003B6CF7">
        <w:rPr>
          <w:szCs w:val="24"/>
          <w:lang w:eastAsia="en-US"/>
        </w:rPr>
        <w:br w:type="page"/>
      </w:r>
    </w:p>
    <w:p w14:paraId="0D1C95B7" w14:textId="1B488E5D"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e)</w:t>
      </w:r>
      <w:r w:rsidRPr="003B6CF7">
        <w:rPr>
          <w:szCs w:val="24"/>
          <w:lang w:eastAsia="en-US"/>
        </w:rPr>
        <w:tab/>
        <w:t>Information och krav för att hantera markföroreningar.</w:t>
      </w:r>
    </w:p>
    <w:p w14:paraId="1CA84F59" w14:textId="122DFEDC" w:rsidR="001831FD" w:rsidRPr="003B6CF7" w:rsidRDefault="001831FD" w:rsidP="001831FD">
      <w:pPr>
        <w:spacing w:before="120" w:after="120" w:line="360" w:lineRule="auto"/>
        <w:ind w:left="1982" w:hanging="566"/>
        <w:rPr>
          <w:b/>
          <w:szCs w:val="24"/>
          <w:lang w:eastAsia="en-US"/>
        </w:rPr>
      </w:pPr>
      <w:r w:rsidRPr="003B6CF7">
        <w:rPr>
          <w:szCs w:val="24"/>
          <w:lang w:eastAsia="en-US"/>
        </w:rPr>
        <w:t>f)</w:t>
      </w:r>
      <w:r w:rsidRPr="003B6CF7">
        <w:rPr>
          <w:szCs w:val="24"/>
          <w:lang w:eastAsia="en-US"/>
        </w:rPr>
        <w:tab/>
        <w:t>Unionens forskningsprogram och vetenskapliga publikationer, inklusive</w:t>
      </w:r>
      <w:r w:rsidRPr="003B6CF7">
        <w:rPr>
          <w:b/>
          <w:i/>
          <w:szCs w:val="24"/>
          <w:lang w:eastAsia="en-US"/>
        </w:rPr>
        <w:t xml:space="preserve"> aktuell</w:t>
      </w:r>
      <w:r w:rsidRPr="003B6CF7">
        <w:rPr>
          <w:szCs w:val="24"/>
          <w:lang w:eastAsia="en-US"/>
        </w:rPr>
        <w:t xml:space="preserve"> information från teknik för fjärranalys, jordobservation (Copernicustjänster), sensorer och anordningar på plats och/eller data från medborgarforskning, med utnyttjande av de möjligheter som </w:t>
      </w:r>
      <w:r w:rsidRPr="003B6CF7">
        <w:rPr>
          <w:b/>
          <w:i/>
          <w:szCs w:val="24"/>
          <w:lang w:eastAsia="en-US"/>
        </w:rPr>
        <w:t xml:space="preserve">bästa tillgängliga teknik erbjuder, vilket skulle kunna inbegripa </w:t>
      </w:r>
      <w:r w:rsidRPr="003B6CF7">
        <w:rPr>
          <w:szCs w:val="24"/>
          <w:lang w:eastAsia="en-US"/>
        </w:rPr>
        <w:t>artificiell intelligens, avancerad dataanalys och databehandling</w:t>
      </w:r>
      <w:r w:rsidRPr="003B6CF7">
        <w:rPr>
          <w:strike/>
          <w:szCs w:val="24"/>
          <w:lang w:eastAsia="en-US"/>
        </w:rPr>
        <w:t xml:space="preserve"> erbjuder</w:t>
      </w:r>
      <w:r w:rsidRPr="003B6CF7">
        <w:rPr>
          <w:szCs w:val="24"/>
          <w:lang w:eastAsia="en-US"/>
        </w:rPr>
        <w:t>.</w:t>
      </w:r>
      <w:r w:rsidR="005B0B4C" w:rsidRPr="003B6CF7">
        <w:rPr>
          <w:b/>
          <w:szCs w:val="24"/>
          <w:lang w:eastAsia="en-US"/>
        </w:rPr>
        <w:t xml:space="preserve"> [Ändr. 99]</w:t>
      </w:r>
    </w:p>
    <w:p w14:paraId="7FF8C6D6" w14:textId="6C9CC207" w:rsidR="001831FD" w:rsidRPr="003B6CF7" w:rsidRDefault="001831FD" w:rsidP="001831FD">
      <w:pPr>
        <w:spacing w:before="120" w:after="120" w:line="360" w:lineRule="auto"/>
        <w:ind w:left="1982" w:hanging="566"/>
        <w:rPr>
          <w:b/>
          <w:szCs w:val="24"/>
          <w:lang w:eastAsia="en-US"/>
        </w:rPr>
      </w:pPr>
      <w:r w:rsidRPr="003B6CF7">
        <w:rPr>
          <w:szCs w:val="24"/>
          <w:lang w:eastAsia="en-US"/>
        </w:rPr>
        <w:t>g)</w:t>
      </w:r>
      <w:r w:rsidRPr="003B6CF7">
        <w:rPr>
          <w:szCs w:val="24"/>
          <w:lang w:eastAsia="en-US"/>
        </w:rPr>
        <w:tab/>
        <w:t>Synpunkter och information från relevanta berörda parter</w:t>
      </w:r>
      <w:r w:rsidRPr="003B6CF7">
        <w:rPr>
          <w:b/>
          <w:i/>
          <w:szCs w:val="24"/>
          <w:lang w:eastAsia="en-US"/>
        </w:rPr>
        <w:t>, inklusive nationella tillsynsmyndigheter och andra relevanta organ</w:t>
      </w:r>
      <w:r w:rsidRPr="003B6CF7">
        <w:rPr>
          <w:szCs w:val="24"/>
          <w:lang w:eastAsia="en-US"/>
        </w:rPr>
        <w:t>.</w:t>
      </w:r>
      <w:r w:rsidR="005B0B4C" w:rsidRPr="003B6CF7">
        <w:rPr>
          <w:b/>
          <w:szCs w:val="24"/>
          <w:lang w:eastAsia="en-US"/>
        </w:rPr>
        <w:t xml:space="preserve"> [Ändr. 100]</w:t>
      </w:r>
    </w:p>
    <w:p w14:paraId="05F0F592" w14:textId="74168E06" w:rsidR="001831FD" w:rsidRPr="003B6CF7" w:rsidRDefault="001831FD" w:rsidP="001831FD">
      <w:pPr>
        <w:spacing w:before="120" w:after="120" w:line="360" w:lineRule="auto"/>
        <w:ind w:left="1416" w:hanging="566"/>
        <w:rPr>
          <w:b/>
          <w:szCs w:val="24"/>
          <w:lang w:eastAsia="en-US"/>
        </w:rPr>
      </w:pPr>
      <w:r w:rsidRPr="003B6CF7">
        <w:rPr>
          <w:b/>
          <w:i/>
          <w:szCs w:val="24"/>
          <w:lang w:eastAsia="en-US"/>
        </w:rPr>
        <w:t>6a.</w:t>
      </w:r>
      <w:r w:rsidRPr="003B6CF7">
        <w:rPr>
          <w:szCs w:val="24"/>
          <w:lang w:eastAsia="en-US"/>
        </w:rPr>
        <w:tab/>
      </w:r>
      <w:r w:rsidRPr="003B6CF7">
        <w:rPr>
          <w:b/>
          <w:i/>
          <w:szCs w:val="24"/>
          <w:lang w:eastAsia="en-US"/>
        </w:rPr>
        <w:t xml:space="preserve">Senast den 12 januari 2025 ska kommissionen fastställa tekniska riktlinjer för analysmetoder för övervakning av per- och </w:t>
      </w:r>
      <w:proofErr w:type="spellStart"/>
      <w:r w:rsidRPr="003B6CF7">
        <w:rPr>
          <w:b/>
          <w:i/>
          <w:szCs w:val="24"/>
          <w:lang w:eastAsia="en-US"/>
        </w:rPr>
        <w:t>polyfluoralkylämnen</w:t>
      </w:r>
      <w:proofErr w:type="spellEnd"/>
      <w:r w:rsidRPr="003B6CF7">
        <w:rPr>
          <w:b/>
          <w:i/>
          <w:szCs w:val="24"/>
          <w:lang w:eastAsia="en-US"/>
        </w:rPr>
        <w:t xml:space="preserve"> under parametern ”PFAS totalt”. Kommissionen ska ges befogenhet att anta delegerade akter i enlighet med artikel 8a med avseende på ändring av detta direktiv genom att fastställa en kvalitetsstandard för PFAS totalt och ändra bilaga I enlighet med det. Kommissionen ska anta dessa delegerade akter senast den 12 januari 2026.</w:t>
      </w:r>
      <w:r w:rsidR="005B0B4C" w:rsidRPr="003B6CF7">
        <w:rPr>
          <w:b/>
          <w:szCs w:val="24"/>
          <w:lang w:eastAsia="en-US"/>
        </w:rPr>
        <w:t xml:space="preserve"> [Ändr. 101]</w:t>
      </w:r>
    </w:p>
    <w:p w14:paraId="1BB92CAC" w14:textId="77777777" w:rsidR="00754D6D" w:rsidRPr="003B6CF7" w:rsidRDefault="00754D6D">
      <w:pPr>
        <w:widowControl/>
        <w:rPr>
          <w:szCs w:val="24"/>
          <w:lang w:eastAsia="en-US"/>
        </w:rPr>
      </w:pPr>
      <w:r w:rsidRPr="003B6CF7">
        <w:rPr>
          <w:szCs w:val="24"/>
          <w:lang w:eastAsia="en-US"/>
        </w:rPr>
        <w:br w:type="page"/>
      </w:r>
    </w:p>
    <w:p w14:paraId="08099A9D" w14:textId="06A22ECE"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7.</w:t>
      </w:r>
      <w:r w:rsidRPr="003B6CF7">
        <w:rPr>
          <w:szCs w:val="24"/>
          <w:lang w:eastAsia="en-US"/>
        </w:rPr>
        <w:tab/>
      </w:r>
      <w:proofErr w:type="spellStart"/>
      <w:r w:rsidRPr="003B6CF7">
        <w:rPr>
          <w:szCs w:val="24"/>
          <w:lang w:eastAsia="en-US"/>
        </w:rPr>
        <w:t>Echa</w:t>
      </w:r>
      <w:proofErr w:type="spellEnd"/>
      <w:r w:rsidRPr="003B6CF7">
        <w:rPr>
          <w:szCs w:val="24"/>
          <w:lang w:eastAsia="en-US"/>
        </w:rPr>
        <w:t xml:space="preserve"> ska vart </w:t>
      </w:r>
      <w:proofErr w:type="spellStart"/>
      <w:r w:rsidRPr="003B6CF7">
        <w:rPr>
          <w:strike/>
          <w:szCs w:val="24"/>
          <w:lang w:eastAsia="en-US"/>
        </w:rPr>
        <w:t>sjätte</w:t>
      </w:r>
      <w:r w:rsidRPr="003B6CF7">
        <w:rPr>
          <w:b/>
          <w:i/>
          <w:szCs w:val="24"/>
          <w:lang w:eastAsia="en-US"/>
        </w:rPr>
        <w:t>fjärde</w:t>
      </w:r>
      <w:proofErr w:type="spellEnd"/>
      <w:r w:rsidRPr="003B6CF7">
        <w:rPr>
          <w:szCs w:val="24"/>
          <w:lang w:eastAsia="en-US"/>
        </w:rPr>
        <w:t xml:space="preserve"> år utarbeta och offentliggöra en rapport som sammanfattar resultaten av den översyn som avses i punkterna 2 och 3. Den första rapporten ska lämnas till kommissionen den … [Publikationsbyrån: infoga datum = </w:t>
      </w:r>
      <w:proofErr w:type="spellStart"/>
      <w:r w:rsidRPr="003B6CF7">
        <w:rPr>
          <w:strike/>
          <w:szCs w:val="24"/>
          <w:lang w:eastAsia="en-US"/>
        </w:rPr>
        <w:t>fem</w:t>
      </w:r>
      <w:r w:rsidRPr="003B6CF7">
        <w:rPr>
          <w:b/>
          <w:i/>
          <w:szCs w:val="24"/>
          <w:lang w:eastAsia="en-US"/>
        </w:rPr>
        <w:t>tre</w:t>
      </w:r>
      <w:proofErr w:type="spellEnd"/>
      <w:r w:rsidRPr="003B6CF7">
        <w:rPr>
          <w:szCs w:val="24"/>
          <w:lang w:eastAsia="en-US"/>
        </w:rPr>
        <w:t xml:space="preserve"> år efter dagen för ikraftträdandet av detta direktiv].”</w:t>
      </w:r>
      <w:r w:rsidR="005B0B4C" w:rsidRPr="003B6CF7">
        <w:rPr>
          <w:b/>
          <w:szCs w:val="24"/>
          <w:lang w:eastAsia="en-US"/>
        </w:rPr>
        <w:t xml:space="preserve"> [Ändr. 102]</w:t>
      </w:r>
    </w:p>
    <w:p w14:paraId="737D31D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(8)</w:t>
      </w:r>
      <w:r w:rsidRPr="003B6CF7">
        <w:rPr>
          <w:szCs w:val="24"/>
          <w:lang w:eastAsia="en-US"/>
        </w:rPr>
        <w:tab/>
        <w:t>Följande artikel ska införas som artikel 8a:</w:t>
      </w:r>
    </w:p>
    <w:p w14:paraId="24ED8615"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8a</w:t>
      </w:r>
    </w:p>
    <w:p w14:paraId="473D950B" w14:textId="77777777" w:rsidR="001831FD" w:rsidRPr="003B6CF7" w:rsidRDefault="001831FD" w:rsidP="001831FD">
      <w:pPr>
        <w:spacing w:before="120" w:after="120" w:line="360" w:lineRule="auto"/>
        <w:ind w:left="850"/>
        <w:rPr>
          <w:szCs w:val="24"/>
          <w:lang w:eastAsia="en-US"/>
        </w:rPr>
      </w:pPr>
      <w:r w:rsidRPr="003B6CF7">
        <w:rPr>
          <w:szCs w:val="24"/>
          <w:lang w:eastAsia="en-US"/>
        </w:rPr>
        <w:t>Utövande av delegeringen</w:t>
      </w:r>
    </w:p>
    <w:p w14:paraId="208B906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Befogenheten att anta delegerade akter ges till kommissionen med förbehåll för de villkor som anges i denna artikel.</w:t>
      </w:r>
    </w:p>
    <w:p w14:paraId="25307FBD" w14:textId="57119FF2" w:rsidR="001831FD" w:rsidRPr="003B6CF7" w:rsidRDefault="001831FD" w:rsidP="001831FD">
      <w:pPr>
        <w:spacing w:before="120" w:after="120" w:line="360" w:lineRule="auto"/>
        <w:ind w:left="1416" w:hanging="566"/>
        <w:rPr>
          <w:b/>
          <w:szCs w:val="24"/>
          <w:lang w:eastAsia="en-US"/>
        </w:rPr>
      </w:pPr>
      <w:r w:rsidRPr="003B6CF7">
        <w:rPr>
          <w:szCs w:val="24"/>
          <w:lang w:eastAsia="en-US"/>
        </w:rPr>
        <w:t>2.</w:t>
      </w:r>
      <w:r w:rsidRPr="003B6CF7">
        <w:rPr>
          <w:szCs w:val="24"/>
          <w:lang w:eastAsia="en-US"/>
        </w:rPr>
        <w:tab/>
        <w:t xml:space="preserve">Den befogenhet att anta delegerade akter som avses i artikel </w:t>
      </w:r>
      <w:r w:rsidRPr="003B6CF7">
        <w:rPr>
          <w:strike/>
          <w:szCs w:val="24"/>
          <w:lang w:eastAsia="en-US"/>
        </w:rPr>
        <w:t>8.1 och 8.2</w:t>
      </w:r>
      <w:r w:rsidRPr="003B6CF7">
        <w:rPr>
          <w:b/>
          <w:i/>
          <w:szCs w:val="24"/>
          <w:lang w:eastAsia="en-US"/>
        </w:rPr>
        <w:t>8.2, 8.3 och 8.6a ska</w:t>
      </w:r>
      <w:r w:rsidRPr="003B6CF7">
        <w:rPr>
          <w:szCs w:val="24"/>
          <w:lang w:eastAsia="en-US"/>
        </w:rPr>
        <w:t xml:space="preserve"> ges till kommissionen </w:t>
      </w:r>
      <w:r w:rsidRPr="003B6CF7">
        <w:rPr>
          <w:strike/>
          <w:szCs w:val="24"/>
          <w:lang w:eastAsia="en-US"/>
        </w:rPr>
        <w:t>tills vidare</w:t>
      </w:r>
      <w:r w:rsidRPr="003B6CF7">
        <w:rPr>
          <w:b/>
          <w:i/>
          <w:szCs w:val="24"/>
          <w:lang w:eastAsia="en-US"/>
        </w:rPr>
        <w:t>för en period av sex år</w:t>
      </w:r>
      <w:r w:rsidRPr="003B6CF7">
        <w:rPr>
          <w:szCs w:val="24"/>
          <w:lang w:eastAsia="en-US"/>
        </w:rPr>
        <w:t xml:space="preserve"> från och med </w:t>
      </w:r>
      <w:r w:rsidRPr="003B6CF7">
        <w:rPr>
          <w:strike/>
          <w:szCs w:val="24"/>
          <w:lang w:eastAsia="en-US"/>
        </w:rPr>
        <w:t xml:space="preserve">[Publikationsbyrån: infoga datum = </w:t>
      </w:r>
      <w:r w:rsidRPr="003B6CF7">
        <w:rPr>
          <w:b/>
          <w:i/>
          <w:szCs w:val="24"/>
          <w:lang w:eastAsia="en-US"/>
        </w:rPr>
        <w:t>den [</w:t>
      </w:r>
      <w:r w:rsidRPr="003B6CF7">
        <w:rPr>
          <w:szCs w:val="24"/>
          <w:lang w:eastAsia="en-US"/>
        </w:rPr>
        <w:t>dagen för ikraftträdandet av detta direktiv].</w:t>
      </w:r>
      <w:r w:rsidRPr="003B6CF7">
        <w:rPr>
          <w:b/>
          <w:i/>
          <w:szCs w:val="24"/>
          <w:lang w:eastAsia="en-US"/>
        </w:rPr>
        <w:t xml:space="preserve"> Kommissionen ska utarbeta en rapport om delegeringen av befogenhet senast nio månader före utgången av perioden av sex år. Delegeringen av befogenhet ska genom tyst medgivande förlängas med perioder av samma längd, om inte Europaparlamentet eller rådet motsätter sig en sådan förlängning senast tre månader före utgången av perioden i fråga.</w:t>
      </w:r>
      <w:r w:rsidR="005B0B4C" w:rsidRPr="003B6CF7">
        <w:rPr>
          <w:b/>
          <w:szCs w:val="24"/>
          <w:lang w:eastAsia="en-US"/>
        </w:rPr>
        <w:t xml:space="preserve"> [Ändr. 103]</w:t>
      </w:r>
    </w:p>
    <w:p w14:paraId="7CBC07A1" w14:textId="77777777" w:rsidR="00754D6D" w:rsidRPr="003B6CF7" w:rsidRDefault="00754D6D">
      <w:pPr>
        <w:widowControl/>
        <w:rPr>
          <w:szCs w:val="24"/>
          <w:lang w:eastAsia="en-US"/>
        </w:rPr>
      </w:pPr>
      <w:r w:rsidRPr="003B6CF7">
        <w:rPr>
          <w:szCs w:val="24"/>
          <w:lang w:eastAsia="en-US"/>
        </w:rPr>
        <w:br w:type="page"/>
      </w:r>
    </w:p>
    <w:p w14:paraId="50A13CD7" w14:textId="5B2580BE"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3.</w:t>
      </w:r>
      <w:r w:rsidRPr="003B6CF7">
        <w:rPr>
          <w:szCs w:val="24"/>
          <w:lang w:eastAsia="en-US"/>
        </w:rPr>
        <w:tab/>
        <w:t xml:space="preserve">Den delegering av befogenhet som avses i artikel </w:t>
      </w:r>
      <w:r w:rsidRPr="003B6CF7">
        <w:rPr>
          <w:strike/>
          <w:szCs w:val="24"/>
          <w:lang w:eastAsia="en-US"/>
        </w:rPr>
        <w:t>8.1 och 8.2</w:t>
      </w:r>
      <w:r w:rsidRPr="003B6CF7">
        <w:rPr>
          <w:b/>
          <w:i/>
          <w:szCs w:val="24"/>
          <w:lang w:eastAsia="en-US"/>
        </w:rPr>
        <w:t>8.2, 8.3 och 8.6a</w:t>
      </w:r>
      <w:r w:rsidRPr="003B6CF7">
        <w:rPr>
          <w:szCs w:val="24"/>
          <w:lang w:eastAsia="en-US"/>
        </w:rPr>
        <w:t xml:space="preserve"> får när som helst återkallas av Europaparlamentet eller rådet. Ett beslut om återkallelse innebär att delegeringen av den befogenhet som anges i beslutet upphör att gälla. Beslutet får verkan dagen efter det att det offentliggörs i </w:t>
      </w:r>
      <w:r w:rsidRPr="003B6CF7">
        <w:rPr>
          <w:i/>
          <w:szCs w:val="24"/>
          <w:lang w:eastAsia="en-US"/>
        </w:rPr>
        <w:t>Europeiska unionens officiella tidning</w:t>
      </w:r>
      <w:r w:rsidRPr="003B6CF7">
        <w:rPr>
          <w:szCs w:val="24"/>
          <w:lang w:eastAsia="en-US"/>
        </w:rPr>
        <w:t>, eller vid ett senare i beslutet angivet datum. Det påverkar inte giltigheten av delegerade akter som redan trätt i kraft.</w:t>
      </w:r>
      <w:r w:rsidR="005B0B4C" w:rsidRPr="003B6CF7">
        <w:rPr>
          <w:b/>
          <w:szCs w:val="24"/>
          <w:lang w:eastAsia="en-US"/>
        </w:rPr>
        <w:t xml:space="preserve"> [Ändr. 104]</w:t>
      </w:r>
    </w:p>
    <w:p w14:paraId="54A7F35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w:t>
      </w:r>
      <w:r w:rsidRPr="003B6CF7">
        <w:rPr>
          <w:szCs w:val="24"/>
          <w:lang w:eastAsia="en-US"/>
        </w:rPr>
        <w:tab/>
        <w:t>Innan kommissionen antar en delegerad akt ska den samråda med experter som utsetts av varje medlemsstat i enlighet med principerna i det interinstitutionella avtalet av den 13 april 2016 om bättre lagstiftning.</w:t>
      </w:r>
      <w:r w:rsidRPr="003B6CF7">
        <w:rPr>
          <w:b/>
          <w:i/>
          <w:szCs w:val="24"/>
          <w:lang w:eastAsia="en-US"/>
        </w:rPr>
        <w:t xml:space="preserve"> </w:t>
      </w:r>
      <w:r w:rsidRPr="003B6CF7">
        <w:rPr>
          <w:b/>
          <w:szCs w:val="24"/>
          <w:lang w:eastAsia="en-US"/>
        </w:rPr>
        <w:t>[Ändr. 105 - Berör inte den svenska versionen]</w:t>
      </w:r>
    </w:p>
    <w:p w14:paraId="4A307999"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5.</w:t>
      </w:r>
      <w:r w:rsidRPr="003B6CF7">
        <w:rPr>
          <w:szCs w:val="24"/>
          <w:lang w:eastAsia="en-US"/>
        </w:rPr>
        <w:tab/>
        <w:t>Så snart kommissionen antar en delegerad akt ska den samtidigt delge Europaparlamentet och rådet denna.</w:t>
      </w:r>
    </w:p>
    <w:p w14:paraId="743916BB" w14:textId="77777777" w:rsidR="00754D6D" w:rsidRPr="003B6CF7" w:rsidRDefault="00754D6D">
      <w:pPr>
        <w:widowControl/>
        <w:rPr>
          <w:szCs w:val="24"/>
          <w:lang w:eastAsia="en-US"/>
        </w:rPr>
      </w:pPr>
      <w:r w:rsidRPr="003B6CF7">
        <w:rPr>
          <w:szCs w:val="24"/>
          <w:lang w:eastAsia="en-US"/>
        </w:rPr>
        <w:br w:type="page"/>
      </w:r>
    </w:p>
    <w:p w14:paraId="40B5C69D" w14:textId="7C8789FC"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6.</w:t>
      </w:r>
      <w:r w:rsidRPr="003B6CF7">
        <w:rPr>
          <w:szCs w:val="24"/>
          <w:lang w:eastAsia="en-US"/>
        </w:rPr>
        <w:tab/>
        <w:t xml:space="preserve">En delegerad akt som antas enligt artikel </w:t>
      </w:r>
      <w:r w:rsidRPr="003B6CF7">
        <w:rPr>
          <w:strike/>
          <w:szCs w:val="24"/>
          <w:lang w:eastAsia="en-US"/>
        </w:rPr>
        <w:t>8.1</w:t>
      </w:r>
      <w:r w:rsidRPr="003B6CF7">
        <w:rPr>
          <w:b/>
          <w:i/>
          <w:szCs w:val="24"/>
          <w:lang w:eastAsia="en-US"/>
        </w:rPr>
        <w:t>8.2, 8.3</w:t>
      </w:r>
      <w:r w:rsidRPr="003B6CF7">
        <w:rPr>
          <w:szCs w:val="24"/>
          <w:lang w:eastAsia="en-US"/>
        </w:rPr>
        <w:t xml:space="preserve"> eller </w:t>
      </w:r>
      <w:r w:rsidRPr="003B6CF7">
        <w:rPr>
          <w:strike/>
          <w:szCs w:val="24"/>
          <w:lang w:eastAsia="en-US"/>
        </w:rPr>
        <w:t>artikel 8.2</w:t>
      </w:r>
      <w:r w:rsidRPr="003B6CF7">
        <w:rPr>
          <w:b/>
          <w:i/>
          <w:szCs w:val="24"/>
          <w:lang w:eastAsia="en-US"/>
        </w:rPr>
        <w:t>8.6a</w:t>
      </w:r>
      <w:r w:rsidRPr="003B6CF7">
        <w:rPr>
          <w:szCs w:val="24"/>
          <w:lang w:eastAsia="en-US"/>
        </w:rPr>
        <w:t xml:space="preserve">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005B0B4C" w:rsidRPr="003B6CF7">
        <w:rPr>
          <w:b/>
          <w:szCs w:val="24"/>
          <w:lang w:eastAsia="en-US"/>
        </w:rPr>
        <w:t xml:space="preserve"> [Ändr. 106]</w:t>
      </w:r>
    </w:p>
    <w:p w14:paraId="18913B52"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(9)</w:t>
      </w:r>
      <w:r w:rsidRPr="003B6CF7">
        <w:rPr>
          <w:szCs w:val="24"/>
          <w:lang w:eastAsia="en-US"/>
        </w:rPr>
        <w:tab/>
        <w:t>Artikel 9 ska ersättas med följande:</w:t>
      </w:r>
    </w:p>
    <w:p w14:paraId="169D7ACE"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9</w:t>
      </w:r>
    </w:p>
    <w:p w14:paraId="327CE549" w14:textId="77777777" w:rsidR="001831FD" w:rsidRPr="003B6CF7" w:rsidRDefault="001831FD" w:rsidP="001831FD">
      <w:pPr>
        <w:spacing w:before="120" w:after="120" w:line="360" w:lineRule="auto"/>
        <w:ind w:left="850"/>
        <w:rPr>
          <w:szCs w:val="24"/>
          <w:lang w:eastAsia="en-US"/>
        </w:rPr>
      </w:pPr>
      <w:r w:rsidRPr="003B6CF7">
        <w:rPr>
          <w:szCs w:val="24"/>
          <w:lang w:eastAsia="en-US"/>
        </w:rPr>
        <w:t>Kommittéförfarande</w:t>
      </w:r>
    </w:p>
    <w:p w14:paraId="7C75010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Kommissionen ska biträdas av en kommitté. Denna kommitté ska vara en kommitté i den mening som avses i Europaparlamentets och rådets förordning (EU) nr 182/2011*.</w:t>
      </w:r>
    </w:p>
    <w:p w14:paraId="6018A298" w14:textId="77777777" w:rsidR="00754D6D" w:rsidRPr="003B6CF7" w:rsidRDefault="00754D6D">
      <w:pPr>
        <w:widowControl/>
        <w:rPr>
          <w:szCs w:val="24"/>
          <w:lang w:eastAsia="en-US"/>
        </w:rPr>
      </w:pPr>
      <w:r w:rsidRPr="003B6CF7">
        <w:rPr>
          <w:szCs w:val="24"/>
          <w:lang w:eastAsia="en-US"/>
        </w:rPr>
        <w:br w:type="page"/>
      </w:r>
    </w:p>
    <w:p w14:paraId="2FB64044" w14:textId="4D2A0542"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2.</w:t>
      </w:r>
      <w:r w:rsidRPr="003B6CF7">
        <w:rPr>
          <w:szCs w:val="24"/>
          <w:lang w:eastAsia="en-US"/>
        </w:rPr>
        <w:tab/>
        <w:t>När det hänvisas till denna punkt ska artikel 5 i förordning (EU) nr 182/2011 tillämpas.</w:t>
      </w:r>
    </w:p>
    <w:p w14:paraId="7DCC43F2" w14:textId="77777777" w:rsidR="001831FD" w:rsidRPr="003B6CF7" w:rsidRDefault="001831FD" w:rsidP="001831FD">
      <w:pPr>
        <w:spacing w:before="120" w:after="120" w:line="360" w:lineRule="auto"/>
        <w:ind w:left="850"/>
        <w:rPr>
          <w:szCs w:val="24"/>
          <w:lang w:eastAsia="en-US"/>
        </w:rPr>
      </w:pPr>
      <w:r w:rsidRPr="003B6CF7">
        <w:rPr>
          <w:szCs w:val="24"/>
          <w:lang w:eastAsia="en-US"/>
        </w:rPr>
        <w:t xml:space="preserve">Om kommittén inte avger något yttrande, ska kommissionen inte anta utkastet till </w:t>
      </w:r>
      <w:proofErr w:type="spellStart"/>
      <w:r w:rsidRPr="003B6CF7">
        <w:rPr>
          <w:szCs w:val="24"/>
          <w:lang w:eastAsia="en-US"/>
        </w:rPr>
        <w:t>genomförandeakt</w:t>
      </w:r>
      <w:proofErr w:type="spellEnd"/>
      <w:r w:rsidRPr="003B6CF7">
        <w:rPr>
          <w:szCs w:val="24"/>
          <w:lang w:eastAsia="en-US"/>
        </w:rPr>
        <w:t xml:space="preserve"> och artikel 5.4 tredje stycket i förordning (EU) nr 182/2011 ska tillämpas.</w:t>
      </w:r>
    </w:p>
    <w:p w14:paraId="2057938D"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förordning (EU) nr 182/2011 av den 16 februari 2011 om fastställande av allmänna regler och principer för medlemsstaternas kontroll av kommissionens utövande av sina genomförandebefogenheter (EUT L 55, 28.2.2011, s. 13).”</w:t>
      </w:r>
    </w:p>
    <w:p w14:paraId="5AC44CC8"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(10)</w:t>
      </w:r>
      <w:r w:rsidRPr="003B6CF7">
        <w:rPr>
          <w:szCs w:val="24"/>
          <w:lang w:eastAsia="en-US"/>
        </w:rPr>
        <w:tab/>
        <w:t>Artikel 10 ska utgå.</w:t>
      </w:r>
    </w:p>
    <w:p w14:paraId="37C27637"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(11)</w:t>
      </w:r>
      <w:r w:rsidRPr="003B6CF7">
        <w:rPr>
          <w:szCs w:val="24"/>
          <w:lang w:eastAsia="en-US"/>
        </w:rPr>
        <w:tab/>
        <w:t>Bilaga I ska ersättas med texten i bilaga III till detta direktiv.</w:t>
      </w:r>
    </w:p>
    <w:p w14:paraId="3A3DE27D"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(12)</w:t>
      </w:r>
      <w:r w:rsidRPr="003B6CF7">
        <w:rPr>
          <w:szCs w:val="24"/>
          <w:lang w:eastAsia="en-US"/>
        </w:rPr>
        <w:tab/>
        <w:t>Bilaga II ska ändras i enlighet med bilaga IV till detta direktiv.</w:t>
      </w:r>
    </w:p>
    <w:p w14:paraId="46192F1B" w14:textId="77777777" w:rsidR="00754D6D" w:rsidRPr="003B6CF7" w:rsidRDefault="00754D6D">
      <w:pPr>
        <w:widowControl/>
        <w:rPr>
          <w:szCs w:val="24"/>
          <w:lang w:eastAsia="en-US"/>
        </w:rPr>
      </w:pPr>
      <w:r w:rsidRPr="003B6CF7">
        <w:rPr>
          <w:szCs w:val="24"/>
          <w:lang w:eastAsia="en-US"/>
        </w:rPr>
        <w:br w:type="page"/>
      </w:r>
    </w:p>
    <w:p w14:paraId="7326AC53" w14:textId="2C229775"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(13)</w:t>
      </w:r>
      <w:r w:rsidRPr="003B6CF7">
        <w:rPr>
          <w:szCs w:val="24"/>
          <w:lang w:eastAsia="en-US"/>
        </w:rPr>
        <w:tab/>
        <w:t>I bilaga III ska punkt 2 c ersättas med följande:</w:t>
      </w:r>
    </w:p>
    <w:p w14:paraId="2DADE0F8"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All annan relevant information, inbegripet en jämförelse mellan det årliga aritmetiska medelvärdet för koncentrationen av de relevanta förorenande ämnena vid en övervakningspunkt och de kvalitetsnormer för grundvatten som fastställs i bilaga I och de tröskelvärden som avses i artikel 3.1 b och c.”</w:t>
      </w:r>
    </w:p>
    <w:p w14:paraId="029C4478"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(14)</w:t>
      </w:r>
      <w:r w:rsidRPr="003B6CF7">
        <w:rPr>
          <w:szCs w:val="24"/>
          <w:lang w:eastAsia="en-US"/>
        </w:rPr>
        <w:tab/>
        <w:t>I bilaga IV del B punkt 1 ska den inledande meningen ersättas med följande:</w:t>
      </w:r>
    </w:p>
    <w:p w14:paraId="3FFB4FD0" w14:textId="497EB9C1" w:rsidR="001831FD" w:rsidRPr="003B6CF7" w:rsidRDefault="001831FD" w:rsidP="001831FD">
      <w:pPr>
        <w:spacing w:before="120" w:after="120" w:line="360" w:lineRule="auto"/>
        <w:ind w:left="850"/>
        <w:rPr>
          <w:b/>
          <w:szCs w:val="24"/>
          <w:lang w:eastAsia="en-US"/>
        </w:rPr>
      </w:pPr>
      <w:r w:rsidRPr="003B6CF7">
        <w:rPr>
          <w:szCs w:val="24"/>
          <w:lang w:eastAsia="en-US"/>
        </w:rPr>
        <w:t>”Utgångspunkten för genomförande av åtgärder för att vända betydande och ihållande uppåtgående trender</w:t>
      </w:r>
      <w:r w:rsidRPr="003B6CF7">
        <w:rPr>
          <w:b/>
          <w:i/>
          <w:szCs w:val="24"/>
          <w:lang w:eastAsia="en-US"/>
        </w:rPr>
        <w:t>, inbegripet säsongsbetingade uppåtgående trender som bland annat orsakas av låga utsläpp från en vattenförekomst,</w:t>
      </w:r>
      <w:r w:rsidRPr="003B6CF7">
        <w:rPr>
          <w:szCs w:val="24"/>
          <w:lang w:eastAsia="en-US"/>
        </w:rPr>
        <w:t xml:space="preserve"> ska vara när koncentrationen av det förorenande ämnet uppnår 75 % av parametervärdena för de kvalitetsnormer för grundvatten som anges i bilaga I och av de tröskelvärden som avses i artikel 3.1 b och c, såvida inte</w:t>
      </w:r>
      <w:r w:rsidRPr="003B6CF7">
        <w:rPr>
          <w:strike/>
          <w:szCs w:val="24"/>
          <w:lang w:eastAsia="en-US"/>
        </w:rPr>
        <w:t>.</w:t>
      </w:r>
      <w:r w:rsidRPr="003B6CF7">
        <w:rPr>
          <w:szCs w:val="24"/>
          <w:lang w:eastAsia="en-US"/>
        </w:rPr>
        <w:t>”</w:t>
      </w:r>
      <w:r w:rsidR="005B0B4C" w:rsidRPr="003B6CF7">
        <w:rPr>
          <w:b/>
          <w:szCs w:val="24"/>
          <w:lang w:eastAsia="en-US"/>
        </w:rPr>
        <w:t xml:space="preserve"> [Ändr. 107]</w:t>
      </w:r>
    </w:p>
    <w:p w14:paraId="265517BE" w14:textId="77777777" w:rsidR="00754D6D" w:rsidRPr="003B6CF7" w:rsidRDefault="00754D6D">
      <w:pPr>
        <w:widowControl/>
        <w:rPr>
          <w:szCs w:val="24"/>
          <w:lang w:eastAsia="en-US"/>
        </w:rPr>
      </w:pPr>
      <w:r w:rsidRPr="003B6CF7">
        <w:rPr>
          <w:szCs w:val="24"/>
          <w:lang w:eastAsia="en-US"/>
        </w:rPr>
        <w:br w:type="page"/>
      </w:r>
    </w:p>
    <w:p w14:paraId="2731BC74" w14:textId="4F310336" w:rsidR="001831FD" w:rsidRPr="003B6CF7" w:rsidRDefault="001831FD" w:rsidP="001831FD">
      <w:pPr>
        <w:spacing w:before="120" w:after="120" w:line="360" w:lineRule="auto"/>
        <w:jc w:val="center"/>
        <w:rPr>
          <w:szCs w:val="24"/>
          <w:lang w:eastAsia="en-US"/>
        </w:rPr>
      </w:pPr>
      <w:r w:rsidRPr="003B6CF7">
        <w:rPr>
          <w:szCs w:val="24"/>
          <w:lang w:eastAsia="en-US"/>
        </w:rPr>
        <w:lastRenderedPageBreak/>
        <w:t>Artikel 3</w:t>
      </w:r>
      <w:r w:rsidRPr="003B6CF7">
        <w:rPr>
          <w:szCs w:val="24"/>
          <w:lang w:eastAsia="en-US"/>
        </w:rPr>
        <w:br/>
        <w:t>Ändringar av direktiv 2008/105/EG</w:t>
      </w:r>
    </w:p>
    <w:p w14:paraId="3A17691C" w14:textId="77777777" w:rsidR="001831FD" w:rsidRPr="003B6CF7" w:rsidRDefault="001831FD" w:rsidP="001831FD">
      <w:pPr>
        <w:spacing w:before="120" w:after="120" w:line="360" w:lineRule="auto"/>
        <w:rPr>
          <w:szCs w:val="24"/>
          <w:lang w:eastAsia="en-US"/>
        </w:rPr>
      </w:pPr>
      <w:r w:rsidRPr="003B6CF7">
        <w:rPr>
          <w:szCs w:val="24"/>
          <w:lang w:eastAsia="en-US"/>
        </w:rPr>
        <w:t>Direktiv 2008/105/EG ska ändras på följande sätt:</w:t>
      </w:r>
    </w:p>
    <w:p w14:paraId="2F282F2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Titeln ska ersättas med följande:</w:t>
      </w:r>
    </w:p>
    <w:p w14:paraId="33A534FF" w14:textId="77777777" w:rsidR="001831FD" w:rsidRPr="003B6CF7" w:rsidRDefault="001831FD" w:rsidP="001831FD">
      <w:pPr>
        <w:spacing w:before="120" w:after="120" w:line="360" w:lineRule="auto"/>
        <w:ind w:left="850"/>
        <w:rPr>
          <w:szCs w:val="24"/>
          <w:lang w:eastAsia="en-US"/>
        </w:rPr>
      </w:pPr>
      <w:r w:rsidRPr="003B6CF7">
        <w:rPr>
          <w:szCs w:val="24"/>
          <w:lang w:eastAsia="en-US"/>
        </w:rPr>
        <w:t>”Europaparlamentets och rådets direktiv 2008/105/EG av den 16 december 2008 om förebyggande och begränsning av förorening av ytvatten och ändring och senare upphävande av rådets direktiv 82/176/EEG, 83/513/EEG, 84/156/EEG, 84/491/EEG och 86/280/EEG, samt om ändring av Europaparlamentets och rådets direktiv 2000/60/EG.”</w:t>
      </w:r>
    </w:p>
    <w:p w14:paraId="63EEE7F6"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1a.</w:t>
      </w:r>
      <w:r w:rsidRPr="003B6CF7">
        <w:rPr>
          <w:szCs w:val="24"/>
          <w:lang w:eastAsia="en-US"/>
        </w:rPr>
        <w:tab/>
      </w:r>
      <w:r w:rsidRPr="003B6CF7">
        <w:rPr>
          <w:b/>
          <w:i/>
          <w:szCs w:val="24"/>
          <w:lang w:eastAsia="en-US"/>
        </w:rPr>
        <w:t>Artikel 1 ska ändras på följande sätt:</w:t>
      </w:r>
    </w:p>
    <w:p w14:paraId="5F45B397" w14:textId="06CD2CE6"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754D6D" w:rsidRPr="003B6CF7">
        <w:rPr>
          <w:b/>
          <w:i/>
          <w:szCs w:val="24"/>
          <w:lang w:eastAsia="en-US"/>
        </w:rPr>
        <w:t>kel 1</w:t>
      </w:r>
      <w:r w:rsidRPr="003B6CF7">
        <w:rPr>
          <w:szCs w:val="24"/>
          <w:lang w:eastAsia="en-US"/>
        </w:rPr>
        <w:br/>
      </w:r>
      <w:r w:rsidRPr="003B6CF7">
        <w:rPr>
          <w:b/>
          <w:i/>
          <w:szCs w:val="24"/>
          <w:lang w:eastAsia="en-US"/>
        </w:rPr>
        <w:t>Syfte</w:t>
      </w:r>
    </w:p>
    <w:p w14:paraId="10077EED" w14:textId="7616EFC2" w:rsidR="001831FD" w:rsidRPr="003B6CF7" w:rsidRDefault="001831FD" w:rsidP="001831FD">
      <w:pPr>
        <w:spacing w:before="120" w:after="120" w:line="360" w:lineRule="auto"/>
        <w:ind w:left="850"/>
        <w:rPr>
          <w:b/>
          <w:szCs w:val="24"/>
          <w:lang w:eastAsia="en-US"/>
        </w:rPr>
      </w:pPr>
      <w:r w:rsidRPr="003B6CF7">
        <w:rPr>
          <w:b/>
          <w:i/>
          <w:szCs w:val="24"/>
          <w:lang w:eastAsia="en-US"/>
        </w:rPr>
        <w:t>I detta direktiv fastställs miljökvalitetsnormer för prioriterade ämnen och prioriterade farliga ämnen, i syfte att uppnå en god kemisk ytvattenstatus och i enlighet med målen och bestämmelserna i artikel 4 i direktiv 2000/60/EG.</w:t>
      </w:r>
      <w:r w:rsidRPr="003B6CF7">
        <w:rPr>
          <w:szCs w:val="24"/>
          <w:lang w:eastAsia="en-US"/>
        </w:rPr>
        <w:t>”</w:t>
      </w:r>
      <w:r w:rsidR="005B0B4C" w:rsidRPr="003B6CF7">
        <w:rPr>
          <w:b/>
          <w:szCs w:val="24"/>
          <w:lang w:eastAsia="en-US"/>
        </w:rPr>
        <w:t xml:space="preserve"> [Ändr. 108]</w:t>
      </w:r>
    </w:p>
    <w:p w14:paraId="0483C665" w14:textId="77777777" w:rsidR="00754D6D" w:rsidRPr="003B6CF7" w:rsidRDefault="00754D6D">
      <w:pPr>
        <w:widowControl/>
        <w:rPr>
          <w:szCs w:val="24"/>
          <w:lang w:eastAsia="en-US"/>
        </w:rPr>
      </w:pPr>
      <w:r w:rsidRPr="003B6CF7">
        <w:rPr>
          <w:szCs w:val="24"/>
          <w:lang w:eastAsia="en-US"/>
        </w:rPr>
        <w:br w:type="page"/>
      </w:r>
    </w:p>
    <w:p w14:paraId="0A9D0020" w14:textId="36520B2E"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(2)</w:t>
      </w:r>
      <w:r w:rsidRPr="003B6CF7">
        <w:rPr>
          <w:szCs w:val="24"/>
          <w:lang w:eastAsia="en-US"/>
        </w:rPr>
        <w:tab/>
        <w:t>Artikel 3 ska ändras på följande sätt:</w:t>
      </w:r>
    </w:p>
    <w:p w14:paraId="441A7DA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punkt 1a första stycket ska följande led läggas till som led iii:</w:t>
      </w:r>
    </w:p>
    <w:p w14:paraId="47543C93"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”iii)</w:t>
      </w:r>
      <w:r w:rsidRPr="003B6CF7">
        <w:rPr>
          <w:szCs w:val="24"/>
          <w:lang w:eastAsia="en-US"/>
        </w:rPr>
        <w:tab/>
        <w:t>ämnen nr 5, 9, 13, 15, 17, 21, 23, 24, 28, 30, 34, 37, 41 och 44 i del A i bilaga I, för vilka reviderade miljökvalitetsnormer fastställs, och de nyligen identifierade ämnena nr 46–70 i del A i bilaga I, med verkan från och med … [Publikationsbyrån: infoga datum = första dagen i den månad som följer 18 månader efter dagen för ikraftträdandet av detta direktiv], i syfte att förhindra en försämring av ytvattenförekomsters kemiska status och uppnå god kemisk ytvattenstatus i fråga om dessa ämnen.”</w:t>
      </w:r>
    </w:p>
    <w:p w14:paraId="05A4AE5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Punkt 2 ska ersättas med följande:</w:t>
      </w:r>
    </w:p>
    <w:p w14:paraId="19C21342"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”2.</w:t>
      </w:r>
      <w:r w:rsidRPr="003B6CF7">
        <w:rPr>
          <w:szCs w:val="24"/>
          <w:lang w:eastAsia="en-US"/>
        </w:rPr>
        <w:tab/>
        <w:t xml:space="preserve">För ämnen för vilka miljökvalitetsnormer för </w:t>
      </w:r>
      <w:proofErr w:type="spellStart"/>
      <w:r w:rsidRPr="003B6CF7">
        <w:rPr>
          <w:szCs w:val="24"/>
          <w:lang w:eastAsia="en-US"/>
        </w:rPr>
        <w:t>biota</w:t>
      </w:r>
      <w:proofErr w:type="spellEnd"/>
      <w:r w:rsidRPr="003B6CF7">
        <w:rPr>
          <w:szCs w:val="24"/>
          <w:lang w:eastAsia="en-US"/>
        </w:rPr>
        <w:t xml:space="preserve"> eller miljökvalitetsnormer för sediment fastställs i del A i bilaga I ska medlemsstaterna tillämpa sådana miljökvalitetsnormer för </w:t>
      </w:r>
      <w:proofErr w:type="spellStart"/>
      <w:r w:rsidRPr="003B6CF7">
        <w:rPr>
          <w:szCs w:val="24"/>
          <w:lang w:eastAsia="en-US"/>
        </w:rPr>
        <w:t>biota</w:t>
      </w:r>
      <w:proofErr w:type="spellEnd"/>
      <w:r w:rsidRPr="003B6CF7">
        <w:rPr>
          <w:szCs w:val="24"/>
          <w:lang w:eastAsia="en-US"/>
        </w:rPr>
        <w:t xml:space="preserve"> eller miljökvalitetsnormer för sediment.</w:t>
      </w:r>
    </w:p>
    <w:p w14:paraId="45698CEA" w14:textId="77777777" w:rsidR="001831FD" w:rsidRPr="003B6CF7" w:rsidRDefault="001831FD" w:rsidP="001831FD">
      <w:pPr>
        <w:spacing w:before="120" w:after="120" w:line="360" w:lineRule="auto"/>
        <w:ind w:left="1982"/>
        <w:rPr>
          <w:szCs w:val="24"/>
          <w:lang w:eastAsia="en-US"/>
        </w:rPr>
      </w:pPr>
      <w:r w:rsidRPr="003B6CF7">
        <w:rPr>
          <w:szCs w:val="24"/>
          <w:lang w:eastAsia="en-US"/>
        </w:rPr>
        <w:t>För andra ämnen än de som avses i första stycket ska medlemsstaterna tillämpa de miljökvalitetsnormer för vatten som anges i del A i bilaga I.”</w:t>
      </w:r>
    </w:p>
    <w:p w14:paraId="25DD48AE" w14:textId="77777777" w:rsidR="00754D6D" w:rsidRPr="003B6CF7" w:rsidRDefault="00754D6D">
      <w:pPr>
        <w:widowControl/>
        <w:rPr>
          <w:szCs w:val="24"/>
          <w:lang w:eastAsia="en-US"/>
        </w:rPr>
      </w:pPr>
      <w:r w:rsidRPr="003B6CF7">
        <w:rPr>
          <w:szCs w:val="24"/>
          <w:lang w:eastAsia="en-US"/>
        </w:rPr>
        <w:br w:type="page"/>
      </w:r>
    </w:p>
    <w:p w14:paraId="7D4FC0D9" w14:textId="4E5ECCA2"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(c)</w:t>
      </w:r>
      <w:r w:rsidRPr="003B6CF7">
        <w:rPr>
          <w:szCs w:val="24"/>
          <w:lang w:eastAsia="en-US"/>
        </w:rPr>
        <w:tab/>
        <w:t>I punkt 6 första stycket ska första meningen ersättas med följande:</w:t>
      </w:r>
    </w:p>
    <w:p w14:paraId="77A64ED9"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”Medlemsstaterna ska se till att det görs långsiktiga trendanalyser av koncentrationen av de prioriterade ämnen som i del A i bilaga I identifieras som ämnen som tenderar att ackumuleras i sediment och/eller </w:t>
      </w:r>
      <w:proofErr w:type="spellStart"/>
      <w:r w:rsidRPr="003B6CF7">
        <w:rPr>
          <w:szCs w:val="24"/>
          <w:lang w:eastAsia="en-US"/>
        </w:rPr>
        <w:t>biota</w:t>
      </w:r>
      <w:proofErr w:type="spellEnd"/>
      <w:r w:rsidRPr="003B6CF7">
        <w:rPr>
          <w:szCs w:val="24"/>
          <w:lang w:eastAsia="en-US"/>
        </w:rPr>
        <w:t xml:space="preserve">, på grundval av övervakning i sediment eller </w:t>
      </w:r>
      <w:proofErr w:type="spellStart"/>
      <w:r w:rsidRPr="003B6CF7">
        <w:rPr>
          <w:szCs w:val="24"/>
          <w:lang w:eastAsia="en-US"/>
        </w:rPr>
        <w:t>biota</w:t>
      </w:r>
      <w:proofErr w:type="spellEnd"/>
      <w:r w:rsidRPr="003B6CF7">
        <w:rPr>
          <w:szCs w:val="24"/>
          <w:lang w:eastAsia="en-US"/>
        </w:rPr>
        <w:t xml:space="preserve"> som en del av den övervakning av ytvattenstatus som utförts i enlighet med artikel 8 i direktiv 2000/60/EG.”</w:t>
      </w:r>
    </w:p>
    <w:p w14:paraId="422BCB2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(d)</w:t>
      </w:r>
      <w:r w:rsidRPr="003B6CF7">
        <w:rPr>
          <w:szCs w:val="24"/>
          <w:lang w:eastAsia="en-US"/>
        </w:rPr>
        <w:tab/>
        <w:t>Punkt 7 ska utgå.</w:t>
      </w:r>
    </w:p>
    <w:p w14:paraId="251D556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(e)</w:t>
      </w:r>
      <w:r w:rsidRPr="003B6CF7">
        <w:rPr>
          <w:szCs w:val="24"/>
          <w:lang w:eastAsia="en-US"/>
        </w:rPr>
        <w:tab/>
        <w:t>Punkt 8 ska ersättas med följande:</w:t>
      </w:r>
    </w:p>
    <w:p w14:paraId="71635AFD"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”8.</w:t>
      </w:r>
      <w:r w:rsidRPr="003B6CF7">
        <w:rPr>
          <w:szCs w:val="24"/>
          <w:lang w:eastAsia="en-US"/>
        </w:rPr>
        <w:tab/>
        <w:t xml:space="preserve">Kommissionen ges befogenhet att anta delegerade akter i enlighet med artikel 9a för att ändra del B punkt 3 i bilaga I </w:t>
      </w:r>
      <w:proofErr w:type="spellStart"/>
      <w:r w:rsidRPr="003B6CF7">
        <w:rPr>
          <w:szCs w:val="24"/>
          <w:lang w:eastAsia="en-US"/>
        </w:rPr>
        <w:t>i</w:t>
      </w:r>
      <w:proofErr w:type="spellEnd"/>
      <w:r w:rsidRPr="003B6CF7">
        <w:rPr>
          <w:szCs w:val="24"/>
          <w:lang w:eastAsia="en-US"/>
        </w:rPr>
        <w:t xml:space="preserve"> syfte att anpassa den till den vetenskapliga eller tekniska utvecklingen.”</w:t>
      </w:r>
    </w:p>
    <w:p w14:paraId="0F690F5B" w14:textId="77777777" w:rsidR="00754D6D" w:rsidRPr="003B6CF7" w:rsidRDefault="00754D6D">
      <w:pPr>
        <w:widowControl/>
        <w:rPr>
          <w:szCs w:val="24"/>
          <w:lang w:eastAsia="en-US"/>
        </w:rPr>
      </w:pPr>
      <w:r w:rsidRPr="003B6CF7">
        <w:rPr>
          <w:szCs w:val="24"/>
          <w:lang w:eastAsia="en-US"/>
        </w:rPr>
        <w:br w:type="page"/>
      </w:r>
    </w:p>
    <w:p w14:paraId="0BA689AF" w14:textId="353A0F48"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(3)</w:t>
      </w:r>
      <w:r w:rsidRPr="003B6CF7">
        <w:rPr>
          <w:szCs w:val="24"/>
          <w:lang w:eastAsia="en-US"/>
        </w:rPr>
        <w:tab/>
        <w:t>Artikel 5 ska ändras på följande sätt:</w:t>
      </w:r>
    </w:p>
    <w:p w14:paraId="0EFCB619"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Punkt 1 ska ersättas med följande:</w:t>
      </w:r>
    </w:p>
    <w:p w14:paraId="0FE2A76A" w14:textId="12057DB1" w:rsidR="001831FD" w:rsidRPr="003B6CF7" w:rsidRDefault="001831FD" w:rsidP="001831FD">
      <w:pPr>
        <w:spacing w:before="120" w:after="120" w:line="360" w:lineRule="auto"/>
        <w:ind w:left="1982" w:hanging="566"/>
        <w:rPr>
          <w:b/>
          <w:szCs w:val="24"/>
          <w:lang w:eastAsia="en-US"/>
        </w:rPr>
      </w:pPr>
      <w:r w:rsidRPr="003B6CF7">
        <w:rPr>
          <w:szCs w:val="24"/>
          <w:lang w:eastAsia="en-US"/>
        </w:rPr>
        <w:t>”1.</w:t>
      </w:r>
      <w:r w:rsidRPr="003B6CF7">
        <w:rPr>
          <w:szCs w:val="24"/>
          <w:lang w:eastAsia="en-US"/>
        </w:rPr>
        <w:tab/>
        <w:t>På grundval av den information som samlats in i enlighet med artiklarna 5 och 8 i direktiv 2000/60/EG</w:t>
      </w:r>
      <w:r w:rsidRPr="003B6CF7">
        <w:rPr>
          <w:b/>
          <w:i/>
          <w:szCs w:val="24"/>
          <w:lang w:eastAsia="en-US"/>
        </w:rPr>
        <w:t xml:space="preserve"> och Europaparlamentets och rådets förordning (EU).../...</w:t>
      </w:r>
      <w:r w:rsidR="00754D6D" w:rsidRPr="003B6CF7">
        <w:rPr>
          <w:b/>
          <w:i/>
          <w:vertAlign w:val="superscript"/>
        </w:rPr>
        <w:t>1a</w:t>
      </w:r>
      <w:r w:rsidRPr="003B6CF7">
        <w:rPr>
          <w:szCs w:val="24"/>
          <w:lang w:eastAsia="en-US"/>
        </w:rPr>
        <w:t xml:space="preserve"> samt andra tillgängliga uppgifter ska medlemsstaterna upprätta ett register, inklusive kartor om de finns tillgängliga, över utsläpp och spill för alla de prioriterade ämnen som förtecknas i del A i bilaga I till det här direktivet och för alla de förorenande ämnen som förtecknas i del A i bilaga II till det här direktivet, för varje avrinningsdistrikt eller del av ett avrinningsdistrikt inom medlemsstatens territorium, inbegripet deras koncentrationer i sediment och </w:t>
      </w:r>
      <w:proofErr w:type="spellStart"/>
      <w:r w:rsidRPr="003B6CF7">
        <w:rPr>
          <w:szCs w:val="24"/>
          <w:lang w:eastAsia="en-US"/>
        </w:rPr>
        <w:t>biota</w:t>
      </w:r>
      <w:proofErr w:type="spellEnd"/>
      <w:r w:rsidRPr="003B6CF7">
        <w:rPr>
          <w:szCs w:val="24"/>
          <w:lang w:eastAsia="en-US"/>
        </w:rPr>
        <w:t xml:space="preserve"> där så är lämpligt.</w:t>
      </w:r>
      <w:r w:rsidR="005B0B4C" w:rsidRPr="003B6CF7">
        <w:rPr>
          <w:b/>
          <w:szCs w:val="24"/>
          <w:lang w:eastAsia="en-US"/>
        </w:rPr>
        <w:t xml:space="preserve"> [Ändr. 109]</w:t>
      </w:r>
    </w:p>
    <w:p w14:paraId="61AA621D" w14:textId="77777777" w:rsidR="00754D6D" w:rsidRPr="003B6CF7" w:rsidRDefault="00754D6D" w:rsidP="00754D6D">
      <w:pPr>
        <w:ind w:left="1982" w:hanging="566"/>
        <w:rPr>
          <w:b/>
          <w:i/>
        </w:rPr>
      </w:pPr>
      <w:r w:rsidRPr="003B6CF7">
        <w:rPr>
          <w:b/>
          <w:i/>
        </w:rPr>
        <w:t>_________________</w:t>
      </w:r>
    </w:p>
    <w:p w14:paraId="297AA8CC" w14:textId="3ED16417" w:rsidR="00754D6D" w:rsidRPr="003B6CF7" w:rsidRDefault="00754D6D" w:rsidP="003B6CF7">
      <w:pPr>
        <w:spacing w:before="120" w:after="120" w:line="360" w:lineRule="auto"/>
        <w:ind w:left="1985" w:hanging="567"/>
        <w:rPr>
          <w:szCs w:val="24"/>
          <w:lang w:eastAsia="en-US"/>
        </w:rPr>
      </w:pPr>
      <w:r w:rsidRPr="003B6CF7">
        <w:rPr>
          <w:b/>
          <w:i/>
          <w:vertAlign w:val="superscript"/>
        </w:rPr>
        <w:t>1a</w:t>
      </w:r>
      <w:r w:rsidRPr="003B6CF7">
        <w:rPr>
          <w:b/>
        </w:rPr>
        <w:t xml:space="preserve"> </w:t>
      </w:r>
      <w:r w:rsidRPr="003B6CF7">
        <w:rPr>
          <w:b/>
        </w:rPr>
        <w:tab/>
      </w:r>
      <w:r w:rsidR="00133BEE" w:rsidRPr="003B6CF7">
        <w:rPr>
          <w:b/>
          <w:i/>
        </w:rPr>
        <w:t>Publikationsbyrån: infoga numret på den förordning som finns i dokumentet COM(2022) 157</w:t>
      </w:r>
      <w:r w:rsidRPr="003B6CF7">
        <w:rPr>
          <w:b/>
          <w:i/>
        </w:rPr>
        <w:t>.</w:t>
      </w:r>
    </w:p>
    <w:p w14:paraId="053D482E" w14:textId="3B336152" w:rsidR="001831FD" w:rsidRPr="003B6CF7" w:rsidRDefault="001831FD" w:rsidP="001831FD">
      <w:pPr>
        <w:spacing w:before="120" w:after="120" w:line="360" w:lineRule="auto"/>
        <w:ind w:left="1982"/>
        <w:rPr>
          <w:b/>
          <w:szCs w:val="24"/>
          <w:lang w:eastAsia="en-US"/>
        </w:rPr>
      </w:pPr>
      <w:r w:rsidRPr="003B6CF7">
        <w:rPr>
          <w:b/>
          <w:i/>
          <w:szCs w:val="24"/>
          <w:lang w:eastAsia="en-US"/>
        </w:rPr>
        <w:t>Utsläppsinventeringarna ska göras tillgängliga i en elektronisk databas som regelbundet uppdateras och som är lättillgänglig för allmänheten.</w:t>
      </w:r>
      <w:r w:rsidR="005B0B4C" w:rsidRPr="003B6CF7">
        <w:rPr>
          <w:b/>
          <w:szCs w:val="24"/>
          <w:lang w:eastAsia="en-US"/>
        </w:rPr>
        <w:t xml:space="preserve"> [Ändr. 110]</w:t>
      </w:r>
    </w:p>
    <w:p w14:paraId="20FABABE" w14:textId="77777777" w:rsidR="00FA11D0" w:rsidRPr="003B6CF7" w:rsidRDefault="00FA11D0">
      <w:pPr>
        <w:widowControl/>
        <w:rPr>
          <w:strike/>
          <w:szCs w:val="24"/>
          <w:lang w:eastAsia="en-US"/>
        </w:rPr>
      </w:pPr>
      <w:r w:rsidRPr="003B6CF7">
        <w:rPr>
          <w:strike/>
          <w:szCs w:val="24"/>
          <w:lang w:eastAsia="en-US"/>
        </w:rPr>
        <w:br w:type="page"/>
      </w:r>
    </w:p>
    <w:p w14:paraId="1B06C8CE" w14:textId="2A91161D" w:rsidR="001831FD" w:rsidRPr="003B6CF7" w:rsidRDefault="001831FD" w:rsidP="001831FD">
      <w:pPr>
        <w:spacing w:before="120" w:after="120" w:line="360" w:lineRule="auto"/>
        <w:ind w:left="1982"/>
        <w:rPr>
          <w:b/>
          <w:szCs w:val="24"/>
          <w:lang w:eastAsia="en-US"/>
        </w:rPr>
      </w:pPr>
      <w:r w:rsidRPr="003B6CF7">
        <w:rPr>
          <w:strike/>
          <w:szCs w:val="24"/>
          <w:lang w:eastAsia="en-US"/>
        </w:rPr>
        <w:lastRenderedPageBreak/>
        <w:t xml:space="preserve">Första stycket ska inte tillämpas på utsläpp och spill som rapporteras till kommissionen elektroniskt i enlighet med Europaparlamentets och rådets förordning (EU) …/…. </w:t>
      </w:r>
      <w:r w:rsidRPr="003B6CF7">
        <w:rPr>
          <w:szCs w:val="24"/>
          <w:lang w:eastAsia="en-US"/>
        </w:rPr>
        <w:t>”</w:t>
      </w:r>
      <w:r w:rsidR="005B0B4C" w:rsidRPr="003B6CF7">
        <w:rPr>
          <w:b/>
          <w:szCs w:val="24"/>
          <w:lang w:eastAsia="en-US"/>
        </w:rPr>
        <w:t xml:space="preserve"> [Ändr. 111]</w:t>
      </w:r>
    </w:p>
    <w:p w14:paraId="6E52543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Punkterna 2 och 3 ska utgå.</w:t>
      </w:r>
    </w:p>
    <w:p w14:paraId="677673F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Punkt 4 ska ersättas med följande:</w:t>
      </w:r>
    </w:p>
    <w:p w14:paraId="464C83DB" w14:textId="47E15B7F" w:rsidR="001831FD" w:rsidRPr="003B6CF7" w:rsidRDefault="001831FD" w:rsidP="001831FD">
      <w:pPr>
        <w:spacing w:before="120" w:after="120" w:line="360" w:lineRule="auto"/>
        <w:ind w:left="1982" w:hanging="566"/>
        <w:rPr>
          <w:b/>
          <w:szCs w:val="24"/>
          <w:lang w:eastAsia="en-US"/>
        </w:rPr>
      </w:pPr>
      <w:r w:rsidRPr="003B6CF7">
        <w:rPr>
          <w:szCs w:val="24"/>
          <w:lang w:eastAsia="en-US"/>
        </w:rPr>
        <w:t>”4.</w:t>
      </w:r>
      <w:r w:rsidRPr="003B6CF7">
        <w:rPr>
          <w:szCs w:val="24"/>
          <w:lang w:eastAsia="en-US"/>
        </w:rPr>
        <w:tab/>
        <w:t xml:space="preserve">Medlemsstaterna ska uppdatera sina register som en del av översynen av analyserna enligt artikel 5.2 i direktiv 2000/60/EG, och ska se till att </w:t>
      </w:r>
      <w:r w:rsidRPr="003B6CF7">
        <w:rPr>
          <w:b/>
          <w:i/>
          <w:szCs w:val="24"/>
          <w:lang w:eastAsia="en-US"/>
        </w:rPr>
        <w:t xml:space="preserve">utsläppen, inklusive </w:t>
      </w:r>
      <w:r w:rsidRPr="003B6CF7">
        <w:rPr>
          <w:szCs w:val="24"/>
          <w:lang w:eastAsia="en-US"/>
        </w:rPr>
        <w:t>de</w:t>
      </w:r>
      <w:r w:rsidRPr="003B6CF7">
        <w:rPr>
          <w:strike/>
          <w:szCs w:val="24"/>
          <w:lang w:eastAsia="en-US"/>
        </w:rPr>
        <w:t xml:space="preserve"> utsläpp som inte</w:t>
      </w:r>
      <w:r w:rsidRPr="003B6CF7">
        <w:rPr>
          <w:b/>
          <w:i/>
          <w:szCs w:val="24"/>
          <w:lang w:eastAsia="en-US"/>
        </w:rPr>
        <w:t xml:space="preserve"> som</w:t>
      </w:r>
      <w:r w:rsidRPr="003B6CF7">
        <w:rPr>
          <w:szCs w:val="24"/>
          <w:lang w:eastAsia="en-US"/>
        </w:rPr>
        <w:t xml:space="preserve"> rapporteras till den portal för industriutsläpp som inrättats enligt förordning (EU) …/…++ offentliggörs i deras förvaltningsplaner för avrinningsdistrikt som uppdateras i enlighet med artikel 13.7 i det direktivet.</w:t>
      </w:r>
      <w:r w:rsidR="005B0B4C" w:rsidRPr="003B6CF7">
        <w:rPr>
          <w:b/>
          <w:szCs w:val="24"/>
          <w:lang w:eastAsia="en-US"/>
        </w:rPr>
        <w:t xml:space="preserve"> [Ändr. 112]</w:t>
      </w:r>
    </w:p>
    <w:p w14:paraId="006B4553" w14:textId="77777777" w:rsidR="001831FD" w:rsidRPr="003B6CF7" w:rsidRDefault="001831FD" w:rsidP="001831FD">
      <w:pPr>
        <w:spacing w:before="120" w:after="120" w:line="360" w:lineRule="auto"/>
        <w:ind w:left="1982"/>
        <w:rPr>
          <w:szCs w:val="24"/>
          <w:lang w:eastAsia="en-US"/>
        </w:rPr>
      </w:pPr>
      <w:r w:rsidRPr="003B6CF7">
        <w:rPr>
          <w:szCs w:val="24"/>
          <w:lang w:eastAsia="en-US"/>
        </w:rPr>
        <w:t>Referensperioden för fastställandet av värden i de uppdaterade registren ska vara det år som föregår det år då de analyser som avses i första stycket ska slutföras.</w:t>
      </w:r>
    </w:p>
    <w:p w14:paraId="5E322A7F" w14:textId="77777777" w:rsidR="00FA11D0" w:rsidRPr="003B6CF7" w:rsidRDefault="00FA11D0">
      <w:pPr>
        <w:widowControl/>
        <w:rPr>
          <w:strike/>
          <w:szCs w:val="24"/>
          <w:lang w:eastAsia="en-US"/>
        </w:rPr>
      </w:pPr>
      <w:r w:rsidRPr="003B6CF7">
        <w:rPr>
          <w:strike/>
          <w:szCs w:val="24"/>
          <w:lang w:eastAsia="en-US"/>
        </w:rPr>
        <w:br w:type="page"/>
      </w:r>
    </w:p>
    <w:p w14:paraId="2E4F2FAF" w14:textId="569F56C6" w:rsidR="001831FD" w:rsidRPr="003B6CF7" w:rsidRDefault="001831FD" w:rsidP="001831FD">
      <w:pPr>
        <w:spacing w:before="120" w:after="120" w:line="360" w:lineRule="auto"/>
        <w:ind w:left="1982"/>
        <w:rPr>
          <w:b/>
          <w:szCs w:val="24"/>
          <w:lang w:eastAsia="en-US"/>
        </w:rPr>
      </w:pPr>
      <w:r w:rsidRPr="003B6CF7">
        <w:rPr>
          <w:strike/>
          <w:szCs w:val="24"/>
          <w:lang w:eastAsia="en-US"/>
        </w:rPr>
        <w:lastRenderedPageBreak/>
        <w:t>För prioriterade ämnen och förorenande ämnen som omfattas av förordning (EG) nr 1107/2009 får värdena beräknas som medelvärden för de tre år som föregår slutförandet av den analys som avses i första stycket.</w:t>
      </w:r>
      <w:r w:rsidR="005B0B4C" w:rsidRPr="003B6CF7">
        <w:rPr>
          <w:b/>
          <w:szCs w:val="24"/>
          <w:lang w:eastAsia="en-US"/>
        </w:rPr>
        <w:t xml:space="preserve"> [Ändr. 113]</w:t>
      </w:r>
    </w:p>
    <w:p w14:paraId="2EE51EB3" w14:textId="77777777" w:rsidR="001831FD" w:rsidRPr="003B6CF7" w:rsidRDefault="001831FD" w:rsidP="001831FD">
      <w:pPr>
        <w:spacing w:before="120" w:after="120" w:line="360" w:lineRule="auto"/>
        <w:ind w:left="1982"/>
        <w:rPr>
          <w:szCs w:val="24"/>
          <w:lang w:eastAsia="en-US"/>
        </w:rPr>
      </w:pPr>
      <w:r w:rsidRPr="003B6CF7">
        <w:rPr>
          <w:szCs w:val="24"/>
          <w:lang w:eastAsia="en-US"/>
        </w:rPr>
        <w:t>För utsläpp från punktkällor som inte rapporteras i enlighet med förordning (EU) …/… +++, eftersom de inte omfattas av den förordningen eller eftersom de ligger under de tröskelvärden för årlig rapportering som fastställs i den förordningen, ska rapporteringsskyldigheten i första stycket i den här artikeln uppfyllas genom elektronisk rapportering till den portal för industriutsläpp som inrättats enligt den förordningen.</w:t>
      </w:r>
    </w:p>
    <w:p w14:paraId="26D77B01" w14:textId="77777777" w:rsidR="001831FD" w:rsidRPr="003B6CF7" w:rsidRDefault="001831FD" w:rsidP="001831FD">
      <w:pPr>
        <w:spacing w:before="120" w:after="120" w:line="360" w:lineRule="auto"/>
        <w:ind w:left="1982"/>
        <w:rPr>
          <w:szCs w:val="24"/>
          <w:lang w:eastAsia="en-US"/>
        </w:rPr>
      </w:pPr>
      <w:r w:rsidRPr="003B6CF7">
        <w:rPr>
          <w:szCs w:val="24"/>
          <w:lang w:eastAsia="en-US"/>
        </w:rPr>
        <w:t xml:space="preserve">Kommissionen ska, med bistånd av Europeiska miljöbyrån, anta en </w:t>
      </w:r>
      <w:proofErr w:type="spellStart"/>
      <w:r w:rsidRPr="003B6CF7">
        <w:rPr>
          <w:szCs w:val="24"/>
          <w:lang w:eastAsia="en-US"/>
        </w:rPr>
        <w:t>genomförandeakt</w:t>
      </w:r>
      <w:proofErr w:type="spellEnd"/>
      <w:r w:rsidRPr="003B6CF7">
        <w:rPr>
          <w:szCs w:val="24"/>
          <w:lang w:eastAsia="en-US"/>
        </w:rPr>
        <w:t xml:space="preserve"> som fastställer format, detaljnivå och frekvens för den rapportering som avses i fjärde stycket. Den </w:t>
      </w:r>
      <w:proofErr w:type="spellStart"/>
      <w:r w:rsidRPr="003B6CF7">
        <w:rPr>
          <w:szCs w:val="24"/>
          <w:lang w:eastAsia="en-US"/>
        </w:rPr>
        <w:t>genomförandeakten</w:t>
      </w:r>
      <w:proofErr w:type="spellEnd"/>
      <w:r w:rsidRPr="003B6CF7">
        <w:rPr>
          <w:szCs w:val="24"/>
          <w:lang w:eastAsia="en-US"/>
        </w:rPr>
        <w:t xml:space="preserve"> ska antas i enlighet med det granskningsförfarande som avses i artikel 9.2.”</w:t>
      </w:r>
    </w:p>
    <w:p w14:paraId="3396998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(d)</w:t>
      </w:r>
      <w:r w:rsidRPr="003B6CF7">
        <w:rPr>
          <w:szCs w:val="24"/>
          <w:lang w:eastAsia="en-US"/>
        </w:rPr>
        <w:tab/>
        <w:t>Punkt 5 ska utgå.</w:t>
      </w:r>
    </w:p>
    <w:p w14:paraId="0591FF7F" w14:textId="77777777" w:rsidR="00FA11D0" w:rsidRPr="003B6CF7" w:rsidRDefault="00FA11D0">
      <w:pPr>
        <w:widowControl/>
        <w:rPr>
          <w:szCs w:val="24"/>
          <w:lang w:eastAsia="en-US"/>
        </w:rPr>
      </w:pPr>
      <w:r w:rsidRPr="003B6CF7">
        <w:rPr>
          <w:szCs w:val="24"/>
          <w:lang w:eastAsia="en-US"/>
        </w:rPr>
        <w:br w:type="page"/>
      </w:r>
    </w:p>
    <w:p w14:paraId="338C0501" w14:textId="459523FA"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(4)</w:t>
      </w:r>
      <w:r w:rsidRPr="003B6CF7">
        <w:rPr>
          <w:szCs w:val="24"/>
          <w:lang w:eastAsia="en-US"/>
        </w:rPr>
        <w:tab/>
        <w:t>I artikel 7a.1 ska första stycket ersättas med följande:</w:t>
      </w:r>
    </w:p>
    <w:p w14:paraId="1DA8C15B" w14:textId="1EBAB7EE" w:rsidR="001831FD" w:rsidRPr="003B6CF7" w:rsidRDefault="001831FD" w:rsidP="001831FD">
      <w:pPr>
        <w:spacing w:before="120" w:after="120" w:line="360" w:lineRule="auto"/>
        <w:ind w:left="1416" w:hanging="566"/>
        <w:rPr>
          <w:b/>
          <w:szCs w:val="24"/>
          <w:lang w:eastAsia="en-US"/>
        </w:rPr>
      </w:pPr>
      <w:r w:rsidRPr="003B6CF7">
        <w:rPr>
          <w:szCs w:val="24"/>
          <w:lang w:eastAsia="en-US"/>
        </w:rPr>
        <w:t>”1.</w:t>
      </w:r>
      <w:r w:rsidRPr="003B6CF7">
        <w:rPr>
          <w:szCs w:val="24"/>
          <w:lang w:eastAsia="en-US"/>
        </w:rPr>
        <w:tab/>
        <w:t>För prioriterade ämnen som omfattas av förordning (EG) nr 1907/2006, förordning (EG) nr 1107/2009, förordning (EU) nr 528/2012, Europaparlamentets och rådets förordning (EU) 2019/6*, eller av tillämpningsområdet för Europaparlamentets och rådets direktiv 2001/83/EG**, Europaparlamentets och rådets direktiv 2009/128/EG*** eller direktiv 2010/75/EU, ska kommissionen</w:t>
      </w:r>
      <w:r w:rsidRPr="003B6CF7">
        <w:rPr>
          <w:strike/>
          <w:szCs w:val="24"/>
          <w:lang w:eastAsia="en-US"/>
        </w:rPr>
        <w:t>, som en del av den rapport som avses i artikel 18.1 i direktiv 2000/60/EG,</w:t>
      </w:r>
      <w:r w:rsidRPr="003B6CF7">
        <w:rPr>
          <w:b/>
          <w:i/>
          <w:szCs w:val="24"/>
          <w:lang w:eastAsia="en-US"/>
        </w:rPr>
        <w:t xml:space="preserve"> vartannat år</w:t>
      </w:r>
      <w:r w:rsidRPr="003B6CF7">
        <w:rPr>
          <w:szCs w:val="24"/>
          <w:lang w:eastAsia="en-US"/>
        </w:rPr>
        <w:t xml:space="preserve"> bedöma om nuvarande åtgärder på unionsnivå och i medlemsstaterna är tillräckliga för att uppnå miljökvalitetsnormerna för prioriterade ämnen samt målet om att utsläpp och spill av prioriterade farliga ämnen ska upphöra eller stegvis elimineras i enlighet med artikel 4.1 a i direktiv 2000/60/EG.</w:t>
      </w:r>
      <w:r w:rsidR="005B0B4C" w:rsidRPr="003B6CF7">
        <w:rPr>
          <w:b/>
          <w:szCs w:val="24"/>
          <w:lang w:eastAsia="en-US"/>
        </w:rPr>
        <w:t xml:space="preserve"> [Ändr. 114]</w:t>
      </w:r>
    </w:p>
    <w:p w14:paraId="6E0E94EA" w14:textId="7B3A826C" w:rsidR="001831FD" w:rsidRPr="003B6CF7" w:rsidRDefault="001831FD" w:rsidP="001831FD">
      <w:pPr>
        <w:spacing w:before="120" w:after="120" w:line="360" w:lineRule="auto"/>
        <w:ind w:left="1416"/>
        <w:rPr>
          <w:b/>
          <w:szCs w:val="24"/>
          <w:lang w:eastAsia="en-US"/>
        </w:rPr>
      </w:pPr>
      <w:r w:rsidRPr="003B6CF7">
        <w:rPr>
          <w:b/>
          <w:i/>
          <w:szCs w:val="24"/>
          <w:lang w:eastAsia="en-US"/>
        </w:rPr>
        <w:t>Åtgärdshierarkin ska prioritera begränsningar och andra åtgärder för kontroll vid utsläppskällan. I detta avseende ska kommissionen vid behov lägga fram förslag om ändring av unionsrättsakter för att säkerställa att utsläpp och spill av prioriterade ämnen stoppas vid källan.</w:t>
      </w:r>
      <w:r w:rsidR="005B0B4C" w:rsidRPr="003B6CF7">
        <w:rPr>
          <w:b/>
          <w:szCs w:val="24"/>
          <w:lang w:eastAsia="en-US"/>
        </w:rPr>
        <w:t xml:space="preserve"> [Ändr. 115]</w:t>
      </w:r>
    </w:p>
    <w:p w14:paraId="15403F7C" w14:textId="77777777" w:rsidR="00FA11D0" w:rsidRPr="003B6CF7" w:rsidRDefault="00FA11D0">
      <w:pPr>
        <w:widowControl/>
        <w:rPr>
          <w:szCs w:val="24"/>
          <w:lang w:eastAsia="en-US"/>
        </w:rPr>
      </w:pPr>
      <w:r w:rsidRPr="003B6CF7">
        <w:rPr>
          <w:szCs w:val="24"/>
          <w:lang w:eastAsia="en-US"/>
        </w:rPr>
        <w:br w:type="page"/>
      </w:r>
    </w:p>
    <w:p w14:paraId="4073B6D4" w14:textId="4D035E2A" w:rsidR="001831FD" w:rsidRPr="003B6CF7" w:rsidRDefault="001831FD" w:rsidP="001831FD">
      <w:pPr>
        <w:spacing w:before="120" w:after="120" w:line="360" w:lineRule="auto"/>
        <w:ind w:left="850"/>
        <w:rPr>
          <w:szCs w:val="24"/>
          <w:lang w:eastAsia="en-US"/>
        </w:rPr>
      </w:pPr>
      <w:r w:rsidRPr="003B6CF7">
        <w:rPr>
          <w:szCs w:val="24"/>
          <w:lang w:eastAsia="en-US"/>
        </w:rPr>
        <w:lastRenderedPageBreak/>
        <w:t>* Europaparlamentets och rådets förordning (EU) 2019/6 av den 11 december 2018 om veterinärmedicinska läkemedel och om upphävande av direktiv 2001/82/EG (EUT L 4, 7.1.2019, s. 43).</w:t>
      </w:r>
    </w:p>
    <w:p w14:paraId="3239AEC5"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2001/83/EG av den 6 november 2001 om upprättande av gemenskapsregler för humanläkemedel (EGT L 311, 28.11.2001, s. 67).</w:t>
      </w:r>
    </w:p>
    <w:p w14:paraId="69F2878B"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2009/128/EG av den 21 oktober 2009 om upprättande av en ram för gemenskapens åtgärder för att uppnå en hållbar användning av bekämpningsmedel (EUT L 309, 24.11.2009, s. 71).”</w:t>
      </w:r>
    </w:p>
    <w:p w14:paraId="1846C062"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4a.</w:t>
      </w:r>
      <w:r w:rsidRPr="003B6CF7">
        <w:rPr>
          <w:szCs w:val="24"/>
          <w:lang w:eastAsia="en-US"/>
        </w:rPr>
        <w:tab/>
      </w:r>
      <w:r w:rsidRPr="003B6CF7">
        <w:rPr>
          <w:b/>
          <w:i/>
          <w:szCs w:val="24"/>
          <w:lang w:eastAsia="en-US"/>
        </w:rPr>
        <w:t>I artikel 7 ska punkt 2 ersättas med följande:</w:t>
      </w:r>
    </w:p>
    <w:p w14:paraId="6D4F1DC1" w14:textId="084032B9"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5501D0" w:rsidRPr="003B6CF7">
        <w:rPr>
          <w:b/>
          <w:i/>
          <w:szCs w:val="24"/>
          <w:lang w:eastAsia="en-US"/>
        </w:rPr>
        <w:t>2</w:t>
      </w:r>
      <w:r w:rsidRPr="003B6CF7">
        <w:rPr>
          <w:b/>
          <w:i/>
          <w:szCs w:val="24"/>
          <w:lang w:eastAsia="en-US"/>
        </w:rPr>
        <w:t>.</w:t>
      </w:r>
      <w:r w:rsidRPr="003B6CF7">
        <w:rPr>
          <w:szCs w:val="24"/>
          <w:lang w:eastAsia="en-US"/>
        </w:rPr>
        <w:tab/>
      </w:r>
      <w:r w:rsidRPr="003B6CF7">
        <w:rPr>
          <w:b/>
          <w:i/>
          <w:szCs w:val="24"/>
          <w:lang w:eastAsia="en-US"/>
        </w:rPr>
        <w:t>Kommissionen ska senast sex månader efter sin bedömning till Europaparlamentet och rådet avlägga rapport om resultatet av den bedömning som avses i punkt 1 i denna artikel och till rapporten bifoga eventuella lämpliga förslag, inklusive förslag till regleringsåtgärder.</w:t>
      </w:r>
      <w:r w:rsidRPr="003B6CF7">
        <w:rPr>
          <w:szCs w:val="24"/>
          <w:lang w:eastAsia="en-US"/>
        </w:rPr>
        <w:t>”</w:t>
      </w:r>
      <w:r w:rsidR="005501D0" w:rsidRPr="003B6CF7">
        <w:rPr>
          <w:b/>
          <w:szCs w:val="24"/>
          <w:lang w:eastAsia="en-US"/>
        </w:rPr>
        <w:t xml:space="preserve"> [Ändr. 116]</w:t>
      </w:r>
    </w:p>
    <w:p w14:paraId="0A655A61" w14:textId="77777777" w:rsidR="00FA11D0" w:rsidRPr="003B6CF7" w:rsidRDefault="00FA11D0">
      <w:pPr>
        <w:widowControl/>
        <w:rPr>
          <w:szCs w:val="24"/>
          <w:lang w:eastAsia="en-US"/>
        </w:rPr>
      </w:pPr>
      <w:r w:rsidRPr="003B6CF7">
        <w:rPr>
          <w:szCs w:val="24"/>
          <w:lang w:eastAsia="en-US"/>
        </w:rPr>
        <w:br w:type="page"/>
      </w:r>
    </w:p>
    <w:p w14:paraId="0F35711F" w14:textId="668B55BE"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(5)</w:t>
      </w:r>
      <w:r w:rsidRPr="003B6CF7">
        <w:rPr>
          <w:szCs w:val="24"/>
          <w:lang w:eastAsia="en-US"/>
        </w:rPr>
        <w:tab/>
        <w:t>Artikel 8 ska ersättas med följande:</w:t>
      </w:r>
    </w:p>
    <w:p w14:paraId="10417D6B"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w:t>
      </w:r>
    </w:p>
    <w:p w14:paraId="3B752C77" w14:textId="77777777" w:rsidR="001831FD" w:rsidRPr="003B6CF7" w:rsidRDefault="001831FD" w:rsidP="001831FD">
      <w:pPr>
        <w:spacing w:before="120" w:after="120" w:line="360" w:lineRule="auto"/>
        <w:ind w:left="850"/>
        <w:rPr>
          <w:szCs w:val="24"/>
          <w:lang w:eastAsia="en-US"/>
        </w:rPr>
      </w:pPr>
      <w:r w:rsidRPr="003B6CF7">
        <w:rPr>
          <w:szCs w:val="24"/>
          <w:lang w:eastAsia="en-US"/>
        </w:rPr>
        <w:t>Översyn av bilagorna I och II</w:t>
      </w:r>
    </w:p>
    <w:p w14:paraId="1937ACB8" w14:textId="59317E23" w:rsidR="001831FD" w:rsidRPr="003B6CF7" w:rsidRDefault="001831FD" w:rsidP="001831FD">
      <w:pPr>
        <w:spacing w:before="120" w:after="120" w:line="360" w:lineRule="auto"/>
        <w:ind w:left="1416" w:hanging="566"/>
        <w:rPr>
          <w:b/>
          <w:szCs w:val="24"/>
          <w:lang w:eastAsia="en-US"/>
        </w:rPr>
      </w:pPr>
      <w:r w:rsidRPr="003B6CF7">
        <w:rPr>
          <w:szCs w:val="24"/>
          <w:lang w:eastAsia="en-US"/>
        </w:rPr>
        <w:t>1.</w:t>
      </w:r>
      <w:r w:rsidRPr="003B6CF7">
        <w:rPr>
          <w:szCs w:val="24"/>
          <w:lang w:eastAsia="en-US"/>
        </w:rPr>
        <w:tab/>
        <w:t xml:space="preserve">Kommissionen ska för första gången göra en översyn senast den … [Publikationsbyrån: infoga datum = </w:t>
      </w:r>
      <w:proofErr w:type="spellStart"/>
      <w:r w:rsidRPr="003B6CF7">
        <w:rPr>
          <w:strike/>
          <w:szCs w:val="24"/>
          <w:lang w:eastAsia="en-US"/>
        </w:rPr>
        <w:t>sex</w:t>
      </w:r>
      <w:r w:rsidRPr="003B6CF7">
        <w:rPr>
          <w:b/>
          <w:i/>
          <w:szCs w:val="24"/>
          <w:lang w:eastAsia="en-US"/>
        </w:rPr>
        <w:t>fyra</w:t>
      </w:r>
      <w:proofErr w:type="spellEnd"/>
      <w:r w:rsidRPr="003B6CF7">
        <w:rPr>
          <w:szCs w:val="24"/>
          <w:lang w:eastAsia="en-US"/>
        </w:rPr>
        <w:t xml:space="preserve"> år efter dagen för ikraftträdandet av detta direktiv] och därefter vart </w:t>
      </w:r>
      <w:proofErr w:type="spellStart"/>
      <w:r w:rsidRPr="003B6CF7">
        <w:rPr>
          <w:strike/>
          <w:szCs w:val="24"/>
          <w:lang w:eastAsia="en-US"/>
        </w:rPr>
        <w:t>sjätte</w:t>
      </w:r>
      <w:r w:rsidRPr="003B6CF7">
        <w:rPr>
          <w:b/>
          <w:i/>
          <w:szCs w:val="24"/>
          <w:lang w:eastAsia="en-US"/>
        </w:rPr>
        <w:t>fjärde</w:t>
      </w:r>
      <w:proofErr w:type="spellEnd"/>
      <w:r w:rsidRPr="003B6CF7">
        <w:rPr>
          <w:szCs w:val="24"/>
          <w:lang w:eastAsia="en-US"/>
        </w:rPr>
        <w:t xml:space="preserve"> år av förteckningen över prioriterade ämnen och motsvarande miljökvalitetsnormer för dessa ämnen i del A i bilaga I samt av förteckningen över förorenande ämnen i del A i bilaga II.</w:t>
      </w:r>
      <w:r w:rsidR="005501D0" w:rsidRPr="003B6CF7">
        <w:rPr>
          <w:b/>
          <w:szCs w:val="24"/>
          <w:lang w:eastAsia="en-US"/>
        </w:rPr>
        <w:t xml:space="preserve"> [Ändr. 117]</w:t>
      </w:r>
    </w:p>
    <w:p w14:paraId="07E9E05F" w14:textId="4C0B99C4" w:rsidR="001831FD" w:rsidRPr="003B6CF7" w:rsidRDefault="001831FD" w:rsidP="001831FD">
      <w:pPr>
        <w:spacing w:before="120" w:after="120" w:line="360" w:lineRule="auto"/>
        <w:ind w:left="1416" w:hanging="566"/>
        <w:rPr>
          <w:b/>
          <w:szCs w:val="24"/>
          <w:lang w:eastAsia="en-US"/>
        </w:rPr>
      </w:pPr>
      <w:r w:rsidRPr="003B6CF7">
        <w:rPr>
          <w:szCs w:val="24"/>
          <w:lang w:eastAsia="en-US"/>
        </w:rPr>
        <w:t>2.</w:t>
      </w:r>
      <w:r w:rsidRPr="003B6CF7">
        <w:rPr>
          <w:szCs w:val="24"/>
          <w:lang w:eastAsia="en-US"/>
        </w:rPr>
        <w:tab/>
      </w:r>
      <w:r w:rsidRPr="003B6CF7">
        <w:rPr>
          <w:b/>
          <w:i/>
          <w:szCs w:val="24"/>
          <w:lang w:eastAsia="en-US"/>
        </w:rPr>
        <w:t xml:space="preserve">På basis av utredningen ska </w:t>
      </w:r>
      <w:r w:rsidRPr="003B6CF7">
        <w:rPr>
          <w:szCs w:val="24"/>
          <w:lang w:eastAsia="en-US"/>
        </w:rPr>
        <w:t>kommissionen</w:t>
      </w:r>
      <w:r w:rsidRPr="003B6CF7">
        <w:rPr>
          <w:strike/>
          <w:szCs w:val="24"/>
          <w:lang w:eastAsia="en-US"/>
        </w:rPr>
        <w:t xml:space="preserve"> ges befogenhet att anta delegerade akter</w:t>
      </w:r>
      <w:r w:rsidRPr="003B6CF7">
        <w:rPr>
          <w:b/>
          <w:i/>
          <w:szCs w:val="24"/>
          <w:lang w:eastAsia="en-US"/>
        </w:rPr>
        <w:t>, när så är tillämpligt, föreslå lagstiftning</w:t>
      </w:r>
      <w:r w:rsidRPr="003B6CF7">
        <w:rPr>
          <w:szCs w:val="24"/>
          <w:lang w:eastAsia="en-US"/>
        </w:rPr>
        <w:t>, med beaktande av de vetenskapliga rapporter som utarbetats av Europeiska kemikaliemyndigheten (</w:t>
      </w:r>
      <w:proofErr w:type="spellStart"/>
      <w:r w:rsidRPr="003B6CF7">
        <w:rPr>
          <w:szCs w:val="24"/>
          <w:lang w:eastAsia="en-US"/>
        </w:rPr>
        <w:t>Echa</w:t>
      </w:r>
      <w:proofErr w:type="spellEnd"/>
      <w:r w:rsidRPr="003B6CF7">
        <w:rPr>
          <w:szCs w:val="24"/>
          <w:lang w:eastAsia="en-US"/>
        </w:rPr>
        <w:t>) enligt punkt 6 i denna artikel</w:t>
      </w:r>
      <w:r w:rsidRPr="003B6CF7">
        <w:rPr>
          <w:strike/>
          <w:szCs w:val="24"/>
          <w:lang w:eastAsia="en-US"/>
        </w:rPr>
        <w:t>, i enlighet med artikel 9a</w:t>
      </w:r>
      <w:r w:rsidRPr="003B6CF7">
        <w:rPr>
          <w:szCs w:val="24"/>
          <w:lang w:eastAsia="en-US"/>
        </w:rPr>
        <w:t xml:space="preserve"> för att ändra bilaga</w:t>
      </w:r>
      <w:r w:rsidRPr="003B6CF7">
        <w:rPr>
          <w:strike/>
          <w:szCs w:val="24"/>
          <w:lang w:eastAsia="en-US"/>
        </w:rPr>
        <w:t xml:space="preserve"> I</w:t>
      </w:r>
      <w:r w:rsidRPr="003B6CF7">
        <w:rPr>
          <w:szCs w:val="24"/>
          <w:lang w:eastAsia="en-US"/>
        </w:rPr>
        <w:t xml:space="preserve"> </w:t>
      </w:r>
      <w:proofErr w:type="spellStart"/>
      <w:r w:rsidRPr="003B6CF7">
        <w:rPr>
          <w:szCs w:val="24"/>
          <w:lang w:eastAsia="en-US"/>
        </w:rPr>
        <w:t>I</w:t>
      </w:r>
      <w:proofErr w:type="spellEnd"/>
      <w:r w:rsidRPr="003B6CF7">
        <w:rPr>
          <w:szCs w:val="24"/>
          <w:lang w:eastAsia="en-US"/>
        </w:rPr>
        <w:t xml:space="preserve"> syfte att anpassa den till den vetenskapliga och tekniska utvecklingen genom att</w:t>
      </w:r>
      <w:r w:rsidR="005501D0" w:rsidRPr="003B6CF7">
        <w:rPr>
          <w:b/>
          <w:szCs w:val="24"/>
          <w:lang w:eastAsia="en-US"/>
        </w:rPr>
        <w:t xml:space="preserve"> [Ändr. 118]</w:t>
      </w:r>
    </w:p>
    <w:p w14:paraId="22D80A32" w14:textId="77777777" w:rsidR="00FA11D0" w:rsidRPr="003B6CF7" w:rsidRDefault="00FA11D0">
      <w:pPr>
        <w:widowControl/>
        <w:rPr>
          <w:szCs w:val="24"/>
          <w:lang w:eastAsia="en-US"/>
        </w:rPr>
      </w:pPr>
      <w:r w:rsidRPr="003B6CF7">
        <w:rPr>
          <w:szCs w:val="24"/>
          <w:lang w:eastAsia="en-US"/>
        </w:rPr>
        <w:br w:type="page"/>
      </w:r>
    </w:p>
    <w:p w14:paraId="3251419A" w14:textId="6D48F47B"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a)</w:t>
      </w:r>
      <w:r w:rsidRPr="003B6CF7">
        <w:rPr>
          <w:szCs w:val="24"/>
          <w:lang w:eastAsia="en-US"/>
        </w:rPr>
        <w:tab/>
        <w:t>lägga till eller ta bort ämnen i förteckningen över prioriterade ämnen,</w:t>
      </w:r>
    </w:p>
    <w:p w14:paraId="724E8769"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 xml:space="preserve">klassificera eller </w:t>
      </w:r>
      <w:proofErr w:type="spellStart"/>
      <w:r w:rsidRPr="003B6CF7">
        <w:rPr>
          <w:szCs w:val="24"/>
          <w:lang w:eastAsia="en-US"/>
        </w:rPr>
        <w:t>avklassificera</w:t>
      </w:r>
      <w:proofErr w:type="spellEnd"/>
      <w:r w:rsidRPr="003B6CF7">
        <w:rPr>
          <w:szCs w:val="24"/>
          <w:lang w:eastAsia="en-US"/>
        </w:rPr>
        <w:t xml:space="preserve"> utvalda ämnen som prioriterade farliga ämnen och/eller som allmänt förekommande svårnedbrytbara, bioackumulerande och toxiska ämnen och/eller som ämnen som tenderar att ackumuleras i sediment och/eller </w:t>
      </w:r>
      <w:proofErr w:type="spellStart"/>
      <w:r w:rsidRPr="003B6CF7">
        <w:rPr>
          <w:szCs w:val="24"/>
          <w:lang w:eastAsia="en-US"/>
        </w:rPr>
        <w:t>biota</w:t>
      </w:r>
      <w:proofErr w:type="spellEnd"/>
      <w:r w:rsidRPr="003B6CF7">
        <w:rPr>
          <w:szCs w:val="24"/>
          <w:lang w:eastAsia="en-US"/>
        </w:rPr>
        <w:t xml:space="preserve"> i den förteckningen,</w:t>
      </w:r>
    </w:p>
    <w:p w14:paraId="49ADB883"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c)</w:t>
      </w:r>
      <w:r w:rsidRPr="003B6CF7">
        <w:rPr>
          <w:szCs w:val="24"/>
          <w:lang w:eastAsia="en-US"/>
        </w:rPr>
        <w:tab/>
        <w:t xml:space="preserve">fastställa motsvarande miljökvalitetsnormer för ytvatten, sediment eller </w:t>
      </w:r>
      <w:proofErr w:type="spellStart"/>
      <w:r w:rsidRPr="003B6CF7">
        <w:rPr>
          <w:szCs w:val="24"/>
          <w:lang w:eastAsia="en-US"/>
        </w:rPr>
        <w:t>biota</w:t>
      </w:r>
      <w:proofErr w:type="spellEnd"/>
      <w:r w:rsidRPr="003B6CF7">
        <w:rPr>
          <w:szCs w:val="24"/>
          <w:lang w:eastAsia="en-US"/>
        </w:rPr>
        <w:t>, beroende på vad som är lämpligt.</w:t>
      </w:r>
    </w:p>
    <w:p w14:paraId="288C4CB0"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 xml:space="preserve">Kommissionen ges befogenhet att anta delegerade akter, med beaktande av de vetenskapliga rapporter som utarbetats av </w:t>
      </w:r>
      <w:proofErr w:type="spellStart"/>
      <w:r w:rsidRPr="003B6CF7">
        <w:rPr>
          <w:szCs w:val="24"/>
          <w:lang w:eastAsia="en-US"/>
        </w:rPr>
        <w:t>Echa</w:t>
      </w:r>
      <w:proofErr w:type="spellEnd"/>
      <w:r w:rsidRPr="003B6CF7">
        <w:rPr>
          <w:szCs w:val="24"/>
          <w:lang w:eastAsia="en-US"/>
        </w:rPr>
        <w:t xml:space="preserve"> i enligt punkt 6 i denna artikel, i enlighet med artikel 9a för att ändra bilaga II i syfte att anpassa den till den vetenskapliga och tekniska utvecklingen genom att</w:t>
      </w:r>
    </w:p>
    <w:p w14:paraId="2966C046"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lägga till eller ta bort förorenande ämnen i förteckningen över kategorier av förorenande ämnen i del A i bilaga II,</w:t>
      </w:r>
    </w:p>
    <w:p w14:paraId="65EB0A14"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uppdatera de metoder som anges i del B i bilaga II,</w:t>
      </w:r>
    </w:p>
    <w:p w14:paraId="45E4DCA8" w14:textId="77777777" w:rsidR="00FA11D0" w:rsidRPr="003B6CF7" w:rsidRDefault="00FA11D0">
      <w:pPr>
        <w:widowControl/>
        <w:rPr>
          <w:szCs w:val="24"/>
          <w:lang w:eastAsia="en-US"/>
        </w:rPr>
      </w:pPr>
      <w:r w:rsidRPr="003B6CF7">
        <w:rPr>
          <w:szCs w:val="24"/>
          <w:lang w:eastAsia="en-US"/>
        </w:rPr>
        <w:br w:type="page"/>
      </w:r>
    </w:p>
    <w:p w14:paraId="04EE9A81" w14:textId="550BEF36"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(c)</w:t>
      </w:r>
      <w:r w:rsidRPr="003B6CF7">
        <w:rPr>
          <w:szCs w:val="24"/>
          <w:lang w:eastAsia="en-US"/>
        </w:rPr>
        <w:tab/>
        <w:t>i del C i bilaga II till detta direktiv förteckna de förorenande ämnen som är specifika för avrinningsområden och för vilka det har fastställts att miljökvalitetsnormer fastställda på unionsnivå ska tillämpas, i förekommande fall, för att säkerställa ett harmoniserat och vetenskapligt baserat genomförande av de mål som anges i artikel 4 i direktiv 2000/60/EG, och genom att förteckna motsvarande miljökvalitetsnormer för dessa förorenande ämnen i del C i bilaga II till det här direktivet.</w:t>
      </w:r>
    </w:p>
    <w:p w14:paraId="50A9F64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w:t>
      </w:r>
      <w:r w:rsidRPr="003B6CF7">
        <w:rPr>
          <w:szCs w:val="24"/>
          <w:lang w:eastAsia="en-US"/>
        </w:rPr>
        <w:tab/>
        <w:t>Vid identifieringen av förorenorenande ämnen som är specifika för avrinningsområden och för vilka det kan bli nödvändigt att fastställa miljökvalitetsnormer på unionsnivå ska kommissionen beakta följande kriterier:</w:t>
      </w:r>
    </w:p>
    <w:p w14:paraId="235A7443" w14:textId="783AB15F" w:rsidR="001831FD" w:rsidRPr="003B6CF7" w:rsidRDefault="001831FD" w:rsidP="001831FD">
      <w:pPr>
        <w:spacing w:before="120" w:after="120" w:line="360" w:lineRule="auto"/>
        <w:ind w:left="1982" w:hanging="566"/>
        <w:rPr>
          <w:b/>
          <w:szCs w:val="24"/>
          <w:lang w:eastAsia="en-US"/>
        </w:rPr>
      </w:pPr>
      <w:r w:rsidRPr="003B6CF7">
        <w:rPr>
          <w:szCs w:val="24"/>
          <w:lang w:eastAsia="en-US"/>
        </w:rPr>
        <w:t>a)</w:t>
      </w:r>
      <w:r w:rsidRPr="003B6CF7">
        <w:rPr>
          <w:szCs w:val="24"/>
          <w:lang w:eastAsia="en-US"/>
        </w:rPr>
        <w:tab/>
        <w:t>Den risk som de förorenande ämnena utgör, inklusive den fara de medför, deras miljökoncentrationer och den koncentration över vilken effekter kan förväntas</w:t>
      </w:r>
      <w:r w:rsidRPr="003B6CF7">
        <w:rPr>
          <w:b/>
          <w:i/>
          <w:szCs w:val="24"/>
          <w:lang w:eastAsia="en-US"/>
        </w:rPr>
        <w:t>, inklusive deras kumulativa effekter</w:t>
      </w:r>
      <w:r w:rsidRPr="003B6CF7">
        <w:rPr>
          <w:szCs w:val="24"/>
          <w:lang w:eastAsia="en-US"/>
        </w:rPr>
        <w:t>.</w:t>
      </w:r>
      <w:r w:rsidR="005501D0" w:rsidRPr="003B6CF7">
        <w:rPr>
          <w:b/>
          <w:szCs w:val="24"/>
          <w:lang w:eastAsia="en-US"/>
        </w:rPr>
        <w:t xml:space="preserve"> [Ändr. 119]</w:t>
      </w:r>
    </w:p>
    <w:p w14:paraId="602B0016"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Skillnaden mellan de nationella miljökvalitetsnormer som fastställts av olika medlemsstater för förorenande ämnen som är specifika för avrinningsområden och i vilken utsträckning sådana skillnader är motiverade.</w:t>
      </w:r>
    </w:p>
    <w:p w14:paraId="1A9FC86D" w14:textId="77777777" w:rsidR="00FA11D0" w:rsidRPr="003B6CF7" w:rsidRDefault="00FA11D0">
      <w:pPr>
        <w:widowControl/>
        <w:rPr>
          <w:szCs w:val="24"/>
          <w:lang w:eastAsia="en-US"/>
        </w:rPr>
      </w:pPr>
      <w:r w:rsidRPr="003B6CF7">
        <w:rPr>
          <w:szCs w:val="24"/>
          <w:lang w:eastAsia="en-US"/>
        </w:rPr>
        <w:br w:type="page"/>
      </w:r>
    </w:p>
    <w:p w14:paraId="6CAF2C59" w14:textId="77F20467"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c)</w:t>
      </w:r>
      <w:r w:rsidRPr="003B6CF7">
        <w:rPr>
          <w:szCs w:val="24"/>
          <w:lang w:eastAsia="en-US"/>
        </w:rPr>
        <w:tab/>
        <w:t>Det antal medlemsstater som redan tillämpar miljökvalitetsnormer för ifrågavarande förorenande ämnen som är typiska för avrinningsområden.</w:t>
      </w:r>
    </w:p>
    <w:p w14:paraId="174542C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5.</w:t>
      </w:r>
      <w:r w:rsidRPr="003B6CF7">
        <w:rPr>
          <w:szCs w:val="24"/>
          <w:lang w:eastAsia="en-US"/>
        </w:rPr>
        <w:tab/>
        <w:t>Prioriterade ämnen som, till följd av den översyn som avses i punkt 1, har tagits bort från förteckningen över prioriterade ämnen eftersom de inte längre utgör en risk för hela unionen, ska tas upp i del C i bilaga II, i en förteckning över de förorenande ämnen som är specifika för avrinningsområden och tillhörande harmoniserade miljökvalitetsnormer som ska tillämpas om de förorenande ämnena är av nationell eller regional betydelse, i enlighet med artikel 8d.</w:t>
      </w:r>
    </w:p>
    <w:p w14:paraId="57207EA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6.</w:t>
      </w:r>
      <w:r w:rsidRPr="003B6CF7">
        <w:rPr>
          <w:szCs w:val="24"/>
          <w:lang w:eastAsia="en-US"/>
        </w:rPr>
        <w:tab/>
        <w:t xml:space="preserve">För att bistå kommissionen med översynen av bilagorna I och II ska </w:t>
      </w:r>
      <w:proofErr w:type="spellStart"/>
      <w:r w:rsidRPr="003B6CF7">
        <w:rPr>
          <w:szCs w:val="24"/>
          <w:lang w:eastAsia="en-US"/>
        </w:rPr>
        <w:t>Echa</w:t>
      </w:r>
      <w:proofErr w:type="spellEnd"/>
      <w:r w:rsidRPr="003B6CF7">
        <w:rPr>
          <w:szCs w:val="24"/>
          <w:lang w:eastAsia="en-US"/>
        </w:rPr>
        <w:t xml:space="preserve"> utarbeta vetenskapliga rapporter. I dessa vetenskapliga rapporter ska följande beaktas:</w:t>
      </w:r>
    </w:p>
    <w:p w14:paraId="14A88246"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 xml:space="preserve">Yttranden från </w:t>
      </w:r>
      <w:proofErr w:type="spellStart"/>
      <w:r w:rsidRPr="003B6CF7">
        <w:rPr>
          <w:szCs w:val="24"/>
          <w:lang w:eastAsia="en-US"/>
        </w:rPr>
        <w:t>Echas</w:t>
      </w:r>
      <w:proofErr w:type="spellEnd"/>
      <w:r w:rsidRPr="003B6CF7">
        <w:rPr>
          <w:szCs w:val="24"/>
          <w:lang w:eastAsia="en-US"/>
        </w:rPr>
        <w:t xml:space="preserve"> riskbedömningskommitté och kommitté för samhällsekonomisk analys.</w:t>
      </w:r>
    </w:p>
    <w:p w14:paraId="1F9A7F97"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Resultaten av de övervakningsprogram som upprättats i enlighet med artikel 8 i direktiv 2000/60/EG.</w:t>
      </w:r>
    </w:p>
    <w:p w14:paraId="59338167" w14:textId="77777777" w:rsidR="00FA11D0" w:rsidRPr="003B6CF7" w:rsidRDefault="00FA11D0">
      <w:pPr>
        <w:widowControl/>
        <w:rPr>
          <w:szCs w:val="24"/>
          <w:lang w:eastAsia="en-US"/>
        </w:rPr>
      </w:pPr>
      <w:r w:rsidRPr="003B6CF7">
        <w:rPr>
          <w:szCs w:val="24"/>
          <w:lang w:eastAsia="en-US"/>
        </w:rPr>
        <w:br w:type="page"/>
      </w:r>
    </w:p>
    <w:p w14:paraId="051D7443" w14:textId="7ED8AB60"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c)</w:t>
      </w:r>
      <w:r w:rsidRPr="003B6CF7">
        <w:rPr>
          <w:szCs w:val="24"/>
          <w:lang w:eastAsia="en-US"/>
        </w:rPr>
        <w:tab/>
        <w:t>Övervakningsdata som samlats in i enlighet med artikel 8b.4 i det här direktivet.</w:t>
      </w:r>
    </w:p>
    <w:p w14:paraId="5601EEDA"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d)</w:t>
      </w:r>
      <w:r w:rsidRPr="003B6CF7">
        <w:rPr>
          <w:szCs w:val="24"/>
          <w:lang w:eastAsia="en-US"/>
        </w:rPr>
        <w:tab/>
        <w:t>Resultatet av översynen av bilagorna till Europaparlamentets och rådets direktiv 2006/118/EG* och Europaparlamentets och rådets direktiv (EU) 2020/2184**.</w:t>
      </w:r>
    </w:p>
    <w:p w14:paraId="23350A19"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e)</w:t>
      </w:r>
      <w:r w:rsidRPr="003B6CF7">
        <w:rPr>
          <w:szCs w:val="24"/>
          <w:lang w:eastAsia="en-US"/>
        </w:rPr>
        <w:tab/>
        <w:t>Krav för att hantera markföroreningar, inbegripet tillhörande övervakningsdata.</w:t>
      </w:r>
    </w:p>
    <w:p w14:paraId="44D11FF2"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f)</w:t>
      </w:r>
      <w:r w:rsidRPr="003B6CF7">
        <w:rPr>
          <w:szCs w:val="24"/>
          <w:lang w:eastAsia="en-US"/>
        </w:rPr>
        <w:tab/>
        <w:t>Unionens forskningsprogram och vetenskapliga publikationer, inklusive information från teknik för fjärranalys, jordobservation (Copernicustjänster), sensorer och anordningar på plats och/eller data från medborgarforskning, med utnyttjande av de möjligheter som artificiell intelligens, avancerad dataanalys och databehandling erbjuder.</w:t>
      </w:r>
    </w:p>
    <w:p w14:paraId="25C36FF7"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g)</w:t>
      </w:r>
      <w:r w:rsidRPr="003B6CF7">
        <w:rPr>
          <w:szCs w:val="24"/>
          <w:lang w:eastAsia="en-US"/>
        </w:rPr>
        <w:tab/>
        <w:t>Synpunkter och information från relevanta berörda parter.</w:t>
      </w:r>
    </w:p>
    <w:p w14:paraId="76C6794D" w14:textId="77777777" w:rsidR="00FA11D0" w:rsidRPr="003B6CF7" w:rsidRDefault="00FA11D0">
      <w:pPr>
        <w:widowControl/>
        <w:rPr>
          <w:b/>
          <w:i/>
          <w:szCs w:val="24"/>
          <w:lang w:eastAsia="en-US"/>
        </w:rPr>
      </w:pPr>
      <w:r w:rsidRPr="003B6CF7">
        <w:rPr>
          <w:b/>
          <w:i/>
          <w:szCs w:val="24"/>
          <w:lang w:eastAsia="en-US"/>
        </w:rPr>
        <w:br w:type="page"/>
      </w:r>
    </w:p>
    <w:p w14:paraId="55AB2388" w14:textId="4E0DC6E8" w:rsidR="001831FD" w:rsidRPr="003B6CF7" w:rsidRDefault="001831FD" w:rsidP="001831FD">
      <w:pPr>
        <w:spacing w:before="120" w:after="120" w:line="360" w:lineRule="auto"/>
        <w:ind w:left="1416" w:hanging="566"/>
        <w:rPr>
          <w:b/>
          <w:szCs w:val="24"/>
          <w:lang w:eastAsia="en-US"/>
        </w:rPr>
      </w:pPr>
      <w:r w:rsidRPr="003B6CF7">
        <w:rPr>
          <w:b/>
          <w:i/>
          <w:szCs w:val="24"/>
          <w:lang w:eastAsia="en-US"/>
        </w:rPr>
        <w:lastRenderedPageBreak/>
        <w:t>6a.</w:t>
      </w:r>
      <w:r w:rsidRPr="003B6CF7">
        <w:rPr>
          <w:szCs w:val="24"/>
          <w:lang w:eastAsia="en-US"/>
        </w:rPr>
        <w:tab/>
      </w:r>
      <w:r w:rsidRPr="003B6CF7">
        <w:rPr>
          <w:b/>
          <w:i/>
          <w:szCs w:val="24"/>
          <w:lang w:eastAsia="en-US"/>
        </w:rPr>
        <w:t xml:space="preserve">Senast den 12 januari 2025 ska kommissionen fastställa tekniska riktlinjer för analysmetoder för övervakning av per- och </w:t>
      </w:r>
      <w:proofErr w:type="spellStart"/>
      <w:r w:rsidRPr="003B6CF7">
        <w:rPr>
          <w:b/>
          <w:i/>
          <w:szCs w:val="24"/>
          <w:lang w:eastAsia="en-US"/>
        </w:rPr>
        <w:t>polyfluoralkylämnen</w:t>
      </w:r>
      <w:proofErr w:type="spellEnd"/>
      <w:r w:rsidRPr="003B6CF7">
        <w:rPr>
          <w:b/>
          <w:i/>
          <w:szCs w:val="24"/>
          <w:lang w:eastAsia="en-US"/>
        </w:rPr>
        <w:t xml:space="preserve"> under parametern ”PFAS totalt”. Senast den 12 januari 2026 ska kommissionen anta en delegerad akt i enlighet med artikel 9a med avseende på ändring av detta direktiv genom att fastställa en kvalitetsstandard för PFAS totalt och ändra bilaga I enlighet med det.</w:t>
      </w:r>
      <w:r w:rsidR="005501D0" w:rsidRPr="003B6CF7">
        <w:rPr>
          <w:b/>
          <w:szCs w:val="24"/>
          <w:lang w:eastAsia="en-US"/>
        </w:rPr>
        <w:t xml:space="preserve"> [Ändr. 120]</w:t>
      </w:r>
    </w:p>
    <w:p w14:paraId="217EF937" w14:textId="56C9A03A" w:rsidR="001831FD" w:rsidRPr="003B6CF7" w:rsidRDefault="001831FD" w:rsidP="001831FD">
      <w:pPr>
        <w:spacing w:before="120" w:after="120" w:line="360" w:lineRule="auto"/>
        <w:ind w:left="1416" w:hanging="566"/>
        <w:rPr>
          <w:b/>
          <w:szCs w:val="24"/>
          <w:lang w:eastAsia="en-US"/>
        </w:rPr>
      </w:pPr>
      <w:r w:rsidRPr="003B6CF7">
        <w:rPr>
          <w:b/>
          <w:i/>
          <w:szCs w:val="24"/>
          <w:lang w:eastAsia="en-US"/>
        </w:rPr>
        <w:t>6b.</w:t>
      </w:r>
      <w:r w:rsidRPr="003B6CF7">
        <w:rPr>
          <w:szCs w:val="24"/>
          <w:lang w:eastAsia="en-US"/>
        </w:rPr>
        <w:tab/>
      </w:r>
      <w:r w:rsidRPr="003B6CF7">
        <w:rPr>
          <w:b/>
          <w:i/>
          <w:szCs w:val="24"/>
          <w:lang w:eastAsia="en-US"/>
        </w:rPr>
        <w:t>Senast ... [två år efter ikraftträdandet av detta direktiv] ska kommissionen fastställa tekniska riktlinjer för analysmetoder för övervakning av bisfenoler, inbegripet åtminstone bisfenol-A, bisfenol-B och bisfenol-S, under parametern ”Bisfenoler totalt”. Senast ... [tre år efter ikraftträdandet av detta direktiv] ska kommissionen anta en delegerad akt i enlighet med artikel 9a med avseende på ändring av detta direktiv genom att fastställa en miljökvalitetsnorm för ”Bisfenoler totalt” med hjälp av en relativ potensfaktor och se över bilaga I enlighet med detta.</w:t>
      </w:r>
      <w:r w:rsidR="005501D0" w:rsidRPr="003B6CF7">
        <w:rPr>
          <w:b/>
          <w:szCs w:val="24"/>
          <w:lang w:eastAsia="en-US"/>
        </w:rPr>
        <w:t xml:space="preserve"> [Ändr. 121]</w:t>
      </w:r>
    </w:p>
    <w:p w14:paraId="24289B30" w14:textId="77777777" w:rsidR="00FA11D0" w:rsidRPr="003B6CF7" w:rsidRDefault="00FA11D0">
      <w:pPr>
        <w:widowControl/>
        <w:rPr>
          <w:szCs w:val="24"/>
          <w:lang w:eastAsia="en-US"/>
        </w:rPr>
      </w:pPr>
      <w:r w:rsidRPr="003B6CF7">
        <w:rPr>
          <w:szCs w:val="24"/>
          <w:lang w:eastAsia="en-US"/>
        </w:rPr>
        <w:br w:type="page"/>
      </w:r>
    </w:p>
    <w:p w14:paraId="1F2B8089" w14:textId="27445B69"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7.</w:t>
      </w:r>
      <w:r w:rsidRPr="003B6CF7">
        <w:rPr>
          <w:szCs w:val="24"/>
          <w:lang w:eastAsia="en-US"/>
        </w:rPr>
        <w:tab/>
      </w:r>
      <w:proofErr w:type="spellStart"/>
      <w:r w:rsidRPr="003B6CF7">
        <w:rPr>
          <w:szCs w:val="24"/>
          <w:lang w:eastAsia="en-US"/>
        </w:rPr>
        <w:t>Echa</w:t>
      </w:r>
      <w:proofErr w:type="spellEnd"/>
      <w:r w:rsidRPr="003B6CF7">
        <w:rPr>
          <w:szCs w:val="24"/>
          <w:lang w:eastAsia="en-US"/>
        </w:rPr>
        <w:t xml:space="preserve"> ska vart </w:t>
      </w:r>
      <w:proofErr w:type="spellStart"/>
      <w:r w:rsidRPr="003B6CF7">
        <w:rPr>
          <w:strike/>
          <w:szCs w:val="24"/>
          <w:lang w:eastAsia="en-US"/>
        </w:rPr>
        <w:t>sjätte</w:t>
      </w:r>
      <w:r w:rsidRPr="003B6CF7">
        <w:rPr>
          <w:b/>
          <w:i/>
          <w:szCs w:val="24"/>
          <w:lang w:eastAsia="en-US"/>
        </w:rPr>
        <w:t>fjärde</w:t>
      </w:r>
      <w:proofErr w:type="spellEnd"/>
      <w:r w:rsidRPr="003B6CF7">
        <w:rPr>
          <w:szCs w:val="24"/>
          <w:lang w:eastAsia="en-US"/>
        </w:rPr>
        <w:t xml:space="preserve"> år utarbeta och offentliggöra en rapport som sammanfattar resultaten av de vetenskapliga rapporter som upprättats enligt punkt 6. Den första rapporten ska lämnas till kommissionen den … [Publikationsbyrån: infoga datum = </w:t>
      </w:r>
      <w:proofErr w:type="spellStart"/>
      <w:r w:rsidRPr="003B6CF7">
        <w:rPr>
          <w:strike/>
          <w:szCs w:val="24"/>
          <w:lang w:eastAsia="en-US"/>
        </w:rPr>
        <w:t>fem</w:t>
      </w:r>
      <w:r w:rsidRPr="003B6CF7">
        <w:rPr>
          <w:b/>
          <w:i/>
          <w:szCs w:val="24"/>
          <w:lang w:eastAsia="en-US"/>
        </w:rPr>
        <w:t>tre</w:t>
      </w:r>
      <w:proofErr w:type="spellEnd"/>
      <w:r w:rsidRPr="003B6CF7">
        <w:rPr>
          <w:szCs w:val="24"/>
          <w:lang w:eastAsia="en-US"/>
        </w:rPr>
        <w:t xml:space="preserve"> år efter dagen för ikraftträdandet av detta direktiv].</w:t>
      </w:r>
      <w:r w:rsidR="005501D0" w:rsidRPr="003B6CF7">
        <w:rPr>
          <w:b/>
          <w:szCs w:val="24"/>
          <w:lang w:eastAsia="en-US"/>
        </w:rPr>
        <w:t xml:space="preserve"> [Ändr. 122]</w:t>
      </w:r>
    </w:p>
    <w:p w14:paraId="62EEBB2B"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2006/118/EG av den 12 december 2006 om förebyggande och begränsning av förorening av grundvatten (EUT L 372, 27.12.2006, s. 19).</w:t>
      </w:r>
    </w:p>
    <w:p w14:paraId="7B8F51AF"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(EU) 2020/2184 av den 16 december 2020 om kvaliteten på dricksvatten (EUT L 435, 23.12.2020, s. 1).”</w:t>
      </w:r>
    </w:p>
    <w:p w14:paraId="6B472A83" w14:textId="77777777" w:rsidR="00FA11D0" w:rsidRPr="003B6CF7" w:rsidRDefault="00FA11D0">
      <w:pPr>
        <w:widowControl/>
        <w:rPr>
          <w:szCs w:val="24"/>
          <w:lang w:eastAsia="en-US"/>
        </w:rPr>
      </w:pPr>
      <w:r w:rsidRPr="003B6CF7">
        <w:rPr>
          <w:szCs w:val="24"/>
          <w:lang w:eastAsia="en-US"/>
        </w:rPr>
        <w:br w:type="page"/>
      </w:r>
    </w:p>
    <w:p w14:paraId="443DAA73" w14:textId="44D645F9"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(6)</w:t>
      </w:r>
      <w:r w:rsidRPr="003B6CF7">
        <w:rPr>
          <w:szCs w:val="24"/>
          <w:lang w:eastAsia="en-US"/>
        </w:rPr>
        <w:tab/>
        <w:t>Artikel 8a ska ersättas med följande:</w:t>
      </w:r>
    </w:p>
    <w:p w14:paraId="0CC0CBA2"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8a</w:t>
      </w:r>
    </w:p>
    <w:p w14:paraId="5B50AEC3" w14:textId="77777777" w:rsidR="001831FD" w:rsidRPr="003B6CF7" w:rsidRDefault="001831FD" w:rsidP="001831FD">
      <w:pPr>
        <w:spacing w:before="120" w:after="120" w:line="360" w:lineRule="auto"/>
        <w:ind w:left="850"/>
        <w:rPr>
          <w:szCs w:val="24"/>
          <w:lang w:eastAsia="en-US"/>
        </w:rPr>
      </w:pPr>
      <w:r w:rsidRPr="003B6CF7">
        <w:rPr>
          <w:szCs w:val="24"/>
          <w:lang w:eastAsia="en-US"/>
        </w:rPr>
        <w:t>Särskilda föreskrifter för vissa ämnen</w:t>
      </w:r>
    </w:p>
    <w:p w14:paraId="414D4F6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I de förvaltningsplaner för avrinningsdistrikt som tagits fram i enlighet med artikel 13 i direktiv 2000/60/EG får medlemsstaterna, utan att det påverkar kraven i avsnitt 1.4.3 i bilaga V till det direktivet beträffande redovisning av den övergripande kemiska statusen och de mål och skyldigheter som fastställs i artikel 4.1 a i det direktivet, tillhandahålla kompletterande kartor som redovisar informationen om den kemiska statusen för ett eller flera av följande ämnen fristående från den information för övriga ämnen som anges i del A i bilaga I till det här direktivet:</w:t>
      </w:r>
    </w:p>
    <w:p w14:paraId="4DECC13E"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Ämnen som i del A i bilaga I identifieras som ämnen som uppträder som allmänt förekommande PBT-ämnen.</w:t>
      </w:r>
    </w:p>
    <w:p w14:paraId="0EBE4DA7"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Ämnen som nyligen fastställts i den senaste översynen i enlighet med artikel 8.</w:t>
      </w:r>
    </w:p>
    <w:p w14:paraId="63A0902F" w14:textId="77777777" w:rsidR="00FA11D0" w:rsidRPr="003B6CF7" w:rsidRDefault="00FA11D0">
      <w:pPr>
        <w:widowControl/>
        <w:rPr>
          <w:szCs w:val="24"/>
          <w:lang w:eastAsia="en-US"/>
        </w:rPr>
      </w:pPr>
      <w:r w:rsidRPr="003B6CF7">
        <w:rPr>
          <w:szCs w:val="24"/>
          <w:lang w:eastAsia="en-US"/>
        </w:rPr>
        <w:br w:type="page"/>
      </w:r>
    </w:p>
    <w:p w14:paraId="35B5C940" w14:textId="2436C141"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(c)</w:t>
      </w:r>
      <w:r w:rsidRPr="003B6CF7">
        <w:rPr>
          <w:szCs w:val="24"/>
          <w:lang w:eastAsia="en-US"/>
        </w:rPr>
        <w:tab/>
        <w:t>Ämnen för vilka strängare miljökvalitetsnormer har fastställts i den senaste översynen i enlighet med artikel 8.</w:t>
      </w:r>
    </w:p>
    <w:p w14:paraId="19F65DF7" w14:textId="16F11729" w:rsidR="001831FD" w:rsidRPr="003B6CF7" w:rsidRDefault="001831FD" w:rsidP="001831FD">
      <w:pPr>
        <w:spacing w:before="120" w:after="120" w:line="360" w:lineRule="auto"/>
        <w:ind w:left="1416"/>
        <w:rPr>
          <w:b/>
          <w:szCs w:val="24"/>
          <w:lang w:eastAsia="en-US"/>
        </w:rPr>
      </w:pPr>
      <w:r w:rsidRPr="003B6CF7">
        <w:rPr>
          <w:szCs w:val="24"/>
          <w:lang w:eastAsia="en-US"/>
        </w:rPr>
        <w:t xml:space="preserve">Medlemsstaterna </w:t>
      </w:r>
      <w:proofErr w:type="spellStart"/>
      <w:r w:rsidRPr="003B6CF7">
        <w:rPr>
          <w:strike/>
          <w:szCs w:val="24"/>
          <w:lang w:eastAsia="en-US"/>
        </w:rPr>
        <w:t>får</w:t>
      </w:r>
      <w:r w:rsidRPr="003B6CF7">
        <w:rPr>
          <w:b/>
          <w:i/>
          <w:szCs w:val="24"/>
          <w:lang w:eastAsia="en-US"/>
        </w:rPr>
        <w:t>ska</w:t>
      </w:r>
      <w:proofErr w:type="spellEnd"/>
      <w:r w:rsidRPr="003B6CF7">
        <w:rPr>
          <w:szCs w:val="24"/>
          <w:lang w:eastAsia="en-US"/>
        </w:rPr>
        <w:t xml:space="preserve"> redovisa omfattningen av eventuella avvikelser från miljökvalitetsnormerna för de ämnen som avses i första stycket leden a, b och c i de förvaltningsplaner för avrinningsdistrikt som utarbetats i enlighet med artikel 13 i direktiv 2000/60/EG. Medlemsstater som tillhandahåller sådana kompletterande kartor som avses i första stycket ska sträva efter att säkerställa att de är jämförbara mellan olika avrinningsområden och på unionsnivå, och ska göra uppgifterna tillgängliga i enlighet med direktiv 2003/4/EG, Europaparlamentets och rådets direktiv 2007/2/EG* och Europaparlamentets och rådets direktiv (EU) 2019/1024**.</w:t>
      </w:r>
      <w:r w:rsidR="005501D0" w:rsidRPr="003B6CF7">
        <w:rPr>
          <w:b/>
          <w:szCs w:val="24"/>
          <w:lang w:eastAsia="en-US"/>
        </w:rPr>
        <w:t xml:space="preserve"> [Ändr. 123]</w:t>
      </w:r>
    </w:p>
    <w:p w14:paraId="1DA7ACE0" w14:textId="77777777" w:rsidR="00FA11D0" w:rsidRPr="003B6CF7" w:rsidRDefault="00FA11D0">
      <w:pPr>
        <w:widowControl/>
        <w:rPr>
          <w:szCs w:val="24"/>
          <w:lang w:eastAsia="en-US"/>
        </w:rPr>
      </w:pPr>
      <w:r w:rsidRPr="003B6CF7">
        <w:rPr>
          <w:szCs w:val="24"/>
          <w:lang w:eastAsia="en-US"/>
        </w:rPr>
        <w:br w:type="page"/>
      </w:r>
    </w:p>
    <w:p w14:paraId="1B7F8BAC" w14:textId="12C9CF84" w:rsidR="001831FD" w:rsidRPr="003B6CF7" w:rsidRDefault="001831FD" w:rsidP="001831FD">
      <w:pPr>
        <w:spacing w:before="120" w:after="120" w:line="360" w:lineRule="auto"/>
        <w:ind w:left="1416" w:hanging="566"/>
        <w:rPr>
          <w:b/>
          <w:szCs w:val="24"/>
          <w:lang w:eastAsia="en-US"/>
        </w:rPr>
      </w:pPr>
      <w:r w:rsidRPr="003B6CF7">
        <w:rPr>
          <w:szCs w:val="24"/>
          <w:lang w:eastAsia="en-US"/>
        </w:rPr>
        <w:lastRenderedPageBreak/>
        <w:t>2.</w:t>
      </w:r>
      <w:r w:rsidRPr="003B6CF7">
        <w:rPr>
          <w:szCs w:val="24"/>
          <w:lang w:eastAsia="en-US"/>
        </w:rPr>
        <w:tab/>
        <w:t>Medlemsstaterna får övervaka ämnen som i del A i bilaga I identifieras som ämnen som uppträder som allmänt förekommande PBT-ämnen</w:t>
      </w:r>
      <w:r w:rsidRPr="003B6CF7">
        <w:rPr>
          <w:b/>
          <w:i/>
          <w:szCs w:val="24"/>
          <w:lang w:eastAsia="en-US"/>
        </w:rPr>
        <w:t xml:space="preserve"> och som inte längre är godkända och inte längre används i unionen</w:t>
      </w:r>
      <w:r w:rsidRPr="003B6CF7">
        <w:rPr>
          <w:szCs w:val="24"/>
          <w:lang w:eastAsia="en-US"/>
        </w:rPr>
        <w:t xml:space="preserve"> mindre intensivt än vad som krävs för prioriterade ämnen i enlighet med artikel 3.4 i detta direktiv och i bilaga V till direktiv 2000/60/EG, förutsatt att övervakningen är representativ och att det redan finns ett statistiskt tillförlitligt referensvärde tillgängligt när det gäller förekomsten av dessa ämnen i vattenmiljön. Som riktlinje, i överensstämmelse med artikel 3.6 andra stycket i det här direktivet, bör övervakning ske vart tredje år, såvida inte teknisk kunskap och expertutlåtande motiverar ett annat intervall.</w:t>
      </w:r>
      <w:r w:rsidR="005501D0" w:rsidRPr="003B6CF7">
        <w:rPr>
          <w:b/>
          <w:szCs w:val="24"/>
          <w:lang w:eastAsia="en-US"/>
        </w:rPr>
        <w:t xml:space="preserve"> [Ändr. 124]</w:t>
      </w:r>
    </w:p>
    <w:p w14:paraId="3F8B1ECF" w14:textId="77777777" w:rsidR="00FA11D0" w:rsidRPr="003B6CF7" w:rsidRDefault="00FA11D0">
      <w:pPr>
        <w:widowControl/>
        <w:rPr>
          <w:szCs w:val="24"/>
          <w:lang w:eastAsia="en-US"/>
        </w:rPr>
      </w:pPr>
      <w:r w:rsidRPr="003B6CF7">
        <w:rPr>
          <w:szCs w:val="24"/>
          <w:lang w:eastAsia="en-US"/>
        </w:rPr>
        <w:br w:type="page"/>
      </w:r>
    </w:p>
    <w:p w14:paraId="071E0F25" w14:textId="449FBFBA"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3.</w:t>
      </w:r>
      <w:r w:rsidRPr="003B6CF7">
        <w:rPr>
          <w:szCs w:val="24"/>
          <w:lang w:eastAsia="en-US"/>
        </w:rPr>
        <w:tab/>
        <w:t>Medlemsstaterna ska från och med den … [Publikationsbyrån: infoga datum = första dagen i den månad som följer 18 månader efter dagen för ikraftträdandet av detta direktiv] under en period av två år övervaka förekomsten av östrogena ämnen i vattenförekomster med hjälp av effektbaserade övervakningsmetoder. De ska genomföra övervakningen åtminstone fyra gånger under vart och ett av de två åren på platser där de tre östrogena hormonerna 7-beta-</w:t>
      </w:r>
      <w:proofErr w:type="spellStart"/>
      <w:r w:rsidRPr="003B6CF7">
        <w:rPr>
          <w:szCs w:val="24"/>
          <w:lang w:eastAsia="en-US"/>
        </w:rPr>
        <w:t>estradiol</w:t>
      </w:r>
      <w:proofErr w:type="spellEnd"/>
      <w:r w:rsidRPr="003B6CF7">
        <w:rPr>
          <w:szCs w:val="24"/>
          <w:lang w:eastAsia="en-US"/>
        </w:rPr>
        <w:t xml:space="preserve"> (</w:t>
      </w:r>
      <w:proofErr w:type="spellStart"/>
      <w:r w:rsidRPr="003B6CF7">
        <w:rPr>
          <w:szCs w:val="24"/>
          <w:lang w:eastAsia="en-US"/>
        </w:rPr>
        <w:t>E2</w:t>
      </w:r>
      <w:proofErr w:type="spellEnd"/>
      <w:r w:rsidRPr="003B6CF7">
        <w:rPr>
          <w:szCs w:val="24"/>
          <w:lang w:eastAsia="en-US"/>
        </w:rPr>
        <w:t xml:space="preserve">), </w:t>
      </w:r>
      <w:proofErr w:type="spellStart"/>
      <w:r w:rsidRPr="003B6CF7">
        <w:rPr>
          <w:szCs w:val="24"/>
          <w:lang w:eastAsia="en-US"/>
        </w:rPr>
        <w:t>estron</w:t>
      </w:r>
      <w:proofErr w:type="spellEnd"/>
      <w:r w:rsidRPr="003B6CF7">
        <w:rPr>
          <w:szCs w:val="24"/>
          <w:lang w:eastAsia="en-US"/>
        </w:rPr>
        <w:t xml:space="preserve"> (</w:t>
      </w:r>
      <w:proofErr w:type="spellStart"/>
      <w:r w:rsidRPr="003B6CF7">
        <w:rPr>
          <w:szCs w:val="24"/>
          <w:lang w:eastAsia="en-US"/>
        </w:rPr>
        <w:t>E1</w:t>
      </w:r>
      <w:proofErr w:type="spellEnd"/>
      <w:r w:rsidRPr="003B6CF7">
        <w:rPr>
          <w:szCs w:val="24"/>
          <w:lang w:eastAsia="en-US"/>
        </w:rPr>
        <w:t>) och alfa-</w:t>
      </w:r>
      <w:proofErr w:type="spellStart"/>
      <w:r w:rsidRPr="003B6CF7">
        <w:rPr>
          <w:szCs w:val="24"/>
          <w:lang w:eastAsia="en-US"/>
        </w:rPr>
        <w:t>etinylestradiol</w:t>
      </w:r>
      <w:proofErr w:type="spellEnd"/>
      <w:r w:rsidRPr="003B6CF7">
        <w:rPr>
          <w:szCs w:val="24"/>
          <w:lang w:eastAsia="en-US"/>
        </w:rPr>
        <w:t xml:space="preserve"> (EE2), som förtecknas i del A i bilaga I till detta direktiv, övervakas med konventionella analysmetoder i enlighet med artikel 8 i direktiv 2000/60/EG och bilaga V till det direktivet. Medlemsstaterna får använda det nätverk av övervakningsstationer som identifierats för övervakning av representativa ytvattenförekomster i enlighet med punkt 1.3.1 i bilaga V till direktiv 2000/60/EG.</w:t>
      </w:r>
    </w:p>
    <w:p w14:paraId="2737A0C3"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3a.</w:t>
      </w:r>
      <w:r w:rsidRPr="003B6CF7">
        <w:rPr>
          <w:szCs w:val="24"/>
          <w:lang w:eastAsia="en-US"/>
        </w:rPr>
        <w:tab/>
      </w:r>
      <w:r w:rsidRPr="003B6CF7">
        <w:rPr>
          <w:b/>
          <w:i/>
          <w:szCs w:val="24"/>
          <w:lang w:eastAsia="en-US"/>
        </w:rPr>
        <w:t>Kommissionen ska inom 12 månader efter den tvåårsperiod som avses i punkt 3 offentliggöra en rapport om tillförlitligheten för de effektbaserade metoderna genom att jämföra de effektbaserade resultaten med de resultat som erhållits genom de konventionella metoderna för övervakning av de tre östrogena ämnen som förtecknas i punkt 3, i avvaktan på ett eventuellt fastställande av effektbaserade utlösande värden i framtiden.</w:t>
      </w:r>
    </w:p>
    <w:p w14:paraId="762B9CD0" w14:textId="77777777" w:rsidR="00FA11D0" w:rsidRPr="003B6CF7" w:rsidRDefault="00FA11D0">
      <w:pPr>
        <w:widowControl/>
        <w:rPr>
          <w:b/>
          <w:i/>
          <w:szCs w:val="24"/>
          <w:lang w:eastAsia="en-US"/>
        </w:rPr>
      </w:pPr>
      <w:r w:rsidRPr="003B6CF7">
        <w:rPr>
          <w:b/>
          <w:i/>
          <w:szCs w:val="24"/>
          <w:lang w:eastAsia="en-US"/>
        </w:rPr>
        <w:br w:type="page"/>
      </w:r>
    </w:p>
    <w:p w14:paraId="1C1F13A9" w14:textId="66372566" w:rsidR="001831FD" w:rsidRPr="003B6CF7" w:rsidRDefault="001831FD" w:rsidP="001831FD">
      <w:pPr>
        <w:spacing w:before="120" w:after="120" w:line="360" w:lineRule="auto"/>
        <w:ind w:left="1416"/>
        <w:rPr>
          <w:b/>
          <w:szCs w:val="24"/>
          <w:lang w:eastAsia="en-US"/>
        </w:rPr>
      </w:pPr>
      <w:r w:rsidRPr="003B6CF7">
        <w:rPr>
          <w:b/>
          <w:i/>
          <w:szCs w:val="24"/>
          <w:lang w:eastAsia="en-US"/>
        </w:rPr>
        <w:lastRenderedPageBreak/>
        <w:t>När effektbaserade metoder är färdiga att användas även för andra ämnen ska kommissionen ges befogenhet att anta delegerade akter i enlighet med artikel 9a för att komplettera detta direktiv genom att lägga till ett krav på att medlemsstaterna ska använda de effektbaserade metoderna parallellt med konventionella övervakningsmetoder för att utföra övervakning för att bedöma förekomsten av dessa ämnen i vattenförekomster.</w:t>
      </w:r>
      <w:r w:rsidR="005501D0" w:rsidRPr="003B6CF7">
        <w:rPr>
          <w:b/>
          <w:szCs w:val="24"/>
          <w:lang w:eastAsia="en-US"/>
        </w:rPr>
        <w:t xml:space="preserve"> [Ändr. 125]</w:t>
      </w:r>
    </w:p>
    <w:p w14:paraId="6F42046C"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2007/2/EG av den 14 mars 2007 om upprättande av en infrastruktur för rumslig information i Europeiska gemenskapen (</w:t>
      </w:r>
      <w:proofErr w:type="spellStart"/>
      <w:r w:rsidRPr="003B6CF7">
        <w:rPr>
          <w:szCs w:val="24"/>
          <w:lang w:eastAsia="en-US"/>
        </w:rPr>
        <w:t>Inspire</w:t>
      </w:r>
      <w:proofErr w:type="spellEnd"/>
      <w:r w:rsidRPr="003B6CF7">
        <w:rPr>
          <w:szCs w:val="24"/>
          <w:lang w:eastAsia="en-US"/>
        </w:rPr>
        <w:t>) (</w:t>
      </w:r>
      <w:proofErr w:type="spellStart"/>
      <w:r w:rsidRPr="003B6CF7">
        <w:rPr>
          <w:szCs w:val="24"/>
          <w:lang w:eastAsia="en-US"/>
        </w:rPr>
        <w:t>EUT</w:t>
      </w:r>
      <w:proofErr w:type="spellEnd"/>
      <w:r w:rsidRPr="003B6CF7">
        <w:rPr>
          <w:szCs w:val="24"/>
          <w:lang w:eastAsia="en-US"/>
        </w:rPr>
        <w:t xml:space="preserve"> L 108, 25.4.2007, s. 1).</w:t>
      </w:r>
    </w:p>
    <w:p w14:paraId="52B08EC1" w14:textId="77777777" w:rsidR="001831FD" w:rsidRPr="003B6CF7" w:rsidRDefault="001831FD" w:rsidP="001831FD">
      <w:pPr>
        <w:spacing w:before="120" w:after="120" w:line="360" w:lineRule="auto"/>
        <w:ind w:left="850"/>
        <w:rPr>
          <w:szCs w:val="24"/>
          <w:lang w:eastAsia="en-US"/>
        </w:rPr>
      </w:pPr>
      <w:r w:rsidRPr="003B6CF7">
        <w:rPr>
          <w:szCs w:val="24"/>
          <w:lang w:eastAsia="en-US"/>
        </w:rPr>
        <w:t>** Europaparlamentets och rådets direktiv (EU) 2019/1024 av den 20 juni 2019 om öppna data och vidareutnyttjande av information från den offentliga sektorn (EUT L 172, 26.6.2019, s. 56).”</w:t>
      </w:r>
    </w:p>
    <w:p w14:paraId="670FAB3A" w14:textId="77777777" w:rsidR="00FA11D0" w:rsidRPr="003B6CF7" w:rsidRDefault="00FA11D0">
      <w:pPr>
        <w:widowControl/>
        <w:rPr>
          <w:szCs w:val="24"/>
          <w:lang w:eastAsia="en-US"/>
        </w:rPr>
      </w:pPr>
      <w:r w:rsidRPr="003B6CF7">
        <w:rPr>
          <w:szCs w:val="24"/>
          <w:lang w:eastAsia="en-US"/>
        </w:rPr>
        <w:br w:type="page"/>
      </w:r>
    </w:p>
    <w:p w14:paraId="5A617520" w14:textId="022BD825"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(7)</w:t>
      </w:r>
      <w:r w:rsidRPr="003B6CF7">
        <w:rPr>
          <w:szCs w:val="24"/>
          <w:lang w:eastAsia="en-US"/>
        </w:rPr>
        <w:tab/>
        <w:t>Artikel 8b ska ersättas med följande:</w:t>
      </w:r>
    </w:p>
    <w:p w14:paraId="67D745DB"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8b</w:t>
      </w:r>
    </w:p>
    <w:p w14:paraId="489FDEB7" w14:textId="77777777" w:rsidR="001831FD" w:rsidRPr="003B6CF7" w:rsidRDefault="001831FD" w:rsidP="001831FD">
      <w:pPr>
        <w:spacing w:before="120" w:after="120" w:line="360" w:lineRule="auto"/>
        <w:ind w:left="850"/>
        <w:rPr>
          <w:szCs w:val="24"/>
          <w:lang w:eastAsia="en-US"/>
        </w:rPr>
      </w:pPr>
      <w:r w:rsidRPr="003B6CF7">
        <w:rPr>
          <w:szCs w:val="24"/>
          <w:lang w:eastAsia="en-US"/>
        </w:rPr>
        <w:t>Bevakningslista</w:t>
      </w:r>
    </w:p>
    <w:p w14:paraId="382FEB7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 xml:space="preserve">Kommissionen ges befogenhet att anta genomförandeakter för att, med beaktande av vetenskapliga rapporter som utarbetats av </w:t>
      </w:r>
      <w:proofErr w:type="spellStart"/>
      <w:r w:rsidRPr="003B6CF7">
        <w:rPr>
          <w:szCs w:val="24"/>
          <w:lang w:eastAsia="en-US"/>
        </w:rPr>
        <w:t>Echa</w:t>
      </w:r>
      <w:proofErr w:type="spellEnd"/>
      <w:r w:rsidRPr="003B6CF7">
        <w:rPr>
          <w:szCs w:val="24"/>
          <w:lang w:eastAsia="en-US"/>
        </w:rPr>
        <w:t>, upprätta en bevakningslista över ämnen för vilka det är nödvändigt att samla in unionsomfattande övervakningsdata från medlemsstaterna och för att fastställa de format som medlemsstaterna ska använda för att rapportera resultaten av övervakningen och tillhörande information till kommissionen. Dessa genomförandeakter ska antas i enlighet med det granskningsförfarande som avses i artikel 9.2.</w:t>
      </w:r>
    </w:p>
    <w:p w14:paraId="38A33A72" w14:textId="77777777" w:rsidR="00FA11D0" w:rsidRPr="003B6CF7" w:rsidRDefault="00FA11D0">
      <w:pPr>
        <w:widowControl/>
        <w:rPr>
          <w:szCs w:val="24"/>
          <w:lang w:eastAsia="en-US"/>
        </w:rPr>
      </w:pPr>
      <w:r w:rsidRPr="003B6CF7">
        <w:rPr>
          <w:szCs w:val="24"/>
          <w:lang w:eastAsia="en-US"/>
        </w:rPr>
        <w:br w:type="page"/>
      </w:r>
    </w:p>
    <w:p w14:paraId="216A38E3" w14:textId="7B0AE259"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xml:space="preserve">Bevakningslistan ska innehålla </w:t>
      </w:r>
      <w:r w:rsidRPr="003B6CF7">
        <w:rPr>
          <w:strike/>
          <w:szCs w:val="24"/>
          <w:lang w:eastAsia="en-US"/>
        </w:rPr>
        <w:t xml:space="preserve">högst tio </w:t>
      </w:r>
      <w:proofErr w:type="spellStart"/>
      <w:r w:rsidRPr="003B6CF7">
        <w:rPr>
          <w:strike/>
          <w:szCs w:val="24"/>
          <w:lang w:eastAsia="en-US"/>
        </w:rPr>
        <w:t>ämnen</w:t>
      </w:r>
      <w:r w:rsidRPr="003B6CF7">
        <w:rPr>
          <w:b/>
          <w:i/>
          <w:szCs w:val="24"/>
          <w:lang w:eastAsia="en-US"/>
        </w:rPr>
        <w:t>minst</w:t>
      </w:r>
      <w:proofErr w:type="spellEnd"/>
      <w:r w:rsidRPr="003B6CF7">
        <w:rPr>
          <w:b/>
          <w:i/>
          <w:szCs w:val="24"/>
          <w:lang w:eastAsia="en-US"/>
        </w:rPr>
        <w:t xml:space="preserve"> fem nya riskämnen</w:t>
      </w:r>
      <w:r w:rsidRPr="003B6CF7">
        <w:rPr>
          <w:szCs w:val="24"/>
          <w:lang w:eastAsia="en-US"/>
        </w:rPr>
        <w:t xml:space="preserve"> eller grupper av </w:t>
      </w:r>
      <w:r w:rsidRPr="003B6CF7">
        <w:rPr>
          <w:strike/>
          <w:szCs w:val="24"/>
          <w:lang w:eastAsia="en-US"/>
        </w:rPr>
        <w:t xml:space="preserve">ämnen samtidigt, och den ska för varje ämne ange övervakningsmatris och möjliga analysmetoder. Dessa övervakningsmatriser och metoder får inte medföra orimliga kostnader för de behöriga myndigheterna. De ämnen som ska inkluderas i bevakningslistan ska </w:t>
      </w:r>
      <w:proofErr w:type="spellStart"/>
      <w:r w:rsidRPr="003B6CF7">
        <w:rPr>
          <w:strike/>
          <w:szCs w:val="24"/>
          <w:lang w:eastAsia="en-US"/>
        </w:rPr>
        <w:t>väljas</w:t>
      </w:r>
      <w:r w:rsidRPr="003B6CF7">
        <w:rPr>
          <w:b/>
          <w:i/>
          <w:szCs w:val="24"/>
          <w:lang w:eastAsia="en-US"/>
        </w:rPr>
        <w:t>nya</w:t>
      </w:r>
      <w:proofErr w:type="spellEnd"/>
      <w:r w:rsidRPr="003B6CF7">
        <w:rPr>
          <w:b/>
          <w:i/>
          <w:szCs w:val="24"/>
          <w:lang w:eastAsia="en-US"/>
        </w:rPr>
        <w:t xml:space="preserve"> riskämnen som valts ut bland de</w:t>
      </w:r>
      <w:r w:rsidRPr="003B6CF7">
        <w:rPr>
          <w:szCs w:val="24"/>
          <w:lang w:eastAsia="en-US"/>
        </w:rPr>
        <w:t xml:space="preserve"> ämnen </w:t>
      </w:r>
      <w:r w:rsidRPr="003B6CF7">
        <w:rPr>
          <w:b/>
          <w:i/>
          <w:szCs w:val="24"/>
          <w:lang w:eastAsia="en-US"/>
        </w:rPr>
        <w:t>för vilka tillgänglig information, även i enlighet med fjärde stycket nedan, tyder på att de kan utgöra en betydande risk på unionsnivå för, eller via, vattenmiljön och för vilka övervakningsdata är otillräckliga</w:t>
      </w:r>
      <w:r w:rsidRPr="003B6CF7">
        <w:rPr>
          <w:b/>
          <w:i/>
          <w:strike/>
          <w:szCs w:val="24"/>
          <w:lang w:eastAsia="en-US"/>
        </w:rPr>
        <w:t>.</w:t>
      </w:r>
      <w:r w:rsidRPr="003B6CF7">
        <w:rPr>
          <w:b/>
          <w:i/>
          <w:szCs w:val="24"/>
          <w:lang w:eastAsia="en-US"/>
        </w:rPr>
        <w:t xml:space="preserve">, förutom när det antal ämnen eller grupper av </w:t>
      </w:r>
      <w:r w:rsidRPr="003B6CF7">
        <w:rPr>
          <w:szCs w:val="24"/>
          <w:lang w:eastAsia="en-US"/>
        </w:rPr>
        <w:t xml:space="preserve">ämnen för vilka tillgänglig information tyder på att de kan utgöra en betydande risk för, eller via, vattenmiljön </w:t>
      </w:r>
      <w:r w:rsidRPr="003B6CF7">
        <w:rPr>
          <w:b/>
          <w:i/>
          <w:szCs w:val="24"/>
          <w:lang w:eastAsia="en-US"/>
        </w:rPr>
        <w:t>som kan väljas</w:t>
      </w:r>
      <w:r w:rsidRPr="003B6CF7">
        <w:rPr>
          <w:szCs w:val="24"/>
          <w:lang w:eastAsia="en-US"/>
        </w:rPr>
        <w:t xml:space="preserve"> är </w:t>
      </w:r>
      <w:r w:rsidRPr="003B6CF7">
        <w:rPr>
          <w:b/>
          <w:i/>
          <w:szCs w:val="24"/>
          <w:lang w:eastAsia="en-US"/>
        </w:rPr>
        <w:t>mindre än fem, varvid</w:t>
      </w:r>
      <w:r w:rsidRPr="003B6CF7">
        <w:rPr>
          <w:szCs w:val="24"/>
          <w:lang w:eastAsia="en-US"/>
        </w:rPr>
        <w:t xml:space="preserve"> bevakningslistan ska omfatta </w:t>
      </w:r>
      <w:r w:rsidRPr="003B6CF7">
        <w:rPr>
          <w:strike/>
          <w:szCs w:val="24"/>
          <w:lang w:eastAsia="en-US"/>
        </w:rPr>
        <w:t xml:space="preserve">nya </w:t>
      </w:r>
      <w:proofErr w:type="spellStart"/>
      <w:r w:rsidRPr="003B6CF7">
        <w:rPr>
          <w:strike/>
          <w:szCs w:val="24"/>
          <w:lang w:eastAsia="en-US"/>
        </w:rPr>
        <w:t>riskämnen</w:t>
      </w:r>
      <w:r w:rsidRPr="003B6CF7">
        <w:rPr>
          <w:b/>
          <w:i/>
          <w:szCs w:val="24"/>
          <w:lang w:eastAsia="en-US"/>
        </w:rPr>
        <w:t>alla</w:t>
      </w:r>
      <w:proofErr w:type="spellEnd"/>
      <w:r w:rsidRPr="003B6CF7">
        <w:rPr>
          <w:b/>
          <w:i/>
          <w:szCs w:val="24"/>
          <w:lang w:eastAsia="en-US"/>
        </w:rPr>
        <w:t xml:space="preserve"> dessa ämnen</w:t>
      </w:r>
      <w:r w:rsidRPr="003B6CF7">
        <w:rPr>
          <w:szCs w:val="24"/>
          <w:lang w:eastAsia="en-US"/>
        </w:rPr>
        <w:t>.</w:t>
      </w:r>
    </w:p>
    <w:p w14:paraId="03151677" w14:textId="77777777" w:rsidR="001831FD" w:rsidRPr="003B6CF7" w:rsidRDefault="001831FD" w:rsidP="001831FD">
      <w:pPr>
        <w:spacing w:before="120" w:after="120" w:line="360" w:lineRule="auto"/>
        <w:ind w:left="1416"/>
        <w:rPr>
          <w:szCs w:val="24"/>
          <w:lang w:eastAsia="en-US"/>
        </w:rPr>
      </w:pPr>
      <w:r w:rsidRPr="003B6CF7">
        <w:rPr>
          <w:b/>
          <w:i/>
          <w:szCs w:val="24"/>
          <w:lang w:eastAsia="en-US"/>
        </w:rPr>
        <w:t>Utöver det minsta antalet ämnen eller grupper av ämnen kan bevakningslistan också innehålla föroreningsindikatorer.</w:t>
      </w:r>
    </w:p>
    <w:p w14:paraId="5B0B76F8" w14:textId="34255531" w:rsidR="001831FD" w:rsidRPr="003B6CF7" w:rsidRDefault="001831FD" w:rsidP="001831FD">
      <w:pPr>
        <w:spacing w:before="120" w:after="120" w:line="360" w:lineRule="auto"/>
        <w:ind w:left="1416"/>
        <w:rPr>
          <w:b/>
          <w:szCs w:val="24"/>
          <w:lang w:eastAsia="en-US"/>
        </w:rPr>
      </w:pPr>
      <w:r w:rsidRPr="003B6CF7">
        <w:rPr>
          <w:b/>
          <w:i/>
          <w:szCs w:val="24"/>
          <w:lang w:eastAsia="en-US"/>
        </w:rPr>
        <w:t>Bevakningslistan</w:t>
      </w:r>
      <w:r w:rsidRPr="003B6CF7">
        <w:rPr>
          <w:szCs w:val="24"/>
          <w:lang w:eastAsia="en-US"/>
        </w:rPr>
        <w:t xml:space="preserve"> ska för varje ämne </w:t>
      </w:r>
      <w:r w:rsidRPr="003B6CF7">
        <w:rPr>
          <w:b/>
          <w:i/>
          <w:szCs w:val="24"/>
          <w:lang w:eastAsia="en-US"/>
        </w:rPr>
        <w:t>specificera övervakningsmatriserna</w:t>
      </w:r>
      <w:r w:rsidRPr="003B6CF7">
        <w:rPr>
          <w:szCs w:val="24"/>
          <w:lang w:eastAsia="en-US"/>
        </w:rPr>
        <w:t xml:space="preserve"> och möjliga analysmetoder. Dessa övervakningsmatriser och metoder får inte medföra orimliga kostnader för de behöriga myndigheterna.</w:t>
      </w:r>
      <w:r w:rsidR="005501D0" w:rsidRPr="003B6CF7">
        <w:rPr>
          <w:b/>
          <w:szCs w:val="24"/>
          <w:lang w:eastAsia="en-US"/>
        </w:rPr>
        <w:t xml:space="preserve"> [Ändr. 126]</w:t>
      </w:r>
    </w:p>
    <w:p w14:paraId="260EF06D" w14:textId="77777777" w:rsidR="00FA11D0" w:rsidRPr="003B6CF7" w:rsidRDefault="00FA11D0">
      <w:pPr>
        <w:widowControl/>
        <w:rPr>
          <w:strike/>
          <w:szCs w:val="24"/>
          <w:lang w:eastAsia="en-US"/>
        </w:rPr>
      </w:pPr>
      <w:r w:rsidRPr="003B6CF7">
        <w:rPr>
          <w:strike/>
          <w:szCs w:val="24"/>
          <w:lang w:eastAsia="en-US"/>
        </w:rPr>
        <w:br w:type="page"/>
      </w:r>
    </w:p>
    <w:p w14:paraId="61DFFA96" w14:textId="44228C56" w:rsidR="001831FD" w:rsidRPr="003B6CF7" w:rsidRDefault="001831FD" w:rsidP="001831FD">
      <w:pPr>
        <w:spacing w:before="120" w:after="120" w:line="360" w:lineRule="auto"/>
        <w:ind w:left="1416"/>
        <w:rPr>
          <w:b/>
          <w:szCs w:val="24"/>
          <w:lang w:eastAsia="en-US"/>
        </w:rPr>
      </w:pPr>
      <w:r w:rsidRPr="003B6CF7">
        <w:rPr>
          <w:strike/>
          <w:szCs w:val="24"/>
          <w:lang w:eastAsia="en-US"/>
        </w:rPr>
        <w:lastRenderedPageBreak/>
        <w:t xml:space="preserve">Så snart </w:t>
      </w:r>
      <w:r w:rsidRPr="003B6CF7">
        <w:rPr>
          <w:szCs w:val="24"/>
          <w:lang w:eastAsia="en-US"/>
        </w:rPr>
        <w:t xml:space="preserve">Lämpliga övervakningsmetoder för mikroplaster och utvalda antimikrobiellt resistenta gener </w:t>
      </w:r>
      <w:r w:rsidRPr="003B6CF7">
        <w:rPr>
          <w:b/>
          <w:i/>
          <w:szCs w:val="24"/>
          <w:lang w:eastAsia="en-US"/>
        </w:rPr>
        <w:t xml:space="preserve">ska identifieras så snart som möjligt och senast [första dagen i den månad som följer 18 månader efter dagen för ikraftträdandet av detta ändringsdirektiv]. Så snart dessa övervakningsmetoder </w:t>
      </w:r>
      <w:r w:rsidRPr="003B6CF7">
        <w:rPr>
          <w:szCs w:val="24"/>
          <w:lang w:eastAsia="en-US"/>
        </w:rPr>
        <w:t xml:space="preserve">har identifierats ska </w:t>
      </w:r>
      <w:r w:rsidRPr="003B6CF7">
        <w:rPr>
          <w:strike/>
          <w:szCs w:val="24"/>
          <w:lang w:eastAsia="en-US"/>
        </w:rPr>
        <w:t xml:space="preserve">dessa </w:t>
      </w:r>
      <w:proofErr w:type="spellStart"/>
      <w:r w:rsidRPr="003B6CF7">
        <w:rPr>
          <w:strike/>
          <w:szCs w:val="24"/>
          <w:lang w:eastAsia="en-US"/>
        </w:rPr>
        <w:t>ämnen</w:t>
      </w:r>
      <w:r w:rsidRPr="003B6CF7">
        <w:rPr>
          <w:b/>
          <w:i/>
          <w:szCs w:val="24"/>
          <w:lang w:eastAsia="en-US"/>
        </w:rPr>
        <w:t>mikroplaster</w:t>
      </w:r>
      <w:proofErr w:type="spellEnd"/>
      <w:r w:rsidRPr="003B6CF7">
        <w:rPr>
          <w:b/>
          <w:i/>
          <w:szCs w:val="24"/>
          <w:lang w:eastAsia="en-US"/>
        </w:rPr>
        <w:t xml:space="preserve"> och utvalda gener för antimikrobiell resistens</w:t>
      </w:r>
      <w:r w:rsidRPr="003B6CF7">
        <w:rPr>
          <w:szCs w:val="24"/>
          <w:lang w:eastAsia="en-US"/>
        </w:rPr>
        <w:t xml:space="preserve"> föras upp på bevakningslistan</w:t>
      </w:r>
      <w:r w:rsidRPr="003B6CF7">
        <w:rPr>
          <w:b/>
          <w:i/>
          <w:szCs w:val="24"/>
          <w:lang w:eastAsia="en-US"/>
        </w:rPr>
        <w:t xml:space="preserve"> i enlighet med punkt 2</w:t>
      </w:r>
      <w:r w:rsidRPr="003B6CF7">
        <w:rPr>
          <w:szCs w:val="24"/>
          <w:lang w:eastAsia="en-US"/>
        </w:rPr>
        <w:t>.</w:t>
      </w:r>
      <w:r w:rsidRPr="003B6CF7">
        <w:rPr>
          <w:b/>
          <w:i/>
          <w:szCs w:val="24"/>
          <w:lang w:eastAsia="en-US"/>
        </w:rPr>
        <w:t xml:space="preserve"> Kommissionen ska också överväga om det är nödvändigt att inkludera </w:t>
      </w:r>
      <w:proofErr w:type="spellStart"/>
      <w:r w:rsidRPr="003B6CF7">
        <w:rPr>
          <w:b/>
          <w:i/>
          <w:szCs w:val="24"/>
          <w:lang w:eastAsia="en-US"/>
        </w:rPr>
        <w:t>sulfater</w:t>
      </w:r>
      <w:proofErr w:type="spellEnd"/>
      <w:r w:rsidRPr="003B6CF7">
        <w:rPr>
          <w:b/>
          <w:i/>
          <w:szCs w:val="24"/>
          <w:lang w:eastAsia="en-US"/>
        </w:rPr>
        <w:t>, xantater och icke-relevanta metaboliter av bekämpningsmedel i bevakningslistan för att förbättra tillgången på uppgifter om deras förekomst med avseende på detta direktivs tillämpningsområde.</w:t>
      </w:r>
      <w:r w:rsidR="00E11D71" w:rsidRPr="003B6CF7">
        <w:rPr>
          <w:b/>
          <w:szCs w:val="24"/>
          <w:lang w:eastAsia="en-US"/>
        </w:rPr>
        <w:t xml:space="preserve"> [Ändr. 127]</w:t>
      </w:r>
    </w:p>
    <w:p w14:paraId="689D2BF3" w14:textId="77777777" w:rsidR="001831FD" w:rsidRPr="003B6CF7" w:rsidRDefault="001831FD" w:rsidP="001831FD">
      <w:pPr>
        <w:spacing w:before="120" w:after="120" w:line="360" w:lineRule="auto"/>
        <w:rPr>
          <w:szCs w:val="24"/>
          <w:lang w:eastAsia="en-US"/>
        </w:rPr>
      </w:pPr>
    </w:p>
    <w:p w14:paraId="70ABF2D9" w14:textId="19E4DFF3" w:rsidR="001831FD" w:rsidRPr="003B6CF7" w:rsidRDefault="001831FD" w:rsidP="001831FD">
      <w:pPr>
        <w:spacing w:before="120" w:after="120" w:line="360" w:lineRule="auto"/>
        <w:ind w:left="1416"/>
        <w:rPr>
          <w:b/>
          <w:szCs w:val="24"/>
          <w:lang w:eastAsia="en-US"/>
        </w:rPr>
      </w:pPr>
      <w:proofErr w:type="spellStart"/>
      <w:r w:rsidRPr="003B6CF7">
        <w:rPr>
          <w:szCs w:val="24"/>
          <w:lang w:eastAsia="en-US"/>
        </w:rPr>
        <w:t>Echa</w:t>
      </w:r>
      <w:proofErr w:type="spellEnd"/>
      <w:r w:rsidRPr="003B6CF7">
        <w:rPr>
          <w:szCs w:val="24"/>
          <w:lang w:eastAsia="en-US"/>
        </w:rPr>
        <w:t xml:space="preserve"> ska utarbeta vetenskapliga rapporter för att bistå kommissionen vid valet av ämnen </w:t>
      </w:r>
      <w:r w:rsidRPr="003B6CF7">
        <w:rPr>
          <w:b/>
          <w:i/>
          <w:szCs w:val="24"/>
          <w:lang w:eastAsia="en-US"/>
        </w:rPr>
        <w:t xml:space="preserve">och föroreningsindikatorer </w:t>
      </w:r>
      <w:r w:rsidRPr="003B6CF7">
        <w:rPr>
          <w:szCs w:val="24"/>
          <w:lang w:eastAsia="en-US"/>
        </w:rPr>
        <w:t>till bevakningslistan, med beaktande av följande information:</w:t>
      </w:r>
      <w:r w:rsidR="00E11D71" w:rsidRPr="003B6CF7">
        <w:rPr>
          <w:b/>
          <w:szCs w:val="24"/>
          <w:lang w:eastAsia="en-US"/>
        </w:rPr>
        <w:t xml:space="preserve"> [Ändr. 128]</w:t>
      </w:r>
    </w:p>
    <w:p w14:paraId="0F906C6A"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Resultaten av den senaste regelbundna översynen av bilaga I till detta direktiv.</w:t>
      </w:r>
    </w:p>
    <w:p w14:paraId="329BE278"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Rekommendationer från de berörda parter som avses i artikel 8 i direktiv 2008/105/EG.</w:t>
      </w:r>
    </w:p>
    <w:p w14:paraId="3F4F0362" w14:textId="77777777" w:rsidR="00FA11D0" w:rsidRPr="003B6CF7" w:rsidRDefault="00FA11D0">
      <w:pPr>
        <w:widowControl/>
        <w:rPr>
          <w:szCs w:val="24"/>
          <w:lang w:eastAsia="en-US"/>
        </w:rPr>
      </w:pPr>
      <w:r w:rsidRPr="003B6CF7">
        <w:rPr>
          <w:szCs w:val="24"/>
          <w:lang w:eastAsia="en-US"/>
        </w:rPr>
        <w:br w:type="page"/>
      </w:r>
    </w:p>
    <w:p w14:paraId="214BE5C5" w14:textId="262A4969" w:rsidR="001831FD" w:rsidRPr="003B6CF7" w:rsidRDefault="001831FD" w:rsidP="001831FD">
      <w:pPr>
        <w:spacing w:before="120" w:after="120" w:line="360" w:lineRule="auto"/>
        <w:ind w:left="1982" w:hanging="566"/>
        <w:rPr>
          <w:szCs w:val="24"/>
          <w:lang w:eastAsia="en-US"/>
        </w:rPr>
      </w:pPr>
      <w:r w:rsidRPr="003B6CF7">
        <w:rPr>
          <w:szCs w:val="24"/>
          <w:lang w:eastAsia="en-US"/>
        </w:rPr>
        <w:lastRenderedPageBreak/>
        <w:t>(c)</w:t>
      </w:r>
      <w:r w:rsidRPr="003B6CF7">
        <w:rPr>
          <w:szCs w:val="24"/>
          <w:lang w:eastAsia="en-US"/>
        </w:rPr>
        <w:tab/>
        <w:t>Medlemsstaternas karakterisering av avrinningsdistrikt i enlighet med artikel 5 i direktiv 2000/60/EG och resultaten av övervakningsprogram som upprättats i enlighet med artikel 8 i det direktivet.</w:t>
      </w:r>
    </w:p>
    <w:p w14:paraId="77BA77AD"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(d)</w:t>
      </w:r>
      <w:r w:rsidRPr="003B6CF7">
        <w:rPr>
          <w:szCs w:val="24"/>
          <w:lang w:eastAsia="en-US"/>
        </w:rPr>
        <w:tab/>
        <w:t xml:space="preserve">Information om produktionsvolymer, användningsmönster, inneboende egenskaper (däribland i relevanta fall partikelstorlek), koncentrationer i miljön och skadliga effekter på människors hälsa och vattenmiljön av ett ämne, </w:t>
      </w:r>
      <w:proofErr w:type="gramStart"/>
      <w:r w:rsidRPr="003B6CF7">
        <w:rPr>
          <w:szCs w:val="24"/>
          <w:lang w:eastAsia="en-US"/>
        </w:rPr>
        <w:t>inbegripet</w:t>
      </w:r>
      <w:proofErr w:type="gramEnd"/>
      <w:r w:rsidRPr="003B6CF7">
        <w:rPr>
          <w:szCs w:val="24"/>
          <w:lang w:eastAsia="en-US"/>
        </w:rPr>
        <w:t xml:space="preserve"> information som samlats in i enlighet med förordning (EG) nr 1907/2006, förordning (EG) nr 1107/2009, förordning (EU) nr 528/2012, förordning (EU) 2019/6, direktiv 2001/83/EG och direktiv 2009/128/EG.</w:t>
      </w:r>
    </w:p>
    <w:p w14:paraId="478E2221" w14:textId="7F8331D2" w:rsidR="001831FD" w:rsidRPr="003B6CF7" w:rsidRDefault="001831FD" w:rsidP="001831FD">
      <w:pPr>
        <w:spacing w:before="120" w:after="120" w:line="360" w:lineRule="auto"/>
        <w:ind w:left="1982" w:hanging="566"/>
        <w:rPr>
          <w:b/>
          <w:szCs w:val="24"/>
          <w:lang w:eastAsia="en-US"/>
        </w:rPr>
      </w:pPr>
      <w:r w:rsidRPr="003B6CF7">
        <w:rPr>
          <w:szCs w:val="24"/>
          <w:lang w:eastAsia="en-US"/>
        </w:rPr>
        <w:t>(e)</w:t>
      </w:r>
      <w:r w:rsidRPr="003B6CF7">
        <w:rPr>
          <w:szCs w:val="24"/>
          <w:lang w:eastAsia="en-US"/>
        </w:rPr>
        <w:tab/>
        <w:t>Forskningsprojekt och vetenskapliga publikationer</w:t>
      </w:r>
      <w:r w:rsidRPr="003B6CF7">
        <w:rPr>
          <w:b/>
          <w:i/>
          <w:szCs w:val="24"/>
          <w:lang w:eastAsia="en-US"/>
        </w:rPr>
        <w:t xml:space="preserve"> och rön</w:t>
      </w:r>
      <w:r w:rsidRPr="003B6CF7">
        <w:rPr>
          <w:szCs w:val="24"/>
          <w:lang w:eastAsia="en-US"/>
        </w:rPr>
        <w:t>, inklusive information om trender och prognoser baserade på modeller eller andra prediktiva bedömningar</w:t>
      </w:r>
      <w:r w:rsidRPr="003B6CF7">
        <w:rPr>
          <w:strike/>
          <w:szCs w:val="24"/>
          <w:lang w:eastAsia="en-US"/>
        </w:rPr>
        <w:t xml:space="preserve"> och data och</w:t>
      </w:r>
      <w:r w:rsidRPr="003B6CF7">
        <w:rPr>
          <w:b/>
          <w:i/>
          <w:szCs w:val="24"/>
          <w:lang w:eastAsia="en-US"/>
        </w:rPr>
        <w:t>, liksom även</w:t>
      </w:r>
      <w:r w:rsidRPr="003B6CF7">
        <w:rPr>
          <w:szCs w:val="24"/>
          <w:lang w:eastAsia="en-US"/>
        </w:rPr>
        <w:t xml:space="preserve"> information </w:t>
      </w:r>
      <w:proofErr w:type="spellStart"/>
      <w:r w:rsidRPr="003B6CF7">
        <w:rPr>
          <w:strike/>
          <w:szCs w:val="24"/>
          <w:lang w:eastAsia="en-US"/>
        </w:rPr>
        <w:t>från</w:t>
      </w:r>
      <w:r w:rsidRPr="003B6CF7">
        <w:rPr>
          <w:b/>
          <w:i/>
          <w:szCs w:val="24"/>
          <w:lang w:eastAsia="en-US"/>
        </w:rPr>
        <w:t>och</w:t>
      </w:r>
      <w:proofErr w:type="spellEnd"/>
      <w:r w:rsidRPr="003B6CF7">
        <w:rPr>
          <w:b/>
          <w:i/>
          <w:szCs w:val="24"/>
          <w:lang w:eastAsia="en-US"/>
        </w:rPr>
        <w:t xml:space="preserve"> data som samlats in genom</w:t>
      </w:r>
      <w:r w:rsidRPr="003B6CF7">
        <w:rPr>
          <w:szCs w:val="24"/>
          <w:lang w:eastAsia="en-US"/>
        </w:rPr>
        <w:t xml:space="preserve"> teknik för fjärranalys, jordobservation (Copernicustjänster), sensorer och anordningar på plats eller data från medborgarforskning, med utnyttjande av de möjligheter som artificiell intelligens</w:t>
      </w:r>
      <w:r w:rsidRPr="003B6CF7">
        <w:rPr>
          <w:strike/>
          <w:szCs w:val="24"/>
          <w:lang w:eastAsia="en-US"/>
        </w:rPr>
        <w:t>,</w:t>
      </w:r>
      <w:r w:rsidRPr="003B6CF7">
        <w:rPr>
          <w:b/>
          <w:i/>
          <w:szCs w:val="24"/>
          <w:lang w:eastAsia="en-US"/>
        </w:rPr>
        <w:t xml:space="preserve"> och</w:t>
      </w:r>
      <w:r w:rsidRPr="003B6CF7">
        <w:rPr>
          <w:szCs w:val="24"/>
          <w:lang w:eastAsia="en-US"/>
        </w:rPr>
        <w:t xml:space="preserve"> avancerad dataanalys och databehandling erbjuder</w:t>
      </w:r>
      <w:r w:rsidRPr="003B6CF7">
        <w:rPr>
          <w:strike/>
          <w:szCs w:val="24"/>
          <w:lang w:eastAsia="en-US"/>
        </w:rPr>
        <w:t>.</w:t>
      </w:r>
      <w:r w:rsidRPr="003B6CF7">
        <w:rPr>
          <w:b/>
          <w:i/>
          <w:szCs w:val="24"/>
          <w:lang w:eastAsia="en-US"/>
        </w:rPr>
        <w:t>,</w:t>
      </w:r>
      <w:r w:rsidR="00E11D71" w:rsidRPr="003B6CF7">
        <w:rPr>
          <w:b/>
          <w:szCs w:val="24"/>
          <w:lang w:eastAsia="en-US"/>
        </w:rPr>
        <w:t xml:space="preserve"> [Ändr. 129]</w:t>
      </w:r>
    </w:p>
    <w:p w14:paraId="02DCFA48" w14:textId="77777777" w:rsidR="009A795A" w:rsidRPr="003B6CF7" w:rsidRDefault="009A795A">
      <w:pPr>
        <w:widowControl/>
        <w:rPr>
          <w:szCs w:val="24"/>
          <w:lang w:eastAsia="en-US"/>
        </w:rPr>
      </w:pPr>
      <w:r w:rsidRPr="003B6CF7">
        <w:rPr>
          <w:szCs w:val="24"/>
          <w:lang w:eastAsia="en-US"/>
        </w:rPr>
        <w:br w:type="page"/>
      </w:r>
    </w:p>
    <w:p w14:paraId="32C0369D" w14:textId="4EDCACC6" w:rsidR="001831FD" w:rsidRPr="003B6CF7" w:rsidRDefault="001831FD" w:rsidP="001831FD">
      <w:pPr>
        <w:spacing w:before="120" w:after="120" w:line="360" w:lineRule="auto"/>
        <w:ind w:left="1416"/>
        <w:rPr>
          <w:szCs w:val="24"/>
          <w:lang w:eastAsia="en-US"/>
        </w:rPr>
      </w:pPr>
      <w:proofErr w:type="spellStart"/>
      <w:r w:rsidRPr="003B6CF7">
        <w:rPr>
          <w:szCs w:val="24"/>
          <w:lang w:eastAsia="en-US"/>
        </w:rPr>
        <w:lastRenderedPageBreak/>
        <w:t>Echa</w:t>
      </w:r>
      <w:proofErr w:type="spellEnd"/>
      <w:r w:rsidRPr="003B6CF7">
        <w:rPr>
          <w:szCs w:val="24"/>
          <w:lang w:eastAsia="en-US"/>
        </w:rPr>
        <w:t xml:space="preserve"> ska vart tredje år utarbeta en rapport som sammanfattar resultaten av de vetenskapliga rapporter som upprättats enligt fjärde stycket och offentliggöra denna rapport. </w:t>
      </w:r>
      <w:proofErr w:type="spellStart"/>
      <w:r w:rsidRPr="003B6CF7">
        <w:rPr>
          <w:szCs w:val="24"/>
          <w:lang w:eastAsia="en-US"/>
        </w:rPr>
        <w:t>Echas</w:t>
      </w:r>
      <w:proofErr w:type="spellEnd"/>
      <w:r w:rsidRPr="003B6CF7">
        <w:rPr>
          <w:szCs w:val="24"/>
          <w:lang w:eastAsia="en-US"/>
        </w:rPr>
        <w:t xml:space="preserve"> första rapport ska offentliggöras senast den … [Publikationsbyrån: infoga datum = första dagen i den tjugoförsta månaden efter dagen för ikraftträdandet av detta direktiv].</w:t>
      </w:r>
    </w:p>
    <w:p w14:paraId="12FBEAB9" w14:textId="21E69B68"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 xml:space="preserve">Bevakningslistan ska uppdateras senast den X [Publikationsbyrån: infoga datum = sista dagen i den tjugotredje månaden efter dagen för ikraftträdandet av detta direktiv] och därefter </w:t>
      </w:r>
      <w:r w:rsidRPr="003B6CF7">
        <w:rPr>
          <w:b/>
          <w:i/>
          <w:szCs w:val="24"/>
          <w:lang w:eastAsia="en-US"/>
        </w:rPr>
        <w:t xml:space="preserve">senast </w:t>
      </w:r>
      <w:r w:rsidRPr="003B6CF7">
        <w:rPr>
          <w:szCs w:val="24"/>
          <w:lang w:eastAsia="en-US"/>
        </w:rPr>
        <w:t>var 36:e månad</w:t>
      </w:r>
      <w:r w:rsidRPr="003B6CF7">
        <w:rPr>
          <w:strike/>
          <w:szCs w:val="24"/>
          <w:lang w:eastAsia="en-US"/>
        </w:rPr>
        <w:t>. Vid uppdatering av bevakningslistan ska kommissionen ta bort alla ämnen från den befintliga bevakningslistan för vilka den anser det möjligt att bedöma risken för vattenmiljön utan ytterligare övervakningsdata. När bevakningslistan uppdateras får ett enskilt ämne</w:t>
      </w:r>
      <w:r w:rsidRPr="003B6CF7">
        <w:rPr>
          <w:szCs w:val="24"/>
          <w:lang w:eastAsia="en-US"/>
        </w:rPr>
        <w:t xml:space="preserve"> </w:t>
      </w:r>
      <w:r w:rsidRPr="003B6CF7">
        <w:rPr>
          <w:b/>
          <w:i/>
          <w:szCs w:val="24"/>
          <w:lang w:eastAsia="en-US"/>
        </w:rPr>
        <w:t>eller</w:t>
      </w:r>
      <w:r w:rsidRPr="003B6CF7">
        <w:rPr>
          <w:szCs w:val="24"/>
          <w:lang w:eastAsia="en-US"/>
        </w:rPr>
        <w:t xml:space="preserve"> </w:t>
      </w:r>
      <w:r w:rsidRPr="003B6CF7">
        <w:rPr>
          <w:strike/>
          <w:szCs w:val="24"/>
          <w:lang w:eastAsia="en-US"/>
        </w:rPr>
        <w:t xml:space="preserve">en grupp av ämnen behållas på bevakningslistan under ytterligare tre år om ytterligare övervakningsdata behövs för att bedöma risken för vattenmiljön. Varje uppdaterad bevakningslista ska också innehålla ett eller flera nya ämnen för vilka kommissionen, på grundval av </w:t>
      </w:r>
      <w:proofErr w:type="spellStart"/>
      <w:r w:rsidRPr="003B6CF7">
        <w:rPr>
          <w:strike/>
          <w:szCs w:val="24"/>
          <w:lang w:eastAsia="en-US"/>
        </w:rPr>
        <w:t>Echas</w:t>
      </w:r>
      <w:r w:rsidRPr="003B6CF7">
        <w:rPr>
          <w:b/>
          <w:i/>
          <w:szCs w:val="24"/>
          <w:lang w:eastAsia="en-US"/>
        </w:rPr>
        <w:t>oftare</w:t>
      </w:r>
      <w:proofErr w:type="spellEnd"/>
      <w:r w:rsidRPr="003B6CF7">
        <w:rPr>
          <w:b/>
          <w:i/>
          <w:szCs w:val="24"/>
          <w:lang w:eastAsia="en-US"/>
        </w:rPr>
        <w:t xml:space="preserve">, om nya vetenskapliga </w:t>
      </w:r>
      <w:r w:rsidRPr="003B6CF7">
        <w:rPr>
          <w:strike/>
          <w:szCs w:val="24"/>
          <w:lang w:eastAsia="en-US"/>
        </w:rPr>
        <w:t xml:space="preserve">rapporter, anser att det finns en risk för </w:t>
      </w:r>
      <w:proofErr w:type="spellStart"/>
      <w:r w:rsidRPr="003B6CF7">
        <w:rPr>
          <w:strike/>
          <w:szCs w:val="24"/>
          <w:lang w:eastAsia="en-US"/>
        </w:rPr>
        <w:t>vattenmiljön</w:t>
      </w:r>
      <w:r w:rsidRPr="003B6CF7">
        <w:rPr>
          <w:b/>
          <w:i/>
          <w:szCs w:val="24"/>
          <w:lang w:eastAsia="en-US"/>
        </w:rPr>
        <w:t>rön</w:t>
      </w:r>
      <w:proofErr w:type="spellEnd"/>
      <w:r w:rsidRPr="003B6CF7">
        <w:rPr>
          <w:b/>
          <w:i/>
          <w:szCs w:val="24"/>
          <w:lang w:eastAsia="en-US"/>
        </w:rPr>
        <w:t xml:space="preserve"> framkommer som skulle kräva att listan uppdateras under tiden mellan två individuella översyner</w:t>
      </w:r>
      <w:r w:rsidRPr="003B6CF7">
        <w:rPr>
          <w:szCs w:val="24"/>
          <w:lang w:eastAsia="en-US"/>
        </w:rPr>
        <w:t>.</w:t>
      </w:r>
    </w:p>
    <w:p w14:paraId="65686BD5" w14:textId="77777777" w:rsidR="001831FD" w:rsidRPr="003B6CF7" w:rsidRDefault="001831FD" w:rsidP="001831FD">
      <w:pPr>
        <w:spacing w:before="120" w:after="120" w:line="360" w:lineRule="auto"/>
        <w:ind w:left="1416"/>
        <w:rPr>
          <w:szCs w:val="24"/>
          <w:lang w:eastAsia="en-US"/>
        </w:rPr>
      </w:pPr>
      <w:r w:rsidRPr="003B6CF7">
        <w:rPr>
          <w:b/>
          <w:i/>
          <w:szCs w:val="24"/>
          <w:lang w:eastAsia="en-US"/>
        </w:rPr>
        <w:t>Medlemsstaterna ska vartannat år utvärdera inverkan på vattenkvaliteten av industriell verksamhet med anknytning till energiomställningen och informera kommissionen om nyligen identifierade hot så att den kan uppdatera bevakningslistan i enlighet med detta. Utvärderingen ska vara lättillgänglig för allmänheten.</w:t>
      </w:r>
    </w:p>
    <w:p w14:paraId="366CAB52" w14:textId="77777777" w:rsidR="009A795A" w:rsidRPr="003B6CF7" w:rsidRDefault="009A795A">
      <w:pPr>
        <w:widowControl/>
        <w:rPr>
          <w:b/>
          <w:i/>
          <w:szCs w:val="24"/>
          <w:lang w:eastAsia="en-US"/>
        </w:rPr>
      </w:pPr>
      <w:r w:rsidRPr="003B6CF7">
        <w:rPr>
          <w:b/>
          <w:i/>
          <w:szCs w:val="24"/>
          <w:lang w:eastAsia="en-US"/>
        </w:rPr>
        <w:br w:type="page"/>
      </w:r>
    </w:p>
    <w:p w14:paraId="71FDC628" w14:textId="6AC1F226" w:rsidR="001831FD" w:rsidRPr="003B6CF7" w:rsidRDefault="001831FD" w:rsidP="001831FD">
      <w:pPr>
        <w:spacing w:before="120" w:after="120" w:line="360" w:lineRule="auto"/>
        <w:ind w:left="1416"/>
        <w:rPr>
          <w:b/>
          <w:szCs w:val="24"/>
          <w:lang w:eastAsia="en-US"/>
        </w:rPr>
      </w:pPr>
      <w:r w:rsidRPr="003B6CF7">
        <w:rPr>
          <w:szCs w:val="24"/>
          <w:lang w:eastAsia="en-US"/>
        </w:rPr>
        <w:lastRenderedPageBreak/>
        <w:t xml:space="preserve">Vid uppdatering av bevakningslistan ska kommissionen ta bort alla ämnen från den befintliga bevakningslistan för vilka den anser det möjligt att bedöma risken för vattenmiljön utan ytterligare övervakningsdata. När bevakningslistan uppdateras får ett enskilt ämne eller en grupp av ämnen behållas på bevakningslistan under ytterligare tre år om ytterligare övervakningsdata behövs för att bedöma risken för vattenmiljön. Varje uppdaterad bevakningslista ska också innehålla ett eller flera nya ämnen för vilka kommissionen, på grundval av </w:t>
      </w:r>
      <w:proofErr w:type="spellStart"/>
      <w:r w:rsidRPr="003B6CF7">
        <w:rPr>
          <w:szCs w:val="24"/>
          <w:lang w:eastAsia="en-US"/>
        </w:rPr>
        <w:t>Echas</w:t>
      </w:r>
      <w:proofErr w:type="spellEnd"/>
      <w:r w:rsidRPr="003B6CF7">
        <w:rPr>
          <w:szCs w:val="24"/>
          <w:lang w:eastAsia="en-US"/>
        </w:rPr>
        <w:t xml:space="preserve"> vetenskapliga rapporter, anser att det finns en risk för vattenmiljön.</w:t>
      </w:r>
      <w:r w:rsidR="00C56432" w:rsidRPr="003B6CF7">
        <w:rPr>
          <w:b/>
          <w:szCs w:val="24"/>
          <w:lang w:eastAsia="en-US"/>
        </w:rPr>
        <w:t xml:space="preserve"> [Ändr. 130]</w:t>
      </w:r>
    </w:p>
    <w:p w14:paraId="2FA7EF6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Medlemsstaterna ska övervaka varje ämne eller grupp av ämnen på bevakningslistan vid utvalda representativa övervakningsstationer under en 24-månadersperiod. Övervakningsperioden ska inledas inom sex månader efter det att ämnet tas upp på listan.</w:t>
      </w:r>
    </w:p>
    <w:p w14:paraId="58993563" w14:textId="77777777" w:rsidR="001831FD" w:rsidRPr="003B6CF7" w:rsidRDefault="001831FD" w:rsidP="001831FD">
      <w:pPr>
        <w:spacing w:before="120" w:after="120" w:line="360" w:lineRule="auto"/>
        <w:ind w:left="1416"/>
        <w:rPr>
          <w:szCs w:val="24"/>
          <w:lang w:eastAsia="en-US"/>
        </w:rPr>
      </w:pPr>
      <w:r w:rsidRPr="003B6CF7">
        <w:rPr>
          <w:szCs w:val="24"/>
          <w:lang w:eastAsia="en-US"/>
        </w:rPr>
        <w:t>Varje medlemsstat ska välja åtminstone en övervakningsstation, plus en station om medlemsstaten har minst en miljon invånare, plus det antal stationer som motsvarar medlemsstatens areal i km2 delad med 60 000 (avrundat till närmaste heltal), plus det antal stationer som motsvarar medlemsstatens befolkningstal delat med fem miljoner (avrundat till närmaste heltal).</w:t>
      </w:r>
    </w:p>
    <w:p w14:paraId="384C34B2" w14:textId="77777777" w:rsidR="009A795A" w:rsidRPr="003B6CF7" w:rsidRDefault="009A795A">
      <w:pPr>
        <w:widowControl/>
        <w:rPr>
          <w:szCs w:val="24"/>
          <w:lang w:eastAsia="en-US"/>
        </w:rPr>
      </w:pPr>
      <w:r w:rsidRPr="003B6CF7">
        <w:rPr>
          <w:szCs w:val="24"/>
          <w:lang w:eastAsia="en-US"/>
        </w:rPr>
        <w:br w:type="page"/>
      </w:r>
    </w:p>
    <w:p w14:paraId="08A1FC6C" w14:textId="10DA235B" w:rsidR="001831FD" w:rsidRPr="003B6CF7" w:rsidRDefault="001831FD" w:rsidP="001831FD">
      <w:pPr>
        <w:spacing w:before="120" w:after="120" w:line="360" w:lineRule="auto"/>
        <w:ind w:left="1416"/>
        <w:rPr>
          <w:b/>
          <w:szCs w:val="24"/>
          <w:lang w:eastAsia="en-US"/>
        </w:rPr>
      </w:pPr>
      <w:r w:rsidRPr="003B6CF7">
        <w:rPr>
          <w:szCs w:val="24"/>
          <w:lang w:eastAsia="en-US"/>
        </w:rPr>
        <w:lastRenderedPageBreak/>
        <w:t>Vid urvalet av representativa övervakningsstationer, övervakningsfrekvens och säsongstidpunkt för varje ämne eller grupp av ämnen ska medlemsstaterna beakta användningsmönster för och möjlig förekomst av ämnet eller gruppen av ämnen. Övervakningsfrekvensen får inte vara mindre än två gånger per år</w:t>
      </w:r>
      <w:r w:rsidRPr="003B6CF7">
        <w:rPr>
          <w:strike/>
          <w:szCs w:val="24"/>
          <w:lang w:eastAsia="en-US"/>
        </w:rPr>
        <w:t>, med undantag för ämnen som är känsliga för väderleks- eller säsongsvariationer, för vilka övervakningen ska utföras oftare</w:t>
      </w:r>
      <w:r w:rsidRPr="003B6CF7">
        <w:rPr>
          <w:b/>
          <w:i/>
          <w:szCs w:val="24"/>
          <w:lang w:eastAsia="en-US"/>
        </w:rPr>
        <w:t>. Frekvensen ska vara högre</w:t>
      </w:r>
      <w:r w:rsidRPr="003B6CF7">
        <w:rPr>
          <w:szCs w:val="24"/>
          <w:lang w:eastAsia="en-US"/>
        </w:rPr>
        <w:t xml:space="preserve">, i enlighet med den </w:t>
      </w:r>
      <w:proofErr w:type="spellStart"/>
      <w:r w:rsidRPr="003B6CF7">
        <w:rPr>
          <w:szCs w:val="24"/>
          <w:lang w:eastAsia="en-US"/>
        </w:rPr>
        <w:t>genomförandeakt</w:t>
      </w:r>
      <w:proofErr w:type="spellEnd"/>
      <w:r w:rsidRPr="003B6CF7">
        <w:rPr>
          <w:szCs w:val="24"/>
          <w:lang w:eastAsia="en-US"/>
        </w:rPr>
        <w:t xml:space="preserve"> om upprättande av bevakningslistan som antagits enligt punkt 1</w:t>
      </w:r>
      <w:r w:rsidRPr="003B6CF7">
        <w:rPr>
          <w:b/>
          <w:i/>
          <w:szCs w:val="24"/>
          <w:lang w:eastAsia="en-US"/>
        </w:rPr>
        <w:t>, för ämnen som är känsliga för klimatvariationer, inklusive regn, och för ämnen vilkas koncentrationer sannolikt når sin högsta nivå under korta perioder till följd av årstidsvariationer i användningen av dessa ämnen</w:t>
      </w:r>
      <w:r w:rsidRPr="003B6CF7">
        <w:rPr>
          <w:szCs w:val="24"/>
          <w:lang w:eastAsia="en-US"/>
        </w:rPr>
        <w:t>.</w:t>
      </w:r>
      <w:r w:rsidR="00C56432" w:rsidRPr="003B6CF7">
        <w:rPr>
          <w:b/>
          <w:szCs w:val="24"/>
          <w:lang w:eastAsia="en-US"/>
        </w:rPr>
        <w:t xml:space="preserve"> [Ändr. 131]</w:t>
      </w:r>
    </w:p>
    <w:p w14:paraId="190BBA5E" w14:textId="77777777" w:rsidR="009A795A" w:rsidRPr="003B6CF7" w:rsidRDefault="009A795A">
      <w:pPr>
        <w:widowControl/>
        <w:rPr>
          <w:szCs w:val="24"/>
          <w:lang w:eastAsia="en-US"/>
        </w:rPr>
      </w:pPr>
      <w:r w:rsidRPr="003B6CF7">
        <w:rPr>
          <w:szCs w:val="24"/>
          <w:lang w:eastAsia="en-US"/>
        </w:rPr>
        <w:br w:type="page"/>
      </w:r>
    </w:p>
    <w:p w14:paraId="495D6C76" w14:textId="5E8E6D80"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xml:space="preserve">I de fall där en medlemsstat för ett visst ämne eller en viss grupp av ämnen kan generera och tillhandahålla kommissionen tillräckliga, jämförbara, representativa och aktuella data från redan befintliga övervakningsprogram eller studier, får den besluta att inte utföra någon ytterligare övervakning av det ämnet eller den gruppen av ämnen inom ramen för bevakningslistmekanismen, under förutsättning att ämnet eller gruppen av ämnen övervakades med hjälp av en metod som överensstämmer med de övervakningsmatriser och de analysmetoder som avses i </w:t>
      </w:r>
      <w:proofErr w:type="spellStart"/>
      <w:r w:rsidRPr="003B6CF7">
        <w:rPr>
          <w:szCs w:val="24"/>
          <w:lang w:eastAsia="en-US"/>
        </w:rPr>
        <w:t>genomförandeakten</w:t>
      </w:r>
      <w:proofErr w:type="spellEnd"/>
      <w:r w:rsidRPr="003B6CF7">
        <w:rPr>
          <w:szCs w:val="24"/>
          <w:lang w:eastAsia="en-US"/>
        </w:rPr>
        <w:t xml:space="preserve"> om upprättande av bevakningslistan samt med direktiv 2009/90/EG*.</w:t>
      </w:r>
    </w:p>
    <w:p w14:paraId="2016D1A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w:t>
      </w:r>
      <w:r w:rsidRPr="003B6CF7">
        <w:rPr>
          <w:szCs w:val="24"/>
          <w:lang w:eastAsia="en-US"/>
        </w:rPr>
        <w:tab/>
        <w:t xml:space="preserve">Medlemsstaterna ska tillhandahålla resultaten av den övervakning som avses i punkt 3 i denna artikel i enlighet med artikel 8.4 i direktiv 2000/60/EG och den </w:t>
      </w:r>
      <w:proofErr w:type="spellStart"/>
      <w:r w:rsidRPr="003B6CF7">
        <w:rPr>
          <w:szCs w:val="24"/>
          <w:lang w:eastAsia="en-US"/>
        </w:rPr>
        <w:t>genomförandeakt</w:t>
      </w:r>
      <w:proofErr w:type="spellEnd"/>
      <w:r w:rsidRPr="003B6CF7">
        <w:rPr>
          <w:szCs w:val="24"/>
          <w:lang w:eastAsia="en-US"/>
        </w:rPr>
        <w:t xml:space="preserve"> om upprättande av bevakningslistan som antagits enligt punkt 1. De ska också tillhandahålla information om övervakningsstationernas representativitet och om övervakningsstrategin.</w:t>
      </w:r>
    </w:p>
    <w:p w14:paraId="08DA9CAB" w14:textId="77777777" w:rsidR="009A795A" w:rsidRPr="003B6CF7" w:rsidRDefault="009A795A">
      <w:pPr>
        <w:widowControl/>
        <w:rPr>
          <w:szCs w:val="24"/>
          <w:lang w:eastAsia="en-US"/>
        </w:rPr>
      </w:pPr>
      <w:r w:rsidRPr="003B6CF7">
        <w:rPr>
          <w:szCs w:val="24"/>
          <w:lang w:eastAsia="en-US"/>
        </w:rPr>
        <w:br w:type="page"/>
      </w:r>
    </w:p>
    <w:p w14:paraId="26766F0E" w14:textId="71F96D14"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5.</w:t>
      </w:r>
      <w:r w:rsidRPr="003B6CF7">
        <w:rPr>
          <w:szCs w:val="24"/>
          <w:lang w:eastAsia="en-US"/>
        </w:rPr>
        <w:tab/>
      </w:r>
      <w:proofErr w:type="spellStart"/>
      <w:r w:rsidRPr="003B6CF7">
        <w:rPr>
          <w:szCs w:val="24"/>
          <w:lang w:eastAsia="en-US"/>
        </w:rPr>
        <w:t>Echa</w:t>
      </w:r>
      <w:proofErr w:type="spellEnd"/>
      <w:r w:rsidRPr="003B6CF7">
        <w:rPr>
          <w:szCs w:val="24"/>
          <w:lang w:eastAsia="en-US"/>
        </w:rPr>
        <w:t xml:space="preserve"> ska granska övervakningsresultaten vid utgången av den 24-månadersperiod som avses i punkt 3 och bedöma vilka ämnen eller grupper av ämnen som behöver övervakas under ytterligare en 24-månadersperiod och därför ska behållas på bevakningslistan, och vilka ämnen eller grupper av ämnen som kan tas bort från bevakningslistan.</w:t>
      </w:r>
    </w:p>
    <w:p w14:paraId="288F2F13"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Om kommissionen, med beaktande av </w:t>
      </w:r>
      <w:proofErr w:type="spellStart"/>
      <w:r w:rsidRPr="003B6CF7">
        <w:rPr>
          <w:szCs w:val="24"/>
          <w:lang w:eastAsia="en-US"/>
        </w:rPr>
        <w:t>Echas</w:t>
      </w:r>
      <w:proofErr w:type="spellEnd"/>
      <w:r w:rsidRPr="003B6CF7">
        <w:rPr>
          <w:szCs w:val="24"/>
          <w:lang w:eastAsia="en-US"/>
        </w:rPr>
        <w:t xml:space="preserve"> bedömning enligt första stycket, drar slutsatsen att det inte krävs någon ytterligare övervakning för att ytterligare bedöma risken för vattenmiljön, ska denna bedömning beaktas i den översyn av bilaga I eller II som avses i artikel 8.</w:t>
      </w:r>
    </w:p>
    <w:p w14:paraId="180DAE37" w14:textId="77777777" w:rsidR="001831FD" w:rsidRPr="003B6CF7" w:rsidRDefault="001831FD" w:rsidP="001831FD">
      <w:pPr>
        <w:spacing w:before="120" w:after="120" w:line="360" w:lineRule="auto"/>
        <w:ind w:left="1416"/>
        <w:rPr>
          <w:szCs w:val="24"/>
          <w:lang w:eastAsia="en-US"/>
        </w:rPr>
      </w:pPr>
      <w:r w:rsidRPr="003B6CF7">
        <w:rPr>
          <w:szCs w:val="24"/>
          <w:lang w:eastAsia="en-US"/>
        </w:rPr>
        <w:t>* Kommissionens direktiv 2009/90/EG av den 31 juli 2009 om bestämmelser, i enlighet med Europaparlamentets och rådets direktiv 2000/60/EG, om tekniska specifikationer och standardmetoder för kemisk analys och övervakning av vattenstatus (EUT L 201, 1.8.2009, s. 36).”</w:t>
      </w:r>
    </w:p>
    <w:p w14:paraId="6C283F25" w14:textId="77777777" w:rsidR="001F7022" w:rsidRPr="003B6CF7" w:rsidRDefault="001F7022">
      <w:pPr>
        <w:widowControl/>
        <w:rPr>
          <w:b/>
          <w:i/>
          <w:szCs w:val="24"/>
          <w:lang w:eastAsia="en-US"/>
        </w:rPr>
      </w:pPr>
      <w:r w:rsidRPr="003B6CF7">
        <w:rPr>
          <w:b/>
          <w:i/>
          <w:szCs w:val="24"/>
          <w:lang w:eastAsia="en-US"/>
        </w:rPr>
        <w:br w:type="page"/>
      </w:r>
    </w:p>
    <w:p w14:paraId="5FE1444D" w14:textId="2DA69ED6"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7a.</w:t>
      </w:r>
      <w:r w:rsidRPr="003B6CF7">
        <w:rPr>
          <w:szCs w:val="24"/>
          <w:lang w:eastAsia="en-US"/>
        </w:rPr>
        <w:tab/>
      </w:r>
      <w:r w:rsidRPr="003B6CF7">
        <w:rPr>
          <w:b/>
          <w:i/>
          <w:szCs w:val="24"/>
          <w:lang w:eastAsia="en-US"/>
        </w:rPr>
        <w:t>Följande artikel ska införas som artikel 8ba:</w:t>
      </w:r>
    </w:p>
    <w:p w14:paraId="68EE28A4" w14:textId="2C051E64" w:rsidR="001831FD" w:rsidRPr="003B6CF7" w:rsidRDefault="001831FD" w:rsidP="001831FD">
      <w:pPr>
        <w:spacing w:before="120" w:after="120" w:line="360" w:lineRule="auto"/>
        <w:ind w:left="850"/>
        <w:rPr>
          <w:b/>
          <w:szCs w:val="24"/>
          <w:lang w:eastAsia="en-US"/>
        </w:rPr>
      </w:pPr>
      <w:r w:rsidRPr="003B6CF7">
        <w:rPr>
          <w:szCs w:val="24"/>
          <w:lang w:eastAsia="en-US"/>
        </w:rPr>
        <w:t>”</w:t>
      </w:r>
      <w:r w:rsidRPr="003B6CF7">
        <w:rPr>
          <w:b/>
          <w:i/>
          <w:szCs w:val="24"/>
          <w:lang w:eastAsia="en-US"/>
        </w:rPr>
        <w:t>Arti</w:t>
      </w:r>
      <w:r w:rsidR="001F7022" w:rsidRPr="003B6CF7">
        <w:rPr>
          <w:b/>
          <w:i/>
          <w:szCs w:val="24"/>
          <w:lang w:eastAsia="en-US"/>
        </w:rPr>
        <w:t>kel 8ba</w:t>
      </w:r>
      <w:r w:rsidRPr="003B6CF7">
        <w:rPr>
          <w:szCs w:val="24"/>
          <w:lang w:eastAsia="en-US"/>
        </w:rPr>
        <w:br/>
      </w:r>
      <w:r w:rsidRPr="003B6CF7">
        <w:rPr>
          <w:b/>
          <w:i/>
          <w:szCs w:val="24"/>
          <w:lang w:eastAsia="en-US"/>
        </w:rPr>
        <w:t>Inte senare än ... [ett år efter ikraftträdandet av detta direktiv] ska kommissionen lägga fram en konsekvensbedömning som granskar införandet i detta direktiv av en mekanism för utökat producentansvar som säkerställer att producenter som släpper ut sådana produkter på marknaden som innehåller något av de ämnen eller någon av de föreningar som förtecknas i bilaga I, samt nya riskämnen på bevakningslistan enligt detta direktiv, bidrar till kostnaderna för övervakningsprogram som utarbetats enligt artikel 8 i direktiv 2000/60/EG. Konsekvensbedömningen ska vid behov åtföljas av ett lagstiftningsförslag om ändring av detta direktiv.</w:t>
      </w:r>
      <w:r w:rsidRPr="003B6CF7">
        <w:rPr>
          <w:szCs w:val="24"/>
          <w:lang w:eastAsia="en-US"/>
        </w:rPr>
        <w:t>”</w:t>
      </w:r>
      <w:r w:rsidR="00C56432" w:rsidRPr="003B6CF7">
        <w:rPr>
          <w:b/>
          <w:szCs w:val="24"/>
          <w:lang w:eastAsia="en-US"/>
        </w:rPr>
        <w:t xml:space="preserve"> [Ändr. 132]</w:t>
      </w:r>
    </w:p>
    <w:p w14:paraId="546DADA5" w14:textId="77777777" w:rsidR="001F7022" w:rsidRPr="003B6CF7" w:rsidRDefault="001F7022">
      <w:pPr>
        <w:widowControl/>
        <w:rPr>
          <w:b/>
          <w:i/>
          <w:szCs w:val="24"/>
          <w:lang w:eastAsia="en-US"/>
        </w:rPr>
      </w:pPr>
      <w:r w:rsidRPr="003B6CF7">
        <w:rPr>
          <w:b/>
          <w:i/>
          <w:szCs w:val="24"/>
          <w:lang w:eastAsia="en-US"/>
        </w:rPr>
        <w:br w:type="page"/>
      </w:r>
    </w:p>
    <w:p w14:paraId="139A06F4" w14:textId="3A11B586"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7b.</w:t>
      </w:r>
      <w:r w:rsidRPr="003B6CF7">
        <w:rPr>
          <w:szCs w:val="24"/>
          <w:lang w:eastAsia="en-US"/>
        </w:rPr>
        <w:tab/>
      </w:r>
      <w:r w:rsidRPr="003B6CF7">
        <w:rPr>
          <w:b/>
          <w:i/>
          <w:szCs w:val="24"/>
          <w:lang w:eastAsia="en-US"/>
        </w:rPr>
        <w:t>Följande artikel ska införas:</w:t>
      </w:r>
    </w:p>
    <w:p w14:paraId="17097D49" w14:textId="5B6BA1CB" w:rsidR="001831FD" w:rsidRPr="003B6CF7" w:rsidRDefault="001831FD" w:rsidP="001831FD">
      <w:pPr>
        <w:spacing w:before="120" w:after="120" w:line="360" w:lineRule="auto"/>
        <w:ind w:left="850"/>
        <w:rPr>
          <w:szCs w:val="24"/>
          <w:lang w:eastAsia="en-US"/>
        </w:rPr>
      </w:pPr>
      <w:r w:rsidRPr="003B6CF7">
        <w:rPr>
          <w:szCs w:val="24"/>
          <w:lang w:eastAsia="en-US"/>
        </w:rPr>
        <w:t>”</w:t>
      </w:r>
      <w:r w:rsidRPr="003B6CF7">
        <w:rPr>
          <w:b/>
          <w:i/>
          <w:szCs w:val="24"/>
          <w:lang w:eastAsia="en-US"/>
        </w:rPr>
        <w:t>Arti</w:t>
      </w:r>
      <w:r w:rsidR="001F7022" w:rsidRPr="003B6CF7">
        <w:rPr>
          <w:b/>
          <w:i/>
          <w:szCs w:val="24"/>
          <w:lang w:eastAsia="en-US"/>
        </w:rPr>
        <w:t>kel 8bb</w:t>
      </w:r>
      <w:r w:rsidRPr="003B6CF7">
        <w:rPr>
          <w:szCs w:val="24"/>
          <w:lang w:eastAsia="en-US"/>
        </w:rPr>
        <w:br/>
      </w:r>
      <w:r w:rsidRPr="003B6CF7">
        <w:rPr>
          <w:b/>
          <w:i/>
          <w:szCs w:val="24"/>
          <w:lang w:eastAsia="en-US"/>
        </w:rPr>
        <w:t>Europeisk övervakningsmekanism</w:t>
      </w:r>
    </w:p>
    <w:p w14:paraId="6218074D" w14:textId="77777777" w:rsidR="001831FD" w:rsidRPr="003B6CF7" w:rsidRDefault="001831FD" w:rsidP="001831FD">
      <w:pPr>
        <w:spacing w:before="120" w:after="120" w:line="360" w:lineRule="auto"/>
        <w:ind w:left="850"/>
        <w:rPr>
          <w:szCs w:val="24"/>
          <w:lang w:eastAsia="en-US"/>
        </w:rPr>
      </w:pPr>
      <w:r w:rsidRPr="003B6CF7">
        <w:rPr>
          <w:b/>
          <w:i/>
          <w:szCs w:val="24"/>
          <w:lang w:eastAsia="en-US"/>
        </w:rPr>
        <w:t>Kommissionen ska senast ... [ett år efter ikraftträdandet av detta direktiv] inrätta en gemensam övervakningsmekanism för att förvalta övervakningskraven när medlemsstaterna så begär.</w:t>
      </w:r>
    </w:p>
    <w:p w14:paraId="4EDCEE23" w14:textId="77777777" w:rsidR="001831FD" w:rsidRPr="003B6CF7" w:rsidRDefault="001831FD" w:rsidP="001831FD">
      <w:pPr>
        <w:spacing w:before="120" w:after="120" w:line="360" w:lineRule="auto"/>
        <w:ind w:left="850"/>
        <w:rPr>
          <w:szCs w:val="24"/>
          <w:lang w:eastAsia="en-US"/>
        </w:rPr>
      </w:pPr>
      <w:r w:rsidRPr="003B6CF7">
        <w:rPr>
          <w:b/>
          <w:i/>
          <w:szCs w:val="24"/>
          <w:lang w:eastAsia="en-US"/>
        </w:rPr>
        <w:t>Kommissionen ska definiera övervakningsmekanismens funktion, som bland annat ska omfatta följande:</w:t>
      </w:r>
    </w:p>
    <w:p w14:paraId="0CA89467"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a)</w:t>
      </w:r>
      <w:r w:rsidRPr="003B6CF7">
        <w:rPr>
          <w:szCs w:val="24"/>
          <w:lang w:eastAsia="en-US"/>
        </w:rPr>
        <w:tab/>
      </w:r>
      <w:r w:rsidRPr="003B6CF7">
        <w:rPr>
          <w:b/>
          <w:i/>
          <w:szCs w:val="24"/>
          <w:lang w:eastAsia="en-US"/>
        </w:rPr>
        <w:t>Användningen av övervakningsmekanismen ska vara frivillig och inte påverka de arrangemang som redan införts av medlemsstaterna.</w:t>
      </w:r>
    </w:p>
    <w:p w14:paraId="3A51E52C" w14:textId="77777777" w:rsidR="001831FD" w:rsidRPr="003B6CF7" w:rsidRDefault="001831FD" w:rsidP="001831FD">
      <w:pPr>
        <w:spacing w:before="120" w:after="120" w:line="360" w:lineRule="auto"/>
        <w:ind w:left="1416" w:hanging="566"/>
        <w:rPr>
          <w:szCs w:val="24"/>
          <w:lang w:eastAsia="en-US"/>
        </w:rPr>
      </w:pPr>
      <w:r w:rsidRPr="003B6CF7">
        <w:rPr>
          <w:b/>
          <w:i/>
          <w:szCs w:val="24"/>
          <w:lang w:eastAsia="en-US"/>
        </w:rPr>
        <w:t>b)</w:t>
      </w:r>
      <w:r w:rsidRPr="003B6CF7">
        <w:rPr>
          <w:szCs w:val="24"/>
          <w:lang w:eastAsia="en-US"/>
        </w:rPr>
        <w:tab/>
      </w:r>
      <w:r w:rsidRPr="003B6CF7">
        <w:rPr>
          <w:b/>
          <w:i/>
          <w:szCs w:val="24"/>
          <w:lang w:eastAsia="en-US"/>
        </w:rPr>
        <w:t>De operativa förfarandena för medlemsstater som avser använda sig av övervakningsmekanismen, vilket bland annat ska omfatta den anmälan till kommissionen som krävs, deras exakta övervakningsbehov eller övervakningskapaciteter, de exakta förfarandena för förvaltning av urval liksom den tid de avser vara part i mekanismen.</w:t>
      </w:r>
    </w:p>
    <w:p w14:paraId="5D86942F" w14:textId="77777777" w:rsidR="001F7022" w:rsidRPr="003B6CF7" w:rsidRDefault="001F7022">
      <w:pPr>
        <w:widowControl/>
        <w:rPr>
          <w:b/>
          <w:i/>
          <w:szCs w:val="24"/>
          <w:lang w:eastAsia="en-US"/>
        </w:rPr>
      </w:pPr>
      <w:r w:rsidRPr="003B6CF7">
        <w:rPr>
          <w:b/>
          <w:i/>
          <w:szCs w:val="24"/>
          <w:lang w:eastAsia="en-US"/>
        </w:rPr>
        <w:br w:type="page"/>
      </w:r>
    </w:p>
    <w:p w14:paraId="72D193D6" w14:textId="4019D00A" w:rsidR="001831FD" w:rsidRPr="003B6CF7" w:rsidRDefault="001831FD" w:rsidP="001831FD">
      <w:pPr>
        <w:spacing w:before="120" w:after="120" w:line="360" w:lineRule="auto"/>
        <w:ind w:left="1416" w:hanging="566"/>
        <w:rPr>
          <w:b/>
          <w:szCs w:val="24"/>
          <w:lang w:eastAsia="en-US"/>
        </w:rPr>
      </w:pPr>
      <w:r w:rsidRPr="003B6CF7">
        <w:rPr>
          <w:b/>
          <w:i/>
          <w:szCs w:val="24"/>
          <w:lang w:eastAsia="en-US"/>
        </w:rPr>
        <w:lastRenderedPageBreak/>
        <w:t>c)</w:t>
      </w:r>
      <w:r w:rsidRPr="003B6CF7">
        <w:rPr>
          <w:szCs w:val="24"/>
          <w:lang w:eastAsia="en-US"/>
        </w:rPr>
        <w:tab/>
      </w:r>
      <w:r w:rsidRPr="003B6CF7">
        <w:rPr>
          <w:b/>
          <w:i/>
          <w:szCs w:val="24"/>
          <w:lang w:eastAsia="en-US"/>
        </w:rPr>
        <w:t>Finansieringskällorna, vilket kan omfatta unionens relevanta strukturfonder och program, samt bidrag från den privata sektorn, inklusive inom ramen för mekanismen för utökat producentansvar, när den införts i enlighet med artikel 8ba.</w:t>
      </w:r>
      <w:r w:rsidRPr="003B6CF7">
        <w:rPr>
          <w:szCs w:val="24"/>
          <w:lang w:eastAsia="en-US"/>
        </w:rPr>
        <w:t>”</w:t>
      </w:r>
      <w:r w:rsidR="00C56432" w:rsidRPr="003B6CF7">
        <w:rPr>
          <w:b/>
          <w:szCs w:val="24"/>
          <w:lang w:eastAsia="en-US"/>
        </w:rPr>
        <w:t xml:space="preserve"> [Ändr. 133]</w:t>
      </w:r>
    </w:p>
    <w:p w14:paraId="6D216430"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(8)</w:t>
      </w:r>
      <w:r w:rsidRPr="003B6CF7">
        <w:rPr>
          <w:szCs w:val="24"/>
          <w:lang w:eastAsia="en-US"/>
        </w:rPr>
        <w:tab/>
        <w:t>Följande artikel ska införas som artikel 8d:</w:t>
      </w:r>
    </w:p>
    <w:p w14:paraId="350D718F" w14:textId="77777777" w:rsidR="001831FD" w:rsidRPr="003B6CF7" w:rsidRDefault="001831FD" w:rsidP="001831FD">
      <w:pPr>
        <w:spacing w:before="120" w:after="120" w:line="360" w:lineRule="auto"/>
        <w:ind w:left="850"/>
        <w:rPr>
          <w:szCs w:val="24"/>
          <w:lang w:eastAsia="en-US"/>
        </w:rPr>
      </w:pPr>
      <w:r w:rsidRPr="003B6CF7">
        <w:rPr>
          <w:szCs w:val="24"/>
          <w:lang w:eastAsia="en-US"/>
        </w:rPr>
        <w:t>”Artikel 8d</w:t>
      </w:r>
    </w:p>
    <w:p w14:paraId="5FCA58FC" w14:textId="77777777" w:rsidR="001831FD" w:rsidRPr="003B6CF7" w:rsidRDefault="001831FD" w:rsidP="001831FD">
      <w:pPr>
        <w:spacing w:before="120" w:after="120" w:line="360" w:lineRule="auto"/>
        <w:ind w:left="850"/>
        <w:rPr>
          <w:szCs w:val="24"/>
          <w:lang w:eastAsia="en-US"/>
        </w:rPr>
      </w:pPr>
      <w:r w:rsidRPr="003B6CF7">
        <w:rPr>
          <w:szCs w:val="24"/>
          <w:lang w:eastAsia="en-US"/>
        </w:rPr>
        <w:t>Förorenande ämnen som är specifika för avrinningsområden</w:t>
      </w:r>
    </w:p>
    <w:p w14:paraId="70C493C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Medlemsstaterna ska fastställa och tillämpa miljökvalitetsnormer för de förorenande ämnen som är specifika för avrinningsområden och som omfattas av de kategorier som förtecknas i del A i bilaga II till detta direktiv, om dessa förorenande ämnen utgör en risk för vattenförekomster i ett eller flera av deras avrinningsdistrikt på grundval av analys och översyn enligt artikel 5 i direktiv 2000/60/EU, i enlighet med förfarandet i del B i bilaga II till det här direktivet.</w:t>
      </w:r>
    </w:p>
    <w:p w14:paraId="40676B5A"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Medlemsstaterna ska senast den [Publikationsbyrån: infoga datum = första dagen i den månad som följer 18 månader efter dagen för ikraftträdandet av detta direktiv] informera </w:t>
      </w:r>
      <w:proofErr w:type="spellStart"/>
      <w:r w:rsidRPr="003B6CF7">
        <w:rPr>
          <w:szCs w:val="24"/>
          <w:lang w:eastAsia="en-US"/>
        </w:rPr>
        <w:t>Echa</w:t>
      </w:r>
      <w:proofErr w:type="spellEnd"/>
      <w:r w:rsidRPr="003B6CF7">
        <w:rPr>
          <w:szCs w:val="24"/>
          <w:lang w:eastAsia="en-US"/>
        </w:rPr>
        <w:t xml:space="preserve"> om de miljökvalitetsnormer som avses i första stycket. </w:t>
      </w:r>
      <w:proofErr w:type="spellStart"/>
      <w:r w:rsidRPr="003B6CF7">
        <w:rPr>
          <w:szCs w:val="24"/>
          <w:lang w:eastAsia="en-US"/>
        </w:rPr>
        <w:t>Echa</w:t>
      </w:r>
      <w:proofErr w:type="spellEnd"/>
      <w:r w:rsidRPr="003B6CF7">
        <w:rPr>
          <w:szCs w:val="24"/>
          <w:lang w:eastAsia="en-US"/>
        </w:rPr>
        <w:t xml:space="preserve"> ska offentliggöra denna information.</w:t>
      </w:r>
    </w:p>
    <w:p w14:paraId="1B218B54" w14:textId="77777777" w:rsidR="001F7022" w:rsidRPr="003B6CF7" w:rsidRDefault="001F7022">
      <w:pPr>
        <w:widowControl/>
        <w:rPr>
          <w:szCs w:val="24"/>
          <w:lang w:eastAsia="en-US"/>
        </w:rPr>
      </w:pPr>
      <w:r w:rsidRPr="003B6CF7">
        <w:rPr>
          <w:szCs w:val="24"/>
          <w:lang w:eastAsia="en-US"/>
        </w:rPr>
        <w:br w:type="page"/>
      </w:r>
    </w:p>
    <w:p w14:paraId="5A8E3EF9" w14:textId="0EEFA88B"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2.</w:t>
      </w:r>
      <w:r w:rsidRPr="003B6CF7">
        <w:rPr>
          <w:szCs w:val="24"/>
          <w:lang w:eastAsia="en-US"/>
        </w:rPr>
        <w:tab/>
        <w:t>Om miljökvalitetsnormer för förorenande ämnen som är specifika för avrinningsområden har fastställts på unionsnivå och förtecknats i del C i bilaga II, i enlighet med artikel 8, ska dessa miljökvalitetsnormer ha företräde framför de miljökvalitetsnormer för förorenande ämnen som är specifika för avrinningsområden och som fastställts på nationell nivå i enlighet med punkt 1. De miljökvalitetsnormer som fastställts på unionsnivå ska också tillämpas av medlemsstaterna för att avgöra om de förorenande ämnen som är specifika för avrinningsområden och som förtecknas i del C i bilaga II utgör en risk.</w:t>
      </w:r>
    </w:p>
    <w:p w14:paraId="1E12CA2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Efterlevnad av tillämpliga nationella miljökvalitetsnormer eller miljökvalitetsnormer som fastställts på unionsnivå, i förekommande fall, krävs för att en vattenförekomst ska ha god kemisk status, i enlighet med definitionen i artikel 2.24 i direktiv 2000/60/EG.</w:t>
      </w:r>
    </w:p>
    <w:p w14:paraId="51E1D8AA" w14:textId="5E6FB23B" w:rsidR="001831FD" w:rsidRPr="003B6CF7" w:rsidRDefault="001831FD" w:rsidP="001831FD">
      <w:pPr>
        <w:spacing w:before="120" w:after="120" w:line="360" w:lineRule="auto"/>
        <w:ind w:left="1416" w:hanging="566"/>
        <w:rPr>
          <w:b/>
          <w:szCs w:val="24"/>
          <w:lang w:eastAsia="en-US"/>
        </w:rPr>
      </w:pPr>
      <w:r w:rsidRPr="003B6CF7">
        <w:rPr>
          <w:b/>
          <w:i/>
          <w:szCs w:val="24"/>
          <w:lang w:eastAsia="en-US"/>
        </w:rPr>
        <w:t>3a.</w:t>
      </w:r>
      <w:r w:rsidRPr="003B6CF7">
        <w:rPr>
          <w:szCs w:val="24"/>
          <w:lang w:eastAsia="en-US"/>
        </w:rPr>
        <w:tab/>
      </w:r>
      <w:r w:rsidRPr="003B6CF7">
        <w:rPr>
          <w:b/>
          <w:i/>
          <w:szCs w:val="24"/>
          <w:lang w:eastAsia="en-US"/>
        </w:rPr>
        <w:t>Vid fastställande av och ansökan om miljökvalitetsnormer för förorenande ämnen som är specifika för avrinningsområden får medlemsstaterna beakta metallers biotillgänglighet.</w:t>
      </w:r>
      <w:r w:rsidRPr="003B6CF7">
        <w:rPr>
          <w:szCs w:val="24"/>
          <w:lang w:eastAsia="en-US"/>
        </w:rPr>
        <w:t>”</w:t>
      </w:r>
      <w:r w:rsidR="00C56432" w:rsidRPr="003B6CF7">
        <w:rPr>
          <w:b/>
          <w:szCs w:val="24"/>
          <w:lang w:eastAsia="en-US"/>
        </w:rPr>
        <w:t xml:space="preserve"> [Ändr. 134]</w:t>
      </w:r>
    </w:p>
    <w:p w14:paraId="7D32C727" w14:textId="77777777" w:rsidR="001F7022" w:rsidRPr="003B6CF7" w:rsidRDefault="001F7022">
      <w:pPr>
        <w:widowControl/>
        <w:rPr>
          <w:b/>
          <w:i/>
          <w:szCs w:val="24"/>
          <w:lang w:eastAsia="en-US"/>
        </w:rPr>
      </w:pPr>
      <w:r w:rsidRPr="003B6CF7">
        <w:rPr>
          <w:b/>
          <w:i/>
          <w:szCs w:val="24"/>
          <w:lang w:eastAsia="en-US"/>
        </w:rPr>
        <w:br w:type="page"/>
      </w:r>
    </w:p>
    <w:p w14:paraId="6041C8D3" w14:textId="70EADD25"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8a.</w:t>
      </w:r>
      <w:r w:rsidRPr="003B6CF7">
        <w:rPr>
          <w:szCs w:val="24"/>
          <w:lang w:eastAsia="en-US"/>
        </w:rPr>
        <w:tab/>
      </w:r>
      <w:r w:rsidRPr="003B6CF7">
        <w:rPr>
          <w:b/>
          <w:i/>
          <w:szCs w:val="24"/>
          <w:lang w:eastAsia="en-US"/>
        </w:rPr>
        <w:t>I artikel 9a ska punkt 2 ändras på följande sätt:</w:t>
      </w:r>
    </w:p>
    <w:p w14:paraId="56C2230A" w14:textId="4B2ABCD1"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C56432" w:rsidRPr="003B6CF7">
        <w:rPr>
          <w:b/>
          <w:i/>
          <w:szCs w:val="24"/>
          <w:lang w:eastAsia="en-US"/>
        </w:rPr>
        <w:t>2</w:t>
      </w:r>
      <w:r w:rsidRPr="003B6CF7">
        <w:rPr>
          <w:b/>
          <w:i/>
          <w:szCs w:val="24"/>
          <w:lang w:eastAsia="en-US"/>
        </w:rPr>
        <w:t>.</w:t>
      </w:r>
      <w:r w:rsidRPr="003B6CF7">
        <w:rPr>
          <w:szCs w:val="24"/>
          <w:lang w:eastAsia="en-US"/>
        </w:rPr>
        <w:tab/>
      </w:r>
      <w:r w:rsidRPr="003B6CF7">
        <w:rPr>
          <w:b/>
          <w:i/>
          <w:szCs w:val="24"/>
          <w:lang w:eastAsia="en-US"/>
        </w:rPr>
        <w:t>Den befogenhet att anta delegerade akter som avses i artiklarna 3.8, 8.3, 8.6a, 8.6b och 8a.3a ska ges till kommissionen för en period av sex år från och med [Publikationsbyrån: infoga datum = dagen för ikraftträdandet av detta direktiv]. Kommissionen ska utarbeta en rapport om delegeringen av befogenhet senast nio månader före utgången av perioden av sex år. Delegeringen av befogenhet ska genom tyst medgivande förlängas med perioder av samma längd, om inte Europaparlamentet eller rådet motsätter sig en sådan förlängning senast tre månader före utgången av perioden i fråga.</w:t>
      </w:r>
      <w:r w:rsidRPr="003B6CF7">
        <w:rPr>
          <w:szCs w:val="24"/>
          <w:lang w:eastAsia="en-US"/>
        </w:rPr>
        <w:t>”</w:t>
      </w:r>
      <w:r w:rsidR="00C56432" w:rsidRPr="003B6CF7">
        <w:rPr>
          <w:b/>
          <w:szCs w:val="24"/>
          <w:lang w:eastAsia="en-US"/>
        </w:rPr>
        <w:t xml:space="preserve"> [Ändr. 135]</w:t>
      </w:r>
    </w:p>
    <w:p w14:paraId="70C70F0C"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8b.</w:t>
      </w:r>
      <w:r w:rsidRPr="003B6CF7">
        <w:rPr>
          <w:szCs w:val="24"/>
          <w:lang w:eastAsia="en-US"/>
        </w:rPr>
        <w:tab/>
      </w:r>
      <w:r w:rsidRPr="003B6CF7">
        <w:rPr>
          <w:b/>
          <w:i/>
          <w:szCs w:val="24"/>
          <w:lang w:eastAsia="en-US"/>
        </w:rPr>
        <w:t>I artikel 9a ska punkt 3 ändras på följande sätt:</w:t>
      </w:r>
    </w:p>
    <w:p w14:paraId="1F992617" w14:textId="419A701F"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C56432" w:rsidRPr="003B6CF7">
        <w:rPr>
          <w:b/>
          <w:i/>
          <w:szCs w:val="24"/>
          <w:lang w:eastAsia="en-US"/>
        </w:rPr>
        <w:t>3</w:t>
      </w:r>
      <w:r w:rsidRPr="003B6CF7">
        <w:rPr>
          <w:b/>
          <w:i/>
          <w:szCs w:val="24"/>
          <w:lang w:eastAsia="en-US"/>
        </w:rPr>
        <w:t>.</w:t>
      </w:r>
      <w:r w:rsidRPr="003B6CF7">
        <w:rPr>
          <w:szCs w:val="24"/>
          <w:lang w:eastAsia="en-US"/>
        </w:rPr>
        <w:tab/>
      </w:r>
      <w:r w:rsidRPr="003B6CF7">
        <w:rPr>
          <w:b/>
          <w:i/>
          <w:szCs w:val="24"/>
          <w:lang w:eastAsia="en-US"/>
        </w:rPr>
        <w:t>Den delegering av befogenhet som avses i artiklarna 3.8, 8.3, 8.6a, 8.6b och 8a.3a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r w:rsidRPr="003B6CF7">
        <w:rPr>
          <w:szCs w:val="24"/>
          <w:lang w:eastAsia="en-US"/>
        </w:rPr>
        <w:t>”</w:t>
      </w:r>
      <w:r w:rsidR="00C56432" w:rsidRPr="003B6CF7">
        <w:rPr>
          <w:b/>
          <w:szCs w:val="24"/>
          <w:lang w:eastAsia="en-US"/>
        </w:rPr>
        <w:t xml:space="preserve"> [Ändr. 136]</w:t>
      </w:r>
    </w:p>
    <w:p w14:paraId="0056BF0E" w14:textId="77777777" w:rsidR="001F7022" w:rsidRPr="003B6CF7" w:rsidRDefault="001F7022">
      <w:pPr>
        <w:widowControl/>
        <w:rPr>
          <w:b/>
          <w:i/>
          <w:szCs w:val="24"/>
          <w:lang w:eastAsia="en-US"/>
        </w:rPr>
      </w:pPr>
      <w:r w:rsidRPr="003B6CF7">
        <w:rPr>
          <w:b/>
          <w:i/>
          <w:szCs w:val="24"/>
          <w:lang w:eastAsia="en-US"/>
        </w:rPr>
        <w:br w:type="page"/>
      </w:r>
    </w:p>
    <w:p w14:paraId="5156F508" w14:textId="200F26F8" w:rsidR="001831FD" w:rsidRPr="003B6CF7" w:rsidRDefault="001831FD" w:rsidP="001831FD">
      <w:pPr>
        <w:spacing w:before="120" w:after="120" w:line="360" w:lineRule="auto"/>
        <w:ind w:left="850" w:hanging="850"/>
        <w:rPr>
          <w:szCs w:val="24"/>
          <w:lang w:eastAsia="en-US"/>
        </w:rPr>
      </w:pPr>
      <w:r w:rsidRPr="003B6CF7">
        <w:rPr>
          <w:b/>
          <w:i/>
          <w:szCs w:val="24"/>
          <w:lang w:eastAsia="en-US"/>
        </w:rPr>
        <w:lastRenderedPageBreak/>
        <w:t>8c.</w:t>
      </w:r>
      <w:r w:rsidRPr="003B6CF7">
        <w:rPr>
          <w:szCs w:val="24"/>
          <w:lang w:eastAsia="en-US"/>
        </w:rPr>
        <w:tab/>
      </w:r>
      <w:r w:rsidRPr="003B6CF7">
        <w:rPr>
          <w:b/>
          <w:i/>
          <w:szCs w:val="24"/>
          <w:lang w:eastAsia="en-US"/>
        </w:rPr>
        <w:t>I artikel 9a ska följande punkt införas som punkt 3a:</w:t>
      </w:r>
    </w:p>
    <w:p w14:paraId="100301FC" w14:textId="5CCC3911"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1F7022" w:rsidRPr="003B6CF7">
        <w:rPr>
          <w:b/>
          <w:i/>
          <w:szCs w:val="24"/>
          <w:lang w:eastAsia="en-US"/>
        </w:rPr>
        <w:t>3a</w:t>
      </w:r>
      <w:r w:rsidRPr="003B6CF7">
        <w:rPr>
          <w:b/>
          <w:i/>
          <w:szCs w:val="24"/>
          <w:lang w:eastAsia="en-US"/>
        </w:rPr>
        <w:t>.</w:t>
      </w:r>
      <w:r w:rsidRPr="003B6CF7">
        <w:rPr>
          <w:szCs w:val="24"/>
          <w:lang w:eastAsia="en-US"/>
        </w:rPr>
        <w:tab/>
      </w:r>
      <w:r w:rsidRPr="003B6CF7">
        <w:rPr>
          <w:b/>
          <w:i/>
          <w:szCs w:val="24"/>
          <w:lang w:eastAsia="en-US"/>
        </w:rPr>
        <w:t>Innan kommissionen antar en delegerad akt ska den samråda med experter som utsetts av varje medlemsstat i enlighet med principerna i det interinstitutionella avtalet av den 13 april 2016 om bättre lagstiftning.</w:t>
      </w:r>
      <w:r w:rsidRPr="003B6CF7">
        <w:rPr>
          <w:szCs w:val="24"/>
          <w:lang w:eastAsia="en-US"/>
        </w:rPr>
        <w:t>”</w:t>
      </w:r>
      <w:r w:rsidR="00C56432" w:rsidRPr="003B6CF7">
        <w:rPr>
          <w:b/>
          <w:szCs w:val="24"/>
          <w:lang w:eastAsia="en-US"/>
        </w:rPr>
        <w:t xml:space="preserve"> [Ändr. 137]</w:t>
      </w:r>
    </w:p>
    <w:p w14:paraId="5E6FDE5C" w14:textId="77777777" w:rsidR="001831FD" w:rsidRPr="003B6CF7" w:rsidRDefault="001831FD" w:rsidP="001831FD">
      <w:pPr>
        <w:spacing w:before="120" w:after="120" w:line="360" w:lineRule="auto"/>
        <w:ind w:left="850" w:hanging="850"/>
        <w:rPr>
          <w:szCs w:val="24"/>
          <w:lang w:eastAsia="en-US"/>
        </w:rPr>
      </w:pPr>
      <w:r w:rsidRPr="003B6CF7">
        <w:rPr>
          <w:b/>
          <w:i/>
          <w:szCs w:val="24"/>
          <w:lang w:eastAsia="en-US"/>
        </w:rPr>
        <w:t>8d.</w:t>
      </w:r>
      <w:r w:rsidRPr="003B6CF7">
        <w:rPr>
          <w:szCs w:val="24"/>
          <w:lang w:eastAsia="en-US"/>
        </w:rPr>
        <w:tab/>
      </w:r>
      <w:r w:rsidRPr="003B6CF7">
        <w:rPr>
          <w:b/>
          <w:i/>
          <w:szCs w:val="24"/>
          <w:lang w:eastAsia="en-US"/>
        </w:rPr>
        <w:t>I artikel 9a ska punkt 5 ändras på följande sätt:</w:t>
      </w:r>
    </w:p>
    <w:p w14:paraId="04B26A02" w14:textId="21B618EB" w:rsidR="001831FD" w:rsidRPr="003B6CF7" w:rsidRDefault="001831FD" w:rsidP="001831FD">
      <w:pPr>
        <w:spacing w:before="120" w:after="120" w:line="360" w:lineRule="auto"/>
        <w:ind w:left="1416" w:hanging="566"/>
        <w:rPr>
          <w:b/>
          <w:szCs w:val="24"/>
          <w:lang w:eastAsia="en-US"/>
        </w:rPr>
      </w:pPr>
      <w:r w:rsidRPr="003B6CF7">
        <w:rPr>
          <w:szCs w:val="24"/>
          <w:lang w:eastAsia="en-US"/>
        </w:rPr>
        <w:t>”</w:t>
      </w:r>
      <w:r w:rsidR="001F7022" w:rsidRPr="003B6CF7">
        <w:rPr>
          <w:b/>
          <w:i/>
          <w:szCs w:val="24"/>
          <w:lang w:eastAsia="en-US"/>
        </w:rPr>
        <w:t>5</w:t>
      </w:r>
      <w:r w:rsidRPr="003B6CF7">
        <w:rPr>
          <w:b/>
          <w:i/>
          <w:szCs w:val="24"/>
          <w:lang w:eastAsia="en-US"/>
        </w:rPr>
        <w:t>.</w:t>
      </w:r>
      <w:r w:rsidRPr="003B6CF7">
        <w:rPr>
          <w:szCs w:val="24"/>
          <w:lang w:eastAsia="en-US"/>
        </w:rPr>
        <w:tab/>
      </w:r>
      <w:r w:rsidRPr="003B6CF7">
        <w:rPr>
          <w:b/>
          <w:i/>
          <w:szCs w:val="24"/>
          <w:lang w:eastAsia="en-US"/>
        </w:rPr>
        <w:t>En delegerad akt som antagits enligt artikel 3.8, 8.3, 8.6a, 8.6b eller 8a.3a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Pr="003B6CF7">
        <w:rPr>
          <w:szCs w:val="24"/>
          <w:lang w:eastAsia="en-US"/>
        </w:rPr>
        <w:t>”</w:t>
      </w:r>
      <w:r w:rsidR="00C56432" w:rsidRPr="003B6CF7">
        <w:rPr>
          <w:b/>
          <w:szCs w:val="24"/>
          <w:lang w:eastAsia="en-US"/>
        </w:rPr>
        <w:t xml:space="preserve"> [Ändr. 138]</w:t>
      </w:r>
    </w:p>
    <w:p w14:paraId="617FCA2A" w14:textId="77777777" w:rsidR="001F7022" w:rsidRPr="003B6CF7" w:rsidRDefault="001F7022">
      <w:pPr>
        <w:widowControl/>
        <w:rPr>
          <w:szCs w:val="24"/>
          <w:lang w:eastAsia="en-US"/>
        </w:rPr>
      </w:pPr>
      <w:r w:rsidRPr="003B6CF7">
        <w:rPr>
          <w:szCs w:val="24"/>
          <w:lang w:eastAsia="en-US"/>
        </w:rPr>
        <w:br w:type="page"/>
      </w:r>
    </w:p>
    <w:p w14:paraId="4B99887F" w14:textId="03B568B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(9)</w:t>
      </w:r>
      <w:r w:rsidRPr="003B6CF7">
        <w:rPr>
          <w:szCs w:val="24"/>
          <w:lang w:eastAsia="en-US"/>
        </w:rPr>
        <w:tab/>
        <w:t>Artikel 10 ska utgå.</w:t>
      </w:r>
    </w:p>
    <w:p w14:paraId="5C164BB3"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(10)</w:t>
      </w:r>
      <w:r w:rsidRPr="003B6CF7">
        <w:rPr>
          <w:szCs w:val="24"/>
          <w:lang w:eastAsia="en-US"/>
        </w:rPr>
        <w:tab/>
        <w:t>Bilaga I ska ändras i enlighet med bilaga V till detta direktiv.</w:t>
      </w:r>
    </w:p>
    <w:p w14:paraId="5E62EA8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(11)</w:t>
      </w:r>
      <w:r w:rsidRPr="003B6CF7">
        <w:rPr>
          <w:szCs w:val="24"/>
          <w:lang w:eastAsia="en-US"/>
        </w:rPr>
        <w:tab/>
        <w:t>Bilaga II, som anges i bilaga VI till detta direktiv, ska läggas till.</w:t>
      </w:r>
    </w:p>
    <w:p w14:paraId="13CBB7A7" w14:textId="77777777" w:rsidR="001831FD" w:rsidRPr="003B6CF7" w:rsidRDefault="001831FD" w:rsidP="001831FD">
      <w:pPr>
        <w:spacing w:before="120" w:after="120" w:line="360" w:lineRule="auto"/>
        <w:jc w:val="center"/>
        <w:rPr>
          <w:szCs w:val="24"/>
          <w:lang w:eastAsia="en-US"/>
        </w:rPr>
      </w:pPr>
      <w:r w:rsidRPr="003B6CF7">
        <w:rPr>
          <w:szCs w:val="24"/>
          <w:lang w:eastAsia="en-US"/>
        </w:rPr>
        <w:t>Artikel 4</w:t>
      </w:r>
    </w:p>
    <w:p w14:paraId="09513226"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Medlemsstaterna ska senast den [Publikationsbyrån: infoga datum = första dagen i den månad som följer 18 månader efter dagen för ikraftträdandet av detta direktiv] sätta i kraft de lagar och andra författningar som är nödvändiga för att följa detta direktiv.</w:t>
      </w:r>
    </w:p>
    <w:p w14:paraId="0AFDA34A"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De ska genast överlämna texten till dessa bestämmelser till kommissionen. När en medlemsstat antar dessa bestämmelser ska de innehålla en hänvisning till detta direktiv eller åtföljas av en sådan hänvisning när de offentliggörs. Närmare föreskrifter om hur hänvisningen ska göras ska varje medlemsstat själv utfärda. Medlemsstaterna ska till kommissionen överlämna texten till de centrala bestämmelser i nationell rätt som de antar inom det område som omfattas av detta direktiv.</w:t>
      </w:r>
    </w:p>
    <w:p w14:paraId="64E65126" w14:textId="77777777" w:rsidR="001F7022" w:rsidRPr="003B6CF7" w:rsidRDefault="001F7022">
      <w:pPr>
        <w:widowControl/>
        <w:rPr>
          <w:szCs w:val="24"/>
          <w:lang w:eastAsia="en-US"/>
        </w:rPr>
      </w:pPr>
      <w:r w:rsidRPr="003B6CF7">
        <w:rPr>
          <w:szCs w:val="24"/>
          <w:lang w:eastAsia="en-US"/>
        </w:rPr>
        <w:br w:type="page"/>
      </w:r>
    </w:p>
    <w:p w14:paraId="3F6E0C4C" w14:textId="7E7B8D3D" w:rsidR="001831FD" w:rsidRPr="003B6CF7" w:rsidRDefault="001831FD" w:rsidP="001831FD">
      <w:pPr>
        <w:spacing w:before="120" w:after="120" w:line="360" w:lineRule="auto"/>
        <w:jc w:val="center"/>
        <w:rPr>
          <w:szCs w:val="24"/>
          <w:lang w:eastAsia="en-US"/>
        </w:rPr>
      </w:pPr>
      <w:r w:rsidRPr="003B6CF7">
        <w:rPr>
          <w:szCs w:val="24"/>
          <w:lang w:eastAsia="en-US"/>
        </w:rPr>
        <w:lastRenderedPageBreak/>
        <w:t>Artikel 5</w:t>
      </w:r>
    </w:p>
    <w:p w14:paraId="7BDAA535" w14:textId="77777777" w:rsidR="001831FD" w:rsidRPr="003B6CF7" w:rsidRDefault="001831FD" w:rsidP="001831FD">
      <w:pPr>
        <w:spacing w:before="120" w:after="120" w:line="360" w:lineRule="auto"/>
        <w:rPr>
          <w:szCs w:val="24"/>
          <w:lang w:eastAsia="en-US"/>
        </w:rPr>
      </w:pPr>
      <w:r w:rsidRPr="003B6CF7">
        <w:rPr>
          <w:szCs w:val="24"/>
          <w:lang w:eastAsia="en-US"/>
        </w:rPr>
        <w:t xml:space="preserve">Detta direktiv träder i kraft den tjugonde dagen efter det att det har offentliggjorts i </w:t>
      </w:r>
      <w:r w:rsidRPr="003B6CF7">
        <w:rPr>
          <w:i/>
          <w:szCs w:val="24"/>
          <w:lang w:eastAsia="en-US"/>
        </w:rPr>
        <w:t>Europeiska unionens officiella tidning</w:t>
      </w:r>
      <w:r w:rsidRPr="003B6CF7">
        <w:rPr>
          <w:szCs w:val="24"/>
          <w:lang w:eastAsia="en-US"/>
        </w:rPr>
        <w:t>.</w:t>
      </w:r>
    </w:p>
    <w:p w14:paraId="0E00EE26" w14:textId="77777777" w:rsidR="001831FD" w:rsidRPr="003B6CF7" w:rsidRDefault="001831FD" w:rsidP="001831FD">
      <w:pPr>
        <w:spacing w:before="120" w:after="120" w:line="360" w:lineRule="auto"/>
        <w:jc w:val="center"/>
        <w:rPr>
          <w:szCs w:val="24"/>
          <w:lang w:eastAsia="en-US"/>
        </w:rPr>
      </w:pPr>
      <w:r w:rsidRPr="003B6CF7">
        <w:rPr>
          <w:szCs w:val="24"/>
          <w:lang w:eastAsia="en-US"/>
        </w:rPr>
        <w:t>Artikel 6</w:t>
      </w:r>
    </w:p>
    <w:p w14:paraId="54BCE013" w14:textId="77777777" w:rsidR="001831FD" w:rsidRPr="003B6CF7" w:rsidRDefault="001831FD" w:rsidP="001831FD">
      <w:pPr>
        <w:spacing w:before="120" w:after="120" w:line="360" w:lineRule="auto"/>
        <w:rPr>
          <w:szCs w:val="24"/>
          <w:lang w:eastAsia="en-US"/>
        </w:rPr>
      </w:pPr>
      <w:r w:rsidRPr="003B6CF7">
        <w:rPr>
          <w:szCs w:val="24"/>
          <w:lang w:eastAsia="en-US"/>
        </w:rPr>
        <w:t>Detta direktiv riktar sig till medlemsstaterna.</w:t>
      </w:r>
    </w:p>
    <w:p w14:paraId="6CED228C" w14:textId="48B1E72A" w:rsidR="001831FD" w:rsidRPr="003B6CF7" w:rsidRDefault="001831FD" w:rsidP="001831FD">
      <w:pPr>
        <w:keepNext/>
        <w:widowControl/>
        <w:spacing w:before="120" w:line="360" w:lineRule="auto"/>
        <w:rPr>
          <w:szCs w:val="24"/>
          <w:lang w:eastAsia="en-US"/>
        </w:rPr>
      </w:pPr>
      <w:r w:rsidRPr="003B6CF7">
        <w:rPr>
          <w:szCs w:val="24"/>
          <w:lang w:eastAsia="en-US"/>
        </w:rPr>
        <w:t xml:space="preserve">Utfärdat i </w:t>
      </w:r>
      <w:r w:rsidR="00891638">
        <w:rPr>
          <w:szCs w:val="24"/>
          <w:lang w:eastAsia="en-US"/>
        </w:rPr>
        <w:t>…</w:t>
      </w:r>
      <w:bookmarkStart w:id="8" w:name="_GoBack"/>
      <w:bookmarkEnd w:id="8"/>
      <w:r w:rsidRPr="003B6CF7">
        <w:rPr>
          <w:szCs w:val="24"/>
          <w:lang w:eastAsia="en-US"/>
        </w:rPr>
        <w:t xml:space="preserve"> den</w:t>
      </w:r>
    </w:p>
    <w:p w14:paraId="60535968" w14:textId="77777777" w:rsidR="001831FD" w:rsidRPr="003B6CF7" w:rsidRDefault="001831FD" w:rsidP="001831FD">
      <w:pPr>
        <w:keepNext/>
        <w:widowControl/>
        <w:tabs>
          <w:tab w:val="left" w:pos="4252"/>
        </w:tabs>
        <w:spacing w:before="720" w:after="100" w:line="360" w:lineRule="auto"/>
        <w:jc w:val="both"/>
        <w:rPr>
          <w:i/>
          <w:szCs w:val="24"/>
          <w:lang w:eastAsia="en-US"/>
        </w:rPr>
      </w:pPr>
      <w:r w:rsidRPr="003B6CF7">
        <w:rPr>
          <w:i/>
          <w:szCs w:val="24"/>
          <w:lang w:eastAsia="en-US"/>
        </w:rPr>
        <w:t>På Europaparlamentets vägnar</w:t>
      </w:r>
      <w:r w:rsidRPr="003B6CF7">
        <w:rPr>
          <w:i/>
          <w:szCs w:val="24"/>
          <w:lang w:eastAsia="en-US"/>
        </w:rPr>
        <w:tab/>
        <w:t>På rådets vägnar</w:t>
      </w:r>
    </w:p>
    <w:p w14:paraId="7899D10E" w14:textId="77777777" w:rsidR="001831FD" w:rsidRPr="003B6CF7" w:rsidRDefault="001831FD" w:rsidP="001831FD">
      <w:pPr>
        <w:widowControl/>
        <w:tabs>
          <w:tab w:val="left" w:pos="4252"/>
        </w:tabs>
        <w:spacing w:line="360" w:lineRule="auto"/>
        <w:rPr>
          <w:i/>
          <w:szCs w:val="24"/>
          <w:lang w:eastAsia="en-US"/>
        </w:rPr>
      </w:pPr>
      <w:r w:rsidRPr="003B6CF7">
        <w:rPr>
          <w:i/>
          <w:szCs w:val="24"/>
          <w:lang w:eastAsia="en-US"/>
        </w:rPr>
        <w:t>Ordförande</w:t>
      </w:r>
      <w:r w:rsidRPr="003B6CF7">
        <w:rPr>
          <w:i/>
          <w:szCs w:val="24"/>
          <w:lang w:eastAsia="en-US"/>
        </w:rPr>
        <w:tab/>
      </w:r>
      <w:proofErr w:type="spellStart"/>
      <w:r w:rsidRPr="003B6CF7">
        <w:rPr>
          <w:i/>
          <w:szCs w:val="24"/>
          <w:lang w:eastAsia="en-US"/>
        </w:rPr>
        <w:t>Ordförande</w:t>
      </w:r>
      <w:proofErr w:type="spellEnd"/>
    </w:p>
    <w:p w14:paraId="3FF603F7" w14:textId="77777777" w:rsidR="001831FD" w:rsidRPr="003B6CF7" w:rsidRDefault="001831FD" w:rsidP="001831FD">
      <w:pPr>
        <w:spacing w:before="120" w:after="120" w:line="360" w:lineRule="auto"/>
        <w:rPr>
          <w:szCs w:val="24"/>
          <w:lang w:eastAsia="en-US"/>
        </w:rPr>
        <w:sectPr w:rsidR="001831FD" w:rsidRPr="003B6CF7">
          <w:footnotePr>
            <w:numRestart w:val="eachSect"/>
          </w:footnotePr>
          <w:pgSz w:w="11909" w:h="16834"/>
          <w:pgMar w:top="1134" w:right="1417" w:bottom="1417" w:left="1417" w:header="1134" w:footer="567" w:gutter="0"/>
          <w:cols w:space="720"/>
        </w:sectPr>
      </w:pPr>
    </w:p>
    <w:p w14:paraId="79534C5D" w14:textId="77777777" w:rsidR="001831FD" w:rsidRPr="003B6CF7" w:rsidRDefault="001831FD" w:rsidP="001831FD">
      <w:pPr>
        <w:spacing w:before="120" w:after="120" w:line="360" w:lineRule="auto"/>
        <w:jc w:val="center"/>
        <w:rPr>
          <w:lang w:eastAsia="en-US"/>
        </w:rPr>
      </w:pPr>
      <w:r w:rsidRPr="003B6CF7">
        <w:rPr>
          <w:lang w:eastAsia="en-US"/>
        </w:rPr>
        <w:lastRenderedPageBreak/>
        <w:t>BILAGA I</w:t>
      </w:r>
    </w:p>
    <w:p w14:paraId="0BA574C3" w14:textId="77777777" w:rsidR="001831FD" w:rsidRPr="003B6CF7" w:rsidRDefault="001831FD" w:rsidP="001831FD">
      <w:pPr>
        <w:spacing w:before="120" w:after="120" w:line="360" w:lineRule="auto"/>
        <w:rPr>
          <w:szCs w:val="24"/>
          <w:lang w:eastAsia="en-US"/>
        </w:rPr>
      </w:pPr>
      <w:r w:rsidRPr="003B6CF7">
        <w:rPr>
          <w:szCs w:val="24"/>
          <w:lang w:eastAsia="en-US"/>
        </w:rPr>
        <w:t>Bilaga V till direktiv 2000/60/EG ska ändras på följande sätt:</w:t>
      </w:r>
    </w:p>
    <w:p w14:paraId="657D22BF"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Punkterna 1.1.1–1.1.4 ska ersättas med följande:</w:t>
      </w:r>
    </w:p>
    <w:p w14:paraId="0CAAE549"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”1.1.1.</w:t>
      </w:r>
      <w:r w:rsidRPr="003B6CF7">
        <w:rPr>
          <w:szCs w:val="24"/>
          <w:lang w:eastAsia="en-US"/>
        </w:rPr>
        <w:tab/>
        <w:t>”Floder</w:t>
      </w:r>
    </w:p>
    <w:p w14:paraId="132AEA94" w14:textId="77777777" w:rsidR="001831FD" w:rsidRPr="003B6CF7" w:rsidRDefault="001831FD" w:rsidP="001831FD">
      <w:pPr>
        <w:spacing w:before="120" w:after="120" w:line="360" w:lineRule="auto"/>
        <w:ind w:left="1416"/>
        <w:rPr>
          <w:szCs w:val="24"/>
          <w:lang w:eastAsia="en-US"/>
        </w:rPr>
      </w:pPr>
      <w:r w:rsidRPr="003B6CF7">
        <w:rPr>
          <w:szCs w:val="24"/>
          <w:lang w:eastAsia="en-US"/>
        </w:rPr>
        <w:t>Biologiska faktorer</w:t>
      </w:r>
    </w:p>
    <w:p w14:paraId="7075E70F"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och förekomst av vattenväxter</w:t>
      </w:r>
    </w:p>
    <w:p w14:paraId="762E2C99"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och förekomst av </w:t>
      </w:r>
      <w:proofErr w:type="spellStart"/>
      <w:r w:rsidRPr="003B6CF7">
        <w:rPr>
          <w:szCs w:val="24"/>
          <w:lang w:eastAsia="en-US"/>
        </w:rPr>
        <w:t>bentiska</w:t>
      </w:r>
      <w:proofErr w:type="spellEnd"/>
      <w:r w:rsidRPr="003B6CF7">
        <w:rPr>
          <w:szCs w:val="24"/>
          <w:lang w:eastAsia="en-US"/>
        </w:rPr>
        <w:t xml:space="preserve"> evertebrater</w:t>
      </w:r>
    </w:p>
    <w:p w14:paraId="6471D70D"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förekomst och åldersstruktur hos fiskfaunan</w:t>
      </w:r>
    </w:p>
    <w:p w14:paraId="7E53F618" w14:textId="77777777" w:rsidR="001831FD" w:rsidRPr="003B6CF7" w:rsidRDefault="001831FD" w:rsidP="001831FD">
      <w:pPr>
        <w:spacing w:before="120" w:after="120" w:line="360" w:lineRule="auto"/>
        <w:ind w:left="1416"/>
        <w:rPr>
          <w:szCs w:val="24"/>
          <w:lang w:eastAsia="en-US"/>
        </w:rPr>
      </w:pPr>
      <w:r w:rsidRPr="003B6CF7">
        <w:rPr>
          <w:szCs w:val="24"/>
          <w:lang w:eastAsia="en-US"/>
        </w:rPr>
        <w:t>Hydromorfologiska faktorer som stöd för de biologiska faktorerna</w:t>
      </w:r>
    </w:p>
    <w:p w14:paraId="7614F7E4" w14:textId="77777777" w:rsidR="001831FD" w:rsidRPr="003B6CF7" w:rsidRDefault="001831FD" w:rsidP="001831FD">
      <w:pPr>
        <w:spacing w:before="120" w:after="120" w:line="360" w:lineRule="auto"/>
        <w:ind w:left="850"/>
        <w:rPr>
          <w:szCs w:val="24"/>
          <w:lang w:eastAsia="en-US"/>
        </w:rPr>
      </w:pPr>
      <w:r w:rsidRPr="003B6CF7">
        <w:rPr>
          <w:szCs w:val="24"/>
          <w:lang w:eastAsia="en-US"/>
        </w:rPr>
        <w:t>Hydrologiskt system</w:t>
      </w:r>
    </w:p>
    <w:p w14:paraId="1D76EBBA" w14:textId="77777777" w:rsidR="001831FD" w:rsidRPr="003B6CF7" w:rsidRDefault="001831FD" w:rsidP="001831FD">
      <w:pPr>
        <w:spacing w:before="120" w:after="120" w:line="360" w:lineRule="auto"/>
        <w:ind w:left="1416"/>
        <w:rPr>
          <w:szCs w:val="24"/>
          <w:lang w:eastAsia="en-US"/>
        </w:rPr>
      </w:pPr>
      <w:r w:rsidRPr="003B6CF7">
        <w:rPr>
          <w:szCs w:val="24"/>
          <w:lang w:eastAsia="en-US"/>
        </w:rPr>
        <w:t>kvantitet och dynamik för vattenflöde</w:t>
      </w:r>
    </w:p>
    <w:p w14:paraId="763E08D2" w14:textId="77777777" w:rsidR="001831FD" w:rsidRPr="003B6CF7" w:rsidRDefault="001831FD" w:rsidP="001831FD">
      <w:pPr>
        <w:spacing w:before="120" w:after="120" w:line="360" w:lineRule="auto"/>
        <w:ind w:left="1416"/>
        <w:rPr>
          <w:szCs w:val="24"/>
          <w:lang w:eastAsia="en-US"/>
        </w:rPr>
      </w:pPr>
      <w:r w:rsidRPr="003B6CF7">
        <w:rPr>
          <w:szCs w:val="24"/>
          <w:lang w:eastAsia="en-US"/>
        </w:rPr>
        <w:t>förbindelser med grundvattenförekomster</w:t>
      </w:r>
    </w:p>
    <w:p w14:paraId="44E560B7" w14:textId="77777777" w:rsidR="001831FD" w:rsidRPr="003B6CF7" w:rsidRDefault="001831FD" w:rsidP="001831FD">
      <w:pPr>
        <w:spacing w:before="120" w:after="120" w:line="360" w:lineRule="auto"/>
        <w:ind w:left="1416"/>
        <w:rPr>
          <w:szCs w:val="24"/>
          <w:lang w:eastAsia="en-US"/>
        </w:rPr>
      </w:pPr>
      <w:r w:rsidRPr="003B6CF7">
        <w:rPr>
          <w:szCs w:val="24"/>
          <w:lang w:eastAsia="en-US"/>
        </w:rPr>
        <w:t>Flodens kontinuitet</w:t>
      </w:r>
    </w:p>
    <w:p w14:paraId="642F17B7" w14:textId="77777777" w:rsidR="001F7022" w:rsidRPr="003B6CF7" w:rsidRDefault="001F7022">
      <w:pPr>
        <w:widowControl/>
        <w:rPr>
          <w:szCs w:val="24"/>
          <w:lang w:eastAsia="en-US"/>
        </w:rPr>
      </w:pPr>
      <w:r w:rsidRPr="003B6CF7">
        <w:rPr>
          <w:szCs w:val="24"/>
          <w:lang w:eastAsia="en-US"/>
        </w:rPr>
        <w:br w:type="page"/>
      </w:r>
    </w:p>
    <w:p w14:paraId="2EBC3335" w14:textId="72C3FF89" w:rsidR="001831FD" w:rsidRPr="003B6CF7" w:rsidRDefault="001831FD" w:rsidP="001831FD">
      <w:pPr>
        <w:spacing w:before="120" w:after="120" w:line="360" w:lineRule="auto"/>
        <w:ind w:left="850"/>
        <w:rPr>
          <w:szCs w:val="24"/>
          <w:lang w:eastAsia="en-US"/>
        </w:rPr>
      </w:pPr>
      <w:r w:rsidRPr="003B6CF7">
        <w:rPr>
          <w:szCs w:val="24"/>
          <w:lang w:eastAsia="en-US"/>
        </w:rPr>
        <w:lastRenderedPageBreak/>
        <w:t>Morfologiska förhållanden</w:t>
      </w:r>
    </w:p>
    <w:p w14:paraId="05055339"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variation i floddjup och </w:t>
      </w:r>
      <w:proofErr w:type="spellStart"/>
      <w:r w:rsidRPr="003B6CF7">
        <w:rPr>
          <w:szCs w:val="24"/>
          <w:lang w:eastAsia="en-US"/>
        </w:rPr>
        <w:t>flodbredd</w:t>
      </w:r>
      <w:proofErr w:type="spellEnd"/>
    </w:p>
    <w:p w14:paraId="38565274" w14:textId="77777777" w:rsidR="001831FD" w:rsidRPr="003B6CF7" w:rsidRDefault="001831FD" w:rsidP="001831FD">
      <w:pPr>
        <w:spacing w:before="120" w:after="120" w:line="360" w:lineRule="auto"/>
        <w:ind w:left="1416"/>
        <w:rPr>
          <w:szCs w:val="24"/>
          <w:lang w:eastAsia="en-US"/>
        </w:rPr>
      </w:pPr>
      <w:r w:rsidRPr="003B6CF7">
        <w:rPr>
          <w:szCs w:val="24"/>
          <w:lang w:eastAsia="en-US"/>
        </w:rPr>
        <w:t>flodbäddens struktur och substrat</w:t>
      </w:r>
    </w:p>
    <w:p w14:paraId="62A5EE13" w14:textId="77777777" w:rsidR="001831FD" w:rsidRPr="003B6CF7" w:rsidRDefault="001831FD" w:rsidP="001831FD">
      <w:pPr>
        <w:spacing w:before="120" w:after="120" w:line="360" w:lineRule="auto"/>
        <w:ind w:left="1416"/>
        <w:rPr>
          <w:szCs w:val="24"/>
          <w:lang w:eastAsia="en-US"/>
        </w:rPr>
      </w:pPr>
      <w:r w:rsidRPr="003B6CF7">
        <w:rPr>
          <w:szCs w:val="24"/>
          <w:lang w:eastAsia="en-US"/>
        </w:rPr>
        <w:t>strandzonens struktur</w:t>
      </w:r>
    </w:p>
    <w:p w14:paraId="12AB491D" w14:textId="77777777" w:rsidR="001831FD" w:rsidRPr="003B6CF7" w:rsidRDefault="001831FD" w:rsidP="001831FD">
      <w:pPr>
        <w:spacing w:before="120" w:after="120" w:line="360" w:lineRule="auto"/>
        <w:ind w:left="1416"/>
        <w:rPr>
          <w:szCs w:val="24"/>
          <w:lang w:eastAsia="en-US"/>
        </w:rPr>
      </w:pPr>
      <w:r w:rsidRPr="003B6CF7">
        <w:rPr>
          <w:szCs w:val="24"/>
          <w:lang w:eastAsia="en-US"/>
        </w:rPr>
        <w:t>Allmänna fysikalisk-kemiska faktorer som stöd för de biologiska faktorerna</w:t>
      </w:r>
    </w:p>
    <w:p w14:paraId="50209AD3" w14:textId="77777777" w:rsidR="001831FD" w:rsidRPr="003B6CF7" w:rsidRDefault="001831FD" w:rsidP="001831FD">
      <w:pPr>
        <w:spacing w:before="120" w:after="120" w:line="360" w:lineRule="auto"/>
        <w:ind w:left="1416"/>
        <w:rPr>
          <w:szCs w:val="24"/>
          <w:lang w:eastAsia="en-US"/>
        </w:rPr>
      </w:pPr>
      <w:r w:rsidRPr="003B6CF7">
        <w:rPr>
          <w:szCs w:val="24"/>
          <w:lang w:eastAsia="en-US"/>
        </w:rPr>
        <w:t>Vattentemperatur</w:t>
      </w:r>
    </w:p>
    <w:p w14:paraId="0DE080D3" w14:textId="77777777" w:rsidR="001831FD" w:rsidRPr="003B6CF7" w:rsidRDefault="001831FD" w:rsidP="001831FD">
      <w:pPr>
        <w:spacing w:before="120" w:after="120" w:line="360" w:lineRule="auto"/>
        <w:ind w:left="1416"/>
        <w:rPr>
          <w:szCs w:val="24"/>
          <w:lang w:eastAsia="en-US"/>
        </w:rPr>
      </w:pPr>
      <w:r w:rsidRPr="003B6CF7">
        <w:rPr>
          <w:szCs w:val="24"/>
          <w:lang w:eastAsia="en-US"/>
        </w:rPr>
        <w:t>Syreförhållanden</w:t>
      </w:r>
    </w:p>
    <w:p w14:paraId="78BACEE7" w14:textId="77777777" w:rsidR="001831FD" w:rsidRPr="003B6CF7" w:rsidRDefault="001831FD" w:rsidP="001831FD">
      <w:pPr>
        <w:spacing w:before="120" w:after="120" w:line="360" w:lineRule="auto"/>
        <w:ind w:left="1416"/>
        <w:rPr>
          <w:szCs w:val="24"/>
          <w:lang w:eastAsia="en-US"/>
        </w:rPr>
      </w:pPr>
      <w:r w:rsidRPr="003B6CF7">
        <w:rPr>
          <w:szCs w:val="24"/>
          <w:lang w:eastAsia="en-US"/>
        </w:rPr>
        <w:t>Salthalt</w:t>
      </w:r>
    </w:p>
    <w:p w14:paraId="31A07339" w14:textId="77777777" w:rsidR="001831FD" w:rsidRPr="003B6CF7" w:rsidRDefault="001831FD" w:rsidP="001831FD">
      <w:pPr>
        <w:spacing w:before="120" w:after="120" w:line="360" w:lineRule="auto"/>
        <w:ind w:left="1416"/>
        <w:rPr>
          <w:szCs w:val="24"/>
          <w:lang w:eastAsia="en-US"/>
        </w:rPr>
      </w:pPr>
      <w:r w:rsidRPr="003B6CF7">
        <w:rPr>
          <w:szCs w:val="24"/>
          <w:lang w:eastAsia="en-US"/>
        </w:rPr>
        <w:t>Försurningsstatus</w:t>
      </w:r>
    </w:p>
    <w:p w14:paraId="73711C8F" w14:textId="77777777" w:rsidR="001831FD" w:rsidRPr="003B6CF7" w:rsidRDefault="001831FD" w:rsidP="001831FD">
      <w:pPr>
        <w:spacing w:before="120" w:after="120" w:line="360" w:lineRule="auto"/>
        <w:ind w:left="1416"/>
        <w:rPr>
          <w:szCs w:val="24"/>
          <w:lang w:eastAsia="en-US"/>
        </w:rPr>
      </w:pPr>
      <w:r w:rsidRPr="003B6CF7">
        <w:rPr>
          <w:szCs w:val="24"/>
          <w:lang w:eastAsia="en-US"/>
        </w:rPr>
        <w:t>Näringsförhållanden</w:t>
      </w:r>
    </w:p>
    <w:p w14:paraId="55618565"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1.1.2</w:t>
      </w:r>
      <w:r w:rsidRPr="003B6CF7">
        <w:rPr>
          <w:szCs w:val="24"/>
          <w:lang w:eastAsia="en-US"/>
        </w:rPr>
        <w:tab/>
        <w:t xml:space="preserve"> Sjöar</w:t>
      </w:r>
    </w:p>
    <w:p w14:paraId="19475FD1" w14:textId="77777777" w:rsidR="001831FD" w:rsidRPr="003B6CF7" w:rsidRDefault="001831FD" w:rsidP="001831FD">
      <w:pPr>
        <w:spacing w:before="120" w:after="120" w:line="360" w:lineRule="auto"/>
        <w:ind w:left="1416"/>
        <w:rPr>
          <w:szCs w:val="24"/>
          <w:lang w:eastAsia="en-US"/>
        </w:rPr>
      </w:pPr>
      <w:r w:rsidRPr="003B6CF7">
        <w:rPr>
          <w:szCs w:val="24"/>
          <w:lang w:eastAsia="en-US"/>
        </w:rPr>
        <w:t>Biologiska faktorer</w:t>
      </w:r>
    </w:p>
    <w:p w14:paraId="09B39139" w14:textId="77777777" w:rsidR="001F7022" w:rsidRPr="003B6CF7" w:rsidRDefault="001F7022">
      <w:pPr>
        <w:widowControl/>
        <w:rPr>
          <w:szCs w:val="24"/>
          <w:lang w:eastAsia="en-US"/>
        </w:rPr>
      </w:pPr>
      <w:r w:rsidRPr="003B6CF7">
        <w:rPr>
          <w:szCs w:val="24"/>
          <w:lang w:eastAsia="en-US"/>
        </w:rPr>
        <w:br w:type="page"/>
      </w:r>
    </w:p>
    <w:p w14:paraId="62338C85" w14:textId="7DADA583" w:rsidR="001831FD" w:rsidRPr="003B6CF7" w:rsidRDefault="001831FD" w:rsidP="001831FD">
      <w:pPr>
        <w:spacing w:before="120" w:after="120" w:line="360" w:lineRule="auto"/>
        <w:ind w:left="1416"/>
        <w:rPr>
          <w:szCs w:val="24"/>
          <w:lang w:eastAsia="en-US"/>
        </w:rPr>
      </w:pPr>
      <w:r w:rsidRPr="003B6CF7">
        <w:rPr>
          <w:szCs w:val="24"/>
          <w:lang w:eastAsia="en-US"/>
        </w:rPr>
        <w:lastRenderedPageBreak/>
        <w:t xml:space="preserve">Sammansättning, förekomst och biomassa hos </w:t>
      </w:r>
      <w:proofErr w:type="spellStart"/>
      <w:r w:rsidRPr="003B6CF7">
        <w:rPr>
          <w:szCs w:val="24"/>
          <w:lang w:eastAsia="en-US"/>
        </w:rPr>
        <w:t>fytoplankton</w:t>
      </w:r>
      <w:proofErr w:type="spellEnd"/>
    </w:p>
    <w:p w14:paraId="6EA2C1F9"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och förekomst av andra vattenväxter</w:t>
      </w:r>
    </w:p>
    <w:p w14:paraId="74F870BA"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och förekomst av </w:t>
      </w:r>
      <w:proofErr w:type="spellStart"/>
      <w:r w:rsidRPr="003B6CF7">
        <w:rPr>
          <w:szCs w:val="24"/>
          <w:lang w:eastAsia="en-US"/>
        </w:rPr>
        <w:t>bentiska</w:t>
      </w:r>
      <w:proofErr w:type="spellEnd"/>
      <w:r w:rsidRPr="003B6CF7">
        <w:rPr>
          <w:szCs w:val="24"/>
          <w:lang w:eastAsia="en-US"/>
        </w:rPr>
        <w:t xml:space="preserve"> evertebrater</w:t>
      </w:r>
    </w:p>
    <w:p w14:paraId="7A0998C3"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förekomst och åldersstruktur hos fiskfaunan</w:t>
      </w:r>
    </w:p>
    <w:p w14:paraId="5D366128" w14:textId="77777777" w:rsidR="001831FD" w:rsidRPr="003B6CF7" w:rsidRDefault="001831FD" w:rsidP="001831FD">
      <w:pPr>
        <w:spacing w:before="120" w:after="120" w:line="360" w:lineRule="auto"/>
        <w:ind w:left="1416"/>
        <w:rPr>
          <w:szCs w:val="24"/>
          <w:lang w:eastAsia="en-US"/>
        </w:rPr>
      </w:pPr>
      <w:r w:rsidRPr="003B6CF7">
        <w:rPr>
          <w:szCs w:val="24"/>
          <w:lang w:eastAsia="en-US"/>
        </w:rPr>
        <w:t>Hydromorfologiska faktorer som stöd för de biologiska faktorerna</w:t>
      </w:r>
    </w:p>
    <w:p w14:paraId="0A3A202A" w14:textId="77777777" w:rsidR="001831FD" w:rsidRPr="003B6CF7" w:rsidRDefault="001831FD" w:rsidP="001831FD">
      <w:pPr>
        <w:spacing w:before="120" w:after="120" w:line="360" w:lineRule="auto"/>
        <w:ind w:left="850"/>
        <w:rPr>
          <w:szCs w:val="24"/>
          <w:lang w:eastAsia="en-US"/>
        </w:rPr>
      </w:pPr>
      <w:r w:rsidRPr="003B6CF7">
        <w:rPr>
          <w:szCs w:val="24"/>
          <w:lang w:eastAsia="en-US"/>
        </w:rPr>
        <w:t>Hydrologiskt system</w:t>
      </w:r>
    </w:p>
    <w:p w14:paraId="72F09C8F" w14:textId="77777777" w:rsidR="001831FD" w:rsidRPr="003B6CF7" w:rsidRDefault="001831FD" w:rsidP="001831FD">
      <w:pPr>
        <w:spacing w:before="120" w:after="120" w:line="360" w:lineRule="auto"/>
        <w:ind w:left="1416"/>
        <w:rPr>
          <w:szCs w:val="24"/>
          <w:lang w:eastAsia="en-US"/>
        </w:rPr>
      </w:pPr>
      <w:r w:rsidRPr="003B6CF7">
        <w:rPr>
          <w:szCs w:val="24"/>
          <w:lang w:eastAsia="en-US"/>
        </w:rPr>
        <w:t>kvantitet och dynamik för vattenflöde</w:t>
      </w:r>
    </w:p>
    <w:p w14:paraId="13B307B9" w14:textId="77777777" w:rsidR="001831FD" w:rsidRPr="003B6CF7" w:rsidRDefault="001831FD" w:rsidP="001831FD">
      <w:pPr>
        <w:spacing w:before="120" w:after="120" w:line="360" w:lineRule="auto"/>
        <w:ind w:left="1416"/>
        <w:rPr>
          <w:szCs w:val="24"/>
          <w:lang w:eastAsia="en-US"/>
        </w:rPr>
      </w:pPr>
      <w:r w:rsidRPr="003B6CF7">
        <w:rPr>
          <w:szCs w:val="24"/>
          <w:lang w:eastAsia="en-US"/>
        </w:rPr>
        <w:t>uppehållstid</w:t>
      </w:r>
    </w:p>
    <w:p w14:paraId="563BFBBA" w14:textId="77777777" w:rsidR="001831FD" w:rsidRPr="003B6CF7" w:rsidRDefault="001831FD" w:rsidP="001831FD">
      <w:pPr>
        <w:spacing w:before="120" w:after="120" w:line="360" w:lineRule="auto"/>
        <w:ind w:left="1416"/>
        <w:rPr>
          <w:szCs w:val="24"/>
          <w:lang w:eastAsia="en-US"/>
        </w:rPr>
      </w:pPr>
      <w:r w:rsidRPr="003B6CF7">
        <w:rPr>
          <w:szCs w:val="24"/>
          <w:lang w:eastAsia="en-US"/>
        </w:rPr>
        <w:t>förbindelser med grundvattenförekomster</w:t>
      </w:r>
    </w:p>
    <w:p w14:paraId="5634FF43" w14:textId="77777777" w:rsidR="001831FD" w:rsidRPr="003B6CF7" w:rsidRDefault="001831FD" w:rsidP="001831FD">
      <w:pPr>
        <w:spacing w:before="120" w:after="120" w:line="360" w:lineRule="auto"/>
        <w:ind w:left="850"/>
        <w:rPr>
          <w:szCs w:val="24"/>
          <w:lang w:eastAsia="en-US"/>
        </w:rPr>
      </w:pPr>
      <w:r w:rsidRPr="003B6CF7">
        <w:rPr>
          <w:szCs w:val="24"/>
          <w:lang w:eastAsia="en-US"/>
        </w:rPr>
        <w:t>Morfologiska förhållanden</w:t>
      </w:r>
    </w:p>
    <w:p w14:paraId="4A318E5F" w14:textId="77777777" w:rsidR="001831FD" w:rsidRPr="003B6CF7" w:rsidRDefault="001831FD" w:rsidP="001831FD">
      <w:pPr>
        <w:spacing w:before="120" w:after="120" w:line="360" w:lineRule="auto"/>
        <w:ind w:left="1416"/>
        <w:rPr>
          <w:szCs w:val="24"/>
          <w:lang w:eastAsia="en-US"/>
        </w:rPr>
      </w:pPr>
      <w:r w:rsidRPr="003B6CF7">
        <w:rPr>
          <w:szCs w:val="24"/>
          <w:lang w:eastAsia="en-US"/>
        </w:rPr>
        <w:t>variation i sjövattendjup</w:t>
      </w:r>
    </w:p>
    <w:p w14:paraId="6A2FB4F7" w14:textId="77777777" w:rsidR="001831FD" w:rsidRPr="003B6CF7" w:rsidRDefault="001831FD" w:rsidP="001831FD">
      <w:pPr>
        <w:spacing w:before="120" w:after="120" w:line="360" w:lineRule="auto"/>
        <w:ind w:left="1416"/>
        <w:rPr>
          <w:szCs w:val="24"/>
          <w:lang w:eastAsia="en-US"/>
        </w:rPr>
      </w:pPr>
      <w:r w:rsidRPr="003B6CF7">
        <w:rPr>
          <w:szCs w:val="24"/>
          <w:lang w:eastAsia="en-US"/>
        </w:rPr>
        <w:t>sjöbäddens volym, struktur och substrat</w:t>
      </w:r>
    </w:p>
    <w:p w14:paraId="433E5B7F" w14:textId="77777777" w:rsidR="001831FD" w:rsidRPr="003B6CF7" w:rsidRDefault="001831FD" w:rsidP="001831FD">
      <w:pPr>
        <w:spacing w:before="120" w:after="120" w:line="360" w:lineRule="auto"/>
        <w:ind w:left="1416"/>
        <w:rPr>
          <w:szCs w:val="24"/>
          <w:lang w:eastAsia="en-US"/>
        </w:rPr>
      </w:pPr>
      <w:r w:rsidRPr="003B6CF7">
        <w:rPr>
          <w:szCs w:val="24"/>
          <w:lang w:eastAsia="en-US"/>
        </w:rPr>
        <w:t>sjöstrandens struktur</w:t>
      </w:r>
    </w:p>
    <w:p w14:paraId="77E6BD4B" w14:textId="77777777" w:rsidR="001F7022" w:rsidRPr="003B6CF7" w:rsidRDefault="001F7022">
      <w:pPr>
        <w:widowControl/>
        <w:rPr>
          <w:szCs w:val="24"/>
          <w:lang w:eastAsia="en-US"/>
        </w:rPr>
      </w:pPr>
      <w:r w:rsidRPr="003B6CF7">
        <w:rPr>
          <w:szCs w:val="24"/>
          <w:lang w:eastAsia="en-US"/>
        </w:rPr>
        <w:br w:type="page"/>
      </w:r>
    </w:p>
    <w:p w14:paraId="4A48E2F7" w14:textId="48D6EA49" w:rsidR="001831FD" w:rsidRPr="003B6CF7" w:rsidRDefault="001831FD" w:rsidP="001831FD">
      <w:pPr>
        <w:spacing w:before="120" w:after="120" w:line="360" w:lineRule="auto"/>
        <w:ind w:left="1416"/>
        <w:rPr>
          <w:szCs w:val="24"/>
          <w:lang w:eastAsia="en-US"/>
        </w:rPr>
      </w:pPr>
      <w:r w:rsidRPr="003B6CF7">
        <w:rPr>
          <w:szCs w:val="24"/>
          <w:lang w:eastAsia="en-US"/>
        </w:rPr>
        <w:lastRenderedPageBreak/>
        <w:t>Allmänna fysikalisk-kemiska faktorer som stöd för de biologiska faktorerna</w:t>
      </w:r>
    </w:p>
    <w:p w14:paraId="6937F0AD" w14:textId="77777777" w:rsidR="001831FD" w:rsidRPr="003B6CF7" w:rsidRDefault="001831FD" w:rsidP="001831FD">
      <w:pPr>
        <w:spacing w:before="120" w:after="120" w:line="360" w:lineRule="auto"/>
        <w:ind w:left="1416"/>
        <w:rPr>
          <w:szCs w:val="24"/>
          <w:lang w:eastAsia="en-US"/>
        </w:rPr>
      </w:pPr>
      <w:r w:rsidRPr="003B6CF7">
        <w:rPr>
          <w:szCs w:val="24"/>
          <w:lang w:eastAsia="en-US"/>
        </w:rPr>
        <w:t>Siktdjup</w:t>
      </w:r>
    </w:p>
    <w:p w14:paraId="2218F99C" w14:textId="77777777" w:rsidR="001831FD" w:rsidRPr="003B6CF7" w:rsidRDefault="001831FD" w:rsidP="001831FD">
      <w:pPr>
        <w:spacing w:before="120" w:after="120" w:line="360" w:lineRule="auto"/>
        <w:ind w:left="1416"/>
        <w:rPr>
          <w:szCs w:val="24"/>
          <w:lang w:eastAsia="en-US"/>
        </w:rPr>
      </w:pPr>
      <w:r w:rsidRPr="003B6CF7">
        <w:rPr>
          <w:szCs w:val="24"/>
          <w:lang w:eastAsia="en-US"/>
        </w:rPr>
        <w:t>Vattentemperatur</w:t>
      </w:r>
    </w:p>
    <w:p w14:paraId="332CAA91" w14:textId="77777777" w:rsidR="001831FD" w:rsidRPr="003B6CF7" w:rsidRDefault="001831FD" w:rsidP="001831FD">
      <w:pPr>
        <w:spacing w:before="120" w:after="120" w:line="360" w:lineRule="auto"/>
        <w:ind w:left="1416"/>
        <w:rPr>
          <w:szCs w:val="24"/>
          <w:lang w:eastAsia="en-US"/>
        </w:rPr>
      </w:pPr>
      <w:r w:rsidRPr="003B6CF7">
        <w:rPr>
          <w:szCs w:val="24"/>
          <w:lang w:eastAsia="en-US"/>
        </w:rPr>
        <w:t>Syreförhållanden</w:t>
      </w:r>
    </w:p>
    <w:p w14:paraId="53984ECC" w14:textId="77777777" w:rsidR="001831FD" w:rsidRPr="003B6CF7" w:rsidRDefault="001831FD" w:rsidP="001831FD">
      <w:pPr>
        <w:spacing w:before="120" w:after="120" w:line="360" w:lineRule="auto"/>
        <w:ind w:left="1416"/>
        <w:rPr>
          <w:szCs w:val="24"/>
          <w:lang w:eastAsia="en-US"/>
        </w:rPr>
      </w:pPr>
      <w:r w:rsidRPr="003B6CF7">
        <w:rPr>
          <w:szCs w:val="24"/>
          <w:lang w:eastAsia="en-US"/>
        </w:rPr>
        <w:t>Salthalt</w:t>
      </w:r>
    </w:p>
    <w:p w14:paraId="1513C4F3" w14:textId="77777777" w:rsidR="001831FD" w:rsidRPr="003B6CF7" w:rsidRDefault="001831FD" w:rsidP="001831FD">
      <w:pPr>
        <w:spacing w:before="120" w:after="120" w:line="360" w:lineRule="auto"/>
        <w:ind w:left="1416"/>
        <w:rPr>
          <w:szCs w:val="24"/>
          <w:lang w:eastAsia="en-US"/>
        </w:rPr>
      </w:pPr>
      <w:r w:rsidRPr="003B6CF7">
        <w:rPr>
          <w:szCs w:val="24"/>
          <w:lang w:eastAsia="en-US"/>
        </w:rPr>
        <w:t>Försurningsstatus</w:t>
      </w:r>
    </w:p>
    <w:p w14:paraId="327753C7" w14:textId="77777777" w:rsidR="001831FD" w:rsidRPr="003B6CF7" w:rsidRDefault="001831FD" w:rsidP="001831FD">
      <w:pPr>
        <w:spacing w:before="120" w:after="120" w:line="360" w:lineRule="auto"/>
        <w:ind w:left="1416"/>
        <w:rPr>
          <w:szCs w:val="24"/>
          <w:lang w:eastAsia="en-US"/>
        </w:rPr>
      </w:pPr>
      <w:r w:rsidRPr="003B6CF7">
        <w:rPr>
          <w:szCs w:val="24"/>
          <w:lang w:eastAsia="en-US"/>
        </w:rPr>
        <w:t>Näringsförhållanden</w:t>
      </w:r>
    </w:p>
    <w:p w14:paraId="26D5C74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1.1.3</w:t>
      </w:r>
      <w:r w:rsidRPr="003B6CF7">
        <w:rPr>
          <w:szCs w:val="24"/>
          <w:lang w:eastAsia="en-US"/>
        </w:rPr>
        <w:tab/>
        <w:t>Vatten i övergångszon</w:t>
      </w:r>
    </w:p>
    <w:p w14:paraId="724B6574" w14:textId="77777777" w:rsidR="001831FD" w:rsidRPr="003B6CF7" w:rsidRDefault="001831FD" w:rsidP="001831FD">
      <w:pPr>
        <w:spacing w:before="120" w:after="120" w:line="360" w:lineRule="auto"/>
        <w:ind w:left="1416"/>
        <w:rPr>
          <w:szCs w:val="24"/>
          <w:lang w:eastAsia="en-US"/>
        </w:rPr>
      </w:pPr>
      <w:r w:rsidRPr="003B6CF7">
        <w:rPr>
          <w:szCs w:val="24"/>
          <w:lang w:eastAsia="en-US"/>
        </w:rPr>
        <w:t>Biologiska faktorer</w:t>
      </w:r>
    </w:p>
    <w:p w14:paraId="518011D8"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förekomst och biomassa hos </w:t>
      </w:r>
      <w:proofErr w:type="spellStart"/>
      <w:r w:rsidRPr="003B6CF7">
        <w:rPr>
          <w:szCs w:val="24"/>
          <w:lang w:eastAsia="en-US"/>
        </w:rPr>
        <w:t>fytoplankton</w:t>
      </w:r>
      <w:proofErr w:type="spellEnd"/>
    </w:p>
    <w:p w14:paraId="39396B4E"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och förekomst av andra vattenväxter</w:t>
      </w:r>
    </w:p>
    <w:p w14:paraId="6AD64F06"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och förekomst av </w:t>
      </w:r>
      <w:proofErr w:type="spellStart"/>
      <w:r w:rsidRPr="003B6CF7">
        <w:rPr>
          <w:szCs w:val="24"/>
          <w:lang w:eastAsia="en-US"/>
        </w:rPr>
        <w:t>bentiska</w:t>
      </w:r>
      <w:proofErr w:type="spellEnd"/>
      <w:r w:rsidRPr="003B6CF7">
        <w:rPr>
          <w:szCs w:val="24"/>
          <w:lang w:eastAsia="en-US"/>
        </w:rPr>
        <w:t xml:space="preserve"> evertebrater</w:t>
      </w:r>
    </w:p>
    <w:p w14:paraId="3AA28228"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och förekomst av fiskfauna</w:t>
      </w:r>
    </w:p>
    <w:p w14:paraId="6963CF35" w14:textId="77777777" w:rsidR="001F7022" w:rsidRPr="003B6CF7" w:rsidRDefault="001F7022">
      <w:pPr>
        <w:widowControl/>
        <w:rPr>
          <w:szCs w:val="24"/>
          <w:lang w:eastAsia="en-US"/>
        </w:rPr>
      </w:pPr>
      <w:r w:rsidRPr="003B6CF7">
        <w:rPr>
          <w:szCs w:val="24"/>
          <w:lang w:eastAsia="en-US"/>
        </w:rPr>
        <w:br w:type="page"/>
      </w:r>
    </w:p>
    <w:p w14:paraId="0767FE71" w14:textId="12E4AA3E" w:rsidR="001831FD" w:rsidRPr="003B6CF7" w:rsidRDefault="001831FD" w:rsidP="001831FD">
      <w:pPr>
        <w:spacing w:before="120" w:after="120" w:line="360" w:lineRule="auto"/>
        <w:ind w:left="1416"/>
        <w:rPr>
          <w:szCs w:val="24"/>
          <w:lang w:eastAsia="en-US"/>
        </w:rPr>
      </w:pPr>
      <w:r w:rsidRPr="003B6CF7">
        <w:rPr>
          <w:szCs w:val="24"/>
          <w:lang w:eastAsia="en-US"/>
        </w:rPr>
        <w:lastRenderedPageBreak/>
        <w:t>Hydromorfologiska faktorer som stöd för de biologiska faktorerna</w:t>
      </w:r>
    </w:p>
    <w:p w14:paraId="3B98FA96" w14:textId="77777777" w:rsidR="001831FD" w:rsidRPr="003B6CF7" w:rsidRDefault="001831FD" w:rsidP="001831FD">
      <w:pPr>
        <w:spacing w:before="120" w:after="120" w:line="360" w:lineRule="auto"/>
        <w:ind w:left="850"/>
        <w:rPr>
          <w:szCs w:val="24"/>
          <w:lang w:eastAsia="en-US"/>
        </w:rPr>
      </w:pPr>
      <w:r w:rsidRPr="003B6CF7">
        <w:rPr>
          <w:szCs w:val="24"/>
          <w:lang w:eastAsia="en-US"/>
        </w:rPr>
        <w:t>Morfologiska förhållanden</w:t>
      </w:r>
    </w:p>
    <w:p w14:paraId="76D2158B" w14:textId="77777777" w:rsidR="001831FD" w:rsidRPr="003B6CF7" w:rsidRDefault="001831FD" w:rsidP="001831FD">
      <w:pPr>
        <w:spacing w:before="120" w:after="120" w:line="360" w:lineRule="auto"/>
        <w:ind w:left="1416"/>
        <w:rPr>
          <w:szCs w:val="24"/>
          <w:lang w:eastAsia="en-US"/>
        </w:rPr>
      </w:pPr>
      <w:r w:rsidRPr="003B6CF7">
        <w:rPr>
          <w:szCs w:val="24"/>
          <w:lang w:eastAsia="en-US"/>
        </w:rPr>
        <w:t>djupvariation</w:t>
      </w:r>
    </w:p>
    <w:p w14:paraId="74917984" w14:textId="77777777" w:rsidR="001831FD" w:rsidRPr="003B6CF7" w:rsidRDefault="001831FD" w:rsidP="001831FD">
      <w:pPr>
        <w:spacing w:before="120" w:after="120" w:line="360" w:lineRule="auto"/>
        <w:ind w:left="1416"/>
        <w:rPr>
          <w:szCs w:val="24"/>
          <w:lang w:eastAsia="en-US"/>
        </w:rPr>
      </w:pPr>
      <w:r w:rsidRPr="003B6CF7">
        <w:rPr>
          <w:szCs w:val="24"/>
          <w:lang w:eastAsia="en-US"/>
        </w:rPr>
        <w:t>bäddens volym, struktur och substrat</w:t>
      </w:r>
    </w:p>
    <w:p w14:paraId="0BEFBF42" w14:textId="77777777" w:rsidR="001831FD" w:rsidRPr="003B6CF7" w:rsidRDefault="001831FD" w:rsidP="001831FD">
      <w:pPr>
        <w:spacing w:before="120" w:after="120" w:line="360" w:lineRule="auto"/>
        <w:ind w:left="1416"/>
        <w:rPr>
          <w:szCs w:val="24"/>
          <w:lang w:eastAsia="en-US"/>
        </w:rPr>
      </w:pPr>
      <w:r w:rsidRPr="003B6CF7">
        <w:rPr>
          <w:szCs w:val="24"/>
          <w:lang w:eastAsia="en-US"/>
        </w:rPr>
        <w:t>tidvattenzonens struktur</w:t>
      </w:r>
    </w:p>
    <w:p w14:paraId="0788F5A9" w14:textId="77777777" w:rsidR="001831FD" w:rsidRPr="003B6CF7" w:rsidRDefault="001831FD" w:rsidP="001831FD">
      <w:pPr>
        <w:spacing w:before="120" w:after="120" w:line="360" w:lineRule="auto"/>
        <w:ind w:left="850"/>
        <w:rPr>
          <w:szCs w:val="24"/>
          <w:lang w:eastAsia="en-US"/>
        </w:rPr>
      </w:pPr>
      <w:r w:rsidRPr="003B6CF7">
        <w:rPr>
          <w:szCs w:val="24"/>
          <w:lang w:eastAsia="en-US"/>
        </w:rPr>
        <w:t>Tidvattenmönster</w:t>
      </w:r>
    </w:p>
    <w:p w14:paraId="2C450E17" w14:textId="77777777" w:rsidR="001831FD" w:rsidRPr="003B6CF7" w:rsidRDefault="001831FD" w:rsidP="001831FD">
      <w:pPr>
        <w:spacing w:before="120" w:after="120" w:line="360" w:lineRule="auto"/>
        <w:ind w:left="1416"/>
        <w:rPr>
          <w:szCs w:val="24"/>
          <w:lang w:eastAsia="en-US"/>
        </w:rPr>
      </w:pPr>
      <w:r w:rsidRPr="003B6CF7">
        <w:rPr>
          <w:szCs w:val="24"/>
          <w:lang w:eastAsia="en-US"/>
        </w:rPr>
        <w:t>sötvattenflöde</w:t>
      </w:r>
    </w:p>
    <w:p w14:paraId="703A5CF2" w14:textId="77777777" w:rsidR="001831FD" w:rsidRPr="003B6CF7" w:rsidRDefault="001831FD" w:rsidP="001831FD">
      <w:pPr>
        <w:spacing w:before="120" w:after="120" w:line="360" w:lineRule="auto"/>
        <w:ind w:left="1416"/>
        <w:rPr>
          <w:szCs w:val="24"/>
          <w:lang w:eastAsia="en-US"/>
        </w:rPr>
      </w:pPr>
      <w:r w:rsidRPr="003B6CF7">
        <w:rPr>
          <w:szCs w:val="24"/>
          <w:lang w:eastAsia="en-US"/>
        </w:rPr>
        <w:t>vågexponering</w:t>
      </w:r>
    </w:p>
    <w:p w14:paraId="0A0CB2E4" w14:textId="77777777" w:rsidR="001831FD" w:rsidRPr="003B6CF7" w:rsidRDefault="001831FD" w:rsidP="001831FD">
      <w:pPr>
        <w:spacing w:before="120" w:after="120" w:line="360" w:lineRule="auto"/>
        <w:ind w:left="1416"/>
        <w:rPr>
          <w:szCs w:val="24"/>
          <w:lang w:eastAsia="en-US"/>
        </w:rPr>
      </w:pPr>
      <w:r w:rsidRPr="003B6CF7">
        <w:rPr>
          <w:szCs w:val="24"/>
          <w:lang w:eastAsia="en-US"/>
        </w:rPr>
        <w:t>Allmänna fysikalisk-kemiska faktorer som stöd för de biologiska faktorerna</w:t>
      </w:r>
    </w:p>
    <w:p w14:paraId="24379BCA" w14:textId="77777777" w:rsidR="001831FD" w:rsidRPr="003B6CF7" w:rsidRDefault="001831FD" w:rsidP="001831FD">
      <w:pPr>
        <w:spacing w:before="120" w:after="120" w:line="360" w:lineRule="auto"/>
        <w:ind w:left="1416"/>
        <w:rPr>
          <w:szCs w:val="24"/>
          <w:lang w:eastAsia="en-US"/>
        </w:rPr>
      </w:pPr>
      <w:r w:rsidRPr="003B6CF7">
        <w:rPr>
          <w:szCs w:val="24"/>
          <w:lang w:eastAsia="en-US"/>
        </w:rPr>
        <w:t>Siktdjup</w:t>
      </w:r>
    </w:p>
    <w:p w14:paraId="04604863" w14:textId="77777777" w:rsidR="001831FD" w:rsidRPr="003B6CF7" w:rsidRDefault="001831FD" w:rsidP="001831FD">
      <w:pPr>
        <w:spacing w:before="120" w:after="120" w:line="360" w:lineRule="auto"/>
        <w:ind w:left="1416"/>
        <w:rPr>
          <w:szCs w:val="24"/>
          <w:lang w:eastAsia="en-US"/>
        </w:rPr>
      </w:pPr>
      <w:r w:rsidRPr="003B6CF7">
        <w:rPr>
          <w:szCs w:val="24"/>
          <w:lang w:eastAsia="en-US"/>
        </w:rPr>
        <w:t>Vattentemperatur</w:t>
      </w:r>
    </w:p>
    <w:p w14:paraId="7CC5B3AF" w14:textId="77777777" w:rsidR="001831FD" w:rsidRPr="003B6CF7" w:rsidRDefault="001831FD" w:rsidP="001831FD">
      <w:pPr>
        <w:spacing w:before="120" w:after="120" w:line="360" w:lineRule="auto"/>
        <w:ind w:left="1416"/>
        <w:rPr>
          <w:szCs w:val="24"/>
          <w:lang w:eastAsia="en-US"/>
        </w:rPr>
      </w:pPr>
      <w:r w:rsidRPr="003B6CF7">
        <w:rPr>
          <w:szCs w:val="24"/>
          <w:lang w:eastAsia="en-US"/>
        </w:rPr>
        <w:t>Syreförhållanden</w:t>
      </w:r>
    </w:p>
    <w:p w14:paraId="6BBC44AD" w14:textId="77777777" w:rsidR="001F7022" w:rsidRPr="003B6CF7" w:rsidRDefault="001F7022">
      <w:pPr>
        <w:widowControl/>
        <w:rPr>
          <w:szCs w:val="24"/>
          <w:lang w:eastAsia="en-US"/>
        </w:rPr>
      </w:pPr>
      <w:r w:rsidRPr="003B6CF7">
        <w:rPr>
          <w:szCs w:val="24"/>
          <w:lang w:eastAsia="en-US"/>
        </w:rPr>
        <w:br w:type="page"/>
      </w:r>
    </w:p>
    <w:p w14:paraId="478B49D8" w14:textId="3511176B" w:rsidR="001831FD" w:rsidRPr="003B6CF7" w:rsidRDefault="001831FD" w:rsidP="001831FD">
      <w:pPr>
        <w:spacing w:before="120" w:after="120" w:line="360" w:lineRule="auto"/>
        <w:ind w:left="1416"/>
        <w:rPr>
          <w:szCs w:val="24"/>
          <w:lang w:eastAsia="en-US"/>
        </w:rPr>
      </w:pPr>
      <w:r w:rsidRPr="003B6CF7">
        <w:rPr>
          <w:szCs w:val="24"/>
          <w:lang w:eastAsia="en-US"/>
        </w:rPr>
        <w:lastRenderedPageBreak/>
        <w:t>Salthalt</w:t>
      </w:r>
    </w:p>
    <w:p w14:paraId="459CB451" w14:textId="77777777" w:rsidR="001831FD" w:rsidRPr="003B6CF7" w:rsidRDefault="001831FD" w:rsidP="001831FD">
      <w:pPr>
        <w:spacing w:before="120" w:after="120" w:line="360" w:lineRule="auto"/>
        <w:ind w:left="1416"/>
        <w:rPr>
          <w:szCs w:val="24"/>
          <w:lang w:eastAsia="en-US"/>
        </w:rPr>
      </w:pPr>
      <w:r w:rsidRPr="003B6CF7">
        <w:rPr>
          <w:szCs w:val="24"/>
          <w:lang w:eastAsia="en-US"/>
        </w:rPr>
        <w:t>Näringsförhållanden</w:t>
      </w:r>
    </w:p>
    <w:p w14:paraId="27BE60E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1.1.4</w:t>
      </w:r>
      <w:r w:rsidRPr="003B6CF7">
        <w:rPr>
          <w:szCs w:val="24"/>
          <w:lang w:eastAsia="en-US"/>
        </w:rPr>
        <w:tab/>
        <w:t xml:space="preserve"> Kustvatten</w:t>
      </w:r>
    </w:p>
    <w:p w14:paraId="4D97E005" w14:textId="77777777" w:rsidR="001831FD" w:rsidRPr="003B6CF7" w:rsidRDefault="001831FD" w:rsidP="001831FD">
      <w:pPr>
        <w:spacing w:before="120" w:after="120" w:line="360" w:lineRule="auto"/>
        <w:ind w:left="1416"/>
        <w:rPr>
          <w:szCs w:val="24"/>
          <w:lang w:eastAsia="en-US"/>
        </w:rPr>
      </w:pPr>
      <w:r w:rsidRPr="003B6CF7">
        <w:rPr>
          <w:szCs w:val="24"/>
          <w:lang w:eastAsia="en-US"/>
        </w:rPr>
        <w:t>Biologiska faktorer</w:t>
      </w:r>
    </w:p>
    <w:p w14:paraId="567A0DCF"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förekomst och biomassa hos </w:t>
      </w:r>
      <w:proofErr w:type="spellStart"/>
      <w:r w:rsidRPr="003B6CF7">
        <w:rPr>
          <w:szCs w:val="24"/>
          <w:lang w:eastAsia="en-US"/>
        </w:rPr>
        <w:t>fytoplankton</w:t>
      </w:r>
      <w:proofErr w:type="spellEnd"/>
    </w:p>
    <w:p w14:paraId="2370B0EB" w14:textId="77777777" w:rsidR="001831FD" w:rsidRPr="003B6CF7" w:rsidRDefault="001831FD" w:rsidP="001831FD">
      <w:pPr>
        <w:spacing w:before="120" w:after="120" w:line="360" w:lineRule="auto"/>
        <w:ind w:left="1416"/>
        <w:rPr>
          <w:szCs w:val="24"/>
          <w:lang w:eastAsia="en-US"/>
        </w:rPr>
      </w:pPr>
      <w:r w:rsidRPr="003B6CF7">
        <w:rPr>
          <w:szCs w:val="24"/>
          <w:lang w:eastAsia="en-US"/>
        </w:rPr>
        <w:t>Sammansättning och förekomst av andra vattenväxter</w:t>
      </w:r>
    </w:p>
    <w:p w14:paraId="353FDE5F"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Sammansättning och förekomst av </w:t>
      </w:r>
      <w:proofErr w:type="spellStart"/>
      <w:r w:rsidRPr="003B6CF7">
        <w:rPr>
          <w:szCs w:val="24"/>
          <w:lang w:eastAsia="en-US"/>
        </w:rPr>
        <w:t>bentiska</w:t>
      </w:r>
      <w:proofErr w:type="spellEnd"/>
      <w:r w:rsidRPr="003B6CF7">
        <w:rPr>
          <w:szCs w:val="24"/>
          <w:lang w:eastAsia="en-US"/>
        </w:rPr>
        <w:t xml:space="preserve"> evertebrater</w:t>
      </w:r>
    </w:p>
    <w:p w14:paraId="6E42A26C" w14:textId="77777777" w:rsidR="001831FD" w:rsidRPr="003B6CF7" w:rsidRDefault="001831FD" w:rsidP="001831FD">
      <w:pPr>
        <w:spacing w:before="120" w:after="120" w:line="360" w:lineRule="auto"/>
        <w:ind w:left="1416"/>
        <w:rPr>
          <w:szCs w:val="24"/>
          <w:lang w:eastAsia="en-US"/>
        </w:rPr>
      </w:pPr>
      <w:r w:rsidRPr="003B6CF7">
        <w:rPr>
          <w:szCs w:val="24"/>
          <w:lang w:eastAsia="en-US"/>
        </w:rPr>
        <w:t>Hydromorfologiska faktorer som stöd för de biologiska faktorerna</w:t>
      </w:r>
    </w:p>
    <w:p w14:paraId="0D5E071E" w14:textId="77777777" w:rsidR="001831FD" w:rsidRPr="003B6CF7" w:rsidRDefault="001831FD" w:rsidP="001831FD">
      <w:pPr>
        <w:spacing w:before="120" w:after="120" w:line="360" w:lineRule="auto"/>
        <w:ind w:left="850"/>
        <w:rPr>
          <w:szCs w:val="24"/>
          <w:lang w:eastAsia="en-US"/>
        </w:rPr>
      </w:pPr>
      <w:r w:rsidRPr="003B6CF7">
        <w:rPr>
          <w:szCs w:val="24"/>
          <w:lang w:eastAsia="en-US"/>
        </w:rPr>
        <w:t>Morfologiska förhållanden</w:t>
      </w:r>
    </w:p>
    <w:p w14:paraId="6B43C35E" w14:textId="77777777" w:rsidR="001831FD" w:rsidRPr="003B6CF7" w:rsidRDefault="001831FD" w:rsidP="001831FD">
      <w:pPr>
        <w:spacing w:before="120" w:after="120" w:line="360" w:lineRule="auto"/>
        <w:ind w:left="1416"/>
        <w:rPr>
          <w:szCs w:val="24"/>
          <w:lang w:eastAsia="en-US"/>
        </w:rPr>
      </w:pPr>
      <w:r w:rsidRPr="003B6CF7">
        <w:rPr>
          <w:szCs w:val="24"/>
          <w:lang w:eastAsia="en-US"/>
        </w:rPr>
        <w:t>djupvariation</w:t>
      </w:r>
    </w:p>
    <w:p w14:paraId="21AAD334" w14:textId="77777777" w:rsidR="001831FD" w:rsidRPr="003B6CF7" w:rsidRDefault="001831FD" w:rsidP="001831FD">
      <w:pPr>
        <w:spacing w:before="120" w:after="120" w:line="360" w:lineRule="auto"/>
        <w:ind w:left="1416"/>
        <w:rPr>
          <w:szCs w:val="24"/>
          <w:lang w:eastAsia="en-US"/>
        </w:rPr>
      </w:pPr>
      <w:r w:rsidRPr="003B6CF7">
        <w:rPr>
          <w:szCs w:val="24"/>
          <w:lang w:eastAsia="en-US"/>
        </w:rPr>
        <w:t>kustbäddens struktur och substrat</w:t>
      </w:r>
    </w:p>
    <w:p w14:paraId="317534A7" w14:textId="77777777" w:rsidR="001831FD" w:rsidRPr="003B6CF7" w:rsidRDefault="001831FD" w:rsidP="001831FD">
      <w:pPr>
        <w:spacing w:before="120" w:after="120" w:line="360" w:lineRule="auto"/>
        <w:ind w:left="1416"/>
        <w:rPr>
          <w:szCs w:val="24"/>
          <w:lang w:eastAsia="en-US"/>
        </w:rPr>
      </w:pPr>
      <w:r w:rsidRPr="003B6CF7">
        <w:rPr>
          <w:szCs w:val="24"/>
          <w:lang w:eastAsia="en-US"/>
        </w:rPr>
        <w:t>tidvattenzonens struktur</w:t>
      </w:r>
    </w:p>
    <w:p w14:paraId="0E8ED6AF" w14:textId="77777777" w:rsidR="001F7022" w:rsidRPr="003B6CF7" w:rsidRDefault="001F7022">
      <w:pPr>
        <w:widowControl/>
        <w:rPr>
          <w:szCs w:val="24"/>
          <w:lang w:eastAsia="en-US"/>
        </w:rPr>
      </w:pPr>
      <w:r w:rsidRPr="003B6CF7">
        <w:rPr>
          <w:szCs w:val="24"/>
          <w:lang w:eastAsia="en-US"/>
        </w:rPr>
        <w:br w:type="page"/>
      </w:r>
    </w:p>
    <w:p w14:paraId="7871BE6F" w14:textId="30A394C3" w:rsidR="001831FD" w:rsidRPr="003B6CF7" w:rsidRDefault="001831FD" w:rsidP="001831FD">
      <w:pPr>
        <w:spacing w:before="120" w:after="120" w:line="360" w:lineRule="auto"/>
        <w:ind w:left="850"/>
        <w:rPr>
          <w:szCs w:val="24"/>
          <w:lang w:eastAsia="en-US"/>
        </w:rPr>
      </w:pPr>
      <w:r w:rsidRPr="003B6CF7">
        <w:rPr>
          <w:szCs w:val="24"/>
          <w:lang w:eastAsia="en-US"/>
        </w:rPr>
        <w:lastRenderedPageBreak/>
        <w:t>Tidvattenmönster</w:t>
      </w:r>
    </w:p>
    <w:p w14:paraId="3EA3AB60" w14:textId="77777777" w:rsidR="001831FD" w:rsidRPr="003B6CF7" w:rsidRDefault="001831FD" w:rsidP="001831FD">
      <w:pPr>
        <w:spacing w:before="120" w:after="120" w:line="360" w:lineRule="auto"/>
        <w:ind w:left="1416"/>
        <w:rPr>
          <w:szCs w:val="24"/>
          <w:lang w:eastAsia="en-US"/>
        </w:rPr>
      </w:pPr>
      <w:r w:rsidRPr="003B6CF7">
        <w:rPr>
          <w:szCs w:val="24"/>
          <w:lang w:eastAsia="en-US"/>
        </w:rPr>
        <w:t>de dominerande strömmarnas riktning</w:t>
      </w:r>
    </w:p>
    <w:p w14:paraId="27F24FE1" w14:textId="77777777" w:rsidR="001831FD" w:rsidRPr="003B6CF7" w:rsidRDefault="001831FD" w:rsidP="001831FD">
      <w:pPr>
        <w:spacing w:before="120" w:after="120" w:line="360" w:lineRule="auto"/>
        <w:ind w:left="1416"/>
        <w:rPr>
          <w:szCs w:val="24"/>
          <w:lang w:eastAsia="en-US"/>
        </w:rPr>
      </w:pPr>
      <w:r w:rsidRPr="003B6CF7">
        <w:rPr>
          <w:szCs w:val="24"/>
          <w:lang w:eastAsia="en-US"/>
        </w:rPr>
        <w:t>vågexponering</w:t>
      </w:r>
    </w:p>
    <w:p w14:paraId="15EF2197" w14:textId="77777777" w:rsidR="001831FD" w:rsidRPr="003B6CF7" w:rsidRDefault="001831FD" w:rsidP="001831FD">
      <w:pPr>
        <w:spacing w:before="120" w:after="120" w:line="360" w:lineRule="auto"/>
        <w:ind w:left="1416"/>
        <w:rPr>
          <w:szCs w:val="24"/>
          <w:lang w:eastAsia="en-US"/>
        </w:rPr>
      </w:pPr>
      <w:r w:rsidRPr="003B6CF7">
        <w:rPr>
          <w:szCs w:val="24"/>
          <w:lang w:eastAsia="en-US"/>
        </w:rPr>
        <w:t>Allmänna fysikalisk-kemiska faktorer som stöd för de biologiska faktorerna</w:t>
      </w:r>
    </w:p>
    <w:p w14:paraId="11E84FD6" w14:textId="77777777" w:rsidR="001831FD" w:rsidRPr="003B6CF7" w:rsidRDefault="001831FD" w:rsidP="001831FD">
      <w:pPr>
        <w:spacing w:before="120" w:after="120" w:line="360" w:lineRule="auto"/>
        <w:ind w:left="1416"/>
        <w:rPr>
          <w:szCs w:val="24"/>
          <w:lang w:eastAsia="en-US"/>
        </w:rPr>
      </w:pPr>
      <w:r w:rsidRPr="003B6CF7">
        <w:rPr>
          <w:szCs w:val="24"/>
          <w:lang w:eastAsia="en-US"/>
        </w:rPr>
        <w:t>Siktdjup</w:t>
      </w:r>
    </w:p>
    <w:p w14:paraId="184B7E24" w14:textId="77777777" w:rsidR="001831FD" w:rsidRPr="003B6CF7" w:rsidRDefault="001831FD" w:rsidP="001831FD">
      <w:pPr>
        <w:spacing w:before="120" w:after="120" w:line="360" w:lineRule="auto"/>
        <w:ind w:left="1416"/>
        <w:rPr>
          <w:szCs w:val="24"/>
          <w:lang w:eastAsia="en-US"/>
        </w:rPr>
      </w:pPr>
      <w:r w:rsidRPr="003B6CF7">
        <w:rPr>
          <w:szCs w:val="24"/>
          <w:lang w:eastAsia="en-US"/>
        </w:rPr>
        <w:t>Vattentemperatur</w:t>
      </w:r>
    </w:p>
    <w:p w14:paraId="2332E3CD" w14:textId="77777777" w:rsidR="001831FD" w:rsidRPr="003B6CF7" w:rsidRDefault="001831FD" w:rsidP="001831FD">
      <w:pPr>
        <w:spacing w:before="120" w:after="120" w:line="360" w:lineRule="auto"/>
        <w:ind w:left="1416"/>
        <w:rPr>
          <w:szCs w:val="24"/>
          <w:lang w:eastAsia="en-US"/>
        </w:rPr>
      </w:pPr>
      <w:r w:rsidRPr="003B6CF7">
        <w:rPr>
          <w:szCs w:val="24"/>
          <w:lang w:eastAsia="en-US"/>
        </w:rPr>
        <w:t>Syreförhållanden</w:t>
      </w:r>
    </w:p>
    <w:p w14:paraId="7259F634" w14:textId="77777777" w:rsidR="001831FD" w:rsidRPr="003B6CF7" w:rsidRDefault="001831FD" w:rsidP="001831FD">
      <w:pPr>
        <w:spacing w:before="120" w:after="120" w:line="360" w:lineRule="auto"/>
        <w:ind w:left="1416"/>
        <w:rPr>
          <w:szCs w:val="24"/>
          <w:lang w:eastAsia="en-US"/>
        </w:rPr>
      </w:pPr>
      <w:r w:rsidRPr="003B6CF7">
        <w:rPr>
          <w:szCs w:val="24"/>
          <w:lang w:eastAsia="en-US"/>
        </w:rPr>
        <w:t>Salthalt</w:t>
      </w:r>
    </w:p>
    <w:p w14:paraId="004714B7" w14:textId="77777777" w:rsidR="001831FD" w:rsidRPr="003B6CF7" w:rsidRDefault="001831FD" w:rsidP="001831FD">
      <w:pPr>
        <w:spacing w:before="120" w:after="120" w:line="360" w:lineRule="auto"/>
        <w:ind w:left="1416"/>
        <w:rPr>
          <w:szCs w:val="24"/>
          <w:lang w:eastAsia="en-US"/>
        </w:rPr>
      </w:pPr>
      <w:r w:rsidRPr="003B6CF7">
        <w:rPr>
          <w:szCs w:val="24"/>
          <w:lang w:eastAsia="en-US"/>
        </w:rPr>
        <w:t>Näringsförhållanden.”</w:t>
      </w:r>
    </w:p>
    <w:p w14:paraId="41F272A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I punkt 1.2.1 ska tabellen ”Fysikalisk-kemiska kvalitetsfaktorer” ersättas med följande:</w:t>
      </w:r>
    </w:p>
    <w:p w14:paraId="0D24E655" w14:textId="50195CFF" w:rsidR="001F7022" w:rsidRPr="003B6CF7" w:rsidRDefault="001831FD" w:rsidP="001831FD">
      <w:pPr>
        <w:spacing w:before="120" w:after="120" w:line="360" w:lineRule="auto"/>
        <w:ind w:left="850"/>
        <w:rPr>
          <w:szCs w:val="24"/>
          <w:lang w:val="en-GB" w:eastAsia="en-US"/>
        </w:rPr>
      </w:pPr>
      <w:r w:rsidRPr="003B6CF7">
        <w:rPr>
          <w:szCs w:val="24"/>
          <w:lang w:val="en-GB" w:eastAsia="en-US"/>
        </w:rPr>
        <w:t>”</w:t>
      </w: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fysikalisk-kemiska</w:t>
      </w:r>
      <w:proofErr w:type="spellEnd"/>
      <w:r w:rsidRPr="003B6CF7">
        <w:rPr>
          <w:szCs w:val="24"/>
          <w:lang w:val="en-GB" w:eastAsia="en-US"/>
        </w:rPr>
        <w:t xml:space="preserve"> </w:t>
      </w:r>
      <w:proofErr w:type="spellStart"/>
      <w:r w:rsidRPr="003B6CF7">
        <w:rPr>
          <w:szCs w:val="24"/>
          <w:lang w:val="en-GB" w:eastAsia="en-US"/>
        </w:rPr>
        <w:t>kvalitetsfaktorer</w:t>
      </w:r>
      <w:proofErr w:type="spellEnd"/>
    </w:p>
    <w:p w14:paraId="4A4B917E" w14:textId="55847C17" w:rsidR="001831FD" w:rsidRPr="003B6CF7" w:rsidRDefault="001F7022" w:rsidP="003B6CF7">
      <w:pPr>
        <w:widowControl/>
        <w:rPr>
          <w:szCs w:val="24"/>
          <w:lang w:val="en-GB" w:eastAsia="en-US"/>
        </w:rPr>
      </w:pPr>
      <w:r w:rsidRPr="003B6CF7">
        <w:rPr>
          <w:szCs w:val="24"/>
          <w:lang w:val="en-GB" w:eastAsia="en-US"/>
        </w:rPr>
        <w:br w:type="page"/>
      </w:r>
    </w:p>
    <w:tbl>
      <w:tblPr>
        <w:tblW w:w="54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3"/>
        <w:gridCol w:w="2949"/>
        <w:gridCol w:w="2826"/>
        <w:gridCol w:w="2253"/>
      </w:tblGrid>
      <w:tr w:rsidR="001831FD" w:rsidRPr="003B6CF7" w14:paraId="6C83804A" w14:textId="77777777" w:rsidTr="003B6CF7">
        <w:trPr>
          <w:tblHeader/>
        </w:trPr>
        <w:tc>
          <w:tcPr>
            <w:tcW w:w="0" w:type="auto"/>
          </w:tcPr>
          <w:p w14:paraId="5BA50A31"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lastRenderedPageBreak/>
              <w:t>Faktorer</w:t>
            </w:r>
            <w:proofErr w:type="spellEnd"/>
          </w:p>
        </w:tc>
        <w:tc>
          <w:tcPr>
            <w:tcW w:w="1486" w:type="pct"/>
          </w:tcPr>
          <w:p w14:paraId="6584E64C"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Hög</w:t>
            </w:r>
            <w:proofErr w:type="spellEnd"/>
            <w:r w:rsidRPr="003B6CF7">
              <w:rPr>
                <w:szCs w:val="24"/>
                <w:lang w:val="en-GB" w:eastAsia="en-US"/>
              </w:rPr>
              <w:t xml:space="preserve"> status</w:t>
            </w:r>
          </w:p>
        </w:tc>
        <w:tc>
          <w:tcPr>
            <w:tcW w:w="0" w:type="auto"/>
          </w:tcPr>
          <w:p w14:paraId="3683CC0C" w14:textId="77777777" w:rsidR="001831FD" w:rsidRPr="003B6CF7" w:rsidRDefault="001831FD" w:rsidP="001831FD">
            <w:pPr>
              <w:spacing w:before="120" w:after="120" w:line="360" w:lineRule="auto"/>
              <w:rPr>
                <w:szCs w:val="24"/>
                <w:lang w:val="en-GB" w:eastAsia="en-US"/>
              </w:rPr>
            </w:pPr>
            <w:r w:rsidRPr="003B6CF7">
              <w:rPr>
                <w:szCs w:val="24"/>
                <w:lang w:val="en-GB" w:eastAsia="en-US"/>
              </w:rPr>
              <w:t>God status</w:t>
            </w:r>
          </w:p>
        </w:tc>
        <w:tc>
          <w:tcPr>
            <w:tcW w:w="0" w:type="auto"/>
          </w:tcPr>
          <w:p w14:paraId="7937CB69"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Måttlig</w:t>
            </w:r>
            <w:proofErr w:type="spellEnd"/>
            <w:r w:rsidRPr="003B6CF7">
              <w:rPr>
                <w:szCs w:val="24"/>
                <w:lang w:val="en-GB" w:eastAsia="en-US"/>
              </w:rPr>
              <w:t xml:space="preserve"> status</w:t>
            </w:r>
          </w:p>
        </w:tc>
      </w:tr>
      <w:tr w:rsidR="001831FD" w:rsidRPr="003B6CF7" w14:paraId="0572E9CD" w14:textId="77777777" w:rsidTr="003B6CF7">
        <w:tc>
          <w:tcPr>
            <w:tcW w:w="0" w:type="auto"/>
          </w:tcPr>
          <w:p w14:paraId="0BDD8E8C"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förhållanden</w:t>
            </w:r>
            <w:proofErr w:type="spellEnd"/>
          </w:p>
        </w:tc>
        <w:tc>
          <w:tcPr>
            <w:tcW w:w="1486" w:type="pct"/>
          </w:tcPr>
          <w:p w14:paraId="4DB2477B" w14:textId="77777777" w:rsidR="001831FD" w:rsidRPr="003B6CF7" w:rsidRDefault="001831FD" w:rsidP="001831FD">
            <w:pPr>
              <w:spacing w:before="120" w:after="120" w:line="360" w:lineRule="auto"/>
              <w:rPr>
                <w:szCs w:val="24"/>
                <w:lang w:eastAsia="en-US"/>
              </w:rPr>
            </w:pPr>
            <w:r w:rsidRPr="003B6CF7">
              <w:rPr>
                <w:szCs w:val="24"/>
                <w:lang w:eastAsia="en-US"/>
              </w:rPr>
              <w:t>Värdena för de allmänna fysikalisk-kemiska faktorerna motsvarar helt eller nästan helt opåverkade förhållanden. Koncentrationen av näringsämnen ligger inom det intervall som normalt gäller vid opåverkade förhållanden. Nivåerna för salthalt, pH, syrebalans, surhetsneutraliserande förmåga och temperatur uppvisar inga tecken på av människor framkallad påverkan och ligger inom det intervall som normalt råder vid opåverkade förhållanden.</w:t>
            </w:r>
          </w:p>
        </w:tc>
        <w:tc>
          <w:tcPr>
            <w:tcW w:w="0" w:type="auto"/>
          </w:tcPr>
          <w:p w14:paraId="4B6D237B" w14:textId="77777777" w:rsidR="001831FD" w:rsidRPr="003B6CF7" w:rsidRDefault="001831FD" w:rsidP="001831FD">
            <w:pPr>
              <w:spacing w:before="120" w:after="120" w:line="360" w:lineRule="auto"/>
              <w:rPr>
                <w:szCs w:val="24"/>
                <w:lang w:eastAsia="en-US"/>
              </w:rPr>
            </w:pPr>
            <w:r w:rsidRPr="003B6CF7">
              <w:rPr>
                <w:szCs w:val="24"/>
                <w:lang w:eastAsia="en-US"/>
              </w:rPr>
              <w:t>Värdena för temperatur, syrebalans, pH, surhetsneutraliserande förmåga och salthalt ligger inte utanför det intervall som har fastställts för att det typspecifika ekosystemets funktion ska säkerställas och de biologiska kvalitetsfaktorer som har angetts ovan ska uppnås. Koncentrationerna av näringsämnen överstiger inte de nivåer som har fastställts för att ekosystemets funktion ska säkerställas och de biologiska kvalitetsfaktorer som har angetts ovan ska uppnås.</w:t>
            </w:r>
          </w:p>
        </w:tc>
        <w:tc>
          <w:tcPr>
            <w:tcW w:w="0" w:type="auto"/>
          </w:tcPr>
          <w:p w14:paraId="34F711CE" w14:textId="77777777" w:rsidR="001831FD" w:rsidRPr="003B6CF7" w:rsidRDefault="001831FD" w:rsidP="001831FD">
            <w:pPr>
              <w:spacing w:before="120" w:after="120" w:line="360" w:lineRule="auto"/>
              <w:rPr>
                <w:szCs w:val="24"/>
                <w:lang w:eastAsia="en-US"/>
              </w:rPr>
            </w:pPr>
            <w:r w:rsidRPr="003B6CF7">
              <w:rPr>
                <w:szCs w:val="24"/>
                <w:lang w:eastAsia="en-US"/>
              </w:rPr>
              <w:t>Förhållanden som gör att de värden för biologiska kvalitetsfaktorer som har angetts ovan kan uppnås.”</w:t>
            </w:r>
          </w:p>
        </w:tc>
      </w:tr>
    </w:tbl>
    <w:p w14:paraId="24800869" w14:textId="61E6BDBF" w:rsidR="001F7022" w:rsidRPr="003B6CF7" w:rsidRDefault="001831FD" w:rsidP="001831FD">
      <w:pPr>
        <w:spacing w:before="120" w:after="120" w:line="360" w:lineRule="auto"/>
        <w:ind w:left="850"/>
        <w:rPr>
          <w:szCs w:val="24"/>
          <w:lang w:eastAsia="en-US"/>
        </w:rPr>
      </w:pPr>
      <w:r w:rsidRPr="003B6CF7">
        <w:rPr>
          <w:szCs w:val="24"/>
          <w:lang w:eastAsia="en-US"/>
        </w:rPr>
        <w:t>”</w:t>
      </w:r>
    </w:p>
    <w:p w14:paraId="0A3753F6" w14:textId="75B52C9E" w:rsidR="001831FD" w:rsidRPr="003B6CF7" w:rsidRDefault="001F7022" w:rsidP="003B6CF7">
      <w:pPr>
        <w:widowControl/>
        <w:rPr>
          <w:szCs w:val="24"/>
          <w:lang w:eastAsia="en-US"/>
        </w:rPr>
      </w:pPr>
      <w:r w:rsidRPr="003B6CF7">
        <w:rPr>
          <w:szCs w:val="24"/>
          <w:lang w:eastAsia="en-US"/>
        </w:rPr>
        <w:br w:type="page"/>
      </w:r>
    </w:p>
    <w:p w14:paraId="5ECF5AB1"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(3)</w:t>
      </w:r>
      <w:r w:rsidRPr="003B6CF7">
        <w:rPr>
          <w:szCs w:val="24"/>
          <w:lang w:eastAsia="en-US"/>
        </w:rPr>
        <w:tab/>
        <w:t>I punkt 1.2.2 ska tabellen ”Fysikalisk-kemiska kvalitetsfaktorer” ersättas med följande:</w:t>
      </w:r>
    </w:p>
    <w:p w14:paraId="53D71B21" w14:textId="77777777" w:rsidR="001831FD" w:rsidRPr="003B6CF7" w:rsidRDefault="001831FD" w:rsidP="001831FD">
      <w:pPr>
        <w:spacing w:before="120" w:after="120" w:line="360" w:lineRule="auto"/>
        <w:ind w:left="850"/>
        <w:rPr>
          <w:szCs w:val="24"/>
          <w:lang w:val="en-GB" w:eastAsia="en-US"/>
        </w:rPr>
      </w:pPr>
      <w:r w:rsidRPr="003B6CF7">
        <w:rPr>
          <w:szCs w:val="24"/>
          <w:lang w:val="en-GB" w:eastAsia="en-US"/>
        </w:rPr>
        <w:t>”</w:t>
      </w: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fysikalisk-kemiska</w:t>
      </w:r>
      <w:proofErr w:type="spellEnd"/>
      <w:r w:rsidRPr="003B6CF7">
        <w:rPr>
          <w:szCs w:val="24"/>
          <w:lang w:val="en-GB" w:eastAsia="en-US"/>
        </w:rPr>
        <w:t xml:space="preserve"> </w:t>
      </w:r>
      <w:proofErr w:type="spellStart"/>
      <w:r w:rsidRPr="003B6CF7">
        <w:rPr>
          <w:szCs w:val="24"/>
          <w:lang w:val="en-GB" w:eastAsia="en-US"/>
        </w:rPr>
        <w:t>kvalitetsfaktorer</w:t>
      </w:r>
      <w:proofErr w:type="spellEnd"/>
    </w:p>
    <w:tbl>
      <w:tblPr>
        <w:tblW w:w="55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3"/>
        <w:gridCol w:w="3004"/>
        <w:gridCol w:w="2835"/>
        <w:gridCol w:w="2256"/>
      </w:tblGrid>
      <w:tr w:rsidR="005720A8" w:rsidRPr="003B6CF7" w14:paraId="4377F6FF" w14:textId="77777777" w:rsidTr="005720A8">
        <w:trPr>
          <w:tblHeader/>
        </w:trPr>
        <w:tc>
          <w:tcPr>
            <w:tcW w:w="0" w:type="auto"/>
          </w:tcPr>
          <w:p w14:paraId="7E38B13A"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Faktorer</w:t>
            </w:r>
            <w:proofErr w:type="spellEnd"/>
          </w:p>
        </w:tc>
        <w:tc>
          <w:tcPr>
            <w:tcW w:w="1504" w:type="pct"/>
          </w:tcPr>
          <w:p w14:paraId="5FF40204"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Hög</w:t>
            </w:r>
            <w:proofErr w:type="spellEnd"/>
            <w:r w:rsidRPr="003B6CF7">
              <w:rPr>
                <w:szCs w:val="24"/>
                <w:lang w:val="en-GB" w:eastAsia="en-US"/>
              </w:rPr>
              <w:t xml:space="preserve"> status</w:t>
            </w:r>
          </w:p>
        </w:tc>
        <w:tc>
          <w:tcPr>
            <w:tcW w:w="1419" w:type="pct"/>
          </w:tcPr>
          <w:p w14:paraId="2EFE4EB6" w14:textId="77777777" w:rsidR="001831FD" w:rsidRPr="003B6CF7" w:rsidRDefault="001831FD" w:rsidP="001831FD">
            <w:pPr>
              <w:spacing w:before="120" w:after="120" w:line="360" w:lineRule="auto"/>
              <w:rPr>
                <w:szCs w:val="24"/>
                <w:lang w:val="en-GB" w:eastAsia="en-US"/>
              </w:rPr>
            </w:pPr>
            <w:r w:rsidRPr="003B6CF7">
              <w:rPr>
                <w:szCs w:val="24"/>
                <w:lang w:val="en-GB" w:eastAsia="en-US"/>
              </w:rPr>
              <w:t>God status</w:t>
            </w:r>
          </w:p>
        </w:tc>
        <w:tc>
          <w:tcPr>
            <w:tcW w:w="0" w:type="auto"/>
          </w:tcPr>
          <w:p w14:paraId="6D1E6E3C"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Måttlig</w:t>
            </w:r>
            <w:proofErr w:type="spellEnd"/>
            <w:r w:rsidRPr="003B6CF7">
              <w:rPr>
                <w:szCs w:val="24"/>
                <w:lang w:val="en-GB" w:eastAsia="en-US"/>
              </w:rPr>
              <w:t xml:space="preserve"> status</w:t>
            </w:r>
          </w:p>
        </w:tc>
      </w:tr>
      <w:tr w:rsidR="005720A8" w:rsidRPr="003B6CF7" w14:paraId="75C0F88F" w14:textId="77777777" w:rsidTr="005720A8">
        <w:tc>
          <w:tcPr>
            <w:tcW w:w="0" w:type="auto"/>
          </w:tcPr>
          <w:p w14:paraId="6C4B7092"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förhållanden</w:t>
            </w:r>
            <w:proofErr w:type="spellEnd"/>
          </w:p>
        </w:tc>
        <w:tc>
          <w:tcPr>
            <w:tcW w:w="1504" w:type="pct"/>
          </w:tcPr>
          <w:p w14:paraId="252A8C5F" w14:textId="77777777" w:rsidR="001831FD" w:rsidRPr="003B6CF7" w:rsidRDefault="001831FD" w:rsidP="001831FD">
            <w:pPr>
              <w:spacing w:before="120" w:after="120" w:line="360" w:lineRule="auto"/>
              <w:rPr>
                <w:szCs w:val="24"/>
                <w:lang w:eastAsia="en-US"/>
              </w:rPr>
            </w:pPr>
            <w:r w:rsidRPr="003B6CF7">
              <w:rPr>
                <w:szCs w:val="24"/>
                <w:lang w:eastAsia="en-US"/>
              </w:rPr>
              <w:t>Värdena för de allmänna fysikalisk-kemiska faktorerna motsvarar helt eller nästan helt opåverkade förhållanden. Koncentrationen av näringsämnen ligger inom det intervall som normalt gäller vid opåverkade förhållanden. Nivåerna för salthalt, pH, syrebalans, surhetsneutraliserande förmåga, siktdjup och temperatur uppvisar inga tecken på av människor framkallad påverkan och ligger inom det intervall som normalt råder vid opåverkade förhållanden.</w:t>
            </w:r>
          </w:p>
        </w:tc>
        <w:tc>
          <w:tcPr>
            <w:tcW w:w="1419" w:type="pct"/>
          </w:tcPr>
          <w:p w14:paraId="6C57F1C0" w14:textId="77777777" w:rsidR="001831FD" w:rsidRPr="003B6CF7" w:rsidRDefault="001831FD" w:rsidP="001831FD">
            <w:pPr>
              <w:spacing w:before="120" w:after="120" w:line="360" w:lineRule="auto"/>
              <w:rPr>
                <w:szCs w:val="24"/>
                <w:lang w:eastAsia="en-US"/>
              </w:rPr>
            </w:pPr>
            <w:r w:rsidRPr="003B6CF7">
              <w:rPr>
                <w:szCs w:val="24"/>
                <w:lang w:eastAsia="en-US"/>
              </w:rPr>
              <w:t>Värdena för temperatur, syrebalans, pH, surhetsneutraliserande förmåga, siktdjup och salthalt ligger inte utanför det intervall som har fastställts för att ekosystemets funktion ska säkerställas och de biologiska kvalitetsfaktorer som har angetts ovan ska uppnås. Koncentrationerna av näringsämnen överstiger inte de nivåer som har fastställts för att ekosystemets funktion ska säkerställas och de biologiska kvalitetsfaktorer som har angetts ovan ska uppnås.</w:t>
            </w:r>
          </w:p>
        </w:tc>
        <w:tc>
          <w:tcPr>
            <w:tcW w:w="0" w:type="auto"/>
          </w:tcPr>
          <w:p w14:paraId="04E23968" w14:textId="77777777" w:rsidR="001831FD" w:rsidRPr="003B6CF7" w:rsidRDefault="001831FD" w:rsidP="001831FD">
            <w:pPr>
              <w:spacing w:before="120" w:after="120" w:line="360" w:lineRule="auto"/>
              <w:rPr>
                <w:szCs w:val="24"/>
                <w:lang w:eastAsia="en-US"/>
              </w:rPr>
            </w:pPr>
            <w:r w:rsidRPr="003B6CF7">
              <w:rPr>
                <w:szCs w:val="24"/>
                <w:lang w:eastAsia="en-US"/>
              </w:rPr>
              <w:t>Förhållanden som gör att de värden för biologiska kvalitetsfaktorer som har angetts ovan kan uppnås.”</w:t>
            </w:r>
          </w:p>
        </w:tc>
      </w:tr>
    </w:tbl>
    <w:p w14:paraId="070C857B" w14:textId="6C0A2213" w:rsidR="001831FD" w:rsidRPr="003B6CF7" w:rsidRDefault="001831FD" w:rsidP="001831FD">
      <w:pPr>
        <w:spacing w:before="120" w:after="120" w:line="360" w:lineRule="auto"/>
        <w:ind w:left="850"/>
        <w:rPr>
          <w:szCs w:val="24"/>
          <w:lang w:eastAsia="en-US"/>
        </w:rPr>
      </w:pPr>
      <w:r w:rsidRPr="003B6CF7">
        <w:rPr>
          <w:szCs w:val="24"/>
          <w:lang w:eastAsia="en-US"/>
        </w:rPr>
        <w:t>”</w:t>
      </w:r>
    </w:p>
    <w:p w14:paraId="68287E8D" w14:textId="77777777" w:rsidR="001F7022" w:rsidRPr="003B6CF7" w:rsidRDefault="001F7022">
      <w:pPr>
        <w:widowControl/>
        <w:rPr>
          <w:szCs w:val="24"/>
          <w:lang w:eastAsia="en-US"/>
        </w:rPr>
      </w:pPr>
      <w:r w:rsidRPr="003B6CF7">
        <w:rPr>
          <w:szCs w:val="24"/>
          <w:lang w:eastAsia="en-US"/>
        </w:rPr>
        <w:br w:type="page"/>
      </w:r>
    </w:p>
    <w:p w14:paraId="06697928" w14:textId="427D9E23"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(4)</w:t>
      </w:r>
      <w:r w:rsidRPr="003B6CF7">
        <w:rPr>
          <w:szCs w:val="24"/>
          <w:lang w:eastAsia="en-US"/>
        </w:rPr>
        <w:tab/>
        <w:t>I punkt 1.2.3 ska tabellen ”Fysikalisk-kemiska kvalitetsfaktorer” ersättas med följande:</w:t>
      </w:r>
    </w:p>
    <w:p w14:paraId="1759B339" w14:textId="77777777" w:rsidR="001831FD" w:rsidRPr="003B6CF7" w:rsidRDefault="001831FD" w:rsidP="001831FD">
      <w:pPr>
        <w:spacing w:before="120" w:after="120" w:line="360" w:lineRule="auto"/>
        <w:ind w:left="850"/>
        <w:rPr>
          <w:szCs w:val="24"/>
          <w:lang w:val="en-GB" w:eastAsia="en-US"/>
        </w:rPr>
      </w:pPr>
      <w:r w:rsidRPr="003B6CF7">
        <w:rPr>
          <w:szCs w:val="24"/>
          <w:lang w:val="en-GB" w:eastAsia="en-US"/>
        </w:rPr>
        <w:t>”</w:t>
      </w: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fysikalisk-kemiska</w:t>
      </w:r>
      <w:proofErr w:type="spellEnd"/>
      <w:r w:rsidRPr="003B6CF7">
        <w:rPr>
          <w:szCs w:val="24"/>
          <w:lang w:val="en-GB" w:eastAsia="en-US"/>
        </w:rPr>
        <w:t xml:space="preserve"> </w:t>
      </w:r>
      <w:proofErr w:type="spellStart"/>
      <w:r w:rsidRPr="003B6CF7">
        <w:rPr>
          <w:szCs w:val="24"/>
          <w:lang w:val="en-GB" w:eastAsia="en-US"/>
        </w:rPr>
        <w:t>kvalitetsfaktorer</w:t>
      </w:r>
      <w:proofErr w:type="spellEnd"/>
    </w:p>
    <w:tbl>
      <w:tblPr>
        <w:tblW w:w="55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3"/>
        <w:gridCol w:w="2720"/>
        <w:gridCol w:w="3148"/>
        <w:gridCol w:w="2254"/>
      </w:tblGrid>
      <w:tr w:rsidR="005720A8" w:rsidRPr="003B6CF7" w14:paraId="7079A39A" w14:textId="77777777" w:rsidTr="003B6CF7">
        <w:trPr>
          <w:tblHeader/>
        </w:trPr>
        <w:tc>
          <w:tcPr>
            <w:tcW w:w="0" w:type="auto"/>
          </w:tcPr>
          <w:p w14:paraId="673D5451"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Faktorer</w:t>
            </w:r>
            <w:proofErr w:type="spellEnd"/>
          </w:p>
        </w:tc>
        <w:tc>
          <w:tcPr>
            <w:tcW w:w="1358" w:type="pct"/>
          </w:tcPr>
          <w:p w14:paraId="36D893A0"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Hög</w:t>
            </w:r>
            <w:proofErr w:type="spellEnd"/>
            <w:r w:rsidRPr="003B6CF7">
              <w:rPr>
                <w:szCs w:val="24"/>
                <w:lang w:val="en-GB" w:eastAsia="en-US"/>
              </w:rPr>
              <w:t xml:space="preserve"> status</w:t>
            </w:r>
          </w:p>
        </w:tc>
        <w:tc>
          <w:tcPr>
            <w:tcW w:w="0" w:type="auto"/>
          </w:tcPr>
          <w:p w14:paraId="2DA41FB1" w14:textId="77777777" w:rsidR="001831FD" w:rsidRPr="003B6CF7" w:rsidRDefault="001831FD" w:rsidP="001831FD">
            <w:pPr>
              <w:spacing w:before="120" w:after="120" w:line="360" w:lineRule="auto"/>
              <w:rPr>
                <w:szCs w:val="24"/>
                <w:lang w:val="en-GB" w:eastAsia="en-US"/>
              </w:rPr>
            </w:pPr>
            <w:r w:rsidRPr="003B6CF7">
              <w:rPr>
                <w:szCs w:val="24"/>
                <w:lang w:val="en-GB" w:eastAsia="en-US"/>
              </w:rPr>
              <w:t>God status</w:t>
            </w:r>
          </w:p>
        </w:tc>
        <w:tc>
          <w:tcPr>
            <w:tcW w:w="0" w:type="auto"/>
          </w:tcPr>
          <w:p w14:paraId="0C60967B"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Måttlig</w:t>
            </w:r>
            <w:proofErr w:type="spellEnd"/>
            <w:r w:rsidRPr="003B6CF7">
              <w:rPr>
                <w:szCs w:val="24"/>
                <w:lang w:val="en-GB" w:eastAsia="en-US"/>
              </w:rPr>
              <w:t xml:space="preserve"> status</w:t>
            </w:r>
          </w:p>
        </w:tc>
      </w:tr>
      <w:tr w:rsidR="005720A8" w:rsidRPr="003B6CF7" w14:paraId="16D15CA9" w14:textId="77777777" w:rsidTr="003B6CF7">
        <w:tc>
          <w:tcPr>
            <w:tcW w:w="0" w:type="auto"/>
          </w:tcPr>
          <w:p w14:paraId="0586509F"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förhållanden</w:t>
            </w:r>
            <w:proofErr w:type="spellEnd"/>
          </w:p>
        </w:tc>
        <w:tc>
          <w:tcPr>
            <w:tcW w:w="1358" w:type="pct"/>
          </w:tcPr>
          <w:p w14:paraId="0CCF990A" w14:textId="77777777" w:rsidR="001831FD" w:rsidRPr="003B6CF7" w:rsidRDefault="001831FD" w:rsidP="001831FD">
            <w:pPr>
              <w:spacing w:before="120" w:after="120" w:line="360" w:lineRule="auto"/>
              <w:rPr>
                <w:szCs w:val="24"/>
                <w:lang w:eastAsia="en-US"/>
              </w:rPr>
            </w:pPr>
            <w:r w:rsidRPr="003B6CF7">
              <w:rPr>
                <w:szCs w:val="24"/>
                <w:lang w:eastAsia="en-US"/>
              </w:rPr>
              <w:t>De allmänna fysikalisk-kemiska faktorerna motsvarar helt eller nästan helt opåverkade förhållanden. Koncentrationen av näringsämnen ligger inom det intervall som normalt gäller vid opåverkade förhållanden. Temperatur, syrebalans och siktdjup uppvisar inga tecken på av människor framkallad påverkan och ligger inom det intervall som normalt råder vid opåverkade förhållanden.</w:t>
            </w:r>
          </w:p>
        </w:tc>
        <w:tc>
          <w:tcPr>
            <w:tcW w:w="0" w:type="auto"/>
          </w:tcPr>
          <w:p w14:paraId="132ECDBB" w14:textId="77777777" w:rsidR="001831FD" w:rsidRPr="003B6CF7" w:rsidRDefault="001831FD" w:rsidP="001831FD">
            <w:pPr>
              <w:spacing w:before="120" w:after="120" w:line="360" w:lineRule="auto"/>
              <w:rPr>
                <w:szCs w:val="24"/>
                <w:lang w:eastAsia="en-US"/>
              </w:rPr>
            </w:pPr>
            <w:r w:rsidRPr="003B6CF7">
              <w:rPr>
                <w:szCs w:val="24"/>
                <w:lang w:eastAsia="en-US"/>
              </w:rPr>
              <w:t>Värdena för temperatur, syresättningsförhållanden och siktdjup ligger inte utanför det intervall som har fastställts för att ekosystemets funktion ska säkerställas och de biologiska kvalitetsfaktorer som har angetts ovan ska uppnås. Koncentrationerna av näringsämnen överstiger inte de nivåer som har fastställts för att ekosystemets funktion ska säkerställas och de biologiska kvalitetsfaktorer som har angetts ovan ska uppnås.</w:t>
            </w:r>
          </w:p>
        </w:tc>
        <w:tc>
          <w:tcPr>
            <w:tcW w:w="0" w:type="auto"/>
          </w:tcPr>
          <w:p w14:paraId="05974226" w14:textId="77777777" w:rsidR="001831FD" w:rsidRPr="003B6CF7" w:rsidRDefault="001831FD" w:rsidP="001831FD">
            <w:pPr>
              <w:spacing w:before="120" w:after="120" w:line="360" w:lineRule="auto"/>
              <w:rPr>
                <w:szCs w:val="24"/>
                <w:lang w:eastAsia="en-US"/>
              </w:rPr>
            </w:pPr>
            <w:r w:rsidRPr="003B6CF7">
              <w:rPr>
                <w:szCs w:val="24"/>
                <w:lang w:eastAsia="en-US"/>
              </w:rPr>
              <w:t>Förhållanden som gör att de värden för biologiska kvalitetsfaktorer som har angetts ovan kan uppnås.”</w:t>
            </w:r>
          </w:p>
        </w:tc>
      </w:tr>
    </w:tbl>
    <w:p w14:paraId="78DC835A" w14:textId="5BCA1D00" w:rsidR="001831FD" w:rsidRPr="003B6CF7" w:rsidRDefault="001831FD" w:rsidP="001831FD">
      <w:pPr>
        <w:spacing w:before="120" w:after="120" w:line="360" w:lineRule="auto"/>
        <w:ind w:left="850"/>
        <w:rPr>
          <w:szCs w:val="24"/>
          <w:lang w:eastAsia="en-US"/>
        </w:rPr>
      </w:pPr>
      <w:r w:rsidRPr="003B6CF7">
        <w:rPr>
          <w:szCs w:val="24"/>
          <w:lang w:eastAsia="en-US"/>
        </w:rPr>
        <w:t>”</w:t>
      </w:r>
    </w:p>
    <w:p w14:paraId="3500C05E" w14:textId="77777777" w:rsidR="001F7022" w:rsidRPr="003B6CF7" w:rsidRDefault="001F7022">
      <w:pPr>
        <w:widowControl/>
        <w:rPr>
          <w:szCs w:val="24"/>
          <w:lang w:eastAsia="en-US"/>
        </w:rPr>
      </w:pPr>
      <w:r w:rsidRPr="003B6CF7">
        <w:rPr>
          <w:szCs w:val="24"/>
          <w:lang w:eastAsia="en-US"/>
        </w:rPr>
        <w:br w:type="page"/>
      </w:r>
    </w:p>
    <w:p w14:paraId="3EA80A3B" w14:textId="748BDF41"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(5)</w:t>
      </w:r>
      <w:r w:rsidRPr="003B6CF7">
        <w:rPr>
          <w:szCs w:val="24"/>
          <w:lang w:eastAsia="en-US"/>
        </w:rPr>
        <w:tab/>
        <w:t>I punkt 1.2.4 ska tabellen ”Fysikalisk-kemiska kvalitetsfaktorer” ersättas med följande:</w:t>
      </w:r>
    </w:p>
    <w:p w14:paraId="4F9D610F" w14:textId="77777777" w:rsidR="001831FD" w:rsidRPr="003B6CF7" w:rsidRDefault="001831FD" w:rsidP="001831FD">
      <w:pPr>
        <w:spacing w:before="120" w:after="120" w:line="360" w:lineRule="auto"/>
        <w:ind w:left="850"/>
        <w:rPr>
          <w:szCs w:val="24"/>
          <w:lang w:val="en-GB" w:eastAsia="en-US"/>
        </w:rPr>
      </w:pPr>
      <w:r w:rsidRPr="003B6CF7">
        <w:rPr>
          <w:szCs w:val="24"/>
          <w:lang w:val="en-GB" w:eastAsia="en-US"/>
        </w:rPr>
        <w:t>”</w:t>
      </w:r>
      <w:r w:rsidRPr="003B6CF7">
        <w:rPr>
          <w:szCs w:val="24"/>
          <w:lang w:val="en-GB" w:eastAsia="en-US"/>
        </w:rPr>
        <w:tab/>
        <w:t>”</w:t>
      </w: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fysikalisk-kemiska</w:t>
      </w:r>
      <w:proofErr w:type="spellEnd"/>
      <w:r w:rsidRPr="003B6CF7">
        <w:rPr>
          <w:szCs w:val="24"/>
          <w:lang w:val="en-GB" w:eastAsia="en-US"/>
        </w:rPr>
        <w:t xml:space="preserve"> </w:t>
      </w:r>
      <w:proofErr w:type="spellStart"/>
      <w:r w:rsidRPr="003B6CF7">
        <w:rPr>
          <w:szCs w:val="24"/>
          <w:lang w:val="en-GB" w:eastAsia="en-US"/>
        </w:rPr>
        <w:t>kvalitetsfaktorer</w:t>
      </w:r>
      <w:proofErr w:type="spellEnd"/>
    </w:p>
    <w:tbl>
      <w:tblPr>
        <w:tblW w:w="54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93"/>
        <w:gridCol w:w="2552"/>
        <w:gridCol w:w="3147"/>
        <w:gridCol w:w="2253"/>
      </w:tblGrid>
      <w:tr w:rsidR="001831FD" w:rsidRPr="003B6CF7" w14:paraId="043D8B99" w14:textId="77777777" w:rsidTr="003B6CF7">
        <w:trPr>
          <w:tblHeader/>
        </w:trPr>
        <w:tc>
          <w:tcPr>
            <w:tcW w:w="0" w:type="auto"/>
          </w:tcPr>
          <w:p w14:paraId="63A15E4E"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Faktorer</w:t>
            </w:r>
            <w:proofErr w:type="spellEnd"/>
          </w:p>
        </w:tc>
        <w:tc>
          <w:tcPr>
            <w:tcW w:w="1296" w:type="pct"/>
          </w:tcPr>
          <w:p w14:paraId="40ABB8B8"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Hög</w:t>
            </w:r>
            <w:proofErr w:type="spellEnd"/>
            <w:r w:rsidRPr="003B6CF7">
              <w:rPr>
                <w:szCs w:val="24"/>
                <w:lang w:val="en-GB" w:eastAsia="en-US"/>
              </w:rPr>
              <w:t xml:space="preserve"> status</w:t>
            </w:r>
          </w:p>
        </w:tc>
        <w:tc>
          <w:tcPr>
            <w:tcW w:w="0" w:type="auto"/>
          </w:tcPr>
          <w:p w14:paraId="16DA3147" w14:textId="77777777" w:rsidR="001831FD" w:rsidRPr="003B6CF7" w:rsidRDefault="001831FD" w:rsidP="001831FD">
            <w:pPr>
              <w:spacing w:before="120" w:after="120" w:line="360" w:lineRule="auto"/>
              <w:rPr>
                <w:szCs w:val="24"/>
                <w:lang w:val="en-GB" w:eastAsia="en-US"/>
              </w:rPr>
            </w:pPr>
            <w:r w:rsidRPr="003B6CF7">
              <w:rPr>
                <w:szCs w:val="24"/>
                <w:lang w:val="en-GB" w:eastAsia="en-US"/>
              </w:rPr>
              <w:t>God status</w:t>
            </w:r>
          </w:p>
        </w:tc>
        <w:tc>
          <w:tcPr>
            <w:tcW w:w="0" w:type="auto"/>
          </w:tcPr>
          <w:p w14:paraId="4BA140BE"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Måttlig</w:t>
            </w:r>
            <w:proofErr w:type="spellEnd"/>
            <w:r w:rsidRPr="003B6CF7">
              <w:rPr>
                <w:szCs w:val="24"/>
                <w:lang w:val="en-GB" w:eastAsia="en-US"/>
              </w:rPr>
              <w:t xml:space="preserve"> status</w:t>
            </w:r>
          </w:p>
        </w:tc>
      </w:tr>
      <w:tr w:rsidR="001831FD" w:rsidRPr="003B6CF7" w14:paraId="02ADDDAE" w14:textId="77777777" w:rsidTr="003B6CF7">
        <w:tc>
          <w:tcPr>
            <w:tcW w:w="0" w:type="auto"/>
          </w:tcPr>
          <w:p w14:paraId="48212680"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Allmänna</w:t>
            </w:r>
            <w:proofErr w:type="spellEnd"/>
            <w:r w:rsidRPr="003B6CF7">
              <w:rPr>
                <w:szCs w:val="24"/>
                <w:lang w:val="en-GB" w:eastAsia="en-US"/>
              </w:rPr>
              <w:t xml:space="preserve"> </w:t>
            </w:r>
            <w:proofErr w:type="spellStart"/>
            <w:r w:rsidRPr="003B6CF7">
              <w:rPr>
                <w:szCs w:val="24"/>
                <w:lang w:val="en-GB" w:eastAsia="en-US"/>
              </w:rPr>
              <w:t>förhållanden</w:t>
            </w:r>
            <w:proofErr w:type="spellEnd"/>
          </w:p>
        </w:tc>
        <w:tc>
          <w:tcPr>
            <w:tcW w:w="1296" w:type="pct"/>
          </w:tcPr>
          <w:p w14:paraId="3ACEE600" w14:textId="77777777" w:rsidR="001831FD" w:rsidRPr="003B6CF7" w:rsidRDefault="001831FD" w:rsidP="001831FD">
            <w:pPr>
              <w:spacing w:before="120" w:after="120" w:line="360" w:lineRule="auto"/>
              <w:rPr>
                <w:szCs w:val="24"/>
                <w:lang w:eastAsia="en-US"/>
              </w:rPr>
            </w:pPr>
            <w:r w:rsidRPr="003B6CF7">
              <w:rPr>
                <w:szCs w:val="24"/>
                <w:lang w:eastAsia="en-US"/>
              </w:rPr>
              <w:t>De allmänna fysikalisk-kemiska faktorerna motsvarar helt eller nästan helt opåverkade förhållanden. Koncentrationen av näringsämnen ligger inom det intervall som normalt råder vid opåverkade förhållanden. Temperatur, syrebalans och siktdjup uppvisar inga tecken på av människor framkallad påverkan och ligger inom det intervall som normalt råder vid opåverkade förhållanden.</w:t>
            </w:r>
          </w:p>
        </w:tc>
        <w:tc>
          <w:tcPr>
            <w:tcW w:w="0" w:type="auto"/>
          </w:tcPr>
          <w:p w14:paraId="2E5A5E40" w14:textId="77777777" w:rsidR="001831FD" w:rsidRPr="003B6CF7" w:rsidRDefault="001831FD" w:rsidP="001831FD">
            <w:pPr>
              <w:spacing w:before="120" w:after="120" w:line="360" w:lineRule="auto"/>
              <w:rPr>
                <w:szCs w:val="24"/>
                <w:lang w:eastAsia="en-US"/>
              </w:rPr>
            </w:pPr>
            <w:r w:rsidRPr="003B6CF7">
              <w:rPr>
                <w:szCs w:val="24"/>
                <w:lang w:eastAsia="en-US"/>
              </w:rPr>
              <w:t>Värdena för temperatur, syresättningsförhållanden och siktdjup ligger inte utanför det intervall som har fastställts för att ekosystemets funktion ska säkerställas och de biologiska kvalitetsfaktorer som har angetts ovan ska uppnås. Koncentrationerna av näringsämnen överstiger inte de nivåer som har fastställts för att ekosystemets funktion ska säkerställas och de biologiska kvalitetsfaktorer som har angetts ovan ska uppnås.</w:t>
            </w:r>
          </w:p>
        </w:tc>
        <w:tc>
          <w:tcPr>
            <w:tcW w:w="0" w:type="auto"/>
          </w:tcPr>
          <w:p w14:paraId="5BDE8554" w14:textId="77777777" w:rsidR="001831FD" w:rsidRPr="003B6CF7" w:rsidRDefault="001831FD" w:rsidP="001831FD">
            <w:pPr>
              <w:spacing w:before="120" w:after="120" w:line="360" w:lineRule="auto"/>
              <w:rPr>
                <w:szCs w:val="24"/>
                <w:lang w:eastAsia="en-US"/>
              </w:rPr>
            </w:pPr>
            <w:r w:rsidRPr="003B6CF7">
              <w:rPr>
                <w:szCs w:val="24"/>
                <w:lang w:eastAsia="en-US"/>
              </w:rPr>
              <w:t>Förhållanden som gör att de värden för biologiska kvalitetsfaktorer som har angetts ovan kan uppnås.”</w:t>
            </w:r>
          </w:p>
        </w:tc>
      </w:tr>
    </w:tbl>
    <w:p w14:paraId="631E20D8" w14:textId="73C76AA1" w:rsidR="001831FD" w:rsidRPr="003B6CF7" w:rsidRDefault="001831FD" w:rsidP="001831FD">
      <w:pPr>
        <w:spacing w:before="120" w:after="120" w:line="360" w:lineRule="auto"/>
        <w:ind w:left="850"/>
        <w:rPr>
          <w:szCs w:val="24"/>
          <w:lang w:eastAsia="en-US"/>
        </w:rPr>
      </w:pPr>
      <w:r w:rsidRPr="003B6CF7">
        <w:rPr>
          <w:szCs w:val="24"/>
          <w:lang w:eastAsia="en-US"/>
        </w:rPr>
        <w:t>”</w:t>
      </w:r>
    </w:p>
    <w:p w14:paraId="5D11A27F" w14:textId="77777777" w:rsidR="001F7022" w:rsidRPr="003B6CF7" w:rsidRDefault="001F7022">
      <w:pPr>
        <w:widowControl/>
        <w:rPr>
          <w:szCs w:val="24"/>
          <w:lang w:eastAsia="en-US"/>
        </w:rPr>
      </w:pPr>
      <w:r w:rsidRPr="003B6CF7">
        <w:rPr>
          <w:szCs w:val="24"/>
          <w:lang w:eastAsia="en-US"/>
        </w:rPr>
        <w:br w:type="page"/>
      </w:r>
    </w:p>
    <w:p w14:paraId="15DEE700" w14:textId="78E0A472"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(6)</w:t>
      </w:r>
      <w:r w:rsidRPr="003B6CF7">
        <w:rPr>
          <w:szCs w:val="24"/>
          <w:lang w:eastAsia="en-US"/>
        </w:rPr>
        <w:tab/>
        <w:t>I punkt 1.2.5 ska tabellen ändras på följande sätt:</w:t>
      </w:r>
    </w:p>
    <w:p w14:paraId="23509E0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Femte raden för posten ”Särskilda syntetiska förorenande ämnen” ska utgå.</w:t>
      </w:r>
    </w:p>
    <w:p w14:paraId="66CB40C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Sjätte raden för posten ”Särskilda icke-syntetiska förorenande ämnen” ska utgå.</w:t>
      </w:r>
    </w:p>
    <w:p w14:paraId="1E809152"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Sjunde raden för tabellfotnot (1) ska utgå.</w:t>
      </w:r>
    </w:p>
    <w:p w14:paraId="4553C2C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(7)</w:t>
      </w:r>
      <w:r w:rsidRPr="003B6CF7">
        <w:rPr>
          <w:szCs w:val="24"/>
          <w:lang w:eastAsia="en-US"/>
        </w:rPr>
        <w:tab/>
        <w:t>Punkt 1.2.6 ska utgå.</w:t>
      </w:r>
    </w:p>
    <w:p w14:paraId="3963BA16"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(8)</w:t>
      </w:r>
      <w:r w:rsidRPr="003B6CF7">
        <w:rPr>
          <w:szCs w:val="24"/>
          <w:lang w:eastAsia="en-US"/>
        </w:rPr>
        <w:tab/>
        <w:t>I punkt 1.3 ska följande stycken läggas till som fjärde och femte styckena:</w:t>
      </w:r>
    </w:p>
    <w:p w14:paraId="41E6B283" w14:textId="77777777" w:rsidR="001831FD" w:rsidRPr="003B6CF7" w:rsidRDefault="001831FD" w:rsidP="001831FD">
      <w:pPr>
        <w:spacing w:before="120" w:after="120" w:line="360" w:lineRule="auto"/>
        <w:ind w:left="850"/>
        <w:rPr>
          <w:szCs w:val="24"/>
          <w:lang w:eastAsia="en-US"/>
        </w:rPr>
      </w:pPr>
      <w:r w:rsidRPr="003B6CF7">
        <w:rPr>
          <w:szCs w:val="24"/>
          <w:lang w:eastAsia="en-US"/>
        </w:rPr>
        <w:t>”Om övervakningsnätet omfattar jordobservation och fjärranalys snarare än lokala provtagningspunkter, eller annan innovativ teknik, ska kartan över övervakningsnätet innehålla information om de kvalitetsfaktorer och vattenförekomster eller grupper av vattenförekomster som har övervakats med hjälp av sådana övervakningsmetoder. Hänvisning ska göras till CEN, ISO eller andra internationella eller nationella standarder som har tillämpats för att säkerställa att de tidsmässiga och rumsliga data som erhålls är lika tillförlitliga som de som erhålls genom användning av konventionella övervakningsmetoder vid lokala provtagningspunkter.</w:t>
      </w:r>
    </w:p>
    <w:p w14:paraId="29AD1451" w14:textId="77777777" w:rsidR="001F7022" w:rsidRPr="003B6CF7" w:rsidRDefault="001F7022">
      <w:pPr>
        <w:widowControl/>
        <w:rPr>
          <w:szCs w:val="24"/>
          <w:lang w:eastAsia="en-US"/>
        </w:rPr>
      </w:pPr>
      <w:r w:rsidRPr="003B6CF7">
        <w:rPr>
          <w:szCs w:val="24"/>
          <w:lang w:eastAsia="en-US"/>
        </w:rPr>
        <w:br w:type="page"/>
      </w:r>
    </w:p>
    <w:p w14:paraId="4A5B213C" w14:textId="0893D05C" w:rsidR="001831FD" w:rsidRPr="003B6CF7" w:rsidRDefault="001831FD" w:rsidP="001831FD">
      <w:pPr>
        <w:spacing w:before="120" w:after="120" w:line="360" w:lineRule="auto"/>
        <w:ind w:left="850"/>
        <w:rPr>
          <w:szCs w:val="24"/>
          <w:lang w:eastAsia="en-US"/>
        </w:rPr>
      </w:pPr>
      <w:r w:rsidRPr="003B6CF7">
        <w:rPr>
          <w:szCs w:val="24"/>
          <w:lang w:eastAsia="en-US"/>
        </w:rPr>
        <w:lastRenderedPageBreak/>
        <w:t xml:space="preserve">Medlemsstaterna får tillämpa passiva provtagningsmetoder för att övervaka kemiska föroreningar, där så är lämpligt, särskilt för screeningändamål, under förutsättning att dessa provtagningsmetoder inte underskattar de koncentrationer av förorenande ämnen som omfattas av miljökvalitetsnormer, och därmed på ett tillförlitligt sätt identifierar vattenförekomster där god status inte har kunnat uppnås, och att kemisk analys av prover av vatten, </w:t>
      </w:r>
      <w:proofErr w:type="spellStart"/>
      <w:r w:rsidRPr="003B6CF7">
        <w:rPr>
          <w:szCs w:val="24"/>
          <w:lang w:eastAsia="en-US"/>
        </w:rPr>
        <w:t>biota</w:t>
      </w:r>
      <w:proofErr w:type="spellEnd"/>
      <w:r w:rsidRPr="003B6CF7">
        <w:rPr>
          <w:szCs w:val="24"/>
          <w:lang w:eastAsia="en-US"/>
        </w:rPr>
        <w:t xml:space="preserve"> eller sediment, i enlighet med de miljökvalitetsnormer som tillämpas, utförs där sådana misslyckanden observeras. Medlemsstaterna får också tillämpa effektbaserade provtagningsmetoder på samma villkor.”</w:t>
      </w:r>
    </w:p>
    <w:p w14:paraId="2516C5E1"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(9)</w:t>
      </w:r>
      <w:r w:rsidRPr="003B6CF7">
        <w:rPr>
          <w:szCs w:val="24"/>
          <w:lang w:eastAsia="en-US"/>
        </w:rPr>
        <w:tab/>
        <w:t>I punkt 1.3.1 ska sista stycket, ”Val av kvalitetsfaktorer”, ersättas med följande:</w:t>
      </w:r>
    </w:p>
    <w:p w14:paraId="75B1FC5C" w14:textId="77777777" w:rsidR="001831FD" w:rsidRPr="003B6CF7" w:rsidRDefault="001831FD" w:rsidP="001831FD">
      <w:pPr>
        <w:spacing w:before="120" w:after="120" w:line="360" w:lineRule="auto"/>
        <w:ind w:left="850"/>
        <w:rPr>
          <w:szCs w:val="24"/>
          <w:lang w:eastAsia="en-US"/>
        </w:rPr>
      </w:pPr>
      <w:r w:rsidRPr="003B6CF7">
        <w:rPr>
          <w:szCs w:val="24"/>
          <w:lang w:eastAsia="en-US"/>
        </w:rPr>
        <w:t>”Val av kvalitetsfaktorer</w:t>
      </w:r>
    </w:p>
    <w:p w14:paraId="482B5B65" w14:textId="77777777" w:rsidR="001831FD" w:rsidRPr="003B6CF7" w:rsidRDefault="001831FD" w:rsidP="001831FD">
      <w:pPr>
        <w:spacing w:before="120" w:after="120" w:line="360" w:lineRule="auto"/>
        <w:ind w:left="850"/>
        <w:rPr>
          <w:szCs w:val="24"/>
          <w:lang w:eastAsia="en-US"/>
        </w:rPr>
      </w:pPr>
      <w:r w:rsidRPr="003B6CF7">
        <w:rPr>
          <w:szCs w:val="24"/>
          <w:lang w:eastAsia="en-US"/>
        </w:rPr>
        <w:t>Kontrollerande övervakning ska för varje övervakningsstation ske under en period av ett år inom förvaltningsplanens tidsram. Den kontrollerande övervakningen ska omfatta följande:</w:t>
      </w:r>
    </w:p>
    <w:p w14:paraId="425E02D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Parametrar som indikerar samtliga biologiska kvalitetsfaktorer.</w:t>
      </w:r>
    </w:p>
    <w:p w14:paraId="140E6EA3" w14:textId="77777777" w:rsidR="001F7022" w:rsidRPr="003B6CF7" w:rsidRDefault="001F7022">
      <w:pPr>
        <w:widowControl/>
        <w:rPr>
          <w:szCs w:val="24"/>
          <w:lang w:eastAsia="en-US"/>
        </w:rPr>
      </w:pPr>
      <w:r w:rsidRPr="003B6CF7">
        <w:rPr>
          <w:szCs w:val="24"/>
          <w:lang w:eastAsia="en-US"/>
        </w:rPr>
        <w:br w:type="page"/>
      </w:r>
    </w:p>
    <w:p w14:paraId="2B9FC115" w14:textId="6FF1386C" w:rsidR="001831FD" w:rsidRPr="003B6CF7" w:rsidRDefault="001831FD" w:rsidP="001831FD">
      <w:pPr>
        <w:spacing w:before="120" w:after="120" w:line="360" w:lineRule="auto"/>
        <w:ind w:left="1416" w:hanging="566"/>
        <w:rPr>
          <w:szCs w:val="24"/>
          <w:lang w:eastAsia="en-US"/>
        </w:rPr>
      </w:pPr>
      <w:r w:rsidRPr="003B6CF7">
        <w:rPr>
          <w:szCs w:val="24"/>
          <w:lang w:eastAsia="en-US"/>
        </w:rPr>
        <w:lastRenderedPageBreak/>
        <w:t>b)</w:t>
      </w:r>
      <w:r w:rsidRPr="003B6CF7">
        <w:rPr>
          <w:szCs w:val="24"/>
          <w:lang w:eastAsia="en-US"/>
        </w:rPr>
        <w:tab/>
        <w:t>Parametrar som indikerar samtliga hydromorfologiska kvalitetsfaktorer.</w:t>
      </w:r>
    </w:p>
    <w:p w14:paraId="2ABF075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Parametrar som indikerar samtliga allmänna fysikalisk-kemiska kvalitetsfaktorer.</w:t>
      </w:r>
    </w:p>
    <w:p w14:paraId="7D895DB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d)</w:t>
      </w:r>
      <w:r w:rsidRPr="003B6CF7">
        <w:rPr>
          <w:szCs w:val="24"/>
          <w:lang w:eastAsia="en-US"/>
        </w:rPr>
        <w:tab/>
        <w:t>Prioriterade förorenande ämnen som släpps ut eller på annat sätt avsätts i avrinningsområdet eller delavrinningsområdet.</w:t>
      </w:r>
    </w:p>
    <w:p w14:paraId="19DDD9EE"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e)</w:t>
      </w:r>
      <w:r w:rsidRPr="003B6CF7">
        <w:rPr>
          <w:szCs w:val="24"/>
          <w:lang w:eastAsia="en-US"/>
        </w:rPr>
        <w:tab/>
        <w:t>Andra förorenande ämnen som släpps ut eller på annat sätt avsätts i betydande mängder i avrinningsområdet eller delavrinningsområdet.</w:t>
      </w:r>
    </w:p>
    <w:p w14:paraId="6EFE30D6" w14:textId="77777777" w:rsidR="001831FD" w:rsidRPr="003B6CF7" w:rsidRDefault="001831FD" w:rsidP="001831FD">
      <w:pPr>
        <w:spacing w:before="120" w:after="120" w:line="360" w:lineRule="auto"/>
        <w:ind w:left="850"/>
        <w:rPr>
          <w:szCs w:val="24"/>
          <w:lang w:eastAsia="en-US"/>
        </w:rPr>
      </w:pPr>
      <w:r w:rsidRPr="003B6CF7">
        <w:rPr>
          <w:szCs w:val="24"/>
          <w:lang w:eastAsia="en-US"/>
        </w:rPr>
        <w:t>Om den tidigare kontrollerande övervakningen visat att förekomsten i fråga har uppnått god status och det inte finns något tecken enligt översynen av konsekvenserna av mänsklig verksamhet i enlighet med bilaga II på att konsekvenserna för vattenförekomsten har förändrats, ska den kontrollerande övervakningen dock utföras en gång under den period som omfattas av tre på varandra följande förvaltningsplaner för avrinningsdistrikt.”</w:t>
      </w:r>
    </w:p>
    <w:p w14:paraId="28A4767B"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(10)</w:t>
      </w:r>
      <w:r w:rsidRPr="003B6CF7">
        <w:rPr>
          <w:szCs w:val="24"/>
          <w:lang w:eastAsia="en-US"/>
        </w:rPr>
        <w:tab/>
        <w:t>Punkt 1.3.2 ska ändras på följande sätt:</w:t>
      </w:r>
    </w:p>
    <w:p w14:paraId="4862268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tredje stycket, ”Val av övervakningsstationer”, ska första meningen ersättas med följande:</w:t>
      </w:r>
    </w:p>
    <w:p w14:paraId="76BFAA00" w14:textId="77777777" w:rsidR="001F7022" w:rsidRPr="003B6CF7" w:rsidRDefault="001F7022">
      <w:pPr>
        <w:widowControl/>
        <w:rPr>
          <w:szCs w:val="24"/>
          <w:lang w:eastAsia="en-US"/>
        </w:rPr>
      </w:pPr>
      <w:r w:rsidRPr="003B6CF7">
        <w:rPr>
          <w:szCs w:val="24"/>
          <w:lang w:eastAsia="en-US"/>
        </w:rPr>
        <w:br w:type="page"/>
      </w:r>
    </w:p>
    <w:p w14:paraId="786CB459" w14:textId="08B7302B" w:rsidR="001831FD" w:rsidRPr="003B6CF7" w:rsidRDefault="001831FD" w:rsidP="001831FD">
      <w:pPr>
        <w:spacing w:before="120" w:after="120" w:line="360" w:lineRule="auto"/>
        <w:ind w:left="1416"/>
        <w:rPr>
          <w:szCs w:val="24"/>
          <w:lang w:eastAsia="en-US"/>
        </w:rPr>
      </w:pPr>
      <w:r w:rsidRPr="003B6CF7">
        <w:rPr>
          <w:szCs w:val="24"/>
          <w:lang w:eastAsia="en-US"/>
        </w:rPr>
        <w:lastRenderedPageBreak/>
        <w:t>”Operativ övervakning ska utföras för alla de vattenförekomster som, på grundval av antingen en bedömning av miljöpåverkan enligt bilaga II eller kontrollerande övervakning, har bedömts ligga i riskzonen för att inte uppfylla miljömålen enligt artikel 4 och för de vattenförekomster i vilka prioriterade ämnen släpps ut eller på annat sätt avsätts eller i vilka förorenande ämnen som är specifika för avrinningsområden släpps ut eller på annat sätt avsätts i betydande mängder.”</w:t>
      </w:r>
    </w:p>
    <w:p w14:paraId="7D4FBA15"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I fjärde stycket, ”Val av kvalitetsfaktorer”, ska andra strecksatsen ersättas med följande:</w:t>
      </w:r>
    </w:p>
    <w:p w14:paraId="76A2AC4A" w14:textId="77777777" w:rsidR="001831FD" w:rsidRPr="003B6CF7" w:rsidRDefault="001831FD" w:rsidP="001831FD">
      <w:pPr>
        <w:spacing w:before="120" w:after="120" w:line="360" w:lineRule="auto"/>
        <w:ind w:left="1416"/>
        <w:rPr>
          <w:szCs w:val="24"/>
          <w:lang w:eastAsia="en-US"/>
        </w:rPr>
      </w:pPr>
      <w:r w:rsidRPr="003B6CF7">
        <w:rPr>
          <w:szCs w:val="24"/>
          <w:lang w:eastAsia="en-US"/>
        </w:rPr>
        <w:t>”– alla prioriterade förorenande ämnen som släpps ut eller på annat sätt avsätts i vattenförekomster och alla förorenande ämnen som är specifika för avrinningsområden som släpps ut eller på annat sätt avsätts i betydande mängder, eller.”</w:t>
      </w:r>
    </w:p>
    <w:p w14:paraId="6CB87A12" w14:textId="77777777" w:rsidR="001F7022" w:rsidRPr="003B6CF7" w:rsidRDefault="001F7022">
      <w:pPr>
        <w:widowControl/>
        <w:rPr>
          <w:b/>
          <w:i/>
          <w:szCs w:val="24"/>
          <w:lang w:eastAsia="en-US"/>
        </w:rPr>
      </w:pPr>
      <w:r w:rsidRPr="003B6CF7">
        <w:rPr>
          <w:b/>
          <w:i/>
          <w:szCs w:val="24"/>
          <w:lang w:eastAsia="en-US"/>
        </w:rPr>
        <w:br w:type="page"/>
      </w:r>
    </w:p>
    <w:p w14:paraId="59B88C0A" w14:textId="44529654" w:rsidR="001831FD" w:rsidRPr="003B6CF7" w:rsidRDefault="001F7022" w:rsidP="001831FD">
      <w:pPr>
        <w:spacing w:before="120" w:after="120" w:line="360" w:lineRule="auto"/>
        <w:ind w:left="850" w:hanging="850"/>
        <w:rPr>
          <w:szCs w:val="24"/>
          <w:lang w:eastAsia="en-US"/>
        </w:rPr>
      </w:pPr>
      <w:r w:rsidRPr="003B6CF7">
        <w:rPr>
          <w:b/>
          <w:i/>
          <w:szCs w:val="24"/>
          <w:lang w:eastAsia="en-US"/>
        </w:rPr>
        <w:lastRenderedPageBreak/>
        <w:t>10a</w:t>
      </w:r>
      <w:r w:rsidR="001831FD" w:rsidRPr="003B6CF7">
        <w:rPr>
          <w:b/>
          <w:i/>
          <w:szCs w:val="24"/>
          <w:lang w:eastAsia="en-US"/>
        </w:rPr>
        <w:t>.</w:t>
      </w:r>
      <w:r w:rsidR="001831FD" w:rsidRPr="003B6CF7">
        <w:rPr>
          <w:szCs w:val="24"/>
          <w:lang w:eastAsia="en-US"/>
        </w:rPr>
        <w:tab/>
      </w:r>
      <w:r w:rsidR="001831FD" w:rsidRPr="003B6CF7">
        <w:rPr>
          <w:b/>
          <w:i/>
          <w:szCs w:val="24"/>
          <w:lang w:eastAsia="en-US"/>
        </w:rPr>
        <w:t>I punkt 1.3.4 ska stycke 4 ändras på följande sätt:</w:t>
      </w:r>
    </w:p>
    <w:p w14:paraId="17E150E6" w14:textId="5CCEEAAA" w:rsidR="001831FD" w:rsidRPr="003B6CF7" w:rsidRDefault="001831FD" w:rsidP="001831FD">
      <w:pPr>
        <w:spacing w:before="120" w:after="120" w:line="360" w:lineRule="auto"/>
        <w:ind w:left="850"/>
        <w:rPr>
          <w:b/>
          <w:szCs w:val="24"/>
          <w:lang w:eastAsia="en-US"/>
        </w:rPr>
      </w:pPr>
      <w:r w:rsidRPr="003B6CF7">
        <w:rPr>
          <w:szCs w:val="24"/>
          <w:lang w:eastAsia="en-US"/>
        </w:rPr>
        <w:t>”</w:t>
      </w:r>
      <w:r w:rsidRPr="003B6CF7">
        <w:rPr>
          <w:b/>
          <w:i/>
          <w:szCs w:val="24"/>
          <w:lang w:eastAsia="en-US"/>
        </w:rPr>
        <w:t>Övervakningsfrekvenserna ska väljas och, om nödvändigt, ökas så att de tar hänsyn till parametrarnas föränderlighet på grund av både naturliga och mänskliga förhållanden. Vidare ska tidpunkten för övervakningen väljas så att den beaktar inverkan på statusbedömningen av årstidsvariationer för användning av ämnen och av variationer i vattennivåerna, och på så sätt säkerställer att resultaten återspeglar förändringar i vattenförekomsten som orsakas av mänsklig påverkan och klimatvariationer. Vad gäller prioriterade ämnen som är känsliga för klimatvariationer och prioriterade ämnen vilkas koncentrationer sannolikt når sin högsta nivå under korta perioder till följd av årstidsvariationer i användningen av dessa ämnen ska övervakningen ske oftare än för andra ämnen.</w:t>
      </w:r>
      <w:r w:rsidRPr="003B6CF7">
        <w:rPr>
          <w:szCs w:val="24"/>
          <w:lang w:eastAsia="en-US"/>
        </w:rPr>
        <w:t>”</w:t>
      </w:r>
      <w:r w:rsidR="009F01D3" w:rsidRPr="003B6CF7">
        <w:rPr>
          <w:b/>
          <w:szCs w:val="24"/>
          <w:lang w:eastAsia="en-US"/>
        </w:rPr>
        <w:t xml:space="preserve"> [Ändr. 139]</w:t>
      </w:r>
    </w:p>
    <w:p w14:paraId="39E9454C"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(11)</w:t>
      </w:r>
      <w:r w:rsidRPr="003B6CF7">
        <w:rPr>
          <w:szCs w:val="24"/>
          <w:lang w:eastAsia="en-US"/>
        </w:rPr>
        <w:tab/>
        <w:t>I punkt 1.3.4, tabellen, sjätte raden under rubriken ”Fysikalisk-kemiska”, ska orden ”Andra förorenande ämnen” ersättas med ”Förorenande ämnen som är specifika för avrinningsområden”.</w:t>
      </w:r>
    </w:p>
    <w:p w14:paraId="48EC41CD" w14:textId="77777777" w:rsidR="001F7022" w:rsidRPr="003B6CF7" w:rsidRDefault="001F7022">
      <w:pPr>
        <w:widowControl/>
        <w:rPr>
          <w:szCs w:val="24"/>
          <w:lang w:eastAsia="en-US"/>
        </w:rPr>
      </w:pPr>
      <w:r w:rsidRPr="003B6CF7">
        <w:rPr>
          <w:szCs w:val="24"/>
          <w:lang w:eastAsia="en-US"/>
        </w:rPr>
        <w:br w:type="page"/>
      </w:r>
    </w:p>
    <w:p w14:paraId="451441DC" w14:textId="79EB0A04"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(12)</w:t>
      </w:r>
      <w:r w:rsidRPr="003B6CF7">
        <w:rPr>
          <w:szCs w:val="24"/>
          <w:lang w:eastAsia="en-US"/>
        </w:rPr>
        <w:tab/>
        <w:t>Punkt 1.4.1 ska ändras på följande sätt:</w:t>
      </w:r>
    </w:p>
    <w:p w14:paraId="352F792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led vii ska den andra meningen utgå.</w:t>
      </w:r>
    </w:p>
    <w:p w14:paraId="79488E88"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Led viii ska utgå.</w:t>
      </w:r>
    </w:p>
    <w:p w14:paraId="6F90F9C7"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Led ix ska ersättas med följande:</w:t>
      </w:r>
    </w:p>
    <w:p w14:paraId="27CB4998"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”ix)</w:t>
      </w:r>
      <w:r w:rsidRPr="003B6CF7">
        <w:rPr>
          <w:szCs w:val="24"/>
          <w:lang w:eastAsia="en-US"/>
        </w:rPr>
        <w:tab/>
        <w:t>Resultaten av interkalibreringen och de värden som fastställts för klassificeringarna i medlemsstaternas övervakningssystem i enlighet med leden i–viii, ska offentliggöras inom sex månader efter antagandet av den delegerade akten i enlighet med artikel 20.”</w:t>
      </w:r>
    </w:p>
    <w:p w14:paraId="3CD32143"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(13)</w:t>
      </w:r>
      <w:r w:rsidRPr="003B6CF7">
        <w:rPr>
          <w:szCs w:val="24"/>
          <w:lang w:eastAsia="en-US"/>
        </w:rPr>
        <w:tab/>
        <w:t>I punkt 1.4.2 ska led iii utgå.</w:t>
      </w:r>
    </w:p>
    <w:p w14:paraId="0AAFE767"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(14)</w:t>
      </w:r>
      <w:r w:rsidRPr="003B6CF7">
        <w:rPr>
          <w:szCs w:val="24"/>
          <w:lang w:eastAsia="en-US"/>
        </w:rPr>
        <w:tab/>
        <w:t>I punkt 1.4.3 första stycket ska första meningen ersättas med följande:</w:t>
      </w:r>
    </w:p>
    <w:p w14:paraId="194D08A7" w14:textId="77777777" w:rsidR="001831FD" w:rsidRPr="003B6CF7" w:rsidRDefault="001831FD" w:rsidP="001831FD">
      <w:pPr>
        <w:spacing w:before="120" w:after="120" w:line="360" w:lineRule="auto"/>
        <w:ind w:left="850"/>
        <w:rPr>
          <w:szCs w:val="24"/>
          <w:lang w:eastAsia="en-US"/>
        </w:rPr>
      </w:pPr>
      <w:r w:rsidRPr="003B6CF7">
        <w:rPr>
          <w:szCs w:val="24"/>
          <w:lang w:eastAsia="en-US"/>
        </w:rPr>
        <w:t>”En vattenförekomst ska registreras med klassificeringen god kemisk status om den uppfyller alla de miljökvalitetsnormer som anges i del A i bilaga I till direktiv 2008/105/EG och de miljökvalitetsnormer som fastställs i enlighet med artiklarna 8 och 8d i det direktivet.”</w:t>
      </w:r>
    </w:p>
    <w:p w14:paraId="1C4336B0" w14:textId="77777777" w:rsidR="001F7022" w:rsidRPr="003B6CF7" w:rsidRDefault="001F7022">
      <w:pPr>
        <w:widowControl/>
        <w:rPr>
          <w:szCs w:val="24"/>
          <w:lang w:eastAsia="en-US"/>
        </w:rPr>
      </w:pPr>
      <w:r w:rsidRPr="003B6CF7">
        <w:rPr>
          <w:szCs w:val="24"/>
          <w:lang w:eastAsia="en-US"/>
        </w:rPr>
        <w:br w:type="page"/>
      </w:r>
    </w:p>
    <w:p w14:paraId="3B51A4EB" w14:textId="2AA5232D"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(15)</w:t>
      </w:r>
      <w:r w:rsidRPr="003B6CF7">
        <w:rPr>
          <w:szCs w:val="24"/>
          <w:lang w:eastAsia="en-US"/>
        </w:rPr>
        <w:tab/>
        <w:t>I punkt 2.2.1 ska följande stycke läggas till:</w:t>
      </w:r>
    </w:p>
    <w:p w14:paraId="46309254" w14:textId="77777777" w:rsidR="001831FD" w:rsidRPr="003B6CF7" w:rsidRDefault="001831FD" w:rsidP="001831FD">
      <w:pPr>
        <w:spacing w:before="120" w:after="120" w:line="360" w:lineRule="auto"/>
        <w:ind w:left="850"/>
        <w:rPr>
          <w:szCs w:val="24"/>
          <w:lang w:eastAsia="en-US"/>
        </w:rPr>
      </w:pPr>
      <w:r w:rsidRPr="003B6CF7">
        <w:rPr>
          <w:szCs w:val="24"/>
          <w:lang w:eastAsia="en-US"/>
        </w:rPr>
        <w:t>”Om övervakningsnätet omfattar jordobservationsmetoder eller fjärranalys snarare än lokala provtagningspunkter, eller annan innovativ teknik, ska hänvisning göras till CEN, ISO eller andra internationella eller nationella standarder som har tillämpats för att säkerställa att de tidsmässiga och rumsliga data som erhålls är lika tillförlitliga som de som erhålls genom användning av konventionella övervakningsmetoder vid lokala provtagningspunkter.”</w:t>
      </w:r>
    </w:p>
    <w:p w14:paraId="6102E750" w14:textId="77777777" w:rsidR="001F7022" w:rsidRPr="003B6CF7" w:rsidRDefault="001F7022">
      <w:pPr>
        <w:widowControl/>
        <w:rPr>
          <w:szCs w:val="24"/>
          <w:lang w:eastAsia="en-US"/>
        </w:rPr>
      </w:pPr>
      <w:r w:rsidRPr="003B6CF7">
        <w:rPr>
          <w:szCs w:val="24"/>
          <w:lang w:eastAsia="en-US"/>
        </w:rPr>
        <w:br w:type="page"/>
      </w:r>
    </w:p>
    <w:p w14:paraId="506A7AE1" w14:textId="5995C066" w:rsidR="001831FD" w:rsidRPr="003B6CF7" w:rsidRDefault="001831FD" w:rsidP="001831FD">
      <w:pPr>
        <w:spacing w:before="120" w:after="120" w:line="360" w:lineRule="auto"/>
        <w:ind w:left="850" w:hanging="850"/>
        <w:rPr>
          <w:szCs w:val="24"/>
          <w:lang w:eastAsia="en-US"/>
        </w:rPr>
      </w:pPr>
      <w:r w:rsidRPr="003B6CF7">
        <w:rPr>
          <w:szCs w:val="24"/>
          <w:lang w:eastAsia="en-US"/>
        </w:rPr>
        <w:lastRenderedPageBreak/>
        <w:t>(16)</w:t>
      </w:r>
      <w:r w:rsidRPr="003B6CF7">
        <w:rPr>
          <w:szCs w:val="24"/>
          <w:lang w:eastAsia="en-US"/>
        </w:rPr>
        <w:tab/>
        <w:t>Punkt 2.3.2 ska ersättas med följande:</w:t>
      </w:r>
    </w:p>
    <w:p w14:paraId="1FF8E5D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”2.3.2.</w:t>
      </w:r>
      <w:r w:rsidRPr="003B6CF7">
        <w:rPr>
          <w:szCs w:val="24"/>
          <w:lang w:eastAsia="en-US"/>
        </w:rPr>
        <w:tab/>
        <w:t>”Definition av god kemisk status hos grundvattnet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14"/>
        <w:gridCol w:w="7051"/>
      </w:tblGrid>
      <w:tr w:rsidR="001831FD" w:rsidRPr="003B6CF7" w14:paraId="4DC2B393" w14:textId="77777777" w:rsidTr="00BD5295">
        <w:trPr>
          <w:tblHeader/>
        </w:trPr>
        <w:tc>
          <w:tcPr>
            <w:tcW w:w="0" w:type="auto"/>
          </w:tcPr>
          <w:p w14:paraId="2A95B28F"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Faktorer</w:t>
            </w:r>
            <w:proofErr w:type="spellEnd"/>
          </w:p>
        </w:tc>
        <w:tc>
          <w:tcPr>
            <w:tcW w:w="0" w:type="auto"/>
          </w:tcPr>
          <w:p w14:paraId="4BEFE8CC" w14:textId="77777777" w:rsidR="001831FD" w:rsidRPr="003B6CF7" w:rsidRDefault="001831FD" w:rsidP="001831FD">
            <w:pPr>
              <w:spacing w:before="120" w:after="120" w:line="360" w:lineRule="auto"/>
              <w:rPr>
                <w:szCs w:val="24"/>
                <w:lang w:val="en-GB" w:eastAsia="en-US"/>
              </w:rPr>
            </w:pPr>
            <w:r w:rsidRPr="003B6CF7">
              <w:rPr>
                <w:szCs w:val="24"/>
                <w:lang w:val="en-GB" w:eastAsia="en-US"/>
              </w:rPr>
              <w:t>God status</w:t>
            </w:r>
          </w:p>
        </w:tc>
      </w:tr>
      <w:tr w:rsidR="001831FD" w:rsidRPr="003B6CF7" w14:paraId="1C5C0656" w14:textId="77777777" w:rsidTr="00BD5295">
        <w:tc>
          <w:tcPr>
            <w:tcW w:w="0" w:type="auto"/>
          </w:tcPr>
          <w:p w14:paraId="416FE399"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Allmänt</w:t>
            </w:r>
            <w:proofErr w:type="spellEnd"/>
          </w:p>
        </w:tc>
        <w:tc>
          <w:tcPr>
            <w:tcW w:w="0" w:type="auto"/>
          </w:tcPr>
          <w:p w14:paraId="7C7B2C36" w14:textId="77777777" w:rsidR="001831FD" w:rsidRPr="003B6CF7" w:rsidRDefault="001831FD" w:rsidP="001831FD">
            <w:pPr>
              <w:spacing w:before="120" w:after="120" w:line="360" w:lineRule="auto"/>
              <w:rPr>
                <w:szCs w:val="24"/>
                <w:lang w:eastAsia="en-US"/>
              </w:rPr>
            </w:pPr>
            <w:r w:rsidRPr="003B6CF7">
              <w:rPr>
                <w:szCs w:val="24"/>
                <w:lang w:eastAsia="en-US"/>
              </w:rPr>
              <w:t xml:space="preserve">Den kemiska sammansättningen av grundvattenförekomsten är sådan att koncentrationen av förorenande ämnen — inte uppvisar effekter av inträngning av saltvatten eller annan </w:t>
            </w:r>
            <w:proofErr w:type="spellStart"/>
            <w:r w:rsidRPr="003B6CF7">
              <w:rPr>
                <w:szCs w:val="24"/>
                <w:lang w:eastAsia="en-US"/>
              </w:rPr>
              <w:t>unträngning</w:t>
            </w:r>
            <w:proofErr w:type="spellEnd"/>
            <w:r w:rsidRPr="003B6CF7">
              <w:rPr>
                <w:szCs w:val="24"/>
                <w:lang w:eastAsia="en-US"/>
              </w:rPr>
              <w:t xml:space="preserve"> enligt specifikation nedan, — inte överstiger de kvalitetsnormer för grundvatten som avses i bilaga I till direktiv 2006/118/EG, de tröskelvärden för förorenande ämnen i grundvatten och föroreningsindikatorer som fastställs i enlighet med artikel 3.1 b i det direktivet, och de unionsomfattande tröskelvärden som fastställs i enlighet med artikel 8.3 i det direktivet, — inte är sådan att den skulle leda till att miljömålen enligt artikel 4 beträffande anslutna ytvatten inte uppnås eller till någon betydande sänkning av den ekologiska eller kemiska kvaliteten hos sådana förekomster eller till någon betydande skada på terrestra ekosystem som är direkt beroende av grundvattenförekomsten.</w:t>
            </w:r>
          </w:p>
        </w:tc>
      </w:tr>
      <w:tr w:rsidR="001831FD" w:rsidRPr="003B6CF7" w14:paraId="1E29B419" w14:textId="77777777" w:rsidTr="00BD5295">
        <w:tc>
          <w:tcPr>
            <w:tcW w:w="0" w:type="auto"/>
          </w:tcPr>
          <w:p w14:paraId="116BC851"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Konduktivitet</w:t>
            </w:r>
            <w:proofErr w:type="spellEnd"/>
          </w:p>
        </w:tc>
        <w:tc>
          <w:tcPr>
            <w:tcW w:w="0" w:type="auto"/>
          </w:tcPr>
          <w:p w14:paraId="6EF0924E" w14:textId="77777777" w:rsidR="001831FD" w:rsidRPr="003B6CF7" w:rsidRDefault="001831FD" w:rsidP="001831FD">
            <w:pPr>
              <w:spacing w:before="120" w:after="120" w:line="360" w:lineRule="auto"/>
              <w:rPr>
                <w:szCs w:val="24"/>
                <w:lang w:eastAsia="en-US"/>
              </w:rPr>
            </w:pPr>
            <w:r w:rsidRPr="003B6CF7">
              <w:rPr>
                <w:szCs w:val="24"/>
                <w:lang w:eastAsia="en-US"/>
              </w:rPr>
              <w:t>Förändringar i konduktiviteten påvisar inte inträngning av saltvatten eller annan inträngning i grundvattenförekomsten.”</w:t>
            </w:r>
          </w:p>
        </w:tc>
      </w:tr>
    </w:tbl>
    <w:p w14:paraId="40EEDD00" w14:textId="2F5DE776" w:rsidR="001831FD" w:rsidRPr="003B6CF7" w:rsidRDefault="001831FD" w:rsidP="001831FD">
      <w:pPr>
        <w:spacing w:before="120" w:after="120" w:line="360" w:lineRule="auto"/>
        <w:ind w:left="850"/>
        <w:rPr>
          <w:szCs w:val="24"/>
          <w:lang w:eastAsia="en-US"/>
        </w:rPr>
      </w:pPr>
      <w:r w:rsidRPr="003B6CF7">
        <w:rPr>
          <w:szCs w:val="24"/>
          <w:lang w:eastAsia="en-US"/>
        </w:rPr>
        <w:t>”</w:t>
      </w:r>
    </w:p>
    <w:p w14:paraId="4EB12B39" w14:textId="77777777" w:rsidR="001F7022" w:rsidRPr="003B6CF7" w:rsidRDefault="001F7022">
      <w:pPr>
        <w:widowControl/>
        <w:rPr>
          <w:szCs w:val="24"/>
          <w:lang w:eastAsia="en-US"/>
        </w:rPr>
      </w:pPr>
      <w:r w:rsidRPr="003B6CF7">
        <w:rPr>
          <w:szCs w:val="24"/>
          <w:lang w:eastAsia="en-US"/>
        </w:rPr>
        <w:br w:type="page"/>
      </w:r>
    </w:p>
    <w:p w14:paraId="26A13280" w14:textId="4770D53C" w:rsidR="001831FD" w:rsidRPr="003B6CF7" w:rsidRDefault="001831FD" w:rsidP="001831FD">
      <w:pPr>
        <w:spacing w:before="120" w:after="120" w:line="360" w:lineRule="auto"/>
        <w:ind w:left="850" w:hanging="850"/>
        <w:rPr>
          <w:szCs w:val="24"/>
          <w:lang w:eastAsia="en-US"/>
        </w:rPr>
      </w:pPr>
      <w:r w:rsidRPr="003B6CF7">
        <w:rPr>
          <w:szCs w:val="24"/>
          <w:lang w:eastAsia="en-US"/>
        </w:rPr>
        <w:t>(17)</w:t>
      </w:r>
      <w:r w:rsidRPr="003B6CF7">
        <w:rPr>
          <w:szCs w:val="24"/>
          <w:lang w:eastAsia="en-US"/>
        </w:rPr>
        <w:tab/>
        <w:t>I punkt 2.4.1 ska följande stycke läggas till:</w:t>
      </w:r>
    </w:p>
    <w:p w14:paraId="111B28C0" w14:textId="77777777" w:rsidR="001831FD" w:rsidRPr="003B6CF7" w:rsidRDefault="001831FD" w:rsidP="001831FD">
      <w:pPr>
        <w:spacing w:before="120" w:after="120" w:line="360" w:lineRule="auto"/>
        <w:ind w:left="850"/>
        <w:rPr>
          <w:szCs w:val="24"/>
          <w:lang w:eastAsia="en-US"/>
        </w:rPr>
      </w:pPr>
      <w:r w:rsidRPr="003B6CF7">
        <w:rPr>
          <w:szCs w:val="24"/>
          <w:lang w:eastAsia="en-US"/>
        </w:rPr>
        <w:t>”Om övervakningsnätet omfattar jordobservation eller fjärranalys snarare än lokala provtagningspunkter, eller annan innovativ teknik, ska hänvisning göras till CEN, ISO eller andra internationella eller nationella standarder som har tillämpats för att säkerställa att de tidsmässiga och rumsliga data som erhålls är lika tillförlitliga som de som erhålls genom användning av konventionella övervakningsmetoder vid lokala provtagningspunkter.”</w:t>
      </w:r>
    </w:p>
    <w:p w14:paraId="59F715D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(18)</w:t>
      </w:r>
      <w:r w:rsidRPr="003B6CF7">
        <w:rPr>
          <w:szCs w:val="24"/>
          <w:lang w:eastAsia="en-US"/>
        </w:rPr>
        <w:tab/>
        <w:t>Punkt 2.4.5 ska ersättas med följande:</w:t>
      </w:r>
    </w:p>
    <w:p w14:paraId="770D5C2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”2.4.5.</w:t>
      </w:r>
      <w:r w:rsidRPr="003B6CF7">
        <w:rPr>
          <w:szCs w:val="24"/>
          <w:lang w:eastAsia="en-US"/>
        </w:rPr>
        <w:tab/>
        <w:t>Tolkning och redovisning av grundvattnets kemiska status</w:t>
      </w:r>
    </w:p>
    <w:p w14:paraId="56BDB97E" w14:textId="77777777" w:rsidR="001831FD" w:rsidRPr="003B6CF7" w:rsidRDefault="001831FD" w:rsidP="001831FD">
      <w:pPr>
        <w:spacing w:before="120" w:after="120" w:line="360" w:lineRule="auto"/>
        <w:ind w:left="1416"/>
        <w:rPr>
          <w:szCs w:val="24"/>
          <w:lang w:eastAsia="en-US"/>
        </w:rPr>
      </w:pPr>
      <w:r w:rsidRPr="003B6CF7">
        <w:rPr>
          <w:szCs w:val="24"/>
          <w:lang w:eastAsia="en-US"/>
        </w:rPr>
        <w:t>Vid bedömningen av grundvattnets kemiska status ska resultaten från individuella övervakningspunkter inom en grundvattenförekomst läggas samman för hela förekomsten. Medelvärdet av resultaten av övervakningen på varje punkt i grundvattenförekomsten eller gruppen av förekomster ska beräknas för följande parametrar:</w:t>
      </w:r>
    </w:p>
    <w:p w14:paraId="57DF9AA3" w14:textId="77777777" w:rsidR="001F7022" w:rsidRPr="003B6CF7" w:rsidRDefault="001F7022">
      <w:pPr>
        <w:widowControl/>
        <w:rPr>
          <w:szCs w:val="24"/>
          <w:lang w:eastAsia="en-US"/>
        </w:rPr>
      </w:pPr>
      <w:r w:rsidRPr="003B6CF7">
        <w:rPr>
          <w:szCs w:val="24"/>
          <w:lang w:eastAsia="en-US"/>
        </w:rPr>
        <w:br w:type="page"/>
      </w:r>
    </w:p>
    <w:p w14:paraId="4781FF86" w14:textId="4B2B516D" w:rsidR="001831FD" w:rsidRPr="003B6CF7" w:rsidRDefault="001831FD" w:rsidP="001831FD">
      <w:pPr>
        <w:spacing w:before="120" w:after="120" w:line="360" w:lineRule="auto"/>
        <w:ind w:left="1982" w:hanging="566"/>
        <w:rPr>
          <w:szCs w:val="24"/>
          <w:lang w:eastAsia="en-US"/>
        </w:rPr>
      </w:pPr>
      <w:r w:rsidRPr="003B6CF7">
        <w:rPr>
          <w:szCs w:val="24"/>
          <w:lang w:eastAsia="en-US"/>
        </w:rPr>
        <w:t>a)</w:t>
      </w:r>
      <w:r w:rsidRPr="003B6CF7">
        <w:rPr>
          <w:szCs w:val="24"/>
          <w:lang w:eastAsia="en-US"/>
        </w:rPr>
        <w:tab/>
        <w:t>Kemiska parametrar för vilka kvalitetsnormer har fastställts i bilaga I till direktiv 2006/118/EG.</w:t>
      </w:r>
    </w:p>
    <w:p w14:paraId="61348EF8"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b)</w:t>
      </w:r>
      <w:r w:rsidRPr="003B6CF7">
        <w:rPr>
          <w:szCs w:val="24"/>
          <w:lang w:eastAsia="en-US"/>
        </w:rPr>
        <w:tab/>
        <w:t>Kemiska parametrar för vilka nationella tröskelvärden har fastställts i enlighet med artikel 3.1 b i direktiv 2006/118/EG.</w:t>
      </w:r>
    </w:p>
    <w:p w14:paraId="385DB163" w14:textId="77777777" w:rsidR="001831FD" w:rsidRPr="003B6CF7" w:rsidRDefault="001831FD" w:rsidP="001831FD">
      <w:pPr>
        <w:spacing w:before="120" w:after="120" w:line="360" w:lineRule="auto"/>
        <w:ind w:left="1982" w:hanging="566"/>
        <w:rPr>
          <w:szCs w:val="24"/>
          <w:lang w:eastAsia="en-US"/>
        </w:rPr>
      </w:pPr>
      <w:r w:rsidRPr="003B6CF7">
        <w:rPr>
          <w:szCs w:val="24"/>
          <w:lang w:eastAsia="en-US"/>
        </w:rPr>
        <w:t>c)</w:t>
      </w:r>
      <w:r w:rsidRPr="003B6CF7">
        <w:rPr>
          <w:szCs w:val="24"/>
          <w:lang w:eastAsia="en-US"/>
        </w:rPr>
        <w:tab/>
        <w:t>Kemiska parametrar för vilka unionsomfattande tröskelvärden har fastställts i enlighet med artikel 8.3 i direktiv 2006/118/EG.</w:t>
      </w:r>
    </w:p>
    <w:p w14:paraId="7D6AEF03" w14:textId="77777777" w:rsidR="001831FD" w:rsidRPr="003B6CF7" w:rsidRDefault="001831FD" w:rsidP="001831FD">
      <w:pPr>
        <w:spacing w:before="120" w:after="120" w:line="360" w:lineRule="auto"/>
        <w:ind w:left="1416"/>
        <w:rPr>
          <w:szCs w:val="24"/>
          <w:lang w:eastAsia="en-US"/>
        </w:rPr>
      </w:pPr>
      <w:r w:rsidRPr="003B6CF7">
        <w:rPr>
          <w:szCs w:val="24"/>
          <w:lang w:eastAsia="en-US"/>
        </w:rPr>
        <w:t>De medelvärden som avses i första stycket ska användas för att påvisa överensstämmelse med god kemisk grundvattenstatus, som fastställs med hänvisning till de kvalitetsnormer och tröskelvärden som avses i första stycket.</w:t>
      </w:r>
    </w:p>
    <w:p w14:paraId="2C8F04E3" w14:textId="77777777" w:rsidR="001831FD" w:rsidRPr="003B6CF7" w:rsidRDefault="001831FD" w:rsidP="001831FD">
      <w:pPr>
        <w:spacing w:before="120" w:after="120" w:line="360" w:lineRule="auto"/>
        <w:ind w:left="1416"/>
        <w:rPr>
          <w:szCs w:val="24"/>
          <w:lang w:eastAsia="en-US"/>
        </w:rPr>
      </w:pPr>
      <w:r w:rsidRPr="003B6CF7">
        <w:rPr>
          <w:szCs w:val="24"/>
          <w:lang w:eastAsia="en-US"/>
        </w:rPr>
        <w:t>Om inte annat följer av avsnitt 2.5 ska medlemsstaterna tillhandahålla en karta över grundvattnets kemiska status, med följande färgkoder:</w:t>
      </w:r>
    </w:p>
    <w:p w14:paraId="05BB360F" w14:textId="77777777" w:rsidR="001831FD" w:rsidRPr="003B6CF7" w:rsidRDefault="001831FD" w:rsidP="001831FD">
      <w:pPr>
        <w:spacing w:before="120" w:after="120" w:line="360" w:lineRule="auto"/>
        <w:ind w:left="1416"/>
        <w:rPr>
          <w:szCs w:val="24"/>
          <w:lang w:eastAsia="en-US"/>
        </w:rPr>
      </w:pPr>
      <w:r w:rsidRPr="003B6CF7">
        <w:rPr>
          <w:szCs w:val="24"/>
          <w:lang w:eastAsia="en-US"/>
        </w:rPr>
        <w:t>God status: grön</w:t>
      </w:r>
    </w:p>
    <w:p w14:paraId="7A159CC3" w14:textId="77777777" w:rsidR="001831FD" w:rsidRPr="003B6CF7" w:rsidRDefault="001831FD" w:rsidP="001831FD">
      <w:pPr>
        <w:spacing w:before="120" w:after="120" w:line="360" w:lineRule="auto"/>
        <w:ind w:left="1416"/>
        <w:rPr>
          <w:szCs w:val="24"/>
          <w:lang w:eastAsia="en-US"/>
        </w:rPr>
      </w:pPr>
      <w:r w:rsidRPr="003B6CF7">
        <w:rPr>
          <w:szCs w:val="24"/>
          <w:lang w:eastAsia="en-US"/>
        </w:rPr>
        <w:t>Otillfredsställande status: röd</w:t>
      </w:r>
    </w:p>
    <w:p w14:paraId="7BDB236F" w14:textId="77777777" w:rsidR="001F7022" w:rsidRPr="003B6CF7" w:rsidRDefault="001F7022">
      <w:pPr>
        <w:widowControl/>
        <w:rPr>
          <w:szCs w:val="24"/>
          <w:lang w:eastAsia="en-US"/>
        </w:rPr>
      </w:pPr>
      <w:r w:rsidRPr="003B6CF7">
        <w:rPr>
          <w:szCs w:val="24"/>
          <w:lang w:eastAsia="en-US"/>
        </w:rPr>
        <w:br w:type="page"/>
      </w:r>
    </w:p>
    <w:p w14:paraId="2A2BD156" w14:textId="162981E9" w:rsidR="001831FD" w:rsidRPr="003B6CF7" w:rsidRDefault="001831FD" w:rsidP="001831FD">
      <w:pPr>
        <w:spacing w:before="120" w:after="120" w:line="360" w:lineRule="auto"/>
        <w:ind w:left="1416"/>
        <w:rPr>
          <w:b/>
          <w:szCs w:val="24"/>
          <w:lang w:eastAsia="en-US"/>
        </w:rPr>
      </w:pPr>
      <w:r w:rsidRPr="003B6CF7">
        <w:rPr>
          <w:szCs w:val="24"/>
          <w:lang w:eastAsia="en-US"/>
        </w:rPr>
        <w:t xml:space="preserve">Medlemsstaterna ska också med en svart prick på kartan markera de grundvattenförekomster som företer </w:t>
      </w:r>
      <w:r w:rsidRPr="003B6CF7">
        <w:rPr>
          <w:strike/>
          <w:szCs w:val="24"/>
          <w:lang w:eastAsia="en-US"/>
        </w:rPr>
        <w:t xml:space="preserve">en </w:t>
      </w:r>
      <w:r w:rsidRPr="003B6CF7">
        <w:rPr>
          <w:szCs w:val="24"/>
          <w:lang w:eastAsia="en-US"/>
        </w:rPr>
        <w:t xml:space="preserve">betydande och ihållande uppåtgående </w:t>
      </w:r>
      <w:r w:rsidRPr="003B6CF7">
        <w:rPr>
          <w:strike/>
          <w:szCs w:val="24"/>
          <w:lang w:eastAsia="en-US"/>
        </w:rPr>
        <w:t>tendens</w:t>
      </w:r>
      <w:r w:rsidRPr="003B6CF7">
        <w:rPr>
          <w:b/>
          <w:i/>
          <w:szCs w:val="24"/>
          <w:lang w:eastAsia="en-US"/>
        </w:rPr>
        <w:t>trender, inbegripet säsongsbetingade uppåtgående trender som bland annat orsakas av ett lågt utsläpp i en vattenförekomst,</w:t>
      </w:r>
      <w:r w:rsidRPr="003B6CF7">
        <w:rPr>
          <w:szCs w:val="24"/>
          <w:lang w:eastAsia="en-US"/>
        </w:rPr>
        <w:t xml:space="preserve"> i fråga om koncentrationer av förorenande ämnen till följd av mänsklig verksamhet. En omsvängning i </w:t>
      </w:r>
      <w:r w:rsidRPr="003B6CF7">
        <w:rPr>
          <w:strike/>
          <w:szCs w:val="24"/>
          <w:lang w:eastAsia="en-US"/>
        </w:rPr>
        <w:t xml:space="preserve">denna </w:t>
      </w:r>
      <w:proofErr w:type="gramStart"/>
      <w:r w:rsidRPr="003B6CF7">
        <w:rPr>
          <w:strike/>
          <w:szCs w:val="24"/>
          <w:lang w:eastAsia="en-US"/>
        </w:rPr>
        <w:t>tendens</w:t>
      </w:r>
      <w:r w:rsidRPr="003B6CF7">
        <w:rPr>
          <w:b/>
          <w:i/>
          <w:szCs w:val="24"/>
          <w:lang w:eastAsia="en-US"/>
        </w:rPr>
        <w:t>en</w:t>
      </w:r>
      <w:proofErr w:type="gramEnd"/>
      <w:r w:rsidRPr="003B6CF7">
        <w:rPr>
          <w:b/>
          <w:i/>
          <w:szCs w:val="24"/>
          <w:lang w:eastAsia="en-US"/>
        </w:rPr>
        <w:t xml:space="preserve"> trend</w:t>
      </w:r>
      <w:r w:rsidRPr="003B6CF7">
        <w:rPr>
          <w:szCs w:val="24"/>
          <w:lang w:eastAsia="en-US"/>
        </w:rPr>
        <w:t xml:space="preserve"> ska markeras med en blå prick på kartan.</w:t>
      </w:r>
      <w:r w:rsidR="00095B38" w:rsidRPr="003B6CF7">
        <w:rPr>
          <w:b/>
          <w:szCs w:val="24"/>
          <w:lang w:eastAsia="en-US"/>
        </w:rPr>
        <w:t xml:space="preserve"> [Ändr. 140]</w:t>
      </w:r>
    </w:p>
    <w:p w14:paraId="6E0AAAAE" w14:textId="77777777" w:rsidR="001831FD" w:rsidRPr="003B6CF7" w:rsidRDefault="001831FD" w:rsidP="001831FD">
      <w:pPr>
        <w:spacing w:before="120" w:after="120" w:line="360" w:lineRule="auto"/>
        <w:ind w:left="1416"/>
        <w:rPr>
          <w:szCs w:val="24"/>
          <w:lang w:eastAsia="en-US"/>
        </w:rPr>
      </w:pPr>
      <w:r w:rsidRPr="003B6CF7">
        <w:rPr>
          <w:szCs w:val="24"/>
          <w:lang w:eastAsia="en-US"/>
        </w:rPr>
        <w:t>Dessa kartor ska föras in i förvaltningsplanerna för avrinningsområden.”</w:t>
      </w:r>
    </w:p>
    <w:p w14:paraId="2A42B845" w14:textId="77777777" w:rsidR="001831FD" w:rsidRPr="003B6CF7" w:rsidRDefault="001831FD" w:rsidP="001831FD">
      <w:pPr>
        <w:spacing w:before="120" w:after="120" w:line="360" w:lineRule="auto"/>
        <w:rPr>
          <w:szCs w:val="24"/>
          <w:lang w:eastAsia="en-US"/>
        </w:rPr>
        <w:sectPr w:rsidR="001831FD" w:rsidRPr="003B6CF7">
          <w:footnotePr>
            <w:numRestart w:val="eachSect"/>
          </w:footnotePr>
          <w:pgSz w:w="11909" w:h="16834"/>
          <w:pgMar w:top="1134" w:right="1417" w:bottom="1417" w:left="1417" w:header="1134" w:footer="567" w:gutter="0"/>
          <w:cols w:space="720"/>
        </w:sectPr>
      </w:pPr>
    </w:p>
    <w:p w14:paraId="16FA3760" w14:textId="77777777" w:rsidR="001831FD" w:rsidRPr="003B6CF7" w:rsidRDefault="001831FD" w:rsidP="001831FD">
      <w:pPr>
        <w:spacing w:before="120" w:after="120" w:line="360" w:lineRule="auto"/>
        <w:jc w:val="center"/>
        <w:rPr>
          <w:lang w:eastAsia="en-US"/>
        </w:rPr>
      </w:pPr>
      <w:r w:rsidRPr="003B6CF7">
        <w:rPr>
          <w:lang w:eastAsia="en-US"/>
        </w:rPr>
        <w:t>BILAGA II</w:t>
      </w:r>
    </w:p>
    <w:p w14:paraId="182B2B94" w14:textId="77777777" w:rsidR="001831FD" w:rsidRPr="003B6CF7" w:rsidRDefault="001831FD" w:rsidP="001831FD">
      <w:pPr>
        <w:spacing w:before="120" w:after="120" w:line="360" w:lineRule="auto"/>
        <w:rPr>
          <w:szCs w:val="24"/>
          <w:lang w:eastAsia="en-US"/>
        </w:rPr>
      </w:pPr>
      <w:r w:rsidRPr="003B6CF7">
        <w:rPr>
          <w:szCs w:val="24"/>
          <w:lang w:eastAsia="en-US"/>
        </w:rPr>
        <w:t>Bilaga VIII till direktiv 2000/60/EG ska ändras på följande sätt:</w:t>
      </w:r>
    </w:p>
    <w:p w14:paraId="4B338E1A"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Punkt 10 ska ersättas med följande:</w:t>
      </w:r>
    </w:p>
    <w:p w14:paraId="13DF6446" w14:textId="2055409C" w:rsidR="001831FD" w:rsidRPr="003B6CF7" w:rsidRDefault="001831FD" w:rsidP="001831FD">
      <w:pPr>
        <w:spacing w:before="120" w:after="120" w:line="360" w:lineRule="auto"/>
        <w:ind w:left="1416" w:hanging="566"/>
        <w:rPr>
          <w:b/>
          <w:szCs w:val="24"/>
          <w:lang w:eastAsia="en-US"/>
        </w:rPr>
      </w:pPr>
      <w:r w:rsidRPr="003B6CF7">
        <w:rPr>
          <w:szCs w:val="24"/>
          <w:lang w:eastAsia="en-US"/>
        </w:rPr>
        <w:t>”10.</w:t>
      </w:r>
      <w:r w:rsidRPr="003B6CF7">
        <w:rPr>
          <w:szCs w:val="24"/>
          <w:lang w:eastAsia="en-US"/>
        </w:rPr>
        <w:tab/>
        <w:t xml:space="preserve">Uppslammade ämnen, inklusive mikro- och </w:t>
      </w:r>
      <w:proofErr w:type="spellStart"/>
      <w:r w:rsidRPr="003B6CF7">
        <w:rPr>
          <w:szCs w:val="24"/>
          <w:lang w:eastAsia="en-US"/>
        </w:rPr>
        <w:t>nanoplaster</w:t>
      </w:r>
      <w:proofErr w:type="spellEnd"/>
      <w:r w:rsidRPr="003B6CF7">
        <w:rPr>
          <w:b/>
          <w:i/>
          <w:szCs w:val="24"/>
          <w:lang w:eastAsia="en-US"/>
        </w:rPr>
        <w:t xml:space="preserve">, samt material som är kända för att ge upphov till mikro- eller </w:t>
      </w:r>
      <w:proofErr w:type="spellStart"/>
      <w:r w:rsidRPr="003B6CF7">
        <w:rPr>
          <w:b/>
          <w:i/>
          <w:szCs w:val="24"/>
          <w:lang w:eastAsia="en-US"/>
        </w:rPr>
        <w:t>nanoplaster</w:t>
      </w:r>
      <w:proofErr w:type="spellEnd"/>
      <w:r w:rsidRPr="003B6CF7">
        <w:rPr>
          <w:szCs w:val="24"/>
          <w:lang w:eastAsia="en-US"/>
        </w:rPr>
        <w:t>.”</w:t>
      </w:r>
      <w:r w:rsidR="00095B38" w:rsidRPr="003B6CF7">
        <w:rPr>
          <w:b/>
          <w:szCs w:val="24"/>
          <w:lang w:eastAsia="en-US"/>
        </w:rPr>
        <w:t xml:space="preserve"> [Ändr. 141]</w:t>
      </w:r>
    </w:p>
    <w:p w14:paraId="7C168953"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Följande punkt ska läggas till som punkt 13:</w:t>
      </w:r>
    </w:p>
    <w:p w14:paraId="079F225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”13.</w:t>
      </w:r>
      <w:r w:rsidRPr="003B6CF7">
        <w:rPr>
          <w:szCs w:val="24"/>
          <w:lang w:eastAsia="en-US"/>
        </w:rPr>
        <w:tab/>
        <w:t>Mikroorganismer, gener eller genetiskt material som avspeglar förekomsten av mikroorganismer som är resistenta mot antimikrobiella medel, särskilt mikroorganismer som är patogena för människor eller husdjur.”</w:t>
      </w:r>
    </w:p>
    <w:p w14:paraId="7EF496A7" w14:textId="77777777" w:rsidR="001831FD" w:rsidRPr="003B6CF7" w:rsidRDefault="001831FD" w:rsidP="001831FD">
      <w:pPr>
        <w:spacing w:before="120" w:after="120" w:line="360" w:lineRule="auto"/>
        <w:rPr>
          <w:szCs w:val="24"/>
          <w:lang w:eastAsia="en-US"/>
        </w:rPr>
        <w:sectPr w:rsidR="001831FD" w:rsidRPr="003B6CF7">
          <w:footnotePr>
            <w:numRestart w:val="eachSect"/>
          </w:footnotePr>
          <w:pgSz w:w="11909" w:h="16834"/>
          <w:pgMar w:top="1134" w:right="1417" w:bottom="1417" w:left="1417" w:header="1134" w:footer="567" w:gutter="0"/>
          <w:cols w:space="720"/>
        </w:sectPr>
      </w:pPr>
    </w:p>
    <w:p w14:paraId="448834C4" w14:textId="77777777" w:rsidR="001831FD" w:rsidRPr="003B6CF7" w:rsidRDefault="001831FD" w:rsidP="001831FD">
      <w:pPr>
        <w:spacing w:before="120" w:after="120" w:line="360" w:lineRule="auto"/>
        <w:jc w:val="center"/>
        <w:rPr>
          <w:lang w:eastAsia="en-US"/>
        </w:rPr>
      </w:pPr>
      <w:r w:rsidRPr="003B6CF7">
        <w:rPr>
          <w:lang w:eastAsia="en-US"/>
        </w:rPr>
        <w:t>BILAGA III</w:t>
      </w:r>
    </w:p>
    <w:p w14:paraId="66F3A362" w14:textId="77777777" w:rsidR="001831FD" w:rsidRPr="003B6CF7" w:rsidRDefault="001831FD" w:rsidP="001831FD">
      <w:pPr>
        <w:spacing w:before="120" w:after="120" w:line="360" w:lineRule="auto"/>
        <w:ind w:left="850"/>
        <w:rPr>
          <w:szCs w:val="24"/>
          <w:lang w:eastAsia="en-US"/>
        </w:rPr>
      </w:pPr>
      <w:r w:rsidRPr="003B6CF7">
        <w:rPr>
          <w:szCs w:val="24"/>
          <w:lang w:eastAsia="en-US"/>
        </w:rPr>
        <w:t>”BILAGA I</w:t>
      </w:r>
    </w:p>
    <w:p w14:paraId="2BCFC9CF" w14:textId="77777777" w:rsidR="001831FD" w:rsidRPr="003B6CF7" w:rsidRDefault="001831FD" w:rsidP="001831FD">
      <w:pPr>
        <w:spacing w:before="120" w:after="120" w:line="360" w:lineRule="auto"/>
        <w:ind w:left="850"/>
        <w:rPr>
          <w:szCs w:val="24"/>
          <w:lang w:eastAsia="en-US"/>
        </w:rPr>
      </w:pPr>
      <w:r w:rsidRPr="003B6CF7">
        <w:rPr>
          <w:szCs w:val="24"/>
          <w:lang w:eastAsia="en-US"/>
        </w:rPr>
        <w:t>KVALITETSNORMER (KN) FÖR GRUNDVATTEN</w:t>
      </w:r>
    </w:p>
    <w:p w14:paraId="5D7DD08E" w14:textId="048C14F0" w:rsidR="001831FD" w:rsidRPr="003B6CF7" w:rsidRDefault="001831FD" w:rsidP="001831FD">
      <w:pPr>
        <w:spacing w:before="120" w:after="120" w:line="360" w:lineRule="auto"/>
        <w:ind w:left="850"/>
        <w:rPr>
          <w:b/>
          <w:szCs w:val="24"/>
          <w:lang w:eastAsia="en-US"/>
        </w:rPr>
      </w:pPr>
      <w:r w:rsidRPr="003B6CF7">
        <w:rPr>
          <w:szCs w:val="24"/>
          <w:lang w:eastAsia="en-US"/>
        </w:rPr>
        <w:t xml:space="preserve">Anmärkning 1: Kvalitetsnormerna för de förorenande ämnen som förtecknas i posterna 3–7 ska tillämpas från och med den … [Publikationsbyrån: infoga datum = första dagen i den månad som följer </w:t>
      </w:r>
      <w:r w:rsidRPr="003B6CF7">
        <w:rPr>
          <w:strike/>
          <w:szCs w:val="24"/>
          <w:lang w:eastAsia="en-US"/>
        </w:rPr>
        <w:t>18</w:t>
      </w:r>
      <w:r w:rsidRPr="003B6CF7">
        <w:rPr>
          <w:b/>
          <w:i/>
          <w:szCs w:val="24"/>
          <w:lang w:eastAsia="en-US"/>
        </w:rPr>
        <w:t>6</w:t>
      </w:r>
      <w:r w:rsidRPr="003B6CF7">
        <w:rPr>
          <w:szCs w:val="24"/>
          <w:lang w:eastAsia="en-US"/>
        </w:rPr>
        <w:t xml:space="preserve"> månader efter dagen för ikraftträdandet av detta ändringsdirektiv], i syfte att uppnå en god kemisk vattenstatus senast den 22 december 2033.</w:t>
      </w:r>
      <w:r w:rsidR="00095B38" w:rsidRPr="003B6CF7">
        <w:rPr>
          <w:b/>
          <w:szCs w:val="24"/>
          <w:lang w:eastAsia="en-US"/>
        </w:rPr>
        <w:t xml:space="preserve"> [Ändr. 142]</w:t>
      </w:r>
    </w:p>
    <w:p w14:paraId="3EB6C6EE" w14:textId="779D3DD2" w:rsidR="001F7022" w:rsidRPr="003B6CF7" w:rsidRDefault="001831FD" w:rsidP="001831FD">
      <w:pPr>
        <w:spacing w:before="120" w:after="120" w:line="360" w:lineRule="auto"/>
        <w:ind w:left="850"/>
        <w:rPr>
          <w:b/>
          <w:szCs w:val="24"/>
          <w:lang w:eastAsia="en-US"/>
        </w:rPr>
      </w:pPr>
      <w:r w:rsidRPr="003B6CF7">
        <w:rPr>
          <w:b/>
          <w:i/>
          <w:szCs w:val="24"/>
          <w:lang w:eastAsia="en-US"/>
        </w:rPr>
        <w:t>Om det för en viss grundvattenförekomst, särskilt en som är belägen i det ekologiska nätverket av särskilda bevarandeområden enligt rådets direktiv 92/43/EEG, anses att kvalitetsnormerna för grundvatten skulle kunna innebära att miljömålen för förbundna ytvattenförekomster enligt artikel 4 i direktiv 2000/60/EG inte uppnås eller leda till en betydande försämring av sådana förekomsters ekologiska eller kemiska kvalitet eller till en betydande skada på grundvatten eller terrestra ekosystem som är direkt beroende av den grundvattenförekomsten, ska striktare tröskelvärden fastställas i enlighet med artikel 3 och bilaga II till det här direktivet. De program och åtgärder som krävs för sådana tröskelvärden ska även gälla verksamhet som omfattas av direktiv 91/676/EEG.</w:t>
      </w:r>
      <w:r w:rsidR="00724306" w:rsidRPr="003B6CF7">
        <w:rPr>
          <w:b/>
          <w:szCs w:val="24"/>
          <w:lang w:eastAsia="en-US"/>
        </w:rPr>
        <w:t xml:space="preserve"> [Ändr. 143]</w:t>
      </w:r>
    </w:p>
    <w:p w14:paraId="18D52048" w14:textId="07DDE2C3" w:rsidR="001F7022" w:rsidRPr="003B6CF7" w:rsidRDefault="001F7022" w:rsidP="001F7022">
      <w:pPr>
        <w:widowControl/>
        <w:rPr>
          <w:szCs w:val="24"/>
          <w:lang w:eastAsia="en-US"/>
        </w:rPr>
      </w:pPr>
    </w:p>
    <w:p w14:paraId="6650F681" w14:textId="77777777" w:rsidR="001F7022" w:rsidRPr="003B6CF7" w:rsidRDefault="001F7022" w:rsidP="001F7022">
      <w:pPr>
        <w:widowControl/>
        <w:rPr>
          <w:szCs w:val="24"/>
          <w:lang w:eastAsia="en-US"/>
        </w:rPr>
        <w:sectPr w:rsidR="001F7022" w:rsidRPr="003B6CF7">
          <w:footnotePr>
            <w:numRestart w:val="eachSect"/>
          </w:footnotePr>
          <w:pgSz w:w="11909" w:h="16834"/>
          <w:pgMar w:top="1134" w:right="1417" w:bottom="1417" w:left="1417" w:header="1134" w:footer="567" w:gutter="0"/>
          <w:cols w:space="720"/>
        </w:sectPr>
      </w:pPr>
    </w:p>
    <w:p w14:paraId="2F1C1C2E" w14:textId="4B0D9E63" w:rsidR="001831FD" w:rsidRPr="003B6CF7" w:rsidRDefault="001831FD" w:rsidP="003B6CF7">
      <w:pPr>
        <w:widowControl/>
        <w:rPr>
          <w:szCs w:val="24"/>
          <w:lang w:eastAsia="en-US"/>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09"/>
        <w:gridCol w:w="3641"/>
        <w:gridCol w:w="2587"/>
        <w:gridCol w:w="1845"/>
        <w:gridCol w:w="1983"/>
        <w:gridCol w:w="2422"/>
      </w:tblGrid>
      <w:tr w:rsidR="00DD6859" w:rsidRPr="003B6CF7" w14:paraId="31C03B47" w14:textId="77777777" w:rsidTr="003B6CF7">
        <w:trPr>
          <w:tblHeader/>
        </w:trPr>
        <w:tc>
          <w:tcPr>
            <w:tcW w:w="752" w:type="pct"/>
          </w:tcPr>
          <w:p w14:paraId="04FA6F28" w14:textId="77777777" w:rsidR="001831FD" w:rsidRPr="003B6CF7" w:rsidRDefault="001831FD" w:rsidP="001831FD">
            <w:pPr>
              <w:spacing w:before="120" w:after="120" w:line="360" w:lineRule="auto"/>
              <w:rPr>
                <w:szCs w:val="24"/>
                <w:lang w:val="en-GB" w:eastAsia="en-US"/>
              </w:rPr>
            </w:pPr>
            <w:r w:rsidRPr="003B6CF7">
              <w:rPr>
                <w:szCs w:val="24"/>
                <w:lang w:val="en-GB" w:eastAsia="en-US"/>
              </w:rPr>
              <w:t>(1)</w:t>
            </w:r>
          </w:p>
        </w:tc>
        <w:tc>
          <w:tcPr>
            <w:tcW w:w="0" w:type="auto"/>
          </w:tcPr>
          <w:p w14:paraId="16870B14" w14:textId="77777777" w:rsidR="001831FD" w:rsidRPr="003B6CF7" w:rsidRDefault="001831FD" w:rsidP="001831FD">
            <w:pPr>
              <w:spacing w:before="120" w:after="120" w:line="360" w:lineRule="auto"/>
              <w:rPr>
                <w:szCs w:val="24"/>
                <w:lang w:val="en-GB" w:eastAsia="en-US"/>
              </w:rPr>
            </w:pPr>
            <w:r w:rsidRPr="003B6CF7">
              <w:rPr>
                <w:szCs w:val="24"/>
                <w:lang w:val="en-GB" w:eastAsia="en-US"/>
              </w:rPr>
              <w:t>(2)</w:t>
            </w:r>
          </w:p>
        </w:tc>
        <w:tc>
          <w:tcPr>
            <w:tcW w:w="0" w:type="auto"/>
          </w:tcPr>
          <w:p w14:paraId="55C0C4EC" w14:textId="77777777" w:rsidR="001831FD" w:rsidRPr="003B6CF7" w:rsidRDefault="001831FD" w:rsidP="001831FD">
            <w:pPr>
              <w:spacing w:before="120" w:after="120" w:line="360" w:lineRule="auto"/>
              <w:rPr>
                <w:szCs w:val="24"/>
                <w:lang w:val="en-GB" w:eastAsia="en-US"/>
              </w:rPr>
            </w:pPr>
            <w:r w:rsidRPr="003B6CF7">
              <w:rPr>
                <w:szCs w:val="24"/>
                <w:lang w:val="en-GB" w:eastAsia="en-US"/>
              </w:rPr>
              <w:t>(3)</w:t>
            </w:r>
          </w:p>
        </w:tc>
        <w:tc>
          <w:tcPr>
            <w:tcW w:w="0" w:type="auto"/>
          </w:tcPr>
          <w:p w14:paraId="5F4F7696" w14:textId="77777777" w:rsidR="001831FD" w:rsidRPr="003B6CF7" w:rsidRDefault="001831FD" w:rsidP="001831FD">
            <w:pPr>
              <w:spacing w:before="120" w:after="120" w:line="360" w:lineRule="auto"/>
              <w:rPr>
                <w:szCs w:val="24"/>
                <w:lang w:val="en-GB" w:eastAsia="en-US"/>
              </w:rPr>
            </w:pPr>
            <w:r w:rsidRPr="003B6CF7">
              <w:rPr>
                <w:szCs w:val="24"/>
                <w:lang w:val="en-GB" w:eastAsia="en-US"/>
              </w:rPr>
              <w:t>(4)</w:t>
            </w:r>
          </w:p>
        </w:tc>
        <w:tc>
          <w:tcPr>
            <w:tcW w:w="675" w:type="pct"/>
          </w:tcPr>
          <w:p w14:paraId="06854511" w14:textId="77777777" w:rsidR="001831FD" w:rsidRPr="003B6CF7" w:rsidRDefault="001831FD" w:rsidP="001831FD">
            <w:pPr>
              <w:spacing w:before="120" w:after="120" w:line="360" w:lineRule="auto"/>
              <w:rPr>
                <w:szCs w:val="24"/>
                <w:lang w:val="en-GB" w:eastAsia="en-US"/>
              </w:rPr>
            </w:pPr>
            <w:r w:rsidRPr="003B6CF7">
              <w:rPr>
                <w:szCs w:val="24"/>
                <w:lang w:val="en-GB" w:eastAsia="en-US"/>
              </w:rPr>
              <w:t>(5)</w:t>
            </w:r>
          </w:p>
        </w:tc>
        <w:tc>
          <w:tcPr>
            <w:tcW w:w="0" w:type="auto"/>
          </w:tcPr>
          <w:p w14:paraId="41B75838" w14:textId="77777777" w:rsidR="001831FD" w:rsidRPr="003B6CF7" w:rsidRDefault="001831FD" w:rsidP="001831FD">
            <w:pPr>
              <w:spacing w:before="120" w:after="120" w:line="360" w:lineRule="auto"/>
              <w:rPr>
                <w:szCs w:val="24"/>
                <w:lang w:val="en-GB" w:eastAsia="en-US"/>
              </w:rPr>
            </w:pPr>
            <w:r w:rsidRPr="003B6CF7">
              <w:rPr>
                <w:szCs w:val="24"/>
                <w:lang w:val="en-GB" w:eastAsia="en-US"/>
              </w:rPr>
              <w:t>(6)</w:t>
            </w:r>
          </w:p>
        </w:tc>
      </w:tr>
      <w:tr w:rsidR="00DD6859" w:rsidRPr="003B6CF7" w14:paraId="4E170F08" w14:textId="77777777" w:rsidTr="003B6CF7">
        <w:tc>
          <w:tcPr>
            <w:tcW w:w="752" w:type="pct"/>
          </w:tcPr>
          <w:p w14:paraId="36AEF1F4"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[Post] </w:t>
            </w:r>
            <w:proofErr w:type="spellStart"/>
            <w:r w:rsidRPr="003B6CF7">
              <w:rPr>
                <w:szCs w:val="24"/>
                <w:lang w:val="en-GB" w:eastAsia="en-US"/>
              </w:rPr>
              <w:t>Nr</w:t>
            </w:r>
            <w:proofErr w:type="spellEnd"/>
          </w:p>
        </w:tc>
        <w:tc>
          <w:tcPr>
            <w:tcW w:w="0" w:type="auto"/>
          </w:tcPr>
          <w:p w14:paraId="7084EB57"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Ämnets</w:t>
            </w:r>
            <w:proofErr w:type="spellEnd"/>
            <w:r w:rsidRPr="003B6CF7">
              <w:rPr>
                <w:szCs w:val="24"/>
                <w:lang w:val="en-GB" w:eastAsia="en-US"/>
              </w:rPr>
              <w:t xml:space="preserve"> </w:t>
            </w:r>
            <w:proofErr w:type="spellStart"/>
            <w:r w:rsidRPr="003B6CF7">
              <w:rPr>
                <w:szCs w:val="24"/>
                <w:lang w:val="en-GB" w:eastAsia="en-US"/>
              </w:rPr>
              <w:t>namn</w:t>
            </w:r>
            <w:proofErr w:type="spellEnd"/>
          </w:p>
        </w:tc>
        <w:tc>
          <w:tcPr>
            <w:tcW w:w="0" w:type="auto"/>
          </w:tcPr>
          <w:p w14:paraId="3645504F"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Kategori</w:t>
            </w:r>
            <w:proofErr w:type="spellEnd"/>
            <w:r w:rsidRPr="003B6CF7">
              <w:rPr>
                <w:szCs w:val="24"/>
                <w:lang w:val="en-GB" w:eastAsia="en-US"/>
              </w:rPr>
              <w:t xml:space="preserve"> </w:t>
            </w:r>
            <w:proofErr w:type="spellStart"/>
            <w:r w:rsidRPr="003B6CF7">
              <w:rPr>
                <w:szCs w:val="24"/>
                <w:lang w:val="en-GB" w:eastAsia="en-US"/>
              </w:rPr>
              <w:t>av</w:t>
            </w:r>
            <w:proofErr w:type="spellEnd"/>
            <w:r w:rsidRPr="003B6CF7">
              <w:rPr>
                <w:szCs w:val="24"/>
                <w:lang w:val="en-GB" w:eastAsia="en-US"/>
              </w:rPr>
              <w:t xml:space="preserve"> </w:t>
            </w:r>
            <w:proofErr w:type="spellStart"/>
            <w:r w:rsidRPr="003B6CF7">
              <w:rPr>
                <w:szCs w:val="24"/>
                <w:lang w:val="en-GB" w:eastAsia="en-US"/>
              </w:rPr>
              <w:t>ämnen</w:t>
            </w:r>
            <w:proofErr w:type="spellEnd"/>
          </w:p>
        </w:tc>
        <w:tc>
          <w:tcPr>
            <w:tcW w:w="0" w:type="auto"/>
          </w:tcPr>
          <w:p w14:paraId="1C26A92A" w14:textId="77777777" w:rsidR="001831FD" w:rsidRPr="003B6CF7" w:rsidRDefault="001831FD" w:rsidP="001831FD">
            <w:pPr>
              <w:spacing w:before="120" w:after="120" w:line="360" w:lineRule="auto"/>
              <w:rPr>
                <w:szCs w:val="24"/>
                <w:lang w:val="en-GB" w:eastAsia="en-US"/>
              </w:rPr>
            </w:pPr>
            <w:r w:rsidRPr="003B6CF7">
              <w:rPr>
                <w:szCs w:val="24"/>
                <w:lang w:val="en-GB" w:eastAsia="en-US"/>
              </w:rPr>
              <w:t>CAS-</w:t>
            </w:r>
            <w:proofErr w:type="spellStart"/>
            <w:r w:rsidRPr="003B6CF7">
              <w:rPr>
                <w:szCs w:val="24"/>
                <w:lang w:val="en-GB" w:eastAsia="en-US"/>
              </w:rPr>
              <w:t>nummer</w:t>
            </w:r>
            <w:proofErr w:type="spellEnd"/>
            <w:r w:rsidRPr="003B6CF7">
              <w:rPr>
                <w:szCs w:val="24"/>
                <w:lang w:val="en-GB" w:eastAsia="en-US"/>
              </w:rPr>
              <w:t xml:space="preserve"> </w:t>
            </w:r>
            <w:r w:rsidRPr="003B6CF7">
              <w:rPr>
                <w:szCs w:val="24"/>
                <w:vertAlign w:val="superscript"/>
                <w:lang w:val="en-GB" w:eastAsia="en-US"/>
              </w:rPr>
              <w:t>(1)</w:t>
            </w:r>
          </w:p>
        </w:tc>
        <w:tc>
          <w:tcPr>
            <w:tcW w:w="675" w:type="pct"/>
          </w:tcPr>
          <w:p w14:paraId="12346828" w14:textId="77777777" w:rsidR="001831FD" w:rsidRPr="003B6CF7" w:rsidRDefault="001831FD" w:rsidP="001831FD">
            <w:pPr>
              <w:spacing w:before="120" w:after="120" w:line="360" w:lineRule="auto"/>
              <w:rPr>
                <w:szCs w:val="24"/>
                <w:lang w:val="en-GB" w:eastAsia="en-US"/>
              </w:rPr>
            </w:pPr>
            <w:r w:rsidRPr="003B6CF7">
              <w:rPr>
                <w:szCs w:val="24"/>
                <w:lang w:val="en-GB" w:eastAsia="en-US"/>
              </w:rPr>
              <w:t>EU-</w:t>
            </w:r>
            <w:proofErr w:type="spellStart"/>
            <w:r w:rsidRPr="003B6CF7">
              <w:rPr>
                <w:szCs w:val="24"/>
                <w:lang w:val="en-GB" w:eastAsia="en-US"/>
              </w:rPr>
              <w:t>nummer</w:t>
            </w:r>
            <w:proofErr w:type="spellEnd"/>
            <w:r w:rsidRPr="003B6CF7">
              <w:rPr>
                <w:szCs w:val="24"/>
                <w:lang w:val="en-GB" w:eastAsia="en-US"/>
              </w:rPr>
              <w:t xml:space="preserve"> </w:t>
            </w:r>
            <w:r w:rsidRPr="003B6CF7">
              <w:rPr>
                <w:szCs w:val="24"/>
                <w:vertAlign w:val="superscript"/>
                <w:lang w:val="en-GB" w:eastAsia="en-US"/>
              </w:rPr>
              <w:t>(2)</w:t>
            </w:r>
          </w:p>
        </w:tc>
        <w:tc>
          <w:tcPr>
            <w:tcW w:w="0" w:type="auto"/>
          </w:tcPr>
          <w:p w14:paraId="7F8C8D56" w14:textId="77777777" w:rsidR="001831FD" w:rsidRPr="003B6CF7" w:rsidRDefault="001831FD" w:rsidP="001831FD">
            <w:pPr>
              <w:spacing w:before="120" w:after="120" w:line="360" w:lineRule="auto"/>
              <w:rPr>
                <w:szCs w:val="24"/>
                <w:lang w:eastAsia="en-US"/>
              </w:rPr>
            </w:pPr>
            <w:r w:rsidRPr="003B6CF7">
              <w:rPr>
                <w:szCs w:val="24"/>
                <w:lang w:eastAsia="en-US"/>
              </w:rPr>
              <w:t xml:space="preserve">Kvalitetsnorm </w:t>
            </w:r>
            <w:r w:rsidRPr="003B6CF7">
              <w:rPr>
                <w:szCs w:val="24"/>
                <w:vertAlign w:val="superscript"/>
                <w:lang w:eastAsia="en-US"/>
              </w:rPr>
              <w:t>(3)</w:t>
            </w:r>
            <w:r w:rsidRPr="003B6CF7">
              <w:rPr>
                <w:szCs w:val="24"/>
                <w:lang w:eastAsia="en-US"/>
              </w:rPr>
              <w:t xml:space="preserve"> [µg/l om inget annat anges]</w:t>
            </w:r>
          </w:p>
        </w:tc>
      </w:tr>
      <w:tr w:rsidR="00DD6859" w:rsidRPr="003B6CF7" w14:paraId="62A6DE86" w14:textId="77777777" w:rsidTr="003B6CF7">
        <w:tc>
          <w:tcPr>
            <w:tcW w:w="752" w:type="pct"/>
          </w:tcPr>
          <w:p w14:paraId="65A88A3C" w14:textId="77777777" w:rsidR="001831FD" w:rsidRPr="003B6CF7" w:rsidRDefault="001831FD" w:rsidP="001831FD">
            <w:pPr>
              <w:spacing w:before="120" w:after="120" w:line="360" w:lineRule="auto"/>
              <w:rPr>
                <w:szCs w:val="24"/>
                <w:lang w:val="en-GB" w:eastAsia="en-US"/>
              </w:rPr>
            </w:pPr>
            <w:r w:rsidRPr="003B6CF7">
              <w:rPr>
                <w:szCs w:val="24"/>
                <w:lang w:val="en-GB" w:eastAsia="en-US"/>
              </w:rPr>
              <w:t>1</w:t>
            </w:r>
          </w:p>
        </w:tc>
        <w:tc>
          <w:tcPr>
            <w:tcW w:w="0" w:type="auto"/>
          </w:tcPr>
          <w:p w14:paraId="0DCC01F5"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Nitrater</w:t>
            </w:r>
            <w:proofErr w:type="spellEnd"/>
          </w:p>
        </w:tc>
        <w:tc>
          <w:tcPr>
            <w:tcW w:w="0" w:type="auto"/>
          </w:tcPr>
          <w:p w14:paraId="6673C588"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Näringsämnen</w:t>
            </w:r>
            <w:proofErr w:type="spellEnd"/>
          </w:p>
        </w:tc>
        <w:tc>
          <w:tcPr>
            <w:tcW w:w="0" w:type="auto"/>
          </w:tcPr>
          <w:p w14:paraId="026DCEB9"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675" w:type="pct"/>
          </w:tcPr>
          <w:p w14:paraId="49A03A4A"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0" w:type="auto"/>
          </w:tcPr>
          <w:p w14:paraId="22E913BC" w14:textId="77777777" w:rsidR="001831FD" w:rsidRPr="003B6CF7" w:rsidRDefault="001831FD" w:rsidP="001831FD">
            <w:pPr>
              <w:spacing w:before="120" w:after="120" w:line="360" w:lineRule="auto"/>
              <w:rPr>
                <w:szCs w:val="24"/>
                <w:lang w:val="en-GB" w:eastAsia="en-US"/>
              </w:rPr>
            </w:pPr>
            <w:r w:rsidRPr="003B6CF7">
              <w:rPr>
                <w:szCs w:val="24"/>
                <w:lang w:val="en-GB" w:eastAsia="en-US"/>
              </w:rPr>
              <w:t>50 mg/l</w:t>
            </w:r>
          </w:p>
        </w:tc>
      </w:tr>
      <w:tr w:rsidR="00DD6859" w:rsidRPr="003B6CF7" w14:paraId="745EB645" w14:textId="77777777" w:rsidTr="003B6CF7">
        <w:tc>
          <w:tcPr>
            <w:tcW w:w="752" w:type="pct"/>
            <w:vMerge w:val="restart"/>
          </w:tcPr>
          <w:p w14:paraId="36B3A29B" w14:textId="6CD95347" w:rsidR="001831FD" w:rsidRPr="003B6CF7" w:rsidRDefault="001831FD" w:rsidP="001831FD">
            <w:pPr>
              <w:spacing w:before="120" w:after="120" w:line="360" w:lineRule="auto"/>
              <w:rPr>
                <w:b/>
                <w:szCs w:val="24"/>
                <w:lang w:val="en-GB" w:eastAsia="en-US"/>
              </w:rPr>
            </w:pPr>
            <w:r w:rsidRPr="003B6CF7">
              <w:rPr>
                <w:szCs w:val="24"/>
                <w:lang w:val="en-GB" w:eastAsia="en-US"/>
              </w:rPr>
              <w:t>2</w:t>
            </w:r>
            <w:r w:rsidR="00724306" w:rsidRPr="003B6CF7">
              <w:rPr>
                <w:b/>
                <w:szCs w:val="24"/>
                <w:lang w:val="en-GB" w:eastAsia="en-US"/>
              </w:rPr>
              <w:t xml:space="preserve"> [</w:t>
            </w:r>
            <w:proofErr w:type="spellStart"/>
            <w:r w:rsidR="00724306" w:rsidRPr="003B6CF7">
              <w:rPr>
                <w:b/>
                <w:szCs w:val="24"/>
                <w:lang w:val="en-GB" w:eastAsia="en-US"/>
              </w:rPr>
              <w:t>Ändr</w:t>
            </w:r>
            <w:proofErr w:type="spellEnd"/>
            <w:r w:rsidR="00724306" w:rsidRPr="003B6CF7">
              <w:rPr>
                <w:b/>
                <w:szCs w:val="24"/>
                <w:lang w:val="en-GB" w:eastAsia="en-US"/>
              </w:rPr>
              <w:t>. 144]</w:t>
            </w:r>
          </w:p>
        </w:tc>
        <w:tc>
          <w:tcPr>
            <w:tcW w:w="0" w:type="auto"/>
            <w:vMerge w:val="restart"/>
          </w:tcPr>
          <w:p w14:paraId="2471EBAD" w14:textId="77777777" w:rsidR="001831FD" w:rsidRPr="003B6CF7" w:rsidRDefault="001831FD" w:rsidP="001831FD">
            <w:pPr>
              <w:spacing w:before="120" w:after="120" w:line="360" w:lineRule="auto"/>
              <w:rPr>
                <w:szCs w:val="24"/>
                <w:lang w:eastAsia="en-US"/>
              </w:rPr>
            </w:pPr>
            <w:r w:rsidRPr="003B6CF7">
              <w:rPr>
                <w:szCs w:val="24"/>
                <w:lang w:eastAsia="en-US"/>
              </w:rPr>
              <w:t>Aktiva ämnen i bekämpningsmedel, inbegripet relevanta metaboliter, nedbrytnings- och reaktionsprodukter (4)</w:t>
            </w:r>
          </w:p>
        </w:tc>
        <w:tc>
          <w:tcPr>
            <w:tcW w:w="0" w:type="auto"/>
            <w:vMerge w:val="restart"/>
          </w:tcPr>
          <w:p w14:paraId="416B1DBF"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Bekämpningsmedel</w:t>
            </w:r>
            <w:proofErr w:type="spellEnd"/>
          </w:p>
        </w:tc>
        <w:tc>
          <w:tcPr>
            <w:tcW w:w="0" w:type="auto"/>
            <w:vMerge w:val="restart"/>
          </w:tcPr>
          <w:p w14:paraId="4560F051"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675" w:type="pct"/>
            <w:vMerge w:val="restart"/>
          </w:tcPr>
          <w:p w14:paraId="32F03BA7"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0" w:type="auto"/>
          </w:tcPr>
          <w:p w14:paraId="452D428B" w14:textId="3BB4346E" w:rsidR="001831FD" w:rsidRPr="003B6CF7" w:rsidRDefault="001831FD" w:rsidP="001831FD">
            <w:pPr>
              <w:spacing w:before="120" w:after="120" w:line="360" w:lineRule="auto"/>
              <w:rPr>
                <w:szCs w:val="24"/>
                <w:lang w:val="en-GB" w:eastAsia="en-US"/>
              </w:rPr>
            </w:pPr>
            <w:r w:rsidRPr="003B6CF7">
              <w:rPr>
                <w:strike/>
                <w:szCs w:val="24"/>
                <w:lang w:val="en-GB" w:eastAsia="en-US"/>
              </w:rPr>
              <w:t>0,1</w:t>
            </w:r>
            <w:r w:rsidR="00724306" w:rsidRPr="003B6CF7">
              <w:rPr>
                <w:b/>
                <w:i/>
                <w:szCs w:val="24"/>
                <w:lang w:val="en-GB" w:eastAsia="en-US"/>
              </w:rPr>
              <w:t>0,05</w:t>
            </w:r>
            <w:r w:rsidRPr="003B6CF7">
              <w:rPr>
                <w:szCs w:val="24"/>
                <w:lang w:val="en-GB" w:eastAsia="en-US"/>
              </w:rPr>
              <w:t xml:space="preserve"> (per </w:t>
            </w:r>
            <w:proofErr w:type="spellStart"/>
            <w:r w:rsidRPr="003B6CF7">
              <w:rPr>
                <w:szCs w:val="24"/>
                <w:lang w:val="en-GB" w:eastAsia="en-US"/>
              </w:rPr>
              <w:t>ämne</w:t>
            </w:r>
            <w:proofErr w:type="spellEnd"/>
            <w:r w:rsidRPr="003B6CF7">
              <w:rPr>
                <w:szCs w:val="24"/>
                <w:lang w:val="en-GB" w:eastAsia="en-US"/>
              </w:rPr>
              <w:t>)</w:t>
            </w:r>
            <w:r w:rsidR="00724306" w:rsidRPr="003B6CF7">
              <w:rPr>
                <w:b/>
                <w:i/>
                <w:vertAlign w:val="superscript"/>
              </w:rPr>
              <w:t>(</w:t>
            </w:r>
            <w:proofErr w:type="spellStart"/>
            <w:r w:rsidR="00724306" w:rsidRPr="003B6CF7">
              <w:rPr>
                <w:b/>
                <w:i/>
                <w:vertAlign w:val="superscript"/>
              </w:rPr>
              <w:t>4a</w:t>
            </w:r>
            <w:proofErr w:type="spellEnd"/>
            <w:r w:rsidR="00724306" w:rsidRPr="003B6CF7">
              <w:rPr>
                <w:b/>
                <w:i/>
                <w:vertAlign w:val="superscript"/>
              </w:rPr>
              <w:t>)</w:t>
            </w:r>
          </w:p>
        </w:tc>
      </w:tr>
      <w:tr w:rsidR="00DD6859" w:rsidRPr="003B6CF7" w14:paraId="1FF751BB" w14:textId="77777777" w:rsidTr="003B6CF7">
        <w:tc>
          <w:tcPr>
            <w:tcW w:w="752" w:type="pct"/>
            <w:vMerge/>
          </w:tcPr>
          <w:p w14:paraId="708364DB" w14:textId="77777777" w:rsidR="001831FD" w:rsidRPr="003B6CF7" w:rsidRDefault="001831FD" w:rsidP="001831FD">
            <w:pPr>
              <w:spacing w:before="120" w:after="120" w:line="360" w:lineRule="auto"/>
              <w:rPr>
                <w:szCs w:val="24"/>
                <w:lang w:val="en-GB" w:eastAsia="en-US"/>
              </w:rPr>
            </w:pPr>
          </w:p>
        </w:tc>
        <w:tc>
          <w:tcPr>
            <w:tcW w:w="0" w:type="auto"/>
            <w:vMerge/>
          </w:tcPr>
          <w:p w14:paraId="7BC1260F" w14:textId="77777777" w:rsidR="001831FD" w:rsidRPr="003B6CF7" w:rsidRDefault="001831FD" w:rsidP="001831FD">
            <w:pPr>
              <w:spacing w:before="120" w:after="120" w:line="360" w:lineRule="auto"/>
              <w:rPr>
                <w:szCs w:val="24"/>
                <w:lang w:val="en-GB" w:eastAsia="en-US"/>
              </w:rPr>
            </w:pPr>
          </w:p>
        </w:tc>
        <w:tc>
          <w:tcPr>
            <w:tcW w:w="0" w:type="auto"/>
            <w:vMerge/>
          </w:tcPr>
          <w:p w14:paraId="3BDDFB12" w14:textId="77777777" w:rsidR="001831FD" w:rsidRPr="003B6CF7" w:rsidRDefault="001831FD" w:rsidP="001831FD">
            <w:pPr>
              <w:spacing w:before="120" w:after="120" w:line="360" w:lineRule="auto"/>
              <w:rPr>
                <w:szCs w:val="24"/>
                <w:lang w:val="en-GB" w:eastAsia="en-US"/>
              </w:rPr>
            </w:pPr>
          </w:p>
        </w:tc>
        <w:tc>
          <w:tcPr>
            <w:tcW w:w="0" w:type="auto"/>
            <w:vMerge/>
          </w:tcPr>
          <w:p w14:paraId="4DF5B17D" w14:textId="77777777" w:rsidR="001831FD" w:rsidRPr="003B6CF7" w:rsidRDefault="001831FD" w:rsidP="001831FD">
            <w:pPr>
              <w:spacing w:before="120" w:after="120" w:line="360" w:lineRule="auto"/>
              <w:rPr>
                <w:szCs w:val="24"/>
                <w:lang w:val="en-GB" w:eastAsia="en-US"/>
              </w:rPr>
            </w:pPr>
          </w:p>
        </w:tc>
        <w:tc>
          <w:tcPr>
            <w:tcW w:w="675" w:type="pct"/>
            <w:vMerge/>
          </w:tcPr>
          <w:p w14:paraId="65A6DAFB" w14:textId="77777777" w:rsidR="001831FD" w:rsidRPr="003B6CF7" w:rsidRDefault="001831FD" w:rsidP="001831FD">
            <w:pPr>
              <w:spacing w:before="120" w:after="120" w:line="360" w:lineRule="auto"/>
              <w:rPr>
                <w:szCs w:val="24"/>
                <w:lang w:val="en-GB" w:eastAsia="en-US"/>
              </w:rPr>
            </w:pPr>
          </w:p>
        </w:tc>
        <w:tc>
          <w:tcPr>
            <w:tcW w:w="0" w:type="auto"/>
          </w:tcPr>
          <w:p w14:paraId="4D2BAF77" w14:textId="5322B148" w:rsidR="001831FD" w:rsidRPr="003B6CF7" w:rsidRDefault="001831FD" w:rsidP="001831FD">
            <w:pPr>
              <w:spacing w:before="120" w:after="120" w:line="360" w:lineRule="auto"/>
              <w:rPr>
                <w:szCs w:val="24"/>
                <w:lang w:val="en-GB" w:eastAsia="en-US"/>
              </w:rPr>
            </w:pPr>
            <w:r w:rsidRPr="003B6CF7">
              <w:rPr>
                <w:strike/>
                <w:szCs w:val="24"/>
                <w:lang w:val="en-GB" w:eastAsia="en-US"/>
              </w:rPr>
              <w:t>0,5</w:t>
            </w:r>
            <w:r w:rsidR="00724306" w:rsidRPr="003B6CF7">
              <w:rPr>
                <w:b/>
                <w:i/>
                <w:szCs w:val="24"/>
                <w:lang w:val="en-GB" w:eastAsia="en-US"/>
              </w:rPr>
              <w:t>0,25</w:t>
            </w:r>
            <w:r w:rsidRPr="003B6CF7">
              <w:rPr>
                <w:szCs w:val="24"/>
                <w:lang w:val="en-GB" w:eastAsia="en-US"/>
              </w:rPr>
              <w:t xml:space="preserve"> (</w:t>
            </w:r>
            <w:proofErr w:type="spellStart"/>
            <w:r w:rsidRPr="003B6CF7">
              <w:rPr>
                <w:szCs w:val="24"/>
                <w:lang w:val="en-GB" w:eastAsia="en-US"/>
              </w:rPr>
              <w:t>totalt</w:t>
            </w:r>
            <w:proofErr w:type="spellEnd"/>
            <w:r w:rsidRPr="003B6CF7">
              <w:rPr>
                <w:szCs w:val="24"/>
                <w:lang w:val="en-GB" w:eastAsia="en-US"/>
              </w:rPr>
              <w:t xml:space="preserve">) </w:t>
            </w:r>
            <w:r w:rsidRPr="003B6CF7">
              <w:rPr>
                <w:szCs w:val="24"/>
                <w:vertAlign w:val="superscript"/>
                <w:lang w:val="en-GB" w:eastAsia="en-US"/>
              </w:rPr>
              <w:t>(5)</w:t>
            </w:r>
          </w:p>
        </w:tc>
      </w:tr>
      <w:tr w:rsidR="00DD6859" w:rsidRPr="003B6CF7" w14:paraId="06AA028E" w14:textId="77777777" w:rsidTr="003B6CF7">
        <w:tc>
          <w:tcPr>
            <w:tcW w:w="752" w:type="pct"/>
          </w:tcPr>
          <w:p w14:paraId="6E07432E" w14:textId="77777777" w:rsidR="001831FD" w:rsidRPr="003B6CF7" w:rsidRDefault="001831FD" w:rsidP="001831FD">
            <w:pPr>
              <w:spacing w:before="120" w:after="120" w:line="360" w:lineRule="auto"/>
              <w:rPr>
                <w:szCs w:val="24"/>
                <w:lang w:val="en-GB" w:eastAsia="en-US"/>
              </w:rPr>
            </w:pPr>
            <w:r w:rsidRPr="003B6CF7">
              <w:rPr>
                <w:szCs w:val="24"/>
                <w:lang w:val="en-GB" w:eastAsia="en-US"/>
              </w:rPr>
              <w:t>3</w:t>
            </w:r>
          </w:p>
        </w:tc>
        <w:tc>
          <w:tcPr>
            <w:tcW w:w="0" w:type="auto"/>
          </w:tcPr>
          <w:p w14:paraId="27A92A28" w14:textId="77777777" w:rsidR="001831FD" w:rsidRPr="003B6CF7" w:rsidRDefault="001831FD" w:rsidP="001831FD">
            <w:pPr>
              <w:spacing w:before="120" w:after="120" w:line="360" w:lineRule="auto"/>
              <w:rPr>
                <w:szCs w:val="24"/>
                <w:lang w:eastAsia="en-US"/>
              </w:rPr>
            </w:pPr>
            <w:r w:rsidRPr="003B6CF7">
              <w:rPr>
                <w:szCs w:val="24"/>
                <w:lang w:eastAsia="en-US"/>
              </w:rPr>
              <w:t xml:space="preserve">Per- och </w:t>
            </w:r>
            <w:proofErr w:type="spellStart"/>
            <w:r w:rsidRPr="003B6CF7">
              <w:rPr>
                <w:szCs w:val="24"/>
                <w:lang w:eastAsia="en-US"/>
              </w:rPr>
              <w:t>polyfluoralkylerade</w:t>
            </w:r>
            <w:proofErr w:type="spellEnd"/>
            <w:r w:rsidRPr="003B6CF7">
              <w:rPr>
                <w:szCs w:val="24"/>
                <w:lang w:eastAsia="en-US"/>
              </w:rPr>
              <w:t xml:space="preserve"> ämnen (PFAS) – summan av 24 (6)</w:t>
            </w:r>
          </w:p>
        </w:tc>
        <w:tc>
          <w:tcPr>
            <w:tcW w:w="0" w:type="auto"/>
          </w:tcPr>
          <w:p w14:paraId="1FC3107B"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Industriella</w:t>
            </w:r>
            <w:proofErr w:type="spellEnd"/>
            <w:r w:rsidRPr="003B6CF7">
              <w:rPr>
                <w:szCs w:val="24"/>
                <w:lang w:val="en-GB" w:eastAsia="en-US"/>
              </w:rPr>
              <w:t xml:space="preserve"> </w:t>
            </w:r>
            <w:proofErr w:type="spellStart"/>
            <w:r w:rsidRPr="003B6CF7">
              <w:rPr>
                <w:szCs w:val="24"/>
                <w:lang w:val="en-GB" w:eastAsia="en-US"/>
              </w:rPr>
              <w:t>ämnen</w:t>
            </w:r>
            <w:proofErr w:type="spellEnd"/>
          </w:p>
        </w:tc>
        <w:tc>
          <w:tcPr>
            <w:tcW w:w="0" w:type="auto"/>
          </w:tcPr>
          <w:p w14:paraId="195C1142"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Se </w:t>
            </w:r>
            <w:proofErr w:type="spellStart"/>
            <w:r w:rsidRPr="003B6CF7">
              <w:rPr>
                <w:szCs w:val="24"/>
                <w:lang w:val="en-GB" w:eastAsia="en-US"/>
              </w:rPr>
              <w:t>tabellfotnot</w:t>
            </w:r>
            <w:proofErr w:type="spellEnd"/>
            <w:r w:rsidRPr="003B6CF7">
              <w:rPr>
                <w:szCs w:val="24"/>
                <w:lang w:val="en-GB" w:eastAsia="en-US"/>
              </w:rPr>
              <w:t xml:space="preserve"> 6</w:t>
            </w:r>
          </w:p>
        </w:tc>
        <w:tc>
          <w:tcPr>
            <w:tcW w:w="675" w:type="pct"/>
          </w:tcPr>
          <w:p w14:paraId="7C0ECAE5"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Se </w:t>
            </w:r>
            <w:proofErr w:type="spellStart"/>
            <w:r w:rsidRPr="003B6CF7">
              <w:rPr>
                <w:szCs w:val="24"/>
                <w:lang w:val="en-GB" w:eastAsia="en-US"/>
              </w:rPr>
              <w:t>tabellfotnot</w:t>
            </w:r>
            <w:proofErr w:type="spellEnd"/>
            <w:r w:rsidRPr="003B6CF7">
              <w:rPr>
                <w:szCs w:val="24"/>
                <w:lang w:val="en-GB" w:eastAsia="en-US"/>
              </w:rPr>
              <w:t xml:space="preserve"> 6</w:t>
            </w:r>
          </w:p>
        </w:tc>
        <w:tc>
          <w:tcPr>
            <w:tcW w:w="0" w:type="auto"/>
          </w:tcPr>
          <w:p w14:paraId="5E8A9CB0"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0,0044 </w:t>
            </w:r>
            <w:r w:rsidRPr="003B6CF7">
              <w:rPr>
                <w:szCs w:val="24"/>
                <w:vertAlign w:val="superscript"/>
                <w:lang w:val="en-GB" w:eastAsia="en-US"/>
              </w:rPr>
              <w:t>(7)</w:t>
            </w:r>
          </w:p>
        </w:tc>
      </w:tr>
      <w:tr w:rsidR="00DD6859" w:rsidRPr="003B6CF7" w14:paraId="5DA19550" w14:textId="77777777" w:rsidTr="003B6CF7">
        <w:tc>
          <w:tcPr>
            <w:tcW w:w="752" w:type="pct"/>
          </w:tcPr>
          <w:p w14:paraId="56BF3E42" w14:textId="0EDE4E89" w:rsidR="00DD6859" w:rsidRPr="003B6CF7" w:rsidRDefault="00DD6859" w:rsidP="001831FD">
            <w:pPr>
              <w:spacing w:before="120" w:after="120" w:line="360" w:lineRule="auto"/>
              <w:rPr>
                <w:b/>
                <w:szCs w:val="24"/>
                <w:lang w:val="en-GB" w:eastAsia="en-US"/>
              </w:rPr>
            </w:pPr>
            <w:proofErr w:type="spellStart"/>
            <w:r w:rsidRPr="003B6CF7">
              <w:rPr>
                <w:b/>
                <w:i/>
                <w:szCs w:val="24"/>
                <w:lang w:val="en-GB" w:eastAsia="en-US"/>
              </w:rPr>
              <w:t>3a</w:t>
            </w:r>
            <w:proofErr w:type="spellEnd"/>
            <w:r w:rsidRPr="003B6CF7">
              <w:rPr>
                <w:b/>
                <w:szCs w:val="24"/>
                <w:lang w:val="en-GB" w:eastAsia="en-US"/>
              </w:rPr>
              <w:t xml:space="preserve"> [</w:t>
            </w:r>
            <w:proofErr w:type="spellStart"/>
            <w:r w:rsidRPr="003B6CF7">
              <w:rPr>
                <w:b/>
                <w:szCs w:val="24"/>
                <w:lang w:val="en-GB" w:eastAsia="en-US"/>
              </w:rPr>
              <w:t>Ändr</w:t>
            </w:r>
            <w:proofErr w:type="spellEnd"/>
            <w:r w:rsidRPr="003B6CF7">
              <w:rPr>
                <w:b/>
                <w:szCs w:val="24"/>
                <w:lang w:val="en-GB" w:eastAsia="en-US"/>
              </w:rPr>
              <w:t>. 145]</w:t>
            </w:r>
          </w:p>
        </w:tc>
        <w:tc>
          <w:tcPr>
            <w:tcW w:w="0" w:type="auto"/>
          </w:tcPr>
          <w:p w14:paraId="01C45521" w14:textId="06C29C9B" w:rsidR="00DD6859" w:rsidRPr="003B6CF7" w:rsidRDefault="00DD6859" w:rsidP="001831FD">
            <w:pPr>
              <w:spacing w:before="120" w:after="120" w:line="360" w:lineRule="auto"/>
              <w:rPr>
                <w:szCs w:val="24"/>
                <w:lang w:eastAsia="en-US"/>
              </w:rPr>
            </w:pPr>
            <w:r w:rsidRPr="003B6CF7">
              <w:rPr>
                <w:b/>
                <w:i/>
                <w:szCs w:val="24"/>
              </w:rPr>
              <w:t>PFAS – totalt</w:t>
            </w:r>
          </w:p>
        </w:tc>
        <w:tc>
          <w:tcPr>
            <w:tcW w:w="0" w:type="auto"/>
          </w:tcPr>
          <w:p w14:paraId="64027CB9" w14:textId="14461028" w:rsidR="00DD6859" w:rsidRPr="003B6CF7" w:rsidRDefault="00DD6859" w:rsidP="001831FD">
            <w:pPr>
              <w:spacing w:before="120" w:after="120" w:line="360" w:lineRule="auto"/>
              <w:rPr>
                <w:szCs w:val="24"/>
                <w:lang w:val="en-GB" w:eastAsia="en-US"/>
              </w:rPr>
            </w:pPr>
            <w:r w:rsidRPr="003B6CF7">
              <w:rPr>
                <w:b/>
                <w:i/>
                <w:szCs w:val="24"/>
              </w:rPr>
              <w:t>Industriella ämnen</w:t>
            </w:r>
          </w:p>
        </w:tc>
        <w:tc>
          <w:tcPr>
            <w:tcW w:w="0" w:type="auto"/>
          </w:tcPr>
          <w:p w14:paraId="4E77A5B7" w14:textId="04836ABF" w:rsidR="00DD6859" w:rsidRPr="003B6CF7" w:rsidRDefault="00DD6859" w:rsidP="001831FD">
            <w:pPr>
              <w:spacing w:before="120" w:after="120" w:line="360" w:lineRule="auto"/>
              <w:rPr>
                <w:szCs w:val="24"/>
                <w:lang w:val="en-GB" w:eastAsia="en-US"/>
              </w:rPr>
            </w:pPr>
            <w:r w:rsidRPr="003B6CF7">
              <w:rPr>
                <w:b/>
                <w:i/>
                <w:szCs w:val="24"/>
              </w:rPr>
              <w:t>Ej tillämpligt</w:t>
            </w:r>
          </w:p>
        </w:tc>
        <w:tc>
          <w:tcPr>
            <w:tcW w:w="675" w:type="pct"/>
          </w:tcPr>
          <w:p w14:paraId="5F1D4C86" w14:textId="6F344BD2" w:rsidR="00DD6859" w:rsidRPr="003B6CF7" w:rsidRDefault="00DD6859" w:rsidP="001831FD">
            <w:pPr>
              <w:spacing w:before="120" w:after="120" w:line="360" w:lineRule="auto"/>
              <w:rPr>
                <w:szCs w:val="24"/>
                <w:lang w:val="en-GB" w:eastAsia="en-US"/>
              </w:rPr>
            </w:pPr>
            <w:r w:rsidRPr="003B6CF7">
              <w:rPr>
                <w:b/>
                <w:i/>
                <w:szCs w:val="24"/>
              </w:rPr>
              <w:t>Ej tillämpligt</w:t>
            </w:r>
          </w:p>
        </w:tc>
        <w:tc>
          <w:tcPr>
            <w:tcW w:w="0" w:type="auto"/>
          </w:tcPr>
          <w:p w14:paraId="020D91DE" w14:textId="0BC75DEE" w:rsidR="00DD6859" w:rsidRPr="003B6CF7" w:rsidRDefault="00DD6859" w:rsidP="001831FD">
            <w:pPr>
              <w:spacing w:before="120" w:after="120" w:line="360" w:lineRule="auto"/>
              <w:rPr>
                <w:szCs w:val="24"/>
                <w:vertAlign w:val="superscript"/>
                <w:lang w:val="en-GB" w:eastAsia="en-US"/>
              </w:rPr>
            </w:pPr>
            <w:r w:rsidRPr="003B6CF7">
              <w:rPr>
                <w:b/>
                <w:i/>
                <w:szCs w:val="24"/>
                <w:vertAlign w:val="superscript"/>
              </w:rPr>
              <w:t>(7a)</w:t>
            </w:r>
          </w:p>
        </w:tc>
      </w:tr>
      <w:tr w:rsidR="00DD6859" w:rsidRPr="003B6CF7" w14:paraId="2DCBD234" w14:textId="77777777" w:rsidTr="003B6CF7">
        <w:tc>
          <w:tcPr>
            <w:tcW w:w="752" w:type="pct"/>
          </w:tcPr>
          <w:p w14:paraId="4330A34E" w14:textId="5B5A143E" w:rsidR="001831FD" w:rsidRPr="003B6CF7" w:rsidRDefault="001831FD" w:rsidP="001831FD">
            <w:pPr>
              <w:spacing w:before="120" w:after="120" w:line="360" w:lineRule="auto"/>
              <w:rPr>
                <w:b/>
                <w:szCs w:val="24"/>
                <w:lang w:val="en-GB" w:eastAsia="en-US"/>
              </w:rPr>
            </w:pPr>
            <w:r w:rsidRPr="003B6CF7">
              <w:rPr>
                <w:szCs w:val="24"/>
                <w:lang w:val="en-GB" w:eastAsia="en-US"/>
              </w:rPr>
              <w:t>4</w:t>
            </w:r>
            <w:r w:rsidR="00DD6859" w:rsidRPr="003B6CF7">
              <w:rPr>
                <w:b/>
                <w:szCs w:val="24"/>
                <w:lang w:val="en-GB" w:eastAsia="en-US"/>
              </w:rPr>
              <w:t xml:space="preserve"> [</w:t>
            </w:r>
            <w:proofErr w:type="spellStart"/>
            <w:r w:rsidR="00DD6859" w:rsidRPr="003B6CF7">
              <w:rPr>
                <w:b/>
                <w:szCs w:val="24"/>
                <w:lang w:val="en-GB" w:eastAsia="en-US"/>
              </w:rPr>
              <w:t>Ändr</w:t>
            </w:r>
            <w:proofErr w:type="spellEnd"/>
            <w:r w:rsidR="00DD6859" w:rsidRPr="003B6CF7">
              <w:rPr>
                <w:b/>
                <w:szCs w:val="24"/>
                <w:lang w:val="en-GB" w:eastAsia="en-US"/>
              </w:rPr>
              <w:t>. 146]</w:t>
            </w:r>
          </w:p>
        </w:tc>
        <w:tc>
          <w:tcPr>
            <w:tcW w:w="0" w:type="auto"/>
          </w:tcPr>
          <w:p w14:paraId="3BF5B723"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Karbamazepin</w:t>
            </w:r>
            <w:proofErr w:type="spellEnd"/>
          </w:p>
        </w:tc>
        <w:tc>
          <w:tcPr>
            <w:tcW w:w="0" w:type="auto"/>
          </w:tcPr>
          <w:p w14:paraId="5C7F7E59"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Läkemedel</w:t>
            </w:r>
            <w:proofErr w:type="spellEnd"/>
          </w:p>
        </w:tc>
        <w:tc>
          <w:tcPr>
            <w:tcW w:w="0" w:type="auto"/>
          </w:tcPr>
          <w:p w14:paraId="221F04DC" w14:textId="77777777" w:rsidR="001831FD" w:rsidRPr="003B6CF7" w:rsidRDefault="001831FD" w:rsidP="001831FD">
            <w:pPr>
              <w:spacing w:before="120" w:after="120" w:line="360" w:lineRule="auto"/>
              <w:rPr>
                <w:szCs w:val="24"/>
                <w:lang w:val="en-GB" w:eastAsia="en-US"/>
              </w:rPr>
            </w:pPr>
            <w:r w:rsidRPr="003B6CF7">
              <w:rPr>
                <w:szCs w:val="24"/>
                <w:lang w:val="en-GB" w:eastAsia="en-US"/>
              </w:rPr>
              <w:t>298-46-4</w:t>
            </w:r>
          </w:p>
        </w:tc>
        <w:tc>
          <w:tcPr>
            <w:tcW w:w="675" w:type="pct"/>
          </w:tcPr>
          <w:p w14:paraId="1B0A2E50"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0" w:type="auto"/>
          </w:tcPr>
          <w:p w14:paraId="709F63FD" w14:textId="783AADE3" w:rsidR="001831FD" w:rsidRPr="003B6CF7" w:rsidRDefault="001831FD" w:rsidP="001831FD">
            <w:pPr>
              <w:spacing w:before="120" w:after="120" w:line="360" w:lineRule="auto"/>
              <w:rPr>
                <w:strike/>
                <w:szCs w:val="24"/>
                <w:lang w:val="en-GB" w:eastAsia="en-US"/>
              </w:rPr>
            </w:pPr>
            <w:r w:rsidRPr="003B6CF7">
              <w:rPr>
                <w:strike/>
                <w:szCs w:val="24"/>
                <w:lang w:val="en-GB" w:eastAsia="en-US"/>
              </w:rPr>
              <w:t>0,25</w:t>
            </w:r>
            <w:r w:rsidR="00DD6859" w:rsidRPr="003B6CF7">
              <w:rPr>
                <w:b/>
                <w:i/>
                <w:szCs w:val="24"/>
              </w:rPr>
              <w:t>0,025</w:t>
            </w:r>
          </w:p>
        </w:tc>
      </w:tr>
      <w:tr w:rsidR="00DD6859" w:rsidRPr="003B6CF7" w14:paraId="6DB3DAD3" w14:textId="77777777" w:rsidTr="003B6CF7">
        <w:tc>
          <w:tcPr>
            <w:tcW w:w="752" w:type="pct"/>
          </w:tcPr>
          <w:p w14:paraId="7F4BE0F0" w14:textId="77777777" w:rsidR="001831FD" w:rsidRPr="003B6CF7" w:rsidRDefault="001831FD" w:rsidP="001831FD">
            <w:pPr>
              <w:spacing w:before="120" w:after="120" w:line="360" w:lineRule="auto"/>
              <w:rPr>
                <w:szCs w:val="24"/>
                <w:lang w:val="en-GB" w:eastAsia="en-US"/>
              </w:rPr>
            </w:pPr>
            <w:r w:rsidRPr="003B6CF7">
              <w:rPr>
                <w:szCs w:val="24"/>
                <w:lang w:val="en-GB" w:eastAsia="en-US"/>
              </w:rPr>
              <w:t>5</w:t>
            </w:r>
          </w:p>
        </w:tc>
        <w:tc>
          <w:tcPr>
            <w:tcW w:w="0" w:type="auto"/>
          </w:tcPr>
          <w:p w14:paraId="1D016567"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Sulfametoxazol</w:t>
            </w:r>
            <w:proofErr w:type="spellEnd"/>
          </w:p>
        </w:tc>
        <w:tc>
          <w:tcPr>
            <w:tcW w:w="0" w:type="auto"/>
          </w:tcPr>
          <w:p w14:paraId="599BF0F7"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Läkemedel</w:t>
            </w:r>
            <w:proofErr w:type="spellEnd"/>
          </w:p>
        </w:tc>
        <w:tc>
          <w:tcPr>
            <w:tcW w:w="0" w:type="auto"/>
          </w:tcPr>
          <w:p w14:paraId="4E7817AF" w14:textId="77777777" w:rsidR="001831FD" w:rsidRPr="003B6CF7" w:rsidRDefault="001831FD" w:rsidP="001831FD">
            <w:pPr>
              <w:spacing w:before="120" w:after="120" w:line="360" w:lineRule="auto"/>
              <w:rPr>
                <w:szCs w:val="24"/>
                <w:lang w:val="en-GB" w:eastAsia="en-US"/>
              </w:rPr>
            </w:pPr>
            <w:r w:rsidRPr="003B6CF7">
              <w:rPr>
                <w:szCs w:val="24"/>
                <w:lang w:val="en-GB" w:eastAsia="en-US"/>
              </w:rPr>
              <w:t>723-46-6</w:t>
            </w:r>
          </w:p>
        </w:tc>
        <w:tc>
          <w:tcPr>
            <w:tcW w:w="675" w:type="pct"/>
          </w:tcPr>
          <w:p w14:paraId="70317A40"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0" w:type="auto"/>
          </w:tcPr>
          <w:p w14:paraId="352BD5BF" w14:textId="77777777" w:rsidR="001831FD" w:rsidRPr="003B6CF7" w:rsidRDefault="001831FD" w:rsidP="001831FD">
            <w:pPr>
              <w:spacing w:before="120" w:after="120" w:line="360" w:lineRule="auto"/>
              <w:rPr>
                <w:szCs w:val="24"/>
                <w:lang w:val="en-GB" w:eastAsia="en-US"/>
              </w:rPr>
            </w:pPr>
            <w:r w:rsidRPr="003B6CF7">
              <w:rPr>
                <w:szCs w:val="24"/>
                <w:lang w:val="en-GB" w:eastAsia="en-US"/>
              </w:rPr>
              <w:t>0,01</w:t>
            </w:r>
          </w:p>
        </w:tc>
      </w:tr>
      <w:tr w:rsidR="00DD6859" w:rsidRPr="003B6CF7" w14:paraId="2A52E75D" w14:textId="77777777" w:rsidTr="003B6CF7">
        <w:tc>
          <w:tcPr>
            <w:tcW w:w="752" w:type="pct"/>
          </w:tcPr>
          <w:p w14:paraId="27DEB3B6" w14:textId="4269EDAD" w:rsidR="001831FD" w:rsidRPr="003B6CF7" w:rsidRDefault="001831FD" w:rsidP="001831FD">
            <w:pPr>
              <w:spacing w:before="120" w:after="120" w:line="360" w:lineRule="auto"/>
              <w:rPr>
                <w:b/>
                <w:szCs w:val="24"/>
                <w:lang w:val="en-GB" w:eastAsia="en-US"/>
              </w:rPr>
            </w:pPr>
            <w:r w:rsidRPr="003B6CF7">
              <w:rPr>
                <w:szCs w:val="24"/>
                <w:lang w:val="en-GB" w:eastAsia="en-US"/>
              </w:rPr>
              <w:t>6</w:t>
            </w:r>
            <w:r w:rsidR="00E320C2" w:rsidRPr="003B6CF7">
              <w:rPr>
                <w:b/>
                <w:szCs w:val="24"/>
                <w:lang w:val="en-GB" w:eastAsia="en-US"/>
              </w:rPr>
              <w:t xml:space="preserve"> [</w:t>
            </w:r>
            <w:proofErr w:type="spellStart"/>
            <w:r w:rsidR="00E320C2" w:rsidRPr="003B6CF7">
              <w:rPr>
                <w:b/>
                <w:szCs w:val="24"/>
                <w:lang w:val="en-GB" w:eastAsia="en-US"/>
              </w:rPr>
              <w:t>Ändr</w:t>
            </w:r>
            <w:proofErr w:type="spellEnd"/>
            <w:r w:rsidR="00E320C2" w:rsidRPr="003B6CF7">
              <w:rPr>
                <w:b/>
                <w:szCs w:val="24"/>
                <w:lang w:val="en-GB" w:eastAsia="en-US"/>
              </w:rPr>
              <w:t>. 147]</w:t>
            </w:r>
          </w:p>
        </w:tc>
        <w:tc>
          <w:tcPr>
            <w:tcW w:w="0" w:type="auto"/>
          </w:tcPr>
          <w:p w14:paraId="25A105B1"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Farmakologiskt</w:t>
            </w:r>
            <w:proofErr w:type="spellEnd"/>
            <w:r w:rsidRPr="003B6CF7">
              <w:rPr>
                <w:szCs w:val="24"/>
                <w:lang w:val="en-GB" w:eastAsia="en-US"/>
              </w:rPr>
              <w:t xml:space="preserve"> </w:t>
            </w:r>
            <w:proofErr w:type="spellStart"/>
            <w:r w:rsidRPr="003B6CF7">
              <w:rPr>
                <w:szCs w:val="24"/>
                <w:lang w:val="en-GB" w:eastAsia="en-US"/>
              </w:rPr>
              <w:t>aktiva</w:t>
            </w:r>
            <w:proofErr w:type="spellEnd"/>
            <w:r w:rsidRPr="003B6CF7">
              <w:rPr>
                <w:szCs w:val="24"/>
                <w:lang w:val="en-GB" w:eastAsia="en-US"/>
              </w:rPr>
              <w:t xml:space="preserve"> </w:t>
            </w:r>
            <w:proofErr w:type="spellStart"/>
            <w:r w:rsidRPr="003B6CF7">
              <w:rPr>
                <w:szCs w:val="24"/>
                <w:lang w:val="en-GB" w:eastAsia="en-US"/>
              </w:rPr>
              <w:t>substanser</w:t>
            </w:r>
            <w:proofErr w:type="spellEnd"/>
            <w:r w:rsidRPr="003B6CF7">
              <w:rPr>
                <w:szCs w:val="24"/>
                <w:lang w:val="en-GB" w:eastAsia="en-US"/>
              </w:rPr>
              <w:t xml:space="preserve"> – </w:t>
            </w:r>
            <w:proofErr w:type="spellStart"/>
            <w:r w:rsidRPr="003B6CF7">
              <w:rPr>
                <w:szCs w:val="24"/>
                <w:lang w:val="en-GB" w:eastAsia="en-US"/>
              </w:rPr>
              <w:t>totalt</w:t>
            </w:r>
            <w:proofErr w:type="spellEnd"/>
            <w:r w:rsidRPr="003B6CF7">
              <w:rPr>
                <w:szCs w:val="24"/>
                <w:lang w:val="en-GB" w:eastAsia="en-US"/>
              </w:rPr>
              <w:t xml:space="preserve"> </w:t>
            </w:r>
            <w:r w:rsidRPr="003B6CF7">
              <w:rPr>
                <w:szCs w:val="24"/>
                <w:vertAlign w:val="superscript"/>
                <w:lang w:val="en-GB" w:eastAsia="en-US"/>
              </w:rPr>
              <w:t>(8)</w:t>
            </w:r>
          </w:p>
        </w:tc>
        <w:tc>
          <w:tcPr>
            <w:tcW w:w="0" w:type="auto"/>
          </w:tcPr>
          <w:p w14:paraId="2D641019"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Läkemedel</w:t>
            </w:r>
            <w:proofErr w:type="spellEnd"/>
          </w:p>
        </w:tc>
        <w:tc>
          <w:tcPr>
            <w:tcW w:w="0" w:type="auto"/>
          </w:tcPr>
          <w:p w14:paraId="72CA5CC8"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675" w:type="pct"/>
          </w:tcPr>
          <w:p w14:paraId="58564C5B"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Ej</w:t>
            </w:r>
            <w:proofErr w:type="spellEnd"/>
            <w:r w:rsidRPr="003B6CF7">
              <w:rPr>
                <w:szCs w:val="24"/>
                <w:lang w:val="en-GB" w:eastAsia="en-US"/>
              </w:rPr>
              <w:t xml:space="preserve"> </w:t>
            </w:r>
            <w:proofErr w:type="spellStart"/>
            <w:r w:rsidRPr="003B6CF7">
              <w:rPr>
                <w:szCs w:val="24"/>
                <w:lang w:val="en-GB" w:eastAsia="en-US"/>
              </w:rPr>
              <w:t>tillämpligt</w:t>
            </w:r>
            <w:proofErr w:type="spellEnd"/>
          </w:p>
        </w:tc>
        <w:tc>
          <w:tcPr>
            <w:tcW w:w="0" w:type="auto"/>
          </w:tcPr>
          <w:p w14:paraId="01BC27E3" w14:textId="72482E8F" w:rsidR="001831FD" w:rsidRPr="003B6CF7" w:rsidRDefault="001831FD" w:rsidP="001831FD">
            <w:pPr>
              <w:spacing w:before="120" w:after="120" w:line="360" w:lineRule="auto"/>
              <w:rPr>
                <w:strike/>
                <w:szCs w:val="24"/>
                <w:lang w:val="en-GB" w:eastAsia="en-US"/>
              </w:rPr>
            </w:pPr>
            <w:r w:rsidRPr="003B6CF7">
              <w:rPr>
                <w:strike/>
                <w:szCs w:val="24"/>
                <w:lang w:val="en-GB" w:eastAsia="en-US"/>
              </w:rPr>
              <w:t>0,25</w:t>
            </w:r>
            <w:r w:rsidR="00E320C2" w:rsidRPr="003B6CF7">
              <w:rPr>
                <w:b/>
                <w:i/>
                <w:szCs w:val="24"/>
              </w:rPr>
              <w:t>0,025</w:t>
            </w:r>
          </w:p>
        </w:tc>
      </w:tr>
      <w:tr w:rsidR="00DD6859" w:rsidRPr="003B6CF7" w14:paraId="178440FE" w14:textId="77777777" w:rsidTr="003B6CF7">
        <w:tc>
          <w:tcPr>
            <w:tcW w:w="752" w:type="pct"/>
            <w:vMerge w:val="restart"/>
          </w:tcPr>
          <w:p w14:paraId="4982A198" w14:textId="793EBBD1" w:rsidR="001831FD" w:rsidRPr="003B6CF7" w:rsidRDefault="001831FD" w:rsidP="001831FD">
            <w:pPr>
              <w:spacing w:before="120" w:after="120" w:line="360" w:lineRule="auto"/>
              <w:rPr>
                <w:szCs w:val="24"/>
                <w:lang w:eastAsia="en-US"/>
              </w:rPr>
            </w:pPr>
            <w:r w:rsidRPr="003B6CF7">
              <w:rPr>
                <w:szCs w:val="24"/>
                <w:lang w:eastAsia="en-US"/>
              </w:rPr>
              <w:t>7</w:t>
            </w:r>
            <w:r w:rsidR="00E320C2" w:rsidRPr="003B6CF7">
              <w:rPr>
                <w:b/>
                <w:szCs w:val="24"/>
                <w:lang w:eastAsia="en-US"/>
              </w:rPr>
              <w:t xml:space="preserve"> [Ändr. 148]</w:t>
            </w:r>
          </w:p>
        </w:tc>
        <w:tc>
          <w:tcPr>
            <w:tcW w:w="0" w:type="auto"/>
            <w:vMerge w:val="restart"/>
          </w:tcPr>
          <w:p w14:paraId="337E27A6" w14:textId="77777777" w:rsidR="001831FD" w:rsidRPr="003B6CF7" w:rsidRDefault="001831FD" w:rsidP="001831FD">
            <w:pPr>
              <w:spacing w:before="120" w:after="120" w:line="360" w:lineRule="auto"/>
              <w:rPr>
                <w:szCs w:val="24"/>
                <w:lang w:eastAsia="en-US"/>
              </w:rPr>
            </w:pPr>
            <w:r w:rsidRPr="003B6CF7">
              <w:rPr>
                <w:szCs w:val="24"/>
                <w:lang w:eastAsia="en-US"/>
              </w:rPr>
              <w:t>Icke-relevanta metaboliter av bekämpningsmedel</w:t>
            </w:r>
          </w:p>
        </w:tc>
        <w:tc>
          <w:tcPr>
            <w:tcW w:w="0" w:type="auto"/>
            <w:vMerge w:val="restart"/>
          </w:tcPr>
          <w:p w14:paraId="09C3E692" w14:textId="77777777" w:rsidR="001831FD" w:rsidRPr="003B6CF7" w:rsidRDefault="001831FD" w:rsidP="001831FD">
            <w:pPr>
              <w:spacing w:before="120" w:after="120" w:line="360" w:lineRule="auto"/>
              <w:rPr>
                <w:szCs w:val="24"/>
                <w:lang w:eastAsia="en-US"/>
              </w:rPr>
            </w:pPr>
            <w:r w:rsidRPr="003B6CF7">
              <w:rPr>
                <w:szCs w:val="24"/>
                <w:lang w:eastAsia="en-US"/>
              </w:rPr>
              <w:t>Bekämpningsmedel</w:t>
            </w:r>
          </w:p>
        </w:tc>
        <w:tc>
          <w:tcPr>
            <w:tcW w:w="0" w:type="auto"/>
            <w:vMerge w:val="restart"/>
          </w:tcPr>
          <w:p w14:paraId="3B712BA8" w14:textId="77777777" w:rsidR="001831FD" w:rsidRPr="003B6CF7" w:rsidRDefault="001831FD" w:rsidP="001831FD">
            <w:pPr>
              <w:spacing w:before="120" w:after="120" w:line="360" w:lineRule="auto"/>
              <w:rPr>
                <w:szCs w:val="24"/>
                <w:lang w:eastAsia="en-US"/>
              </w:rPr>
            </w:pPr>
            <w:r w:rsidRPr="003B6CF7">
              <w:rPr>
                <w:szCs w:val="24"/>
                <w:lang w:eastAsia="en-US"/>
              </w:rPr>
              <w:t>Ej tillämpligt</w:t>
            </w:r>
          </w:p>
        </w:tc>
        <w:tc>
          <w:tcPr>
            <w:tcW w:w="675" w:type="pct"/>
            <w:vMerge w:val="restart"/>
          </w:tcPr>
          <w:p w14:paraId="7FA4A3D8" w14:textId="77777777" w:rsidR="001831FD" w:rsidRPr="003B6CF7" w:rsidRDefault="001831FD" w:rsidP="001831FD">
            <w:pPr>
              <w:spacing w:before="120" w:after="120" w:line="360" w:lineRule="auto"/>
              <w:rPr>
                <w:szCs w:val="24"/>
                <w:lang w:eastAsia="en-US"/>
              </w:rPr>
            </w:pPr>
            <w:r w:rsidRPr="003B6CF7">
              <w:rPr>
                <w:szCs w:val="24"/>
                <w:lang w:eastAsia="en-US"/>
              </w:rPr>
              <w:t>Ej tillämpligt</w:t>
            </w:r>
          </w:p>
        </w:tc>
        <w:tc>
          <w:tcPr>
            <w:tcW w:w="0" w:type="auto"/>
          </w:tcPr>
          <w:p w14:paraId="6A2E912C" w14:textId="77777777" w:rsidR="001831FD" w:rsidRPr="003B6CF7" w:rsidRDefault="001831FD" w:rsidP="001831FD">
            <w:pPr>
              <w:spacing w:before="120" w:after="120" w:line="360" w:lineRule="auto"/>
              <w:rPr>
                <w:szCs w:val="24"/>
                <w:lang w:eastAsia="en-US"/>
              </w:rPr>
            </w:pPr>
            <w:r w:rsidRPr="003B6CF7">
              <w:rPr>
                <w:szCs w:val="24"/>
                <w:lang w:eastAsia="en-US"/>
              </w:rPr>
              <w:t>0,1</w:t>
            </w:r>
            <w:r w:rsidRPr="003B6CF7">
              <w:rPr>
                <w:strike/>
                <w:szCs w:val="24"/>
                <w:lang w:eastAsia="en-US"/>
              </w:rPr>
              <w:t xml:space="preserve"> </w:t>
            </w:r>
            <w:r w:rsidRPr="003B6CF7">
              <w:rPr>
                <w:strike/>
                <w:szCs w:val="24"/>
                <w:vertAlign w:val="superscript"/>
                <w:lang w:eastAsia="en-US"/>
              </w:rPr>
              <w:t>(9)</w:t>
            </w:r>
            <w:r w:rsidRPr="003B6CF7">
              <w:rPr>
                <w:strike/>
                <w:szCs w:val="24"/>
                <w:lang w:eastAsia="en-US"/>
              </w:rPr>
              <w:t xml:space="preserve"> eller 1 </w:t>
            </w:r>
            <w:r w:rsidRPr="003B6CF7">
              <w:rPr>
                <w:strike/>
                <w:szCs w:val="24"/>
                <w:vertAlign w:val="superscript"/>
                <w:lang w:eastAsia="en-US"/>
              </w:rPr>
              <w:t>(10)</w:t>
            </w:r>
            <w:r w:rsidRPr="003B6CF7">
              <w:rPr>
                <w:strike/>
                <w:szCs w:val="24"/>
                <w:lang w:eastAsia="en-US"/>
              </w:rPr>
              <w:t xml:space="preserve"> eller 2,5 eller 5 </w:t>
            </w:r>
            <w:r w:rsidRPr="003B6CF7">
              <w:rPr>
                <w:strike/>
                <w:szCs w:val="24"/>
                <w:vertAlign w:val="superscript"/>
                <w:lang w:eastAsia="en-US"/>
              </w:rPr>
              <w:t>(11)</w:t>
            </w:r>
            <w:r w:rsidRPr="003B6CF7">
              <w:rPr>
                <w:szCs w:val="24"/>
                <w:lang w:eastAsia="en-US"/>
              </w:rPr>
              <w:t xml:space="preserve"> (per ämne)</w:t>
            </w:r>
          </w:p>
        </w:tc>
      </w:tr>
      <w:tr w:rsidR="00DD6859" w:rsidRPr="003B6CF7" w14:paraId="75B5D6A6" w14:textId="77777777" w:rsidTr="003B6CF7">
        <w:tc>
          <w:tcPr>
            <w:tcW w:w="752" w:type="pct"/>
            <w:vMerge/>
          </w:tcPr>
          <w:p w14:paraId="47BE1B5A" w14:textId="77777777" w:rsidR="001831FD" w:rsidRPr="003B6CF7" w:rsidRDefault="001831FD" w:rsidP="001831FD">
            <w:pPr>
              <w:spacing w:before="120" w:after="120" w:line="360" w:lineRule="auto"/>
              <w:rPr>
                <w:szCs w:val="24"/>
                <w:lang w:eastAsia="en-US"/>
              </w:rPr>
            </w:pPr>
          </w:p>
        </w:tc>
        <w:tc>
          <w:tcPr>
            <w:tcW w:w="0" w:type="auto"/>
            <w:vMerge/>
          </w:tcPr>
          <w:p w14:paraId="632C25AF" w14:textId="77777777" w:rsidR="001831FD" w:rsidRPr="003B6CF7" w:rsidRDefault="001831FD" w:rsidP="001831FD">
            <w:pPr>
              <w:spacing w:before="120" w:after="120" w:line="360" w:lineRule="auto"/>
              <w:rPr>
                <w:szCs w:val="24"/>
                <w:lang w:eastAsia="en-US"/>
              </w:rPr>
            </w:pPr>
          </w:p>
        </w:tc>
        <w:tc>
          <w:tcPr>
            <w:tcW w:w="0" w:type="auto"/>
            <w:vMerge/>
          </w:tcPr>
          <w:p w14:paraId="2FAE8A2F" w14:textId="77777777" w:rsidR="001831FD" w:rsidRPr="003B6CF7" w:rsidRDefault="001831FD" w:rsidP="001831FD">
            <w:pPr>
              <w:spacing w:before="120" w:after="120" w:line="360" w:lineRule="auto"/>
              <w:rPr>
                <w:szCs w:val="24"/>
                <w:lang w:eastAsia="en-US"/>
              </w:rPr>
            </w:pPr>
          </w:p>
        </w:tc>
        <w:tc>
          <w:tcPr>
            <w:tcW w:w="0" w:type="auto"/>
            <w:vMerge/>
          </w:tcPr>
          <w:p w14:paraId="55F7FE38" w14:textId="77777777" w:rsidR="001831FD" w:rsidRPr="003B6CF7" w:rsidRDefault="001831FD" w:rsidP="001831FD">
            <w:pPr>
              <w:spacing w:before="120" w:after="120" w:line="360" w:lineRule="auto"/>
              <w:rPr>
                <w:szCs w:val="24"/>
                <w:lang w:eastAsia="en-US"/>
              </w:rPr>
            </w:pPr>
          </w:p>
        </w:tc>
        <w:tc>
          <w:tcPr>
            <w:tcW w:w="675" w:type="pct"/>
            <w:vMerge/>
          </w:tcPr>
          <w:p w14:paraId="25E09FAF" w14:textId="77777777" w:rsidR="001831FD" w:rsidRPr="003B6CF7" w:rsidRDefault="001831FD" w:rsidP="001831FD">
            <w:pPr>
              <w:spacing w:before="120" w:after="120" w:line="360" w:lineRule="auto"/>
              <w:rPr>
                <w:szCs w:val="24"/>
                <w:lang w:eastAsia="en-US"/>
              </w:rPr>
            </w:pPr>
          </w:p>
        </w:tc>
        <w:tc>
          <w:tcPr>
            <w:tcW w:w="0" w:type="auto"/>
          </w:tcPr>
          <w:p w14:paraId="355AC149" w14:textId="77777777" w:rsidR="001831FD" w:rsidRPr="003B6CF7" w:rsidRDefault="001831FD" w:rsidP="001831FD">
            <w:pPr>
              <w:spacing w:before="120" w:after="120" w:line="360" w:lineRule="auto"/>
              <w:rPr>
                <w:szCs w:val="24"/>
                <w:lang w:val="en-GB" w:eastAsia="en-US"/>
              </w:rPr>
            </w:pPr>
            <w:r w:rsidRPr="003B6CF7">
              <w:rPr>
                <w:szCs w:val="24"/>
                <w:lang w:val="en-GB" w:eastAsia="en-US"/>
              </w:rPr>
              <w:t>0,5</w:t>
            </w:r>
            <w:r w:rsidRPr="003B6CF7">
              <w:rPr>
                <w:strike/>
                <w:szCs w:val="24"/>
                <w:lang w:val="en-GB" w:eastAsia="en-US"/>
              </w:rPr>
              <w:t xml:space="preserve"> </w:t>
            </w:r>
            <w:r w:rsidRPr="003B6CF7">
              <w:rPr>
                <w:strike/>
                <w:szCs w:val="24"/>
                <w:vertAlign w:val="superscript"/>
                <w:lang w:val="en-GB" w:eastAsia="en-US"/>
              </w:rPr>
              <w:t>(9)</w:t>
            </w:r>
            <w:r w:rsidRPr="003B6CF7">
              <w:rPr>
                <w:strike/>
                <w:szCs w:val="24"/>
                <w:lang w:val="en-GB" w:eastAsia="en-US"/>
              </w:rPr>
              <w:t xml:space="preserve"> </w:t>
            </w:r>
            <w:proofErr w:type="spellStart"/>
            <w:r w:rsidRPr="003B6CF7">
              <w:rPr>
                <w:strike/>
                <w:szCs w:val="24"/>
                <w:lang w:val="en-GB" w:eastAsia="en-US"/>
              </w:rPr>
              <w:t>eller</w:t>
            </w:r>
            <w:proofErr w:type="spellEnd"/>
            <w:r w:rsidRPr="003B6CF7">
              <w:rPr>
                <w:strike/>
                <w:szCs w:val="24"/>
                <w:lang w:val="en-GB" w:eastAsia="en-US"/>
              </w:rPr>
              <w:t xml:space="preserve"> 5 </w:t>
            </w:r>
            <w:r w:rsidRPr="003B6CF7">
              <w:rPr>
                <w:strike/>
                <w:szCs w:val="24"/>
                <w:vertAlign w:val="superscript"/>
                <w:lang w:val="en-GB" w:eastAsia="en-US"/>
              </w:rPr>
              <w:t>(10)</w:t>
            </w:r>
            <w:r w:rsidRPr="003B6CF7">
              <w:rPr>
                <w:strike/>
                <w:szCs w:val="24"/>
                <w:lang w:val="en-GB" w:eastAsia="en-US"/>
              </w:rPr>
              <w:t xml:space="preserve"> </w:t>
            </w:r>
            <w:proofErr w:type="spellStart"/>
            <w:r w:rsidRPr="003B6CF7">
              <w:rPr>
                <w:strike/>
                <w:szCs w:val="24"/>
                <w:lang w:val="en-GB" w:eastAsia="en-US"/>
              </w:rPr>
              <w:t>eller</w:t>
            </w:r>
            <w:proofErr w:type="spellEnd"/>
            <w:r w:rsidRPr="003B6CF7">
              <w:rPr>
                <w:strike/>
                <w:szCs w:val="24"/>
                <w:lang w:val="en-GB" w:eastAsia="en-US"/>
              </w:rPr>
              <w:t xml:space="preserve"> 12,5 </w:t>
            </w:r>
            <w:r w:rsidRPr="003B6CF7">
              <w:rPr>
                <w:strike/>
                <w:szCs w:val="24"/>
                <w:vertAlign w:val="superscript"/>
                <w:lang w:val="en-GB" w:eastAsia="en-US"/>
              </w:rPr>
              <w:t>(11)</w:t>
            </w:r>
            <w:r w:rsidRPr="003B6CF7">
              <w:rPr>
                <w:szCs w:val="24"/>
                <w:lang w:val="en-GB" w:eastAsia="en-US"/>
              </w:rPr>
              <w:t xml:space="preserve"> (</w:t>
            </w:r>
            <w:proofErr w:type="spellStart"/>
            <w:r w:rsidRPr="003B6CF7">
              <w:rPr>
                <w:szCs w:val="24"/>
                <w:lang w:val="en-GB" w:eastAsia="en-US"/>
              </w:rPr>
              <w:t>totalt</w:t>
            </w:r>
            <w:proofErr w:type="spellEnd"/>
            <w:r w:rsidRPr="003B6CF7">
              <w:rPr>
                <w:szCs w:val="24"/>
                <w:lang w:val="en-GB" w:eastAsia="en-US"/>
              </w:rPr>
              <w:t xml:space="preserve">) </w:t>
            </w:r>
            <w:r w:rsidRPr="003B6CF7">
              <w:rPr>
                <w:szCs w:val="24"/>
                <w:vertAlign w:val="superscript"/>
                <w:lang w:val="en-GB" w:eastAsia="en-US"/>
              </w:rPr>
              <w:t>(12)</w:t>
            </w:r>
          </w:p>
        </w:tc>
      </w:tr>
    </w:tbl>
    <w:p w14:paraId="6B8E8865" w14:textId="77777777" w:rsidR="001F7022" w:rsidRPr="003B6CF7" w:rsidRDefault="001F7022" w:rsidP="001831FD">
      <w:pPr>
        <w:spacing w:before="120" w:after="120" w:line="360" w:lineRule="auto"/>
        <w:ind w:left="1416" w:hanging="566"/>
        <w:rPr>
          <w:szCs w:val="24"/>
          <w:lang w:val="en-GB" w:eastAsia="en-US"/>
        </w:rPr>
        <w:sectPr w:rsidR="001F7022" w:rsidRPr="003B6CF7" w:rsidSect="003B6CF7">
          <w:footnotePr>
            <w:numRestart w:val="eachSect"/>
          </w:footnotePr>
          <w:pgSz w:w="16834" w:h="11909" w:orient="landscape"/>
          <w:pgMar w:top="1417" w:right="1134" w:bottom="1417" w:left="1417" w:header="1134" w:footer="567" w:gutter="0"/>
          <w:cols w:space="720"/>
          <w:docGrid w:linePitch="326"/>
        </w:sectPr>
      </w:pPr>
    </w:p>
    <w:p w14:paraId="5BF882EF" w14:textId="6482088A" w:rsidR="001831FD" w:rsidRPr="003B6CF7" w:rsidRDefault="001831FD" w:rsidP="001831FD">
      <w:pPr>
        <w:spacing w:before="120" w:after="120" w:line="360" w:lineRule="auto"/>
        <w:ind w:left="1416" w:hanging="566"/>
        <w:rPr>
          <w:szCs w:val="24"/>
          <w:lang w:val="en-GB" w:eastAsia="en-US"/>
        </w:rPr>
      </w:pPr>
      <w:r w:rsidRPr="003B6CF7">
        <w:rPr>
          <w:szCs w:val="24"/>
          <w:vertAlign w:val="superscript"/>
          <w:lang w:val="en-GB" w:eastAsia="en-US"/>
        </w:rPr>
        <w:t>(1)</w:t>
      </w:r>
      <w:r w:rsidRPr="003B6CF7">
        <w:rPr>
          <w:szCs w:val="24"/>
          <w:lang w:val="en-GB" w:eastAsia="en-US"/>
        </w:rPr>
        <w:tab/>
        <w:t>CAS: Chemical Abstracts Service.</w:t>
      </w:r>
    </w:p>
    <w:p w14:paraId="67C3E290"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w:t>
      </w:r>
      <w:r w:rsidRPr="003B6CF7">
        <w:rPr>
          <w:szCs w:val="24"/>
          <w:lang w:eastAsia="en-US"/>
        </w:rPr>
        <w:tab/>
        <w:t>EU-nummer: Europeiska förteckningen över existerande, kommersiellt använda kemiska ämnen (</w:t>
      </w:r>
      <w:proofErr w:type="spellStart"/>
      <w:r w:rsidRPr="003B6CF7">
        <w:rPr>
          <w:szCs w:val="24"/>
          <w:lang w:eastAsia="en-US"/>
        </w:rPr>
        <w:t>Einecs</w:t>
      </w:r>
      <w:proofErr w:type="spellEnd"/>
      <w:r w:rsidRPr="003B6CF7">
        <w:rPr>
          <w:szCs w:val="24"/>
          <w:lang w:eastAsia="en-US"/>
        </w:rPr>
        <w:t>) eller Europeiska förteckningen över anmälda kemiska ämnen (</w:t>
      </w:r>
      <w:proofErr w:type="spellStart"/>
      <w:r w:rsidRPr="003B6CF7">
        <w:rPr>
          <w:szCs w:val="24"/>
          <w:lang w:eastAsia="en-US"/>
        </w:rPr>
        <w:t>Elincs</w:t>
      </w:r>
      <w:proofErr w:type="spellEnd"/>
      <w:r w:rsidRPr="003B6CF7">
        <w:rPr>
          <w:szCs w:val="24"/>
          <w:lang w:eastAsia="en-US"/>
        </w:rPr>
        <w:t>).</w:t>
      </w:r>
    </w:p>
    <w:p w14:paraId="60D7A30D"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(3)</w:t>
      </w:r>
      <w:r w:rsidRPr="003B6CF7">
        <w:rPr>
          <w:szCs w:val="24"/>
          <w:lang w:eastAsia="en-US"/>
        </w:rPr>
        <w:tab/>
        <w:t>Denna parameter är kvalitetsnormen uttryckt som ett medelvärde på årsnivå. Om inte annat anges gäller den för den totala koncentrationen av alla ämnen och isomerer.</w:t>
      </w:r>
    </w:p>
    <w:p w14:paraId="4B970369"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(4)</w:t>
      </w:r>
      <w:r w:rsidRPr="003B6CF7">
        <w:rPr>
          <w:szCs w:val="24"/>
          <w:lang w:eastAsia="en-US"/>
        </w:rPr>
        <w:tab/>
        <w:t>Med ’bekämpningsmedel’ avses de växtskyddsmedel och biocidprodukter som avses i artikel 2 i Europaparlamentets och rådets förordning (EG) nr 1107/2009 av den 21 oktober 2009 om utsläppande av växtskyddsmedel på marknaden respektive artikel 3 i Europaparlamentets och rådets förordning (EU) nr 528/2012 av den 22 maj 2012 om tillhandahållande på marknaden och användning av biocidprodukter.</w:t>
      </w:r>
    </w:p>
    <w:p w14:paraId="7B6ABD3D" w14:textId="408576A1" w:rsidR="001831FD" w:rsidRPr="003B6CF7" w:rsidRDefault="00554F65" w:rsidP="001831FD">
      <w:pPr>
        <w:spacing w:before="120" w:after="120" w:line="360" w:lineRule="auto"/>
        <w:ind w:left="1416" w:hanging="566"/>
        <w:rPr>
          <w:szCs w:val="24"/>
          <w:lang w:eastAsia="en-US"/>
        </w:rPr>
      </w:pPr>
      <w:r w:rsidRPr="003B6CF7">
        <w:rPr>
          <w:b/>
          <w:i/>
          <w:szCs w:val="24"/>
          <w:vertAlign w:val="superscript"/>
          <w:lang w:eastAsia="en-US"/>
        </w:rPr>
        <w:t>(</w:t>
      </w:r>
      <w:r w:rsidR="001831FD" w:rsidRPr="003B6CF7">
        <w:rPr>
          <w:b/>
          <w:i/>
          <w:szCs w:val="24"/>
          <w:vertAlign w:val="superscript"/>
          <w:lang w:eastAsia="en-US"/>
        </w:rPr>
        <w:t>4a</w:t>
      </w:r>
      <w:r w:rsidRPr="003B6CF7">
        <w:rPr>
          <w:b/>
          <w:i/>
          <w:szCs w:val="24"/>
          <w:vertAlign w:val="superscript"/>
          <w:lang w:eastAsia="en-US"/>
        </w:rPr>
        <w:t>)</w:t>
      </w:r>
      <w:r w:rsidR="001831FD" w:rsidRPr="003B6CF7">
        <w:rPr>
          <w:szCs w:val="24"/>
          <w:lang w:eastAsia="en-US"/>
        </w:rPr>
        <w:tab/>
      </w:r>
      <w:r w:rsidR="001831FD" w:rsidRPr="003B6CF7">
        <w:rPr>
          <w:b/>
          <w:i/>
          <w:szCs w:val="24"/>
          <w:lang w:eastAsia="en-US"/>
        </w:rPr>
        <w:t>Detta tröskelvärde ska endast gälla i avvaktan på kommissionens översyn.</w:t>
      </w:r>
    </w:p>
    <w:p w14:paraId="48EAD528"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(5)</w:t>
      </w:r>
      <w:r w:rsidRPr="003B6CF7">
        <w:rPr>
          <w:szCs w:val="24"/>
          <w:lang w:eastAsia="en-US"/>
        </w:rPr>
        <w:tab/>
        <w:t>Med ’totalt’ avses summan av alla enskilda bekämpningsmedel som upptäcks och kvantifieras vid övervakningsförfarandet, inbegripet relevanta metaboliter, nedbrytnings- och reaktionsprodukter.</w:t>
      </w:r>
      <w:r w:rsidRPr="003B6CF7">
        <w:rPr>
          <w:b/>
          <w:i/>
          <w:szCs w:val="24"/>
          <w:lang w:eastAsia="en-US"/>
        </w:rPr>
        <w:t xml:space="preserve"> Det tröskelvärde som fastställts för summan av alla enskilda bekämpningsmedel ska endast gälla i avvaktan på kommissionens översyn.</w:t>
      </w:r>
    </w:p>
    <w:p w14:paraId="46C724BC" w14:textId="77777777" w:rsidR="001F7022" w:rsidRPr="003B6CF7" w:rsidRDefault="001F7022">
      <w:pPr>
        <w:widowControl/>
        <w:rPr>
          <w:szCs w:val="24"/>
          <w:lang w:eastAsia="en-US"/>
        </w:rPr>
      </w:pPr>
      <w:r w:rsidRPr="003B6CF7">
        <w:rPr>
          <w:szCs w:val="24"/>
          <w:lang w:eastAsia="en-US"/>
        </w:rPr>
        <w:br w:type="page"/>
      </w:r>
    </w:p>
    <w:p w14:paraId="74002D14" w14:textId="56138AF8"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(6)</w:t>
      </w:r>
      <w:r w:rsidRPr="003B6CF7">
        <w:rPr>
          <w:szCs w:val="24"/>
          <w:lang w:eastAsia="en-US"/>
        </w:rPr>
        <w:tab/>
        <w:t>Detta avser följande föreningar, förtecknade med CAS-nummer, EU-nummer och relativ potensfaktor (</w:t>
      </w:r>
      <w:proofErr w:type="spellStart"/>
      <w:r w:rsidRPr="003B6CF7">
        <w:rPr>
          <w:szCs w:val="24"/>
          <w:lang w:eastAsia="en-US"/>
        </w:rPr>
        <w:t>RPF</w:t>
      </w:r>
      <w:proofErr w:type="spellEnd"/>
      <w:r w:rsidRPr="003B6CF7">
        <w:rPr>
          <w:szCs w:val="24"/>
          <w:lang w:eastAsia="en-US"/>
        </w:rPr>
        <w:t xml:space="preserve">): </w:t>
      </w:r>
      <w:proofErr w:type="spellStart"/>
      <w:r w:rsidRPr="003B6CF7">
        <w:rPr>
          <w:szCs w:val="24"/>
          <w:lang w:eastAsia="en-US"/>
        </w:rPr>
        <w:t>perfluoroktansyra</w:t>
      </w:r>
      <w:proofErr w:type="spellEnd"/>
      <w:r w:rsidRPr="003B6CF7">
        <w:rPr>
          <w:szCs w:val="24"/>
          <w:lang w:eastAsia="en-US"/>
        </w:rPr>
        <w:t xml:space="preserve"> (</w:t>
      </w:r>
      <w:proofErr w:type="spellStart"/>
      <w:r w:rsidRPr="003B6CF7">
        <w:rPr>
          <w:szCs w:val="24"/>
          <w:lang w:eastAsia="en-US"/>
        </w:rPr>
        <w:t>PFOA</w:t>
      </w:r>
      <w:proofErr w:type="spellEnd"/>
      <w:r w:rsidRPr="003B6CF7">
        <w:rPr>
          <w:szCs w:val="24"/>
          <w:lang w:eastAsia="en-US"/>
        </w:rPr>
        <w:t>) (CAS-nr 335-67-1, EU-nr 206-397-9) (</w:t>
      </w:r>
      <w:proofErr w:type="spellStart"/>
      <w:r w:rsidRPr="003B6CF7">
        <w:rPr>
          <w:szCs w:val="24"/>
          <w:lang w:eastAsia="en-US"/>
        </w:rPr>
        <w:t>RPF</w:t>
      </w:r>
      <w:proofErr w:type="spellEnd"/>
      <w:r w:rsidRPr="003B6CF7">
        <w:rPr>
          <w:szCs w:val="24"/>
          <w:lang w:eastAsia="en-US"/>
        </w:rPr>
        <w:t xml:space="preserve"> 1), </w:t>
      </w:r>
      <w:proofErr w:type="spellStart"/>
      <w:r w:rsidRPr="003B6CF7">
        <w:rPr>
          <w:szCs w:val="24"/>
          <w:lang w:eastAsia="en-US"/>
        </w:rPr>
        <w:t>perfluoroktansulfonsyra</w:t>
      </w:r>
      <w:proofErr w:type="spellEnd"/>
      <w:r w:rsidRPr="003B6CF7">
        <w:rPr>
          <w:szCs w:val="24"/>
          <w:lang w:eastAsia="en-US"/>
        </w:rPr>
        <w:t xml:space="preserve"> (</w:t>
      </w:r>
      <w:proofErr w:type="spellStart"/>
      <w:r w:rsidRPr="003B6CF7">
        <w:rPr>
          <w:szCs w:val="24"/>
          <w:lang w:eastAsia="en-US"/>
        </w:rPr>
        <w:t>PFOS</w:t>
      </w:r>
      <w:proofErr w:type="spellEnd"/>
      <w:r w:rsidRPr="003B6CF7">
        <w:rPr>
          <w:szCs w:val="24"/>
          <w:lang w:eastAsia="en-US"/>
        </w:rPr>
        <w:t>) (CAS-nr 1763-23-1, EU-nr 217-179-8) (</w:t>
      </w:r>
      <w:proofErr w:type="spellStart"/>
      <w:r w:rsidRPr="003B6CF7">
        <w:rPr>
          <w:szCs w:val="24"/>
          <w:lang w:eastAsia="en-US"/>
        </w:rPr>
        <w:t>RPF</w:t>
      </w:r>
      <w:proofErr w:type="spellEnd"/>
      <w:r w:rsidRPr="003B6CF7">
        <w:rPr>
          <w:szCs w:val="24"/>
          <w:lang w:eastAsia="en-US"/>
        </w:rPr>
        <w:t xml:space="preserve"> 2), </w:t>
      </w:r>
      <w:proofErr w:type="spellStart"/>
      <w:r w:rsidRPr="003B6CF7">
        <w:rPr>
          <w:szCs w:val="24"/>
          <w:lang w:eastAsia="en-US"/>
        </w:rPr>
        <w:t>perfluorhexansulfonsyra</w:t>
      </w:r>
      <w:proofErr w:type="spellEnd"/>
      <w:r w:rsidRPr="003B6CF7">
        <w:rPr>
          <w:szCs w:val="24"/>
          <w:lang w:eastAsia="en-US"/>
        </w:rPr>
        <w:t xml:space="preserve"> (</w:t>
      </w:r>
      <w:proofErr w:type="spellStart"/>
      <w:r w:rsidRPr="003B6CF7">
        <w:rPr>
          <w:szCs w:val="24"/>
          <w:lang w:eastAsia="en-US"/>
        </w:rPr>
        <w:t>PFHxS</w:t>
      </w:r>
      <w:proofErr w:type="spellEnd"/>
      <w:r w:rsidRPr="003B6CF7">
        <w:rPr>
          <w:szCs w:val="24"/>
          <w:lang w:eastAsia="en-US"/>
        </w:rPr>
        <w:t>) (CAS-nr 355-46-4, EU-nr 206-587-1) (</w:t>
      </w:r>
      <w:proofErr w:type="spellStart"/>
      <w:r w:rsidRPr="003B6CF7">
        <w:rPr>
          <w:szCs w:val="24"/>
          <w:lang w:eastAsia="en-US"/>
        </w:rPr>
        <w:t>RPF</w:t>
      </w:r>
      <w:proofErr w:type="spellEnd"/>
      <w:r w:rsidRPr="003B6CF7">
        <w:rPr>
          <w:szCs w:val="24"/>
          <w:lang w:eastAsia="en-US"/>
        </w:rPr>
        <w:t xml:space="preserve"> 0,6), </w:t>
      </w:r>
      <w:proofErr w:type="spellStart"/>
      <w:r w:rsidRPr="003B6CF7">
        <w:rPr>
          <w:szCs w:val="24"/>
          <w:lang w:eastAsia="en-US"/>
        </w:rPr>
        <w:t>perfluornonansyra</w:t>
      </w:r>
      <w:proofErr w:type="spellEnd"/>
      <w:r w:rsidRPr="003B6CF7">
        <w:rPr>
          <w:szCs w:val="24"/>
          <w:lang w:eastAsia="en-US"/>
        </w:rPr>
        <w:t xml:space="preserve"> (</w:t>
      </w:r>
      <w:proofErr w:type="spellStart"/>
      <w:r w:rsidRPr="003B6CF7">
        <w:rPr>
          <w:szCs w:val="24"/>
          <w:lang w:eastAsia="en-US"/>
        </w:rPr>
        <w:t>PFNA</w:t>
      </w:r>
      <w:proofErr w:type="spellEnd"/>
      <w:r w:rsidRPr="003B6CF7">
        <w:rPr>
          <w:szCs w:val="24"/>
          <w:lang w:eastAsia="en-US"/>
        </w:rPr>
        <w:t>) (CAS-nr 375-95-1, EU-nr 206-801-3) (</w:t>
      </w:r>
      <w:proofErr w:type="spellStart"/>
      <w:r w:rsidRPr="003B6CF7">
        <w:rPr>
          <w:szCs w:val="24"/>
          <w:lang w:eastAsia="en-US"/>
        </w:rPr>
        <w:t>RPF</w:t>
      </w:r>
      <w:proofErr w:type="spellEnd"/>
      <w:r w:rsidRPr="003B6CF7">
        <w:rPr>
          <w:szCs w:val="24"/>
          <w:lang w:eastAsia="en-US"/>
        </w:rPr>
        <w:t xml:space="preserve"> 10), </w:t>
      </w:r>
      <w:proofErr w:type="spellStart"/>
      <w:r w:rsidRPr="003B6CF7">
        <w:rPr>
          <w:szCs w:val="24"/>
          <w:lang w:eastAsia="en-US"/>
        </w:rPr>
        <w:t>perfluorbutansulfonsyra</w:t>
      </w:r>
      <w:proofErr w:type="spellEnd"/>
      <w:r w:rsidRPr="003B6CF7">
        <w:rPr>
          <w:szCs w:val="24"/>
          <w:lang w:eastAsia="en-US"/>
        </w:rPr>
        <w:t xml:space="preserve"> (</w:t>
      </w:r>
      <w:proofErr w:type="spellStart"/>
      <w:r w:rsidRPr="003B6CF7">
        <w:rPr>
          <w:szCs w:val="24"/>
          <w:lang w:eastAsia="en-US"/>
        </w:rPr>
        <w:t>PFBS</w:t>
      </w:r>
      <w:proofErr w:type="spellEnd"/>
      <w:r w:rsidRPr="003B6CF7">
        <w:rPr>
          <w:szCs w:val="24"/>
          <w:lang w:eastAsia="en-US"/>
        </w:rPr>
        <w:t>) (CAS-nr 375-73-5, EU-nr 206-793-1) (</w:t>
      </w:r>
      <w:proofErr w:type="spellStart"/>
      <w:r w:rsidRPr="003B6CF7">
        <w:rPr>
          <w:szCs w:val="24"/>
          <w:lang w:eastAsia="en-US"/>
        </w:rPr>
        <w:t>RPF</w:t>
      </w:r>
      <w:proofErr w:type="spellEnd"/>
      <w:r w:rsidRPr="003B6CF7">
        <w:rPr>
          <w:szCs w:val="24"/>
          <w:lang w:eastAsia="en-US"/>
        </w:rPr>
        <w:t xml:space="preserve"> 0,001), </w:t>
      </w:r>
      <w:proofErr w:type="spellStart"/>
      <w:r w:rsidRPr="003B6CF7">
        <w:rPr>
          <w:szCs w:val="24"/>
          <w:lang w:eastAsia="en-US"/>
        </w:rPr>
        <w:t>perfluorhexansyra</w:t>
      </w:r>
      <w:proofErr w:type="spellEnd"/>
      <w:r w:rsidRPr="003B6CF7">
        <w:rPr>
          <w:szCs w:val="24"/>
          <w:lang w:eastAsia="en-US"/>
        </w:rPr>
        <w:t xml:space="preserve"> (</w:t>
      </w:r>
      <w:proofErr w:type="spellStart"/>
      <w:r w:rsidRPr="003B6CF7">
        <w:rPr>
          <w:szCs w:val="24"/>
          <w:lang w:eastAsia="en-US"/>
        </w:rPr>
        <w:t>PFHxA</w:t>
      </w:r>
      <w:proofErr w:type="spellEnd"/>
      <w:r w:rsidRPr="003B6CF7">
        <w:rPr>
          <w:szCs w:val="24"/>
          <w:lang w:eastAsia="en-US"/>
        </w:rPr>
        <w:t>) (CAS-nr 307-24-4, EU-nr 206-196-6) (</w:t>
      </w:r>
      <w:proofErr w:type="spellStart"/>
      <w:r w:rsidRPr="003B6CF7">
        <w:rPr>
          <w:szCs w:val="24"/>
          <w:lang w:eastAsia="en-US"/>
        </w:rPr>
        <w:t>RPF</w:t>
      </w:r>
      <w:proofErr w:type="spellEnd"/>
      <w:r w:rsidRPr="003B6CF7">
        <w:rPr>
          <w:szCs w:val="24"/>
          <w:lang w:eastAsia="en-US"/>
        </w:rPr>
        <w:t xml:space="preserve"> 0,01), </w:t>
      </w:r>
      <w:proofErr w:type="spellStart"/>
      <w:r w:rsidRPr="003B6CF7">
        <w:rPr>
          <w:szCs w:val="24"/>
          <w:lang w:eastAsia="en-US"/>
        </w:rPr>
        <w:t>perfluorbutansyra</w:t>
      </w:r>
      <w:proofErr w:type="spellEnd"/>
      <w:r w:rsidRPr="003B6CF7">
        <w:rPr>
          <w:szCs w:val="24"/>
          <w:lang w:eastAsia="en-US"/>
        </w:rPr>
        <w:t xml:space="preserve"> (</w:t>
      </w:r>
      <w:proofErr w:type="spellStart"/>
      <w:r w:rsidRPr="003B6CF7">
        <w:rPr>
          <w:szCs w:val="24"/>
          <w:lang w:eastAsia="en-US"/>
        </w:rPr>
        <w:t>PFBA</w:t>
      </w:r>
      <w:proofErr w:type="spellEnd"/>
      <w:r w:rsidRPr="003B6CF7">
        <w:rPr>
          <w:szCs w:val="24"/>
          <w:lang w:eastAsia="en-US"/>
        </w:rPr>
        <w:t>) (CAS-nr 375-22-4, EU-nr 206-786-3) (</w:t>
      </w:r>
      <w:proofErr w:type="spellStart"/>
      <w:r w:rsidRPr="003B6CF7">
        <w:rPr>
          <w:szCs w:val="24"/>
          <w:lang w:eastAsia="en-US"/>
        </w:rPr>
        <w:t>RPF</w:t>
      </w:r>
      <w:proofErr w:type="spellEnd"/>
      <w:r w:rsidRPr="003B6CF7">
        <w:rPr>
          <w:szCs w:val="24"/>
          <w:lang w:eastAsia="en-US"/>
        </w:rPr>
        <w:t xml:space="preserve"> 0,05), </w:t>
      </w:r>
      <w:proofErr w:type="spellStart"/>
      <w:r w:rsidRPr="003B6CF7">
        <w:rPr>
          <w:szCs w:val="24"/>
          <w:lang w:eastAsia="en-US"/>
        </w:rPr>
        <w:t>perfluorpentansyra</w:t>
      </w:r>
      <w:proofErr w:type="spellEnd"/>
      <w:r w:rsidRPr="003B6CF7">
        <w:rPr>
          <w:szCs w:val="24"/>
          <w:lang w:eastAsia="en-US"/>
        </w:rPr>
        <w:t xml:space="preserve"> (</w:t>
      </w:r>
      <w:proofErr w:type="spellStart"/>
      <w:r w:rsidRPr="003B6CF7">
        <w:rPr>
          <w:szCs w:val="24"/>
          <w:lang w:eastAsia="en-US"/>
        </w:rPr>
        <w:t>PFPeA</w:t>
      </w:r>
      <w:proofErr w:type="spellEnd"/>
      <w:r w:rsidRPr="003B6CF7">
        <w:rPr>
          <w:szCs w:val="24"/>
          <w:lang w:eastAsia="en-US"/>
        </w:rPr>
        <w:t>) (CAS-nr 2706-90-3, EU-nr 220-300-7) (</w:t>
      </w:r>
      <w:proofErr w:type="spellStart"/>
      <w:r w:rsidRPr="003B6CF7">
        <w:rPr>
          <w:szCs w:val="24"/>
          <w:lang w:eastAsia="en-US"/>
        </w:rPr>
        <w:t>RPF</w:t>
      </w:r>
      <w:proofErr w:type="spellEnd"/>
      <w:r w:rsidRPr="003B6CF7">
        <w:rPr>
          <w:szCs w:val="24"/>
          <w:lang w:eastAsia="en-US"/>
        </w:rPr>
        <w:t xml:space="preserve"> 0,03), </w:t>
      </w:r>
      <w:proofErr w:type="spellStart"/>
      <w:r w:rsidRPr="003B6CF7">
        <w:rPr>
          <w:szCs w:val="24"/>
          <w:lang w:eastAsia="en-US"/>
        </w:rPr>
        <w:t>perfluorpentansulfonsyra</w:t>
      </w:r>
      <w:proofErr w:type="spellEnd"/>
      <w:r w:rsidRPr="003B6CF7">
        <w:rPr>
          <w:szCs w:val="24"/>
          <w:lang w:eastAsia="en-US"/>
        </w:rPr>
        <w:t xml:space="preserve"> (</w:t>
      </w:r>
      <w:proofErr w:type="spellStart"/>
      <w:r w:rsidRPr="003B6CF7">
        <w:rPr>
          <w:szCs w:val="24"/>
          <w:lang w:eastAsia="en-US"/>
        </w:rPr>
        <w:t>PFPeS</w:t>
      </w:r>
      <w:proofErr w:type="spellEnd"/>
      <w:r w:rsidRPr="003B6CF7">
        <w:rPr>
          <w:szCs w:val="24"/>
          <w:lang w:eastAsia="en-US"/>
        </w:rPr>
        <w:t>) (CAS-nr 2706-91-4, EU-nr 220-301-2) (</w:t>
      </w:r>
      <w:proofErr w:type="spellStart"/>
      <w:r w:rsidRPr="003B6CF7">
        <w:rPr>
          <w:szCs w:val="24"/>
          <w:lang w:eastAsia="en-US"/>
        </w:rPr>
        <w:t>RPF</w:t>
      </w:r>
      <w:proofErr w:type="spellEnd"/>
      <w:r w:rsidRPr="003B6CF7">
        <w:rPr>
          <w:szCs w:val="24"/>
          <w:lang w:eastAsia="en-US"/>
        </w:rPr>
        <w:t xml:space="preserve"> 0,3005), </w:t>
      </w:r>
      <w:proofErr w:type="spellStart"/>
      <w:r w:rsidRPr="003B6CF7">
        <w:rPr>
          <w:szCs w:val="24"/>
          <w:lang w:eastAsia="en-US"/>
        </w:rPr>
        <w:t>perfluordekansyra</w:t>
      </w:r>
      <w:proofErr w:type="spellEnd"/>
      <w:r w:rsidRPr="003B6CF7">
        <w:rPr>
          <w:szCs w:val="24"/>
          <w:lang w:eastAsia="en-US"/>
        </w:rPr>
        <w:t xml:space="preserve"> (</w:t>
      </w:r>
      <w:proofErr w:type="spellStart"/>
      <w:r w:rsidRPr="003B6CF7">
        <w:rPr>
          <w:szCs w:val="24"/>
          <w:lang w:eastAsia="en-US"/>
        </w:rPr>
        <w:t>PFDA</w:t>
      </w:r>
      <w:proofErr w:type="spellEnd"/>
      <w:r w:rsidRPr="003B6CF7">
        <w:rPr>
          <w:szCs w:val="24"/>
          <w:lang w:eastAsia="en-US"/>
        </w:rPr>
        <w:t>) (CAS-nr 335-76-2, EU-nr 206-400-3) (</w:t>
      </w:r>
      <w:proofErr w:type="spellStart"/>
      <w:r w:rsidRPr="003B6CF7">
        <w:rPr>
          <w:szCs w:val="24"/>
          <w:lang w:eastAsia="en-US"/>
        </w:rPr>
        <w:t>RPF</w:t>
      </w:r>
      <w:proofErr w:type="spellEnd"/>
      <w:r w:rsidRPr="003B6CF7">
        <w:rPr>
          <w:szCs w:val="24"/>
          <w:lang w:eastAsia="en-US"/>
        </w:rPr>
        <w:t xml:space="preserve"> 7), </w:t>
      </w:r>
      <w:proofErr w:type="spellStart"/>
      <w:r w:rsidRPr="003B6CF7">
        <w:rPr>
          <w:szCs w:val="24"/>
          <w:lang w:eastAsia="en-US"/>
        </w:rPr>
        <w:t>perfluordodekansyra</w:t>
      </w:r>
      <w:proofErr w:type="spellEnd"/>
      <w:r w:rsidRPr="003B6CF7">
        <w:rPr>
          <w:szCs w:val="24"/>
          <w:lang w:eastAsia="en-US"/>
        </w:rPr>
        <w:t xml:space="preserve"> (</w:t>
      </w:r>
      <w:proofErr w:type="spellStart"/>
      <w:r w:rsidRPr="003B6CF7">
        <w:rPr>
          <w:szCs w:val="24"/>
          <w:lang w:eastAsia="en-US"/>
        </w:rPr>
        <w:t>PFDoDA</w:t>
      </w:r>
      <w:proofErr w:type="spellEnd"/>
      <w:r w:rsidRPr="003B6CF7">
        <w:rPr>
          <w:szCs w:val="24"/>
          <w:lang w:eastAsia="en-US"/>
        </w:rPr>
        <w:t xml:space="preserve"> eller </w:t>
      </w:r>
      <w:proofErr w:type="spellStart"/>
      <w:r w:rsidRPr="003B6CF7">
        <w:rPr>
          <w:szCs w:val="24"/>
          <w:lang w:eastAsia="en-US"/>
        </w:rPr>
        <w:t>PFDoA</w:t>
      </w:r>
      <w:proofErr w:type="spellEnd"/>
      <w:r w:rsidRPr="003B6CF7">
        <w:rPr>
          <w:szCs w:val="24"/>
          <w:lang w:eastAsia="en-US"/>
        </w:rPr>
        <w:t>) (CAS-nr 307-55-1, EU-nr 206-203-2) (</w:t>
      </w:r>
      <w:proofErr w:type="spellStart"/>
      <w:r w:rsidRPr="003B6CF7">
        <w:rPr>
          <w:szCs w:val="24"/>
          <w:lang w:eastAsia="en-US"/>
        </w:rPr>
        <w:t>RPF</w:t>
      </w:r>
      <w:proofErr w:type="spellEnd"/>
      <w:r w:rsidRPr="003B6CF7">
        <w:rPr>
          <w:szCs w:val="24"/>
          <w:lang w:eastAsia="en-US"/>
        </w:rPr>
        <w:t xml:space="preserve"> 3), </w:t>
      </w:r>
      <w:proofErr w:type="spellStart"/>
      <w:r w:rsidRPr="003B6CF7">
        <w:rPr>
          <w:szCs w:val="24"/>
          <w:lang w:eastAsia="en-US"/>
        </w:rPr>
        <w:t>perfluorundekansyra</w:t>
      </w:r>
      <w:proofErr w:type="spellEnd"/>
      <w:r w:rsidRPr="003B6CF7">
        <w:rPr>
          <w:szCs w:val="24"/>
          <w:lang w:eastAsia="en-US"/>
        </w:rPr>
        <w:t xml:space="preserve"> (</w:t>
      </w:r>
      <w:proofErr w:type="spellStart"/>
      <w:r w:rsidRPr="003B6CF7">
        <w:rPr>
          <w:szCs w:val="24"/>
          <w:lang w:eastAsia="en-US"/>
        </w:rPr>
        <w:t>PFUnDA</w:t>
      </w:r>
      <w:proofErr w:type="spellEnd"/>
      <w:r w:rsidRPr="003B6CF7">
        <w:rPr>
          <w:szCs w:val="24"/>
          <w:lang w:eastAsia="en-US"/>
        </w:rPr>
        <w:t xml:space="preserve"> eller </w:t>
      </w:r>
      <w:proofErr w:type="spellStart"/>
      <w:r w:rsidRPr="003B6CF7">
        <w:rPr>
          <w:szCs w:val="24"/>
          <w:lang w:eastAsia="en-US"/>
        </w:rPr>
        <w:t>PFUnA</w:t>
      </w:r>
      <w:proofErr w:type="spellEnd"/>
      <w:r w:rsidRPr="003B6CF7">
        <w:rPr>
          <w:szCs w:val="24"/>
          <w:lang w:eastAsia="en-US"/>
        </w:rPr>
        <w:t>) (CAS-nr 2058-94-8, EU-nr 218-165-4) (</w:t>
      </w:r>
      <w:proofErr w:type="spellStart"/>
      <w:r w:rsidRPr="003B6CF7">
        <w:rPr>
          <w:szCs w:val="24"/>
          <w:lang w:eastAsia="en-US"/>
        </w:rPr>
        <w:t>RPF</w:t>
      </w:r>
      <w:proofErr w:type="spellEnd"/>
      <w:r w:rsidRPr="003B6CF7">
        <w:rPr>
          <w:szCs w:val="24"/>
          <w:lang w:eastAsia="en-US"/>
        </w:rPr>
        <w:t xml:space="preserve"> 4), </w:t>
      </w:r>
      <w:proofErr w:type="spellStart"/>
      <w:r w:rsidRPr="003B6CF7">
        <w:rPr>
          <w:szCs w:val="24"/>
          <w:lang w:eastAsia="en-US"/>
        </w:rPr>
        <w:t>perfluorheptansyra</w:t>
      </w:r>
      <w:proofErr w:type="spellEnd"/>
      <w:r w:rsidRPr="003B6CF7">
        <w:rPr>
          <w:szCs w:val="24"/>
          <w:lang w:eastAsia="en-US"/>
        </w:rPr>
        <w:t xml:space="preserve"> (</w:t>
      </w:r>
      <w:proofErr w:type="spellStart"/>
      <w:r w:rsidRPr="003B6CF7">
        <w:rPr>
          <w:szCs w:val="24"/>
          <w:lang w:eastAsia="en-US"/>
        </w:rPr>
        <w:t>PFHpA</w:t>
      </w:r>
      <w:proofErr w:type="spellEnd"/>
      <w:r w:rsidRPr="003B6CF7">
        <w:rPr>
          <w:szCs w:val="24"/>
          <w:lang w:eastAsia="en-US"/>
        </w:rPr>
        <w:t>) (CAS-nr 375-85-9, EU-nr 206-798-9) (</w:t>
      </w:r>
      <w:proofErr w:type="spellStart"/>
      <w:r w:rsidRPr="003B6CF7">
        <w:rPr>
          <w:szCs w:val="24"/>
          <w:lang w:eastAsia="en-US"/>
        </w:rPr>
        <w:t>RPF</w:t>
      </w:r>
      <w:proofErr w:type="spellEnd"/>
      <w:r w:rsidRPr="003B6CF7">
        <w:rPr>
          <w:szCs w:val="24"/>
          <w:lang w:eastAsia="en-US"/>
        </w:rPr>
        <w:t xml:space="preserve"> 0,505), </w:t>
      </w:r>
      <w:proofErr w:type="spellStart"/>
      <w:r w:rsidRPr="003B6CF7">
        <w:rPr>
          <w:szCs w:val="24"/>
          <w:lang w:eastAsia="en-US"/>
        </w:rPr>
        <w:t>perfluortridekansyra</w:t>
      </w:r>
      <w:proofErr w:type="spellEnd"/>
      <w:r w:rsidRPr="003B6CF7">
        <w:rPr>
          <w:szCs w:val="24"/>
          <w:lang w:eastAsia="en-US"/>
        </w:rPr>
        <w:t xml:space="preserve"> (</w:t>
      </w:r>
      <w:proofErr w:type="spellStart"/>
      <w:r w:rsidRPr="003B6CF7">
        <w:rPr>
          <w:szCs w:val="24"/>
          <w:lang w:eastAsia="en-US"/>
        </w:rPr>
        <w:t>PFTrDA</w:t>
      </w:r>
      <w:proofErr w:type="spellEnd"/>
      <w:r w:rsidRPr="003B6CF7">
        <w:rPr>
          <w:szCs w:val="24"/>
          <w:lang w:eastAsia="en-US"/>
        </w:rPr>
        <w:t>) (CAS-nr 72629-94-8, EU-nr 276-745-2) (</w:t>
      </w:r>
      <w:proofErr w:type="spellStart"/>
      <w:r w:rsidRPr="003B6CF7">
        <w:rPr>
          <w:szCs w:val="24"/>
          <w:lang w:eastAsia="en-US"/>
        </w:rPr>
        <w:t>RPF</w:t>
      </w:r>
      <w:proofErr w:type="spellEnd"/>
      <w:r w:rsidRPr="003B6CF7">
        <w:rPr>
          <w:szCs w:val="24"/>
          <w:lang w:eastAsia="en-US"/>
        </w:rPr>
        <w:t xml:space="preserve"> 1,65), </w:t>
      </w:r>
      <w:proofErr w:type="spellStart"/>
      <w:r w:rsidRPr="003B6CF7">
        <w:rPr>
          <w:szCs w:val="24"/>
          <w:lang w:eastAsia="en-US"/>
        </w:rPr>
        <w:t>perfluorheptansulfonsyra</w:t>
      </w:r>
      <w:proofErr w:type="spellEnd"/>
      <w:r w:rsidRPr="003B6CF7">
        <w:rPr>
          <w:szCs w:val="24"/>
          <w:lang w:eastAsia="en-US"/>
        </w:rPr>
        <w:t xml:space="preserve"> (</w:t>
      </w:r>
      <w:proofErr w:type="spellStart"/>
      <w:r w:rsidRPr="003B6CF7">
        <w:rPr>
          <w:szCs w:val="24"/>
          <w:lang w:eastAsia="en-US"/>
        </w:rPr>
        <w:t>PFHpS</w:t>
      </w:r>
      <w:proofErr w:type="spellEnd"/>
      <w:r w:rsidRPr="003B6CF7">
        <w:rPr>
          <w:szCs w:val="24"/>
          <w:lang w:eastAsia="en-US"/>
        </w:rPr>
        <w:t>) (CAS-nr 375-92-8, EU-nr 206-800-8) (</w:t>
      </w:r>
      <w:proofErr w:type="spellStart"/>
      <w:r w:rsidRPr="003B6CF7">
        <w:rPr>
          <w:szCs w:val="24"/>
          <w:lang w:eastAsia="en-US"/>
        </w:rPr>
        <w:t>RPF</w:t>
      </w:r>
      <w:proofErr w:type="spellEnd"/>
      <w:r w:rsidRPr="003B6CF7">
        <w:rPr>
          <w:szCs w:val="24"/>
          <w:lang w:eastAsia="en-US"/>
        </w:rPr>
        <w:t xml:space="preserve"> 1,3), </w:t>
      </w:r>
      <w:proofErr w:type="spellStart"/>
      <w:r w:rsidRPr="003B6CF7">
        <w:rPr>
          <w:szCs w:val="24"/>
          <w:lang w:eastAsia="en-US"/>
        </w:rPr>
        <w:t>perfluordekansulfonsyra</w:t>
      </w:r>
      <w:proofErr w:type="spellEnd"/>
      <w:r w:rsidRPr="003B6CF7">
        <w:rPr>
          <w:szCs w:val="24"/>
          <w:lang w:eastAsia="en-US"/>
        </w:rPr>
        <w:t xml:space="preserve"> (</w:t>
      </w:r>
      <w:proofErr w:type="spellStart"/>
      <w:r w:rsidRPr="003B6CF7">
        <w:rPr>
          <w:szCs w:val="24"/>
          <w:lang w:eastAsia="en-US"/>
        </w:rPr>
        <w:t>PFDS</w:t>
      </w:r>
      <w:proofErr w:type="spellEnd"/>
      <w:r w:rsidRPr="003B6CF7">
        <w:rPr>
          <w:szCs w:val="24"/>
          <w:lang w:eastAsia="en-US"/>
        </w:rPr>
        <w:t>) (CAS-nr 335-77-3, EU-nr 206-401-9) (</w:t>
      </w:r>
      <w:proofErr w:type="spellStart"/>
      <w:r w:rsidRPr="003B6CF7">
        <w:rPr>
          <w:szCs w:val="24"/>
          <w:lang w:eastAsia="en-US"/>
        </w:rPr>
        <w:t>RPF</w:t>
      </w:r>
      <w:proofErr w:type="spellEnd"/>
      <w:r w:rsidRPr="003B6CF7">
        <w:rPr>
          <w:szCs w:val="24"/>
          <w:lang w:eastAsia="en-US"/>
        </w:rPr>
        <w:t xml:space="preserve"> 2), </w:t>
      </w:r>
      <w:proofErr w:type="spellStart"/>
      <w:r w:rsidRPr="003B6CF7">
        <w:rPr>
          <w:szCs w:val="24"/>
          <w:lang w:eastAsia="en-US"/>
        </w:rPr>
        <w:t>perfluortetradekansyra</w:t>
      </w:r>
      <w:proofErr w:type="spellEnd"/>
      <w:r w:rsidRPr="003B6CF7">
        <w:rPr>
          <w:szCs w:val="24"/>
          <w:lang w:eastAsia="en-US"/>
        </w:rPr>
        <w:t xml:space="preserve"> (</w:t>
      </w:r>
      <w:proofErr w:type="spellStart"/>
      <w:r w:rsidRPr="003B6CF7">
        <w:rPr>
          <w:szCs w:val="24"/>
          <w:lang w:eastAsia="en-US"/>
        </w:rPr>
        <w:t>PFTeDA</w:t>
      </w:r>
      <w:proofErr w:type="spellEnd"/>
      <w:r w:rsidRPr="003B6CF7">
        <w:rPr>
          <w:szCs w:val="24"/>
          <w:lang w:eastAsia="en-US"/>
        </w:rPr>
        <w:t>) (CAS-nr 376-06-7, EU-nr 206-803-4) (</w:t>
      </w:r>
      <w:proofErr w:type="spellStart"/>
      <w:r w:rsidRPr="003B6CF7">
        <w:rPr>
          <w:szCs w:val="24"/>
          <w:lang w:eastAsia="en-US"/>
        </w:rPr>
        <w:t>RPF</w:t>
      </w:r>
      <w:proofErr w:type="spellEnd"/>
      <w:r w:rsidRPr="003B6CF7">
        <w:rPr>
          <w:szCs w:val="24"/>
          <w:lang w:eastAsia="en-US"/>
        </w:rPr>
        <w:t xml:space="preserve"> 0,3), </w:t>
      </w:r>
      <w:proofErr w:type="spellStart"/>
      <w:r w:rsidRPr="003B6CF7">
        <w:rPr>
          <w:szCs w:val="24"/>
          <w:lang w:eastAsia="en-US"/>
        </w:rPr>
        <w:t>perfluorhexadekansyra</w:t>
      </w:r>
      <w:proofErr w:type="spellEnd"/>
      <w:r w:rsidRPr="003B6CF7">
        <w:rPr>
          <w:szCs w:val="24"/>
          <w:lang w:eastAsia="en-US"/>
        </w:rPr>
        <w:t xml:space="preserve"> (</w:t>
      </w:r>
      <w:proofErr w:type="spellStart"/>
      <w:r w:rsidRPr="003B6CF7">
        <w:rPr>
          <w:szCs w:val="24"/>
          <w:lang w:eastAsia="en-US"/>
        </w:rPr>
        <w:t>PFHxDA</w:t>
      </w:r>
      <w:proofErr w:type="spellEnd"/>
      <w:r w:rsidRPr="003B6CF7">
        <w:rPr>
          <w:szCs w:val="24"/>
          <w:lang w:eastAsia="en-US"/>
        </w:rPr>
        <w:t>) (CAS-nr 67905-19-5, EU-nr 267-638-1) (</w:t>
      </w:r>
      <w:proofErr w:type="spellStart"/>
      <w:r w:rsidRPr="003B6CF7">
        <w:rPr>
          <w:szCs w:val="24"/>
          <w:lang w:eastAsia="en-US"/>
        </w:rPr>
        <w:t>RPF</w:t>
      </w:r>
      <w:proofErr w:type="spellEnd"/>
      <w:r w:rsidRPr="003B6CF7">
        <w:rPr>
          <w:szCs w:val="24"/>
          <w:lang w:eastAsia="en-US"/>
        </w:rPr>
        <w:t xml:space="preserve"> 0,02), </w:t>
      </w:r>
      <w:proofErr w:type="spellStart"/>
      <w:r w:rsidRPr="003B6CF7">
        <w:rPr>
          <w:szCs w:val="24"/>
          <w:lang w:eastAsia="en-US"/>
        </w:rPr>
        <w:t>perfluoroktadekansyra</w:t>
      </w:r>
      <w:proofErr w:type="spellEnd"/>
      <w:r w:rsidRPr="003B6CF7">
        <w:rPr>
          <w:szCs w:val="24"/>
          <w:lang w:eastAsia="en-US"/>
        </w:rPr>
        <w:t xml:space="preserve"> (</w:t>
      </w:r>
      <w:proofErr w:type="spellStart"/>
      <w:r w:rsidRPr="003B6CF7">
        <w:rPr>
          <w:szCs w:val="24"/>
          <w:lang w:eastAsia="en-US"/>
        </w:rPr>
        <w:t>PFODA</w:t>
      </w:r>
      <w:proofErr w:type="spellEnd"/>
      <w:r w:rsidRPr="003B6CF7">
        <w:rPr>
          <w:szCs w:val="24"/>
          <w:lang w:eastAsia="en-US"/>
        </w:rPr>
        <w:t>) (CAS-nr 16517-11-6, EU-nr 240-582-5) (</w:t>
      </w:r>
      <w:proofErr w:type="spellStart"/>
      <w:r w:rsidRPr="003B6CF7">
        <w:rPr>
          <w:szCs w:val="24"/>
          <w:lang w:eastAsia="en-US"/>
        </w:rPr>
        <w:t>RPF</w:t>
      </w:r>
      <w:proofErr w:type="spellEnd"/>
      <w:r w:rsidRPr="003B6CF7">
        <w:rPr>
          <w:szCs w:val="24"/>
          <w:lang w:eastAsia="en-US"/>
        </w:rPr>
        <w:t xml:space="preserve"> 0,02), </w:t>
      </w:r>
      <w:proofErr w:type="spellStart"/>
      <w:r w:rsidRPr="003B6CF7">
        <w:rPr>
          <w:szCs w:val="24"/>
          <w:lang w:eastAsia="en-US"/>
        </w:rPr>
        <w:t>ammoniumperfluor</w:t>
      </w:r>
      <w:proofErr w:type="spellEnd"/>
      <w:r w:rsidRPr="003B6CF7">
        <w:rPr>
          <w:szCs w:val="24"/>
          <w:lang w:eastAsia="en-US"/>
        </w:rPr>
        <w:t>(2-metyl-3-</w:t>
      </w:r>
      <w:proofErr w:type="spellStart"/>
      <w:r w:rsidRPr="003B6CF7">
        <w:rPr>
          <w:szCs w:val="24"/>
          <w:lang w:eastAsia="en-US"/>
        </w:rPr>
        <w:t>oxahexanoat</w:t>
      </w:r>
      <w:proofErr w:type="spellEnd"/>
      <w:r w:rsidRPr="003B6CF7">
        <w:rPr>
          <w:szCs w:val="24"/>
          <w:lang w:eastAsia="en-US"/>
        </w:rPr>
        <w:t>) (</w:t>
      </w:r>
      <w:proofErr w:type="spellStart"/>
      <w:r w:rsidRPr="003B6CF7">
        <w:rPr>
          <w:szCs w:val="24"/>
          <w:lang w:eastAsia="en-US"/>
        </w:rPr>
        <w:t>HFPO</w:t>
      </w:r>
      <w:proofErr w:type="spellEnd"/>
      <w:r w:rsidRPr="003B6CF7">
        <w:rPr>
          <w:szCs w:val="24"/>
          <w:lang w:eastAsia="en-US"/>
        </w:rPr>
        <w:t>-DA eller Gen X) (CAS-nr 62037-80-3) (RPF 0,06), propionsyra/ammonium 2,2,3-trifluor-3-(1,1,2,2,3,3-hexafluor-3-(trifluormetoxi)propoxi)propanoat (ADONA) (CAS-nr 958445-44-8) (</w:t>
      </w:r>
      <w:proofErr w:type="spellStart"/>
      <w:r w:rsidRPr="003B6CF7">
        <w:rPr>
          <w:szCs w:val="24"/>
          <w:lang w:eastAsia="en-US"/>
        </w:rPr>
        <w:t>RPF</w:t>
      </w:r>
      <w:proofErr w:type="spellEnd"/>
      <w:r w:rsidRPr="003B6CF7">
        <w:rPr>
          <w:szCs w:val="24"/>
          <w:lang w:eastAsia="en-US"/>
        </w:rPr>
        <w:t xml:space="preserve"> 0,03), 2-(</w:t>
      </w:r>
      <w:proofErr w:type="spellStart"/>
      <w:r w:rsidRPr="003B6CF7">
        <w:rPr>
          <w:szCs w:val="24"/>
          <w:lang w:eastAsia="en-US"/>
        </w:rPr>
        <w:t>perfluorhexyl</w:t>
      </w:r>
      <w:proofErr w:type="spellEnd"/>
      <w:r w:rsidRPr="003B6CF7">
        <w:rPr>
          <w:szCs w:val="24"/>
          <w:lang w:eastAsia="en-US"/>
        </w:rPr>
        <w:t xml:space="preserve">)etylalkohol (6:2 </w:t>
      </w:r>
      <w:proofErr w:type="spellStart"/>
      <w:r w:rsidRPr="003B6CF7">
        <w:rPr>
          <w:szCs w:val="24"/>
          <w:lang w:eastAsia="en-US"/>
        </w:rPr>
        <w:t>FTOH</w:t>
      </w:r>
      <w:proofErr w:type="spellEnd"/>
      <w:r w:rsidRPr="003B6CF7">
        <w:rPr>
          <w:szCs w:val="24"/>
          <w:lang w:eastAsia="en-US"/>
        </w:rPr>
        <w:t>) (CAS-nr 647-42-7, EU-nr 211-477-1) (</w:t>
      </w:r>
      <w:proofErr w:type="spellStart"/>
      <w:r w:rsidRPr="003B6CF7">
        <w:rPr>
          <w:szCs w:val="24"/>
          <w:lang w:eastAsia="en-US"/>
        </w:rPr>
        <w:t>RPF</w:t>
      </w:r>
      <w:proofErr w:type="spellEnd"/>
      <w:r w:rsidRPr="003B6CF7">
        <w:rPr>
          <w:szCs w:val="24"/>
          <w:lang w:eastAsia="en-US"/>
        </w:rPr>
        <w:t xml:space="preserve"> 0,02), 2-(</w:t>
      </w:r>
      <w:proofErr w:type="spellStart"/>
      <w:r w:rsidRPr="003B6CF7">
        <w:rPr>
          <w:szCs w:val="24"/>
          <w:lang w:eastAsia="en-US"/>
        </w:rPr>
        <w:t>perfluoroktyl</w:t>
      </w:r>
      <w:proofErr w:type="spellEnd"/>
      <w:r w:rsidRPr="003B6CF7">
        <w:rPr>
          <w:szCs w:val="24"/>
          <w:lang w:eastAsia="en-US"/>
        </w:rPr>
        <w:t xml:space="preserve">)etanol (8:2 </w:t>
      </w:r>
      <w:proofErr w:type="spellStart"/>
      <w:r w:rsidRPr="003B6CF7">
        <w:rPr>
          <w:szCs w:val="24"/>
          <w:lang w:eastAsia="en-US"/>
        </w:rPr>
        <w:t>FTOH</w:t>
      </w:r>
      <w:proofErr w:type="spellEnd"/>
      <w:r w:rsidRPr="003B6CF7">
        <w:rPr>
          <w:szCs w:val="24"/>
          <w:lang w:eastAsia="en-US"/>
        </w:rPr>
        <w:t>) (CAS-nr 678-39-7, EU-nr 211-648-0) (RPF 0,04) och ättiksyra/2,2-difluor-2-((2,2,4,5-tetrafluor-5-(trifluormetoxi)-1,3-dioxolan-4-yl)oxi)- (C6O4) (CAS-nr 1190931-41-9) (RPF 0,06).</w:t>
      </w:r>
    </w:p>
    <w:p w14:paraId="5B92FDA2" w14:textId="77777777" w:rsidR="00554F65" w:rsidRPr="003B6CF7" w:rsidRDefault="00554F65">
      <w:pPr>
        <w:widowControl/>
        <w:rPr>
          <w:szCs w:val="24"/>
          <w:lang w:eastAsia="en-US"/>
        </w:rPr>
      </w:pPr>
      <w:r w:rsidRPr="003B6CF7">
        <w:rPr>
          <w:szCs w:val="24"/>
          <w:lang w:eastAsia="en-US"/>
        </w:rPr>
        <w:br w:type="page"/>
      </w:r>
    </w:p>
    <w:p w14:paraId="45CE5865" w14:textId="4AD4AA38"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(7)</w:t>
      </w:r>
      <w:r w:rsidRPr="003B6CF7">
        <w:rPr>
          <w:szCs w:val="24"/>
          <w:lang w:eastAsia="en-US"/>
        </w:rPr>
        <w:tab/>
        <w:t>Kvalitetsnormen avser summan av de 24 PFAS-ämnen som anges i fotnot 6 uttryckt som PFOA-ekvivalenter baserat på ämnenas potens i förhållande till PFOA, dvs. de relativa potensfaktorerna (RPF) i fotnot 6.</w:t>
      </w:r>
    </w:p>
    <w:p w14:paraId="1821E58C" w14:textId="5B24D361" w:rsidR="001831FD" w:rsidRPr="003B6CF7" w:rsidRDefault="00554F65" w:rsidP="001831FD">
      <w:pPr>
        <w:spacing w:before="120" w:after="120" w:line="360" w:lineRule="auto"/>
        <w:ind w:left="1416" w:hanging="566"/>
        <w:rPr>
          <w:szCs w:val="24"/>
          <w:lang w:eastAsia="en-US"/>
        </w:rPr>
      </w:pPr>
      <w:r w:rsidRPr="003B6CF7">
        <w:rPr>
          <w:b/>
          <w:i/>
          <w:szCs w:val="24"/>
          <w:vertAlign w:val="superscript"/>
          <w:lang w:eastAsia="en-US"/>
        </w:rPr>
        <w:t>(</w:t>
      </w:r>
      <w:r w:rsidR="001831FD" w:rsidRPr="003B6CF7">
        <w:rPr>
          <w:b/>
          <w:i/>
          <w:szCs w:val="24"/>
          <w:vertAlign w:val="superscript"/>
          <w:lang w:eastAsia="en-US"/>
        </w:rPr>
        <w:t>7a</w:t>
      </w:r>
      <w:r w:rsidRPr="003B6CF7">
        <w:rPr>
          <w:b/>
          <w:i/>
          <w:szCs w:val="24"/>
          <w:vertAlign w:val="superscript"/>
          <w:lang w:eastAsia="en-US"/>
        </w:rPr>
        <w:t>)</w:t>
      </w:r>
      <w:r w:rsidR="001831FD" w:rsidRPr="003B6CF7">
        <w:rPr>
          <w:szCs w:val="24"/>
          <w:lang w:eastAsia="en-US"/>
        </w:rPr>
        <w:tab/>
      </w:r>
      <w:r w:rsidR="001831FD" w:rsidRPr="003B6CF7">
        <w:rPr>
          <w:b/>
          <w:i/>
          <w:szCs w:val="24"/>
          <w:lang w:eastAsia="en-US"/>
        </w:rPr>
        <w:t>Kvalitetsnormen ska fastställas av kommissionen genom en delegerad akt.</w:t>
      </w:r>
    </w:p>
    <w:p w14:paraId="676FF0F1"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(8)</w:t>
      </w:r>
      <w:r w:rsidRPr="003B6CF7">
        <w:rPr>
          <w:szCs w:val="24"/>
          <w:lang w:eastAsia="en-US"/>
        </w:rPr>
        <w:tab/>
        <w:t>Med ’totalt’ avses summan av alla enskilda läkemedel som upptäcks och kvantifieras vid övervakningsförfarandet, inbegripet relevanta metaboliter och nedbrytningsprodukter.</w:t>
      </w:r>
    </w:p>
    <w:p w14:paraId="4C7B3986" w14:textId="77777777" w:rsidR="001831FD" w:rsidRPr="003B6CF7" w:rsidRDefault="001831FD" w:rsidP="001831FD">
      <w:pPr>
        <w:spacing w:before="120" w:after="120" w:line="360" w:lineRule="auto"/>
        <w:ind w:left="1416" w:hanging="566"/>
        <w:rPr>
          <w:szCs w:val="24"/>
          <w:lang w:eastAsia="en-US"/>
        </w:rPr>
      </w:pPr>
      <w:r w:rsidRPr="003B6CF7">
        <w:rPr>
          <w:strike/>
          <w:szCs w:val="24"/>
          <w:vertAlign w:val="superscript"/>
          <w:lang w:eastAsia="en-US"/>
        </w:rPr>
        <w:t>(9)</w:t>
      </w:r>
      <w:r w:rsidRPr="003B6CF7">
        <w:rPr>
          <w:szCs w:val="24"/>
          <w:lang w:eastAsia="en-US"/>
        </w:rPr>
        <w:tab/>
      </w:r>
      <w:r w:rsidRPr="003B6CF7">
        <w:rPr>
          <w:strike/>
          <w:szCs w:val="24"/>
          <w:lang w:eastAsia="en-US"/>
        </w:rPr>
        <w:t>Tillämpligt på ’datafattiga’ icke-relevanta metaboliter, dvs. icke-relevanta metaboliter för vilka det saknas tillförlitliga experimentella data om deras kroniska eller akuta effekter på den taxonomiska grupp som med säkerhet förutses vara den känsligaste.</w:t>
      </w:r>
    </w:p>
    <w:p w14:paraId="2E5A99B4" w14:textId="77777777" w:rsidR="001831FD" w:rsidRPr="003B6CF7" w:rsidRDefault="001831FD" w:rsidP="001831FD">
      <w:pPr>
        <w:spacing w:before="120" w:after="120" w:line="360" w:lineRule="auto"/>
        <w:ind w:left="1416" w:hanging="566"/>
        <w:rPr>
          <w:szCs w:val="24"/>
          <w:lang w:eastAsia="en-US"/>
        </w:rPr>
      </w:pPr>
      <w:r w:rsidRPr="003B6CF7">
        <w:rPr>
          <w:strike/>
          <w:szCs w:val="24"/>
          <w:vertAlign w:val="superscript"/>
          <w:lang w:eastAsia="en-US"/>
        </w:rPr>
        <w:t>(10)</w:t>
      </w:r>
      <w:r w:rsidRPr="003B6CF7">
        <w:rPr>
          <w:szCs w:val="24"/>
          <w:lang w:eastAsia="en-US"/>
        </w:rPr>
        <w:tab/>
      </w:r>
      <w:r w:rsidRPr="003B6CF7">
        <w:rPr>
          <w:strike/>
          <w:szCs w:val="24"/>
          <w:lang w:eastAsia="en-US"/>
        </w:rPr>
        <w:t>Tillämpligt på icke-relevanta metaboliter för vilka vissa data finns tillgängliga, dvs. icke-relevanta metaboliter för vilka det finns tillförlitliga experimentella data om deras kroniska eller akuta effekter på den taxonomiska grupp som med säkerhet förutses vara den känsligaste, men där data är otillräckliga för att klassificera ämnena som ’datarika’.</w:t>
      </w:r>
    </w:p>
    <w:p w14:paraId="031D2A48" w14:textId="77777777" w:rsidR="001F7022" w:rsidRPr="003B6CF7" w:rsidRDefault="001F7022">
      <w:pPr>
        <w:widowControl/>
        <w:rPr>
          <w:strike/>
          <w:szCs w:val="24"/>
          <w:lang w:eastAsia="en-US"/>
        </w:rPr>
      </w:pPr>
      <w:r w:rsidRPr="003B6CF7">
        <w:rPr>
          <w:strike/>
          <w:szCs w:val="24"/>
          <w:lang w:eastAsia="en-US"/>
        </w:rPr>
        <w:br w:type="page"/>
      </w:r>
    </w:p>
    <w:p w14:paraId="64C767EE" w14:textId="60D91590" w:rsidR="001831FD" w:rsidRPr="003B6CF7" w:rsidRDefault="001831FD" w:rsidP="001831FD">
      <w:pPr>
        <w:spacing w:before="120" w:after="120" w:line="360" w:lineRule="auto"/>
        <w:ind w:left="1416" w:hanging="566"/>
        <w:rPr>
          <w:szCs w:val="24"/>
          <w:lang w:eastAsia="en-US"/>
        </w:rPr>
      </w:pPr>
      <w:r w:rsidRPr="003B6CF7">
        <w:rPr>
          <w:strike/>
          <w:szCs w:val="24"/>
          <w:vertAlign w:val="superscript"/>
          <w:lang w:eastAsia="en-US"/>
        </w:rPr>
        <w:t>(11)</w:t>
      </w:r>
      <w:r w:rsidRPr="003B6CF7">
        <w:rPr>
          <w:szCs w:val="24"/>
          <w:lang w:eastAsia="en-US"/>
        </w:rPr>
        <w:tab/>
      </w:r>
      <w:r w:rsidRPr="003B6CF7">
        <w:rPr>
          <w:strike/>
          <w:szCs w:val="24"/>
          <w:lang w:eastAsia="en-US"/>
        </w:rPr>
        <w:t>Tillämpligt på ’datarika’ icke-relevanta metaboliter, dvs. icke-relevanta metaboliter för vilka det finns tillförlitliga experimentella data, eller lika tillförlitliga data som erhållits genom alternativa vetenskapligt validerade metoder, om deras kroniska eller akuta effekter på minst en art vardera av alger, ryggradslösa djur och fisk, vilket gör att den mest känsliga taxonomiska gruppen kan fastställas med säkerhet, och för vilka en kvalitetsnorm kan beräknas med deterministiska metoder baserade på tillförlitliga experimentella data om kronisk toxicitet för den taxonomiska gruppen. Medlemsstaterna kan för detta ändamål tillämpa den senaste vägledning som fastställts inom ramen för den gemensamma genomförandestrategin för direktiv 2000/60/EG (vägledningsdokument nr 27, i dess uppdaterade lydelse). Kvalitetsnormen på 2,5 för enskilda icke-relevanta metaboliter ska tillämpas såvida inte den kvalitetsnorm som beräknats med deterministiska metoder är högre, i vilket fall en kvalitetsnorm på 5 ska tillämpas.</w:t>
      </w:r>
    </w:p>
    <w:p w14:paraId="50EAF19F"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(12)</w:t>
      </w:r>
      <w:r w:rsidRPr="003B6CF7">
        <w:rPr>
          <w:szCs w:val="24"/>
          <w:lang w:eastAsia="en-US"/>
        </w:rPr>
        <w:tab/>
        <w:t>Med ’totalt’ avses summan av alla enskilda icke-relevanta metaboliter för varje datakategori som upptäcks och kvantifieras vid övervakningsförfarandet.”</w:t>
      </w:r>
    </w:p>
    <w:p w14:paraId="60444AA2" w14:textId="77777777" w:rsidR="001831FD" w:rsidRPr="003B6CF7" w:rsidRDefault="001831FD" w:rsidP="001831FD">
      <w:pPr>
        <w:spacing w:before="120" w:after="120" w:line="360" w:lineRule="auto"/>
        <w:rPr>
          <w:szCs w:val="24"/>
          <w:lang w:eastAsia="en-US"/>
        </w:rPr>
        <w:sectPr w:rsidR="001831FD" w:rsidRPr="003B6CF7">
          <w:footnotePr>
            <w:numRestart w:val="eachSect"/>
          </w:footnotePr>
          <w:pgSz w:w="11909" w:h="16834"/>
          <w:pgMar w:top="1134" w:right="1417" w:bottom="1417" w:left="1417" w:header="1134" w:footer="567" w:gutter="0"/>
          <w:cols w:space="720"/>
        </w:sectPr>
      </w:pPr>
    </w:p>
    <w:p w14:paraId="346CC664" w14:textId="77777777" w:rsidR="001831FD" w:rsidRPr="003B6CF7" w:rsidRDefault="001831FD" w:rsidP="001831FD">
      <w:pPr>
        <w:spacing w:before="120" w:after="120" w:line="360" w:lineRule="auto"/>
        <w:jc w:val="center"/>
        <w:rPr>
          <w:lang w:eastAsia="en-US"/>
        </w:rPr>
      </w:pPr>
      <w:r w:rsidRPr="003B6CF7">
        <w:rPr>
          <w:lang w:eastAsia="en-US"/>
        </w:rPr>
        <w:t>BILAGA IV</w:t>
      </w:r>
    </w:p>
    <w:p w14:paraId="4C03BC00" w14:textId="77777777" w:rsidR="001831FD" w:rsidRPr="003B6CF7" w:rsidRDefault="001831FD" w:rsidP="001831FD">
      <w:pPr>
        <w:spacing w:before="120" w:after="120" w:line="360" w:lineRule="auto"/>
        <w:rPr>
          <w:szCs w:val="24"/>
          <w:lang w:eastAsia="en-US"/>
        </w:rPr>
      </w:pPr>
      <w:r w:rsidRPr="003B6CF7">
        <w:rPr>
          <w:szCs w:val="24"/>
          <w:lang w:eastAsia="en-US"/>
        </w:rPr>
        <w:t>Bilaga II till direktiv 2006/118/EG ska ändras på följande sätt:</w:t>
      </w:r>
    </w:p>
    <w:p w14:paraId="46502564"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I del A ska följande stycke läggas till efter första stycket:</w:t>
      </w:r>
    </w:p>
    <w:p w14:paraId="0BB73B8F" w14:textId="77777777" w:rsidR="001831FD" w:rsidRPr="003B6CF7" w:rsidRDefault="001831FD" w:rsidP="001831FD">
      <w:pPr>
        <w:spacing w:before="120" w:after="120" w:line="360" w:lineRule="auto"/>
        <w:ind w:left="850"/>
        <w:rPr>
          <w:szCs w:val="24"/>
          <w:lang w:eastAsia="en-US"/>
        </w:rPr>
      </w:pPr>
      <w:r w:rsidRPr="003B6CF7">
        <w:rPr>
          <w:szCs w:val="24"/>
          <w:lang w:eastAsia="en-US"/>
        </w:rPr>
        <w:t xml:space="preserve">”Medlemsstaterna ska se till att de behöriga myndigheterna informerar Europeiska kemikaliemyndigheten </w:t>
      </w:r>
      <w:proofErr w:type="spellStart"/>
      <w:r w:rsidRPr="003B6CF7">
        <w:rPr>
          <w:szCs w:val="24"/>
          <w:lang w:eastAsia="en-US"/>
        </w:rPr>
        <w:t>Echa</w:t>
      </w:r>
      <w:proofErr w:type="spellEnd"/>
      <w:r w:rsidRPr="003B6CF7">
        <w:rPr>
          <w:szCs w:val="24"/>
          <w:lang w:eastAsia="en-US"/>
        </w:rPr>
        <w:t xml:space="preserve"> om tröskelvärden för förorenande ämnen och föroreningsindikatorer. </w:t>
      </w:r>
      <w:proofErr w:type="spellStart"/>
      <w:r w:rsidRPr="003B6CF7">
        <w:rPr>
          <w:szCs w:val="24"/>
          <w:lang w:eastAsia="en-US"/>
        </w:rPr>
        <w:t>Echa</w:t>
      </w:r>
      <w:proofErr w:type="spellEnd"/>
      <w:r w:rsidRPr="003B6CF7">
        <w:rPr>
          <w:szCs w:val="24"/>
          <w:lang w:eastAsia="en-US"/>
        </w:rPr>
        <w:t xml:space="preserve"> ska offentliggöra denna information utan dröjsmål.”</w:t>
      </w:r>
    </w:p>
    <w:p w14:paraId="0F748257" w14:textId="2ECE28B9" w:rsidR="001831FD" w:rsidRPr="003B6CF7" w:rsidRDefault="001F7022" w:rsidP="001831FD">
      <w:pPr>
        <w:spacing w:before="120" w:after="120" w:line="360" w:lineRule="auto"/>
        <w:ind w:left="850" w:hanging="850"/>
        <w:rPr>
          <w:szCs w:val="24"/>
          <w:lang w:eastAsia="en-US"/>
        </w:rPr>
      </w:pPr>
      <w:r w:rsidRPr="003B6CF7">
        <w:rPr>
          <w:b/>
          <w:i/>
          <w:szCs w:val="24"/>
          <w:lang w:eastAsia="en-US"/>
        </w:rPr>
        <w:t>(1a)</w:t>
      </w:r>
      <w:r w:rsidR="001831FD" w:rsidRPr="003B6CF7">
        <w:rPr>
          <w:szCs w:val="24"/>
          <w:lang w:eastAsia="en-US"/>
        </w:rPr>
        <w:tab/>
      </w:r>
      <w:r w:rsidR="001831FD" w:rsidRPr="003B6CF7">
        <w:rPr>
          <w:b/>
          <w:i/>
          <w:szCs w:val="24"/>
          <w:lang w:eastAsia="en-US"/>
        </w:rPr>
        <w:t>I del B ska titeln ersättas med följande:</w:t>
      </w:r>
    </w:p>
    <w:p w14:paraId="03B90F96" w14:textId="6078BAE0" w:rsidR="001831FD" w:rsidRPr="003B6CF7" w:rsidRDefault="001831FD" w:rsidP="001831FD">
      <w:pPr>
        <w:spacing w:before="120" w:after="120" w:line="360" w:lineRule="auto"/>
        <w:ind w:left="850"/>
        <w:rPr>
          <w:b/>
          <w:szCs w:val="24"/>
          <w:lang w:eastAsia="en-US"/>
        </w:rPr>
      </w:pPr>
      <w:r w:rsidRPr="003B6CF7">
        <w:rPr>
          <w:szCs w:val="24"/>
          <w:lang w:eastAsia="en-US"/>
        </w:rPr>
        <w:t>”</w:t>
      </w:r>
      <w:r w:rsidRPr="003B6CF7">
        <w:rPr>
          <w:b/>
          <w:i/>
          <w:szCs w:val="24"/>
          <w:lang w:eastAsia="en-US"/>
        </w:rPr>
        <w:t>Minimiförteckning över förorenande ämnen och deras indikatorer för vilka medlemsstaterna måste fastställa tröskelvärden i enlighet med Artikel 3</w:t>
      </w:r>
      <w:r w:rsidRPr="003B6CF7">
        <w:rPr>
          <w:szCs w:val="24"/>
          <w:lang w:eastAsia="en-US"/>
        </w:rPr>
        <w:t>”</w:t>
      </w:r>
      <w:r w:rsidR="00554F65" w:rsidRPr="003B6CF7">
        <w:rPr>
          <w:b/>
          <w:szCs w:val="24"/>
          <w:lang w:eastAsia="en-US"/>
        </w:rPr>
        <w:t xml:space="preserve"> [Ändr. 149]</w:t>
      </w:r>
    </w:p>
    <w:p w14:paraId="7C8C410C" w14:textId="77777777" w:rsidR="001F7022" w:rsidRPr="003B6CF7" w:rsidRDefault="001F7022">
      <w:pPr>
        <w:widowControl/>
        <w:rPr>
          <w:szCs w:val="24"/>
          <w:lang w:eastAsia="en-US"/>
        </w:rPr>
      </w:pPr>
      <w:r w:rsidRPr="003B6CF7">
        <w:rPr>
          <w:szCs w:val="24"/>
          <w:lang w:eastAsia="en-US"/>
        </w:rPr>
        <w:br w:type="page"/>
      </w:r>
    </w:p>
    <w:p w14:paraId="6D97A802" w14:textId="09181938"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I del B ska punkt 2 ersättas med följande:</w:t>
      </w:r>
    </w:p>
    <w:p w14:paraId="6E154F9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Av människan framställda syntetiska ämnen</w:t>
      </w:r>
    </w:p>
    <w:p w14:paraId="429BE951" w14:textId="77777777" w:rsidR="001831FD" w:rsidRPr="003B6CF7" w:rsidRDefault="001831FD" w:rsidP="001831FD">
      <w:pPr>
        <w:spacing w:before="120" w:after="120" w:line="360" w:lineRule="auto"/>
        <w:ind w:left="1416"/>
        <w:rPr>
          <w:szCs w:val="24"/>
          <w:lang w:eastAsia="en-US"/>
        </w:rPr>
      </w:pPr>
      <w:proofErr w:type="spellStart"/>
      <w:r w:rsidRPr="003B6CF7">
        <w:rPr>
          <w:szCs w:val="24"/>
          <w:lang w:eastAsia="en-US"/>
        </w:rPr>
        <w:t>Primidon</w:t>
      </w:r>
      <w:proofErr w:type="spellEnd"/>
    </w:p>
    <w:p w14:paraId="72529393" w14:textId="77777777" w:rsidR="001831FD" w:rsidRPr="003B6CF7" w:rsidRDefault="001831FD" w:rsidP="001831FD">
      <w:pPr>
        <w:spacing w:before="120" w:after="120" w:line="360" w:lineRule="auto"/>
        <w:ind w:left="1416"/>
        <w:rPr>
          <w:szCs w:val="24"/>
          <w:lang w:eastAsia="en-US"/>
        </w:rPr>
      </w:pPr>
      <w:r w:rsidRPr="003B6CF7">
        <w:rPr>
          <w:szCs w:val="24"/>
          <w:lang w:eastAsia="en-US"/>
        </w:rPr>
        <w:t>Trikloretylen</w:t>
      </w:r>
    </w:p>
    <w:p w14:paraId="64F475B9" w14:textId="77777777" w:rsidR="001831FD" w:rsidRPr="003B6CF7" w:rsidRDefault="001831FD" w:rsidP="001831FD">
      <w:pPr>
        <w:spacing w:before="120" w:after="120" w:line="360" w:lineRule="auto"/>
        <w:ind w:left="1416"/>
        <w:rPr>
          <w:szCs w:val="24"/>
          <w:lang w:eastAsia="en-US"/>
        </w:rPr>
      </w:pPr>
      <w:r w:rsidRPr="003B6CF7">
        <w:rPr>
          <w:szCs w:val="24"/>
          <w:lang w:eastAsia="en-US"/>
        </w:rPr>
        <w:t>Tetrakloretylen.”</w:t>
      </w:r>
    </w:p>
    <w:p w14:paraId="115515D9"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(3)</w:t>
      </w:r>
      <w:r w:rsidRPr="003B6CF7">
        <w:rPr>
          <w:szCs w:val="24"/>
          <w:lang w:eastAsia="en-US"/>
        </w:rPr>
        <w:tab/>
        <w:t>I del C ska titeln ersättas med följande:</w:t>
      </w:r>
    </w:p>
    <w:p w14:paraId="0833DEEE" w14:textId="77777777" w:rsidR="001831FD" w:rsidRPr="003B6CF7" w:rsidRDefault="001831FD" w:rsidP="001831FD">
      <w:pPr>
        <w:spacing w:before="120" w:after="120" w:line="360" w:lineRule="auto"/>
        <w:ind w:left="850"/>
        <w:rPr>
          <w:szCs w:val="24"/>
          <w:lang w:eastAsia="en-US"/>
        </w:rPr>
      </w:pPr>
      <w:r w:rsidRPr="003B6CF7">
        <w:rPr>
          <w:szCs w:val="24"/>
          <w:lang w:eastAsia="en-US"/>
        </w:rPr>
        <w:t>”Information som medlemsstaterna ska lämna avseende de förorenande ämnen och deras indikatorer för vilka tröskelvärden har fastställts av medlemsstaterna.”</w:t>
      </w:r>
    </w:p>
    <w:p w14:paraId="0F65AA47" w14:textId="77777777" w:rsidR="001F7022" w:rsidRPr="003B6CF7" w:rsidRDefault="001F7022" w:rsidP="001831FD">
      <w:pPr>
        <w:spacing w:before="120" w:after="120" w:line="360" w:lineRule="auto"/>
        <w:ind w:left="850" w:hanging="850"/>
        <w:rPr>
          <w:szCs w:val="24"/>
          <w:lang w:eastAsia="en-US"/>
        </w:rPr>
        <w:sectPr w:rsidR="001F7022" w:rsidRPr="003B6CF7">
          <w:footnotePr>
            <w:numRestart w:val="eachSect"/>
          </w:footnotePr>
          <w:pgSz w:w="11909" w:h="16834"/>
          <w:pgMar w:top="1134" w:right="1417" w:bottom="1417" w:left="1417" w:header="1134" w:footer="567" w:gutter="0"/>
          <w:cols w:space="720"/>
        </w:sectPr>
      </w:pPr>
    </w:p>
    <w:p w14:paraId="48FC13AC" w14:textId="0777863E" w:rsidR="001831FD" w:rsidRPr="003B6CF7" w:rsidRDefault="001831FD" w:rsidP="001831FD">
      <w:pPr>
        <w:spacing w:before="120" w:after="120" w:line="360" w:lineRule="auto"/>
        <w:ind w:left="850" w:hanging="850"/>
        <w:rPr>
          <w:szCs w:val="24"/>
          <w:lang w:eastAsia="en-US"/>
        </w:rPr>
      </w:pPr>
      <w:r w:rsidRPr="003B6CF7">
        <w:rPr>
          <w:szCs w:val="24"/>
          <w:lang w:eastAsia="en-US"/>
        </w:rPr>
        <w:t>(4)</w:t>
      </w:r>
      <w:r w:rsidRPr="003B6CF7">
        <w:rPr>
          <w:szCs w:val="24"/>
          <w:lang w:eastAsia="en-US"/>
        </w:rPr>
        <w:tab/>
        <w:t>Följande del ska läggas till som del D:</w:t>
      </w:r>
    </w:p>
    <w:p w14:paraId="098B84B4" w14:textId="77777777" w:rsidR="001831FD" w:rsidRPr="003B6CF7" w:rsidRDefault="001831FD" w:rsidP="001831FD">
      <w:pPr>
        <w:spacing w:before="120" w:after="120" w:line="360" w:lineRule="auto"/>
        <w:ind w:left="850"/>
        <w:rPr>
          <w:szCs w:val="24"/>
          <w:lang w:eastAsia="en-US"/>
        </w:rPr>
      </w:pPr>
      <w:r w:rsidRPr="003B6CF7">
        <w:rPr>
          <w:szCs w:val="24"/>
          <w:lang w:eastAsia="en-US"/>
        </w:rPr>
        <w:t>”Del D</w:t>
      </w:r>
    </w:p>
    <w:p w14:paraId="486EB15A" w14:textId="77777777" w:rsidR="001831FD" w:rsidRPr="003B6CF7" w:rsidRDefault="001831FD" w:rsidP="001831FD">
      <w:pPr>
        <w:spacing w:before="120" w:after="120" w:line="360" w:lineRule="auto"/>
        <w:ind w:left="850"/>
        <w:rPr>
          <w:szCs w:val="24"/>
          <w:lang w:eastAsia="en-US"/>
        </w:rPr>
      </w:pPr>
      <w:r w:rsidRPr="003B6CF7">
        <w:rPr>
          <w:szCs w:val="24"/>
          <w:lang w:eastAsia="en-US"/>
        </w:rPr>
        <w:t>Register över harmoniserade tröskelvärden för förorenande ämnen i grundvattnet som är av nationell, regional eller lokal betydelse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76"/>
        <w:gridCol w:w="3413"/>
        <w:gridCol w:w="2061"/>
        <w:gridCol w:w="2138"/>
        <w:gridCol w:w="2279"/>
        <w:gridCol w:w="3006"/>
      </w:tblGrid>
      <w:tr w:rsidR="001831FD" w:rsidRPr="003B6CF7" w14:paraId="08E7F28F" w14:textId="77777777" w:rsidTr="00BD5295">
        <w:trPr>
          <w:tblHeader/>
        </w:trPr>
        <w:tc>
          <w:tcPr>
            <w:tcW w:w="0" w:type="auto"/>
          </w:tcPr>
          <w:p w14:paraId="599699DE" w14:textId="77777777" w:rsidR="001831FD" w:rsidRPr="003B6CF7" w:rsidRDefault="001831FD" w:rsidP="001831FD">
            <w:pPr>
              <w:spacing w:before="120" w:after="120" w:line="360" w:lineRule="auto"/>
              <w:rPr>
                <w:szCs w:val="24"/>
                <w:lang w:val="en-GB" w:eastAsia="en-US"/>
              </w:rPr>
            </w:pPr>
            <w:r w:rsidRPr="003B6CF7">
              <w:rPr>
                <w:szCs w:val="24"/>
                <w:lang w:val="en-GB" w:eastAsia="en-US"/>
              </w:rPr>
              <w:t>(1)</w:t>
            </w:r>
          </w:p>
        </w:tc>
        <w:tc>
          <w:tcPr>
            <w:tcW w:w="0" w:type="auto"/>
          </w:tcPr>
          <w:p w14:paraId="0199C121" w14:textId="77777777" w:rsidR="001831FD" w:rsidRPr="003B6CF7" w:rsidRDefault="001831FD" w:rsidP="001831FD">
            <w:pPr>
              <w:spacing w:before="120" w:after="120" w:line="360" w:lineRule="auto"/>
              <w:rPr>
                <w:szCs w:val="24"/>
                <w:lang w:val="en-GB" w:eastAsia="en-US"/>
              </w:rPr>
            </w:pPr>
            <w:r w:rsidRPr="003B6CF7">
              <w:rPr>
                <w:szCs w:val="24"/>
                <w:lang w:val="en-GB" w:eastAsia="en-US"/>
              </w:rPr>
              <w:t>(2)</w:t>
            </w:r>
          </w:p>
        </w:tc>
        <w:tc>
          <w:tcPr>
            <w:tcW w:w="0" w:type="auto"/>
          </w:tcPr>
          <w:p w14:paraId="0292BC8C" w14:textId="77777777" w:rsidR="001831FD" w:rsidRPr="003B6CF7" w:rsidRDefault="001831FD" w:rsidP="001831FD">
            <w:pPr>
              <w:spacing w:before="120" w:after="120" w:line="360" w:lineRule="auto"/>
              <w:rPr>
                <w:szCs w:val="24"/>
                <w:lang w:val="en-GB" w:eastAsia="en-US"/>
              </w:rPr>
            </w:pPr>
            <w:r w:rsidRPr="003B6CF7">
              <w:rPr>
                <w:szCs w:val="24"/>
                <w:lang w:val="en-GB" w:eastAsia="en-US"/>
              </w:rPr>
              <w:t>(3)</w:t>
            </w:r>
          </w:p>
        </w:tc>
        <w:tc>
          <w:tcPr>
            <w:tcW w:w="0" w:type="auto"/>
          </w:tcPr>
          <w:p w14:paraId="52580B1F" w14:textId="77777777" w:rsidR="001831FD" w:rsidRPr="003B6CF7" w:rsidRDefault="001831FD" w:rsidP="001831FD">
            <w:pPr>
              <w:spacing w:before="120" w:after="120" w:line="360" w:lineRule="auto"/>
              <w:rPr>
                <w:szCs w:val="24"/>
                <w:lang w:val="en-GB" w:eastAsia="en-US"/>
              </w:rPr>
            </w:pPr>
            <w:r w:rsidRPr="003B6CF7">
              <w:rPr>
                <w:szCs w:val="24"/>
                <w:lang w:val="en-GB" w:eastAsia="en-US"/>
              </w:rPr>
              <w:t>(4)</w:t>
            </w:r>
          </w:p>
        </w:tc>
        <w:tc>
          <w:tcPr>
            <w:tcW w:w="0" w:type="auto"/>
          </w:tcPr>
          <w:p w14:paraId="16AF7572" w14:textId="77777777" w:rsidR="001831FD" w:rsidRPr="003B6CF7" w:rsidRDefault="001831FD" w:rsidP="001831FD">
            <w:pPr>
              <w:spacing w:before="120" w:after="120" w:line="360" w:lineRule="auto"/>
              <w:rPr>
                <w:szCs w:val="24"/>
                <w:lang w:val="en-GB" w:eastAsia="en-US"/>
              </w:rPr>
            </w:pPr>
            <w:r w:rsidRPr="003B6CF7">
              <w:rPr>
                <w:szCs w:val="24"/>
                <w:lang w:val="en-GB" w:eastAsia="en-US"/>
              </w:rPr>
              <w:t>(5)</w:t>
            </w:r>
          </w:p>
        </w:tc>
        <w:tc>
          <w:tcPr>
            <w:tcW w:w="0" w:type="auto"/>
          </w:tcPr>
          <w:p w14:paraId="64396516" w14:textId="77777777" w:rsidR="001831FD" w:rsidRPr="003B6CF7" w:rsidRDefault="001831FD" w:rsidP="001831FD">
            <w:pPr>
              <w:spacing w:before="120" w:after="120" w:line="360" w:lineRule="auto"/>
              <w:rPr>
                <w:szCs w:val="24"/>
                <w:lang w:val="en-GB" w:eastAsia="en-US"/>
              </w:rPr>
            </w:pPr>
            <w:r w:rsidRPr="003B6CF7">
              <w:rPr>
                <w:szCs w:val="24"/>
                <w:lang w:val="en-GB" w:eastAsia="en-US"/>
              </w:rPr>
              <w:t>(6)</w:t>
            </w:r>
          </w:p>
        </w:tc>
      </w:tr>
      <w:tr w:rsidR="001831FD" w:rsidRPr="003B6CF7" w14:paraId="12B1BF31" w14:textId="77777777" w:rsidTr="00BD5295">
        <w:tc>
          <w:tcPr>
            <w:tcW w:w="0" w:type="auto"/>
          </w:tcPr>
          <w:p w14:paraId="45510B33"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[Post] </w:t>
            </w:r>
            <w:proofErr w:type="spellStart"/>
            <w:r w:rsidRPr="003B6CF7">
              <w:rPr>
                <w:szCs w:val="24"/>
                <w:lang w:val="en-GB" w:eastAsia="en-US"/>
              </w:rPr>
              <w:t>Nr</w:t>
            </w:r>
            <w:proofErr w:type="spellEnd"/>
          </w:p>
        </w:tc>
        <w:tc>
          <w:tcPr>
            <w:tcW w:w="0" w:type="auto"/>
          </w:tcPr>
          <w:p w14:paraId="512786A8"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Ämnets</w:t>
            </w:r>
            <w:proofErr w:type="spellEnd"/>
            <w:r w:rsidRPr="003B6CF7">
              <w:rPr>
                <w:szCs w:val="24"/>
                <w:lang w:val="en-GB" w:eastAsia="en-US"/>
              </w:rPr>
              <w:t xml:space="preserve"> </w:t>
            </w:r>
            <w:proofErr w:type="spellStart"/>
            <w:r w:rsidRPr="003B6CF7">
              <w:rPr>
                <w:szCs w:val="24"/>
                <w:lang w:val="en-GB" w:eastAsia="en-US"/>
              </w:rPr>
              <w:t>namn</w:t>
            </w:r>
            <w:proofErr w:type="spellEnd"/>
          </w:p>
        </w:tc>
        <w:tc>
          <w:tcPr>
            <w:tcW w:w="0" w:type="auto"/>
          </w:tcPr>
          <w:p w14:paraId="7465C0C8"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Kategori</w:t>
            </w:r>
            <w:proofErr w:type="spellEnd"/>
            <w:r w:rsidRPr="003B6CF7">
              <w:rPr>
                <w:szCs w:val="24"/>
                <w:lang w:val="en-GB" w:eastAsia="en-US"/>
              </w:rPr>
              <w:t xml:space="preserve"> </w:t>
            </w:r>
            <w:proofErr w:type="spellStart"/>
            <w:r w:rsidRPr="003B6CF7">
              <w:rPr>
                <w:szCs w:val="24"/>
                <w:lang w:val="en-GB" w:eastAsia="en-US"/>
              </w:rPr>
              <w:t>av</w:t>
            </w:r>
            <w:proofErr w:type="spellEnd"/>
            <w:r w:rsidRPr="003B6CF7">
              <w:rPr>
                <w:szCs w:val="24"/>
                <w:lang w:val="en-GB" w:eastAsia="en-US"/>
              </w:rPr>
              <w:t xml:space="preserve"> </w:t>
            </w:r>
            <w:proofErr w:type="spellStart"/>
            <w:r w:rsidRPr="003B6CF7">
              <w:rPr>
                <w:szCs w:val="24"/>
                <w:lang w:val="en-GB" w:eastAsia="en-US"/>
              </w:rPr>
              <w:t>ämnen</w:t>
            </w:r>
            <w:proofErr w:type="spellEnd"/>
          </w:p>
        </w:tc>
        <w:tc>
          <w:tcPr>
            <w:tcW w:w="0" w:type="auto"/>
          </w:tcPr>
          <w:p w14:paraId="7EA1AC1E" w14:textId="77777777" w:rsidR="001831FD" w:rsidRPr="003B6CF7" w:rsidRDefault="001831FD" w:rsidP="001831FD">
            <w:pPr>
              <w:spacing w:before="120" w:after="120" w:line="360" w:lineRule="auto"/>
              <w:rPr>
                <w:szCs w:val="24"/>
                <w:lang w:val="en-GB" w:eastAsia="en-US"/>
              </w:rPr>
            </w:pPr>
            <w:r w:rsidRPr="003B6CF7">
              <w:rPr>
                <w:szCs w:val="24"/>
                <w:lang w:val="en-GB" w:eastAsia="en-US"/>
              </w:rPr>
              <w:t>CAS-</w:t>
            </w:r>
            <w:proofErr w:type="spellStart"/>
            <w:r w:rsidRPr="003B6CF7">
              <w:rPr>
                <w:szCs w:val="24"/>
                <w:lang w:val="en-GB" w:eastAsia="en-US"/>
              </w:rPr>
              <w:t>nummer</w:t>
            </w:r>
            <w:proofErr w:type="spellEnd"/>
            <w:r w:rsidRPr="003B6CF7">
              <w:rPr>
                <w:szCs w:val="24"/>
                <w:lang w:val="en-GB" w:eastAsia="en-US"/>
              </w:rPr>
              <w:t>(</w:t>
            </w:r>
            <w:r w:rsidRPr="003B6CF7">
              <w:rPr>
                <w:szCs w:val="24"/>
                <w:vertAlign w:val="superscript"/>
                <w:lang w:val="en-GB" w:eastAsia="en-US"/>
              </w:rPr>
              <w:t>1</w:t>
            </w:r>
            <w:r w:rsidRPr="003B6CF7">
              <w:rPr>
                <w:szCs w:val="24"/>
                <w:lang w:val="en-GB" w:eastAsia="en-US"/>
              </w:rPr>
              <w:t>)</w:t>
            </w:r>
          </w:p>
        </w:tc>
        <w:tc>
          <w:tcPr>
            <w:tcW w:w="0" w:type="auto"/>
          </w:tcPr>
          <w:p w14:paraId="1B54F7A8" w14:textId="77777777" w:rsidR="001831FD" w:rsidRPr="003B6CF7" w:rsidRDefault="001831FD" w:rsidP="001831FD">
            <w:pPr>
              <w:spacing w:before="120" w:after="120" w:line="360" w:lineRule="auto"/>
              <w:rPr>
                <w:szCs w:val="24"/>
                <w:lang w:val="en-GB" w:eastAsia="en-US"/>
              </w:rPr>
            </w:pPr>
            <w:r w:rsidRPr="003B6CF7">
              <w:rPr>
                <w:szCs w:val="24"/>
                <w:lang w:val="en-GB" w:eastAsia="en-US"/>
              </w:rPr>
              <w:t>EU-</w:t>
            </w:r>
            <w:proofErr w:type="spellStart"/>
            <w:r w:rsidRPr="003B6CF7">
              <w:rPr>
                <w:szCs w:val="24"/>
                <w:lang w:val="en-GB" w:eastAsia="en-US"/>
              </w:rPr>
              <w:t>nummer</w:t>
            </w:r>
            <w:proofErr w:type="spellEnd"/>
            <w:r w:rsidRPr="003B6CF7">
              <w:rPr>
                <w:szCs w:val="24"/>
                <w:lang w:val="en-GB" w:eastAsia="en-US"/>
              </w:rPr>
              <w:t>(</w:t>
            </w:r>
            <w:r w:rsidRPr="003B6CF7">
              <w:rPr>
                <w:szCs w:val="24"/>
                <w:vertAlign w:val="superscript"/>
                <w:lang w:val="en-GB" w:eastAsia="en-US"/>
              </w:rPr>
              <w:t>2</w:t>
            </w:r>
            <w:r w:rsidRPr="003B6CF7">
              <w:rPr>
                <w:szCs w:val="24"/>
                <w:lang w:val="en-GB" w:eastAsia="en-US"/>
              </w:rPr>
              <w:t>)</w:t>
            </w:r>
          </w:p>
        </w:tc>
        <w:tc>
          <w:tcPr>
            <w:tcW w:w="0" w:type="auto"/>
          </w:tcPr>
          <w:p w14:paraId="25ADAC25" w14:textId="77777777" w:rsidR="001831FD" w:rsidRPr="003B6CF7" w:rsidRDefault="001831FD" w:rsidP="001831FD">
            <w:pPr>
              <w:spacing w:before="120" w:after="120" w:line="360" w:lineRule="auto"/>
              <w:rPr>
                <w:szCs w:val="24"/>
                <w:lang w:eastAsia="en-US"/>
              </w:rPr>
            </w:pPr>
            <w:r w:rsidRPr="003B6CF7">
              <w:rPr>
                <w:szCs w:val="24"/>
                <w:lang w:eastAsia="en-US"/>
              </w:rPr>
              <w:t>Tröskelvärde [µg/l om inget annat anges]</w:t>
            </w:r>
          </w:p>
        </w:tc>
      </w:tr>
      <w:tr w:rsidR="001831FD" w:rsidRPr="003B6CF7" w14:paraId="0A30884E" w14:textId="77777777" w:rsidTr="00BD5295">
        <w:tc>
          <w:tcPr>
            <w:tcW w:w="0" w:type="auto"/>
          </w:tcPr>
          <w:p w14:paraId="480073AC" w14:textId="77777777" w:rsidR="001831FD" w:rsidRPr="003B6CF7" w:rsidRDefault="001831FD" w:rsidP="001831FD">
            <w:pPr>
              <w:spacing w:before="120" w:after="120" w:line="360" w:lineRule="auto"/>
              <w:rPr>
                <w:szCs w:val="24"/>
                <w:lang w:val="en-GB" w:eastAsia="en-US"/>
              </w:rPr>
            </w:pPr>
            <w:r w:rsidRPr="003B6CF7">
              <w:rPr>
                <w:szCs w:val="24"/>
                <w:lang w:val="en-GB" w:eastAsia="en-US"/>
              </w:rPr>
              <w:t>1</w:t>
            </w:r>
          </w:p>
        </w:tc>
        <w:tc>
          <w:tcPr>
            <w:tcW w:w="0" w:type="auto"/>
          </w:tcPr>
          <w:p w14:paraId="54626227" w14:textId="77777777" w:rsidR="001831FD" w:rsidRPr="003B6CF7" w:rsidRDefault="001831FD" w:rsidP="001831FD">
            <w:pPr>
              <w:spacing w:before="120" w:after="120" w:line="360" w:lineRule="auto"/>
              <w:rPr>
                <w:szCs w:val="24"/>
                <w:lang w:eastAsia="en-US"/>
              </w:rPr>
            </w:pPr>
            <w:r w:rsidRPr="003B6CF7">
              <w:rPr>
                <w:szCs w:val="24"/>
                <w:lang w:eastAsia="en-US"/>
              </w:rPr>
              <w:t>Trikloretylen och tetrakloretylen (summan av två)</w:t>
            </w:r>
          </w:p>
        </w:tc>
        <w:tc>
          <w:tcPr>
            <w:tcW w:w="0" w:type="auto"/>
          </w:tcPr>
          <w:p w14:paraId="5D5C55BF" w14:textId="77777777" w:rsidR="001831FD" w:rsidRPr="003B6CF7" w:rsidRDefault="001831FD" w:rsidP="001831FD">
            <w:pPr>
              <w:spacing w:before="120" w:after="120" w:line="360" w:lineRule="auto"/>
              <w:rPr>
                <w:szCs w:val="24"/>
                <w:lang w:val="en-GB" w:eastAsia="en-US"/>
              </w:rPr>
            </w:pPr>
            <w:proofErr w:type="spellStart"/>
            <w:r w:rsidRPr="003B6CF7">
              <w:rPr>
                <w:szCs w:val="24"/>
                <w:lang w:val="en-GB" w:eastAsia="en-US"/>
              </w:rPr>
              <w:t>Industriella</w:t>
            </w:r>
            <w:proofErr w:type="spellEnd"/>
            <w:r w:rsidRPr="003B6CF7">
              <w:rPr>
                <w:szCs w:val="24"/>
                <w:lang w:val="en-GB" w:eastAsia="en-US"/>
              </w:rPr>
              <w:t xml:space="preserve"> </w:t>
            </w:r>
            <w:proofErr w:type="spellStart"/>
            <w:r w:rsidRPr="003B6CF7">
              <w:rPr>
                <w:szCs w:val="24"/>
                <w:lang w:val="en-GB" w:eastAsia="en-US"/>
              </w:rPr>
              <w:t>ämnen</w:t>
            </w:r>
            <w:proofErr w:type="spellEnd"/>
          </w:p>
        </w:tc>
        <w:tc>
          <w:tcPr>
            <w:tcW w:w="0" w:type="auto"/>
          </w:tcPr>
          <w:p w14:paraId="3A526996"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79-01-6 </w:t>
            </w:r>
            <w:proofErr w:type="spellStart"/>
            <w:r w:rsidRPr="003B6CF7">
              <w:rPr>
                <w:szCs w:val="24"/>
                <w:lang w:val="en-GB" w:eastAsia="en-US"/>
              </w:rPr>
              <w:t>och</w:t>
            </w:r>
            <w:proofErr w:type="spellEnd"/>
            <w:r w:rsidRPr="003B6CF7">
              <w:rPr>
                <w:szCs w:val="24"/>
                <w:lang w:val="en-GB" w:eastAsia="en-US"/>
              </w:rPr>
              <w:t xml:space="preserve"> 127-18-4</w:t>
            </w:r>
          </w:p>
        </w:tc>
        <w:tc>
          <w:tcPr>
            <w:tcW w:w="0" w:type="auto"/>
          </w:tcPr>
          <w:p w14:paraId="06A97A3C" w14:textId="77777777" w:rsidR="001831FD" w:rsidRPr="003B6CF7" w:rsidRDefault="001831FD" w:rsidP="001831FD">
            <w:pPr>
              <w:spacing w:before="120" w:after="120" w:line="360" w:lineRule="auto"/>
              <w:rPr>
                <w:szCs w:val="24"/>
                <w:lang w:val="en-GB" w:eastAsia="en-US"/>
              </w:rPr>
            </w:pPr>
            <w:r w:rsidRPr="003B6CF7">
              <w:rPr>
                <w:szCs w:val="24"/>
                <w:lang w:val="en-GB" w:eastAsia="en-US"/>
              </w:rPr>
              <w:t xml:space="preserve">201-167-4 </w:t>
            </w:r>
            <w:proofErr w:type="spellStart"/>
            <w:r w:rsidRPr="003B6CF7">
              <w:rPr>
                <w:szCs w:val="24"/>
                <w:lang w:val="en-GB" w:eastAsia="en-US"/>
              </w:rPr>
              <w:t>och</w:t>
            </w:r>
            <w:proofErr w:type="spellEnd"/>
            <w:r w:rsidRPr="003B6CF7">
              <w:rPr>
                <w:szCs w:val="24"/>
                <w:lang w:val="en-GB" w:eastAsia="en-US"/>
              </w:rPr>
              <w:t xml:space="preserve"> 204-825-9</w:t>
            </w:r>
          </w:p>
        </w:tc>
        <w:tc>
          <w:tcPr>
            <w:tcW w:w="0" w:type="auto"/>
          </w:tcPr>
          <w:p w14:paraId="2EC30200" w14:textId="77777777" w:rsidR="001831FD" w:rsidRPr="003B6CF7" w:rsidRDefault="001831FD" w:rsidP="001831FD">
            <w:pPr>
              <w:spacing w:before="120" w:after="120" w:line="360" w:lineRule="auto"/>
              <w:rPr>
                <w:szCs w:val="24"/>
                <w:lang w:val="en-GB" w:eastAsia="en-US"/>
              </w:rPr>
            </w:pPr>
            <w:r w:rsidRPr="003B6CF7">
              <w:rPr>
                <w:szCs w:val="24"/>
                <w:lang w:val="en-GB" w:eastAsia="en-US"/>
              </w:rPr>
              <w:t>10 (</w:t>
            </w:r>
            <w:proofErr w:type="spellStart"/>
            <w:r w:rsidRPr="003B6CF7">
              <w:rPr>
                <w:szCs w:val="24"/>
                <w:lang w:val="en-GB" w:eastAsia="en-US"/>
              </w:rPr>
              <w:t>totalt</w:t>
            </w:r>
            <w:proofErr w:type="spellEnd"/>
            <w:r w:rsidRPr="003B6CF7">
              <w:rPr>
                <w:szCs w:val="24"/>
                <w:lang w:val="en-GB" w:eastAsia="en-US"/>
              </w:rPr>
              <w:t>)(</w:t>
            </w:r>
            <w:r w:rsidRPr="003B6CF7">
              <w:rPr>
                <w:szCs w:val="24"/>
                <w:vertAlign w:val="superscript"/>
                <w:lang w:val="en-GB" w:eastAsia="en-US"/>
              </w:rPr>
              <w:t>3</w:t>
            </w:r>
            <w:r w:rsidRPr="003B6CF7">
              <w:rPr>
                <w:szCs w:val="24"/>
                <w:lang w:val="en-GB" w:eastAsia="en-US"/>
              </w:rPr>
              <w:t>)</w:t>
            </w:r>
          </w:p>
        </w:tc>
      </w:tr>
    </w:tbl>
    <w:p w14:paraId="02E9C4B3" w14:textId="77777777" w:rsidR="001831FD" w:rsidRPr="003B6CF7" w:rsidRDefault="001831FD" w:rsidP="001831FD">
      <w:pPr>
        <w:spacing w:before="120" w:after="120" w:line="360" w:lineRule="auto"/>
        <w:ind w:left="1416" w:hanging="566"/>
        <w:rPr>
          <w:szCs w:val="24"/>
          <w:lang w:val="en-GB" w:eastAsia="en-US"/>
        </w:rPr>
      </w:pPr>
      <w:r w:rsidRPr="003B6CF7">
        <w:rPr>
          <w:szCs w:val="24"/>
          <w:vertAlign w:val="superscript"/>
          <w:lang w:val="en-GB" w:eastAsia="en-US"/>
        </w:rPr>
        <w:t>(1)</w:t>
      </w:r>
      <w:r w:rsidRPr="003B6CF7">
        <w:rPr>
          <w:szCs w:val="24"/>
          <w:lang w:val="en-GB" w:eastAsia="en-US"/>
        </w:rPr>
        <w:tab/>
        <w:t>CAS: Chemical Abstracts Service.</w:t>
      </w:r>
    </w:p>
    <w:p w14:paraId="5D2BA885"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w:t>
      </w:r>
      <w:r w:rsidRPr="003B6CF7">
        <w:rPr>
          <w:szCs w:val="24"/>
          <w:lang w:eastAsia="en-US"/>
        </w:rPr>
        <w:tab/>
        <w:t>EU-nummer: Europeiska förteckningen över existerande, kommersiellt använda kemiska ämnen (</w:t>
      </w:r>
      <w:proofErr w:type="spellStart"/>
      <w:r w:rsidRPr="003B6CF7">
        <w:rPr>
          <w:szCs w:val="24"/>
          <w:lang w:eastAsia="en-US"/>
        </w:rPr>
        <w:t>Einecs</w:t>
      </w:r>
      <w:proofErr w:type="spellEnd"/>
      <w:r w:rsidRPr="003B6CF7">
        <w:rPr>
          <w:szCs w:val="24"/>
          <w:lang w:eastAsia="en-US"/>
        </w:rPr>
        <w:t>) eller Europeiska förteckningen över anmälda kemiska ämnen (</w:t>
      </w:r>
      <w:proofErr w:type="spellStart"/>
      <w:r w:rsidRPr="003B6CF7">
        <w:rPr>
          <w:szCs w:val="24"/>
          <w:lang w:eastAsia="en-US"/>
        </w:rPr>
        <w:t>Elincs</w:t>
      </w:r>
      <w:proofErr w:type="spellEnd"/>
      <w:r w:rsidRPr="003B6CF7">
        <w:rPr>
          <w:szCs w:val="24"/>
          <w:lang w:eastAsia="en-US"/>
        </w:rPr>
        <w:t>).</w:t>
      </w:r>
    </w:p>
    <w:p w14:paraId="6EECD793"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(3)</w:t>
      </w:r>
      <w:r w:rsidRPr="003B6CF7">
        <w:rPr>
          <w:szCs w:val="24"/>
          <w:lang w:eastAsia="en-US"/>
        </w:rPr>
        <w:tab/>
        <w:t>Med ’totalt’ avses summan av koncentrationerna av trikloretylen och tetrakloretylen.”</w:t>
      </w:r>
    </w:p>
    <w:p w14:paraId="0F170A68" w14:textId="77777777" w:rsidR="001831FD" w:rsidRPr="003B6CF7" w:rsidRDefault="001831FD" w:rsidP="001831FD">
      <w:pPr>
        <w:spacing w:before="120" w:after="120" w:line="360" w:lineRule="auto"/>
        <w:rPr>
          <w:szCs w:val="24"/>
          <w:lang w:eastAsia="en-US"/>
        </w:rPr>
        <w:sectPr w:rsidR="001831FD" w:rsidRPr="003B6CF7" w:rsidSect="003B6CF7">
          <w:footnotePr>
            <w:numRestart w:val="eachSect"/>
          </w:footnotePr>
          <w:pgSz w:w="16834" w:h="11909" w:orient="landscape"/>
          <w:pgMar w:top="1417" w:right="1134" w:bottom="1417" w:left="1417" w:header="1134" w:footer="567" w:gutter="0"/>
          <w:cols w:space="720"/>
          <w:docGrid w:linePitch="326"/>
        </w:sectPr>
      </w:pPr>
    </w:p>
    <w:p w14:paraId="79588CE3" w14:textId="77777777" w:rsidR="001831FD" w:rsidRPr="003B6CF7" w:rsidRDefault="001831FD" w:rsidP="001831FD">
      <w:pPr>
        <w:spacing w:before="120" w:after="120" w:line="360" w:lineRule="auto"/>
        <w:jc w:val="center"/>
        <w:rPr>
          <w:lang w:eastAsia="en-US"/>
        </w:rPr>
      </w:pPr>
      <w:r w:rsidRPr="003B6CF7">
        <w:rPr>
          <w:lang w:eastAsia="en-US"/>
        </w:rPr>
        <w:t>BILAGA V</w:t>
      </w:r>
    </w:p>
    <w:p w14:paraId="5521CF23" w14:textId="77777777" w:rsidR="001831FD" w:rsidRPr="003B6CF7" w:rsidRDefault="001831FD" w:rsidP="001831FD">
      <w:pPr>
        <w:spacing w:before="120" w:after="120" w:line="360" w:lineRule="auto"/>
        <w:rPr>
          <w:szCs w:val="24"/>
          <w:lang w:eastAsia="en-US"/>
        </w:rPr>
      </w:pPr>
      <w:r w:rsidRPr="003B6CF7">
        <w:rPr>
          <w:szCs w:val="24"/>
          <w:lang w:eastAsia="en-US"/>
        </w:rPr>
        <w:t>Bilaga I till direktiv 2008/105/EG ska ändras på följande sätt:</w:t>
      </w:r>
    </w:p>
    <w:p w14:paraId="0D144710"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(1)</w:t>
      </w:r>
      <w:r w:rsidRPr="003B6CF7">
        <w:rPr>
          <w:szCs w:val="24"/>
          <w:lang w:eastAsia="en-US"/>
        </w:rPr>
        <w:tab/>
        <w:t>Titeln ska ersättas med följande:</w:t>
      </w:r>
    </w:p>
    <w:p w14:paraId="5DF6E004" w14:textId="77777777" w:rsidR="001831FD" w:rsidRPr="003B6CF7" w:rsidRDefault="001831FD" w:rsidP="001831FD">
      <w:pPr>
        <w:spacing w:before="120" w:after="120" w:line="360" w:lineRule="auto"/>
        <w:ind w:left="850"/>
        <w:rPr>
          <w:szCs w:val="24"/>
          <w:lang w:eastAsia="en-US"/>
        </w:rPr>
      </w:pPr>
      <w:r w:rsidRPr="003B6CF7">
        <w:rPr>
          <w:szCs w:val="24"/>
          <w:lang w:eastAsia="en-US"/>
        </w:rPr>
        <w:t>”MILJÖKVALITETSNORMER (MKN) FÖR PRIORITERADE ÄMNEN I YTVATTEN.”</w:t>
      </w:r>
    </w:p>
    <w:p w14:paraId="62FCE3ED" w14:textId="77777777" w:rsidR="001831FD" w:rsidRPr="003B6CF7" w:rsidRDefault="001831FD" w:rsidP="001831FD">
      <w:pPr>
        <w:spacing w:before="120" w:after="120" w:line="360" w:lineRule="auto"/>
        <w:ind w:left="850" w:hanging="850"/>
        <w:rPr>
          <w:szCs w:val="24"/>
          <w:lang w:eastAsia="en-US"/>
        </w:rPr>
      </w:pPr>
      <w:r w:rsidRPr="003B6CF7">
        <w:rPr>
          <w:szCs w:val="24"/>
          <w:lang w:eastAsia="en-US"/>
        </w:rPr>
        <w:t>(2)</w:t>
      </w:r>
      <w:r w:rsidRPr="003B6CF7">
        <w:rPr>
          <w:szCs w:val="24"/>
          <w:lang w:eastAsia="en-US"/>
        </w:rPr>
        <w:tab/>
        <w:t>Del A ska ersättas med följande:</w:t>
      </w:r>
    </w:p>
    <w:p w14:paraId="1AC0D936" w14:textId="77777777" w:rsidR="001831FD" w:rsidRPr="003B6CF7" w:rsidRDefault="001831FD" w:rsidP="001831FD">
      <w:pPr>
        <w:spacing w:before="120" w:after="120" w:line="360" w:lineRule="auto"/>
        <w:ind w:left="850"/>
        <w:rPr>
          <w:szCs w:val="24"/>
          <w:lang w:eastAsia="en-US"/>
        </w:rPr>
      </w:pPr>
      <w:r w:rsidRPr="003B6CF7">
        <w:rPr>
          <w:szCs w:val="24"/>
          <w:lang w:eastAsia="en-US"/>
        </w:rPr>
        <w:t>”DEL A: MILJÖKVALITETSNORMER</w:t>
      </w:r>
    </w:p>
    <w:p w14:paraId="7359A57C" w14:textId="77777777" w:rsidR="001831FD" w:rsidRPr="003B6CF7" w:rsidRDefault="001831FD" w:rsidP="001831FD">
      <w:pPr>
        <w:spacing w:before="120" w:after="120" w:line="360" w:lineRule="auto"/>
        <w:ind w:left="850"/>
        <w:rPr>
          <w:szCs w:val="24"/>
          <w:lang w:eastAsia="en-US"/>
        </w:rPr>
      </w:pPr>
      <w:r w:rsidRPr="003B6CF7">
        <w:rPr>
          <w:szCs w:val="24"/>
          <w:lang w:eastAsia="en-US"/>
        </w:rPr>
        <w:t>Anmärkning 1: Om en miljökvalitetsnorm anges mellan [] ska detta värde bekräftas mot bakgrund av det yttrande som begärts från vetenskapliga kommittén för hälso- och miljörisker och nya risker.</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3524E3" w:rsidRPr="003B6CF7" w14:paraId="4FC09527" w14:textId="77777777" w:rsidTr="003524E3">
        <w:trPr>
          <w:gridBefore w:val="1"/>
          <w:wBefore w:w="12" w:type="dxa"/>
          <w:cantSplit/>
          <w:trHeight w:val="309"/>
          <w:tblHeader/>
          <w:jc w:val="center"/>
        </w:trPr>
        <w:tc>
          <w:tcPr>
            <w:tcW w:w="640" w:type="dxa"/>
            <w:gridSpan w:val="2"/>
            <w:tcMar>
              <w:left w:w="28" w:type="dxa"/>
              <w:right w:w="28" w:type="dxa"/>
            </w:tcMar>
          </w:tcPr>
          <w:p w14:paraId="00FD468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w:t>
            </w:r>
          </w:p>
        </w:tc>
        <w:tc>
          <w:tcPr>
            <w:tcW w:w="2273" w:type="dxa"/>
            <w:gridSpan w:val="3"/>
            <w:tcMar>
              <w:left w:w="28" w:type="dxa"/>
              <w:right w:w="28" w:type="dxa"/>
            </w:tcMar>
          </w:tcPr>
          <w:p w14:paraId="0F8739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w:t>
            </w:r>
          </w:p>
        </w:tc>
        <w:tc>
          <w:tcPr>
            <w:tcW w:w="1278" w:type="dxa"/>
            <w:gridSpan w:val="3"/>
            <w:tcMar>
              <w:left w:w="28" w:type="dxa"/>
              <w:right w:w="28" w:type="dxa"/>
            </w:tcMar>
          </w:tcPr>
          <w:p w14:paraId="51B6C86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w:t>
            </w:r>
          </w:p>
        </w:tc>
        <w:tc>
          <w:tcPr>
            <w:tcW w:w="1015" w:type="dxa"/>
            <w:gridSpan w:val="2"/>
            <w:tcMar>
              <w:left w:w="28" w:type="dxa"/>
              <w:right w:w="28" w:type="dxa"/>
            </w:tcMar>
          </w:tcPr>
          <w:p w14:paraId="6C3242D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w:t>
            </w:r>
          </w:p>
        </w:tc>
        <w:tc>
          <w:tcPr>
            <w:tcW w:w="1257" w:type="dxa"/>
            <w:gridSpan w:val="3"/>
          </w:tcPr>
          <w:p w14:paraId="5F3BDF9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w:t>
            </w:r>
          </w:p>
        </w:tc>
        <w:tc>
          <w:tcPr>
            <w:tcW w:w="1257" w:type="dxa"/>
            <w:gridSpan w:val="2"/>
            <w:tcMar>
              <w:left w:w="28" w:type="dxa"/>
              <w:right w:w="28" w:type="dxa"/>
            </w:tcMar>
          </w:tcPr>
          <w:p w14:paraId="16FE873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w:t>
            </w:r>
          </w:p>
        </w:tc>
        <w:tc>
          <w:tcPr>
            <w:tcW w:w="1351" w:type="dxa"/>
            <w:gridSpan w:val="2"/>
            <w:tcMar>
              <w:left w:w="28" w:type="dxa"/>
              <w:right w:w="28" w:type="dxa"/>
            </w:tcMar>
          </w:tcPr>
          <w:p w14:paraId="3D971D0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w:t>
            </w:r>
          </w:p>
        </w:tc>
        <w:tc>
          <w:tcPr>
            <w:tcW w:w="1246" w:type="dxa"/>
            <w:gridSpan w:val="2"/>
            <w:tcMar>
              <w:left w:w="28" w:type="dxa"/>
              <w:right w:w="28" w:type="dxa"/>
            </w:tcMar>
          </w:tcPr>
          <w:p w14:paraId="6940942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w:t>
            </w:r>
          </w:p>
        </w:tc>
        <w:tc>
          <w:tcPr>
            <w:tcW w:w="1237" w:type="dxa"/>
            <w:gridSpan w:val="2"/>
            <w:tcMar>
              <w:left w:w="28" w:type="dxa"/>
              <w:right w:w="28" w:type="dxa"/>
            </w:tcMar>
          </w:tcPr>
          <w:p w14:paraId="6D800EA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w:t>
            </w:r>
          </w:p>
        </w:tc>
        <w:tc>
          <w:tcPr>
            <w:tcW w:w="1087" w:type="dxa"/>
            <w:tcMar>
              <w:left w:w="28" w:type="dxa"/>
              <w:right w:w="28" w:type="dxa"/>
            </w:tcMar>
          </w:tcPr>
          <w:p w14:paraId="64C00EB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62" w:type="dxa"/>
            <w:tcMar>
              <w:left w:w="28" w:type="dxa"/>
              <w:right w:w="28" w:type="dxa"/>
            </w:tcMar>
          </w:tcPr>
          <w:p w14:paraId="3702474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w:t>
            </w:r>
          </w:p>
        </w:tc>
        <w:tc>
          <w:tcPr>
            <w:tcW w:w="1153" w:type="dxa"/>
            <w:gridSpan w:val="2"/>
            <w:tcMar>
              <w:left w:w="28" w:type="dxa"/>
              <w:right w:w="28" w:type="dxa"/>
            </w:tcMar>
          </w:tcPr>
          <w:p w14:paraId="6D75F1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w:t>
            </w:r>
          </w:p>
        </w:tc>
        <w:tc>
          <w:tcPr>
            <w:tcW w:w="970" w:type="dxa"/>
            <w:tcMar>
              <w:left w:w="28" w:type="dxa"/>
              <w:right w:w="28" w:type="dxa"/>
            </w:tcMar>
          </w:tcPr>
          <w:p w14:paraId="60CDBC6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w:t>
            </w:r>
          </w:p>
        </w:tc>
      </w:tr>
      <w:tr w:rsidR="003524E3" w:rsidRPr="003B6CF7" w14:paraId="18CA273A" w14:textId="77777777" w:rsidTr="003524E3">
        <w:trPr>
          <w:gridBefore w:val="1"/>
          <w:wBefore w:w="12" w:type="dxa"/>
          <w:cantSplit/>
          <w:trHeight w:val="1020"/>
          <w:tblHeader/>
          <w:jc w:val="center"/>
        </w:trPr>
        <w:tc>
          <w:tcPr>
            <w:tcW w:w="640" w:type="dxa"/>
            <w:gridSpan w:val="2"/>
            <w:tcMar>
              <w:left w:w="28" w:type="dxa"/>
              <w:right w:w="28" w:type="dxa"/>
            </w:tcMar>
          </w:tcPr>
          <w:p w14:paraId="2A26D0B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[Post] Nr</w:t>
            </w:r>
          </w:p>
        </w:tc>
        <w:tc>
          <w:tcPr>
            <w:tcW w:w="2273" w:type="dxa"/>
            <w:gridSpan w:val="3"/>
            <w:tcMar>
              <w:left w:w="28" w:type="dxa"/>
              <w:right w:w="28" w:type="dxa"/>
            </w:tcMar>
          </w:tcPr>
          <w:p w14:paraId="2E20A96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Ämnets namn</w:t>
            </w:r>
          </w:p>
        </w:tc>
        <w:tc>
          <w:tcPr>
            <w:tcW w:w="1278" w:type="dxa"/>
            <w:gridSpan w:val="3"/>
            <w:shd w:val="clear" w:color="auto" w:fill="auto"/>
            <w:tcMar>
              <w:left w:w="28" w:type="dxa"/>
              <w:right w:w="28" w:type="dxa"/>
            </w:tcMar>
          </w:tcPr>
          <w:p w14:paraId="360FE0D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Kategori av ämnen</w:t>
            </w:r>
          </w:p>
        </w:tc>
        <w:tc>
          <w:tcPr>
            <w:tcW w:w="1015" w:type="dxa"/>
            <w:gridSpan w:val="2"/>
            <w:tcMar>
              <w:left w:w="28" w:type="dxa"/>
              <w:right w:w="28" w:type="dxa"/>
            </w:tcMar>
          </w:tcPr>
          <w:p w14:paraId="1A31345B"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CAS-nummer (</w:t>
            </w:r>
            <w:r w:rsidRPr="003B6CF7">
              <w:rPr>
                <w:rFonts w:eastAsia="Calibri"/>
                <w:noProof/>
                <w:sz w:val="22"/>
                <w:szCs w:val="22"/>
                <w:vertAlign w:val="superscript"/>
                <w:lang w:eastAsia="en-US"/>
              </w:rPr>
              <w:t>1</w:t>
            </w:r>
            <w:r w:rsidRPr="003B6CF7">
              <w:rPr>
                <w:rFonts w:eastAsia="Calibri"/>
                <w:noProof/>
                <w:sz w:val="22"/>
                <w:szCs w:val="22"/>
                <w:lang w:eastAsia="en-US"/>
              </w:rPr>
              <w:t>)</w:t>
            </w:r>
            <w:bookmarkStart w:id="9" w:name="_DV_M292"/>
            <w:bookmarkEnd w:id="9"/>
          </w:p>
        </w:tc>
        <w:tc>
          <w:tcPr>
            <w:tcW w:w="1257" w:type="dxa"/>
            <w:gridSpan w:val="3"/>
          </w:tcPr>
          <w:p w14:paraId="6CB24C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EU-nummer (</w:t>
            </w:r>
            <w:r w:rsidRPr="003B6CF7">
              <w:rPr>
                <w:rFonts w:eastAsia="Calibri"/>
                <w:noProof/>
                <w:sz w:val="22"/>
                <w:szCs w:val="22"/>
                <w:vertAlign w:val="superscript"/>
                <w:lang w:eastAsia="en-US"/>
              </w:rPr>
              <w:t>2</w:t>
            </w:r>
            <w:r w:rsidRPr="003B6CF7">
              <w:rPr>
                <w:rFonts w:eastAsia="Calibri"/>
                <w:noProof/>
                <w:sz w:val="22"/>
                <w:szCs w:val="22"/>
                <w:lang w:eastAsia="en-US"/>
              </w:rPr>
              <w:t>)</w:t>
            </w:r>
          </w:p>
        </w:tc>
        <w:tc>
          <w:tcPr>
            <w:tcW w:w="1257" w:type="dxa"/>
            <w:gridSpan w:val="2"/>
            <w:tcMar>
              <w:left w:w="28" w:type="dxa"/>
              <w:right w:w="28" w:type="dxa"/>
            </w:tcMar>
          </w:tcPr>
          <w:p w14:paraId="0F3CABC3" w14:textId="77777777" w:rsidR="003524E3" w:rsidRPr="003B6CF7" w:rsidRDefault="003524E3" w:rsidP="003524E3">
            <w:pPr>
              <w:widowControl/>
              <w:spacing w:before="40" w:after="40"/>
              <w:rPr>
                <w:rFonts w:eastAsia="Calibri"/>
                <w:noProof/>
                <w:sz w:val="22"/>
                <w:szCs w:val="22"/>
                <w:vertAlign w:val="superscript"/>
                <w:lang w:eastAsia="en-US"/>
              </w:rPr>
            </w:pPr>
            <w:bookmarkStart w:id="10" w:name="_Hlk115349616"/>
            <w:bookmarkStart w:id="11" w:name="_Hlk115803578"/>
            <w:r w:rsidRPr="003B6CF7">
              <w:rPr>
                <w:rFonts w:eastAsia="Calibri"/>
                <w:noProof/>
                <w:sz w:val="22"/>
                <w:szCs w:val="22"/>
                <w:lang w:eastAsia="en-US"/>
              </w:rPr>
              <w:t xml:space="preserve">AA-MKN </w:t>
            </w:r>
            <w:bookmarkEnd w:id="10"/>
            <w:r w:rsidRPr="003B6CF7">
              <w:rPr>
                <w:rFonts w:eastAsia="Calibri"/>
                <w:noProof/>
                <w:sz w:val="22"/>
                <w:szCs w:val="22"/>
                <w:lang w:eastAsia="en-US"/>
              </w:rPr>
              <w:t>(</w:t>
            </w:r>
            <w:r w:rsidRPr="003B6CF7">
              <w:rPr>
                <w:rFonts w:eastAsia="Calibri"/>
                <w:noProof/>
                <w:sz w:val="22"/>
                <w:szCs w:val="22"/>
                <w:vertAlign w:val="superscript"/>
                <w:lang w:eastAsia="en-US"/>
              </w:rPr>
              <w:t>3</w:t>
            </w:r>
            <w:r w:rsidRPr="003B6CF7">
              <w:rPr>
                <w:rFonts w:eastAsia="Calibri"/>
                <w:noProof/>
                <w:sz w:val="22"/>
                <w:szCs w:val="22"/>
                <w:lang w:eastAsia="en-US"/>
              </w:rPr>
              <w:t xml:space="preserve">) </w:t>
            </w:r>
            <w:bookmarkStart w:id="12" w:name="_DV_M293"/>
            <w:bookmarkEnd w:id="12"/>
            <w:r w:rsidRPr="003B6CF7">
              <w:rPr>
                <w:rFonts w:eastAsia="Calibri"/>
                <w:noProof/>
                <w:sz w:val="22"/>
                <w:szCs w:val="22"/>
                <w:lang w:eastAsia="en-US"/>
              </w:rPr>
              <w:t xml:space="preserve">Inlandsytvatten </w:t>
            </w:r>
            <w:bookmarkEnd w:id="11"/>
            <w:r w:rsidRPr="003B6CF7">
              <w:rPr>
                <w:rFonts w:eastAsia="Calibri"/>
                <w:noProof/>
                <w:sz w:val="22"/>
                <w:szCs w:val="22"/>
                <w:lang w:eastAsia="en-US"/>
              </w:rPr>
              <w:t>(</w:t>
            </w:r>
            <w:r w:rsidRPr="003B6CF7">
              <w:rPr>
                <w:rFonts w:eastAsia="Calibri"/>
                <w:noProof/>
                <w:sz w:val="22"/>
                <w:szCs w:val="22"/>
                <w:vertAlign w:val="superscript"/>
                <w:lang w:eastAsia="en-US"/>
              </w:rPr>
              <w:t>4</w:t>
            </w:r>
            <w:r w:rsidRPr="003B6CF7">
              <w:rPr>
                <w:rFonts w:eastAsia="Calibri"/>
                <w:noProof/>
                <w:sz w:val="22"/>
                <w:szCs w:val="22"/>
                <w:lang w:eastAsia="en-US"/>
              </w:rPr>
              <w:t>)</w:t>
            </w:r>
            <w:bookmarkStart w:id="13" w:name="_DV_M294"/>
            <w:bookmarkEnd w:id="13"/>
          </w:p>
          <w:p w14:paraId="2595FEBB" w14:textId="77777777" w:rsidR="003524E3" w:rsidRPr="003B6CF7" w:rsidRDefault="003524E3" w:rsidP="003524E3">
            <w:pPr>
              <w:widowControl/>
              <w:spacing w:before="40" w:after="40"/>
              <w:rPr>
                <w:rFonts w:eastAsia="Calibri"/>
                <w:noProof/>
                <w:sz w:val="22"/>
                <w:szCs w:val="22"/>
                <w:lang w:eastAsia="en-US"/>
              </w:rPr>
            </w:pPr>
          </w:p>
          <w:p w14:paraId="065A09D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[µg/l]</w:t>
            </w:r>
          </w:p>
        </w:tc>
        <w:tc>
          <w:tcPr>
            <w:tcW w:w="1351" w:type="dxa"/>
            <w:gridSpan w:val="2"/>
            <w:tcMar>
              <w:left w:w="28" w:type="dxa"/>
              <w:right w:w="28" w:type="dxa"/>
            </w:tcMar>
          </w:tcPr>
          <w:p w14:paraId="4737BED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AA-MKN</w:t>
            </w:r>
            <w:bookmarkStart w:id="14" w:name="_DV_M295"/>
            <w:bookmarkEnd w:id="14"/>
            <w:r w:rsidRPr="003B6CF7">
              <w:rPr>
                <w:rFonts w:eastAsia="Calibri"/>
                <w:noProof/>
                <w:sz w:val="22"/>
                <w:szCs w:val="22"/>
                <w:lang w:eastAsia="en-US"/>
              </w:rPr>
              <w:t xml:space="preserve"> (</w:t>
            </w:r>
            <w:r w:rsidRPr="003B6CF7">
              <w:rPr>
                <w:rFonts w:eastAsia="Calibri"/>
                <w:noProof/>
                <w:sz w:val="22"/>
                <w:szCs w:val="22"/>
                <w:vertAlign w:val="superscript"/>
                <w:lang w:eastAsia="en-US"/>
              </w:rPr>
              <w:t>3</w:t>
            </w:r>
            <w:r w:rsidRPr="003B6CF7">
              <w:rPr>
                <w:rFonts w:eastAsia="Calibri"/>
                <w:noProof/>
                <w:sz w:val="22"/>
                <w:szCs w:val="22"/>
                <w:lang w:eastAsia="en-US"/>
              </w:rPr>
              <w:t>)</w:t>
            </w:r>
          </w:p>
          <w:p w14:paraId="40A11A1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Andra ytvatten</w:t>
            </w:r>
          </w:p>
          <w:p w14:paraId="7F73CCD5" w14:textId="77777777" w:rsidR="003524E3" w:rsidRPr="003B6CF7" w:rsidRDefault="003524E3" w:rsidP="003524E3">
            <w:pPr>
              <w:widowControl/>
              <w:spacing w:before="40" w:after="40"/>
              <w:rPr>
                <w:rFonts w:eastAsia="Calibri"/>
                <w:noProof/>
                <w:sz w:val="22"/>
                <w:szCs w:val="22"/>
                <w:lang w:eastAsia="en-US"/>
              </w:rPr>
            </w:pPr>
          </w:p>
          <w:p w14:paraId="188602B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[µg/l]</w:t>
            </w:r>
          </w:p>
        </w:tc>
        <w:tc>
          <w:tcPr>
            <w:tcW w:w="1246" w:type="dxa"/>
            <w:gridSpan w:val="2"/>
            <w:tcMar>
              <w:left w:w="28" w:type="dxa"/>
              <w:right w:w="28" w:type="dxa"/>
            </w:tcMar>
          </w:tcPr>
          <w:p w14:paraId="6822D95B" w14:textId="77777777" w:rsidR="003524E3" w:rsidRPr="003B6CF7" w:rsidRDefault="003524E3" w:rsidP="003524E3">
            <w:pPr>
              <w:widowControl/>
              <w:spacing w:before="40" w:after="40"/>
              <w:rPr>
                <w:rFonts w:eastAsia="Calibri"/>
                <w:noProof/>
                <w:sz w:val="22"/>
                <w:szCs w:val="22"/>
                <w:lang w:eastAsia="en-US"/>
              </w:rPr>
            </w:pPr>
            <w:bookmarkStart w:id="15" w:name="_Hlk115349625"/>
            <w:r w:rsidRPr="003B6CF7">
              <w:rPr>
                <w:rFonts w:eastAsia="Calibri"/>
                <w:noProof/>
                <w:sz w:val="22"/>
                <w:szCs w:val="22"/>
                <w:lang w:eastAsia="en-US"/>
              </w:rPr>
              <w:t xml:space="preserve">MAC-MKN </w:t>
            </w:r>
            <w:bookmarkEnd w:id="15"/>
            <w:r w:rsidRPr="003B6CF7">
              <w:rPr>
                <w:rFonts w:eastAsia="Calibri"/>
                <w:noProof/>
                <w:sz w:val="22"/>
                <w:szCs w:val="22"/>
                <w:lang w:eastAsia="en-US"/>
              </w:rPr>
              <w:t>(</w:t>
            </w:r>
            <w:r w:rsidRPr="003B6CF7">
              <w:rPr>
                <w:rFonts w:eastAsia="Calibri"/>
                <w:noProof/>
                <w:sz w:val="22"/>
                <w:szCs w:val="22"/>
                <w:vertAlign w:val="superscript"/>
                <w:lang w:eastAsia="en-US"/>
              </w:rPr>
              <w:t>5</w:t>
            </w:r>
            <w:r w:rsidRPr="003B6CF7">
              <w:rPr>
                <w:rFonts w:eastAsia="Calibri"/>
                <w:noProof/>
                <w:sz w:val="22"/>
                <w:szCs w:val="22"/>
                <w:lang w:eastAsia="en-US"/>
              </w:rPr>
              <w:t>)</w:t>
            </w:r>
            <w:bookmarkStart w:id="16" w:name="_DV_M296"/>
            <w:bookmarkEnd w:id="16"/>
          </w:p>
          <w:p w14:paraId="1BF95EB6"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 xml:space="preserve">Inlandsytvatten </w:t>
            </w:r>
            <w:bookmarkStart w:id="17" w:name="_DV_M297"/>
            <w:bookmarkEnd w:id="17"/>
            <w:r w:rsidRPr="003B6CF7">
              <w:rPr>
                <w:rFonts w:eastAsia="Calibri"/>
                <w:noProof/>
                <w:sz w:val="22"/>
                <w:szCs w:val="22"/>
                <w:lang w:eastAsia="en-US"/>
              </w:rPr>
              <w:t>(</w:t>
            </w:r>
            <w:r w:rsidRPr="003B6CF7">
              <w:rPr>
                <w:rFonts w:eastAsia="Calibri"/>
                <w:noProof/>
                <w:sz w:val="22"/>
                <w:szCs w:val="22"/>
                <w:vertAlign w:val="superscript"/>
                <w:lang w:eastAsia="en-US"/>
              </w:rPr>
              <w:t>4</w:t>
            </w:r>
            <w:r w:rsidRPr="003B6CF7">
              <w:rPr>
                <w:rFonts w:eastAsia="Calibri"/>
                <w:noProof/>
                <w:sz w:val="22"/>
                <w:szCs w:val="22"/>
                <w:lang w:eastAsia="en-US"/>
              </w:rPr>
              <w:t>)</w:t>
            </w:r>
          </w:p>
          <w:p w14:paraId="48B3401D" w14:textId="77777777" w:rsidR="003524E3" w:rsidRPr="003B6CF7" w:rsidRDefault="003524E3" w:rsidP="003524E3">
            <w:pPr>
              <w:widowControl/>
              <w:spacing w:before="40" w:after="40"/>
              <w:rPr>
                <w:rFonts w:eastAsia="Calibri"/>
                <w:noProof/>
                <w:sz w:val="22"/>
                <w:szCs w:val="22"/>
                <w:lang w:eastAsia="en-US"/>
              </w:rPr>
            </w:pPr>
          </w:p>
          <w:p w14:paraId="1FAF63C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[µg/l]</w:t>
            </w:r>
          </w:p>
        </w:tc>
        <w:tc>
          <w:tcPr>
            <w:tcW w:w="1237" w:type="dxa"/>
            <w:gridSpan w:val="2"/>
            <w:tcMar>
              <w:left w:w="28" w:type="dxa"/>
              <w:right w:w="28" w:type="dxa"/>
            </w:tcMar>
          </w:tcPr>
          <w:p w14:paraId="269317C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MAC-MKN (</w:t>
            </w:r>
            <w:r w:rsidRPr="003B6CF7">
              <w:rPr>
                <w:rFonts w:eastAsia="Calibri"/>
                <w:noProof/>
                <w:sz w:val="22"/>
                <w:szCs w:val="22"/>
                <w:vertAlign w:val="superscript"/>
                <w:lang w:eastAsia="en-US"/>
              </w:rPr>
              <w:t>5</w:t>
            </w:r>
            <w:r w:rsidRPr="003B6CF7">
              <w:rPr>
                <w:rFonts w:eastAsia="Calibri"/>
                <w:noProof/>
                <w:sz w:val="22"/>
                <w:szCs w:val="22"/>
                <w:lang w:eastAsia="en-US"/>
              </w:rPr>
              <w:t>)</w:t>
            </w:r>
            <w:bookmarkStart w:id="18" w:name="_DV_M298"/>
            <w:bookmarkEnd w:id="18"/>
          </w:p>
          <w:p w14:paraId="7403919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Andra ytvatten</w:t>
            </w:r>
          </w:p>
          <w:p w14:paraId="47F45FEF" w14:textId="77777777" w:rsidR="003524E3" w:rsidRPr="003B6CF7" w:rsidRDefault="003524E3" w:rsidP="003524E3">
            <w:pPr>
              <w:widowControl/>
              <w:spacing w:before="40" w:after="40"/>
              <w:rPr>
                <w:rFonts w:eastAsia="Calibri"/>
                <w:noProof/>
                <w:sz w:val="22"/>
                <w:szCs w:val="22"/>
                <w:lang w:eastAsia="en-US"/>
              </w:rPr>
            </w:pPr>
          </w:p>
          <w:p w14:paraId="0511423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[µg/l]</w:t>
            </w:r>
          </w:p>
        </w:tc>
        <w:tc>
          <w:tcPr>
            <w:tcW w:w="1087" w:type="dxa"/>
            <w:tcMar>
              <w:left w:w="28" w:type="dxa"/>
              <w:right w:w="28" w:type="dxa"/>
            </w:tcMar>
          </w:tcPr>
          <w:p w14:paraId="0225410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MKN</w:t>
            </w:r>
          </w:p>
          <w:p w14:paraId="6A3B3F6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Biota </w:t>
            </w:r>
            <w:bookmarkStart w:id="19" w:name="_DV_M299"/>
            <w:bookmarkEnd w:id="19"/>
            <w:r w:rsidRPr="003B6CF7">
              <w:rPr>
                <w:rFonts w:eastAsia="Calibri"/>
                <w:noProof/>
                <w:sz w:val="22"/>
                <w:szCs w:val="22"/>
                <w:lang w:eastAsia="en-US"/>
              </w:rPr>
              <w:t>(</w:t>
            </w:r>
            <w:r w:rsidRPr="003B6CF7">
              <w:rPr>
                <w:rFonts w:eastAsia="Calibri"/>
                <w:noProof/>
                <w:sz w:val="22"/>
                <w:szCs w:val="22"/>
                <w:vertAlign w:val="superscript"/>
                <w:lang w:eastAsia="en-US"/>
              </w:rPr>
              <w:t>6</w:t>
            </w:r>
            <w:r w:rsidRPr="003B6CF7">
              <w:rPr>
                <w:rFonts w:eastAsia="Calibri"/>
                <w:noProof/>
                <w:sz w:val="22"/>
                <w:szCs w:val="22"/>
                <w:lang w:eastAsia="en-US"/>
              </w:rPr>
              <w:t>)</w:t>
            </w:r>
          </w:p>
          <w:p w14:paraId="7DFBC7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[µg/kg våtvikt] </w:t>
            </w:r>
          </w:p>
          <w:p w14:paraId="3F20969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eller MKN Sediment [µg/kg torrvikt] där så anges</w:t>
            </w:r>
          </w:p>
        </w:tc>
        <w:tc>
          <w:tcPr>
            <w:tcW w:w="1262" w:type="dxa"/>
            <w:tcMar>
              <w:left w:w="28" w:type="dxa"/>
              <w:right w:w="28" w:type="dxa"/>
            </w:tcMar>
          </w:tcPr>
          <w:p w14:paraId="603E280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Identifierat som ett prioriterat farligt ämne </w:t>
            </w:r>
          </w:p>
        </w:tc>
        <w:tc>
          <w:tcPr>
            <w:tcW w:w="1153" w:type="dxa"/>
            <w:gridSpan w:val="2"/>
            <w:tcMar>
              <w:left w:w="28" w:type="dxa"/>
              <w:right w:w="28" w:type="dxa"/>
            </w:tcMar>
          </w:tcPr>
          <w:p w14:paraId="4B93449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Identifierat som ett allmänt förekommande långlivat, bioackumulerande och toxiskt ämne (allmänt förekommande PBT-ämne)</w:t>
            </w:r>
          </w:p>
        </w:tc>
        <w:tc>
          <w:tcPr>
            <w:tcW w:w="970" w:type="dxa"/>
            <w:tcMar>
              <w:left w:w="28" w:type="dxa"/>
              <w:right w:w="28" w:type="dxa"/>
            </w:tcMar>
          </w:tcPr>
          <w:p w14:paraId="6BBBA58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Identifierat som ett ämne som tenderar att ackumuleras i sediment och/eller biota </w:t>
            </w:r>
          </w:p>
        </w:tc>
      </w:tr>
      <w:tr w:rsidR="003524E3" w:rsidRPr="003B6CF7" w14:paraId="53A5533F" w14:textId="77777777" w:rsidTr="003524E3">
        <w:trPr>
          <w:gridBefore w:val="1"/>
          <w:wBefore w:w="12" w:type="dxa"/>
          <w:cantSplit/>
          <w:tblHeader/>
          <w:jc w:val="center"/>
        </w:trPr>
        <w:tc>
          <w:tcPr>
            <w:tcW w:w="651" w:type="dxa"/>
            <w:gridSpan w:val="3"/>
            <w:tcMar>
              <w:left w:w="28" w:type="dxa"/>
              <w:right w:w="28" w:type="dxa"/>
            </w:tcMar>
          </w:tcPr>
          <w:p w14:paraId="1E4FA73A"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w:t>
            </w:r>
          </w:p>
        </w:tc>
        <w:tc>
          <w:tcPr>
            <w:tcW w:w="15375" w:type="dxa"/>
            <w:gridSpan w:val="23"/>
            <w:tcMar>
              <w:left w:w="28" w:type="dxa"/>
              <w:right w:w="28" w:type="dxa"/>
            </w:tcMar>
          </w:tcPr>
          <w:p w14:paraId="70CF16A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Ämnet alaklor har flyttats till del C i bilaga II </w:t>
            </w:r>
          </w:p>
        </w:tc>
      </w:tr>
      <w:tr w:rsidR="003524E3" w:rsidRPr="003B6CF7" w14:paraId="6FAFF15E" w14:textId="77777777" w:rsidTr="003524E3">
        <w:trPr>
          <w:gridBefore w:val="1"/>
          <w:wBefore w:w="12" w:type="dxa"/>
          <w:cantSplit/>
          <w:tblHeader/>
          <w:jc w:val="center"/>
        </w:trPr>
        <w:tc>
          <w:tcPr>
            <w:tcW w:w="651" w:type="dxa"/>
            <w:gridSpan w:val="3"/>
            <w:tcMar>
              <w:left w:w="28" w:type="dxa"/>
              <w:right w:w="28" w:type="dxa"/>
            </w:tcMar>
          </w:tcPr>
          <w:p w14:paraId="0877697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w:t>
            </w:r>
          </w:p>
        </w:tc>
        <w:tc>
          <w:tcPr>
            <w:tcW w:w="2286" w:type="dxa"/>
            <w:gridSpan w:val="3"/>
            <w:tcMar>
              <w:left w:w="28" w:type="dxa"/>
              <w:right w:w="28" w:type="dxa"/>
            </w:tcMar>
          </w:tcPr>
          <w:p w14:paraId="68168C7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Antracen</w:t>
            </w:r>
          </w:p>
        </w:tc>
        <w:tc>
          <w:tcPr>
            <w:tcW w:w="1329" w:type="dxa"/>
            <w:gridSpan w:val="3"/>
            <w:tcMar>
              <w:left w:w="28" w:type="dxa"/>
              <w:right w:w="28" w:type="dxa"/>
            </w:tcMar>
          </w:tcPr>
          <w:p w14:paraId="4417A9F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Industriella ämnen </w:t>
            </w:r>
          </w:p>
        </w:tc>
        <w:tc>
          <w:tcPr>
            <w:tcW w:w="992" w:type="dxa"/>
            <w:gridSpan w:val="2"/>
            <w:tcMar>
              <w:left w:w="28" w:type="dxa"/>
              <w:right w:w="28" w:type="dxa"/>
            </w:tcMar>
          </w:tcPr>
          <w:p w14:paraId="5ADF4DE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120-12-7</w:t>
            </w:r>
          </w:p>
        </w:tc>
        <w:tc>
          <w:tcPr>
            <w:tcW w:w="1134" w:type="dxa"/>
          </w:tcPr>
          <w:p w14:paraId="43BD72F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204-371-1</w:t>
            </w:r>
          </w:p>
        </w:tc>
        <w:tc>
          <w:tcPr>
            <w:tcW w:w="1279" w:type="dxa"/>
            <w:gridSpan w:val="2"/>
            <w:tcMar>
              <w:left w:w="28" w:type="dxa"/>
              <w:right w:w="28" w:type="dxa"/>
            </w:tcMar>
          </w:tcPr>
          <w:p w14:paraId="55F0167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279" w:type="dxa"/>
            <w:gridSpan w:val="2"/>
            <w:tcMar>
              <w:left w:w="28" w:type="dxa"/>
              <w:right w:w="28" w:type="dxa"/>
            </w:tcMar>
          </w:tcPr>
          <w:p w14:paraId="769BB26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278" w:type="dxa"/>
            <w:gridSpan w:val="2"/>
            <w:tcMar>
              <w:left w:w="28" w:type="dxa"/>
              <w:right w:w="28" w:type="dxa"/>
            </w:tcMar>
          </w:tcPr>
          <w:p w14:paraId="4E189A1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277" w:type="dxa"/>
            <w:gridSpan w:val="2"/>
            <w:tcMar>
              <w:left w:w="28" w:type="dxa"/>
              <w:right w:w="28" w:type="dxa"/>
            </w:tcMar>
          </w:tcPr>
          <w:p w14:paraId="20DD7CC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136" w:type="dxa"/>
            <w:gridSpan w:val="2"/>
            <w:tcMar>
              <w:left w:w="28" w:type="dxa"/>
              <w:right w:w="28" w:type="dxa"/>
            </w:tcMar>
          </w:tcPr>
          <w:p w14:paraId="6C092FF1"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3781133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6DCBA0D0"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37E538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3109D04B" w14:textId="77777777" w:rsidTr="003524E3">
        <w:trPr>
          <w:gridBefore w:val="1"/>
          <w:wBefore w:w="12" w:type="dxa"/>
          <w:cantSplit/>
          <w:tblHeader/>
          <w:jc w:val="center"/>
        </w:trPr>
        <w:tc>
          <w:tcPr>
            <w:tcW w:w="651" w:type="dxa"/>
            <w:gridSpan w:val="3"/>
            <w:tcMar>
              <w:left w:w="28" w:type="dxa"/>
              <w:right w:w="28" w:type="dxa"/>
            </w:tcMar>
          </w:tcPr>
          <w:p w14:paraId="4BCB9C15" w14:textId="66B73BBC" w:rsidR="003524E3" w:rsidRPr="003B6CF7" w:rsidRDefault="003524E3" w:rsidP="003524E3">
            <w:pPr>
              <w:widowControl/>
              <w:spacing w:before="40" w:after="40"/>
              <w:jc w:val="both"/>
              <w:rPr>
                <w:rFonts w:eastAsia="Calibri"/>
                <w:b/>
                <w:noProof/>
                <w:sz w:val="22"/>
                <w:szCs w:val="22"/>
                <w:lang w:eastAsia="en-US"/>
              </w:rPr>
            </w:pPr>
            <w:r w:rsidRPr="003B6CF7">
              <w:rPr>
                <w:rFonts w:eastAsia="Calibri"/>
                <w:noProof/>
                <w:sz w:val="22"/>
                <w:szCs w:val="22"/>
                <w:lang w:eastAsia="en-US"/>
              </w:rPr>
              <w:t>(3)</w:t>
            </w:r>
            <w:r w:rsidRPr="003B6CF7">
              <w:rPr>
                <w:rFonts w:eastAsia="Calibri"/>
                <w:b/>
                <w:noProof/>
                <w:sz w:val="22"/>
                <w:szCs w:val="22"/>
                <w:lang w:eastAsia="en-US"/>
              </w:rPr>
              <w:t xml:space="preserve"> [Ändr. 150]</w:t>
            </w:r>
          </w:p>
        </w:tc>
        <w:tc>
          <w:tcPr>
            <w:tcW w:w="2286" w:type="dxa"/>
            <w:gridSpan w:val="3"/>
            <w:tcMar>
              <w:left w:w="28" w:type="dxa"/>
              <w:right w:w="28" w:type="dxa"/>
            </w:tcMar>
          </w:tcPr>
          <w:p w14:paraId="5D2FB2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Atrazin</w:t>
            </w:r>
          </w:p>
        </w:tc>
        <w:tc>
          <w:tcPr>
            <w:tcW w:w="1329" w:type="dxa"/>
            <w:gridSpan w:val="3"/>
            <w:tcMar>
              <w:left w:w="28" w:type="dxa"/>
              <w:right w:w="28" w:type="dxa"/>
            </w:tcMar>
          </w:tcPr>
          <w:p w14:paraId="09CEE0E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60962C7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1912-24-9</w:t>
            </w:r>
          </w:p>
        </w:tc>
        <w:tc>
          <w:tcPr>
            <w:tcW w:w="1134" w:type="dxa"/>
          </w:tcPr>
          <w:p w14:paraId="7C34E6C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217-617-8</w:t>
            </w:r>
          </w:p>
        </w:tc>
        <w:tc>
          <w:tcPr>
            <w:tcW w:w="1279" w:type="dxa"/>
            <w:gridSpan w:val="2"/>
            <w:tcMar>
              <w:left w:w="28" w:type="dxa"/>
              <w:right w:w="28" w:type="dxa"/>
            </w:tcMar>
          </w:tcPr>
          <w:p w14:paraId="14869C24" w14:textId="62A8B847" w:rsidR="003524E3" w:rsidRPr="003B6CF7" w:rsidRDefault="003524E3" w:rsidP="003524E3">
            <w:pPr>
              <w:widowControl/>
              <w:spacing w:before="40" w:after="40"/>
              <w:rPr>
                <w:rFonts w:eastAsia="Calibri"/>
                <w:strike/>
                <w:noProof/>
                <w:sz w:val="22"/>
                <w:szCs w:val="22"/>
                <w:lang w:eastAsia="en-US"/>
              </w:rPr>
            </w:pPr>
            <w:r w:rsidRPr="003B6CF7">
              <w:rPr>
                <w:rFonts w:eastAsia="Calibri"/>
                <w:strike/>
                <w:noProof/>
                <w:sz w:val="22"/>
                <w:szCs w:val="22"/>
                <w:lang w:eastAsia="en-US"/>
              </w:rPr>
              <w:t>0,6</w:t>
            </w:r>
            <w:r w:rsidRPr="003B6CF7">
              <w:rPr>
                <w:rFonts w:eastAsia="Calibri"/>
                <w:b/>
                <w:i/>
                <w:noProof/>
                <w:sz w:val="22"/>
                <w:szCs w:val="22"/>
                <w:lang w:eastAsia="en-US"/>
              </w:rPr>
              <w:t>0,1</w:t>
            </w:r>
          </w:p>
        </w:tc>
        <w:tc>
          <w:tcPr>
            <w:tcW w:w="1279" w:type="dxa"/>
            <w:gridSpan w:val="2"/>
            <w:tcMar>
              <w:left w:w="28" w:type="dxa"/>
              <w:right w:w="28" w:type="dxa"/>
            </w:tcMar>
          </w:tcPr>
          <w:p w14:paraId="0B20D2F2" w14:textId="30929908" w:rsidR="003524E3" w:rsidRPr="003B6CF7" w:rsidRDefault="003524E3" w:rsidP="003524E3">
            <w:pPr>
              <w:widowControl/>
              <w:spacing w:before="40" w:after="40"/>
              <w:rPr>
                <w:rFonts w:eastAsia="Calibri"/>
                <w:strike/>
                <w:noProof/>
                <w:sz w:val="22"/>
                <w:szCs w:val="22"/>
                <w:lang w:eastAsia="en-US"/>
              </w:rPr>
            </w:pPr>
            <w:r w:rsidRPr="003B6CF7">
              <w:rPr>
                <w:rFonts w:eastAsia="Calibri"/>
                <w:strike/>
                <w:noProof/>
                <w:sz w:val="22"/>
                <w:szCs w:val="22"/>
                <w:lang w:eastAsia="en-US"/>
              </w:rPr>
              <w:t>0,6</w:t>
            </w:r>
            <w:r w:rsidRPr="003B6CF7">
              <w:rPr>
                <w:rFonts w:eastAsia="Calibri"/>
                <w:b/>
                <w:i/>
                <w:noProof/>
                <w:sz w:val="22"/>
                <w:szCs w:val="22"/>
                <w:lang w:eastAsia="en-US"/>
              </w:rPr>
              <w:t>0,01</w:t>
            </w:r>
          </w:p>
        </w:tc>
        <w:tc>
          <w:tcPr>
            <w:tcW w:w="1278" w:type="dxa"/>
            <w:gridSpan w:val="2"/>
            <w:tcMar>
              <w:left w:w="28" w:type="dxa"/>
              <w:right w:w="28" w:type="dxa"/>
            </w:tcMar>
          </w:tcPr>
          <w:p w14:paraId="0549346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w:t>
            </w:r>
          </w:p>
        </w:tc>
        <w:tc>
          <w:tcPr>
            <w:tcW w:w="1277" w:type="dxa"/>
            <w:gridSpan w:val="2"/>
            <w:tcMar>
              <w:left w:w="28" w:type="dxa"/>
              <w:right w:w="28" w:type="dxa"/>
            </w:tcMar>
          </w:tcPr>
          <w:p w14:paraId="646D215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w:t>
            </w:r>
          </w:p>
        </w:tc>
        <w:tc>
          <w:tcPr>
            <w:tcW w:w="1136" w:type="dxa"/>
            <w:gridSpan w:val="2"/>
            <w:tcMar>
              <w:left w:w="28" w:type="dxa"/>
              <w:right w:w="28" w:type="dxa"/>
            </w:tcMar>
          </w:tcPr>
          <w:p w14:paraId="49A6294E"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68B6F7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2E406281"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770FB7C4"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8F52AA6" w14:textId="77777777" w:rsidTr="003524E3">
        <w:trPr>
          <w:gridBefore w:val="1"/>
          <w:wBefore w:w="12" w:type="dxa"/>
          <w:cantSplit/>
          <w:tblHeader/>
          <w:jc w:val="center"/>
        </w:trPr>
        <w:tc>
          <w:tcPr>
            <w:tcW w:w="651" w:type="dxa"/>
            <w:gridSpan w:val="3"/>
            <w:tcMar>
              <w:left w:w="28" w:type="dxa"/>
              <w:right w:w="28" w:type="dxa"/>
            </w:tcMar>
          </w:tcPr>
          <w:p w14:paraId="60888AE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w:t>
            </w:r>
          </w:p>
        </w:tc>
        <w:tc>
          <w:tcPr>
            <w:tcW w:w="2286" w:type="dxa"/>
            <w:gridSpan w:val="3"/>
            <w:tcMar>
              <w:left w:w="28" w:type="dxa"/>
              <w:right w:w="28" w:type="dxa"/>
            </w:tcMar>
          </w:tcPr>
          <w:p w14:paraId="7145F94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Bensen</w:t>
            </w:r>
          </w:p>
        </w:tc>
        <w:tc>
          <w:tcPr>
            <w:tcW w:w="1329" w:type="dxa"/>
            <w:gridSpan w:val="3"/>
            <w:tcMar>
              <w:left w:w="28" w:type="dxa"/>
              <w:right w:w="28" w:type="dxa"/>
            </w:tcMar>
          </w:tcPr>
          <w:p w14:paraId="2479744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626DE2D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71-43-2</w:t>
            </w:r>
          </w:p>
        </w:tc>
        <w:tc>
          <w:tcPr>
            <w:tcW w:w="1134" w:type="dxa"/>
          </w:tcPr>
          <w:p w14:paraId="2CA51EC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200-753-7</w:t>
            </w:r>
          </w:p>
        </w:tc>
        <w:tc>
          <w:tcPr>
            <w:tcW w:w="1279" w:type="dxa"/>
            <w:gridSpan w:val="2"/>
            <w:tcMar>
              <w:left w:w="28" w:type="dxa"/>
              <w:right w:w="28" w:type="dxa"/>
            </w:tcMar>
          </w:tcPr>
          <w:p w14:paraId="559AF17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9" w:type="dxa"/>
            <w:gridSpan w:val="2"/>
            <w:tcMar>
              <w:left w:w="28" w:type="dxa"/>
              <w:right w:w="28" w:type="dxa"/>
            </w:tcMar>
          </w:tcPr>
          <w:p w14:paraId="342D4F8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w:t>
            </w:r>
          </w:p>
        </w:tc>
        <w:tc>
          <w:tcPr>
            <w:tcW w:w="1278" w:type="dxa"/>
            <w:gridSpan w:val="2"/>
            <w:tcMar>
              <w:left w:w="28" w:type="dxa"/>
              <w:right w:w="28" w:type="dxa"/>
            </w:tcMar>
          </w:tcPr>
          <w:p w14:paraId="4950887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50</w:t>
            </w:r>
          </w:p>
        </w:tc>
        <w:tc>
          <w:tcPr>
            <w:tcW w:w="1277" w:type="dxa"/>
            <w:gridSpan w:val="2"/>
            <w:tcMar>
              <w:left w:w="28" w:type="dxa"/>
              <w:right w:w="28" w:type="dxa"/>
            </w:tcMar>
          </w:tcPr>
          <w:p w14:paraId="319128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50</w:t>
            </w:r>
          </w:p>
        </w:tc>
        <w:tc>
          <w:tcPr>
            <w:tcW w:w="1136" w:type="dxa"/>
            <w:gridSpan w:val="2"/>
            <w:tcMar>
              <w:left w:w="28" w:type="dxa"/>
              <w:right w:w="28" w:type="dxa"/>
            </w:tcMar>
          </w:tcPr>
          <w:p w14:paraId="28BF67D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1FEA779"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16BB209"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B99DE63"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1FB44B2B" w14:textId="77777777" w:rsidTr="003524E3">
        <w:trPr>
          <w:gridBefore w:val="1"/>
          <w:wBefore w:w="12" w:type="dxa"/>
          <w:cantSplit/>
          <w:trHeight w:val="567"/>
          <w:tblHeader/>
          <w:jc w:val="center"/>
        </w:trPr>
        <w:tc>
          <w:tcPr>
            <w:tcW w:w="651" w:type="dxa"/>
            <w:gridSpan w:val="3"/>
            <w:tcMar>
              <w:left w:w="28" w:type="dxa"/>
              <w:right w:w="28" w:type="dxa"/>
            </w:tcMar>
          </w:tcPr>
          <w:p w14:paraId="6071DBF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w:t>
            </w:r>
          </w:p>
        </w:tc>
        <w:tc>
          <w:tcPr>
            <w:tcW w:w="2286" w:type="dxa"/>
            <w:gridSpan w:val="3"/>
            <w:tcMar>
              <w:left w:w="28" w:type="dxa"/>
              <w:right w:w="28" w:type="dxa"/>
            </w:tcMar>
          </w:tcPr>
          <w:p w14:paraId="0B11C099"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Bromerade difenyletrar</w:t>
            </w:r>
            <w:bookmarkStart w:id="20" w:name="_DV_M300"/>
            <w:bookmarkEnd w:id="20"/>
          </w:p>
        </w:tc>
        <w:tc>
          <w:tcPr>
            <w:tcW w:w="1329" w:type="dxa"/>
            <w:gridSpan w:val="3"/>
            <w:tcMar>
              <w:left w:w="28" w:type="dxa"/>
              <w:right w:w="28" w:type="dxa"/>
            </w:tcMar>
          </w:tcPr>
          <w:p w14:paraId="431663D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4D00A95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4" w:type="dxa"/>
          </w:tcPr>
          <w:p w14:paraId="2D6D22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4ED57065"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tcMar>
              <w:left w:w="28" w:type="dxa"/>
              <w:right w:w="28" w:type="dxa"/>
            </w:tcMar>
          </w:tcPr>
          <w:p w14:paraId="6D45B598"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26547F6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0,14 (</w:t>
            </w:r>
            <w:r w:rsidRPr="003B6CF7">
              <w:rPr>
                <w:rFonts w:eastAsia="Calibri"/>
                <w:noProof/>
                <w:sz w:val="22"/>
                <w:szCs w:val="22"/>
                <w:vertAlign w:val="superscript"/>
                <w:lang w:eastAsia="en-US"/>
              </w:rPr>
              <w:t>7</w:t>
            </w:r>
            <w:r w:rsidRPr="003B6CF7">
              <w:rPr>
                <w:rFonts w:eastAsia="Calibri"/>
                <w:noProof/>
                <w:sz w:val="22"/>
                <w:szCs w:val="22"/>
                <w:lang w:eastAsia="en-US"/>
              </w:rPr>
              <w:t>)</w:t>
            </w:r>
          </w:p>
        </w:tc>
        <w:tc>
          <w:tcPr>
            <w:tcW w:w="1277" w:type="dxa"/>
            <w:gridSpan w:val="2"/>
            <w:tcMar>
              <w:left w:w="28" w:type="dxa"/>
              <w:right w:w="28" w:type="dxa"/>
            </w:tcMar>
          </w:tcPr>
          <w:p w14:paraId="12A9788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0,014 (</w:t>
            </w:r>
            <w:r w:rsidRPr="003B6CF7">
              <w:rPr>
                <w:rFonts w:eastAsia="Calibri"/>
                <w:noProof/>
                <w:sz w:val="22"/>
                <w:szCs w:val="22"/>
                <w:vertAlign w:val="superscript"/>
                <w:lang w:eastAsia="en-US"/>
              </w:rPr>
              <w:t>7</w:t>
            </w:r>
            <w:r w:rsidRPr="003B6CF7">
              <w:rPr>
                <w:rFonts w:eastAsia="Calibri"/>
                <w:noProof/>
                <w:sz w:val="22"/>
                <w:szCs w:val="22"/>
                <w:lang w:eastAsia="en-US"/>
              </w:rPr>
              <w:t>)</w:t>
            </w:r>
          </w:p>
        </w:tc>
        <w:tc>
          <w:tcPr>
            <w:tcW w:w="1136" w:type="dxa"/>
            <w:gridSpan w:val="2"/>
            <w:tcMar>
              <w:left w:w="28" w:type="dxa"/>
              <w:right w:w="28" w:type="dxa"/>
            </w:tcMar>
          </w:tcPr>
          <w:p w14:paraId="0A80A2A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[0,00028] (</w:t>
            </w:r>
            <w:r w:rsidRPr="003B6CF7">
              <w:rPr>
                <w:rFonts w:eastAsia="Calibri"/>
                <w:noProof/>
                <w:sz w:val="22"/>
                <w:szCs w:val="22"/>
                <w:vertAlign w:val="superscript"/>
                <w:lang w:eastAsia="en-US"/>
              </w:rPr>
              <w:t>7</w:t>
            </w:r>
            <w:r w:rsidRPr="003B6CF7">
              <w:rPr>
                <w:rFonts w:eastAsia="Calibri"/>
                <w:noProof/>
                <w:sz w:val="22"/>
                <w:szCs w:val="22"/>
                <w:lang w:eastAsia="en-US"/>
              </w:rPr>
              <w:t>)</w:t>
            </w:r>
          </w:p>
        </w:tc>
        <w:tc>
          <w:tcPr>
            <w:tcW w:w="1262" w:type="dxa"/>
            <w:tcMar>
              <w:left w:w="28" w:type="dxa"/>
              <w:right w:w="28" w:type="dxa"/>
            </w:tcMar>
          </w:tcPr>
          <w:p w14:paraId="03ED174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 (</w:t>
            </w:r>
            <w:r w:rsidRPr="003B6CF7">
              <w:rPr>
                <w:rFonts w:eastAsia="Calibri"/>
                <w:noProof/>
                <w:sz w:val="22"/>
                <w:szCs w:val="22"/>
                <w:vertAlign w:val="superscript"/>
                <w:lang w:eastAsia="en-US"/>
              </w:rPr>
              <w:t>8</w:t>
            </w:r>
            <w:r w:rsidRPr="003B6CF7">
              <w:rPr>
                <w:rFonts w:eastAsia="Calibri"/>
                <w:noProof/>
                <w:sz w:val="22"/>
                <w:szCs w:val="22"/>
                <w:lang w:eastAsia="en-US"/>
              </w:rPr>
              <w:t>)</w:t>
            </w:r>
          </w:p>
        </w:tc>
        <w:tc>
          <w:tcPr>
            <w:tcW w:w="1153" w:type="dxa"/>
            <w:gridSpan w:val="2"/>
            <w:tcMar>
              <w:left w:w="28" w:type="dxa"/>
              <w:right w:w="28" w:type="dxa"/>
            </w:tcMar>
          </w:tcPr>
          <w:p w14:paraId="39A27EC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29E70B9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3EED775E" w14:textId="77777777" w:rsidTr="003524E3">
        <w:trPr>
          <w:gridBefore w:val="1"/>
          <w:wBefore w:w="12" w:type="dxa"/>
          <w:cantSplit/>
          <w:tblHeader/>
          <w:jc w:val="center"/>
        </w:trPr>
        <w:tc>
          <w:tcPr>
            <w:tcW w:w="651" w:type="dxa"/>
            <w:gridSpan w:val="3"/>
            <w:tcMar>
              <w:left w:w="28" w:type="dxa"/>
              <w:right w:w="28" w:type="dxa"/>
            </w:tcMar>
          </w:tcPr>
          <w:p w14:paraId="62B463A5"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(6)</w:t>
            </w:r>
          </w:p>
        </w:tc>
        <w:tc>
          <w:tcPr>
            <w:tcW w:w="2286" w:type="dxa"/>
            <w:gridSpan w:val="3"/>
            <w:tcMar>
              <w:left w:w="28" w:type="dxa"/>
              <w:right w:w="28" w:type="dxa"/>
            </w:tcMar>
          </w:tcPr>
          <w:p w14:paraId="3D5FA58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Kadmium och kadmiumföreningar</w:t>
            </w:r>
          </w:p>
          <w:p w14:paraId="195E1E29" w14:textId="77777777" w:rsidR="003524E3" w:rsidRPr="003B6CF7" w:rsidRDefault="003524E3" w:rsidP="003524E3">
            <w:pPr>
              <w:keepNext/>
              <w:widowControl/>
              <w:spacing w:before="40" w:after="40"/>
              <w:rPr>
                <w:rFonts w:eastAsia="Calibri"/>
                <w:noProof/>
                <w:sz w:val="22"/>
                <w:szCs w:val="22"/>
                <w:vertAlign w:val="superscript"/>
                <w:lang w:eastAsia="en-US"/>
              </w:rPr>
            </w:pPr>
            <w:r w:rsidRPr="003B6CF7">
              <w:rPr>
                <w:rFonts w:eastAsia="Calibri"/>
                <w:noProof/>
                <w:sz w:val="22"/>
                <w:szCs w:val="22"/>
                <w:lang w:eastAsia="en-US"/>
              </w:rPr>
              <w:t>(beroende på vattenhårdhetsklass) (</w:t>
            </w:r>
            <w:r w:rsidRPr="003B6CF7">
              <w:rPr>
                <w:rFonts w:eastAsia="Calibri"/>
                <w:noProof/>
                <w:sz w:val="22"/>
                <w:szCs w:val="22"/>
                <w:vertAlign w:val="superscript"/>
                <w:lang w:eastAsia="en-US"/>
              </w:rPr>
              <w:t>9</w:t>
            </w:r>
            <w:r w:rsidRPr="003B6CF7">
              <w:rPr>
                <w:rFonts w:eastAsia="Calibri"/>
                <w:noProof/>
                <w:sz w:val="22"/>
                <w:szCs w:val="22"/>
                <w:lang w:eastAsia="en-US"/>
              </w:rPr>
              <w:t>)</w:t>
            </w:r>
          </w:p>
        </w:tc>
        <w:tc>
          <w:tcPr>
            <w:tcW w:w="1329" w:type="dxa"/>
            <w:gridSpan w:val="3"/>
            <w:tcMar>
              <w:left w:w="28" w:type="dxa"/>
              <w:right w:w="28" w:type="dxa"/>
            </w:tcMar>
          </w:tcPr>
          <w:p w14:paraId="4AB7D6DF"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Metaller</w:t>
            </w:r>
          </w:p>
        </w:tc>
        <w:tc>
          <w:tcPr>
            <w:tcW w:w="992" w:type="dxa"/>
            <w:gridSpan w:val="2"/>
            <w:tcMar>
              <w:left w:w="28" w:type="dxa"/>
              <w:right w:w="28" w:type="dxa"/>
            </w:tcMar>
          </w:tcPr>
          <w:p w14:paraId="09BB09E6"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7440-43-9</w:t>
            </w:r>
          </w:p>
        </w:tc>
        <w:tc>
          <w:tcPr>
            <w:tcW w:w="1134" w:type="dxa"/>
          </w:tcPr>
          <w:p w14:paraId="67776AB5"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231-152-8</w:t>
            </w:r>
          </w:p>
        </w:tc>
        <w:tc>
          <w:tcPr>
            <w:tcW w:w="1279" w:type="dxa"/>
            <w:gridSpan w:val="2"/>
            <w:tcMar>
              <w:left w:w="28" w:type="dxa"/>
              <w:right w:w="28" w:type="dxa"/>
            </w:tcMar>
          </w:tcPr>
          <w:p w14:paraId="6B459DC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 0,08 (klass 1)</w:t>
            </w:r>
          </w:p>
          <w:p w14:paraId="68C20CEA"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0,08 (klass 2)</w:t>
            </w:r>
          </w:p>
          <w:p w14:paraId="77766D8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0,09 (klass 3)</w:t>
            </w:r>
          </w:p>
          <w:p w14:paraId="155401C6"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0,15 (klass 4)</w:t>
            </w:r>
          </w:p>
          <w:p w14:paraId="52D4D1F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0,25 (klass 5)</w:t>
            </w:r>
          </w:p>
        </w:tc>
        <w:tc>
          <w:tcPr>
            <w:tcW w:w="1279" w:type="dxa"/>
            <w:gridSpan w:val="2"/>
            <w:tcMar>
              <w:left w:w="28" w:type="dxa"/>
              <w:right w:w="28" w:type="dxa"/>
            </w:tcMar>
          </w:tcPr>
          <w:p w14:paraId="49888E35"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0,2</w:t>
            </w:r>
          </w:p>
        </w:tc>
        <w:tc>
          <w:tcPr>
            <w:tcW w:w="1278" w:type="dxa"/>
            <w:gridSpan w:val="2"/>
            <w:tcMar>
              <w:left w:w="28" w:type="dxa"/>
              <w:right w:w="28" w:type="dxa"/>
            </w:tcMar>
          </w:tcPr>
          <w:p w14:paraId="16C4630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 0,45 (klass 1)</w:t>
            </w:r>
          </w:p>
          <w:p w14:paraId="0718640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0,45 (klass 2)</w:t>
            </w:r>
          </w:p>
          <w:p w14:paraId="4DC241E0"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0,6 (klass 3)</w:t>
            </w:r>
          </w:p>
          <w:p w14:paraId="3066065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0,9 (klass 4)</w:t>
            </w:r>
          </w:p>
          <w:p w14:paraId="550E1AE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1,5 (klass 5)</w:t>
            </w:r>
          </w:p>
        </w:tc>
        <w:tc>
          <w:tcPr>
            <w:tcW w:w="1277" w:type="dxa"/>
            <w:gridSpan w:val="2"/>
            <w:tcMar>
              <w:left w:w="28" w:type="dxa"/>
              <w:right w:w="28" w:type="dxa"/>
            </w:tcMar>
          </w:tcPr>
          <w:p w14:paraId="192A43C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 0,45 (klass 1)</w:t>
            </w:r>
          </w:p>
          <w:p w14:paraId="0577879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0,45 (klass 2)</w:t>
            </w:r>
          </w:p>
          <w:p w14:paraId="559A1C60"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0,6 (klass 3)</w:t>
            </w:r>
          </w:p>
          <w:p w14:paraId="143F6B44"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0,9 (klass 4)</w:t>
            </w:r>
          </w:p>
          <w:p w14:paraId="6002C1C1"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1,5 (klass 5)</w:t>
            </w:r>
          </w:p>
        </w:tc>
        <w:tc>
          <w:tcPr>
            <w:tcW w:w="1136" w:type="dxa"/>
            <w:gridSpan w:val="2"/>
            <w:tcMar>
              <w:left w:w="28" w:type="dxa"/>
              <w:right w:w="28" w:type="dxa"/>
            </w:tcMar>
          </w:tcPr>
          <w:p w14:paraId="64CFEFD7" w14:textId="77777777" w:rsidR="003524E3" w:rsidRPr="003B6CF7" w:rsidRDefault="003524E3" w:rsidP="003524E3">
            <w:pPr>
              <w:keepNext/>
              <w:widowControl/>
              <w:spacing w:before="40" w:after="40"/>
              <w:rPr>
                <w:rFonts w:eastAsia="Calibri"/>
                <w:noProof/>
                <w:sz w:val="22"/>
                <w:szCs w:val="22"/>
                <w:lang w:eastAsia="en-US"/>
              </w:rPr>
            </w:pPr>
          </w:p>
        </w:tc>
        <w:tc>
          <w:tcPr>
            <w:tcW w:w="1262" w:type="dxa"/>
            <w:tcMar>
              <w:left w:w="28" w:type="dxa"/>
              <w:right w:w="28" w:type="dxa"/>
            </w:tcMar>
          </w:tcPr>
          <w:p w14:paraId="1830E61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26F707A6" w14:textId="77777777" w:rsidR="003524E3" w:rsidRPr="003B6CF7" w:rsidRDefault="003524E3" w:rsidP="003524E3">
            <w:pPr>
              <w:keepNext/>
              <w:widowControl/>
              <w:spacing w:before="40" w:after="40"/>
              <w:rPr>
                <w:rFonts w:eastAsia="Calibri"/>
                <w:noProof/>
                <w:sz w:val="22"/>
                <w:szCs w:val="22"/>
                <w:lang w:eastAsia="en-US"/>
              </w:rPr>
            </w:pPr>
          </w:p>
        </w:tc>
        <w:tc>
          <w:tcPr>
            <w:tcW w:w="970" w:type="dxa"/>
            <w:tcMar>
              <w:left w:w="28" w:type="dxa"/>
              <w:right w:w="28" w:type="dxa"/>
            </w:tcMar>
          </w:tcPr>
          <w:p w14:paraId="6DED2D3D"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30D5B016" w14:textId="77777777" w:rsidTr="003524E3">
        <w:trPr>
          <w:gridBefore w:val="1"/>
          <w:wBefore w:w="12" w:type="dxa"/>
          <w:cantSplit/>
          <w:tblHeader/>
          <w:jc w:val="center"/>
        </w:trPr>
        <w:tc>
          <w:tcPr>
            <w:tcW w:w="651" w:type="dxa"/>
            <w:gridSpan w:val="3"/>
            <w:tcMar>
              <w:left w:w="28" w:type="dxa"/>
              <w:right w:w="28" w:type="dxa"/>
            </w:tcMar>
          </w:tcPr>
          <w:p w14:paraId="370934E1"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(6a)</w:t>
            </w:r>
          </w:p>
        </w:tc>
        <w:tc>
          <w:tcPr>
            <w:tcW w:w="15375" w:type="dxa"/>
            <w:gridSpan w:val="23"/>
            <w:tcMar>
              <w:left w:w="28" w:type="dxa"/>
              <w:right w:w="28" w:type="dxa"/>
            </w:tcMar>
          </w:tcPr>
          <w:p w14:paraId="773E6C8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Ämnet koltetraklorid har flyttats till del C i bilaga II </w:t>
            </w:r>
          </w:p>
        </w:tc>
      </w:tr>
      <w:tr w:rsidR="003524E3" w:rsidRPr="003B6CF7" w14:paraId="63F74A3F" w14:textId="77777777" w:rsidTr="003524E3">
        <w:trPr>
          <w:gridBefore w:val="1"/>
          <w:wBefore w:w="12" w:type="dxa"/>
          <w:cantSplit/>
          <w:tblHeader/>
          <w:jc w:val="center"/>
        </w:trPr>
        <w:tc>
          <w:tcPr>
            <w:tcW w:w="651" w:type="dxa"/>
            <w:gridSpan w:val="3"/>
            <w:tcMar>
              <w:left w:w="28" w:type="dxa"/>
              <w:right w:w="28" w:type="dxa"/>
            </w:tcMar>
          </w:tcPr>
          <w:p w14:paraId="10D11563"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(7)</w:t>
            </w:r>
          </w:p>
        </w:tc>
        <w:tc>
          <w:tcPr>
            <w:tcW w:w="2286" w:type="dxa"/>
            <w:gridSpan w:val="3"/>
            <w:tcMar>
              <w:left w:w="28" w:type="dxa"/>
              <w:right w:w="28" w:type="dxa"/>
            </w:tcMar>
          </w:tcPr>
          <w:p w14:paraId="402E1ED4"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C</w:t>
            </w:r>
            <w:r w:rsidRPr="003B6CF7">
              <w:rPr>
                <w:rFonts w:eastAsia="Calibri"/>
                <w:noProof/>
                <w:sz w:val="22"/>
                <w:szCs w:val="22"/>
                <w:vertAlign w:val="subscript"/>
                <w:lang w:eastAsia="en-US"/>
              </w:rPr>
              <w:t xml:space="preserve">10-13 </w:t>
            </w:r>
            <w:r w:rsidRPr="003B6CF7">
              <w:rPr>
                <w:rFonts w:eastAsia="Calibri"/>
                <w:noProof/>
                <w:sz w:val="22"/>
                <w:szCs w:val="22"/>
                <w:lang w:eastAsia="en-US"/>
              </w:rPr>
              <w:t>kloralkaner (</w:t>
            </w:r>
            <w:r w:rsidRPr="003B6CF7">
              <w:rPr>
                <w:rFonts w:eastAsia="Calibri"/>
                <w:noProof/>
                <w:sz w:val="22"/>
                <w:szCs w:val="22"/>
                <w:vertAlign w:val="superscript"/>
                <w:lang w:eastAsia="en-US"/>
              </w:rPr>
              <w:t>10</w:t>
            </w:r>
            <w:r w:rsidRPr="003B6CF7">
              <w:rPr>
                <w:rFonts w:eastAsia="Calibri"/>
                <w:noProof/>
                <w:sz w:val="22"/>
                <w:szCs w:val="22"/>
                <w:lang w:eastAsia="en-US"/>
              </w:rPr>
              <w:t>)</w:t>
            </w:r>
          </w:p>
        </w:tc>
        <w:tc>
          <w:tcPr>
            <w:tcW w:w="1329" w:type="dxa"/>
            <w:gridSpan w:val="3"/>
            <w:tcMar>
              <w:left w:w="28" w:type="dxa"/>
              <w:right w:w="28" w:type="dxa"/>
            </w:tcMar>
          </w:tcPr>
          <w:p w14:paraId="446176C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6A162F8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85535-84-8</w:t>
            </w:r>
          </w:p>
        </w:tc>
        <w:tc>
          <w:tcPr>
            <w:tcW w:w="1134" w:type="dxa"/>
          </w:tcPr>
          <w:p w14:paraId="702AC86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287-476-5</w:t>
            </w:r>
          </w:p>
        </w:tc>
        <w:tc>
          <w:tcPr>
            <w:tcW w:w="1279" w:type="dxa"/>
            <w:gridSpan w:val="2"/>
            <w:tcMar>
              <w:left w:w="28" w:type="dxa"/>
              <w:right w:w="28" w:type="dxa"/>
            </w:tcMar>
          </w:tcPr>
          <w:p w14:paraId="345605C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0,4 </w:t>
            </w:r>
          </w:p>
        </w:tc>
        <w:tc>
          <w:tcPr>
            <w:tcW w:w="1279" w:type="dxa"/>
            <w:gridSpan w:val="2"/>
            <w:tcMar>
              <w:left w:w="28" w:type="dxa"/>
              <w:right w:w="28" w:type="dxa"/>
            </w:tcMar>
          </w:tcPr>
          <w:p w14:paraId="6327B91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0,4</w:t>
            </w:r>
          </w:p>
        </w:tc>
        <w:tc>
          <w:tcPr>
            <w:tcW w:w="1278" w:type="dxa"/>
            <w:gridSpan w:val="2"/>
            <w:tcMar>
              <w:left w:w="28" w:type="dxa"/>
              <w:right w:w="28" w:type="dxa"/>
            </w:tcMar>
          </w:tcPr>
          <w:p w14:paraId="05F5A55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1,4</w:t>
            </w:r>
          </w:p>
        </w:tc>
        <w:tc>
          <w:tcPr>
            <w:tcW w:w="1277" w:type="dxa"/>
            <w:gridSpan w:val="2"/>
            <w:tcMar>
              <w:left w:w="28" w:type="dxa"/>
              <w:right w:w="28" w:type="dxa"/>
            </w:tcMar>
          </w:tcPr>
          <w:p w14:paraId="3BD4D49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1,4</w:t>
            </w:r>
          </w:p>
        </w:tc>
        <w:tc>
          <w:tcPr>
            <w:tcW w:w="1136" w:type="dxa"/>
            <w:gridSpan w:val="2"/>
            <w:tcMar>
              <w:left w:w="28" w:type="dxa"/>
              <w:right w:w="28" w:type="dxa"/>
            </w:tcMar>
          </w:tcPr>
          <w:p w14:paraId="6EECAAD3"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862582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3FDD124F"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F142C6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4E69E9F" w14:textId="77777777" w:rsidTr="003524E3">
        <w:trPr>
          <w:gridBefore w:val="1"/>
          <w:wBefore w:w="12" w:type="dxa"/>
          <w:cantSplit/>
          <w:tblHeader/>
          <w:jc w:val="center"/>
        </w:trPr>
        <w:tc>
          <w:tcPr>
            <w:tcW w:w="651" w:type="dxa"/>
            <w:gridSpan w:val="3"/>
            <w:tcMar>
              <w:left w:w="28" w:type="dxa"/>
              <w:right w:w="28" w:type="dxa"/>
            </w:tcMar>
          </w:tcPr>
          <w:p w14:paraId="20E837E4"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(8)</w:t>
            </w:r>
          </w:p>
        </w:tc>
        <w:tc>
          <w:tcPr>
            <w:tcW w:w="15375" w:type="dxa"/>
            <w:gridSpan w:val="23"/>
            <w:tcMar>
              <w:left w:w="28" w:type="dxa"/>
              <w:right w:w="28" w:type="dxa"/>
            </w:tcMar>
          </w:tcPr>
          <w:p w14:paraId="07B4F9F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Ämnet klorfenvinfos har flyttats till del C i bilaga II </w:t>
            </w:r>
          </w:p>
        </w:tc>
      </w:tr>
      <w:tr w:rsidR="003524E3" w:rsidRPr="003B6CF7" w14:paraId="77663ABE" w14:textId="77777777" w:rsidTr="003524E3">
        <w:trPr>
          <w:gridBefore w:val="1"/>
          <w:wBefore w:w="12" w:type="dxa"/>
          <w:cantSplit/>
          <w:tblHeader/>
          <w:jc w:val="center"/>
        </w:trPr>
        <w:tc>
          <w:tcPr>
            <w:tcW w:w="651" w:type="dxa"/>
            <w:gridSpan w:val="3"/>
            <w:tcMar>
              <w:left w:w="28" w:type="dxa"/>
              <w:right w:w="28" w:type="dxa"/>
            </w:tcMar>
          </w:tcPr>
          <w:p w14:paraId="5E60197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(9)</w:t>
            </w:r>
          </w:p>
        </w:tc>
        <w:tc>
          <w:tcPr>
            <w:tcW w:w="2286" w:type="dxa"/>
            <w:gridSpan w:val="3"/>
            <w:tcMar>
              <w:left w:w="28" w:type="dxa"/>
              <w:right w:w="28" w:type="dxa"/>
            </w:tcMar>
          </w:tcPr>
          <w:p w14:paraId="27BD02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Klorpyrifos (klorpyrifosetyl)</w:t>
            </w:r>
          </w:p>
        </w:tc>
        <w:tc>
          <w:tcPr>
            <w:tcW w:w="1329" w:type="dxa"/>
            <w:gridSpan w:val="3"/>
            <w:tcMar>
              <w:left w:w="28" w:type="dxa"/>
              <w:right w:w="28" w:type="dxa"/>
            </w:tcMar>
          </w:tcPr>
          <w:p w14:paraId="1916E64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Organofosfatiska bekämpningsmedel</w:t>
            </w:r>
          </w:p>
        </w:tc>
        <w:tc>
          <w:tcPr>
            <w:tcW w:w="992" w:type="dxa"/>
            <w:gridSpan w:val="2"/>
            <w:tcMar>
              <w:left w:w="28" w:type="dxa"/>
              <w:right w:w="28" w:type="dxa"/>
            </w:tcMar>
          </w:tcPr>
          <w:p w14:paraId="1E8C5D6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2921-88-2</w:t>
            </w:r>
          </w:p>
        </w:tc>
        <w:tc>
          <w:tcPr>
            <w:tcW w:w="1134" w:type="dxa"/>
          </w:tcPr>
          <w:p w14:paraId="09E8E43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220-864-4</w:t>
            </w:r>
          </w:p>
        </w:tc>
        <w:tc>
          <w:tcPr>
            <w:tcW w:w="1279" w:type="dxa"/>
            <w:gridSpan w:val="2"/>
            <w:tcMar>
              <w:left w:w="28" w:type="dxa"/>
              <w:right w:w="28" w:type="dxa"/>
            </w:tcMar>
          </w:tcPr>
          <w:p w14:paraId="4687954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4,6 × 10</w:t>
            </w:r>
            <w:r w:rsidRPr="003B6CF7">
              <w:rPr>
                <w:rFonts w:eastAsia="Calibri"/>
                <w:noProof/>
                <w:sz w:val="22"/>
                <w:szCs w:val="22"/>
                <w:vertAlign w:val="superscript"/>
                <w:lang w:eastAsia="en-US"/>
              </w:rPr>
              <w:t>-4</w:t>
            </w:r>
          </w:p>
        </w:tc>
        <w:tc>
          <w:tcPr>
            <w:tcW w:w="1279" w:type="dxa"/>
            <w:gridSpan w:val="2"/>
            <w:tcMar>
              <w:left w:w="28" w:type="dxa"/>
              <w:right w:w="28" w:type="dxa"/>
            </w:tcMar>
          </w:tcPr>
          <w:p w14:paraId="5A769E5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4,6 × 10</w:t>
            </w:r>
            <w:r w:rsidRPr="003B6CF7">
              <w:rPr>
                <w:rFonts w:eastAsia="Calibri"/>
                <w:noProof/>
                <w:sz w:val="22"/>
                <w:szCs w:val="22"/>
                <w:vertAlign w:val="superscript"/>
                <w:lang w:eastAsia="en-US"/>
              </w:rPr>
              <w:t>-5</w:t>
            </w:r>
          </w:p>
        </w:tc>
        <w:tc>
          <w:tcPr>
            <w:tcW w:w="1278" w:type="dxa"/>
            <w:gridSpan w:val="2"/>
            <w:tcMar>
              <w:left w:w="28" w:type="dxa"/>
              <w:right w:w="28" w:type="dxa"/>
            </w:tcMar>
          </w:tcPr>
          <w:p w14:paraId="13A4FF0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0,0026</w:t>
            </w:r>
          </w:p>
        </w:tc>
        <w:tc>
          <w:tcPr>
            <w:tcW w:w="1277" w:type="dxa"/>
            <w:gridSpan w:val="2"/>
            <w:tcMar>
              <w:left w:w="28" w:type="dxa"/>
              <w:right w:w="28" w:type="dxa"/>
            </w:tcMar>
          </w:tcPr>
          <w:p w14:paraId="3BD90C8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5,2 × 10</w:t>
            </w:r>
            <w:r w:rsidRPr="003B6CF7">
              <w:rPr>
                <w:rFonts w:eastAsia="Calibri"/>
                <w:noProof/>
                <w:sz w:val="22"/>
                <w:szCs w:val="22"/>
                <w:vertAlign w:val="superscript"/>
                <w:lang w:eastAsia="en-US"/>
              </w:rPr>
              <w:t>-4</w:t>
            </w:r>
          </w:p>
        </w:tc>
        <w:tc>
          <w:tcPr>
            <w:tcW w:w="1136" w:type="dxa"/>
            <w:gridSpan w:val="2"/>
            <w:tcMar>
              <w:left w:w="28" w:type="dxa"/>
              <w:right w:w="28" w:type="dxa"/>
            </w:tcMar>
          </w:tcPr>
          <w:p w14:paraId="10C1A3F5"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6FBBA1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0C2EBD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7823259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AE7C428" w14:textId="77777777" w:rsidTr="003524E3">
        <w:trPr>
          <w:gridBefore w:val="1"/>
          <w:wBefore w:w="12" w:type="dxa"/>
          <w:cantSplit/>
          <w:tblHeader/>
          <w:jc w:val="center"/>
        </w:trPr>
        <w:tc>
          <w:tcPr>
            <w:tcW w:w="651" w:type="dxa"/>
            <w:gridSpan w:val="3"/>
            <w:tcMar>
              <w:left w:w="28" w:type="dxa"/>
              <w:right w:w="28" w:type="dxa"/>
            </w:tcMar>
          </w:tcPr>
          <w:p w14:paraId="27E8750C"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br w:type="page"/>
              <w:t>(9a)</w:t>
            </w:r>
          </w:p>
        </w:tc>
        <w:tc>
          <w:tcPr>
            <w:tcW w:w="2286" w:type="dxa"/>
            <w:gridSpan w:val="3"/>
            <w:tcMar>
              <w:left w:w="28" w:type="dxa"/>
              <w:right w:w="28" w:type="dxa"/>
            </w:tcMar>
          </w:tcPr>
          <w:p w14:paraId="1BDF281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Cyklodiena bekämpningsmedel:</w:t>
            </w:r>
          </w:p>
          <w:p w14:paraId="5B121FA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Aldrin </w:t>
            </w:r>
            <w:bookmarkStart w:id="21" w:name="_DV_M301"/>
            <w:bookmarkEnd w:id="21"/>
          </w:p>
          <w:p w14:paraId="6154F19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Dieldrin </w:t>
            </w:r>
            <w:bookmarkStart w:id="22" w:name="_DV_M302"/>
            <w:bookmarkEnd w:id="22"/>
          </w:p>
          <w:p w14:paraId="12C59A0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Endrin </w:t>
            </w:r>
            <w:bookmarkStart w:id="23" w:name="_DV_M303"/>
            <w:bookmarkEnd w:id="23"/>
          </w:p>
          <w:p w14:paraId="41B2ECC3"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 xml:space="preserve">Isodrin </w:t>
            </w:r>
            <w:bookmarkStart w:id="24" w:name="_DV_M304"/>
            <w:bookmarkEnd w:id="24"/>
          </w:p>
        </w:tc>
        <w:tc>
          <w:tcPr>
            <w:tcW w:w="1329" w:type="dxa"/>
            <w:gridSpan w:val="3"/>
            <w:tcMar>
              <w:left w:w="28" w:type="dxa"/>
              <w:right w:w="28" w:type="dxa"/>
            </w:tcMar>
          </w:tcPr>
          <w:p w14:paraId="0831D61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7AEF4E14" w14:textId="77777777" w:rsidR="003524E3" w:rsidRPr="003B6CF7" w:rsidRDefault="003524E3" w:rsidP="003524E3">
            <w:pPr>
              <w:widowControl/>
              <w:spacing w:before="40" w:after="40"/>
              <w:rPr>
                <w:rFonts w:eastAsia="Calibri"/>
                <w:noProof/>
                <w:sz w:val="22"/>
                <w:szCs w:val="22"/>
                <w:lang w:eastAsia="en-US"/>
              </w:rPr>
            </w:pPr>
          </w:p>
          <w:p w14:paraId="49933CA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309-00-2</w:t>
            </w:r>
          </w:p>
          <w:p w14:paraId="308B391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60-57-1</w:t>
            </w:r>
          </w:p>
          <w:p w14:paraId="6819564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72-20-8</w:t>
            </w:r>
          </w:p>
          <w:p w14:paraId="2F0FF3D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465-73-6</w:t>
            </w:r>
          </w:p>
        </w:tc>
        <w:tc>
          <w:tcPr>
            <w:tcW w:w="1134" w:type="dxa"/>
          </w:tcPr>
          <w:p w14:paraId="1209E688" w14:textId="77777777" w:rsidR="003524E3" w:rsidRPr="003B6CF7" w:rsidRDefault="003524E3" w:rsidP="003524E3">
            <w:pPr>
              <w:widowControl/>
              <w:spacing w:before="40" w:after="40"/>
              <w:rPr>
                <w:rFonts w:eastAsia="Calibri"/>
                <w:noProof/>
                <w:sz w:val="22"/>
                <w:szCs w:val="22"/>
                <w:lang w:eastAsia="en-US"/>
              </w:rPr>
            </w:pPr>
          </w:p>
          <w:p w14:paraId="20DDB31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206-215-8</w:t>
            </w:r>
          </w:p>
          <w:p w14:paraId="742B6DD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200-484-5</w:t>
            </w:r>
          </w:p>
          <w:p w14:paraId="4121A2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200-775-7</w:t>
            </w:r>
          </w:p>
          <w:p w14:paraId="426BA5E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207-366-2</w:t>
            </w:r>
          </w:p>
        </w:tc>
        <w:tc>
          <w:tcPr>
            <w:tcW w:w="1279" w:type="dxa"/>
            <w:gridSpan w:val="2"/>
            <w:tcMar>
              <w:left w:w="28" w:type="dxa"/>
              <w:right w:w="28" w:type="dxa"/>
            </w:tcMar>
          </w:tcPr>
          <w:p w14:paraId="36C7CEC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Σ = 0,01</w:t>
            </w:r>
          </w:p>
        </w:tc>
        <w:tc>
          <w:tcPr>
            <w:tcW w:w="1279" w:type="dxa"/>
            <w:gridSpan w:val="2"/>
            <w:tcMar>
              <w:left w:w="28" w:type="dxa"/>
              <w:right w:w="28" w:type="dxa"/>
            </w:tcMar>
          </w:tcPr>
          <w:p w14:paraId="2A5495E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Σ = 0,005</w:t>
            </w:r>
          </w:p>
        </w:tc>
        <w:tc>
          <w:tcPr>
            <w:tcW w:w="1278" w:type="dxa"/>
            <w:gridSpan w:val="2"/>
            <w:tcMar>
              <w:left w:w="28" w:type="dxa"/>
              <w:right w:w="28" w:type="dxa"/>
            </w:tcMar>
          </w:tcPr>
          <w:p w14:paraId="0A0801E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703D06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70370BCB"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ACC53E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5BBA65DB"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8E26637" w14:textId="77777777" w:rsidR="003524E3" w:rsidRPr="003B6CF7" w:rsidRDefault="003524E3" w:rsidP="003524E3">
            <w:pPr>
              <w:widowControl/>
              <w:spacing w:before="40" w:after="40"/>
              <w:rPr>
                <w:rFonts w:eastAsia="Calibri"/>
                <w:noProof/>
                <w:sz w:val="22"/>
                <w:szCs w:val="22"/>
                <w:lang w:eastAsia="en-US"/>
              </w:rPr>
            </w:pPr>
          </w:p>
          <w:p w14:paraId="407815C9" w14:textId="77777777" w:rsidR="003524E3" w:rsidRPr="003B6CF7" w:rsidRDefault="003524E3" w:rsidP="003524E3">
            <w:pPr>
              <w:widowControl/>
              <w:spacing w:before="40" w:after="40"/>
              <w:rPr>
                <w:rFonts w:eastAsia="Calibri"/>
                <w:noProof/>
                <w:sz w:val="22"/>
                <w:szCs w:val="22"/>
                <w:lang w:eastAsia="en-US"/>
              </w:rPr>
            </w:pPr>
          </w:p>
          <w:p w14:paraId="59E896A3"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11245D85" w14:textId="77777777" w:rsidTr="003524E3">
        <w:trPr>
          <w:gridBefore w:val="1"/>
          <w:wBefore w:w="12" w:type="dxa"/>
          <w:cantSplit/>
          <w:tblHeader/>
          <w:jc w:val="center"/>
        </w:trPr>
        <w:tc>
          <w:tcPr>
            <w:tcW w:w="651" w:type="dxa"/>
            <w:gridSpan w:val="3"/>
            <w:tcMar>
              <w:left w:w="28" w:type="dxa"/>
              <w:right w:w="28" w:type="dxa"/>
            </w:tcMar>
          </w:tcPr>
          <w:p w14:paraId="385CFD4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(9b)</w:t>
            </w:r>
          </w:p>
        </w:tc>
        <w:tc>
          <w:tcPr>
            <w:tcW w:w="2286" w:type="dxa"/>
            <w:gridSpan w:val="3"/>
            <w:tcMar>
              <w:left w:w="28" w:type="dxa"/>
              <w:right w:w="28" w:type="dxa"/>
            </w:tcMar>
          </w:tcPr>
          <w:p w14:paraId="626EA42D"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DDT totalt (</w:t>
            </w:r>
            <w:r w:rsidRPr="003B6CF7">
              <w:rPr>
                <w:rFonts w:eastAsia="Calibri"/>
                <w:noProof/>
                <w:sz w:val="22"/>
                <w:szCs w:val="22"/>
                <w:vertAlign w:val="superscript"/>
                <w:lang w:eastAsia="en-US"/>
              </w:rPr>
              <w:t>11</w:t>
            </w:r>
            <w:r w:rsidRPr="003B6CF7">
              <w:rPr>
                <w:rFonts w:eastAsia="Calibri"/>
                <w:noProof/>
                <w:sz w:val="22"/>
                <w:szCs w:val="22"/>
                <w:lang w:eastAsia="en-US"/>
              </w:rPr>
              <w:t>)</w:t>
            </w:r>
          </w:p>
        </w:tc>
        <w:tc>
          <w:tcPr>
            <w:tcW w:w="1329" w:type="dxa"/>
            <w:gridSpan w:val="3"/>
            <w:tcMar>
              <w:left w:w="28" w:type="dxa"/>
              <w:right w:w="28" w:type="dxa"/>
            </w:tcMar>
          </w:tcPr>
          <w:p w14:paraId="499D427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310AB8B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4" w:type="dxa"/>
          </w:tcPr>
          <w:p w14:paraId="035C881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0FDDA4C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0,025</w:t>
            </w:r>
          </w:p>
        </w:tc>
        <w:tc>
          <w:tcPr>
            <w:tcW w:w="1279" w:type="dxa"/>
            <w:gridSpan w:val="2"/>
            <w:tcMar>
              <w:left w:w="28" w:type="dxa"/>
              <w:right w:w="28" w:type="dxa"/>
            </w:tcMar>
          </w:tcPr>
          <w:p w14:paraId="45068E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0,025</w:t>
            </w:r>
          </w:p>
        </w:tc>
        <w:tc>
          <w:tcPr>
            <w:tcW w:w="1278" w:type="dxa"/>
            <w:gridSpan w:val="2"/>
            <w:tcMar>
              <w:left w:w="28" w:type="dxa"/>
              <w:right w:w="28" w:type="dxa"/>
            </w:tcMar>
          </w:tcPr>
          <w:p w14:paraId="2794BCA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101646C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41A73B81"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7A2A89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629A14F"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61E3D59"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6262FB6" w14:textId="77777777" w:rsidTr="003524E3">
        <w:trPr>
          <w:gridBefore w:val="1"/>
          <w:wBefore w:w="12" w:type="dxa"/>
          <w:cantSplit/>
          <w:tblHeader/>
          <w:jc w:val="center"/>
        </w:trPr>
        <w:tc>
          <w:tcPr>
            <w:tcW w:w="651" w:type="dxa"/>
            <w:gridSpan w:val="3"/>
            <w:tcMar>
              <w:left w:w="28" w:type="dxa"/>
              <w:right w:w="28" w:type="dxa"/>
            </w:tcMar>
          </w:tcPr>
          <w:p w14:paraId="3B247728"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0FC0A1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para-para-DDT</w:t>
            </w:r>
          </w:p>
        </w:tc>
        <w:tc>
          <w:tcPr>
            <w:tcW w:w="1329" w:type="dxa"/>
            <w:gridSpan w:val="3"/>
            <w:tcMar>
              <w:left w:w="28" w:type="dxa"/>
              <w:right w:w="28" w:type="dxa"/>
            </w:tcMar>
          </w:tcPr>
          <w:p w14:paraId="601B8538"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1AD29B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50-29-3</w:t>
            </w:r>
          </w:p>
        </w:tc>
        <w:tc>
          <w:tcPr>
            <w:tcW w:w="1134" w:type="dxa"/>
          </w:tcPr>
          <w:p w14:paraId="1C9206C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200-024-3</w:t>
            </w:r>
          </w:p>
        </w:tc>
        <w:tc>
          <w:tcPr>
            <w:tcW w:w="1279" w:type="dxa"/>
            <w:gridSpan w:val="2"/>
            <w:tcMar>
              <w:left w:w="28" w:type="dxa"/>
              <w:right w:w="28" w:type="dxa"/>
            </w:tcMar>
          </w:tcPr>
          <w:p w14:paraId="291AD2B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9" w:type="dxa"/>
            <w:gridSpan w:val="2"/>
            <w:tcMar>
              <w:left w:w="28" w:type="dxa"/>
              <w:right w:w="28" w:type="dxa"/>
            </w:tcMar>
          </w:tcPr>
          <w:p w14:paraId="051288D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8" w:type="dxa"/>
            <w:gridSpan w:val="2"/>
            <w:tcMar>
              <w:left w:w="28" w:type="dxa"/>
              <w:right w:w="28" w:type="dxa"/>
            </w:tcMar>
          </w:tcPr>
          <w:p w14:paraId="3317F86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39A10A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7210C8EC"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8F8FEBF" w14:textId="77777777" w:rsidR="003524E3" w:rsidRPr="003B6CF7" w:rsidDel="004E5B33"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5351A659"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7E6790AD"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17170A2A" w14:textId="77777777" w:rsidTr="003524E3">
        <w:trPr>
          <w:gridBefore w:val="1"/>
          <w:wBefore w:w="12" w:type="dxa"/>
          <w:cantSplit/>
          <w:tblHeader/>
          <w:jc w:val="center"/>
        </w:trPr>
        <w:tc>
          <w:tcPr>
            <w:tcW w:w="651" w:type="dxa"/>
            <w:gridSpan w:val="3"/>
            <w:tcMar>
              <w:left w:w="28" w:type="dxa"/>
              <w:right w:w="28" w:type="dxa"/>
            </w:tcMar>
          </w:tcPr>
          <w:p w14:paraId="6201447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(10)</w:t>
            </w:r>
          </w:p>
        </w:tc>
        <w:tc>
          <w:tcPr>
            <w:tcW w:w="2286" w:type="dxa"/>
            <w:gridSpan w:val="3"/>
            <w:tcMar>
              <w:left w:w="28" w:type="dxa"/>
              <w:right w:w="28" w:type="dxa"/>
            </w:tcMar>
          </w:tcPr>
          <w:p w14:paraId="65AD546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1,2-dikloretan</w:t>
            </w:r>
          </w:p>
        </w:tc>
        <w:tc>
          <w:tcPr>
            <w:tcW w:w="1329" w:type="dxa"/>
            <w:gridSpan w:val="3"/>
            <w:tcMar>
              <w:left w:w="28" w:type="dxa"/>
              <w:right w:w="28" w:type="dxa"/>
            </w:tcMar>
          </w:tcPr>
          <w:p w14:paraId="458C3AA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2FB2F1D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107-06-2</w:t>
            </w:r>
          </w:p>
        </w:tc>
        <w:tc>
          <w:tcPr>
            <w:tcW w:w="1134" w:type="dxa"/>
          </w:tcPr>
          <w:p w14:paraId="7EF458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203-458-1</w:t>
            </w:r>
          </w:p>
        </w:tc>
        <w:tc>
          <w:tcPr>
            <w:tcW w:w="1279" w:type="dxa"/>
            <w:gridSpan w:val="2"/>
            <w:tcMar>
              <w:left w:w="28" w:type="dxa"/>
              <w:right w:w="28" w:type="dxa"/>
            </w:tcMar>
          </w:tcPr>
          <w:p w14:paraId="7EE335E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10 </w:t>
            </w:r>
          </w:p>
        </w:tc>
        <w:tc>
          <w:tcPr>
            <w:tcW w:w="1279" w:type="dxa"/>
            <w:gridSpan w:val="2"/>
            <w:tcMar>
              <w:left w:w="28" w:type="dxa"/>
              <w:right w:w="28" w:type="dxa"/>
            </w:tcMar>
          </w:tcPr>
          <w:p w14:paraId="6D98B65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10 </w:t>
            </w:r>
          </w:p>
        </w:tc>
        <w:tc>
          <w:tcPr>
            <w:tcW w:w="1278" w:type="dxa"/>
            <w:gridSpan w:val="2"/>
            <w:tcMar>
              <w:left w:w="28" w:type="dxa"/>
              <w:right w:w="28" w:type="dxa"/>
            </w:tcMar>
          </w:tcPr>
          <w:p w14:paraId="1697069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3AE475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696EDF4F"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D79D5D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260E0B93"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3DED827"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592833D9" w14:textId="77777777" w:rsidTr="003524E3">
        <w:trPr>
          <w:gridBefore w:val="1"/>
          <w:wBefore w:w="12" w:type="dxa"/>
          <w:cantSplit/>
          <w:tblHeader/>
          <w:jc w:val="center"/>
        </w:trPr>
        <w:tc>
          <w:tcPr>
            <w:tcW w:w="651" w:type="dxa"/>
            <w:gridSpan w:val="3"/>
            <w:tcMar>
              <w:left w:w="28" w:type="dxa"/>
              <w:right w:w="28" w:type="dxa"/>
            </w:tcMar>
          </w:tcPr>
          <w:p w14:paraId="69EDB75C"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(11)</w:t>
            </w:r>
          </w:p>
        </w:tc>
        <w:tc>
          <w:tcPr>
            <w:tcW w:w="2286" w:type="dxa"/>
            <w:gridSpan w:val="3"/>
            <w:tcMar>
              <w:left w:w="28" w:type="dxa"/>
              <w:right w:w="28" w:type="dxa"/>
            </w:tcMar>
          </w:tcPr>
          <w:p w14:paraId="5FA036E9"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Diklormetan</w:t>
            </w:r>
          </w:p>
        </w:tc>
        <w:tc>
          <w:tcPr>
            <w:tcW w:w="1329" w:type="dxa"/>
            <w:gridSpan w:val="3"/>
            <w:tcMar>
              <w:left w:w="28" w:type="dxa"/>
              <w:right w:w="28" w:type="dxa"/>
            </w:tcMar>
          </w:tcPr>
          <w:p w14:paraId="2067777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3C5EDC8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75-09-2</w:t>
            </w:r>
          </w:p>
        </w:tc>
        <w:tc>
          <w:tcPr>
            <w:tcW w:w="1134" w:type="dxa"/>
          </w:tcPr>
          <w:p w14:paraId="1E3E3D9F"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200-838-9</w:t>
            </w:r>
          </w:p>
        </w:tc>
        <w:tc>
          <w:tcPr>
            <w:tcW w:w="1279" w:type="dxa"/>
            <w:gridSpan w:val="2"/>
            <w:tcMar>
              <w:left w:w="28" w:type="dxa"/>
              <w:right w:w="28" w:type="dxa"/>
            </w:tcMar>
          </w:tcPr>
          <w:p w14:paraId="54CEC0C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w:t>
            </w:r>
          </w:p>
        </w:tc>
        <w:tc>
          <w:tcPr>
            <w:tcW w:w="1279" w:type="dxa"/>
            <w:gridSpan w:val="2"/>
            <w:tcMar>
              <w:left w:w="28" w:type="dxa"/>
              <w:right w:w="28" w:type="dxa"/>
            </w:tcMar>
          </w:tcPr>
          <w:p w14:paraId="1AC72941"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w:t>
            </w:r>
          </w:p>
        </w:tc>
        <w:tc>
          <w:tcPr>
            <w:tcW w:w="1278" w:type="dxa"/>
            <w:gridSpan w:val="2"/>
            <w:tcMar>
              <w:left w:w="28" w:type="dxa"/>
              <w:right w:w="28" w:type="dxa"/>
            </w:tcMar>
          </w:tcPr>
          <w:p w14:paraId="65865F9A"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6F0E919A"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1CF4A80D" w14:textId="77777777" w:rsidR="003524E3" w:rsidRPr="003B6CF7" w:rsidRDefault="003524E3" w:rsidP="003524E3">
            <w:pPr>
              <w:keepNext/>
              <w:widowControl/>
              <w:spacing w:before="40" w:after="40"/>
              <w:rPr>
                <w:rFonts w:eastAsia="Calibri"/>
                <w:noProof/>
                <w:sz w:val="22"/>
                <w:szCs w:val="22"/>
                <w:lang w:eastAsia="en-US"/>
              </w:rPr>
            </w:pPr>
          </w:p>
        </w:tc>
        <w:tc>
          <w:tcPr>
            <w:tcW w:w="1262" w:type="dxa"/>
            <w:tcMar>
              <w:left w:w="28" w:type="dxa"/>
              <w:right w:w="28" w:type="dxa"/>
            </w:tcMar>
          </w:tcPr>
          <w:p w14:paraId="70DFABCC" w14:textId="77777777" w:rsidR="003524E3" w:rsidRPr="003B6CF7" w:rsidRDefault="003524E3" w:rsidP="003524E3">
            <w:pPr>
              <w:keepNext/>
              <w:widowControl/>
              <w:spacing w:before="40" w:after="40"/>
              <w:rPr>
                <w:rFonts w:eastAsia="Calibri"/>
                <w:noProof/>
                <w:sz w:val="22"/>
                <w:szCs w:val="22"/>
                <w:lang w:eastAsia="en-US"/>
              </w:rPr>
            </w:pPr>
          </w:p>
        </w:tc>
        <w:tc>
          <w:tcPr>
            <w:tcW w:w="1153" w:type="dxa"/>
            <w:gridSpan w:val="2"/>
            <w:tcMar>
              <w:left w:w="28" w:type="dxa"/>
              <w:right w:w="28" w:type="dxa"/>
            </w:tcMar>
          </w:tcPr>
          <w:p w14:paraId="4FCEB056" w14:textId="77777777" w:rsidR="003524E3" w:rsidRPr="003B6CF7" w:rsidRDefault="003524E3" w:rsidP="003524E3">
            <w:pPr>
              <w:keepNext/>
              <w:widowControl/>
              <w:spacing w:before="40" w:after="40"/>
              <w:rPr>
                <w:rFonts w:eastAsia="Calibri"/>
                <w:noProof/>
                <w:sz w:val="22"/>
                <w:szCs w:val="22"/>
                <w:lang w:eastAsia="en-US"/>
              </w:rPr>
            </w:pPr>
          </w:p>
        </w:tc>
        <w:tc>
          <w:tcPr>
            <w:tcW w:w="970" w:type="dxa"/>
            <w:tcMar>
              <w:left w:w="28" w:type="dxa"/>
              <w:right w:w="28" w:type="dxa"/>
            </w:tcMar>
          </w:tcPr>
          <w:p w14:paraId="474FBD91" w14:textId="77777777" w:rsidR="003524E3" w:rsidRPr="003B6CF7" w:rsidRDefault="003524E3" w:rsidP="003524E3">
            <w:pPr>
              <w:keepNext/>
              <w:widowControl/>
              <w:spacing w:before="40" w:after="40"/>
              <w:rPr>
                <w:rFonts w:eastAsia="Calibri"/>
                <w:noProof/>
                <w:sz w:val="22"/>
                <w:szCs w:val="22"/>
                <w:lang w:eastAsia="en-US"/>
              </w:rPr>
            </w:pPr>
          </w:p>
        </w:tc>
      </w:tr>
      <w:tr w:rsidR="003524E3" w:rsidRPr="003B6CF7" w14:paraId="66F44784" w14:textId="77777777" w:rsidTr="003524E3">
        <w:trPr>
          <w:gridBefore w:val="1"/>
          <w:wBefore w:w="12" w:type="dxa"/>
          <w:cantSplit/>
          <w:tblHeader/>
          <w:jc w:val="center"/>
        </w:trPr>
        <w:tc>
          <w:tcPr>
            <w:tcW w:w="651" w:type="dxa"/>
            <w:gridSpan w:val="3"/>
            <w:tcMar>
              <w:left w:w="28" w:type="dxa"/>
              <w:right w:w="28" w:type="dxa"/>
            </w:tcMar>
          </w:tcPr>
          <w:p w14:paraId="7659F34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(12)</w:t>
            </w:r>
          </w:p>
        </w:tc>
        <w:tc>
          <w:tcPr>
            <w:tcW w:w="2286" w:type="dxa"/>
            <w:gridSpan w:val="3"/>
            <w:tcMar>
              <w:left w:w="28" w:type="dxa"/>
              <w:right w:w="28" w:type="dxa"/>
            </w:tcMar>
          </w:tcPr>
          <w:p w14:paraId="73D7F19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Di(2-etylhexyl)ftalat (DEHP)</w:t>
            </w:r>
          </w:p>
        </w:tc>
        <w:tc>
          <w:tcPr>
            <w:tcW w:w="1329" w:type="dxa"/>
            <w:gridSpan w:val="3"/>
            <w:tcMar>
              <w:left w:w="28" w:type="dxa"/>
              <w:right w:w="28" w:type="dxa"/>
            </w:tcMar>
          </w:tcPr>
          <w:p w14:paraId="3E5D25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16621CF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117-81-7</w:t>
            </w:r>
          </w:p>
        </w:tc>
        <w:tc>
          <w:tcPr>
            <w:tcW w:w="1134" w:type="dxa"/>
          </w:tcPr>
          <w:p w14:paraId="4CFD012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204-211-0</w:t>
            </w:r>
          </w:p>
        </w:tc>
        <w:tc>
          <w:tcPr>
            <w:tcW w:w="1279" w:type="dxa"/>
            <w:gridSpan w:val="2"/>
            <w:tcMar>
              <w:left w:w="28" w:type="dxa"/>
              <w:right w:w="28" w:type="dxa"/>
            </w:tcMar>
          </w:tcPr>
          <w:p w14:paraId="2121E01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w:t>
            </w:r>
          </w:p>
        </w:tc>
        <w:tc>
          <w:tcPr>
            <w:tcW w:w="1279" w:type="dxa"/>
            <w:gridSpan w:val="2"/>
            <w:tcMar>
              <w:left w:w="28" w:type="dxa"/>
              <w:right w:w="28" w:type="dxa"/>
            </w:tcMar>
          </w:tcPr>
          <w:p w14:paraId="2B9F22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w:t>
            </w:r>
          </w:p>
        </w:tc>
        <w:tc>
          <w:tcPr>
            <w:tcW w:w="1278" w:type="dxa"/>
            <w:gridSpan w:val="2"/>
            <w:tcMar>
              <w:left w:w="28" w:type="dxa"/>
              <w:right w:w="28" w:type="dxa"/>
            </w:tcMar>
          </w:tcPr>
          <w:p w14:paraId="12F5DF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7D9AF7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3D1DB85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3835B68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7FA71E9E"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94E969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B38BAB4" w14:textId="77777777" w:rsidTr="003524E3">
        <w:trPr>
          <w:gridBefore w:val="1"/>
          <w:wBefore w:w="12" w:type="dxa"/>
          <w:cantSplit/>
          <w:tblHeader/>
          <w:jc w:val="center"/>
        </w:trPr>
        <w:tc>
          <w:tcPr>
            <w:tcW w:w="651" w:type="dxa"/>
            <w:gridSpan w:val="3"/>
            <w:tcMar>
              <w:left w:w="28" w:type="dxa"/>
              <w:right w:w="28" w:type="dxa"/>
            </w:tcMar>
          </w:tcPr>
          <w:p w14:paraId="44688E4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(13)</w:t>
            </w:r>
          </w:p>
        </w:tc>
        <w:tc>
          <w:tcPr>
            <w:tcW w:w="2286" w:type="dxa"/>
            <w:gridSpan w:val="3"/>
            <w:tcMar>
              <w:left w:w="28" w:type="dxa"/>
              <w:right w:w="28" w:type="dxa"/>
            </w:tcMar>
          </w:tcPr>
          <w:p w14:paraId="7A275F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Diuron</w:t>
            </w:r>
          </w:p>
        </w:tc>
        <w:tc>
          <w:tcPr>
            <w:tcW w:w="1329" w:type="dxa"/>
            <w:gridSpan w:val="3"/>
            <w:tcMar>
              <w:left w:w="28" w:type="dxa"/>
              <w:right w:w="28" w:type="dxa"/>
            </w:tcMar>
          </w:tcPr>
          <w:p w14:paraId="538BBC6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32C6FE3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330-54-1</w:t>
            </w:r>
          </w:p>
        </w:tc>
        <w:tc>
          <w:tcPr>
            <w:tcW w:w="1134" w:type="dxa"/>
          </w:tcPr>
          <w:p w14:paraId="1712DB5F"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206-354-4</w:t>
            </w:r>
          </w:p>
        </w:tc>
        <w:tc>
          <w:tcPr>
            <w:tcW w:w="1279" w:type="dxa"/>
            <w:gridSpan w:val="2"/>
            <w:tcMar>
              <w:left w:w="28" w:type="dxa"/>
              <w:right w:w="28" w:type="dxa"/>
            </w:tcMar>
          </w:tcPr>
          <w:p w14:paraId="4976941E"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0,049</w:t>
            </w:r>
          </w:p>
        </w:tc>
        <w:tc>
          <w:tcPr>
            <w:tcW w:w="1279" w:type="dxa"/>
            <w:gridSpan w:val="2"/>
            <w:tcMar>
              <w:left w:w="28" w:type="dxa"/>
              <w:right w:w="28" w:type="dxa"/>
            </w:tcMar>
          </w:tcPr>
          <w:p w14:paraId="651D1D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0,0049</w:t>
            </w:r>
          </w:p>
        </w:tc>
        <w:tc>
          <w:tcPr>
            <w:tcW w:w="1278" w:type="dxa"/>
            <w:gridSpan w:val="2"/>
            <w:tcMar>
              <w:left w:w="28" w:type="dxa"/>
              <w:right w:w="28" w:type="dxa"/>
            </w:tcMar>
          </w:tcPr>
          <w:p w14:paraId="28F2AFB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0,27</w:t>
            </w:r>
          </w:p>
        </w:tc>
        <w:tc>
          <w:tcPr>
            <w:tcW w:w="1277" w:type="dxa"/>
            <w:gridSpan w:val="2"/>
            <w:tcMar>
              <w:left w:w="28" w:type="dxa"/>
              <w:right w:w="28" w:type="dxa"/>
            </w:tcMar>
          </w:tcPr>
          <w:p w14:paraId="014AB7B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0,054</w:t>
            </w:r>
          </w:p>
        </w:tc>
        <w:tc>
          <w:tcPr>
            <w:tcW w:w="1136" w:type="dxa"/>
            <w:gridSpan w:val="2"/>
            <w:tcMar>
              <w:left w:w="28" w:type="dxa"/>
              <w:right w:w="28" w:type="dxa"/>
            </w:tcMar>
          </w:tcPr>
          <w:p w14:paraId="2A77044F"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32ED04D9"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49DFB603"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265663A0"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460175E" w14:textId="77777777" w:rsidTr="003524E3">
        <w:trPr>
          <w:gridBefore w:val="1"/>
          <w:wBefore w:w="12" w:type="dxa"/>
          <w:cantSplit/>
          <w:tblHeader/>
          <w:jc w:val="center"/>
        </w:trPr>
        <w:tc>
          <w:tcPr>
            <w:tcW w:w="651" w:type="dxa"/>
            <w:gridSpan w:val="3"/>
            <w:tcMar>
              <w:left w:w="28" w:type="dxa"/>
              <w:right w:w="28" w:type="dxa"/>
            </w:tcMar>
          </w:tcPr>
          <w:p w14:paraId="2A5F7378"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(14)</w:t>
            </w:r>
          </w:p>
        </w:tc>
        <w:tc>
          <w:tcPr>
            <w:tcW w:w="2286" w:type="dxa"/>
            <w:gridSpan w:val="3"/>
            <w:tcMar>
              <w:left w:w="28" w:type="dxa"/>
              <w:right w:w="28" w:type="dxa"/>
            </w:tcMar>
          </w:tcPr>
          <w:p w14:paraId="2ADD818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Endosulfan</w:t>
            </w:r>
          </w:p>
        </w:tc>
        <w:tc>
          <w:tcPr>
            <w:tcW w:w="1329" w:type="dxa"/>
            <w:gridSpan w:val="3"/>
            <w:tcMar>
              <w:left w:w="28" w:type="dxa"/>
              <w:right w:w="28" w:type="dxa"/>
            </w:tcMar>
          </w:tcPr>
          <w:p w14:paraId="0EBF2E6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5764D44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115-29-7</w:t>
            </w:r>
          </w:p>
        </w:tc>
        <w:tc>
          <w:tcPr>
            <w:tcW w:w="1134" w:type="dxa"/>
          </w:tcPr>
          <w:p w14:paraId="523088F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204-079-4</w:t>
            </w:r>
          </w:p>
        </w:tc>
        <w:tc>
          <w:tcPr>
            <w:tcW w:w="1279" w:type="dxa"/>
            <w:gridSpan w:val="2"/>
            <w:tcMar>
              <w:left w:w="28" w:type="dxa"/>
              <w:right w:w="28" w:type="dxa"/>
            </w:tcMar>
          </w:tcPr>
          <w:p w14:paraId="2B03A8D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0,005</w:t>
            </w:r>
          </w:p>
        </w:tc>
        <w:tc>
          <w:tcPr>
            <w:tcW w:w="1279" w:type="dxa"/>
            <w:gridSpan w:val="2"/>
            <w:tcMar>
              <w:left w:w="28" w:type="dxa"/>
              <w:right w:w="28" w:type="dxa"/>
            </w:tcMar>
          </w:tcPr>
          <w:p w14:paraId="4671785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0,0005</w:t>
            </w:r>
          </w:p>
        </w:tc>
        <w:tc>
          <w:tcPr>
            <w:tcW w:w="1278" w:type="dxa"/>
            <w:gridSpan w:val="2"/>
            <w:tcMar>
              <w:left w:w="28" w:type="dxa"/>
              <w:right w:w="28" w:type="dxa"/>
            </w:tcMar>
          </w:tcPr>
          <w:p w14:paraId="0A2307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7" w:type="dxa"/>
            <w:gridSpan w:val="2"/>
            <w:tcMar>
              <w:left w:w="28" w:type="dxa"/>
              <w:right w:w="28" w:type="dxa"/>
            </w:tcMar>
          </w:tcPr>
          <w:p w14:paraId="7CE8C41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0,004</w:t>
            </w:r>
          </w:p>
        </w:tc>
        <w:tc>
          <w:tcPr>
            <w:tcW w:w="1136" w:type="dxa"/>
            <w:gridSpan w:val="2"/>
            <w:tcMar>
              <w:left w:w="28" w:type="dxa"/>
              <w:right w:w="28" w:type="dxa"/>
            </w:tcMar>
          </w:tcPr>
          <w:p w14:paraId="08B88CD1"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AFEE03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0EEC002A"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ECEF37F"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40BC3341" w14:textId="77777777" w:rsidTr="003524E3">
        <w:trPr>
          <w:gridBefore w:val="1"/>
          <w:wBefore w:w="12" w:type="dxa"/>
          <w:cantSplit/>
          <w:tblHeader/>
          <w:jc w:val="center"/>
        </w:trPr>
        <w:tc>
          <w:tcPr>
            <w:tcW w:w="651" w:type="dxa"/>
            <w:gridSpan w:val="3"/>
            <w:tcMar>
              <w:left w:w="28" w:type="dxa"/>
              <w:right w:w="28" w:type="dxa"/>
            </w:tcMar>
          </w:tcPr>
          <w:p w14:paraId="656D4EE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(15)</w:t>
            </w:r>
          </w:p>
        </w:tc>
        <w:tc>
          <w:tcPr>
            <w:tcW w:w="2286" w:type="dxa"/>
            <w:gridSpan w:val="3"/>
            <w:tcMar>
              <w:left w:w="28" w:type="dxa"/>
              <w:right w:w="28" w:type="dxa"/>
            </w:tcMar>
          </w:tcPr>
          <w:p w14:paraId="2D7816D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Fluoranten</w:t>
            </w:r>
          </w:p>
        </w:tc>
        <w:tc>
          <w:tcPr>
            <w:tcW w:w="1329" w:type="dxa"/>
            <w:gridSpan w:val="3"/>
            <w:tcMar>
              <w:left w:w="28" w:type="dxa"/>
              <w:right w:w="28" w:type="dxa"/>
            </w:tcMar>
          </w:tcPr>
          <w:p w14:paraId="7311B8D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Industriella ämnen </w:t>
            </w:r>
          </w:p>
        </w:tc>
        <w:tc>
          <w:tcPr>
            <w:tcW w:w="992" w:type="dxa"/>
            <w:gridSpan w:val="2"/>
            <w:tcMar>
              <w:left w:w="28" w:type="dxa"/>
              <w:right w:w="28" w:type="dxa"/>
            </w:tcMar>
          </w:tcPr>
          <w:p w14:paraId="09ECA51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206-44-0</w:t>
            </w:r>
          </w:p>
        </w:tc>
        <w:tc>
          <w:tcPr>
            <w:tcW w:w="1134" w:type="dxa"/>
          </w:tcPr>
          <w:p w14:paraId="5686116F"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205-912-4</w:t>
            </w:r>
          </w:p>
        </w:tc>
        <w:tc>
          <w:tcPr>
            <w:tcW w:w="1279" w:type="dxa"/>
            <w:gridSpan w:val="2"/>
            <w:tcMar>
              <w:left w:w="28" w:type="dxa"/>
              <w:right w:w="28" w:type="dxa"/>
            </w:tcMar>
          </w:tcPr>
          <w:p w14:paraId="7057C4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7,62 × 10</w:t>
            </w:r>
            <w:r w:rsidRPr="003B6CF7">
              <w:rPr>
                <w:rFonts w:eastAsia="Calibri"/>
                <w:noProof/>
                <w:sz w:val="22"/>
                <w:szCs w:val="22"/>
                <w:vertAlign w:val="superscript"/>
                <w:lang w:eastAsia="en-US"/>
              </w:rPr>
              <w:t>-4</w:t>
            </w:r>
          </w:p>
        </w:tc>
        <w:tc>
          <w:tcPr>
            <w:tcW w:w="1279" w:type="dxa"/>
            <w:gridSpan w:val="2"/>
            <w:tcMar>
              <w:left w:w="28" w:type="dxa"/>
              <w:right w:w="28" w:type="dxa"/>
            </w:tcMar>
          </w:tcPr>
          <w:p w14:paraId="7214F2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7,62 × 10</w:t>
            </w:r>
            <w:r w:rsidRPr="003B6CF7">
              <w:rPr>
                <w:rFonts w:eastAsia="Calibri"/>
                <w:noProof/>
                <w:sz w:val="22"/>
                <w:szCs w:val="22"/>
                <w:vertAlign w:val="superscript"/>
                <w:lang w:eastAsia="en-US"/>
              </w:rPr>
              <w:t>-4</w:t>
            </w:r>
          </w:p>
        </w:tc>
        <w:tc>
          <w:tcPr>
            <w:tcW w:w="1278" w:type="dxa"/>
            <w:gridSpan w:val="2"/>
            <w:tcMar>
              <w:left w:w="28" w:type="dxa"/>
              <w:right w:w="28" w:type="dxa"/>
            </w:tcMar>
          </w:tcPr>
          <w:p w14:paraId="28BA873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0,12</w:t>
            </w:r>
          </w:p>
        </w:tc>
        <w:tc>
          <w:tcPr>
            <w:tcW w:w="1277" w:type="dxa"/>
            <w:gridSpan w:val="2"/>
            <w:tcMar>
              <w:left w:w="28" w:type="dxa"/>
              <w:right w:w="28" w:type="dxa"/>
            </w:tcMar>
          </w:tcPr>
          <w:p w14:paraId="16E2F2F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0,012</w:t>
            </w:r>
          </w:p>
        </w:tc>
        <w:tc>
          <w:tcPr>
            <w:tcW w:w="1136" w:type="dxa"/>
            <w:gridSpan w:val="2"/>
            <w:tcMar>
              <w:left w:w="28" w:type="dxa"/>
              <w:right w:w="28" w:type="dxa"/>
            </w:tcMar>
          </w:tcPr>
          <w:p w14:paraId="1B8FFCB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6,1</w:t>
            </w:r>
          </w:p>
        </w:tc>
        <w:tc>
          <w:tcPr>
            <w:tcW w:w="1262" w:type="dxa"/>
            <w:tcMar>
              <w:left w:w="28" w:type="dxa"/>
              <w:right w:w="28" w:type="dxa"/>
            </w:tcMar>
          </w:tcPr>
          <w:p w14:paraId="7DDE0204"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9004CF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2B96515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0A6CDA3E" w14:textId="77777777" w:rsidTr="003524E3">
        <w:trPr>
          <w:gridBefore w:val="1"/>
          <w:wBefore w:w="12" w:type="dxa"/>
          <w:cantSplit/>
          <w:tblHeader/>
          <w:jc w:val="center"/>
        </w:trPr>
        <w:tc>
          <w:tcPr>
            <w:tcW w:w="651" w:type="dxa"/>
            <w:gridSpan w:val="3"/>
            <w:tcMar>
              <w:left w:w="28" w:type="dxa"/>
              <w:right w:w="28" w:type="dxa"/>
            </w:tcMar>
          </w:tcPr>
          <w:p w14:paraId="0F070F9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(16)</w:t>
            </w:r>
          </w:p>
        </w:tc>
        <w:tc>
          <w:tcPr>
            <w:tcW w:w="2286" w:type="dxa"/>
            <w:gridSpan w:val="3"/>
            <w:tcMar>
              <w:left w:w="28" w:type="dxa"/>
              <w:right w:w="28" w:type="dxa"/>
            </w:tcMar>
          </w:tcPr>
          <w:p w14:paraId="1CEEF36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Hexaklorbensen</w:t>
            </w:r>
          </w:p>
        </w:tc>
        <w:tc>
          <w:tcPr>
            <w:tcW w:w="1329" w:type="dxa"/>
            <w:gridSpan w:val="3"/>
            <w:tcMar>
              <w:left w:w="28" w:type="dxa"/>
              <w:right w:w="28" w:type="dxa"/>
            </w:tcMar>
          </w:tcPr>
          <w:p w14:paraId="15FD33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2DB16BB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118-74-1</w:t>
            </w:r>
          </w:p>
        </w:tc>
        <w:tc>
          <w:tcPr>
            <w:tcW w:w="1134" w:type="dxa"/>
          </w:tcPr>
          <w:p w14:paraId="0A7E445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204-273-9</w:t>
            </w:r>
          </w:p>
        </w:tc>
        <w:tc>
          <w:tcPr>
            <w:tcW w:w="1279" w:type="dxa"/>
            <w:gridSpan w:val="2"/>
            <w:tcMar>
              <w:left w:w="28" w:type="dxa"/>
              <w:right w:w="28" w:type="dxa"/>
            </w:tcMar>
          </w:tcPr>
          <w:p w14:paraId="291096EC"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tcMar>
              <w:left w:w="28" w:type="dxa"/>
              <w:right w:w="28" w:type="dxa"/>
            </w:tcMar>
          </w:tcPr>
          <w:p w14:paraId="7C7AA2FD"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07CBBA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w:t>
            </w:r>
          </w:p>
        </w:tc>
        <w:tc>
          <w:tcPr>
            <w:tcW w:w="1277" w:type="dxa"/>
            <w:gridSpan w:val="2"/>
            <w:tcMar>
              <w:left w:w="28" w:type="dxa"/>
              <w:right w:w="28" w:type="dxa"/>
            </w:tcMar>
          </w:tcPr>
          <w:p w14:paraId="2DB10F8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w:t>
            </w:r>
          </w:p>
        </w:tc>
        <w:tc>
          <w:tcPr>
            <w:tcW w:w="1136" w:type="dxa"/>
            <w:gridSpan w:val="2"/>
            <w:tcMar>
              <w:left w:w="28" w:type="dxa"/>
              <w:right w:w="28" w:type="dxa"/>
            </w:tcMar>
          </w:tcPr>
          <w:p w14:paraId="7CAEACE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w:t>
            </w:r>
          </w:p>
        </w:tc>
        <w:tc>
          <w:tcPr>
            <w:tcW w:w="1262" w:type="dxa"/>
            <w:tcMar>
              <w:left w:w="28" w:type="dxa"/>
              <w:right w:w="28" w:type="dxa"/>
            </w:tcMar>
          </w:tcPr>
          <w:p w14:paraId="542CE0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58BFD1C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1DF9BE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78FB853C" w14:textId="77777777" w:rsidTr="003524E3">
        <w:trPr>
          <w:gridBefore w:val="1"/>
          <w:wBefore w:w="12" w:type="dxa"/>
          <w:cantSplit/>
          <w:tblHeader/>
          <w:jc w:val="center"/>
        </w:trPr>
        <w:tc>
          <w:tcPr>
            <w:tcW w:w="651" w:type="dxa"/>
            <w:gridSpan w:val="3"/>
            <w:tcMar>
              <w:left w:w="28" w:type="dxa"/>
              <w:right w:w="28" w:type="dxa"/>
            </w:tcMar>
          </w:tcPr>
          <w:p w14:paraId="0CFD3087"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(17)</w:t>
            </w:r>
          </w:p>
        </w:tc>
        <w:tc>
          <w:tcPr>
            <w:tcW w:w="2286" w:type="dxa"/>
            <w:gridSpan w:val="3"/>
            <w:tcMar>
              <w:left w:w="28" w:type="dxa"/>
              <w:right w:w="28" w:type="dxa"/>
            </w:tcMar>
          </w:tcPr>
          <w:p w14:paraId="683B60C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Hexaklorbutadien</w:t>
            </w:r>
          </w:p>
        </w:tc>
        <w:tc>
          <w:tcPr>
            <w:tcW w:w="1329" w:type="dxa"/>
            <w:gridSpan w:val="3"/>
            <w:tcMar>
              <w:left w:w="28" w:type="dxa"/>
              <w:right w:w="28" w:type="dxa"/>
            </w:tcMar>
          </w:tcPr>
          <w:p w14:paraId="48FC22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 (lösningsmedel)</w:t>
            </w:r>
          </w:p>
        </w:tc>
        <w:tc>
          <w:tcPr>
            <w:tcW w:w="992" w:type="dxa"/>
            <w:gridSpan w:val="2"/>
            <w:tcMar>
              <w:left w:w="28" w:type="dxa"/>
              <w:right w:w="28" w:type="dxa"/>
            </w:tcMar>
          </w:tcPr>
          <w:p w14:paraId="0BB55D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87-68-3</w:t>
            </w:r>
          </w:p>
        </w:tc>
        <w:tc>
          <w:tcPr>
            <w:tcW w:w="1134" w:type="dxa"/>
          </w:tcPr>
          <w:p w14:paraId="47BE624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201-765-5</w:t>
            </w:r>
          </w:p>
        </w:tc>
        <w:tc>
          <w:tcPr>
            <w:tcW w:w="1279" w:type="dxa"/>
            <w:gridSpan w:val="2"/>
            <w:tcMar>
              <w:left w:w="28" w:type="dxa"/>
              <w:right w:w="28" w:type="dxa"/>
            </w:tcMar>
          </w:tcPr>
          <w:p w14:paraId="6DCD395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 × 10</w:t>
            </w:r>
            <w:r w:rsidRPr="003B6CF7">
              <w:rPr>
                <w:rFonts w:eastAsia="Calibri"/>
                <w:noProof/>
                <w:sz w:val="22"/>
                <w:szCs w:val="22"/>
                <w:vertAlign w:val="superscript"/>
                <w:lang w:eastAsia="en-US"/>
              </w:rPr>
              <w:t>-4</w:t>
            </w:r>
          </w:p>
        </w:tc>
        <w:tc>
          <w:tcPr>
            <w:tcW w:w="1279" w:type="dxa"/>
            <w:gridSpan w:val="2"/>
            <w:tcMar>
              <w:left w:w="28" w:type="dxa"/>
              <w:right w:w="28" w:type="dxa"/>
            </w:tcMar>
          </w:tcPr>
          <w:p w14:paraId="751DF953"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19F2D7D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0,6</w:t>
            </w:r>
          </w:p>
        </w:tc>
        <w:tc>
          <w:tcPr>
            <w:tcW w:w="1277" w:type="dxa"/>
            <w:gridSpan w:val="2"/>
            <w:tcMar>
              <w:left w:w="28" w:type="dxa"/>
              <w:right w:w="28" w:type="dxa"/>
            </w:tcMar>
          </w:tcPr>
          <w:p w14:paraId="14503D1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0,6</w:t>
            </w:r>
          </w:p>
        </w:tc>
        <w:tc>
          <w:tcPr>
            <w:tcW w:w="1136" w:type="dxa"/>
            <w:gridSpan w:val="2"/>
            <w:tcMar>
              <w:left w:w="28" w:type="dxa"/>
              <w:right w:w="28" w:type="dxa"/>
            </w:tcMar>
          </w:tcPr>
          <w:p w14:paraId="65443BD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w:t>
            </w:r>
          </w:p>
        </w:tc>
        <w:tc>
          <w:tcPr>
            <w:tcW w:w="1262" w:type="dxa"/>
            <w:tcMar>
              <w:left w:w="28" w:type="dxa"/>
              <w:right w:w="28" w:type="dxa"/>
            </w:tcMar>
          </w:tcPr>
          <w:p w14:paraId="05B9D3C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4FE0CC6"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13CEA7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83CB230" w14:textId="77777777" w:rsidTr="003524E3">
        <w:trPr>
          <w:gridBefore w:val="1"/>
          <w:wBefore w:w="12" w:type="dxa"/>
          <w:cantSplit/>
          <w:tblHeader/>
          <w:jc w:val="center"/>
        </w:trPr>
        <w:tc>
          <w:tcPr>
            <w:tcW w:w="651" w:type="dxa"/>
            <w:gridSpan w:val="3"/>
            <w:tcMar>
              <w:left w:w="28" w:type="dxa"/>
              <w:right w:w="28" w:type="dxa"/>
            </w:tcMar>
          </w:tcPr>
          <w:p w14:paraId="64333CD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(18)</w:t>
            </w:r>
          </w:p>
        </w:tc>
        <w:tc>
          <w:tcPr>
            <w:tcW w:w="2286" w:type="dxa"/>
            <w:gridSpan w:val="3"/>
            <w:tcMar>
              <w:left w:w="28" w:type="dxa"/>
              <w:right w:w="28" w:type="dxa"/>
            </w:tcMar>
          </w:tcPr>
          <w:p w14:paraId="1CB2E40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Hexaklorcyklohexan</w:t>
            </w:r>
          </w:p>
        </w:tc>
        <w:tc>
          <w:tcPr>
            <w:tcW w:w="1329" w:type="dxa"/>
            <w:gridSpan w:val="3"/>
            <w:tcMar>
              <w:left w:w="28" w:type="dxa"/>
              <w:right w:w="28" w:type="dxa"/>
            </w:tcMar>
          </w:tcPr>
          <w:p w14:paraId="15E35A3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Insektsbekämpningsmedel</w:t>
            </w:r>
          </w:p>
        </w:tc>
        <w:tc>
          <w:tcPr>
            <w:tcW w:w="992" w:type="dxa"/>
            <w:gridSpan w:val="2"/>
            <w:tcMar>
              <w:left w:w="28" w:type="dxa"/>
              <w:right w:w="28" w:type="dxa"/>
            </w:tcMar>
          </w:tcPr>
          <w:p w14:paraId="4E085F6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608-73-1</w:t>
            </w:r>
          </w:p>
        </w:tc>
        <w:tc>
          <w:tcPr>
            <w:tcW w:w="1134" w:type="dxa"/>
          </w:tcPr>
          <w:p w14:paraId="324186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210-168-9</w:t>
            </w:r>
          </w:p>
        </w:tc>
        <w:tc>
          <w:tcPr>
            <w:tcW w:w="1279" w:type="dxa"/>
            <w:gridSpan w:val="2"/>
            <w:tcMar>
              <w:left w:w="28" w:type="dxa"/>
              <w:right w:w="28" w:type="dxa"/>
            </w:tcMar>
          </w:tcPr>
          <w:p w14:paraId="16D5B00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w:t>
            </w:r>
          </w:p>
        </w:tc>
        <w:tc>
          <w:tcPr>
            <w:tcW w:w="1279" w:type="dxa"/>
            <w:gridSpan w:val="2"/>
            <w:tcMar>
              <w:left w:w="28" w:type="dxa"/>
              <w:right w:w="28" w:type="dxa"/>
            </w:tcMar>
          </w:tcPr>
          <w:p w14:paraId="1ECE5CC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w:t>
            </w:r>
          </w:p>
        </w:tc>
        <w:tc>
          <w:tcPr>
            <w:tcW w:w="1278" w:type="dxa"/>
            <w:gridSpan w:val="2"/>
            <w:tcMar>
              <w:left w:w="28" w:type="dxa"/>
              <w:right w:w="28" w:type="dxa"/>
            </w:tcMar>
          </w:tcPr>
          <w:p w14:paraId="6DC9F12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0,04</w:t>
            </w:r>
          </w:p>
        </w:tc>
        <w:tc>
          <w:tcPr>
            <w:tcW w:w="1277" w:type="dxa"/>
            <w:gridSpan w:val="2"/>
            <w:tcMar>
              <w:left w:w="28" w:type="dxa"/>
              <w:right w:w="28" w:type="dxa"/>
            </w:tcMar>
          </w:tcPr>
          <w:p w14:paraId="7735E54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w:t>
            </w:r>
          </w:p>
        </w:tc>
        <w:tc>
          <w:tcPr>
            <w:tcW w:w="1136" w:type="dxa"/>
            <w:gridSpan w:val="2"/>
            <w:tcMar>
              <w:left w:w="28" w:type="dxa"/>
              <w:right w:w="28" w:type="dxa"/>
            </w:tcMar>
          </w:tcPr>
          <w:p w14:paraId="69A9829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7031AA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3D21EC3B"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970676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13EB2603" w14:textId="77777777" w:rsidTr="003524E3">
        <w:trPr>
          <w:gridBefore w:val="1"/>
          <w:wBefore w:w="12" w:type="dxa"/>
          <w:cantSplit/>
          <w:tblHeader/>
          <w:jc w:val="center"/>
        </w:trPr>
        <w:tc>
          <w:tcPr>
            <w:tcW w:w="651" w:type="dxa"/>
            <w:gridSpan w:val="3"/>
            <w:tcMar>
              <w:left w:w="28" w:type="dxa"/>
              <w:right w:w="28" w:type="dxa"/>
            </w:tcMar>
          </w:tcPr>
          <w:p w14:paraId="5B8CC35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(19)</w:t>
            </w:r>
          </w:p>
        </w:tc>
        <w:tc>
          <w:tcPr>
            <w:tcW w:w="2286" w:type="dxa"/>
            <w:gridSpan w:val="3"/>
            <w:tcMar>
              <w:left w:w="28" w:type="dxa"/>
              <w:right w:w="28" w:type="dxa"/>
            </w:tcMar>
          </w:tcPr>
          <w:p w14:paraId="422F9E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Isoproturon</w:t>
            </w:r>
          </w:p>
        </w:tc>
        <w:tc>
          <w:tcPr>
            <w:tcW w:w="1329" w:type="dxa"/>
            <w:gridSpan w:val="3"/>
            <w:tcMar>
              <w:left w:w="28" w:type="dxa"/>
              <w:right w:w="28" w:type="dxa"/>
            </w:tcMar>
          </w:tcPr>
          <w:p w14:paraId="37D3101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371C24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34123-59-6</w:t>
            </w:r>
          </w:p>
        </w:tc>
        <w:tc>
          <w:tcPr>
            <w:tcW w:w="1134" w:type="dxa"/>
          </w:tcPr>
          <w:p w14:paraId="4DA2080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251-835-4</w:t>
            </w:r>
          </w:p>
        </w:tc>
        <w:tc>
          <w:tcPr>
            <w:tcW w:w="1279" w:type="dxa"/>
            <w:gridSpan w:val="2"/>
            <w:tcMar>
              <w:left w:w="28" w:type="dxa"/>
              <w:right w:w="28" w:type="dxa"/>
            </w:tcMar>
          </w:tcPr>
          <w:p w14:paraId="5C1B0E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0,3</w:t>
            </w:r>
          </w:p>
        </w:tc>
        <w:tc>
          <w:tcPr>
            <w:tcW w:w="1279" w:type="dxa"/>
            <w:gridSpan w:val="2"/>
            <w:tcMar>
              <w:left w:w="28" w:type="dxa"/>
              <w:right w:w="28" w:type="dxa"/>
            </w:tcMar>
          </w:tcPr>
          <w:p w14:paraId="14FA893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0,3</w:t>
            </w:r>
          </w:p>
        </w:tc>
        <w:tc>
          <w:tcPr>
            <w:tcW w:w="1278" w:type="dxa"/>
            <w:gridSpan w:val="2"/>
            <w:tcMar>
              <w:left w:w="28" w:type="dxa"/>
              <w:right w:w="28" w:type="dxa"/>
            </w:tcMar>
          </w:tcPr>
          <w:p w14:paraId="6A6EF2C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7" w:type="dxa"/>
            <w:gridSpan w:val="2"/>
            <w:tcMar>
              <w:left w:w="28" w:type="dxa"/>
              <w:right w:w="28" w:type="dxa"/>
            </w:tcMar>
          </w:tcPr>
          <w:p w14:paraId="3D64701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136" w:type="dxa"/>
            <w:gridSpan w:val="2"/>
            <w:tcMar>
              <w:left w:w="28" w:type="dxa"/>
              <w:right w:w="28" w:type="dxa"/>
            </w:tcMar>
          </w:tcPr>
          <w:p w14:paraId="512C29B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649671D"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69059342"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5EF2F02"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0C1019AE" w14:textId="77777777" w:rsidTr="003524E3">
        <w:trPr>
          <w:gridBefore w:val="1"/>
          <w:wBefore w:w="12" w:type="dxa"/>
          <w:cantSplit/>
          <w:tblHeader/>
          <w:jc w:val="center"/>
        </w:trPr>
        <w:tc>
          <w:tcPr>
            <w:tcW w:w="651" w:type="dxa"/>
            <w:gridSpan w:val="3"/>
            <w:tcMar>
              <w:left w:w="28" w:type="dxa"/>
              <w:right w:w="28" w:type="dxa"/>
            </w:tcMar>
          </w:tcPr>
          <w:p w14:paraId="3F1E031A"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(20)</w:t>
            </w:r>
          </w:p>
        </w:tc>
        <w:tc>
          <w:tcPr>
            <w:tcW w:w="2286" w:type="dxa"/>
            <w:gridSpan w:val="3"/>
            <w:tcMar>
              <w:left w:w="28" w:type="dxa"/>
              <w:right w:w="28" w:type="dxa"/>
            </w:tcMar>
          </w:tcPr>
          <w:p w14:paraId="7D69D74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Bly och blyföreningar</w:t>
            </w:r>
          </w:p>
        </w:tc>
        <w:tc>
          <w:tcPr>
            <w:tcW w:w="1329" w:type="dxa"/>
            <w:gridSpan w:val="3"/>
            <w:tcMar>
              <w:left w:w="28" w:type="dxa"/>
              <w:right w:w="28" w:type="dxa"/>
            </w:tcMar>
          </w:tcPr>
          <w:p w14:paraId="6073DE8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Metaller</w:t>
            </w:r>
          </w:p>
        </w:tc>
        <w:tc>
          <w:tcPr>
            <w:tcW w:w="992" w:type="dxa"/>
            <w:gridSpan w:val="2"/>
            <w:tcMar>
              <w:left w:w="28" w:type="dxa"/>
              <w:right w:w="28" w:type="dxa"/>
            </w:tcMar>
          </w:tcPr>
          <w:p w14:paraId="582C11D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7439-92-1</w:t>
            </w:r>
          </w:p>
        </w:tc>
        <w:tc>
          <w:tcPr>
            <w:tcW w:w="1134" w:type="dxa"/>
          </w:tcPr>
          <w:p w14:paraId="2DB5658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231-100-4</w:t>
            </w:r>
          </w:p>
        </w:tc>
        <w:tc>
          <w:tcPr>
            <w:tcW w:w="1279" w:type="dxa"/>
            <w:gridSpan w:val="2"/>
            <w:tcMar>
              <w:left w:w="28" w:type="dxa"/>
              <w:right w:w="28" w:type="dxa"/>
            </w:tcMar>
          </w:tcPr>
          <w:p w14:paraId="2304F8FC" w14:textId="77777777" w:rsidR="003524E3" w:rsidRPr="003B6CF7" w:rsidRDefault="003524E3" w:rsidP="003524E3">
            <w:pPr>
              <w:widowControl/>
              <w:spacing w:before="40" w:after="40"/>
              <w:rPr>
                <w:rFonts w:eastAsia="Calibri"/>
                <w:i/>
                <w:noProof/>
                <w:sz w:val="22"/>
                <w:szCs w:val="22"/>
                <w:vertAlign w:val="superscript"/>
                <w:lang w:eastAsia="en-US"/>
              </w:rPr>
            </w:pPr>
            <w:bookmarkStart w:id="25" w:name="_DV_C331"/>
            <w:r w:rsidRPr="003B6CF7">
              <w:rPr>
                <w:rFonts w:eastAsia="Calibri"/>
                <w:noProof/>
                <w:sz w:val="22"/>
                <w:szCs w:val="22"/>
                <w:lang w:eastAsia="en-US"/>
              </w:rPr>
              <w:t xml:space="preserve">1,2 </w:t>
            </w:r>
            <w:r w:rsidRPr="003B6CF7">
              <w:rPr>
                <w:rFonts w:eastAsia="Calibri"/>
                <w:noProof/>
                <w:sz w:val="22"/>
                <w:szCs w:val="22"/>
                <w:vertAlign w:val="superscript"/>
                <w:lang w:eastAsia="en-US"/>
              </w:rPr>
              <w:t>(12)</w:t>
            </w:r>
            <w:bookmarkEnd w:id="25"/>
          </w:p>
        </w:tc>
        <w:tc>
          <w:tcPr>
            <w:tcW w:w="1279" w:type="dxa"/>
            <w:gridSpan w:val="2"/>
            <w:tcMar>
              <w:left w:w="28" w:type="dxa"/>
              <w:right w:w="28" w:type="dxa"/>
            </w:tcMar>
          </w:tcPr>
          <w:p w14:paraId="10D0A89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w:t>
            </w:r>
          </w:p>
        </w:tc>
        <w:tc>
          <w:tcPr>
            <w:tcW w:w="1278" w:type="dxa"/>
            <w:gridSpan w:val="2"/>
            <w:tcMar>
              <w:left w:w="28" w:type="dxa"/>
              <w:right w:w="28" w:type="dxa"/>
            </w:tcMar>
          </w:tcPr>
          <w:p w14:paraId="2FDFDEC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14</w:t>
            </w:r>
          </w:p>
        </w:tc>
        <w:tc>
          <w:tcPr>
            <w:tcW w:w="1277" w:type="dxa"/>
            <w:gridSpan w:val="2"/>
            <w:tcMar>
              <w:left w:w="28" w:type="dxa"/>
              <w:right w:w="28" w:type="dxa"/>
            </w:tcMar>
          </w:tcPr>
          <w:p w14:paraId="3A71534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14</w:t>
            </w:r>
          </w:p>
        </w:tc>
        <w:tc>
          <w:tcPr>
            <w:tcW w:w="1136" w:type="dxa"/>
            <w:gridSpan w:val="2"/>
            <w:tcMar>
              <w:left w:w="28" w:type="dxa"/>
              <w:right w:w="28" w:type="dxa"/>
            </w:tcMar>
          </w:tcPr>
          <w:p w14:paraId="28958BDD"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C235D6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3C3E4A8"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D27D48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71DBC364" w14:textId="77777777" w:rsidTr="003524E3">
        <w:trPr>
          <w:gridBefore w:val="1"/>
          <w:wBefore w:w="12" w:type="dxa"/>
          <w:cantSplit/>
          <w:tblHeader/>
          <w:jc w:val="center"/>
        </w:trPr>
        <w:tc>
          <w:tcPr>
            <w:tcW w:w="651" w:type="dxa"/>
            <w:gridSpan w:val="3"/>
            <w:tcMar>
              <w:left w:w="28" w:type="dxa"/>
              <w:right w:w="28" w:type="dxa"/>
            </w:tcMar>
          </w:tcPr>
          <w:p w14:paraId="60B5E041"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(21)</w:t>
            </w:r>
          </w:p>
        </w:tc>
        <w:tc>
          <w:tcPr>
            <w:tcW w:w="2286" w:type="dxa"/>
            <w:gridSpan w:val="3"/>
            <w:tcMar>
              <w:left w:w="28" w:type="dxa"/>
              <w:right w:w="28" w:type="dxa"/>
            </w:tcMar>
          </w:tcPr>
          <w:p w14:paraId="3C6918B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Kvicksilver och kvicksilverföreningar</w:t>
            </w:r>
          </w:p>
        </w:tc>
        <w:tc>
          <w:tcPr>
            <w:tcW w:w="1329" w:type="dxa"/>
            <w:gridSpan w:val="3"/>
            <w:tcMar>
              <w:left w:w="28" w:type="dxa"/>
              <w:right w:w="28" w:type="dxa"/>
            </w:tcMar>
          </w:tcPr>
          <w:p w14:paraId="26E6356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Metaller</w:t>
            </w:r>
          </w:p>
        </w:tc>
        <w:tc>
          <w:tcPr>
            <w:tcW w:w="992" w:type="dxa"/>
            <w:gridSpan w:val="2"/>
            <w:tcMar>
              <w:left w:w="28" w:type="dxa"/>
              <w:right w:w="28" w:type="dxa"/>
            </w:tcMar>
          </w:tcPr>
          <w:p w14:paraId="689B226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7439-97-6</w:t>
            </w:r>
          </w:p>
        </w:tc>
        <w:tc>
          <w:tcPr>
            <w:tcW w:w="1134" w:type="dxa"/>
          </w:tcPr>
          <w:p w14:paraId="2283CAE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231-106-7</w:t>
            </w:r>
          </w:p>
        </w:tc>
        <w:tc>
          <w:tcPr>
            <w:tcW w:w="1279" w:type="dxa"/>
            <w:gridSpan w:val="2"/>
            <w:tcMar>
              <w:left w:w="28" w:type="dxa"/>
              <w:right w:w="28" w:type="dxa"/>
            </w:tcMar>
          </w:tcPr>
          <w:p w14:paraId="350B883C"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tcMar>
              <w:left w:w="28" w:type="dxa"/>
              <w:right w:w="28" w:type="dxa"/>
            </w:tcMar>
          </w:tcPr>
          <w:p w14:paraId="167645DC"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5262B7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0,07</w:t>
            </w:r>
          </w:p>
        </w:tc>
        <w:tc>
          <w:tcPr>
            <w:tcW w:w="1277" w:type="dxa"/>
            <w:gridSpan w:val="2"/>
            <w:tcMar>
              <w:left w:w="28" w:type="dxa"/>
              <w:right w:w="28" w:type="dxa"/>
            </w:tcMar>
          </w:tcPr>
          <w:p w14:paraId="30192FC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0,07</w:t>
            </w:r>
          </w:p>
        </w:tc>
        <w:tc>
          <w:tcPr>
            <w:tcW w:w="1136" w:type="dxa"/>
            <w:gridSpan w:val="2"/>
            <w:tcMar>
              <w:left w:w="28" w:type="dxa"/>
              <w:right w:w="28" w:type="dxa"/>
            </w:tcMar>
          </w:tcPr>
          <w:p w14:paraId="514AD29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 (</w:t>
            </w:r>
            <w:r w:rsidRPr="003B6CF7">
              <w:rPr>
                <w:rFonts w:eastAsia="Calibri"/>
                <w:noProof/>
                <w:sz w:val="22"/>
                <w:szCs w:val="22"/>
                <w:vertAlign w:val="superscript"/>
                <w:lang w:eastAsia="en-US"/>
              </w:rPr>
              <w:t>13</w:t>
            </w:r>
            <w:r w:rsidRPr="003B6CF7">
              <w:rPr>
                <w:rFonts w:eastAsia="Calibri"/>
                <w:noProof/>
                <w:sz w:val="22"/>
                <w:szCs w:val="22"/>
                <w:lang w:eastAsia="en-US"/>
              </w:rPr>
              <w:t>)</w:t>
            </w:r>
          </w:p>
        </w:tc>
        <w:tc>
          <w:tcPr>
            <w:tcW w:w="1262" w:type="dxa"/>
            <w:tcMar>
              <w:left w:w="28" w:type="dxa"/>
              <w:right w:w="28" w:type="dxa"/>
            </w:tcMar>
          </w:tcPr>
          <w:p w14:paraId="3E7EAB6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1C8244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4C7CFBF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9D2B91F" w14:textId="77777777" w:rsidTr="003524E3">
        <w:trPr>
          <w:gridBefore w:val="1"/>
          <w:wBefore w:w="12" w:type="dxa"/>
          <w:cantSplit/>
          <w:tblHeader/>
          <w:jc w:val="center"/>
        </w:trPr>
        <w:tc>
          <w:tcPr>
            <w:tcW w:w="651" w:type="dxa"/>
            <w:gridSpan w:val="3"/>
            <w:tcMar>
              <w:left w:w="28" w:type="dxa"/>
              <w:right w:w="28" w:type="dxa"/>
            </w:tcMar>
          </w:tcPr>
          <w:p w14:paraId="16E3D32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(22)</w:t>
            </w:r>
          </w:p>
        </w:tc>
        <w:tc>
          <w:tcPr>
            <w:tcW w:w="2286" w:type="dxa"/>
            <w:gridSpan w:val="3"/>
            <w:tcMar>
              <w:left w:w="28" w:type="dxa"/>
              <w:right w:w="28" w:type="dxa"/>
            </w:tcMar>
          </w:tcPr>
          <w:p w14:paraId="3D287AE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Naftalen</w:t>
            </w:r>
          </w:p>
        </w:tc>
        <w:tc>
          <w:tcPr>
            <w:tcW w:w="1329" w:type="dxa"/>
            <w:gridSpan w:val="3"/>
            <w:tcMar>
              <w:left w:w="28" w:type="dxa"/>
              <w:right w:w="28" w:type="dxa"/>
            </w:tcMar>
          </w:tcPr>
          <w:p w14:paraId="54FEB8F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Industriella ämnen </w:t>
            </w:r>
          </w:p>
        </w:tc>
        <w:tc>
          <w:tcPr>
            <w:tcW w:w="992" w:type="dxa"/>
            <w:gridSpan w:val="2"/>
            <w:tcMar>
              <w:left w:w="28" w:type="dxa"/>
              <w:right w:w="28" w:type="dxa"/>
            </w:tcMar>
          </w:tcPr>
          <w:p w14:paraId="4B09E0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91-20-3</w:t>
            </w:r>
          </w:p>
        </w:tc>
        <w:tc>
          <w:tcPr>
            <w:tcW w:w="1134" w:type="dxa"/>
          </w:tcPr>
          <w:p w14:paraId="54E4244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202-049-5</w:t>
            </w:r>
          </w:p>
        </w:tc>
        <w:tc>
          <w:tcPr>
            <w:tcW w:w="1279" w:type="dxa"/>
            <w:gridSpan w:val="2"/>
            <w:tcMar>
              <w:left w:w="28" w:type="dxa"/>
              <w:right w:w="28" w:type="dxa"/>
            </w:tcMar>
          </w:tcPr>
          <w:p w14:paraId="4F510A1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w:t>
            </w:r>
          </w:p>
        </w:tc>
        <w:tc>
          <w:tcPr>
            <w:tcW w:w="1279" w:type="dxa"/>
            <w:gridSpan w:val="2"/>
            <w:tcMar>
              <w:left w:w="28" w:type="dxa"/>
              <w:right w:w="28" w:type="dxa"/>
            </w:tcMar>
          </w:tcPr>
          <w:p w14:paraId="72FDF59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w:t>
            </w:r>
          </w:p>
        </w:tc>
        <w:tc>
          <w:tcPr>
            <w:tcW w:w="1278" w:type="dxa"/>
            <w:gridSpan w:val="2"/>
            <w:tcMar>
              <w:left w:w="28" w:type="dxa"/>
              <w:right w:w="28" w:type="dxa"/>
            </w:tcMar>
          </w:tcPr>
          <w:p w14:paraId="13C29F4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130</w:t>
            </w:r>
          </w:p>
        </w:tc>
        <w:tc>
          <w:tcPr>
            <w:tcW w:w="1277" w:type="dxa"/>
            <w:gridSpan w:val="2"/>
            <w:tcMar>
              <w:left w:w="28" w:type="dxa"/>
              <w:right w:w="28" w:type="dxa"/>
            </w:tcMar>
          </w:tcPr>
          <w:p w14:paraId="2C6469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130</w:t>
            </w:r>
          </w:p>
        </w:tc>
        <w:tc>
          <w:tcPr>
            <w:tcW w:w="1136" w:type="dxa"/>
            <w:gridSpan w:val="2"/>
            <w:tcMar>
              <w:left w:w="28" w:type="dxa"/>
              <w:right w:w="28" w:type="dxa"/>
            </w:tcMar>
          </w:tcPr>
          <w:p w14:paraId="233F0B2C"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49C6B6E"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FD229A3"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7C942169"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B101CE9" w14:textId="77777777" w:rsidTr="003524E3">
        <w:trPr>
          <w:gridBefore w:val="1"/>
          <w:wBefore w:w="12" w:type="dxa"/>
          <w:cantSplit/>
          <w:tblHeader/>
          <w:jc w:val="center"/>
        </w:trPr>
        <w:tc>
          <w:tcPr>
            <w:tcW w:w="651" w:type="dxa"/>
            <w:gridSpan w:val="3"/>
            <w:tcMar>
              <w:left w:w="28" w:type="dxa"/>
              <w:right w:w="28" w:type="dxa"/>
            </w:tcMar>
          </w:tcPr>
          <w:p w14:paraId="0414BD65"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(23)</w:t>
            </w:r>
          </w:p>
        </w:tc>
        <w:tc>
          <w:tcPr>
            <w:tcW w:w="2286" w:type="dxa"/>
            <w:gridSpan w:val="3"/>
            <w:tcMar>
              <w:left w:w="28" w:type="dxa"/>
              <w:right w:w="28" w:type="dxa"/>
            </w:tcMar>
          </w:tcPr>
          <w:p w14:paraId="2AB28B1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Nickel och nickelföreningar</w:t>
            </w:r>
          </w:p>
        </w:tc>
        <w:tc>
          <w:tcPr>
            <w:tcW w:w="1329" w:type="dxa"/>
            <w:gridSpan w:val="3"/>
            <w:tcMar>
              <w:left w:w="28" w:type="dxa"/>
              <w:right w:w="28" w:type="dxa"/>
            </w:tcMar>
          </w:tcPr>
          <w:p w14:paraId="1E8E71B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Metaller</w:t>
            </w:r>
          </w:p>
        </w:tc>
        <w:tc>
          <w:tcPr>
            <w:tcW w:w="992" w:type="dxa"/>
            <w:gridSpan w:val="2"/>
            <w:tcMar>
              <w:left w:w="28" w:type="dxa"/>
              <w:right w:w="28" w:type="dxa"/>
            </w:tcMar>
          </w:tcPr>
          <w:p w14:paraId="59ADE94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7440-02-0</w:t>
            </w:r>
          </w:p>
        </w:tc>
        <w:tc>
          <w:tcPr>
            <w:tcW w:w="1134" w:type="dxa"/>
          </w:tcPr>
          <w:p w14:paraId="7FDA1FAD" w14:textId="77777777" w:rsidR="003524E3" w:rsidRPr="003B6CF7" w:rsidDel="00EC120E"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231-111-4</w:t>
            </w:r>
          </w:p>
        </w:tc>
        <w:tc>
          <w:tcPr>
            <w:tcW w:w="1279" w:type="dxa"/>
            <w:gridSpan w:val="2"/>
            <w:tcMar>
              <w:left w:w="28" w:type="dxa"/>
              <w:right w:w="28" w:type="dxa"/>
            </w:tcMar>
          </w:tcPr>
          <w:p w14:paraId="6DFE3179"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2 (</w:t>
            </w:r>
            <w:r w:rsidRPr="003B6CF7">
              <w:rPr>
                <w:rFonts w:eastAsia="Calibri"/>
                <w:noProof/>
                <w:sz w:val="22"/>
                <w:szCs w:val="22"/>
                <w:vertAlign w:val="superscript"/>
                <w:lang w:eastAsia="en-US"/>
              </w:rPr>
              <w:t>12</w:t>
            </w:r>
            <w:r w:rsidRPr="003B6CF7">
              <w:rPr>
                <w:rFonts w:eastAsia="Calibri"/>
                <w:noProof/>
                <w:sz w:val="22"/>
                <w:szCs w:val="22"/>
                <w:lang w:eastAsia="en-US"/>
              </w:rPr>
              <w:t>)</w:t>
            </w:r>
          </w:p>
        </w:tc>
        <w:tc>
          <w:tcPr>
            <w:tcW w:w="1279" w:type="dxa"/>
            <w:gridSpan w:val="2"/>
            <w:tcMar>
              <w:left w:w="28" w:type="dxa"/>
              <w:right w:w="28" w:type="dxa"/>
            </w:tcMar>
          </w:tcPr>
          <w:p w14:paraId="4BBCD21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3,1</w:t>
            </w:r>
          </w:p>
        </w:tc>
        <w:tc>
          <w:tcPr>
            <w:tcW w:w="1278" w:type="dxa"/>
            <w:gridSpan w:val="2"/>
            <w:tcMar>
              <w:left w:w="28" w:type="dxa"/>
              <w:right w:w="28" w:type="dxa"/>
            </w:tcMar>
          </w:tcPr>
          <w:p w14:paraId="25D47BD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8,2</w:t>
            </w:r>
          </w:p>
        </w:tc>
        <w:tc>
          <w:tcPr>
            <w:tcW w:w="1277" w:type="dxa"/>
            <w:gridSpan w:val="2"/>
            <w:tcMar>
              <w:left w:w="28" w:type="dxa"/>
              <w:right w:w="28" w:type="dxa"/>
            </w:tcMar>
          </w:tcPr>
          <w:p w14:paraId="639EFB5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8,2</w:t>
            </w:r>
          </w:p>
        </w:tc>
        <w:tc>
          <w:tcPr>
            <w:tcW w:w="1136" w:type="dxa"/>
            <w:gridSpan w:val="2"/>
            <w:tcMar>
              <w:left w:w="28" w:type="dxa"/>
              <w:right w:w="28" w:type="dxa"/>
            </w:tcMar>
          </w:tcPr>
          <w:p w14:paraId="651DCA9E"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2F2F334" w14:textId="77777777" w:rsidR="003524E3" w:rsidRPr="003B6CF7" w:rsidRDefault="003524E3" w:rsidP="003524E3">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7D68E9A1" w14:textId="77777777" w:rsidR="003524E3" w:rsidRPr="003B6CF7" w:rsidRDefault="003524E3" w:rsidP="003524E3">
            <w:pPr>
              <w:widowControl/>
              <w:spacing w:before="40" w:after="40"/>
              <w:rPr>
                <w:rFonts w:eastAsia="Calibri"/>
                <w:noProof/>
                <w:sz w:val="22"/>
                <w:szCs w:val="22"/>
                <w:vertAlign w:val="superscript"/>
                <w:lang w:eastAsia="en-US"/>
              </w:rPr>
            </w:pPr>
          </w:p>
        </w:tc>
        <w:tc>
          <w:tcPr>
            <w:tcW w:w="970" w:type="dxa"/>
            <w:tcMar>
              <w:left w:w="28" w:type="dxa"/>
              <w:right w:w="28" w:type="dxa"/>
            </w:tcMar>
          </w:tcPr>
          <w:p w14:paraId="3CD7BA3A" w14:textId="77777777" w:rsidR="003524E3" w:rsidRPr="003B6CF7" w:rsidRDefault="003524E3" w:rsidP="003524E3">
            <w:pPr>
              <w:widowControl/>
              <w:spacing w:before="40" w:after="40"/>
              <w:rPr>
                <w:rFonts w:eastAsia="Calibri"/>
                <w:noProof/>
                <w:sz w:val="22"/>
                <w:szCs w:val="22"/>
                <w:vertAlign w:val="superscript"/>
                <w:lang w:eastAsia="en-US"/>
              </w:rPr>
            </w:pPr>
          </w:p>
        </w:tc>
      </w:tr>
      <w:tr w:rsidR="003524E3" w:rsidRPr="003B6CF7" w14:paraId="558F0BD2" w14:textId="77777777" w:rsidTr="003524E3">
        <w:trPr>
          <w:gridBefore w:val="1"/>
          <w:wBefore w:w="12" w:type="dxa"/>
          <w:cantSplit/>
          <w:tblHeader/>
          <w:jc w:val="center"/>
        </w:trPr>
        <w:tc>
          <w:tcPr>
            <w:tcW w:w="651" w:type="dxa"/>
            <w:gridSpan w:val="3"/>
            <w:tcMar>
              <w:left w:w="28" w:type="dxa"/>
              <w:right w:w="28" w:type="dxa"/>
            </w:tcMar>
          </w:tcPr>
          <w:p w14:paraId="7431E850"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(24)</w:t>
            </w:r>
          </w:p>
        </w:tc>
        <w:tc>
          <w:tcPr>
            <w:tcW w:w="2286" w:type="dxa"/>
            <w:gridSpan w:val="3"/>
            <w:tcMar>
              <w:left w:w="28" w:type="dxa"/>
              <w:right w:w="28" w:type="dxa"/>
            </w:tcMar>
          </w:tcPr>
          <w:p w14:paraId="39AA44D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Nonylfenoler (</w:t>
            </w:r>
            <w:r w:rsidRPr="003B6CF7">
              <w:rPr>
                <w:rFonts w:eastAsia="Calibri"/>
                <w:noProof/>
                <w:sz w:val="22"/>
                <w:szCs w:val="22"/>
                <w:vertAlign w:val="superscript"/>
                <w:lang w:eastAsia="en-US"/>
              </w:rPr>
              <w:t>14</w:t>
            </w:r>
            <w:r w:rsidRPr="003B6CF7">
              <w:rPr>
                <w:rFonts w:eastAsia="Calibri"/>
                <w:noProof/>
                <w:sz w:val="22"/>
                <w:szCs w:val="22"/>
                <w:lang w:eastAsia="en-US"/>
              </w:rPr>
              <w:t>)</w:t>
            </w:r>
            <w:r w:rsidRPr="003B6CF7">
              <w:rPr>
                <w:rFonts w:eastAsia="Calibri"/>
                <w:noProof/>
                <w:szCs w:val="22"/>
                <w:lang w:eastAsia="en-US"/>
              </w:rPr>
              <w:t xml:space="preserve"> </w:t>
            </w:r>
            <w:r w:rsidRPr="003B6CF7">
              <w:rPr>
                <w:rFonts w:eastAsia="Calibri"/>
                <w:noProof/>
                <w:szCs w:val="22"/>
                <w:lang w:eastAsia="en-US"/>
              </w:rPr>
              <w:br/>
            </w:r>
            <w:r w:rsidRPr="003B6CF7">
              <w:rPr>
                <w:rFonts w:eastAsia="Calibri"/>
                <w:noProof/>
                <w:sz w:val="22"/>
                <w:szCs w:val="22"/>
                <w:lang w:eastAsia="en-US"/>
              </w:rPr>
              <w:t>(4-nonylfenol)</w:t>
            </w:r>
          </w:p>
        </w:tc>
        <w:tc>
          <w:tcPr>
            <w:tcW w:w="1329" w:type="dxa"/>
            <w:gridSpan w:val="3"/>
            <w:tcMar>
              <w:left w:w="28" w:type="dxa"/>
              <w:right w:w="28" w:type="dxa"/>
            </w:tcMar>
          </w:tcPr>
          <w:p w14:paraId="541ED4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3DC087C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84852-15-3</w:t>
            </w:r>
          </w:p>
        </w:tc>
        <w:tc>
          <w:tcPr>
            <w:tcW w:w="1134" w:type="dxa"/>
          </w:tcPr>
          <w:p w14:paraId="1E263E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284-325-5</w:t>
            </w:r>
          </w:p>
        </w:tc>
        <w:tc>
          <w:tcPr>
            <w:tcW w:w="1279" w:type="dxa"/>
            <w:gridSpan w:val="2"/>
            <w:tcMar>
              <w:left w:w="28" w:type="dxa"/>
              <w:right w:w="28" w:type="dxa"/>
            </w:tcMar>
          </w:tcPr>
          <w:p w14:paraId="3C3C7B3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0,037</w:t>
            </w:r>
          </w:p>
        </w:tc>
        <w:tc>
          <w:tcPr>
            <w:tcW w:w="1279" w:type="dxa"/>
            <w:gridSpan w:val="2"/>
            <w:tcMar>
              <w:left w:w="28" w:type="dxa"/>
              <w:right w:w="28" w:type="dxa"/>
            </w:tcMar>
          </w:tcPr>
          <w:p w14:paraId="774F4AE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0,0018</w:t>
            </w:r>
          </w:p>
        </w:tc>
        <w:tc>
          <w:tcPr>
            <w:tcW w:w="1278" w:type="dxa"/>
            <w:gridSpan w:val="2"/>
            <w:tcMar>
              <w:left w:w="28" w:type="dxa"/>
              <w:right w:w="28" w:type="dxa"/>
            </w:tcMar>
          </w:tcPr>
          <w:p w14:paraId="37F8CDD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w:t>
            </w:r>
          </w:p>
        </w:tc>
        <w:tc>
          <w:tcPr>
            <w:tcW w:w="1277" w:type="dxa"/>
            <w:gridSpan w:val="2"/>
            <w:tcMar>
              <w:left w:w="28" w:type="dxa"/>
              <w:right w:w="28" w:type="dxa"/>
            </w:tcMar>
          </w:tcPr>
          <w:p w14:paraId="5EFE8A9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0,17</w:t>
            </w:r>
          </w:p>
        </w:tc>
        <w:tc>
          <w:tcPr>
            <w:tcW w:w="1136" w:type="dxa"/>
            <w:gridSpan w:val="2"/>
            <w:tcMar>
              <w:left w:w="28" w:type="dxa"/>
              <w:right w:w="28" w:type="dxa"/>
            </w:tcMar>
          </w:tcPr>
          <w:p w14:paraId="6617FE53"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184A1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1840F62B"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F309349"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0822EC2" w14:textId="77777777" w:rsidTr="003524E3">
        <w:trPr>
          <w:gridBefore w:val="1"/>
          <w:wBefore w:w="12" w:type="dxa"/>
          <w:cantSplit/>
          <w:tblHeader/>
          <w:jc w:val="center"/>
        </w:trPr>
        <w:tc>
          <w:tcPr>
            <w:tcW w:w="651" w:type="dxa"/>
            <w:gridSpan w:val="3"/>
            <w:tcMar>
              <w:left w:w="28" w:type="dxa"/>
              <w:right w:w="28" w:type="dxa"/>
            </w:tcMar>
          </w:tcPr>
          <w:p w14:paraId="6BC548E2"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(25)</w:t>
            </w:r>
          </w:p>
        </w:tc>
        <w:tc>
          <w:tcPr>
            <w:tcW w:w="2286" w:type="dxa"/>
            <w:gridSpan w:val="3"/>
            <w:tcMar>
              <w:left w:w="28" w:type="dxa"/>
              <w:right w:w="28" w:type="dxa"/>
            </w:tcMar>
          </w:tcPr>
          <w:p w14:paraId="0A89FEE4"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Oktylfenoler (</w:t>
            </w:r>
            <w:r w:rsidRPr="003B6CF7">
              <w:rPr>
                <w:rFonts w:eastAsia="Calibri"/>
                <w:noProof/>
                <w:sz w:val="22"/>
                <w:szCs w:val="22"/>
                <w:vertAlign w:val="superscript"/>
                <w:lang w:eastAsia="en-US"/>
              </w:rPr>
              <w:t>15</w:t>
            </w:r>
            <w:r w:rsidRPr="003B6CF7">
              <w:rPr>
                <w:rFonts w:eastAsia="Calibri"/>
                <w:noProof/>
                <w:sz w:val="22"/>
                <w:szCs w:val="22"/>
                <w:lang w:eastAsia="en-US"/>
              </w:rPr>
              <w:t xml:space="preserve">) </w:t>
            </w:r>
            <w:r w:rsidRPr="003B6CF7">
              <w:rPr>
                <w:rFonts w:eastAsia="Calibri"/>
                <w:noProof/>
                <w:szCs w:val="22"/>
                <w:lang w:eastAsia="en-US"/>
              </w:rPr>
              <w:t xml:space="preserve"> </w:t>
            </w:r>
            <w:r w:rsidRPr="003B6CF7">
              <w:rPr>
                <w:rFonts w:eastAsia="Calibri"/>
                <w:noProof/>
                <w:szCs w:val="22"/>
                <w:lang w:eastAsia="en-US"/>
              </w:rPr>
              <w:br/>
            </w:r>
            <w:r w:rsidRPr="003B6CF7">
              <w:rPr>
                <w:rFonts w:eastAsia="Calibri"/>
                <w:noProof/>
                <w:sz w:val="22"/>
                <w:szCs w:val="22"/>
                <w:lang w:eastAsia="en-US"/>
              </w:rPr>
              <w:t>((4-(1,1’,3,3’-tetrametylbutyl)-fenol))</w:t>
            </w:r>
          </w:p>
        </w:tc>
        <w:tc>
          <w:tcPr>
            <w:tcW w:w="1329" w:type="dxa"/>
            <w:gridSpan w:val="3"/>
            <w:tcMar>
              <w:left w:w="28" w:type="dxa"/>
              <w:right w:w="28" w:type="dxa"/>
            </w:tcMar>
          </w:tcPr>
          <w:p w14:paraId="6B041CCF"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17D222F1"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140-66-9</w:t>
            </w:r>
          </w:p>
        </w:tc>
        <w:tc>
          <w:tcPr>
            <w:tcW w:w="1134" w:type="dxa"/>
          </w:tcPr>
          <w:p w14:paraId="7393473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205-426-2</w:t>
            </w:r>
          </w:p>
        </w:tc>
        <w:tc>
          <w:tcPr>
            <w:tcW w:w="1279" w:type="dxa"/>
            <w:gridSpan w:val="2"/>
            <w:tcMar>
              <w:left w:w="28" w:type="dxa"/>
              <w:right w:w="28" w:type="dxa"/>
            </w:tcMar>
          </w:tcPr>
          <w:p w14:paraId="741F4C96"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0,1</w:t>
            </w:r>
          </w:p>
        </w:tc>
        <w:tc>
          <w:tcPr>
            <w:tcW w:w="1279" w:type="dxa"/>
            <w:gridSpan w:val="2"/>
            <w:tcMar>
              <w:left w:w="28" w:type="dxa"/>
              <w:right w:w="28" w:type="dxa"/>
            </w:tcMar>
          </w:tcPr>
          <w:p w14:paraId="6FCA076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8" w:type="dxa"/>
            <w:gridSpan w:val="2"/>
            <w:tcMar>
              <w:left w:w="28" w:type="dxa"/>
              <w:right w:w="28" w:type="dxa"/>
            </w:tcMar>
          </w:tcPr>
          <w:p w14:paraId="348B16C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56F646E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410A1D79" w14:textId="77777777" w:rsidR="003524E3" w:rsidRPr="003B6CF7" w:rsidRDefault="003524E3" w:rsidP="003524E3">
            <w:pPr>
              <w:keepNext/>
              <w:widowControl/>
              <w:spacing w:before="40" w:after="40"/>
              <w:rPr>
                <w:rFonts w:eastAsia="Calibri"/>
                <w:noProof/>
                <w:sz w:val="22"/>
                <w:szCs w:val="22"/>
                <w:lang w:eastAsia="en-US"/>
              </w:rPr>
            </w:pPr>
          </w:p>
        </w:tc>
        <w:tc>
          <w:tcPr>
            <w:tcW w:w="1262" w:type="dxa"/>
            <w:tcMar>
              <w:left w:w="28" w:type="dxa"/>
              <w:right w:w="28" w:type="dxa"/>
            </w:tcMar>
          </w:tcPr>
          <w:p w14:paraId="3C198ED6"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3B898674" w14:textId="77777777" w:rsidR="003524E3" w:rsidRPr="003B6CF7" w:rsidRDefault="003524E3" w:rsidP="003524E3">
            <w:pPr>
              <w:keepNext/>
              <w:widowControl/>
              <w:spacing w:before="40" w:after="40"/>
              <w:rPr>
                <w:rFonts w:eastAsia="Calibri"/>
                <w:noProof/>
                <w:sz w:val="22"/>
                <w:szCs w:val="22"/>
                <w:lang w:eastAsia="en-US"/>
              </w:rPr>
            </w:pPr>
          </w:p>
        </w:tc>
        <w:tc>
          <w:tcPr>
            <w:tcW w:w="970" w:type="dxa"/>
            <w:tcMar>
              <w:left w:w="28" w:type="dxa"/>
              <w:right w:w="28" w:type="dxa"/>
            </w:tcMar>
          </w:tcPr>
          <w:p w14:paraId="25F7DA65" w14:textId="77777777" w:rsidR="003524E3" w:rsidRPr="003B6CF7" w:rsidRDefault="003524E3" w:rsidP="003524E3">
            <w:pPr>
              <w:keepNext/>
              <w:widowControl/>
              <w:spacing w:before="40" w:after="40"/>
              <w:rPr>
                <w:rFonts w:eastAsia="Calibri"/>
                <w:noProof/>
                <w:sz w:val="22"/>
                <w:szCs w:val="22"/>
                <w:lang w:eastAsia="en-US"/>
              </w:rPr>
            </w:pPr>
          </w:p>
        </w:tc>
      </w:tr>
      <w:tr w:rsidR="003524E3" w:rsidRPr="003B6CF7" w14:paraId="6BB8B9E5" w14:textId="77777777" w:rsidTr="003524E3">
        <w:trPr>
          <w:gridBefore w:val="1"/>
          <w:wBefore w:w="12" w:type="dxa"/>
          <w:cantSplit/>
          <w:tblHeader/>
          <w:jc w:val="center"/>
        </w:trPr>
        <w:tc>
          <w:tcPr>
            <w:tcW w:w="651" w:type="dxa"/>
            <w:gridSpan w:val="3"/>
            <w:tcMar>
              <w:left w:w="28" w:type="dxa"/>
              <w:right w:w="28" w:type="dxa"/>
            </w:tcMar>
          </w:tcPr>
          <w:p w14:paraId="0D4888B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(26)</w:t>
            </w:r>
          </w:p>
        </w:tc>
        <w:tc>
          <w:tcPr>
            <w:tcW w:w="2286" w:type="dxa"/>
            <w:gridSpan w:val="3"/>
            <w:tcMar>
              <w:left w:w="28" w:type="dxa"/>
              <w:right w:w="28" w:type="dxa"/>
            </w:tcMar>
          </w:tcPr>
          <w:p w14:paraId="32B0BB5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Pentaklorbensen</w:t>
            </w:r>
          </w:p>
        </w:tc>
        <w:tc>
          <w:tcPr>
            <w:tcW w:w="1329" w:type="dxa"/>
            <w:gridSpan w:val="3"/>
            <w:tcMar>
              <w:left w:w="28" w:type="dxa"/>
              <w:right w:w="28" w:type="dxa"/>
            </w:tcMar>
          </w:tcPr>
          <w:p w14:paraId="410F54D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043789D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608-93-5</w:t>
            </w:r>
          </w:p>
        </w:tc>
        <w:tc>
          <w:tcPr>
            <w:tcW w:w="1134" w:type="dxa"/>
          </w:tcPr>
          <w:p w14:paraId="61AFB1A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210-172-0</w:t>
            </w:r>
          </w:p>
        </w:tc>
        <w:tc>
          <w:tcPr>
            <w:tcW w:w="1279" w:type="dxa"/>
            <w:gridSpan w:val="2"/>
            <w:tcMar>
              <w:left w:w="28" w:type="dxa"/>
              <w:right w:w="28" w:type="dxa"/>
            </w:tcMar>
          </w:tcPr>
          <w:p w14:paraId="2C3E53F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0,007</w:t>
            </w:r>
          </w:p>
        </w:tc>
        <w:tc>
          <w:tcPr>
            <w:tcW w:w="1279" w:type="dxa"/>
            <w:gridSpan w:val="2"/>
            <w:tcMar>
              <w:left w:w="28" w:type="dxa"/>
              <w:right w:w="28" w:type="dxa"/>
            </w:tcMar>
          </w:tcPr>
          <w:p w14:paraId="6E28FD5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0,0007</w:t>
            </w:r>
          </w:p>
        </w:tc>
        <w:tc>
          <w:tcPr>
            <w:tcW w:w="1278" w:type="dxa"/>
            <w:gridSpan w:val="2"/>
            <w:tcMar>
              <w:left w:w="28" w:type="dxa"/>
              <w:right w:w="28" w:type="dxa"/>
            </w:tcMar>
          </w:tcPr>
          <w:p w14:paraId="358B795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42BB32A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22934361"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68CACB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5DCBB9F5"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BA9CA0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2D9202F3" w14:textId="77777777" w:rsidTr="003524E3">
        <w:trPr>
          <w:gridBefore w:val="1"/>
          <w:wBefore w:w="12" w:type="dxa"/>
          <w:cantSplit/>
          <w:tblHeader/>
          <w:jc w:val="center"/>
        </w:trPr>
        <w:tc>
          <w:tcPr>
            <w:tcW w:w="651" w:type="dxa"/>
            <w:gridSpan w:val="3"/>
            <w:tcMar>
              <w:left w:w="28" w:type="dxa"/>
              <w:right w:w="28" w:type="dxa"/>
            </w:tcMar>
          </w:tcPr>
          <w:p w14:paraId="28C0857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(27)</w:t>
            </w:r>
          </w:p>
        </w:tc>
        <w:tc>
          <w:tcPr>
            <w:tcW w:w="2286" w:type="dxa"/>
            <w:gridSpan w:val="3"/>
            <w:tcMar>
              <w:left w:w="28" w:type="dxa"/>
              <w:right w:w="28" w:type="dxa"/>
            </w:tcMar>
          </w:tcPr>
          <w:p w14:paraId="7CCE23F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Pentaklorfenol</w:t>
            </w:r>
          </w:p>
        </w:tc>
        <w:tc>
          <w:tcPr>
            <w:tcW w:w="1329" w:type="dxa"/>
            <w:gridSpan w:val="3"/>
            <w:tcMar>
              <w:left w:w="28" w:type="dxa"/>
              <w:right w:w="28" w:type="dxa"/>
            </w:tcMar>
          </w:tcPr>
          <w:p w14:paraId="0B478C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52E06B2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87-86-5</w:t>
            </w:r>
          </w:p>
        </w:tc>
        <w:tc>
          <w:tcPr>
            <w:tcW w:w="1134" w:type="dxa"/>
          </w:tcPr>
          <w:p w14:paraId="067CA1A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201-778-6</w:t>
            </w:r>
          </w:p>
        </w:tc>
        <w:tc>
          <w:tcPr>
            <w:tcW w:w="1279" w:type="dxa"/>
            <w:gridSpan w:val="2"/>
            <w:tcMar>
              <w:left w:w="28" w:type="dxa"/>
              <w:right w:w="28" w:type="dxa"/>
            </w:tcMar>
          </w:tcPr>
          <w:p w14:paraId="765314C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0,4</w:t>
            </w:r>
          </w:p>
        </w:tc>
        <w:tc>
          <w:tcPr>
            <w:tcW w:w="1279" w:type="dxa"/>
            <w:gridSpan w:val="2"/>
            <w:tcMar>
              <w:left w:w="28" w:type="dxa"/>
              <w:right w:w="28" w:type="dxa"/>
            </w:tcMar>
          </w:tcPr>
          <w:p w14:paraId="6C51199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0,4</w:t>
            </w:r>
          </w:p>
        </w:tc>
        <w:tc>
          <w:tcPr>
            <w:tcW w:w="1278" w:type="dxa"/>
            <w:gridSpan w:val="2"/>
            <w:tcMar>
              <w:left w:w="28" w:type="dxa"/>
              <w:right w:w="28" w:type="dxa"/>
            </w:tcMar>
          </w:tcPr>
          <w:p w14:paraId="7E4EB28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w:t>
            </w:r>
          </w:p>
        </w:tc>
        <w:tc>
          <w:tcPr>
            <w:tcW w:w="1277" w:type="dxa"/>
            <w:gridSpan w:val="2"/>
            <w:tcMar>
              <w:left w:w="28" w:type="dxa"/>
              <w:right w:w="28" w:type="dxa"/>
            </w:tcMar>
          </w:tcPr>
          <w:p w14:paraId="2C22EF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w:t>
            </w:r>
          </w:p>
        </w:tc>
        <w:tc>
          <w:tcPr>
            <w:tcW w:w="1136" w:type="dxa"/>
            <w:gridSpan w:val="2"/>
            <w:tcMar>
              <w:left w:w="28" w:type="dxa"/>
              <w:right w:w="28" w:type="dxa"/>
            </w:tcMar>
          </w:tcPr>
          <w:p w14:paraId="533E9C5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4008D4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4387DD6"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640588D"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0DA7B653" w14:textId="77777777" w:rsidTr="003524E3">
        <w:trPr>
          <w:gridBefore w:val="1"/>
          <w:wBefore w:w="12" w:type="dxa"/>
          <w:cantSplit/>
          <w:tblHeader/>
          <w:jc w:val="center"/>
        </w:trPr>
        <w:tc>
          <w:tcPr>
            <w:tcW w:w="651" w:type="dxa"/>
            <w:gridSpan w:val="3"/>
            <w:tcMar>
              <w:left w:w="28" w:type="dxa"/>
              <w:right w:w="28" w:type="dxa"/>
            </w:tcMar>
          </w:tcPr>
          <w:p w14:paraId="5587E311"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(28)</w:t>
            </w:r>
          </w:p>
        </w:tc>
        <w:tc>
          <w:tcPr>
            <w:tcW w:w="2286" w:type="dxa"/>
            <w:gridSpan w:val="3"/>
            <w:tcMar>
              <w:left w:w="28" w:type="dxa"/>
              <w:right w:w="28" w:type="dxa"/>
            </w:tcMar>
          </w:tcPr>
          <w:p w14:paraId="591EE54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Polyaromatiska kolväten (PAH) (</w:t>
            </w:r>
            <w:r w:rsidRPr="003B6CF7">
              <w:rPr>
                <w:rFonts w:eastAsia="Calibri"/>
                <w:noProof/>
                <w:sz w:val="22"/>
                <w:szCs w:val="22"/>
                <w:vertAlign w:val="superscript"/>
                <w:lang w:eastAsia="en-US"/>
              </w:rPr>
              <w:t>16</w:t>
            </w:r>
            <w:r w:rsidRPr="003B6CF7">
              <w:rPr>
                <w:rFonts w:eastAsia="Calibri"/>
                <w:noProof/>
                <w:sz w:val="22"/>
                <w:szCs w:val="22"/>
                <w:lang w:eastAsia="en-US"/>
              </w:rPr>
              <w:t>)</w:t>
            </w:r>
          </w:p>
        </w:tc>
        <w:tc>
          <w:tcPr>
            <w:tcW w:w="1329" w:type="dxa"/>
            <w:gridSpan w:val="3"/>
            <w:tcMar>
              <w:left w:w="28" w:type="dxa"/>
              <w:right w:w="28" w:type="dxa"/>
            </w:tcMar>
          </w:tcPr>
          <w:p w14:paraId="114DE5E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Förbränningsprodukter</w:t>
            </w:r>
          </w:p>
        </w:tc>
        <w:tc>
          <w:tcPr>
            <w:tcW w:w="992" w:type="dxa"/>
            <w:gridSpan w:val="2"/>
            <w:tcMar>
              <w:left w:w="28" w:type="dxa"/>
              <w:right w:w="28" w:type="dxa"/>
            </w:tcMar>
          </w:tcPr>
          <w:p w14:paraId="747988F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4" w:type="dxa"/>
          </w:tcPr>
          <w:p w14:paraId="758922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290FE5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61EC013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8" w:type="dxa"/>
            <w:gridSpan w:val="2"/>
            <w:tcMar>
              <w:left w:w="28" w:type="dxa"/>
              <w:right w:w="28" w:type="dxa"/>
            </w:tcMar>
          </w:tcPr>
          <w:p w14:paraId="35F8224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0B47E29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5FCBE0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Summan av bens(a)pyren-ekvivalenter [0,6]</w:t>
            </w:r>
            <w:r w:rsidRPr="003B6CF7">
              <w:rPr>
                <w:rFonts w:eastAsia="Calibri"/>
                <w:noProof/>
                <w:sz w:val="22"/>
                <w:szCs w:val="22"/>
                <w:vertAlign w:val="superscript"/>
                <w:lang w:eastAsia="en-US"/>
              </w:rPr>
              <w:t xml:space="preserve"> </w:t>
            </w:r>
            <w:r w:rsidRPr="003B6CF7">
              <w:rPr>
                <w:rFonts w:eastAsia="Calibri"/>
                <w:noProof/>
                <w:sz w:val="22"/>
                <w:szCs w:val="22"/>
                <w:lang w:eastAsia="en-US"/>
              </w:rPr>
              <w:t>(</w:t>
            </w:r>
            <w:r w:rsidRPr="003B6CF7">
              <w:rPr>
                <w:rFonts w:eastAsia="Calibri"/>
                <w:noProof/>
                <w:sz w:val="22"/>
                <w:szCs w:val="22"/>
                <w:vertAlign w:val="superscript"/>
                <w:lang w:eastAsia="en-US"/>
              </w:rPr>
              <w:t>17</w:t>
            </w:r>
            <w:r w:rsidRPr="003B6CF7">
              <w:rPr>
                <w:rFonts w:eastAsia="Calibri"/>
                <w:noProof/>
                <w:sz w:val="22"/>
                <w:szCs w:val="22"/>
                <w:lang w:eastAsia="en-US"/>
              </w:rPr>
              <w:t>)</w:t>
            </w:r>
          </w:p>
        </w:tc>
        <w:tc>
          <w:tcPr>
            <w:tcW w:w="1262" w:type="dxa"/>
            <w:tcMar>
              <w:left w:w="28" w:type="dxa"/>
              <w:right w:w="28" w:type="dxa"/>
            </w:tcMar>
          </w:tcPr>
          <w:p w14:paraId="2B75D9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X </w:t>
            </w:r>
          </w:p>
        </w:tc>
        <w:tc>
          <w:tcPr>
            <w:tcW w:w="1153" w:type="dxa"/>
            <w:gridSpan w:val="2"/>
            <w:tcMar>
              <w:left w:w="28" w:type="dxa"/>
              <w:right w:w="28" w:type="dxa"/>
            </w:tcMar>
          </w:tcPr>
          <w:p w14:paraId="6316BF5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7AB85B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25DFCFD3" w14:textId="77777777" w:rsidTr="003524E3">
        <w:trPr>
          <w:gridBefore w:val="1"/>
          <w:wBefore w:w="12" w:type="dxa"/>
          <w:cantSplit/>
          <w:tblHeader/>
          <w:jc w:val="center"/>
        </w:trPr>
        <w:tc>
          <w:tcPr>
            <w:tcW w:w="651" w:type="dxa"/>
            <w:gridSpan w:val="3"/>
            <w:vMerge w:val="restart"/>
            <w:tcMar>
              <w:left w:w="28" w:type="dxa"/>
              <w:right w:w="28" w:type="dxa"/>
            </w:tcMar>
          </w:tcPr>
          <w:p w14:paraId="760A4D9D"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4507A7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Bens(a)pyren</w:t>
            </w:r>
          </w:p>
        </w:tc>
        <w:tc>
          <w:tcPr>
            <w:tcW w:w="1329" w:type="dxa"/>
            <w:gridSpan w:val="3"/>
            <w:tcMar>
              <w:left w:w="28" w:type="dxa"/>
              <w:right w:w="28" w:type="dxa"/>
            </w:tcMar>
          </w:tcPr>
          <w:p w14:paraId="1E771FF1"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5B112BE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50-32-8</w:t>
            </w:r>
          </w:p>
        </w:tc>
        <w:tc>
          <w:tcPr>
            <w:tcW w:w="1134" w:type="dxa"/>
            <w:shd w:val="clear" w:color="auto" w:fill="auto"/>
          </w:tcPr>
          <w:p w14:paraId="3CCF18F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200-028-5</w:t>
            </w:r>
          </w:p>
        </w:tc>
        <w:tc>
          <w:tcPr>
            <w:tcW w:w="1279" w:type="dxa"/>
            <w:gridSpan w:val="2"/>
            <w:shd w:val="clear" w:color="auto" w:fill="auto"/>
            <w:tcMar>
              <w:left w:w="28" w:type="dxa"/>
              <w:right w:w="28" w:type="dxa"/>
            </w:tcMar>
          </w:tcPr>
          <w:p w14:paraId="6FFD647D" w14:textId="77777777" w:rsidR="003524E3" w:rsidRPr="003B6CF7" w:rsidRDefault="003524E3" w:rsidP="003524E3">
            <w:pPr>
              <w:widowControl/>
              <w:spacing w:before="40" w:after="40"/>
              <w:rPr>
                <w:rFonts w:eastAsia="Calibri"/>
                <w:noProof/>
                <w:sz w:val="22"/>
                <w:szCs w:val="22"/>
                <w:vertAlign w:val="superscript"/>
                <w:lang w:eastAsia="en-US"/>
              </w:rPr>
            </w:pPr>
          </w:p>
        </w:tc>
        <w:tc>
          <w:tcPr>
            <w:tcW w:w="1279" w:type="dxa"/>
            <w:gridSpan w:val="2"/>
            <w:shd w:val="clear" w:color="auto" w:fill="auto"/>
            <w:tcMar>
              <w:left w:w="28" w:type="dxa"/>
              <w:right w:w="28" w:type="dxa"/>
            </w:tcMar>
          </w:tcPr>
          <w:p w14:paraId="6705086B"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4720D83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0,27</w:t>
            </w:r>
          </w:p>
        </w:tc>
        <w:tc>
          <w:tcPr>
            <w:tcW w:w="1277" w:type="dxa"/>
            <w:gridSpan w:val="2"/>
            <w:tcMar>
              <w:left w:w="28" w:type="dxa"/>
              <w:right w:w="28" w:type="dxa"/>
            </w:tcMar>
          </w:tcPr>
          <w:p w14:paraId="5212E28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0,027</w:t>
            </w:r>
          </w:p>
        </w:tc>
        <w:tc>
          <w:tcPr>
            <w:tcW w:w="1136" w:type="dxa"/>
            <w:gridSpan w:val="2"/>
            <w:tcMar>
              <w:left w:w="28" w:type="dxa"/>
              <w:right w:w="28" w:type="dxa"/>
            </w:tcMar>
          </w:tcPr>
          <w:p w14:paraId="39888818" w14:textId="77777777" w:rsidR="003524E3" w:rsidRPr="003B6CF7" w:rsidRDefault="003524E3" w:rsidP="003524E3">
            <w:pPr>
              <w:widowControl/>
              <w:spacing w:before="40" w:after="40"/>
              <w:rPr>
                <w:rFonts w:eastAsia="Calibri"/>
                <w:b/>
                <w:i/>
                <w:noProof/>
                <w:sz w:val="22"/>
                <w:szCs w:val="22"/>
                <w:lang w:eastAsia="en-US"/>
              </w:rPr>
            </w:pPr>
            <w:bookmarkStart w:id="26" w:name="_DV_C335"/>
            <w:r w:rsidRPr="003B6CF7">
              <w:rPr>
                <w:rFonts w:eastAsia="Calibri"/>
                <w:noProof/>
                <w:sz w:val="22"/>
                <w:szCs w:val="22"/>
                <w:lang w:eastAsia="en-US"/>
              </w:rPr>
              <w:t>[0,6</w:t>
            </w:r>
            <w:bookmarkEnd w:id="26"/>
            <w:r w:rsidRPr="003B6CF7">
              <w:rPr>
                <w:rFonts w:eastAsia="Calibri"/>
                <w:noProof/>
                <w:sz w:val="22"/>
                <w:szCs w:val="22"/>
                <w:lang w:eastAsia="en-US"/>
              </w:rPr>
              <w:t>]</w:t>
            </w:r>
          </w:p>
        </w:tc>
        <w:tc>
          <w:tcPr>
            <w:tcW w:w="1262" w:type="dxa"/>
            <w:tcMar>
              <w:left w:w="28" w:type="dxa"/>
              <w:right w:w="28" w:type="dxa"/>
            </w:tcMar>
          </w:tcPr>
          <w:p w14:paraId="45D9C5A7"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4E8075B4" w14:textId="77777777" w:rsidR="003524E3" w:rsidRPr="003B6CF7" w:rsidRDefault="003524E3" w:rsidP="003524E3">
            <w:pPr>
              <w:widowControl/>
              <w:spacing w:before="40" w:after="40"/>
              <w:rPr>
                <w:rFonts w:eastAsia="Calibri"/>
                <w:strike/>
                <w:noProof/>
                <w:sz w:val="22"/>
                <w:szCs w:val="22"/>
                <w:lang w:eastAsia="en-US"/>
              </w:rPr>
            </w:pPr>
          </w:p>
        </w:tc>
        <w:tc>
          <w:tcPr>
            <w:tcW w:w="970" w:type="dxa"/>
            <w:tcMar>
              <w:left w:w="28" w:type="dxa"/>
              <w:right w:w="28" w:type="dxa"/>
            </w:tcMar>
          </w:tcPr>
          <w:p w14:paraId="313052A8" w14:textId="77777777" w:rsidR="003524E3" w:rsidRPr="003B6CF7" w:rsidRDefault="003524E3" w:rsidP="003524E3">
            <w:pPr>
              <w:widowControl/>
              <w:spacing w:before="40" w:after="40"/>
              <w:rPr>
                <w:rFonts w:eastAsia="Calibri"/>
                <w:strike/>
                <w:noProof/>
                <w:sz w:val="22"/>
                <w:szCs w:val="22"/>
                <w:lang w:eastAsia="en-US"/>
              </w:rPr>
            </w:pPr>
          </w:p>
        </w:tc>
      </w:tr>
      <w:tr w:rsidR="003524E3" w:rsidRPr="003B6CF7" w14:paraId="0F7A0C68" w14:textId="77777777" w:rsidTr="003524E3">
        <w:trPr>
          <w:gridBefore w:val="1"/>
          <w:wBefore w:w="12" w:type="dxa"/>
          <w:cantSplit/>
          <w:tblHeader/>
          <w:jc w:val="center"/>
        </w:trPr>
        <w:tc>
          <w:tcPr>
            <w:tcW w:w="651" w:type="dxa"/>
            <w:gridSpan w:val="3"/>
            <w:vMerge/>
            <w:tcMar>
              <w:left w:w="28" w:type="dxa"/>
              <w:right w:w="28" w:type="dxa"/>
            </w:tcMar>
          </w:tcPr>
          <w:p w14:paraId="16348E7F"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94B647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Benso(b)fluoranten</w:t>
            </w:r>
          </w:p>
        </w:tc>
        <w:tc>
          <w:tcPr>
            <w:tcW w:w="1329" w:type="dxa"/>
            <w:gridSpan w:val="3"/>
            <w:tcMar>
              <w:left w:w="28" w:type="dxa"/>
              <w:right w:w="28" w:type="dxa"/>
            </w:tcMar>
          </w:tcPr>
          <w:p w14:paraId="5C5B251E"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2FABC6B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205-99-2</w:t>
            </w:r>
          </w:p>
        </w:tc>
        <w:tc>
          <w:tcPr>
            <w:tcW w:w="1134" w:type="dxa"/>
          </w:tcPr>
          <w:p w14:paraId="6BF42E81" w14:textId="77777777" w:rsidR="003524E3" w:rsidRPr="003B6CF7" w:rsidDel="00BD2DD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205-911-9</w:t>
            </w:r>
          </w:p>
        </w:tc>
        <w:tc>
          <w:tcPr>
            <w:tcW w:w="1279" w:type="dxa"/>
            <w:gridSpan w:val="2"/>
            <w:tcMar>
              <w:left w:w="28" w:type="dxa"/>
              <w:right w:w="28" w:type="dxa"/>
            </w:tcMar>
          </w:tcPr>
          <w:p w14:paraId="11A8EFA5" w14:textId="77777777" w:rsidR="003524E3" w:rsidRPr="003B6CF7" w:rsidRDefault="003524E3" w:rsidP="003524E3">
            <w:pPr>
              <w:widowControl/>
              <w:spacing w:before="40" w:after="40"/>
              <w:rPr>
                <w:rFonts w:eastAsia="Calibri"/>
                <w:b/>
                <w:i/>
                <w:noProof/>
                <w:sz w:val="22"/>
                <w:szCs w:val="22"/>
                <w:lang w:eastAsia="en-US"/>
              </w:rPr>
            </w:pPr>
          </w:p>
        </w:tc>
        <w:tc>
          <w:tcPr>
            <w:tcW w:w="1279" w:type="dxa"/>
            <w:gridSpan w:val="2"/>
            <w:tcMar>
              <w:left w:w="28" w:type="dxa"/>
              <w:right w:w="28" w:type="dxa"/>
            </w:tcMar>
          </w:tcPr>
          <w:p w14:paraId="18FE4C42" w14:textId="77777777" w:rsidR="003524E3" w:rsidRPr="003B6CF7" w:rsidRDefault="003524E3" w:rsidP="003524E3">
            <w:pPr>
              <w:widowControl/>
              <w:spacing w:before="40" w:after="40"/>
              <w:rPr>
                <w:rFonts w:eastAsia="Calibri"/>
                <w:b/>
                <w:i/>
                <w:noProof/>
                <w:sz w:val="22"/>
                <w:szCs w:val="22"/>
                <w:lang w:eastAsia="en-US"/>
              </w:rPr>
            </w:pPr>
          </w:p>
        </w:tc>
        <w:tc>
          <w:tcPr>
            <w:tcW w:w="1278" w:type="dxa"/>
            <w:gridSpan w:val="2"/>
            <w:tcMar>
              <w:left w:w="28" w:type="dxa"/>
              <w:right w:w="28" w:type="dxa"/>
            </w:tcMar>
          </w:tcPr>
          <w:p w14:paraId="6EC0461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0,017</w:t>
            </w:r>
          </w:p>
        </w:tc>
        <w:tc>
          <w:tcPr>
            <w:tcW w:w="1277" w:type="dxa"/>
            <w:gridSpan w:val="2"/>
            <w:tcMar>
              <w:left w:w="28" w:type="dxa"/>
              <w:right w:w="28" w:type="dxa"/>
            </w:tcMar>
          </w:tcPr>
          <w:p w14:paraId="614E7A9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0,017</w:t>
            </w:r>
          </w:p>
        </w:tc>
        <w:tc>
          <w:tcPr>
            <w:tcW w:w="1136" w:type="dxa"/>
            <w:gridSpan w:val="2"/>
            <w:tcMar>
              <w:left w:w="28" w:type="dxa"/>
              <w:right w:w="28" w:type="dxa"/>
            </w:tcMar>
          </w:tcPr>
          <w:p w14:paraId="1AC295CE" w14:textId="77777777" w:rsidR="003524E3" w:rsidRPr="003B6CF7" w:rsidRDefault="003524E3" w:rsidP="003524E3">
            <w:pPr>
              <w:widowControl/>
              <w:spacing w:before="40" w:after="40"/>
              <w:rPr>
                <w:rFonts w:eastAsia="Calibri"/>
                <w:b/>
                <w:noProof/>
                <w:sz w:val="22"/>
                <w:szCs w:val="22"/>
                <w:lang w:eastAsia="en-US"/>
              </w:rPr>
            </w:pPr>
            <w:bookmarkStart w:id="27" w:name="_DV_C338"/>
            <w:r w:rsidRPr="003B6CF7">
              <w:rPr>
                <w:rFonts w:eastAsia="Calibri"/>
                <w:noProof/>
                <w:sz w:val="22"/>
                <w:szCs w:val="22"/>
                <w:lang w:eastAsia="en-US"/>
              </w:rPr>
              <w:t xml:space="preserve">se fotnot </w:t>
            </w:r>
            <w:bookmarkEnd w:id="27"/>
            <w:r w:rsidRPr="003B6CF7">
              <w:rPr>
                <w:rFonts w:eastAsia="Calibri"/>
                <w:noProof/>
                <w:sz w:val="22"/>
                <w:szCs w:val="22"/>
                <w:lang w:eastAsia="en-US"/>
              </w:rPr>
              <w:t>17</w:t>
            </w:r>
          </w:p>
        </w:tc>
        <w:tc>
          <w:tcPr>
            <w:tcW w:w="1262" w:type="dxa"/>
            <w:tcMar>
              <w:left w:w="28" w:type="dxa"/>
              <w:right w:w="28" w:type="dxa"/>
            </w:tcMar>
          </w:tcPr>
          <w:p w14:paraId="35F9BF3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4929E12C"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66B02B4D"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04904808" w14:textId="77777777" w:rsidTr="003524E3">
        <w:trPr>
          <w:gridBefore w:val="1"/>
          <w:wBefore w:w="12" w:type="dxa"/>
          <w:cantSplit/>
          <w:tblHeader/>
          <w:jc w:val="center"/>
        </w:trPr>
        <w:tc>
          <w:tcPr>
            <w:tcW w:w="651" w:type="dxa"/>
            <w:gridSpan w:val="3"/>
            <w:vMerge/>
            <w:tcMar>
              <w:left w:w="28" w:type="dxa"/>
              <w:right w:w="28" w:type="dxa"/>
            </w:tcMar>
          </w:tcPr>
          <w:p w14:paraId="583AA6AE"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D1944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Benso(k)fluoranten</w:t>
            </w:r>
          </w:p>
        </w:tc>
        <w:tc>
          <w:tcPr>
            <w:tcW w:w="1329" w:type="dxa"/>
            <w:gridSpan w:val="3"/>
            <w:tcMar>
              <w:left w:w="28" w:type="dxa"/>
              <w:right w:w="28" w:type="dxa"/>
            </w:tcMar>
          </w:tcPr>
          <w:p w14:paraId="2D59E39E"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6C7DF9B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207-08-9</w:t>
            </w:r>
          </w:p>
        </w:tc>
        <w:tc>
          <w:tcPr>
            <w:tcW w:w="1134" w:type="dxa"/>
          </w:tcPr>
          <w:p w14:paraId="37E2C398" w14:textId="77777777" w:rsidR="003524E3" w:rsidRPr="003B6CF7" w:rsidDel="00BD2DD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205-916-6</w:t>
            </w:r>
          </w:p>
        </w:tc>
        <w:tc>
          <w:tcPr>
            <w:tcW w:w="1279" w:type="dxa"/>
            <w:gridSpan w:val="2"/>
            <w:tcMar>
              <w:left w:w="28" w:type="dxa"/>
              <w:right w:w="28" w:type="dxa"/>
            </w:tcMar>
          </w:tcPr>
          <w:p w14:paraId="1176627B" w14:textId="77777777" w:rsidR="003524E3" w:rsidRPr="003B6CF7" w:rsidRDefault="003524E3" w:rsidP="003524E3">
            <w:pPr>
              <w:widowControl/>
              <w:spacing w:before="40" w:after="40"/>
              <w:rPr>
                <w:rFonts w:eastAsia="Calibri"/>
                <w:b/>
                <w:i/>
                <w:noProof/>
                <w:sz w:val="22"/>
                <w:szCs w:val="22"/>
                <w:lang w:eastAsia="en-US"/>
              </w:rPr>
            </w:pPr>
          </w:p>
        </w:tc>
        <w:tc>
          <w:tcPr>
            <w:tcW w:w="1279" w:type="dxa"/>
            <w:gridSpan w:val="2"/>
            <w:tcMar>
              <w:left w:w="28" w:type="dxa"/>
              <w:right w:w="28" w:type="dxa"/>
            </w:tcMar>
          </w:tcPr>
          <w:p w14:paraId="05ACCE5F" w14:textId="77777777" w:rsidR="003524E3" w:rsidRPr="003B6CF7" w:rsidRDefault="003524E3" w:rsidP="003524E3">
            <w:pPr>
              <w:widowControl/>
              <w:spacing w:before="40" w:after="40"/>
              <w:rPr>
                <w:rFonts w:eastAsia="Calibri"/>
                <w:b/>
                <w:i/>
                <w:noProof/>
                <w:sz w:val="22"/>
                <w:szCs w:val="22"/>
                <w:lang w:eastAsia="en-US"/>
              </w:rPr>
            </w:pPr>
          </w:p>
        </w:tc>
        <w:tc>
          <w:tcPr>
            <w:tcW w:w="1278" w:type="dxa"/>
            <w:gridSpan w:val="2"/>
            <w:tcMar>
              <w:left w:w="28" w:type="dxa"/>
              <w:right w:w="28" w:type="dxa"/>
            </w:tcMar>
          </w:tcPr>
          <w:p w14:paraId="5175C32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0,017</w:t>
            </w:r>
          </w:p>
        </w:tc>
        <w:tc>
          <w:tcPr>
            <w:tcW w:w="1277" w:type="dxa"/>
            <w:gridSpan w:val="2"/>
            <w:tcMar>
              <w:left w:w="28" w:type="dxa"/>
              <w:right w:w="28" w:type="dxa"/>
            </w:tcMar>
          </w:tcPr>
          <w:p w14:paraId="2DCC117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0,017</w:t>
            </w:r>
          </w:p>
        </w:tc>
        <w:tc>
          <w:tcPr>
            <w:tcW w:w="1136" w:type="dxa"/>
            <w:gridSpan w:val="2"/>
            <w:tcMar>
              <w:left w:w="28" w:type="dxa"/>
              <w:right w:w="28" w:type="dxa"/>
            </w:tcMar>
          </w:tcPr>
          <w:p w14:paraId="08C811AD" w14:textId="77777777" w:rsidR="003524E3" w:rsidRPr="003B6CF7" w:rsidRDefault="003524E3" w:rsidP="003524E3">
            <w:pPr>
              <w:widowControl/>
              <w:spacing w:before="40" w:after="40"/>
              <w:rPr>
                <w:rFonts w:eastAsia="Calibri"/>
                <w:b/>
                <w:noProof/>
                <w:sz w:val="22"/>
                <w:szCs w:val="22"/>
                <w:lang w:eastAsia="en-US"/>
              </w:rPr>
            </w:pPr>
            <w:bookmarkStart w:id="28" w:name="_DV_C341"/>
            <w:r w:rsidRPr="003B6CF7">
              <w:rPr>
                <w:rFonts w:eastAsia="Calibri"/>
                <w:noProof/>
                <w:sz w:val="22"/>
                <w:szCs w:val="22"/>
                <w:lang w:eastAsia="en-US"/>
              </w:rPr>
              <w:t xml:space="preserve">se fotnot </w:t>
            </w:r>
            <w:bookmarkEnd w:id="28"/>
            <w:r w:rsidRPr="003B6CF7">
              <w:rPr>
                <w:rFonts w:eastAsia="Calibri"/>
                <w:noProof/>
                <w:sz w:val="22"/>
                <w:szCs w:val="22"/>
                <w:lang w:eastAsia="en-US"/>
              </w:rPr>
              <w:t>17</w:t>
            </w:r>
          </w:p>
        </w:tc>
        <w:tc>
          <w:tcPr>
            <w:tcW w:w="1262" w:type="dxa"/>
            <w:tcMar>
              <w:left w:w="28" w:type="dxa"/>
              <w:right w:w="28" w:type="dxa"/>
            </w:tcMar>
          </w:tcPr>
          <w:p w14:paraId="7E5AD9D5"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E63C539"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54921DDB"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54EE4239" w14:textId="77777777" w:rsidTr="003524E3">
        <w:trPr>
          <w:gridBefore w:val="1"/>
          <w:wBefore w:w="12" w:type="dxa"/>
          <w:cantSplit/>
          <w:tblHeader/>
          <w:jc w:val="center"/>
        </w:trPr>
        <w:tc>
          <w:tcPr>
            <w:tcW w:w="651" w:type="dxa"/>
            <w:gridSpan w:val="3"/>
            <w:vMerge/>
            <w:tcMar>
              <w:left w:w="28" w:type="dxa"/>
              <w:right w:w="28" w:type="dxa"/>
            </w:tcMar>
          </w:tcPr>
          <w:p w14:paraId="2E281CD8"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3E75E50" w14:textId="77777777" w:rsidR="003524E3" w:rsidRPr="003B6CF7" w:rsidRDefault="003524E3" w:rsidP="003524E3">
            <w:pPr>
              <w:widowControl/>
              <w:spacing w:before="40" w:after="40"/>
              <w:rPr>
                <w:rFonts w:eastAsia="Calibri"/>
                <w:noProof/>
                <w:sz w:val="22"/>
                <w:szCs w:val="22"/>
                <w:lang w:val="pt-PT" w:eastAsia="en-US"/>
              </w:rPr>
            </w:pPr>
            <w:r w:rsidRPr="003B6CF7">
              <w:rPr>
                <w:rFonts w:eastAsia="Calibri"/>
                <w:noProof/>
                <w:sz w:val="22"/>
                <w:szCs w:val="22"/>
                <w:lang w:val="pt-PT" w:eastAsia="en-US"/>
              </w:rPr>
              <w:t>Benso(g,h,i)perylen</w:t>
            </w:r>
          </w:p>
        </w:tc>
        <w:tc>
          <w:tcPr>
            <w:tcW w:w="1329" w:type="dxa"/>
            <w:gridSpan w:val="3"/>
            <w:tcMar>
              <w:left w:w="28" w:type="dxa"/>
              <w:right w:w="28" w:type="dxa"/>
            </w:tcMar>
          </w:tcPr>
          <w:p w14:paraId="6E1A06B7" w14:textId="77777777" w:rsidR="003524E3" w:rsidRPr="003B6CF7" w:rsidRDefault="003524E3" w:rsidP="003524E3">
            <w:pPr>
              <w:widowControl/>
              <w:spacing w:before="40" w:after="40"/>
              <w:rPr>
                <w:rFonts w:eastAsia="Calibri"/>
                <w:noProof/>
                <w:sz w:val="22"/>
                <w:szCs w:val="22"/>
                <w:lang w:val="pt-PT" w:eastAsia="en-US"/>
              </w:rPr>
            </w:pPr>
          </w:p>
        </w:tc>
        <w:tc>
          <w:tcPr>
            <w:tcW w:w="992" w:type="dxa"/>
            <w:gridSpan w:val="2"/>
            <w:tcMar>
              <w:left w:w="28" w:type="dxa"/>
              <w:right w:w="28" w:type="dxa"/>
            </w:tcMar>
          </w:tcPr>
          <w:p w14:paraId="77808AA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191-24-2</w:t>
            </w:r>
          </w:p>
        </w:tc>
        <w:tc>
          <w:tcPr>
            <w:tcW w:w="1134" w:type="dxa"/>
          </w:tcPr>
          <w:p w14:paraId="1953D900" w14:textId="77777777" w:rsidR="003524E3" w:rsidRPr="003B6CF7" w:rsidDel="00BD2DD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205-883-8</w:t>
            </w:r>
          </w:p>
        </w:tc>
        <w:tc>
          <w:tcPr>
            <w:tcW w:w="1279" w:type="dxa"/>
            <w:gridSpan w:val="2"/>
            <w:tcMar>
              <w:left w:w="28" w:type="dxa"/>
              <w:right w:w="28" w:type="dxa"/>
            </w:tcMar>
          </w:tcPr>
          <w:p w14:paraId="40B88E9F" w14:textId="77777777" w:rsidR="003524E3" w:rsidRPr="003B6CF7" w:rsidRDefault="003524E3" w:rsidP="003524E3">
            <w:pPr>
              <w:widowControl/>
              <w:spacing w:before="40" w:after="40"/>
              <w:rPr>
                <w:rFonts w:eastAsia="Calibri"/>
                <w:b/>
                <w:i/>
                <w:noProof/>
                <w:sz w:val="22"/>
                <w:szCs w:val="22"/>
                <w:lang w:eastAsia="en-US"/>
              </w:rPr>
            </w:pPr>
          </w:p>
        </w:tc>
        <w:tc>
          <w:tcPr>
            <w:tcW w:w="1279" w:type="dxa"/>
            <w:gridSpan w:val="2"/>
            <w:tcMar>
              <w:left w:w="28" w:type="dxa"/>
              <w:right w:w="28" w:type="dxa"/>
            </w:tcMar>
          </w:tcPr>
          <w:p w14:paraId="03443764" w14:textId="77777777" w:rsidR="003524E3" w:rsidRPr="003B6CF7" w:rsidRDefault="003524E3" w:rsidP="003524E3">
            <w:pPr>
              <w:widowControl/>
              <w:spacing w:before="40" w:after="40"/>
              <w:rPr>
                <w:rFonts w:eastAsia="Calibri"/>
                <w:b/>
                <w:i/>
                <w:noProof/>
                <w:sz w:val="22"/>
                <w:szCs w:val="22"/>
                <w:lang w:eastAsia="en-US"/>
              </w:rPr>
            </w:pPr>
          </w:p>
        </w:tc>
        <w:tc>
          <w:tcPr>
            <w:tcW w:w="1278" w:type="dxa"/>
            <w:gridSpan w:val="2"/>
            <w:tcMar>
              <w:left w:w="28" w:type="dxa"/>
              <w:right w:w="28" w:type="dxa"/>
            </w:tcMar>
          </w:tcPr>
          <w:p w14:paraId="6B0DB1B2"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8,2 × 10</w:t>
            </w:r>
            <w:r w:rsidRPr="003B6CF7">
              <w:rPr>
                <w:rFonts w:eastAsia="Calibri"/>
                <w:noProof/>
                <w:sz w:val="22"/>
                <w:szCs w:val="22"/>
                <w:vertAlign w:val="superscript"/>
                <w:lang w:eastAsia="en-US"/>
              </w:rPr>
              <w:t>-3</w:t>
            </w:r>
          </w:p>
        </w:tc>
        <w:tc>
          <w:tcPr>
            <w:tcW w:w="1277" w:type="dxa"/>
            <w:gridSpan w:val="2"/>
            <w:tcMar>
              <w:left w:w="28" w:type="dxa"/>
              <w:right w:w="28" w:type="dxa"/>
            </w:tcMar>
          </w:tcPr>
          <w:p w14:paraId="0766E69E"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8,2 × 10</w:t>
            </w:r>
            <w:r w:rsidRPr="003B6CF7">
              <w:rPr>
                <w:rFonts w:eastAsia="Calibri"/>
                <w:noProof/>
                <w:sz w:val="22"/>
                <w:szCs w:val="22"/>
                <w:vertAlign w:val="superscript"/>
                <w:lang w:eastAsia="en-US"/>
              </w:rPr>
              <w:t>-4</w:t>
            </w:r>
          </w:p>
        </w:tc>
        <w:tc>
          <w:tcPr>
            <w:tcW w:w="1136" w:type="dxa"/>
            <w:gridSpan w:val="2"/>
            <w:tcMar>
              <w:left w:w="28" w:type="dxa"/>
              <w:right w:w="28" w:type="dxa"/>
            </w:tcMar>
          </w:tcPr>
          <w:p w14:paraId="11A9E3A3" w14:textId="77777777" w:rsidR="003524E3" w:rsidRPr="003B6CF7" w:rsidRDefault="003524E3" w:rsidP="003524E3">
            <w:pPr>
              <w:widowControl/>
              <w:spacing w:before="40" w:after="40"/>
              <w:rPr>
                <w:rFonts w:eastAsia="Calibri"/>
                <w:b/>
                <w:noProof/>
                <w:sz w:val="22"/>
                <w:szCs w:val="22"/>
                <w:lang w:eastAsia="en-US"/>
              </w:rPr>
            </w:pPr>
            <w:bookmarkStart w:id="29" w:name="_DV_C344"/>
            <w:r w:rsidRPr="003B6CF7">
              <w:rPr>
                <w:rFonts w:eastAsia="Calibri"/>
                <w:noProof/>
                <w:sz w:val="22"/>
                <w:szCs w:val="22"/>
                <w:lang w:eastAsia="en-US"/>
              </w:rPr>
              <w:t xml:space="preserve">se fotnot </w:t>
            </w:r>
            <w:bookmarkEnd w:id="29"/>
            <w:r w:rsidRPr="003B6CF7">
              <w:rPr>
                <w:rFonts w:eastAsia="Calibri"/>
                <w:noProof/>
                <w:sz w:val="22"/>
                <w:szCs w:val="22"/>
                <w:lang w:eastAsia="en-US"/>
              </w:rPr>
              <w:t>17</w:t>
            </w:r>
          </w:p>
        </w:tc>
        <w:tc>
          <w:tcPr>
            <w:tcW w:w="1262" w:type="dxa"/>
            <w:tcMar>
              <w:left w:w="28" w:type="dxa"/>
              <w:right w:w="28" w:type="dxa"/>
            </w:tcMar>
          </w:tcPr>
          <w:p w14:paraId="3D8EAC72"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257A6F27"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6506E78F"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227BF6DE" w14:textId="77777777" w:rsidTr="003524E3">
        <w:trPr>
          <w:gridBefore w:val="1"/>
          <w:wBefore w:w="12" w:type="dxa"/>
          <w:cantSplit/>
          <w:tblHeader/>
          <w:jc w:val="center"/>
        </w:trPr>
        <w:tc>
          <w:tcPr>
            <w:tcW w:w="651" w:type="dxa"/>
            <w:gridSpan w:val="3"/>
            <w:vMerge/>
            <w:tcMar>
              <w:left w:w="28" w:type="dxa"/>
              <w:right w:w="28" w:type="dxa"/>
            </w:tcMar>
          </w:tcPr>
          <w:p w14:paraId="536F666A"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3B8C4F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Indeno(1,2,3-cd)pyren</w:t>
            </w:r>
          </w:p>
        </w:tc>
        <w:tc>
          <w:tcPr>
            <w:tcW w:w="1329" w:type="dxa"/>
            <w:gridSpan w:val="3"/>
            <w:tcMar>
              <w:left w:w="28" w:type="dxa"/>
              <w:right w:w="28" w:type="dxa"/>
            </w:tcMar>
          </w:tcPr>
          <w:p w14:paraId="12689352"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50E859C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193-39-5</w:t>
            </w:r>
          </w:p>
        </w:tc>
        <w:tc>
          <w:tcPr>
            <w:tcW w:w="1134" w:type="dxa"/>
          </w:tcPr>
          <w:p w14:paraId="7CC8E87A" w14:textId="77777777" w:rsidR="003524E3" w:rsidRPr="003B6CF7" w:rsidDel="00BD2DD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205-893-2</w:t>
            </w:r>
          </w:p>
        </w:tc>
        <w:tc>
          <w:tcPr>
            <w:tcW w:w="1279" w:type="dxa"/>
            <w:gridSpan w:val="2"/>
            <w:tcMar>
              <w:left w:w="28" w:type="dxa"/>
              <w:right w:w="28" w:type="dxa"/>
            </w:tcMar>
          </w:tcPr>
          <w:p w14:paraId="428B9192" w14:textId="77777777" w:rsidR="003524E3" w:rsidRPr="003B6CF7" w:rsidRDefault="003524E3" w:rsidP="003524E3">
            <w:pPr>
              <w:widowControl/>
              <w:spacing w:before="40" w:after="40"/>
              <w:rPr>
                <w:rFonts w:eastAsia="Calibri"/>
                <w:b/>
                <w:i/>
                <w:noProof/>
                <w:sz w:val="22"/>
                <w:szCs w:val="22"/>
                <w:lang w:eastAsia="en-US"/>
              </w:rPr>
            </w:pPr>
          </w:p>
        </w:tc>
        <w:tc>
          <w:tcPr>
            <w:tcW w:w="1279" w:type="dxa"/>
            <w:gridSpan w:val="2"/>
            <w:tcMar>
              <w:left w:w="28" w:type="dxa"/>
              <w:right w:w="28" w:type="dxa"/>
            </w:tcMar>
          </w:tcPr>
          <w:p w14:paraId="7F5C749D" w14:textId="77777777" w:rsidR="003524E3" w:rsidRPr="003B6CF7" w:rsidRDefault="003524E3" w:rsidP="003524E3">
            <w:pPr>
              <w:widowControl/>
              <w:spacing w:before="40" w:after="40"/>
              <w:rPr>
                <w:rFonts w:eastAsia="Calibri"/>
                <w:b/>
                <w:i/>
                <w:noProof/>
                <w:sz w:val="22"/>
                <w:szCs w:val="22"/>
                <w:lang w:eastAsia="en-US"/>
              </w:rPr>
            </w:pPr>
          </w:p>
        </w:tc>
        <w:tc>
          <w:tcPr>
            <w:tcW w:w="1278" w:type="dxa"/>
            <w:gridSpan w:val="2"/>
            <w:tcMar>
              <w:left w:w="28" w:type="dxa"/>
              <w:right w:w="28" w:type="dxa"/>
            </w:tcMar>
          </w:tcPr>
          <w:p w14:paraId="18F29E6D" w14:textId="77777777" w:rsidR="003524E3" w:rsidRPr="003B6CF7" w:rsidRDefault="003524E3" w:rsidP="003524E3">
            <w:pPr>
              <w:widowControl/>
              <w:spacing w:before="40" w:after="40"/>
              <w:rPr>
                <w:rFonts w:eastAsia="Calibri"/>
                <w:b/>
                <w:i/>
                <w:noProof/>
                <w:sz w:val="22"/>
                <w:szCs w:val="22"/>
                <w:lang w:eastAsia="en-US"/>
              </w:rPr>
            </w:pPr>
            <w:bookmarkStart w:id="30" w:name="_DV_C347"/>
            <w:r w:rsidRPr="003B6CF7">
              <w:rPr>
                <w:rFonts w:eastAsia="Calibri"/>
                <w:noProof/>
                <w:sz w:val="22"/>
                <w:szCs w:val="22"/>
                <w:lang w:eastAsia="en-US"/>
              </w:rPr>
              <w:t>Ej tillämpligt</w:t>
            </w:r>
            <w:bookmarkEnd w:id="30"/>
          </w:p>
        </w:tc>
        <w:tc>
          <w:tcPr>
            <w:tcW w:w="1277" w:type="dxa"/>
            <w:gridSpan w:val="2"/>
            <w:tcMar>
              <w:left w:w="28" w:type="dxa"/>
              <w:right w:w="28" w:type="dxa"/>
            </w:tcMar>
          </w:tcPr>
          <w:p w14:paraId="2EB48AF3" w14:textId="77777777" w:rsidR="003524E3" w:rsidRPr="003B6CF7" w:rsidRDefault="003524E3" w:rsidP="003524E3">
            <w:pPr>
              <w:widowControl/>
              <w:spacing w:before="40" w:after="40"/>
              <w:rPr>
                <w:rFonts w:eastAsia="Calibri"/>
                <w:b/>
                <w:i/>
                <w:noProof/>
                <w:sz w:val="22"/>
                <w:szCs w:val="22"/>
                <w:lang w:eastAsia="en-US"/>
              </w:rPr>
            </w:pPr>
            <w:bookmarkStart w:id="31" w:name="_DV_C348"/>
            <w:r w:rsidRPr="003B6CF7">
              <w:rPr>
                <w:rFonts w:eastAsia="Calibri"/>
                <w:noProof/>
                <w:sz w:val="22"/>
                <w:szCs w:val="22"/>
                <w:lang w:eastAsia="en-US"/>
              </w:rPr>
              <w:t>Ej tillämpligt</w:t>
            </w:r>
            <w:bookmarkEnd w:id="31"/>
          </w:p>
        </w:tc>
        <w:tc>
          <w:tcPr>
            <w:tcW w:w="1136" w:type="dxa"/>
            <w:gridSpan w:val="2"/>
            <w:tcMar>
              <w:left w:w="28" w:type="dxa"/>
              <w:right w:w="28" w:type="dxa"/>
            </w:tcMar>
          </w:tcPr>
          <w:p w14:paraId="5F434D77" w14:textId="77777777" w:rsidR="003524E3" w:rsidRPr="003B6CF7" w:rsidRDefault="003524E3" w:rsidP="003524E3">
            <w:pPr>
              <w:widowControl/>
              <w:spacing w:before="40" w:after="40"/>
              <w:rPr>
                <w:rFonts w:eastAsia="Calibri"/>
                <w:b/>
                <w:noProof/>
                <w:sz w:val="22"/>
                <w:szCs w:val="22"/>
                <w:lang w:eastAsia="en-US"/>
              </w:rPr>
            </w:pPr>
            <w:bookmarkStart w:id="32" w:name="_DV_C349"/>
            <w:r w:rsidRPr="003B6CF7">
              <w:rPr>
                <w:rFonts w:eastAsia="Calibri"/>
                <w:noProof/>
                <w:sz w:val="22"/>
                <w:szCs w:val="22"/>
                <w:lang w:eastAsia="en-US"/>
              </w:rPr>
              <w:t xml:space="preserve">se fotnot </w:t>
            </w:r>
            <w:bookmarkEnd w:id="32"/>
            <w:r w:rsidRPr="003B6CF7">
              <w:rPr>
                <w:rFonts w:eastAsia="Calibri"/>
                <w:noProof/>
                <w:sz w:val="22"/>
                <w:szCs w:val="22"/>
                <w:lang w:eastAsia="en-US"/>
              </w:rPr>
              <w:t>17</w:t>
            </w:r>
          </w:p>
        </w:tc>
        <w:tc>
          <w:tcPr>
            <w:tcW w:w="1262" w:type="dxa"/>
            <w:tcMar>
              <w:left w:w="28" w:type="dxa"/>
              <w:right w:w="28" w:type="dxa"/>
            </w:tcMar>
          </w:tcPr>
          <w:p w14:paraId="33FFA91F"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207CA66"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2FEC977A"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6240B27B" w14:textId="77777777" w:rsidTr="003524E3">
        <w:trPr>
          <w:gridBefore w:val="1"/>
          <w:wBefore w:w="12" w:type="dxa"/>
          <w:cantSplit/>
          <w:tblHeader/>
          <w:jc w:val="center"/>
        </w:trPr>
        <w:tc>
          <w:tcPr>
            <w:tcW w:w="651" w:type="dxa"/>
            <w:gridSpan w:val="3"/>
            <w:vMerge/>
            <w:tcMar>
              <w:left w:w="28" w:type="dxa"/>
              <w:right w:w="28" w:type="dxa"/>
            </w:tcMar>
          </w:tcPr>
          <w:p w14:paraId="08BA6A6F" w14:textId="77777777" w:rsidR="003524E3" w:rsidRPr="003B6CF7" w:rsidRDefault="003524E3" w:rsidP="003524E3">
            <w:pPr>
              <w:widowControl/>
              <w:spacing w:before="40" w:after="40"/>
              <w:jc w:val="both"/>
              <w:rPr>
                <w:rFonts w:eastAsia="Calibri"/>
                <w:noProof/>
                <w:sz w:val="22"/>
                <w:szCs w:val="22"/>
                <w:lang w:eastAsia="en-US"/>
              </w:rPr>
            </w:pPr>
            <w:bookmarkStart w:id="33" w:name="_Hlk115700632"/>
          </w:p>
        </w:tc>
        <w:tc>
          <w:tcPr>
            <w:tcW w:w="2286" w:type="dxa"/>
            <w:gridSpan w:val="3"/>
            <w:tcMar>
              <w:left w:w="28" w:type="dxa"/>
              <w:right w:w="28" w:type="dxa"/>
            </w:tcMar>
          </w:tcPr>
          <w:p w14:paraId="7291D83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Krysen</w:t>
            </w:r>
          </w:p>
        </w:tc>
        <w:tc>
          <w:tcPr>
            <w:tcW w:w="1329" w:type="dxa"/>
            <w:gridSpan w:val="3"/>
            <w:tcMar>
              <w:left w:w="28" w:type="dxa"/>
              <w:right w:w="28" w:type="dxa"/>
            </w:tcMar>
          </w:tcPr>
          <w:p w14:paraId="6021E45E"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0F42D12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218-01-9</w:t>
            </w:r>
          </w:p>
        </w:tc>
        <w:tc>
          <w:tcPr>
            <w:tcW w:w="1134" w:type="dxa"/>
          </w:tcPr>
          <w:p w14:paraId="115F7B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205-923-4</w:t>
            </w:r>
          </w:p>
        </w:tc>
        <w:tc>
          <w:tcPr>
            <w:tcW w:w="1279" w:type="dxa"/>
            <w:gridSpan w:val="2"/>
            <w:tcMar>
              <w:left w:w="28" w:type="dxa"/>
              <w:right w:w="28" w:type="dxa"/>
            </w:tcMar>
          </w:tcPr>
          <w:p w14:paraId="171E0447" w14:textId="77777777" w:rsidR="003524E3" w:rsidRPr="003B6CF7" w:rsidRDefault="003524E3" w:rsidP="003524E3">
            <w:pPr>
              <w:widowControl/>
              <w:spacing w:before="40" w:after="40"/>
              <w:rPr>
                <w:rFonts w:eastAsia="Calibri"/>
                <w:i/>
                <w:noProof/>
                <w:sz w:val="22"/>
                <w:szCs w:val="22"/>
                <w:lang w:eastAsia="en-US"/>
              </w:rPr>
            </w:pPr>
          </w:p>
        </w:tc>
        <w:tc>
          <w:tcPr>
            <w:tcW w:w="1279" w:type="dxa"/>
            <w:gridSpan w:val="2"/>
            <w:tcMar>
              <w:left w:w="28" w:type="dxa"/>
              <w:right w:w="28" w:type="dxa"/>
            </w:tcMar>
          </w:tcPr>
          <w:p w14:paraId="7596DB3A" w14:textId="77777777" w:rsidR="003524E3" w:rsidRPr="003B6CF7" w:rsidRDefault="003524E3" w:rsidP="003524E3">
            <w:pPr>
              <w:widowControl/>
              <w:spacing w:before="40" w:after="40"/>
              <w:rPr>
                <w:rFonts w:eastAsia="Calibri"/>
                <w:i/>
                <w:noProof/>
                <w:sz w:val="22"/>
                <w:szCs w:val="22"/>
                <w:lang w:eastAsia="en-US"/>
              </w:rPr>
            </w:pPr>
          </w:p>
        </w:tc>
        <w:tc>
          <w:tcPr>
            <w:tcW w:w="1278" w:type="dxa"/>
            <w:gridSpan w:val="2"/>
            <w:tcMar>
              <w:left w:w="28" w:type="dxa"/>
              <w:right w:w="28" w:type="dxa"/>
            </w:tcMar>
          </w:tcPr>
          <w:p w14:paraId="37652C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0,07</w:t>
            </w:r>
          </w:p>
        </w:tc>
        <w:tc>
          <w:tcPr>
            <w:tcW w:w="1277" w:type="dxa"/>
            <w:gridSpan w:val="2"/>
            <w:tcMar>
              <w:left w:w="28" w:type="dxa"/>
              <w:right w:w="28" w:type="dxa"/>
            </w:tcMar>
          </w:tcPr>
          <w:p w14:paraId="3F5D31D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0,007</w:t>
            </w:r>
          </w:p>
        </w:tc>
        <w:tc>
          <w:tcPr>
            <w:tcW w:w="1136" w:type="dxa"/>
            <w:gridSpan w:val="2"/>
            <w:tcMar>
              <w:left w:w="28" w:type="dxa"/>
              <w:right w:w="28" w:type="dxa"/>
            </w:tcMar>
          </w:tcPr>
          <w:p w14:paraId="754DB70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se fotnot 17</w:t>
            </w:r>
          </w:p>
        </w:tc>
        <w:tc>
          <w:tcPr>
            <w:tcW w:w="1262" w:type="dxa"/>
            <w:tcMar>
              <w:left w:w="28" w:type="dxa"/>
              <w:right w:w="28" w:type="dxa"/>
            </w:tcMar>
          </w:tcPr>
          <w:p w14:paraId="4172A084" w14:textId="77777777" w:rsidR="003524E3" w:rsidRPr="003B6CF7" w:rsidRDefault="003524E3" w:rsidP="003524E3">
            <w:pPr>
              <w:widowControl/>
              <w:spacing w:before="40" w:after="40"/>
              <w:rPr>
                <w:rFonts w:eastAsia="Calibri"/>
                <w:i/>
                <w:noProof/>
                <w:sz w:val="22"/>
                <w:szCs w:val="22"/>
                <w:lang w:eastAsia="en-US"/>
              </w:rPr>
            </w:pPr>
          </w:p>
        </w:tc>
        <w:tc>
          <w:tcPr>
            <w:tcW w:w="1153" w:type="dxa"/>
            <w:gridSpan w:val="2"/>
            <w:tcMar>
              <w:left w:w="28" w:type="dxa"/>
              <w:right w:w="28" w:type="dxa"/>
            </w:tcMar>
          </w:tcPr>
          <w:p w14:paraId="6584CB3B"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32758A20"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780A5616" w14:textId="77777777" w:rsidTr="003524E3">
        <w:trPr>
          <w:gridBefore w:val="1"/>
          <w:wBefore w:w="12" w:type="dxa"/>
          <w:cantSplit/>
          <w:tblHeader/>
          <w:jc w:val="center"/>
        </w:trPr>
        <w:tc>
          <w:tcPr>
            <w:tcW w:w="651" w:type="dxa"/>
            <w:gridSpan w:val="3"/>
            <w:vMerge/>
            <w:tcMar>
              <w:left w:w="28" w:type="dxa"/>
              <w:right w:w="28" w:type="dxa"/>
            </w:tcMar>
          </w:tcPr>
          <w:p w14:paraId="670C161D"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5B932E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Bens(a)antracen</w:t>
            </w:r>
          </w:p>
        </w:tc>
        <w:tc>
          <w:tcPr>
            <w:tcW w:w="1329" w:type="dxa"/>
            <w:gridSpan w:val="3"/>
            <w:vMerge w:val="restart"/>
            <w:tcMar>
              <w:left w:w="28" w:type="dxa"/>
              <w:right w:w="28" w:type="dxa"/>
            </w:tcMar>
          </w:tcPr>
          <w:p w14:paraId="3CE36026"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79EC788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56-55-3</w:t>
            </w:r>
          </w:p>
        </w:tc>
        <w:tc>
          <w:tcPr>
            <w:tcW w:w="1134" w:type="dxa"/>
          </w:tcPr>
          <w:p w14:paraId="7FD8D45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200-280-6</w:t>
            </w:r>
          </w:p>
        </w:tc>
        <w:tc>
          <w:tcPr>
            <w:tcW w:w="1279" w:type="dxa"/>
            <w:gridSpan w:val="2"/>
            <w:tcMar>
              <w:left w:w="28" w:type="dxa"/>
              <w:right w:w="28" w:type="dxa"/>
            </w:tcMar>
          </w:tcPr>
          <w:p w14:paraId="3C5807C5" w14:textId="77777777" w:rsidR="003524E3" w:rsidRPr="003B6CF7" w:rsidRDefault="003524E3" w:rsidP="003524E3">
            <w:pPr>
              <w:widowControl/>
              <w:spacing w:before="40" w:after="40"/>
              <w:rPr>
                <w:rFonts w:eastAsia="Calibri"/>
                <w:i/>
                <w:noProof/>
                <w:sz w:val="22"/>
                <w:szCs w:val="22"/>
                <w:lang w:eastAsia="en-US"/>
              </w:rPr>
            </w:pPr>
          </w:p>
        </w:tc>
        <w:tc>
          <w:tcPr>
            <w:tcW w:w="1279" w:type="dxa"/>
            <w:gridSpan w:val="2"/>
            <w:tcMar>
              <w:left w:w="28" w:type="dxa"/>
              <w:right w:w="28" w:type="dxa"/>
            </w:tcMar>
          </w:tcPr>
          <w:p w14:paraId="182EE085" w14:textId="77777777" w:rsidR="003524E3" w:rsidRPr="003B6CF7" w:rsidRDefault="003524E3" w:rsidP="003524E3">
            <w:pPr>
              <w:widowControl/>
              <w:spacing w:before="40" w:after="40"/>
              <w:rPr>
                <w:rFonts w:eastAsia="Calibri"/>
                <w:i/>
                <w:noProof/>
                <w:sz w:val="22"/>
                <w:szCs w:val="22"/>
                <w:lang w:eastAsia="en-US"/>
              </w:rPr>
            </w:pPr>
          </w:p>
        </w:tc>
        <w:tc>
          <w:tcPr>
            <w:tcW w:w="1278" w:type="dxa"/>
            <w:gridSpan w:val="2"/>
            <w:tcMar>
              <w:left w:w="28" w:type="dxa"/>
              <w:right w:w="28" w:type="dxa"/>
            </w:tcMar>
          </w:tcPr>
          <w:p w14:paraId="5967FA8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277" w:type="dxa"/>
            <w:gridSpan w:val="2"/>
            <w:tcMar>
              <w:left w:w="28" w:type="dxa"/>
              <w:right w:w="28" w:type="dxa"/>
            </w:tcMar>
          </w:tcPr>
          <w:p w14:paraId="0502C6F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136" w:type="dxa"/>
            <w:gridSpan w:val="2"/>
            <w:tcMar>
              <w:left w:w="28" w:type="dxa"/>
              <w:right w:w="28" w:type="dxa"/>
            </w:tcMar>
          </w:tcPr>
          <w:p w14:paraId="5697B4D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se fotnot 17</w:t>
            </w:r>
          </w:p>
        </w:tc>
        <w:tc>
          <w:tcPr>
            <w:tcW w:w="1262" w:type="dxa"/>
            <w:tcMar>
              <w:left w:w="28" w:type="dxa"/>
              <w:right w:w="28" w:type="dxa"/>
            </w:tcMar>
          </w:tcPr>
          <w:p w14:paraId="150278E6" w14:textId="77777777" w:rsidR="003524E3" w:rsidRPr="003B6CF7" w:rsidRDefault="003524E3" w:rsidP="003524E3">
            <w:pPr>
              <w:widowControl/>
              <w:spacing w:before="40" w:after="40"/>
              <w:rPr>
                <w:rFonts w:eastAsia="Calibri"/>
                <w:i/>
                <w:noProof/>
                <w:sz w:val="22"/>
                <w:szCs w:val="22"/>
                <w:lang w:eastAsia="en-US"/>
              </w:rPr>
            </w:pPr>
          </w:p>
        </w:tc>
        <w:tc>
          <w:tcPr>
            <w:tcW w:w="1153" w:type="dxa"/>
            <w:gridSpan w:val="2"/>
            <w:tcMar>
              <w:left w:w="28" w:type="dxa"/>
              <w:right w:w="28" w:type="dxa"/>
            </w:tcMar>
          </w:tcPr>
          <w:p w14:paraId="1AE4D7A3"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58315803"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7B47F1ED" w14:textId="77777777" w:rsidTr="003524E3">
        <w:trPr>
          <w:gridBefore w:val="1"/>
          <w:wBefore w:w="12" w:type="dxa"/>
          <w:cantSplit/>
          <w:tblHeader/>
          <w:jc w:val="center"/>
        </w:trPr>
        <w:tc>
          <w:tcPr>
            <w:tcW w:w="651" w:type="dxa"/>
            <w:gridSpan w:val="3"/>
            <w:vMerge/>
            <w:tcMar>
              <w:left w:w="28" w:type="dxa"/>
              <w:right w:w="28" w:type="dxa"/>
            </w:tcMar>
          </w:tcPr>
          <w:p w14:paraId="3F957284" w14:textId="77777777" w:rsidR="003524E3" w:rsidRPr="003B6CF7" w:rsidRDefault="003524E3" w:rsidP="003524E3">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63571AC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Dibens(a,h)antracen</w:t>
            </w:r>
          </w:p>
        </w:tc>
        <w:tc>
          <w:tcPr>
            <w:tcW w:w="1329" w:type="dxa"/>
            <w:gridSpan w:val="3"/>
            <w:vMerge/>
            <w:tcMar>
              <w:left w:w="28" w:type="dxa"/>
              <w:right w:w="28" w:type="dxa"/>
            </w:tcMar>
          </w:tcPr>
          <w:p w14:paraId="1FAB228E" w14:textId="77777777" w:rsidR="003524E3" w:rsidRPr="003B6CF7" w:rsidRDefault="003524E3" w:rsidP="003524E3">
            <w:pPr>
              <w:widowControl/>
              <w:spacing w:before="40" w:after="40"/>
              <w:rPr>
                <w:rFonts w:eastAsia="Calibri"/>
                <w:noProof/>
                <w:sz w:val="22"/>
                <w:szCs w:val="22"/>
                <w:lang w:eastAsia="en-US"/>
              </w:rPr>
            </w:pPr>
          </w:p>
        </w:tc>
        <w:tc>
          <w:tcPr>
            <w:tcW w:w="992" w:type="dxa"/>
            <w:gridSpan w:val="2"/>
            <w:tcMar>
              <w:left w:w="28" w:type="dxa"/>
              <w:right w:w="28" w:type="dxa"/>
            </w:tcMar>
          </w:tcPr>
          <w:p w14:paraId="0359686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53-70-3</w:t>
            </w:r>
          </w:p>
        </w:tc>
        <w:tc>
          <w:tcPr>
            <w:tcW w:w="1134" w:type="dxa"/>
          </w:tcPr>
          <w:p w14:paraId="1806B71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200-181-8</w:t>
            </w:r>
          </w:p>
        </w:tc>
        <w:tc>
          <w:tcPr>
            <w:tcW w:w="1279" w:type="dxa"/>
            <w:gridSpan w:val="2"/>
            <w:tcMar>
              <w:left w:w="28" w:type="dxa"/>
              <w:right w:w="28" w:type="dxa"/>
            </w:tcMar>
          </w:tcPr>
          <w:p w14:paraId="54ABDE3A" w14:textId="77777777" w:rsidR="003524E3" w:rsidRPr="003B6CF7" w:rsidRDefault="003524E3" w:rsidP="003524E3">
            <w:pPr>
              <w:widowControl/>
              <w:spacing w:before="40" w:after="40"/>
              <w:rPr>
                <w:rFonts w:eastAsia="Calibri"/>
                <w:i/>
                <w:noProof/>
                <w:sz w:val="22"/>
                <w:szCs w:val="22"/>
                <w:lang w:eastAsia="en-US"/>
              </w:rPr>
            </w:pPr>
          </w:p>
        </w:tc>
        <w:tc>
          <w:tcPr>
            <w:tcW w:w="1279" w:type="dxa"/>
            <w:gridSpan w:val="2"/>
            <w:tcMar>
              <w:left w:w="28" w:type="dxa"/>
              <w:right w:w="28" w:type="dxa"/>
            </w:tcMar>
          </w:tcPr>
          <w:p w14:paraId="6079393A" w14:textId="77777777" w:rsidR="003524E3" w:rsidRPr="003B6CF7" w:rsidRDefault="003524E3" w:rsidP="003524E3">
            <w:pPr>
              <w:widowControl/>
              <w:spacing w:before="40" w:after="40"/>
              <w:rPr>
                <w:rFonts w:eastAsia="Calibri"/>
                <w:i/>
                <w:noProof/>
                <w:sz w:val="22"/>
                <w:szCs w:val="22"/>
                <w:lang w:eastAsia="en-US"/>
              </w:rPr>
            </w:pPr>
          </w:p>
        </w:tc>
        <w:tc>
          <w:tcPr>
            <w:tcW w:w="1278" w:type="dxa"/>
            <w:gridSpan w:val="2"/>
            <w:tcMar>
              <w:left w:w="28" w:type="dxa"/>
              <w:right w:w="28" w:type="dxa"/>
            </w:tcMar>
          </w:tcPr>
          <w:p w14:paraId="25953DF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0,014</w:t>
            </w:r>
          </w:p>
        </w:tc>
        <w:tc>
          <w:tcPr>
            <w:tcW w:w="1277" w:type="dxa"/>
            <w:gridSpan w:val="2"/>
            <w:tcMar>
              <w:left w:w="28" w:type="dxa"/>
              <w:right w:w="28" w:type="dxa"/>
            </w:tcMar>
          </w:tcPr>
          <w:p w14:paraId="6976E2A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0,0014</w:t>
            </w:r>
          </w:p>
        </w:tc>
        <w:tc>
          <w:tcPr>
            <w:tcW w:w="1136" w:type="dxa"/>
            <w:gridSpan w:val="2"/>
            <w:tcMar>
              <w:left w:w="28" w:type="dxa"/>
              <w:right w:w="28" w:type="dxa"/>
            </w:tcMar>
          </w:tcPr>
          <w:p w14:paraId="10E2FEA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se fotnot 17</w:t>
            </w:r>
          </w:p>
        </w:tc>
        <w:tc>
          <w:tcPr>
            <w:tcW w:w="1262" w:type="dxa"/>
            <w:tcMar>
              <w:left w:w="28" w:type="dxa"/>
              <w:right w:w="28" w:type="dxa"/>
            </w:tcMar>
          </w:tcPr>
          <w:p w14:paraId="6F505DE0" w14:textId="77777777" w:rsidR="003524E3" w:rsidRPr="003B6CF7" w:rsidRDefault="003524E3" w:rsidP="003524E3">
            <w:pPr>
              <w:widowControl/>
              <w:spacing w:before="40" w:after="40"/>
              <w:rPr>
                <w:rFonts w:eastAsia="Calibri"/>
                <w:i/>
                <w:noProof/>
                <w:sz w:val="22"/>
                <w:szCs w:val="22"/>
                <w:lang w:eastAsia="en-US"/>
              </w:rPr>
            </w:pPr>
          </w:p>
        </w:tc>
        <w:tc>
          <w:tcPr>
            <w:tcW w:w="1153" w:type="dxa"/>
            <w:gridSpan w:val="2"/>
            <w:tcMar>
              <w:left w:w="28" w:type="dxa"/>
              <w:right w:w="28" w:type="dxa"/>
            </w:tcMar>
          </w:tcPr>
          <w:p w14:paraId="792E5B53" w14:textId="77777777" w:rsidR="003524E3" w:rsidRPr="003B6CF7" w:rsidRDefault="003524E3" w:rsidP="003524E3">
            <w:pPr>
              <w:widowControl/>
              <w:spacing w:before="40" w:after="40"/>
              <w:rPr>
                <w:rFonts w:eastAsia="Calibri"/>
                <w:i/>
                <w:noProof/>
                <w:sz w:val="22"/>
                <w:szCs w:val="22"/>
                <w:lang w:eastAsia="en-US"/>
              </w:rPr>
            </w:pPr>
          </w:p>
        </w:tc>
        <w:tc>
          <w:tcPr>
            <w:tcW w:w="970" w:type="dxa"/>
            <w:tcMar>
              <w:left w:w="28" w:type="dxa"/>
              <w:right w:w="28" w:type="dxa"/>
            </w:tcMar>
          </w:tcPr>
          <w:p w14:paraId="02727039" w14:textId="77777777" w:rsidR="003524E3" w:rsidRPr="003B6CF7" w:rsidRDefault="003524E3" w:rsidP="003524E3">
            <w:pPr>
              <w:widowControl/>
              <w:spacing w:before="40" w:after="40"/>
              <w:rPr>
                <w:rFonts w:eastAsia="Calibri"/>
                <w:i/>
                <w:noProof/>
                <w:sz w:val="22"/>
                <w:szCs w:val="22"/>
                <w:lang w:eastAsia="en-US"/>
              </w:rPr>
            </w:pPr>
          </w:p>
        </w:tc>
      </w:tr>
      <w:tr w:rsidR="003524E3" w:rsidRPr="003B6CF7" w14:paraId="1DC39CD4" w14:textId="77777777" w:rsidTr="003524E3">
        <w:trPr>
          <w:gridBefore w:val="1"/>
          <w:wBefore w:w="12" w:type="dxa"/>
          <w:cantSplit/>
          <w:tblHeader/>
          <w:jc w:val="center"/>
        </w:trPr>
        <w:tc>
          <w:tcPr>
            <w:tcW w:w="651" w:type="dxa"/>
            <w:gridSpan w:val="3"/>
            <w:tcMar>
              <w:left w:w="28" w:type="dxa"/>
              <w:right w:w="28" w:type="dxa"/>
            </w:tcMar>
          </w:tcPr>
          <w:p w14:paraId="12190C4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(29)</w:t>
            </w:r>
          </w:p>
        </w:tc>
        <w:tc>
          <w:tcPr>
            <w:tcW w:w="15375" w:type="dxa"/>
            <w:gridSpan w:val="23"/>
            <w:tcMar>
              <w:left w:w="28" w:type="dxa"/>
              <w:right w:w="28" w:type="dxa"/>
            </w:tcMar>
          </w:tcPr>
          <w:p w14:paraId="65F9086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Ämnet simazin har flyttats till del C i bilaga II </w:t>
            </w:r>
          </w:p>
        </w:tc>
      </w:tr>
      <w:bookmarkEnd w:id="33"/>
      <w:tr w:rsidR="003524E3" w:rsidRPr="003B6CF7" w14:paraId="1548E033" w14:textId="77777777" w:rsidTr="003524E3">
        <w:trPr>
          <w:gridBefore w:val="1"/>
          <w:wBefore w:w="12" w:type="dxa"/>
          <w:cantSplit/>
          <w:tblHeader/>
          <w:jc w:val="center"/>
        </w:trPr>
        <w:tc>
          <w:tcPr>
            <w:tcW w:w="651" w:type="dxa"/>
            <w:gridSpan w:val="3"/>
            <w:tcMar>
              <w:left w:w="28" w:type="dxa"/>
              <w:right w:w="28" w:type="dxa"/>
            </w:tcMar>
          </w:tcPr>
          <w:p w14:paraId="746422D7"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(29a)</w:t>
            </w:r>
          </w:p>
        </w:tc>
        <w:tc>
          <w:tcPr>
            <w:tcW w:w="2286" w:type="dxa"/>
            <w:gridSpan w:val="3"/>
            <w:tcMar>
              <w:left w:w="28" w:type="dxa"/>
              <w:right w:w="28" w:type="dxa"/>
            </w:tcMar>
          </w:tcPr>
          <w:p w14:paraId="40998A4A"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 xml:space="preserve">Tetrakloretylen </w:t>
            </w:r>
            <w:bookmarkStart w:id="34" w:name="_DV_M305"/>
            <w:bookmarkEnd w:id="34"/>
          </w:p>
        </w:tc>
        <w:tc>
          <w:tcPr>
            <w:tcW w:w="1329" w:type="dxa"/>
            <w:gridSpan w:val="3"/>
            <w:tcMar>
              <w:left w:w="28" w:type="dxa"/>
              <w:right w:w="28" w:type="dxa"/>
            </w:tcMar>
          </w:tcPr>
          <w:p w14:paraId="5D5B203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0BEF7D9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127-18-4</w:t>
            </w:r>
          </w:p>
        </w:tc>
        <w:tc>
          <w:tcPr>
            <w:tcW w:w="1134" w:type="dxa"/>
          </w:tcPr>
          <w:p w14:paraId="7DB2497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204-825-9</w:t>
            </w:r>
          </w:p>
        </w:tc>
        <w:tc>
          <w:tcPr>
            <w:tcW w:w="1279" w:type="dxa"/>
            <w:gridSpan w:val="2"/>
            <w:tcMar>
              <w:left w:w="28" w:type="dxa"/>
              <w:right w:w="28" w:type="dxa"/>
            </w:tcMar>
          </w:tcPr>
          <w:p w14:paraId="3BB885B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9" w:type="dxa"/>
            <w:gridSpan w:val="2"/>
            <w:tcMar>
              <w:left w:w="28" w:type="dxa"/>
              <w:right w:w="28" w:type="dxa"/>
            </w:tcMar>
          </w:tcPr>
          <w:p w14:paraId="30EE75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8" w:type="dxa"/>
            <w:gridSpan w:val="2"/>
            <w:tcMar>
              <w:left w:w="28" w:type="dxa"/>
              <w:right w:w="28" w:type="dxa"/>
            </w:tcMar>
          </w:tcPr>
          <w:p w14:paraId="4711316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79A248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61B563BD"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6C03663"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6F31696"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6B628D3"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9A17AD6" w14:textId="77777777" w:rsidTr="003524E3">
        <w:trPr>
          <w:gridBefore w:val="1"/>
          <w:wBefore w:w="12" w:type="dxa"/>
          <w:cantSplit/>
          <w:tblHeader/>
          <w:jc w:val="center"/>
        </w:trPr>
        <w:tc>
          <w:tcPr>
            <w:tcW w:w="651" w:type="dxa"/>
            <w:gridSpan w:val="3"/>
            <w:tcMar>
              <w:left w:w="28" w:type="dxa"/>
              <w:right w:w="28" w:type="dxa"/>
            </w:tcMar>
          </w:tcPr>
          <w:p w14:paraId="27CDCB30"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(29b)</w:t>
            </w:r>
          </w:p>
        </w:tc>
        <w:tc>
          <w:tcPr>
            <w:tcW w:w="2286" w:type="dxa"/>
            <w:gridSpan w:val="3"/>
            <w:tcMar>
              <w:left w:w="28" w:type="dxa"/>
              <w:right w:w="28" w:type="dxa"/>
            </w:tcMar>
          </w:tcPr>
          <w:p w14:paraId="1CF8AEEE" w14:textId="77777777" w:rsidR="003524E3" w:rsidRPr="003B6CF7" w:rsidRDefault="003524E3" w:rsidP="003524E3">
            <w:pPr>
              <w:keepNext/>
              <w:widowControl/>
              <w:spacing w:before="40" w:after="40"/>
              <w:rPr>
                <w:rFonts w:eastAsia="Calibri"/>
                <w:noProof/>
                <w:sz w:val="22"/>
                <w:szCs w:val="22"/>
                <w:vertAlign w:val="superscript"/>
                <w:lang w:eastAsia="en-US"/>
              </w:rPr>
            </w:pPr>
            <w:r w:rsidRPr="003B6CF7">
              <w:rPr>
                <w:rFonts w:eastAsia="Calibri"/>
                <w:noProof/>
                <w:sz w:val="22"/>
                <w:szCs w:val="22"/>
                <w:lang w:eastAsia="en-US"/>
              </w:rPr>
              <w:t xml:space="preserve">Trikloretylen </w:t>
            </w:r>
            <w:bookmarkStart w:id="35" w:name="_DV_M306"/>
            <w:bookmarkEnd w:id="35"/>
          </w:p>
        </w:tc>
        <w:tc>
          <w:tcPr>
            <w:tcW w:w="1329" w:type="dxa"/>
            <w:gridSpan w:val="3"/>
            <w:tcMar>
              <w:left w:w="28" w:type="dxa"/>
              <w:right w:w="28" w:type="dxa"/>
            </w:tcMar>
          </w:tcPr>
          <w:p w14:paraId="0B5BA6A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5615CF8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79-01-6</w:t>
            </w:r>
          </w:p>
        </w:tc>
        <w:tc>
          <w:tcPr>
            <w:tcW w:w="1134" w:type="dxa"/>
          </w:tcPr>
          <w:p w14:paraId="1DC74CF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201-167-4</w:t>
            </w:r>
          </w:p>
        </w:tc>
        <w:tc>
          <w:tcPr>
            <w:tcW w:w="1279" w:type="dxa"/>
            <w:gridSpan w:val="2"/>
            <w:tcMar>
              <w:left w:w="28" w:type="dxa"/>
              <w:right w:w="28" w:type="dxa"/>
            </w:tcMar>
          </w:tcPr>
          <w:p w14:paraId="01E0F1F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9" w:type="dxa"/>
            <w:gridSpan w:val="2"/>
            <w:tcMar>
              <w:left w:w="28" w:type="dxa"/>
              <w:right w:w="28" w:type="dxa"/>
            </w:tcMar>
          </w:tcPr>
          <w:p w14:paraId="2DAFF7E3"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10</w:t>
            </w:r>
          </w:p>
        </w:tc>
        <w:tc>
          <w:tcPr>
            <w:tcW w:w="1278" w:type="dxa"/>
            <w:gridSpan w:val="2"/>
            <w:tcMar>
              <w:left w:w="28" w:type="dxa"/>
              <w:right w:w="28" w:type="dxa"/>
            </w:tcMar>
          </w:tcPr>
          <w:p w14:paraId="52C580CE"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7DEB384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43DBB72B" w14:textId="77777777" w:rsidR="003524E3" w:rsidRPr="003B6CF7" w:rsidRDefault="003524E3" w:rsidP="003524E3">
            <w:pPr>
              <w:keepNext/>
              <w:widowControl/>
              <w:spacing w:before="40" w:after="40"/>
              <w:rPr>
                <w:rFonts w:eastAsia="Calibri"/>
                <w:noProof/>
                <w:sz w:val="22"/>
                <w:szCs w:val="22"/>
                <w:lang w:eastAsia="en-US"/>
              </w:rPr>
            </w:pPr>
          </w:p>
        </w:tc>
        <w:tc>
          <w:tcPr>
            <w:tcW w:w="1262" w:type="dxa"/>
            <w:tcMar>
              <w:left w:w="28" w:type="dxa"/>
              <w:right w:w="28" w:type="dxa"/>
            </w:tcMar>
          </w:tcPr>
          <w:p w14:paraId="5F0EB453"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5228CDD6" w14:textId="77777777" w:rsidR="003524E3" w:rsidRPr="003B6CF7" w:rsidRDefault="003524E3" w:rsidP="003524E3">
            <w:pPr>
              <w:keepNext/>
              <w:widowControl/>
              <w:spacing w:before="40" w:after="40"/>
              <w:rPr>
                <w:rFonts w:eastAsia="Calibri"/>
                <w:noProof/>
                <w:sz w:val="22"/>
                <w:szCs w:val="22"/>
                <w:lang w:eastAsia="en-US"/>
              </w:rPr>
            </w:pPr>
          </w:p>
        </w:tc>
        <w:tc>
          <w:tcPr>
            <w:tcW w:w="970" w:type="dxa"/>
            <w:tcMar>
              <w:left w:w="28" w:type="dxa"/>
              <w:right w:w="28" w:type="dxa"/>
            </w:tcMar>
          </w:tcPr>
          <w:p w14:paraId="026D63FC" w14:textId="77777777" w:rsidR="003524E3" w:rsidRPr="003B6CF7" w:rsidRDefault="003524E3" w:rsidP="003524E3">
            <w:pPr>
              <w:keepNext/>
              <w:widowControl/>
              <w:spacing w:before="40" w:after="40"/>
              <w:rPr>
                <w:rFonts w:eastAsia="Calibri"/>
                <w:noProof/>
                <w:sz w:val="22"/>
                <w:szCs w:val="22"/>
                <w:lang w:eastAsia="en-US"/>
              </w:rPr>
            </w:pPr>
          </w:p>
        </w:tc>
      </w:tr>
      <w:tr w:rsidR="003524E3" w:rsidRPr="003B6CF7" w14:paraId="7E5F0534" w14:textId="77777777" w:rsidTr="003524E3">
        <w:trPr>
          <w:gridBefore w:val="1"/>
          <w:wBefore w:w="12" w:type="dxa"/>
          <w:cantSplit/>
          <w:tblHeader/>
          <w:jc w:val="center"/>
        </w:trPr>
        <w:tc>
          <w:tcPr>
            <w:tcW w:w="651" w:type="dxa"/>
            <w:gridSpan w:val="3"/>
            <w:tcMar>
              <w:left w:w="28" w:type="dxa"/>
              <w:right w:w="28" w:type="dxa"/>
            </w:tcMar>
          </w:tcPr>
          <w:p w14:paraId="02F237B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(30)</w:t>
            </w:r>
          </w:p>
        </w:tc>
        <w:tc>
          <w:tcPr>
            <w:tcW w:w="2286" w:type="dxa"/>
            <w:gridSpan w:val="3"/>
            <w:tcMar>
              <w:left w:w="28" w:type="dxa"/>
              <w:right w:w="28" w:type="dxa"/>
            </w:tcMar>
          </w:tcPr>
          <w:p w14:paraId="21512FE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Tributyltennföreningar (</w:t>
            </w:r>
            <w:r w:rsidRPr="003B6CF7">
              <w:rPr>
                <w:rFonts w:eastAsia="Calibri"/>
                <w:noProof/>
                <w:sz w:val="22"/>
                <w:szCs w:val="22"/>
                <w:vertAlign w:val="superscript"/>
                <w:lang w:eastAsia="en-US"/>
              </w:rPr>
              <w:t>18</w:t>
            </w:r>
            <w:r w:rsidRPr="003B6CF7">
              <w:rPr>
                <w:rFonts w:eastAsia="Calibri"/>
                <w:noProof/>
                <w:sz w:val="22"/>
                <w:szCs w:val="22"/>
                <w:lang w:eastAsia="en-US"/>
              </w:rPr>
              <w:t>) (</w:t>
            </w:r>
            <w:bookmarkStart w:id="36" w:name="_DV_C351"/>
            <w:r w:rsidRPr="003B6CF7">
              <w:rPr>
                <w:rFonts w:eastAsia="Calibri"/>
                <w:noProof/>
                <w:sz w:val="22"/>
                <w:szCs w:val="22"/>
                <w:lang w:eastAsia="en-US"/>
              </w:rPr>
              <w:t>Tributyltenn</w:t>
            </w:r>
            <w:bookmarkStart w:id="37" w:name="_DV_M307"/>
            <w:bookmarkEnd w:id="36"/>
            <w:bookmarkEnd w:id="37"/>
            <w:r w:rsidRPr="003B6CF7">
              <w:rPr>
                <w:rFonts w:eastAsia="Calibri"/>
                <w:noProof/>
                <w:sz w:val="22"/>
                <w:szCs w:val="22"/>
                <w:lang w:eastAsia="en-US"/>
              </w:rPr>
              <w:t>-katjon)</w:t>
            </w:r>
          </w:p>
        </w:tc>
        <w:tc>
          <w:tcPr>
            <w:tcW w:w="1329" w:type="dxa"/>
            <w:gridSpan w:val="3"/>
            <w:tcMar>
              <w:left w:w="28" w:type="dxa"/>
              <w:right w:w="28" w:type="dxa"/>
            </w:tcMar>
          </w:tcPr>
          <w:p w14:paraId="42A71CB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Biocider</w:t>
            </w:r>
          </w:p>
        </w:tc>
        <w:tc>
          <w:tcPr>
            <w:tcW w:w="992" w:type="dxa"/>
            <w:gridSpan w:val="2"/>
            <w:tcMar>
              <w:left w:w="28" w:type="dxa"/>
              <w:right w:w="28" w:type="dxa"/>
            </w:tcMar>
          </w:tcPr>
          <w:p w14:paraId="20047B2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36643-28-4</w:t>
            </w:r>
          </w:p>
        </w:tc>
        <w:tc>
          <w:tcPr>
            <w:tcW w:w="1134" w:type="dxa"/>
          </w:tcPr>
          <w:p w14:paraId="66F4901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4F4943F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0,0002</w:t>
            </w:r>
          </w:p>
        </w:tc>
        <w:tc>
          <w:tcPr>
            <w:tcW w:w="1279" w:type="dxa"/>
            <w:gridSpan w:val="2"/>
            <w:tcMar>
              <w:left w:w="28" w:type="dxa"/>
              <w:right w:w="28" w:type="dxa"/>
            </w:tcMar>
          </w:tcPr>
          <w:p w14:paraId="48C0FA4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0,0002</w:t>
            </w:r>
          </w:p>
        </w:tc>
        <w:tc>
          <w:tcPr>
            <w:tcW w:w="1278" w:type="dxa"/>
            <w:gridSpan w:val="2"/>
            <w:tcMar>
              <w:left w:w="28" w:type="dxa"/>
              <w:right w:w="28" w:type="dxa"/>
            </w:tcMar>
          </w:tcPr>
          <w:p w14:paraId="2E4E3B5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0,0015</w:t>
            </w:r>
          </w:p>
        </w:tc>
        <w:tc>
          <w:tcPr>
            <w:tcW w:w="1277" w:type="dxa"/>
            <w:gridSpan w:val="2"/>
            <w:tcMar>
              <w:left w:w="28" w:type="dxa"/>
              <w:right w:w="28" w:type="dxa"/>
            </w:tcMar>
          </w:tcPr>
          <w:p w14:paraId="0A46CE9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0,0015</w:t>
            </w:r>
          </w:p>
        </w:tc>
        <w:tc>
          <w:tcPr>
            <w:tcW w:w="1136" w:type="dxa"/>
            <w:gridSpan w:val="2"/>
            <w:tcMar>
              <w:left w:w="28" w:type="dxa"/>
              <w:right w:w="28" w:type="dxa"/>
            </w:tcMar>
          </w:tcPr>
          <w:p w14:paraId="596F94B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 (</w:t>
            </w:r>
            <w:r w:rsidRPr="003B6CF7">
              <w:rPr>
                <w:rFonts w:eastAsia="Calibri"/>
                <w:noProof/>
                <w:sz w:val="22"/>
                <w:szCs w:val="22"/>
                <w:vertAlign w:val="superscript"/>
                <w:lang w:eastAsia="en-US"/>
              </w:rPr>
              <w:t>19</w:t>
            </w:r>
            <w:r w:rsidRPr="003B6CF7">
              <w:rPr>
                <w:rFonts w:eastAsia="Calibri"/>
                <w:noProof/>
                <w:sz w:val="22"/>
                <w:szCs w:val="22"/>
                <w:lang w:eastAsia="en-US"/>
              </w:rPr>
              <w:t>)</w:t>
            </w:r>
          </w:p>
        </w:tc>
        <w:tc>
          <w:tcPr>
            <w:tcW w:w="1262" w:type="dxa"/>
            <w:tcMar>
              <w:left w:w="28" w:type="dxa"/>
              <w:right w:w="28" w:type="dxa"/>
            </w:tcMar>
          </w:tcPr>
          <w:p w14:paraId="28A872D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X </w:t>
            </w:r>
          </w:p>
        </w:tc>
        <w:tc>
          <w:tcPr>
            <w:tcW w:w="1153" w:type="dxa"/>
            <w:gridSpan w:val="2"/>
            <w:tcMar>
              <w:left w:w="28" w:type="dxa"/>
              <w:right w:w="28" w:type="dxa"/>
            </w:tcMar>
          </w:tcPr>
          <w:p w14:paraId="614982F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5C31D25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FFD7F84" w14:textId="77777777" w:rsidTr="003524E3">
        <w:trPr>
          <w:gridBefore w:val="1"/>
          <w:wBefore w:w="12" w:type="dxa"/>
          <w:cantSplit/>
          <w:tblHeader/>
          <w:jc w:val="center"/>
        </w:trPr>
        <w:tc>
          <w:tcPr>
            <w:tcW w:w="651" w:type="dxa"/>
            <w:gridSpan w:val="3"/>
            <w:tcMar>
              <w:left w:w="28" w:type="dxa"/>
              <w:right w:w="28" w:type="dxa"/>
            </w:tcMar>
          </w:tcPr>
          <w:p w14:paraId="1E57A58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(31)</w:t>
            </w:r>
          </w:p>
        </w:tc>
        <w:tc>
          <w:tcPr>
            <w:tcW w:w="2286" w:type="dxa"/>
            <w:gridSpan w:val="3"/>
            <w:tcMar>
              <w:left w:w="28" w:type="dxa"/>
              <w:right w:w="28" w:type="dxa"/>
            </w:tcMar>
          </w:tcPr>
          <w:p w14:paraId="2376462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Triklorbensener</w:t>
            </w:r>
          </w:p>
        </w:tc>
        <w:tc>
          <w:tcPr>
            <w:tcW w:w="1329" w:type="dxa"/>
            <w:gridSpan w:val="3"/>
            <w:tcMar>
              <w:left w:w="28" w:type="dxa"/>
              <w:right w:w="28" w:type="dxa"/>
            </w:tcMar>
          </w:tcPr>
          <w:p w14:paraId="0B6ED1D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 (lösningsmedel)</w:t>
            </w:r>
          </w:p>
        </w:tc>
        <w:tc>
          <w:tcPr>
            <w:tcW w:w="992" w:type="dxa"/>
            <w:gridSpan w:val="2"/>
            <w:tcMar>
              <w:left w:w="28" w:type="dxa"/>
              <w:right w:w="28" w:type="dxa"/>
            </w:tcMar>
          </w:tcPr>
          <w:p w14:paraId="3573EB8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12002-48-1</w:t>
            </w:r>
          </w:p>
        </w:tc>
        <w:tc>
          <w:tcPr>
            <w:tcW w:w="1134" w:type="dxa"/>
          </w:tcPr>
          <w:p w14:paraId="3B1EB6F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234-413-4</w:t>
            </w:r>
          </w:p>
        </w:tc>
        <w:tc>
          <w:tcPr>
            <w:tcW w:w="1279" w:type="dxa"/>
            <w:gridSpan w:val="2"/>
            <w:tcMar>
              <w:left w:w="28" w:type="dxa"/>
              <w:right w:w="28" w:type="dxa"/>
            </w:tcMar>
          </w:tcPr>
          <w:p w14:paraId="245EDCC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0,4 </w:t>
            </w:r>
          </w:p>
        </w:tc>
        <w:tc>
          <w:tcPr>
            <w:tcW w:w="1279" w:type="dxa"/>
            <w:gridSpan w:val="2"/>
            <w:tcMar>
              <w:left w:w="28" w:type="dxa"/>
              <w:right w:w="28" w:type="dxa"/>
            </w:tcMar>
          </w:tcPr>
          <w:p w14:paraId="66499CF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0,4</w:t>
            </w:r>
          </w:p>
        </w:tc>
        <w:tc>
          <w:tcPr>
            <w:tcW w:w="1278" w:type="dxa"/>
            <w:gridSpan w:val="2"/>
            <w:tcMar>
              <w:left w:w="28" w:type="dxa"/>
              <w:right w:w="28" w:type="dxa"/>
            </w:tcMar>
          </w:tcPr>
          <w:p w14:paraId="31173FD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63F8F6F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6127561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3D1EB3EE"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5DE989CD"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3585D3B"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5CB22BE1" w14:textId="77777777" w:rsidTr="003524E3">
        <w:trPr>
          <w:gridBefore w:val="1"/>
          <w:wBefore w:w="12" w:type="dxa"/>
          <w:cantSplit/>
          <w:tblHeader/>
          <w:jc w:val="center"/>
        </w:trPr>
        <w:tc>
          <w:tcPr>
            <w:tcW w:w="651" w:type="dxa"/>
            <w:gridSpan w:val="3"/>
            <w:tcMar>
              <w:left w:w="28" w:type="dxa"/>
              <w:right w:w="28" w:type="dxa"/>
            </w:tcMar>
          </w:tcPr>
          <w:p w14:paraId="4B11D80C"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(32)</w:t>
            </w:r>
          </w:p>
        </w:tc>
        <w:tc>
          <w:tcPr>
            <w:tcW w:w="2286" w:type="dxa"/>
            <w:gridSpan w:val="3"/>
            <w:tcMar>
              <w:left w:w="28" w:type="dxa"/>
              <w:right w:w="28" w:type="dxa"/>
            </w:tcMar>
          </w:tcPr>
          <w:p w14:paraId="069A30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Triklormetan</w:t>
            </w:r>
          </w:p>
        </w:tc>
        <w:tc>
          <w:tcPr>
            <w:tcW w:w="1329" w:type="dxa"/>
            <w:gridSpan w:val="3"/>
            <w:tcMar>
              <w:left w:w="28" w:type="dxa"/>
              <w:right w:w="28" w:type="dxa"/>
            </w:tcMar>
          </w:tcPr>
          <w:p w14:paraId="64373D2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36322FA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67-66-3</w:t>
            </w:r>
          </w:p>
        </w:tc>
        <w:tc>
          <w:tcPr>
            <w:tcW w:w="1134" w:type="dxa"/>
          </w:tcPr>
          <w:p w14:paraId="3E5BDB4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200-663-8</w:t>
            </w:r>
          </w:p>
        </w:tc>
        <w:tc>
          <w:tcPr>
            <w:tcW w:w="1279" w:type="dxa"/>
            <w:gridSpan w:val="2"/>
            <w:tcMar>
              <w:left w:w="28" w:type="dxa"/>
              <w:right w:w="28" w:type="dxa"/>
            </w:tcMar>
          </w:tcPr>
          <w:p w14:paraId="64F763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2,5 </w:t>
            </w:r>
          </w:p>
        </w:tc>
        <w:tc>
          <w:tcPr>
            <w:tcW w:w="1279" w:type="dxa"/>
            <w:gridSpan w:val="2"/>
            <w:tcMar>
              <w:left w:w="28" w:type="dxa"/>
              <w:right w:w="28" w:type="dxa"/>
            </w:tcMar>
          </w:tcPr>
          <w:p w14:paraId="01C017C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2,5 </w:t>
            </w:r>
          </w:p>
        </w:tc>
        <w:tc>
          <w:tcPr>
            <w:tcW w:w="1278" w:type="dxa"/>
            <w:gridSpan w:val="2"/>
            <w:tcMar>
              <w:left w:w="28" w:type="dxa"/>
              <w:right w:w="28" w:type="dxa"/>
            </w:tcMar>
          </w:tcPr>
          <w:p w14:paraId="415C904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1718822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224550FC"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84085F9"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E6084AA"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7CE341E"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0F581098" w14:textId="77777777" w:rsidTr="003524E3">
        <w:trPr>
          <w:gridBefore w:val="1"/>
          <w:wBefore w:w="12" w:type="dxa"/>
          <w:cantSplit/>
          <w:tblHeader/>
          <w:jc w:val="center"/>
        </w:trPr>
        <w:tc>
          <w:tcPr>
            <w:tcW w:w="651" w:type="dxa"/>
            <w:gridSpan w:val="3"/>
            <w:tcMar>
              <w:left w:w="28" w:type="dxa"/>
              <w:right w:w="28" w:type="dxa"/>
            </w:tcMar>
          </w:tcPr>
          <w:p w14:paraId="3A4A2D6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(33)</w:t>
            </w:r>
          </w:p>
        </w:tc>
        <w:tc>
          <w:tcPr>
            <w:tcW w:w="2286" w:type="dxa"/>
            <w:gridSpan w:val="3"/>
            <w:tcMar>
              <w:left w:w="28" w:type="dxa"/>
              <w:right w:w="28" w:type="dxa"/>
            </w:tcMar>
          </w:tcPr>
          <w:p w14:paraId="4ABDB4D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Trifluralin</w:t>
            </w:r>
          </w:p>
        </w:tc>
        <w:tc>
          <w:tcPr>
            <w:tcW w:w="1329" w:type="dxa"/>
            <w:gridSpan w:val="3"/>
            <w:tcMar>
              <w:left w:w="28" w:type="dxa"/>
              <w:right w:w="28" w:type="dxa"/>
            </w:tcMar>
          </w:tcPr>
          <w:p w14:paraId="6AD095A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5F0AA5F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1582-09-08</w:t>
            </w:r>
          </w:p>
        </w:tc>
        <w:tc>
          <w:tcPr>
            <w:tcW w:w="1134" w:type="dxa"/>
          </w:tcPr>
          <w:p w14:paraId="368E2E2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216-428-8</w:t>
            </w:r>
          </w:p>
        </w:tc>
        <w:tc>
          <w:tcPr>
            <w:tcW w:w="1279" w:type="dxa"/>
            <w:gridSpan w:val="2"/>
            <w:tcMar>
              <w:left w:w="28" w:type="dxa"/>
              <w:right w:w="28" w:type="dxa"/>
            </w:tcMar>
          </w:tcPr>
          <w:p w14:paraId="078E63B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w:t>
            </w:r>
          </w:p>
        </w:tc>
        <w:tc>
          <w:tcPr>
            <w:tcW w:w="1279" w:type="dxa"/>
            <w:gridSpan w:val="2"/>
            <w:tcMar>
              <w:left w:w="28" w:type="dxa"/>
              <w:right w:w="28" w:type="dxa"/>
            </w:tcMar>
          </w:tcPr>
          <w:p w14:paraId="7C9353F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w:t>
            </w:r>
          </w:p>
        </w:tc>
        <w:tc>
          <w:tcPr>
            <w:tcW w:w="1278" w:type="dxa"/>
            <w:gridSpan w:val="2"/>
            <w:tcMar>
              <w:left w:w="28" w:type="dxa"/>
              <w:right w:w="28" w:type="dxa"/>
            </w:tcMar>
          </w:tcPr>
          <w:p w14:paraId="3B0A17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tcMar>
              <w:left w:w="28" w:type="dxa"/>
              <w:right w:w="28" w:type="dxa"/>
            </w:tcMar>
          </w:tcPr>
          <w:p w14:paraId="0D282CB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tcMar>
              <w:left w:w="28" w:type="dxa"/>
              <w:right w:w="28" w:type="dxa"/>
            </w:tcMar>
          </w:tcPr>
          <w:p w14:paraId="5948E6C9"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CCA999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63731743"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1504446"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75DB25D2" w14:textId="77777777" w:rsidTr="003524E3">
        <w:trPr>
          <w:gridBefore w:val="1"/>
          <w:wBefore w:w="12" w:type="dxa"/>
          <w:cantSplit/>
          <w:tblHeader/>
          <w:jc w:val="center"/>
        </w:trPr>
        <w:tc>
          <w:tcPr>
            <w:tcW w:w="651" w:type="dxa"/>
            <w:gridSpan w:val="3"/>
            <w:tcMar>
              <w:left w:w="28" w:type="dxa"/>
              <w:right w:w="28" w:type="dxa"/>
            </w:tcMar>
          </w:tcPr>
          <w:p w14:paraId="40813E8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(34)</w:t>
            </w:r>
          </w:p>
        </w:tc>
        <w:tc>
          <w:tcPr>
            <w:tcW w:w="2286" w:type="dxa"/>
            <w:gridSpan w:val="3"/>
            <w:tcMar>
              <w:left w:w="28" w:type="dxa"/>
              <w:right w:w="28" w:type="dxa"/>
            </w:tcMar>
          </w:tcPr>
          <w:p w14:paraId="3949B54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Dikofol</w:t>
            </w:r>
          </w:p>
        </w:tc>
        <w:tc>
          <w:tcPr>
            <w:tcW w:w="1329" w:type="dxa"/>
            <w:gridSpan w:val="3"/>
            <w:tcMar>
              <w:left w:w="28" w:type="dxa"/>
              <w:right w:w="28" w:type="dxa"/>
            </w:tcMar>
          </w:tcPr>
          <w:p w14:paraId="5BBC9A5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6D7A00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115-32-2</w:t>
            </w:r>
          </w:p>
        </w:tc>
        <w:tc>
          <w:tcPr>
            <w:tcW w:w="1134" w:type="dxa"/>
          </w:tcPr>
          <w:p w14:paraId="7C679E3D"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204-082-0</w:t>
            </w:r>
          </w:p>
        </w:tc>
        <w:tc>
          <w:tcPr>
            <w:tcW w:w="1279" w:type="dxa"/>
            <w:gridSpan w:val="2"/>
            <w:tcMar>
              <w:left w:w="28" w:type="dxa"/>
              <w:right w:w="28" w:type="dxa"/>
            </w:tcMar>
          </w:tcPr>
          <w:p w14:paraId="2E2E7D07"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[4,45 × 10</w:t>
            </w:r>
            <w:r w:rsidRPr="003B6CF7">
              <w:rPr>
                <w:rFonts w:eastAsia="Calibri"/>
                <w:noProof/>
                <w:sz w:val="22"/>
                <w:szCs w:val="22"/>
                <w:vertAlign w:val="superscript"/>
                <w:lang w:eastAsia="en-US"/>
              </w:rPr>
              <w:t>-3</w:t>
            </w:r>
            <w:r w:rsidRPr="003B6CF7">
              <w:rPr>
                <w:rFonts w:eastAsia="Calibri"/>
                <w:noProof/>
                <w:sz w:val="22"/>
                <w:szCs w:val="22"/>
                <w:lang w:eastAsia="en-US"/>
              </w:rPr>
              <w:t>]</w:t>
            </w:r>
          </w:p>
        </w:tc>
        <w:tc>
          <w:tcPr>
            <w:tcW w:w="1279" w:type="dxa"/>
            <w:gridSpan w:val="2"/>
            <w:tcMar>
              <w:left w:w="28" w:type="dxa"/>
              <w:right w:w="28" w:type="dxa"/>
            </w:tcMar>
          </w:tcPr>
          <w:p w14:paraId="487F3A8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[0,185 × 10</w:t>
            </w:r>
            <w:r w:rsidRPr="003B6CF7">
              <w:rPr>
                <w:rFonts w:eastAsia="Calibri"/>
                <w:noProof/>
                <w:sz w:val="22"/>
                <w:szCs w:val="22"/>
                <w:vertAlign w:val="superscript"/>
                <w:lang w:eastAsia="en-US"/>
              </w:rPr>
              <w:t>-3</w:t>
            </w:r>
            <w:r w:rsidRPr="003B6CF7">
              <w:rPr>
                <w:rFonts w:eastAsia="Calibri"/>
                <w:noProof/>
                <w:sz w:val="22"/>
                <w:szCs w:val="22"/>
                <w:lang w:eastAsia="en-US"/>
              </w:rPr>
              <w:t>]</w:t>
            </w:r>
          </w:p>
        </w:tc>
        <w:tc>
          <w:tcPr>
            <w:tcW w:w="1278" w:type="dxa"/>
            <w:gridSpan w:val="2"/>
            <w:tcMar>
              <w:left w:w="28" w:type="dxa"/>
              <w:right w:w="28" w:type="dxa"/>
            </w:tcMar>
          </w:tcPr>
          <w:p w14:paraId="53F6183A"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 xml:space="preserve">Ej tillämpligt </w:t>
            </w:r>
            <w:bookmarkStart w:id="38" w:name="_DV_M308"/>
            <w:bookmarkStart w:id="39" w:name="_Ref101447957"/>
            <w:bookmarkEnd w:id="38"/>
            <w:r w:rsidRPr="003B6CF7">
              <w:rPr>
                <w:rFonts w:eastAsia="Calibri"/>
                <w:noProof/>
                <w:sz w:val="22"/>
                <w:szCs w:val="22"/>
                <w:lang w:eastAsia="en-US"/>
              </w:rPr>
              <w:t>(</w:t>
            </w:r>
            <w:r w:rsidRPr="003B6CF7">
              <w:rPr>
                <w:rFonts w:eastAsia="Calibri"/>
                <w:noProof/>
                <w:sz w:val="22"/>
                <w:szCs w:val="22"/>
                <w:vertAlign w:val="superscript"/>
                <w:lang w:eastAsia="en-US"/>
              </w:rPr>
              <w:t>20</w:t>
            </w:r>
            <w:r w:rsidRPr="003B6CF7">
              <w:rPr>
                <w:rFonts w:eastAsia="Calibri"/>
                <w:noProof/>
                <w:sz w:val="22"/>
                <w:szCs w:val="22"/>
                <w:lang w:eastAsia="en-US"/>
              </w:rPr>
              <w:t>)</w:t>
            </w:r>
            <w:bookmarkEnd w:id="39"/>
          </w:p>
        </w:tc>
        <w:tc>
          <w:tcPr>
            <w:tcW w:w="1277" w:type="dxa"/>
            <w:gridSpan w:val="2"/>
            <w:tcMar>
              <w:left w:w="28" w:type="dxa"/>
              <w:right w:w="28" w:type="dxa"/>
            </w:tcMar>
          </w:tcPr>
          <w:p w14:paraId="230C3D38"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Ej tillämpligt (</w:t>
            </w:r>
            <w:r w:rsidRPr="003B6CF7">
              <w:rPr>
                <w:rFonts w:eastAsia="Calibri"/>
                <w:noProof/>
                <w:sz w:val="22"/>
                <w:szCs w:val="22"/>
                <w:vertAlign w:val="superscript"/>
                <w:lang w:eastAsia="en-US"/>
              </w:rPr>
              <w:t>20</w:t>
            </w:r>
            <w:r w:rsidRPr="003B6CF7">
              <w:rPr>
                <w:rFonts w:eastAsia="Calibri"/>
                <w:noProof/>
                <w:sz w:val="22"/>
                <w:szCs w:val="22"/>
                <w:lang w:eastAsia="en-US"/>
              </w:rPr>
              <w:t>)</w:t>
            </w:r>
            <w:bookmarkStart w:id="40" w:name="_DV_M309"/>
            <w:bookmarkEnd w:id="40"/>
          </w:p>
        </w:tc>
        <w:tc>
          <w:tcPr>
            <w:tcW w:w="1136" w:type="dxa"/>
            <w:gridSpan w:val="2"/>
            <w:tcMar>
              <w:left w:w="28" w:type="dxa"/>
              <w:right w:w="28" w:type="dxa"/>
            </w:tcMar>
          </w:tcPr>
          <w:p w14:paraId="2795402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[5,45]</w:t>
            </w:r>
          </w:p>
        </w:tc>
        <w:tc>
          <w:tcPr>
            <w:tcW w:w="1262" w:type="dxa"/>
            <w:tcMar>
              <w:left w:w="28" w:type="dxa"/>
              <w:right w:w="28" w:type="dxa"/>
            </w:tcMar>
          </w:tcPr>
          <w:p w14:paraId="23CAAB2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3113C2BE"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E22BDE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45CF666" w14:textId="77777777" w:rsidTr="003524E3">
        <w:trPr>
          <w:gridBefore w:val="1"/>
          <w:wBefore w:w="12" w:type="dxa"/>
          <w:cantSplit/>
          <w:tblHeader/>
          <w:jc w:val="center"/>
        </w:trPr>
        <w:tc>
          <w:tcPr>
            <w:tcW w:w="651" w:type="dxa"/>
            <w:gridSpan w:val="3"/>
            <w:tcMar>
              <w:left w:w="28" w:type="dxa"/>
              <w:right w:w="28" w:type="dxa"/>
            </w:tcMar>
          </w:tcPr>
          <w:p w14:paraId="7346D54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(35)</w:t>
            </w:r>
          </w:p>
        </w:tc>
        <w:tc>
          <w:tcPr>
            <w:tcW w:w="2286" w:type="dxa"/>
            <w:gridSpan w:val="3"/>
            <w:tcMar>
              <w:left w:w="28" w:type="dxa"/>
              <w:right w:w="28" w:type="dxa"/>
            </w:tcMar>
          </w:tcPr>
          <w:p w14:paraId="7F703B6F" w14:textId="77777777" w:rsidR="003524E3" w:rsidRPr="003B6CF7" w:rsidRDefault="003524E3" w:rsidP="003524E3">
            <w:pPr>
              <w:pageBreakBefore/>
              <w:widowControl/>
              <w:spacing w:before="40" w:after="40"/>
              <w:rPr>
                <w:rFonts w:eastAsia="Calibri"/>
                <w:noProof/>
                <w:sz w:val="22"/>
                <w:szCs w:val="22"/>
                <w:lang w:eastAsia="en-US"/>
              </w:rPr>
            </w:pPr>
            <w:r w:rsidRPr="003B6CF7">
              <w:rPr>
                <w:rFonts w:eastAsia="Calibri"/>
                <w:noProof/>
                <w:sz w:val="22"/>
                <w:szCs w:val="22"/>
                <w:lang w:eastAsia="en-US"/>
              </w:rPr>
              <w:t>Perfluoroktansulfonsyra och dess derivat (PFOS)</w:t>
            </w:r>
          </w:p>
        </w:tc>
        <w:tc>
          <w:tcPr>
            <w:tcW w:w="1329" w:type="dxa"/>
            <w:gridSpan w:val="3"/>
            <w:tcMar>
              <w:left w:w="28" w:type="dxa"/>
              <w:right w:w="28" w:type="dxa"/>
            </w:tcMar>
          </w:tcPr>
          <w:p w14:paraId="0FA5184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4BA0EE2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1763-23-1</w:t>
            </w:r>
          </w:p>
        </w:tc>
        <w:tc>
          <w:tcPr>
            <w:tcW w:w="1134" w:type="dxa"/>
          </w:tcPr>
          <w:p w14:paraId="77DD14E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217-179-8</w:t>
            </w:r>
          </w:p>
        </w:tc>
        <w:tc>
          <w:tcPr>
            <w:tcW w:w="9634" w:type="dxa"/>
            <w:gridSpan w:val="14"/>
            <w:tcMar>
              <w:left w:w="28" w:type="dxa"/>
              <w:right w:w="28" w:type="dxa"/>
            </w:tcMar>
          </w:tcPr>
          <w:p w14:paraId="7777A76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Ingår i ämnesgrupp 65 (per- och polyfluoralkylerade ämnen (PFAS) – summan av 24).</w:t>
            </w:r>
          </w:p>
        </w:tc>
      </w:tr>
      <w:tr w:rsidR="003524E3" w:rsidRPr="003B6CF7" w14:paraId="3C394439" w14:textId="77777777" w:rsidTr="003524E3">
        <w:trPr>
          <w:gridBefore w:val="1"/>
          <w:wBefore w:w="12" w:type="dxa"/>
          <w:cantSplit/>
          <w:tblHeader/>
          <w:jc w:val="center"/>
        </w:trPr>
        <w:tc>
          <w:tcPr>
            <w:tcW w:w="651" w:type="dxa"/>
            <w:gridSpan w:val="3"/>
            <w:tcMar>
              <w:left w:w="28" w:type="dxa"/>
              <w:right w:w="28" w:type="dxa"/>
            </w:tcMar>
          </w:tcPr>
          <w:p w14:paraId="3D658FE1"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(36)</w:t>
            </w:r>
          </w:p>
        </w:tc>
        <w:tc>
          <w:tcPr>
            <w:tcW w:w="2286" w:type="dxa"/>
            <w:gridSpan w:val="3"/>
            <w:tcMar>
              <w:left w:w="28" w:type="dxa"/>
              <w:right w:w="28" w:type="dxa"/>
            </w:tcMar>
          </w:tcPr>
          <w:p w14:paraId="7C4D88FF" w14:textId="77777777" w:rsidR="003524E3" w:rsidRPr="003B6CF7" w:rsidRDefault="003524E3" w:rsidP="003524E3">
            <w:pPr>
              <w:pageBreakBefore/>
              <w:widowControl/>
              <w:spacing w:before="40" w:after="40"/>
              <w:rPr>
                <w:rFonts w:eastAsia="Calibri"/>
                <w:noProof/>
                <w:sz w:val="22"/>
                <w:szCs w:val="22"/>
                <w:lang w:eastAsia="en-US"/>
              </w:rPr>
            </w:pPr>
            <w:r w:rsidRPr="003B6CF7">
              <w:rPr>
                <w:rFonts w:eastAsia="Calibri"/>
                <w:noProof/>
                <w:sz w:val="22"/>
                <w:szCs w:val="22"/>
                <w:lang w:eastAsia="en-US"/>
              </w:rPr>
              <w:t>Kinoxifen</w:t>
            </w:r>
          </w:p>
        </w:tc>
        <w:tc>
          <w:tcPr>
            <w:tcW w:w="1329" w:type="dxa"/>
            <w:gridSpan w:val="3"/>
            <w:tcMar>
              <w:left w:w="28" w:type="dxa"/>
              <w:right w:w="28" w:type="dxa"/>
            </w:tcMar>
          </w:tcPr>
          <w:p w14:paraId="458D8BC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Växtskyddsmedel</w:t>
            </w:r>
          </w:p>
        </w:tc>
        <w:tc>
          <w:tcPr>
            <w:tcW w:w="992" w:type="dxa"/>
            <w:gridSpan w:val="2"/>
            <w:tcMar>
              <w:left w:w="28" w:type="dxa"/>
              <w:right w:w="28" w:type="dxa"/>
            </w:tcMar>
          </w:tcPr>
          <w:p w14:paraId="623950B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124495-18-7</w:t>
            </w:r>
          </w:p>
        </w:tc>
        <w:tc>
          <w:tcPr>
            <w:tcW w:w="1134" w:type="dxa"/>
          </w:tcPr>
          <w:p w14:paraId="4BD9CE5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7DCD24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0,15</w:t>
            </w:r>
          </w:p>
        </w:tc>
        <w:tc>
          <w:tcPr>
            <w:tcW w:w="1279" w:type="dxa"/>
            <w:gridSpan w:val="2"/>
            <w:tcMar>
              <w:left w:w="28" w:type="dxa"/>
              <w:right w:w="28" w:type="dxa"/>
            </w:tcMar>
          </w:tcPr>
          <w:p w14:paraId="41F21D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0,015</w:t>
            </w:r>
          </w:p>
        </w:tc>
        <w:tc>
          <w:tcPr>
            <w:tcW w:w="1278" w:type="dxa"/>
            <w:gridSpan w:val="2"/>
            <w:tcMar>
              <w:left w:w="28" w:type="dxa"/>
              <w:right w:w="28" w:type="dxa"/>
            </w:tcMar>
          </w:tcPr>
          <w:p w14:paraId="006A5B5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2,7</w:t>
            </w:r>
          </w:p>
        </w:tc>
        <w:tc>
          <w:tcPr>
            <w:tcW w:w="1277" w:type="dxa"/>
            <w:gridSpan w:val="2"/>
            <w:tcMar>
              <w:left w:w="28" w:type="dxa"/>
              <w:right w:w="28" w:type="dxa"/>
            </w:tcMar>
          </w:tcPr>
          <w:p w14:paraId="0B3E96A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0,54</w:t>
            </w:r>
          </w:p>
        </w:tc>
        <w:tc>
          <w:tcPr>
            <w:tcW w:w="1136" w:type="dxa"/>
            <w:gridSpan w:val="2"/>
            <w:tcMar>
              <w:left w:w="28" w:type="dxa"/>
              <w:right w:w="28" w:type="dxa"/>
            </w:tcMar>
          </w:tcPr>
          <w:p w14:paraId="7B268F8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115C69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21547BA0"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11776E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EEEBF6A" w14:textId="77777777" w:rsidTr="003524E3">
        <w:trPr>
          <w:cantSplit/>
          <w:tblHeader/>
          <w:jc w:val="center"/>
        </w:trPr>
        <w:tc>
          <w:tcPr>
            <w:tcW w:w="663" w:type="dxa"/>
            <w:gridSpan w:val="4"/>
            <w:tcMar>
              <w:left w:w="28" w:type="dxa"/>
              <w:right w:w="28" w:type="dxa"/>
            </w:tcMar>
          </w:tcPr>
          <w:p w14:paraId="7BFB2368"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(37)</w:t>
            </w:r>
          </w:p>
        </w:tc>
        <w:tc>
          <w:tcPr>
            <w:tcW w:w="2193" w:type="dxa"/>
            <w:tcMar>
              <w:left w:w="28" w:type="dxa"/>
              <w:right w:w="28" w:type="dxa"/>
            </w:tcMar>
          </w:tcPr>
          <w:p w14:paraId="6C8A51C7" w14:textId="77777777" w:rsidR="003524E3" w:rsidRPr="003B6CF7" w:rsidRDefault="003524E3" w:rsidP="003524E3">
            <w:pPr>
              <w:widowControl/>
              <w:spacing w:before="40" w:after="40"/>
              <w:rPr>
                <w:rFonts w:eastAsia="Calibri"/>
                <w:noProof/>
                <w:color w:val="F79646"/>
                <w:sz w:val="22"/>
                <w:szCs w:val="22"/>
                <w:lang w:eastAsia="en-US"/>
              </w:rPr>
            </w:pPr>
            <w:r w:rsidRPr="003B6CF7">
              <w:rPr>
                <w:rFonts w:eastAsia="Calibri"/>
                <w:noProof/>
                <w:sz w:val="22"/>
                <w:szCs w:val="22"/>
                <w:lang w:eastAsia="en-US"/>
              </w:rPr>
              <w:t>Dioxiner och dioxinlika föreningar (</w:t>
            </w:r>
            <w:r w:rsidRPr="003B6CF7">
              <w:rPr>
                <w:rFonts w:eastAsia="Calibri"/>
                <w:noProof/>
                <w:sz w:val="22"/>
                <w:szCs w:val="22"/>
                <w:vertAlign w:val="superscript"/>
                <w:lang w:eastAsia="en-US"/>
              </w:rPr>
              <w:t>21</w:t>
            </w:r>
            <w:r w:rsidRPr="003B6CF7">
              <w:rPr>
                <w:rFonts w:eastAsia="Calibri"/>
                <w:noProof/>
                <w:sz w:val="22"/>
                <w:szCs w:val="22"/>
                <w:lang w:eastAsia="en-US"/>
              </w:rPr>
              <w:t>)</w:t>
            </w:r>
          </w:p>
        </w:tc>
        <w:tc>
          <w:tcPr>
            <w:tcW w:w="1422" w:type="dxa"/>
            <w:gridSpan w:val="5"/>
            <w:tcMar>
              <w:left w:w="28" w:type="dxa"/>
              <w:right w:w="28" w:type="dxa"/>
            </w:tcMar>
          </w:tcPr>
          <w:p w14:paraId="1170290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biprodukter</w:t>
            </w:r>
          </w:p>
        </w:tc>
        <w:tc>
          <w:tcPr>
            <w:tcW w:w="992" w:type="dxa"/>
            <w:gridSpan w:val="2"/>
            <w:tcMar>
              <w:left w:w="28" w:type="dxa"/>
              <w:right w:w="28" w:type="dxa"/>
            </w:tcMar>
          </w:tcPr>
          <w:p w14:paraId="16E263A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4" w:type="dxa"/>
          </w:tcPr>
          <w:p w14:paraId="0616F34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tcMar>
              <w:left w:w="28" w:type="dxa"/>
              <w:right w:w="28" w:type="dxa"/>
            </w:tcMar>
          </w:tcPr>
          <w:p w14:paraId="397F1E24"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tcMar>
              <w:left w:w="28" w:type="dxa"/>
              <w:right w:w="28" w:type="dxa"/>
            </w:tcMar>
          </w:tcPr>
          <w:p w14:paraId="5CB42BE2" w14:textId="77777777" w:rsidR="003524E3" w:rsidRPr="003B6CF7" w:rsidRDefault="003524E3" w:rsidP="003524E3">
            <w:pPr>
              <w:widowControl/>
              <w:spacing w:before="40" w:after="40"/>
              <w:rPr>
                <w:rFonts w:eastAsia="Calibri"/>
                <w:noProof/>
                <w:sz w:val="22"/>
                <w:szCs w:val="22"/>
                <w:lang w:eastAsia="en-US"/>
              </w:rPr>
            </w:pPr>
          </w:p>
        </w:tc>
        <w:tc>
          <w:tcPr>
            <w:tcW w:w="1278" w:type="dxa"/>
            <w:gridSpan w:val="2"/>
            <w:tcMar>
              <w:left w:w="28" w:type="dxa"/>
              <w:right w:w="28" w:type="dxa"/>
            </w:tcMar>
          </w:tcPr>
          <w:p w14:paraId="07047105" w14:textId="77777777" w:rsidR="003524E3" w:rsidRPr="003B6CF7" w:rsidRDefault="003524E3" w:rsidP="003524E3">
            <w:pPr>
              <w:widowControl/>
              <w:spacing w:before="40" w:after="40"/>
              <w:rPr>
                <w:rFonts w:eastAsia="Calibri"/>
                <w:b/>
                <w:i/>
                <w:noProof/>
                <w:sz w:val="22"/>
                <w:szCs w:val="22"/>
                <w:lang w:eastAsia="en-US"/>
              </w:rPr>
            </w:pPr>
            <w:bookmarkStart w:id="41" w:name="_DV_C352"/>
            <w:r w:rsidRPr="003B6CF7">
              <w:rPr>
                <w:rFonts w:eastAsia="Calibri"/>
                <w:noProof/>
                <w:sz w:val="22"/>
                <w:szCs w:val="22"/>
                <w:lang w:eastAsia="en-US"/>
              </w:rPr>
              <w:t>Ej tillämpligt</w:t>
            </w:r>
            <w:bookmarkEnd w:id="41"/>
          </w:p>
        </w:tc>
        <w:tc>
          <w:tcPr>
            <w:tcW w:w="1277" w:type="dxa"/>
            <w:gridSpan w:val="2"/>
            <w:tcMar>
              <w:left w:w="28" w:type="dxa"/>
              <w:right w:w="28" w:type="dxa"/>
            </w:tcMar>
          </w:tcPr>
          <w:p w14:paraId="50708037" w14:textId="77777777" w:rsidR="003524E3" w:rsidRPr="003B6CF7" w:rsidRDefault="003524E3" w:rsidP="003524E3">
            <w:pPr>
              <w:widowControl/>
              <w:spacing w:before="40" w:after="40"/>
              <w:rPr>
                <w:rFonts w:eastAsia="Calibri"/>
                <w:b/>
                <w:i/>
                <w:noProof/>
                <w:sz w:val="22"/>
                <w:szCs w:val="22"/>
                <w:lang w:eastAsia="en-US"/>
              </w:rPr>
            </w:pPr>
            <w:bookmarkStart w:id="42" w:name="_DV_C353"/>
            <w:r w:rsidRPr="003B6CF7">
              <w:rPr>
                <w:rFonts w:eastAsia="Calibri"/>
                <w:noProof/>
                <w:sz w:val="22"/>
                <w:szCs w:val="22"/>
                <w:lang w:eastAsia="en-US"/>
              </w:rPr>
              <w:t>Ej tillämpligt</w:t>
            </w:r>
            <w:bookmarkEnd w:id="42"/>
          </w:p>
        </w:tc>
        <w:tc>
          <w:tcPr>
            <w:tcW w:w="1136" w:type="dxa"/>
            <w:gridSpan w:val="2"/>
            <w:tcMar>
              <w:left w:w="28" w:type="dxa"/>
              <w:right w:w="28" w:type="dxa"/>
            </w:tcMar>
          </w:tcPr>
          <w:p w14:paraId="06F3AF0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Summan av PCDD- + PCDF- + PCB-DL-</w:t>
            </w:r>
          </w:p>
          <w:p w14:paraId="4D8F3CDF"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ekvivalenter [3,5 10</w:t>
            </w:r>
            <w:r w:rsidRPr="003B6CF7">
              <w:rPr>
                <w:rFonts w:eastAsia="Calibri"/>
                <w:noProof/>
                <w:sz w:val="22"/>
                <w:szCs w:val="22"/>
                <w:vertAlign w:val="superscript"/>
                <w:lang w:eastAsia="en-US"/>
              </w:rPr>
              <w:t>-5</w:t>
            </w:r>
            <w:r w:rsidRPr="003B6CF7">
              <w:rPr>
                <w:rFonts w:eastAsia="Calibri"/>
                <w:noProof/>
                <w:sz w:val="22"/>
                <w:szCs w:val="22"/>
                <w:lang w:eastAsia="en-US"/>
              </w:rPr>
              <w:t>] (</w:t>
            </w:r>
            <w:r w:rsidRPr="003B6CF7">
              <w:rPr>
                <w:rFonts w:eastAsia="Calibri"/>
                <w:noProof/>
                <w:sz w:val="22"/>
                <w:szCs w:val="22"/>
                <w:vertAlign w:val="superscript"/>
                <w:lang w:eastAsia="en-US"/>
              </w:rPr>
              <w:t>22</w:t>
            </w:r>
            <w:r w:rsidRPr="003B6CF7">
              <w:rPr>
                <w:rFonts w:eastAsia="Calibri"/>
                <w:noProof/>
                <w:sz w:val="22"/>
                <w:szCs w:val="22"/>
                <w:lang w:eastAsia="en-US"/>
              </w:rPr>
              <w:t>)</w:t>
            </w:r>
          </w:p>
        </w:tc>
        <w:tc>
          <w:tcPr>
            <w:tcW w:w="1262" w:type="dxa"/>
            <w:tcMar>
              <w:left w:w="28" w:type="dxa"/>
              <w:right w:w="28" w:type="dxa"/>
            </w:tcMar>
          </w:tcPr>
          <w:p w14:paraId="0B1F04D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00A618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694D8B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78749A6F" w14:textId="77777777" w:rsidTr="003524E3">
        <w:trPr>
          <w:gridBefore w:val="1"/>
          <w:wBefore w:w="12" w:type="dxa"/>
          <w:cantSplit/>
          <w:tblHeader/>
          <w:jc w:val="center"/>
        </w:trPr>
        <w:tc>
          <w:tcPr>
            <w:tcW w:w="651" w:type="dxa"/>
            <w:gridSpan w:val="3"/>
            <w:tcMar>
              <w:left w:w="28" w:type="dxa"/>
              <w:right w:w="28" w:type="dxa"/>
            </w:tcMar>
          </w:tcPr>
          <w:p w14:paraId="08322BA4"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(38)</w:t>
            </w:r>
          </w:p>
        </w:tc>
        <w:tc>
          <w:tcPr>
            <w:tcW w:w="2286" w:type="dxa"/>
            <w:gridSpan w:val="3"/>
            <w:tcMar>
              <w:left w:w="28" w:type="dxa"/>
              <w:right w:w="28" w:type="dxa"/>
            </w:tcMar>
          </w:tcPr>
          <w:p w14:paraId="07C0D5C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Aklonifen</w:t>
            </w:r>
          </w:p>
        </w:tc>
        <w:tc>
          <w:tcPr>
            <w:tcW w:w="1329" w:type="dxa"/>
            <w:gridSpan w:val="3"/>
            <w:tcMar>
              <w:left w:w="28" w:type="dxa"/>
              <w:right w:w="28" w:type="dxa"/>
            </w:tcMar>
          </w:tcPr>
          <w:p w14:paraId="0BD6B4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46E3C19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74070-46-5</w:t>
            </w:r>
          </w:p>
        </w:tc>
        <w:tc>
          <w:tcPr>
            <w:tcW w:w="1134" w:type="dxa"/>
          </w:tcPr>
          <w:p w14:paraId="2A86ADE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277-704-1</w:t>
            </w:r>
          </w:p>
        </w:tc>
        <w:tc>
          <w:tcPr>
            <w:tcW w:w="1279" w:type="dxa"/>
            <w:gridSpan w:val="2"/>
            <w:tcMar>
              <w:left w:w="28" w:type="dxa"/>
              <w:right w:w="28" w:type="dxa"/>
            </w:tcMar>
          </w:tcPr>
          <w:p w14:paraId="0BC933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0,12</w:t>
            </w:r>
          </w:p>
        </w:tc>
        <w:tc>
          <w:tcPr>
            <w:tcW w:w="1279" w:type="dxa"/>
            <w:gridSpan w:val="2"/>
            <w:tcMar>
              <w:left w:w="28" w:type="dxa"/>
              <w:right w:w="28" w:type="dxa"/>
            </w:tcMar>
          </w:tcPr>
          <w:p w14:paraId="40B8814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0,012</w:t>
            </w:r>
          </w:p>
        </w:tc>
        <w:tc>
          <w:tcPr>
            <w:tcW w:w="1278" w:type="dxa"/>
            <w:gridSpan w:val="2"/>
            <w:tcMar>
              <w:left w:w="28" w:type="dxa"/>
              <w:right w:w="28" w:type="dxa"/>
            </w:tcMar>
          </w:tcPr>
          <w:p w14:paraId="0143FE1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0,12</w:t>
            </w:r>
          </w:p>
        </w:tc>
        <w:tc>
          <w:tcPr>
            <w:tcW w:w="1277" w:type="dxa"/>
            <w:gridSpan w:val="2"/>
            <w:tcMar>
              <w:left w:w="28" w:type="dxa"/>
              <w:right w:w="28" w:type="dxa"/>
            </w:tcMar>
          </w:tcPr>
          <w:p w14:paraId="2877CA3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0,012</w:t>
            </w:r>
          </w:p>
        </w:tc>
        <w:tc>
          <w:tcPr>
            <w:tcW w:w="1136" w:type="dxa"/>
            <w:gridSpan w:val="2"/>
            <w:tcMar>
              <w:left w:w="28" w:type="dxa"/>
              <w:right w:w="28" w:type="dxa"/>
            </w:tcMar>
          </w:tcPr>
          <w:p w14:paraId="1696791B"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5B0B1D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06A3BA66"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2328DBE"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7DBDE11C" w14:textId="77777777" w:rsidTr="003524E3">
        <w:trPr>
          <w:gridBefore w:val="1"/>
          <w:wBefore w:w="12" w:type="dxa"/>
          <w:cantSplit/>
          <w:tblHeader/>
          <w:jc w:val="center"/>
        </w:trPr>
        <w:tc>
          <w:tcPr>
            <w:tcW w:w="651" w:type="dxa"/>
            <w:gridSpan w:val="3"/>
            <w:tcMar>
              <w:left w:w="28" w:type="dxa"/>
              <w:right w:w="28" w:type="dxa"/>
            </w:tcMar>
          </w:tcPr>
          <w:p w14:paraId="2C5585C4"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(39)</w:t>
            </w:r>
          </w:p>
        </w:tc>
        <w:tc>
          <w:tcPr>
            <w:tcW w:w="2286" w:type="dxa"/>
            <w:gridSpan w:val="3"/>
            <w:tcMar>
              <w:left w:w="28" w:type="dxa"/>
              <w:right w:w="28" w:type="dxa"/>
            </w:tcMar>
          </w:tcPr>
          <w:p w14:paraId="67F98A5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Bifenox</w:t>
            </w:r>
          </w:p>
        </w:tc>
        <w:tc>
          <w:tcPr>
            <w:tcW w:w="1329" w:type="dxa"/>
            <w:gridSpan w:val="3"/>
            <w:tcMar>
              <w:left w:w="28" w:type="dxa"/>
              <w:right w:w="28" w:type="dxa"/>
            </w:tcMar>
          </w:tcPr>
          <w:p w14:paraId="6B3D192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21FAB61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42576-02-3</w:t>
            </w:r>
          </w:p>
        </w:tc>
        <w:tc>
          <w:tcPr>
            <w:tcW w:w="1134" w:type="dxa"/>
          </w:tcPr>
          <w:p w14:paraId="2A27C6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255-894-7</w:t>
            </w:r>
          </w:p>
        </w:tc>
        <w:tc>
          <w:tcPr>
            <w:tcW w:w="1279" w:type="dxa"/>
            <w:gridSpan w:val="2"/>
            <w:tcMar>
              <w:left w:w="28" w:type="dxa"/>
              <w:right w:w="28" w:type="dxa"/>
            </w:tcMar>
          </w:tcPr>
          <w:p w14:paraId="52FEAC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0,012</w:t>
            </w:r>
          </w:p>
        </w:tc>
        <w:tc>
          <w:tcPr>
            <w:tcW w:w="1279" w:type="dxa"/>
            <w:gridSpan w:val="2"/>
            <w:tcMar>
              <w:left w:w="28" w:type="dxa"/>
              <w:right w:w="28" w:type="dxa"/>
            </w:tcMar>
          </w:tcPr>
          <w:p w14:paraId="0F1A4AB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0,0012</w:t>
            </w:r>
          </w:p>
        </w:tc>
        <w:tc>
          <w:tcPr>
            <w:tcW w:w="1278" w:type="dxa"/>
            <w:gridSpan w:val="2"/>
            <w:tcMar>
              <w:left w:w="28" w:type="dxa"/>
              <w:right w:w="28" w:type="dxa"/>
            </w:tcMar>
          </w:tcPr>
          <w:p w14:paraId="7EB0C42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0,04</w:t>
            </w:r>
          </w:p>
        </w:tc>
        <w:tc>
          <w:tcPr>
            <w:tcW w:w="1277" w:type="dxa"/>
            <w:gridSpan w:val="2"/>
            <w:tcMar>
              <w:left w:w="28" w:type="dxa"/>
              <w:right w:w="28" w:type="dxa"/>
            </w:tcMar>
          </w:tcPr>
          <w:p w14:paraId="5E61705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0,004</w:t>
            </w:r>
          </w:p>
        </w:tc>
        <w:tc>
          <w:tcPr>
            <w:tcW w:w="1136" w:type="dxa"/>
            <w:gridSpan w:val="2"/>
            <w:tcMar>
              <w:left w:w="28" w:type="dxa"/>
              <w:right w:w="28" w:type="dxa"/>
            </w:tcMar>
          </w:tcPr>
          <w:p w14:paraId="5B20B783"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112D15F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09B0D531"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FEF6335"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66682B3" w14:textId="77777777" w:rsidTr="003524E3">
        <w:trPr>
          <w:gridBefore w:val="1"/>
          <w:wBefore w:w="12" w:type="dxa"/>
          <w:cantSplit/>
          <w:tblHeader/>
          <w:jc w:val="center"/>
        </w:trPr>
        <w:tc>
          <w:tcPr>
            <w:tcW w:w="651" w:type="dxa"/>
            <w:gridSpan w:val="3"/>
            <w:tcMar>
              <w:left w:w="28" w:type="dxa"/>
              <w:right w:w="28" w:type="dxa"/>
            </w:tcMar>
          </w:tcPr>
          <w:p w14:paraId="7871EED9"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(40)</w:t>
            </w:r>
          </w:p>
        </w:tc>
        <w:tc>
          <w:tcPr>
            <w:tcW w:w="2286" w:type="dxa"/>
            <w:gridSpan w:val="3"/>
            <w:tcMar>
              <w:left w:w="28" w:type="dxa"/>
              <w:right w:w="28" w:type="dxa"/>
            </w:tcMar>
          </w:tcPr>
          <w:p w14:paraId="45E4E87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Cybutryn</w:t>
            </w:r>
          </w:p>
        </w:tc>
        <w:tc>
          <w:tcPr>
            <w:tcW w:w="1329" w:type="dxa"/>
            <w:gridSpan w:val="3"/>
            <w:tcMar>
              <w:left w:w="28" w:type="dxa"/>
              <w:right w:w="28" w:type="dxa"/>
            </w:tcMar>
          </w:tcPr>
          <w:p w14:paraId="79B67A1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Biocider</w:t>
            </w:r>
          </w:p>
        </w:tc>
        <w:tc>
          <w:tcPr>
            <w:tcW w:w="992" w:type="dxa"/>
            <w:gridSpan w:val="2"/>
            <w:tcMar>
              <w:left w:w="28" w:type="dxa"/>
              <w:right w:w="28" w:type="dxa"/>
            </w:tcMar>
          </w:tcPr>
          <w:p w14:paraId="687696E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28159-98-0</w:t>
            </w:r>
          </w:p>
        </w:tc>
        <w:tc>
          <w:tcPr>
            <w:tcW w:w="1134" w:type="dxa"/>
          </w:tcPr>
          <w:p w14:paraId="2888E2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248-872-3</w:t>
            </w:r>
          </w:p>
        </w:tc>
        <w:tc>
          <w:tcPr>
            <w:tcW w:w="1279" w:type="dxa"/>
            <w:gridSpan w:val="2"/>
            <w:tcMar>
              <w:left w:w="28" w:type="dxa"/>
              <w:right w:w="28" w:type="dxa"/>
            </w:tcMar>
          </w:tcPr>
          <w:p w14:paraId="26674C7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0,0025</w:t>
            </w:r>
          </w:p>
        </w:tc>
        <w:tc>
          <w:tcPr>
            <w:tcW w:w="1279" w:type="dxa"/>
            <w:gridSpan w:val="2"/>
            <w:tcMar>
              <w:left w:w="28" w:type="dxa"/>
              <w:right w:w="28" w:type="dxa"/>
            </w:tcMar>
          </w:tcPr>
          <w:p w14:paraId="63EDD2B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0,0025</w:t>
            </w:r>
          </w:p>
        </w:tc>
        <w:tc>
          <w:tcPr>
            <w:tcW w:w="1278" w:type="dxa"/>
            <w:gridSpan w:val="2"/>
            <w:tcMar>
              <w:left w:w="28" w:type="dxa"/>
              <w:right w:w="28" w:type="dxa"/>
            </w:tcMar>
          </w:tcPr>
          <w:p w14:paraId="35B8992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0,016</w:t>
            </w:r>
          </w:p>
        </w:tc>
        <w:tc>
          <w:tcPr>
            <w:tcW w:w="1277" w:type="dxa"/>
            <w:gridSpan w:val="2"/>
            <w:tcMar>
              <w:left w:w="28" w:type="dxa"/>
              <w:right w:w="28" w:type="dxa"/>
            </w:tcMar>
          </w:tcPr>
          <w:p w14:paraId="05D776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0,016</w:t>
            </w:r>
          </w:p>
        </w:tc>
        <w:tc>
          <w:tcPr>
            <w:tcW w:w="1136" w:type="dxa"/>
            <w:gridSpan w:val="2"/>
            <w:tcMar>
              <w:left w:w="28" w:type="dxa"/>
              <w:right w:w="28" w:type="dxa"/>
            </w:tcMar>
          </w:tcPr>
          <w:p w14:paraId="35DAD1F6"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6B59047"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E6CB954"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C0E9492"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411C74D" w14:textId="77777777" w:rsidTr="003524E3">
        <w:trPr>
          <w:gridBefore w:val="1"/>
          <w:wBefore w:w="12" w:type="dxa"/>
          <w:cantSplit/>
          <w:tblHeader/>
          <w:jc w:val="center"/>
        </w:trPr>
        <w:tc>
          <w:tcPr>
            <w:tcW w:w="651" w:type="dxa"/>
            <w:gridSpan w:val="3"/>
            <w:tcMar>
              <w:left w:w="28" w:type="dxa"/>
              <w:right w:w="28" w:type="dxa"/>
            </w:tcMar>
          </w:tcPr>
          <w:p w14:paraId="05B0E8D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(41)</w:t>
            </w:r>
          </w:p>
        </w:tc>
        <w:tc>
          <w:tcPr>
            <w:tcW w:w="2286" w:type="dxa"/>
            <w:gridSpan w:val="3"/>
            <w:tcMar>
              <w:left w:w="28" w:type="dxa"/>
              <w:right w:w="28" w:type="dxa"/>
            </w:tcMar>
          </w:tcPr>
          <w:p w14:paraId="6EE060F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Cypermetrin (</w:t>
            </w:r>
            <w:r w:rsidRPr="003B6CF7">
              <w:rPr>
                <w:rFonts w:eastAsia="Calibri"/>
                <w:noProof/>
                <w:sz w:val="22"/>
                <w:szCs w:val="22"/>
                <w:vertAlign w:val="superscript"/>
                <w:lang w:eastAsia="en-US"/>
              </w:rPr>
              <w:t>23</w:t>
            </w:r>
            <w:r w:rsidRPr="003B6CF7">
              <w:rPr>
                <w:rFonts w:eastAsia="Calibri"/>
                <w:noProof/>
                <w:sz w:val="22"/>
                <w:szCs w:val="22"/>
                <w:lang w:eastAsia="en-US"/>
              </w:rPr>
              <w:t>)</w:t>
            </w:r>
          </w:p>
        </w:tc>
        <w:tc>
          <w:tcPr>
            <w:tcW w:w="1329" w:type="dxa"/>
            <w:gridSpan w:val="3"/>
            <w:tcMar>
              <w:left w:w="28" w:type="dxa"/>
              <w:right w:w="28" w:type="dxa"/>
            </w:tcMar>
          </w:tcPr>
          <w:p w14:paraId="30F4785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Pyretroidbaserade bekämpningsmedel</w:t>
            </w:r>
          </w:p>
        </w:tc>
        <w:tc>
          <w:tcPr>
            <w:tcW w:w="992" w:type="dxa"/>
            <w:gridSpan w:val="2"/>
            <w:tcMar>
              <w:left w:w="28" w:type="dxa"/>
              <w:right w:w="28" w:type="dxa"/>
            </w:tcMar>
          </w:tcPr>
          <w:p w14:paraId="2DB9534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52315-07-8</w:t>
            </w:r>
          </w:p>
        </w:tc>
        <w:tc>
          <w:tcPr>
            <w:tcW w:w="1134" w:type="dxa"/>
          </w:tcPr>
          <w:p w14:paraId="39BCDB68"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257-842-9</w:t>
            </w:r>
          </w:p>
        </w:tc>
        <w:tc>
          <w:tcPr>
            <w:tcW w:w="1279" w:type="dxa"/>
            <w:gridSpan w:val="2"/>
            <w:tcMar>
              <w:left w:w="28" w:type="dxa"/>
              <w:right w:w="28" w:type="dxa"/>
            </w:tcMar>
          </w:tcPr>
          <w:p w14:paraId="1D39EDF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 × 10</w:t>
            </w:r>
            <w:r w:rsidRPr="003B6CF7">
              <w:rPr>
                <w:rFonts w:eastAsia="Calibri"/>
                <w:noProof/>
                <w:sz w:val="22"/>
                <w:szCs w:val="22"/>
                <w:vertAlign w:val="superscript"/>
                <w:lang w:eastAsia="en-US"/>
              </w:rPr>
              <w:t>-5</w:t>
            </w:r>
          </w:p>
        </w:tc>
        <w:tc>
          <w:tcPr>
            <w:tcW w:w="1279" w:type="dxa"/>
            <w:gridSpan w:val="2"/>
            <w:tcMar>
              <w:left w:w="28" w:type="dxa"/>
              <w:right w:w="28" w:type="dxa"/>
            </w:tcMar>
          </w:tcPr>
          <w:p w14:paraId="526BC8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 × 10</w:t>
            </w:r>
            <w:r w:rsidRPr="003B6CF7">
              <w:rPr>
                <w:rFonts w:eastAsia="Calibri"/>
                <w:noProof/>
                <w:sz w:val="22"/>
                <w:szCs w:val="22"/>
                <w:vertAlign w:val="superscript"/>
                <w:lang w:eastAsia="en-US"/>
              </w:rPr>
              <w:t>-6</w:t>
            </w:r>
          </w:p>
        </w:tc>
        <w:tc>
          <w:tcPr>
            <w:tcW w:w="1278" w:type="dxa"/>
            <w:gridSpan w:val="2"/>
            <w:tcMar>
              <w:left w:w="28" w:type="dxa"/>
              <w:right w:w="28" w:type="dxa"/>
            </w:tcMar>
          </w:tcPr>
          <w:p w14:paraId="0BEA06FD"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6 × 10</w:t>
            </w:r>
            <w:r w:rsidRPr="003B6CF7">
              <w:rPr>
                <w:rFonts w:eastAsia="Calibri"/>
                <w:noProof/>
                <w:sz w:val="22"/>
                <w:szCs w:val="22"/>
                <w:vertAlign w:val="superscript"/>
                <w:lang w:eastAsia="en-US"/>
              </w:rPr>
              <w:t>-4</w:t>
            </w:r>
          </w:p>
        </w:tc>
        <w:tc>
          <w:tcPr>
            <w:tcW w:w="1277" w:type="dxa"/>
            <w:gridSpan w:val="2"/>
            <w:tcMar>
              <w:left w:w="28" w:type="dxa"/>
              <w:right w:w="28" w:type="dxa"/>
            </w:tcMar>
          </w:tcPr>
          <w:p w14:paraId="2C1ADFB1"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6 × 10</w:t>
            </w:r>
            <w:r w:rsidRPr="003B6CF7">
              <w:rPr>
                <w:rFonts w:eastAsia="Calibri"/>
                <w:noProof/>
                <w:sz w:val="22"/>
                <w:szCs w:val="22"/>
                <w:vertAlign w:val="superscript"/>
                <w:lang w:eastAsia="en-US"/>
              </w:rPr>
              <w:t>-5</w:t>
            </w:r>
          </w:p>
        </w:tc>
        <w:tc>
          <w:tcPr>
            <w:tcW w:w="1136" w:type="dxa"/>
            <w:gridSpan w:val="2"/>
            <w:tcMar>
              <w:left w:w="28" w:type="dxa"/>
              <w:right w:w="28" w:type="dxa"/>
            </w:tcMar>
          </w:tcPr>
          <w:p w14:paraId="1E04639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96D6CFA" w14:textId="77777777" w:rsidR="003524E3" w:rsidRPr="003B6CF7" w:rsidRDefault="003524E3" w:rsidP="003524E3">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65FA737B" w14:textId="77777777" w:rsidR="003524E3" w:rsidRPr="003B6CF7" w:rsidRDefault="003524E3" w:rsidP="003524E3">
            <w:pPr>
              <w:widowControl/>
              <w:spacing w:before="40" w:after="40"/>
              <w:rPr>
                <w:rFonts w:eastAsia="Calibri"/>
                <w:noProof/>
                <w:sz w:val="22"/>
                <w:szCs w:val="22"/>
                <w:vertAlign w:val="superscript"/>
                <w:lang w:eastAsia="en-US"/>
              </w:rPr>
            </w:pPr>
          </w:p>
        </w:tc>
        <w:tc>
          <w:tcPr>
            <w:tcW w:w="970" w:type="dxa"/>
            <w:tcMar>
              <w:left w:w="28" w:type="dxa"/>
              <w:right w:w="28" w:type="dxa"/>
            </w:tcMar>
          </w:tcPr>
          <w:p w14:paraId="542D2C85"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X</w:t>
            </w:r>
          </w:p>
        </w:tc>
      </w:tr>
      <w:tr w:rsidR="003524E3" w:rsidRPr="003B6CF7" w14:paraId="72B891C3" w14:textId="77777777" w:rsidTr="003524E3">
        <w:trPr>
          <w:gridBefore w:val="1"/>
          <w:wBefore w:w="12" w:type="dxa"/>
          <w:cantSplit/>
          <w:tblHeader/>
          <w:jc w:val="center"/>
        </w:trPr>
        <w:tc>
          <w:tcPr>
            <w:tcW w:w="651" w:type="dxa"/>
            <w:gridSpan w:val="3"/>
            <w:tcMar>
              <w:left w:w="28" w:type="dxa"/>
              <w:right w:w="28" w:type="dxa"/>
            </w:tcMar>
          </w:tcPr>
          <w:p w14:paraId="1917BEC6"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(42)</w:t>
            </w:r>
          </w:p>
        </w:tc>
        <w:tc>
          <w:tcPr>
            <w:tcW w:w="2286" w:type="dxa"/>
            <w:gridSpan w:val="3"/>
            <w:tcMar>
              <w:left w:w="28" w:type="dxa"/>
              <w:right w:w="28" w:type="dxa"/>
            </w:tcMar>
          </w:tcPr>
          <w:p w14:paraId="3EFE77B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Diklorvos</w:t>
            </w:r>
          </w:p>
        </w:tc>
        <w:tc>
          <w:tcPr>
            <w:tcW w:w="1329" w:type="dxa"/>
            <w:gridSpan w:val="3"/>
            <w:tcMar>
              <w:left w:w="28" w:type="dxa"/>
              <w:right w:w="28" w:type="dxa"/>
            </w:tcMar>
          </w:tcPr>
          <w:p w14:paraId="434278E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Organofosfatiska bekämpningsmedel</w:t>
            </w:r>
          </w:p>
        </w:tc>
        <w:tc>
          <w:tcPr>
            <w:tcW w:w="992" w:type="dxa"/>
            <w:gridSpan w:val="2"/>
            <w:tcMar>
              <w:left w:w="28" w:type="dxa"/>
              <w:right w:w="28" w:type="dxa"/>
            </w:tcMar>
          </w:tcPr>
          <w:p w14:paraId="6824E0D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62-73-7</w:t>
            </w:r>
          </w:p>
        </w:tc>
        <w:tc>
          <w:tcPr>
            <w:tcW w:w="1134" w:type="dxa"/>
          </w:tcPr>
          <w:p w14:paraId="69D2E81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200-547-7</w:t>
            </w:r>
          </w:p>
        </w:tc>
        <w:tc>
          <w:tcPr>
            <w:tcW w:w="1279" w:type="dxa"/>
            <w:gridSpan w:val="2"/>
            <w:tcMar>
              <w:left w:w="28" w:type="dxa"/>
              <w:right w:w="28" w:type="dxa"/>
            </w:tcMar>
          </w:tcPr>
          <w:p w14:paraId="5B1F36A3"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6 × 10</w:t>
            </w:r>
            <w:r w:rsidRPr="003B6CF7">
              <w:rPr>
                <w:rFonts w:eastAsia="Calibri"/>
                <w:noProof/>
                <w:sz w:val="22"/>
                <w:szCs w:val="22"/>
                <w:vertAlign w:val="superscript"/>
                <w:lang w:eastAsia="en-US"/>
              </w:rPr>
              <w:t>-4</w:t>
            </w:r>
          </w:p>
        </w:tc>
        <w:tc>
          <w:tcPr>
            <w:tcW w:w="1279" w:type="dxa"/>
            <w:gridSpan w:val="2"/>
            <w:tcMar>
              <w:left w:w="28" w:type="dxa"/>
              <w:right w:w="28" w:type="dxa"/>
            </w:tcMar>
          </w:tcPr>
          <w:p w14:paraId="577FFB75"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6 × 10</w:t>
            </w:r>
            <w:r w:rsidRPr="003B6CF7">
              <w:rPr>
                <w:rFonts w:eastAsia="Calibri"/>
                <w:noProof/>
                <w:sz w:val="22"/>
                <w:szCs w:val="22"/>
                <w:vertAlign w:val="superscript"/>
                <w:lang w:eastAsia="en-US"/>
              </w:rPr>
              <w:t>-5</w:t>
            </w:r>
          </w:p>
        </w:tc>
        <w:tc>
          <w:tcPr>
            <w:tcW w:w="1278" w:type="dxa"/>
            <w:gridSpan w:val="2"/>
            <w:tcMar>
              <w:left w:w="28" w:type="dxa"/>
              <w:right w:w="28" w:type="dxa"/>
            </w:tcMar>
          </w:tcPr>
          <w:p w14:paraId="63DE9516"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7 × 10</w:t>
            </w:r>
            <w:r w:rsidRPr="003B6CF7">
              <w:rPr>
                <w:rFonts w:eastAsia="Calibri"/>
                <w:noProof/>
                <w:sz w:val="22"/>
                <w:szCs w:val="22"/>
                <w:vertAlign w:val="superscript"/>
                <w:lang w:eastAsia="en-US"/>
              </w:rPr>
              <w:t>-4</w:t>
            </w:r>
          </w:p>
        </w:tc>
        <w:tc>
          <w:tcPr>
            <w:tcW w:w="1277" w:type="dxa"/>
            <w:gridSpan w:val="2"/>
            <w:tcMar>
              <w:left w:w="28" w:type="dxa"/>
              <w:right w:w="28" w:type="dxa"/>
            </w:tcMar>
          </w:tcPr>
          <w:p w14:paraId="6D0A682C"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7 × 10</w:t>
            </w:r>
            <w:r w:rsidRPr="003B6CF7">
              <w:rPr>
                <w:rFonts w:eastAsia="Calibri"/>
                <w:noProof/>
                <w:sz w:val="22"/>
                <w:szCs w:val="22"/>
                <w:vertAlign w:val="superscript"/>
                <w:lang w:eastAsia="en-US"/>
              </w:rPr>
              <w:t>-5</w:t>
            </w:r>
          </w:p>
        </w:tc>
        <w:tc>
          <w:tcPr>
            <w:tcW w:w="1136" w:type="dxa"/>
            <w:gridSpan w:val="2"/>
            <w:tcMar>
              <w:left w:w="28" w:type="dxa"/>
              <w:right w:w="28" w:type="dxa"/>
            </w:tcMar>
          </w:tcPr>
          <w:p w14:paraId="434B5180" w14:textId="77777777" w:rsidR="003524E3" w:rsidRPr="003B6CF7" w:rsidRDefault="003524E3" w:rsidP="003524E3">
            <w:pPr>
              <w:widowControl/>
              <w:spacing w:before="40" w:after="40"/>
              <w:rPr>
                <w:rFonts w:eastAsia="Calibri"/>
                <w:noProof/>
                <w:sz w:val="22"/>
                <w:szCs w:val="22"/>
                <w:vertAlign w:val="superscript"/>
                <w:lang w:eastAsia="en-US"/>
              </w:rPr>
            </w:pPr>
          </w:p>
        </w:tc>
        <w:tc>
          <w:tcPr>
            <w:tcW w:w="1262" w:type="dxa"/>
            <w:tcMar>
              <w:left w:w="28" w:type="dxa"/>
              <w:right w:w="28" w:type="dxa"/>
            </w:tcMar>
          </w:tcPr>
          <w:p w14:paraId="3B827C88" w14:textId="77777777" w:rsidR="003524E3" w:rsidRPr="003B6CF7" w:rsidRDefault="003524E3" w:rsidP="003524E3">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17F04FDD" w14:textId="77777777" w:rsidR="003524E3" w:rsidRPr="003B6CF7" w:rsidRDefault="003524E3" w:rsidP="003524E3">
            <w:pPr>
              <w:widowControl/>
              <w:spacing w:before="40" w:after="40"/>
              <w:rPr>
                <w:rFonts w:eastAsia="Calibri"/>
                <w:noProof/>
                <w:sz w:val="22"/>
                <w:szCs w:val="22"/>
                <w:vertAlign w:val="superscript"/>
                <w:lang w:eastAsia="en-US"/>
              </w:rPr>
            </w:pPr>
          </w:p>
        </w:tc>
        <w:tc>
          <w:tcPr>
            <w:tcW w:w="970" w:type="dxa"/>
            <w:tcMar>
              <w:left w:w="28" w:type="dxa"/>
              <w:right w:w="28" w:type="dxa"/>
            </w:tcMar>
          </w:tcPr>
          <w:p w14:paraId="79349EAF" w14:textId="77777777" w:rsidR="003524E3" w:rsidRPr="003B6CF7" w:rsidRDefault="003524E3" w:rsidP="003524E3">
            <w:pPr>
              <w:widowControl/>
              <w:spacing w:before="40" w:after="40"/>
              <w:rPr>
                <w:rFonts w:eastAsia="Calibri"/>
                <w:noProof/>
                <w:sz w:val="22"/>
                <w:szCs w:val="22"/>
                <w:vertAlign w:val="superscript"/>
                <w:lang w:eastAsia="en-US"/>
              </w:rPr>
            </w:pPr>
          </w:p>
        </w:tc>
      </w:tr>
      <w:tr w:rsidR="003524E3" w:rsidRPr="003B6CF7" w14:paraId="5B8705DB" w14:textId="77777777" w:rsidTr="003524E3">
        <w:trPr>
          <w:gridBefore w:val="1"/>
          <w:wBefore w:w="12" w:type="dxa"/>
          <w:cantSplit/>
          <w:tblHeader/>
          <w:jc w:val="center"/>
        </w:trPr>
        <w:tc>
          <w:tcPr>
            <w:tcW w:w="651" w:type="dxa"/>
            <w:gridSpan w:val="3"/>
            <w:tcMar>
              <w:left w:w="28" w:type="dxa"/>
              <w:right w:w="28" w:type="dxa"/>
            </w:tcMar>
          </w:tcPr>
          <w:p w14:paraId="2DBCDF26"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(43)</w:t>
            </w:r>
          </w:p>
        </w:tc>
        <w:tc>
          <w:tcPr>
            <w:tcW w:w="2286" w:type="dxa"/>
            <w:gridSpan w:val="3"/>
            <w:tcMar>
              <w:left w:w="28" w:type="dxa"/>
              <w:right w:w="28" w:type="dxa"/>
            </w:tcMar>
          </w:tcPr>
          <w:p w14:paraId="41C991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Hexabromcyklododekan (HBCDD) (</w:t>
            </w:r>
            <w:r w:rsidRPr="003B6CF7">
              <w:rPr>
                <w:rFonts w:eastAsia="Calibri"/>
                <w:noProof/>
                <w:sz w:val="22"/>
                <w:szCs w:val="22"/>
                <w:vertAlign w:val="superscript"/>
                <w:lang w:eastAsia="en-US"/>
              </w:rPr>
              <w:t>24</w:t>
            </w:r>
            <w:r w:rsidRPr="003B6CF7">
              <w:rPr>
                <w:rFonts w:eastAsia="Calibri"/>
                <w:noProof/>
                <w:sz w:val="22"/>
                <w:szCs w:val="22"/>
                <w:lang w:eastAsia="en-US"/>
              </w:rPr>
              <w:t>)</w:t>
            </w:r>
            <w:r w:rsidRPr="003B6CF7">
              <w:rPr>
                <w:rFonts w:eastAsia="Calibri"/>
                <w:noProof/>
                <w:szCs w:val="22"/>
                <w:u w:val="single"/>
                <w:lang w:eastAsia="en-US"/>
              </w:rPr>
              <w:t xml:space="preserve"> </w:t>
            </w:r>
          </w:p>
        </w:tc>
        <w:tc>
          <w:tcPr>
            <w:tcW w:w="1329" w:type="dxa"/>
            <w:gridSpan w:val="3"/>
            <w:tcMar>
              <w:left w:w="28" w:type="dxa"/>
              <w:right w:w="28" w:type="dxa"/>
            </w:tcMar>
          </w:tcPr>
          <w:p w14:paraId="6CE51C7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tcMar>
              <w:left w:w="28" w:type="dxa"/>
              <w:right w:w="28" w:type="dxa"/>
            </w:tcMar>
          </w:tcPr>
          <w:p w14:paraId="2C80E90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se fotnot 24</w:t>
            </w:r>
          </w:p>
        </w:tc>
        <w:tc>
          <w:tcPr>
            <w:tcW w:w="1134" w:type="dxa"/>
          </w:tcPr>
          <w:p w14:paraId="6879750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se fotnot 24</w:t>
            </w:r>
          </w:p>
        </w:tc>
        <w:tc>
          <w:tcPr>
            <w:tcW w:w="1279" w:type="dxa"/>
            <w:gridSpan w:val="2"/>
            <w:tcMar>
              <w:left w:w="28" w:type="dxa"/>
              <w:right w:w="28" w:type="dxa"/>
            </w:tcMar>
          </w:tcPr>
          <w:p w14:paraId="168AAD0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[4,6 × 10</w:t>
            </w:r>
            <w:r w:rsidRPr="003B6CF7">
              <w:rPr>
                <w:rFonts w:eastAsia="Calibri"/>
                <w:noProof/>
                <w:sz w:val="22"/>
                <w:szCs w:val="22"/>
                <w:vertAlign w:val="superscript"/>
                <w:lang w:eastAsia="en-US"/>
              </w:rPr>
              <w:t>-4</w:t>
            </w:r>
            <w:r w:rsidRPr="003B6CF7">
              <w:rPr>
                <w:rFonts w:eastAsia="Calibri"/>
                <w:noProof/>
                <w:sz w:val="22"/>
                <w:szCs w:val="22"/>
                <w:lang w:eastAsia="en-US"/>
              </w:rPr>
              <w:t>]</w:t>
            </w:r>
          </w:p>
        </w:tc>
        <w:tc>
          <w:tcPr>
            <w:tcW w:w="1279" w:type="dxa"/>
            <w:gridSpan w:val="2"/>
            <w:tcMar>
              <w:left w:w="28" w:type="dxa"/>
              <w:right w:w="28" w:type="dxa"/>
            </w:tcMar>
          </w:tcPr>
          <w:p w14:paraId="611D0DE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 × 10</w:t>
            </w:r>
            <w:r w:rsidRPr="003B6CF7">
              <w:rPr>
                <w:rFonts w:eastAsia="Calibri"/>
                <w:noProof/>
                <w:sz w:val="22"/>
                <w:szCs w:val="22"/>
                <w:vertAlign w:val="superscript"/>
                <w:lang w:eastAsia="en-US"/>
              </w:rPr>
              <w:t>-5</w:t>
            </w:r>
            <w:r w:rsidRPr="003B6CF7">
              <w:rPr>
                <w:rFonts w:eastAsia="Calibri"/>
                <w:noProof/>
                <w:sz w:val="22"/>
                <w:szCs w:val="22"/>
                <w:lang w:eastAsia="en-US"/>
              </w:rPr>
              <w:t>]</w:t>
            </w:r>
          </w:p>
        </w:tc>
        <w:tc>
          <w:tcPr>
            <w:tcW w:w="1278" w:type="dxa"/>
            <w:gridSpan w:val="2"/>
            <w:tcMar>
              <w:left w:w="28" w:type="dxa"/>
              <w:right w:w="28" w:type="dxa"/>
            </w:tcMar>
          </w:tcPr>
          <w:p w14:paraId="32AB5CB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w:t>
            </w:r>
          </w:p>
        </w:tc>
        <w:tc>
          <w:tcPr>
            <w:tcW w:w="1277" w:type="dxa"/>
            <w:gridSpan w:val="2"/>
            <w:tcMar>
              <w:left w:w="28" w:type="dxa"/>
              <w:right w:w="28" w:type="dxa"/>
            </w:tcMar>
          </w:tcPr>
          <w:p w14:paraId="7311A83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w:t>
            </w:r>
          </w:p>
        </w:tc>
        <w:tc>
          <w:tcPr>
            <w:tcW w:w="1136" w:type="dxa"/>
            <w:gridSpan w:val="2"/>
            <w:tcMar>
              <w:left w:w="28" w:type="dxa"/>
              <w:right w:w="28" w:type="dxa"/>
            </w:tcMar>
          </w:tcPr>
          <w:p w14:paraId="076FDD0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[3,5]</w:t>
            </w:r>
          </w:p>
        </w:tc>
        <w:tc>
          <w:tcPr>
            <w:tcW w:w="1262" w:type="dxa"/>
            <w:tcMar>
              <w:left w:w="28" w:type="dxa"/>
              <w:right w:w="28" w:type="dxa"/>
            </w:tcMar>
          </w:tcPr>
          <w:p w14:paraId="697EA66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3AC300A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65FDFAA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3C8FAED9" w14:textId="77777777" w:rsidTr="003524E3">
        <w:trPr>
          <w:gridBefore w:val="1"/>
          <w:wBefore w:w="12" w:type="dxa"/>
          <w:cantSplit/>
          <w:tblHeader/>
          <w:jc w:val="center"/>
        </w:trPr>
        <w:tc>
          <w:tcPr>
            <w:tcW w:w="651" w:type="dxa"/>
            <w:gridSpan w:val="3"/>
            <w:tcMar>
              <w:left w:w="28" w:type="dxa"/>
              <w:right w:w="28" w:type="dxa"/>
            </w:tcMar>
          </w:tcPr>
          <w:p w14:paraId="65F88D2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(44)</w:t>
            </w:r>
          </w:p>
        </w:tc>
        <w:tc>
          <w:tcPr>
            <w:tcW w:w="2286" w:type="dxa"/>
            <w:gridSpan w:val="3"/>
            <w:tcMar>
              <w:left w:w="28" w:type="dxa"/>
              <w:right w:w="28" w:type="dxa"/>
            </w:tcMar>
          </w:tcPr>
          <w:p w14:paraId="0B4D09C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Heptaklor och heptaklorepoxid</w:t>
            </w:r>
          </w:p>
        </w:tc>
        <w:tc>
          <w:tcPr>
            <w:tcW w:w="1329" w:type="dxa"/>
            <w:gridSpan w:val="3"/>
            <w:tcMar>
              <w:left w:w="28" w:type="dxa"/>
              <w:right w:w="28" w:type="dxa"/>
            </w:tcMar>
          </w:tcPr>
          <w:p w14:paraId="257C2E7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Klororganiska bekämpningsmedel</w:t>
            </w:r>
          </w:p>
        </w:tc>
        <w:tc>
          <w:tcPr>
            <w:tcW w:w="992" w:type="dxa"/>
            <w:gridSpan w:val="2"/>
            <w:tcMar>
              <w:left w:w="28" w:type="dxa"/>
              <w:right w:w="28" w:type="dxa"/>
            </w:tcMar>
          </w:tcPr>
          <w:p w14:paraId="280F870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76-44-8/1024-57-3</w:t>
            </w:r>
          </w:p>
        </w:tc>
        <w:tc>
          <w:tcPr>
            <w:tcW w:w="1134" w:type="dxa"/>
          </w:tcPr>
          <w:p w14:paraId="76BB5AA0"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noProof/>
                <w:sz w:val="22"/>
                <w:szCs w:val="22"/>
                <w:lang w:eastAsia="en-US"/>
              </w:rPr>
              <w:t>200-962-3/213-831-0</w:t>
            </w:r>
          </w:p>
        </w:tc>
        <w:tc>
          <w:tcPr>
            <w:tcW w:w="1279" w:type="dxa"/>
            <w:gridSpan w:val="2"/>
            <w:tcMar>
              <w:left w:w="28" w:type="dxa"/>
              <w:right w:w="28" w:type="dxa"/>
            </w:tcMar>
          </w:tcPr>
          <w:p w14:paraId="0C90927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-7</w:t>
            </w:r>
            <w:r w:rsidRPr="003B6CF7">
              <w:rPr>
                <w:rFonts w:eastAsia="Calibri"/>
                <w:noProof/>
                <w:sz w:val="22"/>
                <w:szCs w:val="22"/>
                <w:lang w:eastAsia="en-US"/>
              </w:rPr>
              <w:t>]</w:t>
            </w:r>
          </w:p>
        </w:tc>
        <w:tc>
          <w:tcPr>
            <w:tcW w:w="1279" w:type="dxa"/>
            <w:gridSpan w:val="2"/>
            <w:tcMar>
              <w:left w:w="28" w:type="dxa"/>
              <w:right w:w="28" w:type="dxa"/>
            </w:tcMar>
          </w:tcPr>
          <w:p w14:paraId="215030F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-7</w:t>
            </w:r>
            <w:r w:rsidRPr="003B6CF7">
              <w:rPr>
                <w:rFonts w:eastAsia="Calibri"/>
                <w:noProof/>
                <w:sz w:val="22"/>
                <w:szCs w:val="22"/>
                <w:lang w:eastAsia="en-US"/>
              </w:rPr>
              <w:t>]</w:t>
            </w:r>
          </w:p>
        </w:tc>
        <w:tc>
          <w:tcPr>
            <w:tcW w:w="1278" w:type="dxa"/>
            <w:gridSpan w:val="2"/>
            <w:tcMar>
              <w:left w:w="28" w:type="dxa"/>
              <w:right w:w="28" w:type="dxa"/>
            </w:tcMar>
          </w:tcPr>
          <w:p w14:paraId="1C72EA4B"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3 × 10</w:t>
            </w:r>
            <w:r w:rsidRPr="003B6CF7">
              <w:rPr>
                <w:rFonts w:eastAsia="Calibri"/>
                <w:noProof/>
                <w:sz w:val="22"/>
                <w:szCs w:val="22"/>
                <w:vertAlign w:val="superscript"/>
                <w:lang w:eastAsia="en-US"/>
              </w:rPr>
              <w:t>-4</w:t>
            </w:r>
          </w:p>
        </w:tc>
        <w:tc>
          <w:tcPr>
            <w:tcW w:w="1277" w:type="dxa"/>
            <w:gridSpan w:val="2"/>
            <w:tcMar>
              <w:left w:w="28" w:type="dxa"/>
              <w:right w:w="28" w:type="dxa"/>
            </w:tcMar>
          </w:tcPr>
          <w:p w14:paraId="7F92F710"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lang w:eastAsia="en-US"/>
              </w:rPr>
              <w:t>3 × 10</w:t>
            </w:r>
            <w:r w:rsidRPr="003B6CF7">
              <w:rPr>
                <w:rFonts w:eastAsia="Calibri"/>
                <w:noProof/>
                <w:sz w:val="22"/>
                <w:szCs w:val="22"/>
                <w:vertAlign w:val="superscript"/>
                <w:lang w:eastAsia="en-US"/>
              </w:rPr>
              <w:t>-5</w:t>
            </w:r>
          </w:p>
        </w:tc>
        <w:tc>
          <w:tcPr>
            <w:tcW w:w="1136" w:type="dxa"/>
            <w:gridSpan w:val="2"/>
            <w:tcMar>
              <w:left w:w="28" w:type="dxa"/>
              <w:right w:w="28" w:type="dxa"/>
            </w:tcMar>
          </w:tcPr>
          <w:p w14:paraId="441D2D61" w14:textId="77777777" w:rsidR="003524E3" w:rsidRPr="003B6CF7" w:rsidRDefault="003524E3" w:rsidP="003524E3">
            <w:pPr>
              <w:widowControl/>
              <w:spacing w:before="40" w:after="40"/>
              <w:rPr>
                <w:rFonts w:eastAsia="Calibri"/>
                <w:noProof/>
                <w:sz w:val="22"/>
                <w:szCs w:val="22"/>
                <w:vertAlign w:val="superscript"/>
                <w:lang w:eastAsia="en-US"/>
              </w:rPr>
            </w:pPr>
            <w:r w:rsidRPr="003B6CF7">
              <w:rPr>
                <w:rFonts w:eastAsia="Calibri"/>
                <w:noProof/>
                <w:sz w:val="22"/>
                <w:szCs w:val="22"/>
                <w:vertAlign w:val="superscript"/>
                <w:lang w:eastAsia="en-US"/>
              </w:rPr>
              <w:t xml:space="preserve"> </w:t>
            </w:r>
            <w:r w:rsidRPr="003B6CF7">
              <w:rPr>
                <w:rFonts w:eastAsia="Calibri"/>
                <w:noProof/>
                <w:sz w:val="22"/>
                <w:szCs w:val="22"/>
                <w:lang w:eastAsia="en-US"/>
              </w:rPr>
              <w:t>[0,013]</w:t>
            </w:r>
          </w:p>
        </w:tc>
        <w:tc>
          <w:tcPr>
            <w:tcW w:w="1262" w:type="dxa"/>
            <w:tcMar>
              <w:left w:w="28" w:type="dxa"/>
              <w:right w:w="28" w:type="dxa"/>
            </w:tcMar>
          </w:tcPr>
          <w:p w14:paraId="2E62B2C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1B71ACF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7305B22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34154A1" w14:textId="77777777" w:rsidTr="003524E3">
        <w:trPr>
          <w:gridBefore w:val="1"/>
          <w:wBefore w:w="12" w:type="dxa"/>
          <w:cantSplit/>
          <w:tblHeader/>
          <w:jc w:val="center"/>
        </w:trPr>
        <w:tc>
          <w:tcPr>
            <w:tcW w:w="651" w:type="dxa"/>
            <w:gridSpan w:val="3"/>
            <w:tcMar>
              <w:left w:w="28" w:type="dxa"/>
              <w:right w:w="28" w:type="dxa"/>
            </w:tcMar>
          </w:tcPr>
          <w:p w14:paraId="6F339545"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(45)</w:t>
            </w:r>
          </w:p>
        </w:tc>
        <w:tc>
          <w:tcPr>
            <w:tcW w:w="2286" w:type="dxa"/>
            <w:gridSpan w:val="3"/>
            <w:tcMar>
              <w:left w:w="28" w:type="dxa"/>
              <w:right w:w="28" w:type="dxa"/>
            </w:tcMar>
          </w:tcPr>
          <w:p w14:paraId="28F25B2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Terbutryn</w:t>
            </w:r>
          </w:p>
        </w:tc>
        <w:tc>
          <w:tcPr>
            <w:tcW w:w="1329" w:type="dxa"/>
            <w:gridSpan w:val="3"/>
            <w:tcMar>
              <w:left w:w="28" w:type="dxa"/>
              <w:right w:w="28" w:type="dxa"/>
            </w:tcMar>
          </w:tcPr>
          <w:p w14:paraId="749E93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tcMar>
              <w:left w:w="28" w:type="dxa"/>
              <w:right w:w="28" w:type="dxa"/>
            </w:tcMar>
          </w:tcPr>
          <w:p w14:paraId="0281C45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886-50-0</w:t>
            </w:r>
          </w:p>
        </w:tc>
        <w:tc>
          <w:tcPr>
            <w:tcW w:w="1134" w:type="dxa"/>
          </w:tcPr>
          <w:p w14:paraId="4755720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212-950-5</w:t>
            </w:r>
          </w:p>
        </w:tc>
        <w:tc>
          <w:tcPr>
            <w:tcW w:w="1279" w:type="dxa"/>
            <w:gridSpan w:val="2"/>
            <w:tcMar>
              <w:left w:w="28" w:type="dxa"/>
              <w:right w:w="28" w:type="dxa"/>
            </w:tcMar>
          </w:tcPr>
          <w:p w14:paraId="34035F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0,065</w:t>
            </w:r>
          </w:p>
        </w:tc>
        <w:tc>
          <w:tcPr>
            <w:tcW w:w="1279" w:type="dxa"/>
            <w:gridSpan w:val="2"/>
            <w:tcMar>
              <w:left w:w="28" w:type="dxa"/>
              <w:right w:w="28" w:type="dxa"/>
            </w:tcMar>
          </w:tcPr>
          <w:p w14:paraId="0078E7C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0,0065</w:t>
            </w:r>
          </w:p>
        </w:tc>
        <w:tc>
          <w:tcPr>
            <w:tcW w:w="1278" w:type="dxa"/>
            <w:gridSpan w:val="2"/>
            <w:tcMar>
              <w:left w:w="28" w:type="dxa"/>
              <w:right w:w="28" w:type="dxa"/>
            </w:tcMar>
          </w:tcPr>
          <w:p w14:paraId="3961796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0,34</w:t>
            </w:r>
          </w:p>
        </w:tc>
        <w:tc>
          <w:tcPr>
            <w:tcW w:w="1277" w:type="dxa"/>
            <w:gridSpan w:val="2"/>
            <w:tcMar>
              <w:left w:w="28" w:type="dxa"/>
              <w:right w:w="28" w:type="dxa"/>
            </w:tcMar>
          </w:tcPr>
          <w:p w14:paraId="6B7BBE7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0,034</w:t>
            </w:r>
          </w:p>
        </w:tc>
        <w:tc>
          <w:tcPr>
            <w:tcW w:w="1136" w:type="dxa"/>
            <w:gridSpan w:val="2"/>
            <w:tcMar>
              <w:left w:w="28" w:type="dxa"/>
              <w:right w:w="28" w:type="dxa"/>
            </w:tcMar>
          </w:tcPr>
          <w:p w14:paraId="054689D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7E22AFF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3C616D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3166E3E3"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969B044" w14:textId="77777777" w:rsidTr="003524E3">
        <w:trPr>
          <w:gridBefore w:val="1"/>
          <w:wBefore w:w="12" w:type="dxa"/>
          <w:cantSplit/>
          <w:tblHeader/>
          <w:jc w:val="center"/>
        </w:trPr>
        <w:tc>
          <w:tcPr>
            <w:tcW w:w="651" w:type="dxa"/>
            <w:gridSpan w:val="3"/>
            <w:tcMar>
              <w:left w:w="28" w:type="dxa"/>
              <w:right w:w="28" w:type="dxa"/>
            </w:tcMar>
          </w:tcPr>
          <w:p w14:paraId="0C58842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(46)</w:t>
            </w:r>
          </w:p>
        </w:tc>
        <w:tc>
          <w:tcPr>
            <w:tcW w:w="2286" w:type="dxa"/>
            <w:gridSpan w:val="3"/>
            <w:shd w:val="clear" w:color="auto" w:fill="auto"/>
            <w:tcMar>
              <w:left w:w="28" w:type="dxa"/>
              <w:right w:w="28" w:type="dxa"/>
            </w:tcMar>
          </w:tcPr>
          <w:p w14:paraId="3AD3641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17-alfa-etinylestradiol (EE2)</w:t>
            </w:r>
          </w:p>
        </w:tc>
        <w:tc>
          <w:tcPr>
            <w:tcW w:w="1329" w:type="dxa"/>
            <w:gridSpan w:val="3"/>
            <w:shd w:val="clear" w:color="auto" w:fill="auto"/>
            <w:tcMar>
              <w:left w:w="28" w:type="dxa"/>
              <w:right w:w="28" w:type="dxa"/>
            </w:tcMar>
          </w:tcPr>
          <w:p w14:paraId="5AB4044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(östrogena hormoner)</w:t>
            </w:r>
          </w:p>
        </w:tc>
        <w:tc>
          <w:tcPr>
            <w:tcW w:w="992" w:type="dxa"/>
            <w:gridSpan w:val="2"/>
            <w:shd w:val="clear" w:color="auto" w:fill="auto"/>
            <w:tcMar>
              <w:left w:w="28" w:type="dxa"/>
              <w:right w:w="28" w:type="dxa"/>
            </w:tcMar>
          </w:tcPr>
          <w:p w14:paraId="4715C30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57-63-6</w:t>
            </w:r>
          </w:p>
        </w:tc>
        <w:tc>
          <w:tcPr>
            <w:tcW w:w="1134" w:type="dxa"/>
          </w:tcPr>
          <w:p w14:paraId="28E8DC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200-342-2</w:t>
            </w:r>
          </w:p>
        </w:tc>
        <w:tc>
          <w:tcPr>
            <w:tcW w:w="1279" w:type="dxa"/>
            <w:gridSpan w:val="2"/>
            <w:shd w:val="clear" w:color="auto" w:fill="auto"/>
            <w:tcMar>
              <w:left w:w="28" w:type="dxa"/>
              <w:right w:w="28" w:type="dxa"/>
            </w:tcMar>
          </w:tcPr>
          <w:p w14:paraId="084EFB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59122A7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1,6 × 10</w:t>
            </w:r>
            <w:r w:rsidRPr="003B6CF7">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28F5264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277" w:type="dxa"/>
            <w:gridSpan w:val="2"/>
            <w:shd w:val="clear" w:color="auto" w:fill="auto"/>
            <w:tcMar>
              <w:left w:w="28" w:type="dxa"/>
              <w:right w:w="28" w:type="dxa"/>
            </w:tcMar>
          </w:tcPr>
          <w:p w14:paraId="5FCB1B7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136" w:type="dxa"/>
            <w:gridSpan w:val="2"/>
            <w:shd w:val="clear" w:color="auto" w:fill="auto"/>
            <w:tcMar>
              <w:left w:w="28" w:type="dxa"/>
              <w:right w:w="28" w:type="dxa"/>
            </w:tcMar>
          </w:tcPr>
          <w:p w14:paraId="0DEA30C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6C5DF5C4"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6BAA583C"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107F5B4"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ABAC434" w14:textId="77777777" w:rsidTr="003524E3">
        <w:trPr>
          <w:gridBefore w:val="1"/>
          <w:wBefore w:w="12" w:type="dxa"/>
          <w:cantSplit/>
          <w:tblHeader/>
          <w:jc w:val="center"/>
        </w:trPr>
        <w:tc>
          <w:tcPr>
            <w:tcW w:w="651" w:type="dxa"/>
            <w:gridSpan w:val="3"/>
            <w:tcMar>
              <w:left w:w="28" w:type="dxa"/>
              <w:right w:w="28" w:type="dxa"/>
            </w:tcMar>
          </w:tcPr>
          <w:p w14:paraId="569BEB2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(47)</w:t>
            </w:r>
          </w:p>
        </w:tc>
        <w:tc>
          <w:tcPr>
            <w:tcW w:w="2286" w:type="dxa"/>
            <w:gridSpan w:val="3"/>
            <w:shd w:val="clear" w:color="auto" w:fill="auto"/>
            <w:tcMar>
              <w:left w:w="28" w:type="dxa"/>
              <w:right w:w="28" w:type="dxa"/>
            </w:tcMar>
          </w:tcPr>
          <w:p w14:paraId="369A3E2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17-beta-estradiol (E2)</w:t>
            </w:r>
          </w:p>
        </w:tc>
        <w:tc>
          <w:tcPr>
            <w:tcW w:w="1329" w:type="dxa"/>
            <w:gridSpan w:val="3"/>
            <w:shd w:val="clear" w:color="auto" w:fill="auto"/>
            <w:tcMar>
              <w:left w:w="28" w:type="dxa"/>
              <w:right w:w="28" w:type="dxa"/>
            </w:tcMar>
          </w:tcPr>
          <w:p w14:paraId="5650539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(östrogena hormoner)</w:t>
            </w:r>
          </w:p>
        </w:tc>
        <w:tc>
          <w:tcPr>
            <w:tcW w:w="992" w:type="dxa"/>
            <w:gridSpan w:val="2"/>
            <w:shd w:val="clear" w:color="auto" w:fill="auto"/>
            <w:tcMar>
              <w:left w:w="28" w:type="dxa"/>
              <w:right w:w="28" w:type="dxa"/>
            </w:tcMar>
          </w:tcPr>
          <w:p w14:paraId="62A46CE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50-28-2</w:t>
            </w:r>
          </w:p>
        </w:tc>
        <w:tc>
          <w:tcPr>
            <w:tcW w:w="1134" w:type="dxa"/>
          </w:tcPr>
          <w:p w14:paraId="58F29C9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200-023-8</w:t>
            </w:r>
          </w:p>
        </w:tc>
        <w:tc>
          <w:tcPr>
            <w:tcW w:w="1279" w:type="dxa"/>
            <w:gridSpan w:val="2"/>
            <w:shd w:val="clear" w:color="auto" w:fill="auto"/>
            <w:tcMar>
              <w:left w:w="28" w:type="dxa"/>
              <w:right w:w="28" w:type="dxa"/>
            </w:tcMar>
          </w:tcPr>
          <w:p w14:paraId="6E6EB31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0,00018</w:t>
            </w:r>
          </w:p>
        </w:tc>
        <w:tc>
          <w:tcPr>
            <w:tcW w:w="1279" w:type="dxa"/>
            <w:gridSpan w:val="2"/>
            <w:shd w:val="clear" w:color="auto" w:fill="auto"/>
            <w:tcMar>
              <w:left w:w="28" w:type="dxa"/>
              <w:right w:w="28" w:type="dxa"/>
            </w:tcMar>
          </w:tcPr>
          <w:p w14:paraId="27DA19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 × 10</w:t>
            </w:r>
            <w:r w:rsidRPr="003B6CF7">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75237FB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277" w:type="dxa"/>
            <w:gridSpan w:val="2"/>
            <w:shd w:val="clear" w:color="auto" w:fill="auto"/>
            <w:tcMar>
              <w:left w:w="28" w:type="dxa"/>
              <w:right w:w="28" w:type="dxa"/>
            </w:tcMar>
          </w:tcPr>
          <w:p w14:paraId="6DE829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136" w:type="dxa"/>
            <w:gridSpan w:val="2"/>
            <w:shd w:val="clear" w:color="auto" w:fill="auto"/>
            <w:tcMar>
              <w:left w:w="28" w:type="dxa"/>
              <w:right w:w="28" w:type="dxa"/>
            </w:tcMar>
          </w:tcPr>
          <w:p w14:paraId="7E7C15AA"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79580647"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40F5C4CF"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2F8C0C25"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9B1C514" w14:textId="77777777" w:rsidTr="003524E3">
        <w:trPr>
          <w:gridBefore w:val="1"/>
          <w:wBefore w:w="12" w:type="dxa"/>
          <w:cantSplit/>
          <w:tblHeader/>
          <w:jc w:val="center"/>
        </w:trPr>
        <w:tc>
          <w:tcPr>
            <w:tcW w:w="651" w:type="dxa"/>
            <w:gridSpan w:val="3"/>
            <w:tcMar>
              <w:left w:w="28" w:type="dxa"/>
              <w:right w:w="28" w:type="dxa"/>
            </w:tcMar>
          </w:tcPr>
          <w:p w14:paraId="5A05D3C8"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(48)</w:t>
            </w:r>
          </w:p>
        </w:tc>
        <w:tc>
          <w:tcPr>
            <w:tcW w:w="2286" w:type="dxa"/>
            <w:gridSpan w:val="3"/>
            <w:shd w:val="clear" w:color="auto" w:fill="auto"/>
            <w:tcMar>
              <w:left w:w="28" w:type="dxa"/>
              <w:right w:w="28" w:type="dxa"/>
            </w:tcMar>
          </w:tcPr>
          <w:p w14:paraId="2C9A982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Acetamiprid</w:t>
            </w:r>
          </w:p>
        </w:tc>
        <w:tc>
          <w:tcPr>
            <w:tcW w:w="1329" w:type="dxa"/>
            <w:gridSpan w:val="3"/>
            <w:shd w:val="clear" w:color="auto" w:fill="auto"/>
            <w:tcMar>
              <w:left w:w="28" w:type="dxa"/>
              <w:right w:w="28" w:type="dxa"/>
            </w:tcMar>
          </w:tcPr>
          <w:p w14:paraId="41CB79E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Neonikotinoidbaserade bekämpningsmedel</w:t>
            </w:r>
          </w:p>
        </w:tc>
        <w:tc>
          <w:tcPr>
            <w:tcW w:w="992" w:type="dxa"/>
            <w:gridSpan w:val="2"/>
            <w:shd w:val="clear" w:color="auto" w:fill="auto"/>
            <w:tcMar>
              <w:left w:w="28" w:type="dxa"/>
              <w:right w:w="28" w:type="dxa"/>
            </w:tcMar>
          </w:tcPr>
          <w:p w14:paraId="3610E1D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135410-20-7/160430-64-8</w:t>
            </w:r>
          </w:p>
        </w:tc>
        <w:tc>
          <w:tcPr>
            <w:tcW w:w="1134" w:type="dxa"/>
          </w:tcPr>
          <w:p w14:paraId="40B5F60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603-921-1</w:t>
            </w:r>
          </w:p>
        </w:tc>
        <w:tc>
          <w:tcPr>
            <w:tcW w:w="1279" w:type="dxa"/>
            <w:gridSpan w:val="2"/>
            <w:shd w:val="clear" w:color="auto" w:fill="auto"/>
            <w:tcMar>
              <w:left w:w="28" w:type="dxa"/>
              <w:right w:w="28" w:type="dxa"/>
            </w:tcMar>
          </w:tcPr>
          <w:p w14:paraId="1FABAE4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0,037</w:t>
            </w:r>
          </w:p>
        </w:tc>
        <w:tc>
          <w:tcPr>
            <w:tcW w:w="1279" w:type="dxa"/>
            <w:gridSpan w:val="2"/>
            <w:shd w:val="clear" w:color="auto" w:fill="auto"/>
            <w:tcMar>
              <w:left w:w="28" w:type="dxa"/>
              <w:right w:w="28" w:type="dxa"/>
            </w:tcMar>
          </w:tcPr>
          <w:p w14:paraId="184A985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0,0037</w:t>
            </w:r>
          </w:p>
        </w:tc>
        <w:tc>
          <w:tcPr>
            <w:tcW w:w="1278" w:type="dxa"/>
            <w:gridSpan w:val="2"/>
            <w:shd w:val="clear" w:color="auto" w:fill="auto"/>
            <w:tcMar>
              <w:left w:w="28" w:type="dxa"/>
              <w:right w:w="28" w:type="dxa"/>
            </w:tcMar>
          </w:tcPr>
          <w:p w14:paraId="00C214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0,16</w:t>
            </w:r>
          </w:p>
        </w:tc>
        <w:tc>
          <w:tcPr>
            <w:tcW w:w="1277" w:type="dxa"/>
            <w:gridSpan w:val="2"/>
            <w:shd w:val="clear" w:color="auto" w:fill="auto"/>
            <w:tcMar>
              <w:left w:w="28" w:type="dxa"/>
              <w:right w:w="28" w:type="dxa"/>
            </w:tcMar>
          </w:tcPr>
          <w:p w14:paraId="30A59B6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0,016</w:t>
            </w:r>
          </w:p>
        </w:tc>
        <w:tc>
          <w:tcPr>
            <w:tcW w:w="1136" w:type="dxa"/>
            <w:gridSpan w:val="2"/>
            <w:shd w:val="clear" w:color="auto" w:fill="auto"/>
            <w:tcMar>
              <w:left w:w="28" w:type="dxa"/>
              <w:right w:w="28" w:type="dxa"/>
            </w:tcMar>
          </w:tcPr>
          <w:p w14:paraId="5C46789B"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168DC9A2"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587D1CA0"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2BFF89F"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62CB68C" w14:textId="77777777" w:rsidTr="003524E3">
        <w:trPr>
          <w:gridBefore w:val="1"/>
          <w:wBefore w:w="12" w:type="dxa"/>
          <w:cantSplit/>
          <w:tblHeader/>
          <w:jc w:val="center"/>
        </w:trPr>
        <w:tc>
          <w:tcPr>
            <w:tcW w:w="651" w:type="dxa"/>
            <w:gridSpan w:val="3"/>
            <w:tcMar>
              <w:left w:w="28" w:type="dxa"/>
              <w:right w:w="28" w:type="dxa"/>
            </w:tcMar>
          </w:tcPr>
          <w:p w14:paraId="23E25786"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(49)</w:t>
            </w:r>
          </w:p>
        </w:tc>
        <w:tc>
          <w:tcPr>
            <w:tcW w:w="2286" w:type="dxa"/>
            <w:gridSpan w:val="3"/>
            <w:shd w:val="clear" w:color="auto" w:fill="auto"/>
            <w:tcMar>
              <w:left w:w="28" w:type="dxa"/>
              <w:right w:w="28" w:type="dxa"/>
            </w:tcMar>
          </w:tcPr>
          <w:p w14:paraId="3D447F8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Azitromycin</w:t>
            </w:r>
          </w:p>
        </w:tc>
        <w:tc>
          <w:tcPr>
            <w:tcW w:w="1329" w:type="dxa"/>
            <w:gridSpan w:val="3"/>
            <w:shd w:val="clear" w:color="auto" w:fill="auto"/>
            <w:tcMar>
              <w:left w:w="28" w:type="dxa"/>
              <w:right w:w="28" w:type="dxa"/>
            </w:tcMar>
          </w:tcPr>
          <w:p w14:paraId="07DE36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(makrolida antibiotika)</w:t>
            </w:r>
          </w:p>
        </w:tc>
        <w:tc>
          <w:tcPr>
            <w:tcW w:w="992" w:type="dxa"/>
            <w:gridSpan w:val="2"/>
            <w:shd w:val="clear" w:color="auto" w:fill="auto"/>
            <w:tcMar>
              <w:left w:w="28" w:type="dxa"/>
              <w:right w:w="28" w:type="dxa"/>
            </w:tcMar>
          </w:tcPr>
          <w:p w14:paraId="72D1B3D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83905-01-5</w:t>
            </w:r>
          </w:p>
        </w:tc>
        <w:tc>
          <w:tcPr>
            <w:tcW w:w="1134" w:type="dxa"/>
          </w:tcPr>
          <w:p w14:paraId="71ED28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617-500-5</w:t>
            </w:r>
          </w:p>
        </w:tc>
        <w:tc>
          <w:tcPr>
            <w:tcW w:w="1279" w:type="dxa"/>
            <w:gridSpan w:val="2"/>
            <w:shd w:val="clear" w:color="auto" w:fill="auto"/>
            <w:tcMar>
              <w:left w:w="28" w:type="dxa"/>
              <w:right w:w="28" w:type="dxa"/>
            </w:tcMar>
          </w:tcPr>
          <w:p w14:paraId="322D334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0,019</w:t>
            </w:r>
          </w:p>
        </w:tc>
        <w:tc>
          <w:tcPr>
            <w:tcW w:w="1279" w:type="dxa"/>
            <w:gridSpan w:val="2"/>
            <w:shd w:val="clear" w:color="auto" w:fill="auto"/>
            <w:tcMar>
              <w:left w:w="28" w:type="dxa"/>
              <w:right w:w="28" w:type="dxa"/>
            </w:tcMar>
          </w:tcPr>
          <w:p w14:paraId="0B150E8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0,0019</w:t>
            </w:r>
          </w:p>
        </w:tc>
        <w:tc>
          <w:tcPr>
            <w:tcW w:w="1278" w:type="dxa"/>
            <w:gridSpan w:val="2"/>
            <w:shd w:val="clear" w:color="auto" w:fill="auto"/>
            <w:tcMar>
              <w:left w:w="28" w:type="dxa"/>
              <w:right w:w="28" w:type="dxa"/>
            </w:tcMar>
          </w:tcPr>
          <w:p w14:paraId="41DAFB7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0,18</w:t>
            </w:r>
          </w:p>
        </w:tc>
        <w:tc>
          <w:tcPr>
            <w:tcW w:w="1277" w:type="dxa"/>
            <w:gridSpan w:val="2"/>
            <w:shd w:val="clear" w:color="auto" w:fill="auto"/>
            <w:tcMar>
              <w:left w:w="28" w:type="dxa"/>
              <w:right w:w="28" w:type="dxa"/>
            </w:tcMar>
          </w:tcPr>
          <w:p w14:paraId="08ED63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0,018</w:t>
            </w:r>
          </w:p>
        </w:tc>
        <w:tc>
          <w:tcPr>
            <w:tcW w:w="1136" w:type="dxa"/>
            <w:gridSpan w:val="2"/>
            <w:shd w:val="clear" w:color="auto" w:fill="auto"/>
            <w:tcMar>
              <w:left w:w="28" w:type="dxa"/>
              <w:right w:w="28" w:type="dxa"/>
            </w:tcMar>
          </w:tcPr>
          <w:p w14:paraId="16143D8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18951A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2C0EB6A2"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B81307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63A49118" w14:textId="77777777" w:rsidTr="003524E3">
        <w:trPr>
          <w:gridBefore w:val="1"/>
          <w:wBefore w:w="12" w:type="dxa"/>
          <w:cantSplit/>
          <w:tblHeader/>
          <w:jc w:val="center"/>
        </w:trPr>
        <w:tc>
          <w:tcPr>
            <w:tcW w:w="651" w:type="dxa"/>
            <w:gridSpan w:val="3"/>
            <w:tcMar>
              <w:left w:w="28" w:type="dxa"/>
              <w:right w:w="28" w:type="dxa"/>
            </w:tcMar>
          </w:tcPr>
          <w:p w14:paraId="6C63DB9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(50)</w:t>
            </w:r>
          </w:p>
        </w:tc>
        <w:tc>
          <w:tcPr>
            <w:tcW w:w="2286" w:type="dxa"/>
            <w:gridSpan w:val="3"/>
            <w:shd w:val="clear" w:color="auto" w:fill="auto"/>
            <w:tcMar>
              <w:left w:w="28" w:type="dxa"/>
              <w:right w:w="28" w:type="dxa"/>
            </w:tcMar>
          </w:tcPr>
          <w:p w14:paraId="4DED36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Bifentrin</w:t>
            </w:r>
          </w:p>
        </w:tc>
        <w:tc>
          <w:tcPr>
            <w:tcW w:w="1329" w:type="dxa"/>
            <w:gridSpan w:val="3"/>
            <w:shd w:val="clear" w:color="auto" w:fill="auto"/>
            <w:tcMar>
              <w:left w:w="28" w:type="dxa"/>
              <w:right w:w="28" w:type="dxa"/>
            </w:tcMar>
          </w:tcPr>
          <w:p w14:paraId="2051DC3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Pyretroidbaserade bekämpningsmedel</w:t>
            </w:r>
          </w:p>
        </w:tc>
        <w:tc>
          <w:tcPr>
            <w:tcW w:w="992" w:type="dxa"/>
            <w:gridSpan w:val="2"/>
            <w:shd w:val="clear" w:color="auto" w:fill="auto"/>
            <w:tcMar>
              <w:left w:w="28" w:type="dxa"/>
              <w:right w:w="28" w:type="dxa"/>
            </w:tcMar>
          </w:tcPr>
          <w:p w14:paraId="7F7B126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82657-04-3</w:t>
            </w:r>
          </w:p>
        </w:tc>
        <w:tc>
          <w:tcPr>
            <w:tcW w:w="1134" w:type="dxa"/>
          </w:tcPr>
          <w:p w14:paraId="2F7D2DF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617-373-6</w:t>
            </w:r>
          </w:p>
        </w:tc>
        <w:tc>
          <w:tcPr>
            <w:tcW w:w="1279" w:type="dxa"/>
            <w:gridSpan w:val="2"/>
            <w:shd w:val="clear" w:color="auto" w:fill="auto"/>
            <w:tcMar>
              <w:left w:w="28" w:type="dxa"/>
              <w:right w:w="28" w:type="dxa"/>
            </w:tcMar>
          </w:tcPr>
          <w:p w14:paraId="70593A0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9,5 × 10</w:t>
            </w:r>
            <w:r w:rsidRPr="003B6CF7">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2A138AC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9,5 × 10</w:t>
            </w:r>
            <w:r w:rsidRPr="003B6CF7">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4ABF36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0,011</w:t>
            </w:r>
          </w:p>
        </w:tc>
        <w:tc>
          <w:tcPr>
            <w:tcW w:w="1277" w:type="dxa"/>
            <w:gridSpan w:val="2"/>
            <w:shd w:val="clear" w:color="auto" w:fill="auto"/>
            <w:tcMar>
              <w:left w:w="28" w:type="dxa"/>
              <w:right w:w="28" w:type="dxa"/>
            </w:tcMar>
          </w:tcPr>
          <w:p w14:paraId="2499C5C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w:t>
            </w:r>
          </w:p>
        </w:tc>
        <w:tc>
          <w:tcPr>
            <w:tcW w:w="1136" w:type="dxa"/>
            <w:gridSpan w:val="2"/>
            <w:shd w:val="clear" w:color="auto" w:fill="auto"/>
            <w:tcMar>
              <w:left w:w="28" w:type="dxa"/>
              <w:right w:w="28" w:type="dxa"/>
            </w:tcMar>
          </w:tcPr>
          <w:p w14:paraId="3A454CDE"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FA2B7DE"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074839B"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0E9C7D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F7DE27C" w14:textId="77777777" w:rsidTr="003524E3">
        <w:trPr>
          <w:gridBefore w:val="1"/>
          <w:wBefore w:w="12" w:type="dxa"/>
          <w:cantSplit/>
          <w:tblHeader/>
          <w:jc w:val="center"/>
        </w:trPr>
        <w:tc>
          <w:tcPr>
            <w:tcW w:w="651" w:type="dxa"/>
            <w:gridSpan w:val="3"/>
            <w:tcMar>
              <w:left w:w="28" w:type="dxa"/>
              <w:right w:w="28" w:type="dxa"/>
            </w:tcMar>
          </w:tcPr>
          <w:p w14:paraId="3B5F2793"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(51)</w:t>
            </w:r>
          </w:p>
        </w:tc>
        <w:tc>
          <w:tcPr>
            <w:tcW w:w="2286" w:type="dxa"/>
            <w:gridSpan w:val="3"/>
            <w:shd w:val="clear" w:color="auto" w:fill="auto"/>
            <w:tcMar>
              <w:left w:w="28" w:type="dxa"/>
              <w:right w:w="28" w:type="dxa"/>
            </w:tcMar>
          </w:tcPr>
          <w:p w14:paraId="4C7E14C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Bisfenol A (BPA)</w:t>
            </w:r>
          </w:p>
        </w:tc>
        <w:tc>
          <w:tcPr>
            <w:tcW w:w="1329" w:type="dxa"/>
            <w:gridSpan w:val="3"/>
            <w:shd w:val="clear" w:color="auto" w:fill="auto"/>
            <w:tcMar>
              <w:left w:w="28" w:type="dxa"/>
              <w:right w:w="28" w:type="dxa"/>
            </w:tcMar>
          </w:tcPr>
          <w:p w14:paraId="1BF02974"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shd w:val="clear" w:color="auto" w:fill="auto"/>
            <w:tcMar>
              <w:left w:w="28" w:type="dxa"/>
              <w:right w:w="28" w:type="dxa"/>
            </w:tcMar>
          </w:tcPr>
          <w:p w14:paraId="67731716"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80-05-7</w:t>
            </w:r>
          </w:p>
        </w:tc>
        <w:tc>
          <w:tcPr>
            <w:tcW w:w="1134" w:type="dxa"/>
          </w:tcPr>
          <w:p w14:paraId="45499FED" w14:textId="77777777" w:rsidR="003524E3" w:rsidRPr="003B6CF7" w:rsidDel="00E110E0"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201-245-8</w:t>
            </w:r>
          </w:p>
        </w:tc>
        <w:tc>
          <w:tcPr>
            <w:tcW w:w="1279" w:type="dxa"/>
            <w:gridSpan w:val="2"/>
            <w:shd w:val="clear" w:color="auto" w:fill="auto"/>
            <w:tcMar>
              <w:left w:w="28" w:type="dxa"/>
              <w:right w:w="28" w:type="dxa"/>
            </w:tcMar>
          </w:tcPr>
          <w:p w14:paraId="3489276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3,4 × 10</w:t>
            </w:r>
            <w:r w:rsidRPr="003B6CF7">
              <w:rPr>
                <w:rFonts w:eastAsia="Calibri"/>
                <w:noProof/>
                <w:sz w:val="22"/>
                <w:szCs w:val="22"/>
                <w:vertAlign w:val="superscript"/>
                <w:lang w:eastAsia="en-US"/>
              </w:rPr>
              <w:t>-5</w:t>
            </w:r>
            <w:r w:rsidRPr="003B6CF7">
              <w:rPr>
                <w:rFonts w:eastAsia="Calibri"/>
                <w:noProof/>
                <w:sz w:val="22"/>
                <w:szCs w:val="22"/>
                <w:lang w:eastAsia="en-US"/>
              </w:rPr>
              <w:t xml:space="preserve"> </w:t>
            </w:r>
          </w:p>
        </w:tc>
        <w:tc>
          <w:tcPr>
            <w:tcW w:w="1279" w:type="dxa"/>
            <w:gridSpan w:val="2"/>
            <w:shd w:val="clear" w:color="auto" w:fill="auto"/>
            <w:tcMar>
              <w:left w:w="28" w:type="dxa"/>
              <w:right w:w="28" w:type="dxa"/>
            </w:tcMar>
          </w:tcPr>
          <w:p w14:paraId="0CB89DBE"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3,4 × 10</w:t>
            </w:r>
            <w:r w:rsidRPr="003B6CF7">
              <w:rPr>
                <w:rFonts w:eastAsia="Calibri"/>
                <w:noProof/>
                <w:sz w:val="22"/>
                <w:szCs w:val="22"/>
                <w:vertAlign w:val="superscript"/>
                <w:lang w:eastAsia="en-US"/>
              </w:rPr>
              <w:t>-5</w:t>
            </w:r>
            <w:r w:rsidRPr="003B6CF7">
              <w:rPr>
                <w:rFonts w:eastAsia="Calibri"/>
                <w:noProof/>
                <w:sz w:val="22"/>
                <w:szCs w:val="22"/>
                <w:lang w:eastAsia="en-US"/>
              </w:rPr>
              <w:t xml:space="preserve"> </w:t>
            </w:r>
          </w:p>
        </w:tc>
        <w:tc>
          <w:tcPr>
            <w:tcW w:w="1278" w:type="dxa"/>
            <w:gridSpan w:val="2"/>
            <w:shd w:val="clear" w:color="auto" w:fill="auto"/>
            <w:tcMar>
              <w:left w:w="28" w:type="dxa"/>
              <w:right w:w="28" w:type="dxa"/>
            </w:tcMar>
          </w:tcPr>
          <w:p w14:paraId="21882BE9"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130</w:t>
            </w:r>
          </w:p>
        </w:tc>
        <w:tc>
          <w:tcPr>
            <w:tcW w:w="1277" w:type="dxa"/>
            <w:gridSpan w:val="2"/>
            <w:shd w:val="clear" w:color="auto" w:fill="auto"/>
            <w:tcMar>
              <w:left w:w="28" w:type="dxa"/>
              <w:right w:w="28" w:type="dxa"/>
            </w:tcMar>
          </w:tcPr>
          <w:p w14:paraId="000951B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51</w:t>
            </w:r>
          </w:p>
        </w:tc>
        <w:tc>
          <w:tcPr>
            <w:tcW w:w="1136" w:type="dxa"/>
            <w:gridSpan w:val="2"/>
            <w:shd w:val="clear" w:color="auto" w:fill="auto"/>
            <w:tcMar>
              <w:left w:w="28" w:type="dxa"/>
              <w:right w:w="28" w:type="dxa"/>
            </w:tcMar>
          </w:tcPr>
          <w:p w14:paraId="00911C60"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0,005</w:t>
            </w:r>
          </w:p>
        </w:tc>
        <w:tc>
          <w:tcPr>
            <w:tcW w:w="1262" w:type="dxa"/>
            <w:tcMar>
              <w:left w:w="28" w:type="dxa"/>
              <w:right w:w="28" w:type="dxa"/>
            </w:tcMar>
          </w:tcPr>
          <w:p w14:paraId="59FA2D25"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6DA2DA9E" w14:textId="77777777" w:rsidR="003524E3" w:rsidRPr="003B6CF7" w:rsidRDefault="003524E3" w:rsidP="003524E3">
            <w:pPr>
              <w:keepNext/>
              <w:widowControl/>
              <w:spacing w:before="40" w:after="40"/>
              <w:rPr>
                <w:rFonts w:eastAsia="Calibri"/>
                <w:noProof/>
                <w:sz w:val="22"/>
                <w:szCs w:val="22"/>
                <w:lang w:eastAsia="en-US"/>
              </w:rPr>
            </w:pPr>
          </w:p>
        </w:tc>
        <w:tc>
          <w:tcPr>
            <w:tcW w:w="970" w:type="dxa"/>
            <w:tcMar>
              <w:left w:w="28" w:type="dxa"/>
              <w:right w:w="28" w:type="dxa"/>
            </w:tcMar>
          </w:tcPr>
          <w:p w14:paraId="1BA9E333" w14:textId="77777777" w:rsidR="003524E3" w:rsidRPr="003B6CF7" w:rsidRDefault="003524E3" w:rsidP="003524E3">
            <w:pPr>
              <w:keepNext/>
              <w:widowControl/>
              <w:spacing w:before="40" w:after="40"/>
              <w:rPr>
                <w:rFonts w:eastAsia="Calibri"/>
                <w:noProof/>
                <w:sz w:val="22"/>
                <w:szCs w:val="22"/>
                <w:lang w:eastAsia="en-US"/>
              </w:rPr>
            </w:pPr>
          </w:p>
        </w:tc>
      </w:tr>
      <w:tr w:rsidR="003524E3" w:rsidRPr="003B6CF7" w14:paraId="29752C27" w14:textId="77777777" w:rsidTr="003524E3">
        <w:trPr>
          <w:gridBefore w:val="1"/>
          <w:wBefore w:w="12" w:type="dxa"/>
          <w:cantSplit/>
          <w:tblHeader/>
          <w:jc w:val="center"/>
        </w:trPr>
        <w:tc>
          <w:tcPr>
            <w:tcW w:w="651" w:type="dxa"/>
            <w:gridSpan w:val="3"/>
            <w:tcMar>
              <w:left w:w="28" w:type="dxa"/>
              <w:right w:w="28" w:type="dxa"/>
            </w:tcMar>
          </w:tcPr>
          <w:p w14:paraId="7B668968"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(52)</w:t>
            </w:r>
          </w:p>
        </w:tc>
        <w:tc>
          <w:tcPr>
            <w:tcW w:w="2286" w:type="dxa"/>
            <w:gridSpan w:val="3"/>
            <w:shd w:val="clear" w:color="auto" w:fill="auto"/>
            <w:tcMar>
              <w:left w:w="28" w:type="dxa"/>
              <w:right w:w="28" w:type="dxa"/>
            </w:tcMar>
          </w:tcPr>
          <w:p w14:paraId="27B25D3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Karbamazepin</w:t>
            </w:r>
          </w:p>
        </w:tc>
        <w:tc>
          <w:tcPr>
            <w:tcW w:w="1329" w:type="dxa"/>
            <w:gridSpan w:val="3"/>
            <w:shd w:val="clear" w:color="auto" w:fill="auto"/>
            <w:tcMar>
              <w:left w:w="28" w:type="dxa"/>
              <w:right w:w="28" w:type="dxa"/>
            </w:tcMar>
          </w:tcPr>
          <w:p w14:paraId="00AF836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w:t>
            </w:r>
          </w:p>
        </w:tc>
        <w:tc>
          <w:tcPr>
            <w:tcW w:w="992" w:type="dxa"/>
            <w:gridSpan w:val="2"/>
            <w:shd w:val="clear" w:color="auto" w:fill="auto"/>
            <w:tcMar>
              <w:left w:w="28" w:type="dxa"/>
              <w:right w:w="28" w:type="dxa"/>
            </w:tcMar>
          </w:tcPr>
          <w:p w14:paraId="6851515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298-46-4</w:t>
            </w:r>
          </w:p>
        </w:tc>
        <w:tc>
          <w:tcPr>
            <w:tcW w:w="1134" w:type="dxa"/>
          </w:tcPr>
          <w:p w14:paraId="12A9B280" w14:textId="77777777" w:rsidR="003524E3" w:rsidRPr="003B6CF7" w:rsidDel="00F376D5"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206-062-7</w:t>
            </w:r>
          </w:p>
        </w:tc>
        <w:tc>
          <w:tcPr>
            <w:tcW w:w="1279" w:type="dxa"/>
            <w:gridSpan w:val="2"/>
            <w:shd w:val="clear" w:color="auto" w:fill="auto"/>
            <w:tcMar>
              <w:left w:w="28" w:type="dxa"/>
              <w:right w:w="28" w:type="dxa"/>
            </w:tcMar>
          </w:tcPr>
          <w:p w14:paraId="1331932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w:t>
            </w:r>
          </w:p>
        </w:tc>
        <w:tc>
          <w:tcPr>
            <w:tcW w:w="1279" w:type="dxa"/>
            <w:gridSpan w:val="2"/>
            <w:shd w:val="clear" w:color="auto" w:fill="auto"/>
            <w:tcMar>
              <w:left w:w="28" w:type="dxa"/>
              <w:right w:w="28" w:type="dxa"/>
            </w:tcMar>
          </w:tcPr>
          <w:p w14:paraId="6FE7BB1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0,25</w:t>
            </w:r>
          </w:p>
        </w:tc>
        <w:tc>
          <w:tcPr>
            <w:tcW w:w="1278" w:type="dxa"/>
            <w:gridSpan w:val="2"/>
            <w:shd w:val="clear" w:color="auto" w:fill="auto"/>
            <w:tcMar>
              <w:left w:w="28" w:type="dxa"/>
              <w:right w:w="28" w:type="dxa"/>
            </w:tcMar>
          </w:tcPr>
          <w:p w14:paraId="2800BBA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1,6 × 10</w:t>
            </w:r>
            <w:r w:rsidRPr="003B6CF7">
              <w:rPr>
                <w:rFonts w:eastAsia="Calibri"/>
                <w:noProof/>
                <w:sz w:val="22"/>
                <w:szCs w:val="22"/>
                <w:vertAlign w:val="superscript"/>
                <w:lang w:eastAsia="en-US"/>
              </w:rPr>
              <w:t>3</w:t>
            </w:r>
          </w:p>
        </w:tc>
        <w:tc>
          <w:tcPr>
            <w:tcW w:w="1277" w:type="dxa"/>
            <w:gridSpan w:val="2"/>
            <w:shd w:val="clear" w:color="auto" w:fill="auto"/>
            <w:tcMar>
              <w:left w:w="28" w:type="dxa"/>
              <w:right w:w="28" w:type="dxa"/>
            </w:tcMar>
          </w:tcPr>
          <w:p w14:paraId="3F2C5B0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160</w:t>
            </w:r>
          </w:p>
        </w:tc>
        <w:tc>
          <w:tcPr>
            <w:tcW w:w="1136" w:type="dxa"/>
            <w:gridSpan w:val="2"/>
            <w:shd w:val="clear" w:color="auto" w:fill="auto"/>
            <w:tcMar>
              <w:left w:w="28" w:type="dxa"/>
              <w:right w:w="28" w:type="dxa"/>
            </w:tcMar>
          </w:tcPr>
          <w:p w14:paraId="23ACCF1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3791A45C"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695B32B0"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AB47EE6"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41AC6CFB" w14:textId="77777777" w:rsidTr="003524E3">
        <w:trPr>
          <w:gridBefore w:val="1"/>
          <w:wBefore w:w="12" w:type="dxa"/>
          <w:cantSplit/>
          <w:tblHeader/>
          <w:jc w:val="center"/>
        </w:trPr>
        <w:tc>
          <w:tcPr>
            <w:tcW w:w="651" w:type="dxa"/>
            <w:gridSpan w:val="3"/>
            <w:tcMar>
              <w:left w:w="28" w:type="dxa"/>
              <w:right w:w="28" w:type="dxa"/>
            </w:tcMar>
          </w:tcPr>
          <w:p w14:paraId="0F2B8B8B"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(53)</w:t>
            </w:r>
          </w:p>
        </w:tc>
        <w:tc>
          <w:tcPr>
            <w:tcW w:w="2286" w:type="dxa"/>
            <w:gridSpan w:val="3"/>
            <w:shd w:val="clear" w:color="auto" w:fill="auto"/>
            <w:tcMar>
              <w:left w:w="28" w:type="dxa"/>
              <w:right w:w="28" w:type="dxa"/>
            </w:tcMar>
          </w:tcPr>
          <w:p w14:paraId="14950FE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Klaritromycin</w:t>
            </w:r>
          </w:p>
        </w:tc>
        <w:tc>
          <w:tcPr>
            <w:tcW w:w="1329" w:type="dxa"/>
            <w:gridSpan w:val="3"/>
            <w:shd w:val="clear" w:color="auto" w:fill="auto"/>
            <w:tcMar>
              <w:left w:w="28" w:type="dxa"/>
              <w:right w:w="28" w:type="dxa"/>
            </w:tcMar>
          </w:tcPr>
          <w:p w14:paraId="358F60B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(makrolida antibiotika)</w:t>
            </w:r>
          </w:p>
        </w:tc>
        <w:tc>
          <w:tcPr>
            <w:tcW w:w="992" w:type="dxa"/>
            <w:gridSpan w:val="2"/>
            <w:shd w:val="clear" w:color="auto" w:fill="auto"/>
            <w:tcMar>
              <w:left w:w="28" w:type="dxa"/>
              <w:right w:w="28" w:type="dxa"/>
            </w:tcMar>
          </w:tcPr>
          <w:p w14:paraId="587F145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81103-11-9</w:t>
            </w:r>
          </w:p>
        </w:tc>
        <w:tc>
          <w:tcPr>
            <w:tcW w:w="1134" w:type="dxa"/>
          </w:tcPr>
          <w:p w14:paraId="1E3D2E9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658-034-2</w:t>
            </w:r>
          </w:p>
        </w:tc>
        <w:tc>
          <w:tcPr>
            <w:tcW w:w="1279" w:type="dxa"/>
            <w:gridSpan w:val="2"/>
            <w:shd w:val="clear" w:color="auto" w:fill="auto"/>
            <w:tcMar>
              <w:left w:w="28" w:type="dxa"/>
              <w:right w:w="28" w:type="dxa"/>
            </w:tcMar>
          </w:tcPr>
          <w:p w14:paraId="2C314BE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0,13</w:t>
            </w:r>
          </w:p>
        </w:tc>
        <w:tc>
          <w:tcPr>
            <w:tcW w:w="1279" w:type="dxa"/>
            <w:gridSpan w:val="2"/>
            <w:shd w:val="clear" w:color="auto" w:fill="auto"/>
            <w:tcMar>
              <w:left w:w="28" w:type="dxa"/>
              <w:right w:w="28" w:type="dxa"/>
            </w:tcMar>
          </w:tcPr>
          <w:p w14:paraId="7A395F6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0,013</w:t>
            </w:r>
          </w:p>
        </w:tc>
        <w:tc>
          <w:tcPr>
            <w:tcW w:w="1278" w:type="dxa"/>
            <w:gridSpan w:val="2"/>
            <w:shd w:val="clear" w:color="auto" w:fill="auto"/>
            <w:tcMar>
              <w:left w:w="28" w:type="dxa"/>
              <w:right w:w="28" w:type="dxa"/>
            </w:tcMar>
          </w:tcPr>
          <w:p w14:paraId="060D58F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0,13</w:t>
            </w:r>
          </w:p>
        </w:tc>
        <w:tc>
          <w:tcPr>
            <w:tcW w:w="1277" w:type="dxa"/>
            <w:gridSpan w:val="2"/>
            <w:shd w:val="clear" w:color="auto" w:fill="auto"/>
            <w:tcMar>
              <w:left w:w="28" w:type="dxa"/>
              <w:right w:w="28" w:type="dxa"/>
            </w:tcMar>
          </w:tcPr>
          <w:p w14:paraId="4919F8A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0,013</w:t>
            </w:r>
          </w:p>
        </w:tc>
        <w:tc>
          <w:tcPr>
            <w:tcW w:w="1136" w:type="dxa"/>
            <w:gridSpan w:val="2"/>
            <w:shd w:val="clear" w:color="auto" w:fill="auto"/>
            <w:tcMar>
              <w:left w:w="28" w:type="dxa"/>
              <w:right w:w="28" w:type="dxa"/>
            </w:tcMar>
          </w:tcPr>
          <w:p w14:paraId="046610F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AA5A0D5"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F17E1B3"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723A4D1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029799C1" w14:textId="77777777" w:rsidTr="003524E3">
        <w:trPr>
          <w:gridBefore w:val="1"/>
          <w:wBefore w:w="12" w:type="dxa"/>
          <w:cantSplit/>
          <w:tblHeader/>
          <w:jc w:val="center"/>
        </w:trPr>
        <w:tc>
          <w:tcPr>
            <w:tcW w:w="651" w:type="dxa"/>
            <w:gridSpan w:val="3"/>
            <w:tcMar>
              <w:left w:w="28" w:type="dxa"/>
              <w:right w:w="28" w:type="dxa"/>
            </w:tcMar>
          </w:tcPr>
          <w:p w14:paraId="0EDDBC51"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(54)</w:t>
            </w:r>
          </w:p>
        </w:tc>
        <w:tc>
          <w:tcPr>
            <w:tcW w:w="2286" w:type="dxa"/>
            <w:gridSpan w:val="3"/>
            <w:shd w:val="clear" w:color="auto" w:fill="auto"/>
            <w:tcMar>
              <w:left w:w="28" w:type="dxa"/>
              <w:right w:w="28" w:type="dxa"/>
            </w:tcMar>
          </w:tcPr>
          <w:p w14:paraId="6B8E2ED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Klotianidin</w:t>
            </w:r>
          </w:p>
        </w:tc>
        <w:tc>
          <w:tcPr>
            <w:tcW w:w="1329" w:type="dxa"/>
            <w:gridSpan w:val="3"/>
            <w:shd w:val="clear" w:color="auto" w:fill="auto"/>
            <w:tcMar>
              <w:left w:w="28" w:type="dxa"/>
              <w:right w:w="28" w:type="dxa"/>
            </w:tcMar>
          </w:tcPr>
          <w:p w14:paraId="48A6D50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Neonikotinoidbaserade bekämpningsmedel</w:t>
            </w:r>
          </w:p>
        </w:tc>
        <w:tc>
          <w:tcPr>
            <w:tcW w:w="992" w:type="dxa"/>
            <w:gridSpan w:val="2"/>
            <w:shd w:val="clear" w:color="auto" w:fill="auto"/>
            <w:tcMar>
              <w:left w:w="28" w:type="dxa"/>
              <w:right w:w="28" w:type="dxa"/>
            </w:tcMar>
          </w:tcPr>
          <w:p w14:paraId="434743E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210880-92-5</w:t>
            </w:r>
          </w:p>
        </w:tc>
        <w:tc>
          <w:tcPr>
            <w:tcW w:w="1134" w:type="dxa"/>
          </w:tcPr>
          <w:p w14:paraId="200612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433-460-1</w:t>
            </w:r>
          </w:p>
        </w:tc>
        <w:tc>
          <w:tcPr>
            <w:tcW w:w="1279" w:type="dxa"/>
            <w:gridSpan w:val="2"/>
            <w:shd w:val="clear" w:color="auto" w:fill="auto"/>
            <w:tcMar>
              <w:left w:w="28" w:type="dxa"/>
              <w:right w:w="28" w:type="dxa"/>
            </w:tcMar>
          </w:tcPr>
          <w:p w14:paraId="23F5EBD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9" w:type="dxa"/>
            <w:gridSpan w:val="2"/>
            <w:shd w:val="clear" w:color="auto" w:fill="auto"/>
            <w:tcMar>
              <w:left w:w="28" w:type="dxa"/>
              <w:right w:w="28" w:type="dxa"/>
            </w:tcMar>
          </w:tcPr>
          <w:p w14:paraId="2C65C73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w:t>
            </w:r>
          </w:p>
        </w:tc>
        <w:tc>
          <w:tcPr>
            <w:tcW w:w="1278" w:type="dxa"/>
            <w:gridSpan w:val="2"/>
            <w:shd w:val="clear" w:color="auto" w:fill="auto"/>
            <w:tcMar>
              <w:left w:w="28" w:type="dxa"/>
              <w:right w:w="28" w:type="dxa"/>
            </w:tcMar>
          </w:tcPr>
          <w:p w14:paraId="579750B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0,34</w:t>
            </w:r>
          </w:p>
        </w:tc>
        <w:tc>
          <w:tcPr>
            <w:tcW w:w="1277" w:type="dxa"/>
            <w:gridSpan w:val="2"/>
            <w:shd w:val="clear" w:color="auto" w:fill="auto"/>
            <w:tcMar>
              <w:left w:w="28" w:type="dxa"/>
              <w:right w:w="28" w:type="dxa"/>
            </w:tcMar>
          </w:tcPr>
          <w:p w14:paraId="6300FD0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0,034</w:t>
            </w:r>
          </w:p>
        </w:tc>
        <w:tc>
          <w:tcPr>
            <w:tcW w:w="1136" w:type="dxa"/>
            <w:gridSpan w:val="2"/>
            <w:shd w:val="clear" w:color="auto" w:fill="auto"/>
            <w:tcMar>
              <w:left w:w="28" w:type="dxa"/>
              <w:right w:w="28" w:type="dxa"/>
            </w:tcMar>
          </w:tcPr>
          <w:p w14:paraId="37F819B6"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3FF33FB"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07A0E5C"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5585A1A8"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5E09BF68" w14:textId="77777777" w:rsidTr="003524E3">
        <w:trPr>
          <w:gridBefore w:val="1"/>
          <w:wBefore w:w="12" w:type="dxa"/>
          <w:cantSplit/>
          <w:tblHeader/>
          <w:jc w:val="center"/>
        </w:trPr>
        <w:tc>
          <w:tcPr>
            <w:tcW w:w="651" w:type="dxa"/>
            <w:gridSpan w:val="3"/>
            <w:tcMar>
              <w:left w:w="28" w:type="dxa"/>
              <w:right w:w="28" w:type="dxa"/>
            </w:tcMar>
          </w:tcPr>
          <w:p w14:paraId="0CF22DED"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(55)</w:t>
            </w:r>
          </w:p>
        </w:tc>
        <w:tc>
          <w:tcPr>
            <w:tcW w:w="2286" w:type="dxa"/>
            <w:gridSpan w:val="3"/>
            <w:shd w:val="clear" w:color="auto" w:fill="auto"/>
            <w:tcMar>
              <w:left w:w="28" w:type="dxa"/>
              <w:right w:w="28" w:type="dxa"/>
            </w:tcMar>
          </w:tcPr>
          <w:p w14:paraId="41D8820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Deltametrin</w:t>
            </w:r>
          </w:p>
        </w:tc>
        <w:tc>
          <w:tcPr>
            <w:tcW w:w="1329" w:type="dxa"/>
            <w:gridSpan w:val="3"/>
            <w:shd w:val="clear" w:color="auto" w:fill="auto"/>
            <w:tcMar>
              <w:left w:w="28" w:type="dxa"/>
              <w:right w:w="28" w:type="dxa"/>
            </w:tcMar>
          </w:tcPr>
          <w:p w14:paraId="2A01992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Pyretroidbaserade bekämpningsmedel</w:t>
            </w:r>
          </w:p>
        </w:tc>
        <w:tc>
          <w:tcPr>
            <w:tcW w:w="992" w:type="dxa"/>
            <w:gridSpan w:val="2"/>
            <w:shd w:val="clear" w:color="auto" w:fill="auto"/>
            <w:tcMar>
              <w:left w:w="28" w:type="dxa"/>
              <w:right w:w="28" w:type="dxa"/>
            </w:tcMar>
          </w:tcPr>
          <w:p w14:paraId="1A5D74C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52918-63-5</w:t>
            </w:r>
          </w:p>
        </w:tc>
        <w:tc>
          <w:tcPr>
            <w:tcW w:w="1134" w:type="dxa"/>
          </w:tcPr>
          <w:p w14:paraId="0E563A6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258-256-6</w:t>
            </w:r>
          </w:p>
        </w:tc>
        <w:tc>
          <w:tcPr>
            <w:tcW w:w="1279" w:type="dxa"/>
            <w:gridSpan w:val="2"/>
            <w:shd w:val="clear" w:color="auto" w:fill="auto"/>
            <w:tcMar>
              <w:left w:w="28" w:type="dxa"/>
              <w:right w:w="28" w:type="dxa"/>
            </w:tcMar>
          </w:tcPr>
          <w:p w14:paraId="1D0A82A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-6</w:t>
            </w:r>
          </w:p>
        </w:tc>
        <w:tc>
          <w:tcPr>
            <w:tcW w:w="1279" w:type="dxa"/>
            <w:gridSpan w:val="2"/>
            <w:shd w:val="clear" w:color="auto" w:fill="auto"/>
            <w:tcMar>
              <w:left w:w="28" w:type="dxa"/>
              <w:right w:w="28" w:type="dxa"/>
            </w:tcMar>
          </w:tcPr>
          <w:p w14:paraId="37429A8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-7</w:t>
            </w:r>
          </w:p>
        </w:tc>
        <w:tc>
          <w:tcPr>
            <w:tcW w:w="1278" w:type="dxa"/>
            <w:gridSpan w:val="2"/>
            <w:shd w:val="clear" w:color="auto" w:fill="auto"/>
            <w:tcMar>
              <w:left w:w="28" w:type="dxa"/>
              <w:right w:w="28" w:type="dxa"/>
            </w:tcMar>
          </w:tcPr>
          <w:p w14:paraId="112F1BC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-5</w:t>
            </w:r>
          </w:p>
        </w:tc>
        <w:tc>
          <w:tcPr>
            <w:tcW w:w="1277" w:type="dxa"/>
            <w:gridSpan w:val="2"/>
            <w:shd w:val="clear" w:color="auto" w:fill="auto"/>
            <w:tcMar>
              <w:left w:w="28" w:type="dxa"/>
              <w:right w:w="28" w:type="dxa"/>
            </w:tcMar>
          </w:tcPr>
          <w:p w14:paraId="5749D9B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3,4 × 10</w:t>
            </w:r>
            <w:r w:rsidRPr="003B6CF7">
              <w:rPr>
                <w:rFonts w:eastAsia="Calibri"/>
                <w:noProof/>
                <w:sz w:val="22"/>
                <w:szCs w:val="22"/>
                <w:vertAlign w:val="superscript"/>
                <w:lang w:eastAsia="en-US"/>
              </w:rPr>
              <w:t>-6</w:t>
            </w:r>
          </w:p>
        </w:tc>
        <w:tc>
          <w:tcPr>
            <w:tcW w:w="1136" w:type="dxa"/>
            <w:gridSpan w:val="2"/>
            <w:shd w:val="clear" w:color="auto" w:fill="auto"/>
            <w:tcMar>
              <w:left w:w="28" w:type="dxa"/>
              <w:right w:w="28" w:type="dxa"/>
            </w:tcMar>
          </w:tcPr>
          <w:p w14:paraId="473135D0"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5EA5696"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4A089328" w14:textId="77777777" w:rsidR="003524E3" w:rsidRPr="003B6CF7" w:rsidRDefault="003524E3" w:rsidP="003524E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4602372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0E739AAA" w14:textId="77777777" w:rsidTr="003524E3">
        <w:trPr>
          <w:gridBefore w:val="1"/>
          <w:wBefore w:w="12" w:type="dxa"/>
          <w:cantSplit/>
          <w:tblHeader/>
          <w:jc w:val="center"/>
        </w:trPr>
        <w:tc>
          <w:tcPr>
            <w:tcW w:w="651" w:type="dxa"/>
            <w:gridSpan w:val="3"/>
            <w:tcMar>
              <w:left w:w="28" w:type="dxa"/>
              <w:right w:w="28" w:type="dxa"/>
            </w:tcMar>
          </w:tcPr>
          <w:p w14:paraId="3700F17E"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(56)</w:t>
            </w:r>
          </w:p>
        </w:tc>
        <w:tc>
          <w:tcPr>
            <w:tcW w:w="2286" w:type="dxa"/>
            <w:gridSpan w:val="3"/>
            <w:shd w:val="clear" w:color="auto" w:fill="auto"/>
            <w:tcMar>
              <w:left w:w="28" w:type="dxa"/>
              <w:right w:w="28" w:type="dxa"/>
            </w:tcMar>
          </w:tcPr>
          <w:p w14:paraId="3A3D3A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Diklofenak</w:t>
            </w:r>
          </w:p>
        </w:tc>
        <w:tc>
          <w:tcPr>
            <w:tcW w:w="1329" w:type="dxa"/>
            <w:gridSpan w:val="3"/>
            <w:shd w:val="clear" w:color="auto" w:fill="auto"/>
            <w:tcMar>
              <w:left w:w="28" w:type="dxa"/>
              <w:right w:w="28" w:type="dxa"/>
            </w:tcMar>
          </w:tcPr>
          <w:p w14:paraId="59ECB9A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w:t>
            </w:r>
          </w:p>
        </w:tc>
        <w:tc>
          <w:tcPr>
            <w:tcW w:w="992" w:type="dxa"/>
            <w:gridSpan w:val="2"/>
            <w:shd w:val="clear" w:color="auto" w:fill="auto"/>
            <w:tcMar>
              <w:left w:w="28" w:type="dxa"/>
              <w:right w:w="28" w:type="dxa"/>
            </w:tcMar>
          </w:tcPr>
          <w:p w14:paraId="699BA43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 xml:space="preserve">15307-86-5/15307-79-6 </w:t>
            </w:r>
          </w:p>
        </w:tc>
        <w:tc>
          <w:tcPr>
            <w:tcW w:w="1134" w:type="dxa"/>
          </w:tcPr>
          <w:p w14:paraId="12F8D78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239-348-5/239-346-4</w:t>
            </w:r>
          </w:p>
        </w:tc>
        <w:tc>
          <w:tcPr>
            <w:tcW w:w="1279" w:type="dxa"/>
            <w:gridSpan w:val="2"/>
            <w:shd w:val="clear" w:color="auto" w:fill="auto"/>
            <w:tcMar>
              <w:left w:w="28" w:type="dxa"/>
              <w:right w:w="28" w:type="dxa"/>
            </w:tcMar>
          </w:tcPr>
          <w:p w14:paraId="6F7163A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0,04</w:t>
            </w:r>
          </w:p>
        </w:tc>
        <w:tc>
          <w:tcPr>
            <w:tcW w:w="1279" w:type="dxa"/>
            <w:gridSpan w:val="2"/>
            <w:shd w:val="clear" w:color="auto" w:fill="auto"/>
            <w:tcMar>
              <w:left w:w="28" w:type="dxa"/>
              <w:right w:w="28" w:type="dxa"/>
            </w:tcMar>
          </w:tcPr>
          <w:p w14:paraId="6C09096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0,004</w:t>
            </w:r>
          </w:p>
        </w:tc>
        <w:tc>
          <w:tcPr>
            <w:tcW w:w="1278" w:type="dxa"/>
            <w:gridSpan w:val="2"/>
            <w:shd w:val="clear" w:color="auto" w:fill="auto"/>
            <w:tcMar>
              <w:left w:w="28" w:type="dxa"/>
              <w:right w:w="28" w:type="dxa"/>
            </w:tcMar>
          </w:tcPr>
          <w:p w14:paraId="31BAD1D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250</w:t>
            </w:r>
          </w:p>
        </w:tc>
        <w:tc>
          <w:tcPr>
            <w:tcW w:w="1277" w:type="dxa"/>
            <w:gridSpan w:val="2"/>
            <w:shd w:val="clear" w:color="auto" w:fill="auto"/>
            <w:tcMar>
              <w:left w:w="28" w:type="dxa"/>
              <w:right w:w="28" w:type="dxa"/>
            </w:tcMar>
          </w:tcPr>
          <w:p w14:paraId="6711171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w:t>
            </w:r>
          </w:p>
        </w:tc>
        <w:tc>
          <w:tcPr>
            <w:tcW w:w="1136" w:type="dxa"/>
            <w:gridSpan w:val="2"/>
            <w:shd w:val="clear" w:color="auto" w:fill="auto"/>
            <w:tcMar>
              <w:left w:w="28" w:type="dxa"/>
              <w:right w:w="28" w:type="dxa"/>
            </w:tcMar>
          </w:tcPr>
          <w:p w14:paraId="15AEF1F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738493AC"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4022279E" w14:textId="77777777" w:rsidR="003524E3" w:rsidRPr="003B6CF7" w:rsidRDefault="003524E3" w:rsidP="003524E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7956B53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7B8A1B9" w14:textId="77777777" w:rsidTr="003524E3">
        <w:trPr>
          <w:gridBefore w:val="1"/>
          <w:wBefore w:w="12" w:type="dxa"/>
          <w:cantSplit/>
          <w:tblHeader/>
          <w:jc w:val="center"/>
        </w:trPr>
        <w:tc>
          <w:tcPr>
            <w:tcW w:w="651" w:type="dxa"/>
            <w:gridSpan w:val="3"/>
            <w:tcMar>
              <w:left w:w="28" w:type="dxa"/>
              <w:right w:w="28" w:type="dxa"/>
            </w:tcMar>
          </w:tcPr>
          <w:p w14:paraId="0401138C"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(57)</w:t>
            </w:r>
          </w:p>
        </w:tc>
        <w:tc>
          <w:tcPr>
            <w:tcW w:w="2286" w:type="dxa"/>
            <w:gridSpan w:val="3"/>
            <w:shd w:val="clear" w:color="auto" w:fill="auto"/>
            <w:tcMar>
              <w:left w:w="28" w:type="dxa"/>
              <w:right w:w="28" w:type="dxa"/>
            </w:tcMar>
          </w:tcPr>
          <w:p w14:paraId="3857A6A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Erytromycin</w:t>
            </w:r>
          </w:p>
        </w:tc>
        <w:tc>
          <w:tcPr>
            <w:tcW w:w="1329" w:type="dxa"/>
            <w:gridSpan w:val="3"/>
            <w:shd w:val="clear" w:color="auto" w:fill="auto"/>
            <w:tcMar>
              <w:left w:w="28" w:type="dxa"/>
              <w:right w:w="28" w:type="dxa"/>
            </w:tcMar>
          </w:tcPr>
          <w:p w14:paraId="15A0D80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(makrolida antibiotika)</w:t>
            </w:r>
          </w:p>
        </w:tc>
        <w:tc>
          <w:tcPr>
            <w:tcW w:w="992" w:type="dxa"/>
            <w:gridSpan w:val="2"/>
            <w:shd w:val="clear" w:color="auto" w:fill="auto"/>
            <w:tcMar>
              <w:left w:w="28" w:type="dxa"/>
              <w:right w:w="28" w:type="dxa"/>
            </w:tcMar>
          </w:tcPr>
          <w:p w14:paraId="568CD82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114-07-8</w:t>
            </w:r>
          </w:p>
        </w:tc>
        <w:tc>
          <w:tcPr>
            <w:tcW w:w="1134" w:type="dxa"/>
          </w:tcPr>
          <w:p w14:paraId="744CB51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204-040-1</w:t>
            </w:r>
          </w:p>
        </w:tc>
        <w:tc>
          <w:tcPr>
            <w:tcW w:w="1279" w:type="dxa"/>
            <w:gridSpan w:val="2"/>
            <w:shd w:val="clear" w:color="auto" w:fill="auto"/>
            <w:tcMar>
              <w:left w:w="28" w:type="dxa"/>
              <w:right w:w="28" w:type="dxa"/>
            </w:tcMar>
          </w:tcPr>
          <w:p w14:paraId="3DCD2A2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w:t>
            </w:r>
          </w:p>
        </w:tc>
        <w:tc>
          <w:tcPr>
            <w:tcW w:w="1279" w:type="dxa"/>
            <w:gridSpan w:val="2"/>
            <w:shd w:val="clear" w:color="auto" w:fill="auto"/>
            <w:tcMar>
              <w:left w:w="28" w:type="dxa"/>
              <w:right w:w="28" w:type="dxa"/>
            </w:tcMar>
          </w:tcPr>
          <w:p w14:paraId="02D6BD2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w:t>
            </w:r>
          </w:p>
        </w:tc>
        <w:tc>
          <w:tcPr>
            <w:tcW w:w="1278" w:type="dxa"/>
            <w:gridSpan w:val="2"/>
            <w:shd w:val="clear" w:color="auto" w:fill="auto"/>
            <w:tcMar>
              <w:left w:w="28" w:type="dxa"/>
              <w:right w:w="28" w:type="dxa"/>
            </w:tcMar>
          </w:tcPr>
          <w:p w14:paraId="0323A11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w:t>
            </w:r>
          </w:p>
        </w:tc>
        <w:tc>
          <w:tcPr>
            <w:tcW w:w="1277" w:type="dxa"/>
            <w:gridSpan w:val="2"/>
            <w:shd w:val="clear" w:color="auto" w:fill="auto"/>
            <w:tcMar>
              <w:left w:w="28" w:type="dxa"/>
              <w:right w:w="28" w:type="dxa"/>
            </w:tcMar>
          </w:tcPr>
          <w:p w14:paraId="08E6D47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p>
        </w:tc>
        <w:tc>
          <w:tcPr>
            <w:tcW w:w="1136" w:type="dxa"/>
            <w:gridSpan w:val="2"/>
            <w:shd w:val="clear" w:color="auto" w:fill="auto"/>
            <w:tcMar>
              <w:left w:w="28" w:type="dxa"/>
              <w:right w:w="28" w:type="dxa"/>
            </w:tcMar>
          </w:tcPr>
          <w:p w14:paraId="1A725237"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EC8CA89"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680EC726" w14:textId="77777777" w:rsidR="003524E3" w:rsidRPr="003B6CF7" w:rsidRDefault="003524E3" w:rsidP="003524E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19FADB3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071B4B8A" w14:textId="77777777" w:rsidTr="003524E3">
        <w:trPr>
          <w:gridBefore w:val="1"/>
          <w:wBefore w:w="12" w:type="dxa"/>
          <w:cantSplit/>
          <w:tblHeader/>
          <w:jc w:val="center"/>
        </w:trPr>
        <w:tc>
          <w:tcPr>
            <w:tcW w:w="651" w:type="dxa"/>
            <w:gridSpan w:val="3"/>
            <w:tcMar>
              <w:left w:w="28" w:type="dxa"/>
              <w:right w:w="28" w:type="dxa"/>
            </w:tcMar>
          </w:tcPr>
          <w:p w14:paraId="112120C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(58)</w:t>
            </w:r>
          </w:p>
        </w:tc>
        <w:tc>
          <w:tcPr>
            <w:tcW w:w="2286" w:type="dxa"/>
            <w:gridSpan w:val="3"/>
            <w:shd w:val="clear" w:color="auto" w:fill="auto"/>
            <w:tcMar>
              <w:left w:w="28" w:type="dxa"/>
              <w:right w:w="28" w:type="dxa"/>
            </w:tcMar>
          </w:tcPr>
          <w:p w14:paraId="3EF2713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Esfenvalerat</w:t>
            </w:r>
          </w:p>
        </w:tc>
        <w:tc>
          <w:tcPr>
            <w:tcW w:w="1329" w:type="dxa"/>
            <w:gridSpan w:val="3"/>
            <w:shd w:val="clear" w:color="auto" w:fill="auto"/>
            <w:tcMar>
              <w:left w:w="28" w:type="dxa"/>
              <w:right w:w="28" w:type="dxa"/>
            </w:tcMar>
          </w:tcPr>
          <w:p w14:paraId="75ED3FE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Pyretroidbaserade bekämpningsmedel</w:t>
            </w:r>
          </w:p>
        </w:tc>
        <w:tc>
          <w:tcPr>
            <w:tcW w:w="992" w:type="dxa"/>
            <w:gridSpan w:val="2"/>
            <w:shd w:val="clear" w:color="auto" w:fill="auto"/>
            <w:tcMar>
              <w:left w:w="28" w:type="dxa"/>
              <w:right w:w="28" w:type="dxa"/>
            </w:tcMar>
          </w:tcPr>
          <w:p w14:paraId="29B9C90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66230-04-4</w:t>
            </w:r>
          </w:p>
        </w:tc>
        <w:tc>
          <w:tcPr>
            <w:tcW w:w="1134" w:type="dxa"/>
          </w:tcPr>
          <w:p w14:paraId="5762D7D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613-911-9</w:t>
            </w:r>
          </w:p>
        </w:tc>
        <w:tc>
          <w:tcPr>
            <w:tcW w:w="1279" w:type="dxa"/>
            <w:gridSpan w:val="2"/>
            <w:shd w:val="clear" w:color="auto" w:fill="auto"/>
            <w:tcMar>
              <w:left w:w="28" w:type="dxa"/>
              <w:right w:w="28" w:type="dxa"/>
            </w:tcMar>
          </w:tcPr>
          <w:p w14:paraId="05FFC82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40AD25C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1,7 × 10</w:t>
            </w:r>
            <w:r w:rsidRPr="003B6CF7">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4D8E247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0,0085</w:t>
            </w:r>
          </w:p>
        </w:tc>
        <w:tc>
          <w:tcPr>
            <w:tcW w:w="1277" w:type="dxa"/>
            <w:gridSpan w:val="2"/>
            <w:shd w:val="clear" w:color="auto" w:fill="auto"/>
            <w:tcMar>
              <w:left w:w="28" w:type="dxa"/>
              <w:right w:w="28" w:type="dxa"/>
            </w:tcMar>
          </w:tcPr>
          <w:p w14:paraId="6119004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0,00085</w:t>
            </w:r>
          </w:p>
        </w:tc>
        <w:tc>
          <w:tcPr>
            <w:tcW w:w="1136" w:type="dxa"/>
            <w:gridSpan w:val="2"/>
            <w:shd w:val="clear" w:color="auto" w:fill="auto"/>
            <w:tcMar>
              <w:left w:w="28" w:type="dxa"/>
              <w:right w:w="28" w:type="dxa"/>
            </w:tcMar>
          </w:tcPr>
          <w:p w14:paraId="172BAB76"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015D8C49"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7CDB8BC1" w14:textId="77777777" w:rsidR="003524E3" w:rsidRPr="003B6CF7" w:rsidRDefault="003524E3" w:rsidP="003524E3">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0D8D770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5198EC6B" w14:textId="77777777" w:rsidTr="003524E3">
        <w:trPr>
          <w:gridBefore w:val="1"/>
          <w:wBefore w:w="12" w:type="dxa"/>
          <w:cantSplit/>
          <w:tblHeader/>
          <w:jc w:val="center"/>
        </w:trPr>
        <w:tc>
          <w:tcPr>
            <w:tcW w:w="651" w:type="dxa"/>
            <w:gridSpan w:val="3"/>
            <w:tcMar>
              <w:left w:w="28" w:type="dxa"/>
              <w:right w:w="28" w:type="dxa"/>
            </w:tcMar>
          </w:tcPr>
          <w:p w14:paraId="3D2DAF5F"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(59)</w:t>
            </w:r>
          </w:p>
        </w:tc>
        <w:tc>
          <w:tcPr>
            <w:tcW w:w="2286" w:type="dxa"/>
            <w:gridSpan w:val="3"/>
            <w:shd w:val="clear" w:color="auto" w:fill="auto"/>
            <w:tcMar>
              <w:left w:w="28" w:type="dxa"/>
              <w:right w:w="28" w:type="dxa"/>
            </w:tcMar>
          </w:tcPr>
          <w:p w14:paraId="1CAD98D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Estron (E1)</w:t>
            </w:r>
          </w:p>
        </w:tc>
        <w:tc>
          <w:tcPr>
            <w:tcW w:w="1329" w:type="dxa"/>
            <w:gridSpan w:val="3"/>
            <w:shd w:val="clear" w:color="auto" w:fill="auto"/>
            <w:tcMar>
              <w:left w:w="28" w:type="dxa"/>
              <w:right w:w="28" w:type="dxa"/>
            </w:tcMar>
          </w:tcPr>
          <w:p w14:paraId="4ACE4FD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 (östrogena hormoner)</w:t>
            </w:r>
          </w:p>
        </w:tc>
        <w:tc>
          <w:tcPr>
            <w:tcW w:w="992" w:type="dxa"/>
            <w:gridSpan w:val="2"/>
            <w:shd w:val="clear" w:color="auto" w:fill="auto"/>
            <w:tcMar>
              <w:left w:w="28" w:type="dxa"/>
              <w:right w:w="28" w:type="dxa"/>
            </w:tcMar>
          </w:tcPr>
          <w:p w14:paraId="67D8F69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53-16-7</w:t>
            </w:r>
          </w:p>
        </w:tc>
        <w:tc>
          <w:tcPr>
            <w:tcW w:w="1134" w:type="dxa"/>
          </w:tcPr>
          <w:p w14:paraId="0978EDC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200-164-5</w:t>
            </w:r>
          </w:p>
        </w:tc>
        <w:tc>
          <w:tcPr>
            <w:tcW w:w="1279" w:type="dxa"/>
            <w:gridSpan w:val="2"/>
            <w:shd w:val="clear" w:color="auto" w:fill="auto"/>
            <w:tcMar>
              <w:left w:w="28" w:type="dxa"/>
              <w:right w:w="28" w:type="dxa"/>
            </w:tcMar>
          </w:tcPr>
          <w:p w14:paraId="7F45B1F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3,6 × 10</w:t>
            </w:r>
            <w:r w:rsidRPr="003B6CF7">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2FCA55E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1,8 × 10</w:t>
            </w:r>
            <w:r w:rsidRPr="003B6CF7">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004E903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277" w:type="dxa"/>
            <w:gridSpan w:val="2"/>
            <w:shd w:val="clear" w:color="auto" w:fill="auto"/>
            <w:tcMar>
              <w:left w:w="28" w:type="dxa"/>
              <w:right w:w="28" w:type="dxa"/>
            </w:tcMar>
          </w:tcPr>
          <w:p w14:paraId="60FEFC7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136" w:type="dxa"/>
            <w:gridSpan w:val="2"/>
            <w:shd w:val="clear" w:color="auto" w:fill="auto"/>
            <w:tcMar>
              <w:left w:w="28" w:type="dxa"/>
              <w:right w:w="28" w:type="dxa"/>
            </w:tcMar>
          </w:tcPr>
          <w:p w14:paraId="31278E4A"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58A6BD2"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A57474F"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1576A61"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52822BCB" w14:textId="77777777" w:rsidTr="003524E3">
        <w:trPr>
          <w:gridBefore w:val="1"/>
          <w:wBefore w:w="12" w:type="dxa"/>
          <w:cantSplit/>
          <w:tblHeader/>
          <w:jc w:val="center"/>
        </w:trPr>
        <w:tc>
          <w:tcPr>
            <w:tcW w:w="651" w:type="dxa"/>
            <w:gridSpan w:val="3"/>
            <w:tcMar>
              <w:left w:w="28" w:type="dxa"/>
              <w:right w:w="28" w:type="dxa"/>
            </w:tcMar>
          </w:tcPr>
          <w:p w14:paraId="72B2B543" w14:textId="2F9C9043" w:rsidR="003524E3" w:rsidRPr="003B6CF7" w:rsidRDefault="003524E3" w:rsidP="003524E3">
            <w:pPr>
              <w:widowControl/>
              <w:spacing w:before="40" w:after="40"/>
              <w:jc w:val="both"/>
              <w:rPr>
                <w:rFonts w:eastAsia="Calibri"/>
                <w:b/>
                <w:noProof/>
                <w:sz w:val="22"/>
                <w:szCs w:val="22"/>
                <w:lang w:eastAsia="en-US"/>
              </w:rPr>
            </w:pPr>
            <w:r w:rsidRPr="003B6CF7">
              <w:rPr>
                <w:rFonts w:eastAsia="Calibri"/>
                <w:noProof/>
                <w:sz w:val="22"/>
                <w:szCs w:val="22"/>
                <w:lang w:eastAsia="en-US"/>
              </w:rPr>
              <w:t>(60)</w:t>
            </w:r>
            <w:r w:rsidRPr="003B6CF7">
              <w:rPr>
                <w:rFonts w:eastAsia="Calibri"/>
                <w:b/>
                <w:noProof/>
                <w:sz w:val="22"/>
                <w:szCs w:val="22"/>
                <w:lang w:eastAsia="en-US"/>
              </w:rPr>
              <w:t xml:space="preserve"> [Ändr. 151]</w:t>
            </w:r>
          </w:p>
        </w:tc>
        <w:tc>
          <w:tcPr>
            <w:tcW w:w="2286" w:type="dxa"/>
            <w:gridSpan w:val="3"/>
            <w:shd w:val="clear" w:color="auto" w:fill="auto"/>
            <w:tcMar>
              <w:left w:w="28" w:type="dxa"/>
              <w:right w:w="28" w:type="dxa"/>
            </w:tcMar>
          </w:tcPr>
          <w:p w14:paraId="4CE0B6D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Glyfosat</w:t>
            </w:r>
          </w:p>
        </w:tc>
        <w:tc>
          <w:tcPr>
            <w:tcW w:w="1329" w:type="dxa"/>
            <w:gridSpan w:val="3"/>
            <w:shd w:val="clear" w:color="auto" w:fill="auto"/>
            <w:tcMar>
              <w:left w:w="28" w:type="dxa"/>
              <w:right w:w="28" w:type="dxa"/>
            </w:tcMar>
          </w:tcPr>
          <w:p w14:paraId="63D408E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shd w:val="clear" w:color="auto" w:fill="auto"/>
            <w:tcMar>
              <w:left w:w="28" w:type="dxa"/>
              <w:right w:w="28" w:type="dxa"/>
            </w:tcMar>
          </w:tcPr>
          <w:p w14:paraId="5867B2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1071-83-6</w:t>
            </w:r>
          </w:p>
        </w:tc>
        <w:tc>
          <w:tcPr>
            <w:tcW w:w="1134" w:type="dxa"/>
          </w:tcPr>
          <w:p w14:paraId="1D26BF3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213-997-4</w:t>
            </w:r>
          </w:p>
        </w:tc>
        <w:tc>
          <w:tcPr>
            <w:tcW w:w="1279" w:type="dxa"/>
            <w:gridSpan w:val="2"/>
            <w:shd w:val="clear" w:color="auto" w:fill="auto"/>
            <w:tcMar>
              <w:left w:w="28" w:type="dxa"/>
              <w:right w:w="28" w:type="dxa"/>
            </w:tcMar>
          </w:tcPr>
          <w:p w14:paraId="7283868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0,1</w:t>
            </w:r>
            <w:r w:rsidRPr="003B6CF7">
              <w:rPr>
                <w:rFonts w:eastAsia="Calibri"/>
                <w:strike/>
                <w:noProof/>
                <w:sz w:val="22"/>
                <w:szCs w:val="22"/>
                <w:lang w:eastAsia="en-US"/>
              </w:rPr>
              <w:t xml:space="preserve"> (</w:t>
            </w:r>
            <w:r w:rsidRPr="003B6CF7">
              <w:rPr>
                <w:rFonts w:eastAsia="Calibri"/>
                <w:strike/>
                <w:noProof/>
                <w:sz w:val="22"/>
                <w:szCs w:val="22"/>
                <w:vertAlign w:val="superscript"/>
                <w:lang w:eastAsia="en-US"/>
              </w:rPr>
              <w:t>25</w:t>
            </w:r>
            <w:r w:rsidRPr="003B6CF7">
              <w:rPr>
                <w:rFonts w:eastAsia="Calibri"/>
                <w:strike/>
                <w:noProof/>
                <w:sz w:val="22"/>
                <w:szCs w:val="22"/>
                <w:lang w:eastAsia="en-US"/>
              </w:rPr>
              <w:t>)</w:t>
            </w:r>
          </w:p>
          <w:p w14:paraId="3ACD2DE1" w14:textId="77777777" w:rsidR="003524E3" w:rsidRPr="003B6CF7" w:rsidRDefault="003524E3" w:rsidP="003524E3">
            <w:pPr>
              <w:widowControl/>
              <w:spacing w:before="40" w:after="40"/>
              <w:rPr>
                <w:rFonts w:eastAsia="Calibri"/>
                <w:strike/>
                <w:noProof/>
                <w:sz w:val="22"/>
                <w:szCs w:val="22"/>
                <w:lang w:eastAsia="en-US"/>
              </w:rPr>
            </w:pPr>
            <w:r w:rsidRPr="003B6CF7">
              <w:rPr>
                <w:rFonts w:eastAsia="Calibri"/>
                <w:strike/>
                <w:noProof/>
                <w:sz w:val="22"/>
                <w:szCs w:val="22"/>
                <w:lang w:eastAsia="en-US"/>
              </w:rPr>
              <w:t>86,7 (</w:t>
            </w:r>
            <w:r w:rsidRPr="003B6CF7">
              <w:rPr>
                <w:rFonts w:eastAsia="Calibri"/>
                <w:strike/>
                <w:noProof/>
                <w:sz w:val="22"/>
                <w:szCs w:val="22"/>
                <w:vertAlign w:val="superscript"/>
                <w:lang w:eastAsia="en-US"/>
              </w:rPr>
              <w:t>26</w:t>
            </w:r>
            <w:r w:rsidRPr="003B6CF7">
              <w:rPr>
                <w:rFonts w:eastAsia="Calibri"/>
                <w:strike/>
                <w:noProof/>
                <w:sz w:val="22"/>
                <w:szCs w:val="22"/>
                <w:lang w:eastAsia="en-US"/>
              </w:rPr>
              <w:t>)</w:t>
            </w:r>
          </w:p>
        </w:tc>
        <w:tc>
          <w:tcPr>
            <w:tcW w:w="1279" w:type="dxa"/>
            <w:gridSpan w:val="2"/>
            <w:shd w:val="clear" w:color="auto" w:fill="auto"/>
            <w:tcMar>
              <w:left w:w="28" w:type="dxa"/>
              <w:right w:w="28" w:type="dxa"/>
            </w:tcMar>
          </w:tcPr>
          <w:p w14:paraId="6C65F12B" w14:textId="0386444C" w:rsidR="003524E3" w:rsidRPr="003B6CF7" w:rsidRDefault="003524E3" w:rsidP="003524E3">
            <w:pPr>
              <w:widowControl/>
              <w:spacing w:before="40" w:after="40"/>
              <w:rPr>
                <w:rFonts w:eastAsia="Calibri"/>
                <w:strike/>
                <w:noProof/>
                <w:sz w:val="22"/>
                <w:szCs w:val="22"/>
                <w:lang w:eastAsia="en-US"/>
              </w:rPr>
            </w:pPr>
            <w:r w:rsidRPr="003B6CF7">
              <w:rPr>
                <w:rFonts w:eastAsia="Calibri"/>
                <w:strike/>
                <w:noProof/>
                <w:sz w:val="22"/>
                <w:szCs w:val="22"/>
                <w:lang w:eastAsia="en-US"/>
              </w:rPr>
              <w:t xml:space="preserve">8,67 </w:t>
            </w:r>
            <w:r w:rsidRPr="003B6CF7">
              <w:rPr>
                <w:rFonts w:eastAsia="Calibri"/>
                <w:b/>
                <w:i/>
                <w:noProof/>
                <w:sz w:val="22"/>
                <w:szCs w:val="22"/>
                <w:lang w:eastAsia="en-US"/>
              </w:rPr>
              <w:t>0,01</w:t>
            </w:r>
          </w:p>
        </w:tc>
        <w:tc>
          <w:tcPr>
            <w:tcW w:w="1278" w:type="dxa"/>
            <w:gridSpan w:val="2"/>
            <w:shd w:val="clear" w:color="auto" w:fill="auto"/>
            <w:tcMar>
              <w:left w:w="28" w:type="dxa"/>
              <w:right w:w="28" w:type="dxa"/>
            </w:tcMar>
          </w:tcPr>
          <w:p w14:paraId="1DE1F60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398,6</w:t>
            </w:r>
          </w:p>
        </w:tc>
        <w:tc>
          <w:tcPr>
            <w:tcW w:w="1277" w:type="dxa"/>
            <w:gridSpan w:val="2"/>
            <w:shd w:val="clear" w:color="auto" w:fill="auto"/>
            <w:tcMar>
              <w:left w:w="28" w:type="dxa"/>
              <w:right w:w="28" w:type="dxa"/>
            </w:tcMar>
          </w:tcPr>
          <w:p w14:paraId="00A9659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39,86</w:t>
            </w:r>
          </w:p>
        </w:tc>
        <w:tc>
          <w:tcPr>
            <w:tcW w:w="1136" w:type="dxa"/>
            <w:gridSpan w:val="2"/>
            <w:shd w:val="clear" w:color="auto" w:fill="auto"/>
            <w:tcMar>
              <w:left w:w="28" w:type="dxa"/>
              <w:right w:w="28" w:type="dxa"/>
            </w:tcMar>
          </w:tcPr>
          <w:p w14:paraId="7DABC21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14139C8"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E527BCE"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3D6478FC"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846C39E" w14:textId="77777777" w:rsidTr="003524E3">
        <w:trPr>
          <w:gridBefore w:val="2"/>
          <w:wBefore w:w="46" w:type="dxa"/>
          <w:cantSplit/>
          <w:tblHeader/>
          <w:jc w:val="center"/>
        </w:trPr>
        <w:tc>
          <w:tcPr>
            <w:tcW w:w="617" w:type="dxa"/>
            <w:gridSpan w:val="2"/>
            <w:tcMar>
              <w:left w:w="28" w:type="dxa"/>
              <w:right w:w="28" w:type="dxa"/>
            </w:tcMar>
          </w:tcPr>
          <w:p w14:paraId="66D6F930"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(61)</w:t>
            </w:r>
          </w:p>
        </w:tc>
        <w:tc>
          <w:tcPr>
            <w:tcW w:w="2303" w:type="dxa"/>
            <w:gridSpan w:val="4"/>
            <w:shd w:val="clear" w:color="auto" w:fill="auto"/>
            <w:tcMar>
              <w:left w:w="28" w:type="dxa"/>
              <w:right w:w="28" w:type="dxa"/>
            </w:tcMar>
          </w:tcPr>
          <w:p w14:paraId="60229C9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Ibuprofen</w:t>
            </w:r>
          </w:p>
        </w:tc>
        <w:tc>
          <w:tcPr>
            <w:tcW w:w="1312" w:type="dxa"/>
            <w:gridSpan w:val="2"/>
            <w:shd w:val="clear" w:color="auto" w:fill="auto"/>
            <w:tcMar>
              <w:left w:w="28" w:type="dxa"/>
              <w:right w:w="28" w:type="dxa"/>
            </w:tcMar>
          </w:tcPr>
          <w:p w14:paraId="2ADE849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Läkemedel</w:t>
            </w:r>
          </w:p>
        </w:tc>
        <w:tc>
          <w:tcPr>
            <w:tcW w:w="992" w:type="dxa"/>
            <w:gridSpan w:val="2"/>
            <w:shd w:val="clear" w:color="auto" w:fill="auto"/>
            <w:tcMar>
              <w:left w:w="28" w:type="dxa"/>
              <w:right w:w="28" w:type="dxa"/>
            </w:tcMar>
          </w:tcPr>
          <w:p w14:paraId="35910A4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15687-27-1</w:t>
            </w:r>
          </w:p>
        </w:tc>
        <w:tc>
          <w:tcPr>
            <w:tcW w:w="1134" w:type="dxa"/>
          </w:tcPr>
          <w:p w14:paraId="1844A1A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239-784-6</w:t>
            </w:r>
          </w:p>
        </w:tc>
        <w:tc>
          <w:tcPr>
            <w:tcW w:w="1279" w:type="dxa"/>
            <w:gridSpan w:val="2"/>
            <w:shd w:val="clear" w:color="auto" w:fill="auto"/>
            <w:tcMar>
              <w:left w:w="28" w:type="dxa"/>
              <w:right w:w="28" w:type="dxa"/>
            </w:tcMar>
          </w:tcPr>
          <w:p w14:paraId="1BF99B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0,22</w:t>
            </w:r>
          </w:p>
        </w:tc>
        <w:tc>
          <w:tcPr>
            <w:tcW w:w="1279" w:type="dxa"/>
            <w:gridSpan w:val="2"/>
            <w:shd w:val="clear" w:color="auto" w:fill="auto"/>
            <w:tcMar>
              <w:left w:w="28" w:type="dxa"/>
              <w:right w:w="28" w:type="dxa"/>
            </w:tcMar>
          </w:tcPr>
          <w:p w14:paraId="51C1A55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0,022</w:t>
            </w:r>
          </w:p>
        </w:tc>
        <w:tc>
          <w:tcPr>
            <w:tcW w:w="1278" w:type="dxa"/>
            <w:gridSpan w:val="2"/>
            <w:shd w:val="clear" w:color="auto" w:fill="auto"/>
            <w:tcMar>
              <w:left w:w="28" w:type="dxa"/>
              <w:right w:w="28" w:type="dxa"/>
            </w:tcMar>
          </w:tcPr>
          <w:p w14:paraId="0CF1F991" w14:textId="77777777" w:rsidR="003524E3" w:rsidRPr="003B6CF7" w:rsidRDefault="003524E3" w:rsidP="003524E3">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39FFF12A" w14:textId="77777777" w:rsidR="003524E3" w:rsidRPr="003B6CF7" w:rsidRDefault="003524E3" w:rsidP="003524E3">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2AD3A8A8"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tcMar>
              <w:left w:w="28" w:type="dxa"/>
              <w:right w:w="28" w:type="dxa"/>
            </w:tcMar>
          </w:tcPr>
          <w:p w14:paraId="14FA0B0D" w14:textId="77777777" w:rsidR="003524E3" w:rsidRPr="003B6CF7" w:rsidRDefault="003524E3" w:rsidP="003524E3">
            <w:pPr>
              <w:widowControl/>
              <w:spacing w:before="40" w:after="40"/>
              <w:rPr>
                <w:rFonts w:eastAsia="Calibri"/>
                <w:noProof/>
                <w:sz w:val="22"/>
                <w:szCs w:val="22"/>
                <w:lang w:eastAsia="en-US"/>
              </w:rPr>
            </w:pPr>
          </w:p>
        </w:tc>
        <w:tc>
          <w:tcPr>
            <w:tcW w:w="1136" w:type="dxa"/>
            <w:tcMar>
              <w:left w:w="28" w:type="dxa"/>
              <w:right w:w="28" w:type="dxa"/>
            </w:tcMar>
          </w:tcPr>
          <w:p w14:paraId="5786B94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67EC48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4C64923" w14:textId="77777777" w:rsidTr="003524E3">
        <w:trPr>
          <w:gridBefore w:val="1"/>
          <w:wBefore w:w="12" w:type="dxa"/>
          <w:cantSplit/>
          <w:tblHeader/>
          <w:jc w:val="center"/>
        </w:trPr>
        <w:tc>
          <w:tcPr>
            <w:tcW w:w="651" w:type="dxa"/>
            <w:gridSpan w:val="3"/>
            <w:tcMar>
              <w:left w:w="28" w:type="dxa"/>
              <w:right w:w="28" w:type="dxa"/>
            </w:tcMar>
          </w:tcPr>
          <w:p w14:paraId="3DCB43F0"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(62)</w:t>
            </w:r>
          </w:p>
        </w:tc>
        <w:tc>
          <w:tcPr>
            <w:tcW w:w="2286" w:type="dxa"/>
            <w:gridSpan w:val="3"/>
            <w:shd w:val="clear" w:color="auto" w:fill="auto"/>
            <w:tcMar>
              <w:left w:w="28" w:type="dxa"/>
              <w:right w:w="28" w:type="dxa"/>
            </w:tcMar>
          </w:tcPr>
          <w:p w14:paraId="39FA29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Imidakloprid</w:t>
            </w:r>
          </w:p>
        </w:tc>
        <w:tc>
          <w:tcPr>
            <w:tcW w:w="1329" w:type="dxa"/>
            <w:gridSpan w:val="3"/>
            <w:shd w:val="clear" w:color="auto" w:fill="auto"/>
            <w:tcMar>
              <w:left w:w="28" w:type="dxa"/>
              <w:right w:w="28" w:type="dxa"/>
            </w:tcMar>
          </w:tcPr>
          <w:p w14:paraId="4D0C642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Neonikotinoidbaserade bekämpningsmedel</w:t>
            </w:r>
          </w:p>
        </w:tc>
        <w:tc>
          <w:tcPr>
            <w:tcW w:w="992" w:type="dxa"/>
            <w:gridSpan w:val="2"/>
            <w:shd w:val="clear" w:color="auto" w:fill="auto"/>
            <w:tcMar>
              <w:left w:w="28" w:type="dxa"/>
              <w:right w:w="28" w:type="dxa"/>
            </w:tcMar>
          </w:tcPr>
          <w:p w14:paraId="6F6AC39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138261-41-3/105827-78-9</w:t>
            </w:r>
          </w:p>
        </w:tc>
        <w:tc>
          <w:tcPr>
            <w:tcW w:w="1134" w:type="dxa"/>
          </w:tcPr>
          <w:p w14:paraId="6DDF7E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428-040-8</w:t>
            </w:r>
          </w:p>
        </w:tc>
        <w:tc>
          <w:tcPr>
            <w:tcW w:w="1279" w:type="dxa"/>
            <w:gridSpan w:val="2"/>
            <w:shd w:val="clear" w:color="auto" w:fill="auto"/>
            <w:tcMar>
              <w:left w:w="28" w:type="dxa"/>
              <w:right w:w="28" w:type="dxa"/>
            </w:tcMar>
          </w:tcPr>
          <w:p w14:paraId="3217435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0,0068</w:t>
            </w:r>
          </w:p>
        </w:tc>
        <w:tc>
          <w:tcPr>
            <w:tcW w:w="1279" w:type="dxa"/>
            <w:gridSpan w:val="2"/>
            <w:shd w:val="clear" w:color="auto" w:fill="auto"/>
            <w:tcMar>
              <w:left w:w="28" w:type="dxa"/>
              <w:right w:w="28" w:type="dxa"/>
            </w:tcMar>
          </w:tcPr>
          <w:p w14:paraId="417E561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6,8 × 10</w:t>
            </w:r>
            <w:r w:rsidRPr="003B6CF7">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26B8834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0,057</w:t>
            </w:r>
          </w:p>
        </w:tc>
        <w:tc>
          <w:tcPr>
            <w:tcW w:w="1277" w:type="dxa"/>
            <w:gridSpan w:val="2"/>
            <w:shd w:val="clear" w:color="auto" w:fill="auto"/>
            <w:tcMar>
              <w:left w:w="28" w:type="dxa"/>
              <w:right w:w="28" w:type="dxa"/>
            </w:tcMar>
          </w:tcPr>
          <w:p w14:paraId="0F90D7A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0,0057</w:t>
            </w:r>
          </w:p>
        </w:tc>
        <w:tc>
          <w:tcPr>
            <w:tcW w:w="1136" w:type="dxa"/>
            <w:gridSpan w:val="2"/>
            <w:shd w:val="clear" w:color="auto" w:fill="auto"/>
            <w:tcMar>
              <w:left w:w="28" w:type="dxa"/>
              <w:right w:w="28" w:type="dxa"/>
            </w:tcMar>
          </w:tcPr>
          <w:p w14:paraId="42AD85CB"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15F2A712"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9002DB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36E68698"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2DE51D2" w14:textId="77777777" w:rsidTr="003524E3">
        <w:trPr>
          <w:gridBefore w:val="1"/>
          <w:wBefore w:w="12" w:type="dxa"/>
          <w:cantSplit/>
          <w:tblHeader/>
          <w:jc w:val="center"/>
        </w:trPr>
        <w:tc>
          <w:tcPr>
            <w:tcW w:w="651" w:type="dxa"/>
            <w:gridSpan w:val="3"/>
            <w:tcMar>
              <w:left w:w="28" w:type="dxa"/>
              <w:right w:w="28" w:type="dxa"/>
            </w:tcMar>
          </w:tcPr>
          <w:p w14:paraId="05F0AE57"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(63)</w:t>
            </w:r>
          </w:p>
        </w:tc>
        <w:tc>
          <w:tcPr>
            <w:tcW w:w="2286" w:type="dxa"/>
            <w:gridSpan w:val="3"/>
            <w:shd w:val="clear" w:color="auto" w:fill="auto"/>
            <w:tcMar>
              <w:left w:w="28" w:type="dxa"/>
              <w:right w:w="28" w:type="dxa"/>
            </w:tcMar>
          </w:tcPr>
          <w:p w14:paraId="7D5D054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Nikosulfuron</w:t>
            </w:r>
          </w:p>
        </w:tc>
        <w:tc>
          <w:tcPr>
            <w:tcW w:w="1329" w:type="dxa"/>
            <w:gridSpan w:val="3"/>
            <w:shd w:val="clear" w:color="auto" w:fill="auto"/>
            <w:tcMar>
              <w:left w:w="28" w:type="dxa"/>
              <w:right w:w="28" w:type="dxa"/>
            </w:tcMar>
          </w:tcPr>
          <w:p w14:paraId="74A0BED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Ogräsbekämpningsmedel</w:t>
            </w:r>
          </w:p>
        </w:tc>
        <w:tc>
          <w:tcPr>
            <w:tcW w:w="992" w:type="dxa"/>
            <w:gridSpan w:val="2"/>
            <w:shd w:val="clear" w:color="auto" w:fill="auto"/>
            <w:tcMar>
              <w:left w:w="28" w:type="dxa"/>
              <w:right w:w="28" w:type="dxa"/>
            </w:tcMar>
          </w:tcPr>
          <w:p w14:paraId="55C76CD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111991-09-4</w:t>
            </w:r>
          </w:p>
        </w:tc>
        <w:tc>
          <w:tcPr>
            <w:tcW w:w="1134" w:type="dxa"/>
          </w:tcPr>
          <w:p w14:paraId="5EA8643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601-148-4</w:t>
            </w:r>
          </w:p>
        </w:tc>
        <w:tc>
          <w:tcPr>
            <w:tcW w:w="1279" w:type="dxa"/>
            <w:gridSpan w:val="2"/>
            <w:shd w:val="clear" w:color="auto" w:fill="auto"/>
            <w:tcMar>
              <w:left w:w="28" w:type="dxa"/>
              <w:right w:w="28" w:type="dxa"/>
            </w:tcMar>
          </w:tcPr>
          <w:p w14:paraId="7D19EE4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0,0087</w:t>
            </w:r>
          </w:p>
        </w:tc>
        <w:tc>
          <w:tcPr>
            <w:tcW w:w="1279" w:type="dxa"/>
            <w:gridSpan w:val="2"/>
            <w:shd w:val="clear" w:color="auto" w:fill="auto"/>
            <w:tcMar>
              <w:left w:w="28" w:type="dxa"/>
              <w:right w:w="28" w:type="dxa"/>
            </w:tcMar>
          </w:tcPr>
          <w:p w14:paraId="66D6A7C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8,7 × 10</w:t>
            </w:r>
            <w:r w:rsidRPr="003B6CF7">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53F0627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0,23</w:t>
            </w:r>
          </w:p>
        </w:tc>
        <w:tc>
          <w:tcPr>
            <w:tcW w:w="1277" w:type="dxa"/>
            <w:gridSpan w:val="2"/>
            <w:shd w:val="clear" w:color="auto" w:fill="auto"/>
            <w:tcMar>
              <w:left w:w="28" w:type="dxa"/>
              <w:right w:w="28" w:type="dxa"/>
            </w:tcMar>
          </w:tcPr>
          <w:p w14:paraId="47FEB79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0,023</w:t>
            </w:r>
          </w:p>
        </w:tc>
        <w:tc>
          <w:tcPr>
            <w:tcW w:w="1136" w:type="dxa"/>
            <w:gridSpan w:val="2"/>
            <w:shd w:val="clear" w:color="auto" w:fill="auto"/>
            <w:tcMar>
              <w:left w:w="28" w:type="dxa"/>
              <w:right w:w="28" w:type="dxa"/>
            </w:tcMar>
          </w:tcPr>
          <w:p w14:paraId="11D5EA75"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69052BC"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9C2D40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24D19A9"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920F036" w14:textId="77777777" w:rsidTr="003524E3">
        <w:trPr>
          <w:gridBefore w:val="1"/>
          <w:wBefore w:w="12" w:type="dxa"/>
          <w:cantSplit/>
          <w:tblHeader/>
          <w:jc w:val="center"/>
        </w:trPr>
        <w:tc>
          <w:tcPr>
            <w:tcW w:w="651" w:type="dxa"/>
            <w:gridSpan w:val="3"/>
            <w:tcMar>
              <w:left w:w="28" w:type="dxa"/>
              <w:right w:w="28" w:type="dxa"/>
            </w:tcMar>
          </w:tcPr>
          <w:p w14:paraId="45F5AE92"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(64)</w:t>
            </w:r>
          </w:p>
        </w:tc>
        <w:tc>
          <w:tcPr>
            <w:tcW w:w="2286" w:type="dxa"/>
            <w:gridSpan w:val="3"/>
            <w:shd w:val="clear" w:color="auto" w:fill="auto"/>
            <w:tcMar>
              <w:left w:w="28" w:type="dxa"/>
              <w:right w:w="28" w:type="dxa"/>
            </w:tcMar>
          </w:tcPr>
          <w:p w14:paraId="7D36E33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Permetrin</w:t>
            </w:r>
          </w:p>
        </w:tc>
        <w:tc>
          <w:tcPr>
            <w:tcW w:w="1329" w:type="dxa"/>
            <w:gridSpan w:val="3"/>
            <w:shd w:val="clear" w:color="auto" w:fill="auto"/>
            <w:tcMar>
              <w:left w:w="28" w:type="dxa"/>
              <w:right w:w="28" w:type="dxa"/>
            </w:tcMar>
          </w:tcPr>
          <w:p w14:paraId="3DB890F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Pyretroidbaserade bekämpningsmedel</w:t>
            </w:r>
          </w:p>
        </w:tc>
        <w:tc>
          <w:tcPr>
            <w:tcW w:w="992" w:type="dxa"/>
            <w:gridSpan w:val="2"/>
            <w:shd w:val="clear" w:color="auto" w:fill="auto"/>
            <w:tcMar>
              <w:left w:w="28" w:type="dxa"/>
              <w:right w:w="28" w:type="dxa"/>
            </w:tcMar>
          </w:tcPr>
          <w:p w14:paraId="6C9D826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52645-53-1</w:t>
            </w:r>
          </w:p>
        </w:tc>
        <w:tc>
          <w:tcPr>
            <w:tcW w:w="1134" w:type="dxa"/>
          </w:tcPr>
          <w:p w14:paraId="71A1B31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258-067-9</w:t>
            </w:r>
          </w:p>
        </w:tc>
        <w:tc>
          <w:tcPr>
            <w:tcW w:w="1279" w:type="dxa"/>
            <w:gridSpan w:val="2"/>
            <w:shd w:val="clear" w:color="auto" w:fill="auto"/>
            <w:tcMar>
              <w:left w:w="28" w:type="dxa"/>
              <w:right w:w="28" w:type="dxa"/>
            </w:tcMar>
          </w:tcPr>
          <w:p w14:paraId="6360606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2,7× 10</w:t>
            </w:r>
            <w:r w:rsidRPr="003B6CF7">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035E602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2,7 × 10</w:t>
            </w:r>
            <w:r w:rsidRPr="003B6CF7">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569B75C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0,0025</w:t>
            </w:r>
          </w:p>
        </w:tc>
        <w:tc>
          <w:tcPr>
            <w:tcW w:w="1277" w:type="dxa"/>
            <w:gridSpan w:val="2"/>
            <w:shd w:val="clear" w:color="auto" w:fill="auto"/>
            <w:tcMar>
              <w:left w:w="28" w:type="dxa"/>
              <w:right w:w="28" w:type="dxa"/>
            </w:tcMar>
          </w:tcPr>
          <w:p w14:paraId="2501792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2,5 × 10</w:t>
            </w:r>
            <w:r w:rsidRPr="003B6CF7">
              <w:rPr>
                <w:rFonts w:eastAsia="Calibri"/>
                <w:noProof/>
                <w:sz w:val="22"/>
                <w:szCs w:val="22"/>
                <w:vertAlign w:val="superscript"/>
                <w:lang w:eastAsia="en-US"/>
              </w:rPr>
              <w:t>-4</w:t>
            </w:r>
          </w:p>
        </w:tc>
        <w:tc>
          <w:tcPr>
            <w:tcW w:w="1136" w:type="dxa"/>
            <w:gridSpan w:val="2"/>
            <w:shd w:val="clear" w:color="auto" w:fill="auto"/>
            <w:tcMar>
              <w:left w:w="28" w:type="dxa"/>
              <w:right w:w="28" w:type="dxa"/>
            </w:tcMar>
          </w:tcPr>
          <w:p w14:paraId="4491B9AA"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58C8933"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B782639"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B5F112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4D4C9C55" w14:textId="77777777" w:rsidTr="003524E3">
        <w:trPr>
          <w:gridBefore w:val="1"/>
          <w:wBefore w:w="12" w:type="dxa"/>
          <w:cantSplit/>
          <w:tblHeader/>
          <w:jc w:val="center"/>
        </w:trPr>
        <w:tc>
          <w:tcPr>
            <w:tcW w:w="651" w:type="dxa"/>
            <w:gridSpan w:val="3"/>
            <w:tcMar>
              <w:left w:w="28" w:type="dxa"/>
              <w:right w:w="28" w:type="dxa"/>
            </w:tcMar>
          </w:tcPr>
          <w:p w14:paraId="3FAC1D8F" w14:textId="77777777" w:rsidR="003524E3" w:rsidRPr="003B6CF7" w:rsidRDefault="003524E3" w:rsidP="003524E3">
            <w:pPr>
              <w:keepNext/>
              <w:widowControl/>
              <w:spacing w:before="40" w:after="40"/>
              <w:jc w:val="both"/>
              <w:rPr>
                <w:rFonts w:eastAsia="Calibri"/>
                <w:noProof/>
                <w:sz w:val="22"/>
                <w:szCs w:val="22"/>
                <w:lang w:eastAsia="en-US"/>
              </w:rPr>
            </w:pPr>
            <w:r w:rsidRPr="003B6CF7">
              <w:rPr>
                <w:rFonts w:eastAsia="Calibri"/>
                <w:noProof/>
                <w:sz w:val="22"/>
                <w:szCs w:val="22"/>
                <w:lang w:eastAsia="en-US"/>
              </w:rPr>
              <w:t>(65)</w:t>
            </w:r>
          </w:p>
        </w:tc>
        <w:tc>
          <w:tcPr>
            <w:tcW w:w="2286" w:type="dxa"/>
            <w:gridSpan w:val="3"/>
            <w:shd w:val="clear" w:color="auto" w:fill="auto"/>
            <w:tcMar>
              <w:left w:w="28" w:type="dxa"/>
              <w:right w:w="28" w:type="dxa"/>
            </w:tcMar>
          </w:tcPr>
          <w:p w14:paraId="48F6DDE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 xml:space="preserve">Per- och polyfluoralkylerade ämnen (PFAS) – summan av 24 </w:t>
            </w:r>
            <w:bookmarkStart w:id="43" w:name="_Ref101448197"/>
            <w:r w:rsidRPr="003B6CF7">
              <w:rPr>
                <w:rFonts w:eastAsia="Calibri"/>
                <w:noProof/>
                <w:sz w:val="22"/>
                <w:szCs w:val="22"/>
                <w:lang w:eastAsia="en-US"/>
              </w:rPr>
              <w:t>(</w:t>
            </w:r>
            <w:r w:rsidRPr="003B6CF7">
              <w:rPr>
                <w:rFonts w:eastAsia="Calibri"/>
                <w:noProof/>
                <w:sz w:val="22"/>
                <w:szCs w:val="22"/>
                <w:vertAlign w:val="superscript"/>
                <w:lang w:eastAsia="en-US"/>
              </w:rPr>
              <w:t>27</w:t>
            </w:r>
            <w:r w:rsidRPr="003B6CF7">
              <w:rPr>
                <w:rFonts w:eastAsia="Calibri"/>
                <w:noProof/>
                <w:sz w:val="22"/>
                <w:szCs w:val="22"/>
                <w:lang w:eastAsia="en-US"/>
              </w:rPr>
              <w:t>)</w:t>
            </w:r>
            <w:bookmarkEnd w:id="43"/>
          </w:p>
        </w:tc>
        <w:tc>
          <w:tcPr>
            <w:tcW w:w="1329" w:type="dxa"/>
            <w:gridSpan w:val="3"/>
            <w:shd w:val="clear" w:color="auto" w:fill="auto"/>
            <w:tcMar>
              <w:left w:w="28" w:type="dxa"/>
              <w:right w:w="28" w:type="dxa"/>
            </w:tcMar>
          </w:tcPr>
          <w:p w14:paraId="41ABB06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Industriella ämnen</w:t>
            </w:r>
          </w:p>
        </w:tc>
        <w:tc>
          <w:tcPr>
            <w:tcW w:w="992" w:type="dxa"/>
            <w:gridSpan w:val="2"/>
            <w:shd w:val="clear" w:color="auto" w:fill="auto"/>
            <w:tcMar>
              <w:left w:w="28" w:type="dxa"/>
              <w:right w:w="28" w:type="dxa"/>
            </w:tcMar>
          </w:tcPr>
          <w:p w14:paraId="729C005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4" w:type="dxa"/>
          </w:tcPr>
          <w:p w14:paraId="65C5F30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9" w:type="dxa"/>
            <w:gridSpan w:val="2"/>
            <w:shd w:val="clear" w:color="auto" w:fill="auto"/>
            <w:tcMar>
              <w:left w:w="28" w:type="dxa"/>
              <w:right w:w="28" w:type="dxa"/>
            </w:tcMar>
          </w:tcPr>
          <w:p w14:paraId="7609434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 xml:space="preserve">Summan av PFOA-ekvivalenter 0,0044 </w:t>
            </w:r>
            <w:bookmarkStart w:id="44" w:name="_Ref101448285"/>
            <w:r w:rsidRPr="003B6CF7">
              <w:rPr>
                <w:rFonts w:eastAsia="Calibri"/>
                <w:noProof/>
                <w:sz w:val="22"/>
                <w:szCs w:val="22"/>
                <w:lang w:eastAsia="en-US"/>
              </w:rPr>
              <w:t>(</w:t>
            </w:r>
            <w:r w:rsidRPr="003B6CF7">
              <w:rPr>
                <w:rFonts w:eastAsia="Calibri"/>
                <w:noProof/>
                <w:sz w:val="22"/>
                <w:szCs w:val="22"/>
                <w:vertAlign w:val="superscript"/>
                <w:lang w:eastAsia="en-US"/>
              </w:rPr>
              <w:t>28</w:t>
            </w:r>
            <w:r w:rsidRPr="003B6CF7">
              <w:rPr>
                <w:rFonts w:eastAsia="Calibri"/>
                <w:noProof/>
                <w:sz w:val="22"/>
                <w:szCs w:val="22"/>
                <w:lang w:eastAsia="en-US"/>
              </w:rPr>
              <w:t>)</w:t>
            </w:r>
            <w:bookmarkEnd w:id="44"/>
          </w:p>
        </w:tc>
        <w:tc>
          <w:tcPr>
            <w:tcW w:w="1279" w:type="dxa"/>
            <w:gridSpan w:val="2"/>
            <w:shd w:val="clear" w:color="auto" w:fill="auto"/>
            <w:tcMar>
              <w:left w:w="28" w:type="dxa"/>
              <w:right w:w="28" w:type="dxa"/>
            </w:tcMar>
          </w:tcPr>
          <w:p w14:paraId="5C663482"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Summan av PFOA-ekvivalenter 0,0044 (</w:t>
            </w:r>
            <w:r w:rsidRPr="003B6CF7">
              <w:rPr>
                <w:rFonts w:eastAsia="Calibri"/>
                <w:noProof/>
                <w:sz w:val="22"/>
                <w:szCs w:val="22"/>
                <w:vertAlign w:val="superscript"/>
                <w:lang w:eastAsia="en-US"/>
              </w:rPr>
              <w:t>28</w:t>
            </w:r>
            <w:r w:rsidRPr="003B6CF7">
              <w:rPr>
                <w:rFonts w:eastAsia="Calibri"/>
                <w:noProof/>
                <w:sz w:val="22"/>
                <w:szCs w:val="22"/>
                <w:lang w:eastAsia="en-US"/>
              </w:rPr>
              <w:t>)</w:t>
            </w:r>
          </w:p>
        </w:tc>
        <w:tc>
          <w:tcPr>
            <w:tcW w:w="1278" w:type="dxa"/>
            <w:gridSpan w:val="2"/>
            <w:shd w:val="clear" w:color="auto" w:fill="auto"/>
            <w:tcMar>
              <w:left w:w="28" w:type="dxa"/>
              <w:right w:w="28" w:type="dxa"/>
            </w:tcMar>
          </w:tcPr>
          <w:p w14:paraId="57F9510B"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277" w:type="dxa"/>
            <w:gridSpan w:val="2"/>
            <w:shd w:val="clear" w:color="auto" w:fill="auto"/>
            <w:tcMar>
              <w:left w:w="28" w:type="dxa"/>
              <w:right w:w="28" w:type="dxa"/>
            </w:tcMar>
          </w:tcPr>
          <w:p w14:paraId="12A6E977"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Ej tillämpligt</w:t>
            </w:r>
          </w:p>
        </w:tc>
        <w:tc>
          <w:tcPr>
            <w:tcW w:w="1136" w:type="dxa"/>
            <w:gridSpan w:val="2"/>
            <w:shd w:val="clear" w:color="auto" w:fill="auto"/>
            <w:tcMar>
              <w:left w:w="28" w:type="dxa"/>
              <w:right w:w="28" w:type="dxa"/>
            </w:tcMar>
          </w:tcPr>
          <w:p w14:paraId="2857453C"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Summan av PFOA-ekvivalenter 0,077 (</w:t>
            </w:r>
            <w:r w:rsidRPr="003B6CF7">
              <w:rPr>
                <w:rFonts w:eastAsia="Calibri"/>
                <w:noProof/>
                <w:sz w:val="22"/>
                <w:szCs w:val="22"/>
                <w:vertAlign w:val="superscript"/>
                <w:lang w:eastAsia="en-US"/>
              </w:rPr>
              <w:t>28</w:t>
            </w:r>
            <w:r w:rsidRPr="003B6CF7">
              <w:rPr>
                <w:rFonts w:eastAsia="Calibri"/>
                <w:noProof/>
                <w:sz w:val="22"/>
                <w:szCs w:val="22"/>
                <w:lang w:eastAsia="en-US"/>
              </w:rPr>
              <w:t xml:space="preserve">) </w:t>
            </w:r>
          </w:p>
        </w:tc>
        <w:tc>
          <w:tcPr>
            <w:tcW w:w="1262" w:type="dxa"/>
            <w:tcMar>
              <w:left w:w="28" w:type="dxa"/>
              <w:right w:w="28" w:type="dxa"/>
            </w:tcMar>
          </w:tcPr>
          <w:p w14:paraId="3707E1D1"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1153" w:type="dxa"/>
            <w:gridSpan w:val="2"/>
            <w:tcMar>
              <w:left w:w="28" w:type="dxa"/>
              <w:right w:w="28" w:type="dxa"/>
            </w:tcMar>
          </w:tcPr>
          <w:p w14:paraId="446EF2A8"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c>
          <w:tcPr>
            <w:tcW w:w="970" w:type="dxa"/>
            <w:tcMar>
              <w:left w:w="28" w:type="dxa"/>
              <w:right w:w="28" w:type="dxa"/>
            </w:tcMar>
          </w:tcPr>
          <w:p w14:paraId="6F5FE7CD" w14:textId="77777777" w:rsidR="003524E3" w:rsidRPr="003B6CF7" w:rsidRDefault="003524E3" w:rsidP="003524E3">
            <w:pPr>
              <w:keepNext/>
              <w:widowControl/>
              <w:spacing w:before="40" w:after="40"/>
              <w:rPr>
                <w:rFonts w:eastAsia="Calibri"/>
                <w:noProof/>
                <w:sz w:val="22"/>
                <w:szCs w:val="22"/>
                <w:lang w:eastAsia="en-US"/>
              </w:rPr>
            </w:pPr>
            <w:r w:rsidRPr="003B6CF7">
              <w:rPr>
                <w:rFonts w:eastAsia="Calibri"/>
                <w:noProof/>
                <w:sz w:val="22"/>
                <w:szCs w:val="22"/>
                <w:lang w:eastAsia="en-US"/>
              </w:rPr>
              <w:t>X</w:t>
            </w:r>
          </w:p>
        </w:tc>
      </w:tr>
      <w:tr w:rsidR="003524E3" w:rsidRPr="003B6CF7" w14:paraId="356562F6" w14:textId="77777777" w:rsidTr="003524E3">
        <w:trPr>
          <w:gridBefore w:val="1"/>
          <w:wBefore w:w="12" w:type="dxa"/>
          <w:cantSplit/>
          <w:tblHeader/>
          <w:jc w:val="center"/>
        </w:trPr>
        <w:tc>
          <w:tcPr>
            <w:tcW w:w="651" w:type="dxa"/>
            <w:gridSpan w:val="3"/>
            <w:tcMar>
              <w:left w:w="28" w:type="dxa"/>
              <w:right w:w="28" w:type="dxa"/>
            </w:tcMar>
          </w:tcPr>
          <w:p w14:paraId="0F164246"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(66)</w:t>
            </w:r>
          </w:p>
        </w:tc>
        <w:tc>
          <w:tcPr>
            <w:tcW w:w="2286" w:type="dxa"/>
            <w:gridSpan w:val="3"/>
            <w:shd w:val="clear" w:color="auto" w:fill="auto"/>
            <w:tcMar>
              <w:left w:w="28" w:type="dxa"/>
              <w:right w:w="28" w:type="dxa"/>
            </w:tcMar>
          </w:tcPr>
          <w:p w14:paraId="63F91F4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Silver</w:t>
            </w:r>
          </w:p>
        </w:tc>
        <w:tc>
          <w:tcPr>
            <w:tcW w:w="1329" w:type="dxa"/>
            <w:gridSpan w:val="3"/>
            <w:shd w:val="clear" w:color="auto" w:fill="auto"/>
            <w:tcMar>
              <w:left w:w="28" w:type="dxa"/>
              <w:right w:w="28" w:type="dxa"/>
            </w:tcMar>
          </w:tcPr>
          <w:p w14:paraId="67324BF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Metaller</w:t>
            </w:r>
          </w:p>
        </w:tc>
        <w:tc>
          <w:tcPr>
            <w:tcW w:w="992" w:type="dxa"/>
            <w:gridSpan w:val="2"/>
            <w:shd w:val="clear" w:color="auto" w:fill="auto"/>
            <w:tcMar>
              <w:left w:w="28" w:type="dxa"/>
              <w:right w:w="28" w:type="dxa"/>
            </w:tcMar>
          </w:tcPr>
          <w:p w14:paraId="0F9A67FB"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7440-22-4</w:t>
            </w:r>
          </w:p>
        </w:tc>
        <w:tc>
          <w:tcPr>
            <w:tcW w:w="1134" w:type="dxa"/>
          </w:tcPr>
          <w:p w14:paraId="3193C2B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231-131-3</w:t>
            </w:r>
          </w:p>
        </w:tc>
        <w:tc>
          <w:tcPr>
            <w:tcW w:w="1279" w:type="dxa"/>
            <w:gridSpan w:val="2"/>
            <w:shd w:val="clear" w:color="auto" w:fill="auto"/>
            <w:tcMar>
              <w:left w:w="28" w:type="dxa"/>
              <w:right w:w="28" w:type="dxa"/>
            </w:tcMar>
          </w:tcPr>
          <w:p w14:paraId="0CA147E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9" w:type="dxa"/>
            <w:gridSpan w:val="2"/>
            <w:shd w:val="clear" w:color="auto" w:fill="auto"/>
            <w:tcMar>
              <w:left w:w="28" w:type="dxa"/>
              <w:right w:w="28" w:type="dxa"/>
            </w:tcMar>
          </w:tcPr>
          <w:p w14:paraId="22508B4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0,006 (10 % salthalt)</w:t>
            </w:r>
            <w:r w:rsidRPr="003B6CF7">
              <w:rPr>
                <w:rFonts w:eastAsia="Calibri"/>
                <w:noProof/>
                <w:szCs w:val="22"/>
                <w:lang w:eastAsia="en-US"/>
              </w:rPr>
              <w:t xml:space="preserve"> </w:t>
            </w:r>
            <w:r w:rsidRPr="003B6CF7">
              <w:rPr>
                <w:rFonts w:eastAsia="Calibri"/>
                <w:noProof/>
                <w:szCs w:val="22"/>
                <w:lang w:eastAsia="en-US"/>
              </w:rPr>
              <w:br/>
            </w:r>
            <w:r w:rsidRPr="003B6CF7">
              <w:rPr>
                <w:rFonts w:eastAsia="Calibri"/>
                <w:noProof/>
                <w:sz w:val="22"/>
                <w:szCs w:val="22"/>
                <w:lang w:eastAsia="en-US"/>
              </w:rPr>
              <w:t>0,17 (30 % salthalt)</w:t>
            </w:r>
          </w:p>
        </w:tc>
        <w:tc>
          <w:tcPr>
            <w:tcW w:w="1278" w:type="dxa"/>
            <w:gridSpan w:val="2"/>
            <w:shd w:val="clear" w:color="auto" w:fill="auto"/>
            <w:tcMar>
              <w:left w:w="28" w:type="dxa"/>
              <w:right w:w="28" w:type="dxa"/>
            </w:tcMar>
          </w:tcPr>
          <w:p w14:paraId="06FC60F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0,022</w:t>
            </w:r>
          </w:p>
        </w:tc>
        <w:tc>
          <w:tcPr>
            <w:tcW w:w="1277" w:type="dxa"/>
            <w:gridSpan w:val="2"/>
            <w:shd w:val="clear" w:color="auto" w:fill="auto"/>
            <w:tcMar>
              <w:left w:w="28" w:type="dxa"/>
              <w:right w:w="28" w:type="dxa"/>
            </w:tcMar>
          </w:tcPr>
          <w:p w14:paraId="1B20975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Ej framtagen</w:t>
            </w:r>
          </w:p>
        </w:tc>
        <w:tc>
          <w:tcPr>
            <w:tcW w:w="1136" w:type="dxa"/>
            <w:gridSpan w:val="2"/>
            <w:shd w:val="clear" w:color="auto" w:fill="auto"/>
            <w:tcMar>
              <w:left w:w="28" w:type="dxa"/>
              <w:right w:w="28" w:type="dxa"/>
            </w:tcMar>
          </w:tcPr>
          <w:p w14:paraId="4C5B5DAB" w14:textId="77777777" w:rsidR="003524E3" w:rsidRPr="003B6CF7" w:rsidDel="00974569"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68253A44"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739380A"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927C2B4"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3D67FD95" w14:textId="77777777" w:rsidTr="003524E3">
        <w:trPr>
          <w:gridBefore w:val="1"/>
          <w:wBefore w:w="12" w:type="dxa"/>
          <w:cantSplit/>
          <w:tblHeader/>
          <w:jc w:val="center"/>
        </w:trPr>
        <w:tc>
          <w:tcPr>
            <w:tcW w:w="651" w:type="dxa"/>
            <w:gridSpan w:val="3"/>
            <w:tcMar>
              <w:left w:w="28" w:type="dxa"/>
              <w:right w:w="28" w:type="dxa"/>
            </w:tcMar>
          </w:tcPr>
          <w:p w14:paraId="0D923C9B"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(67)</w:t>
            </w:r>
          </w:p>
        </w:tc>
        <w:tc>
          <w:tcPr>
            <w:tcW w:w="2286" w:type="dxa"/>
            <w:gridSpan w:val="3"/>
            <w:shd w:val="clear" w:color="auto" w:fill="auto"/>
            <w:tcMar>
              <w:left w:w="28" w:type="dxa"/>
              <w:right w:w="28" w:type="dxa"/>
            </w:tcMar>
          </w:tcPr>
          <w:p w14:paraId="3E2BB37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Tiakloprid</w:t>
            </w:r>
          </w:p>
        </w:tc>
        <w:tc>
          <w:tcPr>
            <w:tcW w:w="1329" w:type="dxa"/>
            <w:gridSpan w:val="3"/>
            <w:shd w:val="clear" w:color="auto" w:fill="auto"/>
            <w:tcMar>
              <w:left w:w="28" w:type="dxa"/>
              <w:right w:w="28" w:type="dxa"/>
            </w:tcMar>
          </w:tcPr>
          <w:p w14:paraId="2D91B08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Neonikotinoidbaserade bekämpningsmedel</w:t>
            </w:r>
          </w:p>
        </w:tc>
        <w:tc>
          <w:tcPr>
            <w:tcW w:w="992" w:type="dxa"/>
            <w:gridSpan w:val="2"/>
            <w:shd w:val="clear" w:color="auto" w:fill="auto"/>
            <w:tcMar>
              <w:left w:w="28" w:type="dxa"/>
              <w:right w:w="28" w:type="dxa"/>
            </w:tcMar>
          </w:tcPr>
          <w:p w14:paraId="492F11E0"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111988-49-9</w:t>
            </w:r>
          </w:p>
        </w:tc>
        <w:tc>
          <w:tcPr>
            <w:tcW w:w="1134" w:type="dxa"/>
          </w:tcPr>
          <w:p w14:paraId="2DCD937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601-147-9</w:t>
            </w:r>
          </w:p>
        </w:tc>
        <w:tc>
          <w:tcPr>
            <w:tcW w:w="1279" w:type="dxa"/>
            <w:gridSpan w:val="2"/>
            <w:shd w:val="clear" w:color="auto" w:fill="auto"/>
            <w:tcMar>
              <w:left w:w="28" w:type="dxa"/>
              <w:right w:w="28" w:type="dxa"/>
            </w:tcMar>
          </w:tcPr>
          <w:p w14:paraId="42A02FCD"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0,01</w:t>
            </w:r>
          </w:p>
        </w:tc>
        <w:tc>
          <w:tcPr>
            <w:tcW w:w="1279" w:type="dxa"/>
            <w:gridSpan w:val="2"/>
            <w:shd w:val="clear" w:color="auto" w:fill="auto"/>
            <w:tcMar>
              <w:left w:w="28" w:type="dxa"/>
              <w:right w:w="28" w:type="dxa"/>
            </w:tcMar>
          </w:tcPr>
          <w:p w14:paraId="16569BF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0,001</w:t>
            </w:r>
          </w:p>
        </w:tc>
        <w:tc>
          <w:tcPr>
            <w:tcW w:w="1278" w:type="dxa"/>
            <w:gridSpan w:val="2"/>
            <w:shd w:val="clear" w:color="auto" w:fill="auto"/>
            <w:tcMar>
              <w:left w:w="28" w:type="dxa"/>
              <w:right w:w="28" w:type="dxa"/>
            </w:tcMar>
          </w:tcPr>
          <w:p w14:paraId="13A96FE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0,05</w:t>
            </w:r>
          </w:p>
        </w:tc>
        <w:tc>
          <w:tcPr>
            <w:tcW w:w="1277" w:type="dxa"/>
            <w:gridSpan w:val="2"/>
            <w:shd w:val="clear" w:color="auto" w:fill="auto"/>
            <w:tcMar>
              <w:left w:w="28" w:type="dxa"/>
              <w:right w:w="28" w:type="dxa"/>
            </w:tcMar>
          </w:tcPr>
          <w:p w14:paraId="6636B45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0,005</w:t>
            </w:r>
          </w:p>
        </w:tc>
        <w:tc>
          <w:tcPr>
            <w:tcW w:w="1136" w:type="dxa"/>
            <w:gridSpan w:val="2"/>
            <w:shd w:val="clear" w:color="auto" w:fill="auto"/>
            <w:tcMar>
              <w:left w:w="28" w:type="dxa"/>
              <w:right w:w="28" w:type="dxa"/>
            </w:tcMar>
          </w:tcPr>
          <w:p w14:paraId="5BB1CCD1"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4F0B4BE3"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7F6B14C2"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A0859C0"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E926F34" w14:textId="77777777" w:rsidTr="003524E3">
        <w:trPr>
          <w:gridBefore w:val="1"/>
          <w:wBefore w:w="12" w:type="dxa"/>
          <w:cantSplit/>
          <w:tblHeader/>
          <w:jc w:val="center"/>
        </w:trPr>
        <w:tc>
          <w:tcPr>
            <w:tcW w:w="651" w:type="dxa"/>
            <w:gridSpan w:val="3"/>
            <w:tcMar>
              <w:left w:w="28" w:type="dxa"/>
              <w:right w:w="28" w:type="dxa"/>
            </w:tcMar>
          </w:tcPr>
          <w:p w14:paraId="59780702"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(68)</w:t>
            </w:r>
          </w:p>
        </w:tc>
        <w:tc>
          <w:tcPr>
            <w:tcW w:w="2286" w:type="dxa"/>
            <w:gridSpan w:val="3"/>
            <w:shd w:val="clear" w:color="auto" w:fill="auto"/>
            <w:tcMar>
              <w:left w:w="28" w:type="dxa"/>
              <w:right w:w="28" w:type="dxa"/>
            </w:tcMar>
          </w:tcPr>
          <w:p w14:paraId="6CB1B54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Tiametoxam</w:t>
            </w:r>
          </w:p>
        </w:tc>
        <w:tc>
          <w:tcPr>
            <w:tcW w:w="1329" w:type="dxa"/>
            <w:gridSpan w:val="3"/>
            <w:shd w:val="clear" w:color="auto" w:fill="auto"/>
            <w:tcMar>
              <w:left w:w="28" w:type="dxa"/>
              <w:right w:w="28" w:type="dxa"/>
            </w:tcMar>
          </w:tcPr>
          <w:p w14:paraId="788592E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Neonikotinoidbaserade bekämpningsmedel</w:t>
            </w:r>
          </w:p>
        </w:tc>
        <w:tc>
          <w:tcPr>
            <w:tcW w:w="992" w:type="dxa"/>
            <w:gridSpan w:val="2"/>
            <w:shd w:val="clear" w:color="auto" w:fill="auto"/>
            <w:tcMar>
              <w:left w:w="28" w:type="dxa"/>
              <w:right w:w="28" w:type="dxa"/>
            </w:tcMar>
          </w:tcPr>
          <w:p w14:paraId="3760B341"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153719-23-4</w:t>
            </w:r>
          </w:p>
        </w:tc>
        <w:tc>
          <w:tcPr>
            <w:tcW w:w="1134" w:type="dxa"/>
          </w:tcPr>
          <w:p w14:paraId="13C9A5A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428-650-4</w:t>
            </w:r>
          </w:p>
        </w:tc>
        <w:tc>
          <w:tcPr>
            <w:tcW w:w="1279" w:type="dxa"/>
            <w:gridSpan w:val="2"/>
            <w:shd w:val="clear" w:color="auto" w:fill="auto"/>
            <w:tcMar>
              <w:left w:w="28" w:type="dxa"/>
              <w:right w:w="28" w:type="dxa"/>
            </w:tcMar>
          </w:tcPr>
          <w:p w14:paraId="39E48D6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0,04</w:t>
            </w:r>
          </w:p>
        </w:tc>
        <w:tc>
          <w:tcPr>
            <w:tcW w:w="1279" w:type="dxa"/>
            <w:gridSpan w:val="2"/>
            <w:shd w:val="clear" w:color="auto" w:fill="auto"/>
            <w:tcMar>
              <w:left w:w="28" w:type="dxa"/>
              <w:right w:w="28" w:type="dxa"/>
            </w:tcMar>
          </w:tcPr>
          <w:p w14:paraId="10114F7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0,004</w:t>
            </w:r>
          </w:p>
        </w:tc>
        <w:tc>
          <w:tcPr>
            <w:tcW w:w="1278" w:type="dxa"/>
            <w:gridSpan w:val="2"/>
            <w:shd w:val="clear" w:color="auto" w:fill="auto"/>
            <w:tcMar>
              <w:left w:w="28" w:type="dxa"/>
              <w:right w:w="28" w:type="dxa"/>
            </w:tcMar>
          </w:tcPr>
          <w:p w14:paraId="03220756"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0,77</w:t>
            </w:r>
          </w:p>
        </w:tc>
        <w:tc>
          <w:tcPr>
            <w:tcW w:w="1277" w:type="dxa"/>
            <w:gridSpan w:val="2"/>
            <w:shd w:val="clear" w:color="auto" w:fill="auto"/>
            <w:tcMar>
              <w:left w:w="28" w:type="dxa"/>
              <w:right w:w="28" w:type="dxa"/>
            </w:tcMar>
          </w:tcPr>
          <w:p w14:paraId="4B801AD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0,077</w:t>
            </w:r>
          </w:p>
        </w:tc>
        <w:tc>
          <w:tcPr>
            <w:tcW w:w="1136" w:type="dxa"/>
            <w:gridSpan w:val="2"/>
            <w:shd w:val="clear" w:color="auto" w:fill="auto"/>
            <w:tcMar>
              <w:left w:w="28" w:type="dxa"/>
              <w:right w:w="28" w:type="dxa"/>
            </w:tcMar>
          </w:tcPr>
          <w:p w14:paraId="0C91ED6B"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54DE767"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28B349D7"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01247468"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54892F0A" w14:textId="77777777" w:rsidTr="003524E3">
        <w:trPr>
          <w:gridBefore w:val="1"/>
          <w:wBefore w:w="12" w:type="dxa"/>
          <w:cantSplit/>
          <w:tblHeader/>
          <w:jc w:val="center"/>
        </w:trPr>
        <w:tc>
          <w:tcPr>
            <w:tcW w:w="651" w:type="dxa"/>
            <w:gridSpan w:val="3"/>
            <w:tcMar>
              <w:left w:w="28" w:type="dxa"/>
              <w:right w:w="28" w:type="dxa"/>
            </w:tcMar>
          </w:tcPr>
          <w:p w14:paraId="02C10B4B"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(69)</w:t>
            </w:r>
          </w:p>
        </w:tc>
        <w:tc>
          <w:tcPr>
            <w:tcW w:w="2286" w:type="dxa"/>
            <w:gridSpan w:val="3"/>
            <w:shd w:val="clear" w:color="auto" w:fill="auto"/>
            <w:tcMar>
              <w:left w:w="28" w:type="dxa"/>
              <w:right w:w="28" w:type="dxa"/>
            </w:tcMar>
          </w:tcPr>
          <w:p w14:paraId="42DADC64"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Triklosan</w:t>
            </w:r>
          </w:p>
        </w:tc>
        <w:tc>
          <w:tcPr>
            <w:tcW w:w="1329" w:type="dxa"/>
            <w:gridSpan w:val="3"/>
            <w:shd w:val="clear" w:color="auto" w:fill="auto"/>
            <w:tcMar>
              <w:left w:w="28" w:type="dxa"/>
              <w:right w:w="28" w:type="dxa"/>
            </w:tcMar>
          </w:tcPr>
          <w:p w14:paraId="6145BF3F"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Biocider</w:t>
            </w:r>
          </w:p>
        </w:tc>
        <w:tc>
          <w:tcPr>
            <w:tcW w:w="992" w:type="dxa"/>
            <w:gridSpan w:val="2"/>
            <w:shd w:val="clear" w:color="auto" w:fill="auto"/>
            <w:tcMar>
              <w:left w:w="28" w:type="dxa"/>
              <w:right w:w="28" w:type="dxa"/>
            </w:tcMar>
          </w:tcPr>
          <w:p w14:paraId="4BC6B957"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3380-34-5</w:t>
            </w:r>
          </w:p>
        </w:tc>
        <w:tc>
          <w:tcPr>
            <w:tcW w:w="1134" w:type="dxa"/>
          </w:tcPr>
          <w:p w14:paraId="21C11633"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222-182-2</w:t>
            </w:r>
          </w:p>
        </w:tc>
        <w:tc>
          <w:tcPr>
            <w:tcW w:w="1279" w:type="dxa"/>
            <w:gridSpan w:val="2"/>
            <w:shd w:val="clear" w:color="auto" w:fill="auto"/>
            <w:tcMar>
              <w:left w:w="28" w:type="dxa"/>
              <w:right w:w="28" w:type="dxa"/>
            </w:tcMar>
          </w:tcPr>
          <w:p w14:paraId="077D62F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w:t>
            </w:r>
          </w:p>
        </w:tc>
        <w:tc>
          <w:tcPr>
            <w:tcW w:w="1279" w:type="dxa"/>
            <w:gridSpan w:val="2"/>
            <w:shd w:val="clear" w:color="auto" w:fill="auto"/>
            <w:tcMar>
              <w:left w:w="28" w:type="dxa"/>
              <w:right w:w="28" w:type="dxa"/>
            </w:tcMar>
          </w:tcPr>
          <w:p w14:paraId="704A7FA9"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w:t>
            </w:r>
          </w:p>
        </w:tc>
        <w:tc>
          <w:tcPr>
            <w:tcW w:w="1278" w:type="dxa"/>
            <w:gridSpan w:val="2"/>
            <w:shd w:val="clear" w:color="auto" w:fill="auto"/>
            <w:tcMar>
              <w:left w:w="28" w:type="dxa"/>
              <w:right w:w="28" w:type="dxa"/>
            </w:tcMar>
          </w:tcPr>
          <w:p w14:paraId="75105FBE"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0,02</w:t>
            </w:r>
          </w:p>
        </w:tc>
        <w:tc>
          <w:tcPr>
            <w:tcW w:w="1277" w:type="dxa"/>
            <w:gridSpan w:val="2"/>
            <w:shd w:val="clear" w:color="auto" w:fill="auto"/>
            <w:tcMar>
              <w:left w:w="28" w:type="dxa"/>
              <w:right w:w="28" w:type="dxa"/>
            </w:tcMar>
          </w:tcPr>
          <w:p w14:paraId="1035E4D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0,002</w:t>
            </w:r>
          </w:p>
        </w:tc>
        <w:tc>
          <w:tcPr>
            <w:tcW w:w="1136" w:type="dxa"/>
            <w:gridSpan w:val="2"/>
            <w:shd w:val="clear" w:color="auto" w:fill="auto"/>
            <w:tcMar>
              <w:left w:w="28" w:type="dxa"/>
              <w:right w:w="28" w:type="dxa"/>
            </w:tcMar>
          </w:tcPr>
          <w:p w14:paraId="7E99372A"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56E63A65"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595B2382"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86E24DF"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BF3F8F0" w14:textId="77777777" w:rsidTr="003524E3">
        <w:trPr>
          <w:gridBefore w:val="1"/>
          <w:wBefore w:w="12" w:type="dxa"/>
          <w:cantSplit/>
          <w:tblHeader/>
          <w:jc w:val="center"/>
        </w:trPr>
        <w:tc>
          <w:tcPr>
            <w:tcW w:w="651" w:type="dxa"/>
            <w:gridSpan w:val="3"/>
            <w:tcMar>
              <w:left w:w="28" w:type="dxa"/>
              <w:right w:w="28" w:type="dxa"/>
            </w:tcMar>
          </w:tcPr>
          <w:p w14:paraId="2DDE7D08" w14:textId="77777777" w:rsidR="003524E3" w:rsidRPr="003B6CF7" w:rsidRDefault="003524E3" w:rsidP="003524E3">
            <w:pPr>
              <w:widowControl/>
              <w:spacing w:before="40" w:after="40"/>
              <w:jc w:val="both"/>
              <w:rPr>
                <w:rFonts w:eastAsia="Calibri"/>
                <w:noProof/>
                <w:sz w:val="22"/>
                <w:szCs w:val="22"/>
                <w:lang w:eastAsia="en-US"/>
              </w:rPr>
            </w:pPr>
            <w:r w:rsidRPr="003B6CF7">
              <w:rPr>
                <w:rFonts w:eastAsia="Calibri"/>
                <w:noProof/>
                <w:sz w:val="22"/>
                <w:szCs w:val="22"/>
                <w:lang w:eastAsia="en-US"/>
              </w:rPr>
              <w:t>(70)</w:t>
            </w:r>
          </w:p>
        </w:tc>
        <w:tc>
          <w:tcPr>
            <w:tcW w:w="2286" w:type="dxa"/>
            <w:gridSpan w:val="3"/>
            <w:shd w:val="clear" w:color="auto" w:fill="auto"/>
            <w:tcMar>
              <w:left w:w="28" w:type="dxa"/>
              <w:right w:w="28" w:type="dxa"/>
            </w:tcMar>
          </w:tcPr>
          <w:p w14:paraId="4B6F730C"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Aktiva ämnen totalt i bekämpningsmedel, inbegripet relevanta metaboliter, nedbrytnings- och reaktionsprodukter (</w:t>
            </w:r>
            <w:r w:rsidRPr="003B6CF7">
              <w:rPr>
                <w:rFonts w:eastAsia="Calibri"/>
                <w:noProof/>
                <w:sz w:val="22"/>
                <w:szCs w:val="22"/>
                <w:vertAlign w:val="superscript"/>
                <w:lang w:eastAsia="en-US"/>
              </w:rPr>
              <w:t>29</w:t>
            </w:r>
            <w:r w:rsidRPr="003B6CF7">
              <w:rPr>
                <w:rFonts w:eastAsia="Calibri"/>
                <w:noProof/>
                <w:sz w:val="22"/>
                <w:szCs w:val="22"/>
                <w:lang w:eastAsia="en-US"/>
              </w:rPr>
              <w:t>)</w:t>
            </w:r>
          </w:p>
        </w:tc>
        <w:tc>
          <w:tcPr>
            <w:tcW w:w="1329" w:type="dxa"/>
            <w:gridSpan w:val="3"/>
            <w:shd w:val="clear" w:color="auto" w:fill="auto"/>
            <w:tcMar>
              <w:left w:w="28" w:type="dxa"/>
              <w:right w:w="28" w:type="dxa"/>
            </w:tcMar>
          </w:tcPr>
          <w:p w14:paraId="0D9D76B8"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Växtskyddsmedel och biocider</w:t>
            </w:r>
          </w:p>
        </w:tc>
        <w:tc>
          <w:tcPr>
            <w:tcW w:w="992" w:type="dxa"/>
            <w:gridSpan w:val="2"/>
            <w:shd w:val="clear" w:color="auto" w:fill="auto"/>
            <w:tcMar>
              <w:left w:w="28" w:type="dxa"/>
              <w:right w:w="28" w:type="dxa"/>
            </w:tcMar>
          </w:tcPr>
          <w:p w14:paraId="6CE01EC6" w14:textId="77777777" w:rsidR="003524E3" w:rsidRPr="003B6CF7" w:rsidRDefault="003524E3" w:rsidP="003524E3">
            <w:pPr>
              <w:widowControl/>
              <w:spacing w:before="40" w:after="40"/>
              <w:rPr>
                <w:rFonts w:eastAsia="Calibri"/>
                <w:noProof/>
                <w:sz w:val="22"/>
                <w:szCs w:val="22"/>
                <w:lang w:eastAsia="en-US"/>
              </w:rPr>
            </w:pPr>
          </w:p>
        </w:tc>
        <w:tc>
          <w:tcPr>
            <w:tcW w:w="1134" w:type="dxa"/>
          </w:tcPr>
          <w:p w14:paraId="6D097907" w14:textId="77777777" w:rsidR="003524E3" w:rsidRPr="003B6CF7" w:rsidRDefault="003524E3" w:rsidP="003524E3">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1F74FF5A"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 (</w:t>
            </w:r>
            <w:r w:rsidRPr="003B6CF7">
              <w:rPr>
                <w:rFonts w:eastAsia="Calibri"/>
                <w:noProof/>
                <w:sz w:val="22"/>
                <w:szCs w:val="22"/>
                <w:vertAlign w:val="superscript"/>
                <w:lang w:eastAsia="en-US"/>
              </w:rPr>
              <w:t>30</w:t>
            </w:r>
            <w:r w:rsidRPr="003B6CF7">
              <w:rPr>
                <w:rFonts w:eastAsia="Calibri"/>
                <w:noProof/>
                <w:sz w:val="22"/>
                <w:szCs w:val="22"/>
                <w:lang w:eastAsia="en-US"/>
              </w:rPr>
              <w:t>)</w:t>
            </w:r>
          </w:p>
        </w:tc>
        <w:tc>
          <w:tcPr>
            <w:tcW w:w="1279" w:type="dxa"/>
            <w:gridSpan w:val="2"/>
            <w:shd w:val="clear" w:color="auto" w:fill="auto"/>
            <w:tcMar>
              <w:left w:w="28" w:type="dxa"/>
              <w:right w:w="28" w:type="dxa"/>
            </w:tcMar>
          </w:tcPr>
          <w:p w14:paraId="6674D245" w14:textId="77777777" w:rsidR="003524E3" w:rsidRPr="003B6CF7" w:rsidRDefault="003524E3" w:rsidP="003524E3">
            <w:pPr>
              <w:widowControl/>
              <w:spacing w:before="40" w:after="40"/>
              <w:rPr>
                <w:rFonts w:eastAsia="Calibri"/>
                <w:noProof/>
                <w:sz w:val="22"/>
                <w:szCs w:val="22"/>
                <w:lang w:eastAsia="en-US"/>
              </w:rPr>
            </w:pPr>
            <w:r w:rsidRPr="003B6CF7">
              <w:rPr>
                <w:rFonts w:eastAsia="Calibri"/>
                <w:noProof/>
                <w:sz w:val="22"/>
                <w:szCs w:val="22"/>
                <w:lang w:eastAsia="en-US"/>
              </w:rPr>
              <w:t>0,5 (</w:t>
            </w:r>
            <w:r w:rsidRPr="003B6CF7">
              <w:rPr>
                <w:rFonts w:eastAsia="Calibri"/>
                <w:noProof/>
                <w:sz w:val="22"/>
                <w:szCs w:val="22"/>
                <w:vertAlign w:val="superscript"/>
                <w:lang w:eastAsia="en-US"/>
              </w:rPr>
              <w:t>30</w:t>
            </w:r>
            <w:r w:rsidRPr="003B6CF7">
              <w:rPr>
                <w:rFonts w:eastAsia="Calibri"/>
                <w:noProof/>
                <w:sz w:val="22"/>
                <w:szCs w:val="22"/>
                <w:lang w:eastAsia="en-US"/>
              </w:rPr>
              <w:t>)</w:t>
            </w:r>
          </w:p>
        </w:tc>
        <w:tc>
          <w:tcPr>
            <w:tcW w:w="1278" w:type="dxa"/>
            <w:gridSpan w:val="2"/>
            <w:shd w:val="clear" w:color="auto" w:fill="auto"/>
            <w:tcMar>
              <w:left w:w="28" w:type="dxa"/>
              <w:right w:w="28" w:type="dxa"/>
            </w:tcMar>
          </w:tcPr>
          <w:p w14:paraId="2AB39236" w14:textId="77777777" w:rsidR="003524E3" w:rsidRPr="003B6CF7" w:rsidRDefault="003524E3" w:rsidP="003524E3">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45FCDFBC" w14:textId="77777777" w:rsidR="003524E3" w:rsidRPr="003B6CF7" w:rsidRDefault="003524E3" w:rsidP="003524E3">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111FF908"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12A15132"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51B4A1DC"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19B265B1"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600C31DD" w14:textId="77777777" w:rsidTr="003524E3">
        <w:trPr>
          <w:gridBefore w:val="1"/>
          <w:wBefore w:w="12" w:type="dxa"/>
          <w:cantSplit/>
          <w:tblHeader/>
          <w:jc w:val="center"/>
        </w:trPr>
        <w:tc>
          <w:tcPr>
            <w:tcW w:w="651" w:type="dxa"/>
            <w:gridSpan w:val="3"/>
            <w:tcMar>
              <w:left w:w="28" w:type="dxa"/>
              <w:right w:w="28" w:type="dxa"/>
            </w:tcMar>
          </w:tcPr>
          <w:p w14:paraId="225D85AD" w14:textId="4C704333" w:rsidR="003524E3" w:rsidRPr="003B6CF7" w:rsidRDefault="0076772F" w:rsidP="003524E3">
            <w:pPr>
              <w:widowControl/>
              <w:spacing w:before="40" w:after="40"/>
              <w:jc w:val="both"/>
              <w:rPr>
                <w:rFonts w:eastAsia="Calibri"/>
                <w:b/>
                <w:noProof/>
                <w:sz w:val="22"/>
                <w:szCs w:val="22"/>
                <w:lang w:eastAsia="en-US"/>
              </w:rPr>
            </w:pPr>
            <w:r w:rsidRPr="003B6CF7">
              <w:rPr>
                <w:b/>
                <w:i/>
                <w:sz w:val="22"/>
                <w:szCs w:val="22"/>
              </w:rPr>
              <w:t>70a</w:t>
            </w:r>
            <w:r w:rsidRPr="003B6CF7">
              <w:rPr>
                <w:b/>
                <w:sz w:val="22"/>
                <w:szCs w:val="22"/>
              </w:rPr>
              <w:t xml:space="preserve"> [Ändr. 152]</w:t>
            </w:r>
          </w:p>
        </w:tc>
        <w:tc>
          <w:tcPr>
            <w:tcW w:w="2286" w:type="dxa"/>
            <w:gridSpan w:val="3"/>
            <w:shd w:val="clear" w:color="auto" w:fill="auto"/>
            <w:tcMar>
              <w:left w:w="28" w:type="dxa"/>
              <w:right w:w="28" w:type="dxa"/>
            </w:tcMar>
          </w:tcPr>
          <w:p w14:paraId="78DE09D2" w14:textId="36F1F327" w:rsidR="003524E3" w:rsidRPr="003B6CF7" w:rsidRDefault="0076772F" w:rsidP="003524E3">
            <w:pPr>
              <w:widowControl/>
              <w:spacing w:before="40" w:after="40"/>
              <w:rPr>
                <w:rFonts w:eastAsia="Calibri"/>
                <w:noProof/>
                <w:sz w:val="22"/>
                <w:szCs w:val="22"/>
                <w:lang w:eastAsia="en-US"/>
              </w:rPr>
            </w:pPr>
            <w:r w:rsidRPr="003B6CF7">
              <w:rPr>
                <w:b/>
                <w:i/>
                <w:sz w:val="22"/>
                <w:szCs w:val="22"/>
              </w:rPr>
              <w:t>Bisfenoler</w:t>
            </w:r>
          </w:p>
        </w:tc>
        <w:tc>
          <w:tcPr>
            <w:tcW w:w="1329" w:type="dxa"/>
            <w:gridSpan w:val="3"/>
            <w:shd w:val="clear" w:color="auto" w:fill="auto"/>
            <w:tcMar>
              <w:left w:w="28" w:type="dxa"/>
              <w:right w:w="28" w:type="dxa"/>
            </w:tcMar>
          </w:tcPr>
          <w:p w14:paraId="792BC488" w14:textId="2E47C908" w:rsidR="003524E3" w:rsidRPr="003B6CF7" w:rsidRDefault="0076772F" w:rsidP="003524E3">
            <w:pPr>
              <w:widowControl/>
              <w:spacing w:before="40" w:after="40"/>
              <w:rPr>
                <w:rFonts w:eastAsia="Calibri"/>
                <w:noProof/>
                <w:sz w:val="22"/>
                <w:szCs w:val="22"/>
                <w:lang w:eastAsia="en-US"/>
              </w:rPr>
            </w:pPr>
            <w:r w:rsidRPr="003B6CF7">
              <w:rPr>
                <w:b/>
                <w:i/>
                <w:sz w:val="22"/>
                <w:szCs w:val="22"/>
              </w:rPr>
              <w:t>Industrikemikalier</w:t>
            </w:r>
          </w:p>
        </w:tc>
        <w:tc>
          <w:tcPr>
            <w:tcW w:w="992" w:type="dxa"/>
            <w:gridSpan w:val="2"/>
            <w:shd w:val="clear" w:color="auto" w:fill="auto"/>
            <w:tcMar>
              <w:left w:w="28" w:type="dxa"/>
              <w:right w:w="28" w:type="dxa"/>
            </w:tcMar>
          </w:tcPr>
          <w:p w14:paraId="1F1F905E" w14:textId="114F2668" w:rsidR="003524E3" w:rsidRPr="003B6CF7" w:rsidRDefault="0076772F" w:rsidP="003524E3">
            <w:pPr>
              <w:widowControl/>
              <w:spacing w:before="40" w:after="40"/>
              <w:rPr>
                <w:rFonts w:eastAsia="Calibri"/>
                <w:noProof/>
                <w:sz w:val="22"/>
                <w:szCs w:val="22"/>
                <w:lang w:eastAsia="en-US"/>
              </w:rPr>
            </w:pPr>
            <w:r w:rsidRPr="003B6CF7">
              <w:rPr>
                <w:b/>
                <w:i/>
                <w:sz w:val="22"/>
                <w:szCs w:val="22"/>
              </w:rPr>
              <w:t>Ej tillämpligt</w:t>
            </w:r>
          </w:p>
        </w:tc>
        <w:tc>
          <w:tcPr>
            <w:tcW w:w="1134" w:type="dxa"/>
          </w:tcPr>
          <w:p w14:paraId="18F21C79" w14:textId="4A77B274" w:rsidR="003524E3" w:rsidRPr="003B6CF7" w:rsidRDefault="0076772F" w:rsidP="003524E3">
            <w:pPr>
              <w:widowControl/>
              <w:spacing w:before="40" w:after="40"/>
              <w:rPr>
                <w:rFonts w:eastAsia="Calibri"/>
                <w:noProof/>
                <w:sz w:val="22"/>
                <w:szCs w:val="22"/>
                <w:lang w:eastAsia="en-US"/>
              </w:rPr>
            </w:pPr>
            <w:r w:rsidRPr="003B6CF7">
              <w:rPr>
                <w:b/>
                <w:i/>
                <w:sz w:val="22"/>
                <w:szCs w:val="22"/>
              </w:rPr>
              <w:t>Ej tillämpligt</w:t>
            </w:r>
          </w:p>
        </w:tc>
        <w:tc>
          <w:tcPr>
            <w:tcW w:w="1279" w:type="dxa"/>
            <w:gridSpan w:val="2"/>
            <w:shd w:val="clear" w:color="auto" w:fill="auto"/>
            <w:tcMar>
              <w:left w:w="28" w:type="dxa"/>
              <w:right w:w="28" w:type="dxa"/>
            </w:tcMar>
          </w:tcPr>
          <w:p w14:paraId="1B3B1BE3" w14:textId="3ED2F240"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9" w:type="dxa"/>
            <w:gridSpan w:val="2"/>
            <w:shd w:val="clear" w:color="auto" w:fill="auto"/>
            <w:tcMar>
              <w:left w:w="28" w:type="dxa"/>
              <w:right w:w="28" w:type="dxa"/>
            </w:tcMar>
          </w:tcPr>
          <w:p w14:paraId="45A98358" w14:textId="3DA4565E"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8" w:type="dxa"/>
            <w:gridSpan w:val="2"/>
            <w:shd w:val="clear" w:color="auto" w:fill="auto"/>
            <w:tcMar>
              <w:left w:w="28" w:type="dxa"/>
              <w:right w:w="28" w:type="dxa"/>
            </w:tcMar>
          </w:tcPr>
          <w:p w14:paraId="1320A36F" w14:textId="64923B2C"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7" w:type="dxa"/>
            <w:gridSpan w:val="2"/>
            <w:shd w:val="clear" w:color="auto" w:fill="auto"/>
            <w:tcMar>
              <w:left w:w="28" w:type="dxa"/>
              <w:right w:w="28" w:type="dxa"/>
            </w:tcMar>
          </w:tcPr>
          <w:p w14:paraId="662A9258" w14:textId="58F4FDD2"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136" w:type="dxa"/>
            <w:gridSpan w:val="2"/>
            <w:shd w:val="clear" w:color="auto" w:fill="auto"/>
            <w:tcMar>
              <w:left w:w="28" w:type="dxa"/>
              <w:right w:w="28" w:type="dxa"/>
            </w:tcMar>
          </w:tcPr>
          <w:p w14:paraId="0A3D1C94"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657E0EBD"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3008529C"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A55FE5E"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21EBA402" w14:textId="77777777" w:rsidTr="003524E3">
        <w:trPr>
          <w:gridBefore w:val="1"/>
          <w:wBefore w:w="12" w:type="dxa"/>
          <w:cantSplit/>
          <w:tblHeader/>
          <w:jc w:val="center"/>
        </w:trPr>
        <w:tc>
          <w:tcPr>
            <w:tcW w:w="651" w:type="dxa"/>
            <w:gridSpan w:val="3"/>
            <w:tcMar>
              <w:left w:w="28" w:type="dxa"/>
              <w:right w:w="28" w:type="dxa"/>
            </w:tcMar>
          </w:tcPr>
          <w:p w14:paraId="02857B46" w14:textId="31F6697A" w:rsidR="003524E3" w:rsidRPr="003B6CF7" w:rsidRDefault="0076772F" w:rsidP="003524E3">
            <w:pPr>
              <w:widowControl/>
              <w:spacing w:before="40" w:after="40"/>
              <w:jc w:val="both"/>
              <w:rPr>
                <w:rFonts w:eastAsia="Calibri"/>
                <w:b/>
                <w:noProof/>
                <w:sz w:val="22"/>
                <w:szCs w:val="22"/>
                <w:lang w:eastAsia="en-US"/>
              </w:rPr>
            </w:pPr>
            <w:r w:rsidRPr="003B6CF7">
              <w:rPr>
                <w:b/>
                <w:i/>
                <w:sz w:val="22"/>
                <w:szCs w:val="22"/>
              </w:rPr>
              <w:t>70b</w:t>
            </w:r>
            <w:r w:rsidRPr="003B6CF7">
              <w:rPr>
                <w:b/>
                <w:sz w:val="22"/>
                <w:szCs w:val="22"/>
              </w:rPr>
              <w:t xml:space="preserve"> [Ändr. 153]</w:t>
            </w:r>
          </w:p>
        </w:tc>
        <w:tc>
          <w:tcPr>
            <w:tcW w:w="2286" w:type="dxa"/>
            <w:gridSpan w:val="3"/>
            <w:shd w:val="clear" w:color="auto" w:fill="auto"/>
            <w:tcMar>
              <w:left w:w="28" w:type="dxa"/>
              <w:right w:w="28" w:type="dxa"/>
            </w:tcMar>
          </w:tcPr>
          <w:p w14:paraId="55D6E453" w14:textId="74E70BBC" w:rsidR="003524E3" w:rsidRPr="003B6CF7" w:rsidRDefault="0076772F" w:rsidP="003524E3">
            <w:pPr>
              <w:widowControl/>
              <w:spacing w:before="40" w:after="40"/>
              <w:rPr>
                <w:rFonts w:eastAsia="Calibri"/>
                <w:noProof/>
                <w:sz w:val="22"/>
                <w:szCs w:val="22"/>
                <w:lang w:eastAsia="en-US"/>
              </w:rPr>
            </w:pPr>
            <w:r w:rsidRPr="003B6CF7">
              <w:rPr>
                <w:b/>
                <w:i/>
                <w:sz w:val="22"/>
                <w:szCs w:val="22"/>
              </w:rPr>
              <w:t>PFAS – totalt</w:t>
            </w:r>
          </w:p>
        </w:tc>
        <w:tc>
          <w:tcPr>
            <w:tcW w:w="1329" w:type="dxa"/>
            <w:gridSpan w:val="3"/>
            <w:shd w:val="clear" w:color="auto" w:fill="auto"/>
            <w:tcMar>
              <w:left w:w="28" w:type="dxa"/>
              <w:right w:w="28" w:type="dxa"/>
            </w:tcMar>
          </w:tcPr>
          <w:p w14:paraId="30023154" w14:textId="1B14A7A2" w:rsidR="003524E3" w:rsidRPr="003B6CF7" w:rsidRDefault="0076772F" w:rsidP="003524E3">
            <w:pPr>
              <w:widowControl/>
              <w:spacing w:before="40" w:after="40"/>
              <w:rPr>
                <w:rFonts w:eastAsia="Calibri"/>
                <w:noProof/>
                <w:sz w:val="22"/>
                <w:szCs w:val="22"/>
                <w:lang w:eastAsia="en-US"/>
              </w:rPr>
            </w:pPr>
            <w:r w:rsidRPr="003B6CF7">
              <w:rPr>
                <w:b/>
                <w:i/>
                <w:sz w:val="22"/>
                <w:szCs w:val="22"/>
              </w:rPr>
              <w:t>Industrikemikalier</w:t>
            </w:r>
          </w:p>
        </w:tc>
        <w:tc>
          <w:tcPr>
            <w:tcW w:w="992" w:type="dxa"/>
            <w:gridSpan w:val="2"/>
            <w:shd w:val="clear" w:color="auto" w:fill="auto"/>
            <w:tcMar>
              <w:left w:w="28" w:type="dxa"/>
              <w:right w:w="28" w:type="dxa"/>
            </w:tcMar>
          </w:tcPr>
          <w:p w14:paraId="5F2B2095" w14:textId="0461DB20" w:rsidR="003524E3" w:rsidRPr="003B6CF7" w:rsidRDefault="0076772F" w:rsidP="003524E3">
            <w:pPr>
              <w:widowControl/>
              <w:spacing w:before="40" w:after="40"/>
              <w:rPr>
                <w:rFonts w:eastAsia="Calibri"/>
                <w:noProof/>
                <w:sz w:val="22"/>
                <w:szCs w:val="22"/>
                <w:lang w:eastAsia="en-US"/>
              </w:rPr>
            </w:pPr>
            <w:r w:rsidRPr="003B6CF7">
              <w:rPr>
                <w:b/>
                <w:i/>
                <w:sz w:val="22"/>
                <w:szCs w:val="22"/>
              </w:rPr>
              <w:t>Ej tillämpligt</w:t>
            </w:r>
          </w:p>
        </w:tc>
        <w:tc>
          <w:tcPr>
            <w:tcW w:w="1134" w:type="dxa"/>
          </w:tcPr>
          <w:p w14:paraId="148DCF65" w14:textId="77F1C10E" w:rsidR="003524E3" w:rsidRPr="003B6CF7" w:rsidRDefault="0076772F" w:rsidP="003524E3">
            <w:pPr>
              <w:widowControl/>
              <w:spacing w:before="40" w:after="40"/>
              <w:rPr>
                <w:rFonts w:eastAsia="Calibri"/>
                <w:noProof/>
                <w:sz w:val="22"/>
                <w:szCs w:val="22"/>
                <w:lang w:eastAsia="en-US"/>
              </w:rPr>
            </w:pPr>
            <w:r w:rsidRPr="003B6CF7">
              <w:rPr>
                <w:b/>
                <w:i/>
                <w:sz w:val="22"/>
                <w:szCs w:val="22"/>
              </w:rPr>
              <w:t>Ej tillämpligt</w:t>
            </w:r>
          </w:p>
        </w:tc>
        <w:tc>
          <w:tcPr>
            <w:tcW w:w="1279" w:type="dxa"/>
            <w:gridSpan w:val="2"/>
            <w:shd w:val="clear" w:color="auto" w:fill="auto"/>
            <w:tcMar>
              <w:left w:w="28" w:type="dxa"/>
              <w:right w:w="28" w:type="dxa"/>
            </w:tcMar>
          </w:tcPr>
          <w:p w14:paraId="1F5A1250" w14:textId="49BA3E46"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9" w:type="dxa"/>
            <w:gridSpan w:val="2"/>
            <w:shd w:val="clear" w:color="auto" w:fill="auto"/>
            <w:tcMar>
              <w:left w:w="28" w:type="dxa"/>
              <w:right w:w="28" w:type="dxa"/>
            </w:tcMar>
          </w:tcPr>
          <w:p w14:paraId="5D7D3884" w14:textId="08F3ED3B"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8" w:type="dxa"/>
            <w:gridSpan w:val="2"/>
            <w:shd w:val="clear" w:color="auto" w:fill="auto"/>
            <w:tcMar>
              <w:left w:w="28" w:type="dxa"/>
              <w:right w:w="28" w:type="dxa"/>
            </w:tcMar>
          </w:tcPr>
          <w:p w14:paraId="27EDF54C" w14:textId="10E0B632"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277" w:type="dxa"/>
            <w:gridSpan w:val="2"/>
            <w:shd w:val="clear" w:color="auto" w:fill="auto"/>
            <w:tcMar>
              <w:left w:w="28" w:type="dxa"/>
              <w:right w:w="28" w:type="dxa"/>
            </w:tcMar>
          </w:tcPr>
          <w:p w14:paraId="6EE83A2D" w14:textId="17BA53C3" w:rsidR="003524E3" w:rsidRPr="003B6CF7" w:rsidRDefault="0076772F" w:rsidP="003524E3">
            <w:pPr>
              <w:widowControl/>
              <w:spacing w:before="40" w:after="40"/>
              <w:rPr>
                <w:rFonts w:eastAsia="Calibri"/>
                <w:noProof/>
                <w:sz w:val="22"/>
                <w:szCs w:val="22"/>
                <w:lang w:eastAsia="en-US"/>
              </w:rPr>
            </w:pPr>
            <w:r w:rsidRPr="003B6CF7">
              <w:rPr>
                <w:b/>
                <w:i/>
                <w:sz w:val="22"/>
                <w:szCs w:val="22"/>
              </w:rPr>
              <w:t>*</w:t>
            </w:r>
          </w:p>
        </w:tc>
        <w:tc>
          <w:tcPr>
            <w:tcW w:w="1136" w:type="dxa"/>
            <w:gridSpan w:val="2"/>
            <w:shd w:val="clear" w:color="auto" w:fill="auto"/>
            <w:tcMar>
              <w:left w:w="28" w:type="dxa"/>
              <w:right w:w="28" w:type="dxa"/>
            </w:tcMar>
          </w:tcPr>
          <w:p w14:paraId="5E0CBAD2"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2967E87A"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124E502A"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61660571" w14:textId="77777777" w:rsidR="003524E3" w:rsidRPr="003B6CF7" w:rsidRDefault="003524E3" w:rsidP="003524E3">
            <w:pPr>
              <w:widowControl/>
              <w:spacing w:before="40" w:after="40"/>
              <w:rPr>
                <w:rFonts w:eastAsia="Calibri"/>
                <w:noProof/>
                <w:sz w:val="22"/>
                <w:szCs w:val="22"/>
                <w:lang w:eastAsia="en-US"/>
              </w:rPr>
            </w:pPr>
          </w:p>
        </w:tc>
      </w:tr>
      <w:tr w:rsidR="003524E3" w:rsidRPr="003B6CF7" w14:paraId="01057570" w14:textId="77777777" w:rsidTr="003524E3">
        <w:trPr>
          <w:gridBefore w:val="1"/>
          <w:wBefore w:w="12" w:type="dxa"/>
          <w:cantSplit/>
          <w:tblHeader/>
          <w:jc w:val="center"/>
        </w:trPr>
        <w:tc>
          <w:tcPr>
            <w:tcW w:w="651" w:type="dxa"/>
            <w:gridSpan w:val="3"/>
            <w:tcMar>
              <w:left w:w="28" w:type="dxa"/>
              <w:right w:w="28" w:type="dxa"/>
            </w:tcMar>
          </w:tcPr>
          <w:p w14:paraId="2CB4C9AD" w14:textId="361A1356" w:rsidR="003524E3" w:rsidRPr="003B6CF7" w:rsidRDefault="0076772F" w:rsidP="003B6CF7">
            <w:pPr>
              <w:widowControl/>
              <w:spacing w:before="40" w:after="40"/>
              <w:rPr>
                <w:rFonts w:eastAsia="Calibri"/>
                <w:b/>
                <w:noProof/>
                <w:sz w:val="22"/>
                <w:szCs w:val="22"/>
                <w:lang w:eastAsia="en-US"/>
              </w:rPr>
            </w:pPr>
            <w:r w:rsidRPr="003B6CF7">
              <w:rPr>
                <w:b/>
                <w:i/>
                <w:sz w:val="22"/>
                <w:szCs w:val="22"/>
              </w:rPr>
              <w:t>70c</w:t>
            </w:r>
            <w:r w:rsidRPr="003B6CF7">
              <w:rPr>
                <w:b/>
                <w:sz w:val="22"/>
                <w:szCs w:val="22"/>
              </w:rPr>
              <w:t xml:space="preserve"> [Ändr. 154]</w:t>
            </w:r>
          </w:p>
        </w:tc>
        <w:tc>
          <w:tcPr>
            <w:tcW w:w="2286" w:type="dxa"/>
            <w:gridSpan w:val="3"/>
            <w:shd w:val="clear" w:color="auto" w:fill="auto"/>
            <w:tcMar>
              <w:left w:w="28" w:type="dxa"/>
              <w:right w:w="28" w:type="dxa"/>
            </w:tcMar>
          </w:tcPr>
          <w:p w14:paraId="2EA9BF8D" w14:textId="5F6357C1" w:rsidR="003524E3" w:rsidRPr="003B6CF7" w:rsidRDefault="0076772F" w:rsidP="0076772F">
            <w:pPr>
              <w:widowControl/>
              <w:spacing w:before="40" w:after="40"/>
              <w:rPr>
                <w:rFonts w:eastAsia="Calibri"/>
                <w:noProof/>
                <w:sz w:val="22"/>
                <w:szCs w:val="22"/>
                <w:lang w:eastAsia="en-US"/>
              </w:rPr>
            </w:pPr>
            <w:r w:rsidRPr="003B6CF7">
              <w:rPr>
                <w:b/>
                <w:i/>
                <w:sz w:val="22"/>
                <w:szCs w:val="22"/>
              </w:rPr>
              <w:t>Farmakologiskt aktiva substanser – totalt</w:t>
            </w:r>
          </w:p>
        </w:tc>
        <w:tc>
          <w:tcPr>
            <w:tcW w:w="1329" w:type="dxa"/>
            <w:gridSpan w:val="3"/>
            <w:shd w:val="clear" w:color="auto" w:fill="auto"/>
            <w:tcMar>
              <w:left w:w="28" w:type="dxa"/>
              <w:right w:w="28" w:type="dxa"/>
            </w:tcMar>
          </w:tcPr>
          <w:p w14:paraId="4126458F" w14:textId="42A585E7" w:rsidR="003524E3" w:rsidRPr="003B6CF7" w:rsidRDefault="0076772F" w:rsidP="0076772F">
            <w:pPr>
              <w:widowControl/>
              <w:spacing w:before="40" w:after="40"/>
              <w:rPr>
                <w:rFonts w:eastAsia="Calibri"/>
                <w:noProof/>
                <w:sz w:val="22"/>
                <w:szCs w:val="22"/>
                <w:lang w:eastAsia="en-US"/>
              </w:rPr>
            </w:pPr>
            <w:r w:rsidRPr="003B6CF7">
              <w:rPr>
                <w:b/>
                <w:i/>
                <w:sz w:val="22"/>
                <w:szCs w:val="22"/>
              </w:rPr>
              <w:t>Läkemedel</w:t>
            </w:r>
          </w:p>
        </w:tc>
        <w:tc>
          <w:tcPr>
            <w:tcW w:w="992" w:type="dxa"/>
            <w:gridSpan w:val="2"/>
            <w:shd w:val="clear" w:color="auto" w:fill="auto"/>
            <w:tcMar>
              <w:left w:w="28" w:type="dxa"/>
              <w:right w:w="28" w:type="dxa"/>
            </w:tcMar>
          </w:tcPr>
          <w:p w14:paraId="744767C5" w14:textId="30F2C69A" w:rsidR="003524E3" w:rsidRPr="003B6CF7" w:rsidRDefault="0076772F" w:rsidP="0076772F">
            <w:pPr>
              <w:widowControl/>
              <w:spacing w:before="40" w:after="40"/>
              <w:rPr>
                <w:rFonts w:eastAsia="Calibri"/>
                <w:noProof/>
                <w:sz w:val="22"/>
                <w:szCs w:val="22"/>
                <w:lang w:eastAsia="en-US"/>
              </w:rPr>
            </w:pPr>
            <w:r w:rsidRPr="003B6CF7">
              <w:rPr>
                <w:b/>
                <w:i/>
                <w:sz w:val="22"/>
                <w:szCs w:val="22"/>
              </w:rPr>
              <w:t>Ej tillämpligt</w:t>
            </w:r>
          </w:p>
        </w:tc>
        <w:tc>
          <w:tcPr>
            <w:tcW w:w="1134" w:type="dxa"/>
          </w:tcPr>
          <w:p w14:paraId="7264F530" w14:textId="041D42C1" w:rsidR="003524E3" w:rsidRPr="003B6CF7" w:rsidRDefault="0076772F" w:rsidP="0076772F">
            <w:pPr>
              <w:widowControl/>
              <w:spacing w:before="40" w:after="40"/>
              <w:rPr>
                <w:rFonts w:eastAsia="Calibri"/>
                <w:noProof/>
                <w:sz w:val="22"/>
                <w:szCs w:val="22"/>
                <w:lang w:eastAsia="en-US"/>
              </w:rPr>
            </w:pPr>
            <w:r w:rsidRPr="003B6CF7">
              <w:rPr>
                <w:b/>
                <w:i/>
                <w:sz w:val="22"/>
                <w:szCs w:val="22"/>
              </w:rPr>
              <w:t>Ej tillämpligt</w:t>
            </w:r>
          </w:p>
        </w:tc>
        <w:tc>
          <w:tcPr>
            <w:tcW w:w="1279" w:type="dxa"/>
            <w:gridSpan w:val="2"/>
            <w:shd w:val="clear" w:color="auto" w:fill="auto"/>
            <w:tcMar>
              <w:left w:w="28" w:type="dxa"/>
              <w:right w:w="28" w:type="dxa"/>
            </w:tcMar>
          </w:tcPr>
          <w:p w14:paraId="261F1FC3" w14:textId="7FB6BA37" w:rsidR="003524E3" w:rsidRPr="003B6CF7" w:rsidRDefault="0076772F" w:rsidP="0076772F">
            <w:pPr>
              <w:widowControl/>
              <w:spacing w:before="40" w:after="40"/>
              <w:rPr>
                <w:rFonts w:eastAsia="Calibri"/>
                <w:noProof/>
                <w:sz w:val="22"/>
                <w:szCs w:val="22"/>
                <w:lang w:eastAsia="en-US"/>
              </w:rPr>
            </w:pPr>
            <w:r w:rsidRPr="003B6CF7">
              <w:rPr>
                <w:b/>
                <w:i/>
                <w:sz w:val="22"/>
                <w:szCs w:val="22"/>
              </w:rPr>
              <w:t>0,25</w:t>
            </w:r>
          </w:p>
        </w:tc>
        <w:tc>
          <w:tcPr>
            <w:tcW w:w="1279" w:type="dxa"/>
            <w:gridSpan w:val="2"/>
            <w:shd w:val="clear" w:color="auto" w:fill="auto"/>
            <w:tcMar>
              <w:left w:w="28" w:type="dxa"/>
              <w:right w:w="28" w:type="dxa"/>
            </w:tcMar>
          </w:tcPr>
          <w:p w14:paraId="13122FEB" w14:textId="1A9CC4D1" w:rsidR="003524E3" w:rsidRPr="003B6CF7" w:rsidRDefault="0076772F" w:rsidP="0076772F">
            <w:pPr>
              <w:widowControl/>
              <w:spacing w:before="40" w:after="40"/>
              <w:rPr>
                <w:rFonts w:eastAsia="Calibri"/>
                <w:noProof/>
                <w:sz w:val="22"/>
                <w:szCs w:val="22"/>
                <w:lang w:eastAsia="en-US"/>
              </w:rPr>
            </w:pPr>
            <w:r w:rsidRPr="003B6CF7">
              <w:rPr>
                <w:b/>
                <w:i/>
                <w:sz w:val="22"/>
                <w:szCs w:val="22"/>
              </w:rPr>
              <w:t>0,025</w:t>
            </w:r>
          </w:p>
        </w:tc>
        <w:tc>
          <w:tcPr>
            <w:tcW w:w="1278" w:type="dxa"/>
            <w:gridSpan w:val="2"/>
            <w:shd w:val="clear" w:color="auto" w:fill="auto"/>
            <w:tcMar>
              <w:left w:w="28" w:type="dxa"/>
              <w:right w:w="28" w:type="dxa"/>
            </w:tcMar>
          </w:tcPr>
          <w:p w14:paraId="3BC50710" w14:textId="77777777" w:rsidR="003524E3" w:rsidRPr="003B6CF7" w:rsidRDefault="003524E3" w:rsidP="003524E3">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10ACCF9A" w14:textId="77777777" w:rsidR="003524E3" w:rsidRPr="003B6CF7" w:rsidRDefault="003524E3" w:rsidP="003524E3">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50A4F1CE" w14:textId="77777777" w:rsidR="003524E3" w:rsidRPr="003B6CF7" w:rsidRDefault="003524E3" w:rsidP="003524E3">
            <w:pPr>
              <w:widowControl/>
              <w:spacing w:before="40" w:after="40"/>
              <w:rPr>
                <w:rFonts w:eastAsia="Calibri"/>
                <w:noProof/>
                <w:sz w:val="22"/>
                <w:szCs w:val="22"/>
                <w:lang w:eastAsia="en-US"/>
              </w:rPr>
            </w:pPr>
          </w:p>
        </w:tc>
        <w:tc>
          <w:tcPr>
            <w:tcW w:w="1262" w:type="dxa"/>
            <w:tcMar>
              <w:left w:w="28" w:type="dxa"/>
              <w:right w:w="28" w:type="dxa"/>
            </w:tcMar>
          </w:tcPr>
          <w:p w14:paraId="62DD41C7" w14:textId="77777777" w:rsidR="003524E3" w:rsidRPr="003B6CF7" w:rsidRDefault="003524E3" w:rsidP="003524E3">
            <w:pPr>
              <w:widowControl/>
              <w:spacing w:before="40" w:after="40"/>
              <w:rPr>
                <w:rFonts w:eastAsia="Calibri"/>
                <w:noProof/>
                <w:sz w:val="22"/>
                <w:szCs w:val="22"/>
                <w:lang w:eastAsia="en-US"/>
              </w:rPr>
            </w:pPr>
          </w:p>
        </w:tc>
        <w:tc>
          <w:tcPr>
            <w:tcW w:w="1153" w:type="dxa"/>
            <w:gridSpan w:val="2"/>
            <w:tcMar>
              <w:left w:w="28" w:type="dxa"/>
              <w:right w:w="28" w:type="dxa"/>
            </w:tcMar>
          </w:tcPr>
          <w:p w14:paraId="5D31563E" w14:textId="77777777" w:rsidR="003524E3" w:rsidRPr="003B6CF7" w:rsidRDefault="003524E3" w:rsidP="003524E3">
            <w:pPr>
              <w:widowControl/>
              <w:spacing w:before="40" w:after="40"/>
              <w:rPr>
                <w:rFonts w:eastAsia="Calibri"/>
                <w:noProof/>
                <w:sz w:val="22"/>
                <w:szCs w:val="22"/>
                <w:lang w:eastAsia="en-US"/>
              </w:rPr>
            </w:pPr>
          </w:p>
        </w:tc>
        <w:tc>
          <w:tcPr>
            <w:tcW w:w="970" w:type="dxa"/>
            <w:tcMar>
              <w:left w:w="28" w:type="dxa"/>
              <w:right w:w="28" w:type="dxa"/>
            </w:tcMar>
          </w:tcPr>
          <w:p w14:paraId="48C67864" w14:textId="77777777" w:rsidR="003524E3" w:rsidRPr="003B6CF7" w:rsidRDefault="003524E3" w:rsidP="003524E3">
            <w:pPr>
              <w:widowControl/>
              <w:spacing w:before="40" w:after="40"/>
              <w:rPr>
                <w:rFonts w:eastAsia="Calibri"/>
                <w:noProof/>
                <w:sz w:val="22"/>
                <w:szCs w:val="22"/>
                <w:lang w:eastAsia="en-US"/>
              </w:rPr>
            </w:pPr>
          </w:p>
        </w:tc>
      </w:tr>
    </w:tbl>
    <w:p w14:paraId="43063B10" w14:textId="0F860B62" w:rsidR="00FA312E" w:rsidRPr="003B6CF7" w:rsidRDefault="0076772F" w:rsidP="003B6CF7">
      <w:pPr>
        <w:spacing w:before="120" w:after="120"/>
        <w:ind w:left="851"/>
        <w:rPr>
          <w:szCs w:val="24"/>
          <w:lang w:eastAsia="en-US"/>
        </w:rPr>
      </w:pPr>
      <w:r w:rsidRPr="003B6CF7">
        <w:rPr>
          <w:noProof/>
          <w:sz w:val="22"/>
          <w:vertAlign w:val="superscript"/>
        </w:rPr>
        <w:t>*</w:t>
      </w:r>
      <w:r w:rsidRPr="003B6CF7">
        <w:rPr>
          <w:b/>
          <w:i/>
        </w:rPr>
        <w:t>Kvalitetsnormerna kommer att fastställas av kommissionen genom en delegerad akt.</w:t>
      </w:r>
    </w:p>
    <w:p w14:paraId="12EEF0DB" w14:textId="58269C76" w:rsidR="00FA312E" w:rsidRPr="003B6CF7" w:rsidRDefault="00FA312E" w:rsidP="001831FD">
      <w:pPr>
        <w:spacing w:before="120" w:after="120" w:line="360" w:lineRule="auto"/>
        <w:ind w:left="1416" w:hanging="566"/>
        <w:rPr>
          <w:szCs w:val="24"/>
          <w:lang w:eastAsia="en-US"/>
        </w:rPr>
      </w:pPr>
    </w:p>
    <w:p w14:paraId="5C4D52FA" w14:textId="77777777" w:rsidR="0076772F" w:rsidRPr="003B6CF7" w:rsidRDefault="0076772F" w:rsidP="001831FD">
      <w:pPr>
        <w:spacing w:before="120" w:after="120" w:line="360" w:lineRule="auto"/>
        <w:ind w:left="1416" w:hanging="566"/>
        <w:rPr>
          <w:szCs w:val="24"/>
          <w:lang w:eastAsia="en-US"/>
        </w:rPr>
        <w:sectPr w:rsidR="0076772F" w:rsidRPr="003B6CF7" w:rsidSect="003B6CF7">
          <w:footnotePr>
            <w:numRestart w:val="eachSect"/>
          </w:footnotePr>
          <w:pgSz w:w="16834" w:h="11909" w:orient="landscape"/>
          <w:pgMar w:top="1417" w:right="1134" w:bottom="1417" w:left="1417" w:header="1134" w:footer="567" w:gutter="0"/>
          <w:cols w:space="720"/>
          <w:docGrid w:linePitch="326"/>
        </w:sectPr>
      </w:pPr>
    </w:p>
    <w:p w14:paraId="45E1414D" w14:textId="68511563"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w:t>
      </w:r>
      <w:r w:rsidRPr="003B6CF7">
        <w:rPr>
          <w:szCs w:val="24"/>
          <w:lang w:eastAsia="en-US"/>
        </w:rPr>
        <w:tab/>
        <w:t xml:space="preserve">CAS: </w:t>
      </w:r>
      <w:proofErr w:type="spellStart"/>
      <w:r w:rsidRPr="003B6CF7">
        <w:rPr>
          <w:szCs w:val="24"/>
          <w:lang w:eastAsia="en-US"/>
        </w:rPr>
        <w:t>Chemical</w:t>
      </w:r>
      <w:proofErr w:type="spellEnd"/>
      <w:r w:rsidRPr="003B6CF7">
        <w:rPr>
          <w:szCs w:val="24"/>
          <w:lang w:eastAsia="en-US"/>
        </w:rPr>
        <w:t xml:space="preserve"> Abstracts Service.</w:t>
      </w:r>
    </w:p>
    <w:p w14:paraId="6D92FCC3"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w:t>
      </w:r>
      <w:r w:rsidRPr="003B6CF7">
        <w:rPr>
          <w:szCs w:val="24"/>
          <w:lang w:eastAsia="en-US"/>
        </w:rPr>
        <w:tab/>
        <w:t>EU-nummer: Europeiska förteckningen över existerande, kommersiellt använda kemiska ämnen (</w:t>
      </w:r>
      <w:proofErr w:type="spellStart"/>
      <w:r w:rsidRPr="003B6CF7">
        <w:rPr>
          <w:szCs w:val="24"/>
          <w:lang w:eastAsia="en-US"/>
        </w:rPr>
        <w:t>Einecs</w:t>
      </w:r>
      <w:proofErr w:type="spellEnd"/>
      <w:r w:rsidRPr="003B6CF7">
        <w:rPr>
          <w:szCs w:val="24"/>
          <w:lang w:eastAsia="en-US"/>
        </w:rPr>
        <w:t>) eller Europeiska förteckningen över anmälda kemiska ämnen (</w:t>
      </w:r>
      <w:proofErr w:type="spellStart"/>
      <w:r w:rsidRPr="003B6CF7">
        <w:rPr>
          <w:szCs w:val="24"/>
          <w:lang w:eastAsia="en-US"/>
        </w:rPr>
        <w:t>Elincs</w:t>
      </w:r>
      <w:proofErr w:type="spellEnd"/>
      <w:r w:rsidRPr="003B6CF7">
        <w:rPr>
          <w:szCs w:val="24"/>
          <w:lang w:eastAsia="en-US"/>
        </w:rPr>
        <w:t>).</w:t>
      </w:r>
    </w:p>
    <w:p w14:paraId="3AF7C438"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(3)</w:t>
      </w:r>
      <w:r w:rsidRPr="003B6CF7">
        <w:rPr>
          <w:szCs w:val="24"/>
          <w:lang w:eastAsia="en-US"/>
        </w:rPr>
        <w:tab/>
        <w:t>Denna parameter är miljökvalitetsnormen uttryckt som ett medelvärde på årsnivå (AA-MKN). Om inte annat anges gäller den för den totala koncentrationen av alla ämnen och isomerer.</w:t>
      </w:r>
    </w:p>
    <w:p w14:paraId="4E2F6A17"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(4)</w:t>
      </w:r>
      <w:r w:rsidRPr="003B6CF7">
        <w:rPr>
          <w:szCs w:val="24"/>
          <w:lang w:eastAsia="en-US"/>
        </w:rPr>
        <w:tab/>
        <w:t>Inlandsytvatten omfattar floder och sjöar och därmed sammanhängande konstgjorda eller kraftigt modifierade vattenförekomster.</w:t>
      </w:r>
    </w:p>
    <w:p w14:paraId="0C05D4B7"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(5)</w:t>
      </w:r>
      <w:r w:rsidRPr="003B6CF7">
        <w:rPr>
          <w:szCs w:val="24"/>
          <w:lang w:eastAsia="en-US"/>
        </w:rPr>
        <w:tab/>
        <w:t>Denna parameter är miljökvalitetsnormen uttryckt som maximal tillåten koncentration (MAC-MKN). Där MAC-MKN anges som ’ej tillämpligt’ anses värdena på AA-MKN utgöra skydd mot kortvariga föroreningstoppar vid kontinuerliga utsläpp eftersom de är avsevärt lägre än de värden som tagits fram utifrån akut toxicitet.</w:t>
      </w:r>
    </w:p>
    <w:p w14:paraId="2F9C2E28" w14:textId="77777777" w:rsidR="001F7022" w:rsidRPr="003B6CF7" w:rsidRDefault="001F7022">
      <w:pPr>
        <w:widowControl/>
        <w:rPr>
          <w:szCs w:val="24"/>
          <w:lang w:eastAsia="en-US"/>
        </w:rPr>
      </w:pPr>
      <w:r w:rsidRPr="003B6CF7">
        <w:rPr>
          <w:szCs w:val="24"/>
          <w:lang w:eastAsia="en-US"/>
        </w:rPr>
        <w:br w:type="page"/>
      </w:r>
    </w:p>
    <w:p w14:paraId="56BE3A95" w14:textId="0216613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(6)</w:t>
      </w:r>
      <w:r w:rsidRPr="003B6CF7">
        <w:rPr>
          <w:szCs w:val="24"/>
          <w:lang w:eastAsia="en-US"/>
        </w:rPr>
        <w:tab/>
        <w:t xml:space="preserve">Om en miljökvalitetsnorm för </w:t>
      </w:r>
      <w:proofErr w:type="spellStart"/>
      <w:r w:rsidRPr="003B6CF7">
        <w:rPr>
          <w:szCs w:val="24"/>
          <w:lang w:eastAsia="en-US"/>
        </w:rPr>
        <w:t>biota</w:t>
      </w:r>
      <w:proofErr w:type="spellEnd"/>
      <w:r w:rsidRPr="003B6CF7">
        <w:rPr>
          <w:szCs w:val="24"/>
          <w:lang w:eastAsia="en-US"/>
        </w:rPr>
        <w:t xml:space="preserve"> anges ska den, snarare än miljökvalitetsnormerna för vatten, tillämpas, utan att det påverkar tillämpningen av den bestämmelse i artikel 3.3 i detta direktiv som tillåter att ett alternativt </w:t>
      </w:r>
      <w:proofErr w:type="spellStart"/>
      <w:r w:rsidRPr="003B6CF7">
        <w:rPr>
          <w:szCs w:val="24"/>
          <w:lang w:eastAsia="en-US"/>
        </w:rPr>
        <w:t>biotataxon</w:t>
      </w:r>
      <w:proofErr w:type="spellEnd"/>
      <w:r w:rsidRPr="003B6CF7">
        <w:rPr>
          <w:szCs w:val="24"/>
          <w:lang w:eastAsia="en-US"/>
        </w:rPr>
        <w:t xml:space="preserve">, eller en annan matris, övervakas i stället, så länge den miljökvalitetsnorm som tillämpas ger en likvärdig skyddsnivå. Miljökvalitetsnormen för </w:t>
      </w:r>
      <w:proofErr w:type="spellStart"/>
      <w:r w:rsidRPr="003B6CF7">
        <w:rPr>
          <w:szCs w:val="24"/>
          <w:lang w:eastAsia="en-US"/>
        </w:rPr>
        <w:t>biota</w:t>
      </w:r>
      <w:proofErr w:type="spellEnd"/>
      <w:r w:rsidRPr="003B6CF7">
        <w:rPr>
          <w:szCs w:val="24"/>
          <w:lang w:eastAsia="en-US"/>
        </w:rPr>
        <w:t xml:space="preserve"> avser fisk om inget annat anges. För ämnena nr 15 (</w:t>
      </w:r>
      <w:proofErr w:type="spellStart"/>
      <w:r w:rsidRPr="003B6CF7">
        <w:rPr>
          <w:szCs w:val="24"/>
          <w:lang w:eastAsia="en-US"/>
        </w:rPr>
        <w:t>fluoranten</w:t>
      </w:r>
      <w:proofErr w:type="spellEnd"/>
      <w:r w:rsidRPr="003B6CF7">
        <w:rPr>
          <w:szCs w:val="24"/>
          <w:lang w:eastAsia="en-US"/>
        </w:rPr>
        <w:t>), 28 (</w:t>
      </w:r>
      <w:proofErr w:type="spellStart"/>
      <w:r w:rsidRPr="003B6CF7">
        <w:rPr>
          <w:szCs w:val="24"/>
          <w:lang w:eastAsia="en-US"/>
        </w:rPr>
        <w:t>polyaromatiska</w:t>
      </w:r>
      <w:proofErr w:type="spellEnd"/>
      <w:r w:rsidRPr="003B6CF7">
        <w:rPr>
          <w:szCs w:val="24"/>
          <w:lang w:eastAsia="en-US"/>
        </w:rPr>
        <w:t xml:space="preserve"> kolväten (PAH)) och 51 (bisfenol A) avser miljökvalitetsnormen för </w:t>
      </w:r>
      <w:proofErr w:type="spellStart"/>
      <w:r w:rsidRPr="003B6CF7">
        <w:rPr>
          <w:szCs w:val="24"/>
          <w:lang w:eastAsia="en-US"/>
        </w:rPr>
        <w:t>biota</w:t>
      </w:r>
      <w:proofErr w:type="spellEnd"/>
      <w:r w:rsidRPr="003B6CF7">
        <w:rPr>
          <w:szCs w:val="24"/>
          <w:lang w:eastAsia="en-US"/>
        </w:rPr>
        <w:t xml:space="preserve"> kräftdjur och blötdjur. För bedömning av kemisk status är det inte lämpligt att övervaka </w:t>
      </w:r>
      <w:proofErr w:type="spellStart"/>
      <w:r w:rsidRPr="003B6CF7">
        <w:rPr>
          <w:szCs w:val="24"/>
          <w:lang w:eastAsia="en-US"/>
        </w:rPr>
        <w:t>fluoranten</w:t>
      </w:r>
      <w:proofErr w:type="spellEnd"/>
      <w:r w:rsidRPr="003B6CF7">
        <w:rPr>
          <w:szCs w:val="24"/>
          <w:lang w:eastAsia="en-US"/>
        </w:rPr>
        <w:t xml:space="preserve">, PAH och bisfenol A i fisk. För ämne nr 37 (dioxiner och dioxinlika föreningar) avser miljökvalitetsnormen för </w:t>
      </w:r>
      <w:proofErr w:type="spellStart"/>
      <w:r w:rsidRPr="003B6CF7">
        <w:rPr>
          <w:szCs w:val="24"/>
          <w:lang w:eastAsia="en-US"/>
        </w:rPr>
        <w:t>biota</w:t>
      </w:r>
      <w:proofErr w:type="spellEnd"/>
      <w:r w:rsidRPr="003B6CF7">
        <w:rPr>
          <w:szCs w:val="24"/>
          <w:lang w:eastAsia="en-US"/>
        </w:rPr>
        <w:t xml:space="preserve"> fisk, kräftdjur och blötdjur, i linje med avsnitt 5.3 i bilagan till förordning (EU) nr 1259/2011*.</w:t>
      </w:r>
    </w:p>
    <w:p w14:paraId="5ADA589E"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(7)</w:t>
      </w:r>
      <w:r w:rsidRPr="003B6CF7">
        <w:rPr>
          <w:szCs w:val="24"/>
          <w:lang w:eastAsia="en-US"/>
        </w:rPr>
        <w:tab/>
        <w:t>För den grupp av prioriterade ämnen som utgörs av bromerade difenyletrar (nr 5) avser miljökvalitetsnormerna summan av koncentrationerna för kongener med numren 28, 47, 99, 100, 153 och 154.</w:t>
      </w:r>
    </w:p>
    <w:p w14:paraId="3EF2D72E" w14:textId="77777777" w:rsidR="001F7022" w:rsidRPr="003B6CF7" w:rsidRDefault="001F7022">
      <w:pPr>
        <w:widowControl/>
        <w:rPr>
          <w:szCs w:val="24"/>
          <w:lang w:eastAsia="en-US"/>
        </w:rPr>
      </w:pPr>
      <w:r w:rsidRPr="003B6CF7">
        <w:rPr>
          <w:szCs w:val="24"/>
          <w:lang w:eastAsia="en-US"/>
        </w:rPr>
        <w:br w:type="page"/>
      </w:r>
    </w:p>
    <w:p w14:paraId="05869439" w14:textId="15A390B3"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(8)</w:t>
      </w:r>
      <w:r w:rsidRPr="003B6CF7">
        <w:rPr>
          <w:szCs w:val="24"/>
          <w:lang w:eastAsia="en-US"/>
        </w:rPr>
        <w:tab/>
        <w:t xml:space="preserve">Tetra-, </w:t>
      </w:r>
      <w:proofErr w:type="spellStart"/>
      <w:r w:rsidRPr="003B6CF7">
        <w:rPr>
          <w:szCs w:val="24"/>
          <w:lang w:eastAsia="en-US"/>
        </w:rPr>
        <w:t>penta</w:t>
      </w:r>
      <w:proofErr w:type="spellEnd"/>
      <w:r w:rsidRPr="003B6CF7">
        <w:rPr>
          <w:szCs w:val="24"/>
          <w:lang w:eastAsia="en-US"/>
        </w:rPr>
        <w:t xml:space="preserve">-, </w:t>
      </w:r>
      <w:proofErr w:type="spellStart"/>
      <w:r w:rsidRPr="003B6CF7">
        <w:rPr>
          <w:szCs w:val="24"/>
          <w:lang w:eastAsia="en-US"/>
        </w:rPr>
        <w:t>hexa</w:t>
      </w:r>
      <w:proofErr w:type="spellEnd"/>
      <w:r w:rsidRPr="003B6CF7">
        <w:rPr>
          <w:szCs w:val="24"/>
          <w:lang w:eastAsia="en-US"/>
        </w:rPr>
        <w:t xml:space="preserve">-, </w:t>
      </w:r>
      <w:proofErr w:type="spellStart"/>
      <w:r w:rsidRPr="003B6CF7">
        <w:rPr>
          <w:szCs w:val="24"/>
          <w:lang w:eastAsia="en-US"/>
        </w:rPr>
        <w:t>hepta</w:t>
      </w:r>
      <w:proofErr w:type="spellEnd"/>
      <w:r w:rsidRPr="003B6CF7">
        <w:rPr>
          <w:szCs w:val="24"/>
          <w:lang w:eastAsia="en-US"/>
        </w:rPr>
        <w:t xml:space="preserve">-, </w:t>
      </w:r>
      <w:proofErr w:type="spellStart"/>
      <w:r w:rsidRPr="003B6CF7">
        <w:rPr>
          <w:szCs w:val="24"/>
          <w:lang w:eastAsia="en-US"/>
        </w:rPr>
        <w:t>okta</w:t>
      </w:r>
      <w:proofErr w:type="spellEnd"/>
      <w:r w:rsidRPr="003B6CF7">
        <w:rPr>
          <w:szCs w:val="24"/>
          <w:lang w:eastAsia="en-US"/>
        </w:rPr>
        <w:t>- och dekabromdifenyleter (CAS-nr 40088-47-9, 32534-81-9, 36483-60-0, 68928-80-3, 32536-52-0 respektive 1163-19-5).</w:t>
      </w:r>
    </w:p>
    <w:p w14:paraId="16F0F4A0"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(9)</w:t>
      </w:r>
      <w:r w:rsidRPr="003B6CF7">
        <w:rPr>
          <w:szCs w:val="24"/>
          <w:lang w:eastAsia="en-US"/>
        </w:rPr>
        <w:tab/>
        <w:t>För kadmium och kadmiumföreningar (nr 6) varierar miljökvalitetsnormvärdet beroende på vattnets hårdhetsklass (klass 1: &lt; 40 mg CaCO3/l, klass 2: 40 till &lt; 50 mg CaCO3/l, klass 3: 50 till &lt; 100 mg CaCO3/l, klass 4: 100 till &lt; 200 mg CaCO3/l, klass 5: ≥ 200 mg CaCO3/l).</w:t>
      </w:r>
    </w:p>
    <w:p w14:paraId="34E54E28"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(10)</w:t>
      </w:r>
      <w:r w:rsidRPr="003B6CF7">
        <w:rPr>
          <w:szCs w:val="24"/>
          <w:lang w:eastAsia="en-US"/>
        </w:rPr>
        <w:tab/>
        <w:t>Ingen indikativ parameter anges för denna grupp av ämnen. Den eller de indikativa parametrarna ska fastställas med analysmetoden.</w:t>
      </w:r>
    </w:p>
    <w:p w14:paraId="5BF41891"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(11)</w:t>
      </w:r>
      <w:r w:rsidRPr="003B6CF7">
        <w:rPr>
          <w:szCs w:val="24"/>
          <w:lang w:eastAsia="en-US"/>
        </w:rPr>
        <w:tab/>
        <w:t>DDT totalt består av summan av isomererna 1,1,1-</w:t>
      </w:r>
      <w:proofErr w:type="spellStart"/>
      <w:r w:rsidRPr="003B6CF7">
        <w:rPr>
          <w:szCs w:val="24"/>
          <w:lang w:eastAsia="en-US"/>
        </w:rPr>
        <w:t>triklor</w:t>
      </w:r>
      <w:proofErr w:type="spellEnd"/>
      <w:r w:rsidRPr="003B6CF7">
        <w:rPr>
          <w:szCs w:val="24"/>
          <w:lang w:eastAsia="en-US"/>
        </w:rPr>
        <w:t>-2,2-bis(p-</w:t>
      </w:r>
      <w:proofErr w:type="spellStart"/>
      <w:r w:rsidRPr="003B6CF7">
        <w:rPr>
          <w:szCs w:val="24"/>
          <w:lang w:eastAsia="en-US"/>
        </w:rPr>
        <w:t>klorfenyl</w:t>
      </w:r>
      <w:proofErr w:type="spellEnd"/>
      <w:r w:rsidRPr="003B6CF7">
        <w:rPr>
          <w:szCs w:val="24"/>
          <w:lang w:eastAsia="en-US"/>
        </w:rPr>
        <w:t>)etan (CAS-nr 50-29-3, EU-nr 200-024-3); 1,1,1-</w:t>
      </w:r>
      <w:proofErr w:type="spellStart"/>
      <w:r w:rsidRPr="003B6CF7">
        <w:rPr>
          <w:szCs w:val="24"/>
          <w:lang w:eastAsia="en-US"/>
        </w:rPr>
        <w:t>triklor</w:t>
      </w:r>
      <w:proofErr w:type="spellEnd"/>
      <w:r w:rsidRPr="003B6CF7">
        <w:rPr>
          <w:szCs w:val="24"/>
          <w:lang w:eastAsia="en-US"/>
        </w:rPr>
        <w:t>-2(o-</w:t>
      </w:r>
      <w:proofErr w:type="spellStart"/>
      <w:r w:rsidRPr="003B6CF7">
        <w:rPr>
          <w:szCs w:val="24"/>
          <w:lang w:eastAsia="en-US"/>
        </w:rPr>
        <w:t>klorfenyl</w:t>
      </w:r>
      <w:proofErr w:type="spellEnd"/>
      <w:r w:rsidRPr="003B6CF7">
        <w:rPr>
          <w:szCs w:val="24"/>
          <w:lang w:eastAsia="en-US"/>
        </w:rPr>
        <w:t>)-2-(p-</w:t>
      </w:r>
      <w:proofErr w:type="spellStart"/>
      <w:r w:rsidRPr="003B6CF7">
        <w:rPr>
          <w:szCs w:val="24"/>
          <w:lang w:eastAsia="en-US"/>
        </w:rPr>
        <w:t>klorfenyl</w:t>
      </w:r>
      <w:proofErr w:type="spellEnd"/>
      <w:r w:rsidRPr="003B6CF7">
        <w:rPr>
          <w:szCs w:val="24"/>
          <w:lang w:eastAsia="en-US"/>
        </w:rPr>
        <w:t>)etan (CAS-nr 789-02-6, EU-nr 212-332-5); 1,1-</w:t>
      </w:r>
      <w:proofErr w:type="spellStart"/>
      <w:r w:rsidRPr="003B6CF7">
        <w:rPr>
          <w:szCs w:val="24"/>
          <w:lang w:eastAsia="en-US"/>
        </w:rPr>
        <w:t>diklor</w:t>
      </w:r>
      <w:proofErr w:type="spellEnd"/>
      <w:r w:rsidRPr="003B6CF7">
        <w:rPr>
          <w:szCs w:val="24"/>
          <w:lang w:eastAsia="en-US"/>
        </w:rPr>
        <w:t>-2,2-bis(p-</w:t>
      </w:r>
      <w:proofErr w:type="spellStart"/>
      <w:r w:rsidRPr="003B6CF7">
        <w:rPr>
          <w:szCs w:val="24"/>
          <w:lang w:eastAsia="en-US"/>
        </w:rPr>
        <w:t>klorfenyl</w:t>
      </w:r>
      <w:proofErr w:type="spellEnd"/>
      <w:r w:rsidRPr="003B6CF7">
        <w:rPr>
          <w:szCs w:val="24"/>
          <w:lang w:eastAsia="en-US"/>
        </w:rPr>
        <w:t>)etylen (CAS-nr 72-55-9, EU-nr 200-784-6); och 1,1-</w:t>
      </w:r>
      <w:proofErr w:type="spellStart"/>
      <w:r w:rsidRPr="003B6CF7">
        <w:rPr>
          <w:szCs w:val="24"/>
          <w:lang w:eastAsia="en-US"/>
        </w:rPr>
        <w:t>diklor</w:t>
      </w:r>
      <w:proofErr w:type="spellEnd"/>
      <w:r w:rsidRPr="003B6CF7">
        <w:rPr>
          <w:szCs w:val="24"/>
          <w:lang w:eastAsia="en-US"/>
        </w:rPr>
        <w:t>-2,2-bis(p-</w:t>
      </w:r>
      <w:proofErr w:type="spellStart"/>
      <w:r w:rsidRPr="003B6CF7">
        <w:rPr>
          <w:szCs w:val="24"/>
          <w:lang w:eastAsia="en-US"/>
        </w:rPr>
        <w:t>klorfenyl</w:t>
      </w:r>
      <w:proofErr w:type="spellEnd"/>
      <w:r w:rsidRPr="003B6CF7">
        <w:rPr>
          <w:szCs w:val="24"/>
          <w:lang w:eastAsia="en-US"/>
        </w:rPr>
        <w:t>)etan (CAS-nr 72-54-8, EU-nr 200-783-0).</w:t>
      </w:r>
    </w:p>
    <w:p w14:paraId="3E5F49D1"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(12)</w:t>
      </w:r>
      <w:r w:rsidRPr="003B6CF7">
        <w:rPr>
          <w:szCs w:val="24"/>
          <w:lang w:eastAsia="en-US"/>
        </w:rPr>
        <w:tab/>
        <w:t>Dessa miljökvalitetsnormer avser biotillgängliga koncentrationer av ämnena.</w:t>
      </w:r>
    </w:p>
    <w:p w14:paraId="7A94EE2C" w14:textId="77777777" w:rsidR="001F7022" w:rsidRPr="003B6CF7" w:rsidRDefault="001F7022">
      <w:pPr>
        <w:widowControl/>
        <w:rPr>
          <w:szCs w:val="24"/>
          <w:lang w:eastAsia="en-US"/>
        </w:rPr>
      </w:pPr>
      <w:r w:rsidRPr="003B6CF7">
        <w:rPr>
          <w:szCs w:val="24"/>
          <w:lang w:eastAsia="en-US"/>
        </w:rPr>
        <w:br w:type="page"/>
      </w:r>
    </w:p>
    <w:p w14:paraId="689FBA47" w14:textId="0535C360"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(13)</w:t>
      </w:r>
      <w:r w:rsidRPr="003B6CF7">
        <w:rPr>
          <w:szCs w:val="24"/>
          <w:lang w:eastAsia="en-US"/>
        </w:rPr>
        <w:tab/>
        <w:t xml:space="preserve">Miljökvalitetsnormen för </w:t>
      </w:r>
      <w:proofErr w:type="spellStart"/>
      <w:r w:rsidRPr="003B6CF7">
        <w:rPr>
          <w:szCs w:val="24"/>
          <w:lang w:eastAsia="en-US"/>
        </w:rPr>
        <w:t>biota</w:t>
      </w:r>
      <w:proofErr w:type="spellEnd"/>
      <w:r w:rsidRPr="003B6CF7">
        <w:rPr>
          <w:szCs w:val="24"/>
          <w:lang w:eastAsia="en-US"/>
        </w:rPr>
        <w:t xml:space="preserve"> avser metylkvicksilver.</w:t>
      </w:r>
    </w:p>
    <w:p w14:paraId="52BA3073"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(14)</w:t>
      </w:r>
      <w:r w:rsidRPr="003B6CF7">
        <w:rPr>
          <w:szCs w:val="24"/>
          <w:lang w:eastAsia="en-US"/>
        </w:rPr>
        <w:tab/>
        <w:t>Nonylfenol (CAS-nr 25154-52-3, EU-nr 246-672-0) inklusive isomererna 4-nonylfenol (CAS-nr 104-40-5, EU-nr 203-199-4) och 4-nonylfenol (grenad) (CAS-nr 84852-15-3, EU-nr 284-325-5).</w:t>
      </w:r>
    </w:p>
    <w:p w14:paraId="4BE192E1"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(15)</w:t>
      </w:r>
      <w:r w:rsidRPr="003B6CF7">
        <w:rPr>
          <w:szCs w:val="24"/>
          <w:lang w:eastAsia="en-US"/>
        </w:rPr>
        <w:tab/>
      </w:r>
      <w:proofErr w:type="spellStart"/>
      <w:r w:rsidRPr="003B6CF7">
        <w:rPr>
          <w:szCs w:val="24"/>
          <w:lang w:eastAsia="en-US"/>
        </w:rPr>
        <w:t>Oktylfenol</w:t>
      </w:r>
      <w:proofErr w:type="spellEnd"/>
      <w:r w:rsidRPr="003B6CF7">
        <w:rPr>
          <w:szCs w:val="24"/>
          <w:lang w:eastAsia="en-US"/>
        </w:rPr>
        <w:t xml:space="preserve"> (CAS-nr 1806-26-4, EU-nr 217-302-5) inklusive isomeren 4-(1,1’,3,3’-tetrametylbutyl)-fenol (CAS-nr 140-66-9, EU-nr 205-426-2).</w:t>
      </w:r>
    </w:p>
    <w:p w14:paraId="27CC992E"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(16)</w:t>
      </w:r>
      <w:r w:rsidRPr="003B6CF7">
        <w:rPr>
          <w:szCs w:val="24"/>
          <w:lang w:eastAsia="en-US"/>
        </w:rPr>
        <w:tab/>
        <w:t>Bens(a)pyren (CAS-nr 50-32-8) (</w:t>
      </w:r>
      <w:proofErr w:type="spellStart"/>
      <w:r w:rsidRPr="003B6CF7">
        <w:rPr>
          <w:szCs w:val="24"/>
          <w:lang w:eastAsia="en-US"/>
        </w:rPr>
        <w:t>RPF</w:t>
      </w:r>
      <w:proofErr w:type="spellEnd"/>
      <w:r w:rsidRPr="003B6CF7">
        <w:rPr>
          <w:szCs w:val="24"/>
          <w:lang w:eastAsia="en-US"/>
        </w:rPr>
        <w:t xml:space="preserve"> 1), </w:t>
      </w:r>
      <w:proofErr w:type="spellStart"/>
      <w:r w:rsidRPr="003B6CF7">
        <w:rPr>
          <w:szCs w:val="24"/>
          <w:lang w:eastAsia="en-US"/>
        </w:rPr>
        <w:t>benso</w:t>
      </w:r>
      <w:proofErr w:type="spellEnd"/>
      <w:r w:rsidRPr="003B6CF7">
        <w:rPr>
          <w:szCs w:val="24"/>
          <w:lang w:eastAsia="en-US"/>
        </w:rPr>
        <w:t>(b)</w:t>
      </w:r>
      <w:proofErr w:type="spellStart"/>
      <w:r w:rsidRPr="003B6CF7">
        <w:rPr>
          <w:szCs w:val="24"/>
          <w:lang w:eastAsia="en-US"/>
        </w:rPr>
        <w:t>fluoranten</w:t>
      </w:r>
      <w:proofErr w:type="spellEnd"/>
      <w:r w:rsidRPr="003B6CF7">
        <w:rPr>
          <w:szCs w:val="24"/>
          <w:lang w:eastAsia="en-US"/>
        </w:rPr>
        <w:t xml:space="preserve"> (CAS-nr 205-99-2) (</w:t>
      </w:r>
      <w:proofErr w:type="spellStart"/>
      <w:r w:rsidRPr="003B6CF7">
        <w:rPr>
          <w:szCs w:val="24"/>
          <w:lang w:eastAsia="en-US"/>
        </w:rPr>
        <w:t>RPF</w:t>
      </w:r>
      <w:proofErr w:type="spellEnd"/>
      <w:r w:rsidRPr="003B6CF7">
        <w:rPr>
          <w:szCs w:val="24"/>
          <w:lang w:eastAsia="en-US"/>
        </w:rPr>
        <w:t xml:space="preserve"> 0,1), </w:t>
      </w:r>
      <w:proofErr w:type="spellStart"/>
      <w:r w:rsidRPr="003B6CF7">
        <w:rPr>
          <w:szCs w:val="24"/>
          <w:lang w:eastAsia="en-US"/>
        </w:rPr>
        <w:t>benso</w:t>
      </w:r>
      <w:proofErr w:type="spellEnd"/>
      <w:r w:rsidRPr="003B6CF7">
        <w:rPr>
          <w:szCs w:val="24"/>
          <w:lang w:eastAsia="en-US"/>
        </w:rPr>
        <w:t>(k)</w:t>
      </w:r>
      <w:proofErr w:type="spellStart"/>
      <w:r w:rsidRPr="003B6CF7">
        <w:rPr>
          <w:szCs w:val="24"/>
          <w:lang w:eastAsia="en-US"/>
        </w:rPr>
        <w:t>fluoranten</w:t>
      </w:r>
      <w:proofErr w:type="spellEnd"/>
      <w:r w:rsidRPr="003B6CF7">
        <w:rPr>
          <w:szCs w:val="24"/>
          <w:lang w:eastAsia="en-US"/>
        </w:rPr>
        <w:t xml:space="preserve"> (CAS-nr 207-08-9) (</w:t>
      </w:r>
      <w:proofErr w:type="spellStart"/>
      <w:r w:rsidRPr="003B6CF7">
        <w:rPr>
          <w:szCs w:val="24"/>
          <w:lang w:eastAsia="en-US"/>
        </w:rPr>
        <w:t>RPF</w:t>
      </w:r>
      <w:proofErr w:type="spellEnd"/>
      <w:r w:rsidRPr="003B6CF7">
        <w:rPr>
          <w:szCs w:val="24"/>
          <w:lang w:eastAsia="en-US"/>
        </w:rPr>
        <w:t xml:space="preserve"> 0,1), </w:t>
      </w:r>
      <w:proofErr w:type="spellStart"/>
      <w:r w:rsidRPr="003B6CF7">
        <w:rPr>
          <w:szCs w:val="24"/>
          <w:lang w:eastAsia="en-US"/>
        </w:rPr>
        <w:t>benso</w:t>
      </w:r>
      <w:proofErr w:type="spellEnd"/>
      <w:r w:rsidRPr="003B6CF7">
        <w:rPr>
          <w:szCs w:val="24"/>
          <w:lang w:eastAsia="en-US"/>
        </w:rPr>
        <w:t>(</w:t>
      </w:r>
      <w:proofErr w:type="spellStart"/>
      <w:r w:rsidRPr="003B6CF7">
        <w:rPr>
          <w:szCs w:val="24"/>
          <w:lang w:eastAsia="en-US"/>
        </w:rPr>
        <w:t>g,h,i</w:t>
      </w:r>
      <w:proofErr w:type="spellEnd"/>
      <w:r w:rsidRPr="003B6CF7">
        <w:rPr>
          <w:szCs w:val="24"/>
          <w:lang w:eastAsia="en-US"/>
        </w:rPr>
        <w:t>)</w:t>
      </w:r>
      <w:proofErr w:type="spellStart"/>
      <w:r w:rsidRPr="003B6CF7">
        <w:rPr>
          <w:szCs w:val="24"/>
          <w:lang w:eastAsia="en-US"/>
        </w:rPr>
        <w:t>perylen</w:t>
      </w:r>
      <w:proofErr w:type="spellEnd"/>
      <w:r w:rsidRPr="003B6CF7">
        <w:rPr>
          <w:szCs w:val="24"/>
          <w:lang w:eastAsia="en-US"/>
        </w:rPr>
        <w:t xml:space="preserve"> (CAS-nr 191-24-2) (</w:t>
      </w:r>
      <w:proofErr w:type="spellStart"/>
      <w:r w:rsidRPr="003B6CF7">
        <w:rPr>
          <w:szCs w:val="24"/>
          <w:lang w:eastAsia="en-US"/>
        </w:rPr>
        <w:t>RPF</w:t>
      </w:r>
      <w:proofErr w:type="spellEnd"/>
      <w:r w:rsidRPr="003B6CF7">
        <w:rPr>
          <w:szCs w:val="24"/>
          <w:lang w:eastAsia="en-US"/>
        </w:rPr>
        <w:t xml:space="preserve"> 0), </w:t>
      </w:r>
      <w:proofErr w:type="spellStart"/>
      <w:r w:rsidRPr="003B6CF7">
        <w:rPr>
          <w:szCs w:val="24"/>
          <w:lang w:eastAsia="en-US"/>
        </w:rPr>
        <w:t>indeno</w:t>
      </w:r>
      <w:proofErr w:type="spellEnd"/>
      <w:r w:rsidRPr="003B6CF7">
        <w:rPr>
          <w:szCs w:val="24"/>
          <w:lang w:eastAsia="en-US"/>
        </w:rPr>
        <w:t>(1,2,3-cd)pyren (CAS-nr 193-39-5) (</w:t>
      </w:r>
      <w:proofErr w:type="spellStart"/>
      <w:r w:rsidRPr="003B6CF7">
        <w:rPr>
          <w:szCs w:val="24"/>
          <w:lang w:eastAsia="en-US"/>
        </w:rPr>
        <w:t>RPF</w:t>
      </w:r>
      <w:proofErr w:type="spellEnd"/>
      <w:r w:rsidRPr="003B6CF7">
        <w:rPr>
          <w:szCs w:val="24"/>
          <w:lang w:eastAsia="en-US"/>
        </w:rPr>
        <w:t xml:space="preserve"> 0,1), </w:t>
      </w:r>
      <w:proofErr w:type="spellStart"/>
      <w:r w:rsidRPr="003B6CF7">
        <w:rPr>
          <w:szCs w:val="24"/>
          <w:lang w:eastAsia="en-US"/>
        </w:rPr>
        <w:t>krysen</w:t>
      </w:r>
      <w:proofErr w:type="spellEnd"/>
      <w:r w:rsidRPr="003B6CF7">
        <w:rPr>
          <w:szCs w:val="24"/>
          <w:lang w:eastAsia="en-US"/>
        </w:rPr>
        <w:t xml:space="preserve"> (CAS-nr 218-01-9) (</w:t>
      </w:r>
      <w:proofErr w:type="spellStart"/>
      <w:r w:rsidRPr="003B6CF7">
        <w:rPr>
          <w:szCs w:val="24"/>
          <w:lang w:eastAsia="en-US"/>
        </w:rPr>
        <w:t>RPF</w:t>
      </w:r>
      <w:proofErr w:type="spellEnd"/>
      <w:r w:rsidRPr="003B6CF7">
        <w:rPr>
          <w:szCs w:val="24"/>
          <w:lang w:eastAsia="en-US"/>
        </w:rPr>
        <w:t xml:space="preserve"> 0,01), bens(a)</w:t>
      </w:r>
      <w:proofErr w:type="spellStart"/>
      <w:r w:rsidRPr="003B6CF7">
        <w:rPr>
          <w:szCs w:val="24"/>
          <w:lang w:eastAsia="en-US"/>
        </w:rPr>
        <w:t>antracen</w:t>
      </w:r>
      <w:proofErr w:type="spellEnd"/>
      <w:r w:rsidRPr="003B6CF7">
        <w:rPr>
          <w:szCs w:val="24"/>
          <w:lang w:eastAsia="en-US"/>
        </w:rPr>
        <w:t xml:space="preserve"> (CAS-nr 56-55-3) (</w:t>
      </w:r>
      <w:proofErr w:type="spellStart"/>
      <w:r w:rsidRPr="003B6CF7">
        <w:rPr>
          <w:szCs w:val="24"/>
          <w:lang w:eastAsia="en-US"/>
        </w:rPr>
        <w:t>RPF</w:t>
      </w:r>
      <w:proofErr w:type="spellEnd"/>
      <w:r w:rsidRPr="003B6CF7">
        <w:rPr>
          <w:szCs w:val="24"/>
          <w:lang w:eastAsia="en-US"/>
        </w:rPr>
        <w:t xml:space="preserve"> 0,1) och </w:t>
      </w:r>
      <w:proofErr w:type="spellStart"/>
      <w:r w:rsidRPr="003B6CF7">
        <w:rPr>
          <w:szCs w:val="24"/>
          <w:lang w:eastAsia="en-US"/>
        </w:rPr>
        <w:t>dibens</w:t>
      </w:r>
      <w:proofErr w:type="spellEnd"/>
      <w:r w:rsidRPr="003B6CF7">
        <w:rPr>
          <w:szCs w:val="24"/>
          <w:lang w:eastAsia="en-US"/>
        </w:rPr>
        <w:t>(</w:t>
      </w:r>
      <w:proofErr w:type="spellStart"/>
      <w:r w:rsidRPr="003B6CF7">
        <w:rPr>
          <w:szCs w:val="24"/>
          <w:lang w:eastAsia="en-US"/>
        </w:rPr>
        <w:t>a,h</w:t>
      </w:r>
      <w:proofErr w:type="spellEnd"/>
      <w:r w:rsidRPr="003B6CF7">
        <w:rPr>
          <w:szCs w:val="24"/>
          <w:lang w:eastAsia="en-US"/>
        </w:rPr>
        <w:t>)</w:t>
      </w:r>
      <w:proofErr w:type="spellStart"/>
      <w:r w:rsidRPr="003B6CF7">
        <w:rPr>
          <w:szCs w:val="24"/>
          <w:lang w:eastAsia="en-US"/>
        </w:rPr>
        <w:t>antracen</w:t>
      </w:r>
      <w:proofErr w:type="spellEnd"/>
      <w:r w:rsidRPr="003B6CF7">
        <w:rPr>
          <w:szCs w:val="24"/>
          <w:lang w:eastAsia="en-US"/>
        </w:rPr>
        <w:t xml:space="preserve"> (CAS 53-70-3) (</w:t>
      </w:r>
      <w:proofErr w:type="spellStart"/>
      <w:r w:rsidRPr="003B6CF7">
        <w:rPr>
          <w:szCs w:val="24"/>
          <w:lang w:eastAsia="en-US"/>
        </w:rPr>
        <w:t>RPF</w:t>
      </w:r>
      <w:proofErr w:type="spellEnd"/>
      <w:r w:rsidRPr="003B6CF7">
        <w:rPr>
          <w:szCs w:val="24"/>
          <w:lang w:eastAsia="en-US"/>
        </w:rPr>
        <w:t xml:space="preserve"> 1). De </w:t>
      </w:r>
      <w:proofErr w:type="spellStart"/>
      <w:r w:rsidRPr="003B6CF7">
        <w:rPr>
          <w:szCs w:val="24"/>
          <w:lang w:eastAsia="en-US"/>
        </w:rPr>
        <w:t>polyaromatiska</w:t>
      </w:r>
      <w:proofErr w:type="spellEnd"/>
      <w:r w:rsidRPr="003B6CF7">
        <w:rPr>
          <w:szCs w:val="24"/>
          <w:lang w:eastAsia="en-US"/>
        </w:rPr>
        <w:t xml:space="preserve"> kolvätena (PAH) </w:t>
      </w:r>
      <w:proofErr w:type="spellStart"/>
      <w:r w:rsidRPr="003B6CF7">
        <w:rPr>
          <w:szCs w:val="24"/>
          <w:lang w:eastAsia="en-US"/>
        </w:rPr>
        <w:t>antracen</w:t>
      </w:r>
      <w:proofErr w:type="spellEnd"/>
      <w:r w:rsidRPr="003B6CF7">
        <w:rPr>
          <w:szCs w:val="24"/>
          <w:lang w:eastAsia="en-US"/>
        </w:rPr>
        <w:t xml:space="preserve">, </w:t>
      </w:r>
      <w:proofErr w:type="spellStart"/>
      <w:r w:rsidRPr="003B6CF7">
        <w:rPr>
          <w:szCs w:val="24"/>
          <w:lang w:eastAsia="en-US"/>
        </w:rPr>
        <w:t>fluoranten</w:t>
      </w:r>
      <w:proofErr w:type="spellEnd"/>
      <w:r w:rsidRPr="003B6CF7">
        <w:rPr>
          <w:szCs w:val="24"/>
          <w:lang w:eastAsia="en-US"/>
        </w:rPr>
        <w:t xml:space="preserve"> och naftalen förtecknas separat.</w:t>
      </w:r>
    </w:p>
    <w:p w14:paraId="1D2AE76A" w14:textId="77777777" w:rsidR="001F7022" w:rsidRPr="003B6CF7" w:rsidRDefault="001F7022">
      <w:pPr>
        <w:widowControl/>
        <w:rPr>
          <w:szCs w:val="24"/>
          <w:lang w:eastAsia="en-US"/>
        </w:rPr>
      </w:pPr>
      <w:r w:rsidRPr="003B6CF7">
        <w:rPr>
          <w:szCs w:val="24"/>
          <w:lang w:eastAsia="en-US"/>
        </w:rPr>
        <w:br w:type="page"/>
      </w:r>
    </w:p>
    <w:p w14:paraId="6F1D5293" w14:textId="3E8205F2"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(17)</w:t>
      </w:r>
      <w:r w:rsidRPr="003B6CF7">
        <w:rPr>
          <w:szCs w:val="24"/>
          <w:lang w:eastAsia="en-US"/>
        </w:rPr>
        <w:tab/>
        <w:t xml:space="preserve">För gruppen </w:t>
      </w:r>
      <w:proofErr w:type="spellStart"/>
      <w:r w:rsidRPr="003B6CF7">
        <w:rPr>
          <w:szCs w:val="24"/>
          <w:lang w:eastAsia="en-US"/>
        </w:rPr>
        <w:t>polyaromatiska</w:t>
      </w:r>
      <w:proofErr w:type="spellEnd"/>
      <w:r w:rsidRPr="003B6CF7">
        <w:rPr>
          <w:szCs w:val="24"/>
          <w:lang w:eastAsia="en-US"/>
        </w:rPr>
        <w:t xml:space="preserve"> kolväten (PAH) (nr 28) avser miljökvalitetsnormen för </w:t>
      </w:r>
      <w:proofErr w:type="spellStart"/>
      <w:r w:rsidRPr="003B6CF7">
        <w:rPr>
          <w:szCs w:val="24"/>
          <w:lang w:eastAsia="en-US"/>
        </w:rPr>
        <w:t>biota</w:t>
      </w:r>
      <w:proofErr w:type="spellEnd"/>
      <w:r w:rsidRPr="003B6CF7">
        <w:rPr>
          <w:szCs w:val="24"/>
          <w:lang w:eastAsia="en-US"/>
        </w:rPr>
        <w:t xml:space="preserve"> summan av koncentrationerna för sju av de åtta </w:t>
      </w:r>
      <w:proofErr w:type="spellStart"/>
      <w:r w:rsidRPr="003B6CF7">
        <w:rPr>
          <w:szCs w:val="24"/>
          <w:lang w:eastAsia="en-US"/>
        </w:rPr>
        <w:t>polyaromatiska</w:t>
      </w:r>
      <w:proofErr w:type="spellEnd"/>
      <w:r w:rsidRPr="003B6CF7">
        <w:rPr>
          <w:szCs w:val="24"/>
          <w:lang w:eastAsia="en-US"/>
        </w:rPr>
        <w:t xml:space="preserve"> kolväten som anges i fotnot 17 uttryckt som bens(a)pyren-ekvivalenter baserat på ämnenas cancerogena potential i förhållande till bens(a)pyren, dvs. de relativa potensfaktorerna (RPF) i fotnot 16. </w:t>
      </w:r>
      <w:proofErr w:type="spellStart"/>
      <w:r w:rsidRPr="003B6CF7">
        <w:rPr>
          <w:szCs w:val="24"/>
          <w:lang w:eastAsia="en-US"/>
        </w:rPr>
        <w:t>Benso</w:t>
      </w:r>
      <w:proofErr w:type="spellEnd"/>
      <w:r w:rsidRPr="003B6CF7">
        <w:rPr>
          <w:szCs w:val="24"/>
          <w:lang w:eastAsia="en-US"/>
        </w:rPr>
        <w:t>(</w:t>
      </w:r>
      <w:proofErr w:type="spellStart"/>
      <w:r w:rsidRPr="003B6CF7">
        <w:rPr>
          <w:szCs w:val="24"/>
          <w:lang w:eastAsia="en-US"/>
        </w:rPr>
        <w:t>g,h,i</w:t>
      </w:r>
      <w:proofErr w:type="spellEnd"/>
      <w:r w:rsidRPr="003B6CF7">
        <w:rPr>
          <w:szCs w:val="24"/>
          <w:lang w:eastAsia="en-US"/>
        </w:rPr>
        <w:t>)</w:t>
      </w:r>
      <w:proofErr w:type="spellStart"/>
      <w:r w:rsidRPr="003B6CF7">
        <w:rPr>
          <w:szCs w:val="24"/>
          <w:lang w:eastAsia="en-US"/>
        </w:rPr>
        <w:t>perylen</w:t>
      </w:r>
      <w:proofErr w:type="spellEnd"/>
      <w:r w:rsidRPr="003B6CF7">
        <w:rPr>
          <w:szCs w:val="24"/>
          <w:lang w:eastAsia="en-US"/>
        </w:rPr>
        <w:t xml:space="preserve"> behöver inte mätas i </w:t>
      </w:r>
      <w:proofErr w:type="spellStart"/>
      <w:r w:rsidRPr="003B6CF7">
        <w:rPr>
          <w:szCs w:val="24"/>
          <w:lang w:eastAsia="en-US"/>
        </w:rPr>
        <w:t>biota</w:t>
      </w:r>
      <w:proofErr w:type="spellEnd"/>
      <w:r w:rsidRPr="003B6CF7">
        <w:rPr>
          <w:szCs w:val="24"/>
          <w:lang w:eastAsia="en-US"/>
        </w:rPr>
        <w:t xml:space="preserve"> för att fastställa efterlevnaden av den sammanlagda miljönormen för </w:t>
      </w:r>
      <w:proofErr w:type="spellStart"/>
      <w:r w:rsidRPr="003B6CF7">
        <w:rPr>
          <w:szCs w:val="24"/>
          <w:lang w:eastAsia="en-US"/>
        </w:rPr>
        <w:t>biota</w:t>
      </w:r>
      <w:proofErr w:type="spellEnd"/>
      <w:r w:rsidRPr="003B6CF7">
        <w:rPr>
          <w:szCs w:val="24"/>
          <w:lang w:eastAsia="en-US"/>
        </w:rPr>
        <w:t>.</w:t>
      </w:r>
    </w:p>
    <w:p w14:paraId="52F5BB93"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(18)</w:t>
      </w:r>
      <w:r w:rsidRPr="003B6CF7">
        <w:rPr>
          <w:szCs w:val="24"/>
          <w:lang w:eastAsia="en-US"/>
        </w:rPr>
        <w:tab/>
      </w:r>
      <w:proofErr w:type="spellStart"/>
      <w:r w:rsidRPr="003B6CF7">
        <w:rPr>
          <w:szCs w:val="24"/>
          <w:lang w:eastAsia="en-US"/>
        </w:rPr>
        <w:t>Tributyltennföreningar</w:t>
      </w:r>
      <w:proofErr w:type="spellEnd"/>
      <w:r w:rsidRPr="003B6CF7">
        <w:rPr>
          <w:szCs w:val="24"/>
          <w:lang w:eastAsia="en-US"/>
        </w:rPr>
        <w:t xml:space="preserve"> inklusive </w:t>
      </w:r>
      <w:proofErr w:type="spellStart"/>
      <w:r w:rsidRPr="003B6CF7">
        <w:rPr>
          <w:szCs w:val="24"/>
          <w:lang w:eastAsia="en-US"/>
        </w:rPr>
        <w:t>tributyltenn</w:t>
      </w:r>
      <w:proofErr w:type="spellEnd"/>
      <w:r w:rsidRPr="003B6CF7">
        <w:rPr>
          <w:szCs w:val="24"/>
          <w:lang w:eastAsia="en-US"/>
        </w:rPr>
        <w:t>-katjon (CAS-nr 36643-28-4).</w:t>
      </w:r>
    </w:p>
    <w:p w14:paraId="3829DF14"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(19)</w:t>
      </w:r>
      <w:r w:rsidRPr="003B6CF7">
        <w:rPr>
          <w:szCs w:val="24"/>
          <w:lang w:eastAsia="en-US"/>
        </w:rPr>
        <w:tab/>
        <w:t>Miljökvalitetsnorm för sediment.</w:t>
      </w:r>
    </w:p>
    <w:p w14:paraId="395FD297"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(20)</w:t>
      </w:r>
      <w:r w:rsidRPr="003B6CF7">
        <w:rPr>
          <w:szCs w:val="24"/>
          <w:lang w:eastAsia="en-US"/>
        </w:rPr>
        <w:tab/>
        <w:t>Det finns inte tillräcklig information för att fastställa en MAC-MKN för dessa ämnen.</w:t>
      </w:r>
    </w:p>
    <w:p w14:paraId="2C1EB9E8"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(21)</w:t>
      </w:r>
      <w:r w:rsidRPr="003B6CF7">
        <w:rPr>
          <w:szCs w:val="24"/>
          <w:lang w:eastAsia="en-US"/>
        </w:rPr>
        <w:tab/>
        <w:t>Detta avser följande föreningar:</w:t>
      </w:r>
    </w:p>
    <w:p w14:paraId="31CEC4F6" w14:textId="77777777" w:rsidR="001831FD" w:rsidRPr="003B6CF7" w:rsidRDefault="001831FD" w:rsidP="001831FD">
      <w:pPr>
        <w:spacing w:before="120" w:after="120" w:line="360" w:lineRule="auto"/>
        <w:ind w:left="1416"/>
        <w:rPr>
          <w:szCs w:val="24"/>
          <w:lang w:eastAsia="en-US"/>
        </w:rPr>
      </w:pPr>
      <w:r w:rsidRPr="003B6CF7">
        <w:rPr>
          <w:szCs w:val="24"/>
          <w:lang w:eastAsia="en-US"/>
        </w:rPr>
        <w:tab/>
        <w:t xml:space="preserve">7 </w:t>
      </w:r>
      <w:proofErr w:type="spellStart"/>
      <w:r w:rsidRPr="003B6CF7">
        <w:rPr>
          <w:szCs w:val="24"/>
          <w:lang w:eastAsia="en-US"/>
        </w:rPr>
        <w:t>polyklorerade</w:t>
      </w:r>
      <w:proofErr w:type="spellEnd"/>
      <w:r w:rsidRPr="003B6CF7">
        <w:rPr>
          <w:szCs w:val="24"/>
          <w:lang w:eastAsia="en-US"/>
        </w:rPr>
        <w:t xml:space="preserve"> </w:t>
      </w:r>
      <w:proofErr w:type="spellStart"/>
      <w:r w:rsidRPr="003B6CF7">
        <w:rPr>
          <w:szCs w:val="24"/>
          <w:lang w:eastAsia="en-US"/>
        </w:rPr>
        <w:t>dibenso</w:t>
      </w:r>
      <w:proofErr w:type="spellEnd"/>
      <w:r w:rsidRPr="003B6CF7">
        <w:rPr>
          <w:szCs w:val="24"/>
          <w:lang w:eastAsia="en-US"/>
        </w:rPr>
        <w:t>-p-dioxiner (</w:t>
      </w:r>
      <w:proofErr w:type="spellStart"/>
      <w:r w:rsidRPr="003B6CF7">
        <w:rPr>
          <w:szCs w:val="24"/>
          <w:lang w:eastAsia="en-US"/>
        </w:rPr>
        <w:t>PCDD</w:t>
      </w:r>
      <w:proofErr w:type="spellEnd"/>
      <w:r w:rsidRPr="003B6CF7">
        <w:rPr>
          <w:szCs w:val="24"/>
          <w:lang w:eastAsia="en-US"/>
        </w:rPr>
        <w:t>): 2,3,7,8-</w:t>
      </w:r>
      <w:proofErr w:type="spellStart"/>
      <w:r w:rsidRPr="003B6CF7">
        <w:rPr>
          <w:szCs w:val="24"/>
          <w:lang w:eastAsia="en-US"/>
        </w:rPr>
        <w:t>T4CDD</w:t>
      </w:r>
      <w:proofErr w:type="spellEnd"/>
      <w:r w:rsidRPr="003B6CF7">
        <w:rPr>
          <w:szCs w:val="24"/>
          <w:lang w:eastAsia="en-US"/>
        </w:rPr>
        <w:t xml:space="preserve"> (CAS-nr 1746-01-6, EU-nr 217-122-7), 1,2,3,7,8-P5CDD (CAS-nr 40321-76-4), 1,2,3,4,7,8-H6CDD (CAS-nr 39227-28-6), 1,2,3,6,7,8-H6CDD (CAS-nr 57653-85-7), 1,2,3,7,8,9-H6CDD (CAS-nr 19408-74-3), 1,2,3,4,6,7,8-H7CDD (CAS-nr 35822-46-9), 1,2,3,4,6,7,8,9-O8CDD (CAS-nr 3268-87-9);</w:t>
      </w:r>
    </w:p>
    <w:p w14:paraId="1ED8F620" w14:textId="77777777" w:rsidR="001F7022" w:rsidRPr="003B6CF7" w:rsidRDefault="001F7022">
      <w:pPr>
        <w:widowControl/>
        <w:rPr>
          <w:szCs w:val="24"/>
          <w:lang w:eastAsia="en-US"/>
        </w:rPr>
      </w:pPr>
      <w:r w:rsidRPr="003B6CF7">
        <w:rPr>
          <w:szCs w:val="24"/>
          <w:lang w:eastAsia="en-US"/>
        </w:rPr>
        <w:br w:type="page"/>
      </w:r>
    </w:p>
    <w:p w14:paraId="6466D660" w14:textId="11FC8076" w:rsidR="001831FD" w:rsidRPr="003B6CF7" w:rsidRDefault="001831FD" w:rsidP="001831FD">
      <w:pPr>
        <w:spacing w:before="120" w:after="120" w:line="360" w:lineRule="auto"/>
        <w:ind w:left="1416"/>
        <w:rPr>
          <w:szCs w:val="24"/>
          <w:lang w:eastAsia="en-US"/>
        </w:rPr>
      </w:pPr>
      <w:r w:rsidRPr="003B6CF7">
        <w:rPr>
          <w:szCs w:val="24"/>
          <w:lang w:eastAsia="en-US"/>
        </w:rPr>
        <w:tab/>
        <w:t xml:space="preserve">10 </w:t>
      </w:r>
      <w:proofErr w:type="spellStart"/>
      <w:r w:rsidRPr="003B6CF7">
        <w:rPr>
          <w:szCs w:val="24"/>
          <w:lang w:eastAsia="en-US"/>
        </w:rPr>
        <w:t>polyklorerade</w:t>
      </w:r>
      <w:proofErr w:type="spellEnd"/>
      <w:r w:rsidRPr="003B6CF7">
        <w:rPr>
          <w:szCs w:val="24"/>
          <w:lang w:eastAsia="en-US"/>
        </w:rPr>
        <w:t xml:space="preserve"> </w:t>
      </w:r>
      <w:proofErr w:type="spellStart"/>
      <w:r w:rsidRPr="003B6CF7">
        <w:rPr>
          <w:szCs w:val="24"/>
          <w:lang w:eastAsia="en-US"/>
        </w:rPr>
        <w:t>dibensofuraner</w:t>
      </w:r>
      <w:proofErr w:type="spellEnd"/>
      <w:r w:rsidRPr="003B6CF7">
        <w:rPr>
          <w:szCs w:val="24"/>
          <w:lang w:eastAsia="en-US"/>
        </w:rPr>
        <w:t xml:space="preserve"> (</w:t>
      </w:r>
      <w:proofErr w:type="spellStart"/>
      <w:r w:rsidRPr="003B6CF7">
        <w:rPr>
          <w:szCs w:val="24"/>
          <w:lang w:eastAsia="en-US"/>
        </w:rPr>
        <w:t>PCDF</w:t>
      </w:r>
      <w:proofErr w:type="spellEnd"/>
      <w:r w:rsidRPr="003B6CF7">
        <w:rPr>
          <w:szCs w:val="24"/>
          <w:lang w:eastAsia="en-US"/>
        </w:rPr>
        <w:t>): 2,3,7,8-</w:t>
      </w:r>
      <w:proofErr w:type="spellStart"/>
      <w:r w:rsidRPr="003B6CF7">
        <w:rPr>
          <w:szCs w:val="24"/>
          <w:lang w:eastAsia="en-US"/>
        </w:rPr>
        <w:t>T4CDF</w:t>
      </w:r>
      <w:proofErr w:type="spellEnd"/>
      <w:r w:rsidRPr="003B6CF7">
        <w:rPr>
          <w:szCs w:val="24"/>
          <w:lang w:eastAsia="en-US"/>
        </w:rPr>
        <w:t xml:space="preserve"> (CAS-nr 51207-31-9), 1,2,3,7,8-P5CDF (CAS-nr 57117-41-6), 2,3,4,7,8-P5CDF (CAS-nr 57117-31-4), 1,2,3,4,7,8-H6CDF (CAS-nr 70648-26-9), 1,2,3,6,7,8-H6CDF (CAS-nr 57117-44-9), 1,2,3,7,8,9-H6CDF (CAS-nr 72918-21-9), 2,3,4,6,7,8-H6CDF (CAS-nr 60851-34-5), 1,2,3,4,6,7,8-H7CDF (CAS-nr 67562-39-4), 1,2,3,4,7,8,9-H7CDF (CAS-nr 55673-89-7), 1,2,3,4,6,7,8,9-O8CDF (CAS-nr 39001-02-0);</w:t>
      </w:r>
    </w:p>
    <w:p w14:paraId="583B05E1" w14:textId="77777777" w:rsidR="001831FD" w:rsidRPr="003B6CF7" w:rsidRDefault="001831FD" w:rsidP="001831FD">
      <w:pPr>
        <w:spacing w:before="120" w:after="120" w:line="360" w:lineRule="auto"/>
        <w:ind w:left="1416"/>
        <w:rPr>
          <w:szCs w:val="24"/>
          <w:lang w:eastAsia="en-US"/>
        </w:rPr>
      </w:pPr>
      <w:r w:rsidRPr="003B6CF7">
        <w:rPr>
          <w:szCs w:val="24"/>
          <w:lang w:eastAsia="en-US"/>
        </w:rPr>
        <w:tab/>
        <w:t xml:space="preserve">12 dioxinlika </w:t>
      </w:r>
      <w:proofErr w:type="spellStart"/>
      <w:r w:rsidRPr="003B6CF7">
        <w:rPr>
          <w:szCs w:val="24"/>
          <w:lang w:eastAsia="en-US"/>
        </w:rPr>
        <w:t>polyklorerade</w:t>
      </w:r>
      <w:proofErr w:type="spellEnd"/>
      <w:r w:rsidRPr="003B6CF7">
        <w:rPr>
          <w:szCs w:val="24"/>
          <w:lang w:eastAsia="en-US"/>
        </w:rPr>
        <w:t xml:space="preserve"> bifenyler (PCB-DL): (PCB-DL): 3,3’,4,4’-T4CB (PCB 77, CAS-nr 32598-13-3), 3,3’,4’,5-T4CB (PCB 81, CAS-nr 70362-50-4), 2,3,3’,4,4’-P5CB (PCB 105, CAS-nr 32598-14-4), 2,3,4,4’,5-P5CB (PCB 114, CAS-nr 74472-37-0), 2,3’,4,4’,5-P5CB (PCB 118, CAS-nr 31508-00-6), 2,3’,4,4’,5’-P5CB (PCB 123, CAS-nr 65510-44-3), 3,3’,4,4’,5-P5CB (PCB 126, CAS-nr 57465-28-8), 2,3,3’,4,4’,5-H6CB (PCB 156, CAS-nr 38380-08-4), 2,3,3’,4,4’,5’-H6CB (PCB 157, CAS-nr 69782-90-7), 2,3’,4,4’,5,5’-H6CB (PCB 167, CAS-nr 52663-72-6), 3,3’,4,4’,5,5’-H6CB (PCB 169, CAS-nr 32774-16-6), 2,3,3’,4,4’,5,5’-H7CB (PCB 189, CAS-nr 39635-31-9).</w:t>
      </w:r>
    </w:p>
    <w:p w14:paraId="7D7E6F19" w14:textId="77777777" w:rsidR="001F7022" w:rsidRPr="003B6CF7" w:rsidRDefault="001F7022">
      <w:pPr>
        <w:widowControl/>
        <w:rPr>
          <w:szCs w:val="24"/>
          <w:lang w:eastAsia="en-US"/>
        </w:rPr>
      </w:pPr>
      <w:r w:rsidRPr="003B6CF7">
        <w:rPr>
          <w:szCs w:val="24"/>
          <w:lang w:eastAsia="en-US"/>
        </w:rPr>
        <w:br w:type="page"/>
      </w:r>
    </w:p>
    <w:p w14:paraId="6B5D5CE1" w14:textId="0466F981"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(22)</w:t>
      </w:r>
      <w:r w:rsidRPr="003B6CF7">
        <w:rPr>
          <w:szCs w:val="24"/>
          <w:lang w:eastAsia="en-US"/>
        </w:rPr>
        <w:tab/>
        <w:t xml:space="preserve">För gruppen dioxiner och dioxinlika föreningar (nr 37) avser miljökvalitetsnormen för </w:t>
      </w:r>
      <w:proofErr w:type="spellStart"/>
      <w:r w:rsidRPr="003B6CF7">
        <w:rPr>
          <w:szCs w:val="24"/>
          <w:lang w:eastAsia="en-US"/>
        </w:rPr>
        <w:t>biota</w:t>
      </w:r>
      <w:proofErr w:type="spellEnd"/>
      <w:r w:rsidRPr="003B6CF7">
        <w:rPr>
          <w:szCs w:val="24"/>
          <w:lang w:eastAsia="en-US"/>
        </w:rPr>
        <w:t xml:space="preserve"> summan av koncentrationerna av de ämnen som anges i fotnot 20 uttryckt som toxicitetsekvivalenter baserade på WHO:s toxicitetsekvivalensfaktorer från 2005.</w:t>
      </w:r>
    </w:p>
    <w:p w14:paraId="77C12343"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(23)</w:t>
      </w:r>
      <w:r w:rsidRPr="003B6CF7">
        <w:rPr>
          <w:szCs w:val="24"/>
          <w:lang w:eastAsia="en-US"/>
        </w:rPr>
        <w:tab/>
        <w:t xml:space="preserve">CAS-nr 52315-07-8 avser en isomerblandning av </w:t>
      </w:r>
      <w:proofErr w:type="spellStart"/>
      <w:r w:rsidRPr="003B6CF7">
        <w:rPr>
          <w:szCs w:val="24"/>
          <w:lang w:eastAsia="en-US"/>
        </w:rPr>
        <w:t>cypermetrin</w:t>
      </w:r>
      <w:proofErr w:type="spellEnd"/>
      <w:r w:rsidRPr="003B6CF7">
        <w:rPr>
          <w:szCs w:val="24"/>
          <w:lang w:eastAsia="en-US"/>
        </w:rPr>
        <w:t xml:space="preserve">, </w:t>
      </w:r>
      <w:proofErr w:type="spellStart"/>
      <w:r w:rsidRPr="003B6CF7">
        <w:rPr>
          <w:szCs w:val="24"/>
          <w:lang w:eastAsia="en-US"/>
        </w:rPr>
        <w:t>alfacypermetrin</w:t>
      </w:r>
      <w:proofErr w:type="spellEnd"/>
      <w:r w:rsidRPr="003B6CF7">
        <w:rPr>
          <w:szCs w:val="24"/>
          <w:lang w:eastAsia="en-US"/>
        </w:rPr>
        <w:t xml:space="preserve"> (CAS-nr 67375-30-8, EU-nr 257-842-9), </w:t>
      </w:r>
      <w:proofErr w:type="spellStart"/>
      <w:r w:rsidRPr="003B6CF7">
        <w:rPr>
          <w:szCs w:val="24"/>
          <w:lang w:eastAsia="en-US"/>
        </w:rPr>
        <w:t>betacypermetrin</w:t>
      </w:r>
      <w:proofErr w:type="spellEnd"/>
      <w:r w:rsidRPr="003B6CF7">
        <w:rPr>
          <w:szCs w:val="24"/>
          <w:lang w:eastAsia="en-US"/>
        </w:rPr>
        <w:t xml:space="preserve"> (CAS-nr 65731-84-2, EU-nr 265-898-0), </w:t>
      </w:r>
      <w:proofErr w:type="spellStart"/>
      <w:r w:rsidRPr="003B6CF7">
        <w:rPr>
          <w:szCs w:val="24"/>
          <w:lang w:eastAsia="en-US"/>
        </w:rPr>
        <w:t>thetacypermetrin</w:t>
      </w:r>
      <w:proofErr w:type="spellEnd"/>
      <w:r w:rsidRPr="003B6CF7">
        <w:rPr>
          <w:szCs w:val="24"/>
          <w:lang w:eastAsia="en-US"/>
        </w:rPr>
        <w:t xml:space="preserve"> (CAS-nr 71691-59-1) och </w:t>
      </w:r>
      <w:proofErr w:type="spellStart"/>
      <w:r w:rsidRPr="003B6CF7">
        <w:rPr>
          <w:szCs w:val="24"/>
          <w:lang w:eastAsia="en-US"/>
        </w:rPr>
        <w:t>zetacypermetrin</w:t>
      </w:r>
      <w:proofErr w:type="spellEnd"/>
      <w:r w:rsidRPr="003B6CF7">
        <w:rPr>
          <w:szCs w:val="24"/>
          <w:lang w:eastAsia="en-US"/>
        </w:rPr>
        <w:t xml:space="preserve"> (CAS-nr 52315-07-8, EU-nr 257-842-9).</w:t>
      </w:r>
    </w:p>
    <w:p w14:paraId="4772C789"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(24)</w:t>
      </w:r>
      <w:r w:rsidRPr="003B6CF7">
        <w:rPr>
          <w:szCs w:val="24"/>
          <w:lang w:eastAsia="en-US"/>
        </w:rPr>
        <w:tab/>
        <w:t>Detta avser 1,3,5,7,9,11-</w:t>
      </w:r>
      <w:proofErr w:type="spellStart"/>
      <w:r w:rsidRPr="003B6CF7">
        <w:rPr>
          <w:szCs w:val="24"/>
          <w:lang w:eastAsia="en-US"/>
        </w:rPr>
        <w:t>hexabromcyklododekan</w:t>
      </w:r>
      <w:proofErr w:type="spellEnd"/>
      <w:r w:rsidRPr="003B6CF7">
        <w:rPr>
          <w:szCs w:val="24"/>
          <w:lang w:eastAsia="en-US"/>
        </w:rPr>
        <w:t xml:space="preserve"> (CAS-nr 25637-99-4, EU-nr 247-148-4), 1,2,5,6,9,10- </w:t>
      </w:r>
      <w:proofErr w:type="spellStart"/>
      <w:r w:rsidRPr="003B6CF7">
        <w:rPr>
          <w:szCs w:val="24"/>
          <w:lang w:eastAsia="en-US"/>
        </w:rPr>
        <w:t>hexabromcyklododekan</w:t>
      </w:r>
      <w:proofErr w:type="spellEnd"/>
      <w:r w:rsidRPr="003B6CF7">
        <w:rPr>
          <w:szCs w:val="24"/>
          <w:lang w:eastAsia="en-US"/>
        </w:rPr>
        <w:t xml:space="preserve"> (CAS-nr 3194-55-6, EU-nr 221-695-9), </w:t>
      </w:r>
      <w:r w:rsidRPr="003B6CF7">
        <w:rPr>
          <w:szCs w:val="24"/>
          <w:lang w:val="en-GB" w:eastAsia="en-US"/>
        </w:rPr>
        <w:t>α</w:t>
      </w:r>
      <w:r w:rsidRPr="003B6CF7">
        <w:rPr>
          <w:szCs w:val="24"/>
          <w:lang w:eastAsia="en-US"/>
        </w:rPr>
        <w:t>-</w:t>
      </w:r>
      <w:proofErr w:type="spellStart"/>
      <w:r w:rsidRPr="003B6CF7">
        <w:rPr>
          <w:szCs w:val="24"/>
          <w:lang w:eastAsia="en-US"/>
        </w:rPr>
        <w:t>hexabromcyklododekan</w:t>
      </w:r>
      <w:proofErr w:type="spellEnd"/>
      <w:r w:rsidRPr="003B6CF7">
        <w:rPr>
          <w:szCs w:val="24"/>
          <w:lang w:eastAsia="en-US"/>
        </w:rPr>
        <w:t xml:space="preserve"> (CAS-nr 134237-50-6), </w:t>
      </w:r>
      <w:r w:rsidRPr="003B6CF7">
        <w:rPr>
          <w:szCs w:val="24"/>
          <w:lang w:val="en-GB" w:eastAsia="en-US"/>
        </w:rPr>
        <w:t>β</w:t>
      </w:r>
      <w:r w:rsidRPr="003B6CF7">
        <w:rPr>
          <w:szCs w:val="24"/>
          <w:lang w:eastAsia="en-US"/>
        </w:rPr>
        <w:t>-</w:t>
      </w:r>
      <w:proofErr w:type="spellStart"/>
      <w:r w:rsidRPr="003B6CF7">
        <w:rPr>
          <w:szCs w:val="24"/>
          <w:lang w:eastAsia="en-US"/>
        </w:rPr>
        <w:t>hexabromcyklododekan</w:t>
      </w:r>
      <w:proofErr w:type="spellEnd"/>
      <w:r w:rsidRPr="003B6CF7">
        <w:rPr>
          <w:szCs w:val="24"/>
          <w:lang w:eastAsia="en-US"/>
        </w:rPr>
        <w:t xml:space="preserve"> (CAS-nr 134237-51-7) och </w:t>
      </w:r>
      <w:r w:rsidRPr="003B6CF7">
        <w:rPr>
          <w:szCs w:val="24"/>
          <w:lang w:val="en-GB" w:eastAsia="en-US"/>
        </w:rPr>
        <w:t>γ</w:t>
      </w:r>
      <w:r w:rsidRPr="003B6CF7">
        <w:rPr>
          <w:szCs w:val="24"/>
          <w:lang w:eastAsia="en-US"/>
        </w:rPr>
        <w:t>-</w:t>
      </w:r>
      <w:proofErr w:type="spellStart"/>
      <w:r w:rsidRPr="003B6CF7">
        <w:rPr>
          <w:szCs w:val="24"/>
          <w:lang w:eastAsia="en-US"/>
        </w:rPr>
        <w:t>hexabromcyklododekan</w:t>
      </w:r>
      <w:proofErr w:type="spellEnd"/>
      <w:r w:rsidRPr="003B6CF7">
        <w:rPr>
          <w:szCs w:val="24"/>
          <w:lang w:eastAsia="en-US"/>
        </w:rPr>
        <w:t xml:space="preserve"> (CAS-nr 134237-52-8).</w:t>
      </w:r>
    </w:p>
    <w:p w14:paraId="195DB8E6" w14:textId="77777777" w:rsidR="001831FD" w:rsidRPr="003B6CF7" w:rsidRDefault="001831FD" w:rsidP="001831FD">
      <w:pPr>
        <w:spacing w:before="120" w:after="120" w:line="360" w:lineRule="auto"/>
        <w:ind w:left="1416" w:hanging="566"/>
        <w:rPr>
          <w:szCs w:val="24"/>
          <w:lang w:eastAsia="en-US"/>
        </w:rPr>
      </w:pPr>
      <w:r w:rsidRPr="003B6CF7">
        <w:rPr>
          <w:strike/>
          <w:szCs w:val="24"/>
          <w:vertAlign w:val="superscript"/>
          <w:lang w:eastAsia="en-US"/>
        </w:rPr>
        <w:t>(25)</w:t>
      </w:r>
      <w:r w:rsidRPr="003B6CF7">
        <w:rPr>
          <w:szCs w:val="24"/>
          <w:lang w:eastAsia="en-US"/>
        </w:rPr>
        <w:tab/>
      </w:r>
      <w:r w:rsidRPr="003B6CF7">
        <w:rPr>
          <w:strike/>
          <w:szCs w:val="24"/>
          <w:lang w:eastAsia="en-US"/>
        </w:rPr>
        <w:t>För sötvatten som används för uttag och beredning av dricksvatten.</w:t>
      </w:r>
    </w:p>
    <w:p w14:paraId="3B8B1923" w14:textId="77777777" w:rsidR="001831FD" w:rsidRPr="003B6CF7" w:rsidRDefault="001831FD" w:rsidP="001831FD">
      <w:pPr>
        <w:spacing w:before="120" w:after="120" w:line="360" w:lineRule="auto"/>
        <w:ind w:left="1416" w:hanging="566"/>
        <w:rPr>
          <w:szCs w:val="24"/>
          <w:lang w:eastAsia="en-US"/>
        </w:rPr>
      </w:pPr>
      <w:r w:rsidRPr="003B6CF7">
        <w:rPr>
          <w:strike/>
          <w:szCs w:val="24"/>
          <w:vertAlign w:val="superscript"/>
          <w:lang w:eastAsia="en-US"/>
        </w:rPr>
        <w:t>(26)</w:t>
      </w:r>
      <w:r w:rsidRPr="003B6CF7">
        <w:rPr>
          <w:szCs w:val="24"/>
          <w:lang w:eastAsia="en-US"/>
        </w:rPr>
        <w:tab/>
      </w:r>
      <w:r w:rsidRPr="003B6CF7">
        <w:rPr>
          <w:strike/>
          <w:szCs w:val="24"/>
          <w:lang w:eastAsia="en-US"/>
        </w:rPr>
        <w:t>För sötvatten som används för uttag och beredning av dricksvatten.</w:t>
      </w:r>
    </w:p>
    <w:p w14:paraId="1F5499F5" w14:textId="77777777" w:rsidR="001F7022" w:rsidRPr="003B6CF7" w:rsidRDefault="001F7022">
      <w:pPr>
        <w:widowControl/>
        <w:rPr>
          <w:szCs w:val="24"/>
          <w:lang w:eastAsia="en-US"/>
        </w:rPr>
      </w:pPr>
      <w:r w:rsidRPr="003B6CF7">
        <w:rPr>
          <w:szCs w:val="24"/>
          <w:lang w:eastAsia="en-US"/>
        </w:rPr>
        <w:br w:type="page"/>
      </w:r>
    </w:p>
    <w:p w14:paraId="6250156D" w14:textId="76791CD9"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(27)</w:t>
      </w:r>
      <w:r w:rsidRPr="003B6CF7">
        <w:rPr>
          <w:szCs w:val="24"/>
          <w:lang w:eastAsia="en-US"/>
        </w:rPr>
        <w:tab/>
        <w:t>Detta avser följande föreningar, förtecknade med CAS-nummer, EU-nummer och relativ potensfaktor (RPF):</w:t>
      </w:r>
    </w:p>
    <w:p w14:paraId="3552DBE7" w14:textId="77777777" w:rsidR="001831FD" w:rsidRPr="003B6CF7" w:rsidRDefault="001831FD" w:rsidP="001831FD">
      <w:pPr>
        <w:spacing w:before="120" w:after="120" w:line="360" w:lineRule="auto"/>
        <w:ind w:left="1416"/>
        <w:rPr>
          <w:szCs w:val="24"/>
          <w:lang w:eastAsia="en-US"/>
        </w:rPr>
      </w:pPr>
      <w:r w:rsidRPr="003B6CF7">
        <w:rPr>
          <w:szCs w:val="24"/>
          <w:lang w:eastAsia="en-US"/>
        </w:rPr>
        <w:tab/>
      </w:r>
      <w:proofErr w:type="spellStart"/>
      <w:r w:rsidRPr="003B6CF7">
        <w:rPr>
          <w:szCs w:val="24"/>
          <w:lang w:eastAsia="en-US"/>
        </w:rPr>
        <w:t>perfluoroktansyra</w:t>
      </w:r>
      <w:proofErr w:type="spellEnd"/>
      <w:r w:rsidRPr="003B6CF7">
        <w:rPr>
          <w:szCs w:val="24"/>
          <w:lang w:eastAsia="en-US"/>
        </w:rPr>
        <w:t xml:space="preserve"> (</w:t>
      </w:r>
      <w:proofErr w:type="spellStart"/>
      <w:r w:rsidRPr="003B6CF7">
        <w:rPr>
          <w:szCs w:val="24"/>
          <w:lang w:eastAsia="en-US"/>
        </w:rPr>
        <w:t>PFOA</w:t>
      </w:r>
      <w:proofErr w:type="spellEnd"/>
      <w:r w:rsidRPr="003B6CF7">
        <w:rPr>
          <w:szCs w:val="24"/>
          <w:lang w:eastAsia="en-US"/>
        </w:rPr>
        <w:t>) (CAS 335-67-1, EU 206-397-9) (</w:t>
      </w:r>
      <w:proofErr w:type="spellStart"/>
      <w:r w:rsidRPr="003B6CF7">
        <w:rPr>
          <w:szCs w:val="24"/>
          <w:lang w:eastAsia="en-US"/>
        </w:rPr>
        <w:t>RPF</w:t>
      </w:r>
      <w:proofErr w:type="spellEnd"/>
      <w:r w:rsidRPr="003B6CF7">
        <w:rPr>
          <w:szCs w:val="24"/>
          <w:lang w:eastAsia="en-US"/>
        </w:rPr>
        <w:t xml:space="preserve"> 1), </w:t>
      </w:r>
      <w:proofErr w:type="spellStart"/>
      <w:r w:rsidRPr="003B6CF7">
        <w:rPr>
          <w:szCs w:val="24"/>
          <w:lang w:eastAsia="en-US"/>
        </w:rPr>
        <w:t>perfluoroktansulfonsyra</w:t>
      </w:r>
      <w:proofErr w:type="spellEnd"/>
      <w:r w:rsidRPr="003B6CF7">
        <w:rPr>
          <w:szCs w:val="24"/>
          <w:lang w:eastAsia="en-US"/>
        </w:rPr>
        <w:t xml:space="preserve"> (</w:t>
      </w:r>
      <w:proofErr w:type="spellStart"/>
      <w:r w:rsidRPr="003B6CF7">
        <w:rPr>
          <w:szCs w:val="24"/>
          <w:lang w:eastAsia="en-US"/>
        </w:rPr>
        <w:t>PFOS</w:t>
      </w:r>
      <w:proofErr w:type="spellEnd"/>
      <w:r w:rsidRPr="003B6CF7">
        <w:rPr>
          <w:szCs w:val="24"/>
          <w:lang w:eastAsia="en-US"/>
        </w:rPr>
        <w:t>) (CAS 1763-23-1, EU 217-179-8) (</w:t>
      </w:r>
      <w:proofErr w:type="spellStart"/>
      <w:r w:rsidRPr="003B6CF7">
        <w:rPr>
          <w:szCs w:val="24"/>
          <w:lang w:eastAsia="en-US"/>
        </w:rPr>
        <w:t>RPF</w:t>
      </w:r>
      <w:proofErr w:type="spellEnd"/>
      <w:r w:rsidRPr="003B6CF7">
        <w:rPr>
          <w:szCs w:val="24"/>
          <w:lang w:eastAsia="en-US"/>
        </w:rPr>
        <w:t xml:space="preserve"> 2), </w:t>
      </w:r>
      <w:proofErr w:type="spellStart"/>
      <w:r w:rsidRPr="003B6CF7">
        <w:rPr>
          <w:szCs w:val="24"/>
          <w:lang w:eastAsia="en-US"/>
        </w:rPr>
        <w:t>perfluorhexansulfonsyra</w:t>
      </w:r>
      <w:proofErr w:type="spellEnd"/>
      <w:r w:rsidRPr="003B6CF7">
        <w:rPr>
          <w:szCs w:val="24"/>
          <w:lang w:eastAsia="en-US"/>
        </w:rPr>
        <w:t xml:space="preserve"> (</w:t>
      </w:r>
      <w:proofErr w:type="spellStart"/>
      <w:r w:rsidRPr="003B6CF7">
        <w:rPr>
          <w:szCs w:val="24"/>
          <w:lang w:eastAsia="en-US"/>
        </w:rPr>
        <w:t>PFHxS</w:t>
      </w:r>
      <w:proofErr w:type="spellEnd"/>
      <w:r w:rsidRPr="003B6CF7">
        <w:rPr>
          <w:szCs w:val="24"/>
          <w:lang w:eastAsia="en-US"/>
        </w:rPr>
        <w:t>) (CAS 355-46-4, EU 206-587-1) (</w:t>
      </w:r>
      <w:proofErr w:type="spellStart"/>
      <w:r w:rsidRPr="003B6CF7">
        <w:rPr>
          <w:szCs w:val="24"/>
          <w:lang w:eastAsia="en-US"/>
        </w:rPr>
        <w:t>RPF</w:t>
      </w:r>
      <w:proofErr w:type="spellEnd"/>
      <w:r w:rsidRPr="003B6CF7">
        <w:rPr>
          <w:szCs w:val="24"/>
          <w:lang w:eastAsia="en-US"/>
        </w:rPr>
        <w:t xml:space="preserve"> 0,6), </w:t>
      </w:r>
      <w:proofErr w:type="spellStart"/>
      <w:r w:rsidRPr="003B6CF7">
        <w:rPr>
          <w:szCs w:val="24"/>
          <w:lang w:eastAsia="en-US"/>
        </w:rPr>
        <w:t>perfluornonansyra</w:t>
      </w:r>
      <w:proofErr w:type="spellEnd"/>
      <w:r w:rsidRPr="003B6CF7">
        <w:rPr>
          <w:szCs w:val="24"/>
          <w:lang w:eastAsia="en-US"/>
        </w:rPr>
        <w:t xml:space="preserve"> (</w:t>
      </w:r>
      <w:proofErr w:type="spellStart"/>
      <w:r w:rsidRPr="003B6CF7">
        <w:rPr>
          <w:szCs w:val="24"/>
          <w:lang w:eastAsia="en-US"/>
        </w:rPr>
        <w:t>PFNA</w:t>
      </w:r>
      <w:proofErr w:type="spellEnd"/>
      <w:r w:rsidRPr="003B6CF7">
        <w:rPr>
          <w:szCs w:val="24"/>
          <w:lang w:eastAsia="en-US"/>
        </w:rPr>
        <w:t>) (CAS 375-95-1, EU 206-801-3) (</w:t>
      </w:r>
      <w:proofErr w:type="spellStart"/>
      <w:r w:rsidRPr="003B6CF7">
        <w:rPr>
          <w:szCs w:val="24"/>
          <w:lang w:eastAsia="en-US"/>
        </w:rPr>
        <w:t>RPF</w:t>
      </w:r>
      <w:proofErr w:type="spellEnd"/>
      <w:r w:rsidRPr="003B6CF7">
        <w:rPr>
          <w:szCs w:val="24"/>
          <w:lang w:eastAsia="en-US"/>
        </w:rPr>
        <w:t xml:space="preserve"> 10), </w:t>
      </w:r>
      <w:proofErr w:type="spellStart"/>
      <w:r w:rsidRPr="003B6CF7">
        <w:rPr>
          <w:szCs w:val="24"/>
          <w:lang w:eastAsia="en-US"/>
        </w:rPr>
        <w:t>perfluorbutansulfonsyra</w:t>
      </w:r>
      <w:proofErr w:type="spellEnd"/>
      <w:r w:rsidRPr="003B6CF7">
        <w:rPr>
          <w:szCs w:val="24"/>
          <w:lang w:eastAsia="en-US"/>
        </w:rPr>
        <w:t xml:space="preserve"> (</w:t>
      </w:r>
      <w:proofErr w:type="spellStart"/>
      <w:r w:rsidRPr="003B6CF7">
        <w:rPr>
          <w:szCs w:val="24"/>
          <w:lang w:eastAsia="en-US"/>
        </w:rPr>
        <w:t>PFBS</w:t>
      </w:r>
      <w:proofErr w:type="spellEnd"/>
      <w:r w:rsidRPr="003B6CF7">
        <w:rPr>
          <w:szCs w:val="24"/>
          <w:lang w:eastAsia="en-US"/>
        </w:rPr>
        <w:t>) (CAS 375-73-5, EU 206-793-1) (</w:t>
      </w:r>
      <w:proofErr w:type="spellStart"/>
      <w:r w:rsidRPr="003B6CF7">
        <w:rPr>
          <w:szCs w:val="24"/>
          <w:lang w:eastAsia="en-US"/>
        </w:rPr>
        <w:t>RPF</w:t>
      </w:r>
      <w:proofErr w:type="spellEnd"/>
      <w:r w:rsidRPr="003B6CF7">
        <w:rPr>
          <w:szCs w:val="24"/>
          <w:lang w:eastAsia="en-US"/>
        </w:rPr>
        <w:t xml:space="preserve"> 0,001), </w:t>
      </w:r>
      <w:proofErr w:type="spellStart"/>
      <w:r w:rsidRPr="003B6CF7">
        <w:rPr>
          <w:szCs w:val="24"/>
          <w:lang w:eastAsia="en-US"/>
        </w:rPr>
        <w:t>perfluorhexansyra</w:t>
      </w:r>
      <w:proofErr w:type="spellEnd"/>
      <w:r w:rsidRPr="003B6CF7">
        <w:rPr>
          <w:szCs w:val="24"/>
          <w:lang w:eastAsia="en-US"/>
        </w:rPr>
        <w:t xml:space="preserve"> (</w:t>
      </w:r>
      <w:proofErr w:type="spellStart"/>
      <w:r w:rsidRPr="003B6CF7">
        <w:rPr>
          <w:szCs w:val="24"/>
          <w:lang w:eastAsia="en-US"/>
        </w:rPr>
        <w:t>PFHxA</w:t>
      </w:r>
      <w:proofErr w:type="spellEnd"/>
      <w:r w:rsidRPr="003B6CF7">
        <w:rPr>
          <w:szCs w:val="24"/>
          <w:lang w:eastAsia="en-US"/>
        </w:rPr>
        <w:t>) (CAS 307-24-4, EU 206-196-6) (</w:t>
      </w:r>
      <w:proofErr w:type="spellStart"/>
      <w:r w:rsidRPr="003B6CF7">
        <w:rPr>
          <w:szCs w:val="24"/>
          <w:lang w:eastAsia="en-US"/>
        </w:rPr>
        <w:t>RPF</w:t>
      </w:r>
      <w:proofErr w:type="spellEnd"/>
      <w:r w:rsidRPr="003B6CF7">
        <w:rPr>
          <w:szCs w:val="24"/>
          <w:lang w:eastAsia="en-US"/>
        </w:rPr>
        <w:t xml:space="preserve"> 0,01), </w:t>
      </w:r>
      <w:proofErr w:type="spellStart"/>
      <w:r w:rsidRPr="003B6CF7">
        <w:rPr>
          <w:szCs w:val="24"/>
          <w:lang w:eastAsia="en-US"/>
        </w:rPr>
        <w:t>perfluorbutansyra</w:t>
      </w:r>
      <w:proofErr w:type="spellEnd"/>
      <w:r w:rsidRPr="003B6CF7">
        <w:rPr>
          <w:szCs w:val="24"/>
          <w:lang w:eastAsia="en-US"/>
        </w:rPr>
        <w:t xml:space="preserve"> (</w:t>
      </w:r>
      <w:proofErr w:type="spellStart"/>
      <w:r w:rsidRPr="003B6CF7">
        <w:rPr>
          <w:szCs w:val="24"/>
          <w:lang w:eastAsia="en-US"/>
        </w:rPr>
        <w:t>PFBA</w:t>
      </w:r>
      <w:proofErr w:type="spellEnd"/>
      <w:r w:rsidRPr="003B6CF7">
        <w:rPr>
          <w:szCs w:val="24"/>
          <w:lang w:eastAsia="en-US"/>
        </w:rPr>
        <w:t>) (CAS 375-22-4, EU 206-786-3) (</w:t>
      </w:r>
      <w:proofErr w:type="spellStart"/>
      <w:r w:rsidRPr="003B6CF7">
        <w:rPr>
          <w:szCs w:val="24"/>
          <w:lang w:eastAsia="en-US"/>
        </w:rPr>
        <w:t>RPF</w:t>
      </w:r>
      <w:proofErr w:type="spellEnd"/>
      <w:r w:rsidRPr="003B6CF7">
        <w:rPr>
          <w:szCs w:val="24"/>
          <w:lang w:eastAsia="en-US"/>
        </w:rPr>
        <w:t xml:space="preserve"> 0,05), </w:t>
      </w:r>
      <w:proofErr w:type="spellStart"/>
      <w:r w:rsidRPr="003B6CF7">
        <w:rPr>
          <w:szCs w:val="24"/>
          <w:lang w:eastAsia="en-US"/>
        </w:rPr>
        <w:t>perfluorpentansyra</w:t>
      </w:r>
      <w:proofErr w:type="spellEnd"/>
      <w:r w:rsidRPr="003B6CF7">
        <w:rPr>
          <w:szCs w:val="24"/>
          <w:lang w:eastAsia="en-US"/>
        </w:rPr>
        <w:t xml:space="preserve"> (</w:t>
      </w:r>
      <w:proofErr w:type="spellStart"/>
      <w:r w:rsidRPr="003B6CF7">
        <w:rPr>
          <w:szCs w:val="24"/>
          <w:lang w:eastAsia="en-US"/>
        </w:rPr>
        <w:t>PFPeA</w:t>
      </w:r>
      <w:proofErr w:type="spellEnd"/>
      <w:r w:rsidRPr="003B6CF7">
        <w:rPr>
          <w:szCs w:val="24"/>
          <w:lang w:eastAsia="en-US"/>
        </w:rPr>
        <w:t>) (CAS 2706-90-3, EU 220-300-7) (</w:t>
      </w:r>
      <w:proofErr w:type="spellStart"/>
      <w:r w:rsidRPr="003B6CF7">
        <w:rPr>
          <w:szCs w:val="24"/>
          <w:lang w:eastAsia="en-US"/>
        </w:rPr>
        <w:t>RPF</w:t>
      </w:r>
      <w:proofErr w:type="spellEnd"/>
      <w:r w:rsidRPr="003B6CF7">
        <w:rPr>
          <w:szCs w:val="24"/>
          <w:lang w:eastAsia="en-US"/>
        </w:rPr>
        <w:t xml:space="preserve"> 0,03), </w:t>
      </w:r>
      <w:proofErr w:type="spellStart"/>
      <w:r w:rsidRPr="003B6CF7">
        <w:rPr>
          <w:szCs w:val="24"/>
          <w:lang w:eastAsia="en-US"/>
        </w:rPr>
        <w:t>perfluorpentansulfonsyra</w:t>
      </w:r>
      <w:proofErr w:type="spellEnd"/>
      <w:r w:rsidRPr="003B6CF7">
        <w:rPr>
          <w:szCs w:val="24"/>
          <w:lang w:eastAsia="en-US"/>
        </w:rPr>
        <w:t xml:space="preserve"> (</w:t>
      </w:r>
      <w:proofErr w:type="spellStart"/>
      <w:r w:rsidRPr="003B6CF7">
        <w:rPr>
          <w:szCs w:val="24"/>
          <w:lang w:eastAsia="en-US"/>
        </w:rPr>
        <w:t>PFPeS</w:t>
      </w:r>
      <w:proofErr w:type="spellEnd"/>
      <w:r w:rsidRPr="003B6CF7">
        <w:rPr>
          <w:szCs w:val="24"/>
          <w:lang w:eastAsia="en-US"/>
        </w:rPr>
        <w:t>) (CAS 2706-91-4, EU 220-301-2) (</w:t>
      </w:r>
      <w:proofErr w:type="spellStart"/>
      <w:r w:rsidRPr="003B6CF7">
        <w:rPr>
          <w:szCs w:val="24"/>
          <w:lang w:eastAsia="en-US"/>
        </w:rPr>
        <w:t>RPF</w:t>
      </w:r>
      <w:proofErr w:type="spellEnd"/>
      <w:r w:rsidRPr="003B6CF7">
        <w:rPr>
          <w:szCs w:val="24"/>
          <w:lang w:eastAsia="en-US"/>
        </w:rPr>
        <w:t xml:space="preserve"> 0,3005), </w:t>
      </w:r>
      <w:proofErr w:type="spellStart"/>
      <w:r w:rsidRPr="003B6CF7">
        <w:rPr>
          <w:szCs w:val="24"/>
          <w:lang w:eastAsia="en-US"/>
        </w:rPr>
        <w:t>perfluordekansyra</w:t>
      </w:r>
      <w:proofErr w:type="spellEnd"/>
      <w:r w:rsidRPr="003B6CF7">
        <w:rPr>
          <w:szCs w:val="24"/>
          <w:lang w:eastAsia="en-US"/>
        </w:rPr>
        <w:t xml:space="preserve"> (</w:t>
      </w:r>
      <w:proofErr w:type="spellStart"/>
      <w:r w:rsidRPr="003B6CF7">
        <w:rPr>
          <w:szCs w:val="24"/>
          <w:lang w:eastAsia="en-US"/>
        </w:rPr>
        <w:t>PFDA</w:t>
      </w:r>
      <w:proofErr w:type="spellEnd"/>
      <w:r w:rsidRPr="003B6CF7">
        <w:rPr>
          <w:szCs w:val="24"/>
          <w:lang w:eastAsia="en-US"/>
        </w:rPr>
        <w:t>) (CAS 335-76-2, EU 206-400-3) (</w:t>
      </w:r>
      <w:proofErr w:type="spellStart"/>
      <w:r w:rsidRPr="003B6CF7">
        <w:rPr>
          <w:szCs w:val="24"/>
          <w:lang w:eastAsia="en-US"/>
        </w:rPr>
        <w:t>RPF</w:t>
      </w:r>
      <w:proofErr w:type="spellEnd"/>
      <w:r w:rsidRPr="003B6CF7">
        <w:rPr>
          <w:szCs w:val="24"/>
          <w:lang w:eastAsia="en-US"/>
        </w:rPr>
        <w:t xml:space="preserve"> 7), </w:t>
      </w:r>
      <w:proofErr w:type="spellStart"/>
      <w:r w:rsidRPr="003B6CF7">
        <w:rPr>
          <w:szCs w:val="24"/>
          <w:lang w:eastAsia="en-US"/>
        </w:rPr>
        <w:t>perfluordodekansyra</w:t>
      </w:r>
      <w:proofErr w:type="spellEnd"/>
      <w:r w:rsidRPr="003B6CF7">
        <w:rPr>
          <w:szCs w:val="24"/>
          <w:lang w:eastAsia="en-US"/>
        </w:rPr>
        <w:t xml:space="preserve"> (</w:t>
      </w:r>
      <w:proofErr w:type="spellStart"/>
      <w:r w:rsidRPr="003B6CF7">
        <w:rPr>
          <w:szCs w:val="24"/>
          <w:lang w:eastAsia="en-US"/>
        </w:rPr>
        <w:t>PFDoDA</w:t>
      </w:r>
      <w:proofErr w:type="spellEnd"/>
      <w:r w:rsidRPr="003B6CF7">
        <w:rPr>
          <w:szCs w:val="24"/>
          <w:lang w:eastAsia="en-US"/>
        </w:rPr>
        <w:t xml:space="preserve"> eller </w:t>
      </w:r>
      <w:proofErr w:type="spellStart"/>
      <w:r w:rsidRPr="003B6CF7">
        <w:rPr>
          <w:szCs w:val="24"/>
          <w:lang w:eastAsia="en-US"/>
        </w:rPr>
        <w:t>PFDoA</w:t>
      </w:r>
      <w:proofErr w:type="spellEnd"/>
      <w:r w:rsidRPr="003B6CF7">
        <w:rPr>
          <w:szCs w:val="24"/>
          <w:lang w:eastAsia="en-US"/>
        </w:rPr>
        <w:t>) (CAS 307-55-1, EU 206-203-2) (</w:t>
      </w:r>
      <w:proofErr w:type="spellStart"/>
      <w:r w:rsidRPr="003B6CF7">
        <w:rPr>
          <w:szCs w:val="24"/>
          <w:lang w:eastAsia="en-US"/>
        </w:rPr>
        <w:t>RPF</w:t>
      </w:r>
      <w:proofErr w:type="spellEnd"/>
      <w:r w:rsidRPr="003B6CF7">
        <w:rPr>
          <w:szCs w:val="24"/>
          <w:lang w:eastAsia="en-US"/>
        </w:rPr>
        <w:t xml:space="preserve"> 3), </w:t>
      </w:r>
      <w:proofErr w:type="spellStart"/>
      <w:r w:rsidRPr="003B6CF7">
        <w:rPr>
          <w:szCs w:val="24"/>
          <w:lang w:eastAsia="en-US"/>
        </w:rPr>
        <w:t>perfluorundekansyra</w:t>
      </w:r>
      <w:proofErr w:type="spellEnd"/>
      <w:r w:rsidRPr="003B6CF7">
        <w:rPr>
          <w:szCs w:val="24"/>
          <w:lang w:eastAsia="en-US"/>
        </w:rPr>
        <w:t xml:space="preserve"> (</w:t>
      </w:r>
      <w:proofErr w:type="spellStart"/>
      <w:r w:rsidRPr="003B6CF7">
        <w:rPr>
          <w:szCs w:val="24"/>
          <w:lang w:eastAsia="en-US"/>
        </w:rPr>
        <w:t>PFUnDA</w:t>
      </w:r>
      <w:proofErr w:type="spellEnd"/>
      <w:r w:rsidRPr="003B6CF7">
        <w:rPr>
          <w:szCs w:val="24"/>
          <w:lang w:eastAsia="en-US"/>
        </w:rPr>
        <w:t xml:space="preserve"> eller </w:t>
      </w:r>
      <w:proofErr w:type="spellStart"/>
      <w:r w:rsidRPr="003B6CF7">
        <w:rPr>
          <w:szCs w:val="24"/>
          <w:lang w:eastAsia="en-US"/>
        </w:rPr>
        <w:t>PFUnA</w:t>
      </w:r>
      <w:proofErr w:type="spellEnd"/>
      <w:r w:rsidRPr="003B6CF7">
        <w:rPr>
          <w:szCs w:val="24"/>
          <w:lang w:eastAsia="en-US"/>
        </w:rPr>
        <w:t>) (CAS 2058-94-8, EU 218-165-4) (</w:t>
      </w:r>
      <w:proofErr w:type="spellStart"/>
      <w:r w:rsidRPr="003B6CF7">
        <w:rPr>
          <w:szCs w:val="24"/>
          <w:lang w:eastAsia="en-US"/>
        </w:rPr>
        <w:t>RPF</w:t>
      </w:r>
      <w:proofErr w:type="spellEnd"/>
      <w:r w:rsidRPr="003B6CF7">
        <w:rPr>
          <w:szCs w:val="24"/>
          <w:lang w:eastAsia="en-US"/>
        </w:rPr>
        <w:t xml:space="preserve"> 4), </w:t>
      </w:r>
      <w:proofErr w:type="spellStart"/>
      <w:r w:rsidRPr="003B6CF7">
        <w:rPr>
          <w:szCs w:val="24"/>
          <w:lang w:eastAsia="en-US"/>
        </w:rPr>
        <w:t>perfluorheptansyra</w:t>
      </w:r>
      <w:proofErr w:type="spellEnd"/>
      <w:r w:rsidRPr="003B6CF7">
        <w:rPr>
          <w:szCs w:val="24"/>
          <w:lang w:eastAsia="en-US"/>
        </w:rPr>
        <w:t xml:space="preserve"> (</w:t>
      </w:r>
      <w:proofErr w:type="spellStart"/>
      <w:r w:rsidRPr="003B6CF7">
        <w:rPr>
          <w:szCs w:val="24"/>
          <w:lang w:eastAsia="en-US"/>
        </w:rPr>
        <w:t>PFHpA</w:t>
      </w:r>
      <w:proofErr w:type="spellEnd"/>
      <w:r w:rsidRPr="003B6CF7">
        <w:rPr>
          <w:szCs w:val="24"/>
          <w:lang w:eastAsia="en-US"/>
        </w:rPr>
        <w:t>) (CAS 375-85-9, EU 206-798-9) (</w:t>
      </w:r>
      <w:proofErr w:type="spellStart"/>
      <w:r w:rsidRPr="003B6CF7">
        <w:rPr>
          <w:szCs w:val="24"/>
          <w:lang w:eastAsia="en-US"/>
        </w:rPr>
        <w:t>RPF</w:t>
      </w:r>
      <w:proofErr w:type="spellEnd"/>
      <w:r w:rsidRPr="003B6CF7">
        <w:rPr>
          <w:szCs w:val="24"/>
          <w:lang w:eastAsia="en-US"/>
        </w:rPr>
        <w:t xml:space="preserve"> 0,505), </w:t>
      </w:r>
      <w:proofErr w:type="spellStart"/>
      <w:r w:rsidRPr="003B6CF7">
        <w:rPr>
          <w:szCs w:val="24"/>
          <w:lang w:eastAsia="en-US"/>
        </w:rPr>
        <w:t>perfluortridekansyra</w:t>
      </w:r>
      <w:proofErr w:type="spellEnd"/>
      <w:r w:rsidRPr="003B6CF7">
        <w:rPr>
          <w:szCs w:val="24"/>
          <w:lang w:eastAsia="en-US"/>
        </w:rPr>
        <w:t xml:space="preserve"> (</w:t>
      </w:r>
      <w:proofErr w:type="spellStart"/>
      <w:r w:rsidRPr="003B6CF7">
        <w:rPr>
          <w:szCs w:val="24"/>
          <w:lang w:eastAsia="en-US"/>
        </w:rPr>
        <w:t>PFTrDA</w:t>
      </w:r>
      <w:proofErr w:type="spellEnd"/>
      <w:r w:rsidRPr="003B6CF7">
        <w:rPr>
          <w:szCs w:val="24"/>
          <w:lang w:eastAsia="en-US"/>
        </w:rPr>
        <w:t>) (CAS 72629-94-8, EU 276-745-2) (</w:t>
      </w:r>
      <w:proofErr w:type="spellStart"/>
      <w:r w:rsidRPr="003B6CF7">
        <w:rPr>
          <w:szCs w:val="24"/>
          <w:lang w:eastAsia="en-US"/>
        </w:rPr>
        <w:t>RPF</w:t>
      </w:r>
      <w:proofErr w:type="spellEnd"/>
      <w:r w:rsidRPr="003B6CF7">
        <w:rPr>
          <w:szCs w:val="24"/>
          <w:lang w:eastAsia="en-US"/>
        </w:rPr>
        <w:t xml:space="preserve"> 1,65), </w:t>
      </w:r>
      <w:proofErr w:type="spellStart"/>
      <w:r w:rsidRPr="003B6CF7">
        <w:rPr>
          <w:szCs w:val="24"/>
          <w:lang w:eastAsia="en-US"/>
        </w:rPr>
        <w:t>perfluorheptansulfonsyra</w:t>
      </w:r>
      <w:proofErr w:type="spellEnd"/>
      <w:r w:rsidRPr="003B6CF7">
        <w:rPr>
          <w:szCs w:val="24"/>
          <w:lang w:eastAsia="en-US"/>
        </w:rPr>
        <w:t xml:space="preserve"> (</w:t>
      </w:r>
      <w:proofErr w:type="spellStart"/>
      <w:r w:rsidRPr="003B6CF7">
        <w:rPr>
          <w:szCs w:val="24"/>
          <w:lang w:eastAsia="en-US"/>
        </w:rPr>
        <w:t>PFHpS</w:t>
      </w:r>
      <w:proofErr w:type="spellEnd"/>
      <w:r w:rsidRPr="003B6CF7">
        <w:rPr>
          <w:szCs w:val="24"/>
          <w:lang w:eastAsia="en-US"/>
        </w:rPr>
        <w:t>) (CAS 375-92-8, EU 206-800-8) (</w:t>
      </w:r>
      <w:proofErr w:type="spellStart"/>
      <w:r w:rsidRPr="003B6CF7">
        <w:rPr>
          <w:szCs w:val="24"/>
          <w:lang w:eastAsia="en-US"/>
        </w:rPr>
        <w:t>RPF</w:t>
      </w:r>
      <w:proofErr w:type="spellEnd"/>
      <w:r w:rsidRPr="003B6CF7">
        <w:rPr>
          <w:szCs w:val="24"/>
          <w:lang w:eastAsia="en-US"/>
        </w:rPr>
        <w:t xml:space="preserve"> 1,3), </w:t>
      </w:r>
      <w:proofErr w:type="spellStart"/>
      <w:r w:rsidRPr="003B6CF7">
        <w:rPr>
          <w:szCs w:val="24"/>
          <w:lang w:eastAsia="en-US"/>
        </w:rPr>
        <w:t>perfluordekansulfonsyra</w:t>
      </w:r>
      <w:proofErr w:type="spellEnd"/>
      <w:r w:rsidRPr="003B6CF7">
        <w:rPr>
          <w:szCs w:val="24"/>
          <w:lang w:eastAsia="en-US"/>
        </w:rPr>
        <w:t xml:space="preserve"> (</w:t>
      </w:r>
      <w:proofErr w:type="spellStart"/>
      <w:r w:rsidRPr="003B6CF7">
        <w:rPr>
          <w:szCs w:val="24"/>
          <w:lang w:eastAsia="en-US"/>
        </w:rPr>
        <w:t>PFDS</w:t>
      </w:r>
      <w:proofErr w:type="spellEnd"/>
      <w:r w:rsidRPr="003B6CF7">
        <w:rPr>
          <w:szCs w:val="24"/>
          <w:lang w:eastAsia="en-US"/>
        </w:rPr>
        <w:t>) (CAS 335-77-3, EU 206-401-9) (</w:t>
      </w:r>
      <w:proofErr w:type="spellStart"/>
      <w:r w:rsidRPr="003B6CF7">
        <w:rPr>
          <w:szCs w:val="24"/>
          <w:lang w:eastAsia="en-US"/>
        </w:rPr>
        <w:t>RPF</w:t>
      </w:r>
      <w:proofErr w:type="spellEnd"/>
      <w:r w:rsidRPr="003B6CF7">
        <w:rPr>
          <w:szCs w:val="24"/>
          <w:lang w:eastAsia="en-US"/>
        </w:rPr>
        <w:t xml:space="preserve"> 2), </w:t>
      </w:r>
      <w:proofErr w:type="spellStart"/>
      <w:r w:rsidRPr="003B6CF7">
        <w:rPr>
          <w:szCs w:val="24"/>
          <w:lang w:eastAsia="en-US"/>
        </w:rPr>
        <w:t>perfluortetradekansyra</w:t>
      </w:r>
      <w:proofErr w:type="spellEnd"/>
      <w:r w:rsidRPr="003B6CF7">
        <w:rPr>
          <w:szCs w:val="24"/>
          <w:lang w:eastAsia="en-US"/>
        </w:rPr>
        <w:t xml:space="preserve"> (</w:t>
      </w:r>
      <w:proofErr w:type="spellStart"/>
      <w:r w:rsidRPr="003B6CF7">
        <w:rPr>
          <w:szCs w:val="24"/>
          <w:lang w:eastAsia="en-US"/>
        </w:rPr>
        <w:t>PFTeDA</w:t>
      </w:r>
      <w:proofErr w:type="spellEnd"/>
      <w:r w:rsidRPr="003B6CF7">
        <w:rPr>
          <w:szCs w:val="24"/>
          <w:lang w:eastAsia="en-US"/>
        </w:rPr>
        <w:t>) (CAS 376-06-7, EU 206-803-4) (</w:t>
      </w:r>
      <w:proofErr w:type="spellStart"/>
      <w:r w:rsidRPr="003B6CF7">
        <w:rPr>
          <w:szCs w:val="24"/>
          <w:lang w:eastAsia="en-US"/>
        </w:rPr>
        <w:t>RPF</w:t>
      </w:r>
      <w:proofErr w:type="spellEnd"/>
      <w:r w:rsidRPr="003B6CF7">
        <w:rPr>
          <w:szCs w:val="24"/>
          <w:lang w:eastAsia="en-US"/>
        </w:rPr>
        <w:t xml:space="preserve"> 0,3), </w:t>
      </w:r>
      <w:proofErr w:type="spellStart"/>
      <w:r w:rsidRPr="003B6CF7">
        <w:rPr>
          <w:szCs w:val="24"/>
          <w:lang w:eastAsia="en-US"/>
        </w:rPr>
        <w:t>perfluorhexadekansyra</w:t>
      </w:r>
      <w:proofErr w:type="spellEnd"/>
      <w:r w:rsidRPr="003B6CF7">
        <w:rPr>
          <w:szCs w:val="24"/>
          <w:lang w:eastAsia="en-US"/>
        </w:rPr>
        <w:t xml:space="preserve"> (</w:t>
      </w:r>
      <w:proofErr w:type="spellStart"/>
      <w:r w:rsidRPr="003B6CF7">
        <w:rPr>
          <w:szCs w:val="24"/>
          <w:lang w:eastAsia="en-US"/>
        </w:rPr>
        <w:t>PFHxDA</w:t>
      </w:r>
      <w:proofErr w:type="spellEnd"/>
      <w:r w:rsidRPr="003B6CF7">
        <w:rPr>
          <w:szCs w:val="24"/>
          <w:lang w:eastAsia="en-US"/>
        </w:rPr>
        <w:t>) (CAS 67905-19-5, EU 267-638-1) (</w:t>
      </w:r>
      <w:proofErr w:type="spellStart"/>
      <w:r w:rsidRPr="003B6CF7">
        <w:rPr>
          <w:szCs w:val="24"/>
          <w:lang w:eastAsia="en-US"/>
        </w:rPr>
        <w:t>RPF</w:t>
      </w:r>
      <w:proofErr w:type="spellEnd"/>
      <w:r w:rsidRPr="003B6CF7">
        <w:rPr>
          <w:szCs w:val="24"/>
          <w:lang w:eastAsia="en-US"/>
        </w:rPr>
        <w:t xml:space="preserve"> 0,02), </w:t>
      </w:r>
      <w:proofErr w:type="spellStart"/>
      <w:r w:rsidRPr="003B6CF7">
        <w:rPr>
          <w:szCs w:val="24"/>
          <w:lang w:eastAsia="en-US"/>
        </w:rPr>
        <w:t>perfluoroktadekansyra</w:t>
      </w:r>
      <w:proofErr w:type="spellEnd"/>
      <w:r w:rsidRPr="003B6CF7">
        <w:rPr>
          <w:szCs w:val="24"/>
          <w:lang w:eastAsia="en-US"/>
        </w:rPr>
        <w:t xml:space="preserve"> (</w:t>
      </w:r>
      <w:proofErr w:type="spellStart"/>
      <w:r w:rsidRPr="003B6CF7">
        <w:rPr>
          <w:szCs w:val="24"/>
          <w:lang w:eastAsia="en-US"/>
        </w:rPr>
        <w:t>PFODA</w:t>
      </w:r>
      <w:proofErr w:type="spellEnd"/>
      <w:r w:rsidRPr="003B6CF7">
        <w:rPr>
          <w:szCs w:val="24"/>
          <w:lang w:eastAsia="en-US"/>
        </w:rPr>
        <w:t>) (CAS 16517-11-6, EU 240-582-5) (</w:t>
      </w:r>
      <w:proofErr w:type="spellStart"/>
      <w:r w:rsidRPr="003B6CF7">
        <w:rPr>
          <w:szCs w:val="24"/>
          <w:lang w:eastAsia="en-US"/>
        </w:rPr>
        <w:t>RPF</w:t>
      </w:r>
      <w:proofErr w:type="spellEnd"/>
      <w:r w:rsidRPr="003B6CF7">
        <w:rPr>
          <w:szCs w:val="24"/>
          <w:lang w:eastAsia="en-US"/>
        </w:rPr>
        <w:t xml:space="preserve"> 0,02), </w:t>
      </w:r>
      <w:proofErr w:type="spellStart"/>
      <w:r w:rsidRPr="003B6CF7">
        <w:rPr>
          <w:szCs w:val="24"/>
          <w:lang w:eastAsia="en-US"/>
        </w:rPr>
        <w:t>ammoniumperfluor</w:t>
      </w:r>
      <w:proofErr w:type="spellEnd"/>
      <w:r w:rsidRPr="003B6CF7">
        <w:rPr>
          <w:szCs w:val="24"/>
          <w:lang w:eastAsia="en-US"/>
        </w:rPr>
        <w:t>(2-metyl-3-</w:t>
      </w:r>
      <w:proofErr w:type="spellStart"/>
      <w:r w:rsidRPr="003B6CF7">
        <w:rPr>
          <w:szCs w:val="24"/>
          <w:lang w:eastAsia="en-US"/>
        </w:rPr>
        <w:t>oxahexanoat</w:t>
      </w:r>
      <w:proofErr w:type="spellEnd"/>
      <w:r w:rsidRPr="003B6CF7">
        <w:rPr>
          <w:szCs w:val="24"/>
          <w:lang w:eastAsia="en-US"/>
        </w:rPr>
        <w:t>) (</w:t>
      </w:r>
      <w:proofErr w:type="spellStart"/>
      <w:r w:rsidRPr="003B6CF7">
        <w:rPr>
          <w:szCs w:val="24"/>
          <w:lang w:eastAsia="en-US"/>
        </w:rPr>
        <w:t>HFPO</w:t>
      </w:r>
      <w:proofErr w:type="spellEnd"/>
      <w:r w:rsidRPr="003B6CF7">
        <w:rPr>
          <w:szCs w:val="24"/>
          <w:lang w:eastAsia="en-US"/>
        </w:rPr>
        <w:t>-DA eller Gen X) (CAS 62037-80-3) (RPF 0,06), propionsyra/ammonium 2,2,3-trifluor-3-(1,1,2,2,3,3-hexafluor-3-(trifluormetoxi)propoxi)propanoat (ADONA) (CAS 958445-44-8) (</w:t>
      </w:r>
      <w:proofErr w:type="spellStart"/>
      <w:r w:rsidRPr="003B6CF7">
        <w:rPr>
          <w:szCs w:val="24"/>
          <w:lang w:eastAsia="en-US"/>
        </w:rPr>
        <w:t>RPF</w:t>
      </w:r>
      <w:proofErr w:type="spellEnd"/>
      <w:r w:rsidRPr="003B6CF7">
        <w:rPr>
          <w:szCs w:val="24"/>
          <w:lang w:eastAsia="en-US"/>
        </w:rPr>
        <w:t xml:space="preserve"> 0,03), 2-(</w:t>
      </w:r>
      <w:proofErr w:type="spellStart"/>
      <w:r w:rsidRPr="003B6CF7">
        <w:rPr>
          <w:szCs w:val="24"/>
          <w:lang w:eastAsia="en-US"/>
        </w:rPr>
        <w:t>perfluorhexyl</w:t>
      </w:r>
      <w:proofErr w:type="spellEnd"/>
      <w:r w:rsidRPr="003B6CF7">
        <w:rPr>
          <w:szCs w:val="24"/>
          <w:lang w:eastAsia="en-US"/>
        </w:rPr>
        <w:t xml:space="preserve">)etylalkohol (6:2 </w:t>
      </w:r>
      <w:proofErr w:type="spellStart"/>
      <w:r w:rsidRPr="003B6CF7">
        <w:rPr>
          <w:szCs w:val="24"/>
          <w:lang w:eastAsia="en-US"/>
        </w:rPr>
        <w:t>FTOH</w:t>
      </w:r>
      <w:proofErr w:type="spellEnd"/>
      <w:r w:rsidRPr="003B6CF7">
        <w:rPr>
          <w:szCs w:val="24"/>
          <w:lang w:eastAsia="en-US"/>
        </w:rPr>
        <w:t>) (CAS 647-42-7, EU 211-477-1) (</w:t>
      </w:r>
      <w:proofErr w:type="spellStart"/>
      <w:r w:rsidRPr="003B6CF7">
        <w:rPr>
          <w:szCs w:val="24"/>
          <w:lang w:eastAsia="en-US"/>
        </w:rPr>
        <w:t>RPF</w:t>
      </w:r>
      <w:proofErr w:type="spellEnd"/>
      <w:r w:rsidRPr="003B6CF7">
        <w:rPr>
          <w:szCs w:val="24"/>
          <w:lang w:eastAsia="en-US"/>
        </w:rPr>
        <w:t xml:space="preserve"> 0,02), 2-(</w:t>
      </w:r>
      <w:proofErr w:type="spellStart"/>
      <w:r w:rsidRPr="003B6CF7">
        <w:rPr>
          <w:szCs w:val="24"/>
          <w:lang w:eastAsia="en-US"/>
        </w:rPr>
        <w:t>perfluoroktyl</w:t>
      </w:r>
      <w:proofErr w:type="spellEnd"/>
      <w:r w:rsidRPr="003B6CF7">
        <w:rPr>
          <w:szCs w:val="24"/>
          <w:lang w:eastAsia="en-US"/>
        </w:rPr>
        <w:t xml:space="preserve">)etanol (8:2 </w:t>
      </w:r>
      <w:proofErr w:type="spellStart"/>
      <w:r w:rsidRPr="003B6CF7">
        <w:rPr>
          <w:szCs w:val="24"/>
          <w:lang w:eastAsia="en-US"/>
        </w:rPr>
        <w:t>FTOH</w:t>
      </w:r>
      <w:proofErr w:type="spellEnd"/>
      <w:r w:rsidRPr="003B6CF7">
        <w:rPr>
          <w:szCs w:val="24"/>
          <w:lang w:eastAsia="en-US"/>
        </w:rPr>
        <w:t>) (CAS 678-39-7, EU 211-648-0) (RPF 0,04) och ättiksyra/2,2-difluor-2-((2,2,4,5-tetrafluor-5-(trifluormetoxi)-1,3-dioxolan-4-yl)oxi)- (C6O4) (CAS 1190931-41-9) (RPF 0,06).</w:t>
      </w:r>
    </w:p>
    <w:p w14:paraId="0C09AB7D" w14:textId="77777777" w:rsidR="001F7022" w:rsidRPr="003B6CF7" w:rsidRDefault="001F7022">
      <w:pPr>
        <w:widowControl/>
        <w:rPr>
          <w:szCs w:val="24"/>
          <w:lang w:eastAsia="en-US"/>
        </w:rPr>
      </w:pPr>
      <w:r w:rsidRPr="003B6CF7">
        <w:rPr>
          <w:szCs w:val="24"/>
          <w:lang w:eastAsia="en-US"/>
        </w:rPr>
        <w:br w:type="page"/>
      </w:r>
    </w:p>
    <w:p w14:paraId="46CAF693" w14:textId="0BA31FDA"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(28)</w:t>
      </w:r>
      <w:r w:rsidRPr="003B6CF7">
        <w:rPr>
          <w:szCs w:val="24"/>
          <w:lang w:eastAsia="en-US"/>
        </w:rPr>
        <w:tab/>
        <w:t>För gruppen PFAS-ämnen (nr 65) avser miljökvalitetsnormerna summan av koncentrationerna av de 24 PFAS-ämnen som anges i fotnot 27 uttryckt som PFOA-ekvivalenter baserat på ämnenas potens i förhållande till PFOA, dvs. de relativa potensfaktorerna (RPF) i fotnot 27.</w:t>
      </w:r>
    </w:p>
    <w:p w14:paraId="73622E14"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(29)</w:t>
      </w:r>
      <w:r w:rsidRPr="003B6CF7">
        <w:rPr>
          <w:szCs w:val="24"/>
          <w:lang w:eastAsia="en-US"/>
        </w:rPr>
        <w:tab/>
        <w:t>Med ’bekämpningsmedel’ avses de växtskyddsmedel som avses i artikel 2 i förordning (EG) nr 1107/2009 och biocidprodukter enligt definitionen i artikel 3 i förordning (EU) nr 528/2012.</w:t>
      </w:r>
    </w:p>
    <w:p w14:paraId="188EBCD0" w14:textId="77777777" w:rsidR="001831FD" w:rsidRPr="003B6CF7" w:rsidRDefault="001831FD" w:rsidP="001831FD">
      <w:pPr>
        <w:spacing w:before="120" w:after="120" w:line="360" w:lineRule="auto"/>
        <w:ind w:left="1416" w:hanging="566"/>
        <w:rPr>
          <w:szCs w:val="24"/>
          <w:lang w:eastAsia="en-US"/>
        </w:rPr>
      </w:pPr>
      <w:r w:rsidRPr="003B6CF7">
        <w:rPr>
          <w:szCs w:val="24"/>
          <w:vertAlign w:val="superscript"/>
          <w:lang w:eastAsia="en-US"/>
        </w:rPr>
        <w:t>(30)</w:t>
      </w:r>
      <w:r w:rsidRPr="003B6CF7">
        <w:rPr>
          <w:szCs w:val="24"/>
          <w:lang w:eastAsia="en-US"/>
        </w:rPr>
        <w:tab/>
        <w:t>Med ’totalt’ avses summan av alla enskilda bekämpningsmedel som upptäcks och kvantifieras vid övervakningsförfarandet, inbegripet relevanta metaboliter, nedbrytnings- och reaktionsprodukter.”</w:t>
      </w:r>
    </w:p>
    <w:p w14:paraId="4F1CA899" w14:textId="77777777" w:rsidR="001F7022" w:rsidRPr="003B6CF7" w:rsidRDefault="001F7022">
      <w:pPr>
        <w:widowControl/>
        <w:rPr>
          <w:szCs w:val="24"/>
          <w:lang w:eastAsia="en-US"/>
        </w:rPr>
      </w:pPr>
      <w:r w:rsidRPr="003B6CF7">
        <w:rPr>
          <w:szCs w:val="24"/>
          <w:lang w:eastAsia="en-US"/>
        </w:rPr>
        <w:br w:type="page"/>
      </w:r>
    </w:p>
    <w:p w14:paraId="36EE41AB" w14:textId="6A04A436" w:rsidR="001831FD" w:rsidRPr="003B6CF7" w:rsidRDefault="001831FD" w:rsidP="001831FD">
      <w:pPr>
        <w:spacing w:before="120" w:after="120" w:line="360" w:lineRule="auto"/>
        <w:ind w:left="850" w:hanging="850"/>
        <w:rPr>
          <w:szCs w:val="24"/>
          <w:lang w:eastAsia="en-US"/>
        </w:rPr>
      </w:pPr>
      <w:r w:rsidRPr="003B6CF7">
        <w:rPr>
          <w:szCs w:val="24"/>
          <w:lang w:eastAsia="en-US"/>
        </w:rPr>
        <w:t>(3)</w:t>
      </w:r>
      <w:r w:rsidRPr="003B6CF7">
        <w:rPr>
          <w:szCs w:val="24"/>
          <w:lang w:eastAsia="en-US"/>
        </w:rPr>
        <w:tab/>
        <w:t>Del B ska ändras på följande sätt:</w:t>
      </w:r>
    </w:p>
    <w:p w14:paraId="6D5A093F"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I punkt 1 ska det första stycket ersättas med följande:</w:t>
      </w:r>
    </w:p>
    <w:p w14:paraId="3221A4B5" w14:textId="77777777" w:rsidR="001831FD" w:rsidRPr="003B6CF7" w:rsidRDefault="001831FD" w:rsidP="001831FD">
      <w:pPr>
        <w:spacing w:before="120" w:after="120" w:line="360" w:lineRule="auto"/>
        <w:ind w:left="1416"/>
        <w:rPr>
          <w:szCs w:val="24"/>
          <w:lang w:eastAsia="en-US"/>
        </w:rPr>
      </w:pPr>
      <w:r w:rsidRPr="003B6CF7">
        <w:rPr>
          <w:szCs w:val="24"/>
          <w:lang w:eastAsia="en-US"/>
        </w:rPr>
        <w:t>”Vid tillämpning av AA-MKN på en ytvattenförekomst får, för varje representativ övervakningspunkt inom vattenförekomsten, det aritmetiska medelvärdet av de koncentrationer som uppmäts vid olika tidpunkter under året inte överstiga normens värde.”</w:t>
      </w:r>
    </w:p>
    <w:p w14:paraId="4FB8801B"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I punkt 2 ska det första stycket ersättas med följande:</w:t>
      </w:r>
    </w:p>
    <w:p w14:paraId="7417692B" w14:textId="77777777" w:rsidR="001831FD" w:rsidRPr="003B6CF7" w:rsidRDefault="001831FD" w:rsidP="001831FD">
      <w:pPr>
        <w:spacing w:before="120" w:after="120" w:line="360" w:lineRule="auto"/>
        <w:ind w:left="1416"/>
        <w:rPr>
          <w:szCs w:val="24"/>
          <w:lang w:eastAsia="en-US"/>
        </w:rPr>
      </w:pPr>
      <w:r w:rsidRPr="003B6CF7">
        <w:rPr>
          <w:szCs w:val="24"/>
          <w:lang w:eastAsia="en-US"/>
        </w:rPr>
        <w:t>”Vid tillämpning av MAC-MKN på en ytvattenförekomst får den uppmätta koncentrationen vid de representativa övervakningspunkterna inom vattenförekomsten inte överskrida normens värde.”</w:t>
      </w:r>
    </w:p>
    <w:p w14:paraId="412A7CE6" w14:textId="77777777" w:rsidR="001831FD" w:rsidRPr="003B6CF7" w:rsidRDefault="001831FD" w:rsidP="001831FD">
      <w:pPr>
        <w:spacing w:before="120" w:after="120" w:line="360" w:lineRule="auto"/>
        <w:rPr>
          <w:szCs w:val="24"/>
          <w:lang w:eastAsia="en-US"/>
        </w:rPr>
        <w:sectPr w:rsidR="001831FD" w:rsidRPr="003B6CF7">
          <w:footnotePr>
            <w:numRestart w:val="eachSect"/>
          </w:footnotePr>
          <w:pgSz w:w="11909" w:h="16834"/>
          <w:pgMar w:top="1134" w:right="1417" w:bottom="1417" w:left="1417" w:header="1134" w:footer="567" w:gutter="0"/>
          <w:cols w:space="720"/>
        </w:sectPr>
      </w:pPr>
    </w:p>
    <w:p w14:paraId="0CE3813F" w14:textId="77777777" w:rsidR="001831FD" w:rsidRPr="003B6CF7" w:rsidRDefault="001831FD" w:rsidP="001831FD">
      <w:pPr>
        <w:spacing w:before="120" w:after="120" w:line="360" w:lineRule="auto"/>
        <w:jc w:val="center"/>
        <w:rPr>
          <w:lang w:eastAsia="en-US"/>
        </w:rPr>
      </w:pPr>
      <w:r w:rsidRPr="003B6CF7">
        <w:rPr>
          <w:lang w:eastAsia="en-US"/>
        </w:rPr>
        <w:t>BILAGA VI</w:t>
      </w:r>
    </w:p>
    <w:p w14:paraId="1091907E" w14:textId="77777777" w:rsidR="001831FD" w:rsidRPr="003B6CF7" w:rsidRDefault="001831FD" w:rsidP="001831FD">
      <w:pPr>
        <w:spacing w:before="120" w:after="120" w:line="360" w:lineRule="auto"/>
        <w:ind w:left="850"/>
        <w:rPr>
          <w:szCs w:val="24"/>
          <w:lang w:eastAsia="en-US"/>
        </w:rPr>
      </w:pPr>
      <w:r w:rsidRPr="003B6CF7">
        <w:rPr>
          <w:szCs w:val="24"/>
          <w:lang w:eastAsia="en-US"/>
        </w:rPr>
        <w:t>”BILAGA II</w:t>
      </w:r>
    </w:p>
    <w:p w14:paraId="3B60F416" w14:textId="77777777" w:rsidR="001831FD" w:rsidRPr="003B6CF7" w:rsidRDefault="001831FD" w:rsidP="001831FD">
      <w:pPr>
        <w:spacing w:before="120" w:after="120" w:line="360" w:lineRule="auto"/>
        <w:ind w:left="850"/>
        <w:rPr>
          <w:szCs w:val="24"/>
          <w:lang w:eastAsia="en-US"/>
        </w:rPr>
      </w:pPr>
      <w:r w:rsidRPr="003B6CF7">
        <w:rPr>
          <w:szCs w:val="24"/>
          <w:lang w:eastAsia="en-US"/>
        </w:rPr>
        <w:t>MILJÖKVALITETSNORMER FÖR FÖRORENANDE ÄMNEN SOM ÄR SPECIFIKA FÖR AVRINNINGSOMRÅDEN</w:t>
      </w:r>
    </w:p>
    <w:p w14:paraId="1180C052" w14:textId="77777777" w:rsidR="001831FD" w:rsidRPr="003B6CF7" w:rsidRDefault="001831FD" w:rsidP="001831FD">
      <w:pPr>
        <w:spacing w:before="120" w:after="120" w:line="360" w:lineRule="auto"/>
        <w:ind w:left="850"/>
        <w:rPr>
          <w:szCs w:val="24"/>
          <w:lang w:eastAsia="en-US"/>
        </w:rPr>
      </w:pPr>
      <w:r w:rsidRPr="003B6CF7">
        <w:rPr>
          <w:szCs w:val="24"/>
          <w:lang w:eastAsia="en-US"/>
        </w:rPr>
        <w:t xml:space="preserve">Del A:  FÖRTECKNING ÖVER KATEGORIER AV FÖRORENANDE ÄMNEN SOM ÄR SPECIFIKA FÖR AVRINNINGSOMRÅDEN </w:t>
      </w:r>
    </w:p>
    <w:p w14:paraId="135EB27A"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w:t>
      </w:r>
      <w:r w:rsidRPr="003B6CF7">
        <w:rPr>
          <w:szCs w:val="24"/>
          <w:lang w:eastAsia="en-US"/>
        </w:rPr>
        <w:tab/>
        <w:t>Organiska halogenföreningar och ämnen som kan bilda sådana föreningar</w:t>
      </w:r>
    </w:p>
    <w:p w14:paraId="32F1BE00" w14:textId="77777777" w:rsidR="001831FD" w:rsidRPr="003B6CF7" w:rsidRDefault="001831FD" w:rsidP="001831FD">
      <w:pPr>
        <w:spacing w:before="120" w:after="120" w:line="360" w:lineRule="auto"/>
        <w:ind w:left="1416"/>
        <w:rPr>
          <w:szCs w:val="24"/>
          <w:lang w:eastAsia="en-US"/>
        </w:rPr>
      </w:pPr>
      <w:r w:rsidRPr="003B6CF7">
        <w:rPr>
          <w:szCs w:val="24"/>
          <w:lang w:eastAsia="en-US"/>
        </w:rPr>
        <w:t>i akvatisk miljö.</w:t>
      </w:r>
    </w:p>
    <w:p w14:paraId="7F12CB01"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2.</w:t>
      </w:r>
      <w:r w:rsidRPr="003B6CF7">
        <w:rPr>
          <w:szCs w:val="24"/>
          <w:lang w:eastAsia="en-US"/>
        </w:rPr>
        <w:tab/>
        <w:t>Organiska fosforföreningar.</w:t>
      </w:r>
    </w:p>
    <w:p w14:paraId="0F02F0B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3.</w:t>
      </w:r>
      <w:r w:rsidRPr="003B6CF7">
        <w:rPr>
          <w:szCs w:val="24"/>
          <w:lang w:eastAsia="en-US"/>
        </w:rPr>
        <w:tab/>
        <w:t>Organiska tennföreningar.</w:t>
      </w:r>
    </w:p>
    <w:p w14:paraId="7EDA0A1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4.</w:t>
      </w:r>
      <w:r w:rsidRPr="003B6CF7">
        <w:rPr>
          <w:szCs w:val="24"/>
          <w:lang w:eastAsia="en-US"/>
        </w:rPr>
        <w:tab/>
        <w:t>Ämnen och beredningar eller nedbrytningsprodukter av dessa för vilka det har</w:t>
      </w:r>
    </w:p>
    <w:p w14:paraId="0DC17A6F" w14:textId="77777777" w:rsidR="001831FD" w:rsidRPr="003B6CF7" w:rsidRDefault="001831FD" w:rsidP="001831FD">
      <w:pPr>
        <w:spacing w:before="120" w:after="120" w:line="360" w:lineRule="auto"/>
        <w:ind w:left="1416"/>
        <w:rPr>
          <w:szCs w:val="24"/>
          <w:lang w:eastAsia="en-US"/>
        </w:rPr>
      </w:pPr>
      <w:r w:rsidRPr="003B6CF7">
        <w:rPr>
          <w:szCs w:val="24"/>
          <w:lang w:eastAsia="en-US"/>
        </w:rPr>
        <w:t>påvisats att de har cancerogena eller mutagena egenskaper eller sådana egenskaper</w:t>
      </w:r>
    </w:p>
    <w:p w14:paraId="5282ADCB" w14:textId="77777777" w:rsidR="001831FD" w:rsidRPr="003B6CF7" w:rsidRDefault="001831FD" w:rsidP="001831FD">
      <w:pPr>
        <w:spacing w:before="120" w:after="120" w:line="360" w:lineRule="auto"/>
        <w:ind w:left="1416"/>
        <w:rPr>
          <w:szCs w:val="24"/>
          <w:lang w:eastAsia="en-US"/>
        </w:rPr>
      </w:pPr>
      <w:r w:rsidRPr="003B6CF7">
        <w:rPr>
          <w:szCs w:val="24"/>
          <w:lang w:eastAsia="en-US"/>
        </w:rPr>
        <w:t xml:space="preserve">som i eller via vattenmiljön kan påverka </w:t>
      </w:r>
      <w:proofErr w:type="spellStart"/>
      <w:r w:rsidRPr="003B6CF7">
        <w:rPr>
          <w:szCs w:val="24"/>
          <w:lang w:eastAsia="en-US"/>
        </w:rPr>
        <w:t>steroidogena</w:t>
      </w:r>
      <w:proofErr w:type="spellEnd"/>
      <w:r w:rsidRPr="003B6CF7">
        <w:rPr>
          <w:szCs w:val="24"/>
          <w:lang w:eastAsia="en-US"/>
        </w:rPr>
        <w:t xml:space="preserve"> funktioner, sköldkörtelns funktioner, fortplantningen eller andra endokrina funktioner.</w:t>
      </w:r>
    </w:p>
    <w:p w14:paraId="3619E647" w14:textId="77777777" w:rsidR="001F7022" w:rsidRPr="003B6CF7" w:rsidRDefault="001F7022">
      <w:pPr>
        <w:widowControl/>
        <w:rPr>
          <w:szCs w:val="24"/>
          <w:lang w:eastAsia="en-US"/>
        </w:rPr>
      </w:pPr>
      <w:r w:rsidRPr="003B6CF7">
        <w:rPr>
          <w:szCs w:val="24"/>
          <w:lang w:eastAsia="en-US"/>
        </w:rPr>
        <w:br w:type="page"/>
      </w:r>
    </w:p>
    <w:p w14:paraId="7A522ACC" w14:textId="303D2DFC" w:rsidR="001831FD" w:rsidRPr="003B6CF7" w:rsidRDefault="001831FD" w:rsidP="001831FD">
      <w:pPr>
        <w:spacing w:before="120" w:after="120" w:line="360" w:lineRule="auto"/>
        <w:ind w:left="1416" w:hanging="566"/>
        <w:rPr>
          <w:szCs w:val="24"/>
          <w:lang w:eastAsia="en-US"/>
        </w:rPr>
      </w:pPr>
      <w:r w:rsidRPr="003B6CF7">
        <w:rPr>
          <w:szCs w:val="24"/>
          <w:lang w:eastAsia="en-US"/>
        </w:rPr>
        <w:t>5.</w:t>
      </w:r>
      <w:r w:rsidRPr="003B6CF7">
        <w:rPr>
          <w:szCs w:val="24"/>
          <w:lang w:eastAsia="en-US"/>
        </w:rPr>
        <w:tab/>
        <w:t>Svårnedbrytbara kolväten och svårnedbrytbara och bioackumulerbara organiska, toxiska</w:t>
      </w:r>
    </w:p>
    <w:p w14:paraId="3D40BD16" w14:textId="77777777" w:rsidR="001831FD" w:rsidRPr="003B6CF7" w:rsidRDefault="001831FD" w:rsidP="001831FD">
      <w:pPr>
        <w:spacing w:before="120" w:after="120" w:line="360" w:lineRule="auto"/>
        <w:ind w:left="1416"/>
        <w:rPr>
          <w:szCs w:val="24"/>
          <w:lang w:eastAsia="en-US"/>
        </w:rPr>
      </w:pPr>
      <w:r w:rsidRPr="003B6CF7">
        <w:rPr>
          <w:szCs w:val="24"/>
          <w:lang w:eastAsia="en-US"/>
        </w:rPr>
        <w:t>ämnen.</w:t>
      </w:r>
    </w:p>
    <w:p w14:paraId="77A2BAE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6.</w:t>
      </w:r>
      <w:r w:rsidRPr="003B6CF7">
        <w:rPr>
          <w:szCs w:val="24"/>
          <w:lang w:eastAsia="en-US"/>
        </w:rPr>
        <w:tab/>
        <w:t>Cyanider.</w:t>
      </w:r>
    </w:p>
    <w:p w14:paraId="38E8F57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7.</w:t>
      </w:r>
      <w:r w:rsidRPr="003B6CF7">
        <w:rPr>
          <w:szCs w:val="24"/>
          <w:lang w:eastAsia="en-US"/>
        </w:rPr>
        <w:tab/>
        <w:t>Metaller och deras föreningar.</w:t>
      </w:r>
    </w:p>
    <w:p w14:paraId="5C1D2C32"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8.</w:t>
      </w:r>
      <w:r w:rsidRPr="003B6CF7">
        <w:rPr>
          <w:szCs w:val="24"/>
          <w:lang w:eastAsia="en-US"/>
        </w:rPr>
        <w:tab/>
        <w:t>Arsenik och dess föreningar.</w:t>
      </w:r>
    </w:p>
    <w:p w14:paraId="663557D3"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9.</w:t>
      </w:r>
      <w:r w:rsidRPr="003B6CF7">
        <w:rPr>
          <w:szCs w:val="24"/>
          <w:lang w:eastAsia="en-US"/>
        </w:rPr>
        <w:tab/>
        <w:t>Biocider och växtskyddsmedel.</w:t>
      </w:r>
    </w:p>
    <w:p w14:paraId="27771571" w14:textId="6E6C2454" w:rsidR="001831FD" w:rsidRPr="003B6CF7" w:rsidRDefault="001831FD" w:rsidP="001831FD">
      <w:pPr>
        <w:spacing w:before="120" w:after="120" w:line="360" w:lineRule="auto"/>
        <w:ind w:left="1416" w:hanging="566"/>
        <w:rPr>
          <w:b/>
          <w:szCs w:val="24"/>
          <w:lang w:eastAsia="en-US"/>
        </w:rPr>
      </w:pPr>
      <w:r w:rsidRPr="003B6CF7">
        <w:rPr>
          <w:szCs w:val="24"/>
          <w:lang w:eastAsia="en-US"/>
        </w:rPr>
        <w:t>10.</w:t>
      </w:r>
      <w:r w:rsidRPr="003B6CF7">
        <w:rPr>
          <w:szCs w:val="24"/>
          <w:lang w:eastAsia="en-US"/>
        </w:rPr>
        <w:tab/>
        <w:t xml:space="preserve">Uppslammade ämnen, inklusive mikro- och </w:t>
      </w:r>
      <w:proofErr w:type="spellStart"/>
      <w:r w:rsidRPr="003B6CF7">
        <w:rPr>
          <w:szCs w:val="24"/>
          <w:lang w:eastAsia="en-US"/>
        </w:rPr>
        <w:t>nanoplaster</w:t>
      </w:r>
      <w:proofErr w:type="spellEnd"/>
      <w:r w:rsidRPr="003B6CF7">
        <w:rPr>
          <w:b/>
          <w:i/>
          <w:szCs w:val="24"/>
          <w:lang w:eastAsia="en-US"/>
        </w:rPr>
        <w:t xml:space="preserve">, samt material som är kända för att ge upphov till mikro- eller </w:t>
      </w:r>
      <w:proofErr w:type="spellStart"/>
      <w:r w:rsidRPr="003B6CF7">
        <w:rPr>
          <w:b/>
          <w:i/>
          <w:szCs w:val="24"/>
          <w:lang w:eastAsia="en-US"/>
        </w:rPr>
        <w:t>nanoplaster</w:t>
      </w:r>
      <w:proofErr w:type="spellEnd"/>
      <w:r w:rsidRPr="003B6CF7">
        <w:rPr>
          <w:szCs w:val="24"/>
          <w:lang w:eastAsia="en-US"/>
        </w:rPr>
        <w:t>.</w:t>
      </w:r>
      <w:r w:rsidR="00A742F9" w:rsidRPr="003B6CF7">
        <w:rPr>
          <w:b/>
          <w:szCs w:val="24"/>
          <w:lang w:eastAsia="en-US"/>
        </w:rPr>
        <w:t xml:space="preserve"> [Ändr. 155]</w:t>
      </w:r>
    </w:p>
    <w:p w14:paraId="1E7E571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11.</w:t>
      </w:r>
      <w:r w:rsidRPr="003B6CF7">
        <w:rPr>
          <w:szCs w:val="24"/>
          <w:lang w:eastAsia="en-US"/>
        </w:rPr>
        <w:tab/>
        <w:t>Ämnen som bidrar till eutrofiering (i synnerhet nitrater och</w:t>
      </w:r>
    </w:p>
    <w:p w14:paraId="6FDFA1F5" w14:textId="77777777" w:rsidR="001831FD" w:rsidRPr="003B6CF7" w:rsidRDefault="001831FD" w:rsidP="001831FD">
      <w:pPr>
        <w:spacing w:before="120" w:after="120" w:line="360" w:lineRule="auto"/>
        <w:ind w:left="1416"/>
        <w:rPr>
          <w:szCs w:val="24"/>
          <w:lang w:eastAsia="en-US"/>
        </w:rPr>
      </w:pPr>
      <w:r w:rsidRPr="003B6CF7">
        <w:rPr>
          <w:szCs w:val="24"/>
          <w:lang w:eastAsia="en-US"/>
        </w:rPr>
        <w:t>fosfater).</w:t>
      </w:r>
    </w:p>
    <w:p w14:paraId="71553255"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12.</w:t>
      </w:r>
      <w:r w:rsidRPr="003B6CF7">
        <w:rPr>
          <w:szCs w:val="24"/>
          <w:lang w:eastAsia="en-US"/>
        </w:rPr>
        <w:tab/>
        <w:t>Syretärande ämnen som är mätbara med hjälp av parametrar som till exempel BOD och COD.</w:t>
      </w:r>
    </w:p>
    <w:p w14:paraId="20D8291D" w14:textId="77777777" w:rsidR="001F7022" w:rsidRPr="003B6CF7" w:rsidRDefault="001F7022">
      <w:pPr>
        <w:widowControl/>
        <w:rPr>
          <w:szCs w:val="24"/>
          <w:lang w:eastAsia="en-US"/>
        </w:rPr>
      </w:pPr>
      <w:r w:rsidRPr="003B6CF7">
        <w:rPr>
          <w:szCs w:val="24"/>
          <w:lang w:eastAsia="en-US"/>
        </w:rPr>
        <w:br w:type="page"/>
      </w:r>
    </w:p>
    <w:p w14:paraId="6C78CA4E" w14:textId="1AA40172" w:rsidR="001831FD" w:rsidRPr="003B6CF7" w:rsidRDefault="001831FD" w:rsidP="001831FD">
      <w:pPr>
        <w:spacing w:before="120" w:after="120" w:line="360" w:lineRule="auto"/>
        <w:ind w:left="1416" w:hanging="566"/>
        <w:rPr>
          <w:szCs w:val="24"/>
          <w:lang w:eastAsia="en-US"/>
        </w:rPr>
      </w:pPr>
      <w:r w:rsidRPr="003B6CF7">
        <w:rPr>
          <w:szCs w:val="24"/>
          <w:lang w:eastAsia="en-US"/>
        </w:rPr>
        <w:t>13.</w:t>
      </w:r>
      <w:r w:rsidRPr="003B6CF7">
        <w:rPr>
          <w:szCs w:val="24"/>
          <w:lang w:eastAsia="en-US"/>
        </w:rPr>
        <w:tab/>
        <w:t>Mikroorganismer, gener eller genetiskt material som avspeglar förekomsten av mikroorganismer som är resistenta mot antimikrobiella medel, särskilt mikroorganismer som är patogena för människor eller husdjur.</w:t>
      </w:r>
    </w:p>
    <w:p w14:paraId="70F61409" w14:textId="77777777" w:rsidR="001831FD" w:rsidRPr="003B6CF7" w:rsidRDefault="001831FD" w:rsidP="001831FD">
      <w:pPr>
        <w:spacing w:before="120" w:after="120" w:line="360" w:lineRule="auto"/>
        <w:ind w:left="850"/>
        <w:rPr>
          <w:szCs w:val="24"/>
          <w:lang w:eastAsia="en-US"/>
        </w:rPr>
      </w:pPr>
      <w:r w:rsidRPr="003B6CF7">
        <w:rPr>
          <w:szCs w:val="24"/>
          <w:lang w:eastAsia="en-US"/>
        </w:rPr>
        <w:t>DEL B: FÖRFARANDET FÖR ATT UTARBETA MILJÖKVALITETSNORMER FÖR FÖRORENANDE ÄMNEN SOM ÄR SPECIFIKA FÖR AVRINNINGSOMRÅDEN</w:t>
      </w:r>
    </w:p>
    <w:p w14:paraId="2B6B874B" w14:textId="77777777" w:rsidR="001831FD" w:rsidRPr="003B6CF7" w:rsidRDefault="001831FD" w:rsidP="001831FD">
      <w:pPr>
        <w:spacing w:before="120" w:after="120" w:line="360" w:lineRule="auto"/>
        <w:ind w:left="850"/>
        <w:rPr>
          <w:szCs w:val="24"/>
          <w:lang w:eastAsia="en-US"/>
        </w:rPr>
      </w:pPr>
      <w:r w:rsidRPr="003B6CF7">
        <w:rPr>
          <w:szCs w:val="24"/>
          <w:lang w:eastAsia="en-US"/>
        </w:rPr>
        <w:t>De metoder som används för att fastställa miljökvalitetsnormer för förorenande ämnen som är specifika för avrinningsområden ska omfatta följande steg:</w:t>
      </w:r>
    </w:p>
    <w:p w14:paraId="573222FC"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(a)</w:t>
      </w:r>
      <w:r w:rsidRPr="003B6CF7">
        <w:rPr>
          <w:szCs w:val="24"/>
          <w:lang w:eastAsia="en-US"/>
        </w:rPr>
        <w:tab/>
        <w:t xml:space="preserve">Identifiering av de </w:t>
      </w:r>
      <w:proofErr w:type="spellStart"/>
      <w:r w:rsidRPr="003B6CF7">
        <w:rPr>
          <w:szCs w:val="24"/>
          <w:lang w:eastAsia="en-US"/>
        </w:rPr>
        <w:t>recepienter</w:t>
      </w:r>
      <w:proofErr w:type="spellEnd"/>
      <w:r w:rsidRPr="003B6CF7">
        <w:rPr>
          <w:szCs w:val="24"/>
          <w:lang w:eastAsia="en-US"/>
        </w:rPr>
        <w:t xml:space="preserve"> och delar av vattenmiljön eller matriser som är utsatta för risk på grund av det ämne som inger betänkligheter.</w:t>
      </w:r>
    </w:p>
    <w:p w14:paraId="3974F61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(b)</w:t>
      </w:r>
      <w:r w:rsidRPr="003B6CF7">
        <w:rPr>
          <w:szCs w:val="24"/>
          <w:lang w:eastAsia="en-US"/>
        </w:rPr>
        <w:tab/>
        <w:t xml:space="preserve">Sammanställning och kvalitetsbedömning av uppgifter om det berörda ämnets egenskaper, inbegripet dess (eko)toxicitet, i synnerhet från rapporter om laboratorie-, </w:t>
      </w:r>
      <w:proofErr w:type="spellStart"/>
      <w:r w:rsidRPr="003B6CF7">
        <w:rPr>
          <w:szCs w:val="24"/>
          <w:lang w:eastAsia="en-US"/>
        </w:rPr>
        <w:t>mesokosm</w:t>
      </w:r>
      <w:proofErr w:type="spellEnd"/>
      <w:r w:rsidRPr="003B6CF7">
        <w:rPr>
          <w:szCs w:val="24"/>
          <w:lang w:eastAsia="en-US"/>
        </w:rPr>
        <w:t>- och fältstudier som omfattar både kroniska och akuta effekter i både söt- och saltvattensmiljöer.</w:t>
      </w:r>
    </w:p>
    <w:p w14:paraId="72736A2F" w14:textId="77777777" w:rsidR="001F7022" w:rsidRPr="003B6CF7" w:rsidRDefault="001F7022">
      <w:pPr>
        <w:widowControl/>
        <w:rPr>
          <w:szCs w:val="24"/>
          <w:lang w:eastAsia="en-US"/>
        </w:rPr>
      </w:pPr>
      <w:r w:rsidRPr="003B6CF7">
        <w:rPr>
          <w:szCs w:val="24"/>
          <w:lang w:eastAsia="en-US"/>
        </w:rPr>
        <w:br w:type="page"/>
      </w:r>
    </w:p>
    <w:p w14:paraId="571284D6" w14:textId="1FAE07F1" w:rsidR="001831FD" w:rsidRPr="003B6CF7" w:rsidRDefault="001831FD" w:rsidP="001831FD">
      <w:pPr>
        <w:spacing w:before="120" w:after="120" w:line="360" w:lineRule="auto"/>
        <w:ind w:left="1416" w:hanging="566"/>
        <w:rPr>
          <w:szCs w:val="24"/>
          <w:lang w:eastAsia="en-US"/>
        </w:rPr>
      </w:pPr>
      <w:r w:rsidRPr="003B6CF7">
        <w:rPr>
          <w:szCs w:val="24"/>
          <w:lang w:eastAsia="en-US"/>
        </w:rPr>
        <w:t>(c)</w:t>
      </w:r>
      <w:r w:rsidRPr="003B6CF7">
        <w:rPr>
          <w:szCs w:val="24"/>
          <w:lang w:eastAsia="en-US"/>
        </w:rPr>
        <w:tab/>
        <w:t>Extrapolering av (eko)toxicitetsdata till nolleffektkoncentrationer eller liknande koncentrationer med hjälp av deterministiska eller sannolikhetsbaserade metoder samt urval och tillämpning av lämpliga bedömningsfaktorer för att hantera osäkerheter och utarbeta miljökvalitetsnormer.</w:t>
      </w:r>
    </w:p>
    <w:p w14:paraId="7C7ED87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(d)</w:t>
      </w:r>
      <w:r w:rsidRPr="003B6CF7">
        <w:rPr>
          <w:szCs w:val="24"/>
          <w:lang w:eastAsia="en-US"/>
        </w:rPr>
        <w:tab/>
        <w:t>Jämförelse av miljökvalitetsnormer för olika recipienter och delar av vattenmiljön samt urval av kritiska miljökvalitetsnormer, dvs. de miljökvalitetsnormer som ger skydd för den känsligaste recipienten i den mest relevanta delen av vattenmiljön eller matrisen.</w:t>
      </w:r>
    </w:p>
    <w:p w14:paraId="29431517" w14:textId="6B48EAEF" w:rsidR="001831FD" w:rsidRPr="003B6CF7" w:rsidRDefault="001831FD" w:rsidP="001831FD">
      <w:pPr>
        <w:spacing w:before="120" w:after="120" w:line="360" w:lineRule="auto"/>
        <w:ind w:left="1416" w:hanging="566"/>
        <w:rPr>
          <w:b/>
          <w:szCs w:val="24"/>
          <w:lang w:eastAsia="en-US"/>
        </w:rPr>
      </w:pPr>
      <w:r w:rsidRPr="003B6CF7">
        <w:rPr>
          <w:b/>
          <w:i/>
          <w:szCs w:val="24"/>
          <w:lang w:eastAsia="en-US"/>
        </w:rPr>
        <w:t>da)</w:t>
      </w:r>
      <w:r w:rsidRPr="003B6CF7">
        <w:rPr>
          <w:szCs w:val="24"/>
          <w:lang w:eastAsia="en-US"/>
        </w:rPr>
        <w:tab/>
      </w:r>
      <w:r w:rsidRPr="003B6CF7">
        <w:rPr>
          <w:b/>
          <w:i/>
          <w:szCs w:val="24"/>
          <w:lang w:eastAsia="en-US"/>
        </w:rPr>
        <w:t>När miljökvalitetsnormer fastställs för metaller ska modeller för biotillgänglighet beaktas för olika vattenkvalitetsparametrar som påverkar metallers biotillgänglighet.</w:t>
      </w:r>
      <w:r w:rsidR="00A742F9" w:rsidRPr="003B6CF7">
        <w:rPr>
          <w:b/>
          <w:szCs w:val="24"/>
          <w:lang w:eastAsia="en-US"/>
        </w:rPr>
        <w:t xml:space="preserve"> [Ändr. 156]</w:t>
      </w:r>
    </w:p>
    <w:p w14:paraId="5C72697D" w14:textId="77777777" w:rsidR="001F7022" w:rsidRPr="003B6CF7" w:rsidRDefault="001F7022" w:rsidP="001831FD">
      <w:pPr>
        <w:spacing w:before="120" w:after="120" w:line="360" w:lineRule="auto"/>
        <w:ind w:left="850"/>
        <w:rPr>
          <w:szCs w:val="24"/>
          <w:lang w:eastAsia="en-US"/>
        </w:rPr>
        <w:sectPr w:rsidR="001F7022" w:rsidRPr="003B6CF7" w:rsidSect="007023D4">
          <w:footnotePr>
            <w:numRestart w:val="eachSect"/>
          </w:footnotePr>
          <w:pgSz w:w="11906" w:h="16838" w:code="9"/>
          <w:pgMar w:top="1134" w:right="1418" w:bottom="1418" w:left="1418" w:header="1134" w:footer="567" w:gutter="0"/>
          <w:cols w:space="720"/>
          <w:noEndnote/>
          <w:docGrid w:linePitch="326"/>
        </w:sectPr>
      </w:pPr>
    </w:p>
    <w:p w14:paraId="0D8CCE54" w14:textId="544B0101" w:rsidR="001831FD" w:rsidRPr="003B6CF7" w:rsidRDefault="001831FD" w:rsidP="001831FD">
      <w:pPr>
        <w:spacing w:before="120" w:after="120" w:line="360" w:lineRule="auto"/>
        <w:ind w:left="850"/>
        <w:rPr>
          <w:szCs w:val="24"/>
          <w:lang w:eastAsia="en-US"/>
        </w:rPr>
      </w:pPr>
      <w:r w:rsidRPr="003B6CF7">
        <w:rPr>
          <w:szCs w:val="24"/>
          <w:lang w:eastAsia="en-US"/>
        </w:rPr>
        <w:t xml:space="preserve">DEL C: REGISTER ÖVER HARMONISERADE MILJÖKVALITETSNORMER FÖR FÖRORENANDE ÄMNEN SOM ÄR SPECIFIKA FÖR AVRINNINGSOMRÅDEN </w:t>
      </w:r>
    </w:p>
    <w:tbl>
      <w:tblPr>
        <w:tblStyle w:val="TableGrid5"/>
        <w:tblW w:w="14173" w:type="dxa"/>
        <w:tblLayout w:type="fixed"/>
        <w:tblLook w:val="04A0" w:firstRow="1" w:lastRow="0" w:firstColumn="1" w:lastColumn="0" w:noHBand="0" w:noVBand="1"/>
      </w:tblPr>
      <w:tblGrid>
        <w:gridCol w:w="1247"/>
        <w:gridCol w:w="1474"/>
        <w:gridCol w:w="1474"/>
        <w:gridCol w:w="1304"/>
        <w:gridCol w:w="1020"/>
        <w:gridCol w:w="1361"/>
        <w:gridCol w:w="1304"/>
        <w:gridCol w:w="1361"/>
        <w:gridCol w:w="1361"/>
        <w:gridCol w:w="1417"/>
        <w:gridCol w:w="850"/>
      </w:tblGrid>
      <w:tr w:rsidR="00EB340A" w:rsidRPr="003B6CF7" w14:paraId="3AAD2CE7" w14:textId="77777777" w:rsidTr="003B6CF7">
        <w:tc>
          <w:tcPr>
            <w:tcW w:w="1247" w:type="dxa"/>
          </w:tcPr>
          <w:p w14:paraId="2EC95E87"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[Post] Nr</w:t>
            </w:r>
          </w:p>
        </w:tc>
        <w:tc>
          <w:tcPr>
            <w:tcW w:w="1474" w:type="dxa"/>
          </w:tcPr>
          <w:p w14:paraId="7E3C26DF" w14:textId="77777777" w:rsidR="00A742F9" w:rsidRPr="003B6CF7" w:rsidRDefault="00A742F9" w:rsidP="00A742F9">
            <w:pPr>
              <w:widowControl/>
              <w:spacing w:before="120" w:after="120"/>
              <w:rPr>
                <w:rFonts w:ascii="Times New Roman" w:hAnsi="Times New Roman"/>
                <w:noProof/>
                <w:sz w:val="22"/>
              </w:rPr>
            </w:pPr>
            <w:r w:rsidRPr="003B6CF7">
              <w:rPr>
                <w:rFonts w:ascii="Times New Roman" w:hAnsi="Times New Roman"/>
                <w:noProof/>
                <w:sz w:val="22"/>
              </w:rPr>
              <w:t>Ämnets namn</w:t>
            </w:r>
          </w:p>
        </w:tc>
        <w:tc>
          <w:tcPr>
            <w:tcW w:w="1474" w:type="dxa"/>
          </w:tcPr>
          <w:p w14:paraId="64AC444D"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Kategori av ämnen</w:t>
            </w:r>
          </w:p>
        </w:tc>
        <w:tc>
          <w:tcPr>
            <w:tcW w:w="1304" w:type="dxa"/>
          </w:tcPr>
          <w:p w14:paraId="3FC53196"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CAS-nummer (</w:t>
            </w:r>
            <w:r w:rsidRPr="003B6CF7">
              <w:rPr>
                <w:rFonts w:ascii="Times New Roman" w:hAnsi="Times New Roman"/>
                <w:noProof/>
                <w:sz w:val="22"/>
                <w:vertAlign w:val="superscript"/>
              </w:rPr>
              <w:t>1</w:t>
            </w:r>
            <w:r w:rsidRPr="003B6CF7">
              <w:rPr>
                <w:rFonts w:ascii="Times New Roman" w:hAnsi="Times New Roman"/>
                <w:noProof/>
                <w:sz w:val="22"/>
              </w:rPr>
              <w:t>)</w:t>
            </w:r>
          </w:p>
        </w:tc>
        <w:tc>
          <w:tcPr>
            <w:tcW w:w="1020" w:type="dxa"/>
          </w:tcPr>
          <w:p w14:paraId="0B0C2BC0"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EU-nummer (</w:t>
            </w:r>
            <w:r w:rsidRPr="003B6CF7">
              <w:rPr>
                <w:rFonts w:ascii="Times New Roman" w:hAnsi="Times New Roman"/>
                <w:noProof/>
                <w:sz w:val="22"/>
                <w:vertAlign w:val="superscript"/>
              </w:rPr>
              <w:t>2</w:t>
            </w:r>
            <w:r w:rsidRPr="003B6CF7">
              <w:rPr>
                <w:rFonts w:ascii="Times New Roman" w:hAnsi="Times New Roman"/>
                <w:noProof/>
                <w:sz w:val="22"/>
              </w:rPr>
              <w:t>)</w:t>
            </w:r>
          </w:p>
        </w:tc>
        <w:tc>
          <w:tcPr>
            <w:tcW w:w="1361" w:type="dxa"/>
          </w:tcPr>
          <w:p w14:paraId="6CF71992"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AA-MKN (</w:t>
            </w:r>
            <w:r w:rsidRPr="003B6CF7">
              <w:rPr>
                <w:rFonts w:ascii="Times New Roman" w:hAnsi="Times New Roman"/>
                <w:noProof/>
                <w:sz w:val="22"/>
                <w:vertAlign w:val="superscript"/>
              </w:rPr>
              <w:t>3</w:t>
            </w:r>
            <w:r w:rsidRPr="003B6CF7">
              <w:rPr>
                <w:rFonts w:ascii="Times New Roman" w:hAnsi="Times New Roman"/>
                <w:noProof/>
                <w:sz w:val="22"/>
              </w:rPr>
              <w:t xml:space="preserve">) </w:t>
            </w:r>
          </w:p>
          <w:p w14:paraId="5E9CF86A"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Inlandsytvatten (</w:t>
            </w:r>
            <w:r w:rsidRPr="003B6CF7">
              <w:rPr>
                <w:rFonts w:ascii="Times New Roman" w:hAnsi="Times New Roman"/>
                <w:noProof/>
                <w:sz w:val="22"/>
                <w:vertAlign w:val="superscript"/>
              </w:rPr>
              <w:t>4</w:t>
            </w:r>
            <w:r w:rsidRPr="003B6CF7">
              <w:rPr>
                <w:rFonts w:ascii="Times New Roman" w:hAnsi="Times New Roman"/>
                <w:noProof/>
                <w:sz w:val="22"/>
              </w:rPr>
              <w:t>)</w:t>
            </w:r>
          </w:p>
          <w:p w14:paraId="46F2D672"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[µg/l]</w:t>
            </w:r>
          </w:p>
        </w:tc>
        <w:tc>
          <w:tcPr>
            <w:tcW w:w="1304" w:type="dxa"/>
          </w:tcPr>
          <w:p w14:paraId="6D19A861" w14:textId="77777777" w:rsidR="00A742F9" w:rsidRPr="003B6CF7" w:rsidRDefault="00A742F9" w:rsidP="00A742F9">
            <w:pPr>
              <w:widowControl/>
              <w:spacing w:before="40" w:after="40"/>
              <w:rPr>
                <w:rFonts w:ascii="Times New Roman" w:hAnsi="Times New Roman"/>
                <w:noProof/>
                <w:sz w:val="22"/>
                <w:vertAlign w:val="superscript"/>
              </w:rPr>
            </w:pPr>
            <w:r w:rsidRPr="003B6CF7">
              <w:rPr>
                <w:rFonts w:ascii="Times New Roman" w:hAnsi="Times New Roman"/>
                <w:noProof/>
                <w:sz w:val="22"/>
              </w:rPr>
              <w:t>AA-MKN (</w:t>
            </w:r>
            <w:r w:rsidRPr="003B6CF7">
              <w:rPr>
                <w:rFonts w:ascii="Times New Roman" w:hAnsi="Times New Roman"/>
                <w:noProof/>
                <w:sz w:val="22"/>
                <w:vertAlign w:val="superscript"/>
              </w:rPr>
              <w:t>3</w:t>
            </w:r>
            <w:r w:rsidRPr="003B6CF7">
              <w:rPr>
                <w:rFonts w:ascii="Times New Roman" w:hAnsi="Times New Roman"/>
                <w:noProof/>
                <w:sz w:val="22"/>
              </w:rPr>
              <w:t>)</w:t>
            </w:r>
          </w:p>
          <w:p w14:paraId="0C5D90B2"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 xml:space="preserve">Andra ytvatten </w:t>
            </w:r>
          </w:p>
          <w:p w14:paraId="7C84AF16"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[µg/l]</w:t>
            </w:r>
          </w:p>
        </w:tc>
        <w:tc>
          <w:tcPr>
            <w:tcW w:w="1361" w:type="dxa"/>
          </w:tcPr>
          <w:p w14:paraId="093DE890"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MAC-MKN (</w:t>
            </w:r>
            <w:r w:rsidRPr="003B6CF7">
              <w:rPr>
                <w:rFonts w:ascii="Times New Roman" w:hAnsi="Times New Roman"/>
                <w:noProof/>
                <w:sz w:val="22"/>
                <w:vertAlign w:val="superscript"/>
              </w:rPr>
              <w:t>5</w:t>
            </w:r>
            <w:r w:rsidRPr="003B6CF7">
              <w:rPr>
                <w:rFonts w:ascii="Times New Roman" w:hAnsi="Times New Roman"/>
                <w:noProof/>
                <w:sz w:val="22"/>
              </w:rPr>
              <w:t xml:space="preserve">) </w:t>
            </w:r>
          </w:p>
          <w:p w14:paraId="270FA2AC" w14:textId="77777777" w:rsidR="00A742F9" w:rsidRPr="003B6CF7" w:rsidRDefault="00A742F9" w:rsidP="00A742F9">
            <w:pPr>
              <w:widowControl/>
              <w:spacing w:before="40" w:after="40"/>
              <w:rPr>
                <w:rFonts w:ascii="Times New Roman" w:hAnsi="Times New Roman"/>
                <w:noProof/>
                <w:sz w:val="22"/>
                <w:vertAlign w:val="superscript"/>
              </w:rPr>
            </w:pPr>
            <w:r w:rsidRPr="003B6CF7">
              <w:rPr>
                <w:rFonts w:ascii="Times New Roman" w:hAnsi="Times New Roman"/>
                <w:noProof/>
                <w:sz w:val="22"/>
              </w:rPr>
              <w:t>Inlandsytvatten (</w:t>
            </w:r>
            <w:r w:rsidRPr="003B6CF7">
              <w:rPr>
                <w:rFonts w:ascii="Times New Roman" w:hAnsi="Times New Roman"/>
                <w:noProof/>
                <w:sz w:val="22"/>
                <w:vertAlign w:val="superscript"/>
              </w:rPr>
              <w:t>4</w:t>
            </w:r>
            <w:r w:rsidRPr="003B6CF7">
              <w:rPr>
                <w:rFonts w:ascii="Times New Roman" w:hAnsi="Times New Roman"/>
                <w:noProof/>
                <w:sz w:val="22"/>
              </w:rPr>
              <w:t>)</w:t>
            </w:r>
          </w:p>
          <w:p w14:paraId="1DE06978" w14:textId="77777777" w:rsidR="00A742F9" w:rsidRPr="003B6CF7" w:rsidRDefault="00A742F9" w:rsidP="00A742F9">
            <w:pPr>
              <w:widowControl/>
              <w:spacing w:before="40" w:after="40"/>
              <w:rPr>
                <w:rFonts w:ascii="Times New Roman" w:hAnsi="Times New Roman"/>
                <w:noProof/>
                <w:sz w:val="22"/>
                <w:vertAlign w:val="superscript"/>
              </w:rPr>
            </w:pPr>
            <w:r w:rsidRPr="003B6CF7">
              <w:rPr>
                <w:rFonts w:ascii="Times New Roman" w:hAnsi="Times New Roman"/>
                <w:noProof/>
                <w:sz w:val="22"/>
              </w:rPr>
              <w:t xml:space="preserve"> </w:t>
            </w:r>
          </w:p>
          <w:p w14:paraId="453AD0EC"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[µg/l]</w:t>
            </w:r>
          </w:p>
        </w:tc>
        <w:tc>
          <w:tcPr>
            <w:tcW w:w="1361" w:type="dxa"/>
          </w:tcPr>
          <w:p w14:paraId="7C6DCDA4"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MAC-MKN (</w:t>
            </w:r>
            <w:r w:rsidRPr="003B6CF7">
              <w:rPr>
                <w:rFonts w:ascii="Times New Roman" w:hAnsi="Times New Roman"/>
                <w:noProof/>
                <w:sz w:val="22"/>
                <w:vertAlign w:val="superscript"/>
              </w:rPr>
              <w:t>5</w:t>
            </w:r>
            <w:r w:rsidRPr="003B6CF7">
              <w:rPr>
                <w:rFonts w:ascii="Times New Roman" w:hAnsi="Times New Roman"/>
                <w:noProof/>
                <w:sz w:val="22"/>
              </w:rPr>
              <w:t>)</w:t>
            </w:r>
          </w:p>
          <w:p w14:paraId="1B76F99A"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Andra ytvatten</w:t>
            </w:r>
          </w:p>
          <w:p w14:paraId="3E524783"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[µg/l]</w:t>
            </w:r>
          </w:p>
        </w:tc>
        <w:tc>
          <w:tcPr>
            <w:tcW w:w="1417" w:type="dxa"/>
            <w:tcBorders>
              <w:right w:val="single" w:sz="4" w:space="0" w:color="auto"/>
            </w:tcBorders>
          </w:tcPr>
          <w:p w14:paraId="758E39C3"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MKN</w:t>
            </w:r>
          </w:p>
          <w:p w14:paraId="6C4AF17D" w14:textId="77777777" w:rsidR="00A742F9" w:rsidRPr="003B6CF7" w:rsidRDefault="00A742F9" w:rsidP="00A742F9">
            <w:pPr>
              <w:widowControl/>
              <w:spacing w:before="40" w:after="40"/>
              <w:rPr>
                <w:rFonts w:ascii="Times New Roman" w:hAnsi="Times New Roman"/>
                <w:noProof/>
                <w:sz w:val="22"/>
              </w:rPr>
            </w:pPr>
            <w:r w:rsidRPr="003B6CF7">
              <w:rPr>
                <w:rFonts w:ascii="Times New Roman" w:hAnsi="Times New Roman"/>
                <w:noProof/>
                <w:sz w:val="22"/>
              </w:rPr>
              <w:t>Biota (</w:t>
            </w:r>
            <w:r w:rsidRPr="003B6CF7">
              <w:rPr>
                <w:rFonts w:ascii="Times New Roman" w:hAnsi="Times New Roman"/>
                <w:noProof/>
                <w:sz w:val="22"/>
                <w:vertAlign w:val="superscript"/>
              </w:rPr>
              <w:t>6</w:t>
            </w:r>
            <w:r w:rsidRPr="003B6CF7">
              <w:rPr>
                <w:rFonts w:ascii="Times New Roman" w:hAnsi="Times New Roman"/>
                <w:noProof/>
                <w:sz w:val="22"/>
              </w:rPr>
              <w:t>)</w:t>
            </w:r>
          </w:p>
          <w:p w14:paraId="121F27CC"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[µg/kg våtvikt] eller MKN Sediment [µg/kg torrvikt] där så anges</w:t>
            </w:r>
          </w:p>
        </w:tc>
        <w:tc>
          <w:tcPr>
            <w:tcW w:w="850" w:type="dxa"/>
            <w:tcBorders>
              <w:right w:val="single" w:sz="4" w:space="0" w:color="auto"/>
            </w:tcBorders>
          </w:tcPr>
          <w:p w14:paraId="5046796D" w14:textId="77777777" w:rsidR="00A742F9" w:rsidRPr="003B6CF7" w:rsidRDefault="00A742F9" w:rsidP="00A742F9">
            <w:pPr>
              <w:widowControl/>
              <w:spacing w:before="40" w:after="40"/>
              <w:rPr>
                <w:rFonts w:ascii="Times New Roman" w:hAnsi="Times New Roman"/>
                <w:noProof/>
                <w:sz w:val="22"/>
              </w:rPr>
            </w:pPr>
          </w:p>
        </w:tc>
      </w:tr>
      <w:tr w:rsidR="00EB340A" w:rsidRPr="003B6CF7" w14:paraId="7C322CF6" w14:textId="77777777" w:rsidTr="003B6CF7">
        <w:tc>
          <w:tcPr>
            <w:tcW w:w="1247" w:type="dxa"/>
          </w:tcPr>
          <w:p w14:paraId="20A07FBF"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w:t>
            </w:r>
          </w:p>
        </w:tc>
        <w:tc>
          <w:tcPr>
            <w:tcW w:w="1474" w:type="dxa"/>
            <w:tcMar>
              <w:left w:w="57" w:type="dxa"/>
              <w:right w:w="57" w:type="dxa"/>
            </w:tcMar>
          </w:tcPr>
          <w:p w14:paraId="48519675" w14:textId="77777777" w:rsidR="00A742F9" w:rsidRPr="003B6CF7" w:rsidRDefault="00A742F9" w:rsidP="00A742F9">
            <w:pPr>
              <w:widowControl/>
              <w:spacing w:before="120" w:after="120"/>
              <w:rPr>
                <w:rFonts w:ascii="Times New Roman" w:hAnsi="Times New Roman"/>
                <w:noProof/>
                <w:sz w:val="22"/>
              </w:rPr>
            </w:pPr>
            <w:r w:rsidRPr="003B6CF7">
              <w:rPr>
                <w:rFonts w:ascii="Times New Roman" w:hAnsi="Times New Roman"/>
                <w:noProof/>
                <w:sz w:val="22"/>
              </w:rPr>
              <w:t>Alaklor (</w:t>
            </w:r>
            <w:r w:rsidRPr="003B6CF7">
              <w:rPr>
                <w:rFonts w:ascii="Times New Roman" w:hAnsi="Times New Roman"/>
                <w:noProof/>
                <w:sz w:val="22"/>
                <w:vertAlign w:val="superscript"/>
              </w:rPr>
              <w:t>7</w:t>
            </w:r>
            <w:r w:rsidRPr="003B6CF7">
              <w:rPr>
                <w:rFonts w:ascii="Times New Roman" w:hAnsi="Times New Roman"/>
                <w:noProof/>
                <w:sz w:val="22"/>
              </w:rPr>
              <w:t>)</w:t>
            </w:r>
          </w:p>
        </w:tc>
        <w:tc>
          <w:tcPr>
            <w:tcW w:w="1474" w:type="dxa"/>
          </w:tcPr>
          <w:p w14:paraId="7D05D8B2"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Bekämpningsmedel</w:t>
            </w:r>
          </w:p>
        </w:tc>
        <w:tc>
          <w:tcPr>
            <w:tcW w:w="1304" w:type="dxa"/>
            <w:tcMar>
              <w:left w:w="28" w:type="dxa"/>
              <w:right w:w="28" w:type="dxa"/>
            </w:tcMar>
          </w:tcPr>
          <w:p w14:paraId="64572ED4"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15972-60-8</w:t>
            </w:r>
          </w:p>
        </w:tc>
        <w:tc>
          <w:tcPr>
            <w:tcW w:w="1020" w:type="dxa"/>
          </w:tcPr>
          <w:p w14:paraId="7FAC791E"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240-110-8</w:t>
            </w:r>
          </w:p>
        </w:tc>
        <w:tc>
          <w:tcPr>
            <w:tcW w:w="1361" w:type="dxa"/>
          </w:tcPr>
          <w:p w14:paraId="16AF68A4"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0,3</w:t>
            </w:r>
          </w:p>
        </w:tc>
        <w:tc>
          <w:tcPr>
            <w:tcW w:w="1304" w:type="dxa"/>
          </w:tcPr>
          <w:p w14:paraId="624E0F0D"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0,3</w:t>
            </w:r>
          </w:p>
        </w:tc>
        <w:tc>
          <w:tcPr>
            <w:tcW w:w="1361" w:type="dxa"/>
          </w:tcPr>
          <w:p w14:paraId="67A45DC1"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0,7</w:t>
            </w:r>
          </w:p>
        </w:tc>
        <w:tc>
          <w:tcPr>
            <w:tcW w:w="1361" w:type="dxa"/>
          </w:tcPr>
          <w:p w14:paraId="27ADB4DE"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0,7</w:t>
            </w:r>
          </w:p>
        </w:tc>
        <w:tc>
          <w:tcPr>
            <w:tcW w:w="1417" w:type="dxa"/>
          </w:tcPr>
          <w:p w14:paraId="4E0076DF" w14:textId="77777777" w:rsidR="00A742F9" w:rsidRPr="003B6CF7" w:rsidRDefault="00A742F9" w:rsidP="00A742F9">
            <w:pPr>
              <w:widowControl/>
              <w:spacing w:before="120" w:after="120"/>
              <w:jc w:val="both"/>
              <w:rPr>
                <w:rFonts w:ascii="Times New Roman" w:hAnsi="Times New Roman"/>
                <w:noProof/>
                <w:sz w:val="22"/>
              </w:rPr>
            </w:pPr>
          </w:p>
        </w:tc>
        <w:tc>
          <w:tcPr>
            <w:tcW w:w="850" w:type="dxa"/>
          </w:tcPr>
          <w:p w14:paraId="02DD3B22" w14:textId="77777777" w:rsidR="00A742F9" w:rsidRPr="003B6CF7" w:rsidRDefault="00A742F9" w:rsidP="00A742F9">
            <w:pPr>
              <w:widowControl/>
              <w:spacing w:before="120" w:after="120"/>
              <w:jc w:val="both"/>
              <w:rPr>
                <w:rFonts w:ascii="Times New Roman" w:hAnsi="Times New Roman"/>
                <w:noProof/>
                <w:sz w:val="22"/>
              </w:rPr>
            </w:pPr>
          </w:p>
        </w:tc>
      </w:tr>
      <w:tr w:rsidR="00EB340A" w:rsidRPr="003B6CF7" w14:paraId="4805645D" w14:textId="77777777" w:rsidTr="003B6CF7">
        <w:tc>
          <w:tcPr>
            <w:tcW w:w="1247" w:type="dxa"/>
          </w:tcPr>
          <w:p w14:paraId="2BF3E09E"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2</w:t>
            </w:r>
          </w:p>
        </w:tc>
        <w:tc>
          <w:tcPr>
            <w:tcW w:w="1474" w:type="dxa"/>
            <w:tcMar>
              <w:left w:w="57" w:type="dxa"/>
              <w:right w:w="57" w:type="dxa"/>
            </w:tcMar>
          </w:tcPr>
          <w:p w14:paraId="45FCD28F" w14:textId="77777777" w:rsidR="00A742F9" w:rsidRPr="003B6CF7" w:rsidRDefault="00A742F9" w:rsidP="00A742F9">
            <w:pPr>
              <w:widowControl/>
              <w:spacing w:before="120" w:after="120"/>
              <w:rPr>
                <w:rFonts w:ascii="Times New Roman" w:hAnsi="Times New Roman"/>
                <w:noProof/>
                <w:sz w:val="22"/>
              </w:rPr>
            </w:pPr>
            <w:r w:rsidRPr="003B6CF7">
              <w:rPr>
                <w:rFonts w:ascii="Times New Roman" w:hAnsi="Times New Roman"/>
                <w:noProof/>
                <w:sz w:val="22"/>
              </w:rPr>
              <w:t>Koltetraklorid (</w:t>
            </w:r>
            <w:r w:rsidRPr="003B6CF7">
              <w:rPr>
                <w:rFonts w:ascii="Times New Roman" w:hAnsi="Times New Roman"/>
                <w:noProof/>
                <w:sz w:val="22"/>
                <w:vertAlign w:val="superscript"/>
              </w:rPr>
              <w:t>7</w:t>
            </w:r>
            <w:r w:rsidRPr="003B6CF7">
              <w:rPr>
                <w:rFonts w:ascii="Times New Roman" w:hAnsi="Times New Roman"/>
                <w:noProof/>
                <w:sz w:val="22"/>
              </w:rPr>
              <w:t>)</w:t>
            </w:r>
          </w:p>
        </w:tc>
        <w:tc>
          <w:tcPr>
            <w:tcW w:w="1474" w:type="dxa"/>
          </w:tcPr>
          <w:p w14:paraId="0F268487"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Industriella ämnen</w:t>
            </w:r>
          </w:p>
        </w:tc>
        <w:tc>
          <w:tcPr>
            <w:tcW w:w="1304" w:type="dxa"/>
            <w:tcMar>
              <w:left w:w="28" w:type="dxa"/>
              <w:right w:w="28" w:type="dxa"/>
            </w:tcMar>
          </w:tcPr>
          <w:p w14:paraId="53B6FAF2"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56-23-5</w:t>
            </w:r>
          </w:p>
        </w:tc>
        <w:tc>
          <w:tcPr>
            <w:tcW w:w="1020" w:type="dxa"/>
          </w:tcPr>
          <w:p w14:paraId="2DC5EFD4"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200-262-8</w:t>
            </w:r>
          </w:p>
        </w:tc>
        <w:tc>
          <w:tcPr>
            <w:tcW w:w="1361" w:type="dxa"/>
          </w:tcPr>
          <w:p w14:paraId="1D8E70A9"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 xml:space="preserve">12 </w:t>
            </w:r>
          </w:p>
        </w:tc>
        <w:tc>
          <w:tcPr>
            <w:tcW w:w="1304" w:type="dxa"/>
          </w:tcPr>
          <w:p w14:paraId="7C84B24C"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12</w:t>
            </w:r>
          </w:p>
        </w:tc>
        <w:tc>
          <w:tcPr>
            <w:tcW w:w="1361" w:type="dxa"/>
          </w:tcPr>
          <w:p w14:paraId="09B90293"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Ej tillämpligt</w:t>
            </w:r>
          </w:p>
        </w:tc>
        <w:tc>
          <w:tcPr>
            <w:tcW w:w="1361" w:type="dxa"/>
          </w:tcPr>
          <w:p w14:paraId="19A489B6"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Ej tillämpligt</w:t>
            </w:r>
          </w:p>
        </w:tc>
        <w:tc>
          <w:tcPr>
            <w:tcW w:w="1417" w:type="dxa"/>
          </w:tcPr>
          <w:p w14:paraId="5843C975" w14:textId="77777777" w:rsidR="00A742F9" w:rsidRPr="003B6CF7" w:rsidRDefault="00A742F9" w:rsidP="00A742F9">
            <w:pPr>
              <w:widowControl/>
              <w:spacing w:before="120" w:after="120"/>
              <w:jc w:val="both"/>
              <w:rPr>
                <w:rFonts w:ascii="Times New Roman" w:hAnsi="Times New Roman"/>
                <w:noProof/>
                <w:sz w:val="22"/>
              </w:rPr>
            </w:pPr>
          </w:p>
        </w:tc>
        <w:tc>
          <w:tcPr>
            <w:tcW w:w="850" w:type="dxa"/>
          </w:tcPr>
          <w:p w14:paraId="3B946C24" w14:textId="77777777" w:rsidR="00A742F9" w:rsidRPr="003B6CF7" w:rsidRDefault="00A742F9" w:rsidP="00A742F9">
            <w:pPr>
              <w:widowControl/>
              <w:spacing w:before="120" w:after="120"/>
              <w:jc w:val="both"/>
              <w:rPr>
                <w:rFonts w:ascii="Times New Roman" w:hAnsi="Times New Roman"/>
                <w:noProof/>
                <w:sz w:val="22"/>
              </w:rPr>
            </w:pPr>
          </w:p>
        </w:tc>
      </w:tr>
      <w:tr w:rsidR="00EB340A" w:rsidRPr="003B6CF7" w14:paraId="3638AB9D" w14:textId="77777777" w:rsidTr="003B6CF7">
        <w:tc>
          <w:tcPr>
            <w:tcW w:w="1247" w:type="dxa"/>
          </w:tcPr>
          <w:p w14:paraId="11E821F9"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3</w:t>
            </w:r>
          </w:p>
        </w:tc>
        <w:tc>
          <w:tcPr>
            <w:tcW w:w="1474" w:type="dxa"/>
            <w:tcMar>
              <w:left w:w="57" w:type="dxa"/>
              <w:right w:w="57" w:type="dxa"/>
            </w:tcMar>
          </w:tcPr>
          <w:p w14:paraId="116C0D4D" w14:textId="77777777" w:rsidR="00A742F9" w:rsidRPr="003B6CF7" w:rsidRDefault="00A742F9" w:rsidP="00A742F9">
            <w:pPr>
              <w:widowControl/>
              <w:spacing w:before="120" w:after="120"/>
              <w:rPr>
                <w:rFonts w:ascii="Times New Roman" w:hAnsi="Times New Roman"/>
                <w:noProof/>
                <w:sz w:val="22"/>
              </w:rPr>
            </w:pPr>
            <w:r w:rsidRPr="003B6CF7">
              <w:rPr>
                <w:rFonts w:ascii="Times New Roman" w:hAnsi="Times New Roman"/>
                <w:noProof/>
                <w:sz w:val="22"/>
              </w:rPr>
              <w:t>Klorfenvinfos (</w:t>
            </w:r>
            <w:r w:rsidRPr="003B6CF7">
              <w:rPr>
                <w:rFonts w:ascii="Times New Roman" w:hAnsi="Times New Roman"/>
                <w:noProof/>
                <w:sz w:val="22"/>
                <w:vertAlign w:val="superscript"/>
              </w:rPr>
              <w:t>7</w:t>
            </w:r>
            <w:r w:rsidRPr="003B6CF7">
              <w:rPr>
                <w:rFonts w:ascii="Times New Roman" w:hAnsi="Times New Roman"/>
                <w:noProof/>
                <w:sz w:val="22"/>
              </w:rPr>
              <w:t>)</w:t>
            </w:r>
          </w:p>
        </w:tc>
        <w:tc>
          <w:tcPr>
            <w:tcW w:w="1474" w:type="dxa"/>
          </w:tcPr>
          <w:p w14:paraId="7946ED27"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Bekämpningsmedel</w:t>
            </w:r>
          </w:p>
        </w:tc>
        <w:tc>
          <w:tcPr>
            <w:tcW w:w="1304" w:type="dxa"/>
            <w:tcMar>
              <w:left w:w="28" w:type="dxa"/>
              <w:right w:w="28" w:type="dxa"/>
            </w:tcMar>
          </w:tcPr>
          <w:p w14:paraId="3104FB7D"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470-90-6</w:t>
            </w:r>
          </w:p>
        </w:tc>
        <w:tc>
          <w:tcPr>
            <w:tcW w:w="1020" w:type="dxa"/>
          </w:tcPr>
          <w:p w14:paraId="2730A9E0"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207-432-0</w:t>
            </w:r>
          </w:p>
        </w:tc>
        <w:tc>
          <w:tcPr>
            <w:tcW w:w="1361" w:type="dxa"/>
          </w:tcPr>
          <w:p w14:paraId="10F1CA73"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0,1</w:t>
            </w:r>
          </w:p>
        </w:tc>
        <w:tc>
          <w:tcPr>
            <w:tcW w:w="1304" w:type="dxa"/>
          </w:tcPr>
          <w:p w14:paraId="26F0499D"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0,1</w:t>
            </w:r>
          </w:p>
        </w:tc>
        <w:tc>
          <w:tcPr>
            <w:tcW w:w="1361" w:type="dxa"/>
          </w:tcPr>
          <w:p w14:paraId="6B44C979"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0,3</w:t>
            </w:r>
          </w:p>
        </w:tc>
        <w:tc>
          <w:tcPr>
            <w:tcW w:w="1361" w:type="dxa"/>
          </w:tcPr>
          <w:p w14:paraId="48F22510"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0,3</w:t>
            </w:r>
          </w:p>
        </w:tc>
        <w:tc>
          <w:tcPr>
            <w:tcW w:w="1417" w:type="dxa"/>
          </w:tcPr>
          <w:p w14:paraId="0C84A544" w14:textId="77777777" w:rsidR="00A742F9" w:rsidRPr="003B6CF7" w:rsidRDefault="00A742F9" w:rsidP="00A742F9">
            <w:pPr>
              <w:widowControl/>
              <w:spacing w:before="120" w:after="120"/>
              <w:jc w:val="both"/>
              <w:rPr>
                <w:rFonts w:ascii="Times New Roman" w:hAnsi="Times New Roman"/>
                <w:noProof/>
                <w:sz w:val="22"/>
              </w:rPr>
            </w:pPr>
          </w:p>
        </w:tc>
        <w:tc>
          <w:tcPr>
            <w:tcW w:w="850" w:type="dxa"/>
          </w:tcPr>
          <w:p w14:paraId="57C4DBFF" w14:textId="77777777" w:rsidR="00A742F9" w:rsidRPr="003B6CF7" w:rsidRDefault="00A742F9" w:rsidP="00A742F9">
            <w:pPr>
              <w:widowControl/>
              <w:spacing w:before="120" w:after="120"/>
              <w:jc w:val="both"/>
              <w:rPr>
                <w:rFonts w:ascii="Times New Roman" w:hAnsi="Times New Roman"/>
                <w:noProof/>
                <w:sz w:val="22"/>
              </w:rPr>
            </w:pPr>
          </w:p>
        </w:tc>
      </w:tr>
      <w:tr w:rsidR="00EB340A" w:rsidRPr="003B6CF7" w14:paraId="69FE50D3" w14:textId="77777777" w:rsidTr="003B6CF7">
        <w:tc>
          <w:tcPr>
            <w:tcW w:w="1247" w:type="dxa"/>
          </w:tcPr>
          <w:p w14:paraId="371C880B"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4</w:t>
            </w:r>
          </w:p>
        </w:tc>
        <w:tc>
          <w:tcPr>
            <w:tcW w:w="1474" w:type="dxa"/>
            <w:tcMar>
              <w:left w:w="57" w:type="dxa"/>
              <w:right w:w="57" w:type="dxa"/>
            </w:tcMar>
          </w:tcPr>
          <w:p w14:paraId="5C9BD7F3" w14:textId="77777777" w:rsidR="00A742F9" w:rsidRPr="003B6CF7" w:rsidRDefault="00A742F9" w:rsidP="00A742F9">
            <w:pPr>
              <w:widowControl/>
              <w:spacing w:before="120" w:after="120"/>
              <w:rPr>
                <w:rFonts w:ascii="Times New Roman" w:hAnsi="Times New Roman"/>
                <w:noProof/>
                <w:sz w:val="22"/>
              </w:rPr>
            </w:pPr>
            <w:r w:rsidRPr="003B6CF7">
              <w:rPr>
                <w:rFonts w:ascii="Times New Roman" w:hAnsi="Times New Roman"/>
                <w:noProof/>
                <w:sz w:val="22"/>
              </w:rPr>
              <w:t>Simazin (</w:t>
            </w:r>
            <w:r w:rsidRPr="003B6CF7">
              <w:rPr>
                <w:rFonts w:ascii="Times New Roman" w:hAnsi="Times New Roman"/>
                <w:noProof/>
                <w:sz w:val="22"/>
                <w:vertAlign w:val="superscript"/>
              </w:rPr>
              <w:t>7</w:t>
            </w:r>
            <w:r w:rsidRPr="003B6CF7">
              <w:rPr>
                <w:rFonts w:ascii="Times New Roman" w:hAnsi="Times New Roman"/>
                <w:noProof/>
                <w:sz w:val="22"/>
              </w:rPr>
              <w:t>)</w:t>
            </w:r>
          </w:p>
        </w:tc>
        <w:tc>
          <w:tcPr>
            <w:tcW w:w="1474" w:type="dxa"/>
          </w:tcPr>
          <w:p w14:paraId="61B869D4"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Bekämpningsmedel</w:t>
            </w:r>
          </w:p>
        </w:tc>
        <w:tc>
          <w:tcPr>
            <w:tcW w:w="1304" w:type="dxa"/>
            <w:tcMar>
              <w:left w:w="28" w:type="dxa"/>
              <w:right w:w="28" w:type="dxa"/>
            </w:tcMar>
          </w:tcPr>
          <w:p w14:paraId="7AC0E113"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122-34-9</w:t>
            </w:r>
          </w:p>
        </w:tc>
        <w:tc>
          <w:tcPr>
            <w:tcW w:w="1020" w:type="dxa"/>
          </w:tcPr>
          <w:p w14:paraId="548787CB"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204-535-2</w:t>
            </w:r>
          </w:p>
        </w:tc>
        <w:tc>
          <w:tcPr>
            <w:tcW w:w="1361" w:type="dxa"/>
          </w:tcPr>
          <w:p w14:paraId="6E71542E"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w:t>
            </w:r>
          </w:p>
        </w:tc>
        <w:tc>
          <w:tcPr>
            <w:tcW w:w="1304" w:type="dxa"/>
          </w:tcPr>
          <w:p w14:paraId="0CB755F6"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1</w:t>
            </w:r>
          </w:p>
        </w:tc>
        <w:tc>
          <w:tcPr>
            <w:tcW w:w="1361" w:type="dxa"/>
          </w:tcPr>
          <w:p w14:paraId="70696B8C"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4</w:t>
            </w:r>
          </w:p>
        </w:tc>
        <w:tc>
          <w:tcPr>
            <w:tcW w:w="1361" w:type="dxa"/>
          </w:tcPr>
          <w:p w14:paraId="174FC802" w14:textId="77777777" w:rsidR="00A742F9" w:rsidRPr="003B6CF7" w:rsidRDefault="00A742F9" w:rsidP="00A742F9">
            <w:pPr>
              <w:widowControl/>
              <w:spacing w:before="120" w:after="120"/>
              <w:jc w:val="both"/>
              <w:rPr>
                <w:rFonts w:ascii="Times New Roman" w:hAnsi="Times New Roman"/>
                <w:noProof/>
                <w:sz w:val="22"/>
              </w:rPr>
            </w:pPr>
            <w:r w:rsidRPr="003B6CF7">
              <w:rPr>
                <w:rFonts w:ascii="Times New Roman" w:hAnsi="Times New Roman"/>
                <w:noProof/>
                <w:sz w:val="22"/>
              </w:rPr>
              <w:t>4</w:t>
            </w:r>
          </w:p>
        </w:tc>
        <w:tc>
          <w:tcPr>
            <w:tcW w:w="1417" w:type="dxa"/>
          </w:tcPr>
          <w:p w14:paraId="6AB8A8CD" w14:textId="77777777" w:rsidR="00A742F9" w:rsidRPr="003B6CF7" w:rsidRDefault="00A742F9" w:rsidP="00A742F9">
            <w:pPr>
              <w:widowControl/>
              <w:spacing w:before="120" w:after="120"/>
              <w:jc w:val="both"/>
              <w:rPr>
                <w:rFonts w:ascii="Times New Roman" w:hAnsi="Times New Roman"/>
                <w:noProof/>
                <w:sz w:val="22"/>
              </w:rPr>
            </w:pPr>
          </w:p>
        </w:tc>
        <w:tc>
          <w:tcPr>
            <w:tcW w:w="850" w:type="dxa"/>
          </w:tcPr>
          <w:p w14:paraId="4930A387" w14:textId="77777777" w:rsidR="00A742F9" w:rsidRPr="003B6CF7" w:rsidRDefault="00A742F9" w:rsidP="00A742F9">
            <w:pPr>
              <w:widowControl/>
              <w:spacing w:before="120" w:after="120"/>
              <w:jc w:val="both"/>
              <w:rPr>
                <w:rFonts w:ascii="Times New Roman" w:hAnsi="Times New Roman"/>
                <w:noProof/>
                <w:sz w:val="22"/>
              </w:rPr>
            </w:pPr>
          </w:p>
        </w:tc>
      </w:tr>
    </w:tbl>
    <w:p w14:paraId="5F64A139" w14:textId="3289EFDC" w:rsidR="00A742F9" w:rsidRPr="003B6CF7" w:rsidRDefault="00A742F9" w:rsidP="001831FD">
      <w:pPr>
        <w:spacing w:before="120" w:after="120" w:line="360" w:lineRule="auto"/>
        <w:ind w:left="1416" w:hanging="566"/>
        <w:rPr>
          <w:szCs w:val="24"/>
          <w:lang w:val="en-GB" w:eastAsia="en-US"/>
        </w:rPr>
      </w:pPr>
    </w:p>
    <w:p w14:paraId="70C390D4" w14:textId="77777777" w:rsidR="00A742F9" w:rsidRPr="003B6CF7" w:rsidRDefault="00A742F9" w:rsidP="001831FD">
      <w:pPr>
        <w:spacing w:before="120" w:after="120" w:line="360" w:lineRule="auto"/>
        <w:ind w:left="1416" w:hanging="566"/>
        <w:rPr>
          <w:szCs w:val="24"/>
          <w:lang w:val="en-GB" w:eastAsia="en-US"/>
        </w:rPr>
        <w:sectPr w:rsidR="00A742F9" w:rsidRPr="003B6CF7" w:rsidSect="003B6CF7">
          <w:footnotePr>
            <w:numRestart w:val="eachSect"/>
          </w:footnotePr>
          <w:pgSz w:w="16838" w:h="11906" w:orient="landscape" w:code="9"/>
          <w:pgMar w:top="1418" w:right="1134" w:bottom="1418" w:left="1418" w:header="1134" w:footer="567" w:gutter="0"/>
          <w:cols w:space="720"/>
          <w:noEndnote/>
          <w:docGrid w:linePitch="326"/>
        </w:sectPr>
      </w:pPr>
    </w:p>
    <w:p w14:paraId="57CC4D52" w14:textId="2C45D05B" w:rsidR="001831FD" w:rsidRPr="003B6CF7" w:rsidRDefault="001831FD" w:rsidP="001831FD">
      <w:pPr>
        <w:spacing w:before="120" w:after="120" w:line="360" w:lineRule="auto"/>
        <w:ind w:left="1416" w:hanging="566"/>
        <w:rPr>
          <w:szCs w:val="24"/>
          <w:lang w:val="en-GB" w:eastAsia="en-US"/>
        </w:rPr>
      </w:pPr>
      <w:r w:rsidRPr="003B6CF7">
        <w:rPr>
          <w:szCs w:val="24"/>
          <w:lang w:val="en-GB" w:eastAsia="en-US"/>
        </w:rPr>
        <w:t>(</w:t>
      </w:r>
      <w:r w:rsidRPr="003B6CF7">
        <w:rPr>
          <w:szCs w:val="24"/>
          <w:vertAlign w:val="superscript"/>
          <w:lang w:val="en-GB" w:eastAsia="en-US"/>
        </w:rPr>
        <w:t>1</w:t>
      </w:r>
      <w:r w:rsidRPr="003B6CF7">
        <w:rPr>
          <w:szCs w:val="24"/>
          <w:lang w:val="en-GB" w:eastAsia="en-US"/>
        </w:rPr>
        <w:t>)</w:t>
      </w:r>
      <w:r w:rsidRPr="003B6CF7">
        <w:rPr>
          <w:szCs w:val="24"/>
          <w:lang w:val="en-GB" w:eastAsia="en-US"/>
        </w:rPr>
        <w:tab/>
        <w:t>CAS: Chemical Abstracts Service.</w:t>
      </w:r>
    </w:p>
    <w:p w14:paraId="53BF2ADD"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2</w:t>
      </w:r>
      <w:r w:rsidRPr="003B6CF7">
        <w:rPr>
          <w:szCs w:val="24"/>
          <w:lang w:eastAsia="en-US"/>
        </w:rPr>
        <w:t>)</w:t>
      </w:r>
      <w:r w:rsidRPr="003B6CF7">
        <w:rPr>
          <w:szCs w:val="24"/>
          <w:lang w:eastAsia="en-US"/>
        </w:rPr>
        <w:tab/>
        <w:t>EU-nummer: Europeiska förteckningen över existerande, kommersiellt använda kemiska ämnen (</w:t>
      </w:r>
      <w:proofErr w:type="spellStart"/>
      <w:r w:rsidRPr="003B6CF7">
        <w:rPr>
          <w:szCs w:val="24"/>
          <w:lang w:eastAsia="en-US"/>
        </w:rPr>
        <w:t>Einecs</w:t>
      </w:r>
      <w:proofErr w:type="spellEnd"/>
      <w:r w:rsidRPr="003B6CF7">
        <w:rPr>
          <w:szCs w:val="24"/>
          <w:lang w:eastAsia="en-US"/>
        </w:rPr>
        <w:t>) eller Europeiska förteckningen över anmälda kemiska ämnen (</w:t>
      </w:r>
      <w:proofErr w:type="spellStart"/>
      <w:r w:rsidRPr="003B6CF7">
        <w:rPr>
          <w:szCs w:val="24"/>
          <w:lang w:eastAsia="en-US"/>
        </w:rPr>
        <w:t>Elincs</w:t>
      </w:r>
      <w:proofErr w:type="spellEnd"/>
      <w:r w:rsidRPr="003B6CF7">
        <w:rPr>
          <w:szCs w:val="24"/>
          <w:lang w:eastAsia="en-US"/>
        </w:rPr>
        <w:t>).</w:t>
      </w:r>
    </w:p>
    <w:p w14:paraId="67DC4596"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3</w:t>
      </w:r>
      <w:r w:rsidRPr="003B6CF7">
        <w:rPr>
          <w:szCs w:val="24"/>
          <w:lang w:eastAsia="en-US"/>
        </w:rPr>
        <w:t>)</w:t>
      </w:r>
      <w:r w:rsidRPr="003B6CF7">
        <w:rPr>
          <w:szCs w:val="24"/>
          <w:lang w:eastAsia="en-US"/>
        </w:rPr>
        <w:tab/>
        <w:t>Denna parameter är miljökvalitetsnormen uttryckt som ett medelvärde på årsnivå (AA-MKN). Om inte annat anges gäller den för den totala koncentrationen av alla ämnen och isomerer.</w:t>
      </w:r>
    </w:p>
    <w:p w14:paraId="08667B84"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4</w:t>
      </w:r>
      <w:r w:rsidRPr="003B6CF7">
        <w:rPr>
          <w:szCs w:val="24"/>
          <w:lang w:eastAsia="en-US"/>
        </w:rPr>
        <w:t>)</w:t>
      </w:r>
      <w:r w:rsidRPr="003B6CF7">
        <w:rPr>
          <w:szCs w:val="24"/>
          <w:lang w:eastAsia="en-US"/>
        </w:rPr>
        <w:tab/>
        <w:t>Inlandsytvatten omfattar floder och sjöar och därmed sammanhängande konstgjorda eller kraftigt modifierade vattenförekomster.</w:t>
      </w:r>
    </w:p>
    <w:p w14:paraId="5E9D1945" w14:textId="77777777" w:rsidR="001831FD" w:rsidRPr="003B6CF7"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5</w:t>
      </w:r>
      <w:r w:rsidRPr="003B6CF7">
        <w:rPr>
          <w:szCs w:val="24"/>
          <w:lang w:eastAsia="en-US"/>
        </w:rPr>
        <w:t>)</w:t>
      </w:r>
      <w:r w:rsidRPr="003B6CF7">
        <w:rPr>
          <w:szCs w:val="24"/>
          <w:lang w:eastAsia="en-US"/>
        </w:rPr>
        <w:tab/>
        <w:t>Denna parameter är miljökvalitetsnormen uttryckt som maximal tillåten koncentration (MAC-MKN). Där MAC-MKN anges som ’ej tillämpligt’ anses värdena på AA-MKN utgöra skydd mot kortvariga föroreningstoppar vid kontinuerliga utsläpp eftersom de är avsevärt lägre än de värden som tagits fram utifrån akut toxicitet.</w:t>
      </w:r>
    </w:p>
    <w:p w14:paraId="7CBC4AAA" w14:textId="77777777" w:rsidR="001F7022" w:rsidRPr="003B6CF7" w:rsidRDefault="001F7022">
      <w:pPr>
        <w:widowControl/>
        <w:rPr>
          <w:szCs w:val="24"/>
          <w:lang w:eastAsia="en-US"/>
        </w:rPr>
      </w:pPr>
      <w:r w:rsidRPr="003B6CF7">
        <w:rPr>
          <w:szCs w:val="24"/>
          <w:lang w:eastAsia="en-US"/>
        </w:rPr>
        <w:br w:type="page"/>
      </w:r>
    </w:p>
    <w:p w14:paraId="4BDF4D3F" w14:textId="5BF90EDE" w:rsidR="001831FD" w:rsidRPr="003B6CF7"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6</w:t>
      </w:r>
      <w:r w:rsidRPr="003B6CF7">
        <w:rPr>
          <w:szCs w:val="24"/>
          <w:lang w:eastAsia="en-US"/>
        </w:rPr>
        <w:t>)</w:t>
      </w:r>
      <w:r w:rsidRPr="003B6CF7">
        <w:rPr>
          <w:szCs w:val="24"/>
          <w:lang w:eastAsia="en-US"/>
        </w:rPr>
        <w:tab/>
        <w:t xml:space="preserve">Om en miljökvalitetsnorm för </w:t>
      </w:r>
      <w:proofErr w:type="spellStart"/>
      <w:r w:rsidRPr="003B6CF7">
        <w:rPr>
          <w:szCs w:val="24"/>
          <w:lang w:eastAsia="en-US"/>
        </w:rPr>
        <w:t>biota</w:t>
      </w:r>
      <w:proofErr w:type="spellEnd"/>
      <w:r w:rsidRPr="003B6CF7">
        <w:rPr>
          <w:szCs w:val="24"/>
          <w:lang w:eastAsia="en-US"/>
        </w:rPr>
        <w:t xml:space="preserve"> anges ska den, snarare än miljökvalitetsnormerna för vatten, tillämpas, utan att det påverkar tillämpningen av den bestämmelse i artikel 3.3 i detta direktiv som tillåter att ett alternativt </w:t>
      </w:r>
      <w:proofErr w:type="spellStart"/>
      <w:r w:rsidRPr="003B6CF7">
        <w:rPr>
          <w:szCs w:val="24"/>
          <w:lang w:eastAsia="en-US"/>
        </w:rPr>
        <w:t>biotataxon</w:t>
      </w:r>
      <w:proofErr w:type="spellEnd"/>
      <w:r w:rsidRPr="003B6CF7">
        <w:rPr>
          <w:szCs w:val="24"/>
          <w:lang w:eastAsia="en-US"/>
        </w:rPr>
        <w:t xml:space="preserve">, eller en annan matris, övervakas i stället, så länge den miljökvalitetsnorm som tillämpas ger en likvärdig skyddsnivå. Miljökvalitetsnormen för </w:t>
      </w:r>
      <w:proofErr w:type="spellStart"/>
      <w:r w:rsidRPr="003B6CF7">
        <w:rPr>
          <w:szCs w:val="24"/>
          <w:lang w:eastAsia="en-US"/>
        </w:rPr>
        <w:t>biota</w:t>
      </w:r>
      <w:proofErr w:type="spellEnd"/>
      <w:r w:rsidRPr="003B6CF7">
        <w:rPr>
          <w:szCs w:val="24"/>
          <w:lang w:eastAsia="en-US"/>
        </w:rPr>
        <w:t xml:space="preserve"> avser fisk om inget annat anges.</w:t>
      </w:r>
    </w:p>
    <w:p w14:paraId="50A35A47" w14:textId="77777777" w:rsidR="001831FD" w:rsidRPr="001831FD" w:rsidRDefault="001831FD" w:rsidP="001831FD">
      <w:pPr>
        <w:spacing w:before="120" w:after="120" w:line="360" w:lineRule="auto"/>
        <w:ind w:left="1416" w:hanging="566"/>
        <w:rPr>
          <w:szCs w:val="24"/>
          <w:lang w:eastAsia="en-US"/>
        </w:rPr>
      </w:pPr>
      <w:r w:rsidRPr="003B6CF7">
        <w:rPr>
          <w:szCs w:val="24"/>
          <w:lang w:eastAsia="en-US"/>
        </w:rPr>
        <w:t>(</w:t>
      </w:r>
      <w:r w:rsidRPr="003B6CF7">
        <w:rPr>
          <w:szCs w:val="24"/>
          <w:vertAlign w:val="superscript"/>
          <w:lang w:eastAsia="en-US"/>
        </w:rPr>
        <w:t>7</w:t>
      </w:r>
      <w:r w:rsidRPr="003B6CF7">
        <w:rPr>
          <w:szCs w:val="24"/>
          <w:lang w:eastAsia="en-US"/>
        </w:rPr>
        <w:t>)</w:t>
      </w:r>
      <w:r w:rsidRPr="003B6CF7">
        <w:rPr>
          <w:szCs w:val="24"/>
          <w:lang w:eastAsia="en-US"/>
        </w:rPr>
        <w:tab/>
        <w:t>Ämne som tidigare förtecknats som ett prioriterat ämne i bilaga X till direktiv 2000/60/EG eller bilaga I till direktiv 2008/105/EG.”</w:t>
      </w:r>
    </w:p>
    <w:p w14:paraId="40A0FC96" w14:textId="77777777" w:rsidR="00E615CD" w:rsidRDefault="00E615CD">
      <w:pPr>
        <w:widowControl/>
      </w:pPr>
    </w:p>
    <w:sectPr w:rsidR="00E615CD" w:rsidSect="007023D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357F5" w14:textId="77777777" w:rsidR="003524E3" w:rsidRPr="007023D4" w:rsidRDefault="003524E3">
      <w:r w:rsidRPr="007023D4">
        <w:separator/>
      </w:r>
    </w:p>
  </w:endnote>
  <w:endnote w:type="continuationSeparator" w:id="0">
    <w:p w14:paraId="1F00FCC7" w14:textId="77777777" w:rsidR="003524E3" w:rsidRPr="007023D4" w:rsidRDefault="003524E3">
      <w:r w:rsidRPr="00702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0372" w14:textId="77777777" w:rsidR="003524E3" w:rsidRDefault="003524E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DC879" w14:textId="77777777" w:rsidR="003524E3" w:rsidRDefault="003524E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2B10" w14:textId="77777777" w:rsidR="003524E3" w:rsidRPr="007023D4" w:rsidRDefault="003524E3">
      <w:r w:rsidRPr="007023D4">
        <w:separator/>
      </w:r>
    </w:p>
  </w:footnote>
  <w:footnote w:type="continuationSeparator" w:id="0">
    <w:p w14:paraId="44F67719" w14:textId="77777777" w:rsidR="003524E3" w:rsidRPr="007023D4" w:rsidRDefault="003524E3">
      <w:r w:rsidRPr="007023D4">
        <w:continuationSeparator/>
      </w:r>
    </w:p>
  </w:footnote>
  <w:footnote w:id="1">
    <w:p w14:paraId="08DC2179" w14:textId="77777777" w:rsidR="003524E3" w:rsidRPr="003B6CF7" w:rsidRDefault="003524E3" w:rsidP="007023D4">
      <w:pPr>
        <w:pStyle w:val="FootnoteText"/>
        <w:ind w:left="567" w:hanging="567"/>
        <w:rPr>
          <w:sz w:val="24"/>
          <w:lang w:val="sv-SE"/>
        </w:rPr>
      </w:pPr>
      <w:r w:rsidRPr="003B6CF7">
        <w:rPr>
          <w:rStyle w:val="FootnoteReference"/>
          <w:sz w:val="24"/>
          <w:lang w:val="sv-SE"/>
        </w:rPr>
        <w:footnoteRef/>
      </w:r>
      <w:r w:rsidRPr="003B6CF7">
        <w:rPr>
          <w:sz w:val="24"/>
          <w:lang w:val="sv-SE"/>
        </w:rPr>
        <w:t xml:space="preserve"> </w:t>
      </w:r>
      <w:r w:rsidRPr="003B6CF7">
        <w:rPr>
          <w:sz w:val="24"/>
          <w:lang w:val="sv-SE"/>
        </w:rPr>
        <w:tab/>
        <w:t>EUT C 146, 27.4.2023, s. 41.</w:t>
      </w:r>
    </w:p>
  </w:footnote>
  <w:footnote w:id="2">
    <w:p w14:paraId="7FFCD1D4" w14:textId="76EA540A" w:rsidR="003524E3" w:rsidRPr="003B6CF7" w:rsidRDefault="003524E3" w:rsidP="00E615CD">
      <w:pPr>
        <w:pStyle w:val="FootnoteText"/>
        <w:ind w:left="567" w:hanging="567"/>
        <w:rPr>
          <w:sz w:val="24"/>
          <w:szCs w:val="24"/>
          <w:lang w:val="sv-SE"/>
        </w:rPr>
      </w:pPr>
      <w:r w:rsidRPr="003B6CF7">
        <w:rPr>
          <w:rStyle w:val="FootnoteReference"/>
          <w:sz w:val="24"/>
          <w:szCs w:val="24"/>
        </w:rPr>
        <w:footnoteRef/>
      </w:r>
      <w:r w:rsidRPr="003B6CF7">
        <w:rPr>
          <w:sz w:val="24"/>
          <w:szCs w:val="24"/>
          <w:lang w:val="sv-SE"/>
        </w:rPr>
        <w:t xml:space="preserve"> </w:t>
      </w:r>
      <w:r w:rsidRPr="003B6CF7">
        <w:rPr>
          <w:sz w:val="24"/>
          <w:szCs w:val="24"/>
          <w:lang w:val="sv-SE"/>
        </w:rPr>
        <w:tab/>
        <w:t xml:space="preserve">Denna ståndpunkt motsvarar ändringarna antagna den 12 september 2023 (EUT C, C/2024/1777, 22.3.2024, ELI: </w:t>
      </w:r>
      <w:hyperlink r:id="rId1" w:history="1">
        <w:r w:rsidRPr="003B6CF7">
          <w:rPr>
            <w:rStyle w:val="Hyperlink"/>
            <w:sz w:val="24"/>
            <w:szCs w:val="24"/>
            <w:lang w:val="sv-SE"/>
          </w:rPr>
          <w:t>http://data.europa.eu/eli/C/2024/1777/oj</w:t>
        </w:r>
      </w:hyperlink>
      <w:r w:rsidRPr="003B6CF7">
        <w:rPr>
          <w:sz w:val="24"/>
          <w:szCs w:val="24"/>
          <w:lang w:val="sv-SE"/>
        </w:rPr>
        <w:t>).</w:t>
      </w:r>
    </w:p>
  </w:footnote>
  <w:footnote w:id="3">
    <w:p w14:paraId="415AAB04" w14:textId="77777777" w:rsidR="003524E3" w:rsidRPr="003B6CF7" w:rsidRDefault="003524E3" w:rsidP="001831FD">
      <w:pPr>
        <w:pStyle w:val="FootnoteTextForceStyle"/>
        <w:rPr>
          <w:lang w:val="fr-FR"/>
        </w:rPr>
      </w:pPr>
      <w:r w:rsidRPr="003B6CF7">
        <w:rPr>
          <w:vertAlign w:val="superscript"/>
        </w:rPr>
        <w:footnoteRef/>
      </w:r>
      <w:r w:rsidRPr="003B6CF7">
        <w:rPr>
          <w:lang w:val="fr-FR"/>
        </w:rPr>
        <w:tab/>
        <w:t xml:space="preserve">EUT </w:t>
      </w:r>
      <w:proofErr w:type="gramStart"/>
      <w:r w:rsidRPr="003B6CF7">
        <w:rPr>
          <w:lang w:val="fr-FR"/>
        </w:rPr>
        <w:t>C ,</w:t>
      </w:r>
      <w:proofErr w:type="gramEnd"/>
      <w:r w:rsidRPr="003B6CF7">
        <w:rPr>
          <w:lang w:val="fr-FR"/>
        </w:rPr>
        <w:t xml:space="preserve"> , s. .</w:t>
      </w:r>
    </w:p>
  </w:footnote>
  <w:footnote w:id="4">
    <w:p w14:paraId="4E5F9909" w14:textId="77777777" w:rsidR="003524E3" w:rsidRPr="003B6CF7" w:rsidRDefault="003524E3" w:rsidP="001831FD">
      <w:pPr>
        <w:pStyle w:val="FootnoteTextForceStyle"/>
        <w:rPr>
          <w:lang w:val="fr-FR"/>
        </w:rPr>
      </w:pPr>
      <w:r w:rsidRPr="003B6CF7">
        <w:rPr>
          <w:vertAlign w:val="superscript"/>
        </w:rPr>
        <w:footnoteRef/>
      </w:r>
      <w:r w:rsidRPr="003B6CF7">
        <w:rPr>
          <w:lang w:val="fr-FR"/>
        </w:rPr>
        <w:tab/>
        <w:t xml:space="preserve">EUT </w:t>
      </w:r>
      <w:proofErr w:type="gramStart"/>
      <w:r w:rsidRPr="003B6CF7">
        <w:rPr>
          <w:lang w:val="fr-FR"/>
        </w:rPr>
        <w:t>C ,</w:t>
      </w:r>
      <w:proofErr w:type="gramEnd"/>
      <w:r w:rsidRPr="003B6CF7">
        <w:rPr>
          <w:lang w:val="fr-FR"/>
        </w:rPr>
        <w:t xml:space="preserve"> , s. .</w:t>
      </w:r>
    </w:p>
  </w:footnote>
  <w:footnote w:id="5">
    <w:p w14:paraId="447ECD47"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b/>
          <w:i/>
          <w:lang w:val="sv-SE"/>
        </w:rPr>
        <w:t>Europaparlamentets och rådets beslut (EU) 2022/591 av den 6 april 2022 om ett allmänt miljöhandlingsprogram för unionen till 2030.</w:t>
      </w:r>
    </w:p>
  </w:footnote>
  <w:footnote w:id="6">
    <w:p w14:paraId="4F9602EB"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Drivers of and pressures arising from selected key water management challenges : A European overview, rapport 09/2021, </w:t>
      </w:r>
      <w:proofErr w:type="spellStart"/>
      <w:r w:rsidRPr="003B6CF7">
        <w:rPr>
          <w:b/>
          <w:i/>
        </w:rPr>
        <w:t>Europeiska</w:t>
      </w:r>
      <w:proofErr w:type="spellEnd"/>
      <w:r w:rsidRPr="003B6CF7">
        <w:rPr>
          <w:b/>
          <w:i/>
        </w:rPr>
        <w:t xml:space="preserve"> </w:t>
      </w:r>
      <w:proofErr w:type="spellStart"/>
      <w:r w:rsidRPr="003B6CF7">
        <w:rPr>
          <w:b/>
          <w:i/>
        </w:rPr>
        <w:t>miljöbyrån</w:t>
      </w:r>
      <w:proofErr w:type="spellEnd"/>
      <w:r w:rsidRPr="003B6CF7">
        <w:rPr>
          <w:b/>
          <w:i/>
        </w:rPr>
        <w:t xml:space="preserve"> </w:t>
      </w:r>
    </w:p>
  </w:footnote>
  <w:footnote w:id="7">
    <w:p w14:paraId="48FAE150"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https://www.oecd.org/agriculture/topics/water-and-agriculture/ </w:t>
      </w:r>
    </w:p>
  </w:footnote>
  <w:footnote w:id="8">
    <w:p w14:paraId="5BA2A223" w14:textId="77777777" w:rsidR="003524E3" w:rsidRPr="003B6CF7" w:rsidRDefault="003524E3" w:rsidP="001831FD">
      <w:pPr>
        <w:pStyle w:val="FootnoteTextForceStyle"/>
      </w:pPr>
      <w:r w:rsidRPr="003B6CF7">
        <w:rPr>
          <w:vertAlign w:val="superscript"/>
        </w:rPr>
        <w:footnoteRef/>
      </w:r>
      <w:r w:rsidRPr="003B6CF7">
        <w:tab/>
      </w:r>
      <w:r w:rsidRPr="003B6CF7">
        <w:rPr>
          <w:b/>
          <w:i/>
        </w:rPr>
        <w:t>https://www.eea.europa.eu/publications/state-of-water</w:t>
      </w:r>
    </w:p>
  </w:footnote>
  <w:footnote w:id="9">
    <w:p w14:paraId="0932FE06" w14:textId="77777777" w:rsidR="003524E3" w:rsidRPr="003B6CF7" w:rsidRDefault="003524E3" w:rsidP="001831FD">
      <w:pPr>
        <w:pStyle w:val="FootnoteTextForceStyle"/>
      </w:pPr>
      <w:r w:rsidRPr="003B6CF7">
        <w:rPr>
          <w:vertAlign w:val="superscript"/>
        </w:rPr>
        <w:footnoteRef/>
      </w:r>
      <w:r w:rsidRPr="003B6CF7">
        <w:tab/>
      </w:r>
      <w:r w:rsidRPr="003B6CF7">
        <w:rPr>
          <w:b/>
          <w:i/>
        </w:rPr>
        <w:t>https://food.ec.europa.eu/plants/pesticides/sustainable-use-pesticides/farm-fork-targets-progress/eu-trends_en</w:t>
      </w:r>
    </w:p>
  </w:footnote>
  <w:footnote w:id="10">
    <w:p w14:paraId="0447CF7A"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Den europeiska gröna given (COM(2019) 640 final).</w:t>
      </w:r>
    </w:p>
  </w:footnote>
  <w:footnote w:id="11">
    <w:p w14:paraId="51EF1DA3"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Kemikaliestrategi för hållbarhet – På väg mot en giftfri miljö (COM(2020) 667 final).</w:t>
      </w:r>
    </w:p>
  </w:footnote>
  <w:footnote w:id="12">
    <w:p w14:paraId="5D50D765"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Vägen till en frisk planet för alla – EU-handlingsplan: Med sikte på nollförorening av luft, vatten och mark (COM(2021) 400 final).</w:t>
      </w:r>
    </w:p>
  </w:footnote>
  <w:footnote w:id="13">
    <w:p w14:paraId="01642E17"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En europeisk strategi för plast i en cirkulär ekonomi (COM(2018) 28 final).</w:t>
      </w:r>
    </w:p>
  </w:footnote>
  <w:footnote w:id="14">
    <w:p w14:paraId="7B48C726"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En läkemedelsstrategi för Europa (COM(2020) 761 final).</w:t>
      </w:r>
    </w:p>
  </w:footnote>
  <w:footnote w:id="15">
    <w:p w14:paraId="320CEFBF"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EU:s strategi för biologisk mångfald för 2030 – Ge naturen större plats i våra liv (COM(2020) 380 final).</w:t>
      </w:r>
    </w:p>
  </w:footnote>
  <w:footnote w:id="16">
    <w:p w14:paraId="355649D4"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Från jord till bord-strategin för ett rättvisare, hälsosammare och miljövänligare livsmedelssystem (COM(2020) 381 final).</w:t>
      </w:r>
    </w:p>
  </w:footnote>
  <w:footnote w:id="17">
    <w:p w14:paraId="4A5B22E1"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EU:s markstrategi för 2030 – Frisk mark till förmån för människor, livsmedel, natur och klimat (COM(2021) 699 final).</w:t>
      </w:r>
    </w:p>
  </w:footnote>
  <w:footnote w:id="18">
    <w:p w14:paraId="2555FBEA" w14:textId="35FD1E0B"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Att forma EU:s digitala framtid (COM(2020) 67 final).</w:t>
      </w:r>
    </w:p>
  </w:footnote>
  <w:footnote w:id="19">
    <w:p w14:paraId="6EAE023E"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Meddelande från kommissionen till Europaparlamentet, rådet, Europeiska ekonomiska och sociala kommittén samt Regionkommittén, En EU-strategi för data (COM(2020) 66 final).</w:t>
      </w:r>
    </w:p>
  </w:footnote>
  <w:footnote w:id="20">
    <w:p w14:paraId="2498F43E"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2000/60/EG av den 23 oktober 2000 om upprättande av en ram för gemenskapens åtgärder på vattenpolitikens område (EGT L 327, 22.12.2000, s. 1).</w:t>
      </w:r>
    </w:p>
  </w:footnote>
  <w:footnote w:id="21">
    <w:p w14:paraId="1ADEC1C5"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2008/105/EG av den 16 december 2008 om miljökvalitetsnormer inom vattenpolitikens område och ändring och senare upphävande av rådets direktiv 82/176/EEG, 83/513/EEG, 84/156/EEG, 84/491/EEG och 86/280/EEG, samt om ändring av Europaparlamentets och rådets direktiv 2000/60/EG (EUT L 348, 24.12.2008, s. 84).</w:t>
      </w:r>
    </w:p>
  </w:footnote>
  <w:footnote w:id="22">
    <w:p w14:paraId="6EBC74D6"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beslut nr 2455/2001/EG av den 20 november 2001 om upprättande av en lista över prioriterade ämnen på vattenpolitikens område och om ändring av direktiv 2000/60/EG (EGT L 331, 15.12.2001, s. 1).</w:t>
      </w:r>
    </w:p>
  </w:footnote>
  <w:footnote w:id="23">
    <w:p w14:paraId="4EDB2084"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2006/118/EG av den 12 december 2006 om skydd för grundvatten mot föroreningar och försämring (EUT L 372, 27.12.2006, s. 19).</w:t>
      </w:r>
    </w:p>
  </w:footnote>
  <w:footnote w:id="24">
    <w:p w14:paraId="477B3BA6"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förordning (EG) nr 1907/2006 av den 18 december 2006 om registrering, utvärdering, godkännande och begränsning av kemikalier (</w:t>
      </w:r>
      <w:proofErr w:type="spellStart"/>
      <w:r w:rsidRPr="003B6CF7">
        <w:rPr>
          <w:lang w:val="sv-SE"/>
        </w:rPr>
        <w:t>Reach</w:t>
      </w:r>
      <w:proofErr w:type="spellEnd"/>
      <w:r w:rsidRPr="003B6CF7">
        <w:rPr>
          <w:lang w:val="sv-SE"/>
        </w:rPr>
        <w:t>), inrättande av en europeisk kemikaliemyndighet (EUT L 396, 30.12.2006, s. 1).</w:t>
      </w:r>
    </w:p>
  </w:footnote>
  <w:footnote w:id="25">
    <w:p w14:paraId="5DAC2505"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förordning (EG) nr 1107/2009 av den 21 oktober 2009 om utsläppande av växtskyddsmedel på marknaden och om upphävande av rådets direktiv 79/117/EEG och 91/414/EEG (EUT L 309, 24.11.2009, s. 1).</w:t>
      </w:r>
    </w:p>
  </w:footnote>
  <w:footnote w:id="26">
    <w:p w14:paraId="3015293A"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förordning (EU) nr 528/2012 av den 22 maj 2012 om tillhandahållande på marknaden och användning av biocidprodukter (EUT L 167, 27.6.2012, s. 1).</w:t>
      </w:r>
    </w:p>
  </w:footnote>
  <w:footnote w:id="27">
    <w:p w14:paraId="36DB6BF0"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förordning (EU) 2019/6 av den 11 december 2018 om veterinärmedicinska läkemedel och om upphävande av direktiv 2001/82/EG (EUT L 4, 7.1.2019, s. 43).</w:t>
      </w:r>
    </w:p>
  </w:footnote>
  <w:footnote w:id="28">
    <w:p w14:paraId="1AC8B62C"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2001/83/EG av den 6 november 2001 om upprättande av gemenskapsregler för humanläkemedel (EGT L 311, 28.11.2001, s. 67).</w:t>
      </w:r>
    </w:p>
  </w:footnote>
  <w:footnote w:id="29">
    <w:p w14:paraId="2101839D"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2009/128/EG av den 21 oktober 2009 om upprättande av en ram för gemenskapens åtgärder för att uppnå en hållbar användning av bekämpningsmedel (EUT L 309, 24.11.2009, s. 71).</w:t>
      </w:r>
    </w:p>
  </w:footnote>
  <w:footnote w:id="30">
    <w:p w14:paraId="5222D867"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2010/75/EU av den 24 november 2010 om industriutsläpp (samordnade åtgärder för att förebygga och begränsa föroreningar) (EUT L 334, 17.12.2010, s. 17).</w:t>
      </w:r>
    </w:p>
  </w:footnote>
  <w:footnote w:id="31">
    <w:p w14:paraId="1DD4D45E"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Rådets direktiv 91/271/EEG av den 21 maj 1991 om rening av avloppsvatten från tätbebyggelse (EGT L 135, 30.5.1991, s. 40).</w:t>
      </w:r>
    </w:p>
  </w:footnote>
  <w:footnote w:id="32">
    <w:p w14:paraId="08E3D1AD"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Transcriptomic signalling in zebrafish embryos exposed to environmental concentrations of glyphosate, 2022. Effects of low-concentration glyphosate and </w:t>
      </w:r>
      <w:proofErr w:type="spellStart"/>
      <w:r w:rsidRPr="003B6CF7">
        <w:rPr>
          <w:b/>
          <w:i/>
        </w:rPr>
        <w:t>aminomethyl</w:t>
      </w:r>
      <w:proofErr w:type="spellEnd"/>
      <w:r w:rsidRPr="003B6CF7">
        <w:rPr>
          <w:b/>
          <w:i/>
        </w:rPr>
        <w:t xml:space="preserve"> </w:t>
      </w:r>
      <w:proofErr w:type="spellStart"/>
      <w:r w:rsidRPr="003B6CF7">
        <w:rPr>
          <w:b/>
          <w:i/>
        </w:rPr>
        <w:t>phosphonic</w:t>
      </w:r>
      <w:proofErr w:type="spellEnd"/>
      <w:r w:rsidRPr="003B6CF7">
        <w:rPr>
          <w:b/>
          <w:i/>
        </w:rPr>
        <w:t xml:space="preserve"> acid on zebrafish embryo development, 2021. Global transcriptomic profiling demonstrates induction of oxidative stress and compensatory cellular stress responses in brown trout exposed to glyphosate and Roundup, 2018.</w:t>
      </w:r>
    </w:p>
  </w:footnote>
  <w:footnote w:id="33">
    <w:p w14:paraId="26EF7DD1" w14:textId="4A7667DC"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b/>
          <w:i/>
          <w:lang w:val="sv-SE"/>
        </w:rPr>
        <w:t xml:space="preserve">Kommissionens beslut </w:t>
      </w:r>
      <w:r w:rsidR="009A3738" w:rsidRPr="003B6CF7">
        <w:rPr>
          <w:b/>
          <w:i/>
          <w:lang w:val="sv-SE"/>
        </w:rPr>
        <w:t xml:space="preserve">2004/248/EG </w:t>
      </w:r>
      <w:r w:rsidRPr="003B6CF7">
        <w:rPr>
          <w:b/>
          <w:i/>
          <w:lang w:val="sv-SE"/>
        </w:rPr>
        <w:t xml:space="preserve">av den 10 mars 2004 om att inte uppta </w:t>
      </w:r>
      <w:proofErr w:type="spellStart"/>
      <w:r w:rsidRPr="003B6CF7">
        <w:rPr>
          <w:b/>
          <w:i/>
          <w:lang w:val="sv-SE"/>
        </w:rPr>
        <w:t>atrazin</w:t>
      </w:r>
      <w:proofErr w:type="spellEnd"/>
      <w:r w:rsidRPr="003B6CF7">
        <w:rPr>
          <w:b/>
          <w:i/>
          <w:lang w:val="sv-SE"/>
        </w:rPr>
        <w:t xml:space="preserve"> i bilaga I till rådets direktiv 91/414/EEG och om återkallande av godkännande för växtskyddsmedel som innehåller detta verksamma ämne, EGT L 78</w:t>
      </w:r>
      <w:r w:rsidR="00432397" w:rsidRPr="003B6CF7">
        <w:rPr>
          <w:b/>
          <w:i/>
          <w:lang w:val="sv-SE"/>
        </w:rPr>
        <w:t xml:space="preserve"> </w:t>
      </w:r>
      <w:r w:rsidR="00831220" w:rsidRPr="003B6CF7">
        <w:rPr>
          <w:b/>
          <w:i/>
          <w:lang w:val="sv-SE"/>
        </w:rPr>
        <w:t>(</w:t>
      </w:r>
      <w:r w:rsidR="00432397" w:rsidRPr="003B6CF7">
        <w:rPr>
          <w:b/>
          <w:i/>
          <w:lang w:val="sv-SE"/>
        </w:rPr>
        <w:t>16.3.2004, s. 53</w:t>
      </w:r>
      <w:r w:rsidR="00831220" w:rsidRPr="003B6CF7">
        <w:rPr>
          <w:b/>
          <w:i/>
          <w:lang w:val="sv-SE"/>
        </w:rPr>
        <w:t>)</w:t>
      </w:r>
      <w:r w:rsidRPr="003B6CF7">
        <w:rPr>
          <w:b/>
          <w:i/>
          <w:lang w:val="sv-SE"/>
        </w:rPr>
        <w:t>.</w:t>
      </w:r>
    </w:p>
  </w:footnote>
  <w:footnote w:id="34">
    <w:p w14:paraId="4CBA7598" w14:textId="4FC9185B"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b/>
          <w:i/>
          <w:lang w:val="sv-SE"/>
        </w:rPr>
        <w:t>Europaparlamentets och rådets direktiv (EU) 2020/2184 av den 16 december 2020 om kvaliteten på dricksvatten (omarbetning)</w:t>
      </w:r>
      <w:r w:rsidR="00432397" w:rsidRPr="003B6CF7">
        <w:rPr>
          <w:b/>
          <w:i/>
          <w:lang w:val="sv-SE"/>
        </w:rPr>
        <w:t xml:space="preserve"> </w:t>
      </w:r>
      <w:r w:rsidR="00432397" w:rsidRPr="003B6CF7">
        <w:rPr>
          <w:b/>
          <w:i/>
          <w:szCs w:val="24"/>
          <w:lang w:val="sv-SE"/>
        </w:rPr>
        <w:t>(EUT L 435, 23.12.2020, s. 1)</w:t>
      </w:r>
      <w:r w:rsidRPr="003B6CF7">
        <w:rPr>
          <w:b/>
          <w:i/>
          <w:lang w:val="sv-SE"/>
        </w:rPr>
        <w:t>.</w:t>
      </w:r>
    </w:p>
  </w:footnote>
  <w:footnote w:id="35">
    <w:p w14:paraId="283E2AAD" w14:textId="77777777" w:rsidR="003524E3" w:rsidRPr="003B6CF7" w:rsidRDefault="003524E3" w:rsidP="001831FD">
      <w:pPr>
        <w:pStyle w:val="FootnoteTextForceStyle"/>
      </w:pPr>
      <w:r w:rsidRPr="003B6CF7">
        <w:rPr>
          <w:vertAlign w:val="superscript"/>
        </w:rPr>
        <w:footnoteRef/>
      </w:r>
      <w:r w:rsidRPr="003B6CF7">
        <w:tab/>
      </w:r>
      <w:proofErr w:type="spellStart"/>
      <w:r w:rsidRPr="003B6CF7">
        <w:rPr>
          <w:b/>
          <w:i/>
        </w:rPr>
        <w:t>Scheer</w:t>
      </w:r>
      <w:proofErr w:type="spellEnd"/>
      <w:r w:rsidRPr="003B6CF7">
        <w:rPr>
          <w:b/>
          <w:i/>
        </w:rPr>
        <w:t xml:space="preserve">. Contribution to ENV consultation: Comments on the Commission’s proposal for amending the WFD/GWD/EQSD, mars 2023. </w:t>
      </w:r>
      <w:proofErr w:type="spellStart"/>
      <w:r w:rsidRPr="003B6CF7">
        <w:rPr>
          <w:b/>
          <w:i/>
        </w:rPr>
        <w:t>Scheer</w:t>
      </w:r>
      <w:proofErr w:type="spellEnd"/>
      <w:r w:rsidRPr="003B6CF7">
        <w:rPr>
          <w:b/>
          <w:i/>
        </w:rPr>
        <w:t xml:space="preserve">. Groundwater quality standards for proposed additional pollutants in the annexes to the Groundwater Directive (2006/118/EC), </w:t>
      </w:r>
      <w:proofErr w:type="spellStart"/>
      <w:r w:rsidRPr="003B6CF7">
        <w:rPr>
          <w:b/>
          <w:i/>
        </w:rPr>
        <w:t>juli</w:t>
      </w:r>
      <w:proofErr w:type="spellEnd"/>
      <w:r w:rsidRPr="003B6CF7">
        <w:rPr>
          <w:b/>
          <w:i/>
        </w:rPr>
        <w:t xml:space="preserve"> 2022.</w:t>
      </w:r>
    </w:p>
  </w:footnote>
  <w:footnote w:id="36">
    <w:p w14:paraId="73F7FC3F"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EMA. Assessing the toxicological risk to human health and groundwater communities from veterinary pharmaceuticals in groundwater - Scientific guideline, </w:t>
      </w:r>
      <w:proofErr w:type="spellStart"/>
      <w:proofErr w:type="gramStart"/>
      <w:r w:rsidRPr="003B6CF7">
        <w:rPr>
          <w:b/>
          <w:i/>
        </w:rPr>
        <w:t>april</w:t>
      </w:r>
      <w:proofErr w:type="spellEnd"/>
      <w:proofErr w:type="gramEnd"/>
      <w:r w:rsidRPr="003B6CF7">
        <w:rPr>
          <w:b/>
          <w:i/>
        </w:rPr>
        <w:t xml:space="preserve"> 2018.</w:t>
      </w:r>
    </w:p>
  </w:footnote>
  <w:footnote w:id="37">
    <w:p w14:paraId="0B94EF15"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European Groundwater Memorandum: To secure the quality and quantity of drinking water for future </w:t>
      </w:r>
      <w:proofErr w:type="gramStart"/>
      <w:r w:rsidRPr="003B6CF7">
        <w:rPr>
          <w:b/>
          <w:i/>
        </w:rPr>
        <w:t>generations,</w:t>
      </w:r>
      <w:proofErr w:type="gramEnd"/>
      <w:r w:rsidRPr="003B6CF7">
        <w:rPr>
          <w:b/>
          <w:i/>
        </w:rPr>
        <w:t xml:space="preserve"> mars 2022.</w:t>
      </w:r>
    </w:p>
  </w:footnote>
  <w:footnote w:id="38">
    <w:p w14:paraId="6BA4A535"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EMA. Assessing the toxicological risk to human health and groundwater communities from veterinary pharmaceuticals in groundwater - Scientific guideline, </w:t>
      </w:r>
      <w:proofErr w:type="spellStart"/>
      <w:proofErr w:type="gramStart"/>
      <w:r w:rsidRPr="003B6CF7">
        <w:rPr>
          <w:b/>
          <w:i/>
        </w:rPr>
        <w:t>april</w:t>
      </w:r>
      <w:proofErr w:type="spellEnd"/>
      <w:proofErr w:type="gramEnd"/>
      <w:r w:rsidRPr="003B6CF7">
        <w:rPr>
          <w:b/>
          <w:i/>
        </w:rPr>
        <w:t xml:space="preserve"> 2018.</w:t>
      </w:r>
    </w:p>
  </w:footnote>
  <w:footnote w:id="39">
    <w:p w14:paraId="2662E561"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(EU) 2020/2184 av den 16 december 2020 om kvaliteten på dricksvatten (omarbetning) (EUT L 435, 23.12.2020, s. 1).</w:t>
      </w:r>
    </w:p>
  </w:footnote>
  <w:footnote w:id="40">
    <w:p w14:paraId="3B068F48" w14:textId="77777777" w:rsidR="003524E3" w:rsidRPr="003B6CF7" w:rsidRDefault="003524E3" w:rsidP="001831FD">
      <w:pPr>
        <w:pStyle w:val="FootnoteTextForceStyle"/>
      </w:pPr>
      <w:r w:rsidRPr="003B6CF7">
        <w:rPr>
          <w:vertAlign w:val="superscript"/>
        </w:rPr>
        <w:footnoteRef/>
      </w:r>
      <w:r w:rsidRPr="003B6CF7">
        <w:tab/>
      </w:r>
      <w:r w:rsidRPr="003B6CF7">
        <w:rPr>
          <w:b/>
          <w:i/>
        </w:rPr>
        <w:t xml:space="preserve">”Global burden of bacterial antimicrobial resistance in 2019: a systematic analysis”, Lancet, 19 </w:t>
      </w:r>
      <w:proofErr w:type="spellStart"/>
      <w:r w:rsidRPr="003B6CF7">
        <w:rPr>
          <w:b/>
          <w:i/>
        </w:rPr>
        <w:t>januari</w:t>
      </w:r>
      <w:proofErr w:type="spellEnd"/>
      <w:r w:rsidRPr="003B6CF7">
        <w:rPr>
          <w:b/>
          <w:i/>
        </w:rPr>
        <w:t xml:space="preserve"> 2022 https://www.sciencedirect.com/science/article/pii/S0140673621027240?via%3Dihub</w:t>
      </w:r>
    </w:p>
  </w:footnote>
  <w:footnote w:id="41">
    <w:p w14:paraId="05B39D38" w14:textId="77777777" w:rsidR="003524E3" w:rsidRPr="003B6CF7" w:rsidRDefault="003524E3" w:rsidP="001831FD">
      <w:pPr>
        <w:pStyle w:val="FootnoteTextForceStyle"/>
      </w:pPr>
      <w:r w:rsidRPr="003B6CF7">
        <w:rPr>
          <w:vertAlign w:val="superscript"/>
        </w:rPr>
        <w:footnoteRef/>
      </w:r>
      <w:r w:rsidRPr="003B6CF7">
        <w:tab/>
      </w:r>
      <w:r w:rsidRPr="003B6CF7">
        <w:rPr>
          <w:b/>
          <w:i/>
        </w:rPr>
        <w:t>https://www.sciencedirect.com/science/article/pii/S2352186422000724</w:t>
      </w:r>
    </w:p>
  </w:footnote>
  <w:footnote w:id="42">
    <w:p w14:paraId="56A31B93" w14:textId="77777777" w:rsidR="003524E3" w:rsidRPr="003B6CF7" w:rsidRDefault="003524E3" w:rsidP="001831FD">
      <w:pPr>
        <w:pStyle w:val="FootnoteTextForceStyle"/>
      </w:pPr>
      <w:r w:rsidRPr="003B6CF7">
        <w:rPr>
          <w:vertAlign w:val="superscript"/>
        </w:rPr>
        <w:footnoteRef/>
      </w:r>
      <w:r w:rsidRPr="003B6CF7">
        <w:tab/>
      </w:r>
      <w:proofErr w:type="spellStart"/>
      <w:r w:rsidRPr="003B6CF7">
        <w:t>Arbetsdokument</w:t>
      </w:r>
      <w:proofErr w:type="spellEnd"/>
      <w:r w:rsidRPr="003B6CF7">
        <w:t xml:space="preserve"> </w:t>
      </w:r>
      <w:proofErr w:type="spellStart"/>
      <w:r w:rsidRPr="003B6CF7">
        <w:t>från</w:t>
      </w:r>
      <w:proofErr w:type="spellEnd"/>
      <w:r w:rsidRPr="003B6CF7">
        <w:t xml:space="preserve"> </w:t>
      </w:r>
      <w:proofErr w:type="spellStart"/>
      <w:r w:rsidRPr="003B6CF7">
        <w:t>kommissionens</w:t>
      </w:r>
      <w:proofErr w:type="spellEnd"/>
      <w:r w:rsidRPr="003B6CF7">
        <w:t xml:space="preserve"> </w:t>
      </w:r>
      <w:proofErr w:type="spellStart"/>
      <w:r w:rsidRPr="003B6CF7">
        <w:t>avdelningar</w:t>
      </w:r>
      <w:proofErr w:type="spellEnd"/>
      <w:r w:rsidRPr="003B6CF7">
        <w:t>, Fitness Check of the Water Framework Directive, Groundwater Directive, Environmental Quality Standards Directive and Floods Directive (SWD(2019) 439 final).</w:t>
      </w:r>
    </w:p>
  </w:footnote>
  <w:footnote w:id="43">
    <w:p w14:paraId="4A65B303" w14:textId="77777777" w:rsidR="003524E3" w:rsidRPr="003B6CF7" w:rsidRDefault="003524E3" w:rsidP="001831FD">
      <w:pPr>
        <w:pStyle w:val="FootnoteTextForceStyle"/>
      </w:pPr>
      <w:r w:rsidRPr="003B6CF7">
        <w:rPr>
          <w:vertAlign w:val="superscript"/>
        </w:rPr>
        <w:footnoteRef/>
      </w:r>
      <w:r w:rsidRPr="003B6CF7">
        <w:tab/>
      </w:r>
      <w:r w:rsidRPr="003B6CF7">
        <w:rPr>
          <w:b/>
          <w:i/>
        </w:rPr>
        <w:t>https://www.igb-berlin.de/sites/default/files/media-files/download-files/IGB_Policy_Brief_WFD_2019.pdf</w:t>
      </w:r>
    </w:p>
  </w:footnote>
  <w:footnote w:id="44">
    <w:p w14:paraId="3A916769"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2007/2/EG av den 14 mars 2007 om upprättande av en infrastruktur för rumslig information i Europeiska gemenskapen (</w:t>
      </w:r>
      <w:proofErr w:type="spellStart"/>
      <w:r w:rsidRPr="003B6CF7">
        <w:rPr>
          <w:lang w:val="sv-SE"/>
        </w:rPr>
        <w:t>Inspire</w:t>
      </w:r>
      <w:proofErr w:type="spellEnd"/>
      <w:r w:rsidRPr="003B6CF7">
        <w:rPr>
          <w:lang w:val="sv-SE"/>
        </w:rPr>
        <w:t>) (</w:t>
      </w:r>
      <w:proofErr w:type="spellStart"/>
      <w:r w:rsidRPr="003B6CF7">
        <w:rPr>
          <w:lang w:val="sv-SE"/>
        </w:rPr>
        <w:t>EUT</w:t>
      </w:r>
      <w:proofErr w:type="spellEnd"/>
      <w:r w:rsidRPr="003B6CF7">
        <w:rPr>
          <w:lang w:val="sv-SE"/>
        </w:rPr>
        <w:t xml:space="preserve"> L 108, 25.4.2007, s. 1).</w:t>
      </w:r>
    </w:p>
  </w:footnote>
  <w:footnote w:id="45">
    <w:p w14:paraId="77390181"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direktiv (EU) 2019/1024 av den 20 juni 2019 om öppna data och vidareutnyttjande av information från den offentliga sektorn (EUT L 172, 26.6.2019, s. 56).</w:t>
      </w:r>
    </w:p>
  </w:footnote>
  <w:footnote w:id="46">
    <w:p w14:paraId="60FBB450"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strike/>
          <w:lang w:val="sv-SE"/>
        </w:rPr>
        <w:t>Europaparlamentets och rådets förordning (EG) nr 166/2006 av den 18 januari 2006 om upprättande av ett europeiskt register över utsläpp och överföringar av föroreningar och om ändring av rådets direktiv 91/689/EEG och 96/61/EG (EUT L 33, 4.2.2006, s. 1).</w:t>
      </w:r>
    </w:p>
  </w:footnote>
  <w:footnote w:id="47">
    <w:p w14:paraId="3341440B"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48">
    <w:p w14:paraId="69DC31CF"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vertAlign w:val="superscript"/>
          <w:lang w:val="sv-SE"/>
        </w:rPr>
        <w:t>+</w:t>
      </w:r>
      <w:r w:rsidRPr="003B6CF7">
        <w:rPr>
          <w:lang w:val="sv-SE"/>
        </w:rPr>
        <w:t>Publikationsbyrån: infoga numret på den förordning som finns i dokumentet COM(2022) 157 och i fotnoten förordningens nummer, datum, titel och hänvisning till EUT.</w:t>
      </w:r>
    </w:p>
  </w:footnote>
  <w:footnote w:id="49">
    <w:p w14:paraId="3F6FCDE8"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r>
      <w:r w:rsidRPr="003B6CF7">
        <w:rPr>
          <w:b/>
          <w:i/>
          <w:lang w:val="sv-SE"/>
        </w:rPr>
        <w:t xml:space="preserve">Mål C-535/18, domstolens dom (första avdelningen) av den 28 maj 2020, IL m.fl. mot Land Nordrhein-Westfalen. Mål C-664/15, domstolens dom (andra avdelningen) av den 20 december 2017, </w:t>
      </w:r>
      <w:proofErr w:type="spellStart"/>
      <w:r w:rsidRPr="003B6CF7">
        <w:rPr>
          <w:b/>
          <w:i/>
          <w:lang w:val="sv-SE"/>
        </w:rPr>
        <w:t>Protect</w:t>
      </w:r>
      <w:proofErr w:type="spellEnd"/>
      <w:r w:rsidRPr="003B6CF7">
        <w:rPr>
          <w:b/>
          <w:i/>
          <w:lang w:val="sv-SE"/>
        </w:rPr>
        <w:t xml:space="preserve"> Natur-, Arten- </w:t>
      </w:r>
      <w:proofErr w:type="spellStart"/>
      <w:r w:rsidRPr="003B6CF7">
        <w:rPr>
          <w:b/>
          <w:i/>
          <w:lang w:val="sv-SE"/>
        </w:rPr>
        <w:t>und</w:t>
      </w:r>
      <w:proofErr w:type="spellEnd"/>
      <w:r w:rsidRPr="003B6CF7">
        <w:rPr>
          <w:b/>
          <w:i/>
          <w:lang w:val="sv-SE"/>
        </w:rPr>
        <w:t xml:space="preserve"> </w:t>
      </w:r>
      <w:proofErr w:type="spellStart"/>
      <w:r w:rsidRPr="003B6CF7">
        <w:rPr>
          <w:b/>
          <w:i/>
          <w:lang w:val="sv-SE"/>
        </w:rPr>
        <w:t>Landschaftsschutz</w:t>
      </w:r>
      <w:proofErr w:type="spellEnd"/>
      <w:r w:rsidRPr="003B6CF7">
        <w:rPr>
          <w:b/>
          <w:i/>
          <w:lang w:val="sv-SE"/>
        </w:rPr>
        <w:t xml:space="preserve"> </w:t>
      </w:r>
      <w:proofErr w:type="spellStart"/>
      <w:r w:rsidRPr="003B6CF7">
        <w:rPr>
          <w:b/>
          <w:i/>
          <w:lang w:val="sv-SE"/>
        </w:rPr>
        <w:t>Umweltorganisation</w:t>
      </w:r>
      <w:proofErr w:type="spellEnd"/>
      <w:r w:rsidRPr="003B6CF7">
        <w:rPr>
          <w:b/>
          <w:i/>
          <w:lang w:val="sv-SE"/>
        </w:rPr>
        <w:t xml:space="preserve"> mot </w:t>
      </w:r>
      <w:proofErr w:type="spellStart"/>
      <w:r w:rsidRPr="003B6CF7">
        <w:rPr>
          <w:b/>
          <w:i/>
          <w:lang w:val="sv-SE"/>
        </w:rPr>
        <w:t>Bezirkshauptmannschaft</w:t>
      </w:r>
      <w:proofErr w:type="spellEnd"/>
      <w:r w:rsidRPr="003B6CF7">
        <w:rPr>
          <w:b/>
          <w:i/>
          <w:lang w:val="sv-SE"/>
        </w:rPr>
        <w:t xml:space="preserve"> </w:t>
      </w:r>
      <w:proofErr w:type="spellStart"/>
      <w:r w:rsidRPr="003B6CF7">
        <w:rPr>
          <w:b/>
          <w:i/>
          <w:lang w:val="sv-SE"/>
        </w:rPr>
        <w:t>Gmünd</w:t>
      </w:r>
      <w:proofErr w:type="spellEnd"/>
      <w:r w:rsidRPr="003B6CF7">
        <w:rPr>
          <w:b/>
          <w:i/>
          <w:lang w:val="sv-SE"/>
        </w:rPr>
        <w:t>.</w:t>
      </w:r>
    </w:p>
  </w:footnote>
  <w:footnote w:id="50">
    <w:p w14:paraId="3F3B12DA" w14:textId="77777777" w:rsidR="003524E3" w:rsidRPr="003B6CF7" w:rsidRDefault="003524E3" w:rsidP="001831FD">
      <w:pPr>
        <w:pStyle w:val="FootnoteTextForceStyle"/>
        <w:rPr>
          <w:lang w:val="sv-SE"/>
        </w:rPr>
      </w:pPr>
      <w:r w:rsidRPr="003B6CF7">
        <w:rPr>
          <w:vertAlign w:val="superscript"/>
        </w:rPr>
        <w:footnoteRef/>
      </w:r>
      <w:r w:rsidRPr="003B6CF7">
        <w:rPr>
          <w:lang w:val="sv-SE"/>
        </w:rPr>
        <w:tab/>
        <w:t>Europaparlamentets och rådets beslut nr 1313/2013/EU av den 17 december 2013 om en civilskyddsmekanism för unionen (EUT L 347, 20.12.2013, s. 924).</w:t>
      </w:r>
    </w:p>
  </w:footnote>
  <w:footnote w:id="51">
    <w:p w14:paraId="584EF94E" w14:textId="77777777" w:rsidR="003524E3" w:rsidRPr="00477EFB" w:rsidRDefault="003524E3" w:rsidP="001831FD">
      <w:pPr>
        <w:pStyle w:val="FootnoteTextForceStyle"/>
        <w:rPr>
          <w:lang w:val="sv-SE"/>
        </w:rPr>
      </w:pPr>
      <w:r w:rsidRPr="003B6CF7">
        <w:rPr>
          <w:vertAlign w:val="superscript"/>
        </w:rPr>
        <w:footnoteRef/>
      </w:r>
      <w:r w:rsidRPr="003B6CF7">
        <w:rPr>
          <w:lang w:val="sv-SE"/>
        </w:rPr>
        <w:tab/>
      </w:r>
      <w:r w:rsidRPr="003B6CF7">
        <w:rPr>
          <w:b/>
          <w:i/>
          <w:lang w:val="sv-SE"/>
        </w:rPr>
        <w:t>OECD, sjätte rundabordssamtalet om finansiering av vatten. Finns på: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pStyle w:val="ThetitleofAnnexIPoint0number"/>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2"/>
  </w:num>
  <w:num w:numId="3">
    <w:abstractNumId w:val="4"/>
  </w:num>
  <w:num w:numId="4">
    <w:abstractNumId w:val="0"/>
  </w:num>
  <w:num w:numId="5">
    <w:abstractNumId w:val="9"/>
  </w:num>
  <w:num w:numId="6">
    <w:abstractNumId w:val="19"/>
  </w:num>
  <w:num w:numId="7">
    <w:abstractNumId w:val="18"/>
  </w:num>
  <w:num w:numId="8">
    <w:abstractNumId w:val="27"/>
  </w:num>
  <w:num w:numId="9">
    <w:abstractNumId w:val="2"/>
  </w:num>
  <w:num w:numId="10">
    <w:abstractNumId w:val="11"/>
  </w:num>
  <w:num w:numId="11">
    <w:abstractNumId w:val="3"/>
  </w:num>
  <w:num w:numId="12">
    <w:abstractNumId w:val="13"/>
  </w:num>
  <w:num w:numId="13">
    <w:abstractNumId w:val="10"/>
  </w:num>
  <w:num w:numId="14">
    <w:abstractNumId w:val="20"/>
  </w:num>
  <w:num w:numId="15">
    <w:abstractNumId w:val="8"/>
  </w:num>
  <w:num w:numId="16">
    <w:abstractNumId w:val="24"/>
  </w:num>
  <w:num w:numId="17">
    <w:abstractNumId w:val="14"/>
  </w:num>
  <w:num w:numId="18">
    <w:abstractNumId w:val="26"/>
  </w:num>
  <w:num w:numId="19">
    <w:abstractNumId w:val="7"/>
  </w:num>
  <w:num w:numId="20">
    <w:abstractNumId w:val="15"/>
  </w:num>
  <w:num w:numId="21">
    <w:abstractNumId w:val="16"/>
  </w:num>
  <w:num w:numId="22">
    <w:abstractNumId w:val="5"/>
  </w:num>
  <w:num w:numId="23">
    <w:abstractNumId w:val="17"/>
  </w:num>
  <w:num w:numId="24">
    <w:abstractNumId w:val="22"/>
  </w:num>
  <w:num w:numId="25">
    <w:abstractNumId w:val="23"/>
  </w:num>
  <w:num w:numId="26">
    <w:abstractNumId w:val="6"/>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SV"/>
    <w:docVar w:name="dvnumam" w:val="228"/>
    <w:docVar w:name="dvpe" w:val="740.884"/>
    <w:docVar w:name="dvrapporteur" w:val="Föredragande: "/>
    <w:docVar w:name="dvstar" w:val="***I"/>
    <w:docVar w:name="dvtitre" w:val="Europaparlamentets lagstiftningsresolution av den xx xx 2024 om förslaget till Europaparlamentets och rådets direktiv om ändring av direktiv 2000/60/EG om upprättande av en ram för gemenskapens åtgärder på vattenpolitikens område, direktiv 2006/118/EG om skydd för grundvatten mot föroreningar och försämring och direktiv 2008/105/EG om miljökvalitetsnormer inom vattenpolitikens område(COM(2022)0540 – C9-0361/2022 – 2022/0344(COD))"/>
  </w:docVars>
  <w:rsids>
    <w:rsidRoot w:val="00FE48A6"/>
    <w:rsid w:val="00002272"/>
    <w:rsid w:val="0003348F"/>
    <w:rsid w:val="00064002"/>
    <w:rsid w:val="000677B9"/>
    <w:rsid w:val="00077201"/>
    <w:rsid w:val="000811DD"/>
    <w:rsid w:val="000831BA"/>
    <w:rsid w:val="00095B38"/>
    <w:rsid w:val="000A42CC"/>
    <w:rsid w:val="000A5634"/>
    <w:rsid w:val="000D2E9A"/>
    <w:rsid w:val="000E08EE"/>
    <w:rsid w:val="000E7DD9"/>
    <w:rsid w:val="0010095E"/>
    <w:rsid w:val="00125B37"/>
    <w:rsid w:val="00133BEE"/>
    <w:rsid w:val="00150985"/>
    <w:rsid w:val="001831FD"/>
    <w:rsid w:val="00187494"/>
    <w:rsid w:val="001A5F6B"/>
    <w:rsid w:val="001F32AE"/>
    <w:rsid w:val="001F7022"/>
    <w:rsid w:val="002767FF"/>
    <w:rsid w:val="002B18FE"/>
    <w:rsid w:val="002B5493"/>
    <w:rsid w:val="002C67DE"/>
    <w:rsid w:val="00305E84"/>
    <w:rsid w:val="0033374B"/>
    <w:rsid w:val="00343214"/>
    <w:rsid w:val="003524E3"/>
    <w:rsid w:val="00361C00"/>
    <w:rsid w:val="0037181A"/>
    <w:rsid w:val="00395FA1"/>
    <w:rsid w:val="003B6CF7"/>
    <w:rsid w:val="003E15D4"/>
    <w:rsid w:val="003F5E48"/>
    <w:rsid w:val="00411CCE"/>
    <w:rsid w:val="0041666E"/>
    <w:rsid w:val="00421060"/>
    <w:rsid w:val="00432397"/>
    <w:rsid w:val="00454AA5"/>
    <w:rsid w:val="00471C19"/>
    <w:rsid w:val="004867E3"/>
    <w:rsid w:val="00494A28"/>
    <w:rsid w:val="004C0004"/>
    <w:rsid w:val="004C5D52"/>
    <w:rsid w:val="0050519A"/>
    <w:rsid w:val="005072A1"/>
    <w:rsid w:val="00510056"/>
    <w:rsid w:val="00514517"/>
    <w:rsid w:val="00520BE2"/>
    <w:rsid w:val="00540F6A"/>
    <w:rsid w:val="00545827"/>
    <w:rsid w:val="00547B23"/>
    <w:rsid w:val="005501D0"/>
    <w:rsid w:val="00554F65"/>
    <w:rsid w:val="00560270"/>
    <w:rsid w:val="005720A8"/>
    <w:rsid w:val="005B0B4C"/>
    <w:rsid w:val="005C2568"/>
    <w:rsid w:val="006037C0"/>
    <w:rsid w:val="006631B6"/>
    <w:rsid w:val="00680577"/>
    <w:rsid w:val="00682885"/>
    <w:rsid w:val="006F74FA"/>
    <w:rsid w:val="007023D4"/>
    <w:rsid w:val="00710A46"/>
    <w:rsid w:val="00724306"/>
    <w:rsid w:val="00731ADD"/>
    <w:rsid w:val="00734777"/>
    <w:rsid w:val="00747932"/>
    <w:rsid w:val="00751A4A"/>
    <w:rsid w:val="00754D6D"/>
    <w:rsid w:val="00756632"/>
    <w:rsid w:val="00762C74"/>
    <w:rsid w:val="0076772F"/>
    <w:rsid w:val="00786EC0"/>
    <w:rsid w:val="007A5EE0"/>
    <w:rsid w:val="007C3648"/>
    <w:rsid w:val="007D1690"/>
    <w:rsid w:val="007E22AD"/>
    <w:rsid w:val="00817416"/>
    <w:rsid w:val="00831220"/>
    <w:rsid w:val="00842779"/>
    <w:rsid w:val="0085601B"/>
    <w:rsid w:val="0086264B"/>
    <w:rsid w:val="00865F67"/>
    <w:rsid w:val="00881A7B"/>
    <w:rsid w:val="008840E5"/>
    <w:rsid w:val="00885406"/>
    <w:rsid w:val="00887B3E"/>
    <w:rsid w:val="00891638"/>
    <w:rsid w:val="008B487C"/>
    <w:rsid w:val="008C2AC6"/>
    <w:rsid w:val="008D00EC"/>
    <w:rsid w:val="00930C23"/>
    <w:rsid w:val="0093193B"/>
    <w:rsid w:val="009509D8"/>
    <w:rsid w:val="00950B64"/>
    <w:rsid w:val="00981893"/>
    <w:rsid w:val="009A3738"/>
    <w:rsid w:val="009A795A"/>
    <w:rsid w:val="009F01D3"/>
    <w:rsid w:val="00A1687D"/>
    <w:rsid w:val="00A43E52"/>
    <w:rsid w:val="00A4678D"/>
    <w:rsid w:val="00A67558"/>
    <w:rsid w:val="00A742F9"/>
    <w:rsid w:val="00A778C7"/>
    <w:rsid w:val="00AB441E"/>
    <w:rsid w:val="00AB6293"/>
    <w:rsid w:val="00AC45F1"/>
    <w:rsid w:val="00AE0928"/>
    <w:rsid w:val="00AE1BED"/>
    <w:rsid w:val="00AF3B82"/>
    <w:rsid w:val="00B12E95"/>
    <w:rsid w:val="00B22876"/>
    <w:rsid w:val="00B558F0"/>
    <w:rsid w:val="00BD48FE"/>
    <w:rsid w:val="00BD5295"/>
    <w:rsid w:val="00BD7BD8"/>
    <w:rsid w:val="00BE6ADC"/>
    <w:rsid w:val="00BF0DC5"/>
    <w:rsid w:val="00C05BFE"/>
    <w:rsid w:val="00C23CD4"/>
    <w:rsid w:val="00C56432"/>
    <w:rsid w:val="00C61C0C"/>
    <w:rsid w:val="00C72179"/>
    <w:rsid w:val="00C941CB"/>
    <w:rsid w:val="00CC2357"/>
    <w:rsid w:val="00CC5AFE"/>
    <w:rsid w:val="00CF071A"/>
    <w:rsid w:val="00D058B8"/>
    <w:rsid w:val="00D56C11"/>
    <w:rsid w:val="00D834A0"/>
    <w:rsid w:val="00D872DF"/>
    <w:rsid w:val="00D91E21"/>
    <w:rsid w:val="00DA7FCD"/>
    <w:rsid w:val="00DD6859"/>
    <w:rsid w:val="00E11D71"/>
    <w:rsid w:val="00E24807"/>
    <w:rsid w:val="00E320C2"/>
    <w:rsid w:val="00E365E1"/>
    <w:rsid w:val="00E615CD"/>
    <w:rsid w:val="00E820A4"/>
    <w:rsid w:val="00E96CB5"/>
    <w:rsid w:val="00EB006A"/>
    <w:rsid w:val="00EB340A"/>
    <w:rsid w:val="00EB4772"/>
    <w:rsid w:val="00ED169E"/>
    <w:rsid w:val="00ED2E9D"/>
    <w:rsid w:val="00ED4235"/>
    <w:rsid w:val="00F04346"/>
    <w:rsid w:val="00F075DC"/>
    <w:rsid w:val="00F149E9"/>
    <w:rsid w:val="00F26150"/>
    <w:rsid w:val="00F5134D"/>
    <w:rsid w:val="00F74202"/>
    <w:rsid w:val="00F812CC"/>
    <w:rsid w:val="00F87713"/>
    <w:rsid w:val="00FA11D0"/>
    <w:rsid w:val="00FA312E"/>
    <w:rsid w:val="00FB4360"/>
    <w:rsid w:val="00FD0C70"/>
    <w:rsid w:val="00FE48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27BFF"/>
  <w15:chartTrackingRefBased/>
  <w15:docId w15:val="{99A06108-D6A3-41A6-9CAD-A6833973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E08EE"/>
    <w:rPr>
      <w:b/>
      <w:kern w:val="28"/>
      <w:sz w:val="28"/>
      <w:lang w:val="fr-FR" w:eastAsia="fr-FR"/>
    </w:rPr>
  </w:style>
  <w:style w:type="character" w:customStyle="1" w:styleId="Heading2Char">
    <w:name w:val="Heading 2 Char"/>
    <w:basedOn w:val="DefaultParagraphFont"/>
    <w:link w:val="Heading2"/>
    <w:uiPriority w:val="9"/>
    <w:semiHidden/>
    <w:rsid w:val="000E08EE"/>
    <w:rPr>
      <w:sz w:val="24"/>
      <w:lang w:val="fr-FR" w:eastAsia="fr-FR"/>
    </w:rPr>
  </w:style>
  <w:style w:type="character" w:customStyle="1" w:styleId="Heading3Char">
    <w:name w:val="Heading 3 Char"/>
    <w:basedOn w:val="DefaultParagraphFont"/>
    <w:link w:val="Heading3"/>
    <w:uiPriority w:val="9"/>
    <w:semiHidden/>
    <w:rsid w:val="000E08EE"/>
    <w:rPr>
      <w:rFonts w:ascii="Arial" w:hAnsi="Arial"/>
      <w:sz w:val="24"/>
      <w:lang w:val="fr-FR" w:eastAsia="fr-FR"/>
    </w:rPr>
  </w:style>
  <w:style w:type="character" w:customStyle="1" w:styleId="Heading4Char">
    <w:name w:val="Heading 4 Char"/>
    <w:basedOn w:val="DefaultParagraphFont"/>
    <w:link w:val="Heading4"/>
    <w:uiPriority w:val="9"/>
    <w:semiHidden/>
    <w:rsid w:val="000E08EE"/>
    <w:rPr>
      <w:sz w:val="24"/>
      <w:lang w:val="en-US" w:eastAsia="fr-FR"/>
    </w:rPr>
  </w:style>
  <w:style w:type="character" w:customStyle="1" w:styleId="Heading5Char">
    <w:name w:val="Heading 5 Char"/>
    <w:basedOn w:val="DefaultParagraphFont"/>
    <w:link w:val="Heading5"/>
    <w:uiPriority w:val="9"/>
    <w:semiHidden/>
    <w:rsid w:val="000E08EE"/>
    <w:rPr>
      <w:sz w:val="24"/>
      <w:lang w:val="en-US" w:eastAsia="fr-FR"/>
    </w:rPr>
  </w:style>
  <w:style w:type="character" w:customStyle="1" w:styleId="Heading6Char">
    <w:name w:val="Heading 6 Char"/>
    <w:basedOn w:val="DefaultParagraphFont"/>
    <w:link w:val="Heading6"/>
    <w:uiPriority w:val="9"/>
    <w:semiHidden/>
    <w:rsid w:val="000E08EE"/>
    <w:rPr>
      <w:i/>
      <w:sz w:val="22"/>
      <w:lang w:val="sv-SE"/>
    </w:rPr>
  </w:style>
  <w:style w:type="character" w:customStyle="1" w:styleId="Heading7Char">
    <w:name w:val="Heading 7 Char"/>
    <w:basedOn w:val="DefaultParagraphFont"/>
    <w:link w:val="Heading7"/>
    <w:uiPriority w:val="9"/>
    <w:semiHidden/>
    <w:rsid w:val="000E08EE"/>
    <w:rPr>
      <w:rFonts w:ascii="Arial" w:hAnsi="Arial"/>
      <w:sz w:val="24"/>
      <w:lang w:val="sv-SE"/>
    </w:rPr>
  </w:style>
  <w:style w:type="character" w:customStyle="1" w:styleId="Heading8Char">
    <w:name w:val="Heading 8 Char"/>
    <w:basedOn w:val="DefaultParagraphFont"/>
    <w:link w:val="Heading8"/>
    <w:uiPriority w:val="9"/>
    <w:rsid w:val="000E08EE"/>
    <w:rPr>
      <w:rFonts w:ascii="Arial" w:hAnsi="Arial"/>
      <w:i/>
      <w:sz w:val="24"/>
      <w:lang w:val="sv-SE"/>
    </w:rPr>
  </w:style>
  <w:style w:type="character" w:customStyle="1" w:styleId="Heading9Char">
    <w:name w:val="Heading 9 Char"/>
    <w:basedOn w:val="DefaultParagraphFont"/>
    <w:link w:val="Heading9"/>
    <w:uiPriority w:val="9"/>
    <w:rsid w:val="000E08EE"/>
    <w:rPr>
      <w:rFonts w:ascii="Arial" w:hAnsi="Arial"/>
      <w:b/>
      <w:i/>
      <w:sz w:val="18"/>
      <w:lang w:val="sv-SE"/>
    </w:rPr>
  </w:style>
  <w:style w:type="paragraph" w:styleId="TOCHeading">
    <w:name w:val="TOC Heading"/>
    <w:basedOn w:val="Normal"/>
    <w:next w:val="Normal"/>
    <w:uiPriority w:val="39"/>
    <w:unhideWhenUsed/>
    <w:qFormat/>
    <w:rsid w:val="000E08EE"/>
    <w:pPr>
      <w:widowControl/>
      <w:spacing w:after="240"/>
    </w:pPr>
    <w:rPr>
      <w:lang w:val="en-GB"/>
    </w:rPr>
  </w:style>
  <w:style w:type="paragraph" w:customStyle="1" w:styleId="EPFooter2">
    <w:name w:val="EPFooter2"/>
    <w:basedOn w:val="Normal"/>
    <w:next w:val="Normal"/>
    <w:rsid w:val="000E08E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08EE"/>
    <w:pPr>
      <w:keepNext/>
      <w:spacing w:after="240"/>
      <w:jc w:val="right"/>
    </w:pPr>
    <w:rPr>
      <w:rFonts w:ascii="Arial" w:hAnsi="Arial"/>
      <w:b/>
    </w:rPr>
  </w:style>
  <w:style w:type="paragraph" w:customStyle="1" w:styleId="Normal6a">
    <w:name w:val="Normal6a"/>
    <w:basedOn w:val="Normal"/>
    <w:rsid w:val="000E08EE"/>
    <w:pPr>
      <w:spacing w:after="120"/>
    </w:pPr>
  </w:style>
  <w:style w:type="paragraph" w:customStyle="1" w:styleId="PageHeading">
    <w:name w:val="PageHeading"/>
    <w:basedOn w:val="Normal"/>
    <w:rsid w:val="000E08EE"/>
    <w:pPr>
      <w:keepNext/>
      <w:spacing w:after="480"/>
      <w:jc w:val="center"/>
    </w:pPr>
    <w:rPr>
      <w:rFonts w:ascii="Arial" w:hAnsi="Arial" w:cs="Arial"/>
      <w:b/>
    </w:rPr>
  </w:style>
  <w:style w:type="paragraph" w:customStyle="1" w:styleId="NormalBold">
    <w:name w:val="NormalBold"/>
    <w:basedOn w:val="Normal"/>
    <w:link w:val="NormalBoldChar"/>
    <w:rsid w:val="000E08EE"/>
    <w:rPr>
      <w:b/>
    </w:rPr>
  </w:style>
  <w:style w:type="paragraph" w:customStyle="1" w:styleId="NormalBold12a">
    <w:name w:val="NormalBold12a"/>
    <w:basedOn w:val="Normal"/>
    <w:rsid w:val="000E08EE"/>
    <w:pPr>
      <w:spacing w:after="240"/>
    </w:pPr>
    <w:rPr>
      <w:b/>
    </w:rPr>
  </w:style>
  <w:style w:type="paragraph" w:customStyle="1" w:styleId="AmJustText">
    <w:name w:val="AmJustText"/>
    <w:basedOn w:val="Normal"/>
    <w:rsid w:val="000E08EE"/>
    <w:pPr>
      <w:spacing w:after="240"/>
    </w:pPr>
    <w:rPr>
      <w:i/>
    </w:rPr>
  </w:style>
  <w:style w:type="paragraph" w:customStyle="1" w:styleId="NormalHanging12a">
    <w:name w:val="NormalHanging12a"/>
    <w:basedOn w:val="Normal"/>
    <w:rsid w:val="000E08EE"/>
    <w:pPr>
      <w:spacing w:after="240"/>
      <w:ind w:left="567" w:hanging="567"/>
    </w:pPr>
  </w:style>
  <w:style w:type="paragraph" w:customStyle="1" w:styleId="CoverNormal24a">
    <w:name w:val="CoverNormal24a"/>
    <w:basedOn w:val="Normal"/>
    <w:rsid w:val="000E08EE"/>
    <w:pPr>
      <w:spacing w:after="480"/>
      <w:ind w:left="1417"/>
    </w:pPr>
  </w:style>
  <w:style w:type="paragraph" w:customStyle="1" w:styleId="CoverNormal">
    <w:name w:val="CoverNormal"/>
    <w:basedOn w:val="Normal"/>
    <w:rsid w:val="000E08EE"/>
    <w:pPr>
      <w:ind w:left="1418"/>
    </w:pPr>
  </w:style>
  <w:style w:type="paragraph" w:customStyle="1" w:styleId="AmCrossRef">
    <w:name w:val="AmCrossRef"/>
    <w:basedOn w:val="Normal"/>
    <w:rsid w:val="000E08EE"/>
    <w:pPr>
      <w:spacing w:before="240" w:after="240"/>
      <w:jc w:val="center"/>
    </w:pPr>
    <w:rPr>
      <w:i/>
    </w:rPr>
  </w:style>
  <w:style w:type="paragraph" w:customStyle="1" w:styleId="AmJustTitle">
    <w:name w:val="AmJustTitle"/>
    <w:basedOn w:val="Normal"/>
    <w:next w:val="AmJustText"/>
    <w:rsid w:val="000E08EE"/>
    <w:pPr>
      <w:keepNext/>
      <w:spacing w:before="240" w:after="240"/>
      <w:jc w:val="center"/>
    </w:pPr>
    <w:rPr>
      <w:i/>
    </w:rPr>
  </w:style>
  <w:style w:type="paragraph" w:customStyle="1" w:styleId="CoverReference">
    <w:name w:val="CoverReference"/>
    <w:basedOn w:val="Normal"/>
    <w:rsid w:val="000E08EE"/>
    <w:pPr>
      <w:spacing w:before="1080"/>
      <w:jc w:val="right"/>
    </w:pPr>
    <w:rPr>
      <w:rFonts w:ascii="Arial" w:hAnsi="Arial" w:cs="Arial"/>
      <w:b/>
    </w:rPr>
  </w:style>
  <w:style w:type="paragraph" w:customStyle="1" w:styleId="CoverDocType">
    <w:name w:val="CoverDocType"/>
    <w:basedOn w:val="Normal"/>
    <w:rsid w:val="000E08EE"/>
    <w:pPr>
      <w:ind w:left="1418"/>
    </w:pPr>
    <w:rPr>
      <w:rFonts w:ascii="Arial" w:hAnsi="Arial"/>
      <w:b/>
      <w:sz w:val="48"/>
    </w:rPr>
  </w:style>
  <w:style w:type="paragraph" w:customStyle="1" w:styleId="CoverDocType24a">
    <w:name w:val="CoverDocType24a"/>
    <w:basedOn w:val="Normal"/>
    <w:rsid w:val="000E08EE"/>
    <w:pPr>
      <w:spacing w:after="480"/>
      <w:ind w:left="1418"/>
    </w:pPr>
    <w:rPr>
      <w:rFonts w:ascii="Arial" w:hAnsi="Arial"/>
      <w:b/>
      <w:sz w:val="48"/>
    </w:rPr>
  </w:style>
  <w:style w:type="paragraph" w:customStyle="1" w:styleId="CoverDate">
    <w:name w:val="CoverDate"/>
    <w:basedOn w:val="Normal"/>
    <w:rsid w:val="000E08EE"/>
    <w:pPr>
      <w:spacing w:before="240" w:after="1200"/>
    </w:pPr>
  </w:style>
  <w:style w:type="paragraph" w:styleId="Header">
    <w:name w:val="header"/>
    <w:basedOn w:val="Normal"/>
    <w:link w:val="HeaderChar"/>
    <w:uiPriority w:val="99"/>
    <w:rsid w:val="000E08EE"/>
    <w:pPr>
      <w:tabs>
        <w:tab w:val="center" w:pos="4513"/>
        <w:tab w:val="right" w:pos="9026"/>
      </w:tabs>
    </w:pPr>
  </w:style>
  <w:style w:type="character" w:customStyle="1" w:styleId="HeaderChar">
    <w:name w:val="Header Char"/>
    <w:basedOn w:val="DefaultParagraphFont"/>
    <w:link w:val="Header"/>
    <w:uiPriority w:val="99"/>
    <w:rsid w:val="000E08EE"/>
    <w:rPr>
      <w:sz w:val="24"/>
      <w:lang w:val="sv-SE"/>
    </w:rPr>
  </w:style>
  <w:style w:type="paragraph" w:customStyle="1" w:styleId="AmOrLang">
    <w:name w:val="AmOrLang"/>
    <w:basedOn w:val="Normal"/>
    <w:rsid w:val="000E08EE"/>
    <w:pPr>
      <w:spacing w:before="240" w:after="240"/>
      <w:jc w:val="right"/>
    </w:pPr>
  </w:style>
  <w:style w:type="paragraph" w:customStyle="1" w:styleId="AmColumnHeading">
    <w:name w:val="AmColumnHeading"/>
    <w:basedOn w:val="Normal"/>
    <w:rsid w:val="000E08EE"/>
    <w:pPr>
      <w:spacing w:after="240"/>
      <w:jc w:val="center"/>
    </w:pPr>
    <w:rPr>
      <w:i/>
    </w:rPr>
  </w:style>
  <w:style w:type="paragraph" w:customStyle="1" w:styleId="AmNumberTabs">
    <w:name w:val="AmNumberTabs"/>
    <w:basedOn w:val="Normal"/>
    <w:link w:val="AmNumberTabsChar"/>
    <w:rsid w:val="000E08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E08EE"/>
    <w:pPr>
      <w:spacing w:before="240"/>
    </w:pPr>
    <w:rPr>
      <w:b/>
    </w:rPr>
  </w:style>
  <w:style w:type="paragraph" w:customStyle="1" w:styleId="EPBody">
    <w:name w:val="EPBody"/>
    <w:basedOn w:val="Normal"/>
    <w:rsid w:val="000E08EE"/>
    <w:pPr>
      <w:jc w:val="center"/>
    </w:pPr>
    <w:rPr>
      <w:rFonts w:ascii="Arial" w:hAnsi="Arial" w:cs="Arial"/>
      <w:i/>
      <w:sz w:val="22"/>
      <w:szCs w:val="22"/>
    </w:rPr>
  </w:style>
  <w:style w:type="paragraph" w:customStyle="1" w:styleId="EPFooter">
    <w:name w:val="EPFooter"/>
    <w:basedOn w:val="Normal"/>
    <w:rsid w:val="000E08EE"/>
    <w:pPr>
      <w:tabs>
        <w:tab w:val="center" w:pos="4535"/>
        <w:tab w:val="right" w:pos="9071"/>
      </w:tabs>
      <w:spacing w:before="240" w:after="240"/>
    </w:pPr>
    <w:rPr>
      <w:color w:val="010000"/>
      <w:sz w:val="22"/>
    </w:rPr>
  </w:style>
  <w:style w:type="paragraph" w:customStyle="1" w:styleId="EPComma">
    <w:name w:val="EPComma"/>
    <w:basedOn w:val="Normal"/>
    <w:rsid w:val="000E08EE"/>
    <w:pPr>
      <w:spacing w:before="480" w:after="240"/>
    </w:pPr>
  </w:style>
  <w:style w:type="paragraph" w:customStyle="1" w:styleId="Lgendesigne">
    <w:name w:val="Légende signe"/>
    <w:basedOn w:val="Normal"/>
    <w:rsid w:val="000E08EE"/>
    <w:pPr>
      <w:tabs>
        <w:tab w:val="right" w:pos="454"/>
        <w:tab w:val="left" w:pos="737"/>
      </w:tabs>
      <w:ind w:left="737" w:hanging="737"/>
    </w:pPr>
    <w:rPr>
      <w:snapToGrid w:val="0"/>
      <w:sz w:val="18"/>
      <w:lang w:eastAsia="en-US"/>
    </w:rPr>
  </w:style>
  <w:style w:type="paragraph" w:customStyle="1" w:styleId="Lgendetitre">
    <w:name w:val="Légende titre"/>
    <w:basedOn w:val="Normal"/>
    <w:rsid w:val="000E08EE"/>
    <w:pPr>
      <w:spacing w:before="240" w:after="240"/>
    </w:pPr>
    <w:rPr>
      <w:b/>
      <w:i/>
      <w:snapToGrid w:val="0"/>
      <w:lang w:eastAsia="en-US"/>
    </w:rPr>
  </w:style>
  <w:style w:type="paragraph" w:customStyle="1" w:styleId="Lgendestandard">
    <w:name w:val="Légende standard"/>
    <w:basedOn w:val="Normal"/>
    <w:rsid w:val="000E08EE"/>
    <w:rPr>
      <w:sz w:val="18"/>
    </w:rPr>
  </w:style>
  <w:style w:type="paragraph" w:customStyle="1" w:styleId="EntPE">
    <w:name w:val="EntPE"/>
    <w:basedOn w:val="Normal12"/>
    <w:rsid w:val="000E08EE"/>
    <w:pPr>
      <w:jc w:val="center"/>
    </w:pPr>
    <w:rPr>
      <w:noProof w:val="0"/>
      <w:sz w:val="56"/>
    </w:rPr>
  </w:style>
  <w:style w:type="paragraph" w:customStyle="1" w:styleId="Normal12">
    <w:name w:val="Normal12"/>
    <w:basedOn w:val="Normal"/>
    <w:link w:val="Normal12Char"/>
    <w:rsid w:val="000E08EE"/>
    <w:pPr>
      <w:spacing w:after="240"/>
    </w:pPr>
    <w:rPr>
      <w:noProof/>
    </w:rPr>
  </w:style>
  <w:style w:type="paragraph" w:customStyle="1" w:styleId="CommitteeAM">
    <w:name w:val="CommitteeAM"/>
    <w:basedOn w:val="Normal"/>
    <w:rsid w:val="000E08EE"/>
    <w:pPr>
      <w:spacing w:before="240" w:after="600"/>
      <w:jc w:val="center"/>
    </w:pPr>
    <w:rPr>
      <w:i/>
    </w:rPr>
  </w:style>
  <w:style w:type="paragraph" w:customStyle="1" w:styleId="ZDateAM">
    <w:name w:val="ZDateAM"/>
    <w:basedOn w:val="Normal"/>
    <w:rsid w:val="000E08EE"/>
    <w:pPr>
      <w:tabs>
        <w:tab w:val="right" w:pos="9356"/>
      </w:tabs>
      <w:spacing w:after="480"/>
    </w:pPr>
    <w:rPr>
      <w:noProof/>
    </w:rPr>
  </w:style>
  <w:style w:type="paragraph" w:customStyle="1" w:styleId="ProjRap">
    <w:name w:val="ProjRap"/>
    <w:basedOn w:val="Normal"/>
    <w:rsid w:val="000E08EE"/>
    <w:pPr>
      <w:tabs>
        <w:tab w:val="right" w:pos="9356"/>
      </w:tabs>
    </w:pPr>
    <w:rPr>
      <w:b/>
      <w:noProof/>
    </w:rPr>
  </w:style>
  <w:style w:type="character" w:customStyle="1" w:styleId="Normal12Char">
    <w:name w:val="Normal12 Char"/>
    <w:basedOn w:val="DefaultParagraphFont"/>
    <w:link w:val="Normal12"/>
    <w:locked/>
    <w:rsid w:val="000E08EE"/>
    <w:rPr>
      <w:noProof/>
      <w:sz w:val="24"/>
      <w:lang w:val="sv-SE"/>
    </w:rPr>
  </w:style>
  <w:style w:type="paragraph" w:customStyle="1" w:styleId="PELeft">
    <w:name w:val="PELeft"/>
    <w:basedOn w:val="Normal"/>
    <w:rsid w:val="000E08EE"/>
    <w:pPr>
      <w:spacing w:before="40" w:after="40"/>
    </w:pPr>
    <w:rPr>
      <w:rFonts w:ascii="Arial" w:hAnsi="Arial" w:cs="Arial"/>
      <w:sz w:val="22"/>
      <w:szCs w:val="22"/>
    </w:rPr>
  </w:style>
  <w:style w:type="paragraph" w:customStyle="1" w:styleId="PERight">
    <w:name w:val="PERight"/>
    <w:basedOn w:val="Normal"/>
    <w:next w:val="Normal"/>
    <w:rsid w:val="000E08EE"/>
    <w:pPr>
      <w:jc w:val="right"/>
    </w:pPr>
    <w:rPr>
      <w:rFonts w:ascii="Arial" w:hAnsi="Arial" w:cs="Arial"/>
      <w:sz w:val="22"/>
      <w:szCs w:val="22"/>
    </w:rPr>
  </w:style>
  <w:style w:type="paragraph" w:customStyle="1" w:styleId="Normal6">
    <w:name w:val="Normal6"/>
    <w:basedOn w:val="Normal"/>
    <w:link w:val="Normal6Char"/>
    <w:rsid w:val="000E08EE"/>
    <w:pPr>
      <w:spacing w:after="120"/>
    </w:pPr>
  </w:style>
  <w:style w:type="paragraph" w:customStyle="1" w:styleId="Normal12Italic">
    <w:name w:val="Normal12Italic"/>
    <w:basedOn w:val="Normal12"/>
    <w:rsid w:val="000E08EE"/>
    <w:rPr>
      <w:i/>
    </w:rPr>
  </w:style>
  <w:style w:type="character" w:customStyle="1" w:styleId="NormalBoldChar">
    <w:name w:val="NormalBold Char"/>
    <w:basedOn w:val="DefaultParagraphFont"/>
    <w:link w:val="NormalBold"/>
    <w:rsid w:val="000E08EE"/>
    <w:rPr>
      <w:b/>
      <w:sz w:val="24"/>
      <w:lang w:val="sv-SE"/>
    </w:rPr>
  </w:style>
  <w:style w:type="paragraph" w:customStyle="1" w:styleId="JustificationTitle">
    <w:name w:val="JustificationTitle"/>
    <w:basedOn w:val="Normal"/>
    <w:next w:val="Normal12"/>
    <w:rsid w:val="000E08EE"/>
    <w:pPr>
      <w:keepNext/>
      <w:spacing w:before="240" w:after="240"/>
      <w:jc w:val="center"/>
    </w:pPr>
    <w:rPr>
      <w:i/>
      <w:noProof/>
    </w:rPr>
  </w:style>
  <w:style w:type="paragraph" w:customStyle="1" w:styleId="Olang">
    <w:name w:val="Olang"/>
    <w:basedOn w:val="Normal"/>
    <w:rsid w:val="000E08EE"/>
    <w:pPr>
      <w:spacing w:before="240" w:after="240"/>
      <w:jc w:val="right"/>
    </w:pPr>
    <w:rPr>
      <w:noProof/>
      <w:szCs w:val="24"/>
    </w:rPr>
  </w:style>
  <w:style w:type="character" w:customStyle="1" w:styleId="Normal6Char">
    <w:name w:val="Normal6 Char"/>
    <w:basedOn w:val="DefaultParagraphFont"/>
    <w:link w:val="Normal6"/>
    <w:rsid w:val="000E08EE"/>
    <w:rPr>
      <w:sz w:val="24"/>
      <w:lang w:val="sv-SE"/>
    </w:rPr>
  </w:style>
  <w:style w:type="paragraph" w:customStyle="1" w:styleId="ColumnHeading">
    <w:name w:val="ColumnHeading"/>
    <w:basedOn w:val="Normal"/>
    <w:rsid w:val="000E08EE"/>
    <w:pPr>
      <w:spacing w:after="240"/>
      <w:jc w:val="center"/>
    </w:pPr>
    <w:rPr>
      <w:i/>
    </w:rPr>
  </w:style>
  <w:style w:type="paragraph" w:customStyle="1" w:styleId="AMNumberTabs0">
    <w:name w:val="AMNumberTabs"/>
    <w:basedOn w:val="Normal"/>
    <w:rsid w:val="000E08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08EE"/>
    <w:pPr>
      <w:spacing w:before="240"/>
      <w:jc w:val="center"/>
    </w:pPr>
    <w:rPr>
      <w:i/>
    </w:rPr>
  </w:style>
  <w:style w:type="character" w:styleId="Hyperlink">
    <w:name w:val="Hyperlink"/>
    <w:uiPriority w:val="99"/>
    <w:rsid w:val="000E08EE"/>
    <w:rPr>
      <w:color w:val="0000FF"/>
      <w:u w:val="single"/>
      <w:shd w:val="clear" w:color="auto" w:fill="auto"/>
    </w:rPr>
  </w:style>
  <w:style w:type="character" w:customStyle="1" w:styleId="AmNumberTabsChar">
    <w:name w:val="AmNumberTabs Char"/>
    <w:basedOn w:val="DefaultParagraphFont"/>
    <w:link w:val="AmNumberTabs"/>
    <w:rsid w:val="000E08EE"/>
    <w:rPr>
      <w:b/>
      <w:sz w:val="24"/>
      <w:lang w:val="sv-SE"/>
    </w:rPr>
  </w:style>
  <w:style w:type="character" w:customStyle="1" w:styleId="NormalBold12bChar">
    <w:name w:val="NormalBold12b Char"/>
    <w:basedOn w:val="AmNumberTabsChar"/>
    <w:link w:val="NormalBold12b"/>
    <w:rsid w:val="000E08EE"/>
    <w:rPr>
      <w:b/>
      <w:sz w:val="24"/>
      <w:lang w:val="sv-SE"/>
    </w:rPr>
  </w:style>
  <w:style w:type="character" w:customStyle="1" w:styleId="Footer2Middle">
    <w:name w:val="Footer2Middle"/>
    <w:rsid w:val="000E08EE"/>
    <w:rPr>
      <w:rFonts w:ascii="Arial" w:cs="Arial"/>
      <w:b w:val="0"/>
      <w:i/>
      <w:color w:val="C0C0C0"/>
      <w:sz w:val="22"/>
    </w:rPr>
  </w:style>
  <w:style w:type="paragraph" w:customStyle="1" w:styleId="Normal24a">
    <w:name w:val="Normal24a"/>
    <w:basedOn w:val="Normal"/>
    <w:rsid w:val="000E08EE"/>
    <w:pPr>
      <w:spacing w:after="480"/>
    </w:pPr>
  </w:style>
  <w:style w:type="paragraph" w:customStyle="1" w:styleId="NormalBoldCenter">
    <w:name w:val="NormalBoldCenter"/>
    <w:basedOn w:val="Normal"/>
    <w:rsid w:val="000E08EE"/>
    <w:pPr>
      <w:jc w:val="center"/>
    </w:pPr>
    <w:rPr>
      <w:b/>
    </w:rPr>
  </w:style>
  <w:style w:type="paragraph" w:customStyle="1" w:styleId="Point0number">
    <w:name w:val="Point 0 (number)"/>
    <w:basedOn w:val="Normal"/>
    <w:rsid w:val="000E08EE"/>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0E08EE"/>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0E08EE"/>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0E08EE"/>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0E08EE"/>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0E08EE"/>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0E08EE"/>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0E08EE"/>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0E08EE"/>
    <w:pPr>
      <w:widowControl/>
      <w:numPr>
        <w:ilvl w:val="8"/>
        <w:numId w:val="3"/>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0E08EE"/>
    <w:rPr>
      <w:rFonts w:ascii="Segoe UI" w:hAnsi="Segoe UI" w:cs="Segoe UI"/>
      <w:sz w:val="18"/>
      <w:szCs w:val="18"/>
    </w:rPr>
  </w:style>
  <w:style w:type="character" w:customStyle="1" w:styleId="BalloonTextChar">
    <w:name w:val="Balloon Text Char"/>
    <w:basedOn w:val="DefaultParagraphFont"/>
    <w:link w:val="BalloonText"/>
    <w:uiPriority w:val="99"/>
    <w:rsid w:val="000E08EE"/>
    <w:rPr>
      <w:rFonts w:ascii="Segoe UI" w:hAnsi="Segoe UI" w:cs="Segoe UI"/>
      <w:sz w:val="18"/>
      <w:szCs w:val="18"/>
      <w:lang w:val="sv-SE"/>
    </w:rPr>
  </w:style>
  <w:style w:type="character" w:styleId="CommentReference">
    <w:name w:val="annotation reference"/>
    <w:basedOn w:val="DefaultParagraphFont"/>
    <w:uiPriority w:val="99"/>
    <w:rsid w:val="000E08EE"/>
    <w:rPr>
      <w:sz w:val="16"/>
      <w:szCs w:val="16"/>
    </w:rPr>
  </w:style>
  <w:style w:type="paragraph" w:styleId="CommentText">
    <w:name w:val="annotation text"/>
    <w:basedOn w:val="Normal"/>
    <w:link w:val="CommentTextChar"/>
    <w:uiPriority w:val="99"/>
    <w:rsid w:val="000E08EE"/>
    <w:rPr>
      <w:sz w:val="20"/>
    </w:rPr>
  </w:style>
  <w:style w:type="character" w:customStyle="1" w:styleId="CommentTextChar">
    <w:name w:val="Comment Text Char"/>
    <w:basedOn w:val="DefaultParagraphFont"/>
    <w:link w:val="CommentText"/>
    <w:uiPriority w:val="99"/>
    <w:rsid w:val="000E08EE"/>
    <w:rPr>
      <w:lang w:val="sv-SE"/>
    </w:rPr>
  </w:style>
  <w:style w:type="paragraph" w:styleId="CommentSubject">
    <w:name w:val="annotation subject"/>
    <w:basedOn w:val="CommentText"/>
    <w:next w:val="CommentText"/>
    <w:link w:val="CommentSubjectChar"/>
    <w:uiPriority w:val="99"/>
    <w:unhideWhenUsed/>
    <w:rsid w:val="000E08EE"/>
    <w:rPr>
      <w:b/>
      <w:bCs/>
    </w:rPr>
  </w:style>
  <w:style w:type="character" w:customStyle="1" w:styleId="CommentSubjectChar">
    <w:name w:val="Comment Subject Char"/>
    <w:basedOn w:val="CommentTextChar"/>
    <w:link w:val="CommentSubject"/>
    <w:uiPriority w:val="99"/>
    <w:rsid w:val="000E08EE"/>
    <w:rPr>
      <w:b/>
      <w:bCs/>
      <w:lang w:val="sv-SE"/>
    </w:rPr>
  </w:style>
  <w:style w:type="paragraph" w:styleId="Revision">
    <w:name w:val="Revision"/>
    <w:hidden/>
    <w:uiPriority w:val="99"/>
    <w:semiHidden/>
    <w:rsid w:val="000E08EE"/>
    <w:rPr>
      <w:sz w:val="24"/>
      <w:lang w:val="sv-SE"/>
    </w:rPr>
  </w:style>
  <w:style w:type="paragraph" w:customStyle="1" w:styleId="Normal12a">
    <w:name w:val="Normal12a"/>
    <w:basedOn w:val="Normal"/>
    <w:rsid w:val="000E08EE"/>
    <w:pPr>
      <w:spacing w:after="240"/>
    </w:pPr>
  </w:style>
  <w:style w:type="paragraph" w:customStyle="1" w:styleId="RollCallVotes">
    <w:name w:val="RollCallVotes"/>
    <w:basedOn w:val="Normal"/>
    <w:rsid w:val="000E08EE"/>
    <w:pPr>
      <w:spacing w:before="120" w:after="120"/>
      <w:jc w:val="center"/>
    </w:pPr>
    <w:rPr>
      <w:b/>
      <w:bCs/>
      <w:snapToGrid w:val="0"/>
      <w:sz w:val="16"/>
      <w:lang w:eastAsia="en-US"/>
    </w:rPr>
  </w:style>
  <w:style w:type="paragraph" w:customStyle="1" w:styleId="RollCallTabs">
    <w:name w:val="RollCallTabs"/>
    <w:basedOn w:val="Normal"/>
    <w:qFormat/>
    <w:rsid w:val="000E08EE"/>
    <w:pPr>
      <w:tabs>
        <w:tab w:val="center" w:pos="284"/>
        <w:tab w:val="left" w:pos="426"/>
      </w:tabs>
    </w:pPr>
    <w:rPr>
      <w:snapToGrid w:val="0"/>
      <w:lang w:eastAsia="en-US"/>
    </w:rPr>
  </w:style>
  <w:style w:type="paragraph" w:customStyle="1" w:styleId="RollCallSymbols14pt">
    <w:name w:val="RollCallSymbols14pt"/>
    <w:basedOn w:val="Normal"/>
    <w:rsid w:val="000E08EE"/>
    <w:pPr>
      <w:spacing w:before="120" w:after="120"/>
      <w:jc w:val="center"/>
    </w:pPr>
    <w:rPr>
      <w:rFonts w:ascii="Arial" w:hAnsi="Arial"/>
      <w:b/>
      <w:bCs/>
      <w:snapToGrid w:val="0"/>
      <w:sz w:val="28"/>
      <w:lang w:eastAsia="en-US"/>
    </w:rPr>
  </w:style>
  <w:style w:type="paragraph" w:customStyle="1" w:styleId="RollCallTable">
    <w:name w:val="RollCallTable"/>
    <w:basedOn w:val="Normal"/>
    <w:rsid w:val="000E08EE"/>
    <w:pPr>
      <w:spacing w:before="120" w:after="120"/>
    </w:pPr>
    <w:rPr>
      <w:snapToGrid w:val="0"/>
      <w:sz w:val="16"/>
      <w:lang w:eastAsia="en-US"/>
    </w:rPr>
  </w:style>
  <w:style w:type="paragraph" w:customStyle="1" w:styleId="PageHeadingNotTOC">
    <w:name w:val="PageHeadingNotTOC"/>
    <w:basedOn w:val="Normal"/>
    <w:rsid w:val="000E08EE"/>
    <w:pPr>
      <w:keepNext/>
      <w:spacing w:after="480"/>
      <w:jc w:val="center"/>
    </w:pPr>
    <w:rPr>
      <w:rFonts w:ascii="Arial" w:hAnsi="Arial" w:cs="Arial"/>
      <w:b/>
    </w:rPr>
  </w:style>
  <w:style w:type="paragraph" w:customStyle="1" w:styleId="AmHeadingPA">
    <w:name w:val="AmHeadingPA"/>
    <w:basedOn w:val="Normal"/>
    <w:next w:val="Normal"/>
    <w:rsid w:val="000E08EE"/>
    <w:pPr>
      <w:spacing w:before="480" w:after="240"/>
      <w:jc w:val="center"/>
    </w:pPr>
    <w:rPr>
      <w:rFonts w:ascii="Arial" w:hAnsi="Arial"/>
      <w:b/>
      <w:caps/>
      <w:snapToGrid w:val="0"/>
      <w:szCs w:val="24"/>
      <w:lang w:eastAsia="en-US"/>
    </w:rPr>
  </w:style>
  <w:style w:type="character" w:customStyle="1" w:styleId="highlight-diff">
    <w:name w:val="highlight-diff"/>
    <w:basedOn w:val="DefaultParagraphFont"/>
    <w:rsid w:val="000E08EE"/>
  </w:style>
  <w:style w:type="paragraph" w:styleId="Footer">
    <w:name w:val="footer"/>
    <w:basedOn w:val="Normal"/>
    <w:link w:val="FooterChar"/>
    <w:uiPriority w:val="99"/>
    <w:rsid w:val="000E08EE"/>
    <w:pPr>
      <w:tabs>
        <w:tab w:val="center" w:pos="4513"/>
        <w:tab w:val="right" w:pos="9026"/>
      </w:tabs>
    </w:pPr>
  </w:style>
  <w:style w:type="character" w:customStyle="1" w:styleId="FooterChar">
    <w:name w:val="Footer Char"/>
    <w:basedOn w:val="DefaultParagraphFont"/>
    <w:link w:val="Footer"/>
    <w:uiPriority w:val="99"/>
    <w:rsid w:val="000E08EE"/>
    <w:rPr>
      <w:sz w:val="24"/>
      <w:lang w:val="sv-SE"/>
    </w:rPr>
  </w:style>
  <w:style w:type="paragraph" w:customStyle="1" w:styleId="CM1">
    <w:name w:val="CM1"/>
    <w:basedOn w:val="Normal"/>
    <w:next w:val="Normal"/>
    <w:uiPriority w:val="99"/>
    <w:rsid w:val="000E08EE"/>
    <w:pPr>
      <w:widowControl/>
      <w:autoSpaceDE w:val="0"/>
      <w:autoSpaceDN w:val="0"/>
      <w:adjustRightInd w:val="0"/>
    </w:pPr>
    <w:rPr>
      <w:szCs w:val="24"/>
    </w:rPr>
  </w:style>
  <w:style w:type="paragraph" w:customStyle="1" w:styleId="CM3">
    <w:name w:val="CM3"/>
    <w:basedOn w:val="Normal"/>
    <w:next w:val="Normal"/>
    <w:uiPriority w:val="99"/>
    <w:rsid w:val="000E08EE"/>
    <w:pPr>
      <w:widowControl/>
      <w:autoSpaceDE w:val="0"/>
      <w:autoSpaceDN w:val="0"/>
      <w:adjustRightInd w:val="0"/>
    </w:pPr>
    <w:rPr>
      <w:szCs w:val="24"/>
    </w:rPr>
  </w:style>
  <w:style w:type="character" w:styleId="FollowedHyperlink">
    <w:name w:val="FollowedHyperlink"/>
    <w:basedOn w:val="DefaultParagraphFont"/>
    <w:uiPriority w:val="99"/>
    <w:rsid w:val="00AC45F1"/>
    <w:rPr>
      <w:color w:val="954F72" w:themeColor="followedHyperlink"/>
      <w:u w:val="single"/>
    </w:rPr>
  </w:style>
  <w:style w:type="numbering" w:customStyle="1" w:styleId="NoList1">
    <w:name w:val="No List1"/>
    <w:next w:val="NoList"/>
    <w:uiPriority w:val="99"/>
    <w:semiHidden/>
    <w:unhideWhenUsed/>
    <w:rsid w:val="001831FD"/>
  </w:style>
  <w:style w:type="paragraph" w:customStyle="1" w:styleId="SignaturePersonne">
    <w:name w:val="Signature Personne"/>
    <w:basedOn w:val="Normal"/>
    <w:rsid w:val="001831FD"/>
    <w:pPr>
      <w:widowControl/>
      <w:tabs>
        <w:tab w:val="left" w:pos="4252"/>
      </w:tabs>
      <w:spacing w:line="360" w:lineRule="auto"/>
    </w:pPr>
    <w:rPr>
      <w:i/>
      <w:szCs w:val="24"/>
      <w:lang w:val="en-GB" w:eastAsia="en-US"/>
    </w:rPr>
  </w:style>
  <w:style w:type="paragraph" w:customStyle="1" w:styleId="Considrant">
    <w:name w:val="Considérant"/>
    <w:basedOn w:val="Normal"/>
    <w:rsid w:val="001831F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831FD"/>
    <w:pPr>
      <w:keepNext/>
      <w:spacing w:before="600" w:after="120" w:line="360" w:lineRule="auto"/>
    </w:pPr>
    <w:rPr>
      <w:szCs w:val="24"/>
      <w:lang w:val="en-GB" w:eastAsia="en-US"/>
    </w:rPr>
  </w:style>
  <w:style w:type="paragraph" w:customStyle="1" w:styleId="Institutionquisigne">
    <w:name w:val="Institution qui signe"/>
    <w:basedOn w:val="Normal"/>
    <w:next w:val="Normal"/>
    <w:rsid w:val="001831FD"/>
    <w:pPr>
      <w:keepNext/>
      <w:tabs>
        <w:tab w:val="left" w:pos="4252"/>
      </w:tabs>
      <w:spacing w:before="720" w:line="360" w:lineRule="auto"/>
    </w:pPr>
    <w:rPr>
      <w:i/>
      <w:szCs w:val="24"/>
      <w:lang w:val="en-GB" w:eastAsia="en-US"/>
    </w:rPr>
  </w:style>
  <w:style w:type="paragraph" w:customStyle="1" w:styleId="Fait">
    <w:name w:val="Fait à"/>
    <w:basedOn w:val="Normal"/>
    <w:rsid w:val="001831FD"/>
    <w:pPr>
      <w:keepNext/>
      <w:widowControl/>
      <w:spacing w:before="120" w:line="360" w:lineRule="auto"/>
    </w:pPr>
    <w:rPr>
      <w:szCs w:val="24"/>
      <w:lang w:val="en-GB" w:eastAsia="en-US"/>
    </w:rPr>
  </w:style>
  <w:style w:type="paragraph" w:customStyle="1" w:styleId="FootnoteTextForceStyle">
    <w:name w:val="Footnote Text ForceStyle"/>
    <w:rsid w:val="001831FD"/>
    <w:pPr>
      <w:keepLines/>
      <w:widowControl w:val="0"/>
      <w:ind w:left="850" w:hanging="850"/>
    </w:pPr>
    <w:rPr>
      <w:sz w:val="24"/>
      <w:lang w:eastAsia="en-US"/>
    </w:rPr>
  </w:style>
  <w:style w:type="character" w:customStyle="1" w:styleId="Footer2">
    <w:name w:val="Footer2"/>
    <w:rsid w:val="001831FD"/>
    <w:rPr>
      <w:rFonts w:ascii="Arial" w:hAnsi="Arial"/>
      <w:b/>
      <w:sz w:val="48"/>
    </w:rPr>
  </w:style>
  <w:style w:type="paragraph" w:customStyle="1" w:styleId="Applicationdirecte">
    <w:name w:val="Application directe"/>
    <w:basedOn w:val="Normal"/>
    <w:next w:val="Normal"/>
    <w:rsid w:val="001831FD"/>
    <w:pPr>
      <w:spacing w:before="120" w:after="120" w:line="360" w:lineRule="auto"/>
    </w:pPr>
    <w:rPr>
      <w:szCs w:val="24"/>
      <w:lang w:val="en-GB" w:eastAsia="en-US"/>
    </w:rPr>
  </w:style>
  <w:style w:type="paragraph" w:customStyle="1" w:styleId="Normale">
    <w:name w:val="Normale"/>
    <w:rsid w:val="001831FD"/>
    <w:pPr>
      <w:widowControl w:val="0"/>
      <w:spacing w:before="120" w:after="120" w:line="360" w:lineRule="auto"/>
    </w:pPr>
    <w:rPr>
      <w:sz w:val="24"/>
      <w:lang w:eastAsia="en-US"/>
    </w:rPr>
  </w:style>
  <w:style w:type="paragraph" w:customStyle="1" w:styleId="Formuledadoption">
    <w:name w:val="Formule d'adoption"/>
    <w:basedOn w:val="Normal"/>
    <w:next w:val="Normal"/>
    <w:rsid w:val="001831F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831FD"/>
    <w:pPr>
      <w:widowControl/>
      <w:spacing w:after="240" w:line="360" w:lineRule="auto"/>
      <w:ind w:left="5102"/>
    </w:pPr>
    <w:rPr>
      <w:szCs w:val="24"/>
      <w:lang w:val="en-GB" w:eastAsia="en-US"/>
    </w:rPr>
  </w:style>
  <w:style w:type="paragraph" w:customStyle="1" w:styleId="Footer1">
    <w:name w:val="Footer1"/>
    <w:basedOn w:val="Normal"/>
    <w:rsid w:val="001831F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831F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831FD"/>
    <w:pPr>
      <w:widowControl/>
      <w:spacing w:before="840" w:line="360" w:lineRule="auto"/>
      <w:jc w:val="center"/>
    </w:pPr>
    <w:rPr>
      <w:szCs w:val="24"/>
      <w:lang w:val="en-GB" w:eastAsia="en-US"/>
    </w:rPr>
  </w:style>
  <w:style w:type="paragraph" w:customStyle="1" w:styleId="Typedudocument">
    <w:name w:val="Type du document"/>
    <w:basedOn w:val="Normal"/>
    <w:next w:val="Normal"/>
    <w:rsid w:val="001831FD"/>
    <w:pPr>
      <w:widowControl/>
      <w:spacing w:before="360" w:line="360" w:lineRule="auto"/>
      <w:jc w:val="center"/>
    </w:pPr>
    <w:rPr>
      <w:b/>
      <w:szCs w:val="24"/>
      <w:lang w:val="en-GB" w:eastAsia="en-US"/>
    </w:rPr>
  </w:style>
  <w:style w:type="paragraph" w:customStyle="1" w:styleId="Titreobjet">
    <w:name w:val="Titre objet"/>
    <w:basedOn w:val="Normal"/>
    <w:next w:val="Normal"/>
    <w:rsid w:val="001831F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831FD"/>
    <w:pPr>
      <w:widowControl/>
      <w:spacing w:before="360" w:after="240" w:line="360" w:lineRule="auto"/>
      <w:jc w:val="center"/>
    </w:pPr>
    <w:rPr>
      <w:szCs w:val="24"/>
      <w:lang w:val="en-GB" w:eastAsia="en-US"/>
    </w:rPr>
  </w:style>
  <w:style w:type="character" w:customStyle="1" w:styleId="CMissingStyle">
    <w:name w:val="C_MissingStyle"/>
    <w:rsid w:val="001831FD"/>
    <w:rPr>
      <w:color w:val="FFFFFF"/>
      <w:sz w:val="22"/>
      <w:shd w:val="clear" w:color="000000" w:fill="000000"/>
    </w:rPr>
  </w:style>
  <w:style w:type="paragraph" w:customStyle="1" w:styleId="PMissingStyle">
    <w:name w:val="P_MissingStyle"/>
    <w:basedOn w:val="Normal"/>
    <w:rsid w:val="001831FD"/>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3524E3"/>
  </w:style>
  <w:style w:type="paragraph" w:styleId="ListBullet">
    <w:name w:val="List Bullet"/>
    <w:basedOn w:val="Normal"/>
    <w:uiPriority w:val="99"/>
    <w:unhideWhenUsed/>
    <w:rsid w:val="003524E3"/>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3524E3"/>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3524E3"/>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3524E3"/>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3524E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524E3"/>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3524E3"/>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3524E3"/>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sz w:val="26"/>
      </w:rPr>
      <w:tblPr/>
      <w:tcPr>
        <w:tcBorders>
          <w:bottom w:val="single" w:sz="4" w:space="0" w:color="7F7F7F"/>
        </w:tcBorders>
        <w:shd w:val="clear" w:color="auto" w:fill="FFFFFF"/>
      </w:tcPr>
    </w:tblStylePr>
    <w:tblStylePr w:type="lastRow">
      <w:rPr>
        <w:rFonts w:ascii="Cambria" w:eastAsia="Times New Roman" w:hAnsi="Cambria" w:cs="Times New Roman"/>
        <w:i/>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sz w:val="26"/>
      </w:rPr>
      <w:tblPr/>
      <w:tcPr>
        <w:tcBorders>
          <w:right w:val="single" w:sz="4" w:space="0" w:color="7F7F7F"/>
        </w:tcBorders>
        <w:shd w:val="clear" w:color="auto" w:fill="FFFFFF"/>
      </w:tcPr>
    </w:tblStylePr>
    <w:tblStylePr w:type="lastCol">
      <w:rPr>
        <w:rFonts w:ascii="Cambria" w:eastAsia="Times New Roman" w:hAnsi="Cambria" w:cs="Times New Roman"/>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3524E3"/>
    <w:pPr>
      <w:keepLines w:val="0"/>
      <w:spacing w:line="240" w:lineRule="auto"/>
      <w:ind w:left="0" w:firstLine="0"/>
    </w:pPr>
    <w:rPr>
      <w:rFonts w:eastAsia="Calibri"/>
      <w:sz w:val="16"/>
      <w:lang w:val="sv-SE" w:eastAsia="en-US"/>
    </w:rPr>
  </w:style>
  <w:style w:type="character" w:customStyle="1" w:styleId="foonoteChar">
    <w:name w:val="foonote Char"/>
    <w:basedOn w:val="DefaultParagraphFont"/>
    <w:link w:val="foonote"/>
    <w:rsid w:val="003524E3"/>
    <w:rPr>
      <w:rFonts w:eastAsia="Calibri"/>
      <w:sz w:val="16"/>
      <w:lang w:val="sv-SE" w:eastAsia="en-US"/>
    </w:rPr>
  </w:style>
  <w:style w:type="paragraph" w:styleId="ListNumber">
    <w:name w:val="List Number"/>
    <w:basedOn w:val="Normal"/>
    <w:uiPriority w:val="99"/>
    <w:rsid w:val="003524E3"/>
    <w:pPr>
      <w:widowControl/>
      <w:numPr>
        <w:numId w:val="8"/>
      </w:numPr>
      <w:tabs>
        <w:tab w:val="clear" w:pos="1276"/>
        <w:tab w:val="num" w:pos="1492"/>
      </w:tabs>
      <w:spacing w:before="120" w:after="120"/>
      <w:ind w:left="1492" w:hanging="360"/>
      <w:jc w:val="both"/>
    </w:pPr>
    <w:rPr>
      <w:rFonts w:eastAsia="Calibri"/>
      <w:szCs w:val="22"/>
      <w:lang w:eastAsia="en-US"/>
    </w:rPr>
  </w:style>
  <w:style w:type="paragraph" w:customStyle="1" w:styleId="ListBullet1">
    <w:name w:val="List Bullet 1"/>
    <w:basedOn w:val="Normal"/>
    <w:rsid w:val="003524E3"/>
    <w:pPr>
      <w:widowControl/>
      <w:numPr>
        <w:numId w:val="4"/>
      </w:numPr>
      <w:tabs>
        <w:tab w:val="clear" w:pos="1134"/>
        <w:tab w:val="num" w:pos="926"/>
      </w:tabs>
      <w:spacing w:before="120" w:after="120"/>
      <w:ind w:left="926" w:hanging="360"/>
      <w:jc w:val="both"/>
    </w:pPr>
    <w:rPr>
      <w:rFonts w:eastAsia="Calibri"/>
      <w:szCs w:val="22"/>
      <w:lang w:eastAsia="en-US"/>
    </w:rPr>
  </w:style>
  <w:style w:type="paragraph" w:customStyle="1" w:styleId="ListDash">
    <w:name w:val="List Dash"/>
    <w:basedOn w:val="Normal"/>
    <w:rsid w:val="003524E3"/>
    <w:pPr>
      <w:widowControl/>
      <w:numPr>
        <w:numId w:val="5"/>
      </w:numPr>
      <w:tabs>
        <w:tab w:val="clear" w:pos="283"/>
        <w:tab w:val="num" w:pos="926"/>
      </w:tabs>
      <w:spacing w:before="120" w:after="120"/>
      <w:ind w:left="926" w:hanging="360"/>
      <w:jc w:val="both"/>
    </w:pPr>
    <w:rPr>
      <w:rFonts w:eastAsia="Calibri"/>
      <w:szCs w:val="22"/>
      <w:lang w:eastAsia="en-US"/>
    </w:rPr>
  </w:style>
  <w:style w:type="paragraph" w:customStyle="1" w:styleId="ListDash1">
    <w:name w:val="List Dash 1"/>
    <w:basedOn w:val="Normal"/>
    <w:rsid w:val="003524E3"/>
    <w:pPr>
      <w:widowControl/>
      <w:numPr>
        <w:numId w:val="6"/>
      </w:numPr>
      <w:tabs>
        <w:tab w:val="clear" w:pos="1134"/>
        <w:tab w:val="num" w:pos="1209"/>
      </w:tabs>
      <w:spacing w:before="120" w:after="120"/>
      <w:ind w:left="1209" w:hanging="360"/>
      <w:jc w:val="both"/>
    </w:pPr>
    <w:rPr>
      <w:rFonts w:eastAsia="Calibri"/>
      <w:szCs w:val="22"/>
      <w:lang w:eastAsia="en-US"/>
    </w:rPr>
  </w:style>
  <w:style w:type="paragraph" w:customStyle="1" w:styleId="ListDash2">
    <w:name w:val="List Dash 2"/>
    <w:basedOn w:val="Normal"/>
    <w:rsid w:val="003524E3"/>
    <w:pPr>
      <w:widowControl/>
      <w:numPr>
        <w:numId w:val="7"/>
      </w:numPr>
      <w:tabs>
        <w:tab w:val="clear" w:pos="1134"/>
        <w:tab w:val="num" w:pos="1209"/>
      </w:tabs>
      <w:spacing w:before="120" w:after="120"/>
      <w:ind w:left="1209" w:hanging="360"/>
      <w:jc w:val="both"/>
    </w:pPr>
    <w:rPr>
      <w:rFonts w:eastAsia="Calibri"/>
      <w:szCs w:val="22"/>
      <w:lang w:eastAsia="en-US"/>
    </w:rPr>
  </w:style>
  <w:style w:type="paragraph" w:customStyle="1" w:styleId="ListNumberLevel2">
    <w:name w:val="List Number (Level 2)"/>
    <w:basedOn w:val="Normal"/>
    <w:rsid w:val="003524E3"/>
    <w:pPr>
      <w:widowControl/>
      <w:numPr>
        <w:ilvl w:val="1"/>
        <w:numId w:val="8"/>
      </w:numPr>
      <w:tabs>
        <w:tab w:val="clear" w:pos="1417"/>
        <w:tab w:val="num" w:pos="1492"/>
      </w:tabs>
      <w:spacing w:before="120" w:after="120"/>
      <w:ind w:left="1492" w:hanging="360"/>
      <w:jc w:val="both"/>
    </w:pPr>
    <w:rPr>
      <w:rFonts w:eastAsia="Calibri"/>
      <w:szCs w:val="22"/>
      <w:lang w:eastAsia="en-US"/>
    </w:rPr>
  </w:style>
  <w:style w:type="paragraph" w:customStyle="1" w:styleId="ListNumberLevel3">
    <w:name w:val="List Number (Level 3)"/>
    <w:basedOn w:val="Normal"/>
    <w:rsid w:val="003524E3"/>
    <w:pPr>
      <w:widowControl/>
      <w:numPr>
        <w:ilvl w:val="2"/>
        <w:numId w:val="8"/>
      </w:numPr>
      <w:tabs>
        <w:tab w:val="clear" w:pos="2126"/>
        <w:tab w:val="num" w:pos="1492"/>
      </w:tabs>
      <w:spacing w:before="120" w:after="120"/>
      <w:ind w:left="1492" w:hanging="360"/>
      <w:jc w:val="both"/>
    </w:pPr>
    <w:rPr>
      <w:rFonts w:eastAsia="Calibri"/>
      <w:szCs w:val="22"/>
      <w:lang w:eastAsia="en-US"/>
    </w:rPr>
  </w:style>
  <w:style w:type="paragraph" w:customStyle="1" w:styleId="ListNumberLevel4">
    <w:name w:val="List Number (Level 4)"/>
    <w:basedOn w:val="Normal"/>
    <w:rsid w:val="003524E3"/>
    <w:pPr>
      <w:widowControl/>
      <w:numPr>
        <w:ilvl w:val="3"/>
        <w:numId w:val="8"/>
      </w:numPr>
      <w:tabs>
        <w:tab w:val="clear" w:pos="2835"/>
        <w:tab w:val="num" w:pos="1492"/>
      </w:tabs>
      <w:spacing w:before="120" w:after="120"/>
      <w:ind w:left="1492" w:hanging="360"/>
      <w:jc w:val="both"/>
    </w:pPr>
    <w:rPr>
      <w:rFonts w:eastAsia="Calibri"/>
      <w:szCs w:val="22"/>
      <w:lang w:eastAsia="en-US"/>
    </w:rPr>
  </w:style>
  <w:style w:type="table" w:customStyle="1" w:styleId="TableGrid11">
    <w:name w:val="Table Grid11"/>
    <w:basedOn w:val="TableNormal"/>
    <w:next w:val="TableGrid"/>
    <w:rsid w:val="003524E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524E3"/>
    <w:pPr>
      <w:widowControl/>
      <w:numPr>
        <w:numId w:val="12"/>
      </w:numPr>
      <w:tabs>
        <w:tab w:val="clear" w:pos="1560"/>
        <w:tab w:val="num" w:pos="643"/>
      </w:tabs>
      <w:spacing w:before="120" w:after="120"/>
      <w:ind w:left="643" w:hanging="360"/>
      <w:jc w:val="both"/>
    </w:pPr>
    <w:rPr>
      <w:rFonts w:eastAsia="Calibri"/>
      <w:szCs w:val="22"/>
      <w:lang w:eastAsia="en-US"/>
    </w:rPr>
  </w:style>
  <w:style w:type="paragraph" w:styleId="ListNumber3">
    <w:name w:val="List Number 3"/>
    <w:basedOn w:val="Normal"/>
    <w:uiPriority w:val="99"/>
    <w:rsid w:val="003524E3"/>
    <w:pPr>
      <w:widowControl/>
      <w:numPr>
        <w:numId w:val="13"/>
      </w:numPr>
      <w:tabs>
        <w:tab w:val="clear" w:pos="1560"/>
        <w:tab w:val="num" w:pos="643"/>
      </w:tabs>
      <w:spacing w:before="120" w:after="120"/>
      <w:ind w:left="643" w:hanging="360"/>
      <w:jc w:val="both"/>
    </w:pPr>
    <w:rPr>
      <w:rFonts w:eastAsia="Calibri"/>
      <w:szCs w:val="22"/>
      <w:lang w:eastAsia="en-US"/>
    </w:rPr>
  </w:style>
  <w:style w:type="paragraph" w:styleId="ListNumber4">
    <w:name w:val="List Number 4"/>
    <w:basedOn w:val="Normal"/>
    <w:uiPriority w:val="99"/>
    <w:rsid w:val="003524E3"/>
    <w:pPr>
      <w:widowControl/>
      <w:numPr>
        <w:numId w:val="14"/>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3524E3"/>
    <w:pPr>
      <w:widowControl/>
      <w:numPr>
        <w:numId w:val="9"/>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3524E3"/>
    <w:pPr>
      <w:widowControl/>
      <w:numPr>
        <w:numId w:val="10"/>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3524E3"/>
    <w:pPr>
      <w:numPr>
        <w:numId w:val="11"/>
      </w:numPr>
      <w:tabs>
        <w:tab w:val="clear" w:pos="1701"/>
        <w:tab w:val="num" w:pos="360"/>
      </w:tabs>
      <w:ind w:left="360" w:hanging="360"/>
    </w:pPr>
  </w:style>
  <w:style w:type="paragraph" w:customStyle="1" w:styleId="ListNumber1Level2">
    <w:name w:val="List Number 1 (Level 2)"/>
    <w:basedOn w:val="Text1"/>
    <w:rsid w:val="003524E3"/>
    <w:pPr>
      <w:numPr>
        <w:ilvl w:val="1"/>
        <w:numId w:val="11"/>
      </w:numPr>
      <w:tabs>
        <w:tab w:val="clear" w:pos="2268"/>
        <w:tab w:val="num" w:pos="360"/>
      </w:tabs>
      <w:ind w:left="360" w:hanging="360"/>
    </w:pPr>
  </w:style>
  <w:style w:type="paragraph" w:customStyle="1" w:styleId="ListNumber2Level2">
    <w:name w:val="List Number 2 (Level 2)"/>
    <w:basedOn w:val="Text2"/>
    <w:rsid w:val="003524E3"/>
    <w:pPr>
      <w:numPr>
        <w:ilvl w:val="1"/>
        <w:numId w:val="12"/>
      </w:numPr>
      <w:tabs>
        <w:tab w:val="clear" w:pos="2268"/>
        <w:tab w:val="num" w:pos="643"/>
      </w:tabs>
      <w:ind w:left="643" w:hanging="360"/>
    </w:pPr>
  </w:style>
  <w:style w:type="paragraph" w:customStyle="1" w:styleId="ListNumber3Level2">
    <w:name w:val="List Number 3 (Level 2)"/>
    <w:basedOn w:val="Text3"/>
    <w:rsid w:val="003524E3"/>
    <w:pPr>
      <w:numPr>
        <w:ilvl w:val="1"/>
        <w:numId w:val="13"/>
      </w:numPr>
      <w:tabs>
        <w:tab w:val="clear" w:pos="2268"/>
        <w:tab w:val="num" w:pos="643"/>
      </w:tabs>
      <w:ind w:left="643" w:hanging="360"/>
    </w:pPr>
  </w:style>
  <w:style w:type="paragraph" w:customStyle="1" w:styleId="ListNumber4Level2">
    <w:name w:val="List Number 4 (Level 2)"/>
    <w:basedOn w:val="Text4"/>
    <w:rsid w:val="003524E3"/>
    <w:pPr>
      <w:numPr>
        <w:ilvl w:val="1"/>
        <w:numId w:val="14"/>
      </w:numPr>
      <w:tabs>
        <w:tab w:val="clear" w:pos="2268"/>
        <w:tab w:val="num" w:pos="926"/>
      </w:tabs>
      <w:ind w:left="926" w:hanging="360"/>
    </w:pPr>
  </w:style>
  <w:style w:type="paragraph" w:customStyle="1" w:styleId="ListNumber1Level3">
    <w:name w:val="List Number 1 (Level 3)"/>
    <w:basedOn w:val="Text1"/>
    <w:rsid w:val="003524E3"/>
    <w:pPr>
      <w:numPr>
        <w:ilvl w:val="2"/>
        <w:numId w:val="11"/>
      </w:numPr>
      <w:tabs>
        <w:tab w:val="clear" w:pos="2977"/>
        <w:tab w:val="num" w:pos="360"/>
      </w:tabs>
      <w:ind w:left="360" w:hanging="360"/>
    </w:pPr>
  </w:style>
  <w:style w:type="paragraph" w:customStyle="1" w:styleId="ListNumber2Level3">
    <w:name w:val="List Number 2 (Level 3)"/>
    <w:basedOn w:val="Text2"/>
    <w:rsid w:val="003524E3"/>
    <w:pPr>
      <w:numPr>
        <w:ilvl w:val="2"/>
        <w:numId w:val="12"/>
      </w:numPr>
      <w:tabs>
        <w:tab w:val="clear" w:pos="2977"/>
        <w:tab w:val="num" w:pos="643"/>
      </w:tabs>
      <w:ind w:left="643" w:hanging="360"/>
    </w:pPr>
  </w:style>
  <w:style w:type="paragraph" w:customStyle="1" w:styleId="ListNumber3Level3">
    <w:name w:val="List Number 3 (Level 3)"/>
    <w:basedOn w:val="Text3"/>
    <w:rsid w:val="003524E3"/>
    <w:pPr>
      <w:numPr>
        <w:ilvl w:val="2"/>
        <w:numId w:val="13"/>
      </w:numPr>
      <w:tabs>
        <w:tab w:val="clear" w:pos="2977"/>
        <w:tab w:val="num" w:pos="643"/>
      </w:tabs>
      <w:ind w:left="643" w:hanging="360"/>
    </w:pPr>
  </w:style>
  <w:style w:type="paragraph" w:customStyle="1" w:styleId="ListNumber4Level3">
    <w:name w:val="List Number 4 (Level 3)"/>
    <w:basedOn w:val="Text4"/>
    <w:rsid w:val="003524E3"/>
    <w:pPr>
      <w:numPr>
        <w:ilvl w:val="2"/>
        <w:numId w:val="14"/>
      </w:numPr>
      <w:tabs>
        <w:tab w:val="clear" w:pos="2977"/>
        <w:tab w:val="num" w:pos="926"/>
      </w:tabs>
      <w:ind w:left="926" w:hanging="360"/>
    </w:pPr>
  </w:style>
  <w:style w:type="paragraph" w:customStyle="1" w:styleId="ListNumber1Level4">
    <w:name w:val="List Number 1 (Level 4)"/>
    <w:basedOn w:val="Text1"/>
    <w:rsid w:val="003524E3"/>
    <w:pPr>
      <w:numPr>
        <w:ilvl w:val="3"/>
        <w:numId w:val="11"/>
      </w:numPr>
      <w:tabs>
        <w:tab w:val="clear" w:pos="3686"/>
        <w:tab w:val="num" w:pos="360"/>
      </w:tabs>
      <w:ind w:left="360" w:hanging="360"/>
    </w:pPr>
  </w:style>
  <w:style w:type="paragraph" w:customStyle="1" w:styleId="ListNumber2Level4">
    <w:name w:val="List Number 2 (Level 4)"/>
    <w:basedOn w:val="Text2"/>
    <w:rsid w:val="003524E3"/>
    <w:pPr>
      <w:numPr>
        <w:ilvl w:val="3"/>
        <w:numId w:val="12"/>
      </w:numPr>
      <w:tabs>
        <w:tab w:val="clear" w:pos="3686"/>
        <w:tab w:val="num" w:pos="643"/>
      </w:tabs>
      <w:ind w:left="643" w:hanging="360"/>
    </w:pPr>
  </w:style>
  <w:style w:type="paragraph" w:customStyle="1" w:styleId="ListNumber3Level4">
    <w:name w:val="List Number 3 (Level 4)"/>
    <w:basedOn w:val="Text3"/>
    <w:rsid w:val="003524E3"/>
    <w:pPr>
      <w:numPr>
        <w:ilvl w:val="3"/>
        <w:numId w:val="13"/>
      </w:numPr>
      <w:tabs>
        <w:tab w:val="clear" w:pos="3686"/>
        <w:tab w:val="num" w:pos="643"/>
      </w:tabs>
      <w:ind w:left="643" w:hanging="360"/>
    </w:pPr>
  </w:style>
  <w:style w:type="paragraph" w:customStyle="1" w:styleId="ListNumber4Level4">
    <w:name w:val="List Number 4 (Level 4)"/>
    <w:basedOn w:val="Text4"/>
    <w:rsid w:val="003524E3"/>
    <w:pPr>
      <w:numPr>
        <w:ilvl w:val="3"/>
        <w:numId w:val="14"/>
      </w:numPr>
      <w:tabs>
        <w:tab w:val="clear" w:pos="3686"/>
        <w:tab w:val="num" w:pos="926"/>
      </w:tabs>
      <w:ind w:left="926" w:hanging="360"/>
    </w:pPr>
  </w:style>
  <w:style w:type="paragraph" w:customStyle="1" w:styleId="Annexetitreacte">
    <w:name w:val="Annexe titre (acte)"/>
    <w:basedOn w:val="Normal"/>
    <w:next w:val="Normal"/>
    <w:rsid w:val="003524E3"/>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3524E3"/>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3524E3"/>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3524E3"/>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3524E3"/>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3524E3"/>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3524E3"/>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3524E3"/>
    <w:pPr>
      <w:widowControl/>
      <w:spacing w:before="360"/>
      <w:jc w:val="center"/>
    </w:pPr>
    <w:rPr>
      <w:rFonts w:eastAsia="Calibri"/>
      <w:szCs w:val="22"/>
      <w:lang w:eastAsia="en-US"/>
    </w:rPr>
  </w:style>
  <w:style w:type="paragraph" w:customStyle="1" w:styleId="Prliminairetitre">
    <w:name w:val="Préliminaire titre"/>
    <w:basedOn w:val="Normal"/>
    <w:next w:val="Normal"/>
    <w:rsid w:val="003524E3"/>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3524E3"/>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3524E3"/>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3524E3"/>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3524E3"/>
    <w:pPr>
      <w:widowControl/>
      <w:ind w:left="5103"/>
    </w:pPr>
    <w:rPr>
      <w:rFonts w:eastAsia="Calibri"/>
      <w:szCs w:val="22"/>
      <w:lang w:eastAsia="en-US"/>
    </w:rPr>
  </w:style>
  <w:style w:type="paragraph" w:customStyle="1" w:styleId="Sous-titreobjetprliminaire">
    <w:name w:val="Sous-titre objet (préliminaire)"/>
    <w:basedOn w:val="Normal"/>
    <w:rsid w:val="003524E3"/>
    <w:pPr>
      <w:widowControl/>
      <w:jc w:val="center"/>
    </w:pPr>
    <w:rPr>
      <w:rFonts w:eastAsia="Calibri"/>
      <w:b/>
      <w:szCs w:val="22"/>
      <w:lang w:eastAsia="en-US"/>
    </w:rPr>
  </w:style>
  <w:style w:type="paragraph" w:customStyle="1" w:styleId="Statutprliminaire">
    <w:name w:val="Statut (préliminaire)"/>
    <w:basedOn w:val="Normal"/>
    <w:next w:val="Normal"/>
    <w:rsid w:val="003524E3"/>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3524E3"/>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3524E3"/>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3524E3"/>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3524E3"/>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3524E3"/>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3524E3"/>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3524E3"/>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3524E3"/>
    <w:pPr>
      <w:widowControl/>
      <w:spacing w:before="120" w:after="120"/>
      <w:jc w:val="center"/>
    </w:pPr>
    <w:rPr>
      <w:rFonts w:eastAsia="Calibri"/>
      <w:b/>
      <w:szCs w:val="22"/>
      <w:u w:val="single"/>
      <w:lang w:eastAsia="en-US"/>
    </w:rPr>
  </w:style>
  <w:style w:type="paragraph" w:styleId="Caption">
    <w:name w:val="caption"/>
    <w:basedOn w:val="Normal"/>
    <w:next w:val="Normal"/>
    <w:uiPriority w:val="35"/>
    <w:qFormat/>
    <w:rsid w:val="003524E3"/>
    <w:pPr>
      <w:widowControl/>
      <w:spacing w:before="120" w:after="120"/>
      <w:jc w:val="both"/>
    </w:pPr>
    <w:rPr>
      <w:rFonts w:eastAsia="Calibri"/>
      <w:b/>
      <w:sz w:val="20"/>
      <w:szCs w:val="22"/>
      <w:lang w:eastAsia="en-US"/>
    </w:rPr>
  </w:style>
  <w:style w:type="paragraph" w:styleId="TableofFigures">
    <w:name w:val="table of figures"/>
    <w:basedOn w:val="Normal"/>
    <w:next w:val="Normal"/>
    <w:uiPriority w:val="99"/>
    <w:rsid w:val="003524E3"/>
    <w:pPr>
      <w:widowControl/>
      <w:spacing w:before="120" w:after="120"/>
      <w:jc w:val="both"/>
    </w:pPr>
    <w:rPr>
      <w:rFonts w:eastAsia="Calibri"/>
      <w:szCs w:val="22"/>
      <w:lang w:eastAsia="en-US"/>
    </w:rPr>
  </w:style>
  <w:style w:type="character" w:customStyle="1" w:styleId="tw4winMark">
    <w:name w:val="tw4winMark"/>
    <w:rsid w:val="003524E3"/>
    <w:rPr>
      <w:vanish/>
      <w:color w:val="800080"/>
      <w:vertAlign w:val="subscript"/>
    </w:rPr>
  </w:style>
  <w:style w:type="paragraph" w:customStyle="1" w:styleId="Sous-titreobjet">
    <w:name w:val="Sous-titre objet"/>
    <w:basedOn w:val="Normal"/>
    <w:rsid w:val="003524E3"/>
    <w:pPr>
      <w:widowControl/>
      <w:jc w:val="center"/>
    </w:pPr>
    <w:rPr>
      <w:rFonts w:eastAsia="Calibri"/>
      <w:b/>
      <w:szCs w:val="22"/>
      <w:lang w:eastAsia="en-US"/>
    </w:rPr>
  </w:style>
  <w:style w:type="paragraph" w:customStyle="1" w:styleId="Sous-titreobjetPagedecouverture">
    <w:name w:val="Sous-titre objet (Page de couverture)"/>
    <w:basedOn w:val="Sous-titreobjet"/>
    <w:rsid w:val="003524E3"/>
  </w:style>
  <w:style w:type="paragraph" w:customStyle="1" w:styleId="FooterCoverPage">
    <w:name w:val="Footer Cover Page"/>
    <w:basedOn w:val="Normal"/>
    <w:link w:val="FooterCoverPageChar"/>
    <w:rsid w:val="003524E3"/>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uiPriority w:val="39"/>
    <w:rsid w:val="003524E3"/>
    <w:rPr>
      <w:rFonts w:ascii="Times New Roman" w:hAnsi="Times New Roman" w:cs="Times New Roman"/>
      <w:b/>
      <w:sz w:val="28"/>
    </w:rPr>
  </w:style>
  <w:style w:type="character" w:customStyle="1" w:styleId="FooterCoverPageChar">
    <w:name w:val="Footer Cover Page Char"/>
    <w:link w:val="FooterCoverPage"/>
    <w:rsid w:val="003524E3"/>
    <w:rPr>
      <w:rFonts w:eastAsia="Calibri"/>
      <w:sz w:val="24"/>
      <w:szCs w:val="22"/>
      <w:lang w:val="sv-SE" w:eastAsia="en-US"/>
    </w:rPr>
  </w:style>
  <w:style w:type="paragraph" w:customStyle="1" w:styleId="HeaderCoverPage">
    <w:name w:val="Header Cover Page"/>
    <w:basedOn w:val="Normal"/>
    <w:link w:val="HeaderCoverPageChar"/>
    <w:rsid w:val="003524E3"/>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3524E3"/>
    <w:rPr>
      <w:rFonts w:eastAsia="Calibri"/>
      <w:sz w:val="24"/>
      <w:szCs w:val="22"/>
      <w:lang w:val="sv-SE" w:eastAsia="en-US"/>
    </w:rPr>
  </w:style>
  <w:style w:type="paragraph" w:styleId="ListParagraph">
    <w:name w:val="List Paragraph"/>
    <w:basedOn w:val="Normal"/>
    <w:uiPriority w:val="34"/>
    <w:qFormat/>
    <w:rsid w:val="003524E3"/>
    <w:pPr>
      <w:widowControl/>
      <w:spacing w:before="120" w:after="120"/>
      <w:ind w:left="720"/>
      <w:contextualSpacing/>
      <w:jc w:val="both"/>
    </w:pPr>
    <w:rPr>
      <w:rFonts w:eastAsia="Calibri"/>
      <w:szCs w:val="22"/>
      <w:lang w:eastAsia="en-US"/>
    </w:rPr>
  </w:style>
  <w:style w:type="paragraph" w:customStyle="1" w:styleId="Default">
    <w:name w:val="Default"/>
    <w:rsid w:val="003524E3"/>
    <w:pPr>
      <w:autoSpaceDE w:val="0"/>
      <w:autoSpaceDN w:val="0"/>
      <w:adjustRightInd w:val="0"/>
    </w:pPr>
    <w:rPr>
      <w:rFonts w:eastAsia="Calibri"/>
      <w:sz w:val="24"/>
      <w:szCs w:val="22"/>
      <w:lang w:val="en-US" w:eastAsia="en-US"/>
    </w:rPr>
  </w:style>
  <w:style w:type="table" w:customStyle="1" w:styleId="Table11">
    <w:name w:val="Table 11"/>
    <w:basedOn w:val="TableNormal"/>
    <w:uiPriority w:val="99"/>
    <w:rsid w:val="003524E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3524E3"/>
    <w:pPr>
      <w:spacing w:line="240" w:lineRule="auto"/>
    </w:pPr>
    <w:rPr>
      <w:rFonts w:eastAsia="Calibri"/>
      <w:szCs w:val="22"/>
      <w:lang w:val="sv-SE"/>
    </w:rPr>
  </w:style>
  <w:style w:type="table" w:customStyle="1" w:styleId="TableGrid2">
    <w:name w:val="Table Grid2"/>
    <w:basedOn w:val="TableNormal"/>
    <w:next w:val="TableGrid"/>
    <w:rsid w:val="003524E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3524E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3524E3"/>
  </w:style>
  <w:style w:type="table" w:customStyle="1" w:styleId="TableGrid3">
    <w:name w:val="Table Grid3"/>
    <w:basedOn w:val="TableNormal"/>
    <w:next w:val="TableGrid"/>
    <w:rsid w:val="003524E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3524E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3524E3"/>
  </w:style>
  <w:style w:type="table" w:customStyle="1" w:styleId="TableGrid4">
    <w:name w:val="Table Grid4"/>
    <w:basedOn w:val="TableNormal"/>
    <w:next w:val="TableGrid"/>
    <w:rsid w:val="003524E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3524E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3524E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3524E3"/>
    <w:pPr>
      <w:autoSpaceDE w:val="0"/>
      <w:autoSpaceDN w:val="0"/>
      <w:adjustRightInd w:val="0"/>
      <w:jc w:val="right"/>
    </w:pPr>
    <w:rPr>
      <w:rFonts w:eastAsia="Calibri"/>
      <w:b/>
      <w:szCs w:val="22"/>
      <w:lang w:eastAsia="en-US"/>
    </w:rPr>
  </w:style>
  <w:style w:type="paragraph" w:customStyle="1" w:styleId="EntRefer">
    <w:name w:val="EntRefer"/>
    <w:basedOn w:val="Normal"/>
    <w:rsid w:val="003524E3"/>
    <w:pPr>
      <w:autoSpaceDE w:val="0"/>
      <w:autoSpaceDN w:val="0"/>
      <w:adjustRightInd w:val="0"/>
    </w:pPr>
    <w:rPr>
      <w:rFonts w:eastAsia="Calibri"/>
      <w:b/>
      <w:szCs w:val="22"/>
      <w:lang w:eastAsia="en-US"/>
    </w:rPr>
  </w:style>
  <w:style w:type="paragraph" w:customStyle="1" w:styleId="Par-number1">
    <w:name w:val="Par-number 1)"/>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Emet">
    <w:name w:val="EntEmet"/>
    <w:basedOn w:val="Normal"/>
    <w:rsid w:val="003524E3"/>
    <w:pPr>
      <w:tabs>
        <w:tab w:val="left" w:pos="284"/>
        <w:tab w:val="left" w:pos="567"/>
        <w:tab w:val="left" w:pos="851"/>
        <w:tab w:val="left" w:pos="1134"/>
        <w:tab w:val="left" w:pos="1418"/>
      </w:tabs>
      <w:autoSpaceDE w:val="0"/>
      <w:autoSpaceDN w:val="0"/>
      <w:adjustRightInd w:val="0"/>
      <w:spacing w:before="40"/>
    </w:pPr>
    <w:rPr>
      <w:rFonts w:eastAsia="Calibri"/>
      <w:szCs w:val="22"/>
      <w:lang w:eastAsia="en-US"/>
    </w:rPr>
  </w:style>
  <w:style w:type="paragraph" w:customStyle="1" w:styleId="Par-bullet">
    <w:name w:val="Par-bullet"/>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equal">
    <w:name w:val="Par-equal"/>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0">
    <w:name w:val="Par-number (1)"/>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1">
    <w:name w:val="Par-number 1."/>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I">
    <w:name w:val="Par-number I."/>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dash">
    <w:name w:val="Par-dash"/>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Logo">
    <w:name w:val="EntLogo"/>
    <w:basedOn w:val="Normal"/>
    <w:next w:val="EntInstit"/>
    <w:rsid w:val="003524E3"/>
    <w:pPr>
      <w:autoSpaceDE w:val="0"/>
      <w:autoSpaceDN w:val="0"/>
      <w:adjustRightInd w:val="0"/>
      <w:spacing w:line="360" w:lineRule="auto"/>
    </w:pPr>
    <w:rPr>
      <w:rFonts w:eastAsia="Calibri"/>
      <w:b/>
      <w:szCs w:val="22"/>
      <w:lang w:eastAsia="en-US"/>
    </w:rPr>
  </w:style>
  <w:style w:type="paragraph" w:customStyle="1" w:styleId="Par-numberA">
    <w:name w:val="Par-number A."/>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paragraph" w:styleId="EndnoteText">
    <w:name w:val="endnote text"/>
    <w:basedOn w:val="Normal"/>
    <w:link w:val="EndnoteTextChar"/>
    <w:uiPriority w:val="99"/>
    <w:rsid w:val="003524E3"/>
    <w:pPr>
      <w:tabs>
        <w:tab w:val="left" w:pos="567"/>
      </w:tabs>
      <w:autoSpaceDE w:val="0"/>
      <w:autoSpaceDN w:val="0"/>
      <w:adjustRightInd w:val="0"/>
      <w:ind w:left="567" w:hanging="567"/>
    </w:pPr>
    <w:rPr>
      <w:rFonts w:eastAsia="Calibri"/>
      <w:szCs w:val="22"/>
      <w:lang w:eastAsia="en-US"/>
    </w:rPr>
  </w:style>
  <w:style w:type="character" w:customStyle="1" w:styleId="EndnoteTextChar">
    <w:name w:val="Endnote Text Char"/>
    <w:basedOn w:val="DefaultParagraphFont"/>
    <w:link w:val="EndnoteText"/>
    <w:uiPriority w:val="99"/>
    <w:rsid w:val="003524E3"/>
    <w:rPr>
      <w:rFonts w:eastAsia="Calibri"/>
      <w:sz w:val="24"/>
      <w:szCs w:val="22"/>
      <w:lang w:val="sv-SE" w:eastAsia="en-US"/>
    </w:rPr>
  </w:style>
  <w:style w:type="character" w:styleId="EndnoteReference">
    <w:name w:val="endnote reference"/>
    <w:basedOn w:val="DefaultParagraphFont"/>
    <w:uiPriority w:val="99"/>
    <w:rsid w:val="003524E3"/>
    <w:rPr>
      <w:rFonts w:cs="Times New Roman"/>
      <w:b/>
      <w:spacing w:val="0"/>
      <w:vertAlign w:val="superscript"/>
    </w:rPr>
  </w:style>
  <w:style w:type="paragraph" w:customStyle="1" w:styleId="AC">
    <w:name w:val="AC"/>
    <w:basedOn w:val="Normal"/>
    <w:next w:val="Normal"/>
    <w:rsid w:val="003524E3"/>
    <w:pPr>
      <w:autoSpaceDE w:val="0"/>
      <w:autoSpaceDN w:val="0"/>
      <w:adjustRightInd w:val="0"/>
      <w:spacing w:line="360" w:lineRule="auto"/>
    </w:pPr>
    <w:rPr>
      <w:rFonts w:eastAsia="Calibri"/>
      <w:b/>
      <w:sz w:val="40"/>
      <w:szCs w:val="22"/>
      <w:lang w:eastAsia="en-US"/>
    </w:rPr>
  </w:style>
  <w:style w:type="paragraph" w:customStyle="1" w:styleId="Par-numberi0">
    <w:name w:val="Par-number (i)"/>
    <w:basedOn w:val="Normal"/>
    <w:next w:val="Normal"/>
    <w:rsid w:val="003524E3"/>
    <w:pPr>
      <w:tabs>
        <w:tab w:val="left" w:pos="567"/>
      </w:tabs>
      <w:autoSpaceDE w:val="0"/>
      <w:autoSpaceDN w:val="0"/>
      <w:adjustRightInd w:val="0"/>
      <w:spacing w:line="360" w:lineRule="auto"/>
      <w:ind w:left="567" w:hanging="567"/>
    </w:pPr>
    <w:rPr>
      <w:rFonts w:eastAsia="Calibri"/>
      <w:szCs w:val="22"/>
      <w:lang w:eastAsia="en-US"/>
    </w:rPr>
  </w:style>
  <w:style w:type="paragraph" w:customStyle="1" w:styleId="Par-numbera0">
    <w:name w:val="Par-number (a)"/>
    <w:basedOn w:val="Normal"/>
    <w:next w:val="Normal"/>
    <w:rsid w:val="003524E3"/>
    <w:pPr>
      <w:tabs>
        <w:tab w:val="num" w:pos="567"/>
      </w:tabs>
      <w:autoSpaceDE w:val="0"/>
      <w:autoSpaceDN w:val="0"/>
      <w:adjustRightInd w:val="0"/>
      <w:spacing w:line="360" w:lineRule="auto"/>
      <w:ind w:left="567" w:hanging="567"/>
    </w:pPr>
    <w:rPr>
      <w:rFonts w:eastAsia="Calibri"/>
      <w:szCs w:val="22"/>
      <w:lang w:eastAsia="en-US"/>
    </w:rPr>
  </w:style>
  <w:style w:type="character" w:customStyle="1" w:styleId="DontTranslate">
    <w:name w:val="DontTranslate"/>
    <w:basedOn w:val="DefaultParagraphFont"/>
    <w:rsid w:val="003524E3"/>
    <w:rPr>
      <w:rFonts w:cs="Times New Roman"/>
      <w:spacing w:val="0"/>
    </w:rPr>
  </w:style>
  <w:style w:type="paragraph" w:customStyle="1" w:styleId="AddReference">
    <w:name w:val="Add Reference"/>
    <w:basedOn w:val="Normal"/>
    <w:rsid w:val="003524E3"/>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Calibri"/>
      <w:i/>
      <w:sz w:val="20"/>
      <w:szCs w:val="22"/>
      <w:lang w:eastAsia="en-US"/>
    </w:rPr>
  </w:style>
  <w:style w:type="paragraph" w:styleId="DocumentMap">
    <w:name w:val="Document Map"/>
    <w:basedOn w:val="Normal"/>
    <w:link w:val="DocumentMapChar"/>
    <w:uiPriority w:val="99"/>
    <w:rsid w:val="003524E3"/>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3524E3"/>
    <w:rPr>
      <w:rFonts w:ascii="Tahoma" w:hAnsi="Tahoma" w:cs="Tahoma"/>
      <w:sz w:val="24"/>
      <w:szCs w:val="22"/>
      <w:shd w:val="clear" w:color="auto" w:fill="000080"/>
      <w:lang w:val="sv-SE" w:eastAsia="en-US"/>
    </w:rPr>
  </w:style>
  <w:style w:type="paragraph" w:customStyle="1" w:styleId="RKrubrik">
    <w:name w:val="RKrubrik"/>
    <w:basedOn w:val="Normal"/>
    <w:next w:val="Normal"/>
    <w:rsid w:val="003524E3"/>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3524E3"/>
    <w:rPr>
      <w:rFonts w:cs="Times New Roman"/>
      <w:b/>
      <w:smallCaps/>
      <w:spacing w:val="0"/>
      <w:sz w:val="24"/>
    </w:rPr>
  </w:style>
  <w:style w:type="character" w:customStyle="1" w:styleId="Heading2Char1">
    <w:name w:val="Heading 2 Char1"/>
    <w:basedOn w:val="DefaultParagraphFont"/>
    <w:rsid w:val="003524E3"/>
    <w:rPr>
      <w:rFonts w:cs="Times New Roman"/>
      <w:b/>
      <w:spacing w:val="0"/>
      <w:sz w:val="24"/>
    </w:rPr>
  </w:style>
  <w:style w:type="character" w:customStyle="1" w:styleId="Heading3Char1">
    <w:name w:val="Heading 3 Char1"/>
    <w:basedOn w:val="DefaultParagraphFont"/>
    <w:rsid w:val="003524E3"/>
    <w:rPr>
      <w:rFonts w:cs="Times New Roman"/>
      <w:i/>
      <w:spacing w:val="0"/>
      <w:sz w:val="24"/>
    </w:rPr>
  </w:style>
  <w:style w:type="character" w:customStyle="1" w:styleId="Heading4Char1">
    <w:name w:val="Heading 4 Char1"/>
    <w:basedOn w:val="DefaultParagraphFont"/>
    <w:rsid w:val="003524E3"/>
    <w:rPr>
      <w:rFonts w:cs="Times New Roman"/>
      <w:spacing w:val="0"/>
      <w:sz w:val="24"/>
    </w:rPr>
  </w:style>
  <w:style w:type="character" w:customStyle="1" w:styleId="Heading5Char1">
    <w:name w:val="Heading 5 Char1"/>
    <w:basedOn w:val="DefaultParagraphFont"/>
    <w:rsid w:val="003524E3"/>
    <w:rPr>
      <w:rFonts w:ascii="Arial" w:hAnsi="Arial" w:cs="Arial"/>
      <w:spacing w:val="0"/>
      <w:sz w:val="24"/>
    </w:rPr>
  </w:style>
  <w:style w:type="character" w:customStyle="1" w:styleId="Heading6Char1">
    <w:name w:val="Heading 6 Char1"/>
    <w:basedOn w:val="DefaultParagraphFont"/>
    <w:rsid w:val="003524E3"/>
    <w:rPr>
      <w:rFonts w:ascii="Arial" w:hAnsi="Arial" w:cs="Arial"/>
      <w:i/>
      <w:spacing w:val="0"/>
      <w:sz w:val="24"/>
    </w:rPr>
  </w:style>
  <w:style w:type="character" w:customStyle="1" w:styleId="Heading7Char1">
    <w:name w:val="Heading 7 Char1"/>
    <w:basedOn w:val="DefaultParagraphFont"/>
    <w:rsid w:val="003524E3"/>
    <w:rPr>
      <w:rFonts w:ascii="Arial" w:hAnsi="Arial" w:cs="Arial"/>
      <w:spacing w:val="0"/>
      <w:sz w:val="24"/>
    </w:rPr>
  </w:style>
  <w:style w:type="character" w:customStyle="1" w:styleId="Heading8Char1">
    <w:name w:val="Heading 8 Char1"/>
    <w:basedOn w:val="DefaultParagraphFont"/>
    <w:rsid w:val="003524E3"/>
    <w:rPr>
      <w:rFonts w:ascii="Arial" w:hAnsi="Arial" w:cs="Arial"/>
      <w:i/>
      <w:spacing w:val="0"/>
      <w:sz w:val="24"/>
    </w:rPr>
  </w:style>
  <w:style w:type="character" w:customStyle="1" w:styleId="Heading9Char1">
    <w:name w:val="Heading 9 Char1"/>
    <w:basedOn w:val="DefaultParagraphFont"/>
    <w:rsid w:val="003524E3"/>
    <w:rPr>
      <w:rFonts w:ascii="Arial" w:hAnsi="Arial" w:cs="Arial"/>
      <w:i/>
      <w:spacing w:val="0"/>
      <w:sz w:val="24"/>
    </w:rPr>
  </w:style>
  <w:style w:type="character" w:customStyle="1" w:styleId="BalloonTextChar1">
    <w:name w:val="Balloon Text Char1"/>
    <w:basedOn w:val="DefaultParagraphFont"/>
    <w:rsid w:val="003524E3"/>
    <w:rPr>
      <w:rFonts w:ascii="Tahoma" w:hAnsi="Tahoma" w:cs="Tahoma"/>
      <w:spacing w:val="0"/>
      <w:sz w:val="16"/>
    </w:rPr>
  </w:style>
  <w:style w:type="character" w:customStyle="1" w:styleId="HeaderChar1">
    <w:name w:val="Header Char1"/>
    <w:basedOn w:val="DefaultParagraphFont"/>
    <w:rsid w:val="003524E3"/>
    <w:rPr>
      <w:rFonts w:cs="Times New Roman"/>
      <w:spacing w:val="0"/>
      <w:sz w:val="24"/>
    </w:rPr>
  </w:style>
  <w:style w:type="character" w:customStyle="1" w:styleId="FooterChar1">
    <w:name w:val="Footer Char1"/>
    <w:basedOn w:val="DefaultParagraphFont"/>
    <w:rsid w:val="003524E3"/>
    <w:rPr>
      <w:rFonts w:cs="Times New Roman"/>
      <w:spacing w:val="0"/>
      <w:sz w:val="24"/>
    </w:rPr>
  </w:style>
  <w:style w:type="paragraph" w:customStyle="1" w:styleId="Overskrift1">
    <w:name w:val="Overskrift1"/>
    <w:basedOn w:val="Normal"/>
    <w:next w:val="Normal"/>
    <w:rsid w:val="003524E3"/>
    <w:pPr>
      <w:widowControl/>
      <w:autoSpaceDE w:val="0"/>
      <w:autoSpaceDN w:val="0"/>
      <w:adjustRightInd w:val="0"/>
      <w:spacing w:before="120" w:after="240" w:line="360" w:lineRule="auto"/>
      <w:jc w:val="center"/>
    </w:pPr>
    <w:rPr>
      <w:rFonts w:eastAsia="Calibri"/>
      <w:b/>
      <w:sz w:val="28"/>
      <w:szCs w:val="22"/>
      <w:lang w:eastAsia="en-US"/>
    </w:rPr>
  </w:style>
  <w:style w:type="paragraph" w:customStyle="1" w:styleId="Lignefinal">
    <w:name w:val="Ligne final"/>
    <w:basedOn w:val="Normal"/>
    <w:next w:val="Normal"/>
    <w:rsid w:val="003524E3"/>
    <w:pPr>
      <w:widowControl/>
      <w:pBdr>
        <w:bottom w:val="single" w:sz="4" w:space="0" w:color="000000"/>
      </w:pBdr>
      <w:autoSpaceDE w:val="0"/>
      <w:autoSpaceDN w:val="0"/>
      <w:adjustRightInd w:val="0"/>
      <w:spacing w:before="720" w:after="36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524E3"/>
    <w:pPr>
      <w:widowControl/>
      <w:pBdr>
        <w:bottom w:val="single" w:sz="4" w:space="0" w:color="000000"/>
      </w:pBdr>
      <w:autoSpaceDE w:val="0"/>
      <w:autoSpaceDN w:val="0"/>
      <w:adjustRightInd w:val="0"/>
      <w:spacing w:before="720" w:after="360" w:line="360" w:lineRule="auto"/>
      <w:ind w:left="5868" w:right="5868"/>
      <w:jc w:val="center"/>
    </w:pPr>
    <w:rPr>
      <w:rFonts w:eastAsia="Calibri"/>
      <w:b/>
      <w:szCs w:val="22"/>
      <w:lang w:eastAsia="en-US"/>
    </w:rPr>
  </w:style>
  <w:style w:type="paragraph" w:customStyle="1" w:styleId="EntText">
    <w:name w:val="EntText"/>
    <w:basedOn w:val="Normal"/>
    <w:rsid w:val="003524E3"/>
    <w:pPr>
      <w:widowControl/>
      <w:autoSpaceDE w:val="0"/>
      <w:autoSpaceDN w:val="0"/>
      <w:adjustRightInd w:val="0"/>
      <w:spacing w:before="120" w:after="120" w:line="360" w:lineRule="auto"/>
    </w:pPr>
    <w:rPr>
      <w:rFonts w:eastAsia="Calibri"/>
      <w:szCs w:val="22"/>
      <w:lang w:eastAsia="en-US"/>
    </w:rPr>
  </w:style>
  <w:style w:type="paragraph" w:customStyle="1" w:styleId="EntEU">
    <w:name w:val="EntEU"/>
    <w:basedOn w:val="Normal"/>
    <w:rsid w:val="003524E3"/>
    <w:pPr>
      <w:widowControl/>
      <w:autoSpaceDE w:val="0"/>
      <w:autoSpaceDN w:val="0"/>
      <w:adjustRightInd w:val="0"/>
      <w:spacing w:before="240" w:after="240"/>
      <w:jc w:val="center"/>
    </w:pPr>
    <w:rPr>
      <w:rFonts w:eastAsia="Calibri"/>
      <w:b/>
      <w:sz w:val="36"/>
      <w:szCs w:val="22"/>
      <w:lang w:eastAsia="en-US"/>
    </w:rPr>
  </w:style>
  <w:style w:type="paragraph" w:customStyle="1" w:styleId="EntASSOC">
    <w:name w:val="EntASSOC"/>
    <w:basedOn w:val="Normal"/>
    <w:rsid w:val="003524E3"/>
    <w:pPr>
      <w:widowControl/>
      <w:autoSpaceDE w:val="0"/>
      <w:autoSpaceDN w:val="0"/>
      <w:adjustRightInd w:val="0"/>
      <w:jc w:val="center"/>
    </w:pPr>
    <w:rPr>
      <w:rFonts w:eastAsia="Calibri"/>
      <w:b/>
      <w:szCs w:val="22"/>
      <w:lang w:eastAsia="en-US"/>
    </w:rPr>
  </w:style>
  <w:style w:type="paragraph" w:customStyle="1" w:styleId="EntACP">
    <w:name w:val="EntACP"/>
    <w:basedOn w:val="Normal"/>
    <w:rsid w:val="003524E3"/>
    <w:pPr>
      <w:widowControl/>
      <w:autoSpaceDE w:val="0"/>
      <w:autoSpaceDN w:val="0"/>
      <w:adjustRightInd w:val="0"/>
      <w:spacing w:after="120"/>
      <w:jc w:val="center"/>
    </w:pPr>
    <w:rPr>
      <w:rFonts w:eastAsia="Calibri"/>
      <w:b/>
      <w:spacing w:val="40"/>
      <w:sz w:val="28"/>
      <w:szCs w:val="22"/>
      <w:lang w:eastAsia="en-US"/>
    </w:rPr>
  </w:style>
  <w:style w:type="paragraph" w:customStyle="1" w:styleId="EntInstitACP">
    <w:name w:val="EntInstitACP"/>
    <w:basedOn w:val="Normal"/>
    <w:rsid w:val="003524E3"/>
    <w:pPr>
      <w:widowControl/>
      <w:autoSpaceDE w:val="0"/>
      <w:autoSpaceDN w:val="0"/>
      <w:adjustRightInd w:val="0"/>
      <w:jc w:val="center"/>
    </w:pPr>
    <w:rPr>
      <w:rFonts w:eastAsia="Calibri"/>
      <w:b/>
      <w:szCs w:val="22"/>
      <w:lang w:eastAsia="en-US"/>
    </w:rPr>
  </w:style>
  <w:style w:type="paragraph" w:customStyle="1" w:styleId="Genredudocument">
    <w:name w:val="Genre du document"/>
    <w:basedOn w:val="EntRefer"/>
    <w:next w:val="EntRefer"/>
    <w:rsid w:val="003524E3"/>
    <w:pPr>
      <w:widowControl/>
      <w:spacing w:before="240"/>
    </w:pPr>
  </w:style>
  <w:style w:type="paragraph" w:customStyle="1" w:styleId="Accordtitre">
    <w:name w:val="Accord titre"/>
    <w:basedOn w:val="Normal"/>
    <w:rsid w:val="003524E3"/>
    <w:pPr>
      <w:widowControl/>
      <w:autoSpaceDE w:val="0"/>
      <w:autoSpaceDN w:val="0"/>
      <w:adjustRightInd w:val="0"/>
      <w:spacing w:line="360" w:lineRule="auto"/>
      <w:jc w:val="center"/>
    </w:pPr>
    <w:rPr>
      <w:rFonts w:eastAsia="Calibri"/>
      <w:szCs w:val="22"/>
      <w:lang w:eastAsia="en-US"/>
    </w:rPr>
  </w:style>
  <w:style w:type="paragraph" w:customStyle="1" w:styleId="FooterAccord">
    <w:name w:val="Footer Accord"/>
    <w:basedOn w:val="Normal"/>
    <w:rsid w:val="003524E3"/>
    <w:pPr>
      <w:widowControl/>
      <w:tabs>
        <w:tab w:val="center" w:pos="4819"/>
        <w:tab w:val="center" w:pos="7370"/>
        <w:tab w:val="right" w:pos="9638"/>
      </w:tabs>
      <w:autoSpaceDE w:val="0"/>
      <w:autoSpaceDN w:val="0"/>
      <w:adjustRightInd w:val="0"/>
      <w:spacing w:before="360"/>
      <w:jc w:val="center"/>
    </w:pPr>
    <w:rPr>
      <w:rFonts w:eastAsia="Calibri"/>
      <w:szCs w:val="22"/>
      <w:lang w:eastAsia="en-US"/>
    </w:rPr>
  </w:style>
  <w:style w:type="paragraph" w:customStyle="1" w:styleId="FooterLandscapeAccord">
    <w:name w:val="FooterLandscape Accord"/>
    <w:basedOn w:val="Normal"/>
    <w:rsid w:val="003524E3"/>
    <w:pPr>
      <w:widowControl/>
      <w:tabs>
        <w:tab w:val="center" w:pos="7285"/>
        <w:tab w:val="center" w:pos="10930"/>
        <w:tab w:val="right" w:pos="14570"/>
      </w:tabs>
      <w:autoSpaceDE w:val="0"/>
      <w:autoSpaceDN w:val="0"/>
      <w:adjustRightInd w:val="0"/>
      <w:spacing w:before="360"/>
      <w:jc w:val="center"/>
    </w:pPr>
    <w:rPr>
      <w:rFonts w:eastAsia="Calibri"/>
      <w:szCs w:val="22"/>
      <w:lang w:eastAsia="en-US"/>
    </w:rPr>
  </w:style>
  <w:style w:type="paragraph" w:styleId="BlockText">
    <w:name w:val="Block Text"/>
    <w:basedOn w:val="Normal"/>
    <w:uiPriority w:val="99"/>
    <w:rsid w:val="003524E3"/>
    <w:pPr>
      <w:widowControl/>
      <w:autoSpaceDE w:val="0"/>
      <w:autoSpaceDN w:val="0"/>
      <w:adjustRightInd w:val="0"/>
      <w:spacing w:before="120" w:after="120" w:line="360" w:lineRule="auto"/>
      <w:ind w:left="1440" w:right="1440"/>
    </w:pPr>
    <w:rPr>
      <w:rFonts w:eastAsia="Calibri"/>
      <w:szCs w:val="22"/>
      <w:lang w:eastAsia="en-US"/>
    </w:rPr>
  </w:style>
  <w:style w:type="paragraph" w:styleId="BodyText">
    <w:name w:val="Body Text"/>
    <w:basedOn w:val="Normal"/>
    <w:link w:val="BodyTextChar"/>
    <w:uiPriority w:val="99"/>
    <w:rsid w:val="003524E3"/>
    <w:pPr>
      <w:widowControl/>
      <w:autoSpaceDE w:val="0"/>
      <w:autoSpaceDN w:val="0"/>
      <w:adjustRightInd w:val="0"/>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3524E3"/>
    <w:rPr>
      <w:rFonts w:eastAsia="Calibri"/>
      <w:sz w:val="24"/>
      <w:szCs w:val="22"/>
      <w:lang w:val="sv-SE" w:eastAsia="en-US"/>
    </w:rPr>
  </w:style>
  <w:style w:type="character" w:customStyle="1" w:styleId="BodyTextChar1">
    <w:name w:val="Body Text Char1"/>
    <w:basedOn w:val="DefaultParagraphFont"/>
    <w:rsid w:val="003524E3"/>
    <w:rPr>
      <w:rFonts w:cs="Times New Roman"/>
      <w:spacing w:val="0"/>
      <w:sz w:val="24"/>
    </w:rPr>
  </w:style>
  <w:style w:type="paragraph" w:styleId="BodyTextIndent">
    <w:name w:val="Body Text Indent"/>
    <w:basedOn w:val="Normal"/>
    <w:link w:val="BodyTextIndentChar"/>
    <w:uiPriority w:val="99"/>
    <w:rsid w:val="003524E3"/>
    <w:pPr>
      <w:widowControl/>
      <w:autoSpaceDE w:val="0"/>
      <w:autoSpaceDN w:val="0"/>
      <w:adjustRightInd w:val="0"/>
      <w:spacing w:before="120" w:after="120" w:line="360" w:lineRule="auto"/>
      <w:ind w:left="283"/>
    </w:pPr>
    <w:rPr>
      <w:rFonts w:eastAsia="Calibri"/>
      <w:szCs w:val="22"/>
      <w:lang w:eastAsia="en-US"/>
    </w:rPr>
  </w:style>
  <w:style w:type="character" w:customStyle="1" w:styleId="BodyTextIndentChar">
    <w:name w:val="Body Text Indent Char"/>
    <w:basedOn w:val="DefaultParagraphFont"/>
    <w:link w:val="BodyTextIndent"/>
    <w:uiPriority w:val="99"/>
    <w:rsid w:val="003524E3"/>
    <w:rPr>
      <w:rFonts w:eastAsia="Calibri"/>
      <w:sz w:val="24"/>
      <w:szCs w:val="22"/>
      <w:lang w:val="sv-SE" w:eastAsia="en-US"/>
    </w:rPr>
  </w:style>
  <w:style w:type="character" w:customStyle="1" w:styleId="BodyText2Char">
    <w:name w:val="Body Text 2 Char"/>
    <w:basedOn w:val="DefaultParagraphFont"/>
    <w:rsid w:val="003524E3"/>
    <w:rPr>
      <w:rFonts w:ascii="Times New Roman" w:hAnsi="Times New Roman" w:cs="Times New Roman"/>
      <w:spacing w:val="0"/>
      <w:sz w:val="24"/>
    </w:rPr>
  </w:style>
  <w:style w:type="paragraph" w:styleId="BodyText3">
    <w:name w:val="Body Text 3"/>
    <w:basedOn w:val="Normal"/>
    <w:link w:val="BodyText3Char"/>
    <w:uiPriority w:val="99"/>
    <w:rsid w:val="003524E3"/>
    <w:pPr>
      <w:widowControl/>
      <w:autoSpaceDE w:val="0"/>
      <w:autoSpaceDN w:val="0"/>
      <w:adjustRightInd w:val="0"/>
      <w:spacing w:before="120" w:after="120" w:line="360" w:lineRule="auto"/>
    </w:pPr>
    <w:rPr>
      <w:rFonts w:eastAsia="Calibri"/>
      <w:sz w:val="16"/>
      <w:szCs w:val="22"/>
      <w:lang w:eastAsia="en-US"/>
    </w:rPr>
  </w:style>
  <w:style w:type="character" w:customStyle="1" w:styleId="BodyText3Char">
    <w:name w:val="Body Text 3 Char"/>
    <w:basedOn w:val="DefaultParagraphFont"/>
    <w:link w:val="BodyText3"/>
    <w:uiPriority w:val="99"/>
    <w:rsid w:val="003524E3"/>
    <w:rPr>
      <w:rFonts w:eastAsia="Calibri"/>
      <w:sz w:val="16"/>
      <w:szCs w:val="22"/>
      <w:lang w:val="sv-SE" w:eastAsia="en-US"/>
    </w:rPr>
  </w:style>
  <w:style w:type="character" w:customStyle="1" w:styleId="BodyText3Char1">
    <w:name w:val="Body Text 3 Char1"/>
    <w:basedOn w:val="DefaultParagraphFont"/>
    <w:rsid w:val="003524E3"/>
    <w:rPr>
      <w:rFonts w:cs="Times New Roman"/>
      <w:spacing w:val="0"/>
      <w:sz w:val="16"/>
    </w:rPr>
  </w:style>
  <w:style w:type="paragraph" w:styleId="BodyTextFirstIndent">
    <w:name w:val="Body Text First Indent"/>
    <w:basedOn w:val="BodyText"/>
    <w:link w:val="BodyTextFirstIndentChar"/>
    <w:uiPriority w:val="99"/>
    <w:rsid w:val="003524E3"/>
    <w:pPr>
      <w:ind w:firstLine="210"/>
    </w:pPr>
  </w:style>
  <w:style w:type="character" w:customStyle="1" w:styleId="BodyTextFirstIndentChar">
    <w:name w:val="Body Text First Indent Char"/>
    <w:basedOn w:val="BodyTextChar"/>
    <w:link w:val="BodyTextFirstIndent"/>
    <w:uiPriority w:val="99"/>
    <w:rsid w:val="003524E3"/>
    <w:rPr>
      <w:rFonts w:eastAsia="Calibri"/>
      <w:sz w:val="24"/>
      <w:szCs w:val="22"/>
      <w:lang w:val="sv-SE" w:eastAsia="en-US"/>
    </w:rPr>
  </w:style>
  <w:style w:type="character" w:customStyle="1" w:styleId="BodyTextFirstIndentChar1">
    <w:name w:val="Body Text First Indent Char1"/>
    <w:basedOn w:val="BodyTextChar1"/>
    <w:rsid w:val="003524E3"/>
    <w:rPr>
      <w:rFonts w:cs="Times New Roman"/>
      <w:spacing w:val="0"/>
      <w:sz w:val="24"/>
    </w:rPr>
  </w:style>
  <w:style w:type="character" w:customStyle="1" w:styleId="BodyTextIndentChar1">
    <w:name w:val="Body Text Indent Char1"/>
    <w:basedOn w:val="DefaultParagraphFont"/>
    <w:rsid w:val="003524E3"/>
    <w:rPr>
      <w:rFonts w:cs="Times New Roman"/>
      <w:spacing w:val="0"/>
      <w:sz w:val="24"/>
    </w:rPr>
  </w:style>
  <w:style w:type="paragraph" w:styleId="BodyTextFirstIndent2">
    <w:name w:val="Body Text First Indent 2"/>
    <w:basedOn w:val="BodyTextIndent"/>
    <w:link w:val="BodyTextFirstIndent2Char"/>
    <w:uiPriority w:val="99"/>
    <w:rsid w:val="003524E3"/>
    <w:pPr>
      <w:ind w:firstLine="210"/>
    </w:pPr>
  </w:style>
  <w:style w:type="character" w:customStyle="1" w:styleId="BodyTextFirstIndent2Char">
    <w:name w:val="Body Text First Indent 2 Char"/>
    <w:basedOn w:val="BodyTextIndentChar"/>
    <w:link w:val="BodyTextFirstIndent2"/>
    <w:uiPriority w:val="99"/>
    <w:rsid w:val="003524E3"/>
    <w:rPr>
      <w:rFonts w:eastAsia="Calibri"/>
      <w:sz w:val="24"/>
      <w:szCs w:val="22"/>
      <w:lang w:val="sv-SE" w:eastAsia="en-US"/>
    </w:rPr>
  </w:style>
  <w:style w:type="character" w:customStyle="1" w:styleId="BodyTextFirstIndent2Char1">
    <w:name w:val="Body Text First Indent 2 Char1"/>
    <w:basedOn w:val="BodyTextIndentChar1"/>
    <w:rsid w:val="003524E3"/>
    <w:rPr>
      <w:rFonts w:cs="Times New Roman"/>
      <w:spacing w:val="0"/>
      <w:sz w:val="24"/>
    </w:rPr>
  </w:style>
  <w:style w:type="paragraph" w:styleId="BodyTextIndent2">
    <w:name w:val="Body Text Indent 2"/>
    <w:basedOn w:val="Normal"/>
    <w:link w:val="BodyTextIndent2Char"/>
    <w:uiPriority w:val="99"/>
    <w:rsid w:val="003524E3"/>
    <w:pPr>
      <w:widowControl/>
      <w:autoSpaceDE w:val="0"/>
      <w:autoSpaceDN w:val="0"/>
      <w:adjustRightInd w:val="0"/>
      <w:spacing w:before="120" w:after="120" w:line="480" w:lineRule="auto"/>
      <w:ind w:left="283"/>
    </w:pPr>
    <w:rPr>
      <w:rFonts w:eastAsia="Calibri"/>
      <w:szCs w:val="22"/>
      <w:lang w:eastAsia="en-US"/>
    </w:rPr>
  </w:style>
  <w:style w:type="character" w:customStyle="1" w:styleId="BodyTextIndent2Char">
    <w:name w:val="Body Text Indent 2 Char"/>
    <w:basedOn w:val="DefaultParagraphFont"/>
    <w:link w:val="BodyTextIndent2"/>
    <w:uiPriority w:val="99"/>
    <w:rsid w:val="003524E3"/>
    <w:rPr>
      <w:rFonts w:eastAsia="Calibri"/>
      <w:sz w:val="24"/>
      <w:szCs w:val="22"/>
      <w:lang w:val="sv-SE" w:eastAsia="en-US"/>
    </w:rPr>
  </w:style>
  <w:style w:type="character" w:customStyle="1" w:styleId="BodyTextIndent2Char1">
    <w:name w:val="Body Text Indent 2 Char1"/>
    <w:basedOn w:val="DefaultParagraphFont"/>
    <w:rsid w:val="003524E3"/>
    <w:rPr>
      <w:rFonts w:cs="Times New Roman"/>
      <w:spacing w:val="0"/>
      <w:sz w:val="24"/>
    </w:rPr>
  </w:style>
  <w:style w:type="paragraph" w:styleId="BodyTextIndent3">
    <w:name w:val="Body Text Indent 3"/>
    <w:basedOn w:val="Normal"/>
    <w:link w:val="BodyTextIndent3Char"/>
    <w:uiPriority w:val="99"/>
    <w:rsid w:val="003524E3"/>
    <w:pPr>
      <w:widowControl/>
      <w:autoSpaceDE w:val="0"/>
      <w:autoSpaceDN w:val="0"/>
      <w:adjustRightInd w:val="0"/>
      <w:spacing w:before="120" w:after="120" w:line="360" w:lineRule="auto"/>
      <w:ind w:left="283"/>
    </w:pPr>
    <w:rPr>
      <w:rFonts w:eastAsia="Calibri"/>
      <w:sz w:val="16"/>
      <w:szCs w:val="22"/>
      <w:lang w:eastAsia="en-US"/>
    </w:rPr>
  </w:style>
  <w:style w:type="character" w:customStyle="1" w:styleId="BodyTextIndent3Char">
    <w:name w:val="Body Text Indent 3 Char"/>
    <w:basedOn w:val="DefaultParagraphFont"/>
    <w:link w:val="BodyTextIndent3"/>
    <w:uiPriority w:val="99"/>
    <w:rsid w:val="003524E3"/>
    <w:rPr>
      <w:rFonts w:eastAsia="Calibri"/>
      <w:sz w:val="16"/>
      <w:szCs w:val="22"/>
      <w:lang w:val="sv-SE" w:eastAsia="en-US"/>
    </w:rPr>
  </w:style>
  <w:style w:type="character" w:customStyle="1" w:styleId="BodyTextIndent3Char1">
    <w:name w:val="Body Text Indent 3 Char1"/>
    <w:basedOn w:val="DefaultParagraphFont"/>
    <w:rsid w:val="003524E3"/>
    <w:rPr>
      <w:rFonts w:cs="Times New Roman"/>
      <w:spacing w:val="0"/>
      <w:sz w:val="16"/>
    </w:rPr>
  </w:style>
  <w:style w:type="paragraph" w:styleId="Closing">
    <w:name w:val="Closing"/>
    <w:basedOn w:val="Normal"/>
    <w:link w:val="ClosingChar"/>
    <w:uiPriority w:val="99"/>
    <w:rsid w:val="003524E3"/>
    <w:pPr>
      <w:widowControl/>
      <w:autoSpaceDE w:val="0"/>
      <w:autoSpaceDN w:val="0"/>
      <w:adjustRightInd w:val="0"/>
      <w:spacing w:before="120" w:after="120" w:line="360" w:lineRule="auto"/>
      <w:ind w:left="4252"/>
    </w:pPr>
    <w:rPr>
      <w:rFonts w:eastAsia="Calibri"/>
      <w:szCs w:val="22"/>
      <w:lang w:eastAsia="en-US"/>
    </w:rPr>
  </w:style>
  <w:style w:type="character" w:customStyle="1" w:styleId="ClosingChar">
    <w:name w:val="Closing Char"/>
    <w:basedOn w:val="DefaultParagraphFont"/>
    <w:link w:val="Closing"/>
    <w:uiPriority w:val="99"/>
    <w:rsid w:val="003524E3"/>
    <w:rPr>
      <w:rFonts w:eastAsia="Calibri"/>
      <w:sz w:val="24"/>
      <w:szCs w:val="22"/>
      <w:lang w:val="sv-SE" w:eastAsia="en-US"/>
    </w:rPr>
  </w:style>
  <w:style w:type="character" w:customStyle="1" w:styleId="ClosingChar1">
    <w:name w:val="Closing Char1"/>
    <w:basedOn w:val="DefaultParagraphFont"/>
    <w:rsid w:val="003524E3"/>
    <w:rPr>
      <w:rFonts w:cs="Times New Roman"/>
      <w:spacing w:val="0"/>
      <w:sz w:val="24"/>
    </w:rPr>
  </w:style>
  <w:style w:type="character" w:customStyle="1" w:styleId="CommentTextChar1">
    <w:name w:val="Comment Text Char1"/>
    <w:basedOn w:val="DefaultParagraphFont"/>
    <w:rsid w:val="003524E3"/>
    <w:rPr>
      <w:rFonts w:cs="Times New Roman"/>
      <w:spacing w:val="0"/>
      <w:sz w:val="24"/>
    </w:rPr>
  </w:style>
  <w:style w:type="character" w:customStyle="1" w:styleId="CommentSubjectChar1">
    <w:name w:val="Comment Subject Char1"/>
    <w:basedOn w:val="CommentTextChar1"/>
    <w:rsid w:val="003524E3"/>
    <w:rPr>
      <w:rFonts w:cs="Times New Roman"/>
      <w:b/>
      <w:spacing w:val="0"/>
      <w:sz w:val="24"/>
    </w:rPr>
  </w:style>
  <w:style w:type="character" w:customStyle="1" w:styleId="DocumentMapChar1">
    <w:name w:val="Document Map Char1"/>
    <w:basedOn w:val="DefaultParagraphFont"/>
    <w:rsid w:val="003524E3"/>
    <w:rPr>
      <w:rFonts w:ascii="Tahoma" w:hAnsi="Tahoma" w:cs="Tahoma"/>
      <w:spacing w:val="0"/>
      <w:sz w:val="24"/>
    </w:rPr>
  </w:style>
  <w:style w:type="paragraph" w:styleId="E-mailSignature">
    <w:name w:val="E-mail Signature"/>
    <w:basedOn w:val="Normal"/>
    <w:link w:val="E-mailSignatureChar"/>
    <w:uiPriority w:val="99"/>
    <w:rsid w:val="003524E3"/>
    <w:pPr>
      <w:widowControl/>
      <w:autoSpaceDE w:val="0"/>
      <w:autoSpaceDN w:val="0"/>
      <w:adjustRightInd w:val="0"/>
      <w:spacing w:before="120" w:after="120" w:line="360" w:lineRule="auto"/>
    </w:pPr>
    <w:rPr>
      <w:rFonts w:eastAsia="Calibri"/>
      <w:szCs w:val="22"/>
      <w:lang w:eastAsia="en-US"/>
    </w:rPr>
  </w:style>
  <w:style w:type="character" w:customStyle="1" w:styleId="E-mailSignatureChar">
    <w:name w:val="E-mail Signature Char"/>
    <w:basedOn w:val="DefaultParagraphFont"/>
    <w:link w:val="E-mailSignature"/>
    <w:uiPriority w:val="99"/>
    <w:rsid w:val="003524E3"/>
    <w:rPr>
      <w:rFonts w:eastAsia="Calibri"/>
      <w:sz w:val="24"/>
      <w:szCs w:val="22"/>
      <w:lang w:val="sv-SE" w:eastAsia="en-US"/>
    </w:rPr>
  </w:style>
  <w:style w:type="character" w:customStyle="1" w:styleId="E-mailSignatureChar1">
    <w:name w:val="E-mail Signature Char1"/>
    <w:basedOn w:val="DefaultParagraphFont"/>
    <w:rsid w:val="003524E3"/>
    <w:rPr>
      <w:rFonts w:cs="Times New Roman"/>
      <w:spacing w:val="0"/>
      <w:sz w:val="24"/>
    </w:rPr>
  </w:style>
  <w:style w:type="character" w:styleId="Emphasis">
    <w:name w:val="Emphasis"/>
    <w:basedOn w:val="DefaultParagraphFont"/>
    <w:uiPriority w:val="20"/>
    <w:qFormat/>
    <w:rsid w:val="003524E3"/>
    <w:rPr>
      <w:rFonts w:cs="Times New Roman"/>
      <w:i/>
      <w:spacing w:val="0"/>
    </w:rPr>
  </w:style>
  <w:style w:type="character" w:customStyle="1" w:styleId="EndnoteTextChar1">
    <w:name w:val="Endnote Text Char1"/>
    <w:basedOn w:val="DefaultParagraphFont"/>
    <w:rsid w:val="003524E3"/>
    <w:rPr>
      <w:rFonts w:cs="Times New Roman"/>
      <w:spacing w:val="0"/>
      <w:sz w:val="24"/>
    </w:rPr>
  </w:style>
  <w:style w:type="paragraph" w:styleId="EnvelopeAddress">
    <w:name w:val="envelope address"/>
    <w:basedOn w:val="Normal"/>
    <w:uiPriority w:val="99"/>
    <w:rsid w:val="003524E3"/>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3524E3"/>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3524E3"/>
    <w:rPr>
      <w:rFonts w:cs="Times New Roman"/>
    </w:rPr>
  </w:style>
  <w:style w:type="paragraph" w:styleId="HTMLAddress">
    <w:name w:val="HTML Address"/>
    <w:basedOn w:val="Normal"/>
    <w:link w:val="HTMLAddressChar"/>
    <w:uiPriority w:val="99"/>
    <w:rsid w:val="003524E3"/>
    <w:pPr>
      <w:widowControl/>
      <w:autoSpaceDE w:val="0"/>
      <w:autoSpaceDN w:val="0"/>
      <w:adjustRightInd w:val="0"/>
      <w:spacing w:before="120" w:after="120" w:line="360" w:lineRule="auto"/>
    </w:pPr>
    <w:rPr>
      <w:rFonts w:eastAsia="Calibri"/>
      <w:i/>
      <w:szCs w:val="22"/>
      <w:lang w:eastAsia="en-US"/>
    </w:rPr>
  </w:style>
  <w:style w:type="character" w:customStyle="1" w:styleId="HTMLAddressChar">
    <w:name w:val="HTML Address Char"/>
    <w:basedOn w:val="DefaultParagraphFont"/>
    <w:link w:val="HTMLAddress"/>
    <w:uiPriority w:val="99"/>
    <w:rsid w:val="003524E3"/>
    <w:rPr>
      <w:rFonts w:eastAsia="Calibri"/>
      <w:i/>
      <w:sz w:val="24"/>
      <w:szCs w:val="22"/>
      <w:lang w:val="sv-SE" w:eastAsia="en-US"/>
    </w:rPr>
  </w:style>
  <w:style w:type="character" w:customStyle="1" w:styleId="HTMLAddressChar1">
    <w:name w:val="HTML Address Char1"/>
    <w:basedOn w:val="DefaultParagraphFont"/>
    <w:rsid w:val="003524E3"/>
    <w:rPr>
      <w:rFonts w:cs="Times New Roman"/>
      <w:i/>
      <w:spacing w:val="0"/>
      <w:sz w:val="24"/>
    </w:rPr>
  </w:style>
  <w:style w:type="character" w:styleId="HTMLCite">
    <w:name w:val="HTML Cite"/>
    <w:basedOn w:val="DefaultParagraphFont"/>
    <w:uiPriority w:val="99"/>
    <w:rsid w:val="003524E3"/>
    <w:rPr>
      <w:rFonts w:cs="Times New Roman"/>
      <w:i/>
      <w:spacing w:val="0"/>
    </w:rPr>
  </w:style>
  <w:style w:type="character" w:styleId="HTMLCode">
    <w:name w:val="HTML Code"/>
    <w:basedOn w:val="DefaultParagraphFont"/>
    <w:uiPriority w:val="99"/>
    <w:rsid w:val="003524E3"/>
    <w:rPr>
      <w:rFonts w:ascii="Courier New" w:hAnsi="Courier New" w:cs="Courier New"/>
      <w:spacing w:val="0"/>
      <w:sz w:val="20"/>
    </w:rPr>
  </w:style>
  <w:style w:type="character" w:styleId="HTMLDefinition">
    <w:name w:val="HTML Definition"/>
    <w:basedOn w:val="DefaultParagraphFont"/>
    <w:uiPriority w:val="99"/>
    <w:rsid w:val="003524E3"/>
    <w:rPr>
      <w:rFonts w:cs="Times New Roman"/>
      <w:i/>
      <w:spacing w:val="0"/>
    </w:rPr>
  </w:style>
  <w:style w:type="character" w:styleId="HTMLKeyboard">
    <w:name w:val="HTML Keyboard"/>
    <w:basedOn w:val="DefaultParagraphFont"/>
    <w:uiPriority w:val="99"/>
    <w:rsid w:val="003524E3"/>
    <w:rPr>
      <w:rFonts w:ascii="Courier New" w:hAnsi="Courier New" w:cs="Courier New"/>
      <w:spacing w:val="0"/>
      <w:sz w:val="20"/>
    </w:rPr>
  </w:style>
  <w:style w:type="paragraph" w:styleId="HTMLPreformatted">
    <w:name w:val="HTML Preformatted"/>
    <w:basedOn w:val="Normal"/>
    <w:link w:val="HTMLPreformattedChar"/>
    <w:uiPriority w:val="99"/>
    <w:rsid w:val="003524E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3524E3"/>
    <w:rPr>
      <w:rFonts w:ascii="Courier New" w:hAnsi="Courier New" w:cs="Courier New"/>
      <w:sz w:val="24"/>
      <w:szCs w:val="22"/>
      <w:lang w:val="sv-SE" w:eastAsia="en-US"/>
    </w:rPr>
  </w:style>
  <w:style w:type="character" w:customStyle="1" w:styleId="HTMLPreformattedChar1">
    <w:name w:val="HTML Preformatted Char1"/>
    <w:basedOn w:val="DefaultParagraphFont"/>
    <w:rsid w:val="003524E3"/>
    <w:rPr>
      <w:rFonts w:ascii="Courier New" w:hAnsi="Courier New" w:cs="Courier New"/>
      <w:spacing w:val="0"/>
      <w:sz w:val="24"/>
    </w:rPr>
  </w:style>
  <w:style w:type="character" w:styleId="HTMLSample">
    <w:name w:val="HTML Sample"/>
    <w:basedOn w:val="DefaultParagraphFont"/>
    <w:uiPriority w:val="99"/>
    <w:rsid w:val="003524E3"/>
    <w:rPr>
      <w:rFonts w:ascii="Courier New" w:hAnsi="Courier New" w:cs="Courier New"/>
      <w:spacing w:val="0"/>
    </w:rPr>
  </w:style>
  <w:style w:type="character" w:styleId="HTMLTypewriter">
    <w:name w:val="HTML Typewriter"/>
    <w:basedOn w:val="DefaultParagraphFont"/>
    <w:uiPriority w:val="99"/>
    <w:rsid w:val="003524E3"/>
    <w:rPr>
      <w:rFonts w:ascii="Courier New" w:hAnsi="Courier New" w:cs="Courier New"/>
      <w:spacing w:val="0"/>
      <w:sz w:val="20"/>
    </w:rPr>
  </w:style>
  <w:style w:type="character" w:styleId="HTMLVariable">
    <w:name w:val="HTML Variable"/>
    <w:basedOn w:val="DefaultParagraphFont"/>
    <w:uiPriority w:val="99"/>
    <w:rsid w:val="003524E3"/>
    <w:rPr>
      <w:rFonts w:cs="Times New Roman"/>
      <w:i/>
      <w:spacing w:val="0"/>
    </w:rPr>
  </w:style>
  <w:style w:type="character" w:styleId="LineNumber">
    <w:name w:val="line number"/>
    <w:basedOn w:val="DefaultParagraphFont"/>
    <w:uiPriority w:val="99"/>
    <w:rsid w:val="003524E3"/>
    <w:rPr>
      <w:rFonts w:cs="Times New Roman"/>
    </w:rPr>
  </w:style>
  <w:style w:type="paragraph" w:styleId="List">
    <w:name w:val="List"/>
    <w:basedOn w:val="Normal"/>
    <w:uiPriority w:val="99"/>
    <w:rsid w:val="003524E3"/>
    <w:pPr>
      <w:widowControl/>
      <w:autoSpaceDE w:val="0"/>
      <w:autoSpaceDN w:val="0"/>
      <w:adjustRightInd w:val="0"/>
      <w:spacing w:before="120" w:after="120" w:line="360" w:lineRule="auto"/>
      <w:ind w:left="283" w:hanging="283"/>
    </w:pPr>
    <w:rPr>
      <w:rFonts w:eastAsia="Calibri"/>
      <w:szCs w:val="22"/>
      <w:lang w:eastAsia="en-US"/>
    </w:rPr>
  </w:style>
  <w:style w:type="paragraph" w:styleId="List2">
    <w:name w:val="List 2"/>
    <w:basedOn w:val="Normal"/>
    <w:uiPriority w:val="99"/>
    <w:rsid w:val="003524E3"/>
    <w:pPr>
      <w:widowControl/>
      <w:autoSpaceDE w:val="0"/>
      <w:autoSpaceDN w:val="0"/>
      <w:adjustRightInd w:val="0"/>
      <w:spacing w:before="120" w:after="120" w:line="360" w:lineRule="auto"/>
      <w:ind w:left="566" w:hanging="283"/>
    </w:pPr>
    <w:rPr>
      <w:rFonts w:eastAsia="Calibri"/>
      <w:szCs w:val="22"/>
      <w:lang w:eastAsia="en-US"/>
    </w:rPr>
  </w:style>
  <w:style w:type="paragraph" w:styleId="List3">
    <w:name w:val="List 3"/>
    <w:basedOn w:val="Normal"/>
    <w:uiPriority w:val="99"/>
    <w:rsid w:val="003524E3"/>
    <w:pPr>
      <w:widowControl/>
      <w:autoSpaceDE w:val="0"/>
      <w:autoSpaceDN w:val="0"/>
      <w:adjustRightInd w:val="0"/>
      <w:spacing w:before="120" w:after="120" w:line="360" w:lineRule="auto"/>
      <w:ind w:left="849" w:hanging="283"/>
    </w:pPr>
    <w:rPr>
      <w:rFonts w:eastAsia="Calibri"/>
      <w:szCs w:val="22"/>
      <w:lang w:eastAsia="en-US"/>
    </w:rPr>
  </w:style>
  <w:style w:type="paragraph" w:styleId="List4">
    <w:name w:val="List 4"/>
    <w:basedOn w:val="Normal"/>
    <w:uiPriority w:val="99"/>
    <w:rsid w:val="003524E3"/>
    <w:pPr>
      <w:widowControl/>
      <w:autoSpaceDE w:val="0"/>
      <w:autoSpaceDN w:val="0"/>
      <w:adjustRightInd w:val="0"/>
      <w:spacing w:before="120" w:after="120" w:line="360" w:lineRule="auto"/>
      <w:ind w:left="1132" w:hanging="283"/>
    </w:pPr>
    <w:rPr>
      <w:rFonts w:eastAsia="Calibri"/>
      <w:szCs w:val="22"/>
      <w:lang w:eastAsia="en-US"/>
    </w:rPr>
  </w:style>
  <w:style w:type="paragraph" w:styleId="List5">
    <w:name w:val="List 5"/>
    <w:basedOn w:val="Normal"/>
    <w:uiPriority w:val="99"/>
    <w:rsid w:val="003524E3"/>
    <w:pPr>
      <w:widowControl/>
      <w:autoSpaceDE w:val="0"/>
      <w:autoSpaceDN w:val="0"/>
      <w:adjustRightInd w:val="0"/>
      <w:spacing w:before="120" w:after="120" w:line="360" w:lineRule="auto"/>
      <w:ind w:left="1415" w:hanging="283"/>
    </w:pPr>
    <w:rPr>
      <w:rFonts w:eastAsia="Calibri"/>
      <w:szCs w:val="22"/>
      <w:lang w:eastAsia="en-US"/>
    </w:rPr>
  </w:style>
  <w:style w:type="paragraph" w:styleId="ListBullet5">
    <w:name w:val="List Bullet 5"/>
    <w:basedOn w:val="Normal"/>
    <w:autoRedefine/>
    <w:uiPriority w:val="99"/>
    <w:rsid w:val="003524E3"/>
    <w:pPr>
      <w:widowControl/>
      <w:tabs>
        <w:tab w:val="num" w:pos="643"/>
        <w:tab w:val="num" w:pos="1492"/>
      </w:tabs>
      <w:autoSpaceDE w:val="0"/>
      <w:autoSpaceDN w:val="0"/>
      <w:adjustRightInd w:val="0"/>
      <w:spacing w:before="120" w:after="120" w:line="360" w:lineRule="auto"/>
      <w:ind w:left="1492" w:hanging="360"/>
    </w:pPr>
    <w:rPr>
      <w:rFonts w:eastAsia="Calibri"/>
      <w:szCs w:val="22"/>
      <w:lang w:eastAsia="en-US"/>
    </w:rPr>
  </w:style>
  <w:style w:type="paragraph" w:styleId="ListContinue">
    <w:name w:val="List Continue"/>
    <w:basedOn w:val="Normal"/>
    <w:uiPriority w:val="99"/>
    <w:rsid w:val="003524E3"/>
    <w:pPr>
      <w:widowControl/>
      <w:autoSpaceDE w:val="0"/>
      <w:autoSpaceDN w:val="0"/>
      <w:adjustRightInd w:val="0"/>
      <w:spacing w:before="120" w:after="120" w:line="360" w:lineRule="auto"/>
      <w:ind w:left="283"/>
    </w:pPr>
    <w:rPr>
      <w:rFonts w:eastAsia="Calibri"/>
      <w:szCs w:val="22"/>
      <w:lang w:eastAsia="en-US"/>
    </w:rPr>
  </w:style>
  <w:style w:type="paragraph" w:styleId="ListContinue2">
    <w:name w:val="List Continue 2"/>
    <w:basedOn w:val="Normal"/>
    <w:uiPriority w:val="99"/>
    <w:rsid w:val="003524E3"/>
    <w:pPr>
      <w:widowControl/>
      <w:autoSpaceDE w:val="0"/>
      <w:autoSpaceDN w:val="0"/>
      <w:adjustRightInd w:val="0"/>
      <w:spacing w:before="120" w:after="120" w:line="360" w:lineRule="auto"/>
      <w:ind w:left="566"/>
    </w:pPr>
    <w:rPr>
      <w:rFonts w:eastAsia="Calibri"/>
      <w:szCs w:val="22"/>
      <w:lang w:eastAsia="en-US"/>
    </w:rPr>
  </w:style>
  <w:style w:type="paragraph" w:styleId="ListContinue3">
    <w:name w:val="List Continue 3"/>
    <w:basedOn w:val="Normal"/>
    <w:uiPriority w:val="99"/>
    <w:rsid w:val="003524E3"/>
    <w:pPr>
      <w:widowControl/>
      <w:autoSpaceDE w:val="0"/>
      <w:autoSpaceDN w:val="0"/>
      <w:adjustRightInd w:val="0"/>
      <w:spacing w:before="120" w:after="120" w:line="360" w:lineRule="auto"/>
      <w:ind w:left="849"/>
    </w:pPr>
    <w:rPr>
      <w:rFonts w:eastAsia="Calibri"/>
      <w:szCs w:val="22"/>
      <w:lang w:eastAsia="en-US"/>
    </w:rPr>
  </w:style>
  <w:style w:type="paragraph" w:styleId="ListContinue4">
    <w:name w:val="List Continue 4"/>
    <w:basedOn w:val="Normal"/>
    <w:uiPriority w:val="99"/>
    <w:rsid w:val="003524E3"/>
    <w:pPr>
      <w:widowControl/>
      <w:autoSpaceDE w:val="0"/>
      <w:autoSpaceDN w:val="0"/>
      <w:adjustRightInd w:val="0"/>
      <w:spacing w:before="120" w:after="120" w:line="360" w:lineRule="auto"/>
      <w:ind w:left="1132"/>
    </w:pPr>
    <w:rPr>
      <w:rFonts w:eastAsia="Calibri"/>
      <w:szCs w:val="22"/>
      <w:lang w:eastAsia="en-US"/>
    </w:rPr>
  </w:style>
  <w:style w:type="paragraph" w:styleId="ListContinue5">
    <w:name w:val="List Continue 5"/>
    <w:basedOn w:val="Normal"/>
    <w:uiPriority w:val="99"/>
    <w:rsid w:val="003524E3"/>
    <w:pPr>
      <w:widowControl/>
      <w:autoSpaceDE w:val="0"/>
      <w:autoSpaceDN w:val="0"/>
      <w:adjustRightInd w:val="0"/>
      <w:spacing w:before="120" w:after="120" w:line="360" w:lineRule="auto"/>
      <w:ind w:left="1415"/>
    </w:pPr>
    <w:rPr>
      <w:rFonts w:eastAsia="Calibri"/>
      <w:szCs w:val="22"/>
      <w:lang w:eastAsia="en-US"/>
    </w:rPr>
  </w:style>
  <w:style w:type="paragraph" w:styleId="ListNumber5">
    <w:name w:val="List Number 5"/>
    <w:basedOn w:val="Normal"/>
    <w:uiPriority w:val="99"/>
    <w:rsid w:val="003524E3"/>
    <w:pPr>
      <w:widowControl/>
      <w:tabs>
        <w:tab w:val="num" w:pos="360"/>
        <w:tab w:val="num" w:pos="1492"/>
      </w:tabs>
      <w:autoSpaceDE w:val="0"/>
      <w:autoSpaceDN w:val="0"/>
      <w:adjustRightInd w:val="0"/>
      <w:spacing w:before="120" w:after="120" w:line="360" w:lineRule="auto"/>
      <w:ind w:left="1492" w:hanging="360"/>
    </w:pPr>
    <w:rPr>
      <w:rFonts w:eastAsia="Calibri"/>
      <w:szCs w:val="22"/>
      <w:lang w:eastAsia="en-US"/>
    </w:rPr>
  </w:style>
  <w:style w:type="paragraph" w:styleId="MacroText">
    <w:name w:val="macro"/>
    <w:link w:val="MacroTextChar"/>
    <w:uiPriority w:val="99"/>
    <w:rsid w:val="003524E3"/>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3524E3"/>
    <w:rPr>
      <w:rFonts w:ascii="Courier New" w:hAnsi="Courier New" w:cs="Courier New"/>
      <w:sz w:val="24"/>
      <w:szCs w:val="22"/>
      <w:lang w:val="en-US" w:eastAsia="en-US"/>
    </w:rPr>
  </w:style>
  <w:style w:type="character" w:customStyle="1" w:styleId="MacroTextChar1">
    <w:name w:val="Macro Text Char1"/>
    <w:basedOn w:val="DefaultParagraphFont"/>
    <w:rsid w:val="003524E3"/>
    <w:rPr>
      <w:rFonts w:ascii="Courier New" w:hAnsi="Courier New" w:cs="Courier New"/>
      <w:spacing w:val="0"/>
      <w:sz w:val="24"/>
    </w:rPr>
  </w:style>
  <w:style w:type="paragraph" w:styleId="MessageHeader">
    <w:name w:val="Message Header"/>
    <w:basedOn w:val="Normal"/>
    <w:link w:val="MessageHeaderChar"/>
    <w:uiPriority w:val="99"/>
    <w:rsid w:val="003524E3"/>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3524E3"/>
    <w:rPr>
      <w:rFonts w:ascii="Arial" w:hAnsi="Arial" w:cs="Arial"/>
      <w:sz w:val="24"/>
      <w:szCs w:val="22"/>
      <w:lang w:val="sv-SE" w:eastAsia="en-US"/>
    </w:rPr>
  </w:style>
  <w:style w:type="character" w:customStyle="1" w:styleId="MessageHeaderChar1">
    <w:name w:val="Message Header Char1"/>
    <w:basedOn w:val="DefaultParagraphFont"/>
    <w:rsid w:val="003524E3"/>
    <w:rPr>
      <w:rFonts w:ascii="Arial" w:hAnsi="Arial" w:cs="Arial"/>
      <w:spacing w:val="0"/>
      <w:sz w:val="24"/>
      <w:shd w:val="pct20" w:color="auto" w:fill="auto"/>
    </w:rPr>
  </w:style>
  <w:style w:type="paragraph" w:styleId="NormalWeb">
    <w:name w:val="Normal (Web)"/>
    <w:basedOn w:val="Normal"/>
    <w:uiPriority w:val="99"/>
    <w:rsid w:val="003524E3"/>
    <w:pPr>
      <w:widowControl/>
      <w:autoSpaceDE w:val="0"/>
      <w:autoSpaceDN w:val="0"/>
      <w:adjustRightInd w:val="0"/>
      <w:spacing w:before="120" w:after="120" w:line="360" w:lineRule="auto"/>
    </w:pPr>
    <w:rPr>
      <w:rFonts w:eastAsia="Calibri"/>
      <w:szCs w:val="22"/>
      <w:lang w:eastAsia="en-US"/>
    </w:rPr>
  </w:style>
  <w:style w:type="paragraph" w:styleId="NormalIndent">
    <w:name w:val="Normal Indent"/>
    <w:basedOn w:val="Normal"/>
    <w:uiPriority w:val="99"/>
    <w:rsid w:val="003524E3"/>
    <w:pPr>
      <w:widowControl/>
      <w:autoSpaceDE w:val="0"/>
      <w:autoSpaceDN w:val="0"/>
      <w:adjustRightInd w:val="0"/>
      <w:spacing w:before="120" w:after="120" w:line="360" w:lineRule="auto"/>
      <w:ind w:left="720"/>
    </w:pPr>
    <w:rPr>
      <w:rFonts w:eastAsia="Calibri"/>
      <w:szCs w:val="22"/>
      <w:lang w:eastAsia="en-US"/>
    </w:rPr>
  </w:style>
  <w:style w:type="paragraph" w:styleId="PlainText">
    <w:name w:val="Plain Text"/>
    <w:basedOn w:val="Normal"/>
    <w:link w:val="PlainTextChar"/>
    <w:uiPriority w:val="99"/>
    <w:rsid w:val="003524E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3524E3"/>
    <w:rPr>
      <w:rFonts w:ascii="Courier New" w:hAnsi="Courier New" w:cs="Courier New"/>
      <w:sz w:val="24"/>
      <w:szCs w:val="22"/>
      <w:lang w:val="sv-SE" w:eastAsia="en-US"/>
    </w:rPr>
  </w:style>
  <w:style w:type="character" w:customStyle="1" w:styleId="PlainTextChar1">
    <w:name w:val="Plain Text Char1"/>
    <w:basedOn w:val="DefaultParagraphFont"/>
    <w:rsid w:val="003524E3"/>
    <w:rPr>
      <w:rFonts w:ascii="Courier New" w:hAnsi="Courier New" w:cs="Courier New"/>
      <w:spacing w:val="0"/>
      <w:sz w:val="24"/>
    </w:rPr>
  </w:style>
  <w:style w:type="paragraph" w:styleId="Signature">
    <w:name w:val="Signature"/>
    <w:basedOn w:val="Normal"/>
    <w:link w:val="SignatureChar"/>
    <w:uiPriority w:val="99"/>
    <w:rsid w:val="003524E3"/>
    <w:pPr>
      <w:widowControl/>
      <w:autoSpaceDE w:val="0"/>
      <w:autoSpaceDN w:val="0"/>
      <w:adjustRightInd w:val="0"/>
      <w:spacing w:before="120" w:after="120" w:line="360" w:lineRule="auto"/>
      <w:ind w:left="4252"/>
    </w:pPr>
    <w:rPr>
      <w:rFonts w:eastAsia="Calibri"/>
      <w:szCs w:val="22"/>
      <w:lang w:eastAsia="en-US"/>
    </w:rPr>
  </w:style>
  <w:style w:type="character" w:customStyle="1" w:styleId="SignatureChar">
    <w:name w:val="Signature Char"/>
    <w:basedOn w:val="DefaultParagraphFont"/>
    <w:link w:val="Signature"/>
    <w:uiPriority w:val="99"/>
    <w:rsid w:val="003524E3"/>
    <w:rPr>
      <w:rFonts w:eastAsia="Calibri"/>
      <w:sz w:val="24"/>
      <w:szCs w:val="22"/>
      <w:lang w:val="sv-SE" w:eastAsia="en-US"/>
    </w:rPr>
  </w:style>
  <w:style w:type="character" w:customStyle="1" w:styleId="SignatureChar1">
    <w:name w:val="Signature Char1"/>
    <w:basedOn w:val="DefaultParagraphFont"/>
    <w:rsid w:val="003524E3"/>
    <w:rPr>
      <w:rFonts w:cs="Times New Roman"/>
      <w:spacing w:val="0"/>
      <w:sz w:val="24"/>
    </w:rPr>
  </w:style>
  <w:style w:type="character" w:styleId="Strong">
    <w:name w:val="Strong"/>
    <w:basedOn w:val="DefaultParagraphFont"/>
    <w:uiPriority w:val="22"/>
    <w:qFormat/>
    <w:rsid w:val="003524E3"/>
    <w:rPr>
      <w:rFonts w:cs="Times New Roman"/>
      <w:b/>
      <w:spacing w:val="0"/>
    </w:rPr>
  </w:style>
  <w:style w:type="paragraph" w:styleId="Subtitle">
    <w:name w:val="Subtitle"/>
    <w:basedOn w:val="Normal"/>
    <w:link w:val="SubtitleChar"/>
    <w:uiPriority w:val="11"/>
    <w:qFormat/>
    <w:rsid w:val="003524E3"/>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3524E3"/>
    <w:rPr>
      <w:rFonts w:ascii="Arial" w:hAnsi="Arial" w:cs="Arial"/>
      <w:sz w:val="24"/>
      <w:szCs w:val="22"/>
      <w:lang w:val="sv-SE" w:eastAsia="en-US"/>
    </w:rPr>
  </w:style>
  <w:style w:type="character" w:customStyle="1" w:styleId="SubtitleChar1">
    <w:name w:val="Subtitle Char1"/>
    <w:basedOn w:val="DefaultParagraphFont"/>
    <w:rsid w:val="003524E3"/>
    <w:rPr>
      <w:rFonts w:ascii="Arial" w:hAnsi="Arial" w:cs="Arial"/>
      <w:spacing w:val="0"/>
      <w:sz w:val="24"/>
    </w:rPr>
  </w:style>
  <w:style w:type="paragraph" w:styleId="Title">
    <w:name w:val="Title"/>
    <w:basedOn w:val="Normal"/>
    <w:link w:val="TitleChar"/>
    <w:uiPriority w:val="10"/>
    <w:qFormat/>
    <w:rsid w:val="003524E3"/>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3524E3"/>
    <w:rPr>
      <w:rFonts w:ascii="Arial" w:hAnsi="Arial" w:cs="Arial"/>
      <w:b/>
      <w:kern w:val="28"/>
      <w:sz w:val="32"/>
      <w:szCs w:val="22"/>
      <w:lang w:val="sv-SE" w:eastAsia="en-US"/>
    </w:rPr>
  </w:style>
  <w:style w:type="character" w:customStyle="1" w:styleId="TitleChar1">
    <w:name w:val="Title Char1"/>
    <w:basedOn w:val="DefaultParagraphFont"/>
    <w:rsid w:val="003524E3"/>
    <w:rPr>
      <w:rFonts w:ascii="Arial" w:hAnsi="Arial" w:cs="Arial"/>
      <w:b/>
      <w:spacing w:val="0"/>
      <w:kern w:val="28"/>
      <w:sz w:val="32"/>
    </w:rPr>
  </w:style>
  <w:style w:type="paragraph" w:styleId="Index1">
    <w:name w:val="index 1"/>
    <w:basedOn w:val="Normal"/>
    <w:next w:val="Normal"/>
    <w:autoRedefine/>
    <w:uiPriority w:val="99"/>
    <w:rsid w:val="003524E3"/>
    <w:pPr>
      <w:widowControl/>
      <w:autoSpaceDE w:val="0"/>
      <w:autoSpaceDN w:val="0"/>
      <w:adjustRightInd w:val="0"/>
      <w:ind w:left="200" w:hanging="200"/>
    </w:pPr>
    <w:rPr>
      <w:rFonts w:eastAsia="Calibri"/>
      <w:szCs w:val="22"/>
      <w:lang w:eastAsia="en-US"/>
    </w:rPr>
  </w:style>
  <w:style w:type="paragraph" w:styleId="IndexHeading">
    <w:name w:val="index heading"/>
    <w:basedOn w:val="Normal"/>
    <w:next w:val="Index1"/>
    <w:uiPriority w:val="99"/>
    <w:rsid w:val="003524E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Calibri"/>
      <w:szCs w:val="22"/>
      <w:lang w:eastAsia="en-US"/>
    </w:rPr>
  </w:style>
  <w:style w:type="paragraph" w:customStyle="1" w:styleId="Titre1">
    <w:name w:val="Titre1"/>
    <w:basedOn w:val="Heading6"/>
    <w:rsid w:val="003524E3"/>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iCs/>
      <w:sz w:val="60"/>
      <w:szCs w:val="22"/>
      <w:lang w:eastAsia="en-US"/>
    </w:rPr>
  </w:style>
  <w:style w:type="paragraph" w:customStyle="1" w:styleId="Titre2">
    <w:name w:val="Titre2"/>
    <w:basedOn w:val="Normal"/>
    <w:rsid w:val="003524E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3524E3"/>
    <w:pPr>
      <w:widowControl/>
      <w:autoSpaceDE w:val="0"/>
      <w:autoSpaceDN w:val="0"/>
      <w:adjustRightInd w:val="0"/>
      <w:spacing w:before="1200" w:after="120"/>
      <w:ind w:left="1440" w:hanging="1440"/>
    </w:pPr>
    <w:rPr>
      <w:rFonts w:eastAsia="Calibri"/>
      <w:szCs w:val="22"/>
      <w:lang w:eastAsia="en-US"/>
    </w:rPr>
  </w:style>
  <w:style w:type="paragraph" w:customStyle="1" w:styleId="Text0">
    <w:name w:val="Text 0"/>
    <w:basedOn w:val="Normal"/>
    <w:rsid w:val="003524E3"/>
    <w:pPr>
      <w:autoSpaceDE w:val="0"/>
      <w:autoSpaceDN w:val="0"/>
      <w:adjustRightInd w:val="0"/>
      <w:spacing w:before="120" w:after="120" w:line="360" w:lineRule="auto"/>
    </w:pPr>
    <w:rPr>
      <w:rFonts w:eastAsia="Calibri"/>
      <w:szCs w:val="22"/>
      <w:lang w:eastAsia="en-US"/>
    </w:rPr>
  </w:style>
  <w:style w:type="paragraph" w:customStyle="1" w:styleId="N">
    <w:name w:val="N"/>
    <w:basedOn w:val="Text0"/>
    <w:rsid w:val="003524E3"/>
    <w:pPr>
      <w:spacing w:before="0" w:after="0"/>
    </w:pPr>
  </w:style>
  <w:style w:type="paragraph" w:customStyle="1" w:styleId="Considerant">
    <w:name w:val="Considerant"/>
    <w:basedOn w:val="Considrant"/>
    <w:rsid w:val="003524E3"/>
    <w:pPr>
      <w:tabs>
        <w:tab w:val="num" w:pos="709"/>
      </w:tabs>
      <w:autoSpaceDE w:val="0"/>
      <w:autoSpaceDN w:val="0"/>
      <w:adjustRightInd w:val="0"/>
      <w:spacing w:before="0" w:after="0"/>
      <w:ind w:left="709" w:hanging="709"/>
    </w:pPr>
    <w:rPr>
      <w:rFonts w:eastAsia="Calibri"/>
      <w:szCs w:val="22"/>
      <w:lang w:val="sv-SE"/>
    </w:rPr>
  </w:style>
  <w:style w:type="paragraph" w:customStyle="1" w:styleId="Lginef">
    <w:name w:val="Lgine f"/>
    <w:basedOn w:val="Normal"/>
    <w:rsid w:val="003524E3"/>
    <w:pPr>
      <w:widowControl/>
      <w:autoSpaceDE w:val="0"/>
      <w:autoSpaceDN w:val="0"/>
      <w:adjustRightInd w:val="0"/>
      <w:spacing w:before="120" w:after="120" w:line="360" w:lineRule="auto"/>
    </w:pPr>
    <w:rPr>
      <w:rFonts w:eastAsia="Calibri"/>
      <w:szCs w:val="22"/>
      <w:lang w:eastAsia="en-US"/>
    </w:rPr>
  </w:style>
  <w:style w:type="paragraph" w:customStyle="1" w:styleId="Normal12Bold">
    <w:name w:val="Normal12Bold"/>
    <w:basedOn w:val="Normal12"/>
    <w:rsid w:val="003524E3"/>
    <w:pPr>
      <w:autoSpaceDE w:val="0"/>
      <w:autoSpaceDN w:val="0"/>
      <w:adjustRightInd w:val="0"/>
    </w:pPr>
    <w:rPr>
      <w:rFonts w:eastAsia="Calibri"/>
      <w:b/>
      <w:noProof w:val="0"/>
      <w:szCs w:val="22"/>
      <w:lang w:eastAsia="en-US"/>
    </w:rPr>
  </w:style>
  <w:style w:type="paragraph" w:customStyle="1" w:styleId="Normal12Hanging">
    <w:name w:val="Normal12Hanging"/>
    <w:basedOn w:val="Normal12"/>
    <w:rsid w:val="003524E3"/>
    <w:pPr>
      <w:autoSpaceDE w:val="0"/>
      <w:autoSpaceDN w:val="0"/>
      <w:adjustRightInd w:val="0"/>
      <w:ind w:left="357" w:hanging="357"/>
    </w:pPr>
    <w:rPr>
      <w:rFonts w:eastAsia="Calibri"/>
      <w:noProof w:val="0"/>
      <w:szCs w:val="22"/>
      <w:lang w:eastAsia="en-US"/>
    </w:rPr>
  </w:style>
  <w:style w:type="character" w:customStyle="1" w:styleId="italic1">
    <w:name w:val="italic1"/>
    <w:basedOn w:val="DefaultParagraphFont"/>
    <w:rsid w:val="003524E3"/>
    <w:rPr>
      <w:rFonts w:cs="Times New Roman"/>
      <w:i/>
      <w:spacing w:val="0"/>
      <w:shd w:val="clear" w:color="auto" w:fill="auto"/>
    </w:rPr>
  </w:style>
  <w:style w:type="paragraph" w:customStyle="1" w:styleId="CM4">
    <w:name w:val="CM4"/>
    <w:basedOn w:val="Default"/>
    <w:next w:val="Default"/>
    <w:uiPriority w:val="99"/>
    <w:rsid w:val="003524E3"/>
    <w:rPr>
      <w:rFonts w:ascii="EUAlbertina" w:eastAsia="Times New Roman" w:hAnsi="EUAlbertina" w:cs="EUAlbertina"/>
    </w:rPr>
  </w:style>
  <w:style w:type="paragraph" w:customStyle="1" w:styleId="NormalConseil">
    <w:name w:val="NormalConseil"/>
    <w:basedOn w:val="Normal"/>
    <w:rsid w:val="003524E3"/>
    <w:pPr>
      <w:widowControl/>
      <w:autoSpaceDE w:val="0"/>
      <w:autoSpaceDN w:val="0"/>
      <w:adjustRightInd w:val="0"/>
    </w:pPr>
    <w:rPr>
      <w:rFonts w:eastAsia="Calibri"/>
      <w:szCs w:val="22"/>
      <w:lang w:eastAsia="en-US"/>
    </w:rPr>
  </w:style>
  <w:style w:type="paragraph" w:customStyle="1" w:styleId="FooterConseil">
    <w:name w:val="FooterConseil"/>
    <w:basedOn w:val="NormalConseil"/>
    <w:rsid w:val="003524E3"/>
    <w:pPr>
      <w:tabs>
        <w:tab w:val="center" w:pos="4820"/>
        <w:tab w:val="center" w:pos="7371"/>
        <w:tab w:val="right" w:pos="9639"/>
      </w:tabs>
    </w:pPr>
  </w:style>
  <w:style w:type="character" w:customStyle="1" w:styleId="st1">
    <w:name w:val="st1"/>
    <w:rsid w:val="003524E3"/>
    <w:rPr>
      <w:spacing w:val="0"/>
      <w:sz w:val="24"/>
    </w:rPr>
  </w:style>
  <w:style w:type="character" w:customStyle="1" w:styleId="Point0Char">
    <w:name w:val="Point 0 Char"/>
    <w:rsid w:val="003524E3"/>
    <w:rPr>
      <w:spacing w:val="0"/>
      <w:sz w:val="24"/>
    </w:rPr>
  </w:style>
  <w:style w:type="paragraph" w:customStyle="1" w:styleId="DeltaViewTableHeading">
    <w:name w:val="DeltaView Table Heading"/>
    <w:basedOn w:val="Normal"/>
    <w:rsid w:val="003524E3"/>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3524E3"/>
    <w:pPr>
      <w:widowControl/>
      <w:autoSpaceDE w:val="0"/>
      <w:autoSpaceDN w:val="0"/>
      <w:adjustRightInd w:val="0"/>
    </w:pPr>
    <w:rPr>
      <w:rFonts w:ascii="Arial" w:hAnsi="Arial" w:cs="Arial"/>
      <w:szCs w:val="22"/>
      <w:lang w:eastAsia="en-US"/>
    </w:rPr>
  </w:style>
  <w:style w:type="paragraph" w:customStyle="1" w:styleId="DeltaViewAnnounce">
    <w:name w:val="DeltaView Announce"/>
    <w:rsid w:val="003524E3"/>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3524E3"/>
    <w:rPr>
      <w:b/>
      <w:i/>
      <w:spacing w:val="0"/>
    </w:rPr>
  </w:style>
  <w:style w:type="character" w:customStyle="1" w:styleId="DeltaViewDeletion">
    <w:name w:val="DeltaView Deletion"/>
    <w:rsid w:val="003524E3"/>
    <w:rPr>
      <w:strike/>
      <w:spacing w:val="0"/>
    </w:rPr>
  </w:style>
  <w:style w:type="character" w:customStyle="1" w:styleId="DeltaViewMoveSource">
    <w:name w:val="DeltaView Move Source"/>
    <w:rsid w:val="003524E3"/>
    <w:rPr>
      <w:strike/>
      <w:spacing w:val="0"/>
    </w:rPr>
  </w:style>
  <w:style w:type="character" w:customStyle="1" w:styleId="DeltaViewMoveDestination">
    <w:name w:val="DeltaView Move Destination"/>
    <w:rsid w:val="003524E3"/>
    <w:rPr>
      <w:spacing w:val="0"/>
      <w:u w:val="double"/>
    </w:rPr>
  </w:style>
  <w:style w:type="character" w:customStyle="1" w:styleId="DeltaViewChangeNumber">
    <w:name w:val="DeltaView Change Number"/>
    <w:rsid w:val="003524E3"/>
    <w:rPr>
      <w:spacing w:val="0"/>
      <w:vertAlign w:val="superscript"/>
    </w:rPr>
  </w:style>
  <w:style w:type="character" w:customStyle="1" w:styleId="DeltaViewDelimiter">
    <w:name w:val="DeltaView Delimiter"/>
    <w:rsid w:val="003524E3"/>
    <w:rPr>
      <w:spacing w:val="0"/>
    </w:rPr>
  </w:style>
  <w:style w:type="character" w:customStyle="1" w:styleId="DeltaViewFormatChange">
    <w:name w:val="DeltaView Format Change"/>
    <w:rsid w:val="003524E3"/>
    <w:rPr>
      <w:spacing w:val="0"/>
    </w:rPr>
  </w:style>
  <w:style w:type="character" w:customStyle="1" w:styleId="DeltaViewMovedDeletion">
    <w:name w:val="DeltaView Moved Deletion"/>
    <w:rsid w:val="003524E3"/>
    <w:rPr>
      <w:strike/>
      <w:color w:val="C08080"/>
      <w:spacing w:val="0"/>
    </w:rPr>
  </w:style>
  <w:style w:type="character" w:customStyle="1" w:styleId="DeltaViewEditorComment">
    <w:name w:val="DeltaView Editor Comment"/>
    <w:basedOn w:val="DefaultParagraphFont"/>
    <w:rsid w:val="003524E3"/>
    <w:rPr>
      <w:rFonts w:cs="Times New Roman"/>
      <w:color w:val="0000FF"/>
      <w:spacing w:val="0"/>
      <w:u w:val="double"/>
    </w:rPr>
  </w:style>
  <w:style w:type="character" w:customStyle="1" w:styleId="DeltaViewStyleChangeText">
    <w:name w:val="DeltaView Style Change Text"/>
    <w:rsid w:val="003524E3"/>
    <w:rPr>
      <w:spacing w:val="0"/>
      <w:u w:val="double"/>
    </w:rPr>
  </w:style>
  <w:style w:type="character" w:customStyle="1" w:styleId="DeltaViewStyleChangeLabel">
    <w:name w:val="DeltaView Style Change Label"/>
    <w:rsid w:val="003524E3"/>
    <w:rPr>
      <w:spacing w:val="0"/>
    </w:rPr>
  </w:style>
  <w:style w:type="character" w:customStyle="1" w:styleId="UnresolvedMention1">
    <w:name w:val="Unresolved Mention1"/>
    <w:basedOn w:val="DefaultParagraphFont"/>
    <w:uiPriority w:val="99"/>
    <w:semiHidden/>
    <w:unhideWhenUsed/>
    <w:rsid w:val="003524E3"/>
    <w:rPr>
      <w:color w:val="605E5C"/>
      <w:shd w:val="clear" w:color="auto" w:fill="E1DFDD"/>
    </w:rPr>
  </w:style>
  <w:style w:type="character" w:customStyle="1" w:styleId="UnresolvedMention2">
    <w:name w:val="Unresolved Mention2"/>
    <w:basedOn w:val="DefaultParagraphFont"/>
    <w:uiPriority w:val="99"/>
    <w:semiHidden/>
    <w:unhideWhenUsed/>
    <w:rsid w:val="003524E3"/>
    <w:rPr>
      <w:color w:val="605E5C"/>
      <w:shd w:val="clear" w:color="auto" w:fill="E1DFDD"/>
    </w:rPr>
  </w:style>
  <w:style w:type="paragraph" w:customStyle="1" w:styleId="ThetitleofAnnexIPoint0number">
    <w:name w:val="The title of Annex I Point 0 (number)"/>
    <w:basedOn w:val="Point0number"/>
    <w:rsid w:val="003524E3"/>
    <w:pPr>
      <w:numPr>
        <w:numId w:val="1"/>
      </w:numPr>
    </w:pPr>
  </w:style>
  <w:style w:type="paragraph" w:customStyle="1" w:styleId="Part1isreplacedwiththefollowignPoint0number">
    <w:name w:val="Part 1 is replaced with the followign: Point 0 (number)"/>
    <w:basedOn w:val="Point0number"/>
    <w:rsid w:val="003524E3"/>
    <w:pPr>
      <w:numPr>
        <w:numId w:val="0"/>
      </w:numPr>
      <w:tabs>
        <w:tab w:val="num" w:pos="360"/>
      </w:tabs>
      <w:ind w:left="360" w:hanging="360"/>
    </w:pPr>
  </w:style>
  <w:style w:type="paragraph" w:customStyle="1" w:styleId="PartPoint0number">
    <w:name w:val="PartPoint 0 (number)"/>
    <w:basedOn w:val="Point0number"/>
    <w:rsid w:val="003524E3"/>
    <w:pPr>
      <w:numPr>
        <w:numId w:val="0"/>
      </w:numPr>
      <w:tabs>
        <w:tab w:val="num" w:pos="360"/>
      </w:tabs>
      <w:ind w:left="360" w:hanging="360"/>
    </w:pPr>
  </w:style>
  <w:style w:type="paragraph" w:customStyle="1" w:styleId="AnewPoint0number">
    <w:name w:val="A new Point 0 (number)"/>
    <w:basedOn w:val="Point0number"/>
    <w:rsid w:val="003524E3"/>
    <w:pPr>
      <w:numPr>
        <w:numId w:val="0"/>
      </w:numPr>
      <w:tabs>
        <w:tab w:val="num" w:pos="360"/>
      </w:tabs>
      <w:ind w:left="360" w:hanging="360"/>
    </w:pPr>
  </w:style>
  <w:style w:type="paragraph" w:customStyle="1" w:styleId="LegalNumPar">
    <w:name w:val="LegalNumPar"/>
    <w:basedOn w:val="Normal"/>
    <w:rsid w:val="003524E3"/>
    <w:pPr>
      <w:widowControl/>
      <w:numPr>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3524E3"/>
    <w:pPr>
      <w:widowControl/>
      <w:numPr>
        <w:ilvl w:val="1"/>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3524E3"/>
    <w:pPr>
      <w:widowControl/>
      <w:numPr>
        <w:ilvl w:val="2"/>
        <w:numId w:val="15"/>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3524E3"/>
    <w:rPr>
      <w:color w:val="605E5C"/>
      <w:shd w:val="clear" w:color="auto" w:fill="E1DFDD"/>
    </w:rPr>
  </w:style>
  <w:style w:type="paragraph" w:customStyle="1" w:styleId="title-gr-seq-level-1">
    <w:name w:val="title-gr-seq-level-1"/>
    <w:basedOn w:val="Normal"/>
    <w:rsid w:val="003524E3"/>
    <w:pPr>
      <w:widowControl/>
      <w:spacing w:before="100" w:beforeAutospacing="1" w:after="100" w:afterAutospacing="1"/>
    </w:pPr>
    <w:rPr>
      <w:rFonts w:eastAsia="Calibri"/>
      <w:szCs w:val="22"/>
      <w:lang w:eastAsia="en-US"/>
    </w:rPr>
  </w:style>
  <w:style w:type="character" w:customStyle="1" w:styleId="boldface">
    <w:name w:val="boldface"/>
    <w:basedOn w:val="DefaultParagraphFont"/>
    <w:rsid w:val="003524E3"/>
  </w:style>
  <w:style w:type="paragraph" w:customStyle="1" w:styleId="title-gr-seq-level-4">
    <w:name w:val="title-gr-seq-level-4"/>
    <w:basedOn w:val="Normal"/>
    <w:rsid w:val="003524E3"/>
    <w:pPr>
      <w:widowControl/>
      <w:spacing w:before="100" w:beforeAutospacing="1" w:after="100" w:afterAutospacing="1"/>
    </w:pPr>
    <w:rPr>
      <w:rFonts w:eastAsia="Calibri"/>
      <w:szCs w:val="22"/>
      <w:lang w:eastAsia="en-US"/>
    </w:rPr>
  </w:style>
  <w:style w:type="paragraph" w:customStyle="1" w:styleId="norm">
    <w:name w:val="norm"/>
    <w:basedOn w:val="Normal"/>
    <w:rsid w:val="003524E3"/>
    <w:pPr>
      <w:widowControl/>
      <w:spacing w:before="100" w:beforeAutospacing="1" w:after="100" w:afterAutospacing="1"/>
    </w:pPr>
    <w:rPr>
      <w:rFonts w:eastAsia="Calibri"/>
      <w:szCs w:val="22"/>
      <w:lang w:eastAsia="en-US"/>
    </w:rPr>
  </w:style>
  <w:style w:type="paragraph" w:customStyle="1" w:styleId="title-table">
    <w:name w:val="title-table"/>
    <w:basedOn w:val="Normal"/>
    <w:rsid w:val="003524E3"/>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3524E3"/>
  </w:style>
  <w:style w:type="paragraph" w:customStyle="1" w:styleId="tbl-norm">
    <w:name w:val="tbl-norm"/>
    <w:basedOn w:val="Normal"/>
    <w:rsid w:val="003524E3"/>
    <w:pPr>
      <w:widowControl/>
      <w:spacing w:before="100" w:beforeAutospacing="1" w:after="100" w:afterAutospacing="1"/>
    </w:pPr>
    <w:rPr>
      <w:rFonts w:eastAsia="Calibri"/>
      <w:szCs w:val="22"/>
      <w:lang w:eastAsia="en-US"/>
    </w:rPr>
  </w:style>
  <w:style w:type="paragraph" w:customStyle="1" w:styleId="item-none">
    <w:name w:val="item-none"/>
    <w:basedOn w:val="Normal"/>
    <w:rsid w:val="003524E3"/>
    <w:pPr>
      <w:widowControl/>
      <w:spacing w:before="100" w:beforeAutospacing="1" w:after="100" w:afterAutospacing="1"/>
    </w:pPr>
    <w:rPr>
      <w:rFonts w:eastAsia="Calibri"/>
      <w:szCs w:val="22"/>
      <w:lang w:eastAsia="en-US"/>
    </w:rPr>
  </w:style>
  <w:style w:type="paragraph" w:styleId="TOC4">
    <w:name w:val="toc 4"/>
    <w:basedOn w:val="Normal"/>
    <w:next w:val="Normal"/>
    <w:uiPriority w:val="39"/>
    <w:unhideWhenUsed/>
    <w:rsid w:val="003524E3"/>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524E3"/>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524E3"/>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524E3"/>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524E3"/>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524E3"/>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524E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524E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3524E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524E3"/>
    <w:pPr>
      <w:widowControl/>
      <w:spacing w:after="120"/>
      <w:jc w:val="right"/>
    </w:pPr>
    <w:rPr>
      <w:rFonts w:eastAsia="Calibri"/>
      <w:sz w:val="28"/>
      <w:szCs w:val="22"/>
      <w:lang w:eastAsia="en-US"/>
    </w:rPr>
  </w:style>
  <w:style w:type="paragraph" w:customStyle="1" w:styleId="FooterSensitivity">
    <w:name w:val="Footer Sensitivity"/>
    <w:basedOn w:val="Normal"/>
    <w:rsid w:val="003524E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3524E3"/>
    <w:pPr>
      <w:widowControl/>
      <w:spacing w:before="120" w:after="120"/>
      <w:ind w:left="850"/>
      <w:jc w:val="both"/>
    </w:pPr>
    <w:rPr>
      <w:rFonts w:eastAsia="Calibri"/>
      <w:szCs w:val="22"/>
      <w:lang w:eastAsia="en-US"/>
    </w:rPr>
  </w:style>
  <w:style w:type="paragraph" w:customStyle="1" w:styleId="Text2">
    <w:name w:val="Text 2"/>
    <w:basedOn w:val="Normal"/>
    <w:rsid w:val="003524E3"/>
    <w:pPr>
      <w:widowControl/>
      <w:spacing w:before="120" w:after="120"/>
      <w:ind w:left="1417"/>
      <w:jc w:val="both"/>
    </w:pPr>
    <w:rPr>
      <w:rFonts w:eastAsia="Calibri"/>
      <w:szCs w:val="22"/>
      <w:lang w:eastAsia="en-US"/>
    </w:rPr>
  </w:style>
  <w:style w:type="paragraph" w:customStyle="1" w:styleId="Text3">
    <w:name w:val="Text 3"/>
    <w:basedOn w:val="Normal"/>
    <w:rsid w:val="003524E3"/>
    <w:pPr>
      <w:widowControl/>
      <w:spacing w:before="120" w:after="120"/>
      <w:ind w:left="1984"/>
      <w:jc w:val="both"/>
    </w:pPr>
    <w:rPr>
      <w:rFonts w:eastAsia="Calibri"/>
      <w:szCs w:val="22"/>
      <w:lang w:eastAsia="en-US"/>
    </w:rPr>
  </w:style>
  <w:style w:type="paragraph" w:customStyle="1" w:styleId="Text4">
    <w:name w:val="Text 4"/>
    <w:basedOn w:val="Normal"/>
    <w:rsid w:val="003524E3"/>
    <w:pPr>
      <w:widowControl/>
      <w:spacing w:before="120" w:after="120"/>
      <w:ind w:left="2551"/>
      <w:jc w:val="both"/>
    </w:pPr>
    <w:rPr>
      <w:rFonts w:eastAsia="Calibri"/>
      <w:szCs w:val="22"/>
      <w:lang w:eastAsia="en-US"/>
    </w:rPr>
  </w:style>
  <w:style w:type="paragraph" w:customStyle="1" w:styleId="Text5">
    <w:name w:val="Text 5"/>
    <w:basedOn w:val="Normal"/>
    <w:rsid w:val="003524E3"/>
    <w:pPr>
      <w:widowControl/>
      <w:spacing w:before="120" w:after="120"/>
      <w:ind w:left="3118"/>
      <w:jc w:val="both"/>
    </w:pPr>
    <w:rPr>
      <w:rFonts w:eastAsia="Calibri"/>
      <w:szCs w:val="22"/>
      <w:lang w:eastAsia="en-US"/>
    </w:rPr>
  </w:style>
  <w:style w:type="paragraph" w:customStyle="1" w:styleId="Text6">
    <w:name w:val="Text 6"/>
    <w:basedOn w:val="Normal"/>
    <w:rsid w:val="003524E3"/>
    <w:pPr>
      <w:widowControl/>
      <w:spacing w:before="120" w:after="120"/>
      <w:ind w:left="3685"/>
      <w:jc w:val="both"/>
    </w:pPr>
    <w:rPr>
      <w:rFonts w:eastAsia="Calibri"/>
      <w:szCs w:val="22"/>
      <w:lang w:eastAsia="en-US"/>
    </w:rPr>
  </w:style>
  <w:style w:type="paragraph" w:customStyle="1" w:styleId="NormalCentered">
    <w:name w:val="Normal Centered"/>
    <w:basedOn w:val="Normal"/>
    <w:rsid w:val="003524E3"/>
    <w:pPr>
      <w:widowControl/>
      <w:spacing w:before="120" w:after="120"/>
      <w:jc w:val="center"/>
    </w:pPr>
    <w:rPr>
      <w:rFonts w:eastAsia="Calibri"/>
      <w:szCs w:val="22"/>
      <w:lang w:eastAsia="en-US"/>
    </w:rPr>
  </w:style>
  <w:style w:type="paragraph" w:customStyle="1" w:styleId="NormalLeft">
    <w:name w:val="Normal Left"/>
    <w:basedOn w:val="Normal"/>
    <w:rsid w:val="003524E3"/>
    <w:pPr>
      <w:widowControl/>
      <w:spacing w:before="120" w:after="120"/>
    </w:pPr>
    <w:rPr>
      <w:rFonts w:eastAsia="Calibri"/>
      <w:szCs w:val="22"/>
      <w:lang w:eastAsia="en-US"/>
    </w:rPr>
  </w:style>
  <w:style w:type="paragraph" w:customStyle="1" w:styleId="NormalRight">
    <w:name w:val="Normal Right"/>
    <w:basedOn w:val="Normal"/>
    <w:rsid w:val="003524E3"/>
    <w:pPr>
      <w:widowControl/>
      <w:spacing w:before="120" w:after="120"/>
      <w:jc w:val="right"/>
    </w:pPr>
    <w:rPr>
      <w:rFonts w:eastAsia="Calibri"/>
      <w:szCs w:val="22"/>
      <w:lang w:eastAsia="en-US"/>
    </w:rPr>
  </w:style>
  <w:style w:type="paragraph" w:customStyle="1" w:styleId="QuotedText">
    <w:name w:val="Quoted Text"/>
    <w:basedOn w:val="Normal"/>
    <w:rsid w:val="003524E3"/>
    <w:pPr>
      <w:widowControl/>
      <w:spacing w:before="120" w:after="120"/>
      <w:ind w:left="1417"/>
      <w:jc w:val="both"/>
    </w:pPr>
    <w:rPr>
      <w:rFonts w:eastAsia="Calibri"/>
      <w:szCs w:val="22"/>
      <w:lang w:eastAsia="en-US"/>
    </w:rPr>
  </w:style>
  <w:style w:type="paragraph" w:customStyle="1" w:styleId="Point0">
    <w:name w:val="Point 0"/>
    <w:basedOn w:val="Normal"/>
    <w:rsid w:val="003524E3"/>
    <w:pPr>
      <w:widowControl/>
      <w:spacing w:before="120" w:after="120"/>
      <w:ind w:left="850" w:hanging="850"/>
      <w:jc w:val="both"/>
    </w:pPr>
    <w:rPr>
      <w:rFonts w:eastAsia="Calibri"/>
      <w:szCs w:val="22"/>
      <w:lang w:eastAsia="en-US"/>
    </w:rPr>
  </w:style>
  <w:style w:type="paragraph" w:customStyle="1" w:styleId="Point1">
    <w:name w:val="Point 1"/>
    <w:basedOn w:val="Normal"/>
    <w:rsid w:val="003524E3"/>
    <w:pPr>
      <w:widowControl/>
      <w:spacing w:before="120" w:after="120"/>
      <w:ind w:left="1417" w:hanging="567"/>
      <w:jc w:val="both"/>
    </w:pPr>
    <w:rPr>
      <w:rFonts w:eastAsia="Calibri"/>
      <w:szCs w:val="22"/>
      <w:lang w:eastAsia="en-US"/>
    </w:rPr>
  </w:style>
  <w:style w:type="paragraph" w:customStyle="1" w:styleId="Point2">
    <w:name w:val="Point 2"/>
    <w:basedOn w:val="Normal"/>
    <w:rsid w:val="003524E3"/>
    <w:pPr>
      <w:widowControl/>
      <w:spacing w:before="120" w:after="120"/>
      <w:ind w:left="1984" w:hanging="567"/>
      <w:jc w:val="both"/>
    </w:pPr>
    <w:rPr>
      <w:rFonts w:eastAsia="Calibri"/>
      <w:szCs w:val="22"/>
      <w:lang w:eastAsia="en-US"/>
    </w:rPr>
  </w:style>
  <w:style w:type="paragraph" w:customStyle="1" w:styleId="Point3">
    <w:name w:val="Point 3"/>
    <w:basedOn w:val="Normal"/>
    <w:rsid w:val="003524E3"/>
    <w:pPr>
      <w:widowControl/>
      <w:spacing w:before="120" w:after="120"/>
      <w:ind w:left="2551" w:hanging="567"/>
      <w:jc w:val="both"/>
    </w:pPr>
    <w:rPr>
      <w:rFonts w:eastAsia="Calibri"/>
      <w:szCs w:val="22"/>
      <w:lang w:eastAsia="en-US"/>
    </w:rPr>
  </w:style>
  <w:style w:type="paragraph" w:customStyle="1" w:styleId="Point4">
    <w:name w:val="Point 4"/>
    <w:basedOn w:val="Normal"/>
    <w:rsid w:val="003524E3"/>
    <w:pPr>
      <w:widowControl/>
      <w:spacing w:before="120" w:after="120"/>
      <w:ind w:left="3118" w:hanging="567"/>
      <w:jc w:val="both"/>
    </w:pPr>
    <w:rPr>
      <w:rFonts w:eastAsia="Calibri"/>
      <w:szCs w:val="22"/>
      <w:lang w:eastAsia="en-US"/>
    </w:rPr>
  </w:style>
  <w:style w:type="paragraph" w:customStyle="1" w:styleId="Point5">
    <w:name w:val="Point 5"/>
    <w:basedOn w:val="Normal"/>
    <w:rsid w:val="003524E3"/>
    <w:pPr>
      <w:widowControl/>
      <w:spacing w:before="120" w:after="120"/>
      <w:ind w:left="3685" w:hanging="567"/>
      <w:jc w:val="both"/>
    </w:pPr>
    <w:rPr>
      <w:rFonts w:eastAsia="Calibri"/>
      <w:szCs w:val="22"/>
      <w:lang w:eastAsia="en-US"/>
    </w:rPr>
  </w:style>
  <w:style w:type="paragraph" w:customStyle="1" w:styleId="Tiret0">
    <w:name w:val="Tiret 0"/>
    <w:basedOn w:val="Point0"/>
    <w:rsid w:val="003524E3"/>
    <w:pPr>
      <w:numPr>
        <w:numId w:val="16"/>
      </w:numPr>
      <w:tabs>
        <w:tab w:val="clear" w:pos="850"/>
        <w:tab w:val="num" w:pos="1492"/>
      </w:tabs>
      <w:ind w:left="1492" w:hanging="360"/>
    </w:pPr>
  </w:style>
  <w:style w:type="paragraph" w:customStyle="1" w:styleId="Tiret1">
    <w:name w:val="Tiret 1"/>
    <w:basedOn w:val="Point1"/>
    <w:rsid w:val="003524E3"/>
    <w:pPr>
      <w:numPr>
        <w:numId w:val="17"/>
      </w:numPr>
      <w:tabs>
        <w:tab w:val="clear" w:pos="1417"/>
        <w:tab w:val="num" w:pos="360"/>
      </w:tabs>
      <w:ind w:left="360" w:hanging="360"/>
    </w:pPr>
  </w:style>
  <w:style w:type="paragraph" w:customStyle="1" w:styleId="Tiret2">
    <w:name w:val="Tiret 2"/>
    <w:basedOn w:val="Point2"/>
    <w:rsid w:val="003524E3"/>
    <w:pPr>
      <w:numPr>
        <w:numId w:val="18"/>
      </w:numPr>
      <w:tabs>
        <w:tab w:val="clear" w:pos="1984"/>
        <w:tab w:val="num" w:pos="643"/>
      </w:tabs>
      <w:ind w:left="643" w:hanging="360"/>
    </w:pPr>
  </w:style>
  <w:style w:type="paragraph" w:customStyle="1" w:styleId="Tiret3">
    <w:name w:val="Tiret 3"/>
    <w:basedOn w:val="Point3"/>
    <w:rsid w:val="003524E3"/>
    <w:pPr>
      <w:numPr>
        <w:numId w:val="19"/>
      </w:numPr>
      <w:tabs>
        <w:tab w:val="clear" w:pos="2551"/>
        <w:tab w:val="num" w:pos="926"/>
      </w:tabs>
      <w:ind w:left="926" w:hanging="360"/>
    </w:pPr>
  </w:style>
  <w:style w:type="paragraph" w:customStyle="1" w:styleId="Tiret4">
    <w:name w:val="Tiret 4"/>
    <w:basedOn w:val="Point4"/>
    <w:rsid w:val="003524E3"/>
    <w:pPr>
      <w:numPr>
        <w:numId w:val="20"/>
      </w:numPr>
      <w:tabs>
        <w:tab w:val="clear" w:pos="3118"/>
        <w:tab w:val="num" w:pos="1209"/>
      </w:tabs>
      <w:ind w:left="1209" w:hanging="360"/>
    </w:pPr>
  </w:style>
  <w:style w:type="paragraph" w:customStyle="1" w:styleId="Tiret5">
    <w:name w:val="Tiret 5"/>
    <w:basedOn w:val="Point5"/>
    <w:rsid w:val="003524E3"/>
    <w:pPr>
      <w:numPr>
        <w:numId w:val="21"/>
      </w:numPr>
      <w:tabs>
        <w:tab w:val="clear" w:pos="3685"/>
        <w:tab w:val="num" w:pos="1492"/>
      </w:tabs>
      <w:ind w:left="1492" w:hanging="360"/>
    </w:pPr>
  </w:style>
  <w:style w:type="paragraph" w:customStyle="1" w:styleId="PointDouble0">
    <w:name w:val="PointDouble 0"/>
    <w:basedOn w:val="Normal"/>
    <w:rsid w:val="003524E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524E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524E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524E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524E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524E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524E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524E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524E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524E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524E3"/>
    <w:pPr>
      <w:widowControl/>
      <w:numPr>
        <w:numId w:val="2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3524E3"/>
    <w:pPr>
      <w:widowControl/>
      <w:numPr>
        <w:ilvl w:val="1"/>
        <w:numId w:val="22"/>
      </w:numPr>
      <w:tabs>
        <w:tab w:val="clear" w:pos="850"/>
        <w:tab w:val="num" w:pos="792"/>
      </w:tabs>
      <w:spacing w:before="120" w:after="120"/>
      <w:ind w:left="792" w:hanging="792"/>
      <w:jc w:val="both"/>
    </w:pPr>
    <w:rPr>
      <w:rFonts w:eastAsia="Calibri"/>
      <w:szCs w:val="22"/>
      <w:lang w:eastAsia="en-US"/>
    </w:rPr>
  </w:style>
  <w:style w:type="paragraph" w:customStyle="1" w:styleId="NumPar3">
    <w:name w:val="NumPar 3"/>
    <w:basedOn w:val="Normal"/>
    <w:next w:val="Text1"/>
    <w:rsid w:val="003524E3"/>
    <w:pPr>
      <w:widowControl/>
      <w:numPr>
        <w:ilvl w:val="2"/>
        <w:numId w:val="22"/>
      </w:numPr>
      <w:tabs>
        <w:tab w:val="clear" w:pos="850"/>
        <w:tab w:val="num" w:pos="1224"/>
      </w:tabs>
      <w:spacing w:before="120" w:after="120"/>
      <w:ind w:left="1224" w:hanging="1224"/>
      <w:jc w:val="both"/>
    </w:pPr>
    <w:rPr>
      <w:rFonts w:eastAsia="Calibri"/>
      <w:szCs w:val="22"/>
      <w:lang w:eastAsia="en-US"/>
    </w:rPr>
  </w:style>
  <w:style w:type="paragraph" w:customStyle="1" w:styleId="NumPar4">
    <w:name w:val="NumPar 4"/>
    <w:basedOn w:val="Normal"/>
    <w:next w:val="Text1"/>
    <w:rsid w:val="003524E3"/>
    <w:pPr>
      <w:widowControl/>
      <w:numPr>
        <w:ilvl w:val="3"/>
        <w:numId w:val="22"/>
      </w:numPr>
      <w:tabs>
        <w:tab w:val="clear" w:pos="850"/>
        <w:tab w:val="num" w:pos="1728"/>
      </w:tabs>
      <w:spacing w:before="120" w:after="120"/>
      <w:ind w:left="1728" w:hanging="1728"/>
      <w:jc w:val="both"/>
    </w:pPr>
    <w:rPr>
      <w:rFonts w:eastAsia="Calibri"/>
      <w:szCs w:val="22"/>
      <w:lang w:eastAsia="en-US"/>
    </w:rPr>
  </w:style>
  <w:style w:type="paragraph" w:customStyle="1" w:styleId="NumPar5">
    <w:name w:val="NumPar 5"/>
    <w:basedOn w:val="Normal"/>
    <w:next w:val="Text2"/>
    <w:rsid w:val="003524E3"/>
    <w:pPr>
      <w:widowControl/>
      <w:numPr>
        <w:ilvl w:val="4"/>
        <w:numId w:val="22"/>
      </w:numPr>
      <w:tabs>
        <w:tab w:val="clear" w:pos="1417"/>
        <w:tab w:val="num" w:pos="2232"/>
      </w:tabs>
      <w:spacing w:before="120" w:after="120"/>
      <w:ind w:left="2232" w:hanging="2232"/>
      <w:jc w:val="both"/>
    </w:pPr>
    <w:rPr>
      <w:rFonts w:eastAsia="Calibri"/>
      <w:szCs w:val="22"/>
      <w:lang w:eastAsia="en-US"/>
    </w:rPr>
  </w:style>
  <w:style w:type="paragraph" w:customStyle="1" w:styleId="NumPar6">
    <w:name w:val="NumPar 6"/>
    <w:basedOn w:val="Normal"/>
    <w:next w:val="Text2"/>
    <w:rsid w:val="003524E3"/>
    <w:pPr>
      <w:widowControl/>
      <w:numPr>
        <w:ilvl w:val="5"/>
        <w:numId w:val="22"/>
      </w:numPr>
      <w:tabs>
        <w:tab w:val="clear" w:pos="1417"/>
        <w:tab w:val="num" w:pos="2736"/>
      </w:tabs>
      <w:spacing w:before="120" w:after="120"/>
      <w:ind w:left="2736" w:hanging="2736"/>
      <w:jc w:val="both"/>
    </w:pPr>
    <w:rPr>
      <w:rFonts w:eastAsia="Calibri"/>
      <w:szCs w:val="22"/>
      <w:lang w:eastAsia="en-US"/>
    </w:rPr>
  </w:style>
  <w:style w:type="paragraph" w:customStyle="1" w:styleId="NumPar7">
    <w:name w:val="NumPar 7"/>
    <w:basedOn w:val="Normal"/>
    <w:next w:val="Text2"/>
    <w:rsid w:val="003524E3"/>
    <w:pPr>
      <w:widowControl/>
      <w:numPr>
        <w:ilvl w:val="6"/>
        <w:numId w:val="22"/>
      </w:numPr>
      <w:tabs>
        <w:tab w:val="clear" w:pos="1417"/>
        <w:tab w:val="num" w:pos="3240"/>
      </w:tabs>
      <w:spacing w:before="120" w:after="120"/>
      <w:ind w:left="3240" w:hanging="3240"/>
      <w:jc w:val="both"/>
    </w:pPr>
    <w:rPr>
      <w:rFonts w:eastAsia="Calibri"/>
      <w:szCs w:val="22"/>
      <w:lang w:eastAsia="en-US"/>
    </w:rPr>
  </w:style>
  <w:style w:type="paragraph" w:customStyle="1" w:styleId="ManualNumPar1">
    <w:name w:val="Manual NumPar 1"/>
    <w:basedOn w:val="Normal"/>
    <w:next w:val="Text1"/>
    <w:rsid w:val="003524E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524E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524E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524E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524E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524E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524E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524E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524E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524E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524E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524E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524E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524E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524E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524E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524E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524E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524E3"/>
    <w:pPr>
      <w:widowControl/>
      <w:spacing w:before="120" w:after="120"/>
      <w:jc w:val="center"/>
    </w:pPr>
    <w:rPr>
      <w:rFonts w:eastAsia="Calibri"/>
      <w:b/>
      <w:szCs w:val="22"/>
      <w:lang w:eastAsia="en-US"/>
    </w:rPr>
  </w:style>
  <w:style w:type="character" w:customStyle="1" w:styleId="Marker">
    <w:name w:val="Marker"/>
    <w:basedOn w:val="DefaultParagraphFont"/>
    <w:rsid w:val="003524E3"/>
    <w:rPr>
      <w:color w:val="0000FF"/>
      <w:shd w:val="clear" w:color="auto" w:fill="auto"/>
    </w:rPr>
  </w:style>
  <w:style w:type="character" w:customStyle="1" w:styleId="Marker1">
    <w:name w:val="Marker1"/>
    <w:basedOn w:val="DefaultParagraphFont"/>
    <w:rsid w:val="003524E3"/>
    <w:rPr>
      <w:color w:val="008000"/>
      <w:shd w:val="clear" w:color="auto" w:fill="auto"/>
    </w:rPr>
  </w:style>
  <w:style w:type="character" w:customStyle="1" w:styleId="Marker2">
    <w:name w:val="Marker2"/>
    <w:basedOn w:val="DefaultParagraphFont"/>
    <w:rsid w:val="003524E3"/>
    <w:rPr>
      <w:color w:val="FF0000"/>
      <w:shd w:val="clear" w:color="auto" w:fill="auto"/>
    </w:rPr>
  </w:style>
  <w:style w:type="paragraph" w:customStyle="1" w:styleId="Bullet0">
    <w:name w:val="Bullet 0"/>
    <w:basedOn w:val="Normal"/>
    <w:rsid w:val="003524E3"/>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Bullet1">
    <w:name w:val="Bullet 1"/>
    <w:basedOn w:val="Normal"/>
    <w:rsid w:val="003524E3"/>
    <w:pPr>
      <w:widowControl/>
      <w:numPr>
        <w:numId w:val="24"/>
      </w:numPr>
      <w:tabs>
        <w:tab w:val="clear" w:pos="1417"/>
        <w:tab w:val="num" w:pos="850"/>
      </w:tabs>
      <w:spacing w:before="120" w:after="120"/>
      <w:ind w:left="850" w:hanging="850"/>
      <w:jc w:val="both"/>
    </w:pPr>
    <w:rPr>
      <w:rFonts w:eastAsia="Calibri"/>
      <w:szCs w:val="22"/>
      <w:lang w:eastAsia="en-US"/>
    </w:rPr>
  </w:style>
  <w:style w:type="paragraph" w:customStyle="1" w:styleId="Bullet2">
    <w:name w:val="Bullet 2"/>
    <w:basedOn w:val="Normal"/>
    <w:rsid w:val="003524E3"/>
    <w:pPr>
      <w:widowControl/>
      <w:numPr>
        <w:numId w:val="25"/>
      </w:numPr>
      <w:tabs>
        <w:tab w:val="clear" w:pos="1984"/>
        <w:tab w:val="num" w:pos="1134"/>
      </w:tabs>
      <w:spacing w:before="120" w:after="120"/>
      <w:ind w:left="1134" w:hanging="283"/>
      <w:jc w:val="both"/>
    </w:pPr>
    <w:rPr>
      <w:rFonts w:eastAsia="Calibri"/>
      <w:szCs w:val="22"/>
      <w:lang w:eastAsia="en-US"/>
    </w:rPr>
  </w:style>
  <w:style w:type="paragraph" w:customStyle="1" w:styleId="Bullet3">
    <w:name w:val="Bullet 3"/>
    <w:basedOn w:val="Normal"/>
    <w:rsid w:val="003524E3"/>
    <w:pPr>
      <w:widowControl/>
      <w:numPr>
        <w:numId w:val="26"/>
      </w:numPr>
      <w:tabs>
        <w:tab w:val="clear" w:pos="2551"/>
        <w:tab w:val="num" w:pos="283"/>
      </w:tabs>
      <w:spacing w:before="120" w:after="120"/>
      <w:ind w:left="283" w:hanging="283"/>
      <w:jc w:val="both"/>
    </w:pPr>
    <w:rPr>
      <w:rFonts w:eastAsia="Calibri"/>
      <w:szCs w:val="22"/>
      <w:lang w:eastAsia="en-US"/>
    </w:rPr>
  </w:style>
  <w:style w:type="paragraph" w:customStyle="1" w:styleId="Bullet4">
    <w:name w:val="Bullet 4"/>
    <w:basedOn w:val="Normal"/>
    <w:rsid w:val="003524E3"/>
    <w:pPr>
      <w:widowControl/>
      <w:numPr>
        <w:numId w:val="27"/>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3524E3"/>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524E3"/>
    <w:pPr>
      <w:widowControl/>
    </w:pPr>
    <w:rPr>
      <w:rFonts w:ascii="Arial" w:eastAsia="Calibri" w:hAnsi="Arial" w:cs="Arial"/>
      <w:szCs w:val="22"/>
      <w:lang w:eastAsia="en-US"/>
    </w:rPr>
  </w:style>
  <w:style w:type="paragraph" w:customStyle="1" w:styleId="Emission">
    <w:name w:val="Emission"/>
    <w:basedOn w:val="Normal"/>
    <w:next w:val="Rfrenceinstitutionnelle"/>
    <w:rsid w:val="003524E3"/>
    <w:pPr>
      <w:widowControl/>
      <w:ind w:left="5103"/>
    </w:pPr>
    <w:rPr>
      <w:rFonts w:eastAsia="Calibri"/>
      <w:szCs w:val="22"/>
      <w:lang w:eastAsia="en-US"/>
    </w:rPr>
  </w:style>
  <w:style w:type="paragraph" w:customStyle="1" w:styleId="Pagedecouverture">
    <w:name w:val="Page de couverture"/>
    <w:basedOn w:val="Normal"/>
    <w:next w:val="Normal"/>
    <w:rsid w:val="003524E3"/>
    <w:pPr>
      <w:widowControl/>
      <w:jc w:val="both"/>
    </w:pPr>
    <w:rPr>
      <w:rFonts w:eastAsia="Calibri"/>
      <w:szCs w:val="22"/>
      <w:lang w:eastAsia="en-US"/>
    </w:rPr>
  </w:style>
  <w:style w:type="paragraph" w:customStyle="1" w:styleId="Declassification">
    <w:name w:val="Declassification"/>
    <w:basedOn w:val="Normal"/>
    <w:next w:val="Normal"/>
    <w:rsid w:val="003524E3"/>
    <w:pPr>
      <w:widowControl/>
      <w:jc w:val="both"/>
    </w:pPr>
    <w:rPr>
      <w:rFonts w:eastAsia="Calibri"/>
      <w:szCs w:val="22"/>
      <w:lang w:eastAsia="en-US"/>
    </w:rPr>
  </w:style>
  <w:style w:type="paragraph" w:customStyle="1" w:styleId="Disclaimer">
    <w:name w:val="Disclaimer"/>
    <w:basedOn w:val="Normal"/>
    <w:rsid w:val="003524E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524E3"/>
    <w:pPr>
      <w:widowControl/>
      <w:spacing w:line="276" w:lineRule="auto"/>
      <w:ind w:left="5103"/>
    </w:pPr>
    <w:rPr>
      <w:rFonts w:eastAsia="Calibri"/>
      <w:sz w:val="28"/>
      <w:szCs w:val="22"/>
      <w:lang w:eastAsia="en-US"/>
    </w:rPr>
  </w:style>
  <w:style w:type="paragraph" w:customStyle="1" w:styleId="DateMarking">
    <w:name w:val="DateMarking"/>
    <w:basedOn w:val="Normal"/>
    <w:rsid w:val="003524E3"/>
    <w:pPr>
      <w:widowControl/>
      <w:spacing w:line="276" w:lineRule="auto"/>
      <w:ind w:left="5103"/>
    </w:pPr>
    <w:rPr>
      <w:rFonts w:eastAsia="Calibri"/>
      <w:i/>
      <w:sz w:val="28"/>
      <w:szCs w:val="22"/>
      <w:lang w:eastAsia="en-US"/>
    </w:rPr>
  </w:style>
  <w:style w:type="paragraph" w:customStyle="1" w:styleId="ReleasableTo">
    <w:name w:val="ReleasableTo"/>
    <w:basedOn w:val="Normal"/>
    <w:rsid w:val="003524E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524E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524E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524E3"/>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3524E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524E3"/>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524E3"/>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3524E3"/>
    <w:pPr>
      <w:widowControl/>
      <w:spacing w:after="240"/>
    </w:pPr>
    <w:rPr>
      <w:rFonts w:eastAsia="Calibri"/>
      <w:szCs w:val="22"/>
      <w:lang w:eastAsia="en-US"/>
    </w:rPr>
  </w:style>
  <w:style w:type="paragraph" w:customStyle="1" w:styleId="Datedadoption">
    <w:name w:val="Date d'adoption"/>
    <w:basedOn w:val="Normal"/>
    <w:next w:val="IntrtEEE"/>
    <w:rsid w:val="003524E3"/>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524E3"/>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3524E3"/>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524E3"/>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524E3"/>
    <w:pPr>
      <w:widowControl/>
      <w:ind w:left="5103"/>
    </w:pPr>
    <w:rPr>
      <w:rFonts w:eastAsia="Calibri"/>
      <w:szCs w:val="22"/>
      <w:lang w:eastAsia="en-US"/>
    </w:rPr>
  </w:style>
  <w:style w:type="paragraph" w:customStyle="1" w:styleId="Rfrenceinterne">
    <w:name w:val="Référence interne"/>
    <w:basedOn w:val="Normal"/>
    <w:next w:val="Rfrenceinterinstitutionnelle"/>
    <w:rsid w:val="003524E3"/>
    <w:pPr>
      <w:widowControl/>
      <w:ind w:left="5103"/>
    </w:pPr>
    <w:rPr>
      <w:rFonts w:eastAsia="Calibri"/>
      <w:szCs w:val="22"/>
      <w:lang w:eastAsia="en-US"/>
    </w:rPr>
  </w:style>
  <w:style w:type="paragraph" w:customStyle="1" w:styleId="Titrearticle">
    <w:name w:val="Titre article"/>
    <w:basedOn w:val="Normal"/>
    <w:next w:val="Normal"/>
    <w:rsid w:val="003524E3"/>
    <w:pPr>
      <w:keepNext/>
      <w:widowControl/>
      <w:spacing w:before="360" w:after="120"/>
      <w:jc w:val="center"/>
    </w:pPr>
    <w:rPr>
      <w:rFonts w:eastAsia="Calibri"/>
      <w:i/>
      <w:szCs w:val="22"/>
      <w:lang w:eastAsia="en-US"/>
    </w:rPr>
  </w:style>
  <w:style w:type="character" w:customStyle="1" w:styleId="Added">
    <w:name w:val="Added"/>
    <w:basedOn w:val="DefaultParagraphFont"/>
    <w:rsid w:val="003524E3"/>
    <w:rPr>
      <w:b/>
      <w:u w:val="single"/>
      <w:shd w:val="clear" w:color="auto" w:fill="auto"/>
    </w:rPr>
  </w:style>
  <w:style w:type="character" w:customStyle="1" w:styleId="Deleted">
    <w:name w:val="Deleted"/>
    <w:basedOn w:val="DefaultParagraphFont"/>
    <w:rsid w:val="003524E3"/>
    <w:rPr>
      <w:strike/>
      <w:dstrike w:val="0"/>
      <w:shd w:val="clear" w:color="auto" w:fill="auto"/>
    </w:rPr>
  </w:style>
  <w:style w:type="paragraph" w:customStyle="1" w:styleId="Address">
    <w:name w:val="Address"/>
    <w:basedOn w:val="Normal"/>
    <w:next w:val="Normal"/>
    <w:rsid w:val="003524E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524E3"/>
    <w:pPr>
      <w:widowControl/>
      <w:spacing w:before="120" w:after="120"/>
      <w:jc w:val="both"/>
    </w:pPr>
    <w:rPr>
      <w:rFonts w:eastAsia="Calibri"/>
      <w:i/>
      <w:caps/>
      <w:szCs w:val="22"/>
      <w:lang w:eastAsia="en-US"/>
    </w:rPr>
  </w:style>
  <w:style w:type="paragraph" w:customStyle="1" w:styleId="Supertitre">
    <w:name w:val="Supertitre"/>
    <w:basedOn w:val="Normal"/>
    <w:next w:val="Normal"/>
    <w:rsid w:val="003524E3"/>
    <w:pPr>
      <w:widowControl/>
      <w:spacing w:after="600"/>
      <w:jc w:val="center"/>
    </w:pPr>
    <w:rPr>
      <w:rFonts w:eastAsia="Calibri"/>
      <w:b/>
      <w:szCs w:val="22"/>
      <w:lang w:eastAsia="en-US"/>
    </w:rPr>
  </w:style>
  <w:style w:type="paragraph" w:customStyle="1" w:styleId="Languesfaisantfoi">
    <w:name w:val="Langues faisant foi"/>
    <w:basedOn w:val="Normal"/>
    <w:next w:val="Normal"/>
    <w:rsid w:val="003524E3"/>
    <w:pPr>
      <w:widowControl/>
      <w:spacing w:before="360"/>
      <w:jc w:val="center"/>
    </w:pPr>
    <w:rPr>
      <w:rFonts w:eastAsia="Calibri"/>
      <w:szCs w:val="22"/>
      <w:lang w:eastAsia="en-US"/>
    </w:rPr>
  </w:style>
  <w:style w:type="paragraph" w:customStyle="1" w:styleId="Rfrencecroise">
    <w:name w:val="Référence croisée"/>
    <w:basedOn w:val="Normal"/>
    <w:rsid w:val="003524E3"/>
    <w:pPr>
      <w:widowControl/>
      <w:jc w:val="center"/>
    </w:pPr>
    <w:rPr>
      <w:rFonts w:eastAsia="Calibri"/>
      <w:szCs w:val="22"/>
      <w:lang w:eastAsia="en-US"/>
    </w:rPr>
  </w:style>
  <w:style w:type="paragraph" w:customStyle="1" w:styleId="Fichefinanciretitre">
    <w:name w:val="Fiche financière titre"/>
    <w:basedOn w:val="Normal"/>
    <w:next w:val="Normal"/>
    <w:rsid w:val="003524E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3524E3"/>
  </w:style>
  <w:style w:type="paragraph" w:customStyle="1" w:styleId="RfrenceinterinstitutionnellePagedecouverture">
    <w:name w:val="Référence interinstitutionnelle (Page de couverture)"/>
    <w:basedOn w:val="Rfrenceinterinstitutionnelle"/>
    <w:next w:val="Confidentialit"/>
    <w:rsid w:val="003524E3"/>
  </w:style>
  <w:style w:type="paragraph" w:customStyle="1" w:styleId="StatutPagedecouverture">
    <w:name w:val="Statut (Page de couverture)"/>
    <w:basedOn w:val="Statut"/>
    <w:next w:val="TypedudocumentPagedecouverture"/>
    <w:rsid w:val="003524E3"/>
    <w:pPr>
      <w:spacing w:before="0" w:after="240" w:line="240" w:lineRule="auto"/>
    </w:pPr>
    <w:rPr>
      <w:rFonts w:eastAsia="Calibri"/>
      <w:szCs w:val="22"/>
      <w:lang w:val="sv-SE"/>
    </w:rPr>
  </w:style>
  <w:style w:type="paragraph" w:customStyle="1" w:styleId="TypedudocumentPagedecouverture">
    <w:name w:val="Type du document (Page de couverture)"/>
    <w:basedOn w:val="Typedudocument"/>
    <w:next w:val="AccompagnantPagedecouverture"/>
    <w:rsid w:val="003524E3"/>
    <w:pPr>
      <w:spacing w:after="180" w:line="240" w:lineRule="auto"/>
    </w:pPr>
    <w:rPr>
      <w:rFonts w:eastAsia="Calibri"/>
      <w:szCs w:val="22"/>
      <w:lang w:val="sv-SE"/>
    </w:rPr>
  </w:style>
  <w:style w:type="paragraph" w:customStyle="1" w:styleId="Volume">
    <w:name w:val="Volume"/>
    <w:basedOn w:val="Normal"/>
    <w:next w:val="Confidentialit"/>
    <w:rsid w:val="003524E3"/>
    <w:pPr>
      <w:widowControl/>
      <w:spacing w:after="240"/>
      <w:ind w:left="5103"/>
    </w:pPr>
    <w:rPr>
      <w:rFonts w:eastAsia="Calibri"/>
      <w:szCs w:val="22"/>
      <w:lang w:eastAsia="en-US"/>
    </w:rPr>
  </w:style>
  <w:style w:type="paragraph" w:customStyle="1" w:styleId="Accompagnant">
    <w:name w:val="Accompagnant"/>
    <w:basedOn w:val="Normal"/>
    <w:next w:val="Typeacteprincipal"/>
    <w:rsid w:val="003524E3"/>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3524E3"/>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524E3"/>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524E3"/>
    <w:pPr>
      <w:spacing w:line="240" w:lineRule="auto"/>
    </w:pPr>
    <w:rPr>
      <w:rFonts w:eastAsia="Calibri"/>
      <w:szCs w:val="22"/>
      <w:lang w:val="sv-SE"/>
    </w:rPr>
  </w:style>
  <w:style w:type="paragraph" w:customStyle="1" w:styleId="AccompagnantPagedecouverture">
    <w:name w:val="Accompagnant (Page de couverture)"/>
    <w:basedOn w:val="Accompagnant"/>
    <w:next w:val="TypeacteprincipalPagedecouverture"/>
    <w:rsid w:val="003524E3"/>
  </w:style>
  <w:style w:type="paragraph" w:customStyle="1" w:styleId="TypeacteprincipalPagedecouverture">
    <w:name w:val="Type acte principal (Page de couverture)"/>
    <w:basedOn w:val="Typeacteprincipal"/>
    <w:next w:val="ObjetacteprincipalPagedecouverture"/>
    <w:rsid w:val="003524E3"/>
  </w:style>
  <w:style w:type="paragraph" w:customStyle="1" w:styleId="ObjetacteprincipalPagedecouverture">
    <w:name w:val="Objet acte principal (Page de couverture)"/>
    <w:basedOn w:val="Objetacteprincipal"/>
    <w:next w:val="Rfrencecroise"/>
    <w:rsid w:val="003524E3"/>
  </w:style>
  <w:style w:type="paragraph" w:customStyle="1" w:styleId="LanguesfaisantfoiPagedecouverture">
    <w:name w:val="Langues faisant foi (Page de couverture)"/>
    <w:basedOn w:val="Normal"/>
    <w:next w:val="Normal"/>
    <w:rsid w:val="003524E3"/>
    <w:pPr>
      <w:widowControl/>
      <w:spacing w:before="360"/>
      <w:jc w:val="center"/>
    </w:pPr>
    <w:rPr>
      <w:rFonts w:eastAsia="Calibri"/>
      <w:szCs w:val="22"/>
      <w:lang w:eastAsia="en-US"/>
    </w:rPr>
  </w:style>
  <w:style w:type="table" w:styleId="PlainTable1">
    <w:name w:val="Plain Table 1"/>
    <w:basedOn w:val="TableNormal"/>
    <w:uiPriority w:val="41"/>
    <w:rsid w:val="003524E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524E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3524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A742F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92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A4818-FBD9-4267-82EB-3DB72BCB9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169</Pages>
  <Words>26852</Words>
  <Characters>169340</Characters>
  <Application>Microsoft Office Word</Application>
  <DocSecurity>0</DocSecurity>
  <Lines>1411</Lines>
  <Paragraphs>391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LUKSITE Marija</cp:lastModifiedBy>
  <cp:revision>2</cp:revision>
  <cp:lastPrinted>2004-11-19T15:42:00Z</cp:lastPrinted>
  <dcterms:created xsi:type="dcterms:W3CDTF">2024-10-17T08:38:00Z</dcterms:created>
  <dcterms:modified xsi:type="dcterms:W3CDTF">2024-10-17T08:38:00Z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P9_TA-PROV(2024)0000_A9-0238_2023_SV_r</vt:lpwstr>
  </property>
  <property fmtid="{D5CDD505-2E9C-101B-9397-08002B2CF9AE}" pid="4" name="&lt;Type&gt;">
    <vt:lpwstr>RR</vt:lpwstr>
  </property>
</Properties>
</file>