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B4C" w:rsidTr="0010095E">
        <w:trPr>
          <w:trHeight w:hRule="exact" w:val="1418"/>
        </w:trPr>
        <w:tc>
          <w:tcPr>
            <w:tcW w:w="6804" w:type="dxa"/>
            <w:shd w:val="clear" w:color="auto" w:fill="auto"/>
            <w:vAlign w:val="center"/>
          </w:tcPr>
          <w:p w:rsidR="00751A4A" w:rsidRPr="009A4B4C" w:rsidRDefault="00E057D6" w:rsidP="0010095E">
            <w:pPr>
              <w:pStyle w:val="EPName"/>
            </w:pPr>
            <w:r>
              <w:t>Е</w:t>
            </w:r>
            <w:r w:rsidR="00D83180" w:rsidRPr="009A4B4C">
              <w:t>вропейски парламент</w:t>
            </w:r>
          </w:p>
          <w:p w:rsidR="00751A4A" w:rsidRPr="009A4B4C" w:rsidRDefault="00E057D6" w:rsidP="00756632">
            <w:pPr>
              <w:pStyle w:val="EPTerm"/>
              <w:rPr>
                <w:rStyle w:val="HideTWBExt"/>
                <w:noProof w:val="0"/>
                <w:vanish w:val="0"/>
                <w:color w:val="auto"/>
              </w:rPr>
            </w:pPr>
            <w:r>
              <w:t>2019 – </w:t>
            </w:r>
            <w:r w:rsidR="00817416" w:rsidRPr="009A4B4C">
              <w:t>2024</w:t>
            </w:r>
          </w:p>
        </w:tc>
        <w:tc>
          <w:tcPr>
            <w:tcW w:w="2268" w:type="dxa"/>
            <w:shd w:val="clear" w:color="auto" w:fill="auto"/>
          </w:tcPr>
          <w:p w:rsidR="00751A4A" w:rsidRPr="009A4B4C" w:rsidRDefault="00187494" w:rsidP="0010095E">
            <w:pPr>
              <w:pStyle w:val="EPLogo"/>
            </w:pPr>
            <w:r w:rsidRPr="009A4B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4B4C" w:rsidRDefault="00D058B8" w:rsidP="004C5D52">
      <w:pPr>
        <w:pStyle w:val="LineTop"/>
      </w:pPr>
    </w:p>
    <w:p w:rsidR="00680577" w:rsidRPr="009A4B4C" w:rsidRDefault="00D83180" w:rsidP="00680577">
      <w:pPr>
        <w:pStyle w:val="EPBodyTA1"/>
      </w:pPr>
      <w:r w:rsidRPr="009A4B4C">
        <w:t>ПРИЕТИ ТЕКСТОВЕ</w:t>
      </w:r>
    </w:p>
    <w:p w:rsidR="00D058B8" w:rsidRPr="009A4B4C" w:rsidRDefault="00D058B8" w:rsidP="00D058B8">
      <w:pPr>
        <w:pStyle w:val="LineBottom"/>
      </w:pPr>
    </w:p>
    <w:p w:rsidR="00D83180" w:rsidRPr="009A4B4C" w:rsidRDefault="00D83180" w:rsidP="00D83180">
      <w:pPr>
        <w:pStyle w:val="ATHeading1"/>
      </w:pPr>
      <w:bookmarkStart w:id="0" w:name="TANumber"/>
      <w:r w:rsidRPr="009A4B4C">
        <w:t>P9_TA(2024)0</w:t>
      </w:r>
      <w:r w:rsidR="00ED38D0">
        <w:t>359</w:t>
      </w:r>
      <w:bookmarkEnd w:id="0"/>
    </w:p>
    <w:p w:rsidR="00D83180" w:rsidRPr="009A4B4C" w:rsidRDefault="00472FA3" w:rsidP="00D83180">
      <w:pPr>
        <w:pStyle w:val="ATHeading2"/>
      </w:pPr>
      <w:bookmarkStart w:id="1" w:name="title"/>
      <w:r>
        <w:t>И</w:t>
      </w:r>
      <w:r w:rsidR="00AE1C57">
        <w:t>нициатива</w:t>
      </w:r>
      <w:bookmarkStart w:id="2" w:name="_GoBack"/>
      <w:bookmarkEnd w:id="2"/>
      <w:r w:rsidR="00D83180" w:rsidRPr="009A4B4C">
        <w:t xml:space="preserve"> </w:t>
      </w:r>
      <w:proofErr w:type="spellStart"/>
      <w:r w:rsidR="00D83180" w:rsidRPr="009A4B4C">
        <w:t>EuroHPC</w:t>
      </w:r>
      <w:proofErr w:type="spellEnd"/>
      <w:r w:rsidR="00D83180" w:rsidRPr="009A4B4C">
        <w:t xml:space="preserve"> за новосъздадени предприятия с цел засилване на водещата роля на Европа в областта на надеждния изкуствен интелект</w:t>
      </w:r>
      <w:bookmarkEnd w:id="1"/>
    </w:p>
    <w:p w:rsidR="00D83180" w:rsidRPr="009A4B4C" w:rsidRDefault="00D83180" w:rsidP="00D83180">
      <w:pPr>
        <w:rPr>
          <w:i/>
          <w:vanish/>
        </w:rPr>
      </w:pPr>
      <w:r w:rsidRPr="009A4B4C">
        <w:rPr>
          <w:i/>
        </w:rPr>
        <w:fldChar w:fldCharType="begin"/>
      </w:r>
      <w:r w:rsidRPr="009A4B4C">
        <w:rPr>
          <w:i/>
        </w:rPr>
        <w:instrText xml:space="preserve"> TC"(</w:instrText>
      </w:r>
      <w:bookmarkStart w:id="3" w:name="DocNumber"/>
      <w:r w:rsidRPr="009A4B4C">
        <w:rPr>
          <w:i/>
        </w:rPr>
        <w:instrText>A9-0161/2024</w:instrText>
      </w:r>
      <w:bookmarkEnd w:id="3"/>
      <w:r w:rsidRPr="009A4B4C">
        <w:rPr>
          <w:i/>
        </w:rPr>
        <w:instrText xml:space="preserve"> - Докладчик: Мария Да Граса </w:instrText>
      </w:r>
      <w:proofErr w:type="spellStart"/>
      <w:r w:rsidRPr="009A4B4C">
        <w:rPr>
          <w:i/>
        </w:rPr>
        <w:instrText>Карвалю</w:instrText>
      </w:r>
      <w:proofErr w:type="spellEnd"/>
      <w:r w:rsidRPr="009A4B4C">
        <w:rPr>
          <w:i/>
        </w:rPr>
        <w:instrText xml:space="preserve">)"\l3 \n&gt; \* MERGEFORMAT </w:instrText>
      </w:r>
      <w:r w:rsidRPr="009A4B4C">
        <w:rPr>
          <w:i/>
        </w:rPr>
        <w:fldChar w:fldCharType="end"/>
      </w:r>
    </w:p>
    <w:p w:rsidR="00D83180" w:rsidRPr="009A4B4C" w:rsidRDefault="00D83180" w:rsidP="00D83180">
      <w:pPr>
        <w:rPr>
          <w:vanish/>
        </w:rPr>
      </w:pPr>
      <w:bookmarkStart w:id="4" w:name="Commission"/>
      <w:r w:rsidRPr="009A4B4C">
        <w:rPr>
          <w:vanish/>
        </w:rPr>
        <w:t>Комисия по промишленост, изследвания и енергетика</w:t>
      </w:r>
      <w:bookmarkEnd w:id="4"/>
    </w:p>
    <w:p w:rsidR="00D83180" w:rsidRPr="009A4B4C" w:rsidRDefault="00D83180" w:rsidP="00D83180">
      <w:pPr>
        <w:rPr>
          <w:vanish/>
        </w:rPr>
      </w:pPr>
      <w:bookmarkStart w:id="5" w:name="PE"/>
      <w:r w:rsidRPr="009A4B4C">
        <w:rPr>
          <w:vanish/>
        </w:rPr>
        <w:t>PE759.744</w:t>
      </w:r>
      <w:bookmarkEnd w:id="5"/>
    </w:p>
    <w:p w:rsidR="00D83180" w:rsidRPr="009A4B4C" w:rsidRDefault="00D83180" w:rsidP="00D83180">
      <w:pPr>
        <w:pStyle w:val="ATHeading3"/>
      </w:pPr>
      <w:bookmarkStart w:id="6" w:name="Sujet"/>
      <w:r w:rsidRPr="009A4B4C">
        <w:t xml:space="preserve">Законодателна резолюция на Европейския парламент от </w:t>
      </w:r>
      <w:r w:rsidR="00593D12">
        <w:t>24</w:t>
      </w:r>
      <w:r w:rsidR="000C4FA1">
        <w:t xml:space="preserve"> април</w:t>
      </w:r>
      <w:r w:rsidR="000C4FA1" w:rsidRPr="009A4B4C">
        <w:t xml:space="preserve"> </w:t>
      </w:r>
      <w:r w:rsidRPr="009A4B4C">
        <w:t xml:space="preserve">2024 г. относно предложението за регламент на Съвета за изменение на Регламент (ЕС) 2021/1173 по отношение на инициативата </w:t>
      </w:r>
      <w:proofErr w:type="spellStart"/>
      <w:r w:rsidRPr="009A4B4C">
        <w:t>EuroHPC</w:t>
      </w:r>
      <w:proofErr w:type="spellEnd"/>
      <w:r w:rsidRPr="009A4B4C">
        <w:t xml:space="preserve"> за новосъздадени предприятия с цел засилване на водещата роля на Европа в областта на надеждния изкуствен интелект</w:t>
      </w:r>
      <w:bookmarkEnd w:id="6"/>
      <w:r w:rsidRPr="009A4B4C">
        <w:t xml:space="preserve"> </w:t>
      </w:r>
      <w:bookmarkStart w:id="7" w:name="References"/>
      <w:r w:rsidRPr="009A4B4C">
        <w:t>(COM(2024)0029 – C9-0013/2024 – 2024/0016(CNS))</w:t>
      </w:r>
      <w:bookmarkEnd w:id="7"/>
    </w:p>
    <w:p w:rsidR="00D83180" w:rsidRPr="009A4B4C" w:rsidRDefault="00D83180" w:rsidP="00D83180"/>
    <w:p w:rsidR="00EF006A" w:rsidRPr="009A4B4C" w:rsidRDefault="00EF006A" w:rsidP="00EF006A">
      <w:pPr>
        <w:pStyle w:val="NormalBold"/>
      </w:pPr>
      <w:bookmarkStart w:id="8" w:name="TextBodyBegin"/>
      <w:bookmarkEnd w:id="8"/>
      <w:r w:rsidRPr="009A4B4C">
        <w:t>(Специална законодателна процедура – консултация)</w:t>
      </w:r>
    </w:p>
    <w:p w:rsidR="00EF006A" w:rsidRPr="009A4B4C" w:rsidRDefault="00EF006A" w:rsidP="00EF006A">
      <w:pPr>
        <w:pStyle w:val="EPComma"/>
      </w:pPr>
      <w:r w:rsidRPr="009A4B4C">
        <w:rPr>
          <w:i/>
        </w:rPr>
        <w:t>Европейският парламент,</w:t>
      </w:r>
    </w:p>
    <w:p w:rsidR="00EF006A" w:rsidRPr="009A4B4C" w:rsidRDefault="00EF006A" w:rsidP="00EF006A">
      <w:pPr>
        <w:pStyle w:val="NormalHanging12a"/>
      </w:pPr>
      <w:r w:rsidRPr="009A4B4C">
        <w:t>–</w:t>
      </w:r>
      <w:r w:rsidRPr="009A4B4C">
        <w:tab/>
        <w:t>като взе предвид предложението на Комисията до Съвета (COM(2024)0029),</w:t>
      </w:r>
    </w:p>
    <w:p w:rsidR="00EF006A" w:rsidRPr="009A4B4C" w:rsidRDefault="00EF006A" w:rsidP="00EF006A">
      <w:pPr>
        <w:pStyle w:val="NormalHanging12a"/>
      </w:pPr>
      <w:r w:rsidRPr="009A4B4C">
        <w:t>–</w:t>
      </w:r>
      <w:r w:rsidRPr="009A4B4C">
        <w:tab/>
        <w:t>като взе предвид член 187 и член 188, първа алинея от Договора за функционирането на Европейския съюз, съгласно които Съветът се е консултирал с Парламента (C9</w:t>
      </w:r>
      <w:r w:rsidRPr="009A4B4C">
        <w:noBreakHyphen/>
        <w:t>0013/2024),</w:t>
      </w:r>
    </w:p>
    <w:p w:rsidR="00EF006A" w:rsidRPr="009A4B4C" w:rsidRDefault="00EF006A" w:rsidP="00EF006A">
      <w:pPr>
        <w:pStyle w:val="NormalHanging12a"/>
      </w:pPr>
      <w:r w:rsidRPr="009A4B4C">
        <w:t>–</w:t>
      </w:r>
      <w:r w:rsidRPr="009A4B4C">
        <w:tab/>
        <w:t>като взе предвид член 82 от своя Правилник за дейността,</w:t>
      </w:r>
    </w:p>
    <w:p w:rsidR="00EF006A" w:rsidRPr="009A4B4C" w:rsidRDefault="00EF006A" w:rsidP="00EF006A">
      <w:pPr>
        <w:pStyle w:val="NormalHanging12a"/>
      </w:pPr>
      <w:r w:rsidRPr="009A4B4C">
        <w:t>–</w:t>
      </w:r>
      <w:r w:rsidRPr="009A4B4C">
        <w:tab/>
        <w:t>като взе предвид доклада на комисията по промишленост, изследвания и енергетика (A9-0161/2024),</w:t>
      </w:r>
    </w:p>
    <w:p w:rsidR="00EF006A" w:rsidRPr="009A4B4C" w:rsidRDefault="00EF006A" w:rsidP="00EF006A">
      <w:pPr>
        <w:pStyle w:val="NormalHanging12a"/>
      </w:pPr>
      <w:r w:rsidRPr="009A4B4C">
        <w:t>1.</w:t>
      </w:r>
      <w:r w:rsidRPr="009A4B4C">
        <w:tab/>
        <w:t>одобрява предложението на Комисията, както е изменено;</w:t>
      </w:r>
    </w:p>
    <w:p w:rsidR="00EF006A" w:rsidRPr="009A4B4C" w:rsidRDefault="00EF006A" w:rsidP="00EF006A">
      <w:pPr>
        <w:pStyle w:val="NormalHanging12a"/>
      </w:pPr>
      <w:r w:rsidRPr="009A4B4C">
        <w:t>2.</w:t>
      </w:r>
      <w:r w:rsidRPr="009A4B4C">
        <w:tab/>
        <w:t>приканва Комисията да промени съответно своето предложение съгласно член 293, параграф 2 от Договора за функционирането на Европейския съюз;</w:t>
      </w:r>
    </w:p>
    <w:p w:rsidR="00EF006A" w:rsidRPr="009A4B4C" w:rsidRDefault="00EF006A" w:rsidP="00EF006A">
      <w:pPr>
        <w:pStyle w:val="NormalHanging12a"/>
      </w:pPr>
      <w:r w:rsidRPr="009A4B4C">
        <w:t>3.</w:t>
      </w:r>
      <w:r w:rsidRPr="009A4B4C">
        <w:tab/>
        <w:t>приканва Съвета, в случай че възнамерява да се отклони от текста, одобрен от Парламента, да го информира за това;</w:t>
      </w:r>
    </w:p>
    <w:p w:rsidR="00EF006A" w:rsidRPr="009A4B4C" w:rsidRDefault="00EF006A" w:rsidP="00EF006A">
      <w:pPr>
        <w:pStyle w:val="NormalHanging12a"/>
      </w:pPr>
      <w:r w:rsidRPr="009A4B4C">
        <w:t>4.</w:t>
      </w:r>
      <w:r w:rsidRPr="009A4B4C">
        <w:tab/>
        <w:t>призовава Съвета отново да се консултира с него, в случай че възнамерява да внесе съществени изменения в предложението на Комисията;</w:t>
      </w:r>
    </w:p>
    <w:p w:rsidR="00EF006A" w:rsidRPr="009A4B4C" w:rsidRDefault="00EF006A" w:rsidP="00EF006A">
      <w:pPr>
        <w:pStyle w:val="NormalHanging12a"/>
      </w:pPr>
      <w:r w:rsidRPr="009A4B4C">
        <w:lastRenderedPageBreak/>
        <w:t>5.</w:t>
      </w:r>
      <w:r w:rsidRPr="009A4B4C">
        <w:tab/>
        <w:t>възлага на своя председател да предаде позицията на Парламента съответно на Съвета и на Комисията, както и на националните парламенти.</w:t>
      </w:r>
    </w:p>
    <w:p w:rsidR="00EF006A" w:rsidRPr="009A4B4C" w:rsidRDefault="00EF006A" w:rsidP="00EF006A">
      <w:pPr>
        <w:widowControl/>
      </w:pPr>
      <w:r w:rsidRPr="009A4B4C">
        <w:br w:type="page"/>
      </w:r>
    </w:p>
    <w:p w:rsidR="00EF006A" w:rsidRPr="009A4B4C" w:rsidRDefault="00EF006A" w:rsidP="00EF006A">
      <w:pPr>
        <w:pStyle w:val="AmNumberTabs"/>
        <w:keepNext/>
      </w:pPr>
      <w:r w:rsidRPr="009A4B4C">
        <w:lastRenderedPageBreak/>
        <w:t>Изменение</w:t>
      </w:r>
      <w:r w:rsidRPr="009A4B4C">
        <w:tab/>
      </w:r>
      <w:r w:rsidRPr="009A4B4C">
        <w:tab/>
        <w:t>1</w:t>
      </w:r>
    </w:p>
    <w:p w:rsidR="00EF006A" w:rsidRPr="009A4B4C" w:rsidRDefault="00EF006A" w:rsidP="00EF006A">
      <w:pPr>
        <w:pStyle w:val="AmHeadingConsam"/>
      </w:pPr>
      <w:r w:rsidRPr="009A4B4C">
        <w:t>ИЗМЕНЕНИЯ, ВНЕСЕНИ ОТ ЕВРОПЕЙСКИЯ ПАРЛАМЕНТ</w:t>
      </w:r>
      <w:r w:rsidRPr="009A4B4C">
        <w:rPr>
          <w:rStyle w:val="FootnoteReference"/>
        </w:rPr>
        <w:footnoteReference w:customMarkFollows="1" w:id="1"/>
        <w:t>*</w:t>
      </w:r>
    </w:p>
    <w:p w:rsidR="00EF006A" w:rsidRPr="009A4B4C" w:rsidRDefault="00EF006A" w:rsidP="00EF006A">
      <w:pPr>
        <w:pStyle w:val="NormalCenter12a"/>
      </w:pPr>
      <w:r w:rsidRPr="009A4B4C">
        <w:t>към предложението на Комисията</w:t>
      </w:r>
    </w:p>
    <w:p w:rsidR="00EF006A" w:rsidRPr="009A4B4C" w:rsidRDefault="00EF006A" w:rsidP="00EF006A">
      <w:pPr>
        <w:pStyle w:val="NormalCenter12a"/>
      </w:pPr>
      <w:r w:rsidRPr="009A4B4C">
        <w:t>---------------------------------------------------------</w:t>
      </w:r>
    </w:p>
    <w:p w:rsidR="00EF006A" w:rsidRPr="009A4B4C" w:rsidRDefault="00EF006A" w:rsidP="00EF006A">
      <w:pPr>
        <w:pStyle w:val="Rfrenceinterinstitutionnelle"/>
        <w:rPr>
          <w:noProof/>
        </w:rPr>
      </w:pPr>
      <w:r w:rsidRPr="009A4B4C">
        <w:t>2024/0016(CNS)</w:t>
      </w:r>
    </w:p>
    <w:p w:rsidR="00EF006A" w:rsidRPr="009A4B4C" w:rsidRDefault="00EF006A" w:rsidP="00EF006A">
      <w:pPr>
        <w:pStyle w:val="Statut"/>
        <w:rPr>
          <w:noProof/>
        </w:rPr>
      </w:pPr>
      <w:r w:rsidRPr="009A4B4C">
        <w:t>Предложение за</w:t>
      </w:r>
    </w:p>
    <w:p w:rsidR="00EF006A" w:rsidRPr="009A4B4C" w:rsidRDefault="00EF006A" w:rsidP="00EF006A">
      <w:pPr>
        <w:pStyle w:val="Typedudocument"/>
        <w:rPr>
          <w:noProof/>
        </w:rPr>
      </w:pPr>
      <w:r w:rsidRPr="009A4B4C">
        <w:t>РЕГЛАМЕНТ НА СЪВЕТА</w:t>
      </w:r>
    </w:p>
    <w:p w:rsidR="00EF006A" w:rsidRPr="009A4B4C" w:rsidRDefault="00EF006A" w:rsidP="00EF006A">
      <w:pPr>
        <w:pStyle w:val="Titreobjet"/>
        <w:rPr>
          <w:noProof/>
        </w:rPr>
      </w:pPr>
      <w:r w:rsidRPr="009A4B4C">
        <w:t xml:space="preserve">за изменение на Регламент (ЕС) 2021/1173 по отношение на инициативата </w:t>
      </w:r>
      <w:proofErr w:type="spellStart"/>
      <w:r w:rsidRPr="009A4B4C">
        <w:t>EuroHPC</w:t>
      </w:r>
      <w:proofErr w:type="spellEnd"/>
      <w:r w:rsidRPr="009A4B4C">
        <w:t xml:space="preserve"> за новосъздадени предприятия с цел засилване на водещата роля на Европа в областта на надеждния изкуствен интелект</w:t>
      </w:r>
    </w:p>
    <w:p w:rsidR="00EF006A" w:rsidRPr="009A4B4C" w:rsidRDefault="00EF006A" w:rsidP="00EF006A">
      <w:pPr>
        <w:pStyle w:val="Institutionquiagit"/>
        <w:rPr>
          <w:noProof/>
        </w:rPr>
      </w:pPr>
      <w:r w:rsidRPr="009A4B4C">
        <w:t>СЪВЕТЪТ НА ЕВРОПЕЙСКИЯ СЪЮЗ,</w:t>
      </w:r>
    </w:p>
    <w:p w:rsidR="00EF006A" w:rsidRPr="009A4B4C" w:rsidRDefault="00EF006A" w:rsidP="00EF006A">
      <w:pPr>
        <w:spacing w:before="120" w:after="120"/>
        <w:rPr>
          <w:rFonts w:eastAsia="Calibri"/>
          <w:noProof/>
          <w:szCs w:val="22"/>
        </w:rPr>
      </w:pPr>
      <w:r w:rsidRPr="009A4B4C">
        <w:t>като взе предвид Договора за функционирането на Европейския съюз, и по-специално член 187 и член 188, първа алинея от него,</w:t>
      </w:r>
    </w:p>
    <w:p w:rsidR="00EF006A" w:rsidRPr="009A4B4C" w:rsidRDefault="00EF006A" w:rsidP="00EF006A">
      <w:pPr>
        <w:spacing w:before="120" w:after="120"/>
        <w:rPr>
          <w:rFonts w:eastAsia="Calibri"/>
          <w:noProof/>
          <w:szCs w:val="22"/>
        </w:rPr>
      </w:pPr>
      <w:r w:rsidRPr="009A4B4C">
        <w:t>като взе предвид предложението на Европейската комисия,</w:t>
      </w:r>
    </w:p>
    <w:p w:rsidR="00EF006A" w:rsidRPr="009A4B4C" w:rsidRDefault="00EF006A" w:rsidP="00EF006A">
      <w:pPr>
        <w:spacing w:before="120" w:after="120"/>
        <w:rPr>
          <w:noProof/>
        </w:rPr>
      </w:pPr>
      <w:r w:rsidRPr="009A4B4C">
        <w:t>като взе предвид становището на Европейския парламент</w:t>
      </w:r>
      <w:r w:rsidRPr="009A4B4C">
        <w:rPr>
          <w:rStyle w:val="FootnoteReference"/>
          <w:noProof/>
        </w:rPr>
        <w:footnoteReference w:id="2"/>
      </w:r>
      <w:r w:rsidRPr="009A4B4C">
        <w:t>,</w:t>
      </w:r>
    </w:p>
    <w:p w:rsidR="00EF006A" w:rsidRPr="009A4B4C" w:rsidRDefault="00EF006A" w:rsidP="00EF006A">
      <w:pPr>
        <w:spacing w:before="120" w:after="120"/>
        <w:rPr>
          <w:rFonts w:eastAsia="Calibri"/>
          <w:noProof/>
          <w:szCs w:val="22"/>
        </w:rPr>
      </w:pPr>
      <w:r w:rsidRPr="009A4B4C">
        <w:t>като взе предвид становището на Европейския икономически и социален комитет</w:t>
      </w:r>
      <w:r w:rsidRPr="009A4B4C">
        <w:rPr>
          <w:rStyle w:val="FootnoteReference"/>
          <w:noProof/>
        </w:rPr>
        <w:footnoteReference w:id="3"/>
      </w:r>
      <w:r w:rsidRPr="009A4B4C">
        <w:t xml:space="preserve">, </w:t>
      </w:r>
    </w:p>
    <w:p w:rsidR="00EF006A" w:rsidRPr="009A4B4C" w:rsidRDefault="00EF006A" w:rsidP="00EF006A">
      <w:pPr>
        <w:spacing w:before="120" w:after="120"/>
        <w:rPr>
          <w:rFonts w:eastAsia="Calibri"/>
          <w:noProof/>
          <w:szCs w:val="22"/>
        </w:rPr>
      </w:pPr>
      <w:r w:rsidRPr="009A4B4C">
        <w:t>в съответствие със специална законодателна процедура,</w:t>
      </w:r>
    </w:p>
    <w:p w:rsidR="00EF006A" w:rsidRPr="009A4B4C" w:rsidRDefault="00EF006A" w:rsidP="00EF006A">
      <w:pPr>
        <w:spacing w:before="120" w:after="120"/>
        <w:rPr>
          <w:rFonts w:eastAsia="Calibri"/>
          <w:noProof/>
          <w:szCs w:val="22"/>
        </w:rPr>
      </w:pPr>
      <w:r w:rsidRPr="009A4B4C">
        <w:t>като има предвид, че:</w:t>
      </w:r>
    </w:p>
    <w:p w:rsidR="00EF006A" w:rsidRPr="009A4B4C" w:rsidRDefault="00EF006A" w:rsidP="00EF006A">
      <w:pPr>
        <w:pStyle w:val="ManualConsidrant"/>
        <w:rPr>
          <w:noProof/>
        </w:rPr>
      </w:pPr>
      <w:r w:rsidRPr="009A4B4C">
        <w:t>1)</w:t>
      </w:r>
      <w:r w:rsidRPr="009A4B4C">
        <w:tab/>
      </w:r>
      <w:r w:rsidRPr="009A4B4C">
        <w:rPr>
          <w:rStyle w:val="normaltextrun"/>
        </w:rPr>
        <w:t>Регламент (ЕС) 2024/... на Европейския парламент и на Съвета за определяне на хармонизирани правила относно изкуствения интелект</w:t>
      </w:r>
      <w:r w:rsidRPr="009A4B4C">
        <w:rPr>
          <w:rStyle w:val="FootnoteReference"/>
          <w:noProof/>
        </w:rPr>
        <w:footnoteReference w:id="4"/>
      </w:r>
      <w:r w:rsidRPr="009A4B4C">
        <w:rPr>
          <w:rStyle w:val="normaltextrun"/>
        </w:rPr>
        <w:t xml:space="preserve"> („Законодателен акт за изкуствения интелект“) има за цел да</w:t>
      </w:r>
      <w:r w:rsidRPr="009A4B4C">
        <w:t xml:space="preserve"> подобри функционирането на вътрешния пазар чрез установяване на единна правна рамка, по-специално за разработването, предлагането на пазара и използването на изкуствен интелект в съответствие с ценностите на Съюза. </w:t>
      </w:r>
    </w:p>
    <w:p w:rsidR="00EF006A" w:rsidRPr="009A4B4C" w:rsidRDefault="00EF006A" w:rsidP="00EF006A">
      <w:pPr>
        <w:pStyle w:val="ManualConsidrant"/>
        <w:rPr>
          <w:noProof/>
        </w:rPr>
      </w:pPr>
      <w:r w:rsidRPr="009A4B4C">
        <w:lastRenderedPageBreak/>
        <w:t>2)</w:t>
      </w:r>
      <w:r w:rsidRPr="009A4B4C">
        <w:tab/>
        <w:t>От 2021 г. насам, когато беше приет Регламент (ЕС) 2021/1173 на Съвета</w:t>
      </w:r>
      <w:r w:rsidRPr="009A4B4C">
        <w:rPr>
          <w:rStyle w:val="FootnoteReference"/>
          <w:noProof/>
        </w:rPr>
        <w:footnoteReference w:id="5"/>
      </w:r>
      <w:r w:rsidRPr="009A4B4C">
        <w:t xml:space="preserve">, областта на изкуствения интелект (ИИ) отбеляза огромен технически напредък и се превърна в силно стратегическа и оспорвана област в световен мащаб. Съюзът има ръководна роля в усилията за подкрепа на </w:t>
      </w:r>
      <w:r w:rsidRPr="009A4B4C">
        <w:rPr>
          <w:b/>
          <w:bCs/>
          <w:i/>
          <w:iCs/>
        </w:rPr>
        <w:t>етичните и</w:t>
      </w:r>
      <w:r w:rsidRPr="009A4B4C">
        <w:t xml:space="preserve"> </w:t>
      </w:r>
      <w:r w:rsidRPr="009A4B4C">
        <w:rPr>
          <w:b/>
          <w:bCs/>
          <w:i/>
          <w:iCs/>
        </w:rPr>
        <w:t>отговорни</w:t>
      </w:r>
      <w:r w:rsidRPr="009A4B4C">
        <w:t xml:space="preserve"> иновации в областта на надеждния ИИ, като същевременно създава предпазни механизми и развива ефективно управление.</w:t>
      </w:r>
    </w:p>
    <w:p w:rsidR="00EF006A" w:rsidRPr="009A4B4C" w:rsidRDefault="00EF006A" w:rsidP="00EF006A">
      <w:pPr>
        <w:pStyle w:val="ManualConsidrant"/>
        <w:rPr>
          <w:rStyle w:val="eop"/>
          <w:noProof/>
        </w:rPr>
      </w:pPr>
      <w:r w:rsidRPr="009A4B4C">
        <w:t>3)</w:t>
      </w:r>
      <w:r w:rsidRPr="009A4B4C">
        <w:tab/>
      </w:r>
      <w:r w:rsidRPr="009A4B4C">
        <w:rPr>
          <w:rStyle w:val="normaltextrun"/>
        </w:rPr>
        <w:t>На 13 септември 2023 г., като част от всеобхватен подход в подкрепа на отговорните иновации в областта на ИИ, Комисията обяви нова стратегическа инициатива за предоставяне на високопроизводителния изчислителен капацитет на Съюза на иновативни европейски новосъздадени предприятия в областта на надеждния ИИ за обучение на техните модели. Това допълва работата за създаване на предпазни механизми за ИИ чрез Регламент (ЕС) 2024/..., за създаване на управленски структури и за подкрепа на иновациите чрез координирания план за изкуствения интелект. </w:t>
      </w:r>
      <w:r w:rsidRPr="009A4B4C">
        <w:rPr>
          <w:rStyle w:val="eop"/>
        </w:rPr>
        <w:t> </w:t>
      </w:r>
    </w:p>
    <w:p w:rsidR="00EF006A" w:rsidRPr="009A4B4C" w:rsidRDefault="00EF006A" w:rsidP="00EF006A">
      <w:pPr>
        <w:spacing w:before="120" w:after="120"/>
        <w:ind w:left="709" w:hanging="709"/>
        <w:jc w:val="both"/>
      </w:pPr>
      <w:r w:rsidRPr="009A4B4C">
        <w:rPr>
          <w:b/>
          <w:i/>
        </w:rPr>
        <w:t>3a)</w:t>
      </w:r>
      <w:r w:rsidRPr="009A4B4C">
        <w:rPr>
          <w:b/>
          <w:i/>
        </w:rPr>
        <w:tab/>
      </w:r>
      <w:r w:rsidRPr="009A4B4C">
        <w:rPr>
          <w:b/>
          <w:bCs/>
          <w:i/>
          <w:iCs/>
        </w:rPr>
        <w:t>За да се ползва от своята инфраструктура от суперкомпютри и за да се насърчи иновативна европейска екосистема на ИИ, включително чрез създаването на инфраструктурни комплекси за ИИ в целия Съюз, в съобщението на Комисията от 24 януари 2024 г. относно стимулирането на новосъздадените предприятия и иновациите в областта на надеждния изкуствен интелект се очертава стратегическа рамка за инвестиции, която да даде възможност на новосъздадени предприятия и на отрасъла в Съюза да реализират своя потенциал да се превърнат в световни лидери в областта на надеждните усъвършенствани модели, системи и приложения с ИИ.</w:t>
      </w:r>
    </w:p>
    <w:p w:rsidR="00EF006A" w:rsidRPr="009A4B4C" w:rsidRDefault="00EF006A" w:rsidP="00EF006A">
      <w:pPr>
        <w:pStyle w:val="ManualConsidrant"/>
      </w:pPr>
      <w:r w:rsidRPr="009A4B4C">
        <w:t>4)</w:t>
      </w:r>
      <w:r w:rsidRPr="009A4B4C">
        <w:tab/>
        <w:t xml:space="preserve">Като се има предвид, че най-голямата </w:t>
      </w:r>
      <w:proofErr w:type="spellStart"/>
      <w:r w:rsidRPr="009A4B4C">
        <w:t>суперкомпютърна</w:t>
      </w:r>
      <w:proofErr w:type="spellEnd"/>
      <w:r w:rsidRPr="009A4B4C">
        <w:t xml:space="preserve"> мощност на Съюза, която е на световно равнище, се намира в съоръженията на Съвместното предприятие за европейски високопроизводителни изчислителни технологии („съвместното предприятие“), именно тези съоръжения следва да бъдат предоставени, за да може инициативата на Комисията да се превърне в реалност. Съответно е необходимо да се въведе допълнителна цел към съществуващите шест цели на съвместното предприятие, която да обхване приноса на суперкомпютрите към новата инициатива на Съюза в областта на ИИ</w:t>
      </w:r>
      <w:r w:rsidRPr="009A4B4C">
        <w:rPr>
          <w:b/>
          <w:bCs/>
          <w:i/>
          <w:iCs/>
        </w:rPr>
        <w:t>, като се гарантира справедливост, прозрачност, надеждност и положително въздействие върху обществото и се отговори на нуждите и целите на Съюза</w:t>
      </w:r>
      <w:r w:rsidRPr="009A4B4C">
        <w:t>.</w:t>
      </w:r>
    </w:p>
    <w:p w:rsidR="00EF006A" w:rsidRPr="009A4B4C" w:rsidRDefault="00EF006A" w:rsidP="00EF006A">
      <w:pPr>
        <w:pStyle w:val="ManualConsidrant"/>
        <w:rPr>
          <w:noProof/>
        </w:rPr>
      </w:pPr>
      <w:r w:rsidRPr="009A4B4C">
        <w:t>5)</w:t>
      </w:r>
      <w:r w:rsidRPr="009A4B4C">
        <w:tab/>
        <w:t xml:space="preserve">Новата цел ще позволи на съвместното предприятие да извършва дейности в областта на </w:t>
      </w:r>
      <w:r w:rsidRPr="009A4B4C">
        <w:rPr>
          <w:b/>
          <w:bCs/>
          <w:i/>
          <w:iCs/>
        </w:rPr>
        <w:t>модернизирането или</w:t>
      </w:r>
      <w:r w:rsidRPr="009A4B4C">
        <w:t xml:space="preserve"> придобиването и експлоатацията на предназначени за ИИ суперкомпютри или дялове от суперкомпютри, за да се даде възможност за бързо машинно самообучение и обучение на </w:t>
      </w:r>
      <w:r w:rsidRPr="009A4B4C">
        <w:rPr>
          <w:b/>
          <w:bCs/>
          <w:i/>
          <w:iCs/>
        </w:rPr>
        <w:t xml:space="preserve">надеждни и етични </w:t>
      </w:r>
      <w:r w:rsidRPr="009A4B4C">
        <w:t>базови модели на ИИ</w:t>
      </w:r>
      <w:r w:rsidRPr="009A4B4C">
        <w:rPr>
          <w:b/>
          <w:bCs/>
          <w:i/>
          <w:iCs/>
        </w:rPr>
        <w:t>, като по този начин се укрепи конкурентоспособността и промишлената база за ИИ в ЕС</w:t>
      </w:r>
      <w:r w:rsidRPr="009A4B4C">
        <w:t>. Съвместното предприятие следва също така да има право да създава нов режим на достъп до своите изчислителни ресурси</w:t>
      </w:r>
      <w:r w:rsidRPr="009A4B4C">
        <w:rPr>
          <w:b/>
          <w:bCs/>
          <w:i/>
          <w:iCs/>
        </w:rPr>
        <w:t>, по-специално</w:t>
      </w:r>
      <w:r w:rsidRPr="009A4B4C">
        <w:t xml:space="preserve"> за новосъздадени предприятия в областта на ИИ и по-широката научна общност, занимаваща се с ИИ, и да разработва специални приложения</w:t>
      </w:r>
      <w:r w:rsidRPr="009A4B4C">
        <w:rPr>
          <w:b/>
          <w:bCs/>
          <w:i/>
          <w:iCs/>
        </w:rPr>
        <w:t>, модели и системи</w:t>
      </w:r>
      <w:r w:rsidRPr="009A4B4C">
        <w:t xml:space="preserve"> с ИИ, които са оптимизирани, за да работят на неговите суперкомпютри</w:t>
      </w:r>
      <w:r w:rsidRPr="009A4B4C">
        <w:rPr>
          <w:b/>
          <w:bCs/>
          <w:i/>
          <w:iCs/>
        </w:rPr>
        <w:t xml:space="preserve">, като същевременно се защитават отвореният достъп, </w:t>
      </w:r>
      <w:r w:rsidRPr="009A4B4C">
        <w:rPr>
          <w:b/>
          <w:bCs/>
          <w:i/>
          <w:iCs/>
        </w:rPr>
        <w:lastRenderedPageBreak/>
        <w:t>справедливостта и прозрачността</w:t>
      </w:r>
      <w:r w:rsidRPr="009A4B4C">
        <w:t xml:space="preserve">. Тези промени биха дали възможност на съвместното предприятие да предложи съобразена с нуждите изчислителна мощност и услуги за подпомагане на широкомащабно обучение и разработване и внедряване в областта на ИИ в Съюза, което не е осъществимо при действието на настоящия регламент. </w:t>
      </w:r>
    </w:p>
    <w:p w:rsidR="00EF006A" w:rsidRPr="009A4B4C" w:rsidRDefault="00EF006A" w:rsidP="00EF006A">
      <w:pPr>
        <w:ind w:left="709" w:hanging="709"/>
        <w:jc w:val="both"/>
        <w:rPr>
          <w:b/>
        </w:rPr>
      </w:pPr>
      <w:r w:rsidRPr="009A4B4C">
        <w:rPr>
          <w:b/>
          <w:i/>
        </w:rPr>
        <w:t>5a)</w:t>
      </w:r>
      <w:r w:rsidRPr="009A4B4C">
        <w:rPr>
          <w:b/>
        </w:rPr>
        <w:tab/>
      </w:r>
      <w:r w:rsidRPr="009A4B4C">
        <w:rPr>
          <w:b/>
          <w:i/>
        </w:rPr>
        <w:t xml:space="preserve">Съвместното предприятие следва да създаде обслужване на едно гише въз основа на принципите на отворен достъп, така че различните видове ползватели да могат да използват напълно потенциала на ИИ за изчисления със суперкомпютри. Информацията за възможностите, предоставяни от инфраструктурните комплекси за ИИ, ще бъде широко разпространена сред новосъздадените предприятия, </w:t>
      </w:r>
      <w:r w:rsidRPr="009A4B4C">
        <w:rPr>
          <w:b/>
          <w:i/>
          <w:snapToGrid w:val="0"/>
        </w:rPr>
        <w:t>малките и средните предприятия</w:t>
      </w:r>
      <w:r w:rsidRPr="009A4B4C">
        <w:rPr>
          <w:b/>
          <w:i/>
        </w:rPr>
        <w:t xml:space="preserve"> (МСП), екосистемата за иновации и изследователите, участващи в програми на Съюза, като се подчертават многобройните ползи, които изкуственият интелект може да предложи в </w:t>
      </w:r>
      <w:proofErr w:type="spellStart"/>
      <w:r w:rsidRPr="009A4B4C">
        <w:rPr>
          <w:b/>
          <w:i/>
        </w:rPr>
        <w:t>суперкомпютърните</w:t>
      </w:r>
      <w:proofErr w:type="spellEnd"/>
      <w:r w:rsidRPr="009A4B4C">
        <w:rPr>
          <w:b/>
          <w:i/>
        </w:rPr>
        <w:t xml:space="preserve"> приложения. Освен това сътрудничеството на равнището на Съюза на инфраструктурните комплекси за ИИ следва да направи изчислителната мощност достъпна като услуга в целия Съюз, което е от съществено значение за предлаганите услуги по поддръжка, като допълнително улесни достъпа до тази критична инфраструктура. Това ще послужи и за разработването на ориентирани към търсенето суперкомпютри на СП </w:t>
      </w:r>
      <w:proofErr w:type="spellStart"/>
      <w:r w:rsidRPr="009A4B4C">
        <w:rPr>
          <w:b/>
          <w:i/>
        </w:rPr>
        <w:t>EuroHPC</w:t>
      </w:r>
      <w:proofErr w:type="spellEnd"/>
      <w:r w:rsidRPr="009A4B4C">
        <w:rPr>
          <w:b/>
          <w:i/>
        </w:rPr>
        <w:t>, като се гарантира, че инфраструктурата отговаря на променящите се нужди на ползвателите и секторите в целия Съюз.</w:t>
      </w:r>
    </w:p>
    <w:p w:rsidR="00EF006A" w:rsidRPr="009A4B4C" w:rsidRDefault="00EF006A" w:rsidP="00EF006A">
      <w:pPr>
        <w:spacing w:before="240"/>
        <w:ind w:left="709" w:hanging="709"/>
        <w:jc w:val="both"/>
        <w:rPr>
          <w:szCs w:val="24"/>
        </w:rPr>
      </w:pPr>
      <w:r w:rsidRPr="009A4B4C">
        <w:rPr>
          <w:b/>
          <w:i/>
        </w:rPr>
        <w:t xml:space="preserve">5б) </w:t>
      </w:r>
      <w:r w:rsidRPr="009A4B4C">
        <w:rPr>
          <w:b/>
          <w:i/>
        </w:rPr>
        <w:tab/>
        <w:t>В резолюцията на Европейския парламент от 14 декември 2023 г. относно увеличаване на иновациите и на промишлената и технологичната конкурентоспособност чрез благоприятна среда за стартиращите и разрастващите се предприятия</w:t>
      </w:r>
      <w:r w:rsidRPr="009A4B4C">
        <w:rPr>
          <w:rStyle w:val="FootnoteReference"/>
          <w:b/>
          <w:i/>
        </w:rPr>
        <w:footnoteReference w:id="6"/>
      </w:r>
      <w:r w:rsidRPr="009A4B4C">
        <w:rPr>
          <w:b/>
          <w:i/>
        </w:rPr>
        <w:t xml:space="preserve"> се подчертава, че </w:t>
      </w:r>
      <w:r w:rsidRPr="009A4B4C">
        <w:rPr>
          <w:b/>
          <w:i/>
          <w:snapToGrid w:val="0"/>
        </w:rPr>
        <w:t xml:space="preserve">разрастващите се предприятия играят решаваща роля за стимулиране на иновациите, създаването на работни места и икономическия растеж в Съюза, а Комисията и държавите членки се призовават да приемат подходящо определение за разрастващо се предприятие въз основа на възможностите за разрастване, като се вземат предвид разликите между тях и стартиращите предприятия и МСП. Управителният съвет на съвместното предприятие следва да определи условията за </w:t>
      </w:r>
      <w:r w:rsidRPr="009A4B4C">
        <w:rPr>
          <w:b/>
          <w:i/>
        </w:rPr>
        <w:t>достъп до такива предназначени за ИИ суперкомпютри и съответните услуги за поддръжка за различните категории ползватели, като например стартиращи предприятия, разрастващи се предприятия, МСП, институции за висше образование и изследователски центрове, с цел преодоляване на ограниченията на разходите и липсата на ресурси и експертен опит.</w:t>
      </w:r>
    </w:p>
    <w:p w:rsidR="00EF006A" w:rsidRPr="009A4B4C" w:rsidRDefault="00EF006A" w:rsidP="00EF006A">
      <w:pPr>
        <w:spacing w:before="240"/>
        <w:ind w:left="709" w:hanging="709"/>
        <w:jc w:val="both"/>
        <w:rPr>
          <w:szCs w:val="24"/>
        </w:rPr>
      </w:pPr>
      <w:r w:rsidRPr="009A4B4C">
        <w:rPr>
          <w:b/>
          <w:i/>
        </w:rPr>
        <w:t>5в)</w:t>
      </w:r>
      <w:r w:rsidRPr="009A4B4C">
        <w:rPr>
          <w:b/>
          <w:i/>
        </w:rPr>
        <w:tab/>
        <w:t xml:space="preserve">Тъй като използването на суперкомпютри за ИИ изисква по-голямо използване на данни, е важно те да са разположени наблизо или да са свързани към съществуващ или планиран център за данни чрез високоскоростни мрежи. Освен това такива центрове за данни следва изцяло да отговарят на изискванията, определени в член 12 от Директива (ЕС) 2023/1791 на </w:t>
      </w:r>
      <w:r w:rsidRPr="009A4B4C">
        <w:rPr>
          <w:b/>
          <w:i/>
        </w:rPr>
        <w:lastRenderedPageBreak/>
        <w:t>Европейския парламент и на Съвета</w:t>
      </w:r>
      <w:r w:rsidRPr="009A4B4C">
        <w:rPr>
          <w:rStyle w:val="FootnoteReference"/>
          <w:b/>
          <w:bCs/>
          <w:i/>
          <w:iCs/>
        </w:rPr>
        <w:footnoteReference w:id="7"/>
      </w:r>
      <w:r w:rsidRPr="009A4B4C">
        <w:rPr>
          <w:b/>
          <w:i/>
        </w:rPr>
        <w:t>, и в бъдеще следва да бъдат взаимосвързани с общите европейски пространства на данни, за да се улесни обучението на модели в ключови секторни области. Доставчиците на хостинг следва да могат ефективно да използват финансовата подкрепа от общите европейски пространства на данни, за да подобрят своята инфраструктура, включително за придобиване или модернизиране на центрове за данни. Следва да</w:t>
      </w:r>
      <w:r w:rsidRPr="009A4B4C">
        <w:rPr>
          <w:i/>
        </w:rPr>
        <w:t xml:space="preserve"> </w:t>
      </w:r>
      <w:r w:rsidRPr="009A4B4C">
        <w:rPr>
          <w:b/>
          <w:bCs/>
          <w:i/>
        </w:rPr>
        <w:t>се насърчават полезните взаимодействия между различните инициативи.</w:t>
      </w:r>
      <w:r w:rsidRPr="009A4B4C">
        <w:t xml:space="preserve"> </w:t>
      </w:r>
    </w:p>
    <w:p w:rsidR="00EF006A" w:rsidRPr="009A4B4C" w:rsidRDefault="00EF006A" w:rsidP="00EF006A">
      <w:pPr>
        <w:spacing w:before="240"/>
        <w:ind w:left="709" w:hanging="709"/>
        <w:jc w:val="both"/>
        <w:rPr>
          <w:b/>
          <w:bCs/>
          <w:i/>
          <w:iCs/>
        </w:rPr>
      </w:pPr>
      <w:r w:rsidRPr="009A4B4C">
        <w:rPr>
          <w:b/>
          <w:i/>
        </w:rPr>
        <w:t>5г)</w:t>
      </w:r>
      <w:r w:rsidRPr="009A4B4C">
        <w:rPr>
          <w:b/>
          <w:i/>
        </w:rPr>
        <w:tab/>
        <w:t xml:space="preserve">Тъй като използването на суперкомпютри за ИИ изисква значително увеличаване на изчислителната мощност, което от своя страна води до по-голямо потребление на енергия, доставчиците на хостинг следва да разполагат с планове по отношение на своята енергийна ефективност и екологична устойчивост. Тези планове следва да гарантират, че суперкомпютърът има достъп до сигурно и стабилно свързване към мрежата и електроснабдяване, за предпочитане чрез чиста, достъпна енергия, включително използване на споразумения за закупуване на електроенергия, които могат да се основават и на възобновяема енергия, и използване на електроенергия, която се произвежда на място. Освен това моделите с ИИ следва да отговарят на изискванията за потребление на енергия, определени в Регламент </w:t>
      </w:r>
      <w:r w:rsidR="00593D12">
        <w:rPr>
          <w:b/>
          <w:i/>
          <w:lang w:val="en-GB"/>
        </w:rPr>
        <w:t>(</w:t>
      </w:r>
      <w:r w:rsidR="00593D12">
        <w:rPr>
          <w:b/>
          <w:i/>
        </w:rPr>
        <w:t>ЕС) 2024/</w:t>
      </w:r>
      <w:r w:rsidRPr="009A4B4C">
        <w:rPr>
          <w:b/>
          <w:i/>
        </w:rPr>
        <w:t>... [Законодателен акт за изкуствения интелект]. Следва да се спазват задълженията за докладване за моделите с ИИ с общо предназначение, определени в посочения регламент.</w:t>
      </w:r>
    </w:p>
    <w:p w:rsidR="00EF006A" w:rsidRPr="009A4B4C" w:rsidRDefault="00EF006A" w:rsidP="00EF006A">
      <w:pPr>
        <w:spacing w:before="240"/>
        <w:ind w:left="709" w:hanging="709"/>
        <w:jc w:val="both"/>
        <w:rPr>
          <w:b/>
        </w:rPr>
      </w:pPr>
      <w:r w:rsidRPr="009A4B4C">
        <w:rPr>
          <w:b/>
          <w:i/>
        </w:rPr>
        <w:t>5д)</w:t>
      </w:r>
      <w:r w:rsidRPr="009A4B4C">
        <w:rPr>
          <w:b/>
          <w:i/>
        </w:rPr>
        <w:tab/>
        <w:t>Инфраструктурните комплекси за ИИ ще предоставят цялостни услуги за поддръжка при изчисления със суперкомпютър на новосъздадените предприятия в областта на ИИ, малките иновативни предприятия и по-широката екосистема за научни изследвания и иновации. Тези услуги са от решаващо значение за улесняване на достъпа до суперкомпютри, като предлагат специални възможности за програмиране и алгоритмична поддръжка за разработването, изпитването, оценката и валидирането на модели и системи за обучение в областта на ИИ. Освен това те подпомагат създаването на нови случаи на употреба и нововъзникващи приложения в стратегическите области на Съюза, включително роботика и производство, нови материали и батерии, космическо пространство, мобилност, свързано и автоматизирано шофиране, здравеопазване и грижи, биотехнологии, енергетика, изменение на климата и адаптиране към него, сложна системна динамика, виртуални светове и цифрови близнаци, киберсигурност, селскостопански практики, научни изследвания и иновации и публичен сектор.</w:t>
      </w:r>
    </w:p>
    <w:p w:rsidR="00EF006A" w:rsidRPr="009A4B4C" w:rsidRDefault="00EF006A" w:rsidP="00EF006A">
      <w:pPr>
        <w:pStyle w:val="ManualConsidrant"/>
        <w:rPr>
          <w:noProof/>
        </w:rPr>
      </w:pPr>
      <w:r w:rsidRPr="009A4B4C">
        <w:t>6)</w:t>
      </w:r>
      <w:r w:rsidRPr="009A4B4C">
        <w:tab/>
        <w:t xml:space="preserve">За да се съгласува датата на прилагане на настоящия регламент с датата на прилагане на разпоредбите на Регламент </w:t>
      </w:r>
      <w:r w:rsidRPr="009A4B4C">
        <w:rPr>
          <w:rStyle w:val="normaltextrun"/>
        </w:rPr>
        <w:t xml:space="preserve">(ЕС) 2024/... на Европейския парламент и на Съвета за определяне на хармонизирани правила относно изкуствения интелект, </w:t>
      </w:r>
      <w:r w:rsidRPr="009A4B4C">
        <w:t>той следва да започне да се прилага без ненужно забавяне.</w:t>
      </w:r>
    </w:p>
    <w:p w:rsidR="00EF006A" w:rsidRPr="009A4B4C" w:rsidRDefault="00EF006A" w:rsidP="00EF006A">
      <w:pPr>
        <w:pStyle w:val="ManualConsidrant"/>
        <w:rPr>
          <w:noProof/>
        </w:rPr>
      </w:pPr>
      <w:r w:rsidRPr="009A4B4C">
        <w:t>7)</w:t>
      </w:r>
      <w:r w:rsidRPr="009A4B4C">
        <w:tab/>
        <w:t>Поради това Регламент (ЕС) 2021/1173 следва да бъде съответно изменен,</w:t>
      </w:r>
    </w:p>
    <w:p w:rsidR="00EF006A" w:rsidRPr="009A4B4C" w:rsidRDefault="00EF006A" w:rsidP="00EF006A">
      <w:pPr>
        <w:pStyle w:val="Formuledadoption"/>
        <w:rPr>
          <w:noProof/>
        </w:rPr>
      </w:pPr>
      <w:r w:rsidRPr="009A4B4C">
        <w:lastRenderedPageBreak/>
        <w:t>ПРИЕ НАСТОЯЩИЯ РЕГЛАМЕНТ:</w:t>
      </w:r>
    </w:p>
    <w:p w:rsidR="00EF006A" w:rsidRPr="009A4B4C" w:rsidRDefault="00EF006A" w:rsidP="00EF006A">
      <w:pPr>
        <w:pStyle w:val="Titrearticle"/>
        <w:rPr>
          <w:noProof/>
        </w:rPr>
      </w:pPr>
      <w:r w:rsidRPr="009A4B4C">
        <w:t>Член 1</w:t>
      </w:r>
    </w:p>
    <w:p w:rsidR="00EF006A" w:rsidRPr="009A4B4C" w:rsidRDefault="00EF006A" w:rsidP="00EF006A">
      <w:pPr>
        <w:rPr>
          <w:noProof/>
        </w:rPr>
      </w:pPr>
      <w:r w:rsidRPr="009A4B4C">
        <w:t xml:space="preserve">Регламент (ЕС) 2021/1173 се изменя, както следва: </w:t>
      </w:r>
    </w:p>
    <w:p w:rsidR="00EF006A" w:rsidRPr="009A4B4C" w:rsidRDefault="00EF006A" w:rsidP="00EF006A">
      <w:pPr>
        <w:pStyle w:val="ListParagraph"/>
        <w:ind w:left="1080"/>
        <w:rPr>
          <w:noProof/>
        </w:rPr>
      </w:pPr>
    </w:p>
    <w:p w:rsidR="00EF006A" w:rsidRPr="009A4B4C" w:rsidRDefault="00EF006A" w:rsidP="00EF006A">
      <w:pPr>
        <w:pStyle w:val="Point0"/>
        <w:rPr>
          <w:noProof/>
        </w:rPr>
      </w:pPr>
      <w:r w:rsidRPr="009A4B4C">
        <w:t>1)</w:t>
      </w:r>
      <w:r w:rsidRPr="009A4B4C">
        <w:tab/>
        <w:t>член 2 се изменя, както следва:</w:t>
      </w:r>
    </w:p>
    <w:p w:rsidR="00EF006A" w:rsidRPr="009A4B4C" w:rsidRDefault="00EF006A" w:rsidP="00EF006A">
      <w:pPr>
        <w:pStyle w:val="Point0"/>
        <w:ind w:left="1700"/>
        <w:rPr>
          <w:noProof/>
        </w:rPr>
      </w:pPr>
      <w:r w:rsidRPr="009A4B4C">
        <w:t>a)</w:t>
      </w:r>
      <w:r w:rsidRPr="009A4B4C">
        <w:tab/>
        <w:t>вмъкват се следните точки 3a) и 3б):</w:t>
      </w:r>
    </w:p>
    <w:p w:rsidR="00EF006A" w:rsidRPr="009A4B4C" w:rsidRDefault="00EF006A" w:rsidP="00EF006A">
      <w:pPr>
        <w:pStyle w:val="ListParagraph"/>
        <w:ind w:left="2160" w:hanging="590"/>
        <w:rPr>
          <w:noProof/>
        </w:rPr>
      </w:pPr>
      <w:r w:rsidRPr="009A4B4C">
        <w:t xml:space="preserve">„3б) </w:t>
      </w:r>
      <w:r w:rsidRPr="009A4B4C">
        <w:tab/>
        <w:t xml:space="preserve">„предназначен за изкуствен интелект суперкомпютър“ означава суперкомпютър, който е проектиран предимно за обучение на </w:t>
      </w:r>
      <w:r w:rsidRPr="009A4B4C">
        <w:rPr>
          <w:b/>
          <w:bCs/>
          <w:i/>
          <w:iCs/>
        </w:rPr>
        <w:t xml:space="preserve">граждански </w:t>
      </w:r>
      <w:r w:rsidRPr="009A4B4C">
        <w:t>широкомащабни модели на изкуствен интелект с общо предназначение и нововъзникващи приложения за изкуствен интелект</w:t>
      </w:r>
      <w:r w:rsidRPr="009A4B4C">
        <w:rPr>
          <w:b/>
          <w:bCs/>
          <w:i/>
          <w:iCs/>
        </w:rPr>
        <w:t>, и за разработване на технологии и системи</w:t>
      </w:r>
      <w:r w:rsidRPr="009A4B4C">
        <w:t>;</w:t>
      </w:r>
    </w:p>
    <w:p w:rsidR="00EF006A" w:rsidRPr="009A4B4C" w:rsidRDefault="00EF006A" w:rsidP="00EF006A">
      <w:pPr>
        <w:pStyle w:val="ListParagraph"/>
        <w:ind w:left="1570"/>
        <w:rPr>
          <w:noProof/>
        </w:rPr>
      </w:pPr>
    </w:p>
    <w:p w:rsidR="00EF006A" w:rsidRPr="009A4B4C" w:rsidRDefault="00EF006A" w:rsidP="00EF006A">
      <w:pPr>
        <w:pStyle w:val="ListParagraph"/>
        <w:ind w:left="2160" w:hanging="590"/>
        <w:rPr>
          <w:noProof/>
        </w:rPr>
      </w:pPr>
      <w:r w:rsidRPr="009A4B4C">
        <w:t xml:space="preserve">3в) </w:t>
      </w:r>
      <w:r w:rsidRPr="009A4B4C">
        <w:tab/>
        <w:t xml:space="preserve">„инфраструктурен комплекс за изкуствен интелект“ означава </w:t>
      </w:r>
      <w:r w:rsidRPr="009A4B4C">
        <w:rPr>
          <w:b/>
          <w:bCs/>
          <w:i/>
          <w:iCs/>
        </w:rPr>
        <w:t>централизирана</w:t>
      </w:r>
      <w:r w:rsidRPr="009A4B4C">
        <w:t xml:space="preserve"> или </w:t>
      </w:r>
      <w:r w:rsidRPr="009A4B4C">
        <w:rPr>
          <w:b/>
          <w:bCs/>
          <w:i/>
          <w:iCs/>
        </w:rPr>
        <w:t>разпределена отворена екосистема</w:t>
      </w:r>
      <w:r w:rsidRPr="009A4B4C">
        <w:t xml:space="preserve">, </w:t>
      </w:r>
      <w:r w:rsidRPr="009A4B4C">
        <w:rPr>
          <w:b/>
          <w:bCs/>
          <w:i/>
          <w:iCs/>
        </w:rPr>
        <w:t>предоставяща</w:t>
      </w:r>
      <w:r w:rsidRPr="009A4B4C">
        <w:t xml:space="preserve"> инфраструктура за услуги за изчисления със суперкомпютри в областта на изкуствения интелект, която се състои от предназначен за изкуствен интелект суперкомпютър или дял от суперкомпютър </w:t>
      </w:r>
      <w:r w:rsidRPr="009A4B4C">
        <w:rPr>
          <w:b/>
          <w:bCs/>
          <w:i/>
          <w:iCs/>
        </w:rPr>
        <w:t xml:space="preserve">или суперкомпютър на СП </w:t>
      </w:r>
      <w:proofErr w:type="spellStart"/>
      <w:r w:rsidRPr="009A4B4C">
        <w:rPr>
          <w:b/>
          <w:bCs/>
          <w:i/>
          <w:iCs/>
        </w:rPr>
        <w:t>EuroHPC</w:t>
      </w:r>
      <w:proofErr w:type="spellEnd"/>
      <w:r w:rsidRPr="009A4B4C">
        <w:rPr>
          <w:b/>
          <w:bCs/>
          <w:i/>
          <w:iCs/>
        </w:rPr>
        <w:t>, модернизиран за изкуствен интелект,</w:t>
      </w:r>
      <w:r w:rsidRPr="009A4B4C">
        <w:t xml:space="preserve"> свързан с него център за данни, специализирани услуги за достъп и ориентирани към изкуствения интелект услуги за изчисления със суперкомпютър</w:t>
      </w:r>
      <w:r w:rsidRPr="009A4B4C">
        <w:rPr>
          <w:b/>
          <w:bCs/>
          <w:i/>
          <w:iCs/>
        </w:rPr>
        <w:t>, които открито и активно развиват, привличат, задържат</w:t>
      </w:r>
      <w:r w:rsidRPr="009A4B4C">
        <w:t xml:space="preserve"> и</w:t>
      </w:r>
      <w:r w:rsidRPr="009A4B4C">
        <w:rPr>
          <w:b/>
          <w:bCs/>
          <w:i/>
          <w:iCs/>
        </w:rPr>
        <w:t xml:space="preserve"> обединяват</w:t>
      </w:r>
      <w:r w:rsidRPr="009A4B4C">
        <w:t xml:space="preserve"> таланти с цел предоставяне на </w:t>
      </w:r>
      <w:r w:rsidRPr="009A4B4C">
        <w:rPr>
          <w:b/>
          <w:bCs/>
          <w:i/>
          <w:iCs/>
        </w:rPr>
        <w:t>необходимите компетентности, умения и знания</w:t>
      </w:r>
      <w:r w:rsidRPr="009A4B4C">
        <w:t>,</w:t>
      </w:r>
      <w:r w:rsidRPr="009A4B4C">
        <w:rPr>
          <w:b/>
          <w:bCs/>
          <w:i/>
          <w:iCs/>
        </w:rPr>
        <w:t xml:space="preserve"> които подпомагат и насочват ползвателите при използването</w:t>
      </w:r>
      <w:r w:rsidRPr="009A4B4C">
        <w:t xml:space="preserve"> на суперкомпютрите за изкуствен интелект</w:t>
      </w:r>
      <w:r w:rsidRPr="009A4B4C">
        <w:rPr>
          <w:b/>
          <w:bCs/>
          <w:i/>
          <w:iCs/>
        </w:rPr>
        <w:t>,</w:t>
      </w:r>
      <w:r w:rsidRPr="009A4B4C">
        <w:t xml:space="preserve"> </w:t>
      </w:r>
      <w:r w:rsidRPr="009A4B4C">
        <w:rPr>
          <w:b/>
          <w:bCs/>
          <w:i/>
          <w:iCs/>
        </w:rPr>
        <w:t>и които предоставят услугите, необходими за тяхната поддръжка</w:t>
      </w:r>
      <w:r w:rsidRPr="009A4B4C">
        <w:t>;“;</w:t>
      </w:r>
    </w:p>
    <w:p w:rsidR="00EF006A" w:rsidRPr="009A4B4C" w:rsidRDefault="00EF006A" w:rsidP="00EF006A">
      <w:pPr>
        <w:pStyle w:val="Point0"/>
        <w:ind w:left="1700"/>
        <w:rPr>
          <w:noProof/>
        </w:rPr>
      </w:pPr>
      <w:r w:rsidRPr="009A4B4C">
        <w:t>б)</w:t>
      </w:r>
      <w:r w:rsidRPr="009A4B4C">
        <w:tab/>
        <w:t>точка 9) се заменя със следното:</w:t>
      </w:r>
    </w:p>
    <w:p w:rsidR="00EF006A" w:rsidRPr="009A4B4C" w:rsidRDefault="00EF006A" w:rsidP="00EF006A">
      <w:pPr>
        <w:pStyle w:val="ListParagraph"/>
        <w:ind w:left="2160" w:hanging="590"/>
        <w:rPr>
          <w:noProof/>
        </w:rPr>
      </w:pPr>
      <w:r w:rsidRPr="009A4B4C">
        <w:t xml:space="preserve">„9) </w:t>
      </w:r>
      <w:r w:rsidRPr="009A4B4C">
        <w:tab/>
        <w:t xml:space="preserve">„суперкомпютър на СП </w:t>
      </w:r>
      <w:proofErr w:type="spellStart"/>
      <w:r w:rsidRPr="009A4B4C">
        <w:t>EuroHPC</w:t>
      </w:r>
      <w:proofErr w:type="spellEnd"/>
      <w:r w:rsidRPr="009A4B4C">
        <w:t>“ означава всяка изчислителна система, която е изцяло собственост на съвместното предприятие или е съсобственост с други участващи държави или консорциум от частни партньори, която може да бъде класически суперкомпютър (суперкомпютър от висок клас, суперкомпютър от промишлен клас, предназначен за изкуствен интелект суперкомпютър или суперкомпютър от среден клас), хибриден класически квантов компютър, квантов компютър или квантов симулатор;“;</w:t>
      </w:r>
    </w:p>
    <w:p w:rsidR="00EF006A" w:rsidRPr="009A4B4C" w:rsidRDefault="00EF006A" w:rsidP="00EF006A">
      <w:pPr>
        <w:pStyle w:val="ListParagraph"/>
        <w:ind w:left="1570"/>
        <w:rPr>
          <w:noProof/>
        </w:rPr>
      </w:pPr>
    </w:p>
    <w:p w:rsidR="00EF006A" w:rsidRPr="009A4B4C" w:rsidRDefault="00EF006A" w:rsidP="00EF006A">
      <w:pPr>
        <w:pStyle w:val="Point0"/>
        <w:rPr>
          <w:noProof/>
        </w:rPr>
      </w:pPr>
      <w:r w:rsidRPr="009A4B4C">
        <w:t>2)</w:t>
      </w:r>
      <w:r w:rsidRPr="009A4B4C">
        <w:tab/>
        <w:t>в член 3, параграф 2 се добавя следната буква з):</w:t>
      </w:r>
    </w:p>
    <w:p w:rsidR="00EF006A" w:rsidRPr="009A4B4C" w:rsidRDefault="00EF006A" w:rsidP="00EF006A">
      <w:pPr>
        <w:pStyle w:val="Point1"/>
        <w:spacing w:before="0"/>
        <w:rPr>
          <w:noProof/>
        </w:rPr>
      </w:pPr>
      <w:r w:rsidRPr="009A4B4C">
        <w:t xml:space="preserve">„з) </w:t>
      </w:r>
      <w:r w:rsidRPr="009A4B4C">
        <w:tab/>
        <w:t xml:space="preserve">разработване и експлоатация на инфраструктурни комплекси за изкуствен интелект в подкрепа на по-нататъшното развитие на силно конкурентна, </w:t>
      </w:r>
      <w:r w:rsidRPr="009A4B4C">
        <w:rPr>
          <w:b/>
          <w:bCs/>
          <w:i/>
          <w:iCs/>
        </w:rPr>
        <w:t xml:space="preserve">устойчива, надеждна, етична </w:t>
      </w:r>
      <w:r w:rsidRPr="009A4B4C">
        <w:t>и иновативна екосистема на изкуствения интелект в Съюза;</w:t>
      </w:r>
    </w:p>
    <w:p w:rsidR="00EF006A" w:rsidRPr="009A4B4C" w:rsidRDefault="00EF006A" w:rsidP="00EF006A">
      <w:pPr>
        <w:pStyle w:val="Point0"/>
        <w:rPr>
          <w:noProof/>
        </w:rPr>
      </w:pPr>
      <w:r w:rsidRPr="009A4B4C">
        <w:t>3)</w:t>
      </w:r>
      <w:r w:rsidRPr="009A4B4C">
        <w:tab/>
        <w:t>в член 4, параграф 1 се добавя следната буква з):</w:t>
      </w:r>
    </w:p>
    <w:p w:rsidR="00EF006A" w:rsidRPr="009A4B4C" w:rsidRDefault="00EF006A" w:rsidP="00EF006A">
      <w:pPr>
        <w:pStyle w:val="Point1"/>
        <w:rPr>
          <w:noProof/>
        </w:rPr>
      </w:pPr>
      <w:r w:rsidRPr="009A4B4C">
        <w:lastRenderedPageBreak/>
        <w:t xml:space="preserve">„з) стълб за инфраструктурни комплекси за изкуствен интелект за надежден и етичен изкуствен интелект, обхващащ дейности за предоставяне на ориентирана към изкуствения интелект инфраструктура за услуги за изчисления със суперкомпютри, която има за цел по-нататъшното развитие на иновационните възможности и умения на екосистемата на изкуствения интелект; </w:t>
      </w:r>
      <w:r w:rsidRPr="009A4B4C">
        <w:rPr>
          <w:b/>
          <w:bCs/>
          <w:i/>
          <w:iCs/>
        </w:rPr>
        <w:t>тези</w:t>
      </w:r>
      <w:r w:rsidRPr="009A4B4C">
        <w:t xml:space="preserve"> дейности </w:t>
      </w:r>
      <w:r w:rsidRPr="009A4B4C">
        <w:rPr>
          <w:b/>
          <w:bCs/>
          <w:i/>
          <w:iCs/>
        </w:rPr>
        <w:t>са насочени, inter alia, към</w:t>
      </w:r>
      <w:r w:rsidRPr="009A4B4C">
        <w:t>:</w:t>
      </w:r>
    </w:p>
    <w:p w:rsidR="00EF006A" w:rsidRPr="009A4B4C" w:rsidRDefault="00EF006A" w:rsidP="00EF006A">
      <w:pPr>
        <w:pStyle w:val="Point2"/>
        <w:spacing w:before="0"/>
        <w:rPr>
          <w:noProof/>
        </w:rPr>
      </w:pPr>
      <w:r w:rsidRPr="009A4B4C">
        <w:t>i)</w:t>
      </w:r>
      <w:r w:rsidRPr="009A4B4C">
        <w:tab/>
        <w:t>придобиването и експлоатацията на предназначени за изкуствен интелект суперкомпютри, разположени в близост до ▌центрове за данни или свързани с центрове за данни чрез мрежи с много висока скорост;</w:t>
      </w:r>
    </w:p>
    <w:p w:rsidR="00EF006A" w:rsidRPr="009A4B4C" w:rsidRDefault="00EF006A" w:rsidP="00EF006A">
      <w:pPr>
        <w:pStyle w:val="Point2"/>
        <w:spacing w:before="0"/>
        <w:rPr>
          <w:noProof/>
        </w:rPr>
      </w:pPr>
      <w:r w:rsidRPr="009A4B4C">
        <w:t>ii)</w:t>
      </w:r>
      <w:r w:rsidRPr="009A4B4C">
        <w:tab/>
        <w:t xml:space="preserve">модернизиране на съществуващите суперкомпютри на СП </w:t>
      </w:r>
      <w:proofErr w:type="spellStart"/>
      <w:r w:rsidRPr="009A4B4C">
        <w:t>EuroHPC</w:t>
      </w:r>
      <w:proofErr w:type="spellEnd"/>
      <w:r w:rsidRPr="009A4B4C">
        <w:t xml:space="preserve"> с възможности за изкуствен интелект;</w:t>
      </w:r>
    </w:p>
    <w:p w:rsidR="00EF006A" w:rsidRPr="009A4B4C" w:rsidRDefault="00EF006A" w:rsidP="00EF006A">
      <w:pPr>
        <w:pStyle w:val="Point2"/>
        <w:spacing w:before="0"/>
        <w:rPr>
          <w:noProof/>
        </w:rPr>
      </w:pPr>
      <w:r w:rsidRPr="009A4B4C">
        <w:t>iii)</w:t>
      </w:r>
      <w:r w:rsidRPr="009A4B4C">
        <w:tab/>
        <w:t xml:space="preserve">предоставяне на достъп до предназначените за изкуствен интелект суперкомпютри или суперкомпютрите на СП </w:t>
      </w:r>
      <w:proofErr w:type="spellStart"/>
      <w:r w:rsidRPr="009A4B4C">
        <w:t>EuroHPC</w:t>
      </w:r>
      <w:proofErr w:type="spellEnd"/>
      <w:r w:rsidRPr="009A4B4C">
        <w:t xml:space="preserve">, модернизирани с възможности за изкуствен интелект, включително разширяване на използването им за голям брой публични и частни потребители, в това число новосъздадени предприятия, </w:t>
      </w:r>
      <w:r w:rsidRPr="009A4B4C">
        <w:rPr>
          <w:b/>
          <w:bCs/>
          <w:i/>
          <w:iCs/>
        </w:rPr>
        <w:t xml:space="preserve">разрастващи се </w:t>
      </w:r>
      <w:r w:rsidRPr="009A4B4C">
        <w:t>предприятия</w:t>
      </w:r>
      <w:r w:rsidRPr="009A4B4C">
        <w:rPr>
          <w:b/>
          <w:bCs/>
          <w:i/>
          <w:iCs/>
        </w:rPr>
        <w:t>, МСП, институции за висше образование и по-широката научна общност</w:t>
      </w:r>
      <w:r w:rsidRPr="009A4B4C">
        <w:t>;</w:t>
      </w:r>
    </w:p>
    <w:p w:rsidR="00EF006A" w:rsidRPr="009A4B4C" w:rsidRDefault="00EF006A" w:rsidP="00EF006A">
      <w:pPr>
        <w:spacing w:after="120"/>
        <w:ind w:left="1984" w:hanging="567"/>
        <w:rPr>
          <w:rFonts w:eastAsia="Calibri"/>
          <w:noProof/>
          <w:szCs w:val="22"/>
        </w:rPr>
      </w:pPr>
      <w:proofErr w:type="spellStart"/>
      <w:r w:rsidRPr="009A4B4C">
        <w:rPr>
          <w:b/>
          <w:i/>
        </w:rPr>
        <w:t>iiiа</w:t>
      </w:r>
      <w:proofErr w:type="spellEnd"/>
      <w:r w:rsidRPr="009A4B4C">
        <w:rPr>
          <w:b/>
          <w:i/>
        </w:rPr>
        <w:t>)</w:t>
      </w:r>
      <w:r w:rsidRPr="009A4B4C">
        <w:tab/>
      </w:r>
      <w:r w:rsidRPr="009A4B4C">
        <w:rPr>
          <w:b/>
          <w:bCs/>
          <w:i/>
          <w:iCs/>
        </w:rPr>
        <w:t>широко разпространение на информацията за възможностите, предлагани от инфраструктурните комплекси за изкуствен интелект на новосъздадените и разрастващите се предприятия, както и на общностите за научни изследвания и иновации;</w:t>
      </w:r>
    </w:p>
    <w:p w:rsidR="00EF006A" w:rsidRPr="009A4B4C" w:rsidRDefault="00EF006A" w:rsidP="00EF006A">
      <w:pPr>
        <w:pStyle w:val="Point2"/>
        <w:spacing w:before="0"/>
        <w:rPr>
          <w:noProof/>
        </w:rPr>
      </w:pPr>
      <w:r w:rsidRPr="009A4B4C">
        <w:t>iv)</w:t>
      </w:r>
      <w:r w:rsidRPr="009A4B4C">
        <w:tab/>
        <w:t xml:space="preserve">предоставяне на централизирани или разпределени центрове за ориентирани към изкуствения интелект услуги за изчисления със суперкомпютри, в подкрепа на основаната на ИИ екосистема за новосъздадени предприятия и научни изследвания и иновации, </w:t>
      </w:r>
      <w:r w:rsidRPr="009A4B4C">
        <w:rPr>
          <w:b/>
          <w:bCs/>
          <w:i/>
          <w:iCs/>
        </w:rPr>
        <w:t>подпомагане и насочване на ползвателите,</w:t>
      </w:r>
      <w:r w:rsidRPr="009A4B4C">
        <w:t xml:space="preserve"> </w:t>
      </w:r>
      <w:r w:rsidRPr="009A4B4C">
        <w:rPr>
          <w:b/>
          <w:bCs/>
          <w:i/>
          <w:iCs/>
        </w:rPr>
        <w:t>насърчаване на интердисциплинарни научни изследвания,</w:t>
      </w:r>
      <w:r w:rsidRPr="009A4B4C">
        <w:t xml:space="preserve"> предоставяща алгоритмична поддръжка, подкрепа за по-нататъшното разработване, обучение, изпитване, оценка и валидиране на модели и системи за обучение в областта на изкуствения интелект и подкрепа за разработването на нововъзникващи широкомащабни приложения в областта на изкуствения интелект в стратегически сфери ▌;</w:t>
      </w:r>
    </w:p>
    <w:p w:rsidR="00EF006A" w:rsidRPr="009A4B4C" w:rsidRDefault="00EF006A" w:rsidP="00EF006A">
      <w:pPr>
        <w:pStyle w:val="Point2"/>
        <w:spacing w:before="0"/>
        <w:rPr>
          <w:noProof/>
        </w:rPr>
      </w:pPr>
      <w:r w:rsidRPr="009A4B4C">
        <w:t>v)</w:t>
      </w:r>
      <w:r w:rsidRPr="009A4B4C">
        <w:tab/>
        <w:t>експлоатация на удобни за използване със суперкомпютри възможности за програмиране, включително за осигуряване на паралелно изпълнение на приложенията в областта на изкуствения интелект с цел оптимизиране на използването на възможностите на суперкомпютрите</w:t>
      </w:r>
      <w:r w:rsidRPr="009A4B4C">
        <w:rPr>
          <w:b/>
          <w:bCs/>
          <w:i/>
          <w:iCs/>
        </w:rPr>
        <w:t xml:space="preserve"> и предоставяне на други услуги за изчисления със суперкомпютри, позволяващи изкуствен интелект</w:t>
      </w:r>
      <w:r w:rsidRPr="009A4B4C">
        <w:t>;</w:t>
      </w:r>
    </w:p>
    <w:p w:rsidR="00EF006A" w:rsidRPr="009A4B4C" w:rsidRDefault="00EF006A" w:rsidP="00EF006A">
      <w:pPr>
        <w:pStyle w:val="Point2"/>
        <w:spacing w:before="0"/>
        <w:rPr>
          <w:noProof/>
        </w:rPr>
      </w:pPr>
      <w:r w:rsidRPr="009A4B4C">
        <w:t xml:space="preserve">  ▌</w:t>
      </w:r>
    </w:p>
    <w:p w:rsidR="00EF006A" w:rsidRPr="009A4B4C" w:rsidRDefault="00EF006A" w:rsidP="00EF006A">
      <w:pPr>
        <w:pStyle w:val="Point2"/>
        <w:spacing w:before="0"/>
        <w:rPr>
          <w:noProof/>
          <w:color w:val="000000" w:themeColor="text1"/>
        </w:rPr>
      </w:pPr>
      <w:r w:rsidRPr="009A4B4C">
        <w:t>vii)</w:t>
      </w:r>
      <w:r w:rsidRPr="009A4B4C">
        <w:tab/>
      </w:r>
      <w:r w:rsidRPr="009A4B4C">
        <w:rPr>
          <w:b/>
          <w:bCs/>
          <w:i/>
          <w:iCs/>
        </w:rPr>
        <w:t>чрез прозрачен, отворен процес с равни възможности,</w:t>
      </w:r>
      <w:r w:rsidRPr="009A4B4C">
        <w:t xml:space="preserve"> привличане, обединяване</w:t>
      </w:r>
      <w:r w:rsidRPr="009A4B4C">
        <w:rPr>
          <w:b/>
          <w:bCs/>
          <w:i/>
          <w:iCs/>
        </w:rPr>
        <w:t>,</w:t>
      </w:r>
      <w:r w:rsidRPr="009A4B4C">
        <w:t xml:space="preserve"> ▌обучение</w:t>
      </w:r>
      <w:r w:rsidRPr="009A4B4C">
        <w:rPr>
          <w:b/>
          <w:bCs/>
        </w:rPr>
        <w:t xml:space="preserve"> </w:t>
      </w:r>
      <w:r w:rsidRPr="009A4B4C">
        <w:rPr>
          <w:b/>
          <w:bCs/>
          <w:i/>
          <w:iCs/>
        </w:rPr>
        <w:t>и задържане</w:t>
      </w:r>
      <w:r w:rsidRPr="009A4B4C">
        <w:t xml:space="preserve"> на таланти</w:t>
      </w:r>
      <w:r w:rsidRPr="009A4B4C">
        <w:rPr>
          <w:b/>
          <w:bCs/>
          <w:i/>
          <w:iCs/>
        </w:rPr>
        <w:t>, включително студенти, разработчици, изследователи, учени и общността на ползвателите,</w:t>
      </w:r>
      <w:r w:rsidRPr="009A4B4C">
        <w:t xml:space="preserve"> с цел развиване на техните компетентности</w:t>
      </w:r>
      <w:r w:rsidRPr="009A4B4C">
        <w:rPr>
          <w:b/>
          <w:bCs/>
          <w:i/>
          <w:iCs/>
        </w:rPr>
        <w:t>,</w:t>
      </w:r>
      <w:r w:rsidRPr="009A4B4C">
        <w:t xml:space="preserve"> ▌умения </w:t>
      </w:r>
      <w:r w:rsidRPr="009A4B4C">
        <w:rPr>
          <w:b/>
          <w:bCs/>
          <w:i/>
          <w:iCs/>
        </w:rPr>
        <w:t xml:space="preserve">и знания </w:t>
      </w:r>
      <w:r w:rsidRPr="009A4B4C">
        <w:t xml:space="preserve">при използването на суперкомпютрите на СП </w:t>
      </w:r>
      <w:proofErr w:type="spellStart"/>
      <w:r w:rsidRPr="009A4B4C">
        <w:t>EuroHPC</w:t>
      </w:r>
      <w:proofErr w:type="spellEnd"/>
      <w:r w:rsidRPr="009A4B4C">
        <w:t xml:space="preserve"> за </w:t>
      </w:r>
      <w:r w:rsidRPr="009A4B4C">
        <w:lastRenderedPageBreak/>
        <w:t>изкуствен интелект</w:t>
      </w:r>
      <w:r w:rsidRPr="009A4B4C">
        <w:rPr>
          <w:b/>
          <w:bCs/>
          <w:i/>
          <w:iCs/>
        </w:rPr>
        <w:t>, както и предоставяне на индивидуално обучение</w:t>
      </w:r>
      <w:r w:rsidRPr="009A4B4C">
        <w:t>;</w:t>
      </w:r>
    </w:p>
    <w:p w:rsidR="00EF006A" w:rsidRPr="009A4B4C" w:rsidRDefault="00EF006A" w:rsidP="00EF006A">
      <w:pPr>
        <w:pStyle w:val="Point2"/>
        <w:spacing w:before="0"/>
        <w:rPr>
          <w:rFonts w:eastAsia="Times New Roman"/>
          <w:noProof/>
          <w:szCs w:val="24"/>
        </w:rPr>
      </w:pPr>
      <w:r w:rsidRPr="009A4B4C">
        <w:rPr>
          <w:color w:val="000000" w:themeColor="text1"/>
        </w:rPr>
        <w:t xml:space="preserve">viii) </w:t>
      </w:r>
      <w:r w:rsidRPr="009A4B4C">
        <w:t>взаимодействие с другите инфраструктурни комплекси за изкуствен интелект, предоставяне на достъп до техните услуги в цяла Европа</w:t>
      </w:r>
      <w:r w:rsidRPr="009A4B4C">
        <w:rPr>
          <w:b/>
          <w:bCs/>
          <w:i/>
          <w:iCs/>
        </w:rPr>
        <w:t>, като се обръща постоянно внимание на географския баланс и баланса между половете,</w:t>
      </w:r>
      <w:r w:rsidRPr="009A4B4C">
        <w:t xml:space="preserve"> и сътрудничество с центровете за компетентност на </w:t>
      </w:r>
      <w:proofErr w:type="spellStart"/>
      <w:r w:rsidRPr="009A4B4C">
        <w:t>EuroHPC</w:t>
      </w:r>
      <w:proofErr w:type="spellEnd"/>
      <w:r w:rsidRPr="009A4B4C">
        <w:t xml:space="preserve"> и центровете за високи постижения, както и със съответните инициативи на Съюза в областта на изкуствения интелект, като например центровете за новосъздадени предприятия в областта на изкуствения интелект, екосистемите за изкуствен интелект и данни, съоръженията за изпитване и експериментиране с изкуствен интелект, европейската централна платформа за изкуствен интелект, центровете за цифрови иновации, свързани с изкуствения интелект, свързаните с изкуствения интелект европейски общности за знания и иновации в областта на изкуствения интелект</w:t>
      </w:r>
      <w:r w:rsidRPr="009A4B4C">
        <w:rPr>
          <w:b/>
          <w:bCs/>
          <w:i/>
          <w:iCs/>
        </w:rPr>
        <w:t>, свързаните с изкуствения интелект съвместни предприятия и партньорства по линия на „Хоризонт Европа“</w:t>
      </w:r>
      <w:r w:rsidRPr="009A4B4C">
        <w:t>, съответните европейски научноизследователски инфраструктури и други свързани инициативи.</w:t>
      </w:r>
    </w:p>
    <w:p w:rsidR="00EF006A" w:rsidRPr="009A4B4C" w:rsidRDefault="00EF006A" w:rsidP="00EF006A">
      <w:pPr>
        <w:spacing w:after="120"/>
        <w:ind w:left="1984" w:hanging="567"/>
        <w:rPr>
          <w:b/>
          <w:i/>
          <w:noProof/>
        </w:rPr>
      </w:pPr>
      <w:proofErr w:type="spellStart"/>
      <w:r w:rsidRPr="009A4B4C">
        <w:rPr>
          <w:b/>
          <w:i/>
        </w:rPr>
        <w:t>viiiа</w:t>
      </w:r>
      <w:proofErr w:type="spellEnd"/>
      <w:r w:rsidRPr="009A4B4C">
        <w:rPr>
          <w:b/>
          <w:i/>
        </w:rPr>
        <w:t xml:space="preserve">) </w:t>
      </w:r>
      <w:r w:rsidRPr="009A4B4C">
        <w:rPr>
          <w:b/>
          <w:i/>
        </w:rPr>
        <w:tab/>
        <w:t>поддръжка и оптимизиране на суперкомпютри с възможности за изкуствен интелект, гарантиращи тяхната надеждност и производителност за усъвършенствани изчислителни задачи.“;</w:t>
      </w:r>
    </w:p>
    <w:p w:rsidR="00EF006A" w:rsidRPr="009A4B4C" w:rsidRDefault="00EF006A" w:rsidP="00EF006A">
      <w:pPr>
        <w:pStyle w:val="Point0"/>
        <w:rPr>
          <w:noProof/>
        </w:rPr>
      </w:pPr>
      <w:r w:rsidRPr="009A4B4C">
        <w:t>4)</w:t>
      </w:r>
      <w:r w:rsidRPr="009A4B4C">
        <w:tab/>
        <w:t xml:space="preserve">▌член 9, параграф 5 се </w:t>
      </w:r>
      <w:r w:rsidRPr="009A4B4C">
        <w:rPr>
          <w:b/>
          <w:bCs/>
          <w:i/>
          <w:iCs/>
        </w:rPr>
        <w:t>изменя, както следва</w:t>
      </w:r>
      <w:r w:rsidRPr="009A4B4C">
        <w:t>:</w:t>
      </w:r>
    </w:p>
    <w:p w:rsidR="00EF006A" w:rsidRPr="009A4B4C" w:rsidRDefault="00EF006A" w:rsidP="00EF006A">
      <w:pPr>
        <w:pStyle w:val="Point0"/>
        <w:ind w:firstLine="0"/>
        <w:rPr>
          <w:noProof/>
        </w:rPr>
      </w:pPr>
      <w:r w:rsidRPr="009A4B4C">
        <w:rPr>
          <w:b/>
          <w:i/>
        </w:rPr>
        <w:t>a)</w:t>
      </w:r>
      <w:r w:rsidRPr="009A4B4C">
        <w:rPr>
          <w:b/>
          <w:i/>
        </w:rPr>
        <w:tab/>
      </w:r>
      <w:r w:rsidRPr="009A4B4C">
        <w:t xml:space="preserve">добавя </w:t>
      </w:r>
      <w:r w:rsidRPr="009A4B4C">
        <w:rPr>
          <w:b/>
          <w:bCs/>
          <w:i/>
          <w:iCs/>
        </w:rPr>
        <w:t>се</w:t>
      </w:r>
      <w:r w:rsidRPr="009A4B4C">
        <w:t xml:space="preserve"> следната буква ж): </w:t>
      </w:r>
    </w:p>
    <w:p w:rsidR="00EF006A" w:rsidRPr="009A4B4C" w:rsidRDefault="00EF006A" w:rsidP="00EF006A">
      <w:pPr>
        <w:pStyle w:val="Point1"/>
        <w:rPr>
          <w:noProof/>
        </w:rPr>
      </w:pPr>
      <w:r w:rsidRPr="009A4B4C">
        <w:t xml:space="preserve">„ж) </w:t>
      </w:r>
      <w:r w:rsidRPr="009A4B4C">
        <w:tab/>
        <w:t>за предназначените за изкуствен интелект суперкомпютри се прилагат следните допълнителни критерии за подбор на доставчиците на хостинг:</w:t>
      </w:r>
    </w:p>
    <w:p w:rsidR="00EF006A" w:rsidRPr="009A4B4C" w:rsidRDefault="00EF006A" w:rsidP="00EF006A">
      <w:pPr>
        <w:pStyle w:val="Point1"/>
        <w:tabs>
          <w:tab w:val="left" w:pos="1843"/>
        </w:tabs>
        <w:spacing w:before="0"/>
        <w:ind w:left="1843" w:hanging="425"/>
        <w:rPr>
          <w:noProof/>
        </w:rPr>
      </w:pPr>
      <w:r w:rsidRPr="009A4B4C">
        <w:t>i)</w:t>
      </w:r>
      <w:r w:rsidRPr="009A4B4C">
        <w:tab/>
        <w:t xml:space="preserve">близост до </w:t>
      </w:r>
      <w:r w:rsidRPr="009A4B4C">
        <w:rPr>
          <w:b/>
          <w:bCs/>
          <w:i/>
          <w:iCs/>
        </w:rPr>
        <w:t>или връзка чрез мрежи с много висока скорост с планиран или</w:t>
      </w:r>
      <w:r w:rsidRPr="009A4B4C">
        <w:t xml:space="preserve"> установен център за данни </w:t>
      </w:r>
      <w:r w:rsidRPr="009A4B4C">
        <w:rPr>
          <w:b/>
          <w:bCs/>
          <w:i/>
          <w:iCs/>
        </w:rPr>
        <w:t>в съответствие с член 12 от Директива (ЕС) 2023/1791</w:t>
      </w:r>
      <w:r w:rsidRPr="009A4B4C">
        <w:t>;</w:t>
      </w:r>
    </w:p>
    <w:p w:rsidR="00EF006A" w:rsidRPr="009A4B4C" w:rsidRDefault="00EF006A" w:rsidP="00EF006A">
      <w:pPr>
        <w:pStyle w:val="Point1"/>
        <w:tabs>
          <w:tab w:val="left" w:pos="1843"/>
        </w:tabs>
        <w:spacing w:before="0"/>
        <w:ind w:left="1843" w:hanging="425"/>
        <w:rPr>
          <w:noProof/>
        </w:rPr>
      </w:pPr>
      <w:proofErr w:type="spellStart"/>
      <w:r w:rsidRPr="009A4B4C">
        <w:rPr>
          <w:b/>
          <w:i/>
        </w:rPr>
        <w:t>iа</w:t>
      </w:r>
      <w:proofErr w:type="spellEnd"/>
      <w:r w:rsidRPr="009A4B4C">
        <w:rPr>
          <w:b/>
          <w:i/>
        </w:rPr>
        <w:t xml:space="preserve">) </w:t>
      </w:r>
      <w:r w:rsidRPr="009A4B4C">
        <w:rPr>
          <w:b/>
          <w:i/>
        </w:rPr>
        <w:tab/>
      </w:r>
      <w:r w:rsidRPr="009A4B4C">
        <w:rPr>
          <w:b/>
          <w:bCs/>
          <w:i/>
          <w:iCs/>
        </w:rPr>
        <w:t>визия и планове на доставчика на хостинг по отношение на енергийната ефективност и екологичната устойчивост на предназначения за изкуствен интелект суперкомпютър</w:t>
      </w:r>
      <w:r w:rsidRPr="009A4B4C">
        <w:rPr>
          <w:b/>
          <w:bCs/>
        </w:rPr>
        <w:t xml:space="preserve"> </w:t>
      </w:r>
      <w:r w:rsidRPr="009A4B4C">
        <w:rPr>
          <w:b/>
          <w:bCs/>
          <w:i/>
        </w:rPr>
        <w:t>чрез използване на</w:t>
      </w:r>
      <w:r w:rsidRPr="009A4B4C">
        <w:rPr>
          <w:b/>
          <w:bCs/>
        </w:rPr>
        <w:t xml:space="preserve"> </w:t>
      </w:r>
      <w:r w:rsidRPr="009A4B4C">
        <w:rPr>
          <w:b/>
          <w:bCs/>
          <w:i/>
          <w:iCs/>
        </w:rPr>
        <w:t>подход на жизнения цикъл, наличието на подходящ достъп до чиста енергия на достъпни цени, също и чрез използване на споразумения за закупуване на електроенергия, които могат да се основават на възобновяема енергия, и използване на електроенергия, която се произвежда на място;</w:t>
      </w:r>
    </w:p>
    <w:p w:rsidR="00EF006A" w:rsidRPr="009A4B4C" w:rsidRDefault="00EF006A" w:rsidP="00EF006A">
      <w:pPr>
        <w:pStyle w:val="Point1"/>
        <w:tabs>
          <w:tab w:val="left" w:pos="1843"/>
        </w:tabs>
        <w:spacing w:before="0"/>
        <w:ind w:left="1843" w:hanging="425"/>
        <w:rPr>
          <w:noProof/>
        </w:rPr>
      </w:pPr>
      <w:r w:rsidRPr="009A4B4C">
        <w:t>ii)</w:t>
      </w:r>
      <w:r w:rsidRPr="009A4B4C">
        <w:tab/>
        <w:t>визия, планове и възможности на доставчика на хостинг за справяне с предизвикателствата на основаната на ИИ екосистема за новосъздадени предприятия и научни изследвания и иновации и общността на ползвателите на изкуствен интелект</w:t>
      </w:r>
      <w:r w:rsidRPr="009A4B4C">
        <w:rPr>
          <w:b/>
          <w:bCs/>
          <w:i/>
          <w:iCs/>
        </w:rPr>
        <w:t>, подобряващи тази екосистема чрез насърчаване на полезни взаимодействия и иновации, включително инвестиции в бъдещи технологии, принос</w:t>
      </w:r>
      <w:r w:rsidRPr="009A4B4C">
        <w:t xml:space="preserve"> и предоставяне на подпомагаща централизирана или разпределена ориентирана към изкуствения интелект услуга за изчисления със суперкомпютри;</w:t>
      </w:r>
    </w:p>
    <w:p w:rsidR="00EF006A" w:rsidRPr="009A4B4C" w:rsidRDefault="00EF006A" w:rsidP="00EF006A">
      <w:pPr>
        <w:pStyle w:val="Point1"/>
        <w:tabs>
          <w:tab w:val="left" w:pos="1843"/>
        </w:tabs>
        <w:spacing w:before="0"/>
        <w:ind w:left="1843" w:hanging="425"/>
        <w:rPr>
          <w:noProof/>
        </w:rPr>
      </w:pPr>
      <w:r w:rsidRPr="009A4B4C">
        <w:lastRenderedPageBreak/>
        <w:t>iii)</w:t>
      </w:r>
      <w:r w:rsidRPr="009A4B4C">
        <w:tab/>
        <w:t>качество и уместност на наличния опит и ноу-хау в предвидения екип, който ще отговаря за подпомагащата среда за ориентирани към изкуствения интелект услуги за изчисления със суперкомпютри;</w:t>
      </w:r>
    </w:p>
    <w:p w:rsidR="00EF006A" w:rsidRPr="009A4B4C" w:rsidRDefault="00EF006A" w:rsidP="00EF006A">
      <w:pPr>
        <w:pStyle w:val="Point1"/>
        <w:tabs>
          <w:tab w:val="left" w:pos="1843"/>
        </w:tabs>
        <w:spacing w:before="0"/>
        <w:ind w:left="1843" w:hanging="425"/>
        <w:rPr>
          <w:noProof/>
        </w:rPr>
      </w:pPr>
      <w:r w:rsidRPr="009A4B4C">
        <w:t xml:space="preserve">iv) планове за взаимодействие и сътрудничество с други инфраструктурни комплекси за изкуствен интелект, с центровете за компетентност на </w:t>
      </w:r>
      <w:proofErr w:type="spellStart"/>
      <w:r w:rsidRPr="009A4B4C">
        <w:t>EuroHPC</w:t>
      </w:r>
      <w:proofErr w:type="spellEnd"/>
      <w:r w:rsidRPr="009A4B4C">
        <w:t xml:space="preserve"> и центровете за високи постижения на </w:t>
      </w:r>
      <w:proofErr w:type="spellStart"/>
      <w:r w:rsidRPr="009A4B4C">
        <w:t>EuroHPC</w:t>
      </w:r>
      <w:proofErr w:type="spellEnd"/>
      <w:r w:rsidRPr="009A4B4C">
        <w:t xml:space="preserve"> и със съответните дейности в областта на изкуствения интелект, като например центровете за новосъздадени предприятия в областта на изкуствения интелект, екосистемите за изкуствен интелект и данни, съоръженията за изпитване и експериментиране с изкуствен интелект, европейската централна платформа за изкуствен интелект, ориентираните към изкуствения интелект центрове за цифрови иновации и други свързани инициативи;</w:t>
      </w:r>
    </w:p>
    <w:p w:rsidR="00EF006A" w:rsidRPr="009A4B4C" w:rsidRDefault="00EF006A" w:rsidP="00EF006A">
      <w:pPr>
        <w:pStyle w:val="Point1"/>
        <w:tabs>
          <w:tab w:val="left" w:pos="1843"/>
        </w:tabs>
        <w:spacing w:before="0"/>
        <w:ind w:left="1843" w:hanging="425"/>
        <w:rPr>
          <w:noProof/>
        </w:rPr>
      </w:pPr>
      <w:r w:rsidRPr="009A4B4C">
        <w:t xml:space="preserve">v) съществуващи възможности и бъдещи планове на доставчика на хостинг за начините, по които ще допринесе за развитието, </w:t>
      </w:r>
      <w:r w:rsidRPr="009A4B4C">
        <w:rPr>
          <w:b/>
          <w:bCs/>
          <w:i/>
          <w:iCs/>
        </w:rPr>
        <w:t>привличането, обучението и задържането</w:t>
      </w:r>
      <w:r w:rsidRPr="009A4B4C">
        <w:t xml:space="preserve"> на резерва от таланти </w:t>
      </w:r>
      <w:r w:rsidRPr="009A4B4C">
        <w:rPr>
          <w:b/>
          <w:bCs/>
          <w:i/>
          <w:iCs/>
        </w:rPr>
        <w:t>и за създаването на умения, способности и компетентности за използване на суперкомпютрите, включително под формата на подкрепа за новосъздадени предприятия чрез програми за инкубатори или ускорители.</w:t>
      </w:r>
      <w:r w:rsidRPr="009A4B4C">
        <w:t>“;</w:t>
      </w:r>
    </w:p>
    <w:p w:rsidR="00EF006A" w:rsidRPr="009A4B4C" w:rsidRDefault="00EF006A" w:rsidP="00EF006A">
      <w:pPr>
        <w:pStyle w:val="Point1"/>
        <w:rPr>
          <w:noProof/>
        </w:rPr>
      </w:pPr>
      <w:r w:rsidRPr="009A4B4C">
        <w:rPr>
          <w:b/>
          <w:i/>
        </w:rPr>
        <w:t>жа)</w:t>
      </w:r>
      <w:r w:rsidRPr="009A4B4C">
        <w:rPr>
          <w:b/>
          <w:i/>
        </w:rPr>
        <w:tab/>
      </w:r>
      <w:r w:rsidRPr="009A4B4C">
        <w:rPr>
          <w:b/>
          <w:bCs/>
          <w:i/>
          <w:iCs/>
        </w:rPr>
        <w:t>съществуващ доставчик на хостинг, избран от Управителния съвет чрез справедлив и прозрачен процес и след покана за изразяване на интерес, може да създаде инфраструктурен комплекс за изкуствен интелект, ако отговаря на критериите, посочени в член 9, параграф 5, буква ж).“;</w:t>
      </w:r>
    </w:p>
    <w:p w:rsidR="00EF006A" w:rsidRPr="009A4B4C" w:rsidRDefault="00EF006A" w:rsidP="00EF006A">
      <w:pPr>
        <w:pStyle w:val="Point0"/>
        <w:ind w:hanging="708"/>
        <w:rPr>
          <w:noProof/>
        </w:rPr>
      </w:pPr>
      <w:r w:rsidRPr="009A4B4C">
        <w:t>5)</w:t>
      </w:r>
      <w:r w:rsidRPr="009A4B4C">
        <w:tab/>
        <w:t>в член 9 се добавя следният параграф 6а:</w:t>
      </w:r>
    </w:p>
    <w:p w:rsidR="00EF006A" w:rsidRPr="009A4B4C" w:rsidRDefault="00EF006A" w:rsidP="00EF006A">
      <w:pPr>
        <w:pStyle w:val="Point2"/>
        <w:ind w:left="1276" w:hanging="425"/>
        <w:rPr>
          <w:i/>
          <w:iCs/>
          <w:noProof/>
        </w:rPr>
      </w:pPr>
      <w:r w:rsidRPr="009A4B4C">
        <w:t xml:space="preserve">„6a. </w:t>
      </w:r>
      <w:r w:rsidRPr="009A4B4C">
        <w:tab/>
        <w:t xml:space="preserve">За предназначените за изкуствен интелект суперкомпютри, посочени в член 12а, </w:t>
      </w:r>
      <w:r w:rsidRPr="009A4B4C">
        <w:rPr>
          <w:b/>
          <w:bCs/>
          <w:i/>
          <w:iCs/>
        </w:rPr>
        <w:t xml:space="preserve">както и за суперкомпютрите на СП </w:t>
      </w:r>
      <w:proofErr w:type="spellStart"/>
      <w:r w:rsidRPr="009A4B4C">
        <w:rPr>
          <w:b/>
          <w:bCs/>
          <w:i/>
          <w:iCs/>
        </w:rPr>
        <w:t>EuroHPC</w:t>
      </w:r>
      <w:proofErr w:type="spellEnd"/>
      <w:r w:rsidRPr="009A4B4C">
        <w:rPr>
          <w:b/>
          <w:bCs/>
          <w:i/>
          <w:iCs/>
        </w:rPr>
        <w:t>, посочени в членове 11, 12, 12а, 14, 15,</w:t>
      </w:r>
      <w:r w:rsidRPr="009A4B4C">
        <w:t xml:space="preserve"> </w:t>
      </w:r>
      <w:r w:rsidRPr="009A4B4C">
        <w:rPr>
          <w:b/>
          <w:bCs/>
          <w:i/>
          <w:iCs/>
        </w:rPr>
        <w:t>доставчиците</w:t>
      </w:r>
      <w:r w:rsidRPr="009A4B4C">
        <w:t xml:space="preserve"> на хостинг </w:t>
      </w:r>
      <w:r w:rsidRPr="009A4B4C">
        <w:rPr>
          <w:b/>
          <w:bCs/>
          <w:i/>
          <w:iCs/>
        </w:rPr>
        <w:t>създават</w:t>
      </w:r>
      <w:r w:rsidRPr="009A4B4C">
        <w:t xml:space="preserve"> обслужване на едно гише за новосъздадените предприятия</w:t>
      </w:r>
      <w:r w:rsidRPr="009A4B4C">
        <w:rPr>
          <w:b/>
          <w:bCs/>
          <w:i/>
          <w:iCs/>
        </w:rPr>
        <w:t>, разрастващите се предприятия, МСП</w:t>
      </w:r>
      <w:r w:rsidRPr="009A4B4C">
        <w:t xml:space="preserve"> и другите ползватели, за да </w:t>
      </w:r>
      <w:r w:rsidRPr="009A4B4C">
        <w:rPr>
          <w:b/>
          <w:bCs/>
          <w:i/>
          <w:iCs/>
        </w:rPr>
        <w:t>улеснят</w:t>
      </w:r>
      <w:r w:rsidRPr="009A4B4C">
        <w:t xml:space="preserve"> достъпа до своите услуги за поддръжка </w:t>
      </w:r>
      <w:r w:rsidRPr="009A4B4C">
        <w:rPr>
          <w:b/>
          <w:bCs/>
          <w:i/>
          <w:iCs/>
        </w:rPr>
        <w:t>и да подпомогнат развитието на техните умения и компетентности</w:t>
      </w:r>
      <w:r w:rsidRPr="009A4B4C">
        <w:t>.“;</w:t>
      </w:r>
    </w:p>
    <w:p w:rsidR="00EF006A" w:rsidRPr="009A4B4C" w:rsidRDefault="00EF006A" w:rsidP="00EF006A">
      <w:pPr>
        <w:pStyle w:val="Point0"/>
        <w:rPr>
          <w:noProof/>
        </w:rPr>
      </w:pPr>
      <w:r w:rsidRPr="009A4B4C">
        <w:t>6)</w:t>
      </w:r>
      <w:r w:rsidRPr="009A4B4C">
        <w:tab/>
        <w:t>в член 10, параграф 2 буква л) се заменя със следното:</w:t>
      </w:r>
    </w:p>
    <w:p w:rsidR="00EF006A" w:rsidRPr="009A4B4C" w:rsidRDefault="00EF006A" w:rsidP="00EF006A">
      <w:pPr>
        <w:pStyle w:val="Point2"/>
        <w:ind w:left="1276" w:hanging="425"/>
        <w:rPr>
          <w:i/>
          <w:iCs/>
          <w:noProof/>
        </w:rPr>
      </w:pPr>
      <w:r w:rsidRPr="009A4B4C">
        <w:t xml:space="preserve">„л) </w:t>
      </w:r>
      <w:r w:rsidRPr="009A4B4C">
        <w:tab/>
        <w:t xml:space="preserve">специални условия, приложими когато доставчикът на хостинг експлоатира суперкомпютър на СП </w:t>
      </w:r>
      <w:proofErr w:type="spellStart"/>
      <w:r w:rsidRPr="009A4B4C">
        <w:t>EuroHPC</w:t>
      </w:r>
      <w:proofErr w:type="spellEnd"/>
      <w:r w:rsidRPr="009A4B4C">
        <w:t xml:space="preserve"> за промишлени цели</w:t>
      </w:r>
      <w:r w:rsidRPr="009A4B4C">
        <w:rPr>
          <w:b/>
          <w:bCs/>
          <w:i/>
          <w:iCs/>
        </w:rPr>
        <w:t>,</w:t>
      </w:r>
      <w:r w:rsidRPr="009A4B4C">
        <w:t xml:space="preserve"> ▌</w:t>
      </w:r>
      <w:r w:rsidRPr="00ED38D0">
        <w:rPr>
          <w:iCs/>
        </w:rPr>
        <w:t>предназначен за изкуствен интелект суперкомпютър</w:t>
      </w:r>
      <w:r w:rsidRPr="009A4B4C">
        <w:t xml:space="preserve"> </w:t>
      </w:r>
      <w:r w:rsidRPr="009A4B4C">
        <w:rPr>
          <w:b/>
          <w:bCs/>
          <w:i/>
          <w:iCs/>
        </w:rPr>
        <w:t xml:space="preserve">или съществуващ суперкомпютър на СП </w:t>
      </w:r>
      <w:proofErr w:type="spellStart"/>
      <w:r w:rsidRPr="009A4B4C">
        <w:rPr>
          <w:b/>
          <w:bCs/>
          <w:i/>
          <w:iCs/>
        </w:rPr>
        <w:t>EuroHPC</w:t>
      </w:r>
      <w:proofErr w:type="spellEnd"/>
      <w:r w:rsidRPr="009A4B4C">
        <w:rPr>
          <w:b/>
          <w:bCs/>
          <w:i/>
          <w:iCs/>
        </w:rPr>
        <w:t>, модернизиран с възможности за изкуствен интелект</w:t>
      </w:r>
      <w:r w:rsidRPr="009A4B4C">
        <w:t>.“;</w:t>
      </w:r>
    </w:p>
    <w:p w:rsidR="00EF006A" w:rsidRPr="009A4B4C" w:rsidRDefault="00EF006A" w:rsidP="00EF006A">
      <w:pPr>
        <w:pStyle w:val="Point0"/>
        <w:rPr>
          <w:noProof/>
        </w:rPr>
      </w:pPr>
      <w:r w:rsidRPr="009A4B4C">
        <w:t>7)</w:t>
      </w:r>
      <w:r w:rsidRPr="009A4B4C">
        <w:tab/>
        <w:t>вмъква се следният член 12a:</w:t>
      </w:r>
    </w:p>
    <w:p w:rsidR="00EF006A" w:rsidRPr="009A4B4C" w:rsidRDefault="00EF006A" w:rsidP="00EF006A">
      <w:pPr>
        <w:pStyle w:val="Point2"/>
        <w:ind w:left="720" w:firstLine="0"/>
        <w:jc w:val="left"/>
        <w:rPr>
          <w:noProof/>
        </w:rPr>
      </w:pPr>
      <w:r w:rsidRPr="009A4B4C">
        <w:t>„</w:t>
      </w:r>
      <w:r w:rsidRPr="009A4B4C">
        <w:rPr>
          <w:i/>
        </w:rPr>
        <w:t>Член 12a</w:t>
      </w:r>
      <w:r w:rsidRPr="009A4B4C">
        <w:rPr>
          <w:i/>
        </w:rPr>
        <w:br/>
      </w:r>
      <w:r w:rsidRPr="009A4B4C">
        <w:t>Придобиване и притежаване на предназначените за изкуствен интелект суперкомпютри</w:t>
      </w:r>
    </w:p>
    <w:p w:rsidR="00EF006A" w:rsidRPr="009A4B4C" w:rsidRDefault="00EF006A" w:rsidP="00EF006A">
      <w:pPr>
        <w:pStyle w:val="ManualNumPar1"/>
        <w:ind w:left="1570"/>
        <w:rPr>
          <w:noProof/>
        </w:rPr>
      </w:pPr>
      <w:r w:rsidRPr="009A4B4C">
        <w:t>1.</w:t>
      </w:r>
      <w:r w:rsidRPr="009A4B4C">
        <w:tab/>
        <w:t>Съвместното предприятие придобива предназначените за изкуствен интелект суперкомпютри и става техен собственик.</w:t>
      </w:r>
    </w:p>
    <w:p w:rsidR="00EF006A" w:rsidRPr="009A4B4C" w:rsidRDefault="00EF006A" w:rsidP="00EF006A">
      <w:pPr>
        <w:pStyle w:val="ManualNumPar1"/>
        <w:ind w:left="1570"/>
        <w:rPr>
          <w:noProof/>
        </w:rPr>
      </w:pPr>
      <w:r w:rsidRPr="009A4B4C">
        <w:lastRenderedPageBreak/>
        <w:t>2.</w:t>
      </w:r>
      <w:r w:rsidRPr="009A4B4C">
        <w:tab/>
        <w:t>Финансовата вноска на Съюза, посочена в член 5, параграф 1, покрива до 50% от разходите за придобиване плюс до 50% от оперативните разходи за предназначените за изкуствен интелект суперкомпютри.</w:t>
      </w:r>
    </w:p>
    <w:p w:rsidR="00EF006A" w:rsidRPr="009A4B4C" w:rsidRDefault="00EF006A" w:rsidP="00EF006A">
      <w:pPr>
        <w:pStyle w:val="Text1"/>
        <w:ind w:left="1570"/>
        <w:rPr>
          <w:noProof/>
        </w:rPr>
      </w:pPr>
      <w:r w:rsidRPr="009A4B4C">
        <w:t>Останалата част от общите разходи за собственост на предназначените за изкуствен интелект суперкомпютри се покрива от участващата държава, в която е установен доставчикът на хостинг, или от държавите, участващи в консорциума, осигуряващ хостинг, като евентуално се допълва от вноските, посочени в член 6.</w:t>
      </w:r>
    </w:p>
    <w:p w:rsidR="00EF006A" w:rsidRPr="009A4B4C" w:rsidRDefault="00EF006A" w:rsidP="00EF006A">
      <w:pPr>
        <w:pStyle w:val="ManualNumPar1"/>
        <w:ind w:left="1570"/>
        <w:rPr>
          <w:noProof/>
        </w:rPr>
      </w:pPr>
      <w:r w:rsidRPr="009A4B4C">
        <w:t>3.</w:t>
      </w:r>
      <w:r w:rsidRPr="009A4B4C">
        <w:tab/>
        <w:t>Изборът на доставчика на предназначените за изкуствен интелект суперкомпютри се основава на тръжни спецификации, които са обусловени от търсенето и отчитат изискванията на потребителите и общите спецификации на системата, предоставени от избрания доставчик на хостинг в неговото заявление за покана за изразяване на интерес. При избора се обръща също внимание на сигурността на веригата за доставки.</w:t>
      </w:r>
    </w:p>
    <w:p w:rsidR="00EF006A" w:rsidRPr="009A4B4C" w:rsidRDefault="00EF006A" w:rsidP="00EF006A">
      <w:pPr>
        <w:pStyle w:val="ManualNumPar1"/>
        <w:ind w:left="1570"/>
        <w:rPr>
          <w:noProof/>
        </w:rPr>
      </w:pPr>
      <w:r w:rsidRPr="009A4B4C">
        <w:t>4.</w:t>
      </w:r>
      <w:r w:rsidRPr="009A4B4C">
        <w:tab/>
        <w:t>Съвместното предприятие може да действа като първи потребител на предназначените за изкуствен интелект суперкомпютри, които интегрират технологии, разработени предимно в Съюза.</w:t>
      </w:r>
    </w:p>
    <w:p w:rsidR="00EF006A" w:rsidRPr="009A4B4C" w:rsidRDefault="00EF006A" w:rsidP="00EF006A">
      <w:pPr>
        <w:pStyle w:val="ManualNumPar1"/>
        <w:ind w:left="1570"/>
        <w:rPr>
          <w:noProof/>
        </w:rPr>
      </w:pPr>
      <w:r w:rsidRPr="009A4B4C">
        <w:t>5.</w:t>
      </w:r>
      <w:r w:rsidRPr="009A4B4C">
        <w:tab/>
        <w:t>Управителният съвет може да реши в работната програма, ако това е надлежно обосновано от съображения за сигурност, да постави условие за участието на доставчици в придобиването на предназначените за изкуствен интелект суперкомпютри в съответствие с член 12, параграф 6 от Регламент (ЕС) 2021/694 или да ограничи участието на доставчици от съображения за сигурност или действия, пряко свързани със стратегическата автономност на Съюза, в съответствие с член 18, параграф 4 от същия Регламент.</w:t>
      </w:r>
    </w:p>
    <w:p w:rsidR="00EF006A" w:rsidRPr="009A4B4C" w:rsidRDefault="00EF006A" w:rsidP="00EF006A">
      <w:pPr>
        <w:pStyle w:val="ManualNumPar1"/>
        <w:ind w:left="1570"/>
        <w:rPr>
          <w:noProof/>
        </w:rPr>
      </w:pPr>
      <w:r w:rsidRPr="009A4B4C">
        <w:t>6.</w:t>
      </w:r>
      <w:r w:rsidRPr="009A4B4C">
        <w:tab/>
        <w:t xml:space="preserve">Предназначените за изкуствен интелект суперкомпютри се разполагат в доставчик на хостинг на суперкомпютър на СП </w:t>
      </w:r>
      <w:proofErr w:type="spellStart"/>
      <w:r w:rsidRPr="009A4B4C">
        <w:t>EuroHPC</w:t>
      </w:r>
      <w:proofErr w:type="spellEnd"/>
      <w:r w:rsidRPr="009A4B4C">
        <w:t xml:space="preserve">, разположен в Съюза. </w:t>
      </w:r>
    </w:p>
    <w:p w:rsidR="00EF006A" w:rsidRPr="009A4B4C" w:rsidRDefault="00EF006A" w:rsidP="00EF006A">
      <w:pPr>
        <w:pStyle w:val="ManualNumPar1"/>
        <w:ind w:left="1570"/>
        <w:rPr>
          <w:noProof/>
        </w:rPr>
      </w:pPr>
      <w:r w:rsidRPr="009A4B4C">
        <w:t>7.</w:t>
      </w:r>
      <w:r w:rsidRPr="009A4B4C">
        <w:tab/>
        <w:t xml:space="preserve">Без да се засяга ликвидацията на съвместното предприятие, както е посочено в член 23, параграф 4 от устава, най-рано </w:t>
      </w:r>
      <w:r w:rsidRPr="009A4B4C">
        <w:rPr>
          <w:b/>
          <w:bCs/>
          <w:i/>
          <w:iCs/>
        </w:rPr>
        <w:t>пет</w:t>
      </w:r>
      <w:r w:rsidRPr="009A4B4C">
        <w:t xml:space="preserve"> години след успешното приемателно изпитване на предназначения за изкуствен интелект суперкомпютър, монтиран при доставчик на хостинг, собствеността на предназначения за изкуствен интелект суперкомпютър може да бъде прехвърлена на този доставчик на хостинг, предназначеният за изкуствен интелект суперкомпютър може да бъде продаден на друго образувание или да бъде изведен от експлоатация с решение на Управителния съвет и в съответствие със споразумението за хостинг. При прехвърляне на собствеността на предназначен за изкуствен интелект суперкомпютър доставчикът на хостинг възстановява на съвместното предприятие остатъчната стойност на прехвърления суперкомпютър. Ако собствеността не се прехвърля на доставчика на хостинг, а е взето решение за извеждане от експлоатация, съответните разходи се поделят поравно между съвместното предприятие и доставчика на хостинг. Съвместното предприятие не отговаря за разходите, направени след прехвърлянето на собствеността върху предназначения за изкуствен интелект суперкомпютър или след неговата продажба или извеждане от експлоатация.“;</w:t>
      </w:r>
    </w:p>
    <w:p w:rsidR="00EF006A" w:rsidRPr="009A4B4C" w:rsidRDefault="00EF006A" w:rsidP="00EF006A">
      <w:pPr>
        <w:pStyle w:val="Point0"/>
        <w:rPr>
          <w:noProof/>
        </w:rPr>
      </w:pPr>
      <w:r w:rsidRPr="009A4B4C">
        <w:lastRenderedPageBreak/>
        <w:t>8)</w:t>
      </w:r>
      <w:r w:rsidRPr="009A4B4C">
        <w:tab/>
        <w:t>член 15 се изменя, както следва:</w:t>
      </w:r>
    </w:p>
    <w:p w:rsidR="00EF006A" w:rsidRPr="009A4B4C" w:rsidRDefault="00EF006A" w:rsidP="00EF006A">
      <w:pPr>
        <w:pStyle w:val="Point0"/>
        <w:ind w:left="1700"/>
        <w:rPr>
          <w:noProof/>
        </w:rPr>
      </w:pPr>
      <w:r w:rsidRPr="009A4B4C">
        <w:t>a)</w:t>
      </w:r>
      <w:r w:rsidRPr="009A4B4C">
        <w:tab/>
        <w:t>параграф 1 се заменя със следното:</w:t>
      </w:r>
    </w:p>
    <w:p w:rsidR="00EF006A" w:rsidRPr="009A4B4C" w:rsidRDefault="00EF006A" w:rsidP="00EF006A">
      <w:pPr>
        <w:pStyle w:val="Text1"/>
        <w:ind w:left="2160" w:hanging="590"/>
        <w:rPr>
          <w:noProof/>
        </w:rPr>
      </w:pPr>
      <w:r w:rsidRPr="009A4B4C">
        <w:t xml:space="preserve">„1. </w:t>
      </w:r>
      <w:r w:rsidRPr="009A4B4C">
        <w:tab/>
        <w:t xml:space="preserve">Съвместното предприятие може да отправи покана за заявяване на интерес за модернизиране на суперкомпютрите на СП </w:t>
      </w:r>
      <w:proofErr w:type="spellStart"/>
      <w:r w:rsidRPr="009A4B4C">
        <w:t>EuroHPC</w:t>
      </w:r>
      <w:proofErr w:type="spellEnd"/>
      <w:r w:rsidRPr="009A4B4C">
        <w:t>, които то притежава или на които е съсобственик</w:t>
      </w:r>
      <w:r w:rsidRPr="00593D12">
        <w:t>,</w:t>
      </w:r>
      <w:r w:rsidRPr="009A4B4C">
        <w:rPr>
          <w:i/>
          <w:iCs/>
        </w:rPr>
        <w:t xml:space="preserve"> </w:t>
      </w:r>
      <w:r w:rsidRPr="00ED38D0">
        <w:rPr>
          <w:iCs/>
        </w:rPr>
        <w:t xml:space="preserve">за повишаване на равнището на ефективност на суперкомпютъра близо до производителност от порядъка на </w:t>
      </w:r>
      <w:proofErr w:type="spellStart"/>
      <w:r w:rsidRPr="00ED38D0">
        <w:rPr>
          <w:iCs/>
        </w:rPr>
        <w:t>ексафлопс</w:t>
      </w:r>
      <w:proofErr w:type="spellEnd"/>
      <w:r w:rsidRPr="00ED38D0">
        <w:rPr>
          <w:iCs/>
        </w:rPr>
        <w:t xml:space="preserve"> или за увеличаване на възможностите за изкуствен интелект на суперкомпютъра, или за повишаване на оперативната ефективност на суперкомпютъра по всякакъв друг начин, включително квантови ускорители</w:t>
      </w:r>
      <w:r w:rsidRPr="00593D12">
        <w:t>.</w:t>
      </w:r>
      <w:r w:rsidRPr="009A4B4C">
        <w:t>“; параграф 2 се заличава;</w:t>
      </w:r>
    </w:p>
    <w:p w:rsidR="00EF006A" w:rsidRPr="009A4B4C" w:rsidRDefault="00EF006A" w:rsidP="00EF006A">
      <w:pPr>
        <w:pStyle w:val="Point0"/>
        <w:ind w:left="1700"/>
        <w:rPr>
          <w:noProof/>
        </w:rPr>
      </w:pPr>
      <w:r w:rsidRPr="009A4B4C">
        <w:t>б)</w:t>
      </w:r>
      <w:r w:rsidRPr="009A4B4C">
        <w:tab/>
        <w:t>параграф 5 се заменя със следното:</w:t>
      </w:r>
    </w:p>
    <w:p w:rsidR="00EF006A" w:rsidRPr="009A4B4C" w:rsidRDefault="00EF006A" w:rsidP="00EF006A">
      <w:pPr>
        <w:pStyle w:val="Text1"/>
        <w:ind w:left="2160" w:hanging="590"/>
        <w:rPr>
          <w:noProof/>
        </w:rPr>
      </w:pPr>
      <w:r w:rsidRPr="009A4B4C">
        <w:t>„5.</w:t>
      </w:r>
      <w:r w:rsidRPr="009A4B4C">
        <w:tab/>
        <w:t xml:space="preserve">Процентът на финансовата вноска на Съюза за разходите за придобиване на модернизацията е същият като процента на финансовата вноска на Съюза за първоначалния суперкомпютър на СП </w:t>
      </w:r>
      <w:proofErr w:type="spellStart"/>
      <w:r w:rsidRPr="009A4B4C">
        <w:t>EuroHPC</w:t>
      </w:r>
      <w:proofErr w:type="spellEnd"/>
      <w:r w:rsidRPr="009A4B4C">
        <w:t xml:space="preserve">, амортизиран през очаквания оставащ жизнен цикъл на първоначалния суперкомпютър. Процентът на финансовата вноска на Съюза за допълнителните текущи разходи за модернизацията е същият като процента на финансовата вноска на Съюза за първоначалния суперкомпютър на СП </w:t>
      </w:r>
      <w:proofErr w:type="spellStart"/>
      <w:r w:rsidRPr="009A4B4C">
        <w:t>EuroHPC</w:t>
      </w:r>
      <w:proofErr w:type="spellEnd"/>
      <w:r w:rsidRPr="009A4B4C">
        <w:t>.“;</w:t>
      </w:r>
    </w:p>
    <w:p w:rsidR="00EF006A" w:rsidRPr="009A4B4C" w:rsidRDefault="00EF006A" w:rsidP="00EF006A">
      <w:pPr>
        <w:pStyle w:val="Point0"/>
        <w:rPr>
          <w:noProof/>
        </w:rPr>
      </w:pPr>
      <w:r w:rsidRPr="009A4B4C">
        <w:t>9)</w:t>
      </w:r>
      <w:r w:rsidRPr="009A4B4C">
        <w:tab/>
        <w:t>член 16 се изменя, както следва:</w:t>
      </w:r>
    </w:p>
    <w:p w:rsidR="00EF006A" w:rsidRPr="009A4B4C" w:rsidRDefault="00EF006A" w:rsidP="00EF006A">
      <w:pPr>
        <w:pStyle w:val="Point0"/>
        <w:ind w:left="1700"/>
        <w:rPr>
          <w:noProof/>
        </w:rPr>
      </w:pPr>
      <w:r w:rsidRPr="009A4B4C">
        <w:t>a)</w:t>
      </w:r>
      <w:r w:rsidRPr="009A4B4C">
        <w:tab/>
        <w:t>вмъква се следният параграф 1б:</w:t>
      </w:r>
    </w:p>
    <w:p w:rsidR="00EF006A" w:rsidRPr="009A4B4C" w:rsidRDefault="00EF006A" w:rsidP="00EF006A">
      <w:pPr>
        <w:pStyle w:val="Text1"/>
        <w:ind w:left="2160" w:hanging="590"/>
        <w:rPr>
          <w:i/>
          <w:iCs/>
          <w:noProof/>
        </w:rPr>
      </w:pPr>
      <w:r w:rsidRPr="009A4B4C">
        <w:t xml:space="preserve">„1б. </w:t>
      </w:r>
      <w:r w:rsidRPr="009A4B4C">
        <w:tab/>
        <w:t xml:space="preserve">Предназначените за изкуствен интелект суперкомпютри и суперкомпютрите на СП </w:t>
      </w:r>
      <w:proofErr w:type="spellStart"/>
      <w:r w:rsidRPr="009A4B4C">
        <w:t>EuroHPC</w:t>
      </w:r>
      <w:proofErr w:type="spellEnd"/>
      <w:r w:rsidRPr="009A4B4C">
        <w:t>, модернизирани с възможности за изкуствен интелект, се използват предимно за разработването, изпитването, оценката и валидирането на широкомащабни модели за обучение в областта на изкуствения интелект с общо предназначение и нововъзникващи приложения в областта на изкуствения интелект, както и за по-нататъшното разработване на решения в областта на изкуствения интелект в Съюза, които изискват високопроизводителни изчислителни технологии, и изпълнението на широкомащабни алгоритми за изкуствен интелект с цел разрешаване на научни проблеми.“;</w:t>
      </w:r>
    </w:p>
    <w:p w:rsidR="00EF006A" w:rsidRPr="009A4B4C" w:rsidRDefault="00EF006A" w:rsidP="00EF006A">
      <w:pPr>
        <w:pStyle w:val="Point0"/>
        <w:ind w:left="1700"/>
        <w:rPr>
          <w:noProof/>
        </w:rPr>
      </w:pPr>
      <w:r w:rsidRPr="009A4B4C">
        <w:t>б)</w:t>
      </w:r>
      <w:r w:rsidRPr="009A4B4C">
        <w:tab/>
        <w:t>вмъква се следният параграф 2б:</w:t>
      </w:r>
    </w:p>
    <w:p w:rsidR="00EF006A" w:rsidRPr="009A4B4C" w:rsidRDefault="00EF006A" w:rsidP="00EF006A">
      <w:pPr>
        <w:pStyle w:val="Text1"/>
        <w:ind w:left="2160" w:hanging="590"/>
        <w:rPr>
          <w:noProof/>
        </w:rPr>
      </w:pPr>
      <w:r w:rsidRPr="009A4B4C">
        <w:t xml:space="preserve">„2б. </w:t>
      </w:r>
      <w:r w:rsidRPr="009A4B4C">
        <w:tab/>
        <w:t xml:space="preserve">Управителният съвет определя ▌условия за достъп до предназначените за изкуствен интелект суперкомпютри и суперкомпютрите на СП </w:t>
      </w:r>
      <w:proofErr w:type="spellStart"/>
      <w:r w:rsidRPr="009A4B4C">
        <w:t>EuroHPC</w:t>
      </w:r>
      <w:proofErr w:type="spellEnd"/>
      <w:r w:rsidRPr="009A4B4C">
        <w:t xml:space="preserve">, модернизирани с възможности за изкуствен интелект, в съответствие с член 17, като взема предвид специфичните нужди на основаната на ИИ екосистема за новосъздадени предприятия и научни изследвания. </w:t>
      </w:r>
      <w:r w:rsidRPr="009A4B4C">
        <w:rPr>
          <w:b/>
          <w:bCs/>
          <w:i/>
          <w:iCs/>
        </w:rPr>
        <w:t>Управителният съвет може да определи специфични условия за достъп за различни видове ползватели или приложения, включително</w:t>
      </w:r>
      <w:r w:rsidRPr="009A4B4C">
        <w:t xml:space="preserve"> специален достъп за новосъздадени предприятия</w:t>
      </w:r>
      <w:r w:rsidRPr="009A4B4C">
        <w:rPr>
          <w:b/>
          <w:bCs/>
          <w:i/>
          <w:iCs/>
        </w:rPr>
        <w:t>, разрастващи се предприятия и МСП</w:t>
      </w:r>
      <w:r w:rsidRPr="009A4B4C">
        <w:t>.</w:t>
      </w:r>
      <w:r w:rsidRPr="009A4B4C">
        <w:rPr>
          <w:b/>
          <w:i/>
        </w:rPr>
        <w:t xml:space="preserve"> </w:t>
      </w:r>
      <w:r w:rsidRPr="009A4B4C">
        <w:rPr>
          <w:b/>
          <w:bCs/>
          <w:i/>
          <w:iCs/>
        </w:rPr>
        <w:t>Сигурността и качеството на услугата са еднакви за всички ползватели във всяка потребителска категория</w:t>
      </w:r>
      <w:r w:rsidRPr="009A4B4C">
        <w:t xml:space="preserve">. Допустими за достъп са само </w:t>
      </w:r>
      <w:r w:rsidRPr="009A4B4C">
        <w:lastRenderedPageBreak/>
        <w:t xml:space="preserve">предложения за разработване на надеждни и етични модели, системи и приложения на изкуствения интелект, които са в съответствие с </w:t>
      </w:r>
      <w:r w:rsidRPr="009A4B4C">
        <w:rPr>
          <w:b/>
          <w:bCs/>
          <w:i/>
          <w:iCs/>
        </w:rPr>
        <w:t>правилата и</w:t>
      </w:r>
      <w:r w:rsidRPr="009A4B4C">
        <w:t xml:space="preserve"> ценностите на </w:t>
      </w:r>
      <w:r w:rsidRPr="009A4B4C">
        <w:rPr>
          <w:b/>
          <w:bCs/>
          <w:i/>
          <w:iCs/>
        </w:rPr>
        <w:t>Съюза, по-специално</w:t>
      </w:r>
      <w:r w:rsidRPr="009A4B4C">
        <w:rPr>
          <w:b/>
          <w:bCs/>
        </w:rPr>
        <w:t xml:space="preserve"> </w:t>
      </w:r>
      <w:r w:rsidRPr="009A4B4C">
        <w:rPr>
          <w:b/>
          <w:bCs/>
          <w:i/>
          <w:iCs/>
        </w:rPr>
        <w:t>заложените в член 2 от Договора за Европейския съюз и в Хартата на основните права на Европейския съюз</w:t>
      </w:r>
      <w:r w:rsidRPr="009A4B4C">
        <w:t xml:space="preserve">. </w:t>
      </w:r>
      <w:r w:rsidRPr="009A4B4C">
        <w:rPr>
          <w:b/>
          <w:bCs/>
          <w:i/>
          <w:iCs/>
        </w:rPr>
        <w:t>Критериите за достъп, методологиите и насоките относно приоритизирането на достъпа ще бъдат определени в съответствие с подхода за етика при проектирането на изкуствения интелект и с подкрепата на механизма за оценка на етиката на програма „Хоризонт Европа“.“;</w:t>
      </w:r>
    </w:p>
    <w:p w:rsidR="00EF006A" w:rsidRPr="009A4B4C" w:rsidRDefault="00EF006A" w:rsidP="00EF006A">
      <w:pPr>
        <w:pStyle w:val="Point0"/>
        <w:rPr>
          <w:noProof/>
        </w:rPr>
      </w:pPr>
      <w:r w:rsidRPr="009A4B4C">
        <w:t>10)</w:t>
      </w:r>
      <w:r w:rsidRPr="009A4B4C">
        <w:tab/>
        <w:t>член 17, параграф 1 се заменя със следното:</w:t>
      </w:r>
    </w:p>
    <w:p w:rsidR="00EF006A" w:rsidRPr="009A4B4C" w:rsidRDefault="00EF006A" w:rsidP="00EF006A">
      <w:pPr>
        <w:pStyle w:val="Text1"/>
        <w:ind w:left="1440" w:hanging="720"/>
        <w:rPr>
          <w:noProof/>
        </w:rPr>
      </w:pPr>
      <w:r w:rsidRPr="009A4B4C">
        <w:t xml:space="preserve">„1. </w:t>
      </w:r>
      <w:r w:rsidRPr="009A4B4C">
        <w:tab/>
        <w:t>Делът на Съюза от времето за достъп до всеки суперкомпютър от висок клас, квантов компютър</w:t>
      </w:r>
      <w:r w:rsidRPr="009A4B4C">
        <w:rPr>
          <w:i/>
          <w:iCs/>
        </w:rPr>
        <w:t xml:space="preserve"> </w:t>
      </w:r>
      <w:r w:rsidRPr="00ED38D0">
        <w:rPr>
          <w:iCs/>
        </w:rPr>
        <w:t xml:space="preserve">и предназначен за изкуствен интелект суперкомпютър на СП </w:t>
      </w:r>
      <w:proofErr w:type="spellStart"/>
      <w:r w:rsidRPr="00ED38D0">
        <w:rPr>
          <w:iCs/>
        </w:rPr>
        <w:t>EuroHPC</w:t>
      </w:r>
      <w:proofErr w:type="spellEnd"/>
      <w:r w:rsidRPr="00593D12">
        <w:t xml:space="preserve"> </w:t>
      </w:r>
      <w:r w:rsidRPr="009A4B4C">
        <w:t>е правопропорционален на финансовата вноска на Съюза, посочена в член 5, параграф 1, в общите разходи за собственост на суперкомпютъра и не надхвърля 50% от общото време за достъп до него.“.</w:t>
      </w:r>
    </w:p>
    <w:p w:rsidR="00EF006A" w:rsidRPr="009A4B4C" w:rsidRDefault="00EF006A" w:rsidP="00EF006A">
      <w:pPr>
        <w:pStyle w:val="Titrearticle"/>
        <w:rPr>
          <w:noProof/>
        </w:rPr>
      </w:pPr>
      <w:r w:rsidRPr="009A4B4C">
        <w:tab/>
        <w:t>Член 2</w:t>
      </w:r>
    </w:p>
    <w:p w:rsidR="00EF006A" w:rsidRPr="009A4B4C" w:rsidRDefault="00EF006A" w:rsidP="00EF006A">
      <w:pPr>
        <w:rPr>
          <w:noProof/>
        </w:rPr>
      </w:pPr>
      <w:r w:rsidRPr="009A4B4C">
        <w:t>Настоящият регламент влиза в сила на двадесетия ден след деня на публикуването му в Официален вестник на Европейския съюз.</w:t>
      </w:r>
    </w:p>
    <w:p w:rsidR="00EF006A" w:rsidRPr="009A4B4C" w:rsidRDefault="00EF006A" w:rsidP="00EF006A">
      <w:pPr>
        <w:pStyle w:val="Applicationdirecte"/>
        <w:rPr>
          <w:noProof/>
        </w:rPr>
      </w:pPr>
      <w:r w:rsidRPr="009A4B4C">
        <w:t>Настоящият регламент е задължителен в своята цялост и се прилага пряко във всички държави членки.</w:t>
      </w:r>
    </w:p>
    <w:p w:rsidR="00EF006A" w:rsidRPr="009A4B4C" w:rsidRDefault="00EF006A" w:rsidP="00EF006A">
      <w:pPr>
        <w:pStyle w:val="Fait"/>
        <w:rPr>
          <w:noProof/>
        </w:rPr>
      </w:pPr>
      <w:r w:rsidRPr="009A4B4C">
        <w:t>Съставено в … на</w:t>
      </w:r>
    </w:p>
    <w:p w:rsidR="00EF006A" w:rsidRPr="009A4B4C" w:rsidRDefault="00EF006A" w:rsidP="00EF006A">
      <w:pPr>
        <w:pStyle w:val="Institutionquisigne"/>
        <w:rPr>
          <w:noProof/>
        </w:rPr>
      </w:pPr>
      <w:r w:rsidRPr="009A4B4C">
        <w:tab/>
        <w:t>За Съвета</w:t>
      </w:r>
    </w:p>
    <w:p w:rsidR="00EF006A" w:rsidRPr="009A4B4C" w:rsidRDefault="00EF006A" w:rsidP="00EF006A">
      <w:pPr>
        <w:pStyle w:val="Personnequisigne"/>
        <w:jc w:val="both"/>
        <w:rPr>
          <w:noProof/>
        </w:rPr>
      </w:pPr>
      <w:r w:rsidRPr="009A4B4C">
        <w:tab/>
        <w:t>Председател</w:t>
      </w:r>
    </w:p>
    <w:p w:rsidR="00EF006A" w:rsidRPr="009A4B4C" w:rsidRDefault="00EF006A" w:rsidP="00EF006A">
      <w:pPr>
        <w:pStyle w:val="Personnequisigne"/>
        <w:jc w:val="both"/>
        <w:rPr>
          <w:noProof/>
        </w:rPr>
      </w:pPr>
    </w:p>
    <w:p w:rsidR="00E365E1" w:rsidRPr="009A4B4C" w:rsidRDefault="00E365E1" w:rsidP="00D83180">
      <w:bookmarkStart w:id="9" w:name="TextBodyEnd"/>
      <w:bookmarkEnd w:id="9"/>
    </w:p>
    <w:sectPr w:rsidR="00E365E1" w:rsidRPr="009A4B4C" w:rsidSect="009A4B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180" w:rsidRPr="009A4B4C" w:rsidRDefault="00D83180">
      <w:r w:rsidRPr="009A4B4C">
        <w:separator/>
      </w:r>
    </w:p>
  </w:endnote>
  <w:endnote w:type="continuationSeparator" w:id="0">
    <w:p w:rsidR="00D83180" w:rsidRPr="009A4B4C" w:rsidRDefault="00D83180">
      <w:r w:rsidRPr="009A4B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4B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4B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4B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180" w:rsidRPr="009A4B4C" w:rsidRDefault="00D83180">
      <w:r w:rsidRPr="009A4B4C">
        <w:separator/>
      </w:r>
    </w:p>
  </w:footnote>
  <w:footnote w:type="continuationSeparator" w:id="0">
    <w:p w:rsidR="00D83180" w:rsidRPr="009A4B4C" w:rsidRDefault="00D83180">
      <w:r w:rsidRPr="009A4B4C">
        <w:continuationSeparator/>
      </w:r>
    </w:p>
  </w:footnote>
  <w:footnote w:id="1">
    <w:p w:rsidR="00EF006A" w:rsidRPr="009A4B4C" w:rsidRDefault="00EF006A" w:rsidP="009A4B4C">
      <w:pPr>
        <w:pStyle w:val="FootnoteText"/>
        <w:ind w:left="567" w:hanging="567"/>
        <w:rPr>
          <w:sz w:val="24"/>
          <w:lang w:val="bg-BG"/>
        </w:rPr>
      </w:pPr>
      <w:r w:rsidRPr="009A4B4C">
        <w:rPr>
          <w:rStyle w:val="FootnoteReference"/>
          <w:sz w:val="24"/>
          <w:lang w:val="bg-BG"/>
        </w:rPr>
        <w:t>*</w:t>
      </w:r>
      <w:r w:rsidR="009A4B4C" w:rsidRPr="009A4B4C">
        <w:rPr>
          <w:sz w:val="24"/>
          <w:lang w:val="bg-BG"/>
        </w:rPr>
        <w:t xml:space="preserve"> </w:t>
      </w:r>
      <w:r w:rsidR="009A4B4C" w:rsidRPr="009A4B4C">
        <w:rPr>
          <w:sz w:val="24"/>
          <w:lang w:val="bg-BG"/>
        </w:rPr>
        <w:tab/>
      </w:r>
      <w:r w:rsidRPr="009A4B4C">
        <w:rPr>
          <w:sz w:val="24"/>
          <w:lang w:val="bg-BG"/>
        </w:rPr>
        <w:t>Изменения: нов или изменен текст се обозначава с получер курсив; заличаванията се посочват със символа ▌.</w:t>
      </w:r>
    </w:p>
  </w:footnote>
  <w:footnote w:id="2">
    <w:p w:rsidR="00EF006A" w:rsidRPr="009A4B4C" w:rsidRDefault="00EF006A" w:rsidP="009A4B4C">
      <w:pPr>
        <w:pStyle w:val="FootnoteText"/>
        <w:ind w:left="567" w:hanging="567"/>
        <w:rPr>
          <w:sz w:val="24"/>
          <w:lang w:val="bg-BG"/>
        </w:rPr>
      </w:pPr>
      <w:r w:rsidRPr="009A4B4C">
        <w:rPr>
          <w:rStyle w:val="FootnoteReference"/>
          <w:sz w:val="24"/>
          <w:lang w:val="bg-BG"/>
        </w:rPr>
        <w:footnoteRef/>
      </w:r>
      <w:r w:rsidR="009A4B4C" w:rsidRPr="009A4B4C">
        <w:rPr>
          <w:sz w:val="24"/>
          <w:lang w:val="bg-BG"/>
        </w:rPr>
        <w:t xml:space="preserve"> </w:t>
      </w:r>
      <w:r w:rsidR="009A4B4C" w:rsidRPr="009A4B4C">
        <w:rPr>
          <w:sz w:val="24"/>
          <w:lang w:val="bg-BG"/>
        </w:rPr>
        <w:tab/>
      </w:r>
      <w:r w:rsidRPr="009A4B4C">
        <w:rPr>
          <w:sz w:val="24"/>
          <w:lang w:val="bg-BG"/>
        </w:rPr>
        <w:t>OВ C , , стp. .</w:t>
      </w:r>
    </w:p>
  </w:footnote>
  <w:footnote w:id="3">
    <w:p w:rsidR="00EF006A" w:rsidRPr="009A4B4C" w:rsidRDefault="00EF006A" w:rsidP="009A4B4C">
      <w:pPr>
        <w:pStyle w:val="FootnoteText"/>
        <w:ind w:left="567" w:hanging="567"/>
        <w:rPr>
          <w:sz w:val="24"/>
          <w:lang w:val="bg-BG"/>
        </w:rPr>
      </w:pPr>
      <w:r w:rsidRPr="009A4B4C">
        <w:rPr>
          <w:rStyle w:val="FootnoteReference"/>
          <w:sz w:val="24"/>
          <w:lang w:val="bg-BG"/>
        </w:rPr>
        <w:footnoteRef/>
      </w:r>
      <w:r w:rsidR="009A4B4C" w:rsidRPr="009A4B4C">
        <w:rPr>
          <w:sz w:val="24"/>
          <w:lang w:val="bg-BG"/>
        </w:rPr>
        <w:t xml:space="preserve"> </w:t>
      </w:r>
      <w:r w:rsidR="009A4B4C" w:rsidRPr="009A4B4C">
        <w:rPr>
          <w:sz w:val="24"/>
          <w:lang w:val="bg-BG"/>
        </w:rPr>
        <w:tab/>
      </w:r>
      <w:r w:rsidRPr="009A4B4C">
        <w:rPr>
          <w:sz w:val="24"/>
          <w:lang w:val="bg-BG"/>
        </w:rPr>
        <w:t>Становище на..., ОВ C , , стр.</w:t>
      </w:r>
    </w:p>
  </w:footnote>
  <w:footnote w:id="4">
    <w:p w:rsidR="00EF006A" w:rsidRPr="009A4B4C" w:rsidRDefault="00EF006A" w:rsidP="009A4B4C">
      <w:pPr>
        <w:pStyle w:val="FootnoteText"/>
        <w:ind w:left="567" w:hanging="567"/>
        <w:rPr>
          <w:sz w:val="24"/>
          <w:lang w:val="bg-BG"/>
        </w:rPr>
      </w:pPr>
      <w:r w:rsidRPr="009A4B4C">
        <w:rPr>
          <w:rStyle w:val="FootnoteReference"/>
          <w:sz w:val="24"/>
          <w:lang w:val="bg-BG"/>
        </w:rPr>
        <w:footnoteRef/>
      </w:r>
      <w:r w:rsidR="009A4B4C" w:rsidRPr="009A4B4C">
        <w:rPr>
          <w:rStyle w:val="normaltextrun"/>
          <w:sz w:val="24"/>
          <w:lang w:val="bg-BG"/>
        </w:rPr>
        <w:t xml:space="preserve"> </w:t>
      </w:r>
      <w:r w:rsidR="009A4B4C" w:rsidRPr="009A4B4C">
        <w:rPr>
          <w:rStyle w:val="normaltextrun"/>
          <w:sz w:val="24"/>
          <w:lang w:val="bg-BG"/>
        </w:rPr>
        <w:tab/>
      </w:r>
      <w:r w:rsidRPr="009A4B4C">
        <w:rPr>
          <w:rStyle w:val="normaltextrun"/>
          <w:sz w:val="24"/>
          <w:lang w:val="bg-BG"/>
        </w:rPr>
        <w:t>Регламент (ЕС) 2024/... на Европейския парламент и на Съвета за определяне на хармонизирани правила относно изкуствения интелект (Законодателен акт за изкуствения интелект) и за изменение на някои законодателни актове на Съюза (OВ L , , стр.).</w:t>
      </w:r>
    </w:p>
  </w:footnote>
  <w:footnote w:id="5">
    <w:p w:rsidR="00EF006A" w:rsidRPr="009A4B4C" w:rsidRDefault="00EF006A" w:rsidP="009A4B4C">
      <w:pPr>
        <w:pStyle w:val="FootnoteText"/>
        <w:ind w:left="567" w:hanging="567"/>
        <w:rPr>
          <w:sz w:val="24"/>
          <w:lang w:val="bg-BG"/>
        </w:rPr>
      </w:pPr>
      <w:r w:rsidRPr="009A4B4C">
        <w:rPr>
          <w:rStyle w:val="FootnoteReference"/>
          <w:sz w:val="24"/>
          <w:lang w:val="bg-BG"/>
        </w:rPr>
        <w:footnoteRef/>
      </w:r>
      <w:r w:rsidR="009A4B4C" w:rsidRPr="009A4B4C">
        <w:rPr>
          <w:sz w:val="24"/>
          <w:lang w:val="bg-BG"/>
        </w:rPr>
        <w:t xml:space="preserve"> </w:t>
      </w:r>
      <w:r w:rsidR="009A4B4C" w:rsidRPr="009A4B4C">
        <w:rPr>
          <w:sz w:val="24"/>
          <w:lang w:val="bg-BG"/>
        </w:rPr>
        <w:tab/>
      </w:r>
      <w:r w:rsidRPr="009A4B4C">
        <w:rPr>
          <w:sz w:val="24"/>
          <w:lang w:val="bg-BG"/>
        </w:rPr>
        <w:t xml:space="preserve">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 (ОВ L 256, 19.7.2021 г., стр. 3, ELI: </w:t>
      </w:r>
      <w:hyperlink r:id="rId1" w:history="1">
        <w:r w:rsidRPr="009A4B4C">
          <w:rPr>
            <w:rStyle w:val="Hyperlink"/>
            <w:sz w:val="24"/>
            <w:lang w:val="bg-BG"/>
          </w:rPr>
          <w:t>http://data.europa.eu/eli/reg/2021/1173/oj</w:t>
        </w:r>
      </w:hyperlink>
      <w:r w:rsidRPr="009A4B4C">
        <w:rPr>
          <w:sz w:val="24"/>
          <w:lang w:val="bg-BG"/>
        </w:rPr>
        <w:t>).</w:t>
      </w:r>
    </w:p>
  </w:footnote>
  <w:footnote w:id="6">
    <w:p w:rsidR="00EF006A" w:rsidRPr="009A4B4C" w:rsidRDefault="00EF006A" w:rsidP="009A4B4C">
      <w:pPr>
        <w:pStyle w:val="FootnoteText"/>
        <w:ind w:left="567" w:hanging="567"/>
        <w:rPr>
          <w:sz w:val="24"/>
          <w:lang w:val="bg-BG"/>
        </w:rPr>
      </w:pPr>
      <w:r w:rsidRPr="009A4B4C">
        <w:rPr>
          <w:rStyle w:val="FootnoteReference"/>
          <w:sz w:val="24"/>
          <w:lang w:val="bg-BG"/>
        </w:rPr>
        <w:footnoteRef/>
      </w:r>
      <w:r w:rsidR="009A4B4C" w:rsidRPr="009A4B4C">
        <w:rPr>
          <w:b/>
          <w:bCs/>
          <w:i/>
          <w:iCs/>
          <w:sz w:val="24"/>
          <w:lang w:val="bg-BG"/>
        </w:rPr>
        <w:t xml:space="preserve"> </w:t>
      </w:r>
      <w:r w:rsidR="009A4B4C" w:rsidRPr="009A4B4C">
        <w:rPr>
          <w:b/>
          <w:bCs/>
          <w:i/>
          <w:iCs/>
          <w:sz w:val="24"/>
          <w:lang w:val="bg-BG"/>
        </w:rPr>
        <w:tab/>
      </w:r>
      <w:r w:rsidRPr="009A4B4C">
        <w:rPr>
          <w:b/>
          <w:bCs/>
          <w:i/>
          <w:iCs/>
          <w:sz w:val="24"/>
          <w:lang w:val="bg-BG"/>
        </w:rPr>
        <w:t>Приети текстове, P9_TA(2023)0480.</w:t>
      </w:r>
    </w:p>
  </w:footnote>
  <w:footnote w:id="7">
    <w:p w:rsidR="00EF006A" w:rsidRPr="009A4B4C" w:rsidRDefault="00EF006A" w:rsidP="009A4B4C">
      <w:pPr>
        <w:pStyle w:val="FootnoteText"/>
        <w:ind w:left="567" w:hanging="567"/>
        <w:rPr>
          <w:b/>
          <w:i/>
          <w:sz w:val="24"/>
          <w:lang w:val="bg-BG"/>
        </w:rPr>
      </w:pPr>
      <w:r w:rsidRPr="009A4B4C">
        <w:rPr>
          <w:rStyle w:val="FootnoteReference"/>
          <w:b/>
          <w:i/>
          <w:sz w:val="24"/>
          <w:lang w:val="bg-BG"/>
        </w:rPr>
        <w:footnoteRef/>
      </w:r>
      <w:r w:rsidR="009A4B4C" w:rsidRPr="009A4B4C">
        <w:rPr>
          <w:b/>
          <w:bCs/>
          <w:i/>
          <w:iCs/>
          <w:sz w:val="24"/>
          <w:lang w:val="bg-BG"/>
        </w:rPr>
        <w:t xml:space="preserve"> </w:t>
      </w:r>
      <w:r w:rsidR="009A4B4C" w:rsidRPr="009A4B4C">
        <w:rPr>
          <w:b/>
          <w:bCs/>
          <w:i/>
          <w:iCs/>
          <w:sz w:val="24"/>
          <w:lang w:val="bg-BG"/>
        </w:rPr>
        <w:tab/>
      </w:r>
      <w:r w:rsidRPr="009A4B4C">
        <w:rPr>
          <w:b/>
          <w:bCs/>
          <w:i/>
          <w:iCs/>
          <w:sz w:val="24"/>
          <w:lang w:val="bg-BG"/>
        </w:rPr>
        <w:t>Директива (ЕС) 2023/1791 на Европейския парламент и на Съвета от 13 септември 2023 г. за енергийната ефективност и за изменение на Регламент (ЕС) 2023/955 (OВ L 231, 20.9.2023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4B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4B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4B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BG"/>
    <w:docVar w:name="dvnumam" w:val="0"/>
    <w:docVar w:name="dvpe" w:val="759.744"/>
    <w:docVar w:name="dvrapporteur" w:val="Докладчик: "/>
    <w:docVar w:name="dvstar" w:val="*"/>
    <w:docVar w:name="dvtitre" w:val="Законодателна резолюция на Европейския парламент от ... 2024 г. относно предложението за регламент на Съвета за изменение на Регламент (ЕС) 2021/1173 по отношение на инициативата EuroHPC за новосъздадени предприятия с цел засилване на водещата роля на Европа в областта на надеждния изкуствен интелект(COM(2024)0029 – C9-0013/2024 – 2024/0016(CNS))"/>
  </w:docVars>
  <w:rsids>
    <w:rsidRoot w:val="00D83180"/>
    <w:rsid w:val="00002272"/>
    <w:rsid w:val="00064002"/>
    <w:rsid w:val="000677B9"/>
    <w:rsid w:val="000831BA"/>
    <w:rsid w:val="000A42CC"/>
    <w:rsid w:val="000C4FA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FA3"/>
    <w:rsid w:val="004867E3"/>
    <w:rsid w:val="00494A28"/>
    <w:rsid w:val="004C0004"/>
    <w:rsid w:val="004C5D52"/>
    <w:rsid w:val="0050519A"/>
    <w:rsid w:val="005072A1"/>
    <w:rsid w:val="00514517"/>
    <w:rsid w:val="00537410"/>
    <w:rsid w:val="00545827"/>
    <w:rsid w:val="00560270"/>
    <w:rsid w:val="00593D12"/>
    <w:rsid w:val="005C2568"/>
    <w:rsid w:val="006037C0"/>
    <w:rsid w:val="006631B6"/>
    <w:rsid w:val="00680577"/>
    <w:rsid w:val="006F74FA"/>
    <w:rsid w:val="00731ADD"/>
    <w:rsid w:val="00734777"/>
    <w:rsid w:val="007360D2"/>
    <w:rsid w:val="00747932"/>
    <w:rsid w:val="00751A4A"/>
    <w:rsid w:val="007543E4"/>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B4C"/>
    <w:rsid w:val="00A1687D"/>
    <w:rsid w:val="00A43E52"/>
    <w:rsid w:val="00A4678D"/>
    <w:rsid w:val="00A778C7"/>
    <w:rsid w:val="00AB441E"/>
    <w:rsid w:val="00AB6293"/>
    <w:rsid w:val="00AE0928"/>
    <w:rsid w:val="00AE1C57"/>
    <w:rsid w:val="00AF3B82"/>
    <w:rsid w:val="00B12E95"/>
    <w:rsid w:val="00B22876"/>
    <w:rsid w:val="00B558F0"/>
    <w:rsid w:val="00BD48FE"/>
    <w:rsid w:val="00BD7BD8"/>
    <w:rsid w:val="00BE6ADC"/>
    <w:rsid w:val="00C05BFE"/>
    <w:rsid w:val="00C23CD4"/>
    <w:rsid w:val="00C61C0C"/>
    <w:rsid w:val="00C941CB"/>
    <w:rsid w:val="00CC2357"/>
    <w:rsid w:val="00CE0EC6"/>
    <w:rsid w:val="00CF071A"/>
    <w:rsid w:val="00D058B8"/>
    <w:rsid w:val="00D56C11"/>
    <w:rsid w:val="00D83180"/>
    <w:rsid w:val="00D834A0"/>
    <w:rsid w:val="00D872DF"/>
    <w:rsid w:val="00D91E21"/>
    <w:rsid w:val="00DA7FCD"/>
    <w:rsid w:val="00E057D6"/>
    <w:rsid w:val="00E365E1"/>
    <w:rsid w:val="00E820A4"/>
    <w:rsid w:val="00EB006A"/>
    <w:rsid w:val="00EB4772"/>
    <w:rsid w:val="00ED169E"/>
    <w:rsid w:val="00ED38D0"/>
    <w:rsid w:val="00ED4235"/>
    <w:rsid w:val="00EF006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E4FD4"/>
  <w15:chartTrackingRefBased/>
  <w15:docId w15:val="{D0B801BC-81C4-4C49-AEF9-ACA7C069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F006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F006A"/>
    <w:pPr>
      <w:spacing w:before="480" w:after="240"/>
    </w:pPr>
  </w:style>
  <w:style w:type="paragraph" w:customStyle="1" w:styleId="PageHeading">
    <w:name w:val="PageHeading"/>
    <w:basedOn w:val="Normal"/>
    <w:rsid w:val="00EF006A"/>
    <w:pPr>
      <w:keepNext/>
      <w:spacing w:after="480"/>
      <w:jc w:val="center"/>
    </w:pPr>
    <w:rPr>
      <w:rFonts w:ascii="Arial" w:hAnsi="Arial" w:cs="Arial"/>
      <w:b/>
    </w:rPr>
  </w:style>
  <w:style w:type="paragraph" w:customStyle="1" w:styleId="NormalBold">
    <w:name w:val="NormalBold"/>
    <w:basedOn w:val="Normal"/>
    <w:rsid w:val="00EF006A"/>
    <w:rPr>
      <w:b/>
    </w:rPr>
  </w:style>
  <w:style w:type="paragraph" w:customStyle="1" w:styleId="NormalHanging12a">
    <w:name w:val="NormalHanging12a"/>
    <w:basedOn w:val="Normal"/>
    <w:rsid w:val="00EF006A"/>
    <w:pPr>
      <w:spacing w:after="240"/>
      <w:ind w:left="567" w:hanging="567"/>
    </w:pPr>
  </w:style>
  <w:style w:type="paragraph" w:styleId="Header">
    <w:name w:val="header"/>
    <w:basedOn w:val="Normal"/>
    <w:link w:val="HeaderChar"/>
    <w:rsid w:val="00EF006A"/>
    <w:pPr>
      <w:tabs>
        <w:tab w:val="center" w:pos="4513"/>
        <w:tab w:val="right" w:pos="9026"/>
      </w:tabs>
    </w:pPr>
  </w:style>
  <w:style w:type="character" w:customStyle="1" w:styleId="HeaderChar">
    <w:name w:val="Header Char"/>
    <w:basedOn w:val="DefaultParagraphFont"/>
    <w:link w:val="Header"/>
    <w:rsid w:val="00EF006A"/>
    <w:rPr>
      <w:sz w:val="24"/>
      <w:lang w:val="bg-BG"/>
    </w:rPr>
  </w:style>
  <w:style w:type="paragraph" w:customStyle="1" w:styleId="AmNumberTabs">
    <w:name w:val="AmNumberTabs"/>
    <w:basedOn w:val="Normal"/>
    <w:rsid w:val="00EF00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EF006A"/>
    <w:pPr>
      <w:tabs>
        <w:tab w:val="center" w:pos="4535"/>
        <w:tab w:val="right" w:pos="9071"/>
      </w:tabs>
      <w:spacing w:before="240" w:after="240"/>
    </w:pPr>
    <w:rPr>
      <w:color w:val="010000"/>
      <w:sz w:val="22"/>
    </w:rPr>
  </w:style>
  <w:style w:type="paragraph" w:customStyle="1" w:styleId="Normal24a">
    <w:name w:val="Normal24a"/>
    <w:basedOn w:val="Normal"/>
    <w:rsid w:val="00EF006A"/>
    <w:pPr>
      <w:spacing w:after="480"/>
    </w:pPr>
  </w:style>
  <w:style w:type="character" w:styleId="Hyperlink">
    <w:name w:val="Hyperlink"/>
    <w:basedOn w:val="DefaultParagraphFont"/>
    <w:uiPriority w:val="99"/>
    <w:unhideWhenUsed/>
    <w:rsid w:val="00EF006A"/>
    <w:rPr>
      <w:color w:val="0563C1" w:themeColor="hyperlink"/>
      <w:u w:val="single"/>
    </w:rPr>
  </w:style>
  <w:style w:type="paragraph" w:styleId="ListParagraph">
    <w:name w:val="List Paragraph"/>
    <w:basedOn w:val="Normal"/>
    <w:uiPriority w:val="34"/>
    <w:qFormat/>
    <w:rsid w:val="00EF006A"/>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EF006A"/>
    <w:pPr>
      <w:widowControl/>
      <w:spacing w:before="120" w:after="120"/>
      <w:ind w:left="850"/>
      <w:jc w:val="both"/>
    </w:pPr>
    <w:rPr>
      <w:rFonts w:eastAsiaTheme="minorHAnsi"/>
      <w:szCs w:val="22"/>
      <w:lang w:eastAsia="en-US"/>
    </w:rPr>
  </w:style>
  <w:style w:type="paragraph" w:customStyle="1" w:styleId="Point0">
    <w:name w:val="Point 0"/>
    <w:basedOn w:val="Normal"/>
    <w:rsid w:val="00EF006A"/>
    <w:pPr>
      <w:widowControl/>
      <w:spacing w:before="120" w:after="120"/>
      <w:ind w:left="850" w:hanging="850"/>
      <w:jc w:val="both"/>
    </w:pPr>
    <w:rPr>
      <w:rFonts w:eastAsiaTheme="minorHAnsi"/>
      <w:szCs w:val="22"/>
      <w:lang w:eastAsia="en-US"/>
    </w:rPr>
  </w:style>
  <w:style w:type="paragraph" w:customStyle="1" w:styleId="Point1">
    <w:name w:val="Point 1"/>
    <w:basedOn w:val="Normal"/>
    <w:rsid w:val="00EF006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F006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F006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F006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EF006A"/>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EF006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F006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F006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F006A"/>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F006A"/>
    <w:pPr>
      <w:widowControl/>
      <w:tabs>
        <w:tab w:val="left" w:pos="4252"/>
      </w:tabs>
    </w:pPr>
    <w:rPr>
      <w:rFonts w:eastAsiaTheme="minorHAnsi"/>
      <w:i/>
      <w:szCs w:val="22"/>
      <w:lang w:eastAsia="en-US"/>
    </w:rPr>
  </w:style>
  <w:style w:type="paragraph" w:customStyle="1" w:styleId="ManualConsidrant">
    <w:name w:val="Manual Considérant"/>
    <w:basedOn w:val="Normal"/>
    <w:rsid w:val="00EF006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EF006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EF006A"/>
    <w:pPr>
      <w:widowControl/>
      <w:ind w:left="5103"/>
    </w:pPr>
    <w:rPr>
      <w:rFonts w:eastAsiaTheme="minorHAnsi"/>
      <w:szCs w:val="22"/>
      <w:lang w:eastAsia="en-US"/>
    </w:rPr>
  </w:style>
  <w:style w:type="paragraph" w:customStyle="1" w:styleId="Typedudocument">
    <w:name w:val="Type du document"/>
    <w:basedOn w:val="Normal"/>
    <w:next w:val="Titreobjet"/>
    <w:rsid w:val="00EF006A"/>
    <w:pPr>
      <w:widowControl/>
      <w:spacing w:before="360"/>
      <w:jc w:val="center"/>
    </w:pPr>
    <w:rPr>
      <w:rFonts w:eastAsiaTheme="minorHAnsi"/>
      <w:b/>
      <w:szCs w:val="22"/>
      <w:lang w:eastAsia="en-US"/>
    </w:rPr>
  </w:style>
  <w:style w:type="paragraph" w:customStyle="1" w:styleId="Titreobjet">
    <w:name w:val="Titre objet"/>
    <w:basedOn w:val="Normal"/>
    <w:next w:val="Normal"/>
    <w:rsid w:val="00EF006A"/>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EF006A"/>
  </w:style>
  <w:style w:type="character" w:customStyle="1" w:styleId="eop">
    <w:name w:val="eop"/>
    <w:basedOn w:val="DefaultParagraphFont"/>
    <w:rsid w:val="00EF006A"/>
  </w:style>
  <w:style w:type="paragraph" w:customStyle="1" w:styleId="Normal12a">
    <w:name w:val="Normal12a"/>
    <w:basedOn w:val="Normal"/>
    <w:rsid w:val="00EF006A"/>
    <w:pPr>
      <w:spacing w:after="240"/>
    </w:pPr>
  </w:style>
  <w:style w:type="paragraph" w:customStyle="1" w:styleId="RollCallVotes">
    <w:name w:val="RollCallVotes"/>
    <w:basedOn w:val="Normal"/>
    <w:rsid w:val="00EF006A"/>
    <w:pPr>
      <w:spacing w:before="120" w:after="120"/>
      <w:jc w:val="center"/>
    </w:pPr>
    <w:rPr>
      <w:b/>
      <w:bCs/>
      <w:snapToGrid w:val="0"/>
      <w:sz w:val="16"/>
      <w:lang w:eastAsia="en-US"/>
    </w:rPr>
  </w:style>
  <w:style w:type="paragraph" w:customStyle="1" w:styleId="RollCallTabs">
    <w:name w:val="RollCallTabs"/>
    <w:basedOn w:val="Normal"/>
    <w:qFormat/>
    <w:rsid w:val="00EF006A"/>
    <w:pPr>
      <w:tabs>
        <w:tab w:val="center" w:pos="284"/>
        <w:tab w:val="left" w:pos="426"/>
      </w:tabs>
    </w:pPr>
    <w:rPr>
      <w:snapToGrid w:val="0"/>
      <w:lang w:eastAsia="en-US"/>
    </w:rPr>
  </w:style>
  <w:style w:type="paragraph" w:customStyle="1" w:styleId="RollCallSymbols14pt">
    <w:name w:val="RollCallSymbols14pt"/>
    <w:basedOn w:val="Normal"/>
    <w:rsid w:val="00EF006A"/>
    <w:pPr>
      <w:spacing w:before="120" w:after="120"/>
      <w:jc w:val="center"/>
    </w:pPr>
    <w:rPr>
      <w:rFonts w:ascii="Arial" w:hAnsi="Arial"/>
      <w:b/>
      <w:bCs/>
      <w:snapToGrid w:val="0"/>
      <w:sz w:val="28"/>
      <w:lang w:eastAsia="en-US"/>
    </w:rPr>
  </w:style>
  <w:style w:type="paragraph" w:customStyle="1" w:styleId="RollCallTable">
    <w:name w:val="RollCallTable"/>
    <w:basedOn w:val="Normal"/>
    <w:rsid w:val="00EF006A"/>
    <w:pPr>
      <w:spacing w:before="120" w:after="120"/>
    </w:pPr>
    <w:rPr>
      <w:snapToGrid w:val="0"/>
      <w:sz w:val="16"/>
      <w:lang w:eastAsia="en-US"/>
    </w:rPr>
  </w:style>
  <w:style w:type="paragraph" w:customStyle="1" w:styleId="NormalCenter12a">
    <w:name w:val="NormalCenter12a"/>
    <w:basedOn w:val="Normal"/>
    <w:rsid w:val="00EF006A"/>
    <w:pPr>
      <w:spacing w:after="240"/>
      <w:jc w:val="center"/>
    </w:pPr>
  </w:style>
  <w:style w:type="paragraph" w:customStyle="1" w:styleId="AmHeadingConsam">
    <w:name w:val="AmHeadingConsam"/>
    <w:basedOn w:val="Normal"/>
    <w:next w:val="NormalCenter12a"/>
    <w:rsid w:val="00EF006A"/>
    <w:pPr>
      <w:spacing w:before="720" w:after="240"/>
      <w:jc w:val="center"/>
    </w:pPr>
  </w:style>
  <w:style w:type="paragraph" w:styleId="BalloonText">
    <w:name w:val="Balloon Text"/>
    <w:basedOn w:val="Normal"/>
    <w:link w:val="BalloonTextChar"/>
    <w:rsid w:val="00593D12"/>
    <w:rPr>
      <w:rFonts w:ascii="Segoe UI" w:hAnsi="Segoe UI" w:cs="Segoe UI"/>
      <w:sz w:val="18"/>
      <w:szCs w:val="18"/>
    </w:rPr>
  </w:style>
  <w:style w:type="character" w:customStyle="1" w:styleId="BalloonTextChar">
    <w:name w:val="Balloon Text Char"/>
    <w:basedOn w:val="DefaultParagraphFont"/>
    <w:link w:val="BalloonText"/>
    <w:rsid w:val="00593D12"/>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CB061-B6AB-4177-95B9-B2553A8D8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3900</Words>
  <Characters>24398</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2024-09-05T09:41:00Z</dcterms:created>
  <dcterms:modified xsi:type="dcterms:W3CDTF">2024-09-05T09:41:00Z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P9_TA(2024)0359_</vt:lpwstr>
  </property>
  <property fmtid="{D5CDD505-2E9C-101B-9397-08002B2CF9AE}" pid="4" name="&lt;Type&gt;">
    <vt:lpwstr>RR</vt:lpwstr>
  </property>
</Properties>
</file>