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32CD" w:rsidTr="0010095E">
        <w:trPr>
          <w:trHeight w:hRule="exact" w:val="1418"/>
        </w:trPr>
        <w:tc>
          <w:tcPr>
            <w:tcW w:w="6804" w:type="dxa"/>
            <w:shd w:val="clear" w:color="auto" w:fill="auto"/>
            <w:vAlign w:val="center"/>
          </w:tcPr>
          <w:p w:rsidR="00751A4A" w:rsidRPr="001D32CD" w:rsidRDefault="00176B82" w:rsidP="0010095E">
            <w:pPr>
              <w:pStyle w:val="EPName"/>
            </w:pPr>
            <w:bookmarkStart w:id="0" w:name="_GoBack"/>
            <w:bookmarkEnd w:id="0"/>
            <w:r w:rsidRPr="001D32CD">
              <w:t>Ευρωπαϊκό Κοινοβούλιο</w:t>
            </w:r>
          </w:p>
          <w:p w:rsidR="00751A4A" w:rsidRPr="001D32CD" w:rsidRDefault="00817416" w:rsidP="00756632">
            <w:pPr>
              <w:pStyle w:val="EPTerm"/>
              <w:rPr>
                <w:rStyle w:val="HideTWBExt"/>
                <w:noProof w:val="0"/>
                <w:vanish w:val="0"/>
                <w:color w:val="auto"/>
              </w:rPr>
            </w:pPr>
            <w:r w:rsidRPr="001D32CD">
              <w:t>2019-2024</w:t>
            </w:r>
          </w:p>
        </w:tc>
        <w:tc>
          <w:tcPr>
            <w:tcW w:w="2268" w:type="dxa"/>
            <w:shd w:val="clear" w:color="auto" w:fill="auto"/>
          </w:tcPr>
          <w:p w:rsidR="00751A4A" w:rsidRPr="001D32CD" w:rsidRDefault="00187494" w:rsidP="0010095E">
            <w:pPr>
              <w:pStyle w:val="EPLogo"/>
            </w:pPr>
            <w:r w:rsidRPr="001D32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32CD" w:rsidRDefault="00D058B8" w:rsidP="004C5D52">
      <w:pPr>
        <w:pStyle w:val="LineTop"/>
      </w:pPr>
    </w:p>
    <w:p w:rsidR="00680577" w:rsidRPr="001D32CD" w:rsidRDefault="00176B82" w:rsidP="00680577">
      <w:pPr>
        <w:pStyle w:val="EPBodyTA1"/>
      </w:pPr>
      <w:r w:rsidRPr="001D32CD">
        <w:t>ΚΕΙΜΕΝΑ ΠΟΥ ΕΓΚΡΙΘΗΚΑΝ</w:t>
      </w:r>
    </w:p>
    <w:p w:rsidR="00D058B8" w:rsidRPr="001D32CD" w:rsidRDefault="00D058B8" w:rsidP="00D058B8">
      <w:pPr>
        <w:pStyle w:val="LineBottom"/>
      </w:pPr>
    </w:p>
    <w:p w:rsidR="00176B82" w:rsidRPr="0091758A" w:rsidRDefault="00176B82" w:rsidP="00176B82">
      <w:pPr>
        <w:pStyle w:val="ATHeading1"/>
      </w:pPr>
      <w:bookmarkStart w:id="1" w:name="TANumber"/>
      <w:r w:rsidRPr="001D32CD">
        <w:t>P9_TA(2024)</w:t>
      </w:r>
      <w:bookmarkEnd w:id="1"/>
      <w:r w:rsidR="0091758A" w:rsidRPr="001D32CD">
        <w:t>0</w:t>
      </w:r>
      <w:r w:rsidR="0091758A" w:rsidRPr="0091758A">
        <w:t>359</w:t>
      </w:r>
    </w:p>
    <w:p w:rsidR="00176B82" w:rsidRPr="001D32CD" w:rsidRDefault="00AD2637" w:rsidP="00176B82">
      <w:pPr>
        <w:pStyle w:val="ATHeading2"/>
      </w:pPr>
      <w:bookmarkStart w:id="2" w:name="title"/>
      <w:r>
        <w:t>Π</w:t>
      </w:r>
      <w:r w:rsidR="00176B82" w:rsidRPr="001D32CD">
        <w:t xml:space="preserve">ρωτοβουλία EuroHPC για νεοφυείς επιχειρήσεις με σκοπό την ενίσχυση της ηγετικής θέσης της Ευρώπης </w:t>
      </w:r>
      <w:r>
        <w:t xml:space="preserve">στον τομέα </w:t>
      </w:r>
      <w:r w:rsidR="00176B82" w:rsidRPr="001D32CD">
        <w:t>τη</w:t>
      </w:r>
      <w:r>
        <w:t>ς</w:t>
      </w:r>
      <w:r w:rsidR="00176B82" w:rsidRPr="001D32CD">
        <w:t xml:space="preserve"> αξιόπιστη</w:t>
      </w:r>
      <w:r>
        <w:t>ς</w:t>
      </w:r>
      <w:r w:rsidR="00176B82" w:rsidRPr="001D32CD">
        <w:t xml:space="preserve"> τεχνητή</w:t>
      </w:r>
      <w:r>
        <w:t>ς</w:t>
      </w:r>
      <w:r w:rsidR="00176B82" w:rsidRPr="001D32CD">
        <w:t xml:space="preserve"> νοημοσύνη</w:t>
      </w:r>
      <w:bookmarkEnd w:id="2"/>
      <w:r>
        <w:t>ς</w:t>
      </w:r>
    </w:p>
    <w:p w:rsidR="00176B82" w:rsidRPr="001D32CD" w:rsidRDefault="00176B82" w:rsidP="00176B82">
      <w:pPr>
        <w:rPr>
          <w:i/>
          <w:vanish/>
        </w:rPr>
      </w:pPr>
      <w:r w:rsidRPr="001D32CD">
        <w:rPr>
          <w:i/>
        </w:rPr>
        <w:fldChar w:fldCharType="begin"/>
      </w:r>
      <w:r w:rsidRPr="001D32CD">
        <w:rPr>
          <w:i/>
        </w:rPr>
        <w:instrText xml:space="preserve"> TC"(</w:instrText>
      </w:r>
      <w:bookmarkStart w:id="3" w:name="DocNumber"/>
      <w:r w:rsidRPr="001D32CD">
        <w:rPr>
          <w:i/>
        </w:rPr>
        <w:instrText>A9-0161/2024</w:instrText>
      </w:r>
      <w:bookmarkEnd w:id="3"/>
      <w:r w:rsidRPr="001D32CD">
        <w:rPr>
          <w:i/>
        </w:rPr>
        <w:instrText xml:space="preserve"> - Εισηγήτρια: Maria da Graça Carvalho)"\l3 \n&gt; \* MERGEFORMAT </w:instrText>
      </w:r>
      <w:r w:rsidRPr="001D32CD">
        <w:rPr>
          <w:i/>
        </w:rPr>
        <w:fldChar w:fldCharType="end"/>
      </w:r>
    </w:p>
    <w:p w:rsidR="00176B82" w:rsidRPr="001D32CD" w:rsidRDefault="00176B82" w:rsidP="00176B82">
      <w:pPr>
        <w:rPr>
          <w:vanish/>
        </w:rPr>
      </w:pPr>
      <w:bookmarkStart w:id="4" w:name="Commission"/>
      <w:r w:rsidRPr="001D32CD">
        <w:rPr>
          <w:vanish/>
        </w:rPr>
        <w:t>Επιτροπή Βιομηχανίας, Έρευνας και Ενέργειας</w:t>
      </w:r>
      <w:bookmarkEnd w:id="4"/>
    </w:p>
    <w:p w:rsidR="00176B82" w:rsidRPr="001D32CD" w:rsidRDefault="00176B82" w:rsidP="00176B82">
      <w:pPr>
        <w:rPr>
          <w:vanish/>
        </w:rPr>
      </w:pPr>
      <w:bookmarkStart w:id="5" w:name="PE"/>
      <w:r w:rsidRPr="001D32CD">
        <w:rPr>
          <w:vanish/>
        </w:rPr>
        <w:t>PE759.744</w:t>
      </w:r>
      <w:bookmarkEnd w:id="5"/>
    </w:p>
    <w:p w:rsidR="00176B82" w:rsidRPr="001D32CD" w:rsidRDefault="00176B82" w:rsidP="00176B82">
      <w:pPr>
        <w:pStyle w:val="ATHeading3"/>
      </w:pPr>
      <w:bookmarkStart w:id="6" w:name="Sujet"/>
      <w:r w:rsidRPr="001D32CD">
        <w:t xml:space="preserve">Νομοθετικό ψήφισμα του Ευρωπαϊκού Κοινοβουλίου </w:t>
      </w:r>
      <w:r w:rsidR="00F402E0">
        <w:t>της 24ης</w:t>
      </w:r>
      <w:r w:rsidR="00B03F7B">
        <w:t xml:space="preserve"> Απριλίου 2024 </w:t>
      </w:r>
      <w:r w:rsidRPr="001D32CD">
        <w:t>σχετικά με την πρόταση κανονισμού του Συμβουλίου για την τροποποίηση του κανονισμού (ΕΕ) 2021/1173 όσον αφορά την πρωτοβουλία EuroHPC για νεοφυείς επιχειρήσεις με σκοπό την ενίσχυση της ηγετικής θέσης της Ευρώπης στον τομέα της αξιόπιστης τεχνητής νοημοσύνης</w:t>
      </w:r>
      <w:bookmarkEnd w:id="6"/>
      <w:r w:rsidRPr="001D32CD">
        <w:t xml:space="preserve"> </w:t>
      </w:r>
      <w:bookmarkStart w:id="7" w:name="References"/>
      <w:r w:rsidRPr="001D32CD">
        <w:t>(COM(2024)0029 – C9-0013/2024 – 2024/0016(CNS))</w:t>
      </w:r>
      <w:bookmarkEnd w:id="7"/>
    </w:p>
    <w:p w:rsidR="00176B82" w:rsidRPr="001D32CD" w:rsidRDefault="00176B82" w:rsidP="00176B82"/>
    <w:p w:rsidR="006C43DF" w:rsidRPr="001D32CD" w:rsidRDefault="006C43DF" w:rsidP="006C43DF">
      <w:pPr>
        <w:pStyle w:val="NormalBold"/>
      </w:pPr>
      <w:bookmarkStart w:id="8" w:name="TextBodyBegin"/>
      <w:bookmarkEnd w:id="8"/>
      <w:r w:rsidRPr="001D32CD">
        <w:t>(Ειδική νομοθετική διαδικασία – διαβούλευση)</w:t>
      </w:r>
    </w:p>
    <w:p w:rsidR="006C43DF" w:rsidRPr="001D32CD" w:rsidRDefault="006C43DF" w:rsidP="006C43DF">
      <w:pPr>
        <w:pStyle w:val="EPComma"/>
      </w:pPr>
      <w:r w:rsidRPr="001D32CD">
        <w:rPr>
          <w:i/>
          <w:iCs/>
        </w:rPr>
        <w:t>Το Ευρωπαϊκό Κοινοβούλιο,</w:t>
      </w:r>
    </w:p>
    <w:p w:rsidR="006C43DF" w:rsidRPr="001D32CD" w:rsidRDefault="006C43DF" w:rsidP="00B03F7B">
      <w:pPr>
        <w:pStyle w:val="NormalHanging12a"/>
      </w:pPr>
      <w:r w:rsidRPr="001D32CD">
        <w:t>–</w:t>
      </w:r>
      <w:r w:rsidRPr="001D32CD">
        <w:tab/>
        <w:t>έχοντας υπόψη την πρόταση της Επιτροπής προς το Συμβούλιο (COM(2024)0029),</w:t>
      </w:r>
    </w:p>
    <w:p w:rsidR="006C43DF" w:rsidRPr="001D32CD" w:rsidRDefault="006C43DF" w:rsidP="00B03F7B">
      <w:pPr>
        <w:pStyle w:val="NormalHanging12a"/>
      </w:pPr>
      <w:r w:rsidRPr="001D32CD">
        <w:t>–</w:t>
      </w:r>
      <w:r w:rsidRPr="001D32CD">
        <w:tab/>
        <w:t>έχοντας υπόψη το άρθρο 187 και το άρθρο 188 πρώτο εδάφιο της Συνθήκης για τη λειτουργία της Ευρωπαϊκής Ένωσης, σύμφωνα με το οποίο κλήθηκε από το Συμβούλιο να γνωμοδοτήσει (C9</w:t>
      </w:r>
      <w:r w:rsidRPr="001D32CD">
        <w:noBreakHyphen/>
        <w:t>0013/2024),</w:t>
      </w:r>
    </w:p>
    <w:p w:rsidR="006C43DF" w:rsidRPr="001D32CD" w:rsidRDefault="006C43DF" w:rsidP="00B03F7B">
      <w:pPr>
        <w:pStyle w:val="NormalHanging12a"/>
      </w:pPr>
      <w:r w:rsidRPr="001D32CD">
        <w:t>–</w:t>
      </w:r>
      <w:r w:rsidRPr="001D32CD">
        <w:tab/>
        <w:t>έχοντας υπόψη το άρθρο 82 του Κανονισμού του,</w:t>
      </w:r>
    </w:p>
    <w:p w:rsidR="006C43DF" w:rsidRPr="001D32CD" w:rsidRDefault="006C43DF" w:rsidP="00B03F7B">
      <w:pPr>
        <w:pStyle w:val="NormalHanging12a"/>
      </w:pPr>
      <w:r w:rsidRPr="001D32CD">
        <w:t>–</w:t>
      </w:r>
      <w:r w:rsidRPr="001D32CD">
        <w:tab/>
        <w:t>έχοντας υπόψη την έκθεση της Επιτροπής Βιομηχανίας, Έρευνας και Ενέργειας (A9-0161/2024),</w:t>
      </w:r>
    </w:p>
    <w:p w:rsidR="006C43DF" w:rsidRPr="001D32CD" w:rsidRDefault="006C43DF" w:rsidP="00B03F7B">
      <w:pPr>
        <w:pStyle w:val="NormalHanging12a"/>
      </w:pPr>
      <w:r w:rsidRPr="001D32CD">
        <w:t>1.</w:t>
      </w:r>
      <w:r w:rsidRPr="001D32CD">
        <w:tab/>
        <w:t>εγκρίνει την πρόταση της Επιτροπής όπως τροποποιήθηκε·</w:t>
      </w:r>
    </w:p>
    <w:p w:rsidR="006C43DF" w:rsidRPr="001D32CD" w:rsidRDefault="006C43DF" w:rsidP="00B03F7B">
      <w:pPr>
        <w:pStyle w:val="NormalHanging12a"/>
      </w:pPr>
      <w:r w:rsidRPr="001D32CD">
        <w:t>2.</w:t>
      </w:r>
      <w:r w:rsidRPr="001D32CD">
        <w:tab/>
        <w:t>καλεί την Επιτροπή να τροποποιήσει αναλόγως την πρότασή της, σύμφωνα με το άρθρο 293 παράγραφος 2 της Συνθήκης για τη λειτουργία της Ευρωπαϊκής Ένωσης·</w:t>
      </w:r>
    </w:p>
    <w:p w:rsidR="006C43DF" w:rsidRPr="001D32CD" w:rsidRDefault="006C43DF" w:rsidP="00B03F7B">
      <w:pPr>
        <w:pStyle w:val="NormalHanging12a"/>
      </w:pPr>
      <w:r w:rsidRPr="001D32CD">
        <w:t>3.</w:t>
      </w:r>
      <w:r w:rsidRPr="001D32CD">
        <w:tab/>
        <w:t>καλεί το Συμβούλιο, εφόσον προτίθεται να απομακρυνθεί από το κείμενο που ενέκρινε το Κοινοβούλιο, να το ενημερώσει σχετικά·</w:t>
      </w:r>
    </w:p>
    <w:p w:rsidR="006C43DF" w:rsidRPr="001D32CD" w:rsidRDefault="006C43DF" w:rsidP="00B03F7B">
      <w:pPr>
        <w:pStyle w:val="NormalHanging12a"/>
      </w:pPr>
      <w:r w:rsidRPr="001D32CD">
        <w:t>4.</w:t>
      </w:r>
      <w:r w:rsidRPr="001D32CD">
        <w:tab/>
        <w:t>ζητεί να κληθεί εκ νέου να γνωμοδοτήσει, αν το Συμβούλιο προτίθεται να επιφέρει σημαντικές τροποποιήσεις στην πρόταση της Επιτροπής·</w:t>
      </w:r>
    </w:p>
    <w:p w:rsidR="006C43DF" w:rsidRPr="001D32CD" w:rsidRDefault="006C43DF" w:rsidP="00B03F7B">
      <w:pPr>
        <w:pStyle w:val="NormalHanging12a"/>
      </w:pPr>
      <w:r w:rsidRPr="001D32CD">
        <w:lastRenderedPageBreak/>
        <w:t>5.</w:t>
      </w:r>
      <w:r w:rsidRPr="001D32CD">
        <w:tab/>
        <w:t>αναθέτει στην Πρόεδρό του να διαβιβάσει τη θέση του Κοινοβουλίου στο Συμβούλιο, στην Επιτροπή και στα εθνικά κοινοβούλια.</w:t>
      </w:r>
    </w:p>
    <w:p w:rsidR="006C43DF" w:rsidRPr="001D32CD" w:rsidRDefault="006C43DF" w:rsidP="006C43DF">
      <w:pPr>
        <w:widowControl/>
      </w:pPr>
      <w:r w:rsidRPr="001D32CD">
        <w:br w:type="page"/>
      </w:r>
    </w:p>
    <w:p w:rsidR="006C43DF" w:rsidRPr="001D32CD" w:rsidRDefault="006C43DF" w:rsidP="006C43DF">
      <w:pPr>
        <w:pStyle w:val="AmNumberTabs"/>
        <w:keepNext/>
      </w:pPr>
      <w:r w:rsidRPr="001D32CD">
        <w:t>Τροπολογία</w:t>
      </w:r>
      <w:r w:rsidRPr="001D32CD">
        <w:tab/>
      </w:r>
      <w:r w:rsidRPr="001D32CD">
        <w:tab/>
        <w:t>1</w:t>
      </w:r>
    </w:p>
    <w:p w:rsidR="006C43DF" w:rsidRPr="001D32CD" w:rsidRDefault="006C43DF" w:rsidP="006C43DF">
      <w:pPr>
        <w:pStyle w:val="AmHeadingConsam"/>
      </w:pPr>
      <w:r w:rsidRPr="001D32CD">
        <w:t>ΤΡΟΠΟΛΟΓΙΕΣ ΤΟΥ ΕΥΡΩΠΑΪΚΟΥ ΚΟΙΝΟΒΟΥΛΙΟΥ</w:t>
      </w:r>
      <w:r w:rsidRPr="001D32CD">
        <w:rPr>
          <w:rStyle w:val="FootnoteReference"/>
        </w:rPr>
        <w:footnoteReference w:customMarkFollows="1" w:id="1"/>
        <w:t>*</w:t>
      </w:r>
    </w:p>
    <w:p w:rsidR="006C43DF" w:rsidRPr="001D32CD" w:rsidRDefault="006C43DF" w:rsidP="006C43DF">
      <w:pPr>
        <w:pStyle w:val="NormalCenter12a"/>
      </w:pPr>
      <w:r w:rsidRPr="001D32CD">
        <w:t>στην πρόταση της Επιτροπής</w:t>
      </w:r>
    </w:p>
    <w:p w:rsidR="006C43DF" w:rsidRPr="001D32CD" w:rsidRDefault="006C43DF" w:rsidP="006C43DF">
      <w:pPr>
        <w:pStyle w:val="NormalCenter12a"/>
      </w:pPr>
      <w:r w:rsidRPr="001D32CD">
        <w:t>---------------------------------------------------------</w:t>
      </w:r>
    </w:p>
    <w:p w:rsidR="006C43DF" w:rsidRPr="001D32CD" w:rsidRDefault="006C43DF" w:rsidP="006C43DF">
      <w:pPr>
        <w:pStyle w:val="Rfrenceinterinstitutionnelle"/>
        <w:rPr>
          <w:noProof/>
        </w:rPr>
      </w:pPr>
      <w:r w:rsidRPr="001D32CD">
        <w:t>2024/0016(CNS)</w:t>
      </w:r>
    </w:p>
    <w:p w:rsidR="006C43DF" w:rsidRPr="001D32CD" w:rsidRDefault="006C43DF" w:rsidP="006C43DF">
      <w:pPr>
        <w:pStyle w:val="Statut"/>
        <w:rPr>
          <w:noProof/>
        </w:rPr>
      </w:pPr>
      <w:r w:rsidRPr="001D32CD">
        <w:t>Πρόταση</w:t>
      </w:r>
    </w:p>
    <w:p w:rsidR="006C43DF" w:rsidRPr="001D32CD" w:rsidRDefault="006C43DF" w:rsidP="00E515A1">
      <w:pPr>
        <w:pStyle w:val="Typedudocument"/>
        <w:spacing w:line="360" w:lineRule="auto"/>
        <w:rPr>
          <w:noProof/>
        </w:rPr>
      </w:pPr>
      <w:r w:rsidRPr="001D32CD">
        <w:t>ΚΑΝΟΝΙΣΜΟΣ ΤΟΥ ΣΥΜΒΟΥΛΙΟΥ</w:t>
      </w:r>
    </w:p>
    <w:p w:rsidR="006C43DF" w:rsidRPr="001D32CD" w:rsidRDefault="006C43DF" w:rsidP="00E515A1">
      <w:pPr>
        <w:pStyle w:val="Titreobjet"/>
        <w:spacing w:line="360" w:lineRule="auto"/>
        <w:rPr>
          <w:noProof/>
        </w:rPr>
      </w:pPr>
      <w:r w:rsidRPr="001D32CD">
        <w:t>για την τροποποίηση του κανονισμού (ΕΕ) 2021/1173 όσον αφορά την πρωτοβουλία EuroHPC για νεοφυείς επιχειρήσεις με σκοπό την ενίσχυση της ηγετικής θέσης της Ευρώπης στον τομέα της αξιόπιστης τεχνητής νοημοσύνης</w:t>
      </w:r>
    </w:p>
    <w:p w:rsidR="006C43DF" w:rsidRPr="001D32CD" w:rsidRDefault="006C43DF" w:rsidP="00B03F7B">
      <w:pPr>
        <w:pStyle w:val="Institutionquiagit"/>
        <w:spacing w:line="360" w:lineRule="auto"/>
        <w:ind w:left="851" w:hanging="851"/>
        <w:jc w:val="left"/>
        <w:rPr>
          <w:noProof/>
        </w:rPr>
      </w:pPr>
      <w:r w:rsidRPr="001D32CD">
        <w:t>ΤΟ ΣΥΜΒΟΥΛΙΟ ΤΗΣ ΕΥΡΩΠΑΪΚΗΣ ΕΝΩΣΗΣ,</w:t>
      </w:r>
    </w:p>
    <w:p w:rsidR="006C43DF" w:rsidRPr="001D32CD" w:rsidRDefault="006C43DF" w:rsidP="00E515A1">
      <w:pPr>
        <w:spacing w:before="120" w:after="120" w:line="360" w:lineRule="auto"/>
        <w:ind w:left="851" w:hanging="851"/>
        <w:rPr>
          <w:rFonts w:eastAsia="Calibri"/>
          <w:noProof/>
          <w:szCs w:val="22"/>
        </w:rPr>
      </w:pPr>
      <w:r w:rsidRPr="001D32CD">
        <w:t>Έχοντας υπόψη τη Συνθήκη για τη λειτουργία της Ευρωπαϊκής Ένωσης, και ιδίως το άρθρο 187 και το άρθρο 188 παράγραφος 1,</w:t>
      </w:r>
    </w:p>
    <w:p w:rsidR="006C43DF" w:rsidRPr="001D32CD" w:rsidRDefault="006C43DF" w:rsidP="00E515A1">
      <w:pPr>
        <w:spacing w:before="120" w:after="120" w:line="360" w:lineRule="auto"/>
        <w:ind w:left="851" w:hanging="851"/>
        <w:rPr>
          <w:rFonts w:eastAsia="Calibri"/>
          <w:noProof/>
          <w:szCs w:val="22"/>
        </w:rPr>
      </w:pPr>
      <w:r w:rsidRPr="001D32CD">
        <w:t>Έχοντας υπόψη την πρόταση της Ευρωπαϊκής Επιτροπής,</w:t>
      </w:r>
    </w:p>
    <w:p w:rsidR="006C43DF" w:rsidRPr="001D32CD" w:rsidRDefault="006C43DF" w:rsidP="00E515A1">
      <w:pPr>
        <w:spacing w:before="120" w:after="120" w:line="360" w:lineRule="auto"/>
        <w:ind w:left="851" w:hanging="851"/>
        <w:rPr>
          <w:noProof/>
        </w:rPr>
      </w:pPr>
      <w:r w:rsidRPr="001D32CD">
        <w:t>Έχοντας υπόψη τη γνώμη του Ευρωπαϊκού Κοινοβουλίου</w:t>
      </w:r>
      <w:r w:rsidRPr="001D32CD">
        <w:rPr>
          <w:rStyle w:val="FootnoteReference"/>
          <w:noProof/>
        </w:rPr>
        <w:footnoteReference w:id="2"/>
      </w:r>
      <w:r w:rsidRPr="001D32CD">
        <w:t>,</w:t>
      </w:r>
    </w:p>
    <w:p w:rsidR="006C43DF" w:rsidRPr="001D32CD" w:rsidRDefault="006C43DF" w:rsidP="00E515A1">
      <w:pPr>
        <w:spacing w:before="120" w:after="120" w:line="360" w:lineRule="auto"/>
        <w:ind w:left="851" w:hanging="851"/>
        <w:rPr>
          <w:rFonts w:eastAsia="Calibri"/>
          <w:noProof/>
          <w:szCs w:val="22"/>
        </w:rPr>
      </w:pPr>
      <w:r w:rsidRPr="001D32CD">
        <w:t>Έχοντας υπόψη τη γνώμη της Ευρωπαϊκής Οικονομικής και Κοινωνικής Επιτροπής</w:t>
      </w:r>
      <w:r w:rsidRPr="001D32CD">
        <w:rPr>
          <w:rStyle w:val="FootnoteReference"/>
          <w:noProof/>
        </w:rPr>
        <w:footnoteReference w:id="3"/>
      </w:r>
      <w:r w:rsidRPr="001D32CD">
        <w:t xml:space="preserve">, </w:t>
      </w:r>
    </w:p>
    <w:p w:rsidR="006C43DF" w:rsidRPr="001D32CD" w:rsidRDefault="006C43DF" w:rsidP="00E515A1">
      <w:pPr>
        <w:spacing w:before="120" w:after="120" w:line="360" w:lineRule="auto"/>
        <w:ind w:left="851" w:hanging="851"/>
        <w:rPr>
          <w:rFonts w:eastAsia="Calibri"/>
          <w:noProof/>
          <w:szCs w:val="22"/>
        </w:rPr>
      </w:pPr>
      <w:r w:rsidRPr="001D32CD">
        <w:t>Αποφασίζοντας σύμφωνα με ειδική νομοθετική διαδικασία,</w:t>
      </w:r>
    </w:p>
    <w:p w:rsidR="006C43DF" w:rsidRPr="001D32CD" w:rsidRDefault="006C43DF" w:rsidP="00E515A1">
      <w:pPr>
        <w:spacing w:before="120" w:after="120" w:line="360" w:lineRule="auto"/>
        <w:ind w:left="851" w:hanging="851"/>
        <w:rPr>
          <w:rFonts w:eastAsia="Calibri"/>
          <w:noProof/>
          <w:szCs w:val="22"/>
        </w:rPr>
      </w:pPr>
      <w:r w:rsidRPr="001D32CD">
        <w:t>Εκτιμώντας τα ακόλουθα:</w:t>
      </w:r>
    </w:p>
    <w:p w:rsidR="006C43DF" w:rsidRPr="001D32CD" w:rsidRDefault="006C43DF" w:rsidP="00B03F7B">
      <w:pPr>
        <w:pStyle w:val="ManualConsidrant"/>
        <w:spacing w:line="360" w:lineRule="auto"/>
        <w:ind w:left="851" w:hanging="851"/>
        <w:jc w:val="left"/>
        <w:rPr>
          <w:noProof/>
        </w:rPr>
      </w:pPr>
      <w:r w:rsidRPr="001D32CD">
        <w:t>1)</w:t>
      </w:r>
      <w:r w:rsidRPr="001D32CD">
        <w:tab/>
      </w:r>
      <w:r w:rsidRPr="001D32CD">
        <w:rPr>
          <w:rStyle w:val="normaltextrun"/>
        </w:rPr>
        <w:t>Ο κανονισμός (ΕΕ) 2024/... του Ευρωπαϊκού Κοινοβουλίου και του Συμβουλίου</w:t>
      </w:r>
      <w:r w:rsidRPr="001D32CD">
        <w:rPr>
          <w:rStyle w:val="FootnoteReference"/>
          <w:noProof/>
        </w:rPr>
        <w:footnoteReference w:id="4"/>
      </w:r>
      <w:r w:rsidRPr="001D32CD">
        <w:rPr>
          <w:rStyle w:val="normaltextrun"/>
        </w:rPr>
        <w:t xml:space="preserve"> για τη θέσπιση εναρμονισμένων κανόνων σχετικά με την τεχνητή νοημοσύνη (</w:t>
      </w:r>
      <w:r w:rsidR="00A03165">
        <w:rPr>
          <w:rStyle w:val="normaltextrun"/>
        </w:rPr>
        <w:t>κανονισμός</w:t>
      </w:r>
      <w:r w:rsidRPr="001D32CD">
        <w:rPr>
          <w:rStyle w:val="normaltextrun"/>
        </w:rPr>
        <w:t xml:space="preserve"> για την τεχνητή νοημοσύνη) αποσκοπεί</w:t>
      </w:r>
      <w:r w:rsidRPr="001D32CD">
        <w:t xml:space="preserve"> στη βελτίωση της λειτουργίας της εσωτερικής αγοράς με τη θέσπιση ενιαίου νομικού πλαισίου, ιδίως για την ανάπτυξη, την εμπορία και τη χρήση της τεχνητής νοημοσύνης σύμφωνα με τις αξίες της Ένωσης. </w:t>
      </w:r>
    </w:p>
    <w:p w:rsidR="006C43DF" w:rsidRPr="001D32CD" w:rsidRDefault="006C43DF" w:rsidP="00B03F7B">
      <w:pPr>
        <w:pStyle w:val="ManualConsidrant"/>
        <w:spacing w:line="360" w:lineRule="auto"/>
        <w:ind w:left="851" w:hanging="851"/>
        <w:jc w:val="left"/>
        <w:rPr>
          <w:noProof/>
        </w:rPr>
      </w:pPr>
      <w:r w:rsidRPr="001D32CD">
        <w:t>2)</w:t>
      </w:r>
      <w:r w:rsidRPr="001D32CD">
        <w:tab/>
        <w:t>Από το 2021, όταν εκδόθηκε ο κανονισμός (ΕΕ) 2021/1173</w:t>
      </w:r>
      <w:r w:rsidRPr="001D32CD">
        <w:rPr>
          <w:rStyle w:val="FootnoteReference"/>
          <w:noProof/>
        </w:rPr>
        <w:footnoteReference w:id="5"/>
      </w:r>
      <w:r w:rsidRPr="001D32CD">
        <w:t xml:space="preserve"> του Συμβουλίου, ο τομέας της τεχνητής νοημοσύνης (ΤΝ) έχει σημειώσει τεράστια τεχνική πρόοδο και έχει εξελιχθεί σε εξαιρετικά στρατηγικό και αμφιλεγόμενο τομέα σε παγκόσμιο επίπεδο. Η Ένωση βρίσκεται στην πρώτη γραμμή των προσπαθειών για τη στήριξη της </w:t>
      </w:r>
      <w:r w:rsidRPr="001D32CD">
        <w:rPr>
          <w:b/>
          <w:bCs/>
          <w:i/>
          <w:iCs/>
        </w:rPr>
        <w:t>δεοντολογικής και</w:t>
      </w:r>
      <w:r w:rsidRPr="001D32CD">
        <w:t xml:space="preserve"> υπεύθυνης καινοτομίας στον τομέα της αξιόπιστης ΤΝ, θέτοντας παράλληλα δικλείδες ασφαλείας και αναπτύσσοντας αποτελεσματική διακυβέρνηση.</w:t>
      </w:r>
    </w:p>
    <w:p w:rsidR="006C43DF" w:rsidRPr="001D32CD" w:rsidRDefault="006C43DF" w:rsidP="00B03F7B">
      <w:pPr>
        <w:pStyle w:val="ManualConsidrant"/>
        <w:spacing w:line="360" w:lineRule="auto"/>
        <w:ind w:left="851" w:hanging="851"/>
        <w:jc w:val="left"/>
        <w:rPr>
          <w:rStyle w:val="eop"/>
          <w:noProof/>
        </w:rPr>
      </w:pPr>
      <w:r w:rsidRPr="001D32CD">
        <w:t>3)</w:t>
      </w:r>
      <w:r w:rsidRPr="001D32CD">
        <w:tab/>
      </w:r>
      <w:r w:rsidRPr="001D32CD">
        <w:rPr>
          <w:rStyle w:val="normaltextrun"/>
        </w:rPr>
        <w:t>Στις 13 Σεπτεμβρίου 2023, στο πλαίσιο μιας ολοκληρωμένης προσέγγισης για τη στήριξη της υπεύθυνης καινοτομίας στον τομέα της ΤΝ, η Επιτροπή ανακοίνωσε μια νέα στρατηγική πρωτοβουλία για να καταστήσει διαθέσιμη την ικανότητα υπολογιστικής υψηλών επιδόσεων της Ένωσης σε καινοτόμες ευρωπαϊκές νεοφυείς επιχειρήσεις στον τομέα της αξιόπιστης ΤΝ για την εκπαίδευση των μοντέλων τους. Αυτό συμπληρώνει τις εργασίες για τον καθορισμό δικλείδων ασφαλείας για την ΤΝ μέσω του κανονισμού (ΕΕ) 2024/..., τη δημιουργία δομών διακυβέρνησης και τη στήριξη της καινοτομίας μέσω του συντονισμένου σχεδίου για την τεχνητή νοημοσύνη. </w:t>
      </w:r>
      <w:r w:rsidRPr="001D32CD">
        <w:rPr>
          <w:rStyle w:val="eop"/>
        </w:rPr>
        <w:t> </w:t>
      </w:r>
    </w:p>
    <w:p w:rsidR="006C43DF" w:rsidRPr="001D32CD" w:rsidRDefault="006C43DF" w:rsidP="00B03F7B">
      <w:pPr>
        <w:spacing w:before="120" w:after="120" w:line="360" w:lineRule="auto"/>
        <w:ind w:left="851" w:hanging="851"/>
      </w:pPr>
      <w:r w:rsidRPr="001D32CD">
        <w:rPr>
          <w:b/>
          <w:i/>
        </w:rPr>
        <w:t>3α)</w:t>
      </w:r>
      <w:r w:rsidRPr="001D32CD">
        <w:rPr>
          <w:b/>
          <w:i/>
        </w:rPr>
        <w:tab/>
      </w:r>
      <w:r w:rsidRPr="001D32CD">
        <w:rPr>
          <w:b/>
          <w:bCs/>
          <w:i/>
          <w:iCs/>
        </w:rPr>
        <w:t>Προκειμένου να αξιοποιήσει την υποδομή υπερυπολογιστικής της Ένωσης και να προωθήσει ένα καινοτόμο ευρωπαϊκό οικοσύστημα ΤΝ, μεταξύ άλλων με τη δημιουργία εργοστασίων ΤΝ σε ολόκληρη την Ένωση, η ανακοίνωση της Επιτροπής, της 24ης Ιανουαρίου 2024, με τίτλο «Ενίσχυση των νεοφυών επιχειρήσεων και της καινοτομίας στον τομέα της αξιόπιστης τεχνητής νοημοσύνης» καθορίζει ένα στρατηγικό επενδυτικό πλαίσιο που θα επιτρέψει στις νεοφυείς επιχειρήσεις και τον βιομηχανικό τομέα στην Ένωση να αξιοποιήσουν τις δυνατότητές τους και να καταστούν πρωτοπόροι παγκοσμίως σε αξιόπιστα και προηγμένα μοντέλα και συστήματα ΤΝ, καθώς και σε αξιόπιστες και προηγμένες εφαρμογές ΤΝ.</w:t>
      </w:r>
    </w:p>
    <w:p w:rsidR="006C43DF" w:rsidRPr="001D32CD" w:rsidRDefault="006C43DF" w:rsidP="00B03F7B">
      <w:pPr>
        <w:pStyle w:val="ManualConsidrant"/>
        <w:spacing w:line="360" w:lineRule="auto"/>
        <w:ind w:left="851" w:hanging="851"/>
        <w:jc w:val="left"/>
      </w:pPr>
      <w:r w:rsidRPr="001D32CD">
        <w:t>4)</w:t>
      </w:r>
      <w:r w:rsidRPr="001D32CD">
        <w:tab/>
        <w:t>Δεδομένου ότι η ισχυρότερη ικανότητα υπερυπολογιστικής παγκόσμιας κλάσης της Ένωσης βρίσκεται στις εγκαταστάσεις της κοινής επιχείρησης για την ευρωπαϊκή υπολογιστική υψηλών επιδόσεων (</w:t>
      </w:r>
      <w:r w:rsidR="00A03165">
        <w:t>«</w:t>
      </w:r>
      <w:r w:rsidRPr="001D32CD">
        <w:t>κοινή επιχείρηση</w:t>
      </w:r>
      <w:r w:rsidR="00A03165">
        <w:t>»</w:t>
      </w:r>
      <w:r w:rsidRPr="001D32CD">
        <w:t xml:space="preserve">), οι εν λόγω εγκαταστάσεις θα πρέπει να καταστούν διαθέσιμες προκειμένου να υλοποιηθεί η πρωτοβουλία της Επιτροπής. Ως εκ τούτου, είναι απαραίτητη η εισαγωγή ενός επιπλέον στόχου στους υπάρχοντες έξι στόχους της κοινής επιχείρησης, ο οποίος θα καλύπτει τη συνεισφορά των υπερυπολογιστών της στη νέα πρωτοβουλία της Ένωσης για την ΤΝ, </w:t>
      </w:r>
      <w:r w:rsidRPr="001D32CD">
        <w:rPr>
          <w:b/>
          <w:bCs/>
          <w:i/>
          <w:iCs/>
        </w:rPr>
        <w:t>ενώ παράλληλα θα εξασφαλίζει δικαιοσύνη, διαφάνεια, αξιοπιστία και θετικό κοινωνικό αντίκτυπο και θα ανταποκρίνεται τις ανάγκες και τους στόχους της Ένωσης.</w:t>
      </w:r>
    </w:p>
    <w:p w:rsidR="006C43DF" w:rsidRPr="001D32CD" w:rsidRDefault="006C43DF" w:rsidP="00B03F7B">
      <w:pPr>
        <w:pStyle w:val="ManualConsidrant"/>
        <w:spacing w:line="360" w:lineRule="auto"/>
        <w:ind w:left="851" w:hanging="851"/>
        <w:jc w:val="left"/>
        <w:rPr>
          <w:noProof/>
        </w:rPr>
      </w:pPr>
      <w:r w:rsidRPr="001D32CD">
        <w:t>5)</w:t>
      </w:r>
      <w:r w:rsidRPr="001D32CD">
        <w:tab/>
        <w:t xml:space="preserve">Ο νέος στόχος θα διευκολύνει την κοινή επιχείρηση να εκτελεί δραστηριότητες στους τομείς </w:t>
      </w:r>
      <w:r w:rsidRPr="001D32CD">
        <w:rPr>
          <w:b/>
          <w:bCs/>
          <w:i/>
          <w:iCs/>
        </w:rPr>
        <w:t>της αναβάθμισης ή</w:t>
      </w:r>
      <w:r w:rsidRPr="001D32CD">
        <w:t xml:space="preserve"> της αγοράς και της λειτουργίας ειδικών για την ΤΝ υπερυπολογιστών ή τμημάτων υπερυπολογιστών, ώστε να καταστεί δυνατή η ταχεία μηχανική μάθηση και η εκπαίδευση μεγάλων </w:t>
      </w:r>
      <w:r w:rsidRPr="001D32CD">
        <w:rPr>
          <w:b/>
          <w:bCs/>
          <w:i/>
          <w:iCs/>
        </w:rPr>
        <w:t>αξιόπιστων και δεοντολογικών</w:t>
      </w:r>
      <w:r w:rsidRPr="001D32CD">
        <w:t xml:space="preserve"> μοντέλων βάσης ΤΝ</w:t>
      </w:r>
      <w:r w:rsidRPr="001D32CD">
        <w:rPr>
          <w:b/>
          <w:bCs/>
          <w:i/>
          <w:iCs/>
        </w:rPr>
        <w:t>, γεγονός που θα ενισχύσει την ανταγωνιστικότητα και τη βιομηχανική βάση της Ένωσης στον τομέα της ΤΝ.</w:t>
      </w:r>
      <w:r w:rsidRPr="001D32CD">
        <w:t xml:space="preserve"> Η κοινή επιχείρηση θα πρέπει επίσης να έχει τη δυνατότητα να δημιουργεί έναν νέο τρόπο πρόσβασης στους υπολογιστικούς πόρους της </w:t>
      </w:r>
      <w:r w:rsidRPr="001D32CD">
        <w:rPr>
          <w:b/>
          <w:bCs/>
          <w:i/>
          <w:iCs/>
        </w:rPr>
        <w:t>ιδίως</w:t>
      </w:r>
      <w:r w:rsidRPr="001D32CD">
        <w:t xml:space="preserve"> για νεοφυείς επιχειρήσεις στον τομέα της ΤΝ και την ευρύτερη επιστημονική κοινότητα που δραστηριοποιείται στον τομέα της ΤΝ και να αναπτύσσει ειδικές εφαρμογές</w:t>
      </w:r>
      <w:r w:rsidRPr="001D32CD">
        <w:rPr>
          <w:b/>
          <w:bCs/>
        </w:rPr>
        <w:t>,</w:t>
      </w:r>
      <w:r w:rsidRPr="001D32CD">
        <w:rPr>
          <w:b/>
          <w:bCs/>
          <w:i/>
          <w:iCs/>
        </w:rPr>
        <w:t xml:space="preserve"> και ειδικά μοντέλα και συστήματα</w:t>
      </w:r>
      <w:r w:rsidRPr="001D32CD">
        <w:t xml:space="preserve"> ΤΝ </w:t>
      </w:r>
      <w:r w:rsidRPr="001D32CD">
        <w:rPr>
          <w:b/>
          <w:bCs/>
          <w:i/>
          <w:iCs/>
        </w:rPr>
        <w:t>βελτιστοποιημένα</w:t>
      </w:r>
      <w:r w:rsidRPr="001D32CD">
        <w:t xml:space="preserve"> ώστε να εκτελούνται στους υπερυπολογιστές της</w:t>
      </w:r>
      <w:r w:rsidRPr="001D32CD">
        <w:rPr>
          <w:b/>
          <w:bCs/>
          <w:i/>
          <w:iCs/>
        </w:rPr>
        <w:t>, διασφαλίζοντας παράλληλα ανοικτή πρόσβαση, δικαιοσύνη και διαφάνεια</w:t>
      </w:r>
      <w:r w:rsidRPr="001D32CD">
        <w:t xml:space="preserve">. Οι αλλαγές αυτές θα διευκολύνουν την κοινή επιχείρηση να προσφέρει προσαρμοσμένη υπολογιστική ισχύ και υπηρεσίες για την προώθηση μεγάλης κλίμακας εκπαίδευσης, ανάπτυξης και υιοθέτησης της ΤΝ στην Ένωση, κάτι που δεν είναι εφικτό βάσει του ισχύοντος κανονισμού. </w:t>
      </w:r>
    </w:p>
    <w:p w:rsidR="006C43DF" w:rsidRPr="001D32CD" w:rsidRDefault="006C43DF" w:rsidP="00B03F7B">
      <w:pPr>
        <w:spacing w:line="360" w:lineRule="auto"/>
        <w:ind w:left="851" w:hanging="851"/>
        <w:rPr>
          <w:b/>
        </w:rPr>
      </w:pPr>
      <w:r w:rsidRPr="001D32CD">
        <w:rPr>
          <w:b/>
          <w:i/>
        </w:rPr>
        <w:t>5α)</w:t>
      </w:r>
      <w:r w:rsidRPr="001D32CD">
        <w:rPr>
          <w:b/>
        </w:rPr>
        <w:tab/>
      </w:r>
      <w:r w:rsidRPr="001D32CD">
        <w:rPr>
          <w:b/>
          <w:i/>
        </w:rPr>
        <w:t xml:space="preserve">Η κοινή επιχείρηση θα πρέπει να δημιουργήσει μια μονοαπευθυντική υπηρεσία με βάση τις αρχές της ανοικτής πρόσβασης, κατά τρόπο ώστε οι διάφοροι τύποι χρηστών να μπορούν να αξιοποιούν πλήρως το δυναμικό της ΤΝ στην υπερυπολογιστική. Οι ευκαιρίες που παρέχουν τα εργοστάσια ΤΝ θα πρέπει να κοινοποιηθούν ευρέως σε νεοφυείς επιχειρήσεις, </w:t>
      </w:r>
      <w:r w:rsidRPr="001D32CD">
        <w:rPr>
          <w:b/>
          <w:i/>
          <w:snapToGrid w:val="0"/>
        </w:rPr>
        <w:t>σε μικρές και μεσαίες επιχειρήσεις</w:t>
      </w:r>
      <w:r w:rsidRPr="001D32CD">
        <w:rPr>
          <w:b/>
          <w:i/>
        </w:rPr>
        <w:t xml:space="preserve"> (ΜΜΕ), στο οικοσύστημα καινοτομίας, καθώς και σε ερευνητές που συμμετέχουν σε προγράμματα της Ένωσης, αναδεικνύοντας τα πολυάριθμα οφέλη που μπορεί να προσφέρει η τεχνητή νοημοσύνη σε εφαρμογές υπερυπολογιστικής. Επιπλέον, η συνεργασία των εργοστασίων ΤΝ σε επίπεδο Ένωσης θα πρέπει να καταστήσει διαθέσιμη ως υπηρεσία σε ολόκληρη την Ένωση την υπολογιστική ισχύ, η οποία είναι απαραίτητη για τις προσφερόμενες υπηρεσίες υποστήριξης, διευκολύνοντας έτσι περαιτέρω την πρόσβαση σε αυτή την κρίσιμη υποδομή. Αυτό θα πρέπει επίσης να χρησιμεύσει στην ανάπτυξη υπερυπολογιστών της EuroHPC προσανατολισμένων στη ζήτηση, καθώς θα διασφαλίζει ότι η υποδομή ανταποκρίνεται στις εξελισσόμενες ανάγκες των χρηστών και των τομέων σε ολόκληρη την Ένωση.</w:t>
      </w:r>
    </w:p>
    <w:p w:rsidR="006C43DF" w:rsidRPr="001D32CD" w:rsidRDefault="006C43DF" w:rsidP="00B03F7B">
      <w:pPr>
        <w:spacing w:before="240" w:line="360" w:lineRule="auto"/>
        <w:ind w:left="851" w:hanging="851"/>
        <w:rPr>
          <w:szCs w:val="24"/>
        </w:rPr>
      </w:pPr>
      <w:r w:rsidRPr="001D32CD">
        <w:rPr>
          <w:b/>
          <w:i/>
        </w:rPr>
        <w:t xml:space="preserve">5β) </w:t>
      </w:r>
      <w:r w:rsidRPr="001D32CD">
        <w:rPr>
          <w:b/>
          <w:i/>
        </w:rPr>
        <w:tab/>
        <w:t>Το ψήφισμα του Ευρωπαϊκού Κοινοβουλίου, της 14ης Δεκεμβρίου 2023, σχετικά με την αύξηση της καινοτομίας και της βιομηχανικής και τεχνολογικής ανταγωνιστικότητας μέσω ενός ευνοϊκού περιβάλλοντος για τις νεοφυείς και τις αναπτυσσόμενες νέες επιχειρήσεις</w:t>
      </w:r>
      <w:r w:rsidRPr="001D32CD">
        <w:rPr>
          <w:rStyle w:val="FootnoteReference"/>
          <w:b/>
          <w:i/>
        </w:rPr>
        <w:footnoteReference w:id="6"/>
      </w:r>
      <w:r w:rsidRPr="001D32CD">
        <w:rPr>
          <w:b/>
          <w:i/>
        </w:rPr>
        <w:t xml:space="preserve"> τονίζει ότι </w:t>
      </w:r>
      <w:r w:rsidRPr="001D32CD">
        <w:rPr>
          <w:b/>
          <w:i/>
          <w:snapToGrid w:val="0"/>
        </w:rPr>
        <w:t>οι αναπτυσσόμενες νέες επιχειρήσεις διαδραματίζουν καίριο ρόλο στην προώθηση της καινοτομίας, της δημιουργίας θέσεων εργασίας και της οικονομικής ανάπτυξης στην Ένωση και καλεί την Επιτροπή και τα κράτη μέλη να εγκρίνουν κατάλληλο ορισμό για τις αναπτυσσόμενες νέες επιχειρήσεις με βάση την επεκτασιμότητα, λαμβάνοντας παράλληλα υπόψη τον τρόπο με τον οποίο διαφέρουν από τις νεοφυείς επιχειρήσεις, τις αναπτυσσόμενες νέες επιχειρήσεις και τις ΜΜΕ. Το διοικητικό συμβούλιο της κοινής επιχείρησης θα πρέπει να καθορίσει τους όρους</w:t>
      </w:r>
      <w:r w:rsidRPr="001D32CD">
        <w:rPr>
          <w:b/>
          <w:i/>
        </w:rPr>
        <w:t xml:space="preserve"> πρόσβασης στους εν λόγω ειδικούς για την ΤΝ υπερυπολογιστές και τις σχετικές υπηρεσίες υποστήριξης για διάφορες κατηγορίες χρηστών, όπως οι νεοφυείς και οι αναπτυσσόμενες νέες επιχειρήσεις, οι ΜΜΕ, τα ιδρύματα τριτοβάθμιας εκπαίδευσης και τα ερευνητικά κέντρα, με στόχο την υπέρβαση των περιορισμών κόστους και της έλλειψης τεχνογνωσίας σχετικά με τους πόρους.</w:t>
      </w:r>
    </w:p>
    <w:p w:rsidR="006C43DF" w:rsidRPr="001D32CD" w:rsidRDefault="006C43DF" w:rsidP="00B03F7B">
      <w:pPr>
        <w:spacing w:before="240" w:line="360" w:lineRule="auto"/>
        <w:ind w:left="851" w:hanging="851"/>
        <w:rPr>
          <w:szCs w:val="24"/>
        </w:rPr>
      </w:pPr>
      <w:r w:rsidRPr="001D32CD">
        <w:rPr>
          <w:b/>
          <w:i/>
        </w:rPr>
        <w:t>5γ)</w:t>
      </w:r>
      <w:r w:rsidRPr="001D32CD">
        <w:rPr>
          <w:b/>
          <w:i/>
        </w:rPr>
        <w:tab/>
        <w:t>Δεδομένου ότι η χρήση υπερυπολογιστών για την ΤΝ απαιτεί μεγαλύτερη χρήση δεδομένων, είναι σημαντικό είτε να βρίσκονται σε κοντινή απόσταση είτε να συνδέονται με ένα υπάρχον ή ένα σχεδιαζόμενο κέντρο δεδομένων μέσω δικτύων υψηλής ταχύτητας. Επιπλέον, τα εν λόγω κέντρα δεδομένων θα πρέπει να συμμορφώνονται πλήρως με τις απαιτήσεις που ορίζονται στο άρθρο 12 της οδηγίας (ΕΕ) 2023/1791 του Ευρωπαϊκού Κοινοβουλίου και του Συμβουλίου</w:t>
      </w:r>
      <w:r w:rsidRPr="001D32CD">
        <w:rPr>
          <w:rStyle w:val="FootnoteReference"/>
          <w:b/>
          <w:bCs/>
          <w:i/>
          <w:iCs/>
        </w:rPr>
        <w:footnoteReference w:id="7"/>
      </w:r>
      <w:r w:rsidRPr="001D32CD">
        <w:rPr>
          <w:b/>
          <w:i/>
        </w:rPr>
        <w:t xml:space="preserve"> και θα πρέπει, στο μέλλον, να διασυνδέονται με τους κοινούς ευρωπαϊκούς χώρους δεδομένων, ώστε να διευκολύνεται η κατάρτιση μοντέλων σε διάφορους βασικούς τομείς. Οι οντότητες υποδοχής θα πρέπει να είναι σε θέση να χρησιμοποιούν αποτελεσματικά τη χρηματοδοτική στήριξη από τους κοινούς ευρωπαϊκούς χώρους δεδομένων για την ενίσχυση των υποδομών τους, μεταξύ άλλων για την απόκτηση ή την αναβάθμιση κέντρων δεδομένων. </w:t>
      </w:r>
      <w:r w:rsidRPr="001D32CD">
        <w:rPr>
          <w:b/>
          <w:bCs/>
          <w:i/>
        </w:rPr>
        <w:t>Παράλληλα,</w:t>
      </w:r>
      <w:r w:rsidRPr="001D32CD">
        <w:rPr>
          <w:i/>
        </w:rPr>
        <w:t xml:space="preserve"> </w:t>
      </w:r>
      <w:r w:rsidRPr="001D32CD">
        <w:rPr>
          <w:b/>
          <w:bCs/>
          <w:i/>
        </w:rPr>
        <w:t>θα πρέπει να προωθηθούν συνέργειες μεταξύ των διαφόρων πρωτοβουλιών.</w:t>
      </w:r>
      <w:r w:rsidRPr="001D32CD">
        <w:t xml:space="preserve"> </w:t>
      </w:r>
    </w:p>
    <w:p w:rsidR="006C43DF" w:rsidRPr="001D32CD" w:rsidRDefault="006C43DF" w:rsidP="00B03F7B">
      <w:pPr>
        <w:spacing w:before="240" w:line="360" w:lineRule="auto"/>
        <w:ind w:left="851" w:hanging="851"/>
        <w:rPr>
          <w:b/>
          <w:bCs/>
          <w:i/>
          <w:iCs/>
        </w:rPr>
      </w:pPr>
      <w:r w:rsidRPr="001D32CD">
        <w:rPr>
          <w:b/>
          <w:i/>
        </w:rPr>
        <w:t>5δ)</w:t>
      </w:r>
      <w:r w:rsidRPr="001D32CD">
        <w:rPr>
          <w:b/>
          <w:i/>
        </w:rPr>
        <w:tab/>
        <w:t>Δεδομένου ότι η χρήση υπερυπολογιστών για την ΤΝ απαιτεί σημαντική αύξηση της υπολογιστικής ισχύος, η οποία με τη σειρά της οδηγεί σε μεγαλύτερη κατανάλωση ενέργειας, οι οντότητες υποδοχής θα πρέπει να διαθέτουν σχέδια σχετικά με την ενεργειακή τους απόδοση και την περιβαλλοντική βιωσιμότητά τους. Τα εν λόγω σχέδια θα πρέπει να διασφαλίζουν ότι οι υπερυπολογιστές έχουν πρόσβαση σε ασφαλή και σταθερή σύνδεση με το δίκτυο και παροχή ηλεκτρικής ενέργειας, κατά προτίμηση μέσω καθαρής και οικονομικά προσιτής ενέργειας, μεταξύ άλλων με τη χρήση συμβάσεων αγοράς ηλεκτρικής ενέργειας, οι οποίες μπορούν επίσης να βασίζονται σε ανανεώσιμες πηγές ενέργειας, και με τη χρήση ηλεκτρικής ενέργειας που παράγεται τοπικά. Επιπλέον, τα μοντέλα ΤΝ θα πρέπει να συμμορφώνονται με τις απαιτήσεις κατανάλωσης ενέργειας που ορίζονται στον κανονισμό</w:t>
      </w:r>
      <w:r w:rsidR="00A03165">
        <w:rPr>
          <w:b/>
          <w:i/>
        </w:rPr>
        <w:t xml:space="preserve"> (ΕΕ) 2024/</w:t>
      </w:r>
      <w:r w:rsidRPr="001D32CD">
        <w:rPr>
          <w:b/>
          <w:i/>
        </w:rPr>
        <w:t>... [</w:t>
      </w:r>
      <w:r w:rsidR="00A03165">
        <w:rPr>
          <w:b/>
          <w:i/>
        </w:rPr>
        <w:t>κανονισμός</w:t>
      </w:r>
      <w:r w:rsidRPr="001D32CD">
        <w:rPr>
          <w:b/>
          <w:i/>
        </w:rPr>
        <w:t xml:space="preserve"> για την τεχνητή νοημοσύνη]. Πρέπει να τηρούνται οι υποχρεώσεις υποβολής εκθέσεων για μοντέλα ΤΝ γενικού σκοπού που ορίζονται στον εν λόγω κανονισμό.</w:t>
      </w:r>
    </w:p>
    <w:p w:rsidR="006C43DF" w:rsidRPr="001D32CD" w:rsidRDefault="006C43DF" w:rsidP="00B03F7B">
      <w:pPr>
        <w:spacing w:before="240" w:line="360" w:lineRule="auto"/>
        <w:ind w:left="851" w:hanging="851"/>
        <w:rPr>
          <w:b/>
        </w:rPr>
      </w:pPr>
      <w:r w:rsidRPr="001D32CD">
        <w:rPr>
          <w:b/>
          <w:i/>
        </w:rPr>
        <w:t>5ε)</w:t>
      </w:r>
      <w:r w:rsidRPr="001D32CD">
        <w:rPr>
          <w:b/>
          <w:i/>
        </w:rPr>
        <w:tab/>
        <w:t>Τα εργοστάσια ΤΝ θα παρέχουν ολοκληρωμένες υπηρεσίες υποστήριξης υπερυπολογιστικής σε νεοφυείς επιχειρήσεις ΤΝ, μικρές καινοτόμες επιχειρήσεις, καθώς και στο ευρύτερο οικοσύστημα έρευνας και καινοτομίας. Οι υπηρεσίες αυτές είναι ζωτικής σημασίας για τη διευκόλυνση της πρόσβασης σε υπερυπολογιστές, καθώς προσφέρουν ειδικές εγκαταστάσεις προγραμματισμού και αλγοριθμική υποστήριξη για την ανάπτυξη, τη δοκιμή, την αξιολόγηση και την επικύρωση μοντέλων και συστημάτων εκπαίδευσης ΤΝ. Επιπλέον, συνδράμουν στη δημιουργία νέων περιπτώσεων χρήσης και αναδυόμενων εφαρμογών σε όλους τους στρατηγικούς τομείς της Ένωσης, όπως η ρομποτική και η βιομηχανία, τα νέα υλικά και οι μπαταρίες, η αεροδιαστημική, η κινητικότητα, η συνδεδεμένη και αυτοματοποιημένη οδήγηση, η υγεία και η περίθαλψη, η βιοτεχνολογία, η ενέργεια, η κλιματική αλλαγή και η προσαρμογή, η δυναμική πολύπλοκων συστημάτων, οι εικονικοί κόσμοι και τα ψηφιακά δίδυμα, η κυβερνοασφάλεια, οι γεωργικές πρακτικές, η έρευνα και η καινοτομία, και ο δημόσιος τομέας.</w:t>
      </w:r>
    </w:p>
    <w:p w:rsidR="006C43DF" w:rsidRPr="001D32CD" w:rsidRDefault="006C43DF" w:rsidP="00B03F7B">
      <w:pPr>
        <w:pStyle w:val="ManualConsidrant"/>
        <w:spacing w:line="360" w:lineRule="auto"/>
        <w:ind w:left="851" w:hanging="851"/>
        <w:jc w:val="left"/>
        <w:rPr>
          <w:noProof/>
        </w:rPr>
      </w:pPr>
      <w:r w:rsidRPr="001D32CD">
        <w:t>6)</w:t>
      </w:r>
      <w:r w:rsidRPr="001D32CD">
        <w:tab/>
        <w:t xml:space="preserve">Για να ευθυγραμμιστεί η ημερομηνία εφαρμογής του παρόντος κανονισμού με την ημερομηνία εφαρμογής των διατάξεων του κανονισμού </w:t>
      </w:r>
      <w:r w:rsidRPr="001D32CD">
        <w:rPr>
          <w:rStyle w:val="normaltextrun"/>
        </w:rPr>
        <w:t xml:space="preserve">(ΕΕ) 2024/... του Ευρωπαϊκού Κοινοβουλίου και του Συμβουλίου για τη θέσπιση εναρμονισμένων κανόνων σχετικά με την τεχνητή νοημοσύνη, </w:t>
      </w:r>
      <w:r w:rsidRPr="001D32CD">
        <w:t>θα πρέπει να εφαρμοστεί χωρίς αδικαιολόγητη καθυστέρηση.</w:t>
      </w:r>
    </w:p>
    <w:p w:rsidR="006C43DF" w:rsidRPr="001D32CD" w:rsidRDefault="006C43DF" w:rsidP="00B03F7B">
      <w:pPr>
        <w:pStyle w:val="ManualConsidrant"/>
        <w:spacing w:line="360" w:lineRule="auto"/>
        <w:ind w:left="851" w:hanging="851"/>
        <w:jc w:val="left"/>
        <w:rPr>
          <w:noProof/>
        </w:rPr>
      </w:pPr>
      <w:r w:rsidRPr="001D32CD">
        <w:t>7)</w:t>
      </w:r>
      <w:r w:rsidRPr="001D32CD">
        <w:tab/>
        <w:t>Συνεπώς, ο κανονισμός (ΕΕ) 2021/1173 θα πρέπει να τροποποιηθεί αναλόγως,</w:t>
      </w:r>
    </w:p>
    <w:p w:rsidR="006C43DF" w:rsidRPr="001D32CD" w:rsidRDefault="006C43DF" w:rsidP="00B03F7B">
      <w:pPr>
        <w:pStyle w:val="Formuledadoption"/>
        <w:spacing w:line="360" w:lineRule="auto"/>
        <w:jc w:val="left"/>
        <w:rPr>
          <w:noProof/>
        </w:rPr>
      </w:pPr>
      <w:r w:rsidRPr="001D32CD">
        <w:t>ΕΞΕΔΩΣΕ ΤΟΝ ΠΑΡΟΝΤΑ ΚΑΝΟΝΙΣΜΟ:</w:t>
      </w:r>
    </w:p>
    <w:p w:rsidR="006C43DF" w:rsidRPr="0091758A" w:rsidRDefault="006C43DF" w:rsidP="00E515A1">
      <w:pPr>
        <w:pStyle w:val="Titrearticle"/>
        <w:spacing w:line="360" w:lineRule="auto"/>
        <w:rPr>
          <w:i w:val="0"/>
          <w:noProof/>
        </w:rPr>
      </w:pPr>
      <w:r w:rsidRPr="0091758A">
        <w:rPr>
          <w:i w:val="0"/>
        </w:rPr>
        <w:t>Άρθρο 1</w:t>
      </w:r>
    </w:p>
    <w:p w:rsidR="006C43DF" w:rsidRPr="001D32CD" w:rsidRDefault="006C43DF" w:rsidP="00E515A1">
      <w:pPr>
        <w:spacing w:line="360" w:lineRule="auto"/>
        <w:rPr>
          <w:noProof/>
        </w:rPr>
      </w:pPr>
      <w:r w:rsidRPr="001D32CD">
        <w:t xml:space="preserve">Ο κανονισμός (ΕΕ) 2021/1173 τροποποιείται ως εξής: </w:t>
      </w:r>
    </w:p>
    <w:p w:rsidR="006C43DF" w:rsidRPr="001D32CD" w:rsidRDefault="006C43DF" w:rsidP="00B03F7B">
      <w:pPr>
        <w:pStyle w:val="Point0"/>
        <w:spacing w:line="360" w:lineRule="auto"/>
        <w:jc w:val="left"/>
        <w:rPr>
          <w:noProof/>
        </w:rPr>
      </w:pPr>
      <w:r w:rsidRPr="001D32CD">
        <w:t>1)</w:t>
      </w:r>
      <w:r w:rsidRPr="001D32CD">
        <w:tab/>
      </w:r>
      <w:r w:rsidR="00B03F7B">
        <w:rPr>
          <w:lang w:val="en-GB"/>
        </w:rPr>
        <w:t>T</w:t>
      </w:r>
      <w:r w:rsidRPr="001D32CD">
        <w:t>ο άρθρο 2 τροποποιείται ως εξής:</w:t>
      </w:r>
    </w:p>
    <w:p w:rsidR="006C43DF" w:rsidRPr="001D32CD" w:rsidRDefault="006C43DF" w:rsidP="0091758A">
      <w:pPr>
        <w:pStyle w:val="Point0"/>
        <w:spacing w:line="360" w:lineRule="auto"/>
        <w:ind w:left="1418" w:hanging="567"/>
        <w:jc w:val="left"/>
        <w:rPr>
          <w:noProof/>
        </w:rPr>
      </w:pPr>
      <w:r w:rsidRPr="001D32CD">
        <w:t>α)</w:t>
      </w:r>
      <w:r w:rsidRPr="001D32CD">
        <w:tab/>
        <w:t>προστίθενται τα ακόλουθα σημεία 3α) και 3β):</w:t>
      </w:r>
    </w:p>
    <w:p w:rsidR="006C43DF" w:rsidRPr="001D32CD" w:rsidRDefault="006C43DF" w:rsidP="0091758A">
      <w:pPr>
        <w:pStyle w:val="ListParagraph"/>
        <w:spacing w:line="360" w:lineRule="auto"/>
        <w:ind w:left="1985" w:hanging="567"/>
        <w:jc w:val="left"/>
        <w:rPr>
          <w:noProof/>
        </w:rPr>
      </w:pPr>
      <w:r w:rsidRPr="001D32CD">
        <w:t xml:space="preserve">«3β) </w:t>
      </w:r>
      <w:r w:rsidRPr="001D32CD">
        <w:tab/>
        <w:t xml:space="preserve">“ειδικός για την τεχνητή νοημοσύνη υπερυπολογιστής”: υπερυπολογιστής που έχει σχεδιαστεί κυρίως για την εκπαίδευση μεγάλης κλίμακας </w:t>
      </w:r>
      <w:r w:rsidRPr="001D32CD">
        <w:rPr>
          <w:b/>
          <w:bCs/>
          <w:i/>
          <w:iCs/>
        </w:rPr>
        <w:t>μη στρατιωτικών</w:t>
      </w:r>
      <w:r w:rsidRPr="001D32CD">
        <w:t xml:space="preserve"> μοντέλων τεχνητής νοημοσύνης γενικού σκοπού και αναδυόμενων εφαρμογών, τεχνολογιών και συστημάτων τεχνητής νοημοσύνης</w:t>
      </w:r>
      <w:r w:rsidRPr="001D32CD">
        <w:rPr>
          <w:b/>
          <w:bCs/>
          <w:i/>
          <w:iCs/>
        </w:rPr>
        <w:t>, και για την ανάπτυξη τεχνολογιών και συστημάτων</w:t>
      </w:r>
      <w:r w:rsidRPr="001D32CD">
        <w:t>·</w:t>
      </w:r>
    </w:p>
    <w:p w:rsidR="006C43DF" w:rsidRPr="001D32CD" w:rsidRDefault="006C43DF" w:rsidP="0091758A">
      <w:pPr>
        <w:pStyle w:val="ListParagraph"/>
        <w:spacing w:line="360" w:lineRule="auto"/>
        <w:ind w:left="1985" w:hanging="567"/>
        <w:jc w:val="left"/>
        <w:rPr>
          <w:noProof/>
        </w:rPr>
      </w:pPr>
      <w:r w:rsidRPr="001D32CD">
        <w:t xml:space="preserve">3γ) </w:t>
      </w:r>
      <w:r w:rsidRPr="001D32CD">
        <w:tab/>
        <w:t xml:space="preserve">“εργοστάσιο τεχνητής νοημοσύνης”: </w:t>
      </w:r>
      <w:r w:rsidRPr="001D32CD">
        <w:rPr>
          <w:b/>
          <w:bCs/>
          <w:i/>
          <w:iCs/>
        </w:rPr>
        <w:t>κεντρικό</w:t>
      </w:r>
      <w:r w:rsidRPr="001D32CD">
        <w:t xml:space="preserve"> ή </w:t>
      </w:r>
      <w:r w:rsidRPr="001D32CD">
        <w:rPr>
          <w:b/>
          <w:bCs/>
          <w:i/>
          <w:iCs/>
        </w:rPr>
        <w:t>κατανεμημένο ανοικτό οικοσύστημα</w:t>
      </w:r>
      <w:r w:rsidRPr="001D32CD">
        <w:t xml:space="preserve"> που παρέχει υποδομή υπηρεσιών υπερυπολογιστικής τεχνητής νοημοσύνης, η οποία αποτελείται από ειδικό για την τεχνητή νοημοσύνη υπερυπολογιστή</w:t>
      </w:r>
      <w:r w:rsidRPr="001D32CD">
        <w:rPr>
          <w:b/>
          <w:bCs/>
          <w:i/>
          <w:iCs/>
        </w:rPr>
        <w:t>,</w:t>
      </w:r>
      <w:r w:rsidRPr="001D32CD">
        <w:t xml:space="preserve"> τμήμα υπερυπολογιστή τεχνητής νοημοσύνης </w:t>
      </w:r>
      <w:r w:rsidRPr="001D32CD">
        <w:rPr>
          <w:b/>
          <w:bCs/>
          <w:i/>
          <w:iCs/>
        </w:rPr>
        <w:t>ή υπερυπολογιστή της EuroHPC αναβαθμισμένο για ικανότητες τεχνητής νοημοσύνης</w:t>
      </w:r>
      <w:r w:rsidRPr="001D32CD">
        <w:t xml:space="preserve">, σχετικό κέντρο δεδομένων, προσανατολισμένες στην τεχνητή νοημοσύνη υπηρεσίες υπερυπολογιστικής ειδικής πρόσβασης </w:t>
      </w:r>
      <w:r w:rsidRPr="001D32CD">
        <w:rPr>
          <w:b/>
          <w:bCs/>
          <w:i/>
          <w:iCs/>
        </w:rPr>
        <w:t>που αναπτύσσουν, προσελκύουν, συγκεντρώνουν</w:t>
      </w:r>
      <w:r w:rsidRPr="001D32CD">
        <w:t xml:space="preserve"> και </w:t>
      </w:r>
      <w:r w:rsidRPr="001D32CD">
        <w:rPr>
          <w:b/>
          <w:bCs/>
          <w:i/>
          <w:iCs/>
        </w:rPr>
        <w:t>διατηρούν ανοικτά και ενεργά</w:t>
      </w:r>
      <w:r w:rsidRPr="001D32CD">
        <w:t xml:space="preserve"> ταλέντα για την παροχή των ικανοτήτων</w:t>
      </w:r>
      <w:r w:rsidRPr="001D32CD">
        <w:rPr>
          <w:b/>
          <w:bCs/>
          <w:i/>
          <w:iCs/>
        </w:rPr>
        <w:t>, των δεξιοτήτων και των γνώσεων</w:t>
      </w:r>
      <w:r w:rsidRPr="001D32CD">
        <w:t xml:space="preserve"> που απαιτούνται</w:t>
      </w:r>
      <w:r w:rsidRPr="001D32CD">
        <w:rPr>
          <w:b/>
          <w:bCs/>
          <w:i/>
          <w:iCs/>
        </w:rPr>
        <w:t>, βοηθούν και καθοδηγούν τους χρήστες στη</w:t>
      </w:r>
      <w:r w:rsidRPr="001D32CD">
        <w:t xml:space="preserve"> χρήση των υπερυπολογιστών για την τεχνητή νοημοσύνη</w:t>
      </w:r>
      <w:r w:rsidRPr="001D32CD">
        <w:rPr>
          <w:b/>
          <w:bCs/>
          <w:i/>
          <w:iCs/>
        </w:rPr>
        <w:t>,</w:t>
      </w:r>
      <w:r w:rsidRPr="001D32CD">
        <w:t xml:space="preserve"> </w:t>
      </w:r>
      <w:r w:rsidRPr="001D32CD">
        <w:rPr>
          <w:b/>
          <w:bCs/>
          <w:i/>
          <w:iCs/>
        </w:rPr>
        <w:t>και παρέχουν τις υπηρεσίες που απαιτούνται για τη συντήρησή τους</w:t>
      </w:r>
      <w:r w:rsidRPr="001D32CD">
        <w:t>·»·</w:t>
      </w:r>
    </w:p>
    <w:p w:rsidR="006C43DF" w:rsidRPr="001D32CD" w:rsidRDefault="006C43DF" w:rsidP="0091758A">
      <w:pPr>
        <w:pStyle w:val="Point0"/>
        <w:spacing w:line="360" w:lineRule="auto"/>
        <w:ind w:left="1418" w:hanging="567"/>
        <w:jc w:val="left"/>
        <w:rPr>
          <w:noProof/>
        </w:rPr>
      </w:pPr>
      <w:r w:rsidRPr="001D32CD">
        <w:t>β)</w:t>
      </w:r>
      <w:r w:rsidRPr="001D32CD">
        <w:tab/>
        <w:t>το σημείο 9) αντικαθίσταται από το ακόλουθο κείμενο:</w:t>
      </w:r>
    </w:p>
    <w:p w:rsidR="006C43DF" w:rsidRPr="001D32CD" w:rsidRDefault="006C43DF" w:rsidP="0091758A">
      <w:pPr>
        <w:pStyle w:val="ListParagraph"/>
        <w:spacing w:line="360" w:lineRule="auto"/>
        <w:ind w:left="1985" w:hanging="567"/>
        <w:jc w:val="left"/>
        <w:rPr>
          <w:noProof/>
        </w:rPr>
      </w:pPr>
      <w:r w:rsidRPr="001D32CD">
        <w:t xml:space="preserve">«9) </w:t>
      </w:r>
      <w:r w:rsidRPr="001D32CD">
        <w:tab/>
        <w:t>“υπερυπολογιστής της EuroHPC”: κάθε υπολογιστικό σύστημα του οποίου έχει την πλήρη κυριότητα η κοινή επιχείρηση ή επί του οποίου έχει συγκυριότητα από κοινού με άλλα συμμετέχοντα κράτη ή κοινοπραξία ιδιωτικών εταίρων, το οποίο μπορεί να είναι κλασικός υπερυπολογιστής (υπερυπολογιστής υψηλών προδιαγραφών, υπερυπολογιστής βιομηχανικών προδιαγραφών, ειδικός για την τεχνητή νοημοσύνη υπερυπολογιστής ή υπερυπολογιστής μεσαίας κατηγορίας), υβριδικός κλασικός-κβαντικός υπολογιστής, κβαντικός υπολογιστής ή κβαντικός προσομοιωτής·»</w:t>
      </w:r>
      <w:r w:rsidR="00B03F7B" w:rsidRPr="0091758A">
        <w:t>.</w:t>
      </w:r>
    </w:p>
    <w:p w:rsidR="006C43DF" w:rsidRPr="001D32CD" w:rsidRDefault="006C43DF" w:rsidP="00B03F7B">
      <w:pPr>
        <w:pStyle w:val="Point0"/>
        <w:spacing w:line="360" w:lineRule="auto"/>
        <w:jc w:val="left"/>
        <w:rPr>
          <w:noProof/>
        </w:rPr>
      </w:pPr>
      <w:r w:rsidRPr="001D32CD">
        <w:t>2)</w:t>
      </w:r>
      <w:r w:rsidRPr="001D32CD">
        <w:tab/>
      </w:r>
      <w:r w:rsidR="00B03F7B">
        <w:t>Σ</w:t>
      </w:r>
      <w:r w:rsidRPr="001D32CD">
        <w:t>το άρθρο 3 παράγραφος 2, προστίθεται το ακόλουθο στοιχείο η):</w:t>
      </w:r>
    </w:p>
    <w:p w:rsidR="006C43DF" w:rsidRPr="001D32CD" w:rsidRDefault="006C43DF" w:rsidP="00B03F7B">
      <w:pPr>
        <w:pStyle w:val="Point1"/>
        <w:spacing w:before="0" w:line="360" w:lineRule="auto"/>
        <w:jc w:val="left"/>
        <w:rPr>
          <w:noProof/>
        </w:rPr>
      </w:pPr>
      <w:r w:rsidRPr="001D32CD">
        <w:t xml:space="preserve">«η) </w:t>
      </w:r>
      <w:r w:rsidRPr="001D32CD">
        <w:tab/>
        <w:t>να αναπτύξει και να λειτουργήσει τα εργοστάσια τεχνητής νοημοσύνης για τη στήριξη της περαιτέρω ανάπτυξης ενός εξαιρετικά ανταγωνιστικού</w:t>
      </w:r>
      <w:r w:rsidRPr="001D32CD">
        <w:rPr>
          <w:b/>
          <w:bCs/>
          <w:i/>
          <w:iCs/>
        </w:rPr>
        <w:t>, βιώσιμου, αξιόπιστου, δεοντολογικού</w:t>
      </w:r>
      <w:r w:rsidRPr="001D32CD">
        <w:t xml:space="preserve"> και καινοτόμου οικοσυστήματος τεχνητής νοημοσύνης στην Ένωση.»</w:t>
      </w:r>
      <w:r w:rsidR="00B03F7B">
        <w:t>.</w:t>
      </w:r>
    </w:p>
    <w:p w:rsidR="006C43DF" w:rsidRPr="001D32CD" w:rsidRDefault="006C43DF" w:rsidP="00B03F7B">
      <w:pPr>
        <w:pStyle w:val="Point0"/>
        <w:spacing w:line="360" w:lineRule="auto"/>
        <w:jc w:val="left"/>
        <w:rPr>
          <w:noProof/>
        </w:rPr>
      </w:pPr>
      <w:r w:rsidRPr="001D32CD">
        <w:t>3)</w:t>
      </w:r>
      <w:r w:rsidRPr="001D32CD">
        <w:tab/>
      </w:r>
      <w:r w:rsidR="00B03F7B">
        <w:t>Σ</w:t>
      </w:r>
      <w:r w:rsidRPr="001D32CD">
        <w:t>το άρθρο 4 παράγραφος 1, προστίθεται το ακόλουθο στοιχείο η):</w:t>
      </w:r>
    </w:p>
    <w:p w:rsidR="006C43DF" w:rsidRPr="001D32CD" w:rsidRDefault="006C43DF" w:rsidP="00B03F7B">
      <w:pPr>
        <w:pStyle w:val="Point1"/>
        <w:spacing w:line="360" w:lineRule="auto"/>
        <w:jc w:val="left"/>
        <w:rPr>
          <w:noProof/>
        </w:rPr>
      </w:pPr>
      <w:r w:rsidRPr="001D32CD">
        <w:t>«η)</w:t>
      </w:r>
      <w:r w:rsidR="00B03F7B">
        <w:tab/>
      </w:r>
      <w:r w:rsidRPr="001D32CD">
        <w:t xml:space="preserve">πυλώνας του εργοστασίου τεχνητής νοημοσύνης για αξιόπιστη και δεοντολογική τεχνητή νοημοσύνη, ο οποίος καλύπτει δραστηριότητες για την παροχή προσανατολισμένης στην τεχνητή νοημοσύνη υποδομής υπηρεσιών υπερυπολογιστικής που αποσκοπεί στην περαιτέρω ανάπτυξη των ικανοτήτων και των δεξιοτήτων καινοτομίας του οικοσυστήματος τεχνητής νοημοσύνης·  </w:t>
      </w:r>
      <w:r w:rsidRPr="001D32CD">
        <w:rPr>
          <w:b/>
          <w:bCs/>
          <w:i/>
          <w:iCs/>
        </w:rPr>
        <w:t>οι εν λόγω</w:t>
      </w:r>
      <w:r w:rsidRPr="001D32CD">
        <w:t xml:space="preserve"> δραστηριότητες </w:t>
      </w:r>
      <w:r w:rsidRPr="001D32CD">
        <w:rPr>
          <w:b/>
          <w:bCs/>
          <w:i/>
          <w:iCs/>
        </w:rPr>
        <w:t>αφορούν</w:t>
      </w:r>
      <w:r w:rsidRPr="001D32CD">
        <w:t>, μεταξύ άλλων:</w:t>
      </w:r>
    </w:p>
    <w:p w:rsidR="006C43DF" w:rsidRPr="001D32CD" w:rsidRDefault="006C43DF" w:rsidP="00B03F7B">
      <w:pPr>
        <w:pStyle w:val="Point2"/>
        <w:spacing w:before="0" w:line="360" w:lineRule="auto"/>
        <w:jc w:val="left"/>
        <w:rPr>
          <w:noProof/>
        </w:rPr>
      </w:pPr>
      <w:r w:rsidRPr="001D32CD">
        <w:t>i)</w:t>
      </w:r>
      <w:r w:rsidRPr="001D32CD">
        <w:tab/>
        <w:t>την αγορά και τη λειτουργία ειδικών για την τεχνητή νοημοσύνη υπερυπολογιστών που συστεγάζονται με ▌κέντρα δεδομένων ή συνδέονται με κέντρα δεδομένων μέσω δικτύων πολύ υψηλής ταχύτητας·</w:t>
      </w:r>
    </w:p>
    <w:p w:rsidR="006C43DF" w:rsidRPr="001D32CD" w:rsidRDefault="006C43DF" w:rsidP="00B03F7B">
      <w:pPr>
        <w:pStyle w:val="Point2"/>
        <w:spacing w:before="0" w:line="360" w:lineRule="auto"/>
        <w:jc w:val="left"/>
        <w:rPr>
          <w:noProof/>
        </w:rPr>
      </w:pPr>
      <w:r w:rsidRPr="001D32CD">
        <w:t>ii)</w:t>
      </w:r>
      <w:r w:rsidRPr="001D32CD">
        <w:tab/>
        <w:t>την αναβάθμιση των υφιστάμενων υπερυπολογιστών της EuroHPC με ικανότητες τεχνητής νοημοσύνης·</w:t>
      </w:r>
    </w:p>
    <w:p w:rsidR="006C43DF" w:rsidRPr="001D32CD" w:rsidRDefault="006C43DF" w:rsidP="00B03F7B">
      <w:pPr>
        <w:pStyle w:val="Point2"/>
        <w:spacing w:before="0" w:line="360" w:lineRule="auto"/>
        <w:jc w:val="left"/>
        <w:rPr>
          <w:noProof/>
        </w:rPr>
      </w:pPr>
      <w:r w:rsidRPr="001D32CD">
        <w:t>iii)</w:t>
      </w:r>
      <w:r w:rsidRPr="001D32CD">
        <w:tab/>
        <w:t xml:space="preserve">την παροχή πρόσβασης στους ειδικούς για την τεχνητή νοημοσύνη υπερυπολογιστές ή στους υπερυπολογιστές της EuroHPC που έχουν αναβαθμιστεί με </w:t>
      </w:r>
      <w:r w:rsidRPr="001D32CD">
        <w:rPr>
          <w:b/>
          <w:bCs/>
          <w:i/>
          <w:iCs/>
        </w:rPr>
        <w:t>ικανότητες τεχνητής νοημοσύνης</w:t>
      </w:r>
      <w:r w:rsidRPr="001D32CD">
        <w:t>, συμπεριλαμβανομένης της διεύρυνσης της χρήσης τους σε μεγάλο αριθμό χρηστών του δημόσιου και του ιδιωτικού τομέα, μεταξύ άλλων σε νεοφυείς επιχειρήσεις</w:t>
      </w:r>
      <w:r w:rsidRPr="001D32CD">
        <w:rPr>
          <w:b/>
          <w:bCs/>
          <w:i/>
          <w:iCs/>
        </w:rPr>
        <w:t>, αναπτυσσόμενες νέες επιχειρήσεις, ΜΜΕ, ιδρύματα τριτοβάθμιας εκπαίδευσης</w:t>
      </w:r>
      <w:r w:rsidRPr="001D32CD">
        <w:t xml:space="preserve"> και </w:t>
      </w:r>
      <w:r w:rsidRPr="001D32CD">
        <w:rPr>
          <w:b/>
          <w:bCs/>
          <w:i/>
          <w:iCs/>
        </w:rPr>
        <w:t>την ευρύτερη επιστημονική κοινότητα·</w:t>
      </w:r>
    </w:p>
    <w:p w:rsidR="006C43DF" w:rsidRPr="001D32CD" w:rsidRDefault="006C43DF" w:rsidP="00E515A1">
      <w:pPr>
        <w:spacing w:after="120" w:line="360" w:lineRule="auto"/>
        <w:ind w:left="1984" w:hanging="567"/>
        <w:rPr>
          <w:rFonts w:eastAsia="Calibri"/>
          <w:noProof/>
          <w:szCs w:val="22"/>
        </w:rPr>
      </w:pPr>
      <w:r w:rsidRPr="001D32CD">
        <w:rPr>
          <w:b/>
          <w:i/>
        </w:rPr>
        <w:t>iiiα)</w:t>
      </w:r>
      <w:r w:rsidRPr="001D32CD">
        <w:tab/>
      </w:r>
      <w:r w:rsidRPr="001D32CD">
        <w:rPr>
          <w:b/>
          <w:bCs/>
          <w:i/>
          <w:iCs/>
        </w:rPr>
        <w:t>την ευρεία κοινοποίηση των ευκαιριών που προσφέρουν τα εργοστάσια τεχνητής νοημοσύνης σε νεοφυείς επιχειρήσεις, αναπτυσσόμενες νέες επιχειρήσεις και κοινότητες έρευνας και καινοτομίας</w:t>
      </w:r>
      <w:r w:rsidRPr="001D32CD">
        <w:t>·</w:t>
      </w:r>
    </w:p>
    <w:p w:rsidR="006C43DF" w:rsidRPr="001D32CD" w:rsidRDefault="006C43DF" w:rsidP="00B03F7B">
      <w:pPr>
        <w:pStyle w:val="Point2"/>
        <w:spacing w:before="0" w:line="360" w:lineRule="auto"/>
        <w:jc w:val="left"/>
        <w:rPr>
          <w:noProof/>
        </w:rPr>
      </w:pPr>
      <w:r w:rsidRPr="001D32CD">
        <w:t>iv)</w:t>
      </w:r>
      <w:r w:rsidRPr="001D32CD">
        <w:tab/>
        <w:t>τη λειτουργία κεντρικών ή κατανεμημένων κέντρων υπηρεσιών υπερυπολογιστικής προσανατολισμένων στην τεχνητή νοημοσύνη για τη στήριξη του οικοσυστήματος νεοφυών επιχειρήσεων, έρευνας και καινοτομίας στον τομέα της τεχνητής νοημοσύνης, τα οποία</w:t>
      </w:r>
      <w:r w:rsidRPr="001D32CD">
        <w:rPr>
          <w:b/>
          <w:bCs/>
          <w:i/>
          <w:iCs/>
        </w:rPr>
        <w:t xml:space="preserve"> βοηθούν και καθοδηγούν τους χρήστες, προωθούν τη διεπιστημονική έρευνα</w:t>
      </w:r>
      <w:r w:rsidRPr="001D32CD">
        <w:t xml:space="preserve"> </w:t>
      </w:r>
      <w:r w:rsidRPr="001D32CD">
        <w:rPr>
          <w:b/>
          <w:bCs/>
          <w:i/>
          <w:iCs/>
        </w:rPr>
        <w:t>και</w:t>
      </w:r>
      <w:r w:rsidRPr="001D32CD">
        <w:t xml:space="preserve"> παρέχουν αλγοριθμική υποστήριξη, υποστήριξη για την περαιτέρω ανάπτυξη, εκπαίδευση, δοκιμή, αξιολόγηση και επικύρωση εκπαιδευτικών μοντέλων και συστημάτων στον τομέα της τεχνητής νοημοσύνης, και υποστήριξη για την ανάπτυξη αναδυόμενων εφαρμογών τεχνητής νοημοσύνης μεγάλης κλίμακας σε στρατηγικούς τομείς ▌·</w:t>
      </w:r>
    </w:p>
    <w:p w:rsidR="006C43DF" w:rsidRPr="001D32CD" w:rsidRDefault="006C43DF" w:rsidP="00B03F7B">
      <w:pPr>
        <w:pStyle w:val="Point2"/>
        <w:spacing w:before="0" w:line="360" w:lineRule="auto"/>
        <w:jc w:val="left"/>
        <w:rPr>
          <w:noProof/>
        </w:rPr>
      </w:pPr>
      <w:r w:rsidRPr="001D32CD">
        <w:t>v)</w:t>
      </w:r>
      <w:r w:rsidRPr="001D32CD">
        <w:tab/>
        <w:t>τη λειτουργία φιλικών προς τους υπερυπολογιστές εγκαταστάσεων προγραμματισμού, μεταξύ άλλων για τον παραλληλισμό εφαρμογών τεχνητής νοημοσύνης για τη βελτιστοποίηση της χρήσης των ικανοτήτων υπερυπολογιστικής</w:t>
      </w:r>
      <w:r w:rsidRPr="001D32CD">
        <w:rPr>
          <w:b/>
          <w:bCs/>
          <w:i/>
          <w:iCs/>
        </w:rPr>
        <w:t>, και τη λειτουργία άλλων υπηρεσιών υπερυπολογιστικής που υποστηρίζουν την τεχνητή νοημοσύνη</w:t>
      </w:r>
      <w:r w:rsidRPr="001D32CD">
        <w:t>·</w:t>
      </w:r>
    </w:p>
    <w:p w:rsidR="006C43DF" w:rsidRPr="001D32CD" w:rsidRDefault="006C43DF" w:rsidP="00B03F7B">
      <w:pPr>
        <w:pStyle w:val="Point2"/>
        <w:spacing w:before="0" w:line="360" w:lineRule="auto"/>
        <w:jc w:val="left"/>
        <w:rPr>
          <w:noProof/>
          <w:color w:val="000000" w:themeColor="text1"/>
        </w:rPr>
      </w:pPr>
      <w:r w:rsidRPr="001D32CD">
        <w:t>vii)</w:t>
      </w:r>
      <w:r w:rsidRPr="001D32CD">
        <w:tab/>
      </w:r>
      <w:r w:rsidRPr="001D32CD">
        <w:rPr>
          <w:b/>
          <w:bCs/>
          <w:i/>
          <w:iCs/>
        </w:rPr>
        <w:t>μέσω μιας διαφανούς, ισότιμης και ανοικτής διαδικασίας,</w:t>
      </w:r>
      <w:r w:rsidRPr="001D32CD">
        <w:t xml:space="preserve"> την προσέλκυση, τη συγκέντρωση, ▌την κατάρτιση </w:t>
      </w:r>
      <w:r w:rsidRPr="001D32CD">
        <w:rPr>
          <w:b/>
          <w:bCs/>
          <w:i/>
          <w:iCs/>
        </w:rPr>
        <w:t>και τη διατήρηση</w:t>
      </w:r>
      <w:r w:rsidRPr="001D32CD">
        <w:t xml:space="preserve"> ταλέντων</w:t>
      </w:r>
      <w:r w:rsidRPr="001D32CD">
        <w:rPr>
          <w:b/>
          <w:bCs/>
          <w:i/>
          <w:iCs/>
        </w:rPr>
        <w:t>, συμπεριλαμβανομένων φοιτητών, προγραμματιστών, ερευνητών, επιστημόνων και της κοινότητας των χρηστών</w:t>
      </w:r>
      <w:r w:rsidRPr="001D32CD">
        <w:t xml:space="preserve"> για την ανάπτυξη των ικανοτήτων, ▌των δεξιοτήτων </w:t>
      </w:r>
      <w:r w:rsidRPr="001D32CD">
        <w:rPr>
          <w:b/>
          <w:bCs/>
          <w:i/>
          <w:iCs/>
        </w:rPr>
        <w:t>και των γνώσεών</w:t>
      </w:r>
      <w:r w:rsidRPr="001D32CD">
        <w:t xml:space="preserve"> τους όσον αφορά τη χρήση των υπερυπολογιστών της EuroHPC για την τεχνητή νοημοσύνη</w:t>
      </w:r>
      <w:r w:rsidRPr="001D32CD">
        <w:rPr>
          <w:b/>
          <w:bCs/>
          <w:i/>
          <w:iCs/>
        </w:rPr>
        <w:t>, καθώς και την παροχή εξατομικευμένης καθοδήγησης</w:t>
      </w:r>
      <w:r w:rsidRPr="001D32CD">
        <w:t>·</w:t>
      </w:r>
    </w:p>
    <w:p w:rsidR="006C43DF" w:rsidRPr="001D32CD" w:rsidRDefault="006C43DF" w:rsidP="00B03F7B">
      <w:pPr>
        <w:pStyle w:val="Point2"/>
        <w:spacing w:before="0" w:line="360" w:lineRule="auto"/>
        <w:jc w:val="left"/>
        <w:rPr>
          <w:rFonts w:eastAsia="Times New Roman"/>
          <w:noProof/>
          <w:szCs w:val="24"/>
        </w:rPr>
      </w:pPr>
      <w:r w:rsidRPr="001D32CD">
        <w:rPr>
          <w:color w:val="000000" w:themeColor="text1"/>
        </w:rPr>
        <w:t xml:space="preserve">viii) </w:t>
      </w:r>
      <w:r w:rsidRPr="001D32CD">
        <w:t>την αλληλεπίδραση με τα άλλα εργοστάσια τεχνητής νοημοσύνης, την παροχή πρόσβασης στις υπηρεσίες τους σε ολόκληρη την Ευρώπη</w:t>
      </w:r>
      <w:r w:rsidRPr="001D32CD">
        <w:rPr>
          <w:b/>
          <w:bCs/>
          <w:i/>
          <w:iCs/>
        </w:rPr>
        <w:t>, δίνοντας συνεχή προσοχή στη γεωγραφική ισορροπία και στην ισόρροπη εκπροσώπηση των φύλων,</w:t>
      </w:r>
      <w:r w:rsidRPr="001D32CD">
        <w:t xml:space="preserve"> και τη συνεργασία με τα κέντρα ικανοτήτων της EuroHPC και τα κέντρα αριστείας της EuroHPC, καθώς και με τις σχετικές πρωτοβουλίες τεχνητής νοημοσύνης της Ένωσης, όπως οι κόμβοι νεοφυών επιχειρήσεων τεχνητής νοημοσύνης, τα οικοσυστήματα τεχνητής νοημοσύνης και δεδομένων, οι εγκαταστάσεις δοκιμών και πειραματισμού τεχνητής νοημοσύνης, η ευρωπαϊκή κεντρική πλατφόρμα τεχνητής νοημοσύνης, οι κόμβοι ψηφιακής καινοτομίας που σχετίζονται με την τεχνητή νοημοσύνη, οι κοινότητες γνώσης και καινοτομίας του Ευρωπαϊκού Ινστιτούτου Καινοτομίας και Τεχνολογίας που σχετίζονται με την τεχνητή νοημοσύνη,</w:t>
      </w:r>
      <w:r w:rsidRPr="001D32CD">
        <w:rPr>
          <w:b/>
          <w:bCs/>
          <w:i/>
          <w:iCs/>
        </w:rPr>
        <w:t xml:space="preserve"> οι κοινές επιχειρήσεις και συμπράξεις του προγράμματος «Ορίζων Ευρώπη» που σχετίζονται με την τεχνητή νοημοσύνη,</w:t>
      </w:r>
      <w:r w:rsidRPr="001D32CD">
        <w:t xml:space="preserve"> οι σχετικές ευρωπαϊκές υποδομές έρευνας και άλλες συναφείς πρωτοβουλίες.</w:t>
      </w:r>
    </w:p>
    <w:p w:rsidR="006C43DF" w:rsidRPr="001D32CD" w:rsidRDefault="006C43DF" w:rsidP="00E515A1">
      <w:pPr>
        <w:spacing w:after="120" w:line="360" w:lineRule="auto"/>
        <w:ind w:left="1984" w:hanging="567"/>
        <w:rPr>
          <w:b/>
          <w:i/>
          <w:noProof/>
        </w:rPr>
      </w:pPr>
      <w:r w:rsidRPr="001D32CD">
        <w:rPr>
          <w:b/>
          <w:i/>
        </w:rPr>
        <w:t xml:space="preserve">viii α) </w:t>
      </w:r>
      <w:r w:rsidRPr="001D32CD">
        <w:rPr>
          <w:b/>
          <w:i/>
        </w:rPr>
        <w:tab/>
        <w:t>τη συντήρηση και τη βελτιστοποίηση υπερυπολογιστών με ικανότητες τεχνητής νοημοσύνης, εξασφαλίζοντας την αξιοπιστία και την απόδοσή τους για προηγμένες υπολογιστικές εργασίες.»</w:t>
      </w:r>
      <w:r w:rsidR="00B03F7B">
        <w:rPr>
          <w:b/>
          <w:i/>
        </w:rPr>
        <w:t>.</w:t>
      </w:r>
    </w:p>
    <w:p w:rsidR="006C43DF" w:rsidRPr="001D32CD" w:rsidRDefault="006C43DF" w:rsidP="00B03F7B">
      <w:pPr>
        <w:pStyle w:val="Point0"/>
        <w:spacing w:line="360" w:lineRule="auto"/>
        <w:jc w:val="left"/>
        <w:rPr>
          <w:noProof/>
        </w:rPr>
      </w:pPr>
      <w:r w:rsidRPr="001D32CD">
        <w:t>4)</w:t>
      </w:r>
      <w:r w:rsidRPr="001D32CD">
        <w:tab/>
      </w:r>
      <w:r w:rsidR="00B03F7B">
        <w:rPr>
          <w:b/>
          <w:bCs/>
          <w:i/>
          <w:iCs/>
        </w:rPr>
        <w:t>Τ</w:t>
      </w:r>
      <w:r w:rsidRPr="001D32CD">
        <w:rPr>
          <w:b/>
          <w:bCs/>
          <w:i/>
          <w:iCs/>
        </w:rPr>
        <w:t>ο</w:t>
      </w:r>
      <w:r w:rsidRPr="001D32CD">
        <w:t xml:space="preserve"> άρθρο 9 παράγραφος 5 </w:t>
      </w:r>
      <w:r w:rsidRPr="001D32CD">
        <w:rPr>
          <w:b/>
          <w:bCs/>
          <w:i/>
          <w:iCs/>
        </w:rPr>
        <w:t>τροποποιείται ως εξής:</w:t>
      </w:r>
    </w:p>
    <w:p w:rsidR="006C43DF" w:rsidRPr="001D32CD" w:rsidRDefault="006C43DF" w:rsidP="0091758A">
      <w:pPr>
        <w:pStyle w:val="Point0"/>
        <w:spacing w:line="360" w:lineRule="auto"/>
        <w:ind w:left="1418" w:hanging="567"/>
        <w:jc w:val="left"/>
        <w:rPr>
          <w:noProof/>
        </w:rPr>
      </w:pPr>
      <w:r w:rsidRPr="001D32CD">
        <w:rPr>
          <w:b/>
          <w:bCs/>
          <w:i/>
          <w:iCs/>
        </w:rPr>
        <w:t>α)</w:t>
      </w:r>
      <w:r w:rsidRPr="001D32CD">
        <w:rPr>
          <w:b/>
          <w:i/>
        </w:rPr>
        <w:tab/>
      </w:r>
      <w:r w:rsidRPr="001D32CD">
        <w:t xml:space="preserve">προστίθεται το ακόλουθο στοιχείο ζ): </w:t>
      </w:r>
    </w:p>
    <w:p w:rsidR="006C43DF" w:rsidRPr="001D32CD" w:rsidRDefault="006C43DF" w:rsidP="0091758A">
      <w:pPr>
        <w:pStyle w:val="Point1"/>
        <w:spacing w:line="360" w:lineRule="auto"/>
        <w:ind w:left="1985"/>
        <w:jc w:val="left"/>
        <w:rPr>
          <w:noProof/>
        </w:rPr>
      </w:pPr>
      <w:r w:rsidRPr="001D32CD">
        <w:t xml:space="preserve">«ζ) </w:t>
      </w:r>
      <w:r w:rsidRPr="001D32CD">
        <w:tab/>
        <w:t>για τους ειδικούς για την τεχνητή νοημοσύνη υπερυπολογιστές ισχύουν τα ακόλουθα πρόσθετα κριτήρια επιλογής για τις οντότητες υποδοχής:</w:t>
      </w:r>
    </w:p>
    <w:p w:rsidR="006C43DF" w:rsidRPr="001D32CD" w:rsidRDefault="006C43DF" w:rsidP="0091758A">
      <w:pPr>
        <w:pStyle w:val="Point1"/>
        <w:spacing w:before="0" w:line="360" w:lineRule="auto"/>
        <w:ind w:left="2552"/>
        <w:jc w:val="left"/>
        <w:rPr>
          <w:noProof/>
        </w:rPr>
      </w:pPr>
      <w:r w:rsidRPr="001D32CD">
        <w:t>i)</w:t>
      </w:r>
      <w:r w:rsidRPr="001D32CD">
        <w:tab/>
        <w:t xml:space="preserve">εγγύτητα </w:t>
      </w:r>
      <w:r w:rsidRPr="001D32CD">
        <w:rPr>
          <w:b/>
          <w:bCs/>
          <w:i/>
          <w:iCs/>
        </w:rPr>
        <w:t>ή σύνδεση μέσω δικτύων πολύ υψηλής ταχύτητας</w:t>
      </w:r>
      <w:r w:rsidRPr="001D32CD">
        <w:t xml:space="preserve"> με </w:t>
      </w:r>
      <w:r w:rsidRPr="001D32CD">
        <w:rPr>
          <w:b/>
          <w:bCs/>
          <w:i/>
          <w:iCs/>
        </w:rPr>
        <w:t>σχεδιαζόμενο ή</w:t>
      </w:r>
      <w:r w:rsidRPr="001D32CD">
        <w:t xml:space="preserve"> εγκατεστημένο κέντρο δεδομένων</w:t>
      </w:r>
      <w:r w:rsidRPr="001D32CD">
        <w:rPr>
          <w:b/>
          <w:bCs/>
          <w:i/>
          <w:iCs/>
        </w:rPr>
        <w:t>, σύμφωνα με το άρθρο 12 της οδηγίας (ΕΕ) 2023/1791</w:t>
      </w:r>
      <w:r w:rsidRPr="001D32CD">
        <w:t>·</w:t>
      </w:r>
    </w:p>
    <w:p w:rsidR="006C43DF" w:rsidRPr="001D32CD" w:rsidRDefault="006C43DF" w:rsidP="0091758A">
      <w:pPr>
        <w:pStyle w:val="Point1"/>
        <w:spacing w:before="0" w:line="360" w:lineRule="auto"/>
        <w:ind w:left="2552"/>
        <w:jc w:val="left"/>
        <w:rPr>
          <w:noProof/>
        </w:rPr>
      </w:pPr>
      <w:r w:rsidRPr="001D32CD">
        <w:rPr>
          <w:b/>
          <w:i/>
        </w:rPr>
        <w:t xml:space="preserve">iα) </w:t>
      </w:r>
      <w:r w:rsidRPr="001D32CD">
        <w:rPr>
          <w:b/>
          <w:i/>
        </w:rPr>
        <w:tab/>
      </w:r>
      <w:r w:rsidRPr="001D32CD">
        <w:rPr>
          <w:b/>
          <w:bCs/>
          <w:i/>
          <w:iCs/>
        </w:rPr>
        <w:t>όραμα και σχέδια της οντότητας υποδοχής για την ενεργειακή απόδοση και την περιβαλλοντική βιωσιμότητα των ειδικών για την τεχνητή νοημοσύνη υπερυπολογιστών, χρησιμοποιώντας την προσέγγιση του κύκλου ζωής, τη διαθεσιμότητα επαρκούς πρόσβασης σε καθαρή και οικονομικά προσιτή ενέργεια, μεταξύ άλλων με συμβάσεις αγοράς ηλεκτρικής ενέργειας που μπορεί να βασίζονται σε ανανεώσιμες πηγές ενέργειας, και τη χρήση ηλεκτρικής ενέργειας που παράγεται τοπικά·</w:t>
      </w:r>
    </w:p>
    <w:p w:rsidR="006C43DF" w:rsidRPr="001D32CD" w:rsidRDefault="006C43DF" w:rsidP="0091758A">
      <w:pPr>
        <w:pStyle w:val="Point1"/>
        <w:spacing w:before="0" w:line="360" w:lineRule="auto"/>
        <w:ind w:left="2552" w:hanging="425"/>
        <w:jc w:val="left"/>
        <w:rPr>
          <w:noProof/>
        </w:rPr>
      </w:pPr>
      <w:r w:rsidRPr="001D32CD">
        <w:t>ii)</w:t>
      </w:r>
      <w:r w:rsidRPr="001D32CD">
        <w:tab/>
        <w:t>όραμα, σχέδια και ικανότητα της οντότητας υποδοχής για την αντιμετώπιση των προκλήσεων του οικοσυστήματος νεοφυών επιχειρήσεων, έρευνας και καινοτομίας στον τομέα της τεχνητής νοημοσύνης και των προκλήσεων της κοινότητας χρηστών τεχνητής νοημοσύνης</w:t>
      </w:r>
      <w:r w:rsidRPr="001D32CD">
        <w:rPr>
          <w:b/>
          <w:bCs/>
          <w:i/>
          <w:iCs/>
        </w:rPr>
        <w:t xml:space="preserve">, την ενίσχυση ενός τέτοιου οικοσυστήματος με την προώθηση συνεργειών και καινοτομίας, συμπεριλαμβανομένων των επενδύσεων σε μελλοντικές τεχνολογίες, και τη συμβολή </w:t>
      </w:r>
      <w:r w:rsidRPr="001D32CD">
        <w:t>και την παροχή υποστηρικτικής κεντρικής ή κατανεμημένης υπηρεσίας υπερυπολογιστικής προσανατολισμένης στην τεχνητή νοημοσύνη·</w:t>
      </w:r>
    </w:p>
    <w:p w:rsidR="006C43DF" w:rsidRPr="001D32CD" w:rsidRDefault="006C43DF" w:rsidP="0091758A">
      <w:pPr>
        <w:pStyle w:val="Point1"/>
        <w:spacing w:before="0" w:line="360" w:lineRule="auto"/>
        <w:ind w:left="2552" w:hanging="425"/>
        <w:jc w:val="left"/>
        <w:rPr>
          <w:noProof/>
        </w:rPr>
      </w:pPr>
      <w:r w:rsidRPr="001D32CD">
        <w:t>iii)</w:t>
      </w:r>
      <w:r w:rsidRPr="001D32CD">
        <w:tab/>
        <w:t>ποιότητα και συνάφεια της πείρας και της τεχνογνωσίας που διαθέτει η προοριζόμενη ομάδα που θα είναι υπεύθυνη για το υποστηρικτικό περιβάλλον υπηρεσιών υπερυπολογιστικής προσανατολισμένων στην τεχνητή νοημοσύνη·</w:t>
      </w:r>
    </w:p>
    <w:p w:rsidR="006C43DF" w:rsidRPr="001D32CD" w:rsidRDefault="006C43DF" w:rsidP="0091758A">
      <w:pPr>
        <w:pStyle w:val="Point1"/>
        <w:spacing w:before="0" w:line="360" w:lineRule="auto"/>
        <w:ind w:left="2552" w:hanging="425"/>
        <w:jc w:val="left"/>
        <w:rPr>
          <w:noProof/>
        </w:rPr>
      </w:pPr>
      <w:r w:rsidRPr="001D32CD">
        <w:t>iv)</w:t>
      </w:r>
      <w:r w:rsidR="00B03F7B">
        <w:tab/>
      </w:r>
      <w:r w:rsidRPr="001D32CD">
        <w:t>σχέδια αλληλεπίδρασης και συνεργασίας με άλλα εργοστάσια τεχνητής νοημοσύνης, με τα κέντρα ικανοτήτων της EuroHPC και τα κέντρα αριστείας της EuroHPC και με συναφείς δραστηριότητες τεχνητής νοημοσύνης, όπως οι κόμβοι νεοφυών επιχειρήσεων τεχνητής νοημοσύνης, τα οικοσυστήματα τεχνητής νοημοσύνης και δεδομένων, οι εγκαταστάσεις δοκιμών και πειραματισμού τεχνητής νοημοσύνης, η ευρωπαϊκή κεντρική πλατφόρμα τεχνητής νοημοσύνης, οι κόμβοι ψηφιακής καινοτομίας που σχετίζονται με την τεχνητή νοημοσύνη και άλλες συναφείς πρωτοβουλίες·</w:t>
      </w:r>
    </w:p>
    <w:p w:rsidR="006C43DF" w:rsidRPr="001D32CD" w:rsidRDefault="006C43DF" w:rsidP="0091758A">
      <w:pPr>
        <w:pStyle w:val="Point1"/>
        <w:spacing w:before="0" w:line="360" w:lineRule="auto"/>
        <w:ind w:left="2552" w:hanging="425"/>
        <w:jc w:val="left"/>
        <w:rPr>
          <w:noProof/>
        </w:rPr>
      </w:pPr>
      <w:r w:rsidRPr="001D32CD">
        <w:t>v)</w:t>
      </w:r>
      <w:r w:rsidR="00B03F7B">
        <w:tab/>
      </w:r>
      <w:r w:rsidRPr="001D32CD">
        <w:t>υφιστάμενες ικανότητες και μελλοντικά σχέδια της οντότητας υποδοχής για τη συμβολή στην ανάπτυξη</w:t>
      </w:r>
      <w:r w:rsidRPr="001D32CD">
        <w:rPr>
          <w:b/>
          <w:bCs/>
          <w:i/>
          <w:iCs/>
        </w:rPr>
        <w:t>, την προσέλκυση, την κατάρτιση και τη διατήρηση</w:t>
      </w:r>
      <w:r w:rsidRPr="001D32CD">
        <w:t xml:space="preserve"> της δεξαμενής ταλέντων</w:t>
      </w:r>
      <w:r w:rsidRPr="001D32CD">
        <w:rPr>
          <w:b/>
          <w:bCs/>
          <w:i/>
          <w:iCs/>
        </w:rPr>
        <w:t>,</w:t>
      </w:r>
      <w:r w:rsidRPr="001D32CD">
        <w:t xml:space="preserve"> </w:t>
      </w:r>
      <w:r w:rsidRPr="001D32CD">
        <w:rPr>
          <w:b/>
          <w:bCs/>
          <w:i/>
          <w:iCs/>
        </w:rPr>
        <w:t>και στη δημιουργία δεξιοτήτων, ικανοτήτων και γνώσεων για τη χρήση των υπερυπολογιστών, μεταξύ άλλων με τη μορφή υποστήριξης των νεοφυών επιχειρήσεων μέσω προγραμμάτων εκκόλαψης ή επιτάχυνσης</w:t>
      </w:r>
      <w:r w:rsidRPr="001D32CD">
        <w:t>.»·</w:t>
      </w:r>
    </w:p>
    <w:p w:rsidR="006C43DF" w:rsidRPr="001D32CD" w:rsidRDefault="006C43DF" w:rsidP="0091758A">
      <w:pPr>
        <w:pStyle w:val="Point1"/>
        <w:spacing w:line="360" w:lineRule="auto"/>
        <w:ind w:left="1985"/>
        <w:jc w:val="left"/>
        <w:rPr>
          <w:noProof/>
        </w:rPr>
      </w:pPr>
      <w:r w:rsidRPr="001D32CD">
        <w:rPr>
          <w:b/>
          <w:i/>
        </w:rPr>
        <w:t>ζα)</w:t>
      </w:r>
      <w:r w:rsidRPr="001D32CD">
        <w:rPr>
          <w:b/>
          <w:i/>
        </w:rPr>
        <w:tab/>
      </w:r>
      <w:r w:rsidRPr="001D32CD">
        <w:rPr>
          <w:b/>
          <w:bCs/>
          <w:i/>
          <w:iCs/>
        </w:rPr>
        <w:t>μια υφιστάμενη οντότητα υποδοχής που επιλέγεται από το διοικητικό συμβούλιο μέσω δίκαιης και διαφανούς διαδικασίας και κατόπιν πρόσκλησης εκδήλωσης ενδιαφέροντος μπορεί να ιδρύσει εργοστάσιο τεχνητής νοημοσύνης εάν πληροί τα κριτήρια που αναφέρονται στο άρθρο 9 παράγραφος 5 στοιχείο ζ).»</w:t>
      </w:r>
      <w:r w:rsidR="00B03F7B">
        <w:t>.</w:t>
      </w:r>
    </w:p>
    <w:p w:rsidR="006C43DF" w:rsidRPr="001D32CD" w:rsidRDefault="006C43DF" w:rsidP="0091758A">
      <w:pPr>
        <w:pStyle w:val="Point0"/>
        <w:spacing w:line="360" w:lineRule="auto"/>
        <w:jc w:val="left"/>
        <w:rPr>
          <w:noProof/>
        </w:rPr>
      </w:pPr>
      <w:r w:rsidRPr="001D32CD">
        <w:t>5)</w:t>
      </w:r>
      <w:r w:rsidRPr="001D32CD">
        <w:tab/>
      </w:r>
      <w:r w:rsidR="00B03F7B">
        <w:t>Σ</w:t>
      </w:r>
      <w:r w:rsidRPr="001D32CD">
        <w:t>το άρθρο 9, προστίθεται η ακόλουθη παράγραφος 6α:</w:t>
      </w:r>
    </w:p>
    <w:p w:rsidR="006C43DF" w:rsidRPr="001D32CD" w:rsidRDefault="006C43DF" w:rsidP="00B03F7B">
      <w:pPr>
        <w:pStyle w:val="Point2"/>
        <w:spacing w:line="360" w:lineRule="auto"/>
        <w:ind w:left="1276" w:hanging="425"/>
        <w:jc w:val="left"/>
        <w:rPr>
          <w:i/>
          <w:iCs/>
          <w:noProof/>
        </w:rPr>
      </w:pPr>
      <w:r w:rsidRPr="001D32CD">
        <w:rPr>
          <w:b/>
          <w:bCs/>
          <w:i/>
          <w:iCs/>
        </w:rPr>
        <w:t>«</w:t>
      </w:r>
      <w:r w:rsidRPr="001D32CD">
        <w:t xml:space="preserve">6α. </w:t>
      </w:r>
      <w:r w:rsidRPr="001D32CD">
        <w:tab/>
        <w:t xml:space="preserve">Όσον αφορά τους ειδικούς για την τεχνητή νοημοσύνη υπερυπολογιστές που αναφέρονται στο άρθρο 12α, </w:t>
      </w:r>
      <w:r w:rsidRPr="001D32CD">
        <w:rPr>
          <w:b/>
          <w:bCs/>
          <w:i/>
          <w:iCs/>
        </w:rPr>
        <w:t>καθώς και τους υπερυπολογιστές της EuroHPC που αναφέρονται στα άρθρα 11, 12, 12α, 14 και 15,</w:t>
      </w:r>
      <w:r w:rsidRPr="001D32CD">
        <w:t xml:space="preserve"> </w:t>
      </w:r>
      <w:r w:rsidRPr="001D32CD">
        <w:rPr>
          <w:b/>
          <w:bCs/>
          <w:i/>
          <w:iCs/>
        </w:rPr>
        <w:t>οι οντότητες</w:t>
      </w:r>
      <w:r w:rsidRPr="001D32CD">
        <w:t xml:space="preserve"> υποδοχής </w:t>
      </w:r>
      <w:r w:rsidRPr="001D32CD">
        <w:rPr>
          <w:b/>
          <w:bCs/>
          <w:i/>
          <w:iCs/>
        </w:rPr>
        <w:t>δημιουργούν</w:t>
      </w:r>
      <w:r w:rsidRPr="001D32CD">
        <w:t xml:space="preserve"> υπηρεσία μίας στάσης για τις νεοφυείς επιχειρήσεις</w:t>
      </w:r>
      <w:r w:rsidRPr="001D32CD">
        <w:rPr>
          <w:b/>
          <w:bCs/>
          <w:i/>
          <w:iCs/>
        </w:rPr>
        <w:t>, τις αναπτυσσόμενες νέες επιχειρήσεις, τις ΜΜΕ</w:t>
      </w:r>
      <w:r w:rsidRPr="001D32CD">
        <w:t xml:space="preserve"> και άλλους χρήστες για τη διευκόλυνση της πρόσβασης στις υπηρεσίες υποστήριξής της </w:t>
      </w:r>
      <w:r w:rsidRPr="001D32CD">
        <w:rPr>
          <w:b/>
          <w:bCs/>
          <w:i/>
          <w:iCs/>
        </w:rPr>
        <w:t>και για την υποστήριξη της ανάπτυξης των δεξιοτήτων και των ικανοτήτων τους</w:t>
      </w:r>
      <w:r w:rsidRPr="001D32CD">
        <w:t>.»</w:t>
      </w:r>
      <w:r w:rsidR="00B03F7B">
        <w:t>.</w:t>
      </w:r>
    </w:p>
    <w:p w:rsidR="006C43DF" w:rsidRPr="001D32CD" w:rsidRDefault="006C43DF" w:rsidP="00B03F7B">
      <w:pPr>
        <w:pStyle w:val="Point0"/>
        <w:spacing w:line="360" w:lineRule="auto"/>
        <w:jc w:val="left"/>
        <w:rPr>
          <w:noProof/>
        </w:rPr>
      </w:pPr>
      <w:r w:rsidRPr="001D32CD">
        <w:t>6)</w:t>
      </w:r>
      <w:r w:rsidRPr="001D32CD">
        <w:tab/>
      </w:r>
      <w:r w:rsidR="00B03F7B">
        <w:t>Σ</w:t>
      </w:r>
      <w:r w:rsidRPr="001D32CD">
        <w:t>το άρθρο 10 παράγραφος 2, το στοιχείο ιβ) αντικαθίσταται από το ακόλουθο κείμενο:</w:t>
      </w:r>
    </w:p>
    <w:p w:rsidR="006C43DF" w:rsidRPr="001D32CD" w:rsidRDefault="006C43DF" w:rsidP="0091758A">
      <w:pPr>
        <w:pStyle w:val="Point2"/>
        <w:spacing w:line="360" w:lineRule="auto"/>
        <w:ind w:left="1418"/>
        <w:jc w:val="left"/>
        <w:rPr>
          <w:i/>
          <w:iCs/>
          <w:noProof/>
        </w:rPr>
      </w:pPr>
      <w:r w:rsidRPr="001D32CD">
        <w:t xml:space="preserve">«ιβ) </w:t>
      </w:r>
      <w:r w:rsidRPr="001D32CD">
        <w:tab/>
        <w:t>τους ειδικούς όρους που ισχύουν όταν η οντότητα υποδοχής λειτουργεί έναν υπερυπολογιστή της EuroHPC για βιομηχανική χρήση, ▌</w:t>
      </w:r>
      <w:r w:rsidRPr="001D32CD">
        <w:rPr>
          <w:i/>
          <w:iCs/>
        </w:rPr>
        <w:t>ειδικό για την τεχνητή νοημοσύνη υπερυπολογιστή</w:t>
      </w:r>
      <w:r w:rsidRPr="001D32CD">
        <w:t xml:space="preserve"> </w:t>
      </w:r>
      <w:r w:rsidRPr="001D32CD">
        <w:rPr>
          <w:b/>
          <w:bCs/>
          <w:i/>
          <w:iCs/>
        </w:rPr>
        <w:t>ή υφιστάμενο υπερυπολογιστή της EuroHPC αναβαθμισμένο με ικανότητες τεχνητής νοημοσύνης</w:t>
      </w:r>
      <w:r w:rsidRPr="001D32CD">
        <w:t>.»</w:t>
      </w:r>
      <w:r w:rsidR="00B03F7B">
        <w:t>.</w:t>
      </w:r>
    </w:p>
    <w:p w:rsidR="006C43DF" w:rsidRPr="001D32CD" w:rsidRDefault="006C43DF" w:rsidP="00B03F7B">
      <w:pPr>
        <w:pStyle w:val="Point0"/>
        <w:spacing w:line="360" w:lineRule="auto"/>
        <w:jc w:val="left"/>
        <w:rPr>
          <w:noProof/>
        </w:rPr>
      </w:pPr>
      <w:r w:rsidRPr="001D32CD">
        <w:t>7)</w:t>
      </w:r>
      <w:r w:rsidRPr="001D32CD">
        <w:tab/>
      </w:r>
      <w:r w:rsidR="00B03F7B">
        <w:t>Π</w:t>
      </w:r>
      <w:r w:rsidRPr="001D32CD">
        <w:t>ροστίθεται το ακόλουθο άρθρο:</w:t>
      </w:r>
    </w:p>
    <w:p w:rsidR="006C43DF" w:rsidRPr="001D32CD" w:rsidRDefault="006C43DF" w:rsidP="0091758A">
      <w:pPr>
        <w:pStyle w:val="Point2"/>
        <w:spacing w:line="360" w:lineRule="auto"/>
        <w:ind w:left="851" w:firstLine="0"/>
        <w:jc w:val="left"/>
        <w:rPr>
          <w:noProof/>
        </w:rPr>
      </w:pPr>
      <w:r w:rsidRPr="0091758A">
        <w:rPr>
          <w:iCs/>
        </w:rPr>
        <w:t>«Άρθρο 12α</w:t>
      </w:r>
      <w:r w:rsidRPr="001D32CD">
        <w:br/>
        <w:t>Αγορά και κυριότητα ειδικών για την τεχνητή νοημοσύνη υπερυπολογιστών</w:t>
      </w:r>
    </w:p>
    <w:p w:rsidR="006C43DF" w:rsidRPr="001D32CD" w:rsidRDefault="006C43DF" w:rsidP="0091758A">
      <w:pPr>
        <w:pStyle w:val="ManualNumPar1"/>
        <w:spacing w:line="360" w:lineRule="auto"/>
        <w:ind w:left="1418" w:hanging="567"/>
        <w:jc w:val="left"/>
        <w:rPr>
          <w:noProof/>
        </w:rPr>
      </w:pPr>
      <w:r w:rsidRPr="001D32CD">
        <w:t>1.</w:t>
      </w:r>
      <w:r w:rsidRPr="001D32CD">
        <w:tab/>
        <w:t>Η κοινή επιχείρηση αγοράζει ειδικούς για την τεχνητή νοημοσύνη υπερυπολογιστές και έχει την κυριότητά τους.</w:t>
      </w:r>
    </w:p>
    <w:p w:rsidR="006C43DF" w:rsidRPr="001D32CD" w:rsidRDefault="006C43DF" w:rsidP="0091758A">
      <w:pPr>
        <w:pStyle w:val="ManualNumPar1"/>
        <w:spacing w:line="360" w:lineRule="auto"/>
        <w:ind w:left="1418" w:hanging="567"/>
        <w:jc w:val="left"/>
        <w:rPr>
          <w:noProof/>
        </w:rPr>
      </w:pPr>
      <w:r w:rsidRPr="001D32CD">
        <w:t>2.</w:t>
      </w:r>
      <w:r w:rsidRPr="001D32CD">
        <w:tab/>
        <w:t>Η χρηματοδοτική συνεισφορά της Ένωσης που αναφέρεται στο άρθρο 5 παράγραφος 1 καλύπτει έως και το 50 % του κόστους αγοράς και έως το 50 % των λειτουργικών δαπανών των ειδικών για την τεχνητή νοημοσύνη υπερυπολογιστών.</w:t>
      </w:r>
    </w:p>
    <w:p w:rsidR="006C43DF" w:rsidRPr="001D32CD" w:rsidRDefault="006C43DF" w:rsidP="00B03F7B">
      <w:pPr>
        <w:pStyle w:val="Text1"/>
        <w:spacing w:line="360" w:lineRule="auto"/>
        <w:ind w:left="1570"/>
        <w:jc w:val="left"/>
        <w:rPr>
          <w:noProof/>
        </w:rPr>
      </w:pPr>
      <w:r w:rsidRPr="001D32CD">
        <w:t>Το υπόλοιπο του συνολικού κόστους κυριότητας των ειδικών για την τεχνητή νοημοσύνη υπερυπολογιστών καλύπτεται από το συμμετέχον κράτος όπου είναι εγκατεστημένη η οντότητα υποδοχής ή από τα συμμετέχοντα στην κοινοπραξία υποδοχής κράτη και είναι δυνατόν να συμπληρώνεται από τις συνεισφορές που αναφέρονται στο άρθρο 6.</w:t>
      </w:r>
    </w:p>
    <w:p w:rsidR="006C43DF" w:rsidRPr="001D32CD" w:rsidRDefault="006C43DF" w:rsidP="0091758A">
      <w:pPr>
        <w:pStyle w:val="ManualNumPar1"/>
        <w:spacing w:line="360" w:lineRule="auto"/>
        <w:ind w:left="1418" w:hanging="567"/>
        <w:jc w:val="left"/>
        <w:rPr>
          <w:noProof/>
        </w:rPr>
      </w:pPr>
      <w:r w:rsidRPr="001D32CD">
        <w:t>3.</w:t>
      </w:r>
      <w:r w:rsidRPr="001D32CD">
        <w:tab/>
        <w:t>Η επιλογή του προμηθευτή των ειδικών για την τεχνητή νοημοσύνη υπερυπολογιστών βασίζεται στη συγγραφή υποχρεώσεων που είναι προσανατολισμένη στη ζήτηση, λαμβάνει υπόψη τις απαιτήσεις των χρηστών και τις γενικές προδιαγραφές του συστήματος που παρέχονται από την επιλεγείσα οντότητα υποδοχής στην αίτησή της για την πρόσκληση εκδήλωσης ενδιαφέροντος. Η επιλογή έχει επίσης γνώμονα την ασφάλεια της αλυσίδας εφοδιασμού.</w:t>
      </w:r>
    </w:p>
    <w:p w:rsidR="006C43DF" w:rsidRPr="001D32CD" w:rsidRDefault="006C43DF" w:rsidP="0091758A">
      <w:pPr>
        <w:pStyle w:val="ManualNumPar1"/>
        <w:spacing w:line="360" w:lineRule="auto"/>
        <w:ind w:left="1418" w:hanging="567"/>
        <w:jc w:val="left"/>
        <w:rPr>
          <w:noProof/>
        </w:rPr>
      </w:pPr>
      <w:r w:rsidRPr="001D32CD">
        <w:t>4.</w:t>
      </w:r>
      <w:r w:rsidRPr="001D32CD">
        <w:tab/>
        <w:t>Η κοινή επιχείρηση δύναται να ενεργεί ως πρώτος χρήστης ειδικών για την τεχνητή νοημοσύνη υπερυπολογιστών που έχουν ενσωματωμένες τεχνολογίες οι οποίες αναπτύσσονται κατά κύριο λόγο στην Ένωση.</w:t>
      </w:r>
    </w:p>
    <w:p w:rsidR="006C43DF" w:rsidRPr="001D32CD" w:rsidRDefault="006C43DF" w:rsidP="0091758A">
      <w:pPr>
        <w:pStyle w:val="ManualNumPar1"/>
        <w:spacing w:line="360" w:lineRule="auto"/>
        <w:ind w:left="1418" w:hanging="567"/>
        <w:jc w:val="left"/>
        <w:rPr>
          <w:noProof/>
        </w:rPr>
      </w:pPr>
      <w:r w:rsidRPr="001D32CD">
        <w:t>5.</w:t>
      </w:r>
      <w:r w:rsidRPr="001D32CD">
        <w:tab/>
        <w:t>Το διοικητικό συμβούλιο δύναται να αποφασίσει στο πρόγραμμα εργασίας, εάν αυτό αιτιολογείται δεόντως για λόγους ασφαλείας, να θέσει όρους για τη συμμετοχή των προμηθευτών στην αγορά ειδικών για την τεχνητή νοημοσύνη υπερυπολογιστών σύμφωνα με το άρθρο 12 παράγραφος 6 του κανονισμού (ΕΕ) 2021/694 ή να περιορίσει τη συμμετοχή των προμηθευτών για λόγους ασφαλείας ή για δράσεις που σχετίζονται άμεσα με τη στρατηγική αυτονομία της Ένωσης, σύμφωνα με το άρθρο 18 παράγραφος 4 του εν λόγω κανονισμού.</w:t>
      </w:r>
    </w:p>
    <w:p w:rsidR="006C43DF" w:rsidRPr="001D32CD" w:rsidRDefault="006C43DF" w:rsidP="0091758A">
      <w:pPr>
        <w:pStyle w:val="ManualNumPar1"/>
        <w:spacing w:line="360" w:lineRule="auto"/>
        <w:ind w:left="1418" w:hanging="567"/>
        <w:jc w:val="left"/>
        <w:rPr>
          <w:noProof/>
        </w:rPr>
      </w:pPr>
      <w:r w:rsidRPr="001D32CD">
        <w:t>6.</w:t>
      </w:r>
      <w:r w:rsidRPr="001D32CD">
        <w:tab/>
        <w:t xml:space="preserve">Οι ειδικοί για την τεχνητή νοημοσύνη υπερυπολογιστές εγκαθίστανται σε οντότητα υποδοχής υπερυπολογιστή της EuroHPC που βρίσκεται στην Ένωση. </w:t>
      </w:r>
    </w:p>
    <w:p w:rsidR="006C43DF" w:rsidRPr="001D32CD" w:rsidRDefault="006C43DF" w:rsidP="0091758A">
      <w:pPr>
        <w:pStyle w:val="ManualNumPar1"/>
        <w:spacing w:line="360" w:lineRule="auto"/>
        <w:ind w:left="1985" w:hanging="567"/>
        <w:jc w:val="left"/>
        <w:rPr>
          <w:noProof/>
        </w:rPr>
      </w:pPr>
      <w:r w:rsidRPr="001D32CD">
        <w:t>7.</w:t>
      </w:r>
      <w:r w:rsidRPr="001D32CD">
        <w:tab/>
        <w:t xml:space="preserve">Με την επιφύλαξη της διάλυσης της κοινής επιχείρησης, όπως αναφέρεται στο άρθρο 23 παράγραφος 4 του καταστατικού, το νωρίτερο </w:t>
      </w:r>
      <w:r w:rsidRPr="001D32CD">
        <w:rPr>
          <w:b/>
          <w:bCs/>
          <w:i/>
          <w:iCs/>
        </w:rPr>
        <w:t>πέντε</w:t>
      </w:r>
      <w:r w:rsidRPr="001D32CD">
        <w:t xml:space="preserve"> έτη μετά τη διενέργεια επιτυχούς δοκιμής αποδοχής του ειδικού για την τεχνητή νοημοσύνη υπερυπολογιστή που είναι εγκατεστημένος σε οντότητα υποδοχής, η κυριότητα του ειδικού για την τεχνητή νοημοσύνη υπερυπολογιστή μπορεί να μεταβιβαστεί στην εν λόγω οντότητα υποδοχής, να πωληθεί σε άλλη οντότητα ή να παροπλιστεί κατόπιν απόφασης του διοικητικού συμβουλίου και με βάση τη συμφωνία υποδοχής. Σε περίπτωση μεταβίβασης της κυριότητας ενός ειδικού για την τεχνητή νοημοσύνη υπερυπολογιστή, η οντότητα υποδοχής επιστρέφει στην κοινή επιχείρηση την υπολειμματική αξία του υπερυπολογιστή που μεταβιβάζεται. Εφόσον δεν υπάρχει μεταβίβαση κυριότητας στην οντότητα υποδοχής αλλά απόφαση για παροπλισμό, οι σχετικές δαπάνες βαρύνουν εξ ημισείας την κοινή επιχείρηση και την οντότητα υποδοχής. Η κοινή επιχείρηση δεν ευθύνεται για τις δαπάνες που προκύπτουν μετά τη μεταβίβαση της κυριότητας του ειδικού για την τεχνητή νοημοσύνη υπερυπολογιστή ή μετά την πώληση ή τον παροπλισμό του.»·</w:t>
      </w:r>
    </w:p>
    <w:p w:rsidR="006C43DF" w:rsidRPr="001D32CD" w:rsidRDefault="006C43DF" w:rsidP="00B03F7B">
      <w:pPr>
        <w:pStyle w:val="Point0"/>
        <w:spacing w:line="360" w:lineRule="auto"/>
        <w:jc w:val="left"/>
        <w:rPr>
          <w:noProof/>
        </w:rPr>
      </w:pPr>
      <w:r w:rsidRPr="001D32CD">
        <w:t>8)</w:t>
      </w:r>
      <w:r w:rsidRPr="001D32CD">
        <w:tab/>
        <w:t>Το άρθρο 15 τροποποιείται ως εξής:</w:t>
      </w:r>
    </w:p>
    <w:p w:rsidR="006C43DF" w:rsidRPr="001D32CD" w:rsidRDefault="006C43DF" w:rsidP="0091758A">
      <w:pPr>
        <w:pStyle w:val="Point0"/>
        <w:spacing w:line="360" w:lineRule="auto"/>
        <w:ind w:left="1418" w:hanging="568"/>
        <w:jc w:val="left"/>
        <w:rPr>
          <w:noProof/>
        </w:rPr>
      </w:pPr>
      <w:r w:rsidRPr="001D32CD">
        <w:t>α)</w:t>
      </w:r>
      <w:r w:rsidRPr="001D32CD">
        <w:tab/>
        <w:t>η παράγραφος 1 αντικαθίσταται από το ακόλουθο κείμενο:</w:t>
      </w:r>
    </w:p>
    <w:p w:rsidR="006C43DF" w:rsidRPr="001D32CD" w:rsidRDefault="006C43DF" w:rsidP="0091758A">
      <w:pPr>
        <w:pStyle w:val="Text1"/>
        <w:spacing w:line="360" w:lineRule="auto"/>
        <w:ind w:left="1985" w:hanging="590"/>
        <w:jc w:val="left"/>
        <w:rPr>
          <w:noProof/>
        </w:rPr>
      </w:pPr>
      <w:r w:rsidRPr="001D32CD">
        <w:t xml:space="preserve">«1. </w:t>
      </w:r>
      <w:r w:rsidRPr="001D32CD">
        <w:tab/>
        <w:t xml:space="preserve">Η κοινή επιχείρηση μπορεί να προκηρύξει πρόσκληση εκδήλωσης ενδιαφέροντος για την αναβάθμιση των υπερυπολογιστών της EuroHPC των οποίων έχει την κυριότητα ή τη συγκυριότητα, </w:t>
      </w:r>
      <w:r w:rsidRPr="0091758A">
        <w:rPr>
          <w:b/>
          <w:i/>
          <w:iCs/>
        </w:rPr>
        <w:t>με σκοπό την αύξηση του επιπέδου επιδόσεων του υπερυπολογιστή κοντά σε επιδόσεις εξακλίμακας ή την αύξηση των ικανοτήτων τεχνητής νοημοσύνης του υπερυπολογιστή, ή την αύξηση των λειτουργικών επιδόσεων του υπερυπολογιστή με οποιονδήποτε άλλο τρόπο, συμπεριλαμβανομένων των κβαντικών επιταχυντών</w:t>
      </w:r>
      <w:r w:rsidRPr="001D32CD">
        <w:t>.»· η παράγραφος 2 απαλείφεται·</w:t>
      </w:r>
    </w:p>
    <w:p w:rsidR="006C43DF" w:rsidRPr="001D32CD" w:rsidRDefault="006C43DF" w:rsidP="0091758A">
      <w:pPr>
        <w:pStyle w:val="Point0"/>
        <w:spacing w:line="360" w:lineRule="auto"/>
        <w:ind w:left="1418" w:hanging="568"/>
        <w:jc w:val="left"/>
        <w:rPr>
          <w:noProof/>
        </w:rPr>
      </w:pPr>
      <w:r w:rsidRPr="001D32CD">
        <w:t>β)</w:t>
      </w:r>
      <w:r w:rsidRPr="001D32CD">
        <w:tab/>
        <w:t>η παράγραφος 5 αντικαθίσταται από το ακόλουθο κείμενο:</w:t>
      </w:r>
    </w:p>
    <w:p w:rsidR="006C43DF" w:rsidRPr="001D32CD" w:rsidRDefault="006C43DF" w:rsidP="0091758A">
      <w:pPr>
        <w:pStyle w:val="Text1"/>
        <w:spacing w:line="360" w:lineRule="auto"/>
        <w:ind w:left="1985" w:hanging="590"/>
        <w:jc w:val="left"/>
        <w:rPr>
          <w:noProof/>
        </w:rPr>
      </w:pPr>
      <w:r w:rsidRPr="001D32CD">
        <w:t>«5.</w:t>
      </w:r>
      <w:r w:rsidRPr="001D32CD">
        <w:tab/>
        <w:t>Το ποσοστό της χρηματοδοτικής συνεισφοράς της Ένωσης για το κόστος αγοράς της αναβάθμισης είναι το ίδιο με το ποσοστό της χρηματοδοτικής συνεισφοράς της Ένωσης για τον αρχικό υπερυπολογιστή της EuroHPC, το οποίο αποσβένεται κατά την αναμενόμενη εναπομένουσα διάρκεια ζωής του αρχικού υπερυπολογιστή. Το ποσοστό της χρηματοδοτικής συνεισφοράς της Ένωσης για τις πρόσθετες λειτουργικές δαπάνες της αναβάθμισης είναι το ίδιο με το ποσοστό της χρηματοδοτικής συνεισφοράς της Ένωσης για τον αρχικό υπερυπολογιστή της EuroHPC.»</w:t>
      </w:r>
      <w:r w:rsidR="00B03F7B">
        <w:t>.</w:t>
      </w:r>
    </w:p>
    <w:p w:rsidR="006C43DF" w:rsidRPr="001D32CD" w:rsidRDefault="006C43DF" w:rsidP="00B03F7B">
      <w:pPr>
        <w:pStyle w:val="Point0"/>
        <w:spacing w:line="360" w:lineRule="auto"/>
        <w:jc w:val="left"/>
        <w:rPr>
          <w:noProof/>
        </w:rPr>
      </w:pPr>
      <w:r w:rsidRPr="001D32CD">
        <w:t>9)</w:t>
      </w:r>
      <w:r w:rsidRPr="001D32CD">
        <w:tab/>
      </w:r>
      <w:r w:rsidR="00B03F7B">
        <w:t>Τ</w:t>
      </w:r>
      <w:r w:rsidRPr="001D32CD">
        <w:t>ο άρθρο 16 τροποποιείται ως εξής:</w:t>
      </w:r>
    </w:p>
    <w:p w:rsidR="006C43DF" w:rsidRPr="001D32CD" w:rsidRDefault="006C43DF" w:rsidP="0091758A">
      <w:pPr>
        <w:pStyle w:val="Point0"/>
        <w:spacing w:line="360" w:lineRule="auto"/>
        <w:ind w:left="1418" w:hanging="568"/>
        <w:jc w:val="left"/>
        <w:rPr>
          <w:noProof/>
        </w:rPr>
      </w:pPr>
      <w:r w:rsidRPr="001D32CD">
        <w:t>α)</w:t>
      </w:r>
      <w:r w:rsidRPr="001D32CD">
        <w:tab/>
        <w:t>προστίθεται η ακόλουθη παράγραφος 1β:</w:t>
      </w:r>
    </w:p>
    <w:p w:rsidR="006C43DF" w:rsidRPr="001D32CD" w:rsidRDefault="006C43DF" w:rsidP="0091758A">
      <w:pPr>
        <w:pStyle w:val="Text1"/>
        <w:spacing w:line="360" w:lineRule="auto"/>
        <w:ind w:left="1985" w:hanging="590"/>
        <w:jc w:val="left"/>
        <w:rPr>
          <w:i/>
          <w:iCs/>
          <w:noProof/>
        </w:rPr>
      </w:pPr>
      <w:r w:rsidRPr="001D32CD">
        <w:t xml:space="preserve">«1β. </w:t>
      </w:r>
      <w:r w:rsidRPr="001D32CD">
        <w:tab/>
        <w:t>Οι ειδικοί για την τεχνητή νοημοσύνη υπερυπολογιστές και οι υπερυπολογιστές της EuroHPC που αναβαθμίζονται για ικανότητες τεχνητής νοημοσύνης χρησιμοποιούνται πρωτίστως για την ανάπτυξη, τη δοκιμή, την αξιολόγηση και την επικύρωση εκπαιδευτικών μοντέλων στον τομέα της τεχνητής νοημοσύνης μεγάλης κλίμακας γενικού σκοπού και αναδυόμενων εφαρμογών τεχνητής νοημοσύνης, καθώς και για την περαιτέρω ανάπτυξη λύσεων τεχνητής νοημοσύνης στην Ένωση που απαιτούν υπολογιστική υψηλών επιδόσεων και την εκτέλεση αλγορίθμων τεχνητής νοημοσύνης μεγάλης κλίμακας για την επίλυση επιστημονικών προβλημάτων.»·</w:t>
      </w:r>
    </w:p>
    <w:p w:rsidR="006C43DF" w:rsidRPr="001D32CD" w:rsidRDefault="006C43DF" w:rsidP="0091758A">
      <w:pPr>
        <w:pStyle w:val="Point0"/>
        <w:spacing w:line="360" w:lineRule="auto"/>
        <w:ind w:left="1418" w:hanging="568"/>
        <w:jc w:val="left"/>
        <w:rPr>
          <w:noProof/>
        </w:rPr>
      </w:pPr>
      <w:r w:rsidRPr="001D32CD">
        <w:t>β)</w:t>
      </w:r>
      <w:r w:rsidRPr="001D32CD">
        <w:tab/>
        <w:t>προστίθεται η ακόλουθη παράγραφος 2β:</w:t>
      </w:r>
    </w:p>
    <w:p w:rsidR="006C43DF" w:rsidRPr="001D32CD" w:rsidRDefault="006C43DF" w:rsidP="0091758A">
      <w:pPr>
        <w:pStyle w:val="Text1"/>
        <w:spacing w:line="360" w:lineRule="auto"/>
        <w:ind w:left="1985" w:hanging="590"/>
        <w:jc w:val="left"/>
        <w:rPr>
          <w:noProof/>
        </w:rPr>
      </w:pPr>
      <w:r w:rsidRPr="001D32CD">
        <w:t xml:space="preserve">«2β. </w:t>
      </w:r>
      <w:r w:rsidRPr="001D32CD">
        <w:tab/>
        <w:t xml:space="preserve">Το διοικητικό συμβούλιο καθορίζει ▌όρους πρόσβασης για τους ειδικούς για την τεχνητή νοημοσύνη υπερυπολογιστές και τους υπερυπολογιστές της EuroHPC που αναβαθμίζονται για ικανότητες τεχνητής νοημοσύνης σύμφωνα με το άρθρο 17, λαμβάνοντας υπόψη τις ειδικές ανάγκες του οικοσυστήματος νεοφυών επιχειρήσεων και έρευνας στον τομέα της τεχνητής νοημοσύνης. </w:t>
      </w:r>
      <w:r w:rsidRPr="001D32CD">
        <w:rPr>
          <w:b/>
          <w:bCs/>
          <w:i/>
          <w:iCs/>
        </w:rPr>
        <w:t>Το διοικητικό συμβούλιο μπορεί να καθορίζει ειδικούς όρους πρόσβασης για διαφορετικούς τύπους χρηστών ή εφαρμογών, μεταξύ άλλων ειδική πρόσβαση για νεοφυείς επιχειρήσεις, αναπτυσσόμενες νέες επιχειρήσεις και ΜΜΕ.</w:t>
      </w:r>
      <w:r w:rsidRPr="001D32CD">
        <w:rPr>
          <w:b/>
          <w:i/>
        </w:rPr>
        <w:t xml:space="preserve"> </w:t>
      </w:r>
      <w:r w:rsidRPr="001D32CD">
        <w:rPr>
          <w:b/>
          <w:bCs/>
          <w:i/>
          <w:iCs/>
        </w:rPr>
        <w:t>Η ασφάλεια και η ποιότητα των υπηρεσιών είναι ίδιες για όλους τους χρήστες κάθε κατηγορίας χρηστών.</w:t>
      </w:r>
      <w:r w:rsidRPr="001D32CD">
        <w:t xml:space="preserve"> Μόνο προτάσεις για την ανάπτυξη αξιόπιστων και δεοντολογικών μοντέλων, συστημάτων και εφαρμογών τεχνητής νοημοσύνης που συνάδουν με </w:t>
      </w:r>
      <w:r w:rsidRPr="001D32CD">
        <w:rPr>
          <w:b/>
          <w:bCs/>
          <w:i/>
          <w:iCs/>
        </w:rPr>
        <w:t>τους κανόνες και</w:t>
      </w:r>
      <w:r w:rsidRPr="001D32CD">
        <w:t xml:space="preserve"> τις αξίες της </w:t>
      </w:r>
      <w:r w:rsidRPr="001D32CD">
        <w:rPr>
          <w:b/>
          <w:bCs/>
          <w:i/>
          <w:iCs/>
        </w:rPr>
        <w:t>Ένωσης,</w:t>
      </w:r>
      <w:r w:rsidRPr="001D32CD">
        <w:t xml:space="preserve"> </w:t>
      </w:r>
      <w:r w:rsidRPr="001D32CD">
        <w:rPr>
          <w:b/>
          <w:bCs/>
          <w:i/>
          <w:iCs/>
        </w:rPr>
        <w:t>ιδίως εκείνες που κατοχυρώνονται στο άρθρο 2 της Συνθήκης για την Ευρωπαϊκή Ένωση και στον Χάρτη των Θεμελιωδών Δικαιωμάτων της Ευρωπαϊκής Ένωσης,</w:t>
      </w:r>
      <w:r w:rsidRPr="001D32CD">
        <w:t xml:space="preserve"> είναι επιλέξιμες για πρόσβαση. </w:t>
      </w:r>
      <w:r w:rsidRPr="001D32CD">
        <w:rPr>
          <w:b/>
          <w:bCs/>
          <w:i/>
          <w:iCs/>
        </w:rPr>
        <w:t>Τα κριτήρια πρόσβασης, οι μεθοδολογίες και η καθοδήγηση σχετικά με την ιεράρχηση της πρόσβασης θα καθοριστούν σύμφωνα με την προσέγγιση της δεοντολογίας εκ σχεδιασμού για την τεχνητή νοημοσύνη και με την υποστήριξη του μηχανισμού αξιολόγησης της δεοντολογίας του προγράμματος «Ορίζων Ευρώπη</w:t>
      </w:r>
      <w:r w:rsidRPr="001D32CD">
        <w:t>.»</w:t>
      </w:r>
      <w:r w:rsidR="00B03F7B">
        <w:t>.</w:t>
      </w:r>
    </w:p>
    <w:p w:rsidR="006C43DF" w:rsidRPr="001D32CD" w:rsidRDefault="006C43DF" w:rsidP="00B03F7B">
      <w:pPr>
        <w:pStyle w:val="Point0"/>
        <w:spacing w:line="360" w:lineRule="auto"/>
        <w:jc w:val="left"/>
        <w:rPr>
          <w:noProof/>
        </w:rPr>
      </w:pPr>
      <w:r w:rsidRPr="001D32CD">
        <w:t>10)</w:t>
      </w:r>
      <w:r w:rsidRPr="001D32CD">
        <w:tab/>
      </w:r>
      <w:r w:rsidR="00B03F7B">
        <w:t>Σ</w:t>
      </w:r>
      <w:r w:rsidRPr="001D32CD">
        <w:t>το άρθρο 17, η παράγραφος 1 αντικαθίσταται από το ακόλουθο κείμενο:</w:t>
      </w:r>
    </w:p>
    <w:p w:rsidR="006C43DF" w:rsidRPr="001D32CD" w:rsidRDefault="006C43DF" w:rsidP="0091758A">
      <w:pPr>
        <w:pStyle w:val="Text1"/>
        <w:spacing w:line="360" w:lineRule="auto"/>
        <w:ind w:left="1418" w:hanging="567"/>
        <w:jc w:val="left"/>
        <w:rPr>
          <w:noProof/>
        </w:rPr>
      </w:pPr>
      <w:r w:rsidRPr="001D32CD">
        <w:t xml:space="preserve">«1. </w:t>
      </w:r>
      <w:r w:rsidRPr="001D32CD">
        <w:tab/>
        <w:t>Το μερίδιο του χρόνου πρόσβασης της Ένωσης σε κάθε κβαντικό υπερυπολογιστή υψηλών προδιαγραφών και ειδικό για την τεχνητή νοημοσύνη υπερυπολογιστή είναι ευθέως ανάλογο με τη χρηματοδοτική συνεισφορά της Ένωσης στο συνολικό κόστος κυριότητας του υπερυπολογιστή της EuroHPC, όπως αναφέρεται στο άρθρο 5 παράγραφος 1, και ως εκ τούτου δεν υπερβαίνει το 50 % του συνολικού χρόνου πρόσβασης στον υπερυπολογιστή της EuroHPC.».</w:t>
      </w:r>
    </w:p>
    <w:p w:rsidR="006C43DF" w:rsidRPr="0091758A" w:rsidRDefault="006C43DF" w:rsidP="00E515A1">
      <w:pPr>
        <w:pStyle w:val="Titrearticle"/>
        <w:spacing w:line="360" w:lineRule="auto"/>
        <w:rPr>
          <w:i w:val="0"/>
          <w:noProof/>
        </w:rPr>
      </w:pPr>
      <w:r w:rsidRPr="0091758A">
        <w:rPr>
          <w:i w:val="0"/>
        </w:rPr>
        <w:t>Άρθρο 2</w:t>
      </w:r>
    </w:p>
    <w:p w:rsidR="006C43DF" w:rsidRPr="001D32CD" w:rsidRDefault="006C43DF" w:rsidP="00E515A1">
      <w:pPr>
        <w:spacing w:line="360" w:lineRule="auto"/>
        <w:rPr>
          <w:noProof/>
        </w:rPr>
      </w:pPr>
      <w:r w:rsidRPr="001D32CD">
        <w:t>Ο παρών κανονισμός αρχίζει να ισχύει την εικοστή ημέρα από τη δημοσίευσή του στην Επίσημη Εφημερίδα της Ευρωπαϊκής Ένωσης.</w:t>
      </w:r>
    </w:p>
    <w:p w:rsidR="006C43DF" w:rsidRPr="001D32CD" w:rsidRDefault="006C43DF" w:rsidP="00B03F7B">
      <w:pPr>
        <w:pStyle w:val="Applicationdirecte"/>
        <w:spacing w:line="360" w:lineRule="auto"/>
        <w:jc w:val="left"/>
        <w:rPr>
          <w:noProof/>
        </w:rPr>
      </w:pPr>
      <w:r w:rsidRPr="001D32CD">
        <w:t>Ο παρών κανονισμός είναι δεσμευτικός ως προς όλα τα μέρη του και ισχύει άμεσα σε κάθε κράτος μέλος.</w:t>
      </w:r>
    </w:p>
    <w:p w:rsidR="006C43DF" w:rsidRPr="001D32CD" w:rsidRDefault="006C43DF" w:rsidP="00B03F7B">
      <w:pPr>
        <w:pStyle w:val="Fait"/>
        <w:spacing w:line="360" w:lineRule="auto"/>
        <w:jc w:val="left"/>
        <w:rPr>
          <w:noProof/>
        </w:rPr>
      </w:pPr>
      <w:r w:rsidRPr="001D32CD">
        <w:t xml:space="preserve"> …,</w:t>
      </w:r>
    </w:p>
    <w:p w:rsidR="006C43DF" w:rsidRPr="001D32CD" w:rsidRDefault="00E515A1" w:rsidP="00B03F7B">
      <w:pPr>
        <w:pStyle w:val="Institutionquisigne"/>
        <w:jc w:val="left"/>
        <w:rPr>
          <w:noProof/>
        </w:rPr>
      </w:pPr>
      <w:r w:rsidRPr="00D00F6F">
        <w:t>Για το Ευρωπαϊκό Κοινοβούλιο</w:t>
      </w:r>
      <w:r w:rsidRPr="00D00F6F">
        <w:tab/>
      </w:r>
      <w:r w:rsidR="006C43DF" w:rsidRPr="001D32CD">
        <w:tab/>
        <w:t>Για το Συμβούλιο</w:t>
      </w:r>
    </w:p>
    <w:p w:rsidR="006C43DF" w:rsidRPr="001D32CD" w:rsidRDefault="00E515A1" w:rsidP="00B03F7B">
      <w:pPr>
        <w:pStyle w:val="Personnequisigne"/>
      </w:pPr>
      <w:r w:rsidRPr="00D00F6F">
        <w:t>Η Πρόεδρος</w:t>
      </w:r>
      <w:r w:rsidRPr="00D00F6F">
        <w:tab/>
      </w:r>
      <w:r w:rsidR="006C43DF" w:rsidRPr="001D32CD">
        <w:tab/>
        <w:t>Ο</w:t>
      </w:r>
      <w:r w:rsidR="00B03F7B">
        <w:t>/Η</w:t>
      </w:r>
      <w:r w:rsidR="006C43DF" w:rsidRPr="001D32CD">
        <w:t xml:space="preserve"> Πρόεδρος</w:t>
      </w:r>
    </w:p>
    <w:p w:rsidR="00E365E1" w:rsidRPr="001D32CD" w:rsidRDefault="00E365E1" w:rsidP="00176B82">
      <w:bookmarkStart w:id="9" w:name="TextBodyEnd"/>
      <w:bookmarkEnd w:id="9"/>
    </w:p>
    <w:sectPr w:rsidR="00E365E1" w:rsidRPr="001D32CD" w:rsidSect="001D32C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B82" w:rsidRPr="001D32CD" w:rsidRDefault="00176B82">
      <w:r w:rsidRPr="001D32CD">
        <w:separator/>
      </w:r>
    </w:p>
  </w:endnote>
  <w:endnote w:type="continuationSeparator" w:id="0">
    <w:p w:rsidR="00176B82" w:rsidRPr="001D32CD" w:rsidRDefault="00176B82">
      <w:r w:rsidRPr="001D32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2C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2C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2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B82" w:rsidRPr="001D32CD" w:rsidRDefault="00176B82">
      <w:r w:rsidRPr="001D32CD">
        <w:separator/>
      </w:r>
    </w:p>
  </w:footnote>
  <w:footnote w:type="continuationSeparator" w:id="0">
    <w:p w:rsidR="00176B82" w:rsidRPr="001D32CD" w:rsidRDefault="00176B82">
      <w:r w:rsidRPr="001D32CD">
        <w:continuationSeparator/>
      </w:r>
    </w:p>
  </w:footnote>
  <w:footnote w:id="1">
    <w:p w:rsidR="006C43DF" w:rsidRPr="001D32CD" w:rsidRDefault="006C43DF" w:rsidP="001D32CD">
      <w:pPr>
        <w:pStyle w:val="FootnoteText"/>
        <w:ind w:left="567" w:hanging="567"/>
        <w:rPr>
          <w:sz w:val="24"/>
          <w:lang w:val="el-GR"/>
        </w:rPr>
      </w:pPr>
      <w:r w:rsidRPr="001D32CD">
        <w:rPr>
          <w:rStyle w:val="FootnoteReference"/>
          <w:sz w:val="24"/>
          <w:lang w:val="el-GR"/>
        </w:rPr>
        <w:t>*</w:t>
      </w:r>
      <w:r w:rsidR="001D32CD" w:rsidRPr="001D32CD">
        <w:rPr>
          <w:sz w:val="24"/>
          <w:lang w:val="el-GR"/>
        </w:rPr>
        <w:t xml:space="preserve"> </w:t>
      </w:r>
      <w:r w:rsidR="001D32CD" w:rsidRPr="001D32CD">
        <w:rPr>
          <w:sz w:val="24"/>
          <w:lang w:val="el-GR"/>
        </w:rPr>
        <w:tab/>
      </w:r>
      <w:r w:rsidRPr="001D32CD">
        <w:rPr>
          <w:sz w:val="24"/>
          <w:lang w:val="el-GR"/>
        </w:rPr>
        <w:t>Τροπολογίες: το νέο ή το τροποποιημένο κείμενο σημειώνεται με έντονους πλάγιους χαρακτήρες· οι διαγραφές σημειώνονται με το σύμβολο ▌.</w:t>
      </w:r>
    </w:p>
  </w:footnote>
  <w:footnote w:id="2">
    <w:p w:rsidR="006C43DF" w:rsidRPr="001D32CD" w:rsidRDefault="006C43DF" w:rsidP="001D32CD">
      <w:pPr>
        <w:pStyle w:val="FootnoteText"/>
        <w:ind w:left="567" w:hanging="567"/>
        <w:rPr>
          <w:sz w:val="24"/>
          <w:lang w:val="el-GR"/>
        </w:rPr>
      </w:pPr>
      <w:r w:rsidRPr="001D32CD">
        <w:rPr>
          <w:rStyle w:val="FootnoteReference"/>
          <w:sz w:val="24"/>
          <w:lang w:val="el-GR"/>
        </w:rPr>
        <w:footnoteRef/>
      </w:r>
      <w:r w:rsidR="001D32CD" w:rsidRPr="001D32CD">
        <w:rPr>
          <w:sz w:val="24"/>
          <w:lang w:val="el-GR"/>
        </w:rPr>
        <w:t xml:space="preserve"> </w:t>
      </w:r>
      <w:r w:rsidR="001D32CD" w:rsidRPr="001D32CD">
        <w:rPr>
          <w:sz w:val="24"/>
          <w:lang w:val="el-GR"/>
        </w:rPr>
        <w:tab/>
      </w:r>
      <w:r w:rsidRPr="001D32CD">
        <w:rPr>
          <w:sz w:val="24"/>
          <w:lang w:val="el-GR"/>
        </w:rPr>
        <w:t>ΕΕ C της , σ. .</w:t>
      </w:r>
    </w:p>
  </w:footnote>
  <w:footnote w:id="3">
    <w:p w:rsidR="006C43DF" w:rsidRPr="001D32CD" w:rsidRDefault="006C43DF" w:rsidP="001D32CD">
      <w:pPr>
        <w:pStyle w:val="FootnoteText"/>
        <w:ind w:left="567" w:hanging="567"/>
        <w:rPr>
          <w:sz w:val="24"/>
          <w:lang w:val="el-GR"/>
        </w:rPr>
      </w:pPr>
      <w:r w:rsidRPr="001D32CD">
        <w:rPr>
          <w:rStyle w:val="FootnoteReference"/>
          <w:sz w:val="24"/>
          <w:lang w:val="el-GR"/>
        </w:rPr>
        <w:footnoteRef/>
      </w:r>
      <w:r w:rsidR="001D32CD" w:rsidRPr="001D32CD">
        <w:rPr>
          <w:sz w:val="24"/>
          <w:lang w:val="el-GR"/>
        </w:rPr>
        <w:t xml:space="preserve"> </w:t>
      </w:r>
      <w:r w:rsidR="001D32CD" w:rsidRPr="001D32CD">
        <w:rPr>
          <w:sz w:val="24"/>
          <w:lang w:val="el-GR"/>
        </w:rPr>
        <w:tab/>
      </w:r>
      <w:r w:rsidRPr="001D32CD">
        <w:rPr>
          <w:sz w:val="24"/>
          <w:lang w:val="el-GR"/>
        </w:rPr>
        <w:t>Γνώμη της..., ΕΕ C της σ. .</w:t>
      </w:r>
    </w:p>
  </w:footnote>
  <w:footnote w:id="4">
    <w:p w:rsidR="006C43DF" w:rsidRPr="001D32CD" w:rsidRDefault="006C43DF" w:rsidP="001D32CD">
      <w:pPr>
        <w:pStyle w:val="FootnoteText"/>
        <w:ind w:left="567" w:hanging="567"/>
        <w:rPr>
          <w:sz w:val="24"/>
          <w:lang w:val="el-GR"/>
        </w:rPr>
      </w:pPr>
      <w:r w:rsidRPr="001D32CD">
        <w:rPr>
          <w:rStyle w:val="FootnoteReference"/>
          <w:sz w:val="24"/>
          <w:lang w:val="el-GR"/>
        </w:rPr>
        <w:footnoteRef/>
      </w:r>
      <w:r w:rsidR="001D32CD" w:rsidRPr="001D32CD">
        <w:rPr>
          <w:rStyle w:val="normaltextrun"/>
          <w:sz w:val="24"/>
          <w:lang w:val="el-GR"/>
        </w:rPr>
        <w:t xml:space="preserve"> </w:t>
      </w:r>
      <w:r w:rsidR="001D32CD" w:rsidRPr="001D32CD">
        <w:rPr>
          <w:rStyle w:val="normaltextrun"/>
          <w:sz w:val="24"/>
          <w:lang w:val="el-GR"/>
        </w:rPr>
        <w:tab/>
      </w:r>
      <w:r w:rsidRPr="001D32CD">
        <w:rPr>
          <w:rStyle w:val="normaltextrun"/>
          <w:sz w:val="24"/>
          <w:lang w:val="el-GR"/>
        </w:rPr>
        <w:t>Κανονισμός (ΕΕ) 2024/... του Ευρωπαϊκού Κοινοβουλίου και του Συμβουλίου για τη θέσπιση εναρμονισμένων κανόνων σχετικά με την τεχνητή νοημοσύνη (</w:t>
      </w:r>
      <w:r w:rsidR="00A03165">
        <w:rPr>
          <w:rStyle w:val="normaltextrun"/>
          <w:sz w:val="24"/>
          <w:lang w:val="el-GR"/>
        </w:rPr>
        <w:t>κανονισμός</w:t>
      </w:r>
      <w:r w:rsidRPr="001D32CD">
        <w:rPr>
          <w:rStyle w:val="normaltextrun"/>
          <w:sz w:val="24"/>
          <w:lang w:val="el-GR"/>
        </w:rPr>
        <w:t xml:space="preserve"> για την τεχνητή νοημοσύνη) και για την τροποποίηση ορισμένων νομοθετικών πράξεων της Ένωσης(ΕΕ L ...).</w:t>
      </w:r>
    </w:p>
  </w:footnote>
  <w:footnote w:id="5">
    <w:p w:rsidR="006C43DF" w:rsidRPr="001D32CD" w:rsidRDefault="006C43DF" w:rsidP="001D32CD">
      <w:pPr>
        <w:pStyle w:val="FootnoteText"/>
        <w:ind w:left="567" w:hanging="567"/>
        <w:rPr>
          <w:sz w:val="24"/>
          <w:lang w:val="el-GR"/>
        </w:rPr>
      </w:pPr>
      <w:r w:rsidRPr="001D32CD">
        <w:rPr>
          <w:rStyle w:val="FootnoteReference"/>
          <w:sz w:val="24"/>
          <w:lang w:val="el-GR"/>
        </w:rPr>
        <w:footnoteRef/>
      </w:r>
      <w:r w:rsidR="001D32CD" w:rsidRPr="001D32CD">
        <w:rPr>
          <w:sz w:val="24"/>
          <w:lang w:val="el-GR"/>
        </w:rPr>
        <w:t xml:space="preserve"> </w:t>
      </w:r>
      <w:r w:rsidR="001D32CD" w:rsidRPr="001D32CD">
        <w:rPr>
          <w:sz w:val="24"/>
          <w:lang w:val="el-GR"/>
        </w:rPr>
        <w:tab/>
      </w:r>
      <w:r w:rsidRPr="001D32CD">
        <w:rPr>
          <w:sz w:val="24"/>
          <w:lang w:val="el-GR"/>
        </w:rPr>
        <w:t xml:space="preserve">Κανονισμός (ΕΕ) 2021/1173 του Συμβουλίου, της 13ης Ιουλίου 2021, σχετικά με τη σύσταση της κοινής επιχείρησης για την ευρωπαϊκή υπολογιστική υψηλών επιδόσεων και σχετικά με την κατάργηση του κανονισμού (ΕΕ) 2018/1488 (ΕΕ L 256 της 19.7.2021, σ. 3, ELI: </w:t>
      </w:r>
      <w:hyperlink r:id="rId1" w:history="1">
        <w:r w:rsidR="00B03F7B" w:rsidRPr="00885E69">
          <w:rPr>
            <w:rStyle w:val="Hyperlink"/>
            <w:sz w:val="24"/>
            <w:lang w:val="el-GR"/>
          </w:rPr>
          <w:t>http://data.europa.eu/eli/reg/2021/1173/oj</w:t>
        </w:r>
      </w:hyperlink>
      <w:r w:rsidRPr="001D32CD">
        <w:rPr>
          <w:sz w:val="24"/>
          <w:lang w:val="el-GR"/>
        </w:rPr>
        <w:t>).</w:t>
      </w:r>
    </w:p>
  </w:footnote>
  <w:footnote w:id="6">
    <w:p w:rsidR="006C43DF" w:rsidRPr="001D32CD" w:rsidRDefault="006C43DF" w:rsidP="001D32CD">
      <w:pPr>
        <w:pStyle w:val="FootnoteText"/>
        <w:ind w:left="567" w:hanging="567"/>
        <w:rPr>
          <w:sz w:val="24"/>
          <w:lang w:val="el-GR"/>
        </w:rPr>
      </w:pPr>
      <w:r w:rsidRPr="001D32CD">
        <w:rPr>
          <w:rStyle w:val="FootnoteReference"/>
          <w:sz w:val="24"/>
          <w:lang w:val="el-GR"/>
        </w:rPr>
        <w:footnoteRef/>
      </w:r>
      <w:r w:rsidR="001D32CD" w:rsidRPr="001D32CD">
        <w:rPr>
          <w:b/>
          <w:bCs/>
          <w:i/>
          <w:iCs/>
          <w:sz w:val="24"/>
          <w:lang w:val="el-GR"/>
        </w:rPr>
        <w:t xml:space="preserve"> </w:t>
      </w:r>
      <w:r w:rsidR="001D32CD" w:rsidRPr="001D32CD">
        <w:rPr>
          <w:b/>
          <w:bCs/>
          <w:i/>
          <w:iCs/>
          <w:sz w:val="24"/>
          <w:lang w:val="el-GR"/>
        </w:rPr>
        <w:tab/>
      </w:r>
      <w:r w:rsidRPr="001D32CD">
        <w:rPr>
          <w:b/>
          <w:bCs/>
          <w:i/>
          <w:iCs/>
          <w:sz w:val="24"/>
          <w:lang w:val="el-GR"/>
        </w:rPr>
        <w:t>Κείμενα που εγκρίθηκαν, P9_TA(2023)0480.</w:t>
      </w:r>
    </w:p>
  </w:footnote>
  <w:footnote w:id="7">
    <w:p w:rsidR="006C43DF" w:rsidRPr="001D32CD" w:rsidRDefault="006C43DF" w:rsidP="001D32CD">
      <w:pPr>
        <w:pStyle w:val="FootnoteText"/>
        <w:ind w:left="567" w:hanging="567"/>
        <w:rPr>
          <w:b/>
          <w:i/>
          <w:sz w:val="24"/>
          <w:lang w:val="el-GR"/>
        </w:rPr>
      </w:pPr>
      <w:r w:rsidRPr="001D32CD">
        <w:rPr>
          <w:rStyle w:val="FootnoteReference"/>
          <w:b/>
          <w:i/>
          <w:sz w:val="24"/>
          <w:lang w:val="el-GR"/>
        </w:rPr>
        <w:footnoteRef/>
      </w:r>
      <w:r w:rsidR="001D32CD" w:rsidRPr="001D32CD">
        <w:rPr>
          <w:b/>
          <w:bCs/>
          <w:i/>
          <w:iCs/>
          <w:sz w:val="24"/>
          <w:lang w:val="el-GR"/>
        </w:rPr>
        <w:t xml:space="preserve"> </w:t>
      </w:r>
      <w:r w:rsidR="001D32CD" w:rsidRPr="001D32CD">
        <w:rPr>
          <w:b/>
          <w:bCs/>
          <w:i/>
          <w:iCs/>
          <w:sz w:val="24"/>
          <w:lang w:val="el-GR"/>
        </w:rPr>
        <w:tab/>
      </w:r>
      <w:r w:rsidRPr="001D32CD">
        <w:rPr>
          <w:b/>
          <w:bCs/>
          <w:i/>
          <w:iCs/>
          <w:sz w:val="24"/>
          <w:lang w:val="el-GR"/>
        </w:rPr>
        <w:t>Οδηγία (ΕΕ) 2023/1791 του Ευρωπαϊκού Κοινοβουλίου και του Συμβουλίου, της 13ης Σεπτεμβρίου 2023, για την ενεργειακή απόδοση και την τροποποίηση του κανονισμού (ΕΕ) 2023/955 (αναδιατύπωση) (ΕΕ L 231 της 20.9.2023,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2C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2C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2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EL"/>
    <w:docVar w:name="dvnumam" w:val="0"/>
    <w:docVar w:name="dvpe" w:val="759.744"/>
    <w:docVar w:name="dvrapporteur" w:val="Εισηγήτρια: "/>
    <w:docVar w:name="dvtitre" w:val="Νομοθετικό ψήφισμα του Ευρωπαϊκού Κοινοβουλίου σχετικά με την πρόταση κανονισμού του Συμβουλίου για την τροποποίηση του κανονισμού (ΕΕ) 2021/1173 όσον αφορά την πρωτοβουλία EuroHPC για νεοφυείς επιχειρήσεις με σκοπό την ενίσχυση της ηγετικής θέσης της Ευρώπης στον τομέα της αξιόπιστης τεχνητής νοημοσύνης(COM(2024)0029 – C9-0013/2024 – 2024/0016(CNS))"/>
  </w:docVars>
  <w:rsids>
    <w:rsidRoot w:val="00176B82"/>
    <w:rsid w:val="00002272"/>
    <w:rsid w:val="00064002"/>
    <w:rsid w:val="000677B9"/>
    <w:rsid w:val="000831BA"/>
    <w:rsid w:val="000A42CC"/>
    <w:rsid w:val="000E7DD9"/>
    <w:rsid w:val="0010095E"/>
    <w:rsid w:val="00125B37"/>
    <w:rsid w:val="00176B82"/>
    <w:rsid w:val="00187494"/>
    <w:rsid w:val="001D32C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43DF"/>
    <w:rsid w:val="006F74FA"/>
    <w:rsid w:val="00731ADD"/>
    <w:rsid w:val="00734777"/>
    <w:rsid w:val="00747932"/>
    <w:rsid w:val="00751A4A"/>
    <w:rsid w:val="00756632"/>
    <w:rsid w:val="00762C74"/>
    <w:rsid w:val="00786EC0"/>
    <w:rsid w:val="007D1690"/>
    <w:rsid w:val="007E22AD"/>
    <w:rsid w:val="00817416"/>
    <w:rsid w:val="00842779"/>
    <w:rsid w:val="00865F67"/>
    <w:rsid w:val="00867186"/>
    <w:rsid w:val="00881A7B"/>
    <w:rsid w:val="008840E5"/>
    <w:rsid w:val="00887B3E"/>
    <w:rsid w:val="008C2AC6"/>
    <w:rsid w:val="0091758A"/>
    <w:rsid w:val="00930C23"/>
    <w:rsid w:val="0093193B"/>
    <w:rsid w:val="009509D8"/>
    <w:rsid w:val="00950B64"/>
    <w:rsid w:val="00981893"/>
    <w:rsid w:val="00A03165"/>
    <w:rsid w:val="00A1687D"/>
    <w:rsid w:val="00A43E52"/>
    <w:rsid w:val="00A4678D"/>
    <w:rsid w:val="00A778C7"/>
    <w:rsid w:val="00AB441E"/>
    <w:rsid w:val="00AB6293"/>
    <w:rsid w:val="00AD2637"/>
    <w:rsid w:val="00AE0928"/>
    <w:rsid w:val="00AF3B82"/>
    <w:rsid w:val="00B03F7B"/>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15A1"/>
    <w:rsid w:val="00E820A4"/>
    <w:rsid w:val="00EB006A"/>
    <w:rsid w:val="00EB4772"/>
    <w:rsid w:val="00ED169E"/>
    <w:rsid w:val="00ED4235"/>
    <w:rsid w:val="00F04346"/>
    <w:rsid w:val="00F075DC"/>
    <w:rsid w:val="00F149E9"/>
    <w:rsid w:val="00F402E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64046"/>
  <w15:chartTrackingRefBased/>
  <w15:docId w15:val="{1DF9AC84-50BE-4894-8DF2-1C7137554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43DF"/>
    <w:pPr>
      <w:spacing w:before="480" w:after="240"/>
    </w:pPr>
  </w:style>
  <w:style w:type="paragraph" w:customStyle="1" w:styleId="NormalBold">
    <w:name w:val="NormalBold"/>
    <w:basedOn w:val="Normal"/>
    <w:rsid w:val="006C43DF"/>
    <w:rPr>
      <w:b/>
    </w:rPr>
  </w:style>
  <w:style w:type="paragraph" w:customStyle="1" w:styleId="NormalHanging12a">
    <w:name w:val="NormalHanging12a"/>
    <w:basedOn w:val="Normal"/>
    <w:rsid w:val="006C43DF"/>
    <w:pPr>
      <w:spacing w:after="240"/>
      <w:ind w:left="567" w:hanging="567"/>
    </w:pPr>
  </w:style>
  <w:style w:type="paragraph" w:customStyle="1" w:styleId="AmNumberTabs">
    <w:name w:val="AmNumberTabs"/>
    <w:basedOn w:val="Normal"/>
    <w:rsid w:val="006C43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6C43DF"/>
    <w:rPr>
      <w:color w:val="0563C1" w:themeColor="hyperlink"/>
      <w:u w:val="single"/>
    </w:rPr>
  </w:style>
  <w:style w:type="paragraph" w:styleId="ListParagraph">
    <w:name w:val="List Paragraph"/>
    <w:basedOn w:val="Normal"/>
    <w:uiPriority w:val="34"/>
    <w:qFormat/>
    <w:rsid w:val="006C43DF"/>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6C43DF"/>
    <w:pPr>
      <w:widowControl/>
      <w:spacing w:before="120" w:after="120"/>
      <w:ind w:left="850"/>
      <w:jc w:val="both"/>
    </w:pPr>
    <w:rPr>
      <w:rFonts w:eastAsiaTheme="minorHAnsi"/>
      <w:szCs w:val="22"/>
      <w:lang w:eastAsia="en-US"/>
    </w:rPr>
  </w:style>
  <w:style w:type="paragraph" w:customStyle="1" w:styleId="Point0">
    <w:name w:val="Point 0"/>
    <w:basedOn w:val="Normal"/>
    <w:rsid w:val="006C43DF"/>
    <w:pPr>
      <w:widowControl/>
      <w:spacing w:before="120" w:after="120"/>
      <w:ind w:left="850" w:hanging="850"/>
      <w:jc w:val="both"/>
    </w:pPr>
    <w:rPr>
      <w:rFonts w:eastAsiaTheme="minorHAnsi"/>
      <w:szCs w:val="22"/>
      <w:lang w:eastAsia="en-US"/>
    </w:rPr>
  </w:style>
  <w:style w:type="paragraph" w:customStyle="1" w:styleId="Point1">
    <w:name w:val="Point 1"/>
    <w:basedOn w:val="Normal"/>
    <w:rsid w:val="006C43DF"/>
    <w:pPr>
      <w:widowControl/>
      <w:spacing w:before="120" w:after="120"/>
      <w:ind w:left="1417" w:hanging="567"/>
      <w:jc w:val="both"/>
    </w:pPr>
    <w:rPr>
      <w:rFonts w:eastAsiaTheme="minorHAnsi"/>
      <w:szCs w:val="22"/>
      <w:lang w:eastAsia="en-US"/>
    </w:rPr>
  </w:style>
  <w:style w:type="paragraph" w:customStyle="1" w:styleId="Point2">
    <w:name w:val="Point 2"/>
    <w:basedOn w:val="Normal"/>
    <w:rsid w:val="006C43DF"/>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6C43DF"/>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6C43DF"/>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6C43DF"/>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6C43DF"/>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6C43D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C43D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C43DF"/>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6C43DF"/>
    <w:pPr>
      <w:widowControl/>
      <w:tabs>
        <w:tab w:val="left" w:pos="4252"/>
      </w:tabs>
    </w:pPr>
    <w:rPr>
      <w:rFonts w:eastAsiaTheme="minorHAnsi"/>
      <w:i/>
      <w:szCs w:val="22"/>
      <w:lang w:eastAsia="en-US"/>
    </w:rPr>
  </w:style>
  <w:style w:type="paragraph" w:customStyle="1" w:styleId="ManualConsidrant">
    <w:name w:val="Manual Considérant"/>
    <w:basedOn w:val="Normal"/>
    <w:rsid w:val="006C43DF"/>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6C43DF"/>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6C43DF"/>
    <w:pPr>
      <w:widowControl/>
      <w:ind w:left="5103"/>
    </w:pPr>
    <w:rPr>
      <w:rFonts w:eastAsiaTheme="minorHAnsi"/>
      <w:szCs w:val="22"/>
      <w:lang w:eastAsia="en-US"/>
    </w:rPr>
  </w:style>
  <w:style w:type="paragraph" w:customStyle="1" w:styleId="Typedudocument">
    <w:name w:val="Type du document"/>
    <w:basedOn w:val="Normal"/>
    <w:next w:val="Titreobjet"/>
    <w:rsid w:val="006C43DF"/>
    <w:pPr>
      <w:widowControl/>
      <w:spacing w:before="360"/>
      <w:jc w:val="center"/>
    </w:pPr>
    <w:rPr>
      <w:rFonts w:eastAsiaTheme="minorHAnsi"/>
      <w:b/>
      <w:szCs w:val="22"/>
      <w:lang w:eastAsia="en-US"/>
    </w:rPr>
  </w:style>
  <w:style w:type="paragraph" w:customStyle="1" w:styleId="Titreobjet">
    <w:name w:val="Titre objet"/>
    <w:basedOn w:val="Normal"/>
    <w:next w:val="Normal"/>
    <w:rsid w:val="006C43DF"/>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6C43DF"/>
  </w:style>
  <w:style w:type="character" w:customStyle="1" w:styleId="eop">
    <w:name w:val="eop"/>
    <w:basedOn w:val="DefaultParagraphFont"/>
    <w:rsid w:val="006C43DF"/>
  </w:style>
  <w:style w:type="paragraph" w:customStyle="1" w:styleId="NormalCenter12a">
    <w:name w:val="NormalCenter12a"/>
    <w:basedOn w:val="Normal"/>
    <w:rsid w:val="006C43DF"/>
    <w:pPr>
      <w:spacing w:after="240"/>
      <w:jc w:val="center"/>
    </w:pPr>
  </w:style>
  <w:style w:type="paragraph" w:customStyle="1" w:styleId="AmHeadingConsam">
    <w:name w:val="AmHeadingConsam"/>
    <w:basedOn w:val="Normal"/>
    <w:next w:val="NormalCenter12a"/>
    <w:rsid w:val="006C43DF"/>
    <w:pPr>
      <w:spacing w:before="720" w:after="240"/>
      <w:jc w:val="center"/>
    </w:pPr>
  </w:style>
  <w:style w:type="character" w:styleId="FollowedHyperlink">
    <w:name w:val="FollowedHyperlink"/>
    <w:basedOn w:val="DefaultParagraphFont"/>
    <w:rsid w:val="00B03F7B"/>
    <w:rPr>
      <w:color w:val="954F72" w:themeColor="followedHyperlink"/>
      <w:u w:val="single"/>
    </w:rPr>
  </w:style>
  <w:style w:type="paragraph" w:styleId="BalloonText">
    <w:name w:val="Balloon Text"/>
    <w:basedOn w:val="Normal"/>
    <w:link w:val="BalloonTextChar"/>
    <w:rsid w:val="00B03F7B"/>
    <w:rPr>
      <w:rFonts w:ascii="Segoe UI" w:hAnsi="Segoe UI" w:cs="Segoe UI"/>
      <w:sz w:val="18"/>
      <w:szCs w:val="18"/>
    </w:rPr>
  </w:style>
  <w:style w:type="character" w:customStyle="1" w:styleId="BalloonTextChar">
    <w:name w:val="Balloon Text Char"/>
    <w:basedOn w:val="DefaultParagraphFont"/>
    <w:link w:val="BalloonText"/>
    <w:rsid w:val="00B03F7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A4AC2-223B-48CA-B6C7-E52BA466B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3999</Words>
  <Characters>25285</Characters>
  <Application>Microsoft Office Word</Application>
  <DocSecurity>0</DocSecurity>
  <Lines>495</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2024-04-24T16:26:00Z</dcterms:created>
  <dcterms:modified xsi:type="dcterms:W3CDTF">2024-04-24T16:26:00Z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A9-0161/2024</vt:lpwstr>
  </property>
  <property fmtid="{D5CDD505-2E9C-101B-9397-08002B2CF9AE}" pid="4" name="&lt;Type&gt;">
    <vt:lpwstr>RR</vt:lpwstr>
  </property>
</Properties>
</file>