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012A" w:rsidTr="0010095E">
        <w:trPr>
          <w:trHeight w:hRule="exact" w:val="1418"/>
        </w:trPr>
        <w:tc>
          <w:tcPr>
            <w:tcW w:w="6804" w:type="dxa"/>
            <w:shd w:val="clear" w:color="auto" w:fill="auto"/>
            <w:vAlign w:val="center"/>
          </w:tcPr>
          <w:p w:rsidR="00751A4A" w:rsidRPr="005B012A" w:rsidRDefault="002007BB" w:rsidP="0010095E">
            <w:pPr>
              <w:pStyle w:val="EPName"/>
            </w:pPr>
            <w:r w:rsidRPr="005B012A">
              <w:t>Europos Parlamentas</w:t>
            </w:r>
          </w:p>
          <w:p w:rsidR="00751A4A" w:rsidRPr="005B012A" w:rsidRDefault="00817416" w:rsidP="00756632">
            <w:pPr>
              <w:pStyle w:val="EPTerm"/>
              <w:rPr>
                <w:rStyle w:val="HideTWBExt"/>
                <w:noProof w:val="0"/>
                <w:vanish w:val="0"/>
                <w:color w:val="auto"/>
              </w:rPr>
            </w:pPr>
            <w:r w:rsidRPr="005B012A">
              <w:t>2019-2024</w:t>
            </w:r>
          </w:p>
        </w:tc>
        <w:tc>
          <w:tcPr>
            <w:tcW w:w="2268" w:type="dxa"/>
            <w:shd w:val="clear" w:color="auto" w:fill="auto"/>
          </w:tcPr>
          <w:p w:rsidR="00751A4A" w:rsidRPr="005B012A" w:rsidRDefault="00187494" w:rsidP="0010095E">
            <w:pPr>
              <w:pStyle w:val="EPLogo"/>
            </w:pPr>
            <w:r w:rsidRPr="005B012A">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B012A" w:rsidRDefault="00D058B8" w:rsidP="004C5D52">
      <w:pPr>
        <w:pStyle w:val="LineTop"/>
      </w:pPr>
    </w:p>
    <w:p w:rsidR="00680577" w:rsidRPr="005B012A" w:rsidRDefault="002007BB" w:rsidP="00680577">
      <w:pPr>
        <w:pStyle w:val="EPBodyTA1"/>
      </w:pPr>
      <w:r w:rsidRPr="005B012A">
        <w:t>PRIIMTI TEKSTAI</w:t>
      </w:r>
    </w:p>
    <w:p w:rsidR="00D058B8" w:rsidRPr="005B012A" w:rsidRDefault="00D058B8" w:rsidP="00D058B8">
      <w:pPr>
        <w:pStyle w:val="LineBottom"/>
      </w:pPr>
    </w:p>
    <w:p w:rsidR="002007BB" w:rsidRPr="005B012A" w:rsidRDefault="002007BB" w:rsidP="002007BB">
      <w:pPr>
        <w:pStyle w:val="ATHeading1"/>
      </w:pPr>
      <w:bookmarkStart w:id="0" w:name="TANumber"/>
      <w:r w:rsidRPr="005B012A">
        <w:t>P9_TA(2024)0</w:t>
      </w:r>
      <w:r w:rsidR="008611E8">
        <w:t>359</w:t>
      </w:r>
      <w:bookmarkStart w:id="1" w:name="_GoBack"/>
      <w:bookmarkEnd w:id="0"/>
      <w:bookmarkEnd w:id="1"/>
    </w:p>
    <w:p w:rsidR="002007BB" w:rsidRPr="005B012A" w:rsidRDefault="00CA7283" w:rsidP="002007BB">
      <w:pPr>
        <w:pStyle w:val="ATHeading2"/>
      </w:pPr>
      <w:bookmarkStart w:id="2" w:name="title"/>
      <w:r w:rsidRPr="00CA7283">
        <w:t>S</w:t>
      </w:r>
      <w:r w:rsidR="002007BB" w:rsidRPr="00CA7283">
        <w:t>tartuoliams skirt</w:t>
      </w:r>
      <w:r w:rsidR="008A6225" w:rsidRPr="00CA7283">
        <w:t>a</w:t>
      </w:r>
      <w:r w:rsidR="002007BB" w:rsidRPr="00CA7283">
        <w:t xml:space="preserve"> „EuroHPC“ iniciatyv</w:t>
      </w:r>
      <w:r w:rsidR="008A6225" w:rsidRPr="00CA7283">
        <w:t>a</w:t>
      </w:r>
      <w:r w:rsidR="002007BB" w:rsidRPr="00CA7283">
        <w:t>, kuria siekiama stiprinti Europos lyderystę patikimo dirbtinio intelekto srityje</w:t>
      </w:r>
      <w:bookmarkEnd w:id="2"/>
    </w:p>
    <w:p w:rsidR="002007BB" w:rsidRPr="005B012A" w:rsidRDefault="002007BB" w:rsidP="002007BB">
      <w:pPr>
        <w:rPr>
          <w:i/>
          <w:vanish/>
        </w:rPr>
      </w:pPr>
      <w:r w:rsidRPr="005B012A">
        <w:rPr>
          <w:i/>
        </w:rPr>
        <w:fldChar w:fldCharType="begin"/>
      </w:r>
      <w:r w:rsidRPr="005B012A">
        <w:rPr>
          <w:i/>
        </w:rPr>
        <w:instrText xml:space="preserve"> TC"(</w:instrText>
      </w:r>
      <w:bookmarkStart w:id="3" w:name="DocNumber"/>
      <w:r w:rsidRPr="005B012A">
        <w:rPr>
          <w:i/>
        </w:rPr>
        <w:instrText>A9-0161/2024</w:instrText>
      </w:r>
      <w:bookmarkEnd w:id="3"/>
      <w:r w:rsidRPr="005B012A">
        <w:rPr>
          <w:i/>
        </w:rPr>
        <w:instrText xml:space="preserve"> - Pranešėjai: Maria da Graça Carvalho)"\l3 \n&gt; \* MERGEFORMAT </w:instrText>
      </w:r>
      <w:r w:rsidRPr="005B012A">
        <w:rPr>
          <w:i/>
        </w:rPr>
        <w:fldChar w:fldCharType="end"/>
      </w:r>
    </w:p>
    <w:p w:rsidR="002007BB" w:rsidRPr="005B012A" w:rsidRDefault="002007BB" w:rsidP="002007BB">
      <w:pPr>
        <w:rPr>
          <w:vanish/>
        </w:rPr>
      </w:pPr>
      <w:bookmarkStart w:id="4" w:name="Commission"/>
      <w:r w:rsidRPr="005B012A">
        <w:rPr>
          <w:vanish/>
        </w:rPr>
        <w:t>Pramonės, mokslinių tyrimų ir energetikos komitetas</w:t>
      </w:r>
      <w:bookmarkEnd w:id="4"/>
    </w:p>
    <w:p w:rsidR="002007BB" w:rsidRPr="005B012A" w:rsidRDefault="002007BB" w:rsidP="002007BB">
      <w:pPr>
        <w:rPr>
          <w:vanish/>
        </w:rPr>
      </w:pPr>
      <w:bookmarkStart w:id="5" w:name="PE"/>
      <w:r w:rsidRPr="005B012A">
        <w:rPr>
          <w:vanish/>
        </w:rPr>
        <w:t>PE759.744</w:t>
      </w:r>
      <w:bookmarkEnd w:id="5"/>
    </w:p>
    <w:p w:rsidR="002007BB" w:rsidRPr="005B012A" w:rsidRDefault="002267B7" w:rsidP="002007BB">
      <w:pPr>
        <w:pStyle w:val="ATHeading3"/>
      </w:pPr>
      <w:bookmarkStart w:id="6" w:name="Sujet"/>
      <w:r>
        <w:t xml:space="preserve">2024 m. balandžio </w:t>
      </w:r>
      <w:r w:rsidR="00E40ED7">
        <w:t>24</w:t>
      </w:r>
      <w:r>
        <w:t xml:space="preserve"> d. </w:t>
      </w:r>
      <w:r w:rsidR="002007BB" w:rsidRPr="005B012A">
        <w:t>Europos Parlamento teisėkūros rezoliucija dėl pasiūlymo dėl Tarybos reglamento, kuriuo dėl startuoliams skirtos „EuroHPC“ iniciatyvos, kuria siekiama stiprinti Europos lyderystę patikimo dirbtinio intelekto srityje, iš dalies keičiamas Reglamentas (ES) 2021/1173</w:t>
      </w:r>
      <w:bookmarkEnd w:id="6"/>
      <w:r w:rsidR="002007BB" w:rsidRPr="005B012A">
        <w:t xml:space="preserve"> </w:t>
      </w:r>
      <w:bookmarkStart w:id="7" w:name="References"/>
      <w:r w:rsidR="002007BB" w:rsidRPr="005B012A">
        <w:t>(COM(2024)0029 – C9-0013/2024 – 2024/0016(CNS))</w:t>
      </w:r>
      <w:bookmarkEnd w:id="7"/>
    </w:p>
    <w:p w:rsidR="002007BB" w:rsidRPr="005B012A" w:rsidRDefault="002007BB" w:rsidP="002007BB"/>
    <w:p w:rsidR="0059267E" w:rsidRPr="005B012A" w:rsidRDefault="0059267E" w:rsidP="0059267E">
      <w:pPr>
        <w:pStyle w:val="NormalBold"/>
      </w:pPr>
      <w:bookmarkStart w:id="8" w:name="TextBodyBegin"/>
      <w:bookmarkEnd w:id="8"/>
      <w:r w:rsidRPr="005B012A">
        <w:t>(Speciali teisėkūros procedūra: konsultavimasis)</w:t>
      </w:r>
    </w:p>
    <w:p w:rsidR="0059267E" w:rsidRPr="005B012A" w:rsidRDefault="0059267E" w:rsidP="0059267E">
      <w:pPr>
        <w:pStyle w:val="EPComma"/>
      </w:pPr>
      <w:r w:rsidRPr="005B012A">
        <w:rPr>
          <w:i/>
          <w:iCs/>
        </w:rPr>
        <w:t>Europos Parlamentas</w:t>
      </w:r>
      <w:r w:rsidRPr="005B012A">
        <w:t>,</w:t>
      </w:r>
    </w:p>
    <w:p w:rsidR="0059267E" w:rsidRPr="005B012A" w:rsidRDefault="0059267E" w:rsidP="0059267E">
      <w:pPr>
        <w:pStyle w:val="NormalHanging12a"/>
      </w:pPr>
      <w:r w:rsidRPr="005B012A">
        <w:t>–</w:t>
      </w:r>
      <w:r w:rsidRPr="005B012A">
        <w:tab/>
        <w:t>atsižvelgdamas į Komisijos pasiūlymą Tarybai (COM(2024)0029),</w:t>
      </w:r>
    </w:p>
    <w:p w:rsidR="0059267E" w:rsidRPr="005B012A" w:rsidRDefault="0059267E" w:rsidP="0059267E">
      <w:pPr>
        <w:pStyle w:val="NormalHanging12a"/>
      </w:pPr>
      <w:r w:rsidRPr="005B012A">
        <w:t>–</w:t>
      </w:r>
      <w:r w:rsidRPr="005B012A">
        <w:tab/>
        <w:t xml:space="preserve">atsižvelgdamas į Sutarties dėl Europos Sąjungos veikimo 187 straipsnį ir </w:t>
      </w:r>
      <w:r w:rsidR="002267B7">
        <w:t xml:space="preserve">į </w:t>
      </w:r>
      <w:r w:rsidRPr="005B012A">
        <w:t>188 straipsnio pirmą pastraipą, pagal kuriuos Taryba kreipėsi į Parlamentą dėl konsultacijos (C9</w:t>
      </w:r>
      <w:r w:rsidRPr="005B012A">
        <w:noBreakHyphen/>
        <w:t>0013/2024),</w:t>
      </w:r>
    </w:p>
    <w:p w:rsidR="0059267E" w:rsidRPr="005B012A" w:rsidRDefault="0059267E" w:rsidP="0059267E">
      <w:pPr>
        <w:pStyle w:val="NormalHanging12a"/>
      </w:pPr>
      <w:r w:rsidRPr="005B012A">
        <w:t>–</w:t>
      </w:r>
      <w:r w:rsidRPr="005B012A">
        <w:tab/>
        <w:t>atsižvelgdamas į Darbo tvarkos taisyklių 82 straipsnį,</w:t>
      </w:r>
    </w:p>
    <w:p w:rsidR="0059267E" w:rsidRPr="005B012A" w:rsidRDefault="0059267E" w:rsidP="0059267E">
      <w:pPr>
        <w:pStyle w:val="NormalHanging12a"/>
      </w:pPr>
      <w:r w:rsidRPr="005B012A">
        <w:t>–</w:t>
      </w:r>
      <w:r w:rsidRPr="005B012A">
        <w:tab/>
        <w:t>atsižvelgdamas į Pramonės, mokslinių tyrimų ir energetikos komiteto pranešimą (A9-0161/2024),</w:t>
      </w:r>
    </w:p>
    <w:p w:rsidR="0059267E" w:rsidRPr="005B012A" w:rsidRDefault="0059267E" w:rsidP="0059267E">
      <w:pPr>
        <w:pStyle w:val="NormalHanging12a"/>
      </w:pPr>
      <w:r w:rsidRPr="005B012A">
        <w:t>1.</w:t>
      </w:r>
      <w:r w:rsidRPr="005B012A">
        <w:tab/>
        <w:t>pritaria Komisijos pasiūlymui su pakeitimais;</w:t>
      </w:r>
    </w:p>
    <w:p w:rsidR="0059267E" w:rsidRPr="005B012A" w:rsidRDefault="0059267E" w:rsidP="0059267E">
      <w:pPr>
        <w:pStyle w:val="NormalHanging12a"/>
      </w:pPr>
      <w:r w:rsidRPr="005B012A">
        <w:t>2.</w:t>
      </w:r>
      <w:r w:rsidRPr="005B012A">
        <w:tab/>
        <w:t>ragina Komisiją pagal Sutarties dėl Europos Sąjungos veikimo 293 straipsnio 2 dalį atitinkamai pakeisti savo pasiūlymą;</w:t>
      </w:r>
    </w:p>
    <w:p w:rsidR="0059267E" w:rsidRPr="005B012A" w:rsidRDefault="0059267E" w:rsidP="0059267E">
      <w:pPr>
        <w:pStyle w:val="NormalHanging12a"/>
      </w:pPr>
      <w:r w:rsidRPr="005B012A">
        <w:t>3.</w:t>
      </w:r>
      <w:r w:rsidRPr="005B012A">
        <w:tab/>
        <w:t>ragina Tarybą pranešti Parlamentui, jei ji ketina nukrypti nuo teksto, kuriam pritarė Parlamentas;</w:t>
      </w:r>
    </w:p>
    <w:p w:rsidR="0059267E" w:rsidRPr="005B012A" w:rsidRDefault="0059267E" w:rsidP="0059267E">
      <w:pPr>
        <w:pStyle w:val="NormalHanging12a"/>
      </w:pPr>
      <w:r w:rsidRPr="005B012A">
        <w:t>4.</w:t>
      </w:r>
      <w:r w:rsidRPr="005B012A">
        <w:tab/>
        <w:t>ragina Tarybą dar kartą konsultuotis su Parlamentu, jei ji ketina iš esmės keisti Komisijos pasiūlymą;</w:t>
      </w:r>
    </w:p>
    <w:p w:rsidR="0059267E" w:rsidRPr="005B012A" w:rsidRDefault="0059267E" w:rsidP="0059267E">
      <w:pPr>
        <w:pStyle w:val="NormalHanging12a"/>
      </w:pPr>
      <w:r w:rsidRPr="005B012A">
        <w:t>5.</w:t>
      </w:r>
      <w:r w:rsidRPr="005B012A">
        <w:tab/>
        <w:t xml:space="preserve">paveda Pirmininkei perduoti Parlamento poziciją Tarybai, Komisijai ir nacionaliniams </w:t>
      </w:r>
      <w:r w:rsidRPr="005B012A">
        <w:lastRenderedPageBreak/>
        <w:t>parlamentams.</w:t>
      </w:r>
    </w:p>
    <w:p w:rsidR="0059267E" w:rsidRPr="005B012A" w:rsidRDefault="0059267E" w:rsidP="0059267E">
      <w:pPr>
        <w:widowControl/>
      </w:pPr>
      <w:r w:rsidRPr="005B012A">
        <w:br w:type="page"/>
      </w:r>
    </w:p>
    <w:p w:rsidR="0059267E" w:rsidRPr="005B012A" w:rsidRDefault="0059267E" w:rsidP="0059267E">
      <w:pPr>
        <w:pStyle w:val="AmNumberTabs"/>
        <w:keepNext/>
      </w:pPr>
      <w:r w:rsidRPr="005B012A">
        <w:lastRenderedPageBreak/>
        <w:t>Pakeitimas</w:t>
      </w:r>
      <w:r w:rsidRPr="005B012A">
        <w:tab/>
      </w:r>
      <w:r w:rsidRPr="005B012A">
        <w:tab/>
        <w:t>1</w:t>
      </w:r>
    </w:p>
    <w:p w:rsidR="0059267E" w:rsidRPr="005B012A" w:rsidRDefault="0059267E" w:rsidP="0059267E">
      <w:pPr>
        <w:pStyle w:val="AmHeadingConsam"/>
      </w:pPr>
      <w:r w:rsidRPr="005B012A">
        <w:t>EUROPOS PARLAMENTO PAKEITIMAI</w:t>
      </w:r>
      <w:r w:rsidRPr="005B012A">
        <w:rPr>
          <w:rStyle w:val="FootnoteReference"/>
        </w:rPr>
        <w:footnoteReference w:customMarkFollows="1" w:id="1"/>
        <w:t>*</w:t>
      </w:r>
    </w:p>
    <w:p w:rsidR="0059267E" w:rsidRPr="005B012A" w:rsidRDefault="0059267E" w:rsidP="0059267E">
      <w:pPr>
        <w:pStyle w:val="NormalCenter12a"/>
      </w:pPr>
      <w:r w:rsidRPr="005B012A">
        <w:t>Komisijos pasiūlymas</w:t>
      </w:r>
    </w:p>
    <w:p w:rsidR="0059267E" w:rsidRPr="005B012A" w:rsidRDefault="0059267E" w:rsidP="0059267E">
      <w:pPr>
        <w:pStyle w:val="NormalCenter12a"/>
      </w:pPr>
      <w:r w:rsidRPr="005B012A">
        <w:t>---------------------------------------------------------</w:t>
      </w:r>
    </w:p>
    <w:p w:rsidR="0059267E" w:rsidRPr="005B012A" w:rsidRDefault="0059267E" w:rsidP="0059267E">
      <w:pPr>
        <w:pStyle w:val="Rfrenceinterinstitutionnelle"/>
        <w:rPr>
          <w:noProof/>
        </w:rPr>
      </w:pPr>
      <w:r w:rsidRPr="005B012A">
        <w:t>2024/0016(CNS)</w:t>
      </w:r>
    </w:p>
    <w:p w:rsidR="0059267E" w:rsidRPr="005B012A" w:rsidRDefault="0059267E" w:rsidP="00E40ED7">
      <w:pPr>
        <w:pStyle w:val="Statut"/>
        <w:spacing w:line="360" w:lineRule="auto"/>
        <w:rPr>
          <w:noProof/>
        </w:rPr>
      </w:pPr>
      <w:r w:rsidRPr="005B012A">
        <w:t>Pasiūlymas</w:t>
      </w:r>
    </w:p>
    <w:p w:rsidR="0059267E" w:rsidRPr="005B012A" w:rsidRDefault="0059267E" w:rsidP="00E40ED7">
      <w:pPr>
        <w:pStyle w:val="Typedudocument"/>
        <w:spacing w:line="360" w:lineRule="auto"/>
        <w:rPr>
          <w:noProof/>
        </w:rPr>
      </w:pPr>
      <w:r w:rsidRPr="005B012A">
        <w:t>TARYBOS REGLAMENTAS</w:t>
      </w:r>
    </w:p>
    <w:p w:rsidR="0059267E" w:rsidRPr="005B012A" w:rsidRDefault="0059267E" w:rsidP="00E40ED7">
      <w:pPr>
        <w:pStyle w:val="Titreobjet"/>
        <w:spacing w:line="360" w:lineRule="auto"/>
        <w:rPr>
          <w:noProof/>
        </w:rPr>
      </w:pPr>
      <w:r w:rsidRPr="005B012A">
        <w:t>kuriuo dėl startuoliams skirtos „EuroHPC“ iniciatyvos, kuria siekiama stiprinti Europos lyderystę patikimo dirbtinio intelekto srityje, iš dalies keičiamas Reglamentas (ES) 2021/1173</w:t>
      </w:r>
    </w:p>
    <w:p w:rsidR="0059267E" w:rsidRPr="005B012A" w:rsidRDefault="0059267E" w:rsidP="00E40ED7">
      <w:pPr>
        <w:pStyle w:val="Institutionquiagit"/>
        <w:spacing w:line="360" w:lineRule="auto"/>
        <w:rPr>
          <w:noProof/>
        </w:rPr>
      </w:pPr>
      <w:r w:rsidRPr="005B012A">
        <w:t>EUROPOS SĄJUNGOS TARYBA,</w:t>
      </w:r>
    </w:p>
    <w:p w:rsidR="0059267E" w:rsidRPr="005B012A" w:rsidRDefault="0059267E" w:rsidP="00E40ED7">
      <w:pPr>
        <w:spacing w:before="120" w:after="120" w:line="360" w:lineRule="auto"/>
        <w:rPr>
          <w:rFonts w:eastAsia="Calibri"/>
          <w:noProof/>
          <w:szCs w:val="22"/>
        </w:rPr>
      </w:pPr>
      <w:r w:rsidRPr="005B012A">
        <w:t>atsižvelgdama į Sutartį dėl Europos Sąjungos veikimo, ypač į jos 187 straipsnį ir 188 straipsnio pirmą pastraipą,</w:t>
      </w:r>
    </w:p>
    <w:p w:rsidR="0059267E" w:rsidRPr="005B012A" w:rsidRDefault="0059267E" w:rsidP="00E40ED7">
      <w:pPr>
        <w:spacing w:before="120" w:after="120" w:line="360" w:lineRule="auto"/>
        <w:rPr>
          <w:rFonts w:eastAsia="Calibri"/>
          <w:noProof/>
          <w:szCs w:val="22"/>
        </w:rPr>
      </w:pPr>
      <w:r w:rsidRPr="005B012A">
        <w:t>atsižvelgdama į Europos Komisijos pasiūlymą,</w:t>
      </w:r>
    </w:p>
    <w:p w:rsidR="0059267E" w:rsidRPr="005B012A" w:rsidRDefault="0059267E" w:rsidP="00E40ED7">
      <w:pPr>
        <w:spacing w:before="120" w:after="120" w:line="360" w:lineRule="auto"/>
        <w:rPr>
          <w:noProof/>
        </w:rPr>
      </w:pPr>
      <w:r w:rsidRPr="005B012A">
        <w:t>atsižvelgdama į Europos Parlamento nuomonę</w:t>
      </w:r>
      <w:r w:rsidRPr="005B012A">
        <w:rPr>
          <w:rStyle w:val="FootnoteReference"/>
          <w:noProof/>
        </w:rPr>
        <w:footnoteReference w:id="2"/>
      </w:r>
      <w:r w:rsidRPr="005B012A">
        <w:t>,</w:t>
      </w:r>
    </w:p>
    <w:p w:rsidR="0059267E" w:rsidRPr="005B012A" w:rsidRDefault="0059267E" w:rsidP="00E40ED7">
      <w:pPr>
        <w:spacing w:before="120" w:after="120" w:line="360" w:lineRule="auto"/>
        <w:rPr>
          <w:rFonts w:eastAsia="Calibri"/>
          <w:noProof/>
          <w:szCs w:val="22"/>
        </w:rPr>
      </w:pPr>
      <w:r w:rsidRPr="005B012A">
        <w:t>atsižvelgdama į Europos ekonomikos ir socialinių reikalų komiteto nuomonę</w:t>
      </w:r>
      <w:r w:rsidRPr="005B012A">
        <w:rPr>
          <w:rStyle w:val="FootnoteReference"/>
          <w:noProof/>
        </w:rPr>
        <w:footnoteReference w:id="3"/>
      </w:r>
      <w:r w:rsidRPr="005B012A">
        <w:t xml:space="preserve">, </w:t>
      </w:r>
    </w:p>
    <w:p w:rsidR="0059267E" w:rsidRPr="005B012A" w:rsidRDefault="0059267E" w:rsidP="00E40ED7">
      <w:pPr>
        <w:spacing w:before="120" w:after="120" w:line="360" w:lineRule="auto"/>
        <w:rPr>
          <w:rFonts w:eastAsia="Calibri"/>
          <w:noProof/>
          <w:szCs w:val="22"/>
        </w:rPr>
      </w:pPr>
      <w:r w:rsidRPr="005B012A">
        <w:t>laikydamasi specialios teisėkūros procedūros,</w:t>
      </w:r>
    </w:p>
    <w:p w:rsidR="0059267E" w:rsidRPr="005B012A" w:rsidRDefault="0059267E" w:rsidP="00E40ED7">
      <w:pPr>
        <w:spacing w:before="120" w:after="120" w:line="360" w:lineRule="auto"/>
        <w:rPr>
          <w:rFonts w:eastAsia="Calibri"/>
          <w:noProof/>
          <w:szCs w:val="22"/>
        </w:rPr>
      </w:pPr>
      <w:r w:rsidRPr="005B012A">
        <w:t>kadangi:</w:t>
      </w:r>
    </w:p>
    <w:p w:rsidR="0059267E" w:rsidRPr="005B012A" w:rsidRDefault="0059267E" w:rsidP="00E40ED7">
      <w:pPr>
        <w:pStyle w:val="ManualConsidrant"/>
        <w:spacing w:line="360" w:lineRule="auto"/>
        <w:rPr>
          <w:noProof/>
        </w:rPr>
      </w:pPr>
      <w:r w:rsidRPr="005B012A">
        <w:t>(1)</w:t>
      </w:r>
      <w:r w:rsidRPr="005B012A">
        <w:tab/>
      </w:r>
      <w:r w:rsidRPr="005B012A">
        <w:rPr>
          <w:rStyle w:val="normaltextrun"/>
        </w:rPr>
        <w:t>Europos Parlamento ir Tarybos reglamentu (ES) 2024/...</w:t>
      </w:r>
      <w:r w:rsidRPr="005B012A">
        <w:rPr>
          <w:rStyle w:val="FootnoteReference"/>
          <w:noProof/>
        </w:rPr>
        <w:footnoteReference w:id="4"/>
      </w:r>
      <w:r w:rsidRPr="005B012A">
        <w:rPr>
          <w:rStyle w:val="normaltextrun"/>
        </w:rPr>
        <w:t>, kuriuo nustatomos suderintos dirbtinio intelekto taisyklės (toliau – Dirbtinio intelekto aktas)</w:t>
      </w:r>
      <w:r w:rsidRPr="005B012A">
        <w:t xml:space="preserve">, siekiama pagerinti </w:t>
      </w:r>
      <w:r w:rsidRPr="005B012A">
        <w:lastRenderedPageBreak/>
        <w:t xml:space="preserve">vidaus rinkos veikimą nustatant vienodą teisinę sistemą, kuria visų pirma reglamentuojamas dirbtinio intelekto kūrimas, pateikimas rinkai ir naudojimas paisant Sąjungos vertybių; </w:t>
      </w:r>
    </w:p>
    <w:p w:rsidR="0059267E" w:rsidRPr="005B012A" w:rsidRDefault="0059267E" w:rsidP="00E40ED7">
      <w:pPr>
        <w:pStyle w:val="ManualConsidrant"/>
        <w:spacing w:line="360" w:lineRule="auto"/>
        <w:rPr>
          <w:noProof/>
        </w:rPr>
      </w:pPr>
      <w:r w:rsidRPr="005B012A">
        <w:t>(2)</w:t>
      </w:r>
      <w:r w:rsidRPr="005B012A">
        <w:tab/>
        <w:t>nuo 2021 m., kai buvo priimtas Tarybos reglamentas (ES) 2021/1173</w:t>
      </w:r>
      <w:r w:rsidRPr="005B012A">
        <w:rPr>
          <w:rStyle w:val="FootnoteReference"/>
          <w:noProof/>
        </w:rPr>
        <w:footnoteReference w:id="5"/>
      </w:r>
      <w:r w:rsidRPr="005B012A">
        <w:t xml:space="preserve">, dirbtinio intelekto (DI) srityje padaryta didžiulė techninė pažanga ir jis tapo visame pasaulyje strategiškai itin svarbia ir ginčytina sritimi. Sąjunga rodo pavyzdį, kaip remti </w:t>
      </w:r>
      <w:r w:rsidRPr="005B012A">
        <w:rPr>
          <w:b/>
          <w:bCs/>
          <w:i/>
          <w:iCs/>
        </w:rPr>
        <w:t>etiškas ir</w:t>
      </w:r>
      <w:r w:rsidRPr="005B012A">
        <w:t xml:space="preserve"> atsakingas inovacijas patikimo DI srityje, kartu nustatant apsaugos priemones ir plėtojant veiksmingą valdymą;</w:t>
      </w:r>
    </w:p>
    <w:p w:rsidR="0059267E" w:rsidRPr="005B012A" w:rsidRDefault="0059267E" w:rsidP="00E40ED7">
      <w:pPr>
        <w:pStyle w:val="ManualConsidrant"/>
        <w:spacing w:line="360" w:lineRule="auto"/>
        <w:rPr>
          <w:rStyle w:val="eop"/>
          <w:noProof/>
        </w:rPr>
      </w:pPr>
      <w:r w:rsidRPr="005B012A">
        <w:t>(3)</w:t>
      </w:r>
      <w:r w:rsidRPr="005B012A">
        <w:tab/>
      </w:r>
      <w:r w:rsidRPr="005B012A">
        <w:rPr>
          <w:rStyle w:val="normaltextrun"/>
        </w:rPr>
        <w:t xml:space="preserve">2023 m. rugsėjo 13 d. Komisija paskelbė apie vieną iš visapusiškos strategijos, skirtos atsakingoms DI srities inovacijoms remti, dalių – naują strateginę iniciatyvą, kurios tikslas – suteikti novatoriškiems patikimo DI srities Europos startuoliams galimybę naudotis Sąjungos našiosios kompiuterijos pajėgumais savo modeliams mokyti. Ši iniciatyva papildo darbą, susijusį su DI taikytinų apsaugos priemonių nustatymu Reglamentu (ES) 2024/…, valdymo struktūrų sukūrimu ir inovacijų rėmimu pagal Suderintą dirbtinio intelekto planą; </w:t>
      </w:r>
    </w:p>
    <w:p w:rsidR="0059267E" w:rsidRPr="005B012A" w:rsidRDefault="0059267E" w:rsidP="00E40ED7">
      <w:pPr>
        <w:spacing w:before="120" w:after="120" w:line="360" w:lineRule="auto"/>
        <w:ind w:left="709" w:hanging="709"/>
        <w:jc w:val="both"/>
      </w:pPr>
      <w:r w:rsidRPr="005B012A">
        <w:rPr>
          <w:b/>
          <w:i/>
        </w:rPr>
        <w:t>(3a)</w:t>
      </w:r>
      <w:r w:rsidRPr="005B012A">
        <w:rPr>
          <w:b/>
          <w:i/>
        </w:rPr>
        <w:tab/>
      </w:r>
      <w:r w:rsidRPr="005B012A">
        <w:rPr>
          <w:b/>
          <w:bCs/>
          <w:i/>
          <w:iCs/>
        </w:rPr>
        <w:t>siekiant pasinaudoti superkompiuterių infrastruktūra ir skatinti novatorišką Europos DI ekosistemą, be kita ko, visoje Sąjungoje steigiant DI fabrikus, 2024 m. sausio 24 d. Komisijos komunikate „Patikimo dirbtinio intelekto startuolių ir inovacijų skatinimas“ nustatyta strateginių investicijų sistema, siekiant, kad Sąjungos startuoliai ir pramonė galėtų išnaudoti savo potencialą tapti pasauliniais patikimų pažangių DI modelių, sistemų ir taikmenų srities lyderiais;</w:t>
      </w:r>
    </w:p>
    <w:p w:rsidR="0059267E" w:rsidRPr="005B012A" w:rsidRDefault="0059267E" w:rsidP="00E40ED7">
      <w:pPr>
        <w:pStyle w:val="ManualConsidrant"/>
        <w:spacing w:line="360" w:lineRule="auto"/>
      </w:pPr>
      <w:r w:rsidRPr="005B012A">
        <w:t>(4)</w:t>
      </w:r>
      <w:r w:rsidRPr="005B012A">
        <w:tab/>
        <w:t>atsižvelgiant į tai, kad galingiausiais Sąjungos pasaulinio lygio superkompiuterijos pajėgumais pasižymi Europos našiosios kompiuterijos bendrosios įmonės (toliau – Bendroji įmonė) objektai, būtent jais turėtų būti leista naudotis siekiant įgyvendinti Komisijos iniciatyvą. Atitinkamai, prie šešių esamų Bendrosios įmonės tikslų reikia pridėti dar vieną, susijusį su jos superkompiuterių indėliu į naująją Sąjungos DI iniciatyvą</w:t>
      </w:r>
      <w:r w:rsidRPr="005B012A">
        <w:rPr>
          <w:b/>
          <w:bCs/>
          <w:i/>
          <w:iCs/>
        </w:rPr>
        <w:t>, užtikrinant sąžiningumą, skaidrumą, patikimumą ir teigiamą poveikį visuomenei bei atsižvelgiant į Sąjungos poreikius ir tikslus</w:t>
      </w:r>
      <w:r w:rsidRPr="005B012A">
        <w:t>;</w:t>
      </w:r>
    </w:p>
    <w:p w:rsidR="0059267E" w:rsidRPr="005B012A" w:rsidRDefault="0059267E" w:rsidP="00E40ED7">
      <w:pPr>
        <w:pStyle w:val="ManualConsidrant"/>
        <w:spacing w:line="360" w:lineRule="auto"/>
        <w:rPr>
          <w:noProof/>
        </w:rPr>
      </w:pPr>
      <w:r w:rsidRPr="005B012A">
        <w:lastRenderedPageBreak/>
        <w:t>(5)</w:t>
      </w:r>
      <w:r w:rsidRPr="005B012A">
        <w:tab/>
        <w:t xml:space="preserve">nustačius naująjį tikslą, Bendroji įmonė galėtų vykdyti veiklą, susijusią su DI skirtų superkompiuterių arba superkompiuterių skaidinių </w:t>
      </w:r>
      <w:r w:rsidRPr="005B012A">
        <w:rPr>
          <w:b/>
          <w:bCs/>
          <w:i/>
          <w:iCs/>
        </w:rPr>
        <w:t>modernizavimu arba</w:t>
      </w:r>
      <w:r w:rsidRPr="005B012A">
        <w:t xml:space="preserve"> įsigijimu ir eksploatavimu, siekiant sudaryti sąlygas sparčiam mašininiam </w:t>
      </w:r>
      <w:r w:rsidRPr="005B012A">
        <w:rPr>
          <w:b/>
          <w:bCs/>
          <w:i/>
          <w:iCs/>
        </w:rPr>
        <w:t>patikimų ir etiškų</w:t>
      </w:r>
      <w:r w:rsidRPr="005B012A">
        <w:t xml:space="preserve"> didžiųjų bendrosios paskirties DI modelių mokymuisi ir mokymui,</w:t>
      </w:r>
      <w:r w:rsidRPr="005B012A">
        <w:rPr>
          <w:b/>
          <w:bCs/>
          <w:i/>
          <w:iCs/>
        </w:rPr>
        <w:t xml:space="preserve"> taip stiprinant Sąjungos konkurencingumą ir pramoninę bazę dirbtinio intelekto srityje</w:t>
      </w:r>
      <w:r w:rsidRPr="005B012A">
        <w:t xml:space="preserve">. Bendrajai įmonei taip pat turėtų būti leista sukurti naują prieigos prie jos kompiuterijos išteklių režimą, </w:t>
      </w:r>
      <w:r w:rsidRPr="005B012A">
        <w:rPr>
          <w:b/>
          <w:bCs/>
          <w:i/>
          <w:iCs/>
        </w:rPr>
        <w:t>visų pirma</w:t>
      </w:r>
      <w:r w:rsidRPr="005B012A">
        <w:t xml:space="preserve"> skirtą DI srities startuoliams ir platesnei DI srityje veikiančiai mokslo bendruomenei, ir kurti specialias DI taikmenas, </w:t>
      </w:r>
      <w:r w:rsidRPr="005B012A">
        <w:rPr>
          <w:b/>
          <w:bCs/>
          <w:i/>
          <w:iCs/>
        </w:rPr>
        <w:t>modelius ir sistemas,</w:t>
      </w:r>
      <w:r w:rsidRPr="005B012A">
        <w:t xml:space="preserve"> </w:t>
      </w:r>
      <w:r w:rsidRPr="005B012A">
        <w:rPr>
          <w:b/>
          <w:bCs/>
          <w:i/>
          <w:iCs/>
        </w:rPr>
        <w:t>optimizuotus</w:t>
      </w:r>
      <w:r w:rsidRPr="005B012A">
        <w:t xml:space="preserve"> veikti jos superkompiuteriuose</w:t>
      </w:r>
      <w:r w:rsidRPr="005B012A">
        <w:rPr>
          <w:b/>
          <w:bCs/>
          <w:i/>
          <w:iCs/>
        </w:rPr>
        <w:t>, užtikrinant atvirąją prieigą, sąžiningumą ir skaidrumą</w:t>
      </w:r>
      <w:r w:rsidRPr="005B012A">
        <w:t xml:space="preserve">. Šie pakeitimai suteiktų Bendrajai įmonei galimybę siūlyti specialiai pritaikytą kompiuterių galią ir paslaugas, skirtas didelio masto DI mokymui, kūrimui ir diegimui Sąjungoje skatinti – pagal dabartinį reglamentą to įgyvendinti neįmanoma; </w:t>
      </w:r>
    </w:p>
    <w:p w:rsidR="0059267E" w:rsidRPr="005B012A" w:rsidRDefault="0059267E" w:rsidP="00E40ED7">
      <w:pPr>
        <w:spacing w:line="360" w:lineRule="auto"/>
        <w:ind w:left="709" w:hanging="709"/>
        <w:jc w:val="both"/>
        <w:rPr>
          <w:b/>
        </w:rPr>
      </w:pPr>
      <w:r w:rsidRPr="005B012A">
        <w:rPr>
          <w:b/>
          <w:i/>
        </w:rPr>
        <w:t>(5a)</w:t>
      </w:r>
      <w:r w:rsidRPr="005B012A">
        <w:rPr>
          <w:b/>
        </w:rPr>
        <w:tab/>
      </w:r>
      <w:r w:rsidRPr="005B012A">
        <w:rPr>
          <w:b/>
          <w:i/>
        </w:rPr>
        <w:t xml:space="preserve">Bendroji įmonė, remdamasi atvirosios prieigos principais, turėtų įsteigti vieno langelio principu veikiantį punktą, kad įvairių tipų naudotojai galėtų visapusiškai išnaudoti dirbtinio intelekto potencialą superkompiuterijos srityje. DI fabrikų teikiamos galimybės turėtų būti išsamiai pristatytos startuoliams, </w:t>
      </w:r>
      <w:r w:rsidRPr="005B012A">
        <w:rPr>
          <w:b/>
          <w:i/>
          <w:snapToGrid w:val="0"/>
        </w:rPr>
        <w:t>mažosioms ir vidutinėms įmonėms</w:t>
      </w:r>
      <w:r w:rsidRPr="005B012A">
        <w:rPr>
          <w:b/>
          <w:i/>
        </w:rPr>
        <w:t xml:space="preserve"> (MVĮ), inovacijų ekosistemai ir mokslininkams, dalyvaujantiems Sąjungos programose, pabrėžiant daugybę privalumų, kuriuos DI gali suteikti superkompiuterijos taikmenų srityje. Be to, DI fabrikams bendradarbiaujant Sąjungos lygmeniu, turėtų būti sudarytos sąlygos visoje Sąjungoje teikti naudojimąsi kompiuterių galia kaip paslaugą – tai yra labai svarbu teikiamoms paramos paslaugoms, taip dar labiau palengvinant prieigą prie šios itin svarbios infrastruktūros. Tai taip pat turėtų padėti kurti į paklausą orientuotus „EuroHPC“ superkompiuterius, užtikrinant, kad infrastruktūra atitiktų besikeičiančius naudotojų ir sektorių poreikius visoje Sąjungoje;</w:t>
      </w:r>
    </w:p>
    <w:p w:rsidR="0059267E" w:rsidRPr="005B012A" w:rsidRDefault="0059267E" w:rsidP="00E40ED7">
      <w:pPr>
        <w:spacing w:before="240" w:line="360" w:lineRule="auto"/>
        <w:ind w:left="709" w:hanging="709"/>
        <w:jc w:val="both"/>
        <w:rPr>
          <w:szCs w:val="24"/>
        </w:rPr>
      </w:pPr>
      <w:r w:rsidRPr="005B012A">
        <w:rPr>
          <w:b/>
          <w:i/>
        </w:rPr>
        <w:t>(5b)</w:t>
      </w:r>
      <w:r w:rsidRPr="005B012A">
        <w:rPr>
          <w:b/>
          <w:i/>
        </w:rPr>
        <w:tab/>
        <w:t>2023 m. gruodžio 14 d. Europos Parlamento rezoliucijoje dėl inovacijų, pramonės ir technologijų konkurencingumo didinimo kuriant palankias sąlygas startuoliams ir veiklą plečiančioms įmonėms</w:t>
      </w:r>
      <w:r w:rsidRPr="005B012A">
        <w:rPr>
          <w:rStyle w:val="FootnoteReference"/>
          <w:b/>
          <w:i/>
        </w:rPr>
        <w:footnoteReference w:id="6"/>
      </w:r>
      <w:r w:rsidRPr="005B012A">
        <w:rPr>
          <w:b/>
          <w:i/>
        </w:rPr>
        <w:t xml:space="preserve"> pabrėžiama, kad </w:t>
      </w:r>
      <w:r w:rsidRPr="005B012A">
        <w:rPr>
          <w:b/>
          <w:i/>
          <w:snapToGrid w:val="0"/>
        </w:rPr>
        <w:t xml:space="preserve">veiklą plečiančios įmonės atlieka itin svarbų vaidmenį skatinant inovacijas, darbo vietų kūrimą ir ekonomikos augimą Sąjungoje, o Komisija ir valstybės narės raginamos priimti tinkamą veiklą plečiančių įmonių apibrėžtį, grindžiamą jų galimybėmis plėstis, kartu atsižvelgiant į tai, kuo jos </w:t>
      </w:r>
      <w:r w:rsidRPr="005B012A">
        <w:rPr>
          <w:b/>
          <w:i/>
          <w:snapToGrid w:val="0"/>
        </w:rPr>
        <w:lastRenderedPageBreak/>
        <w:t>skiriasi nuo startuolių ir MVĮ. Bendrosios įmonės valdyba turėtų apibrėžti</w:t>
      </w:r>
      <w:r w:rsidRPr="005B012A">
        <w:rPr>
          <w:b/>
          <w:i/>
        </w:rPr>
        <w:t xml:space="preserve"> prieigos prie tokių dirbtiniam intelektui skirtų superkompiuterių ir atitinkamų paramos paslaugų sąlygas įvairių kategorijų naudotojams, pavyzdžiui, startuoliams, veiklą plečiančioms įmonėms, MVĮ, aukštojo mokslo institucijoms ir mokslinių tyrimų centrams, siekiant įveikti sąnaudų suvaržymų ir žinių apie išteklius trūkumo problemas;</w:t>
      </w:r>
    </w:p>
    <w:p w:rsidR="0059267E" w:rsidRPr="005B012A" w:rsidRDefault="0059267E" w:rsidP="00E40ED7">
      <w:pPr>
        <w:spacing w:before="240" w:line="360" w:lineRule="auto"/>
        <w:ind w:left="709" w:hanging="709"/>
        <w:jc w:val="both"/>
        <w:rPr>
          <w:szCs w:val="24"/>
        </w:rPr>
      </w:pPr>
      <w:r w:rsidRPr="005B012A">
        <w:rPr>
          <w:b/>
          <w:i/>
        </w:rPr>
        <w:t>(5c)</w:t>
      </w:r>
      <w:r w:rsidRPr="005B012A">
        <w:rPr>
          <w:b/>
          <w:i/>
        </w:rPr>
        <w:tab/>
        <w:t>atsižvelgiant į tai, kad naudojant superkompiuterius DI tikslais reikia naudoti daugiau duomenų, svarbu, kad jie būtų įrengti netoliese esamo ar planuojamo duomenų centro arba būtų prie jo prijungti sparčiaisiais tinklais. Be to, tokie duomenų centrai turėtų visiškai atitikti Europos Parlamento ir Tarybos direktyvos (ES) 2023/1791</w:t>
      </w:r>
      <w:r w:rsidRPr="005B012A">
        <w:rPr>
          <w:rStyle w:val="FootnoteReference"/>
          <w:b/>
          <w:bCs/>
          <w:i/>
          <w:iCs/>
        </w:rPr>
        <w:footnoteReference w:id="7"/>
      </w:r>
      <w:r w:rsidRPr="005B012A">
        <w:rPr>
          <w:b/>
          <w:i/>
        </w:rPr>
        <w:t xml:space="preserve"> 12 straipsnyje nustatytus reikalavimus ir ateityje turėtų būti sujungti su bendromis Europos duomenų erdvėmis, kad būtų lengviau mokyti modelius pagrindinėse sektorių srityse. Prieglobą teikiantys subjektai turėtų turėti galimybę veiksmingai naudoti bendrų Europos duomenų erdvių teikiama finansine parama, kad pagerintų savo infrastruktūrą, be kita ko, įsigytų arba modernizuotų duomenų centrus. </w:t>
      </w:r>
      <w:r w:rsidRPr="005B012A">
        <w:rPr>
          <w:b/>
          <w:bCs/>
          <w:i/>
        </w:rPr>
        <w:t>Turėtų būti skatinama įvairių iniciatyvų sinergija;</w:t>
      </w:r>
      <w:r w:rsidRPr="005B012A">
        <w:t xml:space="preserve"> </w:t>
      </w:r>
    </w:p>
    <w:p w:rsidR="0059267E" w:rsidRPr="005B012A" w:rsidRDefault="0059267E" w:rsidP="00E40ED7">
      <w:pPr>
        <w:spacing w:before="240" w:line="360" w:lineRule="auto"/>
        <w:ind w:left="709" w:hanging="709"/>
        <w:jc w:val="both"/>
        <w:rPr>
          <w:b/>
          <w:bCs/>
          <w:i/>
          <w:iCs/>
        </w:rPr>
      </w:pPr>
      <w:r w:rsidRPr="005B012A">
        <w:rPr>
          <w:b/>
          <w:i/>
        </w:rPr>
        <w:t>(5d)</w:t>
      </w:r>
      <w:r w:rsidRPr="005B012A">
        <w:rPr>
          <w:b/>
          <w:i/>
        </w:rPr>
        <w:tab/>
        <w:t>atsižvelgiant į tai, kad naudojant superkompiuterius dirbtiniam intelektui reikia gerokai padidinti kompiuterių galią, o tai savo ruožtu lemia didesnį energijos suvartojimą, prieglobą teikiantys subjektai turėtų turėti planus, susijusius su jų energijos vartojimo efektyvumu ir aplinkosauginiu tvarumu. Tais planais turėtų būti užtikrinta, kad superkompiuteris turėtų prieigą prie saugios ir stabilios tinklo jungties ir elektros energijos tiekimo, pageidautina, naudojant švarią įperkamą energiją, įskaitant elektros energijos pirkimo sutarčių, kurios taip pat gali būti grindžiamos atsinaujinančiųjų išteklių energija, naudojimą ir vietoje pagamintos elektros energijos naudojimą. Be to, DI modeliai turėtų atitikti Reglamente </w:t>
      </w:r>
      <w:r w:rsidR="00E40ED7">
        <w:rPr>
          <w:b/>
          <w:i/>
        </w:rPr>
        <w:t>(ES) 2024/...</w:t>
      </w:r>
      <w:r w:rsidRPr="005B012A">
        <w:rPr>
          <w:b/>
          <w:i/>
        </w:rPr>
        <w:t xml:space="preserve"> [Dirbtinio intelekto aktas] nustatytus energijos suvartojimo reikalavimus. Turi būti laikomasi tame reglamente nustatytų pranešimų apie bendrosios paskirties DI modelius teikimo pareigų;</w:t>
      </w:r>
    </w:p>
    <w:p w:rsidR="0059267E" w:rsidRPr="005B012A" w:rsidRDefault="0059267E" w:rsidP="00E40ED7">
      <w:pPr>
        <w:spacing w:before="240" w:line="360" w:lineRule="auto"/>
        <w:ind w:left="709" w:hanging="709"/>
        <w:jc w:val="both"/>
        <w:rPr>
          <w:b/>
        </w:rPr>
      </w:pPr>
      <w:r w:rsidRPr="005B012A">
        <w:rPr>
          <w:b/>
          <w:i/>
        </w:rPr>
        <w:t>(5e)</w:t>
      </w:r>
      <w:r w:rsidRPr="005B012A">
        <w:rPr>
          <w:b/>
          <w:i/>
        </w:rPr>
        <w:tab/>
        <w:t xml:space="preserve">DI fabrikai teiks visapusiškas superkompiuterių paramos paslaugas DI srities </w:t>
      </w:r>
      <w:r w:rsidRPr="005B012A">
        <w:rPr>
          <w:b/>
          <w:i/>
        </w:rPr>
        <w:lastRenderedPageBreak/>
        <w:t>startuoliams, mažoms novatoriškoms įmonėms ir platesnei mokslinių tyrimų ir inovacijų ekosistemai. Tų paslaugų teikimas yra labai svarbus siekiant palengvinti prieigą prie superkompiuterių, suteikti specialią programavimo infrastruktūrą ir su algoritmais susijusią paramą kuriant, išbandant, vertinant ir validuojant DI mokymo modelius ir sistemas. Be to, jos padeda kurti naujus naudojimo atvejus ir naujoviškas taikmenas Europos strateginėse srityse, įskaitant, be kita ko, robotiką ir gamybą, naujas medžiagas ir baterijas, judumą, susietąjį ir automatizuotą vairavimą, sveikatą ir priežiūrą, biotechnologijas, energetiką, klimato kaitą ir prisitaikymą prie jos, sudėtingą sistemų dinamiką, virtualiuosius pasaulius ir skaitmeninius dvynius, kibernetinį saugumą, žemės ūkio praktiką, mokslinius tyrimus ir inovacijas bei viešąjį sektorių;</w:t>
      </w:r>
    </w:p>
    <w:p w:rsidR="0059267E" w:rsidRPr="005B012A" w:rsidRDefault="0059267E" w:rsidP="00E40ED7">
      <w:pPr>
        <w:pStyle w:val="ManualConsidrant"/>
        <w:spacing w:line="360" w:lineRule="auto"/>
        <w:rPr>
          <w:noProof/>
        </w:rPr>
      </w:pPr>
      <w:r w:rsidRPr="005B012A">
        <w:t>(6)</w:t>
      </w:r>
      <w:r w:rsidRPr="005B012A">
        <w:tab/>
        <w:t xml:space="preserve">siekiant suderinti šio reglamento taikymo pradžios datą su </w:t>
      </w:r>
      <w:r w:rsidRPr="005B012A">
        <w:rPr>
          <w:rStyle w:val="normaltextrun"/>
        </w:rPr>
        <w:t>Europos Parlamento ir Tarybos reglamento (ES) 2024/..., kuriuo nustatomos suderintos dirbtinio intelekto taisyklės, nuostatų taikymo pradžios data,</w:t>
      </w:r>
      <w:r w:rsidRPr="005B012A">
        <w:t xml:space="preserve"> jis turėtų būti pradėtas taikyti nepagrįstai nedelsiant;</w:t>
      </w:r>
    </w:p>
    <w:p w:rsidR="0059267E" w:rsidRPr="005B012A" w:rsidRDefault="0059267E" w:rsidP="00E40ED7">
      <w:pPr>
        <w:pStyle w:val="ManualConsidrant"/>
        <w:spacing w:line="360" w:lineRule="auto"/>
        <w:rPr>
          <w:noProof/>
        </w:rPr>
      </w:pPr>
      <w:r w:rsidRPr="005B012A">
        <w:t>(7)</w:t>
      </w:r>
      <w:r w:rsidRPr="005B012A">
        <w:tab/>
        <w:t>todėl Reglamentas (ES) 2021/1173 turėtų būti atitinkamai iš dalies pakeistas,</w:t>
      </w:r>
    </w:p>
    <w:p w:rsidR="0059267E" w:rsidRPr="005B012A" w:rsidRDefault="0059267E" w:rsidP="00E40ED7">
      <w:pPr>
        <w:pStyle w:val="Formuledadoption"/>
        <w:spacing w:line="360" w:lineRule="auto"/>
        <w:rPr>
          <w:noProof/>
        </w:rPr>
      </w:pPr>
      <w:r w:rsidRPr="005B012A">
        <w:t>PRIĖMĖ ŠĮ REGLAMENTĄ:</w:t>
      </w:r>
    </w:p>
    <w:p w:rsidR="0059267E" w:rsidRPr="005B012A" w:rsidRDefault="0059267E" w:rsidP="00E40ED7">
      <w:pPr>
        <w:pStyle w:val="Titrearticle"/>
        <w:spacing w:line="360" w:lineRule="auto"/>
        <w:rPr>
          <w:noProof/>
        </w:rPr>
      </w:pPr>
      <w:r w:rsidRPr="005B012A">
        <w:t>1 straipsnis</w:t>
      </w:r>
    </w:p>
    <w:p w:rsidR="0059267E" w:rsidRPr="005B012A" w:rsidRDefault="0059267E" w:rsidP="00E40ED7">
      <w:pPr>
        <w:spacing w:line="360" w:lineRule="auto"/>
        <w:rPr>
          <w:noProof/>
        </w:rPr>
      </w:pPr>
      <w:r w:rsidRPr="005B012A">
        <w:t xml:space="preserve">Reglamentas (ES) 2021/1173 iš dalies keičiamas taip: </w:t>
      </w:r>
    </w:p>
    <w:p w:rsidR="0059267E" w:rsidRPr="005B012A" w:rsidRDefault="0059267E" w:rsidP="00E40ED7">
      <w:pPr>
        <w:pStyle w:val="ListParagraph"/>
        <w:spacing w:line="360" w:lineRule="auto"/>
        <w:ind w:left="1080"/>
        <w:rPr>
          <w:noProof/>
        </w:rPr>
      </w:pPr>
    </w:p>
    <w:p w:rsidR="0059267E" w:rsidRPr="005B012A" w:rsidRDefault="0059267E" w:rsidP="00E40ED7">
      <w:pPr>
        <w:pStyle w:val="Point0"/>
        <w:spacing w:line="360" w:lineRule="auto"/>
        <w:rPr>
          <w:noProof/>
        </w:rPr>
      </w:pPr>
      <w:r w:rsidRPr="005B012A">
        <w:t>1)</w:t>
      </w:r>
      <w:r w:rsidRPr="005B012A">
        <w:tab/>
        <w:t>2 straipsnis iš dalies keičiamas taip:</w:t>
      </w:r>
    </w:p>
    <w:p w:rsidR="0059267E" w:rsidRPr="005B012A" w:rsidRDefault="0059267E" w:rsidP="00E40ED7">
      <w:pPr>
        <w:pStyle w:val="Point0"/>
        <w:spacing w:line="360" w:lineRule="auto"/>
        <w:ind w:left="1700"/>
        <w:rPr>
          <w:noProof/>
        </w:rPr>
      </w:pPr>
      <w:r w:rsidRPr="005B012A">
        <w:t>a)</w:t>
      </w:r>
      <w:r w:rsidRPr="005B012A">
        <w:tab/>
        <w:t>įterpiami 3a ir 3b punktai:</w:t>
      </w:r>
    </w:p>
    <w:p w:rsidR="0059267E" w:rsidRPr="005B012A" w:rsidRDefault="0059267E" w:rsidP="00E40ED7">
      <w:pPr>
        <w:pStyle w:val="ListParagraph"/>
        <w:spacing w:line="360" w:lineRule="auto"/>
        <w:ind w:left="2160" w:hanging="590"/>
        <w:rPr>
          <w:noProof/>
        </w:rPr>
      </w:pPr>
      <w:r w:rsidRPr="005B012A">
        <w:t xml:space="preserve">„3b. </w:t>
      </w:r>
      <w:r w:rsidRPr="005B012A">
        <w:tab/>
        <w:t xml:space="preserve">dirbtiniam intelektui skirtas superkompiuteris – superkompiuteris, visų pirma skirtas dideliems </w:t>
      </w:r>
      <w:r w:rsidRPr="005B012A">
        <w:rPr>
          <w:b/>
          <w:bCs/>
          <w:i/>
          <w:iCs/>
        </w:rPr>
        <w:t>civiliniams</w:t>
      </w:r>
      <w:r w:rsidRPr="005B012A">
        <w:t xml:space="preserve"> bendrosios paskirties dirbtinio intelekto modeliams ir naujoms dirbtinio intelekto taikmenoms mokyti </w:t>
      </w:r>
      <w:r w:rsidRPr="005B012A">
        <w:rPr>
          <w:b/>
          <w:bCs/>
          <w:i/>
          <w:iCs/>
        </w:rPr>
        <w:t>bei technologijoms ir sistemoms kurti</w:t>
      </w:r>
      <w:r w:rsidRPr="005B012A">
        <w:t>;</w:t>
      </w:r>
    </w:p>
    <w:p w:rsidR="0059267E" w:rsidRPr="005B012A" w:rsidRDefault="0059267E" w:rsidP="00E40ED7">
      <w:pPr>
        <w:pStyle w:val="ListParagraph"/>
        <w:spacing w:line="360" w:lineRule="auto"/>
        <w:ind w:left="1570"/>
        <w:rPr>
          <w:noProof/>
        </w:rPr>
      </w:pPr>
    </w:p>
    <w:p w:rsidR="0059267E" w:rsidRPr="005B012A" w:rsidRDefault="0059267E" w:rsidP="00E40ED7">
      <w:pPr>
        <w:pStyle w:val="ListParagraph"/>
        <w:spacing w:line="360" w:lineRule="auto"/>
        <w:ind w:left="2160" w:hanging="590"/>
        <w:rPr>
          <w:noProof/>
        </w:rPr>
      </w:pPr>
      <w:r w:rsidRPr="005B012A">
        <w:t xml:space="preserve">3c. </w:t>
      </w:r>
      <w:r w:rsidRPr="005B012A">
        <w:tab/>
        <w:t xml:space="preserve">dirbtinio intelekto fabrikas – centralizuota arba paskirstytoji </w:t>
      </w:r>
      <w:r w:rsidRPr="005B012A">
        <w:rPr>
          <w:b/>
          <w:bCs/>
          <w:i/>
          <w:iCs/>
        </w:rPr>
        <w:t>atviroji ekosistema</w:t>
      </w:r>
      <w:r w:rsidRPr="005B012A">
        <w:t xml:space="preserve">, teikianti dirbtinio intelekto superkompiuterijos paslaugų infrastruktūrą, kurią sudaro dirbtiniam intelektui skirtas </w:t>
      </w:r>
      <w:r w:rsidRPr="005B012A">
        <w:lastRenderedPageBreak/>
        <w:t xml:space="preserve">superkompiuteris </w:t>
      </w:r>
      <w:r w:rsidRPr="005B012A">
        <w:rPr>
          <w:b/>
          <w:bCs/>
          <w:i/>
          <w:iCs/>
        </w:rPr>
        <w:t>ar</w:t>
      </w:r>
      <w:r w:rsidRPr="005B012A">
        <w:t xml:space="preserve"> dirbtiniam intelektui skirtas superkompiuterio skaidinys </w:t>
      </w:r>
      <w:r w:rsidRPr="005B012A">
        <w:rPr>
          <w:b/>
          <w:bCs/>
          <w:i/>
          <w:iCs/>
        </w:rPr>
        <w:t>arba „EuroHPC“ superkompiuteris, modernizuotas dirbtiniam intelektui,</w:t>
      </w:r>
      <w:r w:rsidRPr="005B012A">
        <w:t xml:space="preserve"> susijęs duomenų centras, speciali prieiga ir į dirbtinį intelektą orientuotos superkompiuterijos paslaugos, </w:t>
      </w:r>
      <w:r w:rsidRPr="005B012A">
        <w:rPr>
          <w:b/>
          <w:bCs/>
          <w:i/>
          <w:iCs/>
        </w:rPr>
        <w:t>kuriomis atvirai ir aktyviai ugdomi, pritraukiami, išlaikomi ir telkiami</w:t>
      </w:r>
      <w:r w:rsidRPr="005B012A">
        <w:t xml:space="preserve"> specialistai, kad būtų užtikrinta kompetencija, </w:t>
      </w:r>
      <w:r w:rsidRPr="005B012A">
        <w:rPr>
          <w:b/>
          <w:bCs/>
          <w:i/>
          <w:iCs/>
        </w:rPr>
        <w:t>įgūdžiai ir žinios,</w:t>
      </w:r>
      <w:r w:rsidRPr="005B012A">
        <w:t xml:space="preserve"> </w:t>
      </w:r>
      <w:r w:rsidRPr="005B012A">
        <w:rPr>
          <w:b/>
          <w:bCs/>
          <w:i/>
          <w:iCs/>
        </w:rPr>
        <w:t>kurios naudotojams padeda naudoti</w:t>
      </w:r>
      <w:r w:rsidRPr="005B012A">
        <w:t xml:space="preserve"> superkompiuterius dirbtinio intelekto reikmėms </w:t>
      </w:r>
      <w:r w:rsidRPr="005B012A">
        <w:rPr>
          <w:b/>
          <w:bCs/>
          <w:i/>
          <w:iCs/>
        </w:rPr>
        <w:t>ir pataria, kaip tai daryti,</w:t>
      </w:r>
      <w:r w:rsidRPr="005B012A">
        <w:rPr>
          <w:i/>
          <w:iCs/>
        </w:rPr>
        <w:t xml:space="preserve"> </w:t>
      </w:r>
      <w:r w:rsidRPr="005B012A">
        <w:rPr>
          <w:b/>
          <w:bCs/>
          <w:i/>
          <w:iCs/>
        </w:rPr>
        <w:t>taip pat kuriomis teikiamos jų priežiūrai reikalingos paslaugos</w:t>
      </w:r>
      <w:r w:rsidRPr="005B012A">
        <w:t>;“;</w:t>
      </w:r>
    </w:p>
    <w:p w:rsidR="0059267E" w:rsidRPr="005B012A" w:rsidRDefault="0059267E" w:rsidP="00E40ED7">
      <w:pPr>
        <w:pStyle w:val="Point0"/>
        <w:spacing w:line="360" w:lineRule="auto"/>
        <w:ind w:left="1700"/>
        <w:rPr>
          <w:noProof/>
        </w:rPr>
      </w:pPr>
      <w:r w:rsidRPr="005B012A">
        <w:t>b)</w:t>
      </w:r>
      <w:r w:rsidRPr="005B012A">
        <w:tab/>
        <w:t>9 punktas pakeičiamas taip:</w:t>
      </w:r>
    </w:p>
    <w:p w:rsidR="0059267E" w:rsidRPr="005B012A" w:rsidRDefault="0059267E" w:rsidP="00E40ED7">
      <w:pPr>
        <w:pStyle w:val="ListParagraph"/>
        <w:spacing w:line="360" w:lineRule="auto"/>
        <w:ind w:left="2160" w:hanging="590"/>
        <w:rPr>
          <w:noProof/>
        </w:rPr>
      </w:pPr>
      <w:r w:rsidRPr="005B012A">
        <w:t xml:space="preserve">„9. </w:t>
      </w:r>
      <w:r w:rsidRPr="005B012A">
        <w:tab/>
        <w:t>„EuroHPC“ superkompiuteris – bet kokia kompiuterijos sistema, visiškai nuosavybės teise priklausanti Bendrajai įmonei arba Bendrajai įmonei kartu su kitomis dalyvaujančiomis valstybėmis ar privačių partnerių konsorciumu; jis gali būti klasikinis superkompiuteris (aukščiausios klasės superkompiuteris, pramoninis superkompiuteris, dirbtiniam intelektui skirtas superkompiuteris arba vidutinės klasės superkompiuteris), hibridinis klasikinis kvantinis kompiuteris, kvantinis kompiuteris arba kvantinis simuliatorius;“;</w:t>
      </w:r>
    </w:p>
    <w:p w:rsidR="0059267E" w:rsidRPr="005B012A" w:rsidRDefault="0059267E" w:rsidP="00E40ED7">
      <w:pPr>
        <w:pStyle w:val="ListParagraph"/>
        <w:spacing w:line="360" w:lineRule="auto"/>
        <w:ind w:left="1570"/>
        <w:rPr>
          <w:noProof/>
        </w:rPr>
      </w:pPr>
    </w:p>
    <w:p w:rsidR="0059267E" w:rsidRPr="005B012A" w:rsidRDefault="0059267E" w:rsidP="00E40ED7">
      <w:pPr>
        <w:pStyle w:val="Point0"/>
        <w:spacing w:line="360" w:lineRule="auto"/>
        <w:rPr>
          <w:noProof/>
        </w:rPr>
      </w:pPr>
      <w:r w:rsidRPr="005B012A">
        <w:t>2)</w:t>
      </w:r>
      <w:r w:rsidRPr="005B012A">
        <w:tab/>
        <w:t>3 straipsnio 2 dalis papildoma h punktu:</w:t>
      </w:r>
    </w:p>
    <w:p w:rsidR="0059267E" w:rsidRPr="005B012A" w:rsidRDefault="0059267E" w:rsidP="00E40ED7">
      <w:pPr>
        <w:pStyle w:val="Point1"/>
        <w:spacing w:before="0" w:line="360" w:lineRule="auto"/>
        <w:rPr>
          <w:noProof/>
        </w:rPr>
      </w:pPr>
      <w:r w:rsidRPr="005B012A">
        <w:t xml:space="preserve">„h) </w:t>
      </w:r>
      <w:r w:rsidRPr="005B012A">
        <w:tab/>
        <w:t xml:space="preserve">kurti ir valdyti dirbtinio intelekto fabrikus, padedančius Sąjungoje toliau plėtoti itin konkurencingą, </w:t>
      </w:r>
      <w:r w:rsidRPr="005B012A">
        <w:rPr>
          <w:b/>
          <w:bCs/>
          <w:i/>
          <w:iCs/>
        </w:rPr>
        <w:t>tvarią, patikimą ir etišką</w:t>
      </w:r>
      <w:r w:rsidRPr="005B012A">
        <w:t xml:space="preserve"> bei novatorišką dirbtinio intelekto ekosistemą.“</w:t>
      </w:r>
    </w:p>
    <w:p w:rsidR="0059267E" w:rsidRPr="005B012A" w:rsidRDefault="0059267E" w:rsidP="00E40ED7">
      <w:pPr>
        <w:pStyle w:val="Point0"/>
        <w:spacing w:line="360" w:lineRule="auto"/>
        <w:rPr>
          <w:noProof/>
        </w:rPr>
      </w:pPr>
      <w:r w:rsidRPr="005B012A">
        <w:t>3)</w:t>
      </w:r>
      <w:r w:rsidRPr="005B012A">
        <w:tab/>
        <w:t>4 straipsnio 1 dalis papildoma h punktu:</w:t>
      </w:r>
    </w:p>
    <w:p w:rsidR="0059267E" w:rsidRPr="005B012A" w:rsidRDefault="0059267E" w:rsidP="00E40ED7">
      <w:pPr>
        <w:pStyle w:val="Point1"/>
        <w:spacing w:line="360" w:lineRule="auto"/>
        <w:rPr>
          <w:noProof/>
        </w:rPr>
      </w:pPr>
      <w:r w:rsidRPr="005B012A">
        <w:t xml:space="preserve">„h) dirbtinio intelekto fabrikų ramsčiu, skirtu patikimam ir etiškam dirbtiniam intelektui ir aprėpiančiu veiklą, kurios tikslas – teikti į dirbtinį intelektą orientuotų superkompiuterijos paslaugų infrastruktūrą, kuria siekiama toliau plėtoti dirbtinio intelekto ekosistemos inovacinius pajėgumus ir įgūdžius; </w:t>
      </w:r>
      <w:r w:rsidRPr="005B012A">
        <w:rPr>
          <w:b/>
          <w:bCs/>
          <w:i/>
          <w:iCs/>
        </w:rPr>
        <w:t xml:space="preserve">ta </w:t>
      </w:r>
      <w:r w:rsidRPr="005B012A">
        <w:t>veikla</w:t>
      </w:r>
      <w:r w:rsidRPr="005B012A">
        <w:rPr>
          <w:b/>
          <w:bCs/>
          <w:i/>
          <w:iCs/>
        </w:rPr>
        <w:t xml:space="preserve">, </w:t>
      </w:r>
      <w:r w:rsidR="008A6225">
        <w:rPr>
          <w:b/>
          <w:bCs/>
          <w:i/>
          <w:iCs/>
        </w:rPr>
        <w:t>inter alia</w:t>
      </w:r>
      <w:r w:rsidRPr="005B012A">
        <w:rPr>
          <w:b/>
          <w:bCs/>
          <w:i/>
          <w:iCs/>
        </w:rPr>
        <w:t>, siekiama</w:t>
      </w:r>
      <w:r w:rsidRPr="005B012A">
        <w:t>:</w:t>
      </w:r>
    </w:p>
    <w:p w:rsidR="0059267E" w:rsidRPr="005B012A" w:rsidRDefault="0059267E" w:rsidP="00E40ED7">
      <w:pPr>
        <w:pStyle w:val="Point2"/>
        <w:spacing w:before="0" w:line="360" w:lineRule="auto"/>
        <w:rPr>
          <w:noProof/>
        </w:rPr>
      </w:pPr>
      <w:r w:rsidRPr="005B012A">
        <w:t>i)</w:t>
      </w:r>
      <w:r w:rsidRPr="005B012A">
        <w:tab/>
        <w:t>įsigyti ir eksploatuoti dirbtiniam intelektui skirtus superkompiuterius, šalia kurių yra įrengti ▌ duomenų centrai arba kurie yra itin didelės spartos tinklais sujungti su duomenų centrais;</w:t>
      </w:r>
    </w:p>
    <w:p w:rsidR="0059267E" w:rsidRPr="005B012A" w:rsidRDefault="0059267E" w:rsidP="00E40ED7">
      <w:pPr>
        <w:pStyle w:val="Point2"/>
        <w:spacing w:before="0" w:line="360" w:lineRule="auto"/>
        <w:rPr>
          <w:noProof/>
        </w:rPr>
      </w:pPr>
      <w:r w:rsidRPr="005B012A">
        <w:lastRenderedPageBreak/>
        <w:t>ii)</w:t>
      </w:r>
      <w:r w:rsidRPr="005B012A">
        <w:tab/>
        <w:t>modernizuoti esamus „EuroHPC“ superkompiuterius įdiegiant dirbtinio intelekto pajėgumus;</w:t>
      </w:r>
    </w:p>
    <w:p w:rsidR="0059267E" w:rsidRPr="005B012A" w:rsidRDefault="0059267E" w:rsidP="00E40ED7">
      <w:pPr>
        <w:pStyle w:val="Point2"/>
        <w:spacing w:before="0" w:line="360" w:lineRule="auto"/>
        <w:rPr>
          <w:noProof/>
        </w:rPr>
      </w:pPr>
      <w:r w:rsidRPr="005B012A">
        <w:t>iii)</w:t>
      </w:r>
      <w:r w:rsidRPr="005B012A">
        <w:tab/>
        <w:t xml:space="preserve">teikti prieigą prie dirbtiniam intelektui skirtų superkompiuterių arba prie „EuroHPC“ superkompiuterių, modernizuotų įdiegiant dirbtinio intelekto pajėgumus, taip pat plėsti šių superkompiuterių naudotojų ratą, kad jis apimtų daugybę viešųjų ir privačiųjų naudotojų, įskaitant </w:t>
      </w:r>
      <w:r w:rsidRPr="005B012A">
        <w:rPr>
          <w:b/>
          <w:bCs/>
          <w:i/>
          <w:iCs/>
        </w:rPr>
        <w:t>startuolius, veiklą plečiančias įmones, MVĮ, aukštojo mokslo institucijas ir platesnę mokslo bendruomenę</w:t>
      </w:r>
      <w:r w:rsidRPr="005B012A">
        <w:t>;</w:t>
      </w:r>
    </w:p>
    <w:p w:rsidR="0059267E" w:rsidRPr="005B012A" w:rsidRDefault="0059267E" w:rsidP="00E40ED7">
      <w:pPr>
        <w:spacing w:after="120" w:line="360" w:lineRule="auto"/>
        <w:ind w:left="1984" w:hanging="567"/>
        <w:rPr>
          <w:rFonts w:eastAsia="Calibri"/>
          <w:noProof/>
          <w:szCs w:val="22"/>
        </w:rPr>
      </w:pPr>
      <w:r w:rsidRPr="005B012A">
        <w:rPr>
          <w:b/>
          <w:i/>
        </w:rPr>
        <w:t>iiia)</w:t>
      </w:r>
      <w:r w:rsidRPr="005B012A">
        <w:tab/>
      </w:r>
      <w:r w:rsidRPr="005B012A">
        <w:rPr>
          <w:b/>
          <w:bCs/>
          <w:i/>
          <w:iCs/>
        </w:rPr>
        <w:t>plačiai informuoti apie dirbtinio intelekto fabrikų teikiamas galimybes startuoliams, veiklą plečiančioms įmonėms bei mokslinių tyrimų ir inovacijų bendrijoms;</w:t>
      </w:r>
    </w:p>
    <w:p w:rsidR="0059267E" w:rsidRPr="005B012A" w:rsidRDefault="0059267E" w:rsidP="00E40ED7">
      <w:pPr>
        <w:pStyle w:val="Point2"/>
        <w:spacing w:before="0" w:line="360" w:lineRule="auto"/>
        <w:rPr>
          <w:noProof/>
        </w:rPr>
      </w:pPr>
      <w:r w:rsidRPr="005B012A">
        <w:t>iv)</w:t>
      </w:r>
      <w:r w:rsidRPr="005B012A">
        <w:tab/>
        <w:t xml:space="preserve">eksploatuoti centralizuotų arba paskirstytųjų į dirbtinį intelektą orientuotų superkompiuterijos paslaugų centrus, skirtus remti dirbtinio intelekto stratuolių ir mokslinių tyrimų bei inovacijų ekosistemas, </w:t>
      </w:r>
      <w:r w:rsidRPr="005B012A">
        <w:rPr>
          <w:b/>
          <w:bCs/>
          <w:i/>
          <w:iCs/>
        </w:rPr>
        <w:t>teikiančius pagalbą naudotojams ir juos konsultuojančius, skatinančius tarpdisciplininius mokslinius tyrimus,</w:t>
      </w:r>
      <w:r w:rsidRPr="005B012A">
        <w:t xml:space="preserve"> teikiančius su algoritmais susijusią paramą, padedančius toliau kurti, mokyti, bandyti, vertinti ir validuoti dirbtinio intelekto modelius ir sistemas, taip pat remti naujų didelio masto dirbtinio intelekto taikmenų kūrimą strateginėse srityse ▌;</w:t>
      </w:r>
    </w:p>
    <w:p w:rsidR="0059267E" w:rsidRPr="005B012A" w:rsidRDefault="0059267E" w:rsidP="00E40ED7">
      <w:pPr>
        <w:pStyle w:val="Point2"/>
        <w:spacing w:before="0" w:line="360" w:lineRule="auto"/>
        <w:rPr>
          <w:noProof/>
        </w:rPr>
      </w:pPr>
      <w:r w:rsidRPr="005B012A">
        <w:t>v)</w:t>
      </w:r>
      <w:r w:rsidRPr="005B012A">
        <w:tab/>
        <w:t xml:space="preserve">eksploatuoti superkompiuteriams tinkamas programavimo priemones, įskaitant dirbtinio intelekto taikmenų lygiagretinimo priemones, padedančias optimizuoti superkompiuterių pajėgumų naudojimą, </w:t>
      </w:r>
      <w:r w:rsidRPr="005B012A">
        <w:rPr>
          <w:b/>
          <w:bCs/>
          <w:i/>
          <w:iCs/>
        </w:rPr>
        <w:t>ir kitas dirbtiniam intelektui reikalingas superkompiuterijos paslaugas</w:t>
      </w:r>
      <w:r w:rsidRPr="005B012A">
        <w:t>;</w:t>
      </w:r>
    </w:p>
    <w:p w:rsidR="0059267E" w:rsidRPr="005B012A" w:rsidRDefault="0059267E" w:rsidP="00E40ED7">
      <w:pPr>
        <w:pStyle w:val="Point2"/>
        <w:spacing w:before="0" w:line="360" w:lineRule="auto"/>
        <w:rPr>
          <w:noProof/>
        </w:rPr>
      </w:pPr>
      <w:r w:rsidRPr="005B012A">
        <w:t>▌</w:t>
      </w:r>
    </w:p>
    <w:p w:rsidR="0059267E" w:rsidRPr="005B012A" w:rsidRDefault="0059267E" w:rsidP="00E40ED7">
      <w:pPr>
        <w:pStyle w:val="Point2"/>
        <w:spacing w:before="0" w:line="360" w:lineRule="auto"/>
        <w:rPr>
          <w:noProof/>
          <w:color w:val="000000" w:themeColor="text1"/>
        </w:rPr>
      </w:pPr>
      <w:r w:rsidRPr="005B012A">
        <w:t>vii)</w:t>
      </w:r>
      <w:r w:rsidRPr="005B012A">
        <w:tab/>
      </w:r>
      <w:r w:rsidRPr="005B012A">
        <w:rPr>
          <w:b/>
          <w:bCs/>
          <w:i/>
          <w:iCs/>
        </w:rPr>
        <w:t>taikant skaidrų, lygias galimybes užtikrinantį ir atvirą procesą</w:t>
      </w:r>
      <w:r w:rsidRPr="005B012A">
        <w:rPr>
          <w:i/>
          <w:iCs/>
        </w:rPr>
        <w:t xml:space="preserve"> </w:t>
      </w:r>
      <w:r w:rsidRPr="005B012A">
        <w:t xml:space="preserve">pritraukti, telkti, ▌mokyti </w:t>
      </w:r>
      <w:r w:rsidRPr="005B012A">
        <w:rPr>
          <w:b/>
          <w:bCs/>
          <w:i/>
          <w:iCs/>
        </w:rPr>
        <w:t>ir išlaikyti</w:t>
      </w:r>
      <w:r w:rsidRPr="005B012A">
        <w:t xml:space="preserve"> specialistus, </w:t>
      </w:r>
      <w:r w:rsidRPr="005B012A">
        <w:rPr>
          <w:b/>
          <w:bCs/>
          <w:i/>
          <w:iCs/>
        </w:rPr>
        <w:t>įskaitant studentus, kūrėjus, tyrėjus, mokslininkus ir naudotojų bendruomenę,</w:t>
      </w:r>
      <w:r w:rsidRPr="005B012A">
        <w:t xml:space="preserve"> siekiant ugdyti jų kompetenciją, ▌įgūdžius ir žinias, susijusius su „EuroHPC“ superkompiuterių naudojimu dirbtinio intelekto reikmėms</w:t>
      </w:r>
      <w:r w:rsidRPr="005B012A">
        <w:rPr>
          <w:b/>
          <w:bCs/>
          <w:i/>
          <w:iCs/>
        </w:rPr>
        <w:t>, taip pat teikti specialiai pritaikytą konsultuojamąjį ugdymą</w:t>
      </w:r>
      <w:r w:rsidRPr="005B012A">
        <w:t>;</w:t>
      </w:r>
    </w:p>
    <w:p w:rsidR="0059267E" w:rsidRPr="005B012A" w:rsidRDefault="0059267E" w:rsidP="00E40ED7">
      <w:pPr>
        <w:pStyle w:val="Point2"/>
        <w:spacing w:before="0" w:line="360" w:lineRule="auto"/>
        <w:rPr>
          <w:rFonts w:eastAsia="Times New Roman"/>
          <w:noProof/>
          <w:szCs w:val="24"/>
        </w:rPr>
      </w:pPr>
      <w:r w:rsidRPr="005B012A">
        <w:rPr>
          <w:color w:val="000000" w:themeColor="text1"/>
        </w:rPr>
        <w:t xml:space="preserve">viii) </w:t>
      </w:r>
      <w:r w:rsidRPr="005B012A">
        <w:t>palaikyti ryšius su kitais dirbtinio intelekto fabrikais, užtikrinti, kad jų paslaugomis būtų galima naudotis visoje Europoje,</w:t>
      </w:r>
      <w:r w:rsidRPr="005B012A">
        <w:rPr>
          <w:b/>
          <w:bCs/>
          <w:i/>
          <w:iCs/>
        </w:rPr>
        <w:t xml:space="preserve"> nuolat atkreipti </w:t>
      </w:r>
      <w:r w:rsidRPr="005B012A">
        <w:rPr>
          <w:b/>
          <w:bCs/>
          <w:i/>
          <w:iCs/>
        </w:rPr>
        <w:lastRenderedPageBreak/>
        <w:t>dėmesį į geografinę ir lyčių pusiausvyrą</w:t>
      </w:r>
      <w:r w:rsidRPr="005B012A">
        <w:t xml:space="preserve"> ir bendradarbiauti su „EuroHPC“ kompetencijos centrais bei pavyzdiniais centrais ir su subjektais, įgyvendinančiais kitas atitinkamas Sąjungos dirbtinio intelekto iniciatyvas, tokias kaip dirbtinio intelekto startuolių centrai, dirbtinio intelekto ir duomenų ekosistemos, dirbtinio intelekto bandymų ir eksperimentavimo priemonės, Europos centrinė dirbtinio intelekto platforma, į dirbtinį intelektą orientuoti skaitmeninių inovacijų centrai, su dirbtiniu intelektu susijusios Europos inovacijos ir technologijos instituto žinių ir inovacijos bendrijos, </w:t>
      </w:r>
      <w:r w:rsidRPr="005B012A">
        <w:rPr>
          <w:b/>
          <w:bCs/>
          <w:i/>
          <w:iCs/>
        </w:rPr>
        <w:t>su dirbtiniu intelektu susijusios programos „Europos horizontas“ bendrosios įmonės ir partnerystės,</w:t>
      </w:r>
      <w:r w:rsidRPr="005B012A">
        <w:t xml:space="preserve"> atitinkamos Europos mokslinių tyrimų infrastruktūros ir kitos susijusios iniciatyvos;</w:t>
      </w:r>
    </w:p>
    <w:p w:rsidR="0059267E" w:rsidRPr="005B012A" w:rsidRDefault="0059267E" w:rsidP="00E40ED7">
      <w:pPr>
        <w:spacing w:after="120" w:line="360" w:lineRule="auto"/>
        <w:ind w:left="1984" w:hanging="567"/>
        <w:rPr>
          <w:b/>
          <w:i/>
          <w:noProof/>
        </w:rPr>
      </w:pPr>
      <w:r w:rsidRPr="005B012A">
        <w:rPr>
          <w:b/>
          <w:i/>
        </w:rPr>
        <w:t xml:space="preserve">viiia) </w:t>
      </w:r>
      <w:r w:rsidRPr="005B012A">
        <w:rPr>
          <w:b/>
          <w:i/>
        </w:rPr>
        <w:tab/>
        <w:t>prižiūrėti ir optimizuoti dirbtinio intelekto pajėgumų turinčius superkompiuterius, užtikrinant jų patikimumą ir našumą atliekant sudėtingas skaičiavimo užduotis.</w:t>
      </w:r>
      <w:r w:rsidRPr="005B012A">
        <w:rPr>
          <w:b/>
          <w:bCs/>
          <w:i/>
        </w:rPr>
        <w:t>“;</w:t>
      </w:r>
    </w:p>
    <w:p w:rsidR="0059267E" w:rsidRPr="005B012A" w:rsidRDefault="0059267E" w:rsidP="00E40ED7">
      <w:pPr>
        <w:pStyle w:val="Point0"/>
        <w:spacing w:line="360" w:lineRule="auto"/>
        <w:rPr>
          <w:noProof/>
        </w:rPr>
      </w:pPr>
      <w:r w:rsidRPr="005B012A">
        <w:t>4)</w:t>
      </w:r>
      <w:r w:rsidRPr="005B012A">
        <w:tab/>
        <w:t>9 straipsnio 5 dalis ▌ iš dalies keičiama taip:</w:t>
      </w:r>
    </w:p>
    <w:p w:rsidR="0059267E" w:rsidRPr="005B012A" w:rsidRDefault="0059267E" w:rsidP="00E40ED7">
      <w:pPr>
        <w:pStyle w:val="Point0"/>
        <w:spacing w:line="360" w:lineRule="auto"/>
        <w:ind w:firstLine="0"/>
        <w:rPr>
          <w:noProof/>
        </w:rPr>
      </w:pPr>
      <w:r w:rsidRPr="005B012A">
        <w:rPr>
          <w:b/>
          <w:i/>
        </w:rPr>
        <w:t>a)</w:t>
      </w:r>
      <w:r w:rsidRPr="005B012A">
        <w:rPr>
          <w:b/>
          <w:i/>
        </w:rPr>
        <w:tab/>
      </w:r>
      <w:r w:rsidRPr="005B012A">
        <w:t xml:space="preserve">pridedamas g punktas: </w:t>
      </w:r>
    </w:p>
    <w:p w:rsidR="0059267E" w:rsidRPr="005B012A" w:rsidRDefault="0059267E" w:rsidP="00E40ED7">
      <w:pPr>
        <w:pStyle w:val="Point1"/>
        <w:spacing w:line="360" w:lineRule="auto"/>
        <w:rPr>
          <w:noProof/>
        </w:rPr>
      </w:pPr>
      <w:r w:rsidRPr="005B012A">
        <w:t xml:space="preserve">„g) </w:t>
      </w:r>
      <w:r w:rsidRPr="005B012A">
        <w:tab/>
        <w:t>dirbtiniam intelektui skirtų superkompiuterių atveju prieglobą teikiantiems subjektams taikomi šie papildomi atrankos kriterijai:</w:t>
      </w:r>
    </w:p>
    <w:p w:rsidR="0059267E" w:rsidRPr="005B012A" w:rsidRDefault="0059267E" w:rsidP="00E40ED7">
      <w:pPr>
        <w:pStyle w:val="Point1"/>
        <w:tabs>
          <w:tab w:val="left" w:pos="1843"/>
        </w:tabs>
        <w:spacing w:before="0" w:line="360" w:lineRule="auto"/>
        <w:ind w:left="1843" w:hanging="425"/>
        <w:rPr>
          <w:noProof/>
        </w:rPr>
      </w:pPr>
      <w:r w:rsidRPr="005B012A">
        <w:t>i)</w:t>
      </w:r>
      <w:r w:rsidRPr="005B012A">
        <w:tab/>
        <w:t xml:space="preserve">artumas </w:t>
      </w:r>
      <w:r w:rsidRPr="005B012A">
        <w:rPr>
          <w:b/>
          <w:bCs/>
          <w:i/>
          <w:iCs/>
        </w:rPr>
        <w:t>arba jungtis itin didelės spartos tinklais</w:t>
      </w:r>
      <w:r w:rsidRPr="005B012A">
        <w:t xml:space="preserve"> su </w:t>
      </w:r>
      <w:r w:rsidRPr="005B012A">
        <w:rPr>
          <w:b/>
          <w:bCs/>
          <w:i/>
          <w:iCs/>
        </w:rPr>
        <w:t>planuojamu arba</w:t>
      </w:r>
      <w:r w:rsidRPr="005B012A">
        <w:t xml:space="preserve"> įsteigtu </w:t>
      </w:r>
      <w:r w:rsidRPr="005B012A">
        <w:rPr>
          <w:b/>
          <w:bCs/>
          <w:i/>
          <w:iCs/>
        </w:rPr>
        <w:t>duomenų centru pagal Direktyvos (ES) 2023/1791 12 straipsnį</w:t>
      </w:r>
      <w:r w:rsidRPr="005B012A">
        <w:t>;</w:t>
      </w:r>
    </w:p>
    <w:p w:rsidR="0059267E" w:rsidRPr="005B012A" w:rsidRDefault="0059267E" w:rsidP="00E40ED7">
      <w:pPr>
        <w:pStyle w:val="Point1"/>
        <w:tabs>
          <w:tab w:val="left" w:pos="1843"/>
        </w:tabs>
        <w:spacing w:before="0" w:line="360" w:lineRule="auto"/>
        <w:ind w:left="1843" w:hanging="425"/>
        <w:rPr>
          <w:noProof/>
        </w:rPr>
      </w:pPr>
      <w:r w:rsidRPr="005B012A">
        <w:rPr>
          <w:b/>
          <w:i/>
        </w:rPr>
        <w:t xml:space="preserve">ia) </w:t>
      </w:r>
      <w:r w:rsidRPr="005B012A">
        <w:rPr>
          <w:b/>
          <w:i/>
        </w:rPr>
        <w:tab/>
      </w:r>
      <w:r w:rsidRPr="005B012A">
        <w:rPr>
          <w:b/>
          <w:bCs/>
          <w:i/>
          <w:iCs/>
        </w:rPr>
        <w:t>prieglobą teikiančio subjekto vizija ir planai dėl dirbtiniam intelektui skirto superkompiuterio energijos vartojimo efektyvumo ir aplinkosauginio tvarumo, taikant gyvavimo ciklo principą, pasinaudojant tinkamos prieigos prie švarios įperkamos energijos galimybe, taip pat sudarant elektros energijos pirkimo sutartis, kurios gali būti grindžiamos atsinaujinančiųjų išteklių energija, ir naudojant vietoje pagamintą elektros energiją;</w:t>
      </w:r>
    </w:p>
    <w:p w:rsidR="0059267E" w:rsidRPr="005B012A" w:rsidRDefault="0059267E" w:rsidP="00E40ED7">
      <w:pPr>
        <w:pStyle w:val="Point1"/>
        <w:tabs>
          <w:tab w:val="left" w:pos="1843"/>
        </w:tabs>
        <w:spacing w:before="0" w:line="360" w:lineRule="auto"/>
        <w:ind w:left="1843" w:hanging="425"/>
        <w:rPr>
          <w:noProof/>
        </w:rPr>
      </w:pPr>
      <w:r w:rsidRPr="005B012A">
        <w:t>ii)</w:t>
      </w:r>
      <w:r w:rsidRPr="005B012A">
        <w:tab/>
        <w:t>prieglobą teikiančio subjekto vizija, planai ir pajėgumai, susiję su dirbtinio intelekto startuolių ir mokslinių tyrimų bei inovacijų ekosistemai ir dirbtinio intelekto naudotojų bendruomenei kylančių iššūkių sprendimu</w:t>
      </w:r>
      <w:r w:rsidRPr="005B012A">
        <w:rPr>
          <w:b/>
          <w:bCs/>
          <w:i/>
          <w:iCs/>
        </w:rPr>
        <w:t>, tokios ekosistemos stiprinimu skatinant sinergiją ir inovacijas, įskaitant investicijas į ateities technologijas,</w:t>
      </w:r>
      <w:r w:rsidRPr="005B012A">
        <w:t xml:space="preserve"> ir su </w:t>
      </w:r>
      <w:r w:rsidRPr="005B012A">
        <w:rPr>
          <w:b/>
          <w:bCs/>
          <w:i/>
          <w:iCs/>
        </w:rPr>
        <w:t>prisidėjimu prie</w:t>
      </w:r>
      <w:r w:rsidRPr="005B012A">
        <w:t xml:space="preserve"> pagalbinių </w:t>
      </w:r>
      <w:r w:rsidRPr="005B012A">
        <w:lastRenderedPageBreak/>
        <w:t>centralizuotų arba paskirstytųjų į dirbtinį intelektą orientuotų superkompiuterijos paslaugų bei jų teikimu;</w:t>
      </w:r>
    </w:p>
    <w:p w:rsidR="0059267E" w:rsidRPr="005B012A" w:rsidRDefault="0059267E" w:rsidP="00E40ED7">
      <w:pPr>
        <w:pStyle w:val="Point1"/>
        <w:tabs>
          <w:tab w:val="left" w:pos="1843"/>
        </w:tabs>
        <w:spacing w:before="0" w:line="360" w:lineRule="auto"/>
        <w:ind w:left="1843" w:hanging="425"/>
        <w:rPr>
          <w:noProof/>
        </w:rPr>
      </w:pPr>
      <w:r w:rsidRPr="005B012A">
        <w:t>iii)</w:t>
      </w:r>
      <w:r w:rsidRPr="005B012A">
        <w:tab/>
        <w:t>numatomos komandos, kuri būtų atsakinga už pagalbinių į dirbtinį intelektą orientuotų superkompiuterijos paslaugų aplinką, turimos patirties ir praktinių žinių kokybė ir aktualumas;</w:t>
      </w:r>
    </w:p>
    <w:p w:rsidR="0059267E" w:rsidRPr="005B012A" w:rsidRDefault="0059267E" w:rsidP="00E40ED7">
      <w:pPr>
        <w:pStyle w:val="Point1"/>
        <w:tabs>
          <w:tab w:val="left" w:pos="1843"/>
        </w:tabs>
        <w:spacing w:before="0" w:line="360" w:lineRule="auto"/>
        <w:ind w:left="1843" w:hanging="425"/>
        <w:rPr>
          <w:noProof/>
        </w:rPr>
      </w:pPr>
      <w:r w:rsidRPr="005B012A">
        <w:t>iv) planai palaikyti ryšius ir bendradarbiauti su kitais dirbtinio intelekto fabrikais, „EuroHPC“ kompetencijos centrais, „EuroHPC“ pavyzdiniais centrais ir subjektais, užsiimančiais kita atitinkama dirbtinio intelekto veikla, pavyzdžiui, dirbtinio intelekto startuolių centrais, dirbtinio intelekto ir duomenų ekosistemomis, dirbtinio intelekto bandymų ir eksperimentavimo priemonėmis, Europos centrine dirbtinio intelekto platforma, į dirbtinį intelektą orientuotais skaitmeninių inovacijų centrais ir kitomis susijusiomis iniciatyvomis;</w:t>
      </w:r>
    </w:p>
    <w:p w:rsidR="0059267E" w:rsidRPr="005B012A" w:rsidRDefault="0059267E" w:rsidP="00E40ED7">
      <w:pPr>
        <w:pStyle w:val="Point1"/>
        <w:tabs>
          <w:tab w:val="left" w:pos="1843"/>
        </w:tabs>
        <w:spacing w:before="0" w:line="360" w:lineRule="auto"/>
        <w:ind w:left="1843" w:hanging="425"/>
        <w:rPr>
          <w:noProof/>
        </w:rPr>
      </w:pPr>
      <w:r w:rsidRPr="005B012A">
        <w:t>v) esami prieglobą teikiančio subjekto pajėgumai prisidėti prie specialistų bazės kūrimo</w:t>
      </w:r>
      <w:r w:rsidRPr="005B012A">
        <w:rPr>
          <w:b/>
          <w:bCs/>
          <w:i/>
          <w:iCs/>
        </w:rPr>
        <w:t>, jų pritraukimo, mokymo ir išlaikymo, taip pat įgūdžių, pajėgumų ir kompetencijos naudotis superkompiuteriais ugdymo, be kita ko, teikiant paramą startuoliams per inkubatorių ar akceleratorių programas,</w:t>
      </w:r>
      <w:r w:rsidRPr="005B012A">
        <w:t xml:space="preserve"> ir su tuo susiję subjekto ateities planai.</w:t>
      </w:r>
    </w:p>
    <w:p w:rsidR="0059267E" w:rsidRPr="005B012A" w:rsidRDefault="0059267E" w:rsidP="00E40ED7">
      <w:pPr>
        <w:pStyle w:val="Point1"/>
        <w:spacing w:line="360" w:lineRule="auto"/>
        <w:rPr>
          <w:noProof/>
        </w:rPr>
      </w:pPr>
      <w:r w:rsidRPr="005B012A">
        <w:rPr>
          <w:b/>
          <w:i/>
        </w:rPr>
        <w:t>ga)</w:t>
      </w:r>
      <w:r w:rsidRPr="005B012A">
        <w:rPr>
          <w:b/>
          <w:i/>
        </w:rPr>
        <w:tab/>
      </w:r>
      <w:r w:rsidRPr="005B012A">
        <w:rPr>
          <w:b/>
          <w:bCs/>
          <w:i/>
          <w:iCs/>
        </w:rPr>
        <w:t>esamas prieglobą teikiantis subjektas, kurį po kvietimo pareikšti susidomėjimą valdyba atrinko taikydama sąžiningą ir skaidrų procesą, gali įsteigti dirbtinio intelekto fabriką, jei atitinka 9 straipsnio 5 dalies g punkte nurodytus kriterijus.“;</w:t>
      </w:r>
    </w:p>
    <w:p w:rsidR="0059267E" w:rsidRPr="005B012A" w:rsidRDefault="0059267E" w:rsidP="00E40ED7">
      <w:pPr>
        <w:pStyle w:val="Point0"/>
        <w:spacing w:line="360" w:lineRule="auto"/>
        <w:ind w:hanging="708"/>
        <w:rPr>
          <w:noProof/>
        </w:rPr>
      </w:pPr>
      <w:r w:rsidRPr="005B012A">
        <w:t>5)</w:t>
      </w:r>
      <w:r w:rsidRPr="005B012A">
        <w:tab/>
        <w:t>9 straipsnis papildomas 6a dalimi:</w:t>
      </w:r>
    </w:p>
    <w:p w:rsidR="0059267E" w:rsidRPr="005B012A" w:rsidRDefault="0059267E" w:rsidP="00E40ED7">
      <w:pPr>
        <w:pStyle w:val="Point2"/>
        <w:spacing w:line="360" w:lineRule="auto"/>
        <w:ind w:left="1276" w:hanging="425"/>
        <w:rPr>
          <w:i/>
          <w:iCs/>
          <w:noProof/>
        </w:rPr>
      </w:pPr>
      <w:r w:rsidRPr="005B012A">
        <w:rPr>
          <w:i/>
        </w:rPr>
        <w:t>„</w:t>
      </w:r>
      <w:r w:rsidRPr="005B012A">
        <w:t xml:space="preserve">6a. </w:t>
      </w:r>
      <w:r w:rsidRPr="005B012A">
        <w:tab/>
        <w:t>12a straipsnyje nurodytų dirbtiniam intelektui skirtų superkompiuterių</w:t>
      </w:r>
      <w:r w:rsidRPr="005B012A">
        <w:rPr>
          <w:b/>
          <w:bCs/>
          <w:i/>
          <w:iCs/>
        </w:rPr>
        <w:t>, taip pat 11, 12, 12a, 12a, 14 ir 15 straipsniuose nurodytų „EuroHPC“ superkompiuterių</w:t>
      </w:r>
      <w:r w:rsidRPr="005B012A">
        <w:t xml:space="preserve"> atveju prieglobą teikiantys </w:t>
      </w:r>
      <w:r w:rsidRPr="005B012A">
        <w:rPr>
          <w:b/>
          <w:bCs/>
          <w:i/>
          <w:iCs/>
        </w:rPr>
        <w:t>subjektai</w:t>
      </w:r>
      <w:r w:rsidRPr="005B012A">
        <w:t xml:space="preserve"> sukuria </w:t>
      </w:r>
      <w:r w:rsidRPr="005B012A">
        <w:rPr>
          <w:b/>
          <w:bCs/>
          <w:i/>
          <w:iCs/>
        </w:rPr>
        <w:t>startuoliams, veiklą plečiančioms įmonėms, MVĮ</w:t>
      </w:r>
      <w:r w:rsidRPr="005B012A">
        <w:t xml:space="preserve"> ir kitiems naudotojams skirtą vieno langelio principu veikiantį prieigos punktą, kad būtų sudarytos palankesnės sąlygos naudotis jo pagalbinėmis paslaugomis </w:t>
      </w:r>
      <w:r w:rsidRPr="005B012A">
        <w:rPr>
          <w:b/>
          <w:bCs/>
          <w:i/>
          <w:iCs/>
        </w:rPr>
        <w:t>ir būtų padedama tobulinti jų įgūdžius ir kompetenciją</w:t>
      </w:r>
      <w:r w:rsidRPr="005B012A">
        <w:t>.“;</w:t>
      </w:r>
    </w:p>
    <w:p w:rsidR="0059267E" w:rsidRPr="005B012A" w:rsidRDefault="0059267E" w:rsidP="00E40ED7">
      <w:pPr>
        <w:pStyle w:val="Point0"/>
        <w:spacing w:line="360" w:lineRule="auto"/>
        <w:rPr>
          <w:noProof/>
        </w:rPr>
      </w:pPr>
      <w:r w:rsidRPr="005B012A">
        <w:t>6)</w:t>
      </w:r>
      <w:r w:rsidRPr="005B012A">
        <w:tab/>
        <w:t>10 straipsnio 2 dalies l punktas pakeičiamas taip:</w:t>
      </w:r>
    </w:p>
    <w:p w:rsidR="0059267E" w:rsidRPr="005B012A" w:rsidRDefault="0059267E" w:rsidP="00E40ED7">
      <w:pPr>
        <w:pStyle w:val="Point2"/>
        <w:spacing w:line="360" w:lineRule="auto"/>
        <w:ind w:left="1276" w:hanging="425"/>
        <w:rPr>
          <w:i/>
          <w:iCs/>
          <w:noProof/>
        </w:rPr>
      </w:pPr>
      <w:r w:rsidRPr="005B012A">
        <w:lastRenderedPageBreak/>
        <w:t xml:space="preserve">„l) </w:t>
      </w:r>
      <w:r w:rsidRPr="005B012A">
        <w:tab/>
        <w:t>konkrečios sąlygos, taikomos, kai prieglobą teikiantis subjektas eksploatuoja „EuroHPC“ superkompiuterį pramoninėms reikmėms, ▌</w:t>
      </w:r>
      <w:r w:rsidRPr="00CA7283">
        <w:rPr>
          <w:iCs/>
        </w:rPr>
        <w:t>dirbtiniam intelektui skirtą superkompiuterį</w:t>
      </w:r>
      <w:r w:rsidRPr="005B012A">
        <w:t xml:space="preserve"> </w:t>
      </w:r>
      <w:r w:rsidRPr="005B012A">
        <w:rPr>
          <w:b/>
          <w:bCs/>
          <w:i/>
          <w:iCs/>
        </w:rPr>
        <w:t>arba esamus „EuroHPC“ superkompiuterius, modernizuotus įdiegiant dirbtinio intelekto pajėgumus</w:t>
      </w:r>
      <w:r w:rsidRPr="005B012A">
        <w:t>.“</w:t>
      </w:r>
    </w:p>
    <w:p w:rsidR="0059267E" w:rsidRPr="005B012A" w:rsidRDefault="0059267E" w:rsidP="00E40ED7">
      <w:pPr>
        <w:pStyle w:val="Point0"/>
        <w:spacing w:line="360" w:lineRule="auto"/>
        <w:rPr>
          <w:noProof/>
        </w:rPr>
      </w:pPr>
      <w:r w:rsidRPr="005B012A">
        <w:t>7)</w:t>
      </w:r>
      <w:r w:rsidRPr="005B012A">
        <w:tab/>
        <w:t>įterpiamas 12a straipsnis:</w:t>
      </w:r>
    </w:p>
    <w:p w:rsidR="0059267E" w:rsidRPr="005B012A" w:rsidRDefault="0059267E" w:rsidP="00E40ED7">
      <w:pPr>
        <w:pStyle w:val="Point2"/>
        <w:spacing w:line="360" w:lineRule="auto"/>
        <w:ind w:left="720" w:firstLine="0"/>
        <w:jc w:val="left"/>
        <w:rPr>
          <w:noProof/>
        </w:rPr>
      </w:pPr>
      <w:r w:rsidRPr="005B012A">
        <w:rPr>
          <w:i/>
        </w:rPr>
        <w:t>„12a straipsnis</w:t>
      </w:r>
      <w:r w:rsidRPr="005B012A">
        <w:rPr>
          <w:i/>
        </w:rPr>
        <w:br/>
        <w:t>Dirbtiniam intelektui skirtų superkompiuterių įsigijimas ir nuosavybės teisės</w:t>
      </w:r>
    </w:p>
    <w:p w:rsidR="0059267E" w:rsidRPr="005B012A" w:rsidRDefault="0059267E" w:rsidP="00E40ED7">
      <w:pPr>
        <w:pStyle w:val="ManualNumPar1"/>
        <w:spacing w:line="360" w:lineRule="auto"/>
        <w:ind w:left="1570"/>
        <w:rPr>
          <w:noProof/>
        </w:rPr>
      </w:pPr>
      <w:r w:rsidRPr="005B012A">
        <w:t>1.</w:t>
      </w:r>
      <w:r w:rsidRPr="005B012A">
        <w:tab/>
        <w:t>Bendroji įmonė įsigyja dirbtiniam intelektui skirtus superkompiuterius ir jie jai priklauso nuosavybės teise.</w:t>
      </w:r>
    </w:p>
    <w:p w:rsidR="0059267E" w:rsidRPr="005B012A" w:rsidRDefault="0059267E" w:rsidP="00E40ED7">
      <w:pPr>
        <w:pStyle w:val="ManualNumPar1"/>
        <w:spacing w:line="360" w:lineRule="auto"/>
        <w:ind w:left="1570"/>
        <w:rPr>
          <w:noProof/>
        </w:rPr>
      </w:pPr>
      <w:r w:rsidRPr="005B012A">
        <w:t>2.</w:t>
      </w:r>
      <w:r w:rsidRPr="005B012A">
        <w:tab/>
        <w:t>5 straipsnio 1 dalyje nurodytu Sąjungos finansiniu įnašu padengiama ne daugiau kaip 50 % dirbtiniam intelektui skirtų superkompiuterių įsigijimo išlaidų ir ne daugiau kaip 50 % jų eksploatavimo išlaidų.</w:t>
      </w:r>
    </w:p>
    <w:p w:rsidR="0059267E" w:rsidRPr="005B012A" w:rsidRDefault="0059267E" w:rsidP="00E40ED7">
      <w:pPr>
        <w:pStyle w:val="Text1"/>
        <w:spacing w:line="360" w:lineRule="auto"/>
        <w:ind w:left="1570"/>
        <w:rPr>
          <w:noProof/>
        </w:rPr>
      </w:pPr>
      <w:r w:rsidRPr="005B012A">
        <w:t>Likusią dirbtiniam intelektui skirtų superkompiuterių visų nuosavybės išlaidų dalį padengia dalyvaujanti valstybė, kurioje yra įsisteigęs prieglobą teikiantis subjektas, arba prieglobos konsorciume dalyvaujančios valstybės, įnašus galbūt papildant 6 straipsnyje nurodytais įnašais.</w:t>
      </w:r>
    </w:p>
    <w:p w:rsidR="0059267E" w:rsidRPr="005B012A" w:rsidRDefault="0059267E" w:rsidP="00E40ED7">
      <w:pPr>
        <w:pStyle w:val="ManualNumPar1"/>
        <w:spacing w:line="360" w:lineRule="auto"/>
        <w:ind w:left="1570"/>
        <w:rPr>
          <w:noProof/>
        </w:rPr>
      </w:pPr>
      <w:r w:rsidRPr="005B012A">
        <w:t>3.</w:t>
      </w:r>
      <w:r w:rsidRPr="005B012A">
        <w:tab/>
        <w:t>Atrenkant dirbtiniam intelektui skirtų superkompiuterių tiekėją, remiamasi paklausa grindžiamomis pasiūlymo specifikacijomis, kuriomis atsižvelgiama į naudotojų reikalavimus, ir bendrosiomis sistemos specifikacijomis, kurias atrinktas prieglobą teikiantis subjektas pateikia savo paraiškoje pagal kvietimą pareikšti susidomėjimą. Vykdant atranką taip pat atsižvelgiama į tiekimo grandinės saugumą.</w:t>
      </w:r>
    </w:p>
    <w:p w:rsidR="0059267E" w:rsidRPr="005B012A" w:rsidRDefault="0059267E" w:rsidP="00E40ED7">
      <w:pPr>
        <w:pStyle w:val="ManualNumPar1"/>
        <w:spacing w:line="360" w:lineRule="auto"/>
        <w:ind w:left="1570"/>
        <w:rPr>
          <w:noProof/>
        </w:rPr>
      </w:pPr>
      <w:r w:rsidRPr="005B012A">
        <w:t>4.</w:t>
      </w:r>
      <w:r w:rsidRPr="005B012A">
        <w:tab/>
        <w:t>Bendroji įmonė gali veikti kaip pirmoji dirbtiniam intelektui skirtų superkompiuterių, kuriuose integruotos visų pirma Sąjungoje sukurtos technologijos, naudotoja.</w:t>
      </w:r>
    </w:p>
    <w:p w:rsidR="0059267E" w:rsidRPr="005B012A" w:rsidRDefault="0059267E" w:rsidP="00E40ED7">
      <w:pPr>
        <w:pStyle w:val="ManualNumPar1"/>
        <w:spacing w:line="360" w:lineRule="auto"/>
        <w:ind w:left="1570"/>
        <w:rPr>
          <w:noProof/>
        </w:rPr>
      </w:pPr>
      <w:r w:rsidRPr="005B012A">
        <w:t>5.</w:t>
      </w:r>
      <w:r w:rsidRPr="005B012A">
        <w:tab/>
        <w:t>Jei esama tinkamai pagrįstų saugumo priežasčių, valdyba gali pagal Reglamento (ES) 2021/694 12 straipsnio 6 dalį darbo programoje nustatyti sąlygas, kurias turi atitikti dirbtiniam intelektui skirtų superkompiuterių įsigijimo procedūroje norintys dalyvauti tiekėjai, arba pagal to reglamento 18 straipsnio 4 dalį apriboti tiekėjų dalyvavimą dėl saugumo priežasčių arba veiksmų, tiesiogiai susijusių su Sąjungos strateginiu savarankiškumu.</w:t>
      </w:r>
    </w:p>
    <w:p w:rsidR="0059267E" w:rsidRPr="005B012A" w:rsidRDefault="0059267E" w:rsidP="00E40ED7">
      <w:pPr>
        <w:pStyle w:val="ManualNumPar1"/>
        <w:spacing w:line="360" w:lineRule="auto"/>
        <w:ind w:left="1570"/>
        <w:rPr>
          <w:noProof/>
        </w:rPr>
      </w:pPr>
      <w:r w:rsidRPr="005B012A">
        <w:lastRenderedPageBreak/>
        <w:t>6.</w:t>
      </w:r>
      <w:r w:rsidRPr="005B012A">
        <w:tab/>
        <w:t xml:space="preserve">Dirbtiniam intelektui skirti superkompiuteriai įrengiami Sąjungoje esančiame „EuroHPC“ superkompiuterio prieglobą teikiančio subjekto objekte. </w:t>
      </w:r>
    </w:p>
    <w:p w:rsidR="0059267E" w:rsidRPr="005B012A" w:rsidRDefault="0059267E" w:rsidP="00E40ED7">
      <w:pPr>
        <w:pStyle w:val="ManualNumPar1"/>
        <w:spacing w:line="360" w:lineRule="auto"/>
        <w:ind w:left="1570"/>
        <w:rPr>
          <w:noProof/>
        </w:rPr>
      </w:pPr>
      <w:r w:rsidRPr="005B012A">
        <w:t>7.</w:t>
      </w:r>
      <w:r w:rsidRPr="005B012A">
        <w:tab/>
        <w:t xml:space="preserve">Nedarant poveikio Bendrosios įmonės likvidavimui, kaip nurodyta Įstatų 23 straipsnio 4 dalyje, ne anksčiau kaip praėjus </w:t>
      </w:r>
      <w:r w:rsidRPr="005B012A">
        <w:rPr>
          <w:b/>
          <w:bCs/>
          <w:i/>
          <w:iCs/>
        </w:rPr>
        <w:t>penkeriems</w:t>
      </w:r>
      <w:r w:rsidRPr="005B012A">
        <w:t xml:space="preserve"> metams po to, kai sėkmingai atliekamas prieglobą teikiančio subjekto objekte įrengto dirbtiniam intelektui skirto superkompiuterio priėmimo bandymas, valdybos sprendimu, laikantis prieglobos susitarimo, dirbtiniam intelektui skirto superkompiuterio nuosavybės teisės gali būti perduotos tam prieglobą teikiančiam subjektui, tas dirbtiniam intelektui skirtas superkompiuteris gali būti parduotas kitam subjektui arba jo eksploatavimas gali būti nutrauktas. Perdavus dirbtiniam intelektui skirto kompiuterio nuosavybės teises, prieglobą teikiantis subjektas kompensuoja Bendrajai įmonei perduodamo superkompiuterio likutinę vertę. Jeigu nuosavybės teisės prieglobą teikiančiam subjektui neperduodamos, bet priimamas sprendimas nutraukti eksploatavimą, atitinkamas išlaidas po lygiai pasidalija Bendroji įmonė ir prieglobą teikiantis subjektas. Bendroji įmonė nėra atsakinga už išlaidas, patirtas perdavus dirbtiniam intelektui skirto superkompiuterio nuosavybes teises, jį pardavus arba nutraukus jo eksploatavimą.“</w:t>
      </w:r>
    </w:p>
    <w:p w:rsidR="0059267E" w:rsidRPr="005B012A" w:rsidRDefault="0059267E" w:rsidP="00E40ED7">
      <w:pPr>
        <w:pStyle w:val="Point0"/>
        <w:spacing w:line="360" w:lineRule="auto"/>
        <w:rPr>
          <w:noProof/>
        </w:rPr>
      </w:pPr>
      <w:r w:rsidRPr="005B012A">
        <w:t>8)</w:t>
      </w:r>
      <w:r w:rsidRPr="005B012A">
        <w:tab/>
        <w:t>15 straipsnis iš dalies keičiamas taip:</w:t>
      </w:r>
    </w:p>
    <w:p w:rsidR="0059267E" w:rsidRPr="005B012A" w:rsidRDefault="0059267E" w:rsidP="00E40ED7">
      <w:pPr>
        <w:pStyle w:val="Point0"/>
        <w:spacing w:line="360" w:lineRule="auto"/>
        <w:ind w:left="1700"/>
        <w:rPr>
          <w:noProof/>
        </w:rPr>
      </w:pPr>
      <w:r w:rsidRPr="005B012A">
        <w:t>a)</w:t>
      </w:r>
      <w:r w:rsidRPr="005B012A">
        <w:tab/>
        <w:t>1 dalis pakeičiama taip:</w:t>
      </w:r>
    </w:p>
    <w:p w:rsidR="0059267E" w:rsidRPr="005B012A" w:rsidRDefault="0059267E" w:rsidP="00E40ED7">
      <w:pPr>
        <w:pStyle w:val="Text1"/>
        <w:spacing w:line="360" w:lineRule="auto"/>
        <w:ind w:left="2160" w:hanging="590"/>
        <w:rPr>
          <w:noProof/>
        </w:rPr>
      </w:pPr>
      <w:r w:rsidRPr="005B012A">
        <w:t xml:space="preserve">„1. </w:t>
      </w:r>
      <w:r w:rsidRPr="005B012A">
        <w:tab/>
        <w:t xml:space="preserve">Bendroji įmonė gali paskelbti kvietimą pareikšti susidomėjimą procedūra, kurios tikslas – modernizuoti jai nuosavybės arba bendrosios nuosavybės teise priklausančius „EuroHPC“ superkompiuterius </w:t>
      </w:r>
      <w:r w:rsidRPr="00CA7283">
        <w:rPr>
          <w:iCs/>
        </w:rPr>
        <w:t>siekiant pakelti jų našumo lygį iki eksalygmeniui artimo lygio, padidinti jų darbo su dirbtiniu intelektu pajėgumus arba padidinti jų veikimo našumą kokiu nors kitu būdu, pavyzdžiui, įdiegiant kvantinius greitintuvus.“;</w:t>
      </w:r>
      <w:r w:rsidRPr="00E40ED7">
        <w:t xml:space="preserve"> </w:t>
      </w:r>
      <w:r w:rsidRPr="005B012A">
        <w:t>2 dalis išbraukiama;</w:t>
      </w:r>
    </w:p>
    <w:p w:rsidR="0059267E" w:rsidRPr="005B012A" w:rsidRDefault="0059267E" w:rsidP="00E40ED7">
      <w:pPr>
        <w:pStyle w:val="Point0"/>
        <w:spacing w:line="360" w:lineRule="auto"/>
        <w:ind w:left="1700"/>
        <w:rPr>
          <w:noProof/>
        </w:rPr>
      </w:pPr>
      <w:r w:rsidRPr="005B012A">
        <w:t>b)</w:t>
      </w:r>
      <w:r w:rsidRPr="005B012A">
        <w:tab/>
        <w:t>5 dalis pakeičiama taip:</w:t>
      </w:r>
    </w:p>
    <w:p w:rsidR="0059267E" w:rsidRPr="005B012A" w:rsidRDefault="0059267E" w:rsidP="00E40ED7">
      <w:pPr>
        <w:pStyle w:val="Text1"/>
        <w:spacing w:line="360" w:lineRule="auto"/>
        <w:ind w:left="2160" w:hanging="590"/>
        <w:rPr>
          <w:noProof/>
        </w:rPr>
      </w:pPr>
      <w:r w:rsidRPr="005B012A">
        <w:t>„5.</w:t>
      </w:r>
      <w:r w:rsidRPr="005B012A">
        <w:tab/>
        <w:t xml:space="preserve">Sąjungos finansiniu įnašu padengiama modernizavimo įrangos įsigijimo išlaidų procentinė dalis yra tokia pati kaip originaliam „EuroHPC“ superkompiuteriui skirto Sąjungos finansinio įnašo procentinė dalis, nusidėvėjimą skaičiuojant per numatomą likusį originalaus </w:t>
      </w:r>
      <w:r w:rsidRPr="005B012A">
        <w:lastRenderedPageBreak/>
        <w:t>superkompiuterio naudojimo laikotarpį. Sąjungos finansiniu įnašu padengiama papildomų modernizavimo įrangos eksploatavimo išlaidų procentinė dalis yra tokia pati kaip originaliam „EuroHPC“ superkompiuteriui skirto Sąjungos finansinio įnašo procentinė dalis.“;</w:t>
      </w:r>
    </w:p>
    <w:p w:rsidR="0059267E" w:rsidRPr="005B012A" w:rsidRDefault="0059267E" w:rsidP="00E40ED7">
      <w:pPr>
        <w:pStyle w:val="Point0"/>
        <w:spacing w:line="360" w:lineRule="auto"/>
        <w:rPr>
          <w:noProof/>
        </w:rPr>
      </w:pPr>
      <w:r w:rsidRPr="005B012A">
        <w:t>9)</w:t>
      </w:r>
      <w:r w:rsidRPr="005B012A">
        <w:tab/>
        <w:t>16 straipsnis iš dalies keičiamas taip:</w:t>
      </w:r>
    </w:p>
    <w:p w:rsidR="0059267E" w:rsidRPr="005B012A" w:rsidRDefault="0059267E" w:rsidP="00E40ED7">
      <w:pPr>
        <w:pStyle w:val="Point0"/>
        <w:spacing w:line="360" w:lineRule="auto"/>
        <w:ind w:left="1700"/>
        <w:rPr>
          <w:noProof/>
        </w:rPr>
      </w:pPr>
      <w:r w:rsidRPr="005B012A">
        <w:t>a)</w:t>
      </w:r>
      <w:r w:rsidRPr="005B012A">
        <w:tab/>
        <w:t>įterpiama 1b dalis:</w:t>
      </w:r>
    </w:p>
    <w:p w:rsidR="0059267E" w:rsidRPr="005B012A" w:rsidRDefault="0059267E" w:rsidP="00E40ED7">
      <w:pPr>
        <w:pStyle w:val="Text1"/>
        <w:spacing w:line="360" w:lineRule="auto"/>
        <w:ind w:left="2160" w:hanging="590"/>
        <w:rPr>
          <w:i/>
          <w:iCs/>
          <w:noProof/>
        </w:rPr>
      </w:pPr>
      <w:r w:rsidRPr="005B012A">
        <w:t xml:space="preserve">„1b. </w:t>
      </w:r>
      <w:r w:rsidRPr="005B012A">
        <w:tab/>
        <w:t>Dirbtiniam intelektui skirti superkompiuteriai ir „EuroHPC“ superkompiuteriai, modernizuoti įdiegiant dirbtinio intelekto pajėgumus, visų pirma naudojami dideliems bendrosios paskirties dirbtinio intelekto modeliams ir naujoms dirbtinio intelekto taikmenoms kurti, bandyti, vertinti ir validuoti, taip pat dirbtinio intelekto sprendimams, kuriems reikia našiosios kompiuterijos pajėgumų, Sąjungoje toliau plėtoti ir dideliems dirbtinio intelekto algoritmams, kuriais siekiama spręsti mokslo problemas, vykdyti.“;</w:t>
      </w:r>
    </w:p>
    <w:p w:rsidR="0059267E" w:rsidRPr="005B012A" w:rsidRDefault="0059267E" w:rsidP="00E40ED7">
      <w:pPr>
        <w:pStyle w:val="Point0"/>
        <w:spacing w:line="360" w:lineRule="auto"/>
        <w:ind w:left="1700"/>
        <w:rPr>
          <w:noProof/>
        </w:rPr>
      </w:pPr>
      <w:r w:rsidRPr="005B012A">
        <w:t>b)</w:t>
      </w:r>
      <w:r w:rsidRPr="005B012A">
        <w:tab/>
        <w:t>įterpiama 2b dalis:</w:t>
      </w:r>
    </w:p>
    <w:p w:rsidR="0059267E" w:rsidRPr="005B012A" w:rsidRDefault="0059267E" w:rsidP="00E40ED7">
      <w:pPr>
        <w:pStyle w:val="Text1"/>
        <w:spacing w:line="360" w:lineRule="auto"/>
        <w:ind w:left="2160" w:hanging="590"/>
        <w:rPr>
          <w:noProof/>
        </w:rPr>
      </w:pPr>
      <w:r w:rsidRPr="005B012A">
        <w:t xml:space="preserve">„2b. </w:t>
      </w:r>
      <w:r w:rsidRPr="005B012A">
        <w:tab/>
        <w:t xml:space="preserve">Valdyba, laikydamasi 17 straipsnio ir atsižvelgdama į konkrečius dirbtinio intelekto startuolių ir mokslinių tyrimų ekosistemos poreikius, nustato ▌prieigos prie dirbtiniam intelektui skirtų superkompiuterių ir „EuroHPC“ superkompiuterių, modernizuotų įdiegiant dirbtinio intelekto pajėgumus, sąlygas. </w:t>
      </w:r>
      <w:r w:rsidRPr="005B012A">
        <w:rPr>
          <w:b/>
          <w:bCs/>
          <w:i/>
          <w:iCs/>
        </w:rPr>
        <w:t xml:space="preserve">Valdyba gali nustatyti konkrečias prieigos sąlygas įvairių tipų naudotojams ar taikmenoms, įskaitant </w:t>
      </w:r>
      <w:r w:rsidRPr="005B012A">
        <w:t>specialią</w:t>
      </w:r>
      <w:r w:rsidRPr="005B012A">
        <w:rPr>
          <w:b/>
          <w:bCs/>
          <w:i/>
          <w:iCs/>
        </w:rPr>
        <w:t xml:space="preserve"> startuoliams, veiklą plečiančioms įmonėms ir MVĮ skirtą </w:t>
      </w:r>
      <w:r w:rsidRPr="005B012A">
        <w:t>prieigą</w:t>
      </w:r>
      <w:r w:rsidRPr="005B012A">
        <w:rPr>
          <w:b/>
          <w:bCs/>
          <w:i/>
          <w:iCs/>
        </w:rPr>
        <w:t>.</w:t>
      </w:r>
      <w:r w:rsidRPr="005B012A">
        <w:rPr>
          <w:b/>
          <w:i/>
        </w:rPr>
        <w:t xml:space="preserve"> </w:t>
      </w:r>
      <w:r w:rsidRPr="005B012A">
        <w:rPr>
          <w:b/>
          <w:bCs/>
          <w:i/>
          <w:iCs/>
        </w:rPr>
        <w:t>Visiems kiekvienos kategorijos naudotojams turi būti užtikrintas vienodas saugumo ir paslaugų kokybės lygis.</w:t>
      </w:r>
      <w:r w:rsidRPr="005B012A">
        <w:t xml:space="preserve"> Prieiga gali būti suteikiama tik pasiūlymams, kuriais siekiama kurti patikimus ir etiškus dirbtinio intelekto modelius, sistemas ir taikmenas, atitinkančias </w:t>
      </w:r>
      <w:r w:rsidRPr="005B012A">
        <w:rPr>
          <w:b/>
          <w:bCs/>
          <w:i/>
          <w:iCs/>
        </w:rPr>
        <w:t>Sąjungos taisykles ir</w:t>
      </w:r>
      <w:r w:rsidRPr="005B012A">
        <w:t xml:space="preserve"> vertybes</w:t>
      </w:r>
      <w:r w:rsidRPr="005B012A">
        <w:rPr>
          <w:b/>
          <w:bCs/>
          <w:i/>
          <w:iCs/>
        </w:rPr>
        <w:t>, visų pirma įtvirtintas Europos Sąjungos sutarties 2 straipsnyje ir Europos Sąjungos pagrindinių teisių chartijoje</w:t>
      </w:r>
      <w:r w:rsidRPr="005B012A">
        <w:t xml:space="preserve">. </w:t>
      </w:r>
      <w:r w:rsidRPr="005B012A">
        <w:rPr>
          <w:b/>
          <w:bCs/>
          <w:i/>
          <w:iCs/>
        </w:rPr>
        <w:t>Prieigos kriterijai, metodikos ir gairės dėl prieigos prioritetų nustatymo bus apibrėžti laikantis dirbtiniam intelektui taikomo integruotosios etikos principo ir padedant programos „Europos horizontas“ etikos vertinimo mechanizmui.“;</w:t>
      </w:r>
    </w:p>
    <w:p w:rsidR="0059267E" w:rsidRPr="005B012A" w:rsidRDefault="0059267E" w:rsidP="00E40ED7">
      <w:pPr>
        <w:pStyle w:val="Point0"/>
        <w:spacing w:line="360" w:lineRule="auto"/>
        <w:rPr>
          <w:noProof/>
        </w:rPr>
      </w:pPr>
      <w:r w:rsidRPr="005B012A">
        <w:lastRenderedPageBreak/>
        <w:t>10)</w:t>
      </w:r>
      <w:r w:rsidRPr="005B012A">
        <w:tab/>
        <w:t>17 straipsnio 1 dalis pakeičiama taip:</w:t>
      </w:r>
    </w:p>
    <w:p w:rsidR="0059267E" w:rsidRPr="005B012A" w:rsidRDefault="0059267E" w:rsidP="00E40ED7">
      <w:pPr>
        <w:pStyle w:val="Text1"/>
        <w:spacing w:line="360" w:lineRule="auto"/>
        <w:ind w:left="1440" w:hanging="720"/>
        <w:rPr>
          <w:noProof/>
        </w:rPr>
      </w:pPr>
      <w:r w:rsidRPr="005B012A">
        <w:t>„1.</w:t>
      </w:r>
      <w:r w:rsidRPr="005B012A">
        <w:tab/>
        <w:t xml:space="preserve">Sąjungos prieigos prie kiekvieno aukščiausios klasės, kvantinio </w:t>
      </w:r>
      <w:r w:rsidRPr="00E40ED7">
        <w:rPr>
          <w:b/>
          <w:bCs/>
          <w:i/>
          <w:iCs/>
        </w:rPr>
        <w:t>ir dirbtiniam intelektui skirto</w:t>
      </w:r>
      <w:r w:rsidRPr="00E40ED7">
        <w:t xml:space="preserve"> </w:t>
      </w:r>
      <w:r w:rsidRPr="005B012A">
        <w:t>„EuroHPC“ superkompiuterio laiko dalis yra tiesiogiai proporcinga 5 straipsnio 1 dalyje nurodytam Sąjungos finansiniam įnašui, skirtam daliai „EuroHPC“ superkompiuterio visų nuosavybės išlaidų padengti, ir todėl neviršija 50 % viso prieigos prie „EuroHPC“ superkompiuterio laiko.“</w:t>
      </w:r>
    </w:p>
    <w:p w:rsidR="0059267E" w:rsidRPr="005B012A" w:rsidRDefault="0059267E" w:rsidP="00E40ED7">
      <w:pPr>
        <w:pStyle w:val="Titrearticle"/>
        <w:spacing w:line="360" w:lineRule="auto"/>
        <w:rPr>
          <w:noProof/>
        </w:rPr>
      </w:pPr>
      <w:r w:rsidRPr="005B012A">
        <w:t>2 straipsnis</w:t>
      </w:r>
    </w:p>
    <w:p w:rsidR="0059267E" w:rsidRPr="005B012A" w:rsidRDefault="0059267E" w:rsidP="00E40ED7">
      <w:pPr>
        <w:spacing w:line="360" w:lineRule="auto"/>
        <w:rPr>
          <w:noProof/>
        </w:rPr>
      </w:pPr>
      <w:r w:rsidRPr="005B012A">
        <w:t xml:space="preserve">Šis reglamentas įsigalioja dvidešimtą dieną po jo paskelbimo </w:t>
      </w:r>
      <w:r w:rsidRPr="005B012A">
        <w:rPr>
          <w:i/>
          <w:iCs/>
        </w:rPr>
        <w:t>Europos Sąjungos oficialiajame leidinyje</w:t>
      </w:r>
      <w:r w:rsidRPr="005B012A">
        <w:t>.</w:t>
      </w:r>
    </w:p>
    <w:p w:rsidR="0059267E" w:rsidRPr="005B012A" w:rsidRDefault="0059267E" w:rsidP="00E40ED7">
      <w:pPr>
        <w:pStyle w:val="Applicationdirecte"/>
        <w:spacing w:line="360" w:lineRule="auto"/>
        <w:rPr>
          <w:noProof/>
        </w:rPr>
      </w:pPr>
      <w:r w:rsidRPr="005B012A">
        <w:t>Šis reglamentas privalomas visas ir tiesiogiai taikomas visose valstybėse narėse.</w:t>
      </w:r>
    </w:p>
    <w:p w:rsidR="0059267E" w:rsidRPr="005B012A" w:rsidRDefault="0059267E" w:rsidP="00E40ED7">
      <w:pPr>
        <w:pStyle w:val="Fait"/>
        <w:spacing w:line="360" w:lineRule="auto"/>
        <w:rPr>
          <w:noProof/>
        </w:rPr>
      </w:pPr>
      <w:r w:rsidRPr="005B012A">
        <w:t>Priimta …</w:t>
      </w:r>
    </w:p>
    <w:p w:rsidR="0059267E" w:rsidRPr="005B012A" w:rsidRDefault="0059267E" w:rsidP="00CA7283">
      <w:pPr>
        <w:pStyle w:val="Institutionquisigne"/>
        <w:spacing w:line="360" w:lineRule="auto"/>
        <w:rPr>
          <w:noProof/>
        </w:rPr>
      </w:pPr>
      <w:r w:rsidRPr="005B012A">
        <w:tab/>
        <w:t>Tarybos vardu</w:t>
      </w:r>
    </w:p>
    <w:p w:rsidR="0059267E" w:rsidRPr="00CA7283" w:rsidRDefault="0059267E" w:rsidP="00CA7283">
      <w:pPr>
        <w:spacing w:line="360" w:lineRule="auto"/>
        <w:rPr>
          <w:i/>
        </w:rPr>
      </w:pPr>
      <w:r w:rsidRPr="005B012A">
        <w:tab/>
      </w:r>
      <w:r w:rsidR="00E40ED7">
        <w:tab/>
      </w:r>
      <w:r w:rsidR="00E40ED7">
        <w:tab/>
      </w:r>
      <w:r w:rsidR="00E40ED7">
        <w:tab/>
      </w:r>
      <w:r w:rsidR="00E40ED7">
        <w:tab/>
      </w:r>
      <w:r w:rsidR="00E40ED7">
        <w:tab/>
      </w:r>
      <w:r w:rsidRPr="00CA7283">
        <w:rPr>
          <w:i/>
        </w:rPr>
        <w:t>Pirmininkas / Pirmininkė</w:t>
      </w:r>
    </w:p>
    <w:p w:rsidR="00E365E1" w:rsidRPr="005B012A" w:rsidRDefault="00E365E1" w:rsidP="002007BB">
      <w:bookmarkStart w:id="9" w:name="TextBodyEnd"/>
      <w:bookmarkEnd w:id="9"/>
    </w:p>
    <w:sectPr w:rsidR="00E365E1" w:rsidRPr="005B012A" w:rsidSect="00E40E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7BB" w:rsidRPr="005B012A" w:rsidRDefault="002007BB">
      <w:r w:rsidRPr="005B012A">
        <w:separator/>
      </w:r>
    </w:p>
  </w:endnote>
  <w:endnote w:type="continuationSeparator" w:id="0">
    <w:p w:rsidR="002007BB" w:rsidRPr="005B012A" w:rsidRDefault="002007BB">
      <w:r w:rsidRPr="005B01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12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12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1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7BB" w:rsidRPr="005B012A" w:rsidRDefault="002007BB">
      <w:r w:rsidRPr="005B012A">
        <w:separator/>
      </w:r>
    </w:p>
  </w:footnote>
  <w:footnote w:type="continuationSeparator" w:id="0">
    <w:p w:rsidR="002007BB" w:rsidRPr="005B012A" w:rsidRDefault="002007BB">
      <w:r w:rsidRPr="005B012A">
        <w:continuationSeparator/>
      </w:r>
    </w:p>
  </w:footnote>
  <w:footnote w:id="1">
    <w:p w:rsidR="0059267E" w:rsidRPr="005B012A" w:rsidRDefault="0059267E" w:rsidP="005B012A">
      <w:pPr>
        <w:pStyle w:val="FootnoteText"/>
        <w:ind w:left="567" w:hanging="567"/>
        <w:rPr>
          <w:sz w:val="24"/>
          <w:lang w:val="lt-LT"/>
        </w:rPr>
      </w:pPr>
      <w:r w:rsidRPr="005B012A">
        <w:rPr>
          <w:rStyle w:val="FootnoteReference"/>
          <w:sz w:val="24"/>
          <w:lang w:val="lt-LT"/>
        </w:rPr>
        <w:t>*</w:t>
      </w:r>
      <w:r w:rsidR="005B012A" w:rsidRPr="005B012A">
        <w:rPr>
          <w:sz w:val="24"/>
          <w:lang w:val="lt-LT"/>
        </w:rPr>
        <w:t xml:space="preserve"> </w:t>
      </w:r>
      <w:r w:rsidR="005B012A" w:rsidRPr="005B012A">
        <w:rPr>
          <w:sz w:val="24"/>
          <w:lang w:val="lt-LT"/>
        </w:rPr>
        <w:tab/>
      </w:r>
      <w:r w:rsidRPr="005B012A">
        <w:rPr>
          <w:sz w:val="24"/>
          <w:lang w:val="lt-LT"/>
        </w:rPr>
        <w:t>Pakeitimai: naujos arba iš dalies pakeistos teksto dalys žymimos pusjuodžiu kursyvu; išbrauktas tekstas nurodomas simboliu ▌.</w:t>
      </w:r>
    </w:p>
  </w:footnote>
  <w:footnote w:id="2">
    <w:p w:rsidR="0059267E" w:rsidRPr="005B012A" w:rsidRDefault="0059267E" w:rsidP="005B012A">
      <w:pPr>
        <w:pStyle w:val="FootnoteText"/>
        <w:ind w:left="567" w:hanging="567"/>
        <w:rPr>
          <w:sz w:val="24"/>
          <w:lang w:val="lt-LT"/>
        </w:rPr>
      </w:pPr>
      <w:r w:rsidRPr="005B012A">
        <w:rPr>
          <w:rStyle w:val="FootnoteReference"/>
          <w:sz w:val="24"/>
          <w:lang w:val="lt-LT"/>
        </w:rPr>
        <w:footnoteRef/>
      </w:r>
      <w:r w:rsidR="005B012A" w:rsidRPr="005B012A">
        <w:rPr>
          <w:sz w:val="24"/>
          <w:lang w:val="lt-LT"/>
        </w:rPr>
        <w:t xml:space="preserve"> </w:t>
      </w:r>
      <w:r w:rsidR="005B012A" w:rsidRPr="005B012A">
        <w:rPr>
          <w:sz w:val="24"/>
          <w:lang w:val="lt-LT"/>
        </w:rPr>
        <w:tab/>
      </w:r>
      <w:r w:rsidRPr="005B012A">
        <w:rPr>
          <w:sz w:val="24"/>
          <w:lang w:val="lt-LT"/>
        </w:rPr>
        <w:t>OL C , , p. .</w:t>
      </w:r>
    </w:p>
  </w:footnote>
  <w:footnote w:id="3">
    <w:p w:rsidR="0059267E" w:rsidRPr="005B012A" w:rsidRDefault="0059267E" w:rsidP="005B012A">
      <w:pPr>
        <w:pStyle w:val="FootnoteText"/>
        <w:ind w:left="567" w:hanging="567"/>
        <w:rPr>
          <w:sz w:val="24"/>
          <w:lang w:val="lt-LT"/>
        </w:rPr>
      </w:pPr>
      <w:r w:rsidRPr="005B012A">
        <w:rPr>
          <w:rStyle w:val="FootnoteReference"/>
          <w:sz w:val="24"/>
          <w:lang w:val="lt-LT"/>
        </w:rPr>
        <w:footnoteRef/>
      </w:r>
      <w:r w:rsidR="005B012A" w:rsidRPr="005B012A">
        <w:rPr>
          <w:sz w:val="24"/>
          <w:lang w:val="lt-LT"/>
        </w:rPr>
        <w:t xml:space="preserve"> </w:t>
      </w:r>
      <w:r w:rsidR="005B012A" w:rsidRPr="005B012A">
        <w:rPr>
          <w:sz w:val="24"/>
          <w:lang w:val="lt-LT"/>
        </w:rPr>
        <w:tab/>
      </w:r>
      <w:r w:rsidRPr="005B012A">
        <w:rPr>
          <w:sz w:val="24"/>
          <w:lang w:val="lt-LT"/>
        </w:rPr>
        <w:t> nuomonė, OL C , p. .</w:t>
      </w:r>
    </w:p>
  </w:footnote>
  <w:footnote w:id="4">
    <w:p w:rsidR="0059267E" w:rsidRPr="005B012A" w:rsidRDefault="0059267E" w:rsidP="005B012A">
      <w:pPr>
        <w:pStyle w:val="FootnoteText"/>
        <w:ind w:left="567" w:hanging="567"/>
        <w:rPr>
          <w:sz w:val="24"/>
          <w:lang w:val="lt-LT"/>
        </w:rPr>
      </w:pPr>
      <w:r w:rsidRPr="005B012A">
        <w:rPr>
          <w:rStyle w:val="FootnoteReference"/>
          <w:sz w:val="24"/>
          <w:lang w:val="lt-LT"/>
        </w:rPr>
        <w:footnoteRef/>
      </w:r>
      <w:r w:rsidR="005B012A" w:rsidRPr="005B012A">
        <w:rPr>
          <w:rStyle w:val="normaltextrun"/>
          <w:sz w:val="24"/>
          <w:lang w:val="lt-LT"/>
        </w:rPr>
        <w:t xml:space="preserve"> </w:t>
      </w:r>
      <w:r w:rsidR="005B012A" w:rsidRPr="005B012A">
        <w:rPr>
          <w:rStyle w:val="normaltextrun"/>
          <w:sz w:val="24"/>
          <w:lang w:val="lt-LT"/>
        </w:rPr>
        <w:tab/>
      </w:r>
      <w:r w:rsidRPr="005B012A">
        <w:rPr>
          <w:rStyle w:val="normaltextrun"/>
          <w:sz w:val="24"/>
          <w:lang w:val="lt-LT"/>
        </w:rPr>
        <w:t>Europos Parlamento ir Tarybos reglamentas (ES) 2024/..., kuriuo nustatomos suderintos dirbtinio intelekto taisyklės (Dirbtinio intelekto aktas) ir iš dalies keičiami tam tikri Sąjungos teisėkūros procedūra priimti aktai (OL L …).</w:t>
      </w:r>
    </w:p>
  </w:footnote>
  <w:footnote w:id="5">
    <w:p w:rsidR="0059267E" w:rsidRPr="005B012A" w:rsidRDefault="0059267E" w:rsidP="005B012A">
      <w:pPr>
        <w:pStyle w:val="FootnoteText"/>
        <w:ind w:left="567" w:hanging="567"/>
        <w:rPr>
          <w:sz w:val="24"/>
          <w:lang w:val="lt-LT"/>
        </w:rPr>
      </w:pPr>
      <w:r w:rsidRPr="005B012A">
        <w:rPr>
          <w:rStyle w:val="FootnoteReference"/>
          <w:sz w:val="24"/>
          <w:lang w:val="lt-LT"/>
        </w:rPr>
        <w:footnoteRef/>
      </w:r>
      <w:r w:rsidR="005B012A" w:rsidRPr="005B012A">
        <w:rPr>
          <w:sz w:val="24"/>
          <w:lang w:val="lt-LT"/>
        </w:rPr>
        <w:t xml:space="preserve"> </w:t>
      </w:r>
      <w:r w:rsidR="005B012A" w:rsidRPr="005B012A">
        <w:rPr>
          <w:sz w:val="24"/>
          <w:lang w:val="lt-LT"/>
        </w:rPr>
        <w:tab/>
      </w:r>
      <w:r w:rsidRPr="005B012A">
        <w:rPr>
          <w:sz w:val="24"/>
          <w:lang w:val="lt-LT"/>
        </w:rPr>
        <w:t xml:space="preserve">2021 m. liepos 13 d. Tarybos reglamentas (ES) 2021/1173 dėl Europos našiosios kompiuterijos bendrosios įmonės įsteigimo ir kuriuo panaikinamas Reglamentas (ES) 2018/1488 (OL L 256, 2021 7 19, p. 3, ELI: </w:t>
      </w:r>
      <w:hyperlink r:id="rId1" w:history="1">
        <w:r w:rsidRPr="005B012A">
          <w:rPr>
            <w:rStyle w:val="Hyperlink"/>
            <w:sz w:val="24"/>
            <w:lang w:val="lt-LT"/>
          </w:rPr>
          <w:t>https://eur-lex.europa.eu/eli/reg/2021/1173/oj</w:t>
        </w:r>
      </w:hyperlink>
      <w:r w:rsidRPr="005B012A">
        <w:rPr>
          <w:sz w:val="24"/>
          <w:lang w:val="lt-LT"/>
        </w:rPr>
        <w:t>).</w:t>
      </w:r>
    </w:p>
  </w:footnote>
  <w:footnote w:id="6">
    <w:p w:rsidR="0059267E" w:rsidRPr="005B012A" w:rsidRDefault="0059267E" w:rsidP="005B012A">
      <w:pPr>
        <w:pStyle w:val="FootnoteText"/>
        <w:ind w:left="567" w:hanging="567"/>
        <w:rPr>
          <w:sz w:val="24"/>
          <w:lang w:val="lt-LT"/>
        </w:rPr>
      </w:pPr>
      <w:r w:rsidRPr="005B012A">
        <w:rPr>
          <w:rStyle w:val="FootnoteReference"/>
          <w:sz w:val="24"/>
          <w:lang w:val="lt-LT"/>
        </w:rPr>
        <w:footnoteRef/>
      </w:r>
      <w:r w:rsidR="005B012A" w:rsidRPr="005B012A">
        <w:rPr>
          <w:b/>
          <w:bCs/>
          <w:i/>
          <w:iCs/>
          <w:sz w:val="24"/>
          <w:lang w:val="lt-LT"/>
        </w:rPr>
        <w:t xml:space="preserve"> </w:t>
      </w:r>
      <w:r w:rsidR="005B012A" w:rsidRPr="005B012A">
        <w:rPr>
          <w:b/>
          <w:bCs/>
          <w:i/>
          <w:iCs/>
          <w:sz w:val="24"/>
          <w:lang w:val="lt-LT"/>
        </w:rPr>
        <w:tab/>
      </w:r>
      <w:r w:rsidRPr="005B012A">
        <w:rPr>
          <w:b/>
          <w:bCs/>
          <w:i/>
          <w:iCs/>
          <w:sz w:val="24"/>
          <w:lang w:val="lt-LT"/>
        </w:rPr>
        <w:t>Priimti tekstai, P9_TA(2023)0480.</w:t>
      </w:r>
    </w:p>
  </w:footnote>
  <w:footnote w:id="7">
    <w:p w:rsidR="0059267E" w:rsidRPr="005B012A" w:rsidRDefault="0059267E" w:rsidP="005B012A">
      <w:pPr>
        <w:pStyle w:val="FootnoteText"/>
        <w:ind w:left="567" w:hanging="567"/>
        <w:rPr>
          <w:b/>
          <w:i/>
          <w:sz w:val="24"/>
          <w:lang w:val="lt-LT"/>
        </w:rPr>
      </w:pPr>
      <w:r w:rsidRPr="005B012A">
        <w:rPr>
          <w:rStyle w:val="FootnoteReference"/>
          <w:b/>
          <w:i/>
          <w:sz w:val="24"/>
          <w:lang w:val="lt-LT"/>
        </w:rPr>
        <w:footnoteRef/>
      </w:r>
      <w:r w:rsidR="005B012A" w:rsidRPr="005B012A">
        <w:rPr>
          <w:b/>
          <w:bCs/>
          <w:i/>
          <w:iCs/>
          <w:sz w:val="24"/>
          <w:lang w:val="lt-LT"/>
        </w:rPr>
        <w:t xml:space="preserve"> </w:t>
      </w:r>
      <w:r w:rsidR="005B012A" w:rsidRPr="005B012A">
        <w:rPr>
          <w:b/>
          <w:bCs/>
          <w:i/>
          <w:iCs/>
          <w:sz w:val="24"/>
          <w:lang w:val="lt-LT"/>
        </w:rPr>
        <w:tab/>
      </w:r>
      <w:r w:rsidRPr="005B012A">
        <w:rPr>
          <w:b/>
          <w:bCs/>
          <w:i/>
          <w:iCs/>
          <w:sz w:val="24"/>
          <w:lang w:val="lt-LT"/>
        </w:rPr>
        <w:t>2023 m. rugsėjo 13 d. Europos Parlamento ir Tarybos direktyva (ES) 2023/1791 dėl energijos vartojimo efektyvumo, kuria iš dalies keičiamas Reglamentas (ES) 2023/955 (OL L 231, 2023 9 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1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1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01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LT"/>
    <w:docVar w:name="dvnumam" w:val="0"/>
    <w:docVar w:name="dvpe" w:val="759.744"/>
    <w:docVar w:name="dvrapporteur" w:val="Pranešėjai: "/>
    <w:docVar w:name="dvstar" w:val="*"/>
    <w:docVar w:name="dvtitre" w:val="Europos Parlamento teisėkūros rezoliucija dėl pasiūlymo dėl Tarybos reglamento, kuriuo dėl startuoliams skirtos „EuroHPC“ iniciatyvos, kuria siekiama stiprinti Europos lyderystę patikimo dirbtinio intelekto srityje, iš dalies keičiamas Reglamentas (ES) 2021/1173(COM(2024)0029 – C9-0013/2024 – 2024/0016(CNS))"/>
  </w:docVars>
  <w:rsids>
    <w:rsidRoot w:val="002007BB"/>
    <w:rsid w:val="00002272"/>
    <w:rsid w:val="00064002"/>
    <w:rsid w:val="000677B9"/>
    <w:rsid w:val="000831BA"/>
    <w:rsid w:val="000A42CC"/>
    <w:rsid w:val="000E7DD9"/>
    <w:rsid w:val="0010095E"/>
    <w:rsid w:val="00125B37"/>
    <w:rsid w:val="00187494"/>
    <w:rsid w:val="001F32AE"/>
    <w:rsid w:val="002007BB"/>
    <w:rsid w:val="002267B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267E"/>
    <w:rsid w:val="005B012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1E8"/>
    <w:rsid w:val="00865F67"/>
    <w:rsid w:val="00881A7B"/>
    <w:rsid w:val="008840E5"/>
    <w:rsid w:val="00887B3E"/>
    <w:rsid w:val="008A6225"/>
    <w:rsid w:val="008C2AC6"/>
    <w:rsid w:val="0092522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283"/>
    <w:rsid w:val="00CC2357"/>
    <w:rsid w:val="00CF071A"/>
    <w:rsid w:val="00D058B8"/>
    <w:rsid w:val="00D56C11"/>
    <w:rsid w:val="00D834A0"/>
    <w:rsid w:val="00D872DF"/>
    <w:rsid w:val="00D91E21"/>
    <w:rsid w:val="00DA7FCD"/>
    <w:rsid w:val="00E365E1"/>
    <w:rsid w:val="00E40ED7"/>
    <w:rsid w:val="00E820A4"/>
    <w:rsid w:val="00EB006A"/>
    <w:rsid w:val="00EB4772"/>
    <w:rsid w:val="00ED169E"/>
    <w:rsid w:val="00ED4235"/>
    <w:rsid w:val="00F04346"/>
    <w:rsid w:val="00F075DC"/>
    <w:rsid w:val="00F149E9"/>
    <w:rsid w:val="00F5134D"/>
    <w:rsid w:val="00F5207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23615"/>
  <w15:chartTrackingRefBased/>
  <w15:docId w15:val="{1F5C4133-5B57-4C6A-BE64-A61408095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9267E"/>
    <w:pPr>
      <w:spacing w:before="480" w:after="240"/>
    </w:pPr>
  </w:style>
  <w:style w:type="paragraph" w:customStyle="1" w:styleId="NormalBold">
    <w:name w:val="NormalBold"/>
    <w:basedOn w:val="Normal"/>
    <w:rsid w:val="0059267E"/>
    <w:rPr>
      <w:b/>
    </w:rPr>
  </w:style>
  <w:style w:type="paragraph" w:customStyle="1" w:styleId="NormalHanging12a">
    <w:name w:val="NormalHanging12a"/>
    <w:basedOn w:val="Normal"/>
    <w:rsid w:val="0059267E"/>
    <w:pPr>
      <w:spacing w:after="240"/>
      <w:ind w:left="567" w:hanging="567"/>
    </w:pPr>
  </w:style>
  <w:style w:type="paragraph" w:customStyle="1" w:styleId="AmNumberTabs">
    <w:name w:val="AmNumberTabs"/>
    <w:basedOn w:val="Normal"/>
    <w:rsid w:val="005926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59267E"/>
    <w:rPr>
      <w:color w:val="0563C1" w:themeColor="hyperlink"/>
      <w:u w:val="single"/>
    </w:rPr>
  </w:style>
  <w:style w:type="paragraph" w:styleId="ListParagraph">
    <w:name w:val="List Paragraph"/>
    <w:basedOn w:val="Normal"/>
    <w:uiPriority w:val="34"/>
    <w:qFormat/>
    <w:rsid w:val="0059267E"/>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59267E"/>
    <w:pPr>
      <w:widowControl/>
      <w:spacing w:before="120" w:after="120"/>
      <w:ind w:left="850"/>
      <w:jc w:val="both"/>
    </w:pPr>
    <w:rPr>
      <w:rFonts w:eastAsiaTheme="minorHAnsi"/>
      <w:szCs w:val="22"/>
      <w:lang w:eastAsia="en-US"/>
    </w:rPr>
  </w:style>
  <w:style w:type="paragraph" w:customStyle="1" w:styleId="Point0">
    <w:name w:val="Point 0"/>
    <w:basedOn w:val="Normal"/>
    <w:rsid w:val="0059267E"/>
    <w:pPr>
      <w:widowControl/>
      <w:spacing w:before="120" w:after="120"/>
      <w:ind w:left="850" w:hanging="850"/>
      <w:jc w:val="both"/>
    </w:pPr>
    <w:rPr>
      <w:rFonts w:eastAsiaTheme="minorHAnsi"/>
      <w:szCs w:val="22"/>
      <w:lang w:eastAsia="en-US"/>
    </w:rPr>
  </w:style>
  <w:style w:type="paragraph" w:customStyle="1" w:styleId="Point1">
    <w:name w:val="Point 1"/>
    <w:basedOn w:val="Normal"/>
    <w:rsid w:val="0059267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9267E"/>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59267E"/>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59267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59267E"/>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59267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59267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9267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9267E"/>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59267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59267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59267E"/>
    <w:pPr>
      <w:widowControl/>
      <w:ind w:left="5103"/>
    </w:pPr>
    <w:rPr>
      <w:rFonts w:eastAsiaTheme="minorHAnsi"/>
      <w:szCs w:val="22"/>
      <w:lang w:eastAsia="en-US"/>
    </w:rPr>
  </w:style>
  <w:style w:type="paragraph" w:customStyle="1" w:styleId="Typedudocument">
    <w:name w:val="Type du document"/>
    <w:basedOn w:val="Normal"/>
    <w:next w:val="Titreobjet"/>
    <w:rsid w:val="0059267E"/>
    <w:pPr>
      <w:widowControl/>
      <w:spacing w:before="360"/>
      <w:jc w:val="center"/>
    </w:pPr>
    <w:rPr>
      <w:rFonts w:eastAsiaTheme="minorHAnsi"/>
      <w:b/>
      <w:szCs w:val="22"/>
      <w:lang w:eastAsia="en-US"/>
    </w:rPr>
  </w:style>
  <w:style w:type="paragraph" w:customStyle="1" w:styleId="Titreobjet">
    <w:name w:val="Titre objet"/>
    <w:basedOn w:val="Normal"/>
    <w:next w:val="Normal"/>
    <w:rsid w:val="0059267E"/>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59267E"/>
  </w:style>
  <w:style w:type="character" w:customStyle="1" w:styleId="eop">
    <w:name w:val="eop"/>
    <w:basedOn w:val="DefaultParagraphFont"/>
    <w:rsid w:val="0059267E"/>
  </w:style>
  <w:style w:type="paragraph" w:customStyle="1" w:styleId="NormalCenter12a">
    <w:name w:val="NormalCenter12a"/>
    <w:basedOn w:val="Normal"/>
    <w:rsid w:val="0059267E"/>
    <w:pPr>
      <w:spacing w:after="240"/>
      <w:jc w:val="center"/>
    </w:pPr>
  </w:style>
  <w:style w:type="paragraph" w:customStyle="1" w:styleId="AmHeadingConsam">
    <w:name w:val="AmHeadingConsam"/>
    <w:basedOn w:val="Normal"/>
    <w:next w:val="NormalCenter12a"/>
    <w:rsid w:val="0059267E"/>
    <w:pPr>
      <w:spacing w:before="720" w:after="240"/>
      <w:jc w:val="center"/>
    </w:pPr>
  </w:style>
  <w:style w:type="paragraph" w:styleId="BalloonText">
    <w:name w:val="Balloon Text"/>
    <w:basedOn w:val="Normal"/>
    <w:link w:val="BalloonTextChar"/>
    <w:rsid w:val="00E40ED7"/>
    <w:rPr>
      <w:rFonts w:ascii="Segoe UI" w:hAnsi="Segoe UI" w:cs="Segoe UI"/>
      <w:sz w:val="18"/>
      <w:szCs w:val="18"/>
    </w:rPr>
  </w:style>
  <w:style w:type="character" w:customStyle="1" w:styleId="BalloonTextChar">
    <w:name w:val="Balloon Text Char"/>
    <w:basedOn w:val="DefaultParagraphFont"/>
    <w:link w:val="BalloonText"/>
    <w:rsid w:val="00E40ED7"/>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C2393-8044-4A0F-8CC4-0B904C12D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3050</Words>
  <Characters>23009</Characters>
  <Application>Microsoft Office Word</Application>
  <DocSecurity>0</DocSecurity>
  <Lines>920</Lines>
  <Paragraphs>299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2024-04-24T16:26:00Z</dcterms:created>
  <dcterms:modified xsi:type="dcterms:W3CDTF">2024-04-24T16:26:00Z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A9-0161/2024</vt:lpwstr>
  </property>
  <property fmtid="{D5CDD505-2E9C-101B-9397-08002B2CF9AE}" pid="4" name="&lt;Type&gt;">
    <vt:lpwstr>RR</vt:lpwstr>
  </property>
</Properties>
</file>