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614E6" w:rsidTr="0010095E">
        <w:trPr>
          <w:trHeight w:hRule="exact" w:val="1418"/>
        </w:trPr>
        <w:tc>
          <w:tcPr>
            <w:tcW w:w="6804" w:type="dxa"/>
            <w:shd w:val="clear" w:color="auto" w:fill="auto"/>
            <w:vAlign w:val="center"/>
          </w:tcPr>
          <w:p w:rsidR="00751A4A" w:rsidRPr="00D614E6" w:rsidRDefault="006E7093" w:rsidP="0010095E">
            <w:pPr>
              <w:pStyle w:val="EPName"/>
            </w:pPr>
            <w:bookmarkStart w:id="0" w:name="_GoBack"/>
            <w:bookmarkEnd w:id="0"/>
            <w:r w:rsidRPr="00D614E6">
              <w:t>Parlamentul European</w:t>
            </w:r>
          </w:p>
          <w:p w:rsidR="00751A4A" w:rsidRPr="00D614E6" w:rsidRDefault="00817416" w:rsidP="00756632">
            <w:pPr>
              <w:pStyle w:val="EPTerm"/>
              <w:rPr>
                <w:rStyle w:val="HideTWBExt"/>
                <w:noProof w:val="0"/>
                <w:vanish w:val="0"/>
                <w:color w:val="auto"/>
              </w:rPr>
            </w:pPr>
            <w:r w:rsidRPr="00D614E6">
              <w:t>2019-2024</w:t>
            </w:r>
          </w:p>
        </w:tc>
        <w:tc>
          <w:tcPr>
            <w:tcW w:w="2268" w:type="dxa"/>
            <w:shd w:val="clear" w:color="auto" w:fill="auto"/>
          </w:tcPr>
          <w:p w:rsidR="00751A4A" w:rsidRPr="00D614E6" w:rsidRDefault="00187494" w:rsidP="0010095E">
            <w:pPr>
              <w:pStyle w:val="EPLogo"/>
            </w:pPr>
            <w:r w:rsidRPr="00D614E6">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614E6" w:rsidRDefault="00D058B8" w:rsidP="004C5D52">
      <w:pPr>
        <w:pStyle w:val="LineTop"/>
      </w:pPr>
    </w:p>
    <w:p w:rsidR="00680577" w:rsidRPr="00D614E6" w:rsidRDefault="006E7093" w:rsidP="00680577">
      <w:pPr>
        <w:pStyle w:val="EPBodyTA1"/>
      </w:pPr>
      <w:r w:rsidRPr="00D614E6">
        <w:t>TEXTE ADOPTATE</w:t>
      </w:r>
    </w:p>
    <w:p w:rsidR="00D058B8" w:rsidRPr="00D614E6" w:rsidRDefault="00D058B8" w:rsidP="00D058B8">
      <w:pPr>
        <w:pStyle w:val="LineBottom"/>
      </w:pPr>
    </w:p>
    <w:p w:rsidR="006E7093" w:rsidRPr="00D614E6" w:rsidRDefault="006E7093" w:rsidP="006E7093">
      <w:pPr>
        <w:pStyle w:val="ATHeading1"/>
      </w:pPr>
      <w:bookmarkStart w:id="1" w:name="TANumber"/>
      <w:r w:rsidRPr="00D614E6">
        <w:t>P9_TA(2024)0</w:t>
      </w:r>
      <w:bookmarkEnd w:id="1"/>
      <w:r w:rsidR="00D614E6" w:rsidRPr="00D614E6">
        <w:t>359</w:t>
      </w:r>
    </w:p>
    <w:p w:rsidR="006E7093" w:rsidRPr="00D614E6" w:rsidRDefault="004F642B" w:rsidP="004F642B">
      <w:pPr>
        <w:pStyle w:val="ATHeading2"/>
      </w:pPr>
      <w:r w:rsidRPr="00D614E6">
        <w:t xml:space="preserve">Inițiativa </w:t>
      </w:r>
      <w:proofErr w:type="spellStart"/>
      <w:r w:rsidRPr="00D614E6">
        <w:t>EuroHPC</w:t>
      </w:r>
      <w:proofErr w:type="spellEnd"/>
      <w:r w:rsidRPr="00D614E6">
        <w:t xml:space="preserve"> vizând întreprinderile nou-înființate pentru a consolida poziția de lider a Europei în domeniul inteligenței artificiale de încredere</w:t>
      </w:r>
    </w:p>
    <w:p w:rsidR="006E7093" w:rsidRPr="00D614E6" w:rsidRDefault="006E7093" w:rsidP="006E7093">
      <w:pPr>
        <w:rPr>
          <w:i/>
          <w:vanish/>
        </w:rPr>
      </w:pPr>
      <w:r w:rsidRPr="00D614E6">
        <w:rPr>
          <w:i/>
        </w:rPr>
        <w:fldChar w:fldCharType="begin"/>
      </w:r>
      <w:r w:rsidRPr="00D614E6">
        <w:rPr>
          <w:i/>
        </w:rPr>
        <w:instrText xml:space="preserve"> TC"(</w:instrText>
      </w:r>
      <w:bookmarkStart w:id="2" w:name="DocNumber"/>
      <w:r w:rsidRPr="00D614E6">
        <w:rPr>
          <w:i/>
        </w:rPr>
        <w:instrText>A9-0161/2024</w:instrText>
      </w:r>
      <w:bookmarkEnd w:id="2"/>
      <w:r w:rsidRPr="00D614E6">
        <w:rPr>
          <w:i/>
        </w:rPr>
        <w:instrText xml:space="preserve"> - Raportoare: Maria da Graça Carvalho)"\l3 \n&gt; \* MERGEFORMAT </w:instrText>
      </w:r>
      <w:r w:rsidRPr="00D614E6">
        <w:rPr>
          <w:i/>
        </w:rPr>
        <w:fldChar w:fldCharType="end"/>
      </w:r>
    </w:p>
    <w:p w:rsidR="006E7093" w:rsidRPr="00D614E6" w:rsidRDefault="006E7093" w:rsidP="006E7093">
      <w:pPr>
        <w:rPr>
          <w:vanish/>
        </w:rPr>
      </w:pPr>
      <w:bookmarkStart w:id="3" w:name="Commission"/>
      <w:r w:rsidRPr="00D614E6">
        <w:rPr>
          <w:vanish/>
        </w:rPr>
        <w:t>Comisia pentru industrie, cercetare și energie</w:t>
      </w:r>
      <w:bookmarkEnd w:id="3"/>
    </w:p>
    <w:p w:rsidR="006E7093" w:rsidRPr="00D614E6" w:rsidRDefault="006E7093" w:rsidP="006E7093">
      <w:pPr>
        <w:rPr>
          <w:vanish/>
        </w:rPr>
      </w:pPr>
      <w:bookmarkStart w:id="4" w:name="PE"/>
      <w:r w:rsidRPr="00D614E6">
        <w:rPr>
          <w:vanish/>
        </w:rPr>
        <w:t>PE759.744</w:t>
      </w:r>
      <w:bookmarkEnd w:id="4"/>
    </w:p>
    <w:p w:rsidR="006E7093" w:rsidRPr="00D614E6" w:rsidRDefault="006E7093" w:rsidP="006E7093">
      <w:pPr>
        <w:pStyle w:val="ATHeading3"/>
      </w:pPr>
      <w:bookmarkStart w:id="5" w:name="Sujet"/>
      <w:r w:rsidRPr="00D614E6">
        <w:t xml:space="preserve">Rezoluția legislativă a Parlamentului European din 24 aprilie 2024 referitoare la propunerea de regulament al Consiliului de modificare a Regulamentului (UE) 2021/1173 în ceea ce privește o inițiativă </w:t>
      </w:r>
      <w:proofErr w:type="spellStart"/>
      <w:r w:rsidRPr="00D614E6">
        <w:t>EuroHPC</w:t>
      </w:r>
      <w:proofErr w:type="spellEnd"/>
      <w:r w:rsidRPr="00D614E6">
        <w:t xml:space="preserve"> vizând întreprinderile nou-înființate pentru a consolida poziția de lider a Europei în domeniul inteligenței artificiale de încredere</w:t>
      </w:r>
      <w:bookmarkEnd w:id="5"/>
      <w:r w:rsidRPr="00D614E6">
        <w:t xml:space="preserve"> </w:t>
      </w:r>
      <w:bookmarkStart w:id="6" w:name="References"/>
      <w:r w:rsidRPr="00D614E6">
        <w:t>(COM(2024)0029 – C9-0013/2024 – 2024/0016(CNS))</w:t>
      </w:r>
      <w:bookmarkEnd w:id="6"/>
    </w:p>
    <w:p w:rsidR="006E7093" w:rsidRPr="00D614E6" w:rsidRDefault="006E7093" w:rsidP="006E7093"/>
    <w:p w:rsidR="009719B6" w:rsidRPr="00D614E6" w:rsidRDefault="009719B6" w:rsidP="009719B6">
      <w:pPr>
        <w:pStyle w:val="NormalBold"/>
      </w:pPr>
      <w:bookmarkStart w:id="7" w:name="TextBodyBegin"/>
      <w:bookmarkEnd w:id="7"/>
      <w:r w:rsidRPr="00D614E6">
        <w:t>(Procedura legislativă specială – consultare)</w:t>
      </w:r>
    </w:p>
    <w:p w:rsidR="009719B6" w:rsidRPr="00D614E6" w:rsidRDefault="009719B6" w:rsidP="009719B6">
      <w:pPr>
        <w:pStyle w:val="EPComma"/>
      </w:pPr>
      <w:r w:rsidRPr="00D614E6">
        <w:rPr>
          <w:i/>
        </w:rPr>
        <w:t>Parlamentul European</w:t>
      </w:r>
      <w:r w:rsidRPr="00D614E6">
        <w:t>,</w:t>
      </w:r>
    </w:p>
    <w:p w:rsidR="009719B6" w:rsidRPr="00D614E6" w:rsidRDefault="009719B6" w:rsidP="009719B6">
      <w:pPr>
        <w:pStyle w:val="NormalHanging12a"/>
      </w:pPr>
      <w:r w:rsidRPr="00D614E6">
        <w:t>–</w:t>
      </w:r>
      <w:r w:rsidRPr="00D614E6">
        <w:tab/>
        <w:t>având în vedere propunerea Comisiei prezentată Consiliului (COM(2024)0029),</w:t>
      </w:r>
    </w:p>
    <w:p w:rsidR="009719B6" w:rsidRPr="00D614E6" w:rsidRDefault="009719B6" w:rsidP="009719B6">
      <w:pPr>
        <w:pStyle w:val="NormalHanging12a"/>
      </w:pPr>
      <w:r w:rsidRPr="00D614E6">
        <w:t>–</w:t>
      </w:r>
      <w:r w:rsidRPr="00D614E6">
        <w:tab/>
        <w:t>având în vedere articolul 187 și articolul 188 primul paragraf din Tratatul privind funcționarea Uniunii Europene, în temeiul cărora Consiliul a consultat Parlamentul (C9</w:t>
      </w:r>
      <w:r w:rsidRPr="00D614E6">
        <w:noBreakHyphen/>
        <w:t>0013/2024),</w:t>
      </w:r>
    </w:p>
    <w:p w:rsidR="009719B6" w:rsidRPr="00D614E6" w:rsidRDefault="009719B6" w:rsidP="009719B6">
      <w:pPr>
        <w:pStyle w:val="NormalHanging12a"/>
      </w:pPr>
      <w:r w:rsidRPr="00D614E6">
        <w:t>–</w:t>
      </w:r>
      <w:r w:rsidRPr="00D614E6">
        <w:tab/>
        <w:t>având în vedere articolul 82 din Regulamentul său de procedură,</w:t>
      </w:r>
    </w:p>
    <w:p w:rsidR="009719B6" w:rsidRPr="00D614E6" w:rsidRDefault="009719B6" w:rsidP="009719B6">
      <w:pPr>
        <w:pStyle w:val="NormalHanging12a"/>
      </w:pPr>
      <w:r w:rsidRPr="00D614E6">
        <w:t>–</w:t>
      </w:r>
      <w:r w:rsidRPr="00D614E6">
        <w:tab/>
        <w:t>având în vedere raportul Comisiei pentru industrie, cercetare și energie (A9-0161/2024),</w:t>
      </w:r>
    </w:p>
    <w:p w:rsidR="009719B6" w:rsidRPr="00D614E6" w:rsidRDefault="009719B6" w:rsidP="009719B6">
      <w:pPr>
        <w:pStyle w:val="NormalHanging12a"/>
      </w:pPr>
      <w:r w:rsidRPr="00D614E6">
        <w:t>1.</w:t>
      </w:r>
      <w:r w:rsidRPr="00D614E6">
        <w:tab/>
        <w:t>aprobă propunerea Comisiei astfel cum a fost modificată;</w:t>
      </w:r>
    </w:p>
    <w:p w:rsidR="009719B6" w:rsidRPr="00D614E6" w:rsidRDefault="009719B6" w:rsidP="009719B6">
      <w:pPr>
        <w:pStyle w:val="NormalHanging12a"/>
      </w:pPr>
      <w:r w:rsidRPr="00D614E6">
        <w:t>2.</w:t>
      </w:r>
      <w:r w:rsidRPr="00D614E6">
        <w:tab/>
        <w:t>invită Comisia să își modifice propunerea în consecință, în conformitate cu articolul 293 alineatul (2) din Tratatul privind funcționarea Uniunii Europene;</w:t>
      </w:r>
    </w:p>
    <w:p w:rsidR="009719B6" w:rsidRPr="00D614E6" w:rsidRDefault="009719B6" w:rsidP="009719B6">
      <w:pPr>
        <w:pStyle w:val="NormalHanging12a"/>
      </w:pPr>
      <w:r w:rsidRPr="00D614E6">
        <w:t>3.</w:t>
      </w:r>
      <w:r w:rsidRPr="00D614E6">
        <w:tab/>
        <w:t>invită Consiliul să informeze Parlamentul în cazul în care intenționează să se îndepărteze de la textul aprobat de acesta;</w:t>
      </w:r>
    </w:p>
    <w:p w:rsidR="009719B6" w:rsidRPr="00D614E6" w:rsidRDefault="009719B6" w:rsidP="009719B6">
      <w:pPr>
        <w:pStyle w:val="NormalHanging12a"/>
      </w:pPr>
      <w:r w:rsidRPr="00D614E6">
        <w:t>4.</w:t>
      </w:r>
      <w:r w:rsidRPr="00D614E6">
        <w:tab/>
        <w:t>solicită Consiliului să îl consulte din nou în cazul în care intenționează să modifice în mod substanțial propunerea Comisiei;</w:t>
      </w:r>
    </w:p>
    <w:p w:rsidR="009719B6" w:rsidRPr="00D614E6" w:rsidRDefault="009719B6" w:rsidP="00AF7D5E">
      <w:pPr>
        <w:pStyle w:val="NormalHanging12a"/>
      </w:pPr>
      <w:r w:rsidRPr="00D614E6">
        <w:t>5.</w:t>
      </w:r>
      <w:r w:rsidRPr="00D614E6">
        <w:tab/>
        <w:t>încredințează Președintei sarcina de a transmite Consiliului și Comisiei, precum și parlamentelor naționale poziția Parlamentului.</w:t>
      </w:r>
      <w:r w:rsidRPr="00D614E6">
        <w:br w:type="page"/>
      </w:r>
    </w:p>
    <w:p w:rsidR="009719B6" w:rsidRPr="00D614E6" w:rsidRDefault="009719B6" w:rsidP="009719B6">
      <w:pPr>
        <w:pStyle w:val="AmNumberTabs"/>
        <w:keepNext/>
      </w:pPr>
      <w:r w:rsidRPr="00D614E6">
        <w:lastRenderedPageBreak/>
        <w:t>Amendamentul</w:t>
      </w:r>
      <w:r w:rsidRPr="00D614E6">
        <w:tab/>
      </w:r>
      <w:r w:rsidRPr="00D614E6">
        <w:tab/>
        <w:t>1</w:t>
      </w:r>
    </w:p>
    <w:p w:rsidR="009719B6" w:rsidRPr="00D614E6" w:rsidRDefault="009719B6" w:rsidP="009719B6">
      <w:pPr>
        <w:pStyle w:val="AmHeadingConsam"/>
      </w:pPr>
      <w:r w:rsidRPr="00D614E6">
        <w:t>AMENDAMENTELE PARLAMENTULUI EUROPEAN</w:t>
      </w:r>
      <w:r w:rsidRPr="00D614E6">
        <w:rPr>
          <w:rStyle w:val="FootnoteReference"/>
        </w:rPr>
        <w:footnoteReference w:customMarkFollows="1" w:id="1"/>
        <w:t>*</w:t>
      </w:r>
    </w:p>
    <w:p w:rsidR="009719B6" w:rsidRPr="00D614E6" w:rsidRDefault="009719B6" w:rsidP="009719B6">
      <w:pPr>
        <w:pStyle w:val="NormalCenter12a"/>
      </w:pPr>
      <w:r w:rsidRPr="00D614E6">
        <w:t>la propunerea Comisiei</w:t>
      </w:r>
    </w:p>
    <w:p w:rsidR="009719B6" w:rsidRPr="00D614E6" w:rsidRDefault="009719B6" w:rsidP="009719B6">
      <w:pPr>
        <w:pStyle w:val="NormalCenter12a"/>
      </w:pPr>
      <w:r w:rsidRPr="00D614E6">
        <w:t>---------------------------------------------------------</w:t>
      </w:r>
    </w:p>
    <w:p w:rsidR="009719B6" w:rsidRPr="00D614E6" w:rsidRDefault="009719B6" w:rsidP="009719B6">
      <w:pPr>
        <w:pStyle w:val="Rfrenceinterinstitutionnelle"/>
        <w:rPr>
          <w:noProof/>
        </w:rPr>
      </w:pPr>
      <w:r w:rsidRPr="00D614E6">
        <w:t>2024/0016(CNS)</w:t>
      </w:r>
    </w:p>
    <w:p w:rsidR="009719B6" w:rsidRPr="00D614E6" w:rsidRDefault="009719B6" w:rsidP="009719B6">
      <w:pPr>
        <w:pStyle w:val="Statut"/>
        <w:rPr>
          <w:noProof/>
        </w:rPr>
      </w:pPr>
      <w:r w:rsidRPr="00D614E6">
        <w:t>Propunere de</w:t>
      </w:r>
    </w:p>
    <w:p w:rsidR="009719B6" w:rsidRPr="00D614E6" w:rsidRDefault="009719B6" w:rsidP="009719B6">
      <w:pPr>
        <w:pStyle w:val="Typedudocument"/>
        <w:rPr>
          <w:noProof/>
        </w:rPr>
      </w:pPr>
      <w:r w:rsidRPr="00D614E6">
        <w:t>REGULAMENT AL CONSILIULUI</w:t>
      </w:r>
    </w:p>
    <w:p w:rsidR="009719B6" w:rsidRPr="00D614E6" w:rsidRDefault="009719B6" w:rsidP="009719B6">
      <w:pPr>
        <w:pStyle w:val="Titreobjet"/>
        <w:rPr>
          <w:noProof/>
        </w:rPr>
      </w:pPr>
      <w:r w:rsidRPr="00D614E6">
        <w:t xml:space="preserve">de modificare a Regulamentului (UE) 2021/1173 în ceea ce privește o inițiativă </w:t>
      </w:r>
      <w:proofErr w:type="spellStart"/>
      <w:r w:rsidRPr="00D614E6">
        <w:t>EuroHPC</w:t>
      </w:r>
      <w:proofErr w:type="spellEnd"/>
      <w:r w:rsidRPr="00D614E6">
        <w:t xml:space="preserve"> vizând întreprinderile nou-înființate pentru a consolida poziția de lider a Europei în domeniul inteligenței artificiale de încredere</w:t>
      </w:r>
    </w:p>
    <w:p w:rsidR="009719B6" w:rsidRPr="00D614E6" w:rsidRDefault="009719B6" w:rsidP="00AF7D5E">
      <w:pPr>
        <w:pStyle w:val="Institutionquiagit"/>
        <w:spacing w:before="120" w:line="360" w:lineRule="auto"/>
        <w:rPr>
          <w:noProof/>
        </w:rPr>
      </w:pPr>
      <w:r w:rsidRPr="00D614E6">
        <w:t>CONSILIUL UNIUNII EUROPENE,</w:t>
      </w:r>
    </w:p>
    <w:p w:rsidR="009719B6" w:rsidRPr="00D614E6" w:rsidRDefault="009719B6" w:rsidP="00AF7D5E">
      <w:pPr>
        <w:spacing w:before="120" w:after="120" w:line="360" w:lineRule="auto"/>
        <w:rPr>
          <w:rFonts w:eastAsia="Calibri"/>
          <w:noProof/>
          <w:szCs w:val="22"/>
        </w:rPr>
      </w:pPr>
      <w:r w:rsidRPr="00D614E6">
        <w:t>având în vedere Tratatul privind funcționarea Uniunii Europene, în special articolul 187 și articolul 188 primul paragraf,</w:t>
      </w:r>
    </w:p>
    <w:p w:rsidR="009719B6" w:rsidRPr="00D614E6" w:rsidRDefault="009719B6" w:rsidP="00AF7D5E">
      <w:pPr>
        <w:spacing w:before="120" w:after="120" w:line="360" w:lineRule="auto"/>
        <w:rPr>
          <w:rFonts w:eastAsia="Calibri"/>
          <w:noProof/>
          <w:szCs w:val="22"/>
        </w:rPr>
      </w:pPr>
      <w:r w:rsidRPr="00D614E6">
        <w:t>având în vedere propunerea Comisiei Europene,</w:t>
      </w:r>
    </w:p>
    <w:p w:rsidR="009719B6" w:rsidRPr="00D614E6" w:rsidRDefault="009719B6" w:rsidP="00AF7D5E">
      <w:pPr>
        <w:spacing w:before="120" w:after="120" w:line="360" w:lineRule="auto"/>
        <w:rPr>
          <w:noProof/>
        </w:rPr>
      </w:pPr>
      <w:r w:rsidRPr="00D614E6">
        <w:t>având în vedere avizul Parlamentului European</w:t>
      </w:r>
      <w:r w:rsidRPr="00D614E6">
        <w:rPr>
          <w:rStyle w:val="FootnoteReference"/>
          <w:noProof/>
        </w:rPr>
        <w:footnoteReference w:id="2"/>
      </w:r>
      <w:r w:rsidRPr="00D614E6">
        <w:t>,</w:t>
      </w:r>
    </w:p>
    <w:p w:rsidR="009719B6" w:rsidRPr="00D614E6" w:rsidRDefault="009719B6" w:rsidP="00AF7D5E">
      <w:pPr>
        <w:spacing w:before="120" w:after="120" w:line="360" w:lineRule="auto"/>
        <w:rPr>
          <w:rFonts w:eastAsia="Calibri"/>
          <w:noProof/>
          <w:szCs w:val="22"/>
        </w:rPr>
      </w:pPr>
      <w:r w:rsidRPr="00D614E6">
        <w:t>având în vedere avizul Comitetului Economic și Social European</w:t>
      </w:r>
      <w:r w:rsidRPr="00D614E6">
        <w:rPr>
          <w:rStyle w:val="FootnoteReference"/>
          <w:noProof/>
        </w:rPr>
        <w:footnoteReference w:id="3"/>
      </w:r>
      <w:r w:rsidRPr="00D614E6">
        <w:t xml:space="preserve">, </w:t>
      </w:r>
    </w:p>
    <w:p w:rsidR="009719B6" w:rsidRPr="00D614E6" w:rsidRDefault="009719B6" w:rsidP="00AF7D5E">
      <w:pPr>
        <w:spacing w:before="120" w:after="120" w:line="360" w:lineRule="auto"/>
        <w:rPr>
          <w:rFonts w:eastAsia="Calibri"/>
          <w:noProof/>
          <w:szCs w:val="22"/>
        </w:rPr>
      </w:pPr>
      <w:r w:rsidRPr="00D614E6">
        <w:t>hotărând în conformitate cu o procedură legislativă specială,</w:t>
      </w:r>
    </w:p>
    <w:p w:rsidR="009719B6" w:rsidRPr="00D614E6" w:rsidRDefault="009719B6" w:rsidP="00AF7D5E">
      <w:pPr>
        <w:spacing w:before="120" w:after="120" w:line="360" w:lineRule="auto"/>
        <w:rPr>
          <w:rFonts w:eastAsia="Calibri"/>
          <w:noProof/>
          <w:szCs w:val="22"/>
        </w:rPr>
      </w:pPr>
      <w:r w:rsidRPr="00D614E6">
        <w:t>întrucât:</w:t>
      </w:r>
    </w:p>
    <w:p w:rsidR="009719B6" w:rsidRPr="00D614E6" w:rsidRDefault="009719B6" w:rsidP="00AF7D5E">
      <w:pPr>
        <w:pStyle w:val="ManualConsidrant"/>
        <w:spacing w:line="360" w:lineRule="auto"/>
        <w:rPr>
          <w:noProof/>
        </w:rPr>
      </w:pPr>
      <w:r w:rsidRPr="00D614E6">
        <w:t>(1)</w:t>
      </w:r>
      <w:r w:rsidRPr="00D614E6">
        <w:tab/>
      </w:r>
      <w:r w:rsidRPr="00D614E6">
        <w:rPr>
          <w:rStyle w:val="normaltextrun"/>
        </w:rPr>
        <w:t>Regulamentul (UE) 2024/... al Parlamentului European și al Consiliului</w:t>
      </w:r>
      <w:r w:rsidRPr="00D614E6">
        <w:rPr>
          <w:rStyle w:val="FootnoteReference"/>
          <w:noProof/>
        </w:rPr>
        <w:footnoteReference w:id="4"/>
      </w:r>
      <w:r w:rsidRPr="00D614E6">
        <w:rPr>
          <w:rStyle w:val="normaltextrun"/>
        </w:rPr>
        <w:t xml:space="preserve"> de stabilire a unor norme armonizate privind inteligența artificială („Regulamentul privind inteligența artificială”) urmărește </w:t>
      </w:r>
      <w:r w:rsidRPr="00D614E6">
        <w:t xml:space="preserve">să îmbunătățească funcționarea pieței interne prin stabilirea unui cadru juridic uniform, în special pentru dezvoltarea, comercializarea și utilizarea inteligenței artificiale în conformitate cu valorile Uniunii. </w:t>
      </w:r>
    </w:p>
    <w:p w:rsidR="009719B6" w:rsidRPr="00D614E6" w:rsidRDefault="009719B6" w:rsidP="00AF7D5E">
      <w:pPr>
        <w:pStyle w:val="ManualConsidrant"/>
        <w:spacing w:line="360" w:lineRule="auto"/>
        <w:rPr>
          <w:noProof/>
        </w:rPr>
      </w:pPr>
      <w:r w:rsidRPr="00D614E6">
        <w:t>(2)</w:t>
      </w:r>
      <w:r w:rsidRPr="00D614E6">
        <w:tab/>
        <w:t>Începând din 2021, când a fost adoptat Regulamentul (UE) 2021/1173</w:t>
      </w:r>
      <w:r w:rsidRPr="00D614E6">
        <w:rPr>
          <w:rStyle w:val="FootnoteReference"/>
          <w:noProof/>
        </w:rPr>
        <w:footnoteReference w:id="5"/>
      </w:r>
      <w:r w:rsidRPr="00D614E6">
        <w:t xml:space="preserve"> al Consiliului, domeniul inteligenței artificiale (IA) a înregistrat progrese tehnice enorme și a devenit un domeniu extrem de strategic și disputat la nivel mondial. Uniunea se află în avangarda eforturilor de sprijinire a inovării </w:t>
      </w:r>
      <w:r w:rsidRPr="00D614E6">
        <w:rPr>
          <w:b/>
          <w:i/>
        </w:rPr>
        <w:t>etice și</w:t>
      </w:r>
      <w:r w:rsidRPr="00D614E6">
        <w:t xml:space="preserve"> responsabile în domeniul unei IA de încredere, stabilind în același timp bariere și dezvoltând o guvernanță eficace.</w:t>
      </w:r>
    </w:p>
    <w:p w:rsidR="009719B6" w:rsidRPr="00D614E6" w:rsidRDefault="009719B6" w:rsidP="00AF7D5E">
      <w:pPr>
        <w:pStyle w:val="ManualConsidrant"/>
        <w:spacing w:line="360" w:lineRule="auto"/>
        <w:rPr>
          <w:rStyle w:val="eop"/>
          <w:noProof/>
        </w:rPr>
      </w:pPr>
      <w:r w:rsidRPr="00D614E6">
        <w:t>(3)</w:t>
      </w:r>
      <w:r w:rsidRPr="00D614E6">
        <w:tab/>
      </w:r>
      <w:r w:rsidRPr="00D614E6">
        <w:rPr>
          <w:rStyle w:val="normaltextrun"/>
        </w:rPr>
        <w:t xml:space="preserve">La 13 septembrie 2023, ca parte a unei abordări cuprinzătoare de sprijinire a inovării responsabile în domeniul IA, Comisia a anunțat o nouă inițiativă strategică pentru a pune capacitatea de calcul de înaltă performanță a Uniunii la dispoziția întreprinderilor nou-înființate europene inovatoare care își desfășoară activitatea în domeniul IA de încredere, pentru ca acestea să își antreneze modelele. Acest lucru completează măsurile de stabilire a unor bariere pentru IA prin Regulamentul (UE) 2024/..., de instituire a unor structuri de guvernanță și de sprijinire a inovării prin intermediul Planului coordonat privind inteligența artificială. </w:t>
      </w:r>
    </w:p>
    <w:p w:rsidR="009719B6" w:rsidRPr="00D614E6" w:rsidRDefault="009719B6" w:rsidP="00AF7D5E">
      <w:pPr>
        <w:spacing w:before="120" w:after="120" w:line="360" w:lineRule="auto"/>
        <w:ind w:left="709" w:hanging="709"/>
        <w:jc w:val="both"/>
      </w:pPr>
      <w:r w:rsidRPr="00D614E6">
        <w:rPr>
          <w:b/>
          <w:i/>
        </w:rPr>
        <w:t>(3a)</w:t>
      </w:r>
      <w:r w:rsidRPr="00D614E6">
        <w:rPr>
          <w:b/>
          <w:i/>
        </w:rPr>
        <w:tab/>
        <w:t xml:space="preserve">Pentru a valorifica infrastructura sa de </w:t>
      </w:r>
      <w:proofErr w:type="spellStart"/>
      <w:r w:rsidRPr="00D614E6">
        <w:rPr>
          <w:b/>
          <w:i/>
        </w:rPr>
        <w:t>supercalcul</w:t>
      </w:r>
      <w:proofErr w:type="spellEnd"/>
      <w:r w:rsidRPr="00D614E6">
        <w:rPr>
          <w:b/>
          <w:i/>
        </w:rPr>
        <w:t xml:space="preserve"> și pentru a promova un ecosistem european inovator de IA, inclusiv prin înființarea unor fabrici de IA în întreaga Uniune, comunicarea Comisiei din 24 ianuarie 2024 intitulată „Stimularea start-</w:t>
      </w:r>
      <w:proofErr w:type="spellStart"/>
      <w:r w:rsidRPr="00D614E6">
        <w:rPr>
          <w:b/>
          <w:i/>
        </w:rPr>
        <w:t>up</w:t>
      </w:r>
      <w:proofErr w:type="spellEnd"/>
      <w:r w:rsidRPr="00D614E6">
        <w:rPr>
          <w:b/>
          <w:i/>
        </w:rPr>
        <w:t>-urilor și a inovării în domeniul inteligenței artificiale de încredere” stabilește un cadru strategic de investiții care să le permită întreprinderilor nou-înființate și industriei din Uniune să își valorifice potențialul de a deveni pionieri la nivel mondial în ceea ce privește modelele, sistemele și aplicațiile IA avansate și de încredere</w:t>
      </w:r>
      <w:r w:rsidRPr="00D614E6">
        <w:rPr>
          <w:i/>
        </w:rPr>
        <w:t>.</w:t>
      </w:r>
    </w:p>
    <w:p w:rsidR="009719B6" w:rsidRPr="00D614E6" w:rsidRDefault="009719B6" w:rsidP="00AF7D5E">
      <w:pPr>
        <w:pStyle w:val="ManualConsidrant"/>
        <w:spacing w:line="360" w:lineRule="auto"/>
      </w:pPr>
      <w:r w:rsidRPr="00D614E6">
        <w:t>(4)</w:t>
      </w:r>
      <w:r w:rsidRPr="00D614E6">
        <w:tab/>
        <w:t xml:space="preserve">Având în vedere că cea mai puternică capacitate de </w:t>
      </w:r>
      <w:proofErr w:type="spellStart"/>
      <w:r w:rsidRPr="00D614E6">
        <w:t>supercalcul</w:t>
      </w:r>
      <w:proofErr w:type="spellEnd"/>
      <w:r w:rsidRPr="00D614E6">
        <w:t xml:space="preserve"> de talie mondială a Uniunii este reprezentată de infrastructurile întreprinderii comune pentru calculul european de înaltă performanță </w:t>
      </w:r>
      <w:proofErr w:type="spellStart"/>
      <w:r w:rsidRPr="00D614E6">
        <w:t>EuroHPC</w:t>
      </w:r>
      <w:proofErr w:type="spellEnd"/>
      <w:r w:rsidRPr="00D614E6">
        <w:t xml:space="preserve"> („întreprinderea comună”), aceste infrastructuri ar trebui să fie puse la dispoziție pentru ca inițiativa Comisiei să devină realitate. În consecință, este necesară introducerea unui obiectiv suplimentar față de cele șase obiective existente ale întreprinderii comune, care ar viza contribuția supercalculatoarelor sale la noua inițiativă a Uniunii în domeniul IA</w:t>
      </w:r>
      <w:r w:rsidRPr="00D614E6">
        <w:rPr>
          <w:b/>
          <w:i/>
        </w:rPr>
        <w:t>, garantând corectitudinea, transparența, încrederea pe care o inspiră și un impact pozitiv asupra societății și răspunzând nevoilor și obiectivelor Uniunii</w:t>
      </w:r>
      <w:r w:rsidRPr="00D614E6">
        <w:t>.</w:t>
      </w:r>
    </w:p>
    <w:p w:rsidR="009719B6" w:rsidRPr="00D614E6" w:rsidRDefault="009719B6" w:rsidP="00AF7D5E">
      <w:pPr>
        <w:pStyle w:val="ManualConsidrant"/>
        <w:spacing w:line="360" w:lineRule="auto"/>
        <w:rPr>
          <w:noProof/>
        </w:rPr>
      </w:pPr>
      <w:r w:rsidRPr="00D614E6">
        <w:t>(5)</w:t>
      </w:r>
      <w:r w:rsidRPr="00D614E6">
        <w:tab/>
        <w:t xml:space="preserve">Noul obiectiv ar permite întreprinderii comune să desfășoare activități în domeniul </w:t>
      </w:r>
      <w:r w:rsidRPr="00D614E6">
        <w:rPr>
          <w:b/>
          <w:i/>
        </w:rPr>
        <w:t>modernizării sau</w:t>
      </w:r>
      <w:r w:rsidRPr="00D614E6">
        <w:t xml:space="preserve"> achiziționării și operării de supercalculatoare dedicate IA sau de partiții de supercalculatoare, pentru a permite învățarea automată rapidă și antrenarea unor modele de bază de IA de mari dimensiuni </w:t>
      </w:r>
      <w:r w:rsidRPr="00D614E6">
        <w:rPr>
          <w:b/>
          <w:i/>
        </w:rPr>
        <w:t>etice și de încredere</w:t>
      </w:r>
      <w:r w:rsidRPr="00D614E6">
        <w:t>,</w:t>
      </w:r>
      <w:r w:rsidRPr="00D614E6">
        <w:rPr>
          <w:b/>
          <w:i/>
        </w:rPr>
        <w:t xml:space="preserve"> consolidând astfel competitivitatea și baza industrială a UE în domeniul IA</w:t>
      </w:r>
      <w:r w:rsidRPr="00D614E6">
        <w:t>. De asemenea, întreprinderii comune ar trebui să i se permită să creeze un nou mod de acces la resursele sale de calcul</w:t>
      </w:r>
      <w:r w:rsidRPr="00D614E6">
        <w:rPr>
          <w:b/>
          <w:i/>
        </w:rPr>
        <w:t>, în special</w:t>
      </w:r>
      <w:r w:rsidRPr="00D614E6">
        <w:t xml:space="preserve"> pentru întreprinderile nou-înființate din domeniul IA și pentru comunitatea științifică mai largă activă în domeniul IA și să dezvolte </w:t>
      </w:r>
      <w:r w:rsidRPr="00D614E6">
        <w:rPr>
          <w:b/>
          <w:i/>
        </w:rPr>
        <w:t xml:space="preserve">modele și sisteme de </w:t>
      </w:r>
      <w:r w:rsidRPr="00D614E6">
        <w:t>aplicații de IA specifice care să fie optimizate pentru a funcționa pe supercalculatoarele sale</w:t>
      </w:r>
      <w:r w:rsidRPr="00D614E6">
        <w:rPr>
          <w:b/>
          <w:i/>
        </w:rPr>
        <w:t>, garantând în același timp accesul deschis, echitatea și transparența</w:t>
      </w:r>
      <w:r w:rsidRPr="00D614E6">
        <w:t xml:space="preserve">. Aceste modificări ar permite întreprinderii comune să ofere putere și servicii de calcul adaptate pentru a stimula antrenarea, dezvoltarea și adoptarea IA pe scară largă în Uniune, ceea ce nu este fezabil în temeiul regulamentului actual. </w:t>
      </w:r>
    </w:p>
    <w:p w:rsidR="009719B6" w:rsidRPr="00D614E6" w:rsidRDefault="009719B6" w:rsidP="00AF7D5E">
      <w:pPr>
        <w:spacing w:before="120" w:after="120" w:line="360" w:lineRule="auto"/>
        <w:ind w:left="709" w:hanging="709"/>
        <w:jc w:val="both"/>
        <w:rPr>
          <w:b/>
        </w:rPr>
      </w:pPr>
      <w:r w:rsidRPr="00D614E6">
        <w:rPr>
          <w:b/>
          <w:i/>
        </w:rPr>
        <w:t>(5a)</w:t>
      </w:r>
      <w:r w:rsidRPr="00D614E6">
        <w:rPr>
          <w:b/>
        </w:rPr>
        <w:tab/>
      </w:r>
      <w:r w:rsidRPr="00D614E6">
        <w:rPr>
          <w:b/>
          <w:i/>
        </w:rPr>
        <w:t xml:space="preserve">Întreprinderea comună ar trebui să instituie un ghișeu unic pe baza principiilor accesului liber, astfel încât diferitele tipuri de utilizatori să poată valorifica pe deplin potențialul IA în </w:t>
      </w:r>
      <w:proofErr w:type="spellStart"/>
      <w:r w:rsidRPr="00D614E6">
        <w:rPr>
          <w:b/>
          <w:i/>
        </w:rPr>
        <w:t>supercalcul</w:t>
      </w:r>
      <w:proofErr w:type="spellEnd"/>
      <w:r w:rsidRPr="00D614E6">
        <w:rPr>
          <w:b/>
          <w:i/>
        </w:rPr>
        <w:t xml:space="preserve">. Oportunitățile oferite de fabricile de IA ar trebui să fie comunicate pe scară largă întreprinderilor nou-înființate, </w:t>
      </w:r>
      <w:r w:rsidRPr="00D614E6">
        <w:rPr>
          <w:b/>
          <w:i/>
          <w:snapToGrid w:val="0"/>
        </w:rPr>
        <w:t>întreprinderilor mici și mijlocii</w:t>
      </w:r>
      <w:r w:rsidRPr="00D614E6">
        <w:rPr>
          <w:b/>
          <w:i/>
        </w:rPr>
        <w:t xml:space="preserve"> (IMM-urile), ecosistemului de inovare și cercetătorilor implicați în programele Uniunii, subliniind numeroasele beneficii pe care le poate oferi inteligența artificială în aplicațiile de </w:t>
      </w:r>
      <w:proofErr w:type="spellStart"/>
      <w:r w:rsidRPr="00D614E6">
        <w:rPr>
          <w:b/>
          <w:i/>
        </w:rPr>
        <w:t>supercalcul</w:t>
      </w:r>
      <w:proofErr w:type="spellEnd"/>
      <w:r w:rsidRPr="00D614E6">
        <w:rPr>
          <w:b/>
          <w:i/>
        </w:rPr>
        <w:t xml:space="preserve">. În plus, cooperarea la nivelul Uniunii a fabricilor de IA ar trebui să facă ca puterea de calcul să fie disponibilă ca serviciu în întreaga Uniune, ceea ce este esențial pentru serviciile de sprijin oferite, facilitând și mai mult accesul la această infrastructură critică. Acest lucru ar trebui, de asemenea, să servească la dezvoltarea supercalculatoarelor </w:t>
      </w:r>
      <w:proofErr w:type="spellStart"/>
      <w:r w:rsidRPr="00D614E6">
        <w:rPr>
          <w:b/>
          <w:i/>
        </w:rPr>
        <w:t>EuroHPC</w:t>
      </w:r>
      <w:proofErr w:type="spellEnd"/>
      <w:r w:rsidRPr="00D614E6">
        <w:rPr>
          <w:b/>
          <w:i/>
        </w:rPr>
        <w:t xml:space="preserve"> orientate către cerere, asigurându-se că infrastructura răspunde nevoilor în schimbare ale utilizatorilor și sectoarelor din întreaga Uniune.</w:t>
      </w:r>
    </w:p>
    <w:p w:rsidR="009719B6" w:rsidRPr="00D614E6" w:rsidRDefault="009719B6" w:rsidP="00AF7D5E">
      <w:pPr>
        <w:spacing w:before="120" w:after="120" w:line="360" w:lineRule="auto"/>
        <w:ind w:left="709" w:hanging="709"/>
        <w:jc w:val="both"/>
        <w:rPr>
          <w:szCs w:val="24"/>
        </w:rPr>
      </w:pPr>
      <w:r w:rsidRPr="00D614E6">
        <w:rPr>
          <w:b/>
          <w:i/>
        </w:rPr>
        <w:t xml:space="preserve">(5b) </w:t>
      </w:r>
      <w:r w:rsidRPr="00D614E6">
        <w:rPr>
          <w:b/>
          <w:i/>
        </w:rPr>
        <w:tab/>
        <w:t>Rezoluția Parlamentului European din 14 decembrie 2023 referitoare la creșterea inovației și a competitivității industriale și tehnologice printr-un mediu favorabil pentru întreprinderile nou-înființate și întreprinderile în curs de extindere</w:t>
      </w:r>
      <w:r w:rsidRPr="00D614E6">
        <w:rPr>
          <w:rStyle w:val="FootnoteReference"/>
          <w:b/>
          <w:i/>
        </w:rPr>
        <w:footnoteReference w:id="6"/>
      </w:r>
      <w:r w:rsidRPr="00D614E6">
        <w:rPr>
          <w:b/>
          <w:i/>
        </w:rPr>
        <w:t xml:space="preserve"> subliniază că </w:t>
      </w:r>
      <w:r w:rsidRPr="00D614E6">
        <w:rPr>
          <w:b/>
          <w:i/>
          <w:snapToGrid w:val="0"/>
        </w:rPr>
        <w:t xml:space="preserve">întreprinderile în curs de extindere joacă un rol esențial în stimularea inovării, a creării de locuri de muncă și a creșterii economice în Uniune și invită Comisia și statele membre să adopte o definiție adecvată a întreprinderilor în curs de extindere, bazată pe </w:t>
      </w:r>
      <w:proofErr w:type="spellStart"/>
      <w:r w:rsidRPr="00D614E6">
        <w:rPr>
          <w:b/>
          <w:i/>
          <w:snapToGrid w:val="0"/>
        </w:rPr>
        <w:t>scalabilitate</w:t>
      </w:r>
      <w:proofErr w:type="spellEnd"/>
      <w:r w:rsidRPr="00D614E6">
        <w:rPr>
          <w:b/>
          <w:i/>
          <w:snapToGrid w:val="0"/>
        </w:rPr>
        <w:t>, ținând seama, în același timp, de diferențele dintre acestea și întreprinderile nou-înființate</w:t>
      </w:r>
      <w:r w:rsidR="00AF7D5E" w:rsidRPr="00D614E6">
        <w:rPr>
          <w:b/>
          <w:i/>
          <w:snapToGrid w:val="0"/>
        </w:rPr>
        <w:t xml:space="preserve"> </w:t>
      </w:r>
      <w:r w:rsidRPr="00D614E6">
        <w:rPr>
          <w:b/>
          <w:i/>
          <w:snapToGrid w:val="0"/>
        </w:rPr>
        <w:t>și IMM-uri. Consiliul de conducere al întreprinderii comune ar trebui să definească condițiile</w:t>
      </w:r>
      <w:r w:rsidRPr="00D614E6">
        <w:rPr>
          <w:b/>
          <w:i/>
        </w:rPr>
        <w:t xml:space="preserve"> de acces la aceste supercalculatoare dedicate IA și la servicii de sprijin relevante pentru diferite categorii de utilizatori, cum ar fi întreprinderile nou-înființate, întreprinderile în curs de extindere, IMM-urile, instituțiile de învățământ superior și centrele de cercetare, cu scopul de a depăși constrângerile legate de costuri și lipsa de competențe în materie de resurse.</w:t>
      </w:r>
    </w:p>
    <w:p w:rsidR="009719B6" w:rsidRPr="00D614E6" w:rsidRDefault="009719B6" w:rsidP="00AF7D5E">
      <w:pPr>
        <w:spacing w:before="120" w:after="120" w:line="360" w:lineRule="auto"/>
        <w:ind w:left="709" w:hanging="709"/>
        <w:jc w:val="both"/>
        <w:rPr>
          <w:szCs w:val="24"/>
        </w:rPr>
      </w:pPr>
      <w:r w:rsidRPr="00D614E6">
        <w:rPr>
          <w:b/>
          <w:i/>
        </w:rPr>
        <w:t>(5c)</w:t>
      </w:r>
      <w:r w:rsidRPr="00D614E6">
        <w:rPr>
          <w:b/>
          <w:i/>
        </w:rPr>
        <w:tab/>
        <w:t>Întrucât utilizarea supercalculatoarelor pentru IA necesită o utilizare mai mare a datelor, este important ca el să fie situate în apropierea unui centru de date existent sau prevăzut sau conectate la un centru de acest tip prin rețele de mare viteză. În plus, aceste centre de date ar trebui să respecte pe deplin cerințele prevăzute la articolul 12 din Directiva (UE) 2023/1791 a Parlamentului European și a Consiliului</w:t>
      </w:r>
      <w:r w:rsidRPr="00D614E6">
        <w:rPr>
          <w:rStyle w:val="FootnoteReference"/>
          <w:b/>
          <w:bCs/>
          <w:i/>
          <w:iCs/>
        </w:rPr>
        <w:footnoteReference w:id="7"/>
      </w:r>
      <w:r w:rsidRPr="00D614E6">
        <w:rPr>
          <w:b/>
          <w:i/>
        </w:rPr>
        <w:t xml:space="preserve"> și, în viitor, ar trebui să fie interconectate cu spațiile europene comune ale datelor pentru a facilita antrenarea modelelor în domenii sectoriale cheie. Entitățile-gazdă ar trebui să poată utiliza în mod eficace sprijinul financiar din partea spațiilor europene comune ale datelor pentru a-și îmbunătăți infrastructura, inclusiv pentru a achiziționa sau a moderniza centre de date. Ar trebui promovate </w:t>
      </w:r>
      <w:proofErr w:type="spellStart"/>
      <w:r w:rsidRPr="00D614E6">
        <w:rPr>
          <w:b/>
          <w:i/>
        </w:rPr>
        <w:t>sinergiile</w:t>
      </w:r>
      <w:proofErr w:type="spellEnd"/>
      <w:r w:rsidRPr="00D614E6">
        <w:rPr>
          <w:b/>
          <w:i/>
        </w:rPr>
        <w:t xml:space="preserve"> dintre diferitele inițiative</w:t>
      </w:r>
      <w:r w:rsidRPr="00D614E6">
        <w:rPr>
          <w:i/>
        </w:rPr>
        <w:t>.</w:t>
      </w:r>
      <w:r w:rsidRPr="00D614E6">
        <w:t xml:space="preserve"> </w:t>
      </w:r>
    </w:p>
    <w:p w:rsidR="009719B6" w:rsidRPr="00D614E6" w:rsidRDefault="009719B6" w:rsidP="00AF7D5E">
      <w:pPr>
        <w:spacing w:before="120" w:after="120" w:line="360" w:lineRule="auto"/>
        <w:ind w:left="709" w:hanging="709"/>
        <w:jc w:val="both"/>
        <w:rPr>
          <w:b/>
          <w:bCs/>
          <w:i/>
          <w:iCs/>
        </w:rPr>
      </w:pPr>
      <w:r w:rsidRPr="00D614E6">
        <w:rPr>
          <w:b/>
          <w:i/>
        </w:rPr>
        <w:t>(5d)</w:t>
      </w:r>
      <w:r w:rsidRPr="00D614E6">
        <w:rPr>
          <w:b/>
          <w:i/>
        </w:rPr>
        <w:tab/>
        <w:t>Întrucât utilizarea supercalculatoarelor pentru IA necesită o creștere semnificativă a puterii de calcul, care, la rândul său, duce la un consum mai mare de energie, entitățile-gazdă ar trebui să aibă planuri în ceea ce privește eficiența lor energetică și durabilitatea mediului. Aceste planuri ar trebui să garanteze că supercalculatorul are acces la o racordare la rețea sigură și stabilă și la o aprovizionare cu energie electrică, bazată, de preferință, pe o energie curată și la prețuri accesibile, inclusiv prin recurgerea la contracte de achiziție de energie electrică, care se pot baza și pe energia din surse regenerabile, precum și prin utilizarea energiei electrice produse la nivel local. În plus, modelele de IA ar trebui să respecte cerințele privind consumul de energie prevăzute în Regulamentul</w:t>
      </w:r>
      <w:r w:rsidR="00AF7D5E" w:rsidRPr="00D614E6">
        <w:rPr>
          <w:b/>
          <w:i/>
        </w:rPr>
        <w:t xml:space="preserve"> </w:t>
      </w:r>
      <w:r w:rsidR="00AF7D5E" w:rsidRPr="00D614E6">
        <w:rPr>
          <w:rStyle w:val="normaltextrun"/>
          <w:b/>
          <w:i/>
          <w:noProof/>
        </w:rPr>
        <w:t>(UE) 2024/…</w:t>
      </w:r>
      <w:r w:rsidR="00AF7D5E" w:rsidRPr="00D614E6">
        <w:rPr>
          <w:b/>
          <w:bCs/>
          <w:i/>
          <w:iCs/>
        </w:rPr>
        <w:t xml:space="preserve"> </w:t>
      </w:r>
      <w:r w:rsidRPr="00D614E6">
        <w:rPr>
          <w:b/>
          <w:i/>
        </w:rPr>
        <w:t>. [Regulamentul privind inteligența artificială]. Obligațiile de raportare pentru modelele de IA de uz general prevăzute în regulamentul respectiv trebuie respectate.</w:t>
      </w:r>
    </w:p>
    <w:p w:rsidR="009719B6" w:rsidRPr="00D614E6" w:rsidRDefault="009719B6" w:rsidP="00AF7D5E">
      <w:pPr>
        <w:spacing w:before="120" w:after="120" w:line="360" w:lineRule="auto"/>
        <w:ind w:left="709" w:hanging="709"/>
        <w:jc w:val="both"/>
        <w:rPr>
          <w:b/>
        </w:rPr>
      </w:pPr>
      <w:r w:rsidRPr="00D614E6">
        <w:rPr>
          <w:b/>
          <w:i/>
        </w:rPr>
        <w:t>(5e)</w:t>
      </w:r>
      <w:r w:rsidRPr="00D614E6">
        <w:rPr>
          <w:b/>
          <w:i/>
        </w:rPr>
        <w:tab/>
        <w:t xml:space="preserve">Fabricile de IA vor oferi servicii cuprinzătoare de sprijin în materie de </w:t>
      </w:r>
      <w:proofErr w:type="spellStart"/>
      <w:r w:rsidRPr="00D614E6">
        <w:rPr>
          <w:b/>
          <w:i/>
        </w:rPr>
        <w:t>supercalcul</w:t>
      </w:r>
      <w:proofErr w:type="spellEnd"/>
      <w:r w:rsidRPr="00D614E6">
        <w:rPr>
          <w:b/>
          <w:i/>
        </w:rPr>
        <w:t xml:space="preserve"> întreprinderilor nou-înființate din domeniul IA, întreprinderilor mici inovatoare și ecosistemului mai larg de cercetare și inovare. Aceste servicii sunt esențiale pentru a facilita accesul la supercalculatoare, oferind facilități de programare dedicate și sprijin algoritmic pentru dezvoltarea, testarea, evaluarea și validarea modelelor și sistemelor de antrenare a IA. În plus, ele contribuie la crearea unor noi cazuri de utilizare și a unor aplicații emergente în domeniile strategice ale Uniunii, inclusiv pentru robotică și producție, materiale noi și baterii, mobilitate, conducere conectată și automatizată, sănătate și îngrijire, biotehnologie, energie, schimbări climatice și adaptare la acestea, dinamica sistemelor complexe, lumi virtuale și gemeni digitali, securitate cibernetică, practici agricole, cercetare și inovare și sectorul public.</w:t>
      </w:r>
    </w:p>
    <w:p w:rsidR="009719B6" w:rsidRPr="00D614E6" w:rsidRDefault="009719B6" w:rsidP="00AF7D5E">
      <w:pPr>
        <w:pStyle w:val="ManualConsidrant"/>
        <w:spacing w:line="360" w:lineRule="auto"/>
        <w:rPr>
          <w:noProof/>
        </w:rPr>
      </w:pPr>
      <w:r w:rsidRPr="00D614E6">
        <w:t>(6)</w:t>
      </w:r>
      <w:r w:rsidRPr="00D614E6">
        <w:tab/>
        <w:t xml:space="preserve">Pentru a alinia data aplicării prezentului regulament la data aplicării dispozițiilor Regulamentului </w:t>
      </w:r>
      <w:r w:rsidRPr="00D614E6">
        <w:rPr>
          <w:rStyle w:val="normaltextrun"/>
        </w:rPr>
        <w:t>(UE) 2024/... al Parlamentului European și al Consiliului de stabilire a unor norme armonizate privind inteligența artificială, prezentul regulament</w:t>
      </w:r>
      <w:r w:rsidRPr="00D614E6">
        <w:t xml:space="preserve"> ar trebui să se aplice fără întârzieri nejustificate.</w:t>
      </w:r>
    </w:p>
    <w:p w:rsidR="009719B6" w:rsidRPr="00D614E6" w:rsidRDefault="009719B6" w:rsidP="00AF7D5E">
      <w:pPr>
        <w:pStyle w:val="ManualConsidrant"/>
        <w:spacing w:line="360" w:lineRule="auto"/>
        <w:rPr>
          <w:noProof/>
        </w:rPr>
      </w:pPr>
      <w:r w:rsidRPr="00D614E6">
        <w:t>(7)</w:t>
      </w:r>
      <w:r w:rsidRPr="00D614E6">
        <w:tab/>
        <w:t>Prin urmare, Regulamentul (UE) 2021/1173 ar trebui modificat în consecință,</w:t>
      </w:r>
    </w:p>
    <w:p w:rsidR="009719B6" w:rsidRPr="00D614E6" w:rsidRDefault="009719B6" w:rsidP="00AF7D5E">
      <w:pPr>
        <w:pStyle w:val="Formuledadoption"/>
        <w:spacing w:line="360" w:lineRule="auto"/>
        <w:rPr>
          <w:noProof/>
        </w:rPr>
      </w:pPr>
      <w:r w:rsidRPr="00D614E6">
        <w:t>ADOPTĂ PREZENTUL REGULAMENT:</w:t>
      </w:r>
    </w:p>
    <w:p w:rsidR="009719B6" w:rsidRPr="00D614E6" w:rsidRDefault="009719B6" w:rsidP="00AF7D5E">
      <w:pPr>
        <w:pStyle w:val="Titrearticle"/>
        <w:spacing w:before="120" w:line="360" w:lineRule="auto"/>
        <w:rPr>
          <w:noProof/>
        </w:rPr>
      </w:pPr>
      <w:r w:rsidRPr="00D614E6">
        <w:t>Articolul 1</w:t>
      </w:r>
    </w:p>
    <w:p w:rsidR="009719B6" w:rsidRPr="00D614E6" w:rsidRDefault="009719B6" w:rsidP="00AF7D5E">
      <w:pPr>
        <w:spacing w:before="120" w:after="120" w:line="360" w:lineRule="auto"/>
        <w:rPr>
          <w:noProof/>
        </w:rPr>
      </w:pPr>
      <w:r w:rsidRPr="00D614E6">
        <w:t xml:space="preserve">Regulamentul (UE) 2021/1173 se modifică după cum urmează: </w:t>
      </w:r>
    </w:p>
    <w:p w:rsidR="009719B6" w:rsidRPr="00D614E6" w:rsidRDefault="009719B6" w:rsidP="00AF7D5E">
      <w:pPr>
        <w:pStyle w:val="ListParagraph"/>
        <w:spacing w:line="360" w:lineRule="auto"/>
        <w:ind w:left="1080"/>
        <w:rPr>
          <w:noProof/>
        </w:rPr>
      </w:pPr>
    </w:p>
    <w:p w:rsidR="009719B6" w:rsidRPr="00D614E6" w:rsidRDefault="009719B6" w:rsidP="00AF7D5E">
      <w:pPr>
        <w:pStyle w:val="Point0"/>
        <w:spacing w:line="360" w:lineRule="auto"/>
        <w:rPr>
          <w:noProof/>
        </w:rPr>
      </w:pPr>
      <w:r w:rsidRPr="00D614E6">
        <w:t>1.</w:t>
      </w:r>
      <w:r w:rsidRPr="00D614E6">
        <w:tab/>
        <w:t>Articolul 2 se modifică după cum urmează:</w:t>
      </w:r>
    </w:p>
    <w:p w:rsidR="009719B6" w:rsidRPr="00D614E6" w:rsidRDefault="009719B6" w:rsidP="00AF7D5E">
      <w:pPr>
        <w:pStyle w:val="Point0"/>
        <w:spacing w:line="360" w:lineRule="auto"/>
        <w:ind w:left="1700"/>
        <w:rPr>
          <w:noProof/>
        </w:rPr>
      </w:pPr>
      <w:r w:rsidRPr="00D614E6">
        <w:t>(a)</w:t>
      </w:r>
      <w:r w:rsidRPr="00D614E6">
        <w:tab/>
        <w:t>se introduc următoarele puncte 3a și 3b:</w:t>
      </w:r>
    </w:p>
    <w:p w:rsidR="009719B6" w:rsidRPr="00D614E6" w:rsidRDefault="009719B6" w:rsidP="00AF7D5E">
      <w:pPr>
        <w:pStyle w:val="ListParagraph"/>
        <w:spacing w:line="360" w:lineRule="auto"/>
        <w:ind w:left="2160" w:hanging="590"/>
        <w:rPr>
          <w:noProof/>
        </w:rPr>
      </w:pPr>
      <w:r w:rsidRPr="00D614E6">
        <w:t xml:space="preserve">„(3b) </w:t>
      </w:r>
      <w:r w:rsidRPr="00D614E6">
        <w:tab/>
        <w:t xml:space="preserve">«supercalculator dedicat inteligenței artificiale» înseamnă un supercalculator conceput în principal pentru antrenarea modelelor de inteligență artificială de uz general </w:t>
      </w:r>
      <w:r w:rsidRPr="00D614E6">
        <w:rPr>
          <w:b/>
          <w:i/>
        </w:rPr>
        <w:t>civil</w:t>
      </w:r>
      <w:r w:rsidRPr="00D614E6">
        <w:t xml:space="preserve"> și de mari dimensiuni și a unor aplicații emergente de inteligență artificială</w:t>
      </w:r>
      <w:r w:rsidRPr="00D614E6">
        <w:rPr>
          <w:b/>
          <w:i/>
        </w:rPr>
        <w:t>, precum și pentru dezvoltarea de tehnologii și sisteme</w:t>
      </w:r>
      <w:r w:rsidRPr="00D614E6">
        <w:t>;</w:t>
      </w:r>
    </w:p>
    <w:p w:rsidR="009719B6" w:rsidRPr="00D614E6" w:rsidRDefault="009719B6" w:rsidP="00AF7D5E">
      <w:pPr>
        <w:pStyle w:val="ListParagraph"/>
        <w:spacing w:line="360" w:lineRule="auto"/>
        <w:ind w:left="1570"/>
        <w:rPr>
          <w:noProof/>
        </w:rPr>
      </w:pPr>
    </w:p>
    <w:p w:rsidR="009719B6" w:rsidRPr="00D614E6" w:rsidRDefault="009719B6" w:rsidP="00AF7D5E">
      <w:pPr>
        <w:pStyle w:val="ListParagraph"/>
        <w:spacing w:line="360" w:lineRule="auto"/>
        <w:ind w:left="2160" w:hanging="590"/>
        <w:rPr>
          <w:noProof/>
        </w:rPr>
      </w:pPr>
      <w:r w:rsidRPr="00D614E6">
        <w:t xml:space="preserve">(3c) </w:t>
      </w:r>
      <w:r w:rsidRPr="00D614E6">
        <w:tab/>
        <w:t xml:space="preserve">«fabrică de inteligență artificială» înseamnă </w:t>
      </w:r>
      <w:r w:rsidRPr="00D614E6">
        <w:rPr>
          <w:b/>
          <w:i/>
        </w:rPr>
        <w:t>un ecosistem deschis centralizat</w:t>
      </w:r>
      <w:r w:rsidRPr="00D614E6">
        <w:t xml:space="preserve"> sau </w:t>
      </w:r>
      <w:r w:rsidRPr="00D614E6">
        <w:rPr>
          <w:b/>
          <w:i/>
        </w:rPr>
        <w:t>distribuit</w:t>
      </w:r>
      <w:r w:rsidRPr="00D614E6">
        <w:t xml:space="preserve"> care furnizează o infrastructură de servicii de </w:t>
      </w:r>
      <w:proofErr w:type="spellStart"/>
      <w:r w:rsidRPr="00D614E6">
        <w:t>supercalcul</w:t>
      </w:r>
      <w:proofErr w:type="spellEnd"/>
      <w:r w:rsidRPr="00D614E6">
        <w:t xml:space="preserve"> pentru inteligența artificială care este compusă dintr-un supercalculator dedicat inteligenței artificiale </w:t>
      </w:r>
      <w:r w:rsidRPr="00D614E6">
        <w:rPr>
          <w:b/>
          <w:i/>
        </w:rPr>
        <w:t>sau</w:t>
      </w:r>
      <w:r w:rsidRPr="00D614E6">
        <w:t xml:space="preserve"> dintr-o partiție de supercalculator dedicată inteligenței artificiale</w:t>
      </w:r>
      <w:r w:rsidRPr="00D614E6">
        <w:rPr>
          <w:b/>
          <w:i/>
        </w:rPr>
        <w:t xml:space="preserve"> sau un supercalculator </w:t>
      </w:r>
      <w:proofErr w:type="spellStart"/>
      <w:r w:rsidRPr="00D614E6">
        <w:rPr>
          <w:b/>
          <w:i/>
        </w:rPr>
        <w:t>EuroHPC</w:t>
      </w:r>
      <w:proofErr w:type="spellEnd"/>
      <w:r w:rsidRPr="00D614E6">
        <w:rPr>
          <w:b/>
          <w:i/>
        </w:rPr>
        <w:t xml:space="preserve"> modernizat care este dotat cu capacități de inteligență artificială,</w:t>
      </w:r>
      <w:r w:rsidRPr="00D614E6">
        <w:t xml:space="preserve"> un centru de date asociat, un acces dedicat și servicii de </w:t>
      </w:r>
      <w:proofErr w:type="spellStart"/>
      <w:r w:rsidRPr="00D614E6">
        <w:t>supercalcul</w:t>
      </w:r>
      <w:proofErr w:type="spellEnd"/>
      <w:r w:rsidRPr="00D614E6">
        <w:t xml:space="preserve"> orientate către inteligența artificială care </w:t>
      </w:r>
      <w:r w:rsidRPr="00D614E6">
        <w:rPr>
          <w:b/>
          <w:i/>
        </w:rPr>
        <w:t>dezvoltă, atrage, păstrează</w:t>
      </w:r>
      <w:r w:rsidRPr="00D614E6">
        <w:t xml:space="preserve"> și pune în comun </w:t>
      </w:r>
      <w:r w:rsidRPr="00D614E6">
        <w:rPr>
          <w:b/>
          <w:i/>
        </w:rPr>
        <w:t>în mod deschis și activ</w:t>
      </w:r>
      <w:r w:rsidRPr="00D614E6">
        <w:t xml:space="preserve"> talentele pentru a furniza competențele</w:t>
      </w:r>
      <w:r w:rsidRPr="00D614E6">
        <w:rPr>
          <w:b/>
          <w:i/>
        </w:rPr>
        <w:t>, aptitudinile și cunoștințele</w:t>
      </w:r>
      <w:r w:rsidRPr="00D614E6">
        <w:t xml:space="preserve"> necesare,</w:t>
      </w:r>
      <w:r w:rsidRPr="00D614E6">
        <w:rPr>
          <w:b/>
          <w:i/>
        </w:rPr>
        <w:t xml:space="preserve"> care asistă și ghidează utilizatorii în utilizarea</w:t>
      </w:r>
      <w:r w:rsidRPr="00D614E6">
        <w:t xml:space="preserve"> supercalculatoarelor pentru inteligența artificială </w:t>
      </w:r>
      <w:r w:rsidRPr="00D614E6">
        <w:rPr>
          <w:b/>
          <w:i/>
        </w:rPr>
        <w:t>și care furnizează serviciile necesare pentru întreținerea acestora</w:t>
      </w:r>
      <w:r w:rsidRPr="00D614E6">
        <w:t>;”;</w:t>
      </w:r>
    </w:p>
    <w:p w:rsidR="009719B6" w:rsidRPr="00D614E6" w:rsidRDefault="009719B6" w:rsidP="00AF7D5E">
      <w:pPr>
        <w:pStyle w:val="Point0"/>
        <w:spacing w:line="360" w:lineRule="auto"/>
        <w:ind w:left="1700"/>
        <w:rPr>
          <w:noProof/>
        </w:rPr>
      </w:pPr>
      <w:r w:rsidRPr="00D614E6">
        <w:t>(b)</w:t>
      </w:r>
      <w:r w:rsidRPr="00D614E6">
        <w:tab/>
        <w:t>punctul 9 se înlocuiește cu următorul text:</w:t>
      </w:r>
    </w:p>
    <w:p w:rsidR="009719B6" w:rsidRPr="00D614E6" w:rsidRDefault="009719B6" w:rsidP="00AF7D5E">
      <w:pPr>
        <w:pStyle w:val="ListParagraph"/>
        <w:spacing w:line="360" w:lineRule="auto"/>
        <w:ind w:left="2160" w:hanging="590"/>
        <w:rPr>
          <w:noProof/>
        </w:rPr>
      </w:pPr>
      <w:r w:rsidRPr="00D614E6">
        <w:t xml:space="preserve">„(9) </w:t>
      </w:r>
      <w:r w:rsidRPr="00D614E6">
        <w:tab/>
        <w:t xml:space="preserve">«supercalculator </w:t>
      </w:r>
      <w:proofErr w:type="spellStart"/>
      <w:r w:rsidRPr="00D614E6">
        <w:t>EuroHPC</w:t>
      </w:r>
      <w:proofErr w:type="spellEnd"/>
      <w:r w:rsidRPr="00D614E6">
        <w:t>» înseamnă orice sistem de calcul deținut integral de întreprinderea comună sau deținut în coproprietate cu alte state participante sau cu un consorțiu de parteneri privați, care poate fi un supercalculator clasic (supercalculator cu capacități de vârf, supercalculator de nivel industrial, supercalculator dedicat inteligenței artificiale sau supercalculator cu capacități medii), un calculator hibrid clasic-cuantic, un calculator cuantic sau un simulator cuantic;”;</w:t>
      </w:r>
    </w:p>
    <w:p w:rsidR="009719B6" w:rsidRPr="00D614E6" w:rsidRDefault="009719B6" w:rsidP="00AF7D5E">
      <w:pPr>
        <w:pStyle w:val="ListParagraph"/>
        <w:spacing w:line="360" w:lineRule="auto"/>
        <w:ind w:left="1570"/>
        <w:rPr>
          <w:noProof/>
        </w:rPr>
      </w:pPr>
    </w:p>
    <w:p w:rsidR="009719B6" w:rsidRPr="00D614E6" w:rsidRDefault="009719B6" w:rsidP="00AF7D5E">
      <w:pPr>
        <w:pStyle w:val="Point0"/>
        <w:spacing w:line="360" w:lineRule="auto"/>
        <w:rPr>
          <w:noProof/>
        </w:rPr>
      </w:pPr>
      <w:r w:rsidRPr="00D614E6">
        <w:t>2.</w:t>
      </w:r>
      <w:r w:rsidRPr="00D614E6">
        <w:tab/>
        <w:t>La articolul 3 alineatul (2), se adaugă următoarea literă (h):</w:t>
      </w:r>
    </w:p>
    <w:p w:rsidR="009719B6" w:rsidRPr="00D614E6" w:rsidRDefault="009719B6" w:rsidP="00AF7D5E">
      <w:pPr>
        <w:pStyle w:val="Point1"/>
        <w:spacing w:line="360" w:lineRule="auto"/>
        <w:rPr>
          <w:noProof/>
        </w:rPr>
      </w:pPr>
      <w:r w:rsidRPr="00D614E6">
        <w:t xml:space="preserve">„(h) </w:t>
      </w:r>
      <w:r w:rsidRPr="00D614E6">
        <w:tab/>
        <w:t>dezvoltarea și exploatarea fabricilor de inteligență artificială în sprijinul dezvoltării în continuare a unui ecosistem de inteligență artificială extrem de competitiv</w:t>
      </w:r>
      <w:r w:rsidRPr="00D614E6">
        <w:rPr>
          <w:b/>
          <w:i/>
        </w:rPr>
        <w:t>, durabil, de încredere, etic</w:t>
      </w:r>
      <w:r w:rsidRPr="00D614E6">
        <w:t xml:space="preserve"> și inovator în Uniune.”;</w:t>
      </w:r>
    </w:p>
    <w:p w:rsidR="009719B6" w:rsidRPr="00D614E6" w:rsidRDefault="009719B6" w:rsidP="00AF7D5E">
      <w:pPr>
        <w:pStyle w:val="Point0"/>
        <w:spacing w:line="360" w:lineRule="auto"/>
        <w:rPr>
          <w:noProof/>
        </w:rPr>
      </w:pPr>
      <w:r w:rsidRPr="00D614E6">
        <w:t>3.</w:t>
      </w:r>
      <w:r w:rsidRPr="00D614E6">
        <w:tab/>
        <w:t>La articolul 4 alineatul (1), se adaugă următoarea literă (h):</w:t>
      </w:r>
    </w:p>
    <w:p w:rsidR="009719B6" w:rsidRPr="00D614E6" w:rsidRDefault="009719B6" w:rsidP="00AF7D5E">
      <w:pPr>
        <w:pStyle w:val="Point1"/>
        <w:spacing w:line="360" w:lineRule="auto"/>
        <w:rPr>
          <w:noProof/>
        </w:rPr>
      </w:pPr>
      <w:r w:rsidRPr="00D614E6">
        <w:t xml:space="preserve">„(h) pilonul «fabrica de inteligență artificială» pentru o inteligență artificială de încredere și etică, care acoperă activitățile de furnizare a unei infrastructuri de servicii de </w:t>
      </w:r>
      <w:proofErr w:type="spellStart"/>
      <w:r w:rsidRPr="00D614E6">
        <w:t>supercalcul</w:t>
      </w:r>
      <w:proofErr w:type="spellEnd"/>
      <w:r w:rsidRPr="00D614E6">
        <w:t xml:space="preserve"> orientate către inteligența artificială, care vizează dezvoltarea în continuare a capacităților și a competențelor de inovare ale ecosistemului de inteligență artificială; </w:t>
      </w:r>
      <w:r w:rsidRPr="00D614E6">
        <w:rPr>
          <w:b/>
          <w:i/>
        </w:rPr>
        <w:t>printre altele, activitățile respective vizează</w:t>
      </w:r>
      <w:r w:rsidRPr="00D614E6">
        <w:t>:</w:t>
      </w:r>
    </w:p>
    <w:p w:rsidR="009719B6" w:rsidRPr="00D614E6" w:rsidRDefault="009719B6" w:rsidP="00AF7D5E">
      <w:pPr>
        <w:pStyle w:val="Point2"/>
        <w:spacing w:line="360" w:lineRule="auto"/>
        <w:rPr>
          <w:noProof/>
        </w:rPr>
      </w:pPr>
      <w:r w:rsidRPr="00D614E6">
        <w:t>(i)</w:t>
      </w:r>
      <w:r w:rsidRPr="00D614E6">
        <w:tab/>
        <w:t xml:space="preserve">achiziționarea și exploatarea supercalculatoarelor dedicate inteligenței artificiale, amplasate în același loc ca și </w:t>
      </w:r>
      <w:r w:rsidRPr="00D614E6">
        <w:rPr>
          <w:b/>
          <w:bCs/>
          <w:i/>
          <w:iCs/>
        </w:rPr>
        <w:t>centrele</w:t>
      </w:r>
      <w:r w:rsidRPr="00D614E6">
        <w:t xml:space="preserve"> de date sau conectate la centrele de date prin intermediul rețelelor de foarte mare viteză;</w:t>
      </w:r>
    </w:p>
    <w:p w:rsidR="009719B6" w:rsidRPr="00D614E6" w:rsidRDefault="009719B6" w:rsidP="00AF7D5E">
      <w:pPr>
        <w:pStyle w:val="Point2"/>
        <w:spacing w:line="360" w:lineRule="auto"/>
        <w:rPr>
          <w:noProof/>
        </w:rPr>
      </w:pPr>
      <w:r w:rsidRPr="00D614E6">
        <w:t>(ii)</w:t>
      </w:r>
      <w:r w:rsidRPr="00D614E6">
        <w:tab/>
        <w:t xml:space="preserve">modernizarea supercalculatoarelor </w:t>
      </w:r>
      <w:proofErr w:type="spellStart"/>
      <w:r w:rsidRPr="00D614E6">
        <w:t>EuroHPC</w:t>
      </w:r>
      <w:proofErr w:type="spellEnd"/>
      <w:r w:rsidRPr="00D614E6">
        <w:t xml:space="preserve"> existente prin dotarea acestora cu capacități de inteligență artificială;</w:t>
      </w:r>
    </w:p>
    <w:p w:rsidR="009719B6" w:rsidRPr="00D614E6" w:rsidRDefault="009719B6" w:rsidP="00AF7D5E">
      <w:pPr>
        <w:pStyle w:val="Point2"/>
        <w:spacing w:line="360" w:lineRule="auto"/>
        <w:rPr>
          <w:noProof/>
        </w:rPr>
      </w:pPr>
      <w:r w:rsidRPr="00D614E6">
        <w:t>(iii)</w:t>
      </w:r>
      <w:r w:rsidRPr="00D614E6">
        <w:tab/>
        <w:t xml:space="preserve">furnizarea accesului la supercalculatoarele dedicate inteligenței artificiale sau la supercalculatoarele </w:t>
      </w:r>
      <w:proofErr w:type="spellStart"/>
      <w:r w:rsidRPr="00D614E6">
        <w:t>EuroHPC</w:t>
      </w:r>
      <w:proofErr w:type="spellEnd"/>
      <w:r w:rsidRPr="00D614E6">
        <w:t xml:space="preserve"> modernizate care sunt dotate cu </w:t>
      </w:r>
      <w:r w:rsidRPr="00D614E6">
        <w:rPr>
          <w:b/>
          <w:i/>
        </w:rPr>
        <w:t>capacități de</w:t>
      </w:r>
      <w:r w:rsidRPr="00D614E6">
        <w:t xml:space="preserve"> inteligență artificială, inclusiv extinderea utilizării acestora la un număr mare de utilizatori publici și privați, inclusiv la întreprinderile nou-înființate, </w:t>
      </w:r>
      <w:r w:rsidRPr="00D614E6">
        <w:rPr>
          <w:b/>
          <w:i/>
        </w:rPr>
        <w:t>la întreprinderile în curs de extindere, la IMM-uri, la instituțiile de învățământ superior și la comunitatea științifică, în general</w:t>
      </w:r>
      <w:r w:rsidRPr="00D614E6">
        <w:t>;</w:t>
      </w:r>
    </w:p>
    <w:p w:rsidR="009719B6" w:rsidRPr="00D614E6" w:rsidRDefault="009719B6" w:rsidP="00AF7D5E">
      <w:pPr>
        <w:spacing w:before="120" w:after="120" w:line="360" w:lineRule="auto"/>
        <w:ind w:left="1984" w:hanging="567"/>
        <w:rPr>
          <w:rFonts w:eastAsia="Calibri"/>
          <w:noProof/>
          <w:szCs w:val="22"/>
        </w:rPr>
      </w:pPr>
      <w:r w:rsidRPr="00D614E6">
        <w:rPr>
          <w:b/>
          <w:i/>
        </w:rPr>
        <w:t>(</w:t>
      </w:r>
      <w:proofErr w:type="spellStart"/>
      <w:r w:rsidRPr="00D614E6">
        <w:rPr>
          <w:b/>
          <w:i/>
        </w:rPr>
        <w:t>iiia</w:t>
      </w:r>
      <w:proofErr w:type="spellEnd"/>
      <w:r w:rsidRPr="00D614E6">
        <w:rPr>
          <w:b/>
          <w:i/>
        </w:rPr>
        <w:t>)</w:t>
      </w:r>
      <w:r w:rsidRPr="00D614E6">
        <w:tab/>
      </w:r>
      <w:r w:rsidRPr="00D614E6">
        <w:rPr>
          <w:b/>
          <w:i/>
        </w:rPr>
        <w:t>comunicarea pe scară largă a oportunităților oferite de fabricile de inteligență artificială întreprinderilor nou-înființate, întreprinderilor în curs de extindere și comunităților de cercetare și inovare</w:t>
      </w:r>
      <w:r w:rsidRPr="00D614E6">
        <w:t>;</w:t>
      </w:r>
    </w:p>
    <w:p w:rsidR="009719B6" w:rsidRPr="00D614E6" w:rsidRDefault="009719B6" w:rsidP="00AF7D5E">
      <w:pPr>
        <w:pStyle w:val="Point2"/>
        <w:spacing w:line="360" w:lineRule="auto"/>
        <w:rPr>
          <w:noProof/>
        </w:rPr>
      </w:pPr>
      <w:r w:rsidRPr="00D614E6">
        <w:t>(iv)</w:t>
      </w:r>
      <w:r w:rsidRPr="00D614E6">
        <w:tab/>
        <w:t xml:space="preserve">exploatarea unor centre de servicii de </w:t>
      </w:r>
      <w:proofErr w:type="spellStart"/>
      <w:r w:rsidRPr="00D614E6">
        <w:t>supercalcul</w:t>
      </w:r>
      <w:proofErr w:type="spellEnd"/>
      <w:r w:rsidRPr="00D614E6">
        <w:t xml:space="preserve"> bazate pe inteligența artificială, centralizate sau distribuite, în sprijinul întreprinderilor nou-înființate din domeniul inteligenței artificiale și al ecosistemului de cercetare și inovare care</w:t>
      </w:r>
      <w:r w:rsidRPr="00D614E6">
        <w:rPr>
          <w:b/>
          <w:i/>
        </w:rPr>
        <w:t xml:space="preserve"> asistă și îndrumă utilizatorii, încurajează cercetarea interdisciplinară, </w:t>
      </w:r>
      <w:r w:rsidRPr="00D614E6">
        <w:t>oferă sprijin algoritmic, sprijin pentru dezvoltarea în continuare, antrenarea, testarea, evaluarea și validarea modelelor și sistemelor de antrenare a inteligenței artificiale, precum și sprijin pentru dezvoltarea aplicațiilor emergente de inteligență artificială la scară largă în domenii strategice ▌;</w:t>
      </w:r>
    </w:p>
    <w:p w:rsidR="009719B6" w:rsidRPr="00D614E6" w:rsidRDefault="009719B6" w:rsidP="00AF7D5E">
      <w:pPr>
        <w:pStyle w:val="Point2"/>
        <w:spacing w:line="360" w:lineRule="auto"/>
        <w:rPr>
          <w:noProof/>
        </w:rPr>
      </w:pPr>
      <w:r w:rsidRPr="00D614E6">
        <w:t>(v)</w:t>
      </w:r>
      <w:r w:rsidRPr="00D614E6">
        <w:tab/>
        <w:t xml:space="preserve">exploatarea unor instalații de programare care să faciliteze utilizarea supercalculatoarelor, inclusiv pentru paralelizarea aplicațiilor de inteligență artificială în vederea unei utilizări optime a capacităților de </w:t>
      </w:r>
      <w:proofErr w:type="spellStart"/>
      <w:r w:rsidRPr="00D614E6">
        <w:t>supercalcul</w:t>
      </w:r>
      <w:proofErr w:type="spellEnd"/>
      <w:r w:rsidRPr="00D614E6">
        <w:rPr>
          <w:b/>
          <w:i/>
        </w:rPr>
        <w:t xml:space="preserve">, precum și exploatarea altor servicii de </w:t>
      </w:r>
      <w:proofErr w:type="spellStart"/>
      <w:r w:rsidRPr="00D614E6">
        <w:rPr>
          <w:b/>
          <w:i/>
        </w:rPr>
        <w:t>supercalcul</w:t>
      </w:r>
      <w:proofErr w:type="spellEnd"/>
      <w:r w:rsidRPr="00D614E6">
        <w:rPr>
          <w:b/>
          <w:i/>
        </w:rPr>
        <w:t xml:space="preserve"> care facilitează inteligența artificială</w:t>
      </w:r>
      <w:r w:rsidRPr="00D614E6">
        <w:t>;</w:t>
      </w:r>
    </w:p>
    <w:p w:rsidR="009719B6" w:rsidRPr="00D614E6" w:rsidRDefault="009719B6" w:rsidP="00AF7D5E">
      <w:pPr>
        <w:pStyle w:val="Point2"/>
        <w:spacing w:line="360" w:lineRule="auto"/>
        <w:rPr>
          <w:noProof/>
        </w:rPr>
      </w:pPr>
      <w:r w:rsidRPr="00D614E6">
        <w:t xml:space="preserve"> ▌</w:t>
      </w:r>
    </w:p>
    <w:p w:rsidR="009719B6" w:rsidRPr="00D614E6" w:rsidRDefault="009719B6" w:rsidP="00AF7D5E">
      <w:pPr>
        <w:pStyle w:val="Point2"/>
        <w:spacing w:line="360" w:lineRule="auto"/>
        <w:rPr>
          <w:noProof/>
          <w:color w:val="000000" w:themeColor="text1"/>
        </w:rPr>
      </w:pPr>
      <w:r w:rsidRPr="00D614E6">
        <w:t>(vii)</w:t>
      </w:r>
      <w:r w:rsidRPr="00D614E6">
        <w:tab/>
        <w:t>atragerea, punerea în comun</w:t>
      </w:r>
      <w:r w:rsidRPr="00D614E6">
        <w:rPr>
          <w:b/>
          <w:i/>
        </w:rPr>
        <w:t>,</w:t>
      </w:r>
      <w:r w:rsidRPr="00D614E6">
        <w:t xml:space="preserve"> formarea </w:t>
      </w:r>
      <w:r w:rsidRPr="00D614E6">
        <w:rPr>
          <w:b/>
          <w:i/>
        </w:rPr>
        <w:t>și păstrarea</w:t>
      </w:r>
      <w:r w:rsidRPr="00D614E6">
        <w:t xml:space="preserve"> talentelor</w:t>
      </w:r>
      <w:r w:rsidRPr="00D614E6">
        <w:rPr>
          <w:b/>
          <w:i/>
        </w:rPr>
        <w:t>, inclusiv a studenților, a dezvoltatorilor, a cercetătorilor, a oamenilor de știință și a comunității de utilizatori, printr-un proces transparent, echitabil și deschis</w:t>
      </w:r>
      <w:r w:rsidRPr="00D614E6">
        <w:t xml:space="preserve"> pentru a dezvolta competențele</w:t>
      </w:r>
      <w:r w:rsidRPr="00D614E6">
        <w:rPr>
          <w:b/>
          <w:i/>
        </w:rPr>
        <w:t>,</w:t>
      </w:r>
      <w:r w:rsidRPr="00D614E6">
        <w:t xml:space="preserve"> aptitudinile </w:t>
      </w:r>
      <w:r w:rsidRPr="00D614E6">
        <w:rPr>
          <w:b/>
          <w:i/>
        </w:rPr>
        <w:t>și cunoștințele</w:t>
      </w:r>
      <w:r w:rsidRPr="00D614E6">
        <w:t xml:space="preserve"> acestora în ceea ce privește utilizarea supercalculatoarelor </w:t>
      </w:r>
      <w:proofErr w:type="spellStart"/>
      <w:r w:rsidRPr="00D614E6">
        <w:t>EuroHPC</w:t>
      </w:r>
      <w:proofErr w:type="spellEnd"/>
      <w:r w:rsidRPr="00D614E6">
        <w:t xml:space="preserve"> pentru inteligența artificială</w:t>
      </w:r>
      <w:r w:rsidRPr="00D614E6">
        <w:rPr>
          <w:b/>
          <w:i/>
        </w:rPr>
        <w:t>, precum și pentru a le oferi asistență personalizată</w:t>
      </w:r>
      <w:r w:rsidRPr="00D614E6">
        <w:t>;</w:t>
      </w:r>
    </w:p>
    <w:p w:rsidR="009719B6" w:rsidRPr="00D614E6" w:rsidRDefault="009719B6" w:rsidP="00AF7D5E">
      <w:pPr>
        <w:pStyle w:val="Point2"/>
        <w:spacing w:line="360" w:lineRule="auto"/>
        <w:rPr>
          <w:rFonts w:eastAsia="Times New Roman"/>
          <w:noProof/>
          <w:szCs w:val="24"/>
        </w:rPr>
      </w:pPr>
      <w:r w:rsidRPr="00D614E6">
        <w:rPr>
          <w:color w:val="000000" w:themeColor="text1"/>
        </w:rPr>
        <w:t xml:space="preserve">(viii) </w:t>
      </w:r>
      <w:r w:rsidRPr="00D614E6">
        <w:t xml:space="preserve">interacțiunea cu celelalte fabrici de inteligență artificială, făcând serviciile acestora accesibile în întreaga </w:t>
      </w:r>
      <w:proofErr w:type="spellStart"/>
      <w:r w:rsidRPr="00D614E6">
        <w:t>Europă</w:t>
      </w:r>
      <w:proofErr w:type="spellEnd"/>
      <w:r w:rsidRPr="00D614E6">
        <w:t>,</w:t>
      </w:r>
      <w:r w:rsidRPr="00D614E6">
        <w:rPr>
          <w:b/>
          <w:i/>
        </w:rPr>
        <w:t xml:space="preserve"> acordând o atenție constantă echilibrului geografic și de gen</w:t>
      </w:r>
      <w:r w:rsidRPr="00D614E6">
        <w:t xml:space="preserve"> și cooperând cu centrele de competență și centrele de excelență </w:t>
      </w:r>
      <w:proofErr w:type="spellStart"/>
      <w:r w:rsidRPr="00D614E6">
        <w:t>EuroHPC</w:t>
      </w:r>
      <w:proofErr w:type="spellEnd"/>
      <w:r w:rsidRPr="00D614E6">
        <w:t>, precum și cu inițiativele relevante ale Uniunii în materie de inteligență artificială, cum ar fi centrele de întreprinderi nou-înființate din domeniul inteligenței artificiale, ecosistemele de inteligență artificială și de date, instalațiile de testare și experimentare în domeniul inteligenței artificiale, Platforma centrală europeană de inteligență artificială, centrele de inovare digitală orientate către inteligența artificială, comunitățile de cunoaștere și inovare în domeniul inteligenței artificiale din cadrul Institutului European de Inovare și Tehnologie,</w:t>
      </w:r>
      <w:r w:rsidRPr="00D614E6">
        <w:rPr>
          <w:b/>
          <w:i/>
        </w:rPr>
        <w:t xml:space="preserve"> întreprinderile comune și parteneriatele din domeniul inteligenței artificiale din cadrul programului „Orizont Europa”,</w:t>
      </w:r>
      <w:r w:rsidRPr="00D614E6">
        <w:t xml:space="preserve"> infrastructurile europene de cercetare relevante și alte inițiative conexe.</w:t>
      </w:r>
    </w:p>
    <w:p w:rsidR="009719B6" w:rsidRPr="00D614E6" w:rsidRDefault="009719B6" w:rsidP="00AF7D5E">
      <w:pPr>
        <w:spacing w:before="120" w:after="120" w:line="360" w:lineRule="auto"/>
        <w:ind w:left="1984" w:hanging="567"/>
        <w:rPr>
          <w:b/>
          <w:i/>
          <w:noProof/>
        </w:rPr>
      </w:pPr>
      <w:r w:rsidRPr="00D614E6">
        <w:rPr>
          <w:b/>
          <w:i/>
        </w:rPr>
        <w:t>(</w:t>
      </w:r>
      <w:proofErr w:type="spellStart"/>
      <w:r w:rsidRPr="00D614E6">
        <w:rPr>
          <w:b/>
          <w:i/>
        </w:rPr>
        <w:t>viiia</w:t>
      </w:r>
      <w:proofErr w:type="spellEnd"/>
      <w:r w:rsidRPr="00D614E6">
        <w:rPr>
          <w:b/>
          <w:i/>
        </w:rPr>
        <w:t xml:space="preserve">) </w:t>
      </w:r>
      <w:r w:rsidRPr="00D614E6">
        <w:rPr>
          <w:b/>
          <w:i/>
        </w:rPr>
        <w:tab/>
        <w:t>întreținerea și optimizarea supercalculatoarelor cu capacități de inteligență artificială, asigurând fiabilitatea și performanța acestora pentru sarcini de calcul avansate.”</w:t>
      </w:r>
    </w:p>
    <w:p w:rsidR="009719B6" w:rsidRPr="00D614E6" w:rsidRDefault="009719B6" w:rsidP="00AF7D5E">
      <w:pPr>
        <w:pStyle w:val="Point0"/>
        <w:spacing w:line="360" w:lineRule="auto"/>
        <w:rPr>
          <w:noProof/>
        </w:rPr>
      </w:pPr>
      <w:r w:rsidRPr="00D614E6">
        <w:t>4.</w:t>
      </w:r>
      <w:r w:rsidRPr="00D614E6">
        <w:tab/>
        <w:t xml:space="preserve">▌Articolul 9 alineatul (5) </w:t>
      </w:r>
      <w:r w:rsidRPr="00D614E6">
        <w:rPr>
          <w:b/>
          <w:i/>
        </w:rPr>
        <w:t>se modifică după cum urmează</w:t>
      </w:r>
      <w:r w:rsidRPr="00D614E6">
        <w:t>:</w:t>
      </w:r>
    </w:p>
    <w:p w:rsidR="009719B6" w:rsidRPr="00D614E6" w:rsidRDefault="009719B6" w:rsidP="00AF7D5E">
      <w:pPr>
        <w:pStyle w:val="Point0"/>
        <w:spacing w:line="360" w:lineRule="auto"/>
        <w:ind w:firstLine="0"/>
        <w:rPr>
          <w:noProof/>
        </w:rPr>
      </w:pPr>
      <w:r w:rsidRPr="00D614E6">
        <w:rPr>
          <w:b/>
          <w:i/>
        </w:rPr>
        <w:t>(a)</w:t>
      </w:r>
      <w:r w:rsidRPr="00D614E6">
        <w:rPr>
          <w:b/>
          <w:i/>
        </w:rPr>
        <w:tab/>
      </w:r>
      <w:r w:rsidRPr="00D614E6">
        <w:t xml:space="preserve">se adaugă următoarea literă (g): </w:t>
      </w:r>
    </w:p>
    <w:p w:rsidR="009719B6" w:rsidRPr="00D614E6" w:rsidRDefault="009719B6" w:rsidP="00AF7D5E">
      <w:pPr>
        <w:pStyle w:val="Point1"/>
        <w:spacing w:line="360" w:lineRule="auto"/>
        <w:rPr>
          <w:noProof/>
        </w:rPr>
      </w:pPr>
      <w:r w:rsidRPr="00D614E6">
        <w:t xml:space="preserve">„(g) </w:t>
      </w:r>
      <w:r w:rsidRPr="00D614E6">
        <w:tab/>
        <w:t>pentru supercalculatoarele dedicate inteligenței artificiale, entităților-gazdă li se aplică următoarele criterii de selecție suplimentare:</w:t>
      </w:r>
    </w:p>
    <w:p w:rsidR="009719B6" w:rsidRPr="00D614E6" w:rsidRDefault="009719B6" w:rsidP="00AF7D5E">
      <w:pPr>
        <w:pStyle w:val="Point1"/>
        <w:tabs>
          <w:tab w:val="left" w:pos="1843"/>
        </w:tabs>
        <w:spacing w:line="360" w:lineRule="auto"/>
        <w:ind w:left="1843" w:hanging="425"/>
        <w:rPr>
          <w:noProof/>
        </w:rPr>
      </w:pPr>
      <w:r w:rsidRPr="00D614E6">
        <w:t>(i)</w:t>
      </w:r>
      <w:r w:rsidRPr="00D614E6">
        <w:tab/>
        <w:t xml:space="preserve">proximitatea </w:t>
      </w:r>
      <w:r w:rsidRPr="00D614E6">
        <w:rPr>
          <w:b/>
          <w:i/>
        </w:rPr>
        <w:t>sau conectarea prin rețele de foarte mare viteză</w:t>
      </w:r>
      <w:r w:rsidRPr="00D614E6">
        <w:t xml:space="preserve"> cu un centru de date </w:t>
      </w:r>
      <w:r w:rsidRPr="00D614E6">
        <w:rPr>
          <w:b/>
          <w:i/>
        </w:rPr>
        <w:t>planificat sau</w:t>
      </w:r>
      <w:r w:rsidRPr="00D614E6">
        <w:t xml:space="preserve"> stabilit</w:t>
      </w:r>
      <w:r w:rsidRPr="00D614E6">
        <w:rPr>
          <w:b/>
          <w:i/>
        </w:rPr>
        <w:t>, în conformitate cu articolul 12 din Directiva (UE) 2023/1791</w:t>
      </w:r>
      <w:r w:rsidRPr="00D614E6">
        <w:t>;</w:t>
      </w:r>
    </w:p>
    <w:p w:rsidR="009719B6" w:rsidRPr="00D614E6" w:rsidRDefault="009719B6" w:rsidP="00AF7D5E">
      <w:pPr>
        <w:pStyle w:val="Point1"/>
        <w:tabs>
          <w:tab w:val="left" w:pos="1843"/>
        </w:tabs>
        <w:spacing w:line="360" w:lineRule="auto"/>
        <w:ind w:left="1843" w:hanging="425"/>
        <w:rPr>
          <w:noProof/>
        </w:rPr>
      </w:pPr>
      <w:r w:rsidRPr="00D614E6">
        <w:rPr>
          <w:b/>
          <w:i/>
        </w:rPr>
        <w:t xml:space="preserve">(ia) </w:t>
      </w:r>
      <w:r w:rsidRPr="00D614E6">
        <w:rPr>
          <w:b/>
          <w:i/>
        </w:rPr>
        <w:tab/>
        <w:t>viziunea și planurile entității-gazdă în ceea ce privește eficiența energetică și durabilitatea din punctul de vedere al mediului a supercalculatorului dedicat inteligenței artificiale, utilizând o abordare bazată pe ciclul de viață, disponibilitatea unui acces adecvat la energie curată și la prețuri accesibile, inclusiv prin contracte de achiziție de energie electrică care se pot baza pe energie din surse regenerabile, precum și pe utilizarea energiei electrice produse la nivel local</w:t>
      </w:r>
      <w:r w:rsidRPr="00D614E6">
        <w:t>;</w:t>
      </w:r>
    </w:p>
    <w:p w:rsidR="009719B6" w:rsidRPr="00D614E6" w:rsidRDefault="009719B6" w:rsidP="00AF7D5E">
      <w:pPr>
        <w:pStyle w:val="Point1"/>
        <w:tabs>
          <w:tab w:val="left" w:pos="1843"/>
        </w:tabs>
        <w:spacing w:line="360" w:lineRule="auto"/>
        <w:ind w:left="1843" w:hanging="425"/>
        <w:rPr>
          <w:noProof/>
        </w:rPr>
      </w:pPr>
      <w:r w:rsidRPr="00D614E6">
        <w:t>(ii)</w:t>
      </w:r>
      <w:r w:rsidRPr="00D614E6">
        <w:tab/>
        <w:t xml:space="preserve">viziunea, planurile și capacitatea entității-gazdă de a aborda provocările cu care se confruntă întreprinderile nou-înființate din domeniul inteligenței artificiale, ecosistemul de cercetare și inovare și comunitatea utilizatorilor de inteligență artificială, </w:t>
      </w:r>
      <w:r w:rsidRPr="00D614E6">
        <w:rPr>
          <w:b/>
          <w:i/>
        </w:rPr>
        <w:t xml:space="preserve">consolidând acest ecosistem prin promovarea </w:t>
      </w:r>
      <w:proofErr w:type="spellStart"/>
      <w:r w:rsidRPr="00D614E6">
        <w:rPr>
          <w:b/>
          <w:i/>
        </w:rPr>
        <w:t>sinergiilor</w:t>
      </w:r>
      <w:proofErr w:type="spellEnd"/>
      <w:r w:rsidRPr="00D614E6">
        <w:rPr>
          <w:b/>
          <w:i/>
        </w:rPr>
        <w:t xml:space="preserve"> și a inovării, inclusiv a investițiilor în viitoarele tehnologi, contribuind și</w:t>
      </w:r>
      <w:r w:rsidRPr="00D614E6">
        <w:t xml:space="preserve"> oferind un serviciu de </w:t>
      </w:r>
      <w:proofErr w:type="spellStart"/>
      <w:r w:rsidRPr="00D614E6">
        <w:t>supercalcul</w:t>
      </w:r>
      <w:proofErr w:type="spellEnd"/>
      <w:r w:rsidRPr="00D614E6">
        <w:t xml:space="preserve"> centralizat sau distribuit care să sprijine inteligența artificială;</w:t>
      </w:r>
    </w:p>
    <w:p w:rsidR="009719B6" w:rsidRPr="00D614E6" w:rsidRDefault="009719B6" w:rsidP="00AF7D5E">
      <w:pPr>
        <w:pStyle w:val="Point1"/>
        <w:tabs>
          <w:tab w:val="left" w:pos="1843"/>
        </w:tabs>
        <w:spacing w:line="360" w:lineRule="auto"/>
        <w:ind w:left="1843" w:hanging="425"/>
        <w:rPr>
          <w:noProof/>
        </w:rPr>
      </w:pPr>
      <w:r w:rsidRPr="00D614E6">
        <w:t>(iii)</w:t>
      </w:r>
      <w:r w:rsidRPr="00D614E6">
        <w:tab/>
        <w:t xml:space="preserve">calitatea și pertinența experienței și a know-how-ului disponibile în cadrul echipei avute în vedere, care ar fi responsabilă de mediul de servicii de </w:t>
      </w:r>
      <w:proofErr w:type="spellStart"/>
      <w:r w:rsidRPr="00D614E6">
        <w:t>supercalcul</w:t>
      </w:r>
      <w:proofErr w:type="spellEnd"/>
      <w:r w:rsidRPr="00D614E6">
        <w:t xml:space="preserve"> bazate pe inteligența artificială;</w:t>
      </w:r>
    </w:p>
    <w:p w:rsidR="009719B6" w:rsidRPr="00D614E6" w:rsidRDefault="009719B6" w:rsidP="00AF7D5E">
      <w:pPr>
        <w:pStyle w:val="Point1"/>
        <w:tabs>
          <w:tab w:val="left" w:pos="1843"/>
        </w:tabs>
        <w:spacing w:line="360" w:lineRule="auto"/>
        <w:ind w:left="1843" w:hanging="425"/>
        <w:rPr>
          <w:noProof/>
        </w:rPr>
      </w:pPr>
      <w:r w:rsidRPr="00D614E6">
        <w:t xml:space="preserve">(iv) planurile de interacțiune și cooperare cu alte fabrici de inteligență artificială, cu centrele de competență </w:t>
      </w:r>
      <w:proofErr w:type="spellStart"/>
      <w:r w:rsidRPr="00D614E6">
        <w:t>EuroHPC</w:t>
      </w:r>
      <w:proofErr w:type="spellEnd"/>
      <w:r w:rsidRPr="00D614E6">
        <w:t xml:space="preserve">, cu centrele de excelență </w:t>
      </w:r>
      <w:proofErr w:type="spellStart"/>
      <w:r w:rsidRPr="00D614E6">
        <w:t>EuroHPC</w:t>
      </w:r>
      <w:proofErr w:type="spellEnd"/>
      <w:r w:rsidRPr="00D614E6">
        <w:t xml:space="preserve"> și cu activitățile relevante din domeniul inteligenței artificiale, cum ar fi centrele de întreprinderi nou-înființate din domeniul inteligenței artificiale, ecosistemele de inteligență artificială și de date, instalațiile de testare și experimentare în domeniul inteligenței artificiale, Platforma centrală europeană de inteligență artificială, centrele de inovare digitală orientate către inteligența artificială și alte inițiative conexe;</w:t>
      </w:r>
    </w:p>
    <w:p w:rsidR="009719B6" w:rsidRPr="00D614E6" w:rsidRDefault="009719B6" w:rsidP="00AF7D5E">
      <w:pPr>
        <w:pStyle w:val="Point1"/>
        <w:tabs>
          <w:tab w:val="left" w:pos="1843"/>
        </w:tabs>
        <w:spacing w:line="360" w:lineRule="auto"/>
        <w:ind w:left="1843" w:hanging="425"/>
        <w:rPr>
          <w:noProof/>
        </w:rPr>
      </w:pPr>
      <w:r w:rsidRPr="00D614E6">
        <w:t xml:space="preserve">(v) capacitățile existente și planurile viitoare ale entității-gazdă de a contribui la dezvoltarea, </w:t>
      </w:r>
      <w:r w:rsidRPr="00D614E6">
        <w:rPr>
          <w:b/>
          <w:i/>
        </w:rPr>
        <w:t>atragerea, formarea și păstrarea</w:t>
      </w:r>
      <w:r w:rsidRPr="00D614E6">
        <w:t xml:space="preserve"> rezervei de talente </w:t>
      </w:r>
      <w:r w:rsidRPr="00D614E6">
        <w:rPr>
          <w:b/>
          <w:i/>
        </w:rPr>
        <w:t>și la crearea de aptitudini, capacități și competențe pentru utilizarea supercalculatoarelor, inclusiv sub formă de sprijin pentru întreprinderile nou-înființate prin programe destinate incubatoarelor de afaceri sau programe de accelerare.</w:t>
      </w:r>
      <w:r w:rsidRPr="00D614E6">
        <w:t>”;</w:t>
      </w:r>
    </w:p>
    <w:p w:rsidR="009719B6" w:rsidRPr="00D614E6" w:rsidRDefault="009719B6" w:rsidP="00AF7D5E">
      <w:pPr>
        <w:pStyle w:val="Point1"/>
        <w:spacing w:line="360" w:lineRule="auto"/>
        <w:rPr>
          <w:noProof/>
        </w:rPr>
      </w:pPr>
      <w:r w:rsidRPr="00D614E6">
        <w:rPr>
          <w:b/>
          <w:i/>
        </w:rPr>
        <w:t>(ga)</w:t>
      </w:r>
      <w:r w:rsidRPr="00D614E6">
        <w:rPr>
          <w:b/>
          <w:i/>
        </w:rPr>
        <w:tab/>
        <w:t>o entitate-gazdă existentă selectată de consiliul de conducere printr-un proces echitabil și transparent și în urma unei cereri de exprimare a interesului poate înființa o fabrică de inteligență artificială dacă ea îndeplinește criteriile menționate la articolul 9 alineatul (5) litera (g).</w:t>
      </w:r>
      <w:r w:rsidRPr="00D614E6">
        <w:t>”;</w:t>
      </w:r>
    </w:p>
    <w:p w:rsidR="009719B6" w:rsidRPr="00D614E6" w:rsidRDefault="009719B6" w:rsidP="00AF7D5E">
      <w:pPr>
        <w:pStyle w:val="Point0"/>
        <w:spacing w:line="360" w:lineRule="auto"/>
        <w:ind w:hanging="708"/>
        <w:rPr>
          <w:noProof/>
        </w:rPr>
      </w:pPr>
      <w:r w:rsidRPr="00D614E6">
        <w:t>5.</w:t>
      </w:r>
      <w:r w:rsidRPr="00D614E6">
        <w:tab/>
        <w:t>La articolul 9, se adaugă următorul alineat (6a):</w:t>
      </w:r>
    </w:p>
    <w:p w:rsidR="009719B6" w:rsidRPr="00D614E6" w:rsidRDefault="009719B6" w:rsidP="00AF7D5E">
      <w:pPr>
        <w:pStyle w:val="Point2"/>
        <w:spacing w:line="360" w:lineRule="auto"/>
        <w:ind w:left="1276" w:hanging="425"/>
        <w:rPr>
          <w:i/>
          <w:iCs/>
          <w:noProof/>
        </w:rPr>
      </w:pPr>
      <w:r w:rsidRPr="00D614E6">
        <w:rPr>
          <w:b/>
          <w:i/>
        </w:rPr>
        <w:t>„</w:t>
      </w:r>
      <w:r w:rsidRPr="00D614E6">
        <w:t xml:space="preserve">(6a) </w:t>
      </w:r>
      <w:r w:rsidRPr="00D614E6">
        <w:tab/>
        <w:t xml:space="preserve">În ceea ce privește supercalculatoarele dedicate inteligenței artificiale menționate la articolul 12a, </w:t>
      </w:r>
      <w:r w:rsidRPr="00D614E6">
        <w:rPr>
          <w:b/>
          <w:i/>
        </w:rPr>
        <w:t xml:space="preserve">precum și în ceea ce privește </w:t>
      </w:r>
      <w:proofErr w:type="spellStart"/>
      <w:r w:rsidRPr="00D614E6">
        <w:rPr>
          <w:b/>
          <w:i/>
        </w:rPr>
        <w:t>supercomputerele</w:t>
      </w:r>
      <w:proofErr w:type="spellEnd"/>
      <w:r w:rsidRPr="00D614E6">
        <w:rPr>
          <w:b/>
          <w:i/>
        </w:rPr>
        <w:t xml:space="preserve"> </w:t>
      </w:r>
      <w:proofErr w:type="spellStart"/>
      <w:r w:rsidRPr="00D614E6">
        <w:rPr>
          <w:b/>
          <w:i/>
        </w:rPr>
        <w:t>EuroHPC</w:t>
      </w:r>
      <w:proofErr w:type="spellEnd"/>
      <w:r w:rsidRPr="00D614E6">
        <w:rPr>
          <w:b/>
          <w:i/>
        </w:rPr>
        <w:t xml:space="preserve"> menționate la articolele 11, 12, 12a, 14 și 15,</w:t>
      </w:r>
      <w:r w:rsidRPr="00D614E6">
        <w:t xml:space="preserve"> </w:t>
      </w:r>
      <w:r w:rsidRPr="00D614E6">
        <w:rPr>
          <w:b/>
          <w:i/>
        </w:rPr>
        <w:t>entitățile-gazdă</w:t>
      </w:r>
      <w:r w:rsidRPr="00D614E6">
        <w:t xml:space="preserve"> creează un ghișeu unic pentru întreprinderile nou-înființate</w:t>
      </w:r>
      <w:r w:rsidRPr="00D614E6">
        <w:rPr>
          <w:b/>
          <w:i/>
        </w:rPr>
        <w:t>, întreprinderile în curs de extindere, IMM-uri</w:t>
      </w:r>
      <w:r w:rsidRPr="00D614E6">
        <w:t xml:space="preserve"> și alți utilizatori, pentru a facilita accesul la serviciile sale de asistență</w:t>
      </w:r>
      <w:r w:rsidRPr="00D614E6">
        <w:rPr>
          <w:b/>
          <w:i/>
        </w:rPr>
        <w:t xml:space="preserve"> și pentru a sprijini dezvoltarea aptitudinilor și competențelor acestora</w:t>
      </w:r>
      <w:r w:rsidRPr="00D614E6">
        <w:t>.”</w:t>
      </w:r>
    </w:p>
    <w:p w:rsidR="009719B6" w:rsidRPr="00D614E6" w:rsidRDefault="009719B6" w:rsidP="00AF7D5E">
      <w:pPr>
        <w:pStyle w:val="Point0"/>
        <w:spacing w:line="360" w:lineRule="auto"/>
        <w:rPr>
          <w:noProof/>
        </w:rPr>
      </w:pPr>
      <w:r w:rsidRPr="00D614E6">
        <w:t>6.</w:t>
      </w:r>
      <w:r w:rsidRPr="00D614E6">
        <w:tab/>
        <w:t>la articolul 10 alineatul (2), litera (l) se înlocuiește cu următorul text:</w:t>
      </w:r>
    </w:p>
    <w:p w:rsidR="009719B6" w:rsidRPr="00D614E6" w:rsidRDefault="009719B6" w:rsidP="00AF7D5E">
      <w:pPr>
        <w:pStyle w:val="Point2"/>
        <w:spacing w:line="360" w:lineRule="auto"/>
        <w:ind w:left="1276" w:hanging="425"/>
        <w:rPr>
          <w:i/>
          <w:iCs/>
          <w:noProof/>
        </w:rPr>
      </w:pPr>
      <w:r w:rsidRPr="00D614E6">
        <w:t xml:space="preserve">„(l) </w:t>
      </w:r>
      <w:r w:rsidRPr="00D614E6">
        <w:tab/>
        <w:t xml:space="preserve">condițiile specifice aplicabile în cazul în care entitatea-gazdă exploatează un supercalculator </w:t>
      </w:r>
      <w:proofErr w:type="spellStart"/>
      <w:r w:rsidRPr="00D614E6">
        <w:t>EuroHPC</w:t>
      </w:r>
      <w:proofErr w:type="spellEnd"/>
      <w:r w:rsidRPr="00D614E6">
        <w:t xml:space="preserve"> destinat utilizării industriale</w:t>
      </w:r>
      <w:r w:rsidRPr="00D614E6">
        <w:rPr>
          <w:b/>
          <w:bCs/>
          <w:i/>
          <w:iCs/>
        </w:rPr>
        <w:t>,</w:t>
      </w:r>
      <w:r w:rsidRPr="00D614E6">
        <w:t xml:space="preserve"> un supercalculator dedicat inteligenței artificiale </w:t>
      </w:r>
      <w:r w:rsidRPr="00D614E6">
        <w:rPr>
          <w:b/>
          <w:i/>
        </w:rPr>
        <w:t xml:space="preserve">sau un supercalculator </w:t>
      </w:r>
      <w:proofErr w:type="spellStart"/>
      <w:r w:rsidRPr="00D614E6">
        <w:rPr>
          <w:b/>
          <w:i/>
        </w:rPr>
        <w:t>EuroHPC</w:t>
      </w:r>
      <w:proofErr w:type="spellEnd"/>
      <w:r w:rsidRPr="00D614E6">
        <w:rPr>
          <w:b/>
          <w:i/>
        </w:rPr>
        <w:t xml:space="preserve"> existent îmbunătățit cu capacități de inteligență artificială</w:t>
      </w:r>
      <w:r w:rsidRPr="00D614E6">
        <w:t>”;</w:t>
      </w:r>
    </w:p>
    <w:p w:rsidR="009719B6" w:rsidRPr="00D614E6" w:rsidRDefault="009719B6" w:rsidP="00AF7D5E">
      <w:pPr>
        <w:pStyle w:val="Point0"/>
        <w:spacing w:line="360" w:lineRule="auto"/>
        <w:rPr>
          <w:noProof/>
        </w:rPr>
      </w:pPr>
      <w:r w:rsidRPr="00D614E6">
        <w:t>7.</w:t>
      </w:r>
      <w:r w:rsidRPr="00D614E6">
        <w:tab/>
        <w:t>se introduce următorul articol 12a:</w:t>
      </w:r>
    </w:p>
    <w:p w:rsidR="009719B6" w:rsidRPr="00D614E6" w:rsidRDefault="009719B6" w:rsidP="00AF7D5E">
      <w:pPr>
        <w:pStyle w:val="Point2"/>
        <w:spacing w:line="360" w:lineRule="auto"/>
        <w:ind w:left="720" w:firstLine="0"/>
        <w:jc w:val="left"/>
        <w:rPr>
          <w:noProof/>
        </w:rPr>
      </w:pPr>
      <w:r w:rsidRPr="00D614E6">
        <w:t>„</w:t>
      </w:r>
      <w:r w:rsidRPr="00D614E6">
        <w:rPr>
          <w:i/>
        </w:rPr>
        <w:t>Articolul 12a</w:t>
      </w:r>
      <w:r w:rsidRPr="00D614E6">
        <w:br/>
        <w:t>Achiziționarea supercalculatoarelor dedicate inteligenței artificiale și dreptul de proprietate asupra lor</w:t>
      </w:r>
    </w:p>
    <w:p w:rsidR="009719B6" w:rsidRPr="00D614E6" w:rsidRDefault="009719B6" w:rsidP="00AF7D5E">
      <w:pPr>
        <w:pStyle w:val="ManualNumPar1"/>
        <w:spacing w:line="360" w:lineRule="auto"/>
        <w:ind w:left="1570"/>
        <w:rPr>
          <w:noProof/>
        </w:rPr>
      </w:pPr>
      <w:r w:rsidRPr="00D614E6">
        <w:t>(1)</w:t>
      </w:r>
      <w:r w:rsidRPr="00D614E6">
        <w:tab/>
        <w:t>Întreprinderea comună achiziționează supercalculatoarele dedicate inteligenței artificiale și este proprietara acestora.</w:t>
      </w:r>
    </w:p>
    <w:p w:rsidR="009719B6" w:rsidRPr="00D614E6" w:rsidRDefault="009719B6" w:rsidP="00AF7D5E">
      <w:pPr>
        <w:pStyle w:val="ManualNumPar1"/>
        <w:spacing w:line="360" w:lineRule="auto"/>
        <w:ind w:left="1570"/>
        <w:rPr>
          <w:noProof/>
        </w:rPr>
      </w:pPr>
      <w:r w:rsidRPr="00D614E6">
        <w:t>(2)</w:t>
      </w:r>
      <w:r w:rsidRPr="00D614E6">
        <w:tab/>
        <w:t>Contribuția financiară a Uniunii menționată la articolul 5 alineatul (1) acoperă până la 50 % din costurile de achiziționare plus până la 50 % din costurile de funcționare ale supercalculatoarelor dedicate inteligenței artificiale.</w:t>
      </w:r>
    </w:p>
    <w:p w:rsidR="009719B6" w:rsidRPr="00D614E6" w:rsidRDefault="009719B6" w:rsidP="00AF7D5E">
      <w:pPr>
        <w:pStyle w:val="Text1"/>
        <w:spacing w:line="360" w:lineRule="auto"/>
        <w:ind w:left="1570"/>
        <w:rPr>
          <w:noProof/>
        </w:rPr>
      </w:pPr>
      <w:r w:rsidRPr="00D614E6">
        <w:t>Partea rămasă din costul total al deținerii supercalculatoarelor dedicate inteligenței artificiale este acoperită de statul participant în care este stabilită entitatea-gazdă sau de statele participante din consorțiul-gazdă, aceasta fiind eventual completată cu contribuțiile menționate la articolul 6.</w:t>
      </w:r>
    </w:p>
    <w:p w:rsidR="009719B6" w:rsidRPr="00D614E6" w:rsidRDefault="009719B6" w:rsidP="00AF7D5E">
      <w:pPr>
        <w:pStyle w:val="ManualNumPar1"/>
        <w:spacing w:line="360" w:lineRule="auto"/>
        <w:ind w:left="1570"/>
        <w:rPr>
          <w:noProof/>
        </w:rPr>
      </w:pPr>
      <w:r w:rsidRPr="00D614E6">
        <w:t>(3)</w:t>
      </w:r>
      <w:r w:rsidRPr="00D614E6">
        <w:tab/>
        <w:t>Selectarea furnizorului unui supercalculator dedicat inteligenței artificiale se bazează pe caietul de sarcini, care este bazat pe cerere și ține seama de cerințele utilizatorilor și de specificațiile generale ale sistemului furnizate de entitatea-gazdă selectată în candidatura sa depusă în urma cererii de exprimare a interesului. La selectare se ține seama, de asemenea, de securitatea lanțului de aprovizionare.</w:t>
      </w:r>
    </w:p>
    <w:p w:rsidR="009719B6" w:rsidRPr="00D614E6" w:rsidRDefault="009719B6" w:rsidP="00AF7D5E">
      <w:pPr>
        <w:pStyle w:val="ManualNumPar1"/>
        <w:spacing w:line="360" w:lineRule="auto"/>
        <w:ind w:left="1570"/>
        <w:rPr>
          <w:noProof/>
        </w:rPr>
      </w:pPr>
      <w:r w:rsidRPr="00D614E6">
        <w:t>(4)</w:t>
      </w:r>
      <w:r w:rsidRPr="00D614E6">
        <w:tab/>
        <w:t>Întreprinderea comună poate acționa ca prim utilizator al supercalculatoarelor dedicate inteligenței artificiale care integrează tehnologii dezvoltate în principal în Uniune.</w:t>
      </w:r>
    </w:p>
    <w:p w:rsidR="009719B6" w:rsidRPr="00D614E6" w:rsidRDefault="009719B6" w:rsidP="00AF7D5E">
      <w:pPr>
        <w:pStyle w:val="ManualNumPar1"/>
        <w:spacing w:line="360" w:lineRule="auto"/>
        <w:ind w:left="1570"/>
        <w:rPr>
          <w:noProof/>
        </w:rPr>
      </w:pPr>
      <w:r w:rsidRPr="00D614E6">
        <w:t>(5)</w:t>
      </w:r>
      <w:r w:rsidRPr="00D614E6">
        <w:tab/>
        <w:t>Consiliul de conducere poate decide în programul de lucru, dacă acest lucru este justificat în mod corespunzător din motive de securitate, să condiționeze participarea furnizorilor la achiziționarea supercalculatoarelor dedicate inteligenței artificiale în conformitate cu articolul 12 alineatul (6) din Regulamentul (UE) 2021/694 sau să limiteze participarea furnizorilor din motive de securitate ori în cazul acțiunilor direct legate de autonomia strategică a Uniunii, în conformitate cu articolul 18 alineatul (4) din regulamentul menționat.</w:t>
      </w:r>
    </w:p>
    <w:p w:rsidR="009719B6" w:rsidRPr="00D614E6" w:rsidRDefault="009719B6" w:rsidP="00AF7D5E">
      <w:pPr>
        <w:pStyle w:val="ManualNumPar1"/>
        <w:spacing w:line="360" w:lineRule="auto"/>
        <w:ind w:left="1570"/>
        <w:rPr>
          <w:noProof/>
        </w:rPr>
      </w:pPr>
      <w:r w:rsidRPr="00D614E6">
        <w:t>(6)</w:t>
      </w:r>
      <w:r w:rsidRPr="00D614E6">
        <w:tab/>
        <w:t xml:space="preserve">Calculatoarele dedicate inteligenței artificiale sunt amplasate într-o entitate-gazdă a unui supercalculator </w:t>
      </w:r>
      <w:proofErr w:type="spellStart"/>
      <w:r w:rsidRPr="00D614E6">
        <w:t>EuroHPC</w:t>
      </w:r>
      <w:proofErr w:type="spellEnd"/>
      <w:r w:rsidRPr="00D614E6">
        <w:t xml:space="preserve"> situat în Uniune. </w:t>
      </w:r>
    </w:p>
    <w:p w:rsidR="009719B6" w:rsidRPr="00D614E6" w:rsidRDefault="009719B6" w:rsidP="00AF7D5E">
      <w:pPr>
        <w:pStyle w:val="ManualNumPar1"/>
        <w:spacing w:line="360" w:lineRule="auto"/>
        <w:ind w:left="1570"/>
        <w:rPr>
          <w:noProof/>
        </w:rPr>
      </w:pPr>
      <w:r w:rsidRPr="00D614E6">
        <w:t>(7)</w:t>
      </w:r>
      <w:r w:rsidRPr="00D614E6">
        <w:tab/>
        <w:t xml:space="preserve">Fără a aduce atingere lichidării întreprinderii comune, astfel cum se menționează la articolul 23 alineatul (4) din statut, la cel puțin </w:t>
      </w:r>
      <w:r w:rsidRPr="00D614E6">
        <w:rPr>
          <w:b/>
          <w:i/>
        </w:rPr>
        <w:t>cinci</w:t>
      </w:r>
      <w:r w:rsidRPr="00D614E6">
        <w:t xml:space="preserve"> ani de la încheierea cu succes a testului de acceptanță privind calculatorul dedicat inteligenței artificiale instalat într-o entitate-gazdă, dreptul de proprietate asupra calculatorului dedicat inteligenței artificiale poate fi transferat entității-gazdă respective sau vândut unei alte entități ori calculatorul dedicat inteligenței artificiale poate fi dezafectat, la decizia consiliului de conducere și în conformitate cu acordul de găzduire. În cazul transferului dreptului de proprietate asupra unui supercalculator dedicat inteligenței artificiale, entitatea-gazdă rambursează întreprinderii comune valoarea reziduală a supercalculatorului transferat. În cazul în care nu are loc transferul dreptului de proprietate către entitatea-gazdă, ci este luată o decizie de dezafectare, costurile relevante se împart în mod egal între întreprinderea comună și entitatea-gazdă. Întreprinderea comună nu este răspunzătoare pentru costurile ocazionate după transferul dreptului de proprietate asupra unui supercalculator dedicat inteligenței artificiale sau după vânzarea ori dezafectarea acestuia.”</w:t>
      </w:r>
    </w:p>
    <w:p w:rsidR="009719B6" w:rsidRPr="00D614E6" w:rsidRDefault="009719B6" w:rsidP="00AF7D5E">
      <w:pPr>
        <w:pStyle w:val="Point0"/>
        <w:spacing w:line="360" w:lineRule="auto"/>
        <w:rPr>
          <w:noProof/>
        </w:rPr>
      </w:pPr>
      <w:r w:rsidRPr="00D614E6">
        <w:t>8.</w:t>
      </w:r>
      <w:r w:rsidRPr="00D614E6">
        <w:tab/>
        <w:t>Articolul 15 se modifică după cum urmează:</w:t>
      </w:r>
    </w:p>
    <w:p w:rsidR="009719B6" w:rsidRPr="00D614E6" w:rsidRDefault="009719B6" w:rsidP="00AF7D5E">
      <w:pPr>
        <w:pStyle w:val="Point0"/>
        <w:spacing w:line="360" w:lineRule="auto"/>
        <w:ind w:left="1700"/>
        <w:rPr>
          <w:noProof/>
        </w:rPr>
      </w:pPr>
      <w:r w:rsidRPr="00D614E6">
        <w:t>(a)</w:t>
      </w:r>
      <w:r w:rsidRPr="00D614E6">
        <w:tab/>
        <w:t>alineatul (1) se înlocuiește cu următorul text:</w:t>
      </w:r>
    </w:p>
    <w:p w:rsidR="009719B6" w:rsidRPr="00D614E6" w:rsidRDefault="009719B6" w:rsidP="00AF7D5E">
      <w:pPr>
        <w:pStyle w:val="Text1"/>
        <w:spacing w:line="360" w:lineRule="auto"/>
        <w:ind w:left="2160" w:hanging="590"/>
        <w:rPr>
          <w:noProof/>
        </w:rPr>
      </w:pPr>
      <w:r w:rsidRPr="00D614E6">
        <w:t xml:space="preserve">„(1) </w:t>
      </w:r>
      <w:r w:rsidRPr="00D614E6">
        <w:tab/>
        <w:t xml:space="preserve">Întreprinderea comună poate lansa o cerere de exprimare a interesului pentru modernizarea supercalculatoarelor </w:t>
      </w:r>
      <w:proofErr w:type="spellStart"/>
      <w:r w:rsidRPr="00D614E6">
        <w:t>EuroHPC</w:t>
      </w:r>
      <w:proofErr w:type="spellEnd"/>
      <w:r w:rsidRPr="00D614E6">
        <w:t xml:space="preserve"> pe care le deține integral sau în coproprietate, pentru a ridica nivelul de performanță al supercalculatorului aproape de </w:t>
      </w:r>
      <w:proofErr w:type="spellStart"/>
      <w:r w:rsidRPr="00D614E6">
        <w:t>exascale</w:t>
      </w:r>
      <w:proofErr w:type="spellEnd"/>
      <w:r w:rsidRPr="00D614E6">
        <w:t xml:space="preserve"> sau pentru a spori capacitățile în materie de inteligență artificială ale supercalculatorului ori pentru a crește performanța operațională a supercalculatorului în orice alt mod, inclusiv cu acceleratoare cuantice.”; alineatul (2) se elimină;</w:t>
      </w:r>
    </w:p>
    <w:p w:rsidR="009719B6" w:rsidRPr="00D614E6" w:rsidRDefault="009719B6" w:rsidP="00AF7D5E">
      <w:pPr>
        <w:pStyle w:val="Point0"/>
        <w:spacing w:line="360" w:lineRule="auto"/>
        <w:ind w:left="1700"/>
        <w:rPr>
          <w:noProof/>
        </w:rPr>
      </w:pPr>
      <w:r w:rsidRPr="00D614E6">
        <w:t>(b)</w:t>
      </w:r>
      <w:r w:rsidRPr="00D614E6">
        <w:tab/>
        <w:t>alineatul (5) se înlocuiește cu următorul text:</w:t>
      </w:r>
    </w:p>
    <w:p w:rsidR="009719B6" w:rsidRPr="00D614E6" w:rsidRDefault="009719B6" w:rsidP="00AF7D5E">
      <w:pPr>
        <w:pStyle w:val="Text1"/>
        <w:spacing w:line="360" w:lineRule="auto"/>
        <w:ind w:left="2160" w:hanging="590"/>
        <w:rPr>
          <w:noProof/>
        </w:rPr>
      </w:pPr>
      <w:r w:rsidRPr="00D614E6">
        <w:t>„(5)</w:t>
      </w:r>
      <w:r w:rsidRPr="00D614E6">
        <w:tab/>
        <w:t xml:space="preserve">Procentajul din contribuția financiară a Uniunii la costurile de achiziție legate de modernizare este egal cu procentajul contribuției financiare a Uniunii pentru supercalculatorul </w:t>
      </w:r>
      <w:proofErr w:type="spellStart"/>
      <w:r w:rsidRPr="00D614E6">
        <w:t>EuroHPC</w:t>
      </w:r>
      <w:proofErr w:type="spellEnd"/>
      <w:r w:rsidRPr="00D614E6">
        <w:t xml:space="preserve"> inițial, amortizat pe durata de viață rămasă preconizată a supercalculatorului inițial. Procentajul din contribuția financiară a Uniunii la costurile de funcționare suplimentare legate de modernizare este egal cu procentajul contribuției financiare a Uniunii pentru supercalculatorul </w:t>
      </w:r>
      <w:proofErr w:type="spellStart"/>
      <w:r w:rsidRPr="00D614E6">
        <w:t>EuroHPC</w:t>
      </w:r>
      <w:proofErr w:type="spellEnd"/>
      <w:r w:rsidRPr="00D614E6">
        <w:t xml:space="preserve"> inițial.”;</w:t>
      </w:r>
    </w:p>
    <w:p w:rsidR="009719B6" w:rsidRPr="00D614E6" w:rsidRDefault="009719B6" w:rsidP="00AF7D5E">
      <w:pPr>
        <w:pStyle w:val="Point0"/>
        <w:spacing w:line="360" w:lineRule="auto"/>
        <w:rPr>
          <w:noProof/>
        </w:rPr>
      </w:pPr>
      <w:r w:rsidRPr="00D614E6">
        <w:t>9.</w:t>
      </w:r>
      <w:r w:rsidRPr="00D614E6">
        <w:tab/>
        <w:t>Articolul 16 se modifică după cum urmează:</w:t>
      </w:r>
    </w:p>
    <w:p w:rsidR="009719B6" w:rsidRPr="00D614E6" w:rsidRDefault="009719B6" w:rsidP="00AF7D5E">
      <w:pPr>
        <w:pStyle w:val="Point0"/>
        <w:spacing w:line="360" w:lineRule="auto"/>
        <w:ind w:left="1700"/>
        <w:rPr>
          <w:noProof/>
        </w:rPr>
      </w:pPr>
      <w:r w:rsidRPr="00D614E6">
        <w:t>(a)</w:t>
      </w:r>
      <w:r w:rsidRPr="00D614E6">
        <w:tab/>
        <w:t>se introduce următorul alineat (1b):</w:t>
      </w:r>
    </w:p>
    <w:p w:rsidR="009719B6" w:rsidRPr="00D614E6" w:rsidRDefault="009719B6" w:rsidP="00AF7D5E">
      <w:pPr>
        <w:pStyle w:val="Text1"/>
        <w:spacing w:line="360" w:lineRule="auto"/>
        <w:ind w:left="2160" w:hanging="590"/>
        <w:rPr>
          <w:i/>
          <w:iCs/>
          <w:noProof/>
        </w:rPr>
      </w:pPr>
      <w:r w:rsidRPr="00D614E6">
        <w:t xml:space="preserve">„(1b) </w:t>
      </w:r>
      <w:r w:rsidRPr="00D614E6">
        <w:tab/>
        <w:t xml:space="preserve">Supercalculatoarele dedicate inteligenței artificiale și supercalculatoarele </w:t>
      </w:r>
      <w:proofErr w:type="spellStart"/>
      <w:r w:rsidRPr="00D614E6">
        <w:t>EuroHPC</w:t>
      </w:r>
      <w:proofErr w:type="spellEnd"/>
      <w:r w:rsidRPr="00D614E6">
        <w:t xml:space="preserve"> modernizate care sunt dotate cu capacități de inteligență artificială sunt utilizate în principal pentru dezvoltarea, testarea, evaluarea și validarea modelelor de antrenare a inteligenței artificiale de uz general și de mari dimensiuni și a aplicațiilor emergente de inteligență artificială, precum și pentru dezvoltarea în continuare a soluțiilor de inteligență artificială în Uniune care necesită calcul de înaltă performanță și executarea unor algoritmi de inteligență artificială la scară largă pentru soluționarea problemelor științifice.”;</w:t>
      </w:r>
    </w:p>
    <w:p w:rsidR="009719B6" w:rsidRPr="00D614E6" w:rsidRDefault="009719B6" w:rsidP="00AF7D5E">
      <w:pPr>
        <w:pStyle w:val="Point0"/>
        <w:spacing w:line="360" w:lineRule="auto"/>
        <w:ind w:left="1700"/>
        <w:rPr>
          <w:noProof/>
        </w:rPr>
      </w:pPr>
      <w:r w:rsidRPr="00D614E6">
        <w:t>(b)</w:t>
      </w:r>
      <w:r w:rsidRPr="00D614E6">
        <w:tab/>
        <w:t>se introduce următorul alineat (2b):</w:t>
      </w:r>
    </w:p>
    <w:p w:rsidR="009719B6" w:rsidRPr="00D614E6" w:rsidRDefault="009719B6" w:rsidP="00AF7D5E">
      <w:pPr>
        <w:pStyle w:val="Text1"/>
        <w:spacing w:line="360" w:lineRule="auto"/>
        <w:ind w:left="2160" w:hanging="590"/>
        <w:rPr>
          <w:noProof/>
        </w:rPr>
      </w:pPr>
      <w:r w:rsidRPr="00D614E6">
        <w:t xml:space="preserve">„(2b) </w:t>
      </w:r>
      <w:r w:rsidRPr="00D614E6">
        <w:tab/>
        <w:t xml:space="preserve">Consiliul de conducere definește condițiile ▌de acces la supercalculatoarele dedicate inteligenței artificiale și supercalculatoarele </w:t>
      </w:r>
      <w:proofErr w:type="spellStart"/>
      <w:r w:rsidRPr="00D614E6">
        <w:t>EuroHPC</w:t>
      </w:r>
      <w:proofErr w:type="spellEnd"/>
      <w:r w:rsidRPr="00D614E6">
        <w:t xml:space="preserve"> modernizate care sunt dotate cu capacități de inteligență artificială în conformitate cu articolul 17, ținând seama de nevoile specifice ale întreprinderilor nou-înființate și ale ecosistemului de cercetare în domeniul inteligenței artificiale. </w:t>
      </w:r>
      <w:r w:rsidRPr="00D614E6">
        <w:rPr>
          <w:b/>
          <w:i/>
        </w:rPr>
        <w:t xml:space="preserve">Consiliul de conducere poate defini condiții de acces specifice pentru diferite tipuri de utilizatori sau aplicații, inclusiv accesul </w:t>
      </w:r>
      <w:r w:rsidRPr="00D614E6">
        <w:t xml:space="preserve">specific </w:t>
      </w:r>
      <w:r w:rsidRPr="00D614E6">
        <w:rPr>
          <w:b/>
          <w:i/>
        </w:rPr>
        <w:t>pentru întreprinderile nou-înființate, întreprinderile în curs de extindere și IMM-uri. Securitatea și calitatea serviciului sunt aceleași pentru toți utilizatorii din fiecare categorie de utilizatori</w:t>
      </w:r>
      <w:r w:rsidRPr="00D614E6">
        <w:t xml:space="preserve">. Numai propunerile de dezvoltare a unor modele, sisteme și aplicații de inteligență artificială de încredere și etice care sunt conforme cu </w:t>
      </w:r>
      <w:r w:rsidRPr="00D614E6">
        <w:rPr>
          <w:b/>
          <w:i/>
        </w:rPr>
        <w:t>normele și</w:t>
      </w:r>
      <w:r w:rsidRPr="00D614E6">
        <w:t xml:space="preserve"> valorile </w:t>
      </w:r>
      <w:r w:rsidRPr="00D614E6">
        <w:rPr>
          <w:b/>
          <w:i/>
        </w:rPr>
        <w:t>Uniunii</w:t>
      </w:r>
      <w:r w:rsidRPr="00D614E6">
        <w:t xml:space="preserve">, </w:t>
      </w:r>
      <w:r w:rsidRPr="00D614E6">
        <w:rPr>
          <w:b/>
          <w:i/>
        </w:rPr>
        <w:t>în special cu cele consacrate la articolul 2 din Tratatul privind Uniunea Europeană și în Carta drepturilor fundamentale a Uniunii Europene,</w:t>
      </w:r>
      <w:r w:rsidRPr="00D614E6">
        <w:t xml:space="preserve"> sunt eligibile pentru acces. </w:t>
      </w:r>
      <w:r w:rsidRPr="00D614E6">
        <w:rPr>
          <w:b/>
          <w:i/>
        </w:rPr>
        <w:t>Criteriile de acces, metodologiile și orientările privind stabilirea priorităților în materie de acces vor fi definite în conformitate cu abordarea privind etica de la stadiul conceperii pentru inteligența artificială și cu sprijinul mecanismului de evaluare etică al programului Orizont Europa</w:t>
      </w:r>
      <w:r w:rsidRPr="00D614E6">
        <w:t>.”</w:t>
      </w:r>
    </w:p>
    <w:p w:rsidR="009719B6" w:rsidRPr="00D614E6" w:rsidRDefault="009719B6" w:rsidP="00AF7D5E">
      <w:pPr>
        <w:pStyle w:val="Point0"/>
        <w:spacing w:line="360" w:lineRule="auto"/>
        <w:rPr>
          <w:noProof/>
        </w:rPr>
      </w:pPr>
      <w:r w:rsidRPr="00D614E6">
        <w:t>10.</w:t>
      </w:r>
      <w:r w:rsidRPr="00D614E6">
        <w:tab/>
        <w:t>articolul 17 alineatul (1) se înlocuiește cu următorul text:</w:t>
      </w:r>
    </w:p>
    <w:p w:rsidR="009719B6" w:rsidRPr="00D614E6" w:rsidRDefault="009719B6" w:rsidP="00D614E6">
      <w:pPr>
        <w:pStyle w:val="Text1"/>
        <w:spacing w:line="360" w:lineRule="auto"/>
        <w:ind w:left="1440" w:hanging="720"/>
        <w:jc w:val="center"/>
        <w:rPr>
          <w:noProof/>
        </w:rPr>
      </w:pPr>
      <w:r w:rsidRPr="00D614E6">
        <w:t xml:space="preserve">„(1) </w:t>
      </w:r>
      <w:r w:rsidRPr="00D614E6">
        <w:tab/>
        <w:t xml:space="preserve">Cota care îi revine Uniunii din perioada de accesare a fiecărui supercalculator </w:t>
      </w:r>
      <w:proofErr w:type="spellStart"/>
      <w:r w:rsidRPr="00D614E6">
        <w:t>EuroHPC</w:t>
      </w:r>
      <w:proofErr w:type="spellEnd"/>
      <w:r w:rsidRPr="00D614E6">
        <w:t xml:space="preserve"> cu capacități de vârf, cuantic și dedicat inteligenței artificiale este direct proporțională cu contribuția financiară a Uniunii la costul total al deținerii supercalculatorului </w:t>
      </w:r>
      <w:proofErr w:type="spellStart"/>
      <w:r w:rsidRPr="00D614E6">
        <w:t>EuroHPC</w:t>
      </w:r>
      <w:proofErr w:type="spellEnd"/>
      <w:r w:rsidRPr="00D614E6">
        <w:t xml:space="preserve">, menționată la articolul 5 alineatul (1), și, ca atare, nu poate depăși 50 % din perioada totală de accesare a fiecărui supercalculator </w:t>
      </w:r>
      <w:proofErr w:type="spellStart"/>
      <w:r w:rsidRPr="00D614E6">
        <w:t>EuroHPC</w:t>
      </w:r>
      <w:proofErr w:type="spellEnd"/>
      <w:r w:rsidRPr="00D614E6">
        <w:t>.”</w:t>
      </w:r>
    </w:p>
    <w:p w:rsidR="009719B6" w:rsidRPr="00D614E6" w:rsidRDefault="009719B6" w:rsidP="00AF7D5E">
      <w:pPr>
        <w:pStyle w:val="Titrearticle"/>
        <w:spacing w:before="120" w:line="360" w:lineRule="auto"/>
        <w:rPr>
          <w:noProof/>
        </w:rPr>
      </w:pPr>
      <w:r w:rsidRPr="00D614E6">
        <w:tab/>
        <w:t>Articolul 2</w:t>
      </w:r>
    </w:p>
    <w:p w:rsidR="009719B6" w:rsidRPr="00D614E6" w:rsidRDefault="009719B6" w:rsidP="00AF7D5E">
      <w:pPr>
        <w:spacing w:before="120" w:after="120" w:line="360" w:lineRule="auto"/>
        <w:rPr>
          <w:noProof/>
        </w:rPr>
      </w:pPr>
      <w:r w:rsidRPr="00D614E6">
        <w:t xml:space="preserve">Prezentul regulament intră în vigoare în a douăzecea zi de la data publicării în </w:t>
      </w:r>
      <w:r w:rsidRPr="00D614E6">
        <w:rPr>
          <w:i/>
        </w:rPr>
        <w:t>Jurnalul Oficial al Uniunii Europene</w:t>
      </w:r>
      <w:r w:rsidRPr="00D614E6">
        <w:t>.</w:t>
      </w:r>
    </w:p>
    <w:p w:rsidR="009719B6" w:rsidRPr="00D614E6" w:rsidRDefault="009719B6" w:rsidP="00AF7D5E">
      <w:pPr>
        <w:pStyle w:val="Applicationdirecte"/>
        <w:spacing w:before="120" w:line="360" w:lineRule="auto"/>
        <w:rPr>
          <w:noProof/>
        </w:rPr>
      </w:pPr>
      <w:r w:rsidRPr="00D614E6">
        <w:t>Prezentul regulament este obligatoriu în toate elementele sale și se aplică direct în toate statele membre.</w:t>
      </w:r>
    </w:p>
    <w:p w:rsidR="009719B6" w:rsidRPr="00D614E6" w:rsidRDefault="009719B6" w:rsidP="00AF7D5E">
      <w:pPr>
        <w:pStyle w:val="Fait"/>
        <w:spacing w:after="120" w:line="360" w:lineRule="auto"/>
        <w:rPr>
          <w:noProof/>
        </w:rPr>
      </w:pPr>
      <w:r w:rsidRPr="00D614E6">
        <w:t>Adoptat la ...,</w:t>
      </w:r>
    </w:p>
    <w:p w:rsidR="009719B6" w:rsidRPr="00D614E6" w:rsidRDefault="009719B6" w:rsidP="00AF7D5E">
      <w:pPr>
        <w:pStyle w:val="Institutionquisigne"/>
        <w:spacing w:before="120" w:after="120" w:line="360" w:lineRule="auto"/>
        <w:rPr>
          <w:noProof/>
        </w:rPr>
      </w:pPr>
      <w:r w:rsidRPr="00D614E6">
        <w:tab/>
        <w:t>Pentru Consiliu,</w:t>
      </w:r>
    </w:p>
    <w:p w:rsidR="009719B6" w:rsidRPr="00D614E6" w:rsidRDefault="009719B6" w:rsidP="00AF7D5E">
      <w:pPr>
        <w:pStyle w:val="Personnequisigne"/>
        <w:spacing w:before="120" w:after="120" w:line="360" w:lineRule="auto"/>
        <w:jc w:val="both"/>
        <w:rPr>
          <w:noProof/>
        </w:rPr>
      </w:pPr>
      <w:r w:rsidRPr="00D614E6">
        <w:tab/>
        <w:t>Președintele</w:t>
      </w:r>
    </w:p>
    <w:p w:rsidR="009719B6" w:rsidRPr="00D614E6" w:rsidRDefault="009719B6" w:rsidP="009719B6">
      <w:pPr>
        <w:pStyle w:val="Personnequisigne"/>
        <w:jc w:val="both"/>
        <w:rPr>
          <w:noProof/>
        </w:rPr>
      </w:pPr>
    </w:p>
    <w:sectPr w:rsidR="009719B6" w:rsidRPr="00D614E6" w:rsidSect="00895C2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7093" w:rsidRPr="00895C26" w:rsidRDefault="006E7093">
      <w:r w:rsidRPr="00895C26">
        <w:separator/>
      </w:r>
    </w:p>
  </w:endnote>
  <w:endnote w:type="continuationSeparator" w:id="0">
    <w:p w:rsidR="006E7093" w:rsidRPr="00895C26" w:rsidRDefault="006E7093">
      <w:r w:rsidRPr="00895C2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7093" w:rsidRPr="00895C26" w:rsidRDefault="006E7093">
      <w:r w:rsidRPr="00895C26">
        <w:separator/>
      </w:r>
    </w:p>
  </w:footnote>
  <w:footnote w:type="continuationSeparator" w:id="0">
    <w:p w:rsidR="006E7093" w:rsidRPr="00895C26" w:rsidRDefault="006E7093">
      <w:r w:rsidRPr="00895C26">
        <w:continuationSeparator/>
      </w:r>
    </w:p>
  </w:footnote>
  <w:footnote w:id="1">
    <w:p w:rsidR="009719B6" w:rsidRPr="00895C26" w:rsidRDefault="009719B6" w:rsidP="00895C26">
      <w:pPr>
        <w:pStyle w:val="FootnoteText"/>
        <w:ind w:left="567" w:hanging="567"/>
        <w:rPr>
          <w:sz w:val="24"/>
          <w:lang w:val="ro-RO"/>
        </w:rPr>
      </w:pPr>
      <w:r w:rsidRPr="00895C26">
        <w:rPr>
          <w:rStyle w:val="FootnoteReference"/>
          <w:sz w:val="24"/>
          <w:lang w:val="ro-RO"/>
        </w:rPr>
        <w:t>*</w:t>
      </w:r>
      <w:r w:rsidR="00895C26" w:rsidRPr="00895C26">
        <w:rPr>
          <w:sz w:val="24"/>
          <w:lang w:val="ro-RO"/>
        </w:rPr>
        <w:t xml:space="preserve"> </w:t>
      </w:r>
      <w:r w:rsidR="00895C26" w:rsidRPr="00895C26">
        <w:rPr>
          <w:sz w:val="24"/>
          <w:lang w:val="ro-RO"/>
        </w:rPr>
        <w:tab/>
      </w:r>
      <w:r w:rsidRPr="00895C26">
        <w:rPr>
          <w:sz w:val="24"/>
          <w:lang w:val="ro-RO"/>
        </w:rPr>
        <w:t>Amendamente: textul nou sau modificat este marcat cu caractere cursive aldine; textul eliminat este marcat prin simbolul ▌.</w:t>
      </w:r>
    </w:p>
  </w:footnote>
  <w:footnote w:id="2">
    <w:p w:rsidR="009719B6" w:rsidRPr="00895C26" w:rsidRDefault="009719B6" w:rsidP="00895C26">
      <w:pPr>
        <w:pStyle w:val="FootnoteText"/>
        <w:ind w:left="567" w:hanging="567"/>
        <w:rPr>
          <w:sz w:val="24"/>
          <w:lang w:val="ro-RO"/>
        </w:rPr>
      </w:pPr>
      <w:r w:rsidRPr="00895C26">
        <w:rPr>
          <w:rStyle w:val="FootnoteReference"/>
          <w:sz w:val="24"/>
          <w:lang w:val="ro-RO"/>
        </w:rPr>
        <w:footnoteRef/>
      </w:r>
      <w:r w:rsidR="00895C26" w:rsidRPr="00895C26">
        <w:rPr>
          <w:sz w:val="24"/>
          <w:lang w:val="ro-RO"/>
        </w:rPr>
        <w:t xml:space="preserve"> </w:t>
      </w:r>
      <w:r w:rsidR="00895C26" w:rsidRPr="00895C26">
        <w:rPr>
          <w:sz w:val="24"/>
          <w:lang w:val="ro-RO"/>
        </w:rPr>
        <w:tab/>
      </w:r>
      <w:r w:rsidRPr="00895C26">
        <w:rPr>
          <w:sz w:val="24"/>
          <w:lang w:val="ro-RO"/>
        </w:rPr>
        <w:t>JO C , , p. .</w:t>
      </w:r>
    </w:p>
  </w:footnote>
  <w:footnote w:id="3">
    <w:p w:rsidR="009719B6" w:rsidRPr="00895C26" w:rsidRDefault="009719B6" w:rsidP="00895C26">
      <w:pPr>
        <w:pStyle w:val="FootnoteText"/>
        <w:ind w:left="567" w:hanging="567"/>
        <w:rPr>
          <w:sz w:val="24"/>
          <w:lang w:val="ro-RO"/>
        </w:rPr>
      </w:pPr>
      <w:r w:rsidRPr="00895C26">
        <w:rPr>
          <w:rStyle w:val="FootnoteReference"/>
          <w:sz w:val="24"/>
          <w:lang w:val="ro-RO"/>
        </w:rPr>
        <w:footnoteRef/>
      </w:r>
      <w:r w:rsidR="00895C26" w:rsidRPr="00895C26">
        <w:rPr>
          <w:sz w:val="24"/>
          <w:lang w:val="ro-RO"/>
        </w:rPr>
        <w:t xml:space="preserve"> </w:t>
      </w:r>
      <w:r w:rsidR="00895C26" w:rsidRPr="00895C26">
        <w:rPr>
          <w:sz w:val="24"/>
          <w:lang w:val="ro-RO"/>
        </w:rPr>
        <w:tab/>
      </w:r>
      <w:r w:rsidRPr="00895C26">
        <w:rPr>
          <w:sz w:val="24"/>
          <w:lang w:val="ro-RO"/>
        </w:rPr>
        <w:t>Avizul..., JO C, p.</w:t>
      </w:r>
    </w:p>
  </w:footnote>
  <w:footnote w:id="4">
    <w:p w:rsidR="009719B6" w:rsidRPr="00895C26" w:rsidRDefault="009719B6" w:rsidP="00895C26">
      <w:pPr>
        <w:pStyle w:val="FootnoteText"/>
        <w:ind w:left="567" w:hanging="567"/>
        <w:rPr>
          <w:sz w:val="24"/>
          <w:lang w:val="ro-RO"/>
        </w:rPr>
      </w:pPr>
      <w:r w:rsidRPr="00895C26">
        <w:rPr>
          <w:rStyle w:val="FootnoteReference"/>
          <w:sz w:val="24"/>
          <w:lang w:val="ro-RO"/>
        </w:rPr>
        <w:footnoteRef/>
      </w:r>
      <w:r w:rsidR="00895C26" w:rsidRPr="00895C26">
        <w:rPr>
          <w:rStyle w:val="normaltextrun"/>
          <w:sz w:val="24"/>
          <w:lang w:val="ro-RO"/>
        </w:rPr>
        <w:t xml:space="preserve"> </w:t>
      </w:r>
      <w:r w:rsidR="00895C26" w:rsidRPr="00895C26">
        <w:rPr>
          <w:rStyle w:val="normaltextrun"/>
          <w:sz w:val="24"/>
          <w:lang w:val="ro-RO"/>
        </w:rPr>
        <w:tab/>
      </w:r>
      <w:r w:rsidRPr="00895C26">
        <w:rPr>
          <w:rStyle w:val="normaltextrun"/>
          <w:sz w:val="24"/>
          <w:lang w:val="ro-RO"/>
        </w:rPr>
        <w:t>Regulamentul (UE) 2024/... al Parlamentului European și al Consiliului de stabilire a unor norme armonizate privind inteligența artificială (Regulamentul privind inteligența artificială) și de modificare a anumitor acte legislative ale Uniunii (JO L …).</w:t>
      </w:r>
    </w:p>
  </w:footnote>
  <w:footnote w:id="5">
    <w:p w:rsidR="009719B6" w:rsidRPr="00895C26" w:rsidRDefault="009719B6" w:rsidP="00895C26">
      <w:pPr>
        <w:pStyle w:val="FootnoteText"/>
        <w:ind w:left="567" w:hanging="567"/>
        <w:rPr>
          <w:sz w:val="24"/>
          <w:lang w:val="ro-RO"/>
        </w:rPr>
      </w:pPr>
      <w:r w:rsidRPr="00895C26">
        <w:rPr>
          <w:rStyle w:val="FootnoteReference"/>
          <w:sz w:val="24"/>
          <w:lang w:val="ro-RO"/>
        </w:rPr>
        <w:footnoteRef/>
      </w:r>
      <w:r w:rsidR="00895C26" w:rsidRPr="00895C26">
        <w:rPr>
          <w:sz w:val="24"/>
          <w:lang w:val="ro-RO"/>
        </w:rPr>
        <w:t xml:space="preserve"> </w:t>
      </w:r>
      <w:r w:rsidR="00895C26" w:rsidRPr="00895C26">
        <w:rPr>
          <w:sz w:val="24"/>
          <w:lang w:val="ro-RO"/>
        </w:rPr>
        <w:tab/>
      </w:r>
      <w:r w:rsidRPr="00895C26">
        <w:rPr>
          <w:sz w:val="24"/>
          <w:lang w:val="ro-RO"/>
        </w:rPr>
        <w:t>Regulamentul (UE) 2021/1173 al Consiliului din 13 iulie 2021 privind instituirea întreprinderii comune pentru calculul european de înaltă performanță și de abrogare a Regulamentului (UE) 2018/1488 (JO L 256, 19.7.2021, p. </w:t>
      </w:r>
      <w:r w:rsidRPr="00895C26">
        <w:rPr>
          <w:sz w:val="24"/>
          <w:lang w:val="ro-RO"/>
        </w:rPr>
        <w:t xml:space="preserve">3, ELI: </w:t>
      </w:r>
      <w:hyperlink r:id="rId1" w:history="1">
        <w:r w:rsidRPr="00895C26">
          <w:rPr>
            <w:rStyle w:val="Hyperlink"/>
            <w:sz w:val="24"/>
            <w:lang w:val="ro-RO"/>
          </w:rPr>
          <w:t>http://data.europa.eu/eli/reg/2021/1173/oj</w:t>
        </w:r>
      </w:hyperlink>
      <w:r w:rsidRPr="00895C26">
        <w:rPr>
          <w:sz w:val="24"/>
          <w:lang w:val="ro-RO"/>
        </w:rPr>
        <w:t>).</w:t>
      </w:r>
    </w:p>
  </w:footnote>
  <w:footnote w:id="6">
    <w:p w:rsidR="009719B6" w:rsidRPr="00895C26" w:rsidRDefault="009719B6" w:rsidP="00895C26">
      <w:pPr>
        <w:pStyle w:val="FootnoteText"/>
        <w:ind w:left="567" w:hanging="567"/>
        <w:rPr>
          <w:sz w:val="24"/>
          <w:lang w:val="ro-RO"/>
        </w:rPr>
      </w:pPr>
      <w:r w:rsidRPr="00895C26">
        <w:rPr>
          <w:rStyle w:val="FootnoteReference"/>
          <w:sz w:val="24"/>
          <w:lang w:val="ro-RO"/>
        </w:rPr>
        <w:footnoteRef/>
      </w:r>
      <w:r w:rsidR="00895C26" w:rsidRPr="00895C26">
        <w:rPr>
          <w:b/>
          <w:i/>
          <w:sz w:val="24"/>
          <w:lang w:val="ro-RO"/>
        </w:rPr>
        <w:t xml:space="preserve"> </w:t>
      </w:r>
      <w:r w:rsidR="00895C26" w:rsidRPr="00895C26">
        <w:rPr>
          <w:b/>
          <w:i/>
          <w:sz w:val="24"/>
          <w:lang w:val="ro-RO"/>
        </w:rPr>
        <w:tab/>
      </w:r>
      <w:r w:rsidRPr="00895C26">
        <w:rPr>
          <w:b/>
          <w:i/>
          <w:sz w:val="24"/>
          <w:lang w:val="ro-RO"/>
        </w:rPr>
        <w:t>Texte adoptate, P9_TA(2023)0480.</w:t>
      </w:r>
    </w:p>
  </w:footnote>
  <w:footnote w:id="7">
    <w:p w:rsidR="009719B6" w:rsidRPr="00895C26" w:rsidRDefault="009719B6" w:rsidP="00895C26">
      <w:pPr>
        <w:pStyle w:val="FootnoteText"/>
        <w:ind w:left="567" w:hanging="567"/>
        <w:rPr>
          <w:b/>
          <w:i/>
          <w:sz w:val="24"/>
          <w:lang w:val="ro-RO"/>
        </w:rPr>
      </w:pPr>
      <w:r w:rsidRPr="00895C26">
        <w:rPr>
          <w:rStyle w:val="FootnoteReference"/>
          <w:b/>
          <w:i/>
          <w:sz w:val="24"/>
          <w:lang w:val="ro-RO"/>
        </w:rPr>
        <w:footnoteRef/>
      </w:r>
      <w:r w:rsidR="00895C26" w:rsidRPr="00895C26">
        <w:rPr>
          <w:b/>
          <w:i/>
          <w:sz w:val="24"/>
          <w:lang w:val="ro-RO"/>
        </w:rPr>
        <w:t xml:space="preserve"> </w:t>
      </w:r>
      <w:r w:rsidR="00895C26" w:rsidRPr="00895C26">
        <w:rPr>
          <w:b/>
          <w:i/>
          <w:sz w:val="24"/>
          <w:lang w:val="ro-RO"/>
        </w:rPr>
        <w:tab/>
      </w:r>
      <w:r w:rsidRPr="00895C26">
        <w:rPr>
          <w:b/>
          <w:i/>
          <w:sz w:val="24"/>
          <w:lang w:val="ro-RO"/>
        </w:rPr>
        <w:t>Directiva (UE) 2023/1791 a Parlamentului European și a Consiliului din 13 septembrie 2023 privind eficiența energetică și de modificare a Regulamentului (UE) 2023/955 (JO L 231, 20.9.2023, p.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61/2024"/>
    <w:docVar w:name="dvlangue" w:val="RO"/>
    <w:docVar w:name="dvnumam" w:val="0"/>
    <w:docVar w:name="dvpe" w:val="759.744"/>
    <w:docVar w:name="dvrapporteur" w:val="Raportoare: "/>
    <w:docVar w:name="dvstar" w:val="*"/>
    <w:docVar w:name="dvtitre" w:val="Rezoluția legislativă a Parlamentului European din 24 aprilie 2024 referitoare la propunerea de regulament al Consiliului de modificare a Regulamentului (UE) 2021/1173 în ceea ce privește o inițiativă EuroHPC vizând întreprinderile nou-înființate pentru a consolida poziția de lider a Europei în domeniul inteligenței artificiale de încredere(COM(2024)0029 – C9-0013/2024 – 2024/0016(CNS))"/>
  </w:docVars>
  <w:rsids>
    <w:rsidRoot w:val="006E7093"/>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642B"/>
    <w:rsid w:val="0050519A"/>
    <w:rsid w:val="005072A1"/>
    <w:rsid w:val="00514517"/>
    <w:rsid w:val="00545827"/>
    <w:rsid w:val="00560270"/>
    <w:rsid w:val="005C2568"/>
    <w:rsid w:val="006037C0"/>
    <w:rsid w:val="006631B6"/>
    <w:rsid w:val="00680577"/>
    <w:rsid w:val="006E7093"/>
    <w:rsid w:val="006F74FA"/>
    <w:rsid w:val="00731ADD"/>
    <w:rsid w:val="00734777"/>
    <w:rsid w:val="00743ADF"/>
    <w:rsid w:val="00747932"/>
    <w:rsid w:val="00751A4A"/>
    <w:rsid w:val="00756632"/>
    <w:rsid w:val="00762C74"/>
    <w:rsid w:val="00786EC0"/>
    <w:rsid w:val="007D1690"/>
    <w:rsid w:val="007E22AD"/>
    <w:rsid w:val="00817416"/>
    <w:rsid w:val="00842779"/>
    <w:rsid w:val="00865F67"/>
    <w:rsid w:val="00881A7B"/>
    <w:rsid w:val="008840E5"/>
    <w:rsid w:val="00887B3E"/>
    <w:rsid w:val="00893515"/>
    <w:rsid w:val="00895C26"/>
    <w:rsid w:val="008C2AC6"/>
    <w:rsid w:val="00930C23"/>
    <w:rsid w:val="0093193B"/>
    <w:rsid w:val="009509D8"/>
    <w:rsid w:val="00950B64"/>
    <w:rsid w:val="009719B6"/>
    <w:rsid w:val="00981893"/>
    <w:rsid w:val="00A1687D"/>
    <w:rsid w:val="00A43E52"/>
    <w:rsid w:val="00A4678D"/>
    <w:rsid w:val="00A778C7"/>
    <w:rsid w:val="00AB441E"/>
    <w:rsid w:val="00AB6293"/>
    <w:rsid w:val="00AE0928"/>
    <w:rsid w:val="00AF3B82"/>
    <w:rsid w:val="00AF7D5E"/>
    <w:rsid w:val="00B12E95"/>
    <w:rsid w:val="00B22876"/>
    <w:rsid w:val="00B558F0"/>
    <w:rsid w:val="00BD48FE"/>
    <w:rsid w:val="00BD7BD8"/>
    <w:rsid w:val="00BE6ADC"/>
    <w:rsid w:val="00BF488A"/>
    <w:rsid w:val="00C05BFE"/>
    <w:rsid w:val="00C23CD4"/>
    <w:rsid w:val="00C61C0C"/>
    <w:rsid w:val="00C941CB"/>
    <w:rsid w:val="00CC2357"/>
    <w:rsid w:val="00CF071A"/>
    <w:rsid w:val="00D058B8"/>
    <w:rsid w:val="00D56C11"/>
    <w:rsid w:val="00D614E6"/>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B1EE75"/>
  <w15:chartTrackingRefBased/>
  <w15:docId w15:val="{5B5CE375-975B-4413-954D-B77F2C965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719B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719B6"/>
    <w:pPr>
      <w:spacing w:before="480" w:after="240"/>
    </w:pPr>
  </w:style>
  <w:style w:type="paragraph" w:customStyle="1" w:styleId="NormalBold">
    <w:name w:val="NormalBold"/>
    <w:basedOn w:val="Normal"/>
    <w:rsid w:val="009719B6"/>
    <w:rPr>
      <w:b/>
    </w:rPr>
  </w:style>
  <w:style w:type="paragraph" w:customStyle="1" w:styleId="NormalHanging12a">
    <w:name w:val="NormalHanging12a"/>
    <w:basedOn w:val="Normal"/>
    <w:rsid w:val="009719B6"/>
    <w:pPr>
      <w:spacing w:after="240"/>
      <w:ind w:left="567" w:hanging="567"/>
    </w:pPr>
  </w:style>
  <w:style w:type="paragraph" w:styleId="Header">
    <w:name w:val="header"/>
    <w:basedOn w:val="Normal"/>
    <w:link w:val="HeaderChar"/>
    <w:rsid w:val="009719B6"/>
    <w:pPr>
      <w:tabs>
        <w:tab w:val="center" w:pos="4513"/>
        <w:tab w:val="right" w:pos="9026"/>
      </w:tabs>
    </w:pPr>
  </w:style>
  <w:style w:type="character" w:customStyle="1" w:styleId="HeaderChar">
    <w:name w:val="Header Char"/>
    <w:basedOn w:val="DefaultParagraphFont"/>
    <w:link w:val="Header"/>
    <w:rsid w:val="009719B6"/>
    <w:rPr>
      <w:sz w:val="24"/>
      <w:lang w:val="ro-RO"/>
    </w:rPr>
  </w:style>
  <w:style w:type="paragraph" w:customStyle="1" w:styleId="AmNumberTabs">
    <w:name w:val="AmNumberTabs"/>
    <w:basedOn w:val="Normal"/>
    <w:rsid w:val="009719B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Footer">
    <w:name w:val="EPFooter"/>
    <w:basedOn w:val="Normal"/>
    <w:rsid w:val="009719B6"/>
    <w:pPr>
      <w:tabs>
        <w:tab w:val="center" w:pos="4535"/>
        <w:tab w:val="right" w:pos="9071"/>
      </w:tabs>
      <w:spacing w:before="240" w:after="240"/>
    </w:pPr>
    <w:rPr>
      <w:color w:val="010000"/>
      <w:sz w:val="22"/>
    </w:rPr>
  </w:style>
  <w:style w:type="character" w:styleId="Hyperlink">
    <w:name w:val="Hyperlink"/>
    <w:basedOn w:val="DefaultParagraphFont"/>
    <w:uiPriority w:val="99"/>
    <w:unhideWhenUsed/>
    <w:rsid w:val="009719B6"/>
    <w:rPr>
      <w:color w:val="0563C1" w:themeColor="hyperlink"/>
      <w:u w:val="single"/>
    </w:rPr>
  </w:style>
  <w:style w:type="paragraph" w:styleId="ListParagraph">
    <w:name w:val="List Paragraph"/>
    <w:basedOn w:val="Normal"/>
    <w:uiPriority w:val="34"/>
    <w:qFormat/>
    <w:rsid w:val="009719B6"/>
    <w:pPr>
      <w:widowControl/>
      <w:spacing w:before="120" w:after="120"/>
      <w:ind w:left="720"/>
      <w:contextualSpacing/>
      <w:jc w:val="both"/>
    </w:pPr>
    <w:rPr>
      <w:rFonts w:eastAsiaTheme="minorHAnsi"/>
      <w:szCs w:val="22"/>
      <w:lang w:eastAsia="en-US"/>
    </w:rPr>
  </w:style>
  <w:style w:type="paragraph" w:customStyle="1" w:styleId="Text1">
    <w:name w:val="Text 1"/>
    <w:basedOn w:val="Normal"/>
    <w:rsid w:val="009719B6"/>
    <w:pPr>
      <w:widowControl/>
      <w:spacing w:before="120" w:after="120"/>
      <w:ind w:left="850"/>
      <w:jc w:val="both"/>
    </w:pPr>
    <w:rPr>
      <w:rFonts w:eastAsiaTheme="minorHAnsi"/>
      <w:szCs w:val="22"/>
      <w:lang w:eastAsia="en-US"/>
    </w:rPr>
  </w:style>
  <w:style w:type="paragraph" w:customStyle="1" w:styleId="Point0">
    <w:name w:val="Point 0"/>
    <w:basedOn w:val="Normal"/>
    <w:rsid w:val="009719B6"/>
    <w:pPr>
      <w:widowControl/>
      <w:spacing w:before="120" w:after="120"/>
      <w:ind w:left="850" w:hanging="850"/>
      <w:jc w:val="both"/>
    </w:pPr>
    <w:rPr>
      <w:rFonts w:eastAsiaTheme="minorHAnsi"/>
      <w:szCs w:val="22"/>
      <w:lang w:eastAsia="en-US"/>
    </w:rPr>
  </w:style>
  <w:style w:type="paragraph" w:customStyle="1" w:styleId="Point1">
    <w:name w:val="Point 1"/>
    <w:basedOn w:val="Normal"/>
    <w:rsid w:val="009719B6"/>
    <w:pPr>
      <w:widowControl/>
      <w:spacing w:before="120" w:after="120"/>
      <w:ind w:left="1417" w:hanging="567"/>
      <w:jc w:val="both"/>
    </w:pPr>
    <w:rPr>
      <w:rFonts w:eastAsiaTheme="minorHAnsi"/>
      <w:szCs w:val="22"/>
      <w:lang w:eastAsia="en-US"/>
    </w:rPr>
  </w:style>
  <w:style w:type="paragraph" w:customStyle="1" w:styleId="Point2">
    <w:name w:val="Point 2"/>
    <w:basedOn w:val="Normal"/>
    <w:rsid w:val="009719B6"/>
    <w:pPr>
      <w:widowControl/>
      <w:spacing w:before="120" w:after="120"/>
      <w:ind w:left="1984" w:hanging="567"/>
      <w:jc w:val="both"/>
    </w:pPr>
    <w:rPr>
      <w:rFonts w:eastAsiaTheme="minorHAnsi"/>
      <w:szCs w:val="22"/>
      <w:lang w:eastAsia="en-US"/>
    </w:rPr>
  </w:style>
  <w:style w:type="paragraph" w:customStyle="1" w:styleId="ManualNumPar1">
    <w:name w:val="Manual NumPar 1"/>
    <w:basedOn w:val="Normal"/>
    <w:next w:val="Text1"/>
    <w:rsid w:val="009719B6"/>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9719B6"/>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9719B6"/>
    <w:pPr>
      <w:widowControl/>
      <w:spacing w:before="480" w:after="120"/>
      <w:jc w:val="both"/>
    </w:pPr>
    <w:rPr>
      <w:rFonts w:eastAsiaTheme="minorHAnsi"/>
      <w:szCs w:val="22"/>
      <w:lang w:eastAsia="en-US"/>
    </w:rPr>
  </w:style>
  <w:style w:type="paragraph" w:customStyle="1" w:styleId="Institutionquisigne">
    <w:name w:val="Institution qui signe"/>
    <w:basedOn w:val="Normal"/>
    <w:next w:val="Personnequisigne"/>
    <w:rsid w:val="009719B6"/>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9719B6"/>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9719B6"/>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9719B6"/>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9719B6"/>
    <w:pPr>
      <w:widowControl/>
      <w:tabs>
        <w:tab w:val="left" w:pos="4252"/>
      </w:tabs>
    </w:pPr>
    <w:rPr>
      <w:rFonts w:eastAsiaTheme="minorHAnsi"/>
      <w:i/>
      <w:szCs w:val="22"/>
      <w:lang w:eastAsia="en-US"/>
    </w:rPr>
  </w:style>
  <w:style w:type="paragraph" w:customStyle="1" w:styleId="ManualConsidrant">
    <w:name w:val="Manual Considérant"/>
    <w:basedOn w:val="Normal"/>
    <w:rsid w:val="009719B6"/>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9719B6"/>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9719B6"/>
    <w:pPr>
      <w:widowControl/>
      <w:ind w:left="5103"/>
    </w:pPr>
    <w:rPr>
      <w:rFonts w:eastAsiaTheme="minorHAnsi"/>
      <w:szCs w:val="22"/>
      <w:lang w:eastAsia="en-US"/>
    </w:rPr>
  </w:style>
  <w:style w:type="paragraph" w:customStyle="1" w:styleId="Typedudocument">
    <w:name w:val="Type du document"/>
    <w:basedOn w:val="Normal"/>
    <w:next w:val="Titreobjet"/>
    <w:rsid w:val="009719B6"/>
    <w:pPr>
      <w:widowControl/>
      <w:spacing w:before="360"/>
      <w:jc w:val="center"/>
    </w:pPr>
    <w:rPr>
      <w:rFonts w:eastAsiaTheme="minorHAnsi"/>
      <w:b/>
      <w:szCs w:val="22"/>
      <w:lang w:eastAsia="en-US"/>
    </w:rPr>
  </w:style>
  <w:style w:type="paragraph" w:customStyle="1" w:styleId="Titreobjet">
    <w:name w:val="Titre objet"/>
    <w:basedOn w:val="Normal"/>
    <w:next w:val="Normal"/>
    <w:rsid w:val="009719B6"/>
    <w:pPr>
      <w:widowControl/>
      <w:spacing w:before="360" w:after="360"/>
      <w:jc w:val="center"/>
    </w:pPr>
    <w:rPr>
      <w:rFonts w:eastAsiaTheme="minorHAnsi"/>
      <w:b/>
      <w:szCs w:val="22"/>
      <w:lang w:eastAsia="en-US"/>
    </w:rPr>
  </w:style>
  <w:style w:type="character" w:customStyle="1" w:styleId="normaltextrun">
    <w:name w:val="normaltextrun"/>
    <w:basedOn w:val="DefaultParagraphFont"/>
    <w:rsid w:val="009719B6"/>
  </w:style>
  <w:style w:type="character" w:customStyle="1" w:styleId="eop">
    <w:name w:val="eop"/>
    <w:basedOn w:val="DefaultParagraphFont"/>
    <w:rsid w:val="009719B6"/>
  </w:style>
  <w:style w:type="paragraph" w:customStyle="1" w:styleId="NormalCenter12a">
    <w:name w:val="NormalCenter12a"/>
    <w:basedOn w:val="Normal"/>
    <w:rsid w:val="009719B6"/>
    <w:pPr>
      <w:spacing w:after="240"/>
      <w:jc w:val="center"/>
    </w:pPr>
  </w:style>
  <w:style w:type="paragraph" w:customStyle="1" w:styleId="AmHeadingConsam">
    <w:name w:val="AmHeadingConsam"/>
    <w:basedOn w:val="Normal"/>
    <w:next w:val="NormalCenter12a"/>
    <w:rsid w:val="009719B6"/>
    <w:pPr>
      <w:spacing w:before="720" w:after="240"/>
      <w:jc w:val="center"/>
    </w:pPr>
  </w:style>
  <w:style w:type="paragraph" w:styleId="Footer">
    <w:name w:val="footer"/>
    <w:basedOn w:val="Normal"/>
    <w:link w:val="FooterChar"/>
    <w:rsid w:val="00893515"/>
    <w:pPr>
      <w:tabs>
        <w:tab w:val="center" w:pos="4513"/>
        <w:tab w:val="right" w:pos="9026"/>
      </w:tabs>
    </w:pPr>
  </w:style>
  <w:style w:type="character" w:customStyle="1" w:styleId="FooterChar">
    <w:name w:val="Footer Char"/>
    <w:basedOn w:val="DefaultParagraphFont"/>
    <w:link w:val="Footer"/>
    <w:rsid w:val="00893515"/>
    <w:rPr>
      <w:sz w:val="24"/>
      <w:lang w:val="ro-RO"/>
    </w:rPr>
  </w:style>
  <w:style w:type="paragraph" w:styleId="BalloonText">
    <w:name w:val="Balloon Text"/>
    <w:basedOn w:val="Normal"/>
    <w:link w:val="BalloonTextChar"/>
    <w:rsid w:val="00AF7D5E"/>
    <w:rPr>
      <w:rFonts w:ascii="Segoe UI" w:hAnsi="Segoe UI" w:cs="Segoe UI"/>
      <w:sz w:val="18"/>
      <w:szCs w:val="18"/>
    </w:rPr>
  </w:style>
  <w:style w:type="character" w:customStyle="1" w:styleId="BalloonTextChar">
    <w:name w:val="Balloon Text Char"/>
    <w:basedOn w:val="DefaultParagraphFont"/>
    <w:link w:val="BalloonText"/>
    <w:rsid w:val="00AF7D5E"/>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eli/reg/2021/1173/oj?locale=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0C833E-C177-47C6-86D3-F27F3EB86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3903</Words>
  <Characters>25671</Characters>
  <Application>Microsoft Office Word</Application>
  <DocSecurity>0</DocSecurity>
  <Lines>213</Lines>
  <Paragraphs>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GHERMAN Laura</cp:lastModifiedBy>
  <cp:revision>2</cp:revision>
  <cp:lastPrinted>2004-11-19T15:42:00Z</cp:lastPrinted>
  <dcterms:created xsi:type="dcterms:W3CDTF">2024-04-24T17:44:00Z</dcterms:created>
  <dcterms:modified xsi:type="dcterms:W3CDTF">2024-04-24T17:44:00Z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A9-0161/2024</vt:lpwstr>
  </property>
  <property fmtid="{D5CDD505-2E9C-101B-9397-08002B2CF9AE}" pid="4" name="&lt;Type&gt;">
    <vt:lpwstr>RR</vt:lpwstr>
  </property>
</Properties>
</file>